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7CF9C" w14:textId="77777777" w:rsidR="00EF0338" w:rsidRPr="000049B6" w:rsidRDefault="00EF0338" w:rsidP="00EF0338">
      <w:pPr>
        <w:jc w:val="center"/>
        <w:rPr>
          <w:lang w:val="en-US"/>
        </w:rPr>
      </w:pPr>
      <w:bookmarkStart w:id="0" w:name="_GoBack"/>
      <w:bookmarkEnd w:id="0"/>
      <w:r w:rsidRPr="000049B6">
        <w:rPr>
          <w:noProof/>
          <w:lang w:eastAsia="cs-CZ"/>
        </w:rPr>
        <w:drawing>
          <wp:anchor distT="0" distB="0" distL="114300" distR="114300" simplePos="0" relativeHeight="251659264" behindDoc="0" locked="0" layoutInCell="1" allowOverlap="1" wp14:anchorId="596E6A45" wp14:editId="7BEFB7EC">
            <wp:simplePos x="0" y="0"/>
            <wp:positionH relativeFrom="margin">
              <wp:posOffset>2522855</wp:posOffset>
            </wp:positionH>
            <wp:positionV relativeFrom="paragraph">
              <wp:posOffset>559</wp:posOffset>
            </wp:positionV>
            <wp:extent cx="713740" cy="504190"/>
            <wp:effectExtent l="0" t="0" r="0" b="0"/>
            <wp:wrapTopAndBottom/>
            <wp:docPr id="6"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3740" cy="504190"/>
                    </a:xfrm>
                    <a:prstGeom prst="rect">
                      <a:avLst/>
                    </a:prstGeom>
                    <a:noFill/>
                  </pic:spPr>
                </pic:pic>
              </a:graphicData>
            </a:graphic>
            <wp14:sizeRelH relativeFrom="page">
              <wp14:pctWidth>0</wp14:pctWidth>
            </wp14:sizeRelH>
            <wp14:sizeRelV relativeFrom="page">
              <wp14:pctHeight>0</wp14:pctHeight>
            </wp14:sizeRelV>
          </wp:anchor>
        </w:drawing>
      </w:r>
    </w:p>
    <w:p w14:paraId="54445EAD" w14:textId="77777777" w:rsidR="00EF0338" w:rsidRPr="000049B6" w:rsidRDefault="00EF0338" w:rsidP="00EF0338">
      <w:pPr>
        <w:jc w:val="center"/>
        <w:rPr>
          <w:lang w:val="en-US"/>
        </w:rPr>
      </w:pPr>
    </w:p>
    <w:p w14:paraId="5DF0E5DE" w14:textId="77777777" w:rsidR="00EF0338" w:rsidRPr="000049B6" w:rsidRDefault="00EF0338" w:rsidP="00EF0338">
      <w:pPr>
        <w:jc w:val="center"/>
        <w:rPr>
          <w:lang w:val="en-US"/>
        </w:rPr>
      </w:pPr>
    </w:p>
    <w:p w14:paraId="7DAF5960" w14:textId="49346B96" w:rsidR="00EF0338" w:rsidRPr="000049B6" w:rsidRDefault="00DF49CA" w:rsidP="00EF0338">
      <w:pPr>
        <w:jc w:val="center"/>
        <w:rPr>
          <w:b/>
          <w:sz w:val="28"/>
          <w:szCs w:val="28"/>
          <w:lang w:val="en-US"/>
        </w:rPr>
      </w:pPr>
      <w:r w:rsidRPr="000049B6">
        <w:rPr>
          <w:b/>
          <w:sz w:val="28"/>
          <w:szCs w:val="28"/>
          <w:lang w:val="en-US"/>
        </w:rPr>
        <w:t>Audit Conclusion</w:t>
      </w:r>
    </w:p>
    <w:p w14:paraId="4B04AF03" w14:textId="77777777" w:rsidR="00EF0338" w:rsidRPr="000049B6" w:rsidRDefault="00EF0338" w:rsidP="00EF0338">
      <w:pPr>
        <w:jc w:val="center"/>
        <w:rPr>
          <w:lang w:val="en-US"/>
        </w:rPr>
      </w:pPr>
    </w:p>
    <w:p w14:paraId="0DBAD8BD" w14:textId="77777777" w:rsidR="00EF0338" w:rsidRPr="000049B6" w:rsidRDefault="00EF0338" w:rsidP="00EF0338">
      <w:pPr>
        <w:jc w:val="center"/>
        <w:rPr>
          <w:b/>
          <w:sz w:val="28"/>
          <w:szCs w:val="28"/>
          <w:lang w:val="en-US"/>
        </w:rPr>
      </w:pPr>
      <w:r w:rsidRPr="000049B6">
        <w:rPr>
          <w:b/>
          <w:sz w:val="28"/>
          <w:szCs w:val="28"/>
          <w:lang w:val="en-US"/>
        </w:rPr>
        <w:t>18/20</w:t>
      </w:r>
    </w:p>
    <w:p w14:paraId="54198B8C" w14:textId="77777777" w:rsidR="00EF0338" w:rsidRPr="000049B6" w:rsidRDefault="00EF0338" w:rsidP="00EF0338">
      <w:pPr>
        <w:jc w:val="center"/>
        <w:rPr>
          <w:lang w:val="en-US"/>
        </w:rPr>
      </w:pPr>
    </w:p>
    <w:p w14:paraId="165177C9" w14:textId="713001E7" w:rsidR="00EF0338" w:rsidRPr="000049B6" w:rsidRDefault="00DF49CA" w:rsidP="00DF49CA">
      <w:pPr>
        <w:jc w:val="center"/>
        <w:rPr>
          <w:b/>
          <w:sz w:val="28"/>
          <w:szCs w:val="28"/>
          <w:lang w:val="en-US"/>
        </w:rPr>
      </w:pPr>
      <w:r w:rsidRPr="000049B6">
        <w:rPr>
          <w:b/>
          <w:sz w:val="28"/>
          <w:szCs w:val="28"/>
          <w:lang w:val="en-US"/>
        </w:rPr>
        <w:t>State funds earmarked for the crime prevention</w:t>
      </w:r>
    </w:p>
    <w:p w14:paraId="4E6D1E94" w14:textId="77777777" w:rsidR="00310D05" w:rsidRPr="000049B6" w:rsidRDefault="00310D05" w:rsidP="00EF0338">
      <w:pPr>
        <w:jc w:val="both"/>
        <w:rPr>
          <w:lang w:val="en-US"/>
        </w:rPr>
      </w:pPr>
    </w:p>
    <w:p w14:paraId="2FE237A9" w14:textId="6A56B7BD" w:rsidR="00310D05" w:rsidRPr="000049B6" w:rsidRDefault="00DF49CA" w:rsidP="00DF49CA">
      <w:pPr>
        <w:pStyle w:val="Text"/>
        <w:spacing w:before="0" w:line="264" w:lineRule="auto"/>
        <w:rPr>
          <w:lang w:val="en-US"/>
        </w:rPr>
      </w:pPr>
      <w:r w:rsidRPr="000049B6">
        <w:rPr>
          <w:lang w:val="en-US"/>
        </w:rPr>
        <w:t xml:space="preserve">The audit was included in the Supreme Audit Office's Audit Plan (hereinafter referred to as ‘SAO’) for 2018 under the number 18/20. The audit was conducted and the Audit Report was elaborated by the SAO Member Mr. Jan </w:t>
      </w:r>
      <w:proofErr w:type="spellStart"/>
      <w:r w:rsidRPr="000049B6">
        <w:rPr>
          <w:lang w:val="en-US"/>
        </w:rPr>
        <w:t>Stárek</w:t>
      </w:r>
      <w:proofErr w:type="spellEnd"/>
      <w:r w:rsidRPr="000049B6">
        <w:rPr>
          <w:lang w:val="en-US"/>
        </w:rPr>
        <w:t>.</w:t>
      </w:r>
    </w:p>
    <w:p w14:paraId="1BD3B942" w14:textId="77777777" w:rsidR="00DF49CA" w:rsidRPr="000049B6" w:rsidRDefault="00DF49CA" w:rsidP="00DF49CA">
      <w:pPr>
        <w:pStyle w:val="Text"/>
        <w:spacing w:before="0" w:line="264" w:lineRule="auto"/>
        <w:rPr>
          <w:lang w:val="en-US"/>
        </w:rPr>
      </w:pPr>
    </w:p>
    <w:p w14:paraId="466A3C83" w14:textId="06A7EBC8" w:rsidR="00310D05" w:rsidRPr="000049B6" w:rsidRDefault="00DF49CA" w:rsidP="00DF49CA">
      <w:pPr>
        <w:pStyle w:val="Text"/>
        <w:spacing w:before="0" w:line="264" w:lineRule="auto"/>
        <w:rPr>
          <w:lang w:val="en-US"/>
        </w:rPr>
      </w:pPr>
      <w:r w:rsidRPr="000049B6">
        <w:rPr>
          <w:lang w:val="en-US"/>
        </w:rPr>
        <w:t>The objective of the audit was to examine the provision and use of state funds designated for crime prevention and to check whether the provided support contributed to the fulfilment of objectives in this area.</w:t>
      </w:r>
    </w:p>
    <w:p w14:paraId="730D073C" w14:textId="77777777" w:rsidR="00DF49CA" w:rsidRPr="000049B6" w:rsidRDefault="00DF49CA" w:rsidP="00DF49CA">
      <w:pPr>
        <w:pStyle w:val="Text"/>
        <w:spacing w:before="0" w:line="264" w:lineRule="auto"/>
        <w:rPr>
          <w:lang w:val="en-US"/>
        </w:rPr>
      </w:pPr>
    </w:p>
    <w:p w14:paraId="44E6ACDD" w14:textId="17E595B2" w:rsidR="00310D05" w:rsidRPr="000049B6" w:rsidRDefault="00DF49CA" w:rsidP="00DF49CA">
      <w:pPr>
        <w:pStyle w:val="Text"/>
        <w:spacing w:before="0" w:line="264" w:lineRule="auto"/>
        <w:rPr>
          <w:lang w:val="en-US"/>
        </w:rPr>
      </w:pPr>
      <w:r w:rsidRPr="000049B6">
        <w:rPr>
          <w:lang w:val="en-US"/>
        </w:rPr>
        <w:t>The audit was carried out from September 2018 to February 2019.</w:t>
      </w:r>
    </w:p>
    <w:p w14:paraId="5DAC90E0" w14:textId="77777777" w:rsidR="00DF49CA" w:rsidRPr="000049B6" w:rsidRDefault="00DF49CA" w:rsidP="00DF49CA">
      <w:pPr>
        <w:pStyle w:val="Text"/>
        <w:spacing w:before="0" w:line="264" w:lineRule="auto"/>
        <w:rPr>
          <w:lang w:val="en-US"/>
        </w:rPr>
      </w:pPr>
    </w:p>
    <w:p w14:paraId="08E9F313" w14:textId="2F560BD1" w:rsidR="00310D05" w:rsidRPr="000049B6" w:rsidRDefault="00DF49CA" w:rsidP="00DF49CA">
      <w:pPr>
        <w:pStyle w:val="Text"/>
        <w:spacing w:before="0" w:line="264" w:lineRule="auto"/>
        <w:rPr>
          <w:lang w:val="en-US"/>
        </w:rPr>
      </w:pPr>
      <w:r w:rsidRPr="000049B6">
        <w:rPr>
          <w:lang w:val="en-US"/>
        </w:rPr>
        <w:t>The audited period was from the year 2015 to 2018, and in the case of factual context, also the preceding and following periods.</w:t>
      </w:r>
    </w:p>
    <w:p w14:paraId="13101377" w14:textId="77777777" w:rsidR="00DF49CA" w:rsidRPr="000049B6" w:rsidRDefault="00DF49CA" w:rsidP="00DF49CA">
      <w:pPr>
        <w:pStyle w:val="Text"/>
        <w:spacing w:before="0" w:line="264" w:lineRule="auto"/>
        <w:rPr>
          <w:lang w:val="en-US"/>
        </w:rPr>
      </w:pPr>
    </w:p>
    <w:p w14:paraId="2DDE0EB7" w14:textId="77777777" w:rsidR="00DF49CA" w:rsidRPr="000049B6" w:rsidRDefault="00DF49CA" w:rsidP="00DF49CA">
      <w:pPr>
        <w:spacing w:line="264" w:lineRule="auto"/>
        <w:jc w:val="both"/>
        <w:rPr>
          <w:rFonts w:cstheme="minorHAnsi"/>
          <w:b/>
          <w:lang w:val="en-US"/>
        </w:rPr>
      </w:pPr>
      <w:r w:rsidRPr="000049B6">
        <w:rPr>
          <w:rFonts w:cstheme="minorHAnsi"/>
          <w:b/>
          <w:lang w:val="en-US"/>
        </w:rPr>
        <w:t>Audited entities:</w:t>
      </w:r>
    </w:p>
    <w:p w14:paraId="6095E4AB" w14:textId="429CB261" w:rsidR="000049B6" w:rsidRDefault="00DF49CA" w:rsidP="000049B6">
      <w:pPr>
        <w:spacing w:line="264" w:lineRule="auto"/>
        <w:jc w:val="both"/>
        <w:rPr>
          <w:rFonts w:cstheme="minorHAnsi"/>
          <w:lang w:val="en-US"/>
        </w:rPr>
      </w:pPr>
      <w:r w:rsidRPr="000049B6">
        <w:rPr>
          <w:rFonts w:cstheme="minorHAnsi"/>
          <w:lang w:val="en-US"/>
        </w:rPr>
        <w:t>The Ministry of the Interior (</w:t>
      </w:r>
      <w:r w:rsidR="00AB05AB" w:rsidRPr="000049B6">
        <w:rPr>
          <w:lang w:val="en-US"/>
        </w:rPr>
        <w:t>hereinafter ‘</w:t>
      </w:r>
      <w:proofErr w:type="spellStart"/>
      <w:r w:rsidRPr="000049B6">
        <w:rPr>
          <w:rFonts w:cstheme="minorHAnsi"/>
          <w:lang w:val="en-US"/>
        </w:rPr>
        <w:t>MoI</w:t>
      </w:r>
      <w:proofErr w:type="spellEnd"/>
      <w:r w:rsidR="00AB05AB" w:rsidRPr="000049B6">
        <w:rPr>
          <w:lang w:val="en-US"/>
        </w:rPr>
        <w:t>’</w:t>
      </w:r>
      <w:r w:rsidRPr="000049B6">
        <w:rPr>
          <w:rFonts w:cstheme="minorHAnsi"/>
          <w:lang w:val="en-US"/>
        </w:rPr>
        <w:t>), the Ministry of Justice (</w:t>
      </w:r>
      <w:r w:rsidR="00AB05AB" w:rsidRPr="000049B6">
        <w:rPr>
          <w:lang w:val="en-US"/>
        </w:rPr>
        <w:t>hereinafter ‘</w:t>
      </w:r>
      <w:proofErr w:type="spellStart"/>
      <w:r w:rsidRPr="000049B6">
        <w:rPr>
          <w:rFonts w:cstheme="minorHAnsi"/>
          <w:lang w:val="en-US"/>
        </w:rPr>
        <w:t>MoJ</w:t>
      </w:r>
      <w:proofErr w:type="spellEnd"/>
      <w:r w:rsidR="00AB05AB" w:rsidRPr="000049B6">
        <w:rPr>
          <w:lang w:val="en-US"/>
        </w:rPr>
        <w:t>’</w:t>
      </w:r>
      <w:r w:rsidRPr="000049B6">
        <w:rPr>
          <w:rFonts w:cstheme="minorHAnsi"/>
          <w:lang w:val="en-US"/>
        </w:rPr>
        <w:t xml:space="preserve">), and the Ministry of </w:t>
      </w:r>
      <w:proofErr w:type="spellStart"/>
      <w:r w:rsidRPr="000049B6">
        <w:rPr>
          <w:rFonts w:cstheme="minorHAnsi"/>
          <w:lang w:val="en-US"/>
        </w:rPr>
        <w:t>Defence</w:t>
      </w:r>
      <w:proofErr w:type="spellEnd"/>
      <w:r w:rsidRPr="000049B6">
        <w:rPr>
          <w:rFonts w:cstheme="minorHAnsi"/>
          <w:lang w:val="en-US"/>
        </w:rPr>
        <w:t xml:space="preserve"> (</w:t>
      </w:r>
      <w:r w:rsidR="00AB05AB" w:rsidRPr="000049B6">
        <w:rPr>
          <w:lang w:val="en-US"/>
        </w:rPr>
        <w:t>hereinafter ‘</w:t>
      </w:r>
      <w:proofErr w:type="spellStart"/>
      <w:r w:rsidRPr="000049B6">
        <w:rPr>
          <w:rFonts w:cstheme="minorHAnsi"/>
          <w:lang w:val="en-US"/>
        </w:rPr>
        <w:t>MoD</w:t>
      </w:r>
      <w:proofErr w:type="spellEnd"/>
      <w:r w:rsidR="00AB05AB" w:rsidRPr="000049B6">
        <w:rPr>
          <w:lang w:val="en-US"/>
        </w:rPr>
        <w:t>’</w:t>
      </w:r>
      <w:r w:rsidRPr="000049B6">
        <w:rPr>
          <w:rFonts w:cstheme="minorHAnsi"/>
          <w:lang w:val="en-US"/>
        </w:rPr>
        <w:t xml:space="preserve">), </w:t>
      </w:r>
      <w:proofErr w:type="spellStart"/>
      <w:r w:rsidRPr="000049B6">
        <w:rPr>
          <w:rFonts w:cstheme="minorHAnsi"/>
          <w:lang w:val="en-US"/>
        </w:rPr>
        <w:t>Ratolest</w:t>
      </w:r>
      <w:proofErr w:type="spellEnd"/>
      <w:r w:rsidRPr="000049B6">
        <w:rPr>
          <w:rFonts w:cstheme="minorHAnsi"/>
          <w:lang w:val="en-US"/>
        </w:rPr>
        <w:t xml:space="preserve"> Brno (non-governmental, non-profit organization) and the following Czech cities and towns: </w:t>
      </w:r>
      <w:proofErr w:type="spellStart"/>
      <w:r w:rsidRPr="000049B6">
        <w:rPr>
          <w:rFonts w:cstheme="minorHAnsi"/>
          <w:lang w:val="en-US"/>
        </w:rPr>
        <w:t>České</w:t>
      </w:r>
      <w:proofErr w:type="spellEnd"/>
      <w:r w:rsidRPr="000049B6">
        <w:rPr>
          <w:rFonts w:cstheme="minorHAnsi"/>
          <w:lang w:val="en-US"/>
        </w:rPr>
        <w:t xml:space="preserve"> </w:t>
      </w:r>
      <w:proofErr w:type="spellStart"/>
      <w:r w:rsidRPr="000049B6">
        <w:rPr>
          <w:rFonts w:cstheme="minorHAnsi"/>
          <w:lang w:val="en-US"/>
        </w:rPr>
        <w:t>Budějovice</w:t>
      </w:r>
      <w:proofErr w:type="spellEnd"/>
      <w:r w:rsidRPr="000049B6">
        <w:rPr>
          <w:rFonts w:cstheme="minorHAnsi"/>
          <w:lang w:val="en-US"/>
        </w:rPr>
        <w:t xml:space="preserve">; </w:t>
      </w:r>
      <w:proofErr w:type="spellStart"/>
      <w:r w:rsidRPr="000049B6">
        <w:rPr>
          <w:rFonts w:cstheme="minorHAnsi"/>
          <w:lang w:val="en-US"/>
        </w:rPr>
        <w:t>Vimperk</w:t>
      </w:r>
      <w:proofErr w:type="spellEnd"/>
      <w:r w:rsidRPr="000049B6">
        <w:rPr>
          <w:rFonts w:cstheme="minorHAnsi"/>
          <w:lang w:val="en-US"/>
        </w:rPr>
        <w:t xml:space="preserve">; </w:t>
      </w:r>
      <w:proofErr w:type="spellStart"/>
      <w:r w:rsidRPr="000049B6">
        <w:rPr>
          <w:rFonts w:cstheme="minorHAnsi"/>
          <w:lang w:val="en-US"/>
        </w:rPr>
        <w:t>Lomnice</w:t>
      </w:r>
      <w:proofErr w:type="spellEnd"/>
      <w:r w:rsidRPr="000049B6">
        <w:rPr>
          <w:rFonts w:cstheme="minorHAnsi"/>
          <w:lang w:val="en-US"/>
        </w:rPr>
        <w:t xml:space="preserve"> </w:t>
      </w:r>
      <w:proofErr w:type="spellStart"/>
      <w:r w:rsidRPr="000049B6">
        <w:rPr>
          <w:rFonts w:cstheme="minorHAnsi"/>
          <w:lang w:val="en-US"/>
        </w:rPr>
        <w:t>nad</w:t>
      </w:r>
      <w:proofErr w:type="spellEnd"/>
      <w:r w:rsidRPr="000049B6">
        <w:rPr>
          <w:rFonts w:cstheme="minorHAnsi"/>
          <w:lang w:val="en-US"/>
        </w:rPr>
        <w:t xml:space="preserve"> </w:t>
      </w:r>
      <w:proofErr w:type="spellStart"/>
      <w:r w:rsidRPr="000049B6">
        <w:rPr>
          <w:rFonts w:cstheme="minorHAnsi"/>
          <w:lang w:val="en-US"/>
        </w:rPr>
        <w:t>Lužnicí</w:t>
      </w:r>
      <w:proofErr w:type="spellEnd"/>
      <w:r w:rsidRPr="000049B6">
        <w:rPr>
          <w:rFonts w:cstheme="minorHAnsi"/>
          <w:lang w:val="en-US"/>
        </w:rPr>
        <w:t xml:space="preserve">; Brno; </w:t>
      </w:r>
      <w:proofErr w:type="spellStart"/>
      <w:r w:rsidRPr="000049B6">
        <w:rPr>
          <w:rFonts w:cstheme="minorHAnsi"/>
          <w:lang w:val="en-US"/>
        </w:rPr>
        <w:t>Břeclav</w:t>
      </w:r>
      <w:proofErr w:type="spellEnd"/>
      <w:r w:rsidRPr="000049B6">
        <w:rPr>
          <w:rFonts w:cstheme="minorHAnsi"/>
          <w:lang w:val="en-US"/>
        </w:rPr>
        <w:t xml:space="preserve">; </w:t>
      </w:r>
      <w:proofErr w:type="spellStart"/>
      <w:r w:rsidRPr="000049B6">
        <w:rPr>
          <w:rFonts w:cstheme="minorHAnsi"/>
          <w:lang w:val="en-US"/>
        </w:rPr>
        <w:t>Mimoň</w:t>
      </w:r>
      <w:proofErr w:type="spellEnd"/>
      <w:r w:rsidRPr="000049B6">
        <w:rPr>
          <w:rFonts w:cstheme="minorHAnsi"/>
          <w:lang w:val="en-US"/>
        </w:rPr>
        <w:t xml:space="preserve">; </w:t>
      </w:r>
      <w:proofErr w:type="spellStart"/>
      <w:r w:rsidRPr="000049B6">
        <w:rPr>
          <w:rFonts w:cstheme="minorHAnsi"/>
          <w:lang w:val="en-US"/>
        </w:rPr>
        <w:t>Ralsko</w:t>
      </w:r>
      <w:proofErr w:type="spellEnd"/>
      <w:r w:rsidRPr="000049B6">
        <w:rPr>
          <w:rFonts w:cstheme="minorHAnsi"/>
          <w:lang w:val="en-US"/>
        </w:rPr>
        <w:t xml:space="preserve">; </w:t>
      </w:r>
      <w:proofErr w:type="spellStart"/>
      <w:r w:rsidRPr="000049B6">
        <w:rPr>
          <w:rFonts w:cstheme="minorHAnsi"/>
          <w:lang w:val="en-US"/>
        </w:rPr>
        <w:t>Velké</w:t>
      </w:r>
      <w:proofErr w:type="spellEnd"/>
      <w:r w:rsidRPr="000049B6">
        <w:rPr>
          <w:rFonts w:cstheme="minorHAnsi"/>
          <w:lang w:val="en-US"/>
        </w:rPr>
        <w:t xml:space="preserve"> </w:t>
      </w:r>
      <w:proofErr w:type="spellStart"/>
      <w:r w:rsidRPr="000049B6">
        <w:rPr>
          <w:rFonts w:cstheme="minorHAnsi"/>
          <w:lang w:val="en-US"/>
        </w:rPr>
        <w:t>Hamry</w:t>
      </w:r>
      <w:proofErr w:type="spellEnd"/>
      <w:r w:rsidRPr="000049B6">
        <w:rPr>
          <w:rFonts w:cstheme="minorHAnsi"/>
          <w:lang w:val="en-US"/>
        </w:rPr>
        <w:t xml:space="preserve">; </w:t>
      </w:r>
      <w:proofErr w:type="spellStart"/>
      <w:r w:rsidRPr="000049B6">
        <w:rPr>
          <w:rFonts w:cstheme="minorHAnsi"/>
          <w:lang w:val="en-US"/>
        </w:rPr>
        <w:t>Kladno</w:t>
      </w:r>
      <w:proofErr w:type="spellEnd"/>
      <w:r w:rsidRPr="000049B6">
        <w:rPr>
          <w:rFonts w:cstheme="minorHAnsi"/>
          <w:lang w:val="en-US"/>
        </w:rPr>
        <w:t xml:space="preserve">; </w:t>
      </w:r>
      <w:proofErr w:type="spellStart"/>
      <w:r w:rsidRPr="000049B6">
        <w:rPr>
          <w:rFonts w:cstheme="minorHAnsi"/>
          <w:lang w:val="en-US"/>
        </w:rPr>
        <w:t>Příbram</w:t>
      </w:r>
      <w:proofErr w:type="spellEnd"/>
      <w:r w:rsidRPr="000049B6">
        <w:rPr>
          <w:rFonts w:cstheme="minorHAnsi"/>
          <w:lang w:val="en-US"/>
        </w:rPr>
        <w:t xml:space="preserve">; </w:t>
      </w:r>
      <w:proofErr w:type="spellStart"/>
      <w:r w:rsidRPr="000049B6">
        <w:rPr>
          <w:rFonts w:cstheme="minorHAnsi"/>
          <w:lang w:val="en-US"/>
        </w:rPr>
        <w:t>Slaný</w:t>
      </w:r>
      <w:proofErr w:type="spellEnd"/>
      <w:r w:rsidRPr="000049B6">
        <w:rPr>
          <w:rFonts w:cstheme="minorHAnsi"/>
          <w:lang w:val="en-US"/>
        </w:rPr>
        <w:t xml:space="preserve">; </w:t>
      </w:r>
      <w:proofErr w:type="spellStart"/>
      <w:r w:rsidRPr="000049B6">
        <w:rPr>
          <w:rFonts w:cstheme="minorHAnsi"/>
          <w:lang w:val="en-US"/>
        </w:rPr>
        <w:t>Dolní</w:t>
      </w:r>
      <w:proofErr w:type="spellEnd"/>
      <w:r w:rsidRPr="000049B6">
        <w:rPr>
          <w:rFonts w:cstheme="minorHAnsi"/>
          <w:lang w:val="en-US"/>
        </w:rPr>
        <w:t xml:space="preserve"> </w:t>
      </w:r>
      <w:proofErr w:type="spellStart"/>
      <w:r w:rsidRPr="000049B6">
        <w:rPr>
          <w:rFonts w:cstheme="minorHAnsi"/>
          <w:lang w:val="en-US"/>
        </w:rPr>
        <w:t>Poustevna</w:t>
      </w:r>
      <w:proofErr w:type="spellEnd"/>
      <w:r w:rsidRPr="000049B6">
        <w:rPr>
          <w:rFonts w:cstheme="minorHAnsi"/>
          <w:lang w:val="en-US"/>
        </w:rPr>
        <w:t xml:space="preserve">; </w:t>
      </w:r>
      <w:proofErr w:type="spellStart"/>
      <w:r w:rsidRPr="000049B6">
        <w:rPr>
          <w:rFonts w:cstheme="minorHAnsi"/>
          <w:lang w:val="en-US"/>
        </w:rPr>
        <w:t>Jirkov</w:t>
      </w:r>
      <w:proofErr w:type="spellEnd"/>
      <w:r w:rsidRPr="000049B6">
        <w:rPr>
          <w:rFonts w:cstheme="minorHAnsi"/>
          <w:lang w:val="en-US"/>
        </w:rPr>
        <w:t xml:space="preserve">, Most; </w:t>
      </w:r>
      <w:proofErr w:type="spellStart"/>
      <w:r w:rsidRPr="000049B6">
        <w:rPr>
          <w:rFonts w:cstheme="minorHAnsi"/>
          <w:lang w:val="en-US"/>
        </w:rPr>
        <w:t>z.s</w:t>
      </w:r>
      <w:proofErr w:type="spellEnd"/>
      <w:r w:rsidRPr="000049B6">
        <w:rPr>
          <w:rFonts w:cstheme="minorHAnsi"/>
          <w:lang w:val="en-US"/>
        </w:rPr>
        <w:t>.</w:t>
      </w:r>
    </w:p>
    <w:p w14:paraId="1073FC72" w14:textId="77777777" w:rsidR="000049B6" w:rsidRDefault="000049B6">
      <w:pPr>
        <w:rPr>
          <w:rFonts w:cstheme="minorHAnsi"/>
          <w:lang w:val="en-US"/>
        </w:rPr>
      </w:pPr>
      <w:r>
        <w:rPr>
          <w:rFonts w:cstheme="minorHAnsi"/>
          <w:lang w:val="en-US"/>
        </w:rPr>
        <w:br w:type="page"/>
      </w:r>
    </w:p>
    <w:p w14:paraId="713613A6" w14:textId="2C5E0B5B" w:rsidR="000049B6" w:rsidRDefault="000049B6" w:rsidP="002B730F">
      <w:pPr>
        <w:spacing w:line="264" w:lineRule="auto"/>
        <w:ind w:left="-567" w:right="-569"/>
        <w:jc w:val="both"/>
        <w:rPr>
          <w:rFonts w:cstheme="minorHAnsi"/>
          <w:lang w:val="en-US"/>
        </w:rPr>
      </w:pPr>
      <w:r>
        <w:rPr>
          <w:rFonts w:cstheme="minorHAnsi"/>
          <w:noProof/>
          <w:lang w:eastAsia="cs-CZ"/>
        </w:rPr>
        <w:lastRenderedPageBreak/>
        <w:drawing>
          <wp:inline distT="0" distB="0" distL="0" distR="0" wp14:anchorId="01567B09" wp14:editId="6024E004">
            <wp:extent cx="6438696" cy="8696353"/>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Z 18_20 Crime prevention - Key facts str.2.png"/>
                    <pic:cNvPicPr/>
                  </pic:nvPicPr>
                  <pic:blipFill rotWithShape="1">
                    <a:blip r:embed="rId12" cstate="print">
                      <a:extLst>
                        <a:ext uri="{28A0092B-C50C-407E-A947-70E740481C1C}">
                          <a14:useLocalDpi xmlns:a14="http://schemas.microsoft.com/office/drawing/2010/main" val="0"/>
                        </a:ext>
                      </a:extLst>
                    </a:blip>
                    <a:srcRect t="4511"/>
                    <a:stretch/>
                  </pic:blipFill>
                  <pic:spPr bwMode="auto">
                    <a:xfrm>
                      <a:off x="0" y="0"/>
                      <a:ext cx="6442215" cy="8701105"/>
                    </a:xfrm>
                    <a:prstGeom prst="rect">
                      <a:avLst/>
                    </a:prstGeom>
                    <a:ln>
                      <a:noFill/>
                    </a:ln>
                    <a:extLst>
                      <a:ext uri="{53640926-AAD7-44D8-BBD7-CCE9431645EC}">
                        <a14:shadowObscured xmlns:a14="http://schemas.microsoft.com/office/drawing/2010/main"/>
                      </a:ext>
                    </a:extLst>
                  </pic:spPr>
                </pic:pic>
              </a:graphicData>
            </a:graphic>
          </wp:inline>
        </w:drawing>
      </w:r>
    </w:p>
    <w:p w14:paraId="1CA58D94" w14:textId="77777777" w:rsidR="000049B6" w:rsidRPr="004972B3" w:rsidRDefault="000049B6" w:rsidP="000049B6">
      <w:pPr>
        <w:pStyle w:val="Nadpis1"/>
        <w:numPr>
          <w:ilvl w:val="0"/>
          <w:numId w:val="0"/>
        </w:numPr>
        <w:spacing w:before="120" w:after="120"/>
        <w:ind w:left="431" w:hanging="431"/>
        <w:jc w:val="center"/>
        <w:rPr>
          <w:sz w:val="24"/>
        </w:rPr>
      </w:pPr>
      <w:r w:rsidRPr="004972B3">
        <w:rPr>
          <w:sz w:val="24"/>
        </w:rPr>
        <w:lastRenderedPageBreak/>
        <w:t xml:space="preserve">I. </w:t>
      </w:r>
      <w:r w:rsidRPr="004972B3">
        <w:rPr>
          <w:rFonts w:eastAsia="Times New Roman"/>
          <w:sz w:val="24"/>
          <w:lang w:val="en" w:eastAsia="cs-CZ"/>
        </w:rPr>
        <w:t>Summary and Evaluation</w:t>
      </w:r>
    </w:p>
    <w:p w14:paraId="1635208A" w14:textId="77777777" w:rsidR="000049B6" w:rsidRPr="004972B3" w:rsidRDefault="000049B6" w:rsidP="000049B6">
      <w:pPr>
        <w:spacing w:before="120" w:after="120"/>
        <w:rPr>
          <w:rFonts w:eastAsia="Times New Roman" w:cstheme="minorHAnsi"/>
          <w:lang w:eastAsia="cs-CZ"/>
        </w:rPr>
      </w:pPr>
      <w:r w:rsidRPr="004972B3">
        <w:rPr>
          <w:rFonts w:eastAsia="Times New Roman" w:cstheme="minorHAnsi"/>
          <w:lang w:val="en" w:eastAsia="cs-CZ"/>
        </w:rPr>
        <w:t>The SAO carried out an audit of funds intended for crime prevention in order to verify the provision, use and benefits from support provided to meet the objectives in this area.</w:t>
      </w:r>
    </w:p>
    <w:p w14:paraId="0F2E0356" w14:textId="77777777" w:rsidR="000049B6" w:rsidRPr="004972B3" w:rsidRDefault="000049B6" w:rsidP="000049B6">
      <w:pPr>
        <w:pStyle w:val="Text"/>
        <w:spacing w:after="120"/>
        <w:rPr>
          <w:bCs/>
          <w:lang w:val="en" w:eastAsia="cs-CZ"/>
        </w:rPr>
      </w:pPr>
      <w:r w:rsidRPr="004972B3">
        <w:rPr>
          <w:bCs/>
          <w:lang w:val="en" w:eastAsia="cs-CZ"/>
        </w:rPr>
        <w:t xml:space="preserve">The </w:t>
      </w:r>
      <w:proofErr w:type="spellStart"/>
      <w:r w:rsidRPr="004972B3">
        <w:rPr>
          <w:bCs/>
          <w:lang w:val="en" w:eastAsia="cs-CZ"/>
        </w:rPr>
        <w:t>MoI</w:t>
      </w:r>
      <w:proofErr w:type="spellEnd"/>
      <w:r w:rsidRPr="004972B3">
        <w:rPr>
          <w:bCs/>
          <w:lang w:val="en" w:eastAsia="cs-CZ"/>
        </w:rPr>
        <w:t xml:space="preserve">, </w:t>
      </w:r>
      <w:proofErr w:type="spellStart"/>
      <w:r w:rsidRPr="004972B3">
        <w:rPr>
          <w:bCs/>
          <w:lang w:val="en" w:eastAsia="cs-CZ"/>
        </w:rPr>
        <w:t>MoJ</w:t>
      </w:r>
      <w:proofErr w:type="spellEnd"/>
      <w:r w:rsidRPr="004972B3">
        <w:rPr>
          <w:bCs/>
          <w:lang w:val="en" w:eastAsia="cs-CZ"/>
        </w:rPr>
        <w:t xml:space="preserve"> and </w:t>
      </w:r>
      <w:proofErr w:type="spellStart"/>
      <w:r w:rsidRPr="004972B3">
        <w:rPr>
          <w:bCs/>
          <w:lang w:val="en" w:eastAsia="cs-CZ"/>
        </w:rPr>
        <w:t>MoD</w:t>
      </w:r>
      <w:proofErr w:type="spellEnd"/>
      <w:r w:rsidRPr="004972B3">
        <w:rPr>
          <w:bCs/>
          <w:lang w:val="en" w:eastAsia="cs-CZ"/>
        </w:rPr>
        <w:t xml:space="preserve"> did not mostly set measurable targets that are supposed to be achieved when providing support for crime prevention. </w:t>
      </w:r>
    </w:p>
    <w:p w14:paraId="7342AC5E" w14:textId="77777777" w:rsidR="000049B6" w:rsidRPr="004972B3" w:rsidRDefault="000049B6" w:rsidP="000049B6">
      <w:pPr>
        <w:pStyle w:val="Text"/>
        <w:spacing w:after="120"/>
        <w:rPr>
          <w:bCs/>
          <w:lang w:eastAsia="cs-CZ"/>
        </w:rPr>
      </w:pPr>
      <w:r w:rsidRPr="004972B3">
        <w:rPr>
          <w:bCs/>
          <w:lang w:val="en" w:eastAsia="cs-CZ"/>
        </w:rPr>
        <w:t xml:space="preserve">The </w:t>
      </w:r>
      <w:proofErr w:type="spellStart"/>
      <w:r w:rsidRPr="004972B3">
        <w:rPr>
          <w:bCs/>
          <w:lang w:val="en" w:eastAsia="cs-CZ"/>
        </w:rPr>
        <w:t>MoI</w:t>
      </w:r>
      <w:proofErr w:type="spellEnd"/>
      <w:r w:rsidRPr="004972B3">
        <w:rPr>
          <w:bCs/>
          <w:lang w:val="en" w:eastAsia="cs-CZ"/>
        </w:rPr>
        <w:t xml:space="preserve">, </w:t>
      </w:r>
      <w:proofErr w:type="spellStart"/>
      <w:r w:rsidRPr="004972B3">
        <w:rPr>
          <w:bCs/>
          <w:lang w:val="en" w:eastAsia="cs-CZ"/>
        </w:rPr>
        <w:t>MoJ</w:t>
      </w:r>
      <w:proofErr w:type="spellEnd"/>
      <w:r w:rsidRPr="004972B3">
        <w:rPr>
          <w:bCs/>
          <w:lang w:val="en" w:eastAsia="cs-CZ"/>
        </w:rPr>
        <w:t xml:space="preserve"> and </w:t>
      </w:r>
      <w:proofErr w:type="spellStart"/>
      <w:r w:rsidRPr="004972B3">
        <w:rPr>
          <w:bCs/>
          <w:lang w:val="en" w:eastAsia="cs-CZ"/>
        </w:rPr>
        <w:t>MoD</w:t>
      </w:r>
      <w:proofErr w:type="spellEnd"/>
      <w:r w:rsidRPr="004972B3">
        <w:rPr>
          <w:bCs/>
          <w:lang w:val="en" w:eastAsia="cs-CZ"/>
        </w:rPr>
        <w:t xml:space="preserve"> also did not set measurable indicators for the evaluation of individual projects in the provision and use of funds. Thus, the currently set system does not allow to quantify the benefits from support provided to meet the objectives of crime prevention. The</w:t>
      </w:r>
      <w:r>
        <w:rPr>
          <w:bCs/>
          <w:lang w:val="en" w:eastAsia="cs-CZ"/>
        </w:rPr>
        <w:t> </w:t>
      </w:r>
      <w:r w:rsidRPr="004972B3">
        <w:rPr>
          <w:bCs/>
          <w:lang w:val="en" w:eastAsia="cs-CZ"/>
        </w:rPr>
        <w:t>SAO did not identify that the providers of funds used founds for other purposes than those specified in the program documentation.</w:t>
      </w:r>
    </w:p>
    <w:p w14:paraId="5FDB7FD8" w14:textId="77777777" w:rsidR="000049B6" w:rsidRPr="004972B3" w:rsidRDefault="000049B6" w:rsidP="000049B6">
      <w:pPr>
        <w:pStyle w:val="Text"/>
        <w:spacing w:after="120"/>
        <w:rPr>
          <w:b/>
          <w:bCs/>
          <w:highlight w:val="yellow"/>
          <w:lang w:eastAsia="cs-CZ"/>
        </w:rPr>
      </w:pPr>
    </w:p>
    <w:p w14:paraId="02C45851" w14:textId="77777777" w:rsidR="000049B6" w:rsidRPr="004972B3" w:rsidRDefault="000049B6" w:rsidP="000049B6">
      <w:pPr>
        <w:pStyle w:val="Text"/>
        <w:spacing w:after="120"/>
        <w:rPr>
          <w:b/>
          <w:bCs/>
          <w:color w:val="000000" w:themeColor="text1"/>
          <w:lang w:eastAsia="cs-CZ"/>
        </w:rPr>
      </w:pPr>
      <w:r w:rsidRPr="004972B3">
        <w:rPr>
          <w:b/>
          <w:bCs/>
          <w:color w:val="000000" w:themeColor="text1"/>
          <w:lang w:val="en" w:eastAsia="cs-CZ"/>
        </w:rPr>
        <w:t>The SAO found during the audit the following:</w:t>
      </w:r>
    </w:p>
    <w:p w14:paraId="417CBC8B" w14:textId="77777777" w:rsidR="000049B6" w:rsidRPr="004972B3" w:rsidRDefault="000049B6" w:rsidP="000049B6">
      <w:pPr>
        <w:pStyle w:val="Odstavecseseznamem"/>
        <w:numPr>
          <w:ilvl w:val="0"/>
          <w:numId w:val="34"/>
        </w:numPr>
        <w:spacing w:before="120" w:after="120"/>
        <w:ind w:left="357" w:hanging="357"/>
        <w:contextualSpacing w:val="0"/>
        <w:jc w:val="both"/>
        <w:rPr>
          <w:rFonts w:cstheme="minorHAnsi"/>
          <w:color w:val="000000" w:themeColor="text1"/>
          <w:lang w:val="en"/>
        </w:rPr>
      </w:pPr>
      <w:r w:rsidRPr="004972B3">
        <w:rPr>
          <w:rFonts w:cstheme="minorHAnsi"/>
          <w:color w:val="000000" w:themeColor="text1"/>
          <w:lang w:val="en-GB"/>
        </w:rPr>
        <w:t xml:space="preserve">The </w:t>
      </w:r>
      <w:proofErr w:type="spellStart"/>
      <w:r w:rsidRPr="004972B3">
        <w:rPr>
          <w:rFonts w:cstheme="minorHAnsi"/>
          <w:color w:val="000000" w:themeColor="text1"/>
          <w:lang w:val="en-GB"/>
        </w:rPr>
        <w:t>MoI</w:t>
      </w:r>
      <w:proofErr w:type="spellEnd"/>
      <w:r w:rsidRPr="004972B3">
        <w:rPr>
          <w:rFonts w:cstheme="minorHAnsi"/>
          <w:color w:val="000000" w:themeColor="text1"/>
          <w:lang w:val="en-GB"/>
        </w:rPr>
        <w:t xml:space="preserve"> has taken over the objectives and priorities of strategic crime prevention into the documents of the Local Crime Prevention Programme (</w:t>
      </w:r>
      <w:r>
        <w:rPr>
          <w:rFonts w:cstheme="minorHAnsi"/>
          <w:color w:val="000000" w:themeColor="text1"/>
          <w:lang w:val="en-GB"/>
        </w:rPr>
        <w:t>the PK Programme</w:t>
      </w:r>
      <w:r w:rsidRPr="004972B3">
        <w:rPr>
          <w:rFonts w:cstheme="minorHAnsi"/>
          <w:color w:val="000000" w:themeColor="text1"/>
          <w:lang w:val="en-GB"/>
        </w:rPr>
        <w:t xml:space="preserve">) only generally and has not set expected benefits from the support provided. The </w:t>
      </w:r>
      <w:proofErr w:type="spellStart"/>
      <w:r w:rsidRPr="004972B3">
        <w:rPr>
          <w:rFonts w:cstheme="minorHAnsi"/>
          <w:color w:val="000000" w:themeColor="text1"/>
          <w:lang w:val="en-GB"/>
        </w:rPr>
        <w:t>MoJ</w:t>
      </w:r>
      <w:proofErr w:type="spellEnd"/>
      <w:r w:rsidRPr="004972B3">
        <w:rPr>
          <w:rFonts w:cstheme="minorHAnsi"/>
          <w:color w:val="000000" w:themeColor="text1"/>
          <w:lang w:val="en-GB"/>
        </w:rPr>
        <w:t xml:space="preserve"> did not create a sectoral crime prevention strategy and did not set measurable targets and expected benefits from the support provided </w:t>
      </w:r>
      <w:r w:rsidRPr="004972B3">
        <w:rPr>
          <w:rFonts w:cstheme="minorHAnsi"/>
          <w:vertAlign w:val="superscript"/>
          <w:lang w:val="en-GB"/>
        </w:rPr>
        <w:footnoteReference w:id="2"/>
      </w:r>
      <w:r w:rsidRPr="004972B3">
        <w:rPr>
          <w:rFonts w:cstheme="minorHAnsi"/>
          <w:color w:val="000000" w:themeColor="text1"/>
          <w:lang w:val="en-GB"/>
        </w:rPr>
        <w:t>. In the 2015 –2019 Concept of Primary Prevention of Risk Behaviour of the Ministry of Defence Staff, the MoD set only general objectives and priorities, without measurable</w:t>
      </w:r>
      <w:r w:rsidRPr="004972B3">
        <w:rPr>
          <w:rFonts w:cstheme="minorHAnsi"/>
          <w:color w:val="000000" w:themeColor="text1"/>
          <w:lang w:val="en"/>
        </w:rPr>
        <w:t xml:space="preserve"> expected benefits.</w:t>
      </w:r>
    </w:p>
    <w:p w14:paraId="695A0546" w14:textId="77777777" w:rsidR="000049B6" w:rsidRPr="004972B3" w:rsidRDefault="000049B6" w:rsidP="000049B6">
      <w:pPr>
        <w:spacing w:before="120" w:after="120"/>
        <w:jc w:val="both"/>
        <w:rPr>
          <w:rFonts w:cstheme="minorHAnsi"/>
          <w:color w:val="000000" w:themeColor="text1"/>
          <w:lang w:eastAsia="cs-CZ"/>
        </w:rPr>
      </w:pPr>
    </w:p>
    <w:p w14:paraId="3D894B09" w14:textId="77777777" w:rsidR="000049B6" w:rsidRPr="004972B3" w:rsidRDefault="000049B6" w:rsidP="000049B6">
      <w:pPr>
        <w:pStyle w:val="Odstavecseseznamem"/>
        <w:numPr>
          <w:ilvl w:val="0"/>
          <w:numId w:val="34"/>
        </w:numPr>
        <w:spacing w:before="120" w:after="120"/>
        <w:ind w:left="357" w:hanging="357"/>
        <w:contextualSpacing w:val="0"/>
        <w:jc w:val="both"/>
        <w:rPr>
          <w:rFonts w:cstheme="minorHAnsi"/>
          <w:color w:val="000000" w:themeColor="text1"/>
        </w:rPr>
      </w:pPr>
      <w:r w:rsidRPr="004972B3">
        <w:rPr>
          <w:rFonts w:cstheme="minorHAnsi"/>
          <w:color w:val="000000" w:themeColor="text1"/>
          <w:lang w:val="en"/>
        </w:rPr>
        <w:t xml:space="preserve">The </w:t>
      </w:r>
      <w:proofErr w:type="spellStart"/>
      <w:r w:rsidRPr="004972B3">
        <w:rPr>
          <w:rFonts w:cstheme="minorHAnsi"/>
          <w:color w:val="000000" w:themeColor="text1"/>
          <w:lang w:val="en"/>
        </w:rPr>
        <w:t>MoI</w:t>
      </w:r>
      <w:proofErr w:type="spellEnd"/>
      <w:r w:rsidRPr="004972B3">
        <w:rPr>
          <w:rFonts w:cstheme="minorHAnsi"/>
          <w:color w:val="000000" w:themeColor="text1"/>
          <w:lang w:val="en"/>
        </w:rPr>
        <w:t xml:space="preserve"> and </w:t>
      </w:r>
      <w:proofErr w:type="spellStart"/>
      <w:r w:rsidRPr="004972B3">
        <w:rPr>
          <w:rFonts w:cstheme="minorHAnsi"/>
          <w:color w:val="000000" w:themeColor="text1"/>
          <w:lang w:val="en"/>
        </w:rPr>
        <w:t>MoJ</w:t>
      </w:r>
      <w:proofErr w:type="spellEnd"/>
      <w:r w:rsidRPr="004972B3">
        <w:rPr>
          <w:rFonts w:cstheme="minorHAnsi"/>
          <w:color w:val="000000" w:themeColor="text1"/>
          <w:lang w:val="en"/>
        </w:rPr>
        <w:t xml:space="preserve"> did not define unified measurable criteria and indicators of success in their decisions awarding grants, which would enable to evaluate the expected benefits of the provided support.</w:t>
      </w:r>
      <w:r w:rsidRPr="004972B3">
        <w:rPr>
          <w:rStyle w:val="Znakapoznpodarou"/>
          <w:rFonts w:cstheme="minorHAnsi"/>
          <w:color w:val="000000" w:themeColor="text1"/>
        </w:rPr>
        <w:footnoteReference w:id="3"/>
      </w:r>
      <w:r w:rsidRPr="004972B3">
        <w:rPr>
          <w:rFonts w:cstheme="minorHAnsi"/>
          <w:color w:val="000000" w:themeColor="text1"/>
        </w:rPr>
        <w:t xml:space="preserve"> </w:t>
      </w:r>
      <w:r w:rsidRPr="004972B3">
        <w:rPr>
          <w:rFonts w:cstheme="minorHAnsi"/>
          <w:color w:val="000000" w:themeColor="text1"/>
          <w:lang w:val="en"/>
        </w:rPr>
        <w:t xml:space="preserve">The beneficiaries themselves set the criteria and indicators of success in their subsidy applications, but often not measurable. But even when criteria had been </w:t>
      </w:r>
      <w:r>
        <w:rPr>
          <w:rFonts w:cstheme="minorHAnsi"/>
          <w:color w:val="000000" w:themeColor="text1"/>
          <w:lang w:val="en"/>
        </w:rPr>
        <w:t xml:space="preserve">set </w:t>
      </w:r>
      <w:r w:rsidRPr="004972B3">
        <w:rPr>
          <w:rFonts w:cstheme="minorHAnsi"/>
          <w:color w:val="000000" w:themeColor="text1"/>
          <w:lang w:val="en"/>
        </w:rPr>
        <w:t>measurable, they were often evaluated only verbally without using measurable data after project implementation.</w:t>
      </w:r>
    </w:p>
    <w:p w14:paraId="571074BB" w14:textId="77777777" w:rsidR="000049B6" w:rsidRPr="004972B3" w:rsidRDefault="000049B6" w:rsidP="000049B6">
      <w:pPr>
        <w:pStyle w:val="Odstavecseseznamem"/>
        <w:spacing w:before="120" w:after="120"/>
        <w:contextualSpacing w:val="0"/>
        <w:rPr>
          <w:rFonts w:cstheme="minorHAnsi"/>
          <w:color w:val="000000" w:themeColor="text1"/>
        </w:rPr>
      </w:pPr>
    </w:p>
    <w:p w14:paraId="2D5B0952" w14:textId="77777777" w:rsidR="000049B6" w:rsidRPr="004972B3" w:rsidRDefault="000049B6" w:rsidP="000049B6">
      <w:pPr>
        <w:pStyle w:val="Odstavecseseznamem"/>
        <w:numPr>
          <w:ilvl w:val="0"/>
          <w:numId w:val="34"/>
        </w:numPr>
        <w:spacing w:before="120" w:after="120"/>
        <w:ind w:left="357" w:hanging="357"/>
        <w:contextualSpacing w:val="0"/>
        <w:jc w:val="both"/>
        <w:rPr>
          <w:rFonts w:cstheme="minorHAnsi"/>
          <w:color w:val="000000" w:themeColor="text1"/>
          <w:lang w:val="en-GB"/>
        </w:rPr>
      </w:pPr>
      <w:r w:rsidRPr="004972B3">
        <w:rPr>
          <w:rFonts w:cstheme="minorHAnsi"/>
          <w:color w:val="000000" w:themeColor="text1"/>
          <w:lang w:val="en-GB"/>
        </w:rPr>
        <w:t xml:space="preserve">During the audited period, the </w:t>
      </w:r>
      <w:proofErr w:type="spellStart"/>
      <w:r w:rsidRPr="004972B3">
        <w:rPr>
          <w:rFonts w:cstheme="minorHAnsi"/>
          <w:color w:val="000000" w:themeColor="text1"/>
          <w:lang w:val="en-GB"/>
        </w:rPr>
        <w:t>MoJ</w:t>
      </w:r>
      <w:proofErr w:type="spellEnd"/>
      <w:r w:rsidRPr="004972B3">
        <w:rPr>
          <w:rFonts w:cstheme="minorHAnsi"/>
          <w:color w:val="000000" w:themeColor="text1"/>
          <w:lang w:val="en-GB"/>
        </w:rPr>
        <w:t xml:space="preserve"> did not support two of the five funding priorities (Programmes for Dangerous Drivers and Programmes for Increasing Parental Responsibility) of the Grant for Development of Probation and Resocialization Programmes for Adult Offenders ("PRDP"). One of the causes was the low </w:t>
      </w:r>
      <w:proofErr w:type="spellStart"/>
      <w:r w:rsidRPr="004972B3">
        <w:rPr>
          <w:rFonts w:cstheme="minorHAnsi"/>
          <w:color w:val="000000" w:themeColor="text1"/>
          <w:lang w:val="en-GB"/>
        </w:rPr>
        <w:t>MoJ</w:t>
      </w:r>
      <w:proofErr w:type="spellEnd"/>
      <w:r w:rsidRPr="004972B3">
        <w:rPr>
          <w:rFonts w:cstheme="minorHAnsi"/>
          <w:color w:val="000000" w:themeColor="text1"/>
          <w:lang w:val="en-GB"/>
        </w:rPr>
        <w:t xml:space="preserve"> activity aimed at promoting programmes. At the same time, due to low applicants' interest in supported priorities, the </w:t>
      </w:r>
      <w:proofErr w:type="spellStart"/>
      <w:r w:rsidRPr="004972B3">
        <w:rPr>
          <w:rFonts w:cstheme="minorHAnsi"/>
          <w:color w:val="000000" w:themeColor="text1"/>
          <w:lang w:val="en-GB"/>
        </w:rPr>
        <w:t>MoJ</w:t>
      </w:r>
      <w:proofErr w:type="spellEnd"/>
      <w:r w:rsidRPr="004972B3">
        <w:rPr>
          <w:rFonts w:cstheme="minorHAnsi"/>
          <w:color w:val="000000" w:themeColor="text1"/>
          <w:lang w:val="en-GB"/>
        </w:rPr>
        <w:t xml:space="preserve"> approved all submitted grant applications and at the same time provided most of the support for two projects implemented by the same non-profit organization.</w:t>
      </w:r>
    </w:p>
    <w:p w14:paraId="18814B09" w14:textId="77777777" w:rsidR="000049B6" w:rsidRPr="004972B3" w:rsidRDefault="000049B6" w:rsidP="000049B6">
      <w:pPr>
        <w:pStyle w:val="Odstavecseseznamem"/>
        <w:numPr>
          <w:ilvl w:val="0"/>
          <w:numId w:val="34"/>
        </w:numPr>
        <w:spacing w:before="120" w:after="120"/>
        <w:contextualSpacing w:val="0"/>
        <w:jc w:val="both"/>
        <w:rPr>
          <w:rFonts w:eastAsia="Times New Roman" w:cstheme="minorHAnsi"/>
          <w:lang w:val="en-GB" w:eastAsia="cs-CZ"/>
        </w:rPr>
      </w:pPr>
      <w:r w:rsidRPr="004972B3">
        <w:rPr>
          <w:rFonts w:cstheme="minorHAnsi"/>
          <w:color w:val="000000" w:themeColor="text1"/>
          <w:lang w:val="en-GB"/>
        </w:rPr>
        <w:lastRenderedPageBreak/>
        <w:t xml:space="preserve">The </w:t>
      </w:r>
      <w:proofErr w:type="spellStart"/>
      <w:r w:rsidRPr="004972B3">
        <w:rPr>
          <w:rFonts w:cstheme="minorHAnsi"/>
          <w:color w:val="000000" w:themeColor="text1"/>
          <w:lang w:val="en-GB"/>
        </w:rPr>
        <w:t>MoI</w:t>
      </w:r>
      <w:proofErr w:type="spellEnd"/>
      <w:r w:rsidRPr="004972B3">
        <w:rPr>
          <w:rFonts w:cstheme="minorHAnsi"/>
          <w:color w:val="000000" w:themeColor="text1"/>
          <w:lang w:val="en-GB"/>
        </w:rPr>
        <w:t xml:space="preserve">, </w:t>
      </w:r>
      <w:proofErr w:type="spellStart"/>
      <w:r w:rsidRPr="004972B3">
        <w:rPr>
          <w:rFonts w:cstheme="minorHAnsi"/>
          <w:color w:val="000000" w:themeColor="text1"/>
          <w:lang w:val="en-GB"/>
        </w:rPr>
        <w:t>MoJ</w:t>
      </w:r>
      <w:proofErr w:type="spellEnd"/>
      <w:r w:rsidRPr="004972B3">
        <w:rPr>
          <w:rFonts w:cstheme="minorHAnsi"/>
          <w:color w:val="000000" w:themeColor="text1"/>
          <w:lang w:val="en-GB"/>
        </w:rPr>
        <w:t xml:space="preserve"> and MoD did not evaluate the benefits of supporting crime prevention programmes. The reason was the absence of specific measurable anticipated results and uniform criteria and indicators of success</w:t>
      </w:r>
      <w:r w:rsidRPr="004972B3">
        <w:rPr>
          <w:rFonts w:eastAsia="Times New Roman" w:cstheme="minorHAnsi"/>
          <w:lang w:val="en-GB" w:eastAsia="cs-CZ"/>
        </w:rPr>
        <w:t>.</w:t>
      </w:r>
    </w:p>
    <w:p w14:paraId="33284D3F" w14:textId="77777777" w:rsidR="000049B6" w:rsidRPr="004972B3" w:rsidRDefault="000049B6" w:rsidP="000049B6">
      <w:pPr>
        <w:pStyle w:val="Odstavecseseznamem"/>
        <w:numPr>
          <w:ilvl w:val="0"/>
          <w:numId w:val="34"/>
        </w:numPr>
        <w:spacing w:before="120" w:after="120"/>
        <w:ind w:hanging="357"/>
        <w:contextualSpacing w:val="0"/>
        <w:jc w:val="both"/>
        <w:rPr>
          <w:rFonts w:eastAsia="Times New Roman" w:cstheme="minorHAnsi"/>
          <w:lang w:val="en-GB" w:eastAsia="cs-CZ"/>
        </w:rPr>
      </w:pPr>
      <w:r w:rsidRPr="004972B3">
        <w:rPr>
          <w:rFonts w:eastAsia="Times New Roman" w:cstheme="minorHAnsi"/>
          <w:lang w:val="en-GB" w:eastAsia="cs-CZ"/>
        </w:rPr>
        <w:t xml:space="preserve">The </w:t>
      </w:r>
      <w:proofErr w:type="spellStart"/>
      <w:r w:rsidRPr="004972B3">
        <w:rPr>
          <w:rFonts w:eastAsia="Times New Roman" w:cstheme="minorHAnsi"/>
          <w:lang w:val="en-GB" w:eastAsia="cs-CZ"/>
        </w:rPr>
        <w:t>MoI</w:t>
      </w:r>
      <w:proofErr w:type="spellEnd"/>
      <w:r w:rsidRPr="004972B3">
        <w:rPr>
          <w:rFonts w:eastAsia="Times New Roman" w:cstheme="minorHAnsi"/>
          <w:lang w:val="en-GB" w:eastAsia="cs-CZ"/>
        </w:rPr>
        <w:t xml:space="preserve"> did not direct the funds of the PK Programme to regions with the highest number of crimes per thousand inhabitants or the highest </w:t>
      </w:r>
      <w:r w:rsidRPr="004972B3">
        <w:rPr>
          <w:rFonts w:eastAsia="Times New Roman" w:cstheme="minorHAnsi"/>
          <w:i/>
          <w:lang w:val="en-GB" w:eastAsia="cs-CZ"/>
        </w:rPr>
        <w:t>risk index of regions</w:t>
      </w:r>
      <w:r w:rsidRPr="004972B3">
        <w:rPr>
          <w:rFonts w:eastAsia="Times New Roman" w:cstheme="minorHAnsi"/>
          <w:lang w:val="en-GB" w:eastAsia="cs-CZ"/>
        </w:rPr>
        <w:t>.</w:t>
      </w:r>
      <w:r w:rsidRPr="004972B3">
        <w:rPr>
          <w:rStyle w:val="Znakapoznpodarou"/>
          <w:rFonts w:eastAsia="Calibri" w:cstheme="minorHAnsi"/>
          <w:color w:val="000000" w:themeColor="text1"/>
          <w:lang w:val="en-GB"/>
        </w:rPr>
        <w:footnoteReference w:id="4"/>
      </w:r>
      <w:r w:rsidRPr="004972B3">
        <w:rPr>
          <w:rFonts w:eastAsia="Calibri" w:cstheme="minorHAnsi"/>
          <w:color w:val="000000" w:themeColor="text1"/>
          <w:lang w:val="en-GB"/>
        </w:rPr>
        <w:t xml:space="preserve">. The </w:t>
      </w:r>
      <w:proofErr w:type="spellStart"/>
      <w:r w:rsidRPr="004972B3">
        <w:rPr>
          <w:rFonts w:eastAsia="Times New Roman" w:cstheme="minorHAnsi"/>
          <w:lang w:val="en-GB" w:eastAsia="cs-CZ"/>
        </w:rPr>
        <w:t>MoJ</w:t>
      </w:r>
      <w:proofErr w:type="spellEnd"/>
      <w:r w:rsidRPr="004972B3">
        <w:rPr>
          <w:rFonts w:eastAsia="Times New Roman" w:cstheme="minorHAnsi"/>
          <w:lang w:val="en-GB" w:eastAsia="cs-CZ"/>
        </w:rPr>
        <w:t xml:space="preserve"> did not reach the planned number of clients involved in about half of the probation programme projects. The MoD </w:t>
      </w:r>
      <w:r>
        <w:rPr>
          <w:rFonts w:eastAsia="Times New Roman" w:cstheme="minorHAnsi"/>
          <w:lang w:val="en-GB" w:eastAsia="cs-CZ"/>
        </w:rPr>
        <w:t>spent</w:t>
      </w:r>
      <w:r w:rsidRPr="004972B3">
        <w:rPr>
          <w:rFonts w:eastAsia="Times New Roman" w:cstheme="minorHAnsi"/>
          <w:lang w:val="en-GB" w:eastAsia="cs-CZ"/>
        </w:rPr>
        <w:t xml:space="preserve"> the vast majority of funds from t</w:t>
      </w:r>
      <w:r>
        <w:rPr>
          <w:rFonts w:eastAsia="Times New Roman" w:cstheme="minorHAnsi"/>
          <w:lang w:val="en-GB" w:eastAsia="cs-CZ"/>
        </w:rPr>
        <w:t>he Crime Prevention Programme on</w:t>
      </w:r>
      <w:r w:rsidRPr="004972B3">
        <w:rPr>
          <w:rFonts w:eastAsia="Times New Roman" w:cstheme="minorHAnsi"/>
          <w:lang w:val="en-GB" w:eastAsia="cs-CZ"/>
        </w:rPr>
        <w:t xml:space="preserve"> leisur</w:t>
      </w:r>
      <w:r>
        <w:rPr>
          <w:rFonts w:eastAsia="Times New Roman" w:cstheme="minorHAnsi"/>
          <w:lang w:val="en-GB" w:eastAsia="cs-CZ"/>
        </w:rPr>
        <w:t>e activities as sporting and cultural activities</w:t>
      </w:r>
      <w:r w:rsidRPr="004972B3">
        <w:rPr>
          <w:rFonts w:eastAsia="Times New Roman" w:cstheme="minorHAnsi"/>
          <w:lang w:val="en-GB" w:eastAsia="cs-CZ"/>
        </w:rPr>
        <w:t xml:space="preserve">. </w:t>
      </w:r>
      <w:r w:rsidRPr="004972B3">
        <w:rPr>
          <w:rStyle w:val="Znakapoznpodarou"/>
          <w:rFonts w:cstheme="minorHAnsi"/>
          <w:lang w:val="en-GB"/>
        </w:rPr>
        <w:footnoteReference w:id="5"/>
      </w:r>
      <w:r w:rsidRPr="004972B3">
        <w:rPr>
          <w:rFonts w:cstheme="minorHAnsi"/>
          <w:lang w:val="en-GB"/>
        </w:rPr>
        <w:t xml:space="preserve">. </w:t>
      </w:r>
      <w:r w:rsidRPr="004972B3">
        <w:rPr>
          <w:rFonts w:eastAsia="Times New Roman" w:cstheme="minorHAnsi"/>
          <w:lang w:val="en-GB" w:eastAsia="cs-CZ"/>
        </w:rPr>
        <w:t>Only one-eighth of their volume was devoted to educational activities.</w:t>
      </w:r>
    </w:p>
    <w:p w14:paraId="2C282D79" w14:textId="77777777" w:rsidR="000049B6" w:rsidRPr="00DA506A" w:rsidRDefault="000049B6" w:rsidP="000049B6">
      <w:pPr>
        <w:spacing w:before="120" w:after="120"/>
        <w:rPr>
          <w:rFonts w:eastAsia="Times New Roman" w:cstheme="minorHAnsi"/>
          <w:b/>
          <w:lang w:val="en-GB" w:eastAsia="cs-CZ"/>
        </w:rPr>
      </w:pPr>
      <w:r w:rsidRPr="00DA506A">
        <w:rPr>
          <w:rFonts w:eastAsia="Times New Roman" w:cstheme="minorHAnsi"/>
          <w:b/>
          <w:lang w:val="en-GB" w:eastAsia="cs-CZ"/>
        </w:rPr>
        <w:t>The SAO recommends that:</w:t>
      </w:r>
    </w:p>
    <w:p w14:paraId="1C654EA8" w14:textId="77777777" w:rsidR="000049B6" w:rsidRPr="004972B3" w:rsidRDefault="000049B6" w:rsidP="000049B6">
      <w:pPr>
        <w:pStyle w:val="Odstavecseseznamem"/>
        <w:numPr>
          <w:ilvl w:val="0"/>
          <w:numId w:val="24"/>
        </w:numPr>
        <w:spacing w:before="120" w:after="120"/>
        <w:ind w:left="284" w:hanging="284"/>
        <w:contextualSpacing w:val="0"/>
        <w:jc w:val="both"/>
        <w:rPr>
          <w:rFonts w:cstheme="minorHAnsi"/>
          <w:lang w:val="en-GB"/>
        </w:rPr>
      </w:pPr>
      <w:r w:rsidRPr="004972B3">
        <w:rPr>
          <w:rFonts w:cstheme="minorHAnsi"/>
          <w:lang w:val="en-GB"/>
        </w:rPr>
        <w:t xml:space="preserve">The </w:t>
      </w:r>
      <w:proofErr w:type="spellStart"/>
      <w:r w:rsidRPr="004972B3">
        <w:rPr>
          <w:rFonts w:cstheme="minorHAnsi"/>
          <w:lang w:val="en-GB"/>
        </w:rPr>
        <w:t>MoI</w:t>
      </w:r>
      <w:proofErr w:type="spellEnd"/>
      <w:r w:rsidRPr="004972B3">
        <w:rPr>
          <w:rFonts w:cstheme="minorHAnsi"/>
          <w:lang w:val="en-GB"/>
        </w:rPr>
        <w:t xml:space="preserve"> and the MoD set measurable targets for crime prevention programmes which they expect to achieve;</w:t>
      </w:r>
    </w:p>
    <w:p w14:paraId="75873262" w14:textId="77777777" w:rsidR="000049B6" w:rsidRPr="004972B3" w:rsidRDefault="000049B6" w:rsidP="000049B6">
      <w:pPr>
        <w:pStyle w:val="Odstavecseseznamem"/>
        <w:numPr>
          <w:ilvl w:val="0"/>
          <w:numId w:val="24"/>
        </w:numPr>
        <w:spacing w:before="120" w:after="120"/>
        <w:ind w:left="284" w:hanging="284"/>
        <w:contextualSpacing w:val="0"/>
        <w:jc w:val="both"/>
        <w:rPr>
          <w:rFonts w:cstheme="minorHAnsi"/>
          <w:lang w:val="en-GB"/>
        </w:rPr>
      </w:pPr>
      <w:r w:rsidRPr="004972B3">
        <w:rPr>
          <w:rFonts w:cstheme="minorHAnsi"/>
          <w:lang w:val="en-GB"/>
        </w:rPr>
        <w:t xml:space="preserve">The </w:t>
      </w:r>
      <w:proofErr w:type="spellStart"/>
      <w:r w:rsidRPr="004972B3">
        <w:rPr>
          <w:rFonts w:cstheme="minorHAnsi"/>
          <w:lang w:val="en-GB"/>
        </w:rPr>
        <w:t>MoJ</w:t>
      </w:r>
      <w:proofErr w:type="spellEnd"/>
      <w:r w:rsidRPr="004972B3">
        <w:rPr>
          <w:rFonts w:cstheme="minorHAnsi"/>
          <w:lang w:val="en-GB"/>
        </w:rPr>
        <w:t xml:space="preserve"> </w:t>
      </w:r>
      <w:r>
        <w:rPr>
          <w:rFonts w:cstheme="minorHAnsi"/>
          <w:lang w:val="en-GB"/>
        </w:rPr>
        <w:t>create</w:t>
      </w:r>
      <w:r w:rsidRPr="004972B3">
        <w:rPr>
          <w:rFonts w:cstheme="minorHAnsi"/>
          <w:lang w:val="en-GB"/>
        </w:rPr>
        <w:t xml:space="preserve"> a sectoral strategic crime prevention document and set measurable goals that it anticipates to achieve</w:t>
      </w:r>
    </w:p>
    <w:p w14:paraId="5EA4D203" w14:textId="77777777" w:rsidR="000049B6" w:rsidRPr="004972B3" w:rsidRDefault="000049B6" w:rsidP="000049B6">
      <w:pPr>
        <w:pStyle w:val="Odstavecseseznamem"/>
        <w:numPr>
          <w:ilvl w:val="0"/>
          <w:numId w:val="24"/>
        </w:numPr>
        <w:spacing w:before="120" w:after="120"/>
        <w:ind w:left="284" w:hanging="284"/>
        <w:contextualSpacing w:val="0"/>
        <w:jc w:val="both"/>
        <w:rPr>
          <w:rFonts w:cstheme="minorHAnsi"/>
          <w:lang w:val="en-GB"/>
        </w:rPr>
      </w:pPr>
      <w:r w:rsidRPr="004972B3">
        <w:rPr>
          <w:rFonts w:cstheme="minorHAnsi"/>
          <w:lang w:val="en-GB"/>
        </w:rPr>
        <w:t xml:space="preserve">The </w:t>
      </w:r>
      <w:proofErr w:type="spellStart"/>
      <w:r w:rsidRPr="004972B3">
        <w:rPr>
          <w:rFonts w:cstheme="minorHAnsi"/>
          <w:lang w:val="en-GB"/>
        </w:rPr>
        <w:t>MoI</w:t>
      </w:r>
      <w:proofErr w:type="spellEnd"/>
      <w:r w:rsidRPr="004972B3">
        <w:rPr>
          <w:rFonts w:cstheme="minorHAnsi"/>
          <w:lang w:val="en-GB"/>
        </w:rPr>
        <w:t xml:space="preserve">, </w:t>
      </w:r>
      <w:proofErr w:type="spellStart"/>
      <w:r w:rsidRPr="004972B3">
        <w:rPr>
          <w:rFonts w:cstheme="minorHAnsi"/>
          <w:lang w:val="en-GB"/>
        </w:rPr>
        <w:t>MoJ</w:t>
      </w:r>
      <w:proofErr w:type="spellEnd"/>
      <w:r w:rsidRPr="004972B3">
        <w:rPr>
          <w:rFonts w:cstheme="minorHAnsi"/>
          <w:lang w:val="en-GB"/>
        </w:rPr>
        <w:t xml:space="preserve"> and MoD set uniform measurable criteria and indicators of project success, which will enable quantification and evaluation of the achieved benefit of the provided support;</w:t>
      </w:r>
    </w:p>
    <w:p w14:paraId="74199308" w14:textId="77777777" w:rsidR="000049B6" w:rsidRPr="004972B3" w:rsidRDefault="000049B6" w:rsidP="000049B6">
      <w:pPr>
        <w:pStyle w:val="Odstavecseseznamem"/>
        <w:numPr>
          <w:ilvl w:val="0"/>
          <w:numId w:val="24"/>
        </w:numPr>
        <w:spacing w:before="120" w:after="120"/>
        <w:ind w:left="284" w:hanging="284"/>
        <w:contextualSpacing w:val="0"/>
        <w:jc w:val="both"/>
        <w:rPr>
          <w:rFonts w:cstheme="minorHAnsi"/>
          <w:lang w:val="en-GB"/>
        </w:rPr>
      </w:pPr>
      <w:r w:rsidRPr="004972B3">
        <w:rPr>
          <w:rFonts w:cstheme="minorHAnsi"/>
          <w:lang w:val="en-GB"/>
        </w:rPr>
        <w:t xml:space="preserve">The </w:t>
      </w:r>
      <w:proofErr w:type="spellStart"/>
      <w:r w:rsidRPr="004972B3">
        <w:rPr>
          <w:rFonts w:cstheme="minorHAnsi"/>
          <w:lang w:val="en-GB"/>
        </w:rPr>
        <w:t>MoJ</w:t>
      </w:r>
      <w:proofErr w:type="spellEnd"/>
      <w:r w:rsidRPr="004972B3">
        <w:rPr>
          <w:rFonts w:cstheme="minorHAnsi"/>
          <w:lang w:val="en-GB"/>
        </w:rPr>
        <w:t xml:space="preserve"> </w:t>
      </w:r>
      <w:r>
        <w:rPr>
          <w:rFonts w:cstheme="minorHAnsi"/>
          <w:lang w:val="en-GB"/>
        </w:rPr>
        <w:t>take</w:t>
      </w:r>
      <w:r w:rsidRPr="004972B3">
        <w:rPr>
          <w:rFonts w:cstheme="minorHAnsi"/>
          <w:lang w:val="en-GB"/>
        </w:rPr>
        <w:t xml:space="preserve"> steps to increase interest in unsupported probation programme priorities;</w:t>
      </w:r>
    </w:p>
    <w:p w14:paraId="142A80DC" w14:textId="77777777" w:rsidR="000049B6" w:rsidRPr="004972B3" w:rsidRDefault="000049B6" w:rsidP="000049B6">
      <w:pPr>
        <w:pStyle w:val="Odstavecseseznamem"/>
        <w:numPr>
          <w:ilvl w:val="0"/>
          <w:numId w:val="24"/>
        </w:numPr>
        <w:spacing w:before="120" w:after="120"/>
        <w:ind w:left="284" w:hanging="284"/>
        <w:contextualSpacing w:val="0"/>
        <w:jc w:val="both"/>
        <w:rPr>
          <w:rFonts w:cstheme="minorHAnsi"/>
          <w:lang w:val="en-GB"/>
        </w:rPr>
      </w:pPr>
      <w:r>
        <w:rPr>
          <w:rFonts w:cstheme="minorHAnsi"/>
          <w:lang w:val="en-GB"/>
        </w:rPr>
        <w:t xml:space="preserve">The </w:t>
      </w:r>
      <w:proofErr w:type="spellStart"/>
      <w:r>
        <w:rPr>
          <w:rFonts w:cstheme="minorHAnsi"/>
          <w:lang w:val="en-GB"/>
        </w:rPr>
        <w:t>MoI</w:t>
      </w:r>
      <w:proofErr w:type="spellEnd"/>
      <w:r>
        <w:rPr>
          <w:rFonts w:cstheme="minorHAnsi"/>
          <w:lang w:val="en-GB"/>
        </w:rPr>
        <w:t xml:space="preserve">, </w:t>
      </w:r>
      <w:proofErr w:type="spellStart"/>
      <w:r>
        <w:rPr>
          <w:rFonts w:cstheme="minorHAnsi"/>
          <w:lang w:val="en-GB"/>
        </w:rPr>
        <w:t>MoJ</w:t>
      </w:r>
      <w:proofErr w:type="spellEnd"/>
      <w:r>
        <w:rPr>
          <w:rFonts w:cstheme="minorHAnsi"/>
          <w:lang w:val="en-GB"/>
        </w:rPr>
        <w:t xml:space="preserve"> and MoD evaluate</w:t>
      </w:r>
      <w:r w:rsidRPr="004972B3">
        <w:rPr>
          <w:rFonts w:cstheme="minorHAnsi"/>
          <w:lang w:val="en-GB"/>
        </w:rPr>
        <w:t xml:space="preserve"> the provided support against the set objectives of subsidy programmes through uniform measurable criteria and indicators of success.</w:t>
      </w:r>
    </w:p>
    <w:p w14:paraId="616E3B6C" w14:textId="77777777" w:rsidR="000049B6" w:rsidRDefault="000049B6" w:rsidP="000049B6">
      <w:pPr>
        <w:rPr>
          <w:rFonts w:cstheme="minorHAnsi"/>
          <w:lang w:val="en-GB"/>
        </w:rPr>
        <w:sectPr w:rsidR="000049B6" w:rsidSect="00DF49CA">
          <w:footerReference w:type="default" r:id="rId13"/>
          <w:pgSz w:w="11906" w:h="16838"/>
          <w:pgMar w:top="1418" w:right="1418" w:bottom="1418" w:left="1418" w:header="709" w:footer="709" w:gutter="0"/>
          <w:cols w:space="708"/>
          <w:titlePg/>
          <w:docGrid w:linePitch="360"/>
        </w:sectPr>
      </w:pPr>
    </w:p>
    <w:p w14:paraId="65B459B2" w14:textId="77777777" w:rsidR="000049B6" w:rsidRPr="00FA527C" w:rsidRDefault="000049B6" w:rsidP="000049B6">
      <w:pPr>
        <w:tabs>
          <w:tab w:val="center" w:pos="4536"/>
          <w:tab w:val="right" w:pos="9072"/>
        </w:tabs>
        <w:rPr>
          <w:rFonts w:ascii="Calibri" w:eastAsia="Calibri" w:hAnsi="Calibri" w:cs="Times New Roman"/>
          <w:b/>
        </w:rPr>
      </w:pPr>
      <w:r w:rsidRPr="00FA527C">
        <w:rPr>
          <w:rFonts w:ascii="Calibri" w:eastAsia="Calibri" w:hAnsi="Calibri" w:cs="Times New Roman"/>
          <w:b/>
          <w:lang w:val="en"/>
        </w:rPr>
        <w:t>A</w:t>
      </w:r>
      <w:r>
        <w:rPr>
          <w:rFonts w:ascii="Calibri" w:eastAsia="Calibri" w:hAnsi="Calibri" w:cs="Times New Roman"/>
          <w:b/>
          <w:lang w:val="en"/>
        </w:rPr>
        <w:t>nnex No. 1 - Selected answers for the questionnaire survey on</w:t>
      </w:r>
      <w:r w:rsidRPr="00FA527C">
        <w:rPr>
          <w:rFonts w:ascii="Calibri" w:eastAsia="Calibri" w:hAnsi="Calibri" w:cs="Times New Roman"/>
          <w:b/>
          <w:lang w:val="en"/>
        </w:rPr>
        <w:t xml:space="preserve"> the </w:t>
      </w:r>
      <w:r>
        <w:rPr>
          <w:rFonts w:ascii="Calibri" w:eastAsia="Calibri" w:hAnsi="Calibri" w:cs="Times New Roman"/>
          <w:b/>
          <w:lang w:val="en"/>
        </w:rPr>
        <w:t>European Supreme Audit I</w:t>
      </w:r>
      <w:r w:rsidRPr="00FA527C">
        <w:rPr>
          <w:rFonts w:ascii="Calibri" w:eastAsia="Calibri" w:hAnsi="Calibri" w:cs="Times New Roman"/>
          <w:b/>
          <w:lang w:val="en"/>
        </w:rPr>
        <w:t>nstitutions in the area of crime prevention</w:t>
      </w:r>
    </w:p>
    <w:tbl>
      <w:tblPr>
        <w:tblStyle w:val="Mkatabulky"/>
        <w:tblW w:w="13992" w:type="dxa"/>
        <w:jc w:val="center"/>
        <w:tblLayout w:type="fixed"/>
        <w:tblCellMar>
          <w:top w:w="57" w:type="dxa"/>
          <w:bottom w:w="57" w:type="dxa"/>
        </w:tblCellMar>
        <w:tblLook w:val="04A0" w:firstRow="1" w:lastRow="0" w:firstColumn="1" w:lastColumn="0" w:noHBand="0" w:noVBand="1"/>
      </w:tblPr>
      <w:tblGrid>
        <w:gridCol w:w="1413"/>
        <w:gridCol w:w="1978"/>
        <w:gridCol w:w="2120"/>
        <w:gridCol w:w="2120"/>
        <w:gridCol w:w="2120"/>
        <w:gridCol w:w="2120"/>
        <w:gridCol w:w="2121"/>
      </w:tblGrid>
      <w:tr w:rsidR="000049B6" w:rsidRPr="00E46898" w14:paraId="01809B5F" w14:textId="77777777" w:rsidTr="00BD636B">
        <w:trPr>
          <w:trHeight w:val="872"/>
          <w:tblHeader/>
          <w:jc w:val="center"/>
        </w:trPr>
        <w:tc>
          <w:tcPr>
            <w:tcW w:w="1413" w:type="dxa"/>
            <w:shd w:val="clear" w:color="auto" w:fill="E5F1FF"/>
            <w:vAlign w:val="center"/>
          </w:tcPr>
          <w:p w14:paraId="52E1F6A0" w14:textId="77777777" w:rsidR="000049B6" w:rsidRPr="00E46898" w:rsidRDefault="000049B6" w:rsidP="00253B25">
            <w:pPr>
              <w:jc w:val="center"/>
              <w:rPr>
                <w:rFonts w:ascii="Calibri" w:eastAsia="Calibri" w:hAnsi="Calibri"/>
                <w:b/>
                <w:sz w:val="18"/>
                <w:szCs w:val="18"/>
              </w:rPr>
            </w:pPr>
            <w:r w:rsidRPr="00E46898">
              <w:rPr>
                <w:rFonts w:ascii="Calibri" w:eastAsia="Calibri" w:hAnsi="Calibri"/>
                <w:b/>
                <w:sz w:val="18"/>
                <w:szCs w:val="18"/>
              </w:rPr>
              <w:t>SAI</w:t>
            </w:r>
          </w:p>
        </w:tc>
        <w:tc>
          <w:tcPr>
            <w:tcW w:w="1978" w:type="dxa"/>
            <w:shd w:val="clear" w:color="auto" w:fill="E5F1FF"/>
            <w:vAlign w:val="center"/>
          </w:tcPr>
          <w:p w14:paraId="41BF46B8" w14:textId="77777777" w:rsidR="000049B6" w:rsidRPr="00E46898" w:rsidRDefault="000049B6" w:rsidP="00253B25">
            <w:pPr>
              <w:jc w:val="center"/>
              <w:rPr>
                <w:rFonts w:ascii="Calibri" w:eastAsia="Calibri" w:hAnsi="Calibri" w:cs="Calibri"/>
                <w:b/>
                <w:bCs/>
                <w:color w:val="000000"/>
                <w:sz w:val="18"/>
                <w:szCs w:val="18"/>
              </w:rPr>
            </w:pPr>
            <w:r w:rsidRPr="00FA527C">
              <w:rPr>
                <w:rFonts w:ascii="Calibri" w:eastAsia="Calibri" w:hAnsi="Calibri" w:cs="Calibri"/>
                <w:b/>
                <w:bCs/>
                <w:color w:val="000000"/>
                <w:sz w:val="18"/>
                <w:szCs w:val="18"/>
                <w:lang w:val="en-GB"/>
              </w:rPr>
              <w:t>Are crime prevention targets</w:t>
            </w:r>
            <w:r>
              <w:rPr>
                <w:rFonts w:ascii="Calibri" w:eastAsia="Calibri" w:hAnsi="Calibri" w:cs="Calibri"/>
                <w:b/>
                <w:bCs/>
                <w:color w:val="000000"/>
                <w:sz w:val="18"/>
                <w:szCs w:val="18"/>
                <w:lang w:val="en-GB"/>
              </w:rPr>
              <w:t xml:space="preserve"> set in your country</w:t>
            </w:r>
            <w:r w:rsidRPr="00E46898">
              <w:rPr>
                <w:rFonts w:ascii="Calibri" w:eastAsia="Calibri" w:hAnsi="Calibri" w:cs="Calibri"/>
                <w:b/>
                <w:bCs/>
                <w:color w:val="000000"/>
                <w:sz w:val="18"/>
                <w:szCs w:val="18"/>
              </w:rPr>
              <w:t>?</w:t>
            </w:r>
          </w:p>
        </w:tc>
        <w:tc>
          <w:tcPr>
            <w:tcW w:w="2120" w:type="dxa"/>
            <w:shd w:val="clear" w:color="auto" w:fill="E5F1FF"/>
            <w:vAlign w:val="center"/>
          </w:tcPr>
          <w:p w14:paraId="6208DE94" w14:textId="77777777" w:rsidR="000049B6" w:rsidRPr="00FA527C" w:rsidRDefault="000049B6" w:rsidP="00253B25">
            <w:pPr>
              <w:jc w:val="center"/>
              <w:rPr>
                <w:rFonts w:ascii="Calibri" w:eastAsia="Calibri" w:hAnsi="Calibri" w:cs="Calibri"/>
                <w:b/>
                <w:bCs/>
                <w:color w:val="000000"/>
                <w:sz w:val="18"/>
                <w:szCs w:val="18"/>
                <w:lang w:val="en-GB"/>
              </w:rPr>
            </w:pPr>
            <w:r w:rsidRPr="00FA527C">
              <w:rPr>
                <w:rFonts w:ascii="Calibri" w:eastAsia="Calibri" w:hAnsi="Calibri" w:cs="Calibri"/>
                <w:b/>
                <w:bCs/>
                <w:color w:val="000000"/>
                <w:sz w:val="18"/>
                <w:szCs w:val="18"/>
                <w:lang w:val="en-GB"/>
              </w:rPr>
              <w:t>Are there any strategies or concepts adopted in this area?</w:t>
            </w:r>
          </w:p>
        </w:tc>
        <w:tc>
          <w:tcPr>
            <w:tcW w:w="2120" w:type="dxa"/>
            <w:shd w:val="clear" w:color="auto" w:fill="E5F1FF"/>
            <w:vAlign w:val="center"/>
          </w:tcPr>
          <w:p w14:paraId="094FB686" w14:textId="77777777" w:rsidR="000049B6" w:rsidRPr="00E46898" w:rsidRDefault="000049B6" w:rsidP="00253B25">
            <w:pPr>
              <w:jc w:val="center"/>
              <w:rPr>
                <w:rFonts w:ascii="Calibri" w:eastAsia="Calibri" w:hAnsi="Calibri" w:cs="Calibri"/>
                <w:b/>
                <w:bCs/>
                <w:color w:val="000000"/>
                <w:sz w:val="18"/>
                <w:szCs w:val="18"/>
              </w:rPr>
            </w:pPr>
            <w:r w:rsidRPr="00FA527C">
              <w:rPr>
                <w:rFonts w:ascii="Calibri" w:eastAsia="Calibri" w:hAnsi="Calibri" w:cs="Calibri"/>
                <w:b/>
                <w:bCs/>
                <w:color w:val="000000"/>
                <w:sz w:val="18"/>
                <w:szCs w:val="18"/>
                <w:lang w:val="en-GB"/>
              </w:rPr>
              <w:t>Are there defined objectives and expected measurable results of provided aid for crime prevention programmes in your country?</w:t>
            </w:r>
          </w:p>
        </w:tc>
        <w:tc>
          <w:tcPr>
            <w:tcW w:w="2120" w:type="dxa"/>
            <w:shd w:val="clear" w:color="auto" w:fill="E5F1FF"/>
            <w:vAlign w:val="center"/>
          </w:tcPr>
          <w:p w14:paraId="5219F597" w14:textId="77777777" w:rsidR="000049B6" w:rsidRPr="00E46898" w:rsidRDefault="000049B6" w:rsidP="00253B25">
            <w:pPr>
              <w:jc w:val="center"/>
              <w:rPr>
                <w:rFonts w:ascii="Calibri" w:eastAsia="Calibri" w:hAnsi="Calibri" w:cs="Calibri"/>
                <w:b/>
                <w:bCs/>
                <w:color w:val="000000"/>
                <w:sz w:val="18"/>
                <w:szCs w:val="18"/>
              </w:rPr>
            </w:pPr>
            <w:r w:rsidRPr="00FA527C">
              <w:rPr>
                <w:rFonts w:ascii="Calibri" w:eastAsia="Calibri" w:hAnsi="Calibri" w:cs="Calibri"/>
                <w:b/>
                <w:bCs/>
                <w:color w:val="000000"/>
                <w:sz w:val="18"/>
                <w:szCs w:val="18"/>
                <w:lang w:val="en-GB"/>
              </w:rPr>
              <w:t>How are these objectives and expected results set?</w:t>
            </w:r>
          </w:p>
        </w:tc>
        <w:tc>
          <w:tcPr>
            <w:tcW w:w="2120" w:type="dxa"/>
            <w:shd w:val="clear" w:color="auto" w:fill="E5F1FF"/>
            <w:vAlign w:val="center"/>
          </w:tcPr>
          <w:p w14:paraId="48EF8390" w14:textId="77777777" w:rsidR="000049B6" w:rsidRPr="00FA527C" w:rsidRDefault="000049B6" w:rsidP="00253B25">
            <w:pPr>
              <w:jc w:val="center"/>
              <w:rPr>
                <w:rFonts w:ascii="Calibri" w:eastAsia="Calibri" w:hAnsi="Calibri" w:cs="Calibri"/>
                <w:b/>
                <w:bCs/>
                <w:color w:val="000000"/>
                <w:sz w:val="18"/>
                <w:szCs w:val="18"/>
                <w:lang w:val="en-GB"/>
              </w:rPr>
            </w:pPr>
            <w:r w:rsidRPr="00FA527C">
              <w:rPr>
                <w:rFonts w:ascii="Calibri" w:eastAsia="Calibri" w:hAnsi="Calibri" w:cs="Calibri"/>
                <w:b/>
                <w:bCs/>
                <w:color w:val="000000"/>
                <w:sz w:val="18"/>
                <w:szCs w:val="18"/>
                <w:lang w:val="en-GB"/>
              </w:rPr>
              <w:t>How are crime prevention programmes evaluated in your country?</w:t>
            </w:r>
          </w:p>
          <w:p w14:paraId="2796FFC2" w14:textId="77777777" w:rsidR="000049B6" w:rsidRPr="00FA527C" w:rsidRDefault="000049B6" w:rsidP="00253B25">
            <w:pPr>
              <w:jc w:val="center"/>
              <w:rPr>
                <w:rFonts w:ascii="Calibri" w:eastAsia="Calibri" w:hAnsi="Calibri" w:cs="Calibri"/>
                <w:b/>
                <w:bCs/>
                <w:color w:val="000000"/>
                <w:sz w:val="18"/>
                <w:szCs w:val="18"/>
                <w:lang w:val="en-GB"/>
              </w:rPr>
            </w:pPr>
          </w:p>
        </w:tc>
        <w:tc>
          <w:tcPr>
            <w:tcW w:w="2121" w:type="dxa"/>
            <w:shd w:val="clear" w:color="auto" w:fill="E5F1FF"/>
            <w:vAlign w:val="center"/>
          </w:tcPr>
          <w:p w14:paraId="66DE8426" w14:textId="77777777" w:rsidR="000049B6" w:rsidRPr="00E46898" w:rsidRDefault="000049B6" w:rsidP="00253B25">
            <w:pPr>
              <w:jc w:val="center"/>
              <w:rPr>
                <w:rFonts w:ascii="Calibri" w:eastAsia="Calibri" w:hAnsi="Calibri" w:cs="Calibri"/>
                <w:b/>
                <w:bCs/>
                <w:color w:val="000000"/>
                <w:sz w:val="18"/>
                <w:szCs w:val="18"/>
              </w:rPr>
            </w:pPr>
            <w:r w:rsidRPr="00FA527C">
              <w:rPr>
                <w:rFonts w:ascii="Calibri" w:eastAsia="Calibri" w:hAnsi="Calibri" w:cs="Calibri"/>
                <w:b/>
                <w:bCs/>
                <w:color w:val="000000"/>
                <w:sz w:val="18"/>
                <w:szCs w:val="18"/>
                <w:lang w:val="en-GB"/>
              </w:rPr>
              <w:t>Is the effectiveness of undertaken projects evaluated</w:t>
            </w:r>
            <w:r w:rsidRPr="00E46898">
              <w:rPr>
                <w:rFonts w:ascii="Calibri" w:eastAsia="Calibri" w:hAnsi="Calibri" w:cs="Calibri"/>
                <w:b/>
                <w:bCs/>
                <w:color w:val="000000"/>
                <w:sz w:val="18"/>
                <w:szCs w:val="18"/>
              </w:rPr>
              <w:t>?</w:t>
            </w:r>
          </w:p>
        </w:tc>
      </w:tr>
      <w:tr w:rsidR="000049B6" w:rsidRPr="00E46898" w14:paraId="395604BD" w14:textId="77777777" w:rsidTr="00253B25">
        <w:trPr>
          <w:trHeight w:val="2422"/>
          <w:jc w:val="center"/>
        </w:trPr>
        <w:tc>
          <w:tcPr>
            <w:tcW w:w="1413" w:type="dxa"/>
            <w:vAlign w:val="center"/>
          </w:tcPr>
          <w:p w14:paraId="3DD53EC3" w14:textId="77777777" w:rsidR="000049B6" w:rsidRDefault="000049B6" w:rsidP="00253B25">
            <w:pPr>
              <w:spacing w:after="120"/>
              <w:jc w:val="center"/>
              <w:rPr>
                <w:rFonts w:ascii="Calibri" w:eastAsia="Calibri" w:hAnsi="Calibri"/>
                <w:b/>
                <w:sz w:val="24"/>
                <w:szCs w:val="18"/>
              </w:rPr>
            </w:pPr>
            <w:r>
              <w:rPr>
                <w:rFonts w:ascii="Calibri" w:eastAsia="Calibri" w:hAnsi="Calibri"/>
                <w:b/>
                <w:sz w:val="24"/>
                <w:szCs w:val="18"/>
              </w:rPr>
              <w:t>Czech Republic</w:t>
            </w:r>
          </w:p>
          <w:p w14:paraId="38D5A1F9" w14:textId="77777777" w:rsidR="000049B6" w:rsidRPr="00E46898" w:rsidRDefault="000049B6" w:rsidP="00253B25">
            <w:pPr>
              <w:spacing w:after="120"/>
              <w:jc w:val="center"/>
              <w:rPr>
                <w:rFonts w:ascii="Calibri" w:eastAsia="Calibri" w:hAnsi="Calibri"/>
                <w:b/>
                <w:sz w:val="24"/>
                <w:szCs w:val="18"/>
              </w:rPr>
            </w:pPr>
            <w:r>
              <w:rPr>
                <w:rFonts w:ascii="Calibri" w:eastAsia="Calibri" w:hAnsi="Calibri"/>
                <w:b/>
                <w:noProof/>
                <w:szCs w:val="18"/>
              </w:rPr>
              <w:drawing>
                <wp:inline distT="0" distB="0" distL="0" distR="0" wp14:anchorId="4640FE6C" wp14:editId="466D5405">
                  <wp:extent cx="540000" cy="360000"/>
                  <wp:effectExtent l="19050" t="19050" r="12700" b="215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Č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360000"/>
                          </a:xfrm>
                          <a:prstGeom prst="rect">
                            <a:avLst/>
                          </a:prstGeom>
                          <a:ln>
                            <a:solidFill>
                              <a:schemeClr val="tx1"/>
                            </a:solidFill>
                          </a:ln>
                        </pic:spPr>
                      </pic:pic>
                    </a:graphicData>
                  </a:graphic>
                </wp:inline>
              </w:drawing>
            </w:r>
          </w:p>
        </w:tc>
        <w:tc>
          <w:tcPr>
            <w:tcW w:w="1978" w:type="dxa"/>
          </w:tcPr>
          <w:p w14:paraId="62E6FA25" w14:textId="166353F5" w:rsidR="000049B6" w:rsidRPr="00255204" w:rsidRDefault="000049B6" w:rsidP="00253B25">
            <w:pPr>
              <w:rPr>
                <w:rFonts w:ascii="Calibri" w:eastAsia="Calibri" w:hAnsi="Calibri" w:cs="Calibri"/>
                <w:bCs/>
                <w:iCs/>
                <w:color w:val="000000"/>
              </w:rPr>
            </w:pPr>
            <w:r w:rsidRPr="001524C8">
              <w:rPr>
                <w:rFonts w:ascii="Calibri" w:eastAsia="Calibri" w:hAnsi="Calibri" w:cs="Calibri"/>
                <w:bCs/>
                <w:iCs/>
                <w:color w:val="000000"/>
                <w:lang w:val="en"/>
              </w:rPr>
              <w:t>General objectives such as providing assistance and counseling to victims of crime, focusing on the growing problem of criminal recidivism and resocialization of offenders or preventing crime of children and youth, addressing increased crime in selected locations.</w:t>
            </w:r>
          </w:p>
        </w:tc>
        <w:tc>
          <w:tcPr>
            <w:tcW w:w="2120" w:type="dxa"/>
          </w:tcPr>
          <w:p w14:paraId="626DF745" w14:textId="553CAC32" w:rsidR="000049B6" w:rsidRPr="00255204" w:rsidRDefault="000049B6" w:rsidP="00253B25">
            <w:pPr>
              <w:rPr>
                <w:rFonts w:ascii="Calibri" w:hAnsi="Calibri" w:cs="Calibri"/>
                <w:color w:val="000000"/>
              </w:rPr>
            </w:pPr>
            <w:r w:rsidRPr="001524C8">
              <w:rPr>
                <w:rFonts w:ascii="Calibri" w:hAnsi="Calibri" w:cs="Calibri"/>
                <w:color w:val="000000"/>
                <w:lang w:val="en"/>
              </w:rPr>
              <w:t>Crime Prevention Strategy in the Czech Republic for 2016 to 2020, Crime Prevention</w:t>
            </w:r>
            <w:r>
              <w:rPr>
                <w:rFonts w:ascii="Calibri" w:hAnsi="Calibri" w:cs="Calibri"/>
                <w:color w:val="000000"/>
                <w:lang w:val="en"/>
              </w:rPr>
              <w:t xml:space="preserve"> Action Plan for 2016 to 2020, documentation and program p</w:t>
            </w:r>
            <w:r w:rsidRPr="001524C8">
              <w:rPr>
                <w:rFonts w:ascii="Calibri" w:hAnsi="Calibri" w:cs="Calibri"/>
                <w:color w:val="000000"/>
                <w:lang w:val="en"/>
              </w:rPr>
              <w:t>olicies.</w:t>
            </w:r>
          </w:p>
        </w:tc>
        <w:tc>
          <w:tcPr>
            <w:tcW w:w="2120" w:type="dxa"/>
          </w:tcPr>
          <w:p w14:paraId="2FB409BA" w14:textId="77777777" w:rsidR="000049B6" w:rsidRPr="001524C8" w:rsidRDefault="000049B6" w:rsidP="00253B25">
            <w:pPr>
              <w:rPr>
                <w:rFonts w:ascii="Calibri" w:eastAsia="Calibri" w:hAnsi="Calibri" w:cs="Calibri"/>
                <w:lang w:val="en-GB"/>
              </w:rPr>
            </w:pPr>
            <w:r w:rsidRPr="001524C8">
              <w:rPr>
                <w:rFonts w:ascii="Calibri" w:eastAsia="Calibri" w:hAnsi="Calibri" w:cs="Calibri"/>
                <w:lang w:val="en-GB"/>
              </w:rPr>
              <w:t>The priorities and tasks are set out in the Action Plan. A total of 5 strategy priorities, 79 tasks and related activities. Tasks are defined as, for example, implementing the subsidized “Crime Prevention Programme or providing and strengthening support for the "</w:t>
            </w:r>
            <w:r w:rsidRPr="001524C8">
              <w:rPr>
                <w:rFonts w:ascii="Calibri" w:eastAsia="Calibri" w:hAnsi="Calibri" w:cs="Calibri"/>
                <w:i/>
                <w:lang w:val="en-GB"/>
              </w:rPr>
              <w:t>Crime Prevention Assistant</w:t>
            </w:r>
            <w:r w:rsidRPr="001524C8">
              <w:rPr>
                <w:rFonts w:ascii="Calibri" w:eastAsia="Calibri" w:hAnsi="Calibri" w:cs="Calibri"/>
                <w:lang w:val="en-GB"/>
              </w:rPr>
              <w:t>" project.</w:t>
            </w:r>
          </w:p>
          <w:p w14:paraId="28E6017C" w14:textId="77777777" w:rsidR="000049B6" w:rsidRPr="00A764A7" w:rsidRDefault="000049B6" w:rsidP="00253B25">
            <w:pPr>
              <w:rPr>
                <w:rFonts w:ascii="Calibri" w:eastAsia="Calibri" w:hAnsi="Calibri" w:cs="Calibri"/>
                <w:iCs/>
                <w:color w:val="000000"/>
              </w:rPr>
            </w:pPr>
          </w:p>
        </w:tc>
        <w:tc>
          <w:tcPr>
            <w:tcW w:w="2120" w:type="dxa"/>
          </w:tcPr>
          <w:p w14:paraId="45DAC7D5" w14:textId="65D230F3" w:rsidR="000049B6" w:rsidRPr="00E044B5" w:rsidRDefault="000049B6" w:rsidP="00253B25">
            <w:pPr>
              <w:rPr>
                <w:rFonts w:ascii="Calibri" w:eastAsia="Calibri" w:hAnsi="Calibri" w:cs="Calibri"/>
                <w:lang w:val="en"/>
              </w:rPr>
            </w:pPr>
            <w:r w:rsidRPr="004935C4">
              <w:rPr>
                <w:rFonts w:ascii="Calibri" w:eastAsia="Calibri" w:hAnsi="Calibri" w:cs="Calibri"/>
                <w:lang w:val="en"/>
              </w:rPr>
              <w:t>Objectives include, for example, reducing crime</w:t>
            </w:r>
            <w:r>
              <w:rPr>
                <w:rFonts w:ascii="Calibri" w:eastAsia="Calibri" w:hAnsi="Calibri" w:cs="Calibri"/>
                <w:lang w:val="en"/>
              </w:rPr>
              <w:t xml:space="preserve"> rate</w:t>
            </w:r>
            <w:r w:rsidRPr="004935C4">
              <w:rPr>
                <w:rFonts w:ascii="Calibri" w:eastAsia="Calibri" w:hAnsi="Calibri" w:cs="Calibri"/>
                <w:lang w:val="en"/>
              </w:rPr>
              <w:t xml:space="preserve">, reducing </w:t>
            </w:r>
            <w:r w:rsidRPr="00E044B5">
              <w:rPr>
                <w:rFonts w:ascii="Calibri" w:eastAsia="Calibri" w:hAnsi="Calibri" w:cs="Calibri"/>
                <w:lang w:val="en"/>
              </w:rPr>
              <w:t>committing crimes</w:t>
            </w:r>
            <w:r w:rsidRPr="004935C4">
              <w:rPr>
                <w:rFonts w:ascii="Calibri" w:eastAsia="Calibri" w:hAnsi="Calibri" w:cs="Calibri"/>
                <w:lang w:val="en"/>
              </w:rPr>
              <w:t>, increasing the risk that the offender will not be caught.</w:t>
            </w:r>
            <w:r w:rsidRPr="004935C4">
              <w:rPr>
                <w:rFonts w:ascii="Calibri" w:eastAsia="Calibri" w:hAnsi="Calibri" w:cs="Calibri"/>
                <w:lang w:val="en"/>
              </w:rPr>
              <w:br/>
              <w:t>The expected results of the investment projects are e</w:t>
            </w:r>
            <w:r>
              <w:rPr>
                <w:rFonts w:ascii="Calibri" w:eastAsia="Calibri" w:hAnsi="Calibri" w:cs="Calibri"/>
                <w:lang w:val="en"/>
              </w:rPr>
              <w:t>.</w:t>
            </w:r>
            <w:r w:rsidRPr="004935C4">
              <w:rPr>
                <w:rFonts w:ascii="Calibri" w:eastAsia="Calibri" w:hAnsi="Calibri" w:cs="Calibri"/>
                <w:lang w:val="en"/>
              </w:rPr>
              <w:t>g</w:t>
            </w:r>
            <w:r>
              <w:rPr>
                <w:rFonts w:ascii="Calibri" w:eastAsia="Calibri" w:hAnsi="Calibri" w:cs="Calibri"/>
                <w:lang w:val="en"/>
              </w:rPr>
              <w:t>.</w:t>
            </w:r>
            <w:r w:rsidRPr="004935C4">
              <w:rPr>
                <w:rFonts w:ascii="Calibri" w:eastAsia="Calibri" w:hAnsi="Calibri" w:cs="Calibri"/>
                <w:lang w:val="en"/>
              </w:rPr>
              <w:t xml:space="preserve"> (number of CCTV systems) for non-investment projects these are non-measurable targets (e</w:t>
            </w:r>
            <w:r>
              <w:rPr>
                <w:rFonts w:ascii="Calibri" w:eastAsia="Calibri" w:hAnsi="Calibri" w:cs="Calibri"/>
                <w:lang w:val="en"/>
              </w:rPr>
              <w:t>.</w:t>
            </w:r>
            <w:r w:rsidRPr="004935C4">
              <w:rPr>
                <w:rFonts w:ascii="Calibri" w:eastAsia="Calibri" w:hAnsi="Calibri" w:cs="Calibri"/>
                <w:lang w:val="en"/>
              </w:rPr>
              <w:t>g</w:t>
            </w:r>
            <w:r>
              <w:rPr>
                <w:rFonts w:ascii="Calibri" w:eastAsia="Calibri" w:hAnsi="Calibri" w:cs="Calibri"/>
                <w:lang w:val="en"/>
              </w:rPr>
              <w:t>.</w:t>
            </w:r>
            <w:r w:rsidRPr="004935C4">
              <w:rPr>
                <w:rFonts w:ascii="Calibri" w:eastAsia="Calibri" w:hAnsi="Calibri" w:cs="Calibri"/>
                <w:lang w:val="en"/>
              </w:rPr>
              <w:t xml:space="preserve"> increasing the sense of security, reducing recidivism).</w:t>
            </w:r>
          </w:p>
        </w:tc>
        <w:tc>
          <w:tcPr>
            <w:tcW w:w="2120" w:type="dxa"/>
          </w:tcPr>
          <w:p w14:paraId="76D7BF8C" w14:textId="177AA411" w:rsidR="000049B6" w:rsidRPr="00255204" w:rsidRDefault="000049B6" w:rsidP="00253B25">
            <w:pPr>
              <w:rPr>
                <w:rFonts w:ascii="Calibri" w:eastAsia="Calibri" w:hAnsi="Calibri" w:cs="Calibri"/>
                <w:bCs/>
              </w:rPr>
            </w:pPr>
            <w:r w:rsidRPr="00E044B5">
              <w:rPr>
                <w:rFonts w:ascii="Calibri" w:eastAsia="Calibri" w:hAnsi="Calibri" w:cs="Calibri"/>
                <w:bCs/>
                <w:lang w:val="en"/>
              </w:rPr>
              <w:t>Annual evaluation of the Crime Prevention Strategy and Action Plan. The crime prevention program is evaluated at the end of the programming period (2020). Continuous fulfillment of partial tasks set out in the Action Plan is evaluated.</w:t>
            </w:r>
          </w:p>
        </w:tc>
        <w:tc>
          <w:tcPr>
            <w:tcW w:w="2121" w:type="dxa"/>
          </w:tcPr>
          <w:p w14:paraId="17DDF6E9" w14:textId="1627763B" w:rsidR="000049B6" w:rsidRPr="00A764A7" w:rsidRDefault="000049B6" w:rsidP="00253B25">
            <w:pPr>
              <w:rPr>
                <w:rFonts w:ascii="Calibri" w:eastAsia="Calibri" w:hAnsi="Calibri" w:cs="Calibri"/>
                <w:iCs/>
                <w:color w:val="000000"/>
              </w:rPr>
            </w:pPr>
            <w:r w:rsidRPr="00E044B5">
              <w:rPr>
                <w:rFonts w:ascii="Calibri" w:eastAsia="Calibri" w:hAnsi="Calibri" w:cs="Calibri"/>
                <w:iCs/>
                <w:color w:val="000000"/>
                <w:lang w:val="en"/>
              </w:rPr>
              <w:t>Effec</w:t>
            </w:r>
            <w:r>
              <w:rPr>
                <w:rFonts w:ascii="Calibri" w:eastAsia="Calibri" w:hAnsi="Calibri" w:cs="Calibri"/>
                <w:iCs/>
                <w:color w:val="000000"/>
                <w:lang w:val="en"/>
              </w:rPr>
              <w:t>tiveness</w:t>
            </w:r>
            <w:r w:rsidRPr="00E044B5">
              <w:rPr>
                <w:rFonts w:ascii="Calibri" w:eastAsia="Calibri" w:hAnsi="Calibri" w:cs="Calibri"/>
                <w:iCs/>
                <w:color w:val="000000"/>
                <w:lang w:val="en"/>
              </w:rPr>
              <w:t xml:space="preserve"> is assessed through indicators that are set independently by the beneficiaries and are not uniform. Thus, the system does not allow quantifying the benefits of support to crime prevention objectives. The evaluation of the benefits of the support is foreseen at the end of 2019 through the uniform monitoring of project impacts.</w:t>
            </w:r>
          </w:p>
        </w:tc>
      </w:tr>
    </w:tbl>
    <w:p w14:paraId="0CCB5488" w14:textId="77777777" w:rsidR="00255204" w:rsidRDefault="00255204">
      <w:r>
        <w:br w:type="page"/>
      </w:r>
    </w:p>
    <w:tbl>
      <w:tblPr>
        <w:tblStyle w:val="Mkatabulky"/>
        <w:tblW w:w="13992" w:type="dxa"/>
        <w:jc w:val="center"/>
        <w:tblLayout w:type="fixed"/>
        <w:tblCellMar>
          <w:top w:w="57" w:type="dxa"/>
          <w:bottom w:w="57" w:type="dxa"/>
        </w:tblCellMar>
        <w:tblLook w:val="04A0" w:firstRow="1" w:lastRow="0" w:firstColumn="1" w:lastColumn="0" w:noHBand="0" w:noVBand="1"/>
      </w:tblPr>
      <w:tblGrid>
        <w:gridCol w:w="1413"/>
        <w:gridCol w:w="1978"/>
        <w:gridCol w:w="2120"/>
        <w:gridCol w:w="2120"/>
        <w:gridCol w:w="2120"/>
        <w:gridCol w:w="2120"/>
        <w:gridCol w:w="2121"/>
      </w:tblGrid>
      <w:tr w:rsidR="000049B6" w:rsidRPr="00E46898" w14:paraId="2D6B02B0" w14:textId="77777777" w:rsidTr="00253B25">
        <w:trPr>
          <w:trHeight w:val="2422"/>
          <w:jc w:val="center"/>
        </w:trPr>
        <w:tc>
          <w:tcPr>
            <w:tcW w:w="1413" w:type="dxa"/>
            <w:vAlign w:val="center"/>
          </w:tcPr>
          <w:p w14:paraId="34009410" w14:textId="233D96B5" w:rsidR="000049B6" w:rsidRPr="00724EEB" w:rsidRDefault="000049B6" w:rsidP="00253B25">
            <w:pPr>
              <w:spacing w:after="120"/>
              <w:jc w:val="center"/>
              <w:rPr>
                <w:rFonts w:ascii="Calibri" w:eastAsia="Calibri" w:hAnsi="Calibri"/>
                <w:sz w:val="18"/>
                <w:szCs w:val="18"/>
                <w:lang w:val="en-GB"/>
              </w:rPr>
            </w:pPr>
            <w:r w:rsidRPr="00724EEB">
              <w:rPr>
                <w:rFonts w:ascii="Calibri" w:eastAsia="Calibri" w:hAnsi="Calibri"/>
                <w:b/>
                <w:sz w:val="24"/>
                <w:szCs w:val="18"/>
                <w:lang w:val="en-GB"/>
              </w:rPr>
              <w:lastRenderedPageBreak/>
              <w:t>Estonia</w:t>
            </w:r>
          </w:p>
          <w:p w14:paraId="153CF5A5" w14:textId="77777777" w:rsidR="000049B6" w:rsidRPr="00E46898" w:rsidRDefault="000049B6" w:rsidP="00253B25">
            <w:pPr>
              <w:jc w:val="center"/>
              <w:rPr>
                <w:rFonts w:ascii="Calibri" w:eastAsia="Calibri" w:hAnsi="Calibri"/>
                <w:sz w:val="18"/>
                <w:szCs w:val="18"/>
              </w:rPr>
            </w:pPr>
            <w:r w:rsidRPr="00E46898">
              <w:rPr>
                <w:rFonts w:ascii="Calibri" w:eastAsia="Calibri" w:hAnsi="Calibri"/>
                <w:noProof/>
                <w:sz w:val="18"/>
                <w:szCs w:val="18"/>
              </w:rPr>
              <w:drawing>
                <wp:inline distT="0" distB="0" distL="0" distR="0" wp14:anchorId="6B3D1509" wp14:editId="215CF694">
                  <wp:extent cx="590400" cy="338400"/>
                  <wp:effectExtent l="19050" t="19050" r="19685" b="2413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0400" cy="338400"/>
                          </a:xfrm>
                          <a:prstGeom prst="rect">
                            <a:avLst/>
                          </a:prstGeom>
                          <a:ln>
                            <a:solidFill>
                              <a:schemeClr val="tx1"/>
                            </a:solidFill>
                          </a:ln>
                        </pic:spPr>
                      </pic:pic>
                    </a:graphicData>
                  </a:graphic>
                </wp:inline>
              </w:drawing>
            </w:r>
          </w:p>
        </w:tc>
        <w:tc>
          <w:tcPr>
            <w:tcW w:w="1978" w:type="dxa"/>
          </w:tcPr>
          <w:p w14:paraId="5EA86786" w14:textId="77777777" w:rsidR="000049B6" w:rsidRPr="00AA7FBA" w:rsidRDefault="000049B6" w:rsidP="00253B25">
            <w:pPr>
              <w:rPr>
                <w:rFonts w:ascii="Calibri" w:eastAsia="Calibri" w:hAnsi="Calibri" w:cs="Calibri"/>
                <w:color w:val="000000"/>
              </w:rPr>
            </w:pPr>
            <w:r w:rsidRPr="00480E4F">
              <w:rPr>
                <w:rFonts w:ascii="Calibri" w:eastAsia="Calibri" w:hAnsi="Calibri" w:cs="Calibri"/>
                <w:iCs/>
                <w:color w:val="000000"/>
                <w:lang w:val="en-GB"/>
              </w:rPr>
              <w:t>Measurable objectives on strategical level are set in the Guidelines for Development of Criminal Policy and in the Internal Security D</w:t>
            </w:r>
            <w:r>
              <w:rPr>
                <w:rFonts w:ascii="Calibri" w:eastAsia="Calibri" w:hAnsi="Calibri" w:cs="Calibri"/>
                <w:iCs/>
                <w:color w:val="000000"/>
                <w:lang w:val="en-GB"/>
              </w:rPr>
              <w:t>evelopment Plan 2015-2020</w:t>
            </w:r>
            <w:r w:rsidRPr="00480E4F">
              <w:rPr>
                <w:rFonts w:ascii="Calibri" w:eastAsia="Calibri" w:hAnsi="Calibri" w:cs="Calibri"/>
                <w:iCs/>
                <w:color w:val="000000"/>
                <w:lang w:val="en-GB"/>
              </w:rPr>
              <w:t>.</w:t>
            </w:r>
          </w:p>
        </w:tc>
        <w:tc>
          <w:tcPr>
            <w:tcW w:w="2120" w:type="dxa"/>
          </w:tcPr>
          <w:p w14:paraId="7D985C70" w14:textId="77777777" w:rsidR="000049B6" w:rsidRPr="00AA7FBA" w:rsidRDefault="000049B6" w:rsidP="00253B25">
            <w:pPr>
              <w:rPr>
                <w:rFonts w:ascii="Calibri" w:eastAsia="Calibri" w:hAnsi="Calibri" w:cs="Calibri"/>
                <w:iCs/>
                <w:color w:val="000000"/>
              </w:rPr>
            </w:pPr>
            <w:r w:rsidRPr="00480E4F">
              <w:rPr>
                <w:rFonts w:ascii="Calibri" w:eastAsia="Calibri" w:hAnsi="Calibri"/>
                <w:iCs/>
                <w:lang w:val="en-GB"/>
              </w:rPr>
              <w:t>The Internal Security Development Plan</w:t>
            </w:r>
            <w:r>
              <w:rPr>
                <w:rFonts w:ascii="Calibri" w:eastAsia="Calibri" w:hAnsi="Calibri"/>
                <w:iCs/>
                <w:lang w:val="en-GB"/>
              </w:rPr>
              <w:t xml:space="preserve"> (ISCD)</w:t>
            </w:r>
            <w:r w:rsidRPr="00480E4F">
              <w:rPr>
                <w:rFonts w:ascii="Calibri" w:eastAsia="Calibri" w:hAnsi="Calibri"/>
                <w:iCs/>
                <w:lang w:val="en-GB"/>
              </w:rPr>
              <w:t xml:space="preserve"> 2015-2020</w:t>
            </w:r>
            <w:r w:rsidRPr="00480E4F">
              <w:rPr>
                <w:rFonts w:ascii="Calibri" w:eastAsia="Calibri" w:hAnsi="Calibri"/>
              </w:rPr>
              <w:t>,</w:t>
            </w:r>
            <w:r>
              <w:rPr>
                <w:rFonts w:ascii="Calibri" w:eastAsia="Calibri" w:hAnsi="Calibri"/>
              </w:rPr>
              <w:t xml:space="preserve"> in more detail</w:t>
            </w:r>
            <w:r w:rsidRPr="00480E4F">
              <w:rPr>
                <w:rFonts w:ascii="Calibri" w:eastAsia="Calibri" w:hAnsi="Calibri"/>
                <w:lang w:val="en-GB"/>
              </w:rPr>
              <w:t xml:space="preserve"> the Safer Communities Programme</w:t>
            </w:r>
          </w:p>
        </w:tc>
        <w:tc>
          <w:tcPr>
            <w:tcW w:w="2120" w:type="dxa"/>
          </w:tcPr>
          <w:p w14:paraId="591F2FF1" w14:textId="77777777" w:rsidR="000049B6" w:rsidRPr="00AA7FBA" w:rsidRDefault="000049B6" w:rsidP="00253B25">
            <w:pPr>
              <w:rPr>
                <w:rFonts w:ascii="Calibri" w:eastAsia="Calibri" w:hAnsi="Calibri" w:cs="Calibri"/>
                <w:color w:val="000000"/>
              </w:rPr>
            </w:pPr>
            <w:r w:rsidRPr="00480E4F">
              <w:rPr>
                <w:rFonts w:ascii="Calibri" w:eastAsia="Calibri" w:hAnsi="Calibri" w:cs="Calibri"/>
                <w:color w:val="000000"/>
                <w:lang w:val="en-GB"/>
              </w:rPr>
              <w:t xml:space="preserve">All ISCD’s programmes have defined objectives and measurable results. The Ministry of the Interior prepares a yearly report for the government on the </w:t>
            </w:r>
            <w:r>
              <w:rPr>
                <w:rFonts w:ascii="Calibri" w:eastAsia="Calibri" w:hAnsi="Calibri" w:cs="Calibri"/>
                <w:color w:val="000000"/>
                <w:lang w:val="en-GB"/>
              </w:rPr>
              <w:t xml:space="preserve">implementation of the </w:t>
            </w:r>
            <w:r w:rsidRPr="00480E4F">
              <w:rPr>
                <w:rFonts w:ascii="Calibri" w:eastAsia="Calibri" w:hAnsi="Calibri" w:cs="Calibri"/>
                <w:color w:val="000000"/>
                <w:lang w:val="en-GB"/>
              </w:rPr>
              <w:t>ISCD’s programmes</w:t>
            </w:r>
            <w:r w:rsidRPr="00AA7FBA">
              <w:rPr>
                <w:rFonts w:ascii="Calibri" w:eastAsia="Calibri" w:hAnsi="Calibri" w:cs="Calibri"/>
                <w:color w:val="000000"/>
              </w:rPr>
              <w:t>.</w:t>
            </w:r>
          </w:p>
        </w:tc>
        <w:tc>
          <w:tcPr>
            <w:tcW w:w="2120" w:type="dxa"/>
          </w:tcPr>
          <w:p w14:paraId="1C7F291D" w14:textId="77777777" w:rsidR="000049B6" w:rsidRPr="00AA7FBA" w:rsidRDefault="000049B6" w:rsidP="00253B25">
            <w:pPr>
              <w:rPr>
                <w:rFonts w:ascii="Calibri" w:eastAsia="Calibri" w:hAnsi="Calibri" w:cs="Calibri"/>
                <w:iCs/>
                <w:color w:val="000000"/>
              </w:rPr>
            </w:pPr>
            <w:r w:rsidRPr="00480E4F">
              <w:rPr>
                <w:rFonts w:ascii="Calibri" w:eastAsia="Calibri" w:hAnsi="Calibri" w:cs="Calibri"/>
                <w:iCs/>
                <w:color w:val="000000"/>
                <w:lang w:val="en-GB"/>
              </w:rPr>
              <w:t xml:space="preserve">The measurable goals usually concentrate on the output of the activities </w:t>
            </w:r>
            <w:r>
              <w:rPr>
                <w:rFonts w:ascii="Calibri" w:eastAsia="Calibri" w:hAnsi="Calibri" w:cs="Calibri"/>
                <w:iCs/>
                <w:color w:val="000000"/>
                <w:lang w:val="en-GB"/>
              </w:rPr>
              <w:t>and not on</w:t>
            </w:r>
            <w:r w:rsidRPr="00480E4F">
              <w:rPr>
                <w:rFonts w:ascii="Calibri" w:eastAsia="Calibri" w:hAnsi="Calibri" w:cs="Calibri"/>
                <w:iCs/>
                <w:color w:val="000000"/>
                <w:lang w:val="en-GB"/>
              </w:rPr>
              <w:t xml:space="preserve"> the impact of certain activities or objectives as it is easier to measure output than impact. The expected impact is usually based on evidence-based assumptions, except in case of goals concerning public awareness.</w:t>
            </w:r>
          </w:p>
        </w:tc>
        <w:tc>
          <w:tcPr>
            <w:tcW w:w="2120" w:type="dxa"/>
          </w:tcPr>
          <w:p w14:paraId="5558FAFA" w14:textId="77777777" w:rsidR="000049B6" w:rsidRPr="00AA7FBA" w:rsidRDefault="000049B6" w:rsidP="00253B25">
            <w:pPr>
              <w:rPr>
                <w:rFonts w:ascii="Calibri" w:eastAsia="Calibri" w:hAnsi="Calibri"/>
              </w:rPr>
            </w:pPr>
            <w:r w:rsidRPr="00542BC2">
              <w:rPr>
                <w:rFonts w:ascii="Calibri" w:eastAsia="Calibri" w:hAnsi="Calibri"/>
                <w:lang w:val="en-GB"/>
              </w:rPr>
              <w:t>The Ministry of the Interior prepares a yearly report for the government on the implementation of the ISCD</w:t>
            </w:r>
            <w:r>
              <w:rPr>
                <w:rFonts w:ascii="Calibri" w:eastAsia="Calibri" w:hAnsi="Calibri"/>
                <w:lang w:val="en-GB"/>
              </w:rPr>
              <w:t xml:space="preserve"> 2015 – 2020.</w:t>
            </w:r>
          </w:p>
        </w:tc>
        <w:tc>
          <w:tcPr>
            <w:tcW w:w="2121" w:type="dxa"/>
          </w:tcPr>
          <w:p w14:paraId="51A12090" w14:textId="77777777" w:rsidR="000049B6" w:rsidRPr="00AA7FBA" w:rsidRDefault="000049B6" w:rsidP="00253B25">
            <w:pPr>
              <w:rPr>
                <w:rFonts w:ascii="Calibri" w:eastAsia="Calibri" w:hAnsi="Calibri" w:cs="Calibri"/>
                <w:iCs/>
                <w:color w:val="000000"/>
              </w:rPr>
            </w:pPr>
            <w:r w:rsidRPr="00542BC2">
              <w:rPr>
                <w:rFonts w:ascii="Calibri" w:eastAsia="Calibri" w:hAnsi="Calibri" w:cs="Calibri"/>
                <w:iCs/>
                <w:color w:val="000000"/>
                <w:lang w:val="en-GB"/>
              </w:rPr>
              <w:t>Most of the crime prevention programmes introduced in Estonia and supported by public funds are evidence-based program</w:t>
            </w:r>
            <w:r>
              <w:rPr>
                <w:rFonts w:ascii="Calibri" w:eastAsia="Calibri" w:hAnsi="Calibri" w:cs="Calibri"/>
                <w:iCs/>
                <w:color w:val="000000"/>
                <w:lang w:val="en-GB"/>
              </w:rPr>
              <w:t>me</w:t>
            </w:r>
            <w:r w:rsidRPr="00542BC2">
              <w:rPr>
                <w:rFonts w:ascii="Calibri" w:eastAsia="Calibri" w:hAnsi="Calibri" w:cs="Calibri"/>
                <w:iCs/>
                <w:color w:val="000000"/>
                <w:lang w:val="en-GB"/>
              </w:rPr>
              <w:t>s originally developed and tested in other European countries. The efficiency is measured by researchers or public bodies as a part of adaption process</w:t>
            </w:r>
            <w:r>
              <w:rPr>
                <w:rFonts w:ascii="Calibri" w:eastAsia="Calibri" w:hAnsi="Calibri" w:cs="Calibri"/>
                <w:iCs/>
                <w:color w:val="000000"/>
                <w:lang w:val="en-GB"/>
              </w:rPr>
              <w:t>.</w:t>
            </w:r>
          </w:p>
        </w:tc>
      </w:tr>
      <w:tr w:rsidR="000049B6" w:rsidRPr="00E46898" w14:paraId="7CE5E71B" w14:textId="77777777" w:rsidTr="00253B25">
        <w:trPr>
          <w:trHeight w:val="2382"/>
          <w:jc w:val="center"/>
        </w:trPr>
        <w:tc>
          <w:tcPr>
            <w:tcW w:w="1413" w:type="dxa"/>
            <w:vAlign w:val="center"/>
          </w:tcPr>
          <w:p w14:paraId="7D52F3A0" w14:textId="77777777" w:rsidR="000049B6" w:rsidRPr="00824D68" w:rsidRDefault="000049B6" w:rsidP="00253B25">
            <w:pPr>
              <w:spacing w:after="120"/>
              <w:jc w:val="center"/>
              <w:rPr>
                <w:rFonts w:ascii="Calibri" w:eastAsia="Calibri" w:hAnsi="Calibri"/>
                <w:b/>
                <w:sz w:val="24"/>
                <w:szCs w:val="18"/>
              </w:rPr>
            </w:pPr>
            <w:r w:rsidRPr="00824D68">
              <w:rPr>
                <w:rFonts w:ascii="Calibri" w:eastAsia="Calibri" w:hAnsi="Calibri"/>
                <w:b/>
                <w:sz w:val="24"/>
                <w:szCs w:val="18"/>
                <w:lang w:val="en"/>
              </w:rPr>
              <w:t>Lithuania</w:t>
            </w:r>
          </w:p>
          <w:p w14:paraId="72592B39" w14:textId="77777777" w:rsidR="000049B6" w:rsidRPr="00E46898" w:rsidRDefault="000049B6" w:rsidP="00253B25">
            <w:pPr>
              <w:spacing w:after="120"/>
              <w:jc w:val="center"/>
              <w:rPr>
                <w:rFonts w:ascii="Calibri" w:eastAsia="Calibri" w:hAnsi="Calibri"/>
                <w:sz w:val="18"/>
                <w:szCs w:val="18"/>
              </w:rPr>
            </w:pPr>
          </w:p>
          <w:p w14:paraId="61DC0B56" w14:textId="77777777" w:rsidR="000049B6" w:rsidRPr="00E46898" w:rsidRDefault="000049B6" w:rsidP="00253B25">
            <w:pPr>
              <w:jc w:val="center"/>
              <w:rPr>
                <w:rFonts w:ascii="Calibri" w:eastAsia="Calibri" w:hAnsi="Calibri"/>
                <w:sz w:val="18"/>
                <w:szCs w:val="18"/>
              </w:rPr>
            </w:pPr>
            <w:r w:rsidRPr="00E46898">
              <w:rPr>
                <w:rFonts w:ascii="Calibri" w:eastAsia="Calibri" w:hAnsi="Calibri"/>
                <w:noProof/>
                <w:sz w:val="18"/>
                <w:szCs w:val="18"/>
              </w:rPr>
              <w:drawing>
                <wp:inline distT="0" distB="0" distL="0" distR="0" wp14:anchorId="066C4C6F" wp14:editId="03BCE870">
                  <wp:extent cx="565200" cy="338400"/>
                  <wp:effectExtent l="19050" t="19050" r="25400" b="2413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5200" cy="338400"/>
                          </a:xfrm>
                          <a:prstGeom prst="rect">
                            <a:avLst/>
                          </a:prstGeom>
                          <a:ln>
                            <a:solidFill>
                              <a:sysClr val="windowText" lastClr="000000"/>
                            </a:solidFill>
                          </a:ln>
                        </pic:spPr>
                      </pic:pic>
                    </a:graphicData>
                  </a:graphic>
                </wp:inline>
              </w:drawing>
            </w:r>
          </w:p>
        </w:tc>
        <w:tc>
          <w:tcPr>
            <w:tcW w:w="1978" w:type="dxa"/>
          </w:tcPr>
          <w:p w14:paraId="51ABD628" w14:textId="77777777" w:rsidR="000049B6" w:rsidRPr="00CB2BDC" w:rsidRDefault="000049B6" w:rsidP="00253B25">
            <w:pPr>
              <w:rPr>
                <w:rFonts w:eastAsia="Calibri" w:cstheme="minorHAnsi"/>
                <w:color w:val="000000"/>
              </w:rPr>
            </w:pPr>
            <w:r w:rsidRPr="00CB2BDC">
              <w:rPr>
                <w:rFonts w:eastAsia="Calibri" w:cstheme="minorHAnsi"/>
                <w:iCs/>
                <w:color w:val="000000"/>
                <w:lang w:val="en-GB"/>
              </w:rPr>
              <w:t>General objectives: improving the coordination mechanism for the prevention of criminal acts and offenses; strengthening the role of municipalities by gradual decentralisation, reducing opportunities for cybercrimes</w:t>
            </w:r>
            <w:r w:rsidRPr="00CB2BDC">
              <w:rPr>
                <w:rFonts w:eastAsia="Calibri" w:cstheme="minorHAnsi"/>
                <w:color w:val="000000"/>
              </w:rPr>
              <w:t>.</w:t>
            </w:r>
          </w:p>
        </w:tc>
        <w:tc>
          <w:tcPr>
            <w:tcW w:w="2120" w:type="dxa"/>
          </w:tcPr>
          <w:p w14:paraId="4843964C" w14:textId="77777777" w:rsidR="000049B6" w:rsidRPr="00CB2BDC" w:rsidRDefault="000049B6" w:rsidP="00253B25">
            <w:pPr>
              <w:rPr>
                <w:rFonts w:eastAsia="Calibri" w:cstheme="minorHAnsi"/>
                <w:iCs/>
                <w:color w:val="000000"/>
              </w:rPr>
            </w:pPr>
            <w:r w:rsidRPr="00CB2BDC">
              <w:rPr>
                <w:rFonts w:eastAsia="Calibri" w:cstheme="minorHAnsi"/>
                <w:lang w:val="en-GB"/>
              </w:rPr>
              <w:t>Public Security Development Programme for the years 2015-2025, which includes the National Crime Prevention and Control Programme</w:t>
            </w:r>
            <w:r w:rsidRPr="00CB2BDC">
              <w:rPr>
                <w:rFonts w:eastAsia="Calibri" w:cstheme="minorHAnsi"/>
              </w:rPr>
              <w:t xml:space="preserve"> </w:t>
            </w:r>
          </w:p>
        </w:tc>
        <w:tc>
          <w:tcPr>
            <w:tcW w:w="2120" w:type="dxa"/>
          </w:tcPr>
          <w:p w14:paraId="63E9AC50" w14:textId="77777777" w:rsidR="000049B6" w:rsidRPr="00CB2BDC" w:rsidRDefault="000049B6" w:rsidP="00253B25">
            <w:pPr>
              <w:rPr>
                <w:rFonts w:eastAsia="Calibri" w:cstheme="minorHAnsi"/>
                <w:color w:val="000000"/>
              </w:rPr>
            </w:pPr>
            <w:proofErr w:type="spellStart"/>
            <w:r w:rsidRPr="00CB2BDC">
              <w:rPr>
                <w:rFonts w:eastAsia="Calibri" w:cstheme="minorHAnsi"/>
                <w:color w:val="000000"/>
                <w:lang w:val="en-GB"/>
              </w:rPr>
              <w:t>Interinstitutional</w:t>
            </w:r>
            <w:proofErr w:type="spellEnd"/>
            <w:r w:rsidRPr="00CB2BDC">
              <w:rPr>
                <w:rFonts w:eastAsia="Calibri" w:cstheme="minorHAnsi"/>
                <w:color w:val="000000"/>
                <w:lang w:val="en-GB"/>
              </w:rPr>
              <w:t xml:space="preserve"> Action Plan for the Implementation of the Public Security Programme indicates implementing institutions, specific criteria for assessment of objectives and tasks of programme´s implementation</w:t>
            </w:r>
            <w:r w:rsidRPr="00CB2BDC">
              <w:rPr>
                <w:rFonts w:eastAsia="Calibri" w:cstheme="minorHAnsi"/>
                <w:color w:val="000000"/>
              </w:rPr>
              <w:t>.</w:t>
            </w:r>
          </w:p>
        </w:tc>
        <w:tc>
          <w:tcPr>
            <w:tcW w:w="2120" w:type="dxa"/>
          </w:tcPr>
          <w:p w14:paraId="16845693" w14:textId="77777777" w:rsidR="000049B6" w:rsidRPr="00CB2BDC" w:rsidRDefault="000049B6" w:rsidP="00253B25">
            <w:pPr>
              <w:rPr>
                <w:rFonts w:eastAsia="Calibri" w:cstheme="minorHAnsi"/>
                <w:color w:val="000000"/>
              </w:rPr>
            </w:pPr>
            <w:r w:rsidRPr="00CB2BDC">
              <w:rPr>
                <w:rFonts w:eastAsia="Calibri" w:cstheme="minorHAnsi"/>
                <w:lang w:val="en-GB"/>
              </w:rPr>
              <w:t>Exact values for each planned year, for instance “to improve the efficiency of criminal acts and offences prevention” with the following assessment criteria as a number of offences per 100 thousand of residents; police response (arrival), number of killed persons per 100 thousand of residents, etc.</w:t>
            </w:r>
            <w:r w:rsidRPr="00CB2BDC">
              <w:rPr>
                <w:rFonts w:eastAsia="Calibri" w:cstheme="minorHAnsi"/>
              </w:rPr>
              <w:t>.</w:t>
            </w:r>
          </w:p>
        </w:tc>
        <w:tc>
          <w:tcPr>
            <w:tcW w:w="2120" w:type="dxa"/>
          </w:tcPr>
          <w:p w14:paraId="6DFA1340" w14:textId="77777777" w:rsidR="000049B6" w:rsidRPr="00CB2BDC" w:rsidRDefault="000049B6" w:rsidP="00253B25">
            <w:pPr>
              <w:rPr>
                <w:rFonts w:eastAsia="Calibri" w:cstheme="minorHAnsi"/>
              </w:rPr>
            </w:pPr>
            <w:r w:rsidRPr="00CB2BDC">
              <w:rPr>
                <w:rFonts w:eastAsia="Calibri" w:cstheme="minorHAnsi"/>
                <w:lang w:val="en-GB"/>
              </w:rPr>
              <w:t>The Ministry of the Interior monitors the implementation and effectiveness of the Public Security Programme.</w:t>
            </w:r>
          </w:p>
        </w:tc>
        <w:tc>
          <w:tcPr>
            <w:tcW w:w="2121" w:type="dxa"/>
          </w:tcPr>
          <w:p w14:paraId="2DC173E4" w14:textId="77777777" w:rsidR="000049B6" w:rsidRPr="00CB2BDC" w:rsidRDefault="000049B6" w:rsidP="00253B25">
            <w:pPr>
              <w:rPr>
                <w:rFonts w:eastAsia="Calibri" w:cstheme="minorHAnsi"/>
                <w:iCs/>
                <w:color w:val="000000"/>
              </w:rPr>
            </w:pPr>
            <w:r w:rsidRPr="00CB2BDC">
              <w:rPr>
                <w:rFonts w:eastAsia="Calibri" w:cstheme="minorHAnsi"/>
                <w:iCs/>
                <w:color w:val="000000"/>
                <w:lang w:val="en"/>
              </w:rPr>
              <w:t xml:space="preserve">closer unspecified </w:t>
            </w:r>
          </w:p>
          <w:p w14:paraId="7187AC32" w14:textId="77777777" w:rsidR="000049B6" w:rsidRPr="00CB2BDC" w:rsidRDefault="000049B6" w:rsidP="00253B25">
            <w:pPr>
              <w:rPr>
                <w:rFonts w:eastAsia="Calibri" w:cstheme="minorHAnsi"/>
                <w:iCs/>
                <w:color w:val="000000"/>
              </w:rPr>
            </w:pPr>
          </w:p>
        </w:tc>
      </w:tr>
      <w:tr w:rsidR="000049B6" w:rsidRPr="00E46898" w14:paraId="42F65990" w14:textId="77777777" w:rsidTr="00253B25">
        <w:trPr>
          <w:trHeight w:val="1535"/>
          <w:jc w:val="center"/>
        </w:trPr>
        <w:tc>
          <w:tcPr>
            <w:tcW w:w="1413" w:type="dxa"/>
            <w:vAlign w:val="center"/>
          </w:tcPr>
          <w:p w14:paraId="1ADFFB36" w14:textId="77777777" w:rsidR="000049B6" w:rsidRPr="00E46898" w:rsidRDefault="000049B6" w:rsidP="00253B25">
            <w:pPr>
              <w:spacing w:after="120"/>
              <w:jc w:val="center"/>
              <w:rPr>
                <w:rFonts w:ascii="Calibri" w:eastAsia="Calibri" w:hAnsi="Calibri"/>
                <w:sz w:val="18"/>
                <w:szCs w:val="18"/>
              </w:rPr>
            </w:pPr>
            <w:proofErr w:type="spellStart"/>
            <w:r>
              <w:rPr>
                <w:rFonts w:ascii="Calibri" w:eastAsia="Calibri" w:hAnsi="Calibri"/>
                <w:b/>
                <w:sz w:val="24"/>
                <w:szCs w:val="18"/>
              </w:rPr>
              <w:lastRenderedPageBreak/>
              <w:t>Finland</w:t>
            </w:r>
            <w:proofErr w:type="spellEnd"/>
          </w:p>
          <w:p w14:paraId="1DB4F899" w14:textId="77777777" w:rsidR="000049B6" w:rsidRPr="00E46898" w:rsidRDefault="000049B6" w:rsidP="00253B25">
            <w:pPr>
              <w:jc w:val="center"/>
              <w:rPr>
                <w:rFonts w:ascii="Calibri" w:eastAsia="Calibri" w:hAnsi="Calibri"/>
                <w:sz w:val="18"/>
                <w:szCs w:val="18"/>
              </w:rPr>
            </w:pPr>
            <w:r w:rsidRPr="00E46898">
              <w:rPr>
                <w:rFonts w:ascii="Calibri" w:eastAsia="Calibri" w:hAnsi="Calibri"/>
                <w:noProof/>
                <w:sz w:val="18"/>
                <w:szCs w:val="18"/>
              </w:rPr>
              <w:drawing>
                <wp:inline distT="0" distB="0" distL="0" distR="0" wp14:anchorId="012DC750" wp14:editId="54440B7F">
                  <wp:extent cx="554400" cy="338400"/>
                  <wp:effectExtent l="19050" t="19050" r="17145" b="2413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4400" cy="338400"/>
                          </a:xfrm>
                          <a:prstGeom prst="rect">
                            <a:avLst/>
                          </a:prstGeom>
                          <a:ln>
                            <a:solidFill>
                              <a:sysClr val="windowText" lastClr="000000"/>
                            </a:solidFill>
                          </a:ln>
                        </pic:spPr>
                      </pic:pic>
                    </a:graphicData>
                  </a:graphic>
                </wp:inline>
              </w:drawing>
            </w:r>
          </w:p>
        </w:tc>
        <w:tc>
          <w:tcPr>
            <w:tcW w:w="1978" w:type="dxa"/>
          </w:tcPr>
          <w:p w14:paraId="42B1BEFA" w14:textId="77777777" w:rsidR="000049B6" w:rsidRPr="00CB2BDC" w:rsidRDefault="000049B6" w:rsidP="00253B25">
            <w:pPr>
              <w:rPr>
                <w:rFonts w:eastAsia="Calibri" w:cstheme="minorHAnsi"/>
              </w:rPr>
            </w:pPr>
            <w:r w:rsidRPr="00CB2BDC">
              <w:rPr>
                <w:rFonts w:eastAsia="Calibri" w:cstheme="minorHAnsi"/>
                <w:lang w:val="en-GB"/>
              </w:rPr>
              <w:t>Reducing crime and its harmful effects and crime prevention.</w:t>
            </w:r>
          </w:p>
        </w:tc>
        <w:tc>
          <w:tcPr>
            <w:tcW w:w="2120" w:type="dxa"/>
          </w:tcPr>
          <w:p w14:paraId="37F85BE8" w14:textId="77777777" w:rsidR="000049B6" w:rsidRPr="00CB2BDC" w:rsidRDefault="000049B6" w:rsidP="00253B25">
            <w:pPr>
              <w:rPr>
                <w:rFonts w:eastAsia="Calibri" w:cstheme="minorHAnsi"/>
                <w:iCs/>
                <w:color w:val="000000"/>
              </w:rPr>
            </w:pPr>
            <w:r w:rsidRPr="00CB2BDC">
              <w:rPr>
                <w:rFonts w:cstheme="minorHAnsi"/>
                <w:color w:val="000000"/>
                <w:lang w:val="en-GB"/>
              </w:rPr>
              <w:t>T</w:t>
            </w:r>
            <w:hyperlink r:id="rId18">
              <w:r w:rsidRPr="00CB2BDC">
                <w:rPr>
                  <w:rFonts w:cstheme="minorHAnsi"/>
                  <w:color w:val="000000"/>
                  <w:lang w:val="en-GB"/>
                </w:rPr>
                <w:t>he National Crime Prevention</w:t>
              </w:r>
            </w:hyperlink>
            <w:hyperlink r:id="rId19">
              <w:r w:rsidRPr="00CB2BDC">
                <w:rPr>
                  <w:rFonts w:cstheme="minorHAnsi"/>
                  <w:color w:val="000000"/>
                  <w:lang w:val="en-GB"/>
                </w:rPr>
                <w:t xml:space="preserve"> </w:t>
              </w:r>
            </w:hyperlink>
            <w:hyperlink r:id="rId20">
              <w:r w:rsidRPr="00CB2BDC">
                <w:rPr>
                  <w:rFonts w:cstheme="minorHAnsi"/>
                  <w:color w:val="000000"/>
                  <w:lang w:val="en-GB"/>
                </w:rPr>
                <w:t xml:space="preserve">Programme for 2016 </w:t>
              </w:r>
            </w:hyperlink>
            <w:hyperlink r:id="rId21">
              <w:r w:rsidRPr="00CB2BDC">
                <w:rPr>
                  <w:rFonts w:cstheme="minorHAnsi"/>
                  <w:color w:val="000000"/>
                  <w:lang w:val="en-GB"/>
                </w:rPr>
                <w:t xml:space="preserve">– </w:t>
              </w:r>
            </w:hyperlink>
            <w:hyperlink r:id="rId22">
              <w:r w:rsidRPr="00CB2BDC">
                <w:rPr>
                  <w:rFonts w:cstheme="minorHAnsi"/>
                  <w:color w:val="000000"/>
                  <w:lang w:val="en-GB"/>
                </w:rPr>
                <w:t>2020</w:t>
              </w:r>
            </w:hyperlink>
            <w:r w:rsidRPr="00CB2BDC">
              <w:rPr>
                <w:rFonts w:cstheme="minorHAnsi"/>
                <w:color w:val="000000"/>
                <w:lang w:val="en-GB"/>
              </w:rPr>
              <w:t>.</w:t>
            </w:r>
          </w:p>
        </w:tc>
        <w:tc>
          <w:tcPr>
            <w:tcW w:w="2120" w:type="dxa"/>
          </w:tcPr>
          <w:p w14:paraId="4DEA9A03" w14:textId="77777777" w:rsidR="000049B6" w:rsidRPr="00CB2BDC" w:rsidRDefault="000049B6" w:rsidP="00253B25">
            <w:pPr>
              <w:rPr>
                <w:rFonts w:eastAsia="Calibri" w:cstheme="minorHAnsi"/>
              </w:rPr>
            </w:pPr>
            <w:r w:rsidRPr="00CB2BDC">
              <w:rPr>
                <w:rFonts w:eastAsia="Calibri" w:cstheme="minorHAnsi"/>
                <w:lang w:val="en-GB"/>
              </w:rPr>
              <w:t>The programme has five main objectives and it includes a total of 29 measures to improve local crime prevention.</w:t>
            </w:r>
          </w:p>
        </w:tc>
        <w:tc>
          <w:tcPr>
            <w:tcW w:w="2120" w:type="dxa"/>
          </w:tcPr>
          <w:p w14:paraId="3C2350EA" w14:textId="77777777" w:rsidR="000049B6" w:rsidRPr="00CB2BDC" w:rsidRDefault="000049B6" w:rsidP="00253B25">
            <w:pPr>
              <w:rPr>
                <w:rFonts w:eastAsia="Calibri" w:cstheme="minorHAnsi"/>
                <w:iCs/>
                <w:color w:val="000000"/>
              </w:rPr>
            </w:pPr>
            <w:r w:rsidRPr="00CB2BDC">
              <w:rPr>
                <w:rFonts w:eastAsia="Calibri" w:cstheme="minorHAnsi"/>
                <w:lang w:val="en-GB"/>
              </w:rPr>
              <w:t>The programme aims to improve local crime prevention and to promote the participation of residents in local activities.</w:t>
            </w:r>
          </w:p>
        </w:tc>
        <w:tc>
          <w:tcPr>
            <w:tcW w:w="2120" w:type="dxa"/>
          </w:tcPr>
          <w:p w14:paraId="31E3E319" w14:textId="77777777" w:rsidR="000049B6" w:rsidRPr="00CB2BDC" w:rsidRDefault="000049B6" w:rsidP="00253B25">
            <w:pPr>
              <w:rPr>
                <w:rFonts w:eastAsia="Calibri" w:cstheme="minorHAnsi"/>
                <w:lang w:val="en-GB"/>
              </w:rPr>
            </w:pPr>
            <w:r w:rsidRPr="00CB2BDC">
              <w:rPr>
                <w:rFonts w:eastAsia="Calibri" w:cstheme="minorHAnsi"/>
                <w:lang w:val="en-GB"/>
              </w:rPr>
              <w:t xml:space="preserve">Annual monitoring, </w:t>
            </w:r>
          </w:p>
          <w:p w14:paraId="0E8BF181" w14:textId="77777777" w:rsidR="000049B6" w:rsidRPr="00CB2BDC" w:rsidRDefault="000049B6" w:rsidP="00253B25">
            <w:pPr>
              <w:rPr>
                <w:rFonts w:eastAsia="Calibri" w:cstheme="minorHAnsi"/>
                <w:lang w:val="en-GB"/>
              </w:rPr>
            </w:pPr>
            <w:r w:rsidRPr="00CB2BDC">
              <w:rPr>
                <w:rFonts w:eastAsia="Calibri" w:cstheme="minorHAnsi"/>
                <w:lang w:val="en-GB"/>
              </w:rPr>
              <w:t xml:space="preserve">there is also a </w:t>
            </w:r>
            <w:hyperlink r:id="rId23">
              <w:r w:rsidRPr="00CB2BDC">
                <w:rPr>
                  <w:rFonts w:cstheme="minorHAnsi"/>
                  <w:lang w:val="en-GB"/>
                </w:rPr>
                <w:t>database</w:t>
              </w:r>
            </w:hyperlink>
            <w:r w:rsidRPr="00CB2BDC">
              <w:rPr>
                <w:rFonts w:eastAsia="Calibri" w:cstheme="minorHAnsi"/>
                <w:lang w:val="en-GB"/>
              </w:rPr>
              <w:t xml:space="preserve"> on Finnish evaluation research on crime prevention in place</w:t>
            </w:r>
            <w:hyperlink r:id="rId24">
              <w:r w:rsidRPr="00CB2BDC">
                <w:rPr>
                  <w:rFonts w:cstheme="minorHAnsi"/>
                  <w:lang w:val="en-GB"/>
                </w:rPr>
                <w:t xml:space="preserve"> </w:t>
              </w:r>
            </w:hyperlink>
            <w:r w:rsidRPr="00CB2BDC">
              <w:rPr>
                <w:rFonts w:eastAsia="Calibri" w:cstheme="minorHAnsi"/>
                <w:lang w:val="en-GB"/>
              </w:rPr>
              <w:t xml:space="preserve">covering both process evaluations as well as impact evaluations. </w:t>
            </w:r>
          </w:p>
        </w:tc>
        <w:tc>
          <w:tcPr>
            <w:tcW w:w="2121" w:type="dxa"/>
          </w:tcPr>
          <w:p w14:paraId="29BC96EA" w14:textId="77777777" w:rsidR="000049B6" w:rsidRPr="00CB2BDC" w:rsidRDefault="000049B6" w:rsidP="00253B25">
            <w:pPr>
              <w:rPr>
                <w:rFonts w:eastAsia="Calibri" w:cstheme="minorHAnsi"/>
                <w:iCs/>
                <w:color w:val="000000"/>
              </w:rPr>
            </w:pPr>
            <w:r w:rsidRPr="00CB2BDC">
              <w:rPr>
                <w:rFonts w:eastAsia="Calibri" w:cstheme="minorHAnsi"/>
                <w:lang w:val="en-GB"/>
              </w:rPr>
              <w:t>The applicants must assess e.g. the effectiveness of the results and present a plan of the evaluation of the project in their application.</w:t>
            </w:r>
          </w:p>
        </w:tc>
      </w:tr>
      <w:tr w:rsidR="000049B6" w:rsidRPr="00E46898" w14:paraId="42926ACC" w14:textId="77777777" w:rsidTr="00253B25">
        <w:trPr>
          <w:trHeight w:val="1535"/>
          <w:jc w:val="center"/>
        </w:trPr>
        <w:tc>
          <w:tcPr>
            <w:tcW w:w="1413" w:type="dxa"/>
            <w:vAlign w:val="center"/>
          </w:tcPr>
          <w:p w14:paraId="7FD6B8E2" w14:textId="77777777" w:rsidR="000049B6" w:rsidRPr="00724EEB" w:rsidRDefault="000049B6" w:rsidP="00253B25">
            <w:pPr>
              <w:spacing w:after="120"/>
              <w:jc w:val="center"/>
              <w:rPr>
                <w:rFonts w:ascii="Calibri" w:eastAsia="Calibri" w:hAnsi="Calibri"/>
                <w:b/>
                <w:sz w:val="24"/>
                <w:szCs w:val="18"/>
                <w:lang w:val="en-GB"/>
              </w:rPr>
            </w:pPr>
            <w:r w:rsidRPr="00724EEB">
              <w:rPr>
                <w:rFonts w:ascii="Calibri" w:eastAsia="Calibri" w:hAnsi="Calibri"/>
                <w:b/>
                <w:sz w:val="24"/>
                <w:szCs w:val="18"/>
                <w:lang w:val="en-GB"/>
              </w:rPr>
              <w:t>Poland</w:t>
            </w:r>
          </w:p>
          <w:p w14:paraId="6B7FB28E" w14:textId="77777777" w:rsidR="000049B6" w:rsidRPr="00724EEB" w:rsidRDefault="000049B6" w:rsidP="00253B25">
            <w:pPr>
              <w:spacing w:after="120"/>
              <w:jc w:val="center"/>
              <w:rPr>
                <w:rFonts w:ascii="Calibri" w:eastAsia="Calibri" w:hAnsi="Calibri"/>
                <w:b/>
                <w:sz w:val="24"/>
                <w:szCs w:val="18"/>
                <w:lang w:val="en-GB"/>
              </w:rPr>
            </w:pPr>
            <w:r w:rsidRPr="00724EEB">
              <w:rPr>
                <w:rFonts w:ascii="Calibri" w:eastAsia="Calibri" w:hAnsi="Calibri"/>
                <w:b/>
                <w:noProof/>
                <w:szCs w:val="18"/>
              </w:rPr>
              <w:drawing>
                <wp:inline distT="0" distB="0" distL="0" distR="0" wp14:anchorId="5179F342" wp14:editId="4E761466">
                  <wp:extent cx="540000" cy="338400"/>
                  <wp:effectExtent l="19050" t="19050" r="12700" b="2413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sko.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00" cy="338400"/>
                          </a:xfrm>
                          <a:prstGeom prst="rect">
                            <a:avLst/>
                          </a:prstGeom>
                          <a:ln>
                            <a:solidFill>
                              <a:schemeClr val="tx1"/>
                            </a:solidFill>
                          </a:ln>
                        </pic:spPr>
                      </pic:pic>
                    </a:graphicData>
                  </a:graphic>
                </wp:inline>
              </w:drawing>
            </w:r>
          </w:p>
        </w:tc>
        <w:tc>
          <w:tcPr>
            <w:tcW w:w="1978" w:type="dxa"/>
          </w:tcPr>
          <w:p w14:paraId="1CF1E68D" w14:textId="77777777" w:rsidR="000049B6" w:rsidRPr="00724EEB" w:rsidRDefault="000049B6" w:rsidP="00253B25">
            <w:pPr>
              <w:rPr>
                <w:rFonts w:ascii="Calibri" w:eastAsia="Calibri" w:hAnsi="Calibri" w:cs="Calibri"/>
                <w:iCs/>
                <w:color w:val="000000"/>
                <w:lang w:val="en-GB"/>
              </w:rPr>
            </w:pPr>
            <w:r w:rsidRPr="00724EEB">
              <w:rPr>
                <w:rFonts w:ascii="Calibri" w:eastAsia="Calibri" w:hAnsi="Calibri" w:cs="Calibri"/>
                <w:iCs/>
                <w:color w:val="000000"/>
                <w:lang w:val="en-GB"/>
              </w:rPr>
              <w:t>Strategic objectives are e.g.</w:t>
            </w:r>
            <w:r>
              <w:rPr>
                <w:rFonts w:ascii="Calibri" w:eastAsia="Calibri" w:hAnsi="Calibri" w:cs="Calibri"/>
                <w:iCs/>
                <w:color w:val="000000"/>
                <w:lang w:val="en-GB"/>
              </w:rPr>
              <w:t xml:space="preserve"> </w:t>
            </w:r>
            <w:r w:rsidRPr="00724EEB">
              <w:rPr>
                <w:rFonts w:ascii="Calibri" w:eastAsia="Calibri" w:hAnsi="Calibri" w:cs="Calibri"/>
                <w:iCs/>
                <w:color w:val="000000"/>
                <w:lang w:val="en-GB"/>
              </w:rPr>
              <w:t>“to ensure high level of security and public order</w:t>
            </w:r>
            <w:r>
              <w:rPr>
                <w:rFonts w:ascii="Calibri" w:eastAsia="Calibri" w:hAnsi="Calibri" w:cs="Calibri"/>
                <w:iCs/>
                <w:color w:val="000000"/>
                <w:lang w:val="en-GB"/>
              </w:rPr>
              <w:t>.</w:t>
            </w:r>
            <w:r w:rsidRPr="00724EEB">
              <w:rPr>
                <w:rFonts w:ascii="Calibri" w:eastAsia="Calibri" w:hAnsi="Calibri" w:cs="Calibri"/>
                <w:iCs/>
                <w:color w:val="000000"/>
                <w:lang w:val="en-GB"/>
              </w:rPr>
              <w:t>“</w:t>
            </w:r>
          </w:p>
        </w:tc>
        <w:tc>
          <w:tcPr>
            <w:tcW w:w="2120" w:type="dxa"/>
          </w:tcPr>
          <w:p w14:paraId="07267788" w14:textId="77777777" w:rsidR="000049B6" w:rsidRPr="00724EEB" w:rsidRDefault="000049B6" w:rsidP="00253B25">
            <w:pPr>
              <w:rPr>
                <w:rFonts w:ascii="Calibri" w:eastAsia="Calibri" w:hAnsi="Calibri" w:cs="Calibri"/>
                <w:iCs/>
                <w:color w:val="000000"/>
                <w:lang w:val="en-GB"/>
              </w:rPr>
            </w:pPr>
            <w:r w:rsidRPr="00724EEB">
              <w:rPr>
                <w:rFonts w:ascii="Calibri" w:eastAsia="Calibri" w:hAnsi="Calibri" w:cs="Calibri"/>
                <w:iCs/>
                <w:color w:val="000000"/>
                <w:lang w:val="en-GB"/>
              </w:rPr>
              <w:t>Government´s “Programme for Prevention and Combat of Economic Crime for 2015-2020”, Crime and Anti-Social Behaviour Limiting Programme Safer Together for 2018-2020, The Programme for Prevention of Crime Causes for 2019-2023.</w:t>
            </w:r>
          </w:p>
        </w:tc>
        <w:tc>
          <w:tcPr>
            <w:tcW w:w="2120" w:type="dxa"/>
          </w:tcPr>
          <w:p w14:paraId="69C45ABF" w14:textId="77777777" w:rsidR="000049B6" w:rsidRPr="00724EEB" w:rsidRDefault="000049B6" w:rsidP="00253B25">
            <w:pPr>
              <w:rPr>
                <w:rFonts w:ascii="Calibri" w:eastAsia="Calibri" w:hAnsi="Calibri" w:cs="Calibri"/>
                <w:iCs/>
                <w:color w:val="000000"/>
                <w:lang w:val="en-GB"/>
              </w:rPr>
            </w:pPr>
            <w:r w:rsidRPr="00724EEB">
              <w:rPr>
                <w:rFonts w:ascii="Calibri" w:eastAsia="Calibri" w:hAnsi="Calibri" w:cs="Calibri"/>
                <w:iCs/>
                <w:color w:val="000000"/>
                <w:lang w:val="en-GB"/>
              </w:rPr>
              <w:t>The objectives are set out in specific projects through grant agreements without measurable results.</w:t>
            </w:r>
          </w:p>
          <w:p w14:paraId="2CDA3006" w14:textId="77777777" w:rsidR="000049B6" w:rsidRPr="00724EEB" w:rsidRDefault="000049B6" w:rsidP="00253B25">
            <w:pPr>
              <w:rPr>
                <w:rFonts w:ascii="Calibri" w:eastAsia="Calibri" w:hAnsi="Calibri" w:cs="Calibri"/>
                <w:iCs/>
                <w:color w:val="000000"/>
                <w:lang w:val="en-GB"/>
              </w:rPr>
            </w:pPr>
            <w:r w:rsidRPr="00724EEB">
              <w:rPr>
                <w:rFonts w:ascii="Calibri" w:eastAsia="Calibri" w:hAnsi="Calibri" w:cs="Calibri"/>
                <w:iCs/>
                <w:color w:val="000000"/>
                <w:lang w:val="en-GB"/>
              </w:rPr>
              <w:t xml:space="preserve"> </w:t>
            </w:r>
          </w:p>
        </w:tc>
        <w:tc>
          <w:tcPr>
            <w:tcW w:w="2120" w:type="dxa"/>
          </w:tcPr>
          <w:p w14:paraId="49711977" w14:textId="77777777" w:rsidR="000049B6" w:rsidRPr="00724EEB" w:rsidRDefault="000049B6" w:rsidP="00253B25">
            <w:pPr>
              <w:rPr>
                <w:rFonts w:ascii="Calibri" w:eastAsia="Calibri" w:hAnsi="Calibri" w:cs="Calibri"/>
                <w:iCs/>
                <w:color w:val="000000"/>
                <w:lang w:val="en-GB"/>
              </w:rPr>
            </w:pPr>
            <w:r w:rsidRPr="00724EEB">
              <w:rPr>
                <w:rFonts w:ascii="Calibri" w:eastAsia="Calibri" w:hAnsi="Calibri" w:cs="Calibri"/>
                <w:iCs/>
                <w:color w:val="000000"/>
                <w:lang w:val="en-GB"/>
              </w:rPr>
              <w:t>Defined by general activities such as organizing and implementing information campaigns and projects, R&amp;D work, distribution of publications, expanding the crime victim support network, etc.</w:t>
            </w:r>
          </w:p>
          <w:p w14:paraId="12EAC86B" w14:textId="77777777" w:rsidR="000049B6" w:rsidRPr="00724EEB" w:rsidRDefault="000049B6" w:rsidP="00253B25">
            <w:pPr>
              <w:rPr>
                <w:rFonts w:ascii="Calibri" w:eastAsia="Calibri" w:hAnsi="Calibri" w:cs="Calibri"/>
                <w:iCs/>
                <w:color w:val="000000"/>
                <w:lang w:val="en-GB"/>
              </w:rPr>
            </w:pPr>
          </w:p>
          <w:p w14:paraId="541770B6" w14:textId="77777777" w:rsidR="000049B6" w:rsidRPr="00724EEB" w:rsidRDefault="000049B6" w:rsidP="00253B25">
            <w:pPr>
              <w:rPr>
                <w:rFonts w:ascii="Calibri" w:eastAsia="Calibri" w:hAnsi="Calibri" w:cs="Calibri"/>
                <w:i/>
                <w:iCs/>
                <w:color w:val="000000"/>
                <w:lang w:val="en-GB"/>
              </w:rPr>
            </w:pPr>
          </w:p>
        </w:tc>
        <w:tc>
          <w:tcPr>
            <w:tcW w:w="2120" w:type="dxa"/>
          </w:tcPr>
          <w:p w14:paraId="224BC6AB" w14:textId="77777777" w:rsidR="000049B6" w:rsidRPr="00724EEB" w:rsidRDefault="000049B6" w:rsidP="00253B25">
            <w:pPr>
              <w:rPr>
                <w:rFonts w:ascii="Calibri" w:eastAsia="Calibri" w:hAnsi="Calibri" w:cs="Calibri"/>
                <w:iCs/>
                <w:color w:val="000000"/>
                <w:lang w:val="en-GB"/>
              </w:rPr>
            </w:pPr>
            <w:r w:rsidRPr="00724EEB">
              <w:rPr>
                <w:rFonts w:ascii="Calibri" w:eastAsia="Calibri" w:hAnsi="Calibri" w:cs="Calibri"/>
                <w:iCs/>
                <w:color w:val="000000"/>
                <w:lang w:val="en-GB"/>
              </w:rPr>
              <w:t>The Centre for Public Opinion Research conducts annual studies to examine the sense of security amongst Poles. After the completion of the ex-post evaluation is conducted</w:t>
            </w:r>
            <w:r>
              <w:rPr>
                <w:rFonts w:ascii="Calibri" w:eastAsia="Calibri" w:hAnsi="Calibri" w:cs="Calibri"/>
                <w:iCs/>
                <w:color w:val="000000"/>
                <w:lang w:val="en-GB"/>
              </w:rPr>
              <w:t>.</w:t>
            </w:r>
          </w:p>
        </w:tc>
        <w:tc>
          <w:tcPr>
            <w:tcW w:w="2121" w:type="dxa"/>
          </w:tcPr>
          <w:p w14:paraId="50114BB6" w14:textId="77777777" w:rsidR="000049B6" w:rsidRPr="00724EEB" w:rsidRDefault="000049B6" w:rsidP="00253B25">
            <w:pPr>
              <w:rPr>
                <w:rFonts w:ascii="Calibri" w:eastAsia="Calibri" w:hAnsi="Calibri" w:cs="Calibri"/>
                <w:iCs/>
                <w:color w:val="000000"/>
                <w:lang w:val="en-GB"/>
              </w:rPr>
            </w:pPr>
            <w:r w:rsidRPr="00724EEB">
              <w:rPr>
                <w:rFonts w:ascii="Calibri" w:eastAsia="Calibri" w:hAnsi="Calibri" w:cs="Calibri"/>
                <w:iCs/>
                <w:color w:val="000000"/>
                <w:lang w:val="en-GB"/>
              </w:rPr>
              <w:t>The Programme is analysed, its achievement reviewed, its results are assessed and areas to be improved are identified</w:t>
            </w:r>
            <w:r>
              <w:rPr>
                <w:rFonts w:ascii="Calibri" w:eastAsia="Calibri" w:hAnsi="Calibri" w:cs="Calibri"/>
                <w:iCs/>
                <w:color w:val="000000"/>
                <w:lang w:val="en-GB"/>
              </w:rPr>
              <w:t>.</w:t>
            </w:r>
          </w:p>
        </w:tc>
      </w:tr>
    </w:tbl>
    <w:p w14:paraId="0617DA3F" w14:textId="77777777" w:rsidR="000049B6" w:rsidRPr="00CB2BDC" w:rsidRDefault="000049B6" w:rsidP="000049B6">
      <w:pPr>
        <w:rPr>
          <w:rFonts w:eastAsia="Times New Roman" w:cstheme="minorHAnsi"/>
          <w:lang w:eastAsia="cs-CZ"/>
        </w:rPr>
      </w:pPr>
      <w:r w:rsidRPr="00CB2BDC">
        <w:rPr>
          <w:rFonts w:eastAsia="Times New Roman" w:cstheme="minorHAnsi"/>
          <w:b/>
          <w:lang w:val="en" w:eastAsia="cs-CZ"/>
        </w:rPr>
        <w:t>Source:</w:t>
      </w:r>
      <w:r w:rsidRPr="00CB2BDC">
        <w:rPr>
          <w:rFonts w:eastAsia="Times New Roman" w:cstheme="minorHAnsi"/>
          <w:lang w:val="en" w:eastAsia="cs-CZ"/>
        </w:rPr>
        <w:t xml:space="preserve"> survey results.</w:t>
      </w:r>
    </w:p>
    <w:p w14:paraId="5C1C56F6" w14:textId="77777777" w:rsidR="000049B6" w:rsidRPr="009830D9" w:rsidRDefault="000049B6" w:rsidP="000049B6">
      <w:pPr>
        <w:rPr>
          <w:rFonts w:ascii="Calibri" w:eastAsia="Times New Roman" w:hAnsi="Calibri" w:cs="Calibri"/>
          <w:i/>
          <w:iCs/>
          <w:color w:val="000000"/>
          <w:sz w:val="20"/>
          <w:szCs w:val="20"/>
          <w:lang w:eastAsia="cs-CZ"/>
        </w:rPr>
      </w:pPr>
    </w:p>
    <w:p w14:paraId="2D13D2A0" w14:textId="63196CC2" w:rsidR="00DD6775" w:rsidRPr="000049B6" w:rsidRDefault="00DD6775" w:rsidP="000049B6">
      <w:pPr>
        <w:rPr>
          <w:rFonts w:cstheme="minorHAnsi"/>
          <w:lang w:val="en-GB"/>
        </w:rPr>
      </w:pPr>
    </w:p>
    <w:sectPr w:rsidR="00DD6775" w:rsidRPr="000049B6" w:rsidSect="005C1D11">
      <w:footerReference w:type="default" r:id="rId2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83550" w14:textId="77777777" w:rsidR="007E6D67" w:rsidRDefault="007E6D67">
      <w:r>
        <w:separator/>
      </w:r>
    </w:p>
  </w:endnote>
  <w:endnote w:type="continuationSeparator" w:id="0">
    <w:p w14:paraId="564BFC40" w14:textId="77777777" w:rsidR="007E6D67" w:rsidRDefault="007E6D67">
      <w:r>
        <w:continuationSeparator/>
      </w:r>
    </w:p>
  </w:endnote>
  <w:endnote w:type="continuationNotice" w:id="1">
    <w:p w14:paraId="2710DD40" w14:textId="77777777" w:rsidR="007E6D67" w:rsidRDefault="007E6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100155"/>
      <w:docPartObj>
        <w:docPartGallery w:val="Page Numbers (Bottom of Page)"/>
        <w:docPartUnique/>
      </w:docPartObj>
    </w:sdtPr>
    <w:sdtEndPr>
      <w:rPr>
        <w:noProof/>
      </w:rPr>
    </w:sdtEndPr>
    <w:sdtContent>
      <w:p w14:paraId="061A28B5" w14:textId="3AA6EAD4" w:rsidR="007204A3" w:rsidRDefault="007204A3" w:rsidP="00A265C3">
        <w:pPr>
          <w:pStyle w:val="Zpat"/>
          <w:jc w:val="center"/>
          <w:rPr>
            <w:noProof/>
          </w:rPr>
        </w:pPr>
        <w:r w:rsidRPr="00634727">
          <w:rPr>
            <w:noProof/>
          </w:rPr>
          <w:fldChar w:fldCharType="begin"/>
        </w:r>
        <w:r w:rsidRPr="00634727">
          <w:rPr>
            <w:noProof/>
          </w:rPr>
          <w:instrText>PAGE   \* MERGEFORMAT</w:instrText>
        </w:r>
        <w:r w:rsidRPr="00634727">
          <w:rPr>
            <w:noProof/>
          </w:rPr>
          <w:fldChar w:fldCharType="separate"/>
        </w:r>
        <w:r w:rsidR="00BD636B">
          <w:rPr>
            <w:noProof/>
          </w:rPr>
          <w:t>4</w:t>
        </w:r>
        <w:r w:rsidRPr="00634727">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16825"/>
      <w:docPartObj>
        <w:docPartGallery w:val="Page Numbers (Bottom of Page)"/>
        <w:docPartUnique/>
      </w:docPartObj>
    </w:sdtPr>
    <w:sdtEndPr>
      <w:rPr>
        <w:noProof/>
      </w:rPr>
    </w:sdtEndPr>
    <w:sdtContent>
      <w:p w14:paraId="22F97CB3" w14:textId="198FDEDE" w:rsidR="00634727" w:rsidRPr="00634727" w:rsidRDefault="00255204" w:rsidP="00634727">
        <w:pPr>
          <w:pStyle w:val="Zpat"/>
          <w:jc w:val="center"/>
          <w:rPr>
            <w:noProof/>
          </w:rPr>
        </w:pPr>
        <w:r w:rsidRPr="00634727">
          <w:rPr>
            <w:noProof/>
          </w:rPr>
          <w:fldChar w:fldCharType="begin"/>
        </w:r>
        <w:r w:rsidRPr="00634727">
          <w:rPr>
            <w:noProof/>
          </w:rPr>
          <w:instrText>PAGE   \* MERGEFORMAT</w:instrText>
        </w:r>
        <w:r w:rsidRPr="00634727">
          <w:rPr>
            <w:noProof/>
          </w:rPr>
          <w:fldChar w:fldCharType="separate"/>
        </w:r>
        <w:r w:rsidR="00BD636B">
          <w:rPr>
            <w:noProof/>
          </w:rPr>
          <w:t>7</w:t>
        </w:r>
        <w:r w:rsidRPr="00634727">
          <w:rPr>
            <w:noProof/>
          </w:rPr>
          <w:fldChar w:fldCharType="end"/>
        </w:r>
      </w:p>
    </w:sdtContent>
  </w:sdt>
  <w:p w14:paraId="5831AB3A" w14:textId="77777777" w:rsidR="00634727" w:rsidRDefault="00BD6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D277D" w14:textId="77777777" w:rsidR="007E6D67" w:rsidRDefault="007E6D67" w:rsidP="00395345">
      <w:r>
        <w:separator/>
      </w:r>
    </w:p>
  </w:footnote>
  <w:footnote w:type="continuationSeparator" w:id="0">
    <w:p w14:paraId="4EE803AD" w14:textId="77777777" w:rsidR="007E6D67" w:rsidRDefault="007E6D67" w:rsidP="00395345">
      <w:r>
        <w:continuationSeparator/>
      </w:r>
    </w:p>
  </w:footnote>
  <w:footnote w:type="continuationNotice" w:id="1">
    <w:p w14:paraId="354D373F" w14:textId="77777777" w:rsidR="007E6D67" w:rsidRDefault="007E6D67"/>
  </w:footnote>
  <w:footnote w:id="2">
    <w:p w14:paraId="3D9E4194" w14:textId="77777777" w:rsidR="000049B6" w:rsidRPr="00615AAC" w:rsidRDefault="000049B6" w:rsidP="000049B6">
      <w:pPr>
        <w:pStyle w:val="Textpoznpodarou"/>
        <w:ind w:left="284" w:hanging="284"/>
        <w:jc w:val="both"/>
      </w:pPr>
      <w:r w:rsidRPr="00615AAC">
        <w:rPr>
          <w:rStyle w:val="Znakapoznpodarou"/>
        </w:rPr>
        <w:footnoteRef/>
      </w:r>
      <w:r w:rsidRPr="00615AAC">
        <w:t xml:space="preserve"> </w:t>
      </w:r>
      <w:r>
        <w:tab/>
      </w:r>
      <w:r w:rsidRPr="00772766">
        <w:rPr>
          <w:lang w:val="en"/>
        </w:rPr>
        <w:t xml:space="preserve">The obligation to elaborate a departmental crime prevention strategy follows from Resolution No. 66 of the Government of the Czech Republic of 25 January 2016, on the </w:t>
      </w:r>
      <w:r w:rsidRPr="00772766">
        <w:rPr>
          <w:i/>
          <w:lang w:val="en"/>
        </w:rPr>
        <w:t>Crime Prevention Strategy</w:t>
      </w:r>
      <w:r w:rsidRPr="00772766">
        <w:rPr>
          <w:lang w:val="en"/>
        </w:rPr>
        <w:t xml:space="preserve"> </w:t>
      </w:r>
      <w:r w:rsidRPr="00772766">
        <w:rPr>
          <w:i/>
          <w:lang w:val="en"/>
        </w:rPr>
        <w:t>in the Czech Republic</w:t>
      </w:r>
      <w:r w:rsidRPr="00772766">
        <w:rPr>
          <w:lang w:val="en"/>
        </w:rPr>
        <w:t xml:space="preserve"> for 2016 to 2020.</w:t>
      </w:r>
    </w:p>
  </w:footnote>
  <w:footnote w:id="3">
    <w:p w14:paraId="7B469371" w14:textId="77777777" w:rsidR="000049B6" w:rsidRPr="00772766" w:rsidRDefault="000049B6" w:rsidP="000049B6">
      <w:pPr>
        <w:pStyle w:val="Textpoznpodarou"/>
        <w:ind w:left="284" w:hanging="284"/>
        <w:jc w:val="both"/>
      </w:pPr>
      <w:r w:rsidRPr="00615AAC">
        <w:rPr>
          <w:rStyle w:val="Znakapoznpodarou"/>
        </w:rPr>
        <w:footnoteRef/>
      </w:r>
      <w:r w:rsidRPr="00615AAC">
        <w:t xml:space="preserve"> </w:t>
      </w:r>
      <w:r>
        <w:tab/>
      </w:r>
      <w:r w:rsidRPr="00772766">
        <w:rPr>
          <w:lang w:val="en"/>
        </w:rPr>
        <w:t xml:space="preserve">The </w:t>
      </w:r>
      <w:proofErr w:type="spellStart"/>
      <w:r w:rsidRPr="00772766">
        <w:rPr>
          <w:lang w:val="en"/>
        </w:rPr>
        <w:t>MoD</w:t>
      </w:r>
      <w:proofErr w:type="spellEnd"/>
      <w:r w:rsidRPr="00772766">
        <w:rPr>
          <w:lang w:val="en"/>
        </w:rPr>
        <w:t xml:space="preserve"> provided support for crime prevention </w:t>
      </w:r>
      <w:r>
        <w:rPr>
          <w:lang w:val="en"/>
        </w:rPr>
        <w:t>from</w:t>
      </w:r>
      <w:r w:rsidRPr="00772766">
        <w:rPr>
          <w:lang w:val="en"/>
        </w:rPr>
        <w:t xml:space="preserve"> </w:t>
      </w:r>
      <w:r>
        <w:rPr>
          <w:lang w:val="en"/>
        </w:rPr>
        <w:t>its own</w:t>
      </w:r>
      <w:r w:rsidRPr="00772766">
        <w:rPr>
          <w:lang w:val="en"/>
        </w:rPr>
        <w:t xml:space="preserve"> budget.</w:t>
      </w:r>
    </w:p>
    <w:p w14:paraId="5D935D98" w14:textId="77777777" w:rsidR="000049B6" w:rsidRPr="00615AAC" w:rsidRDefault="000049B6" w:rsidP="000049B6">
      <w:pPr>
        <w:pStyle w:val="Textpoznpodarou"/>
        <w:ind w:left="284" w:hanging="284"/>
        <w:jc w:val="both"/>
      </w:pPr>
    </w:p>
  </w:footnote>
  <w:footnote w:id="4">
    <w:p w14:paraId="797A80AF" w14:textId="77777777" w:rsidR="000049B6" w:rsidRPr="00615AAC" w:rsidRDefault="000049B6" w:rsidP="000049B6">
      <w:pPr>
        <w:pStyle w:val="Textpoznpodarou"/>
        <w:ind w:left="284" w:hanging="284"/>
        <w:jc w:val="both"/>
      </w:pPr>
      <w:r w:rsidRPr="00615AAC">
        <w:rPr>
          <w:rStyle w:val="Znakapoznpodarou"/>
        </w:rPr>
        <w:footnoteRef/>
      </w:r>
      <w:r>
        <w:tab/>
      </w:r>
      <w:r w:rsidRPr="00772766">
        <w:rPr>
          <w:lang w:val="en"/>
        </w:rPr>
        <w:t xml:space="preserve">The risk index of regions is based not only on </w:t>
      </w:r>
      <w:r>
        <w:rPr>
          <w:lang w:val="en"/>
        </w:rPr>
        <w:t xml:space="preserve">the </w:t>
      </w:r>
      <w:r w:rsidRPr="00772766">
        <w:rPr>
          <w:lang w:val="en"/>
        </w:rPr>
        <w:t>crime</w:t>
      </w:r>
      <w:r>
        <w:rPr>
          <w:lang w:val="en"/>
        </w:rPr>
        <w:t xml:space="preserve"> rate</w:t>
      </w:r>
      <w:r w:rsidRPr="00772766">
        <w:rPr>
          <w:lang w:val="en"/>
        </w:rPr>
        <w:t xml:space="preserve">, but also </w:t>
      </w:r>
      <w:r>
        <w:rPr>
          <w:lang w:val="en"/>
        </w:rPr>
        <w:t xml:space="preserve">depends </w:t>
      </w:r>
      <w:r w:rsidRPr="00772766">
        <w:rPr>
          <w:lang w:val="en"/>
        </w:rPr>
        <w:t>on the number of unemployed or the number of social benefits paid in the region.</w:t>
      </w:r>
    </w:p>
  </w:footnote>
  <w:footnote w:id="5">
    <w:p w14:paraId="6BA7AC10" w14:textId="77777777" w:rsidR="000049B6" w:rsidRPr="00772766" w:rsidRDefault="000049B6" w:rsidP="000049B6">
      <w:pPr>
        <w:pStyle w:val="Textpoznpodarou"/>
        <w:ind w:left="284" w:hanging="284"/>
        <w:jc w:val="both"/>
      </w:pPr>
      <w:r w:rsidRPr="00615AAC">
        <w:rPr>
          <w:rStyle w:val="Znakapoznpodarou"/>
        </w:rPr>
        <w:footnoteRef/>
      </w:r>
      <w:r w:rsidRPr="00615AAC">
        <w:t xml:space="preserve"> </w:t>
      </w:r>
      <w:r>
        <w:tab/>
      </w:r>
      <w:r w:rsidRPr="00772766">
        <w:rPr>
          <w:lang w:val="en"/>
        </w:rPr>
        <w:t xml:space="preserve">Pursuant to </w:t>
      </w:r>
      <w:r>
        <w:rPr>
          <w:lang w:val="en"/>
        </w:rPr>
        <w:t xml:space="preserve">Article </w:t>
      </w:r>
      <w:r w:rsidRPr="00772766">
        <w:rPr>
          <w:lang w:val="en"/>
        </w:rPr>
        <w:t>59 of Act No. 221/1999 Coll., On Professional Soldiers.</w:t>
      </w:r>
    </w:p>
    <w:p w14:paraId="1A80D0A2" w14:textId="77777777" w:rsidR="000049B6" w:rsidRPr="00615AAC" w:rsidRDefault="000049B6" w:rsidP="000049B6">
      <w:pPr>
        <w:pStyle w:val="Textpoznpodarou"/>
        <w:ind w:left="284" w:hanging="284"/>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83C"/>
    <w:multiLevelType w:val="hybridMultilevel"/>
    <w:tmpl w:val="AF3C1B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F47AC4"/>
    <w:multiLevelType w:val="hybridMultilevel"/>
    <w:tmpl w:val="212CF4C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794643A"/>
    <w:multiLevelType w:val="hybridMultilevel"/>
    <w:tmpl w:val="3BCA0B20"/>
    <w:lvl w:ilvl="0" w:tplc="164A7E54">
      <w:start w:val="1"/>
      <w:numFmt w:val="upp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FB0B13"/>
    <w:multiLevelType w:val="hybridMultilevel"/>
    <w:tmpl w:val="F8101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5704B4"/>
    <w:multiLevelType w:val="hybridMultilevel"/>
    <w:tmpl w:val="73224AAE"/>
    <w:lvl w:ilvl="0" w:tplc="8E5851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8F2CAD"/>
    <w:multiLevelType w:val="hybridMultilevel"/>
    <w:tmpl w:val="61800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B653B2"/>
    <w:multiLevelType w:val="hybridMultilevel"/>
    <w:tmpl w:val="D2963FBC"/>
    <w:lvl w:ilvl="0" w:tplc="663C9D3C">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787B0E"/>
    <w:multiLevelType w:val="hybridMultilevel"/>
    <w:tmpl w:val="F1864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0A1A8C"/>
    <w:multiLevelType w:val="hybridMultilevel"/>
    <w:tmpl w:val="30BCF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24801"/>
    <w:multiLevelType w:val="hybridMultilevel"/>
    <w:tmpl w:val="35C4E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DE1E2D"/>
    <w:multiLevelType w:val="hybridMultilevel"/>
    <w:tmpl w:val="A2CAA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1669FB"/>
    <w:multiLevelType w:val="hybridMultilevel"/>
    <w:tmpl w:val="72849E6E"/>
    <w:lvl w:ilvl="0" w:tplc="04050015">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780A92"/>
    <w:multiLevelType w:val="hybridMultilevel"/>
    <w:tmpl w:val="52387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F680C"/>
    <w:multiLevelType w:val="hybridMultilevel"/>
    <w:tmpl w:val="B36CBD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D714FF0"/>
    <w:multiLevelType w:val="hybridMultilevel"/>
    <w:tmpl w:val="E7483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994007"/>
    <w:multiLevelType w:val="hybridMultilevel"/>
    <w:tmpl w:val="62EA06B4"/>
    <w:lvl w:ilvl="0" w:tplc="BCC2F6EC">
      <w:start w:val="1"/>
      <w:numFmt w:val="decimal"/>
      <w:lvlText w:val="%1."/>
      <w:lvlJc w:val="left"/>
      <w:pPr>
        <w:ind w:left="360" w:hanging="360"/>
      </w:pPr>
      <w:rPr>
        <w:rFonts w:eastAsia="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F858A1"/>
    <w:multiLevelType w:val="hybridMultilevel"/>
    <w:tmpl w:val="D67AACA4"/>
    <w:lvl w:ilvl="0" w:tplc="B964B1F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4C5D82"/>
    <w:multiLevelType w:val="hybridMultilevel"/>
    <w:tmpl w:val="0DD61F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C72E22"/>
    <w:multiLevelType w:val="hybridMultilevel"/>
    <w:tmpl w:val="174AF5C6"/>
    <w:lvl w:ilvl="0" w:tplc="61021324">
      <w:start w:val="1"/>
      <w:numFmt w:val="lowerLetter"/>
      <w:lvlText w:val="%1)"/>
      <w:lvlJc w:val="left"/>
      <w:pPr>
        <w:ind w:left="720" w:hanging="360"/>
      </w:pPr>
    </w:lvl>
    <w:lvl w:ilvl="1" w:tplc="9CC6DAC8" w:tentative="1">
      <w:start w:val="1"/>
      <w:numFmt w:val="lowerLetter"/>
      <w:lvlText w:val="%2."/>
      <w:lvlJc w:val="left"/>
      <w:pPr>
        <w:ind w:left="1440" w:hanging="360"/>
      </w:pPr>
    </w:lvl>
    <w:lvl w:ilvl="2" w:tplc="BE9855B4" w:tentative="1">
      <w:start w:val="1"/>
      <w:numFmt w:val="lowerRoman"/>
      <w:lvlText w:val="%3."/>
      <w:lvlJc w:val="right"/>
      <w:pPr>
        <w:ind w:left="2160" w:hanging="180"/>
      </w:pPr>
    </w:lvl>
    <w:lvl w:ilvl="3" w:tplc="6CEAEF82" w:tentative="1">
      <w:start w:val="1"/>
      <w:numFmt w:val="decimal"/>
      <w:lvlText w:val="%4."/>
      <w:lvlJc w:val="left"/>
      <w:pPr>
        <w:ind w:left="2880" w:hanging="360"/>
      </w:pPr>
    </w:lvl>
    <w:lvl w:ilvl="4" w:tplc="0C7A099C" w:tentative="1">
      <w:start w:val="1"/>
      <w:numFmt w:val="lowerLetter"/>
      <w:lvlText w:val="%5."/>
      <w:lvlJc w:val="left"/>
      <w:pPr>
        <w:ind w:left="3600" w:hanging="360"/>
      </w:pPr>
    </w:lvl>
    <w:lvl w:ilvl="5" w:tplc="0296A270" w:tentative="1">
      <w:start w:val="1"/>
      <w:numFmt w:val="lowerRoman"/>
      <w:lvlText w:val="%6."/>
      <w:lvlJc w:val="right"/>
      <w:pPr>
        <w:ind w:left="4320" w:hanging="180"/>
      </w:pPr>
    </w:lvl>
    <w:lvl w:ilvl="6" w:tplc="37AC3606" w:tentative="1">
      <w:start w:val="1"/>
      <w:numFmt w:val="decimal"/>
      <w:lvlText w:val="%7."/>
      <w:lvlJc w:val="left"/>
      <w:pPr>
        <w:ind w:left="5040" w:hanging="360"/>
      </w:pPr>
    </w:lvl>
    <w:lvl w:ilvl="7" w:tplc="DA1CEFFA" w:tentative="1">
      <w:start w:val="1"/>
      <w:numFmt w:val="lowerLetter"/>
      <w:lvlText w:val="%8."/>
      <w:lvlJc w:val="left"/>
      <w:pPr>
        <w:ind w:left="5760" w:hanging="360"/>
      </w:pPr>
    </w:lvl>
    <w:lvl w:ilvl="8" w:tplc="F174732C" w:tentative="1">
      <w:start w:val="1"/>
      <w:numFmt w:val="lowerRoman"/>
      <w:lvlText w:val="%9."/>
      <w:lvlJc w:val="right"/>
      <w:pPr>
        <w:ind w:left="6480" w:hanging="180"/>
      </w:pPr>
    </w:lvl>
  </w:abstractNum>
  <w:abstractNum w:abstractNumId="19" w15:restartNumberingAfterBreak="0">
    <w:nsid w:val="58352067"/>
    <w:multiLevelType w:val="hybridMultilevel"/>
    <w:tmpl w:val="AE2C5482"/>
    <w:lvl w:ilvl="0" w:tplc="04050015">
      <w:start w:val="1"/>
      <w:numFmt w:val="upperLetter"/>
      <w:lvlText w:val="%1."/>
      <w:lvlJc w:val="left"/>
      <w:pPr>
        <w:ind w:left="7731" w:hanging="360"/>
      </w:pPr>
      <w:rPr>
        <w:rFonts w:hint="default"/>
      </w:rPr>
    </w:lvl>
    <w:lvl w:ilvl="1" w:tplc="04050019" w:tentative="1">
      <w:start w:val="1"/>
      <w:numFmt w:val="lowerLetter"/>
      <w:lvlText w:val="%2."/>
      <w:lvlJc w:val="left"/>
      <w:pPr>
        <w:ind w:left="8451" w:hanging="360"/>
      </w:pPr>
    </w:lvl>
    <w:lvl w:ilvl="2" w:tplc="0405001B" w:tentative="1">
      <w:start w:val="1"/>
      <w:numFmt w:val="lowerRoman"/>
      <w:lvlText w:val="%3."/>
      <w:lvlJc w:val="right"/>
      <w:pPr>
        <w:ind w:left="9171" w:hanging="180"/>
      </w:pPr>
    </w:lvl>
    <w:lvl w:ilvl="3" w:tplc="0405000F" w:tentative="1">
      <w:start w:val="1"/>
      <w:numFmt w:val="decimal"/>
      <w:lvlText w:val="%4."/>
      <w:lvlJc w:val="left"/>
      <w:pPr>
        <w:ind w:left="9891" w:hanging="360"/>
      </w:pPr>
    </w:lvl>
    <w:lvl w:ilvl="4" w:tplc="04050019" w:tentative="1">
      <w:start w:val="1"/>
      <w:numFmt w:val="lowerLetter"/>
      <w:lvlText w:val="%5."/>
      <w:lvlJc w:val="left"/>
      <w:pPr>
        <w:ind w:left="10611" w:hanging="360"/>
      </w:pPr>
    </w:lvl>
    <w:lvl w:ilvl="5" w:tplc="0405001B" w:tentative="1">
      <w:start w:val="1"/>
      <w:numFmt w:val="lowerRoman"/>
      <w:lvlText w:val="%6."/>
      <w:lvlJc w:val="right"/>
      <w:pPr>
        <w:ind w:left="11331" w:hanging="180"/>
      </w:pPr>
    </w:lvl>
    <w:lvl w:ilvl="6" w:tplc="0405000F" w:tentative="1">
      <w:start w:val="1"/>
      <w:numFmt w:val="decimal"/>
      <w:lvlText w:val="%7."/>
      <w:lvlJc w:val="left"/>
      <w:pPr>
        <w:ind w:left="12051" w:hanging="360"/>
      </w:pPr>
    </w:lvl>
    <w:lvl w:ilvl="7" w:tplc="04050019" w:tentative="1">
      <w:start w:val="1"/>
      <w:numFmt w:val="lowerLetter"/>
      <w:lvlText w:val="%8."/>
      <w:lvlJc w:val="left"/>
      <w:pPr>
        <w:ind w:left="12771" w:hanging="360"/>
      </w:pPr>
    </w:lvl>
    <w:lvl w:ilvl="8" w:tplc="0405001B" w:tentative="1">
      <w:start w:val="1"/>
      <w:numFmt w:val="lowerRoman"/>
      <w:lvlText w:val="%9."/>
      <w:lvlJc w:val="right"/>
      <w:pPr>
        <w:ind w:left="13491" w:hanging="180"/>
      </w:pPr>
    </w:lvl>
  </w:abstractNum>
  <w:abstractNum w:abstractNumId="20" w15:restartNumberingAfterBreak="0">
    <w:nsid w:val="588363C7"/>
    <w:multiLevelType w:val="hybridMultilevel"/>
    <w:tmpl w:val="198219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59C070B3"/>
    <w:multiLevelType w:val="hybridMultilevel"/>
    <w:tmpl w:val="98C2C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8973CE"/>
    <w:multiLevelType w:val="hybridMultilevel"/>
    <w:tmpl w:val="CA9A0B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7950F82"/>
    <w:multiLevelType w:val="multilevel"/>
    <w:tmpl w:val="2FFEA7E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9D73BCA"/>
    <w:multiLevelType w:val="hybridMultilevel"/>
    <w:tmpl w:val="CA3CDF92"/>
    <w:lvl w:ilvl="0" w:tplc="04050001">
      <w:start w:val="1"/>
      <w:numFmt w:val="bullet"/>
      <w:lvlText w:val=""/>
      <w:lvlJc w:val="left"/>
      <w:pPr>
        <w:ind w:left="720" w:hanging="360"/>
      </w:pPr>
      <w:rPr>
        <w:rFonts w:ascii="Symbol" w:hAnsi="Symbol" w:hint="default"/>
      </w:rPr>
    </w:lvl>
    <w:lvl w:ilvl="1" w:tplc="560C732E" w:tentative="1">
      <w:start w:val="1"/>
      <w:numFmt w:val="bullet"/>
      <w:lvlText w:val="o"/>
      <w:lvlJc w:val="left"/>
      <w:pPr>
        <w:ind w:left="1440" w:hanging="360"/>
      </w:pPr>
      <w:rPr>
        <w:rFonts w:ascii="Courier New" w:hAnsi="Courier New" w:cs="Courier New" w:hint="default"/>
      </w:rPr>
    </w:lvl>
    <w:lvl w:ilvl="2" w:tplc="1DFA509A" w:tentative="1">
      <w:start w:val="1"/>
      <w:numFmt w:val="bullet"/>
      <w:lvlText w:val=""/>
      <w:lvlJc w:val="left"/>
      <w:pPr>
        <w:ind w:left="2160" w:hanging="360"/>
      </w:pPr>
      <w:rPr>
        <w:rFonts w:ascii="Wingdings" w:hAnsi="Wingdings" w:hint="default"/>
      </w:rPr>
    </w:lvl>
    <w:lvl w:ilvl="3" w:tplc="A6942DEE" w:tentative="1">
      <w:start w:val="1"/>
      <w:numFmt w:val="bullet"/>
      <w:lvlText w:val=""/>
      <w:lvlJc w:val="left"/>
      <w:pPr>
        <w:ind w:left="2880" w:hanging="360"/>
      </w:pPr>
      <w:rPr>
        <w:rFonts w:ascii="Symbol" w:hAnsi="Symbol" w:hint="default"/>
      </w:rPr>
    </w:lvl>
    <w:lvl w:ilvl="4" w:tplc="675A463C" w:tentative="1">
      <w:start w:val="1"/>
      <w:numFmt w:val="bullet"/>
      <w:lvlText w:val="o"/>
      <w:lvlJc w:val="left"/>
      <w:pPr>
        <w:ind w:left="3600" w:hanging="360"/>
      </w:pPr>
      <w:rPr>
        <w:rFonts w:ascii="Courier New" w:hAnsi="Courier New" w:cs="Courier New" w:hint="default"/>
      </w:rPr>
    </w:lvl>
    <w:lvl w:ilvl="5" w:tplc="F01C1324" w:tentative="1">
      <w:start w:val="1"/>
      <w:numFmt w:val="bullet"/>
      <w:lvlText w:val=""/>
      <w:lvlJc w:val="left"/>
      <w:pPr>
        <w:ind w:left="4320" w:hanging="360"/>
      </w:pPr>
      <w:rPr>
        <w:rFonts w:ascii="Wingdings" w:hAnsi="Wingdings" w:hint="default"/>
      </w:rPr>
    </w:lvl>
    <w:lvl w:ilvl="6" w:tplc="D18ED230" w:tentative="1">
      <w:start w:val="1"/>
      <w:numFmt w:val="bullet"/>
      <w:lvlText w:val=""/>
      <w:lvlJc w:val="left"/>
      <w:pPr>
        <w:ind w:left="5040" w:hanging="360"/>
      </w:pPr>
      <w:rPr>
        <w:rFonts w:ascii="Symbol" w:hAnsi="Symbol" w:hint="default"/>
      </w:rPr>
    </w:lvl>
    <w:lvl w:ilvl="7" w:tplc="F84637C0" w:tentative="1">
      <w:start w:val="1"/>
      <w:numFmt w:val="bullet"/>
      <w:lvlText w:val="o"/>
      <w:lvlJc w:val="left"/>
      <w:pPr>
        <w:ind w:left="5760" w:hanging="360"/>
      </w:pPr>
      <w:rPr>
        <w:rFonts w:ascii="Courier New" w:hAnsi="Courier New" w:cs="Courier New" w:hint="default"/>
      </w:rPr>
    </w:lvl>
    <w:lvl w:ilvl="8" w:tplc="1E80662C" w:tentative="1">
      <w:start w:val="1"/>
      <w:numFmt w:val="bullet"/>
      <w:lvlText w:val=""/>
      <w:lvlJc w:val="left"/>
      <w:pPr>
        <w:ind w:left="6480" w:hanging="360"/>
      </w:pPr>
      <w:rPr>
        <w:rFonts w:ascii="Wingdings" w:hAnsi="Wingdings" w:hint="default"/>
      </w:rPr>
    </w:lvl>
  </w:abstractNum>
  <w:abstractNum w:abstractNumId="25" w15:restartNumberingAfterBreak="0">
    <w:nsid w:val="6C1829BA"/>
    <w:multiLevelType w:val="hybridMultilevel"/>
    <w:tmpl w:val="05000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C5410F3"/>
    <w:multiLevelType w:val="hybridMultilevel"/>
    <w:tmpl w:val="C80C02BC"/>
    <w:lvl w:ilvl="0" w:tplc="38720068">
      <w:start w:val="1"/>
      <w:numFmt w:val="decimal"/>
      <w:lvlText w:val="%1."/>
      <w:lvlJc w:val="left"/>
      <w:pPr>
        <w:ind w:left="36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857570"/>
    <w:multiLevelType w:val="hybridMultilevel"/>
    <w:tmpl w:val="3B407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921DAF"/>
    <w:multiLevelType w:val="hybridMultilevel"/>
    <w:tmpl w:val="0E54F6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B40D4A"/>
    <w:multiLevelType w:val="hybridMultilevel"/>
    <w:tmpl w:val="AE2C548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C23754"/>
    <w:multiLevelType w:val="hybridMultilevel"/>
    <w:tmpl w:val="AF4ED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E168D7"/>
    <w:multiLevelType w:val="hybridMultilevel"/>
    <w:tmpl w:val="98CEB9FA"/>
    <w:lvl w:ilvl="0" w:tplc="4A4EE3D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FA41142"/>
    <w:multiLevelType w:val="hybridMultilevel"/>
    <w:tmpl w:val="C80C02BC"/>
    <w:lvl w:ilvl="0" w:tplc="38720068">
      <w:start w:val="1"/>
      <w:numFmt w:val="decimal"/>
      <w:lvlText w:val="%1."/>
      <w:lvlJc w:val="left"/>
      <w:pPr>
        <w:ind w:left="36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3"/>
  </w:num>
  <w:num w:numId="3">
    <w:abstractNumId w:val="18"/>
  </w:num>
  <w:num w:numId="4">
    <w:abstractNumId w:val="24"/>
  </w:num>
  <w:num w:numId="5">
    <w:abstractNumId w:val="26"/>
  </w:num>
  <w:num w:numId="6">
    <w:abstractNumId w:val="30"/>
  </w:num>
  <w:num w:numId="7">
    <w:abstractNumId w:val="22"/>
  </w:num>
  <w:num w:numId="8">
    <w:abstractNumId w:val="32"/>
  </w:num>
  <w:num w:numId="9">
    <w:abstractNumId w:val="7"/>
  </w:num>
  <w:num w:numId="10">
    <w:abstractNumId w:val="21"/>
  </w:num>
  <w:num w:numId="11">
    <w:abstractNumId w:val="25"/>
  </w:num>
  <w:num w:numId="12">
    <w:abstractNumId w:val="9"/>
  </w:num>
  <w:num w:numId="13">
    <w:abstractNumId w:val="12"/>
  </w:num>
  <w:num w:numId="14">
    <w:abstractNumId w:val="8"/>
  </w:num>
  <w:num w:numId="15">
    <w:abstractNumId w:val="3"/>
  </w:num>
  <w:num w:numId="16">
    <w:abstractNumId w:val="2"/>
  </w:num>
  <w:num w:numId="17">
    <w:abstractNumId w:val="1"/>
  </w:num>
  <w:num w:numId="18">
    <w:abstractNumId w:val="19"/>
  </w:num>
  <w:num w:numId="19">
    <w:abstractNumId w:val="31"/>
  </w:num>
  <w:num w:numId="20">
    <w:abstractNumId w:val="29"/>
  </w:num>
  <w:num w:numId="21">
    <w:abstractNumId w:val="27"/>
  </w:num>
  <w:num w:numId="22">
    <w:abstractNumId w:val="13"/>
  </w:num>
  <w:num w:numId="23">
    <w:abstractNumId w:val="16"/>
  </w:num>
  <w:num w:numId="24">
    <w:abstractNumId w:val="10"/>
  </w:num>
  <w:num w:numId="25">
    <w:abstractNumId w:val="14"/>
  </w:num>
  <w:num w:numId="26">
    <w:abstractNumId w:val="5"/>
  </w:num>
  <w:num w:numId="27">
    <w:abstractNumId w:val="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5"/>
  </w:num>
  <w:num w:numId="31">
    <w:abstractNumId w:val="0"/>
  </w:num>
  <w:num w:numId="32">
    <w:abstractNumId w:val="17"/>
  </w:num>
  <w:num w:numId="33">
    <w:abstractNumId w:val="28"/>
  </w:num>
  <w:num w:numId="34">
    <w:abstractNumId w:val="6"/>
  </w:num>
  <w:num w:numId="3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SortMethod w:val="0004"/>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7F"/>
    <w:rsid w:val="00000362"/>
    <w:rsid w:val="00004425"/>
    <w:rsid w:val="000049B6"/>
    <w:rsid w:val="0000529B"/>
    <w:rsid w:val="000059A6"/>
    <w:rsid w:val="00010057"/>
    <w:rsid w:val="00010AA1"/>
    <w:rsid w:val="00016605"/>
    <w:rsid w:val="00020DAD"/>
    <w:rsid w:val="000216F0"/>
    <w:rsid w:val="000217D2"/>
    <w:rsid w:val="00023819"/>
    <w:rsid w:val="000251FB"/>
    <w:rsid w:val="00026EBE"/>
    <w:rsid w:val="00026EDC"/>
    <w:rsid w:val="00032B77"/>
    <w:rsid w:val="0003481D"/>
    <w:rsid w:val="00045227"/>
    <w:rsid w:val="00046A13"/>
    <w:rsid w:val="00051A02"/>
    <w:rsid w:val="000552AD"/>
    <w:rsid w:val="00055860"/>
    <w:rsid w:val="00061085"/>
    <w:rsid w:val="00063059"/>
    <w:rsid w:val="00063307"/>
    <w:rsid w:val="0006537B"/>
    <w:rsid w:val="00065C40"/>
    <w:rsid w:val="00066536"/>
    <w:rsid w:val="00074DAE"/>
    <w:rsid w:val="00074EB9"/>
    <w:rsid w:val="0008131C"/>
    <w:rsid w:val="000848F6"/>
    <w:rsid w:val="00087C29"/>
    <w:rsid w:val="00087E22"/>
    <w:rsid w:val="00093E77"/>
    <w:rsid w:val="00094330"/>
    <w:rsid w:val="00095A42"/>
    <w:rsid w:val="0009686B"/>
    <w:rsid w:val="00097348"/>
    <w:rsid w:val="00097E2E"/>
    <w:rsid w:val="000A045B"/>
    <w:rsid w:val="000A091A"/>
    <w:rsid w:val="000A0D9D"/>
    <w:rsid w:val="000A197D"/>
    <w:rsid w:val="000A4A6F"/>
    <w:rsid w:val="000A57EB"/>
    <w:rsid w:val="000A6D10"/>
    <w:rsid w:val="000B2196"/>
    <w:rsid w:val="000B2421"/>
    <w:rsid w:val="000B680E"/>
    <w:rsid w:val="000B6929"/>
    <w:rsid w:val="000B6A3C"/>
    <w:rsid w:val="000B71BD"/>
    <w:rsid w:val="000C1472"/>
    <w:rsid w:val="000C324F"/>
    <w:rsid w:val="000D11EB"/>
    <w:rsid w:val="000D4791"/>
    <w:rsid w:val="000D4FC4"/>
    <w:rsid w:val="000D5BFA"/>
    <w:rsid w:val="000D5EFC"/>
    <w:rsid w:val="000D779D"/>
    <w:rsid w:val="000E701A"/>
    <w:rsid w:val="000E7E67"/>
    <w:rsid w:val="000F1618"/>
    <w:rsid w:val="000F468E"/>
    <w:rsid w:val="000F4C02"/>
    <w:rsid w:val="0010276C"/>
    <w:rsid w:val="001037A4"/>
    <w:rsid w:val="00103F25"/>
    <w:rsid w:val="001048DA"/>
    <w:rsid w:val="00104EB8"/>
    <w:rsid w:val="00110E8E"/>
    <w:rsid w:val="0011199F"/>
    <w:rsid w:val="00112686"/>
    <w:rsid w:val="00117BC1"/>
    <w:rsid w:val="00120A86"/>
    <w:rsid w:val="001234CD"/>
    <w:rsid w:val="001244F4"/>
    <w:rsid w:val="0012784D"/>
    <w:rsid w:val="0013757E"/>
    <w:rsid w:val="00137B4A"/>
    <w:rsid w:val="0014008E"/>
    <w:rsid w:val="00141703"/>
    <w:rsid w:val="00145E4E"/>
    <w:rsid w:val="00151455"/>
    <w:rsid w:val="00151DF7"/>
    <w:rsid w:val="00151E23"/>
    <w:rsid w:val="001550C9"/>
    <w:rsid w:val="00155568"/>
    <w:rsid w:val="00160758"/>
    <w:rsid w:val="00173439"/>
    <w:rsid w:val="00174B19"/>
    <w:rsid w:val="001757EC"/>
    <w:rsid w:val="00177B81"/>
    <w:rsid w:val="00181E60"/>
    <w:rsid w:val="00183DF0"/>
    <w:rsid w:val="001928EB"/>
    <w:rsid w:val="0019432A"/>
    <w:rsid w:val="001943BB"/>
    <w:rsid w:val="00196202"/>
    <w:rsid w:val="001968F3"/>
    <w:rsid w:val="00196EE9"/>
    <w:rsid w:val="0019799D"/>
    <w:rsid w:val="001A0F9E"/>
    <w:rsid w:val="001A1A06"/>
    <w:rsid w:val="001A523D"/>
    <w:rsid w:val="001A607E"/>
    <w:rsid w:val="001A6F62"/>
    <w:rsid w:val="001B139C"/>
    <w:rsid w:val="001B1D79"/>
    <w:rsid w:val="001B48D3"/>
    <w:rsid w:val="001B5516"/>
    <w:rsid w:val="001B68D7"/>
    <w:rsid w:val="001C1CDE"/>
    <w:rsid w:val="001C2EA6"/>
    <w:rsid w:val="001C4455"/>
    <w:rsid w:val="001C6BCE"/>
    <w:rsid w:val="001D137C"/>
    <w:rsid w:val="001D14FE"/>
    <w:rsid w:val="001D2E2B"/>
    <w:rsid w:val="001D5B02"/>
    <w:rsid w:val="001E1B58"/>
    <w:rsid w:val="001E2EF6"/>
    <w:rsid w:val="001E39E0"/>
    <w:rsid w:val="001E5F92"/>
    <w:rsid w:val="001F16E9"/>
    <w:rsid w:val="001F7EF5"/>
    <w:rsid w:val="0020107A"/>
    <w:rsid w:val="00202612"/>
    <w:rsid w:val="002038DB"/>
    <w:rsid w:val="00203EF7"/>
    <w:rsid w:val="00205F6E"/>
    <w:rsid w:val="002067B3"/>
    <w:rsid w:val="00213D2C"/>
    <w:rsid w:val="00214306"/>
    <w:rsid w:val="002145A5"/>
    <w:rsid w:val="00220146"/>
    <w:rsid w:val="00220CE8"/>
    <w:rsid w:val="00221508"/>
    <w:rsid w:val="00221B3C"/>
    <w:rsid w:val="00221EE7"/>
    <w:rsid w:val="00222237"/>
    <w:rsid w:val="00223AC8"/>
    <w:rsid w:val="002326C0"/>
    <w:rsid w:val="0023328E"/>
    <w:rsid w:val="00234C19"/>
    <w:rsid w:val="002350E3"/>
    <w:rsid w:val="00237472"/>
    <w:rsid w:val="002379DC"/>
    <w:rsid w:val="00240256"/>
    <w:rsid w:val="0024213D"/>
    <w:rsid w:val="0024350A"/>
    <w:rsid w:val="0025046C"/>
    <w:rsid w:val="002528F7"/>
    <w:rsid w:val="00252D84"/>
    <w:rsid w:val="00255204"/>
    <w:rsid w:val="00255223"/>
    <w:rsid w:val="002558D2"/>
    <w:rsid w:val="00257488"/>
    <w:rsid w:val="00266141"/>
    <w:rsid w:val="00270731"/>
    <w:rsid w:val="00274195"/>
    <w:rsid w:val="00274557"/>
    <w:rsid w:val="002746DE"/>
    <w:rsid w:val="00274DB0"/>
    <w:rsid w:val="00276A26"/>
    <w:rsid w:val="00276F4B"/>
    <w:rsid w:val="002774DC"/>
    <w:rsid w:val="00277BD1"/>
    <w:rsid w:val="002821A7"/>
    <w:rsid w:val="00284425"/>
    <w:rsid w:val="00284692"/>
    <w:rsid w:val="00286176"/>
    <w:rsid w:val="00287DB7"/>
    <w:rsid w:val="002936DC"/>
    <w:rsid w:val="00293A61"/>
    <w:rsid w:val="002949D7"/>
    <w:rsid w:val="00295152"/>
    <w:rsid w:val="00296E64"/>
    <w:rsid w:val="002A1A4B"/>
    <w:rsid w:val="002A57EF"/>
    <w:rsid w:val="002A7059"/>
    <w:rsid w:val="002A7A29"/>
    <w:rsid w:val="002B1E91"/>
    <w:rsid w:val="002B269F"/>
    <w:rsid w:val="002B4681"/>
    <w:rsid w:val="002B50C8"/>
    <w:rsid w:val="002B5DF8"/>
    <w:rsid w:val="002B6249"/>
    <w:rsid w:val="002B730F"/>
    <w:rsid w:val="002C1982"/>
    <w:rsid w:val="002C4DEC"/>
    <w:rsid w:val="002C4E4B"/>
    <w:rsid w:val="002C5AA5"/>
    <w:rsid w:val="002D0794"/>
    <w:rsid w:val="002D08A2"/>
    <w:rsid w:val="002D24A0"/>
    <w:rsid w:val="002D2F9B"/>
    <w:rsid w:val="002D475B"/>
    <w:rsid w:val="002D62D5"/>
    <w:rsid w:val="002D6B5B"/>
    <w:rsid w:val="002E15D7"/>
    <w:rsid w:val="002E2343"/>
    <w:rsid w:val="002E25BB"/>
    <w:rsid w:val="002E4F0C"/>
    <w:rsid w:val="002E76CD"/>
    <w:rsid w:val="002E7ECE"/>
    <w:rsid w:val="002F4014"/>
    <w:rsid w:val="002F798E"/>
    <w:rsid w:val="0030136F"/>
    <w:rsid w:val="003014AE"/>
    <w:rsid w:val="003022AD"/>
    <w:rsid w:val="00302D22"/>
    <w:rsid w:val="00303B5C"/>
    <w:rsid w:val="00306F9A"/>
    <w:rsid w:val="00310422"/>
    <w:rsid w:val="003109D4"/>
    <w:rsid w:val="00310D05"/>
    <w:rsid w:val="003110DE"/>
    <w:rsid w:val="00311A2D"/>
    <w:rsid w:val="00314343"/>
    <w:rsid w:val="0031517A"/>
    <w:rsid w:val="003168F8"/>
    <w:rsid w:val="003202EB"/>
    <w:rsid w:val="00320837"/>
    <w:rsid w:val="00320DF7"/>
    <w:rsid w:val="003235CF"/>
    <w:rsid w:val="0032360A"/>
    <w:rsid w:val="00324412"/>
    <w:rsid w:val="003251A1"/>
    <w:rsid w:val="003257AF"/>
    <w:rsid w:val="00326624"/>
    <w:rsid w:val="0032772A"/>
    <w:rsid w:val="0032787F"/>
    <w:rsid w:val="00336576"/>
    <w:rsid w:val="00343815"/>
    <w:rsid w:val="0034463B"/>
    <w:rsid w:val="00344891"/>
    <w:rsid w:val="00345A29"/>
    <w:rsid w:val="0035681B"/>
    <w:rsid w:val="00356927"/>
    <w:rsid w:val="00361943"/>
    <w:rsid w:val="0036324B"/>
    <w:rsid w:val="003641A7"/>
    <w:rsid w:val="003644A4"/>
    <w:rsid w:val="00364754"/>
    <w:rsid w:val="00365B48"/>
    <w:rsid w:val="00367E2A"/>
    <w:rsid w:val="00370723"/>
    <w:rsid w:val="003742A5"/>
    <w:rsid w:val="00375E15"/>
    <w:rsid w:val="00376A96"/>
    <w:rsid w:val="00377AAD"/>
    <w:rsid w:val="00383977"/>
    <w:rsid w:val="003864E7"/>
    <w:rsid w:val="00387889"/>
    <w:rsid w:val="00392786"/>
    <w:rsid w:val="003940F4"/>
    <w:rsid w:val="00395345"/>
    <w:rsid w:val="00397A6E"/>
    <w:rsid w:val="003A2565"/>
    <w:rsid w:val="003A2CCC"/>
    <w:rsid w:val="003A5DFC"/>
    <w:rsid w:val="003B1185"/>
    <w:rsid w:val="003B13B2"/>
    <w:rsid w:val="003B271C"/>
    <w:rsid w:val="003B3BE1"/>
    <w:rsid w:val="003B5E81"/>
    <w:rsid w:val="003B7709"/>
    <w:rsid w:val="003C0294"/>
    <w:rsid w:val="003C19E7"/>
    <w:rsid w:val="003C1BFE"/>
    <w:rsid w:val="003C2803"/>
    <w:rsid w:val="003C4CE2"/>
    <w:rsid w:val="003C4F9F"/>
    <w:rsid w:val="003C5FF9"/>
    <w:rsid w:val="003C6742"/>
    <w:rsid w:val="003D10F8"/>
    <w:rsid w:val="003D1A93"/>
    <w:rsid w:val="003D30F6"/>
    <w:rsid w:val="003D52A5"/>
    <w:rsid w:val="003D5424"/>
    <w:rsid w:val="003D6B89"/>
    <w:rsid w:val="003D6F0E"/>
    <w:rsid w:val="003D7B50"/>
    <w:rsid w:val="003E4252"/>
    <w:rsid w:val="003E45CF"/>
    <w:rsid w:val="003F30D7"/>
    <w:rsid w:val="003F32D6"/>
    <w:rsid w:val="003F437D"/>
    <w:rsid w:val="004009F6"/>
    <w:rsid w:val="00400B91"/>
    <w:rsid w:val="004041AD"/>
    <w:rsid w:val="00404ECB"/>
    <w:rsid w:val="0040531A"/>
    <w:rsid w:val="00406053"/>
    <w:rsid w:val="00406903"/>
    <w:rsid w:val="0041059D"/>
    <w:rsid w:val="00411BDD"/>
    <w:rsid w:val="00416CE8"/>
    <w:rsid w:val="00416D65"/>
    <w:rsid w:val="004251AE"/>
    <w:rsid w:val="00430DB5"/>
    <w:rsid w:val="00432D12"/>
    <w:rsid w:val="00435AFD"/>
    <w:rsid w:val="004364E0"/>
    <w:rsid w:val="00436C77"/>
    <w:rsid w:val="00436FEE"/>
    <w:rsid w:val="004421AA"/>
    <w:rsid w:val="004429BE"/>
    <w:rsid w:val="00443953"/>
    <w:rsid w:val="0044409D"/>
    <w:rsid w:val="00445AA1"/>
    <w:rsid w:val="00450884"/>
    <w:rsid w:val="00451060"/>
    <w:rsid w:val="0045237C"/>
    <w:rsid w:val="004529E2"/>
    <w:rsid w:val="00456FAC"/>
    <w:rsid w:val="00460673"/>
    <w:rsid w:val="0046666D"/>
    <w:rsid w:val="00466E6F"/>
    <w:rsid w:val="00470C47"/>
    <w:rsid w:val="00475099"/>
    <w:rsid w:val="00475989"/>
    <w:rsid w:val="00480524"/>
    <w:rsid w:val="004815C8"/>
    <w:rsid w:val="00481BF7"/>
    <w:rsid w:val="00481FC1"/>
    <w:rsid w:val="00483369"/>
    <w:rsid w:val="004843B6"/>
    <w:rsid w:val="00487360"/>
    <w:rsid w:val="004902A1"/>
    <w:rsid w:val="004926DF"/>
    <w:rsid w:val="00493B8E"/>
    <w:rsid w:val="004942E0"/>
    <w:rsid w:val="00495767"/>
    <w:rsid w:val="00497092"/>
    <w:rsid w:val="004A08AB"/>
    <w:rsid w:val="004A0B13"/>
    <w:rsid w:val="004A13FE"/>
    <w:rsid w:val="004A3746"/>
    <w:rsid w:val="004A4835"/>
    <w:rsid w:val="004A5839"/>
    <w:rsid w:val="004A7B35"/>
    <w:rsid w:val="004B10BF"/>
    <w:rsid w:val="004B2F43"/>
    <w:rsid w:val="004B485A"/>
    <w:rsid w:val="004C3B11"/>
    <w:rsid w:val="004C3C03"/>
    <w:rsid w:val="004C5638"/>
    <w:rsid w:val="004D08BC"/>
    <w:rsid w:val="004D1AB6"/>
    <w:rsid w:val="004D484D"/>
    <w:rsid w:val="004D651E"/>
    <w:rsid w:val="004E0D4E"/>
    <w:rsid w:val="004E11D5"/>
    <w:rsid w:val="004E7288"/>
    <w:rsid w:val="004F3E1C"/>
    <w:rsid w:val="005015C4"/>
    <w:rsid w:val="00501FCB"/>
    <w:rsid w:val="0050446F"/>
    <w:rsid w:val="00504B95"/>
    <w:rsid w:val="005060F2"/>
    <w:rsid w:val="00506CE4"/>
    <w:rsid w:val="00512139"/>
    <w:rsid w:val="00512190"/>
    <w:rsid w:val="005240FD"/>
    <w:rsid w:val="0052454A"/>
    <w:rsid w:val="00524CE3"/>
    <w:rsid w:val="00530293"/>
    <w:rsid w:val="005321AC"/>
    <w:rsid w:val="00535E18"/>
    <w:rsid w:val="00536530"/>
    <w:rsid w:val="005414EB"/>
    <w:rsid w:val="005417E6"/>
    <w:rsid w:val="00543A1B"/>
    <w:rsid w:val="00545E41"/>
    <w:rsid w:val="00546AF1"/>
    <w:rsid w:val="005530F8"/>
    <w:rsid w:val="005562BB"/>
    <w:rsid w:val="00557221"/>
    <w:rsid w:val="00561982"/>
    <w:rsid w:val="0056244A"/>
    <w:rsid w:val="00562989"/>
    <w:rsid w:val="0056314C"/>
    <w:rsid w:val="005631FC"/>
    <w:rsid w:val="005636DB"/>
    <w:rsid w:val="00564EEB"/>
    <w:rsid w:val="00565F57"/>
    <w:rsid w:val="00572D07"/>
    <w:rsid w:val="00573CE1"/>
    <w:rsid w:val="00573F46"/>
    <w:rsid w:val="0057590A"/>
    <w:rsid w:val="005808AE"/>
    <w:rsid w:val="005844FD"/>
    <w:rsid w:val="005852A3"/>
    <w:rsid w:val="005853CD"/>
    <w:rsid w:val="00592052"/>
    <w:rsid w:val="005A6CF9"/>
    <w:rsid w:val="005B476B"/>
    <w:rsid w:val="005C11A9"/>
    <w:rsid w:val="005C1D11"/>
    <w:rsid w:val="005C7499"/>
    <w:rsid w:val="005D0508"/>
    <w:rsid w:val="005D1222"/>
    <w:rsid w:val="005D1B5B"/>
    <w:rsid w:val="005D282E"/>
    <w:rsid w:val="005D37C3"/>
    <w:rsid w:val="005D6AAA"/>
    <w:rsid w:val="005E3024"/>
    <w:rsid w:val="005E7213"/>
    <w:rsid w:val="005F2924"/>
    <w:rsid w:val="005F2F9E"/>
    <w:rsid w:val="005F4547"/>
    <w:rsid w:val="005F5226"/>
    <w:rsid w:val="005F5CFD"/>
    <w:rsid w:val="0060477E"/>
    <w:rsid w:val="00607712"/>
    <w:rsid w:val="00613D37"/>
    <w:rsid w:val="00615544"/>
    <w:rsid w:val="00615AAC"/>
    <w:rsid w:val="00616139"/>
    <w:rsid w:val="00621F1A"/>
    <w:rsid w:val="006232B5"/>
    <w:rsid w:val="00623AF0"/>
    <w:rsid w:val="00625E5D"/>
    <w:rsid w:val="00627966"/>
    <w:rsid w:val="00633AF8"/>
    <w:rsid w:val="00635EBF"/>
    <w:rsid w:val="00636B0A"/>
    <w:rsid w:val="006374EF"/>
    <w:rsid w:val="006375E6"/>
    <w:rsid w:val="006403F8"/>
    <w:rsid w:val="0064094D"/>
    <w:rsid w:val="00644D5C"/>
    <w:rsid w:val="006454A7"/>
    <w:rsid w:val="0064563A"/>
    <w:rsid w:val="006475BE"/>
    <w:rsid w:val="0065231D"/>
    <w:rsid w:val="00652598"/>
    <w:rsid w:val="00656270"/>
    <w:rsid w:val="00657EA5"/>
    <w:rsid w:val="0066628A"/>
    <w:rsid w:val="00666FD5"/>
    <w:rsid w:val="00667166"/>
    <w:rsid w:val="00670005"/>
    <w:rsid w:val="006708C6"/>
    <w:rsid w:val="00680C7A"/>
    <w:rsid w:val="00682006"/>
    <w:rsid w:val="0068336B"/>
    <w:rsid w:val="006841B5"/>
    <w:rsid w:val="0068681D"/>
    <w:rsid w:val="00691499"/>
    <w:rsid w:val="006945D0"/>
    <w:rsid w:val="006A0B3B"/>
    <w:rsid w:val="006A1161"/>
    <w:rsid w:val="006A47DF"/>
    <w:rsid w:val="006B3B82"/>
    <w:rsid w:val="006B7F18"/>
    <w:rsid w:val="006C0AEB"/>
    <w:rsid w:val="006C276F"/>
    <w:rsid w:val="006C4BD4"/>
    <w:rsid w:val="006C6DA3"/>
    <w:rsid w:val="006D1740"/>
    <w:rsid w:val="006D33D2"/>
    <w:rsid w:val="006E09BD"/>
    <w:rsid w:val="006E1464"/>
    <w:rsid w:val="006E2CDE"/>
    <w:rsid w:val="006E2D28"/>
    <w:rsid w:val="006E3B89"/>
    <w:rsid w:val="006E4EC1"/>
    <w:rsid w:val="006E6820"/>
    <w:rsid w:val="006E7751"/>
    <w:rsid w:val="006E7D0F"/>
    <w:rsid w:val="006F001C"/>
    <w:rsid w:val="006F003F"/>
    <w:rsid w:val="006F1786"/>
    <w:rsid w:val="006F3894"/>
    <w:rsid w:val="006F5E95"/>
    <w:rsid w:val="006F68A3"/>
    <w:rsid w:val="006F6BF4"/>
    <w:rsid w:val="006F79ED"/>
    <w:rsid w:val="00700CE6"/>
    <w:rsid w:val="007014A4"/>
    <w:rsid w:val="00701CF4"/>
    <w:rsid w:val="00703C59"/>
    <w:rsid w:val="00704DD4"/>
    <w:rsid w:val="00705522"/>
    <w:rsid w:val="00707489"/>
    <w:rsid w:val="00713A40"/>
    <w:rsid w:val="00713D80"/>
    <w:rsid w:val="00716401"/>
    <w:rsid w:val="00716BA3"/>
    <w:rsid w:val="00717E37"/>
    <w:rsid w:val="007204A3"/>
    <w:rsid w:val="007204DD"/>
    <w:rsid w:val="00721013"/>
    <w:rsid w:val="007223B1"/>
    <w:rsid w:val="00722A00"/>
    <w:rsid w:val="00723B6D"/>
    <w:rsid w:val="00723BF3"/>
    <w:rsid w:val="007260C4"/>
    <w:rsid w:val="00731D7C"/>
    <w:rsid w:val="00732F28"/>
    <w:rsid w:val="00732F51"/>
    <w:rsid w:val="0074038D"/>
    <w:rsid w:val="007430BF"/>
    <w:rsid w:val="00743EE7"/>
    <w:rsid w:val="00747022"/>
    <w:rsid w:val="007473F7"/>
    <w:rsid w:val="007477D0"/>
    <w:rsid w:val="0075089C"/>
    <w:rsid w:val="00751455"/>
    <w:rsid w:val="00751BD0"/>
    <w:rsid w:val="00755D72"/>
    <w:rsid w:val="007577EB"/>
    <w:rsid w:val="00765C72"/>
    <w:rsid w:val="007665CC"/>
    <w:rsid w:val="00766D76"/>
    <w:rsid w:val="0076796D"/>
    <w:rsid w:val="007703D0"/>
    <w:rsid w:val="007734B4"/>
    <w:rsid w:val="0077372B"/>
    <w:rsid w:val="00775459"/>
    <w:rsid w:val="00776704"/>
    <w:rsid w:val="00781C81"/>
    <w:rsid w:val="0078249E"/>
    <w:rsid w:val="00783369"/>
    <w:rsid w:val="00783A2C"/>
    <w:rsid w:val="00786D71"/>
    <w:rsid w:val="00790550"/>
    <w:rsid w:val="00790E83"/>
    <w:rsid w:val="00792D1A"/>
    <w:rsid w:val="007933EE"/>
    <w:rsid w:val="00794516"/>
    <w:rsid w:val="007956DF"/>
    <w:rsid w:val="00797B95"/>
    <w:rsid w:val="007A26DE"/>
    <w:rsid w:val="007A4380"/>
    <w:rsid w:val="007A4918"/>
    <w:rsid w:val="007A66DA"/>
    <w:rsid w:val="007B018B"/>
    <w:rsid w:val="007B1FFD"/>
    <w:rsid w:val="007B25EB"/>
    <w:rsid w:val="007B52F4"/>
    <w:rsid w:val="007B5D03"/>
    <w:rsid w:val="007B7354"/>
    <w:rsid w:val="007C0327"/>
    <w:rsid w:val="007C1377"/>
    <w:rsid w:val="007C2ECA"/>
    <w:rsid w:val="007C326F"/>
    <w:rsid w:val="007C4167"/>
    <w:rsid w:val="007D017F"/>
    <w:rsid w:val="007D02E4"/>
    <w:rsid w:val="007D1161"/>
    <w:rsid w:val="007D4911"/>
    <w:rsid w:val="007D55D8"/>
    <w:rsid w:val="007D6D8B"/>
    <w:rsid w:val="007E30DF"/>
    <w:rsid w:val="007E455E"/>
    <w:rsid w:val="007E4D2E"/>
    <w:rsid w:val="007E5822"/>
    <w:rsid w:val="007E589E"/>
    <w:rsid w:val="007E6D67"/>
    <w:rsid w:val="007E7FF7"/>
    <w:rsid w:val="007F200E"/>
    <w:rsid w:val="007F28BD"/>
    <w:rsid w:val="007F30F6"/>
    <w:rsid w:val="007F4147"/>
    <w:rsid w:val="007F439C"/>
    <w:rsid w:val="007F4A26"/>
    <w:rsid w:val="00800335"/>
    <w:rsid w:val="008005CC"/>
    <w:rsid w:val="00800ED3"/>
    <w:rsid w:val="00805103"/>
    <w:rsid w:val="00805A17"/>
    <w:rsid w:val="0080695A"/>
    <w:rsid w:val="00806AE3"/>
    <w:rsid w:val="00807A8B"/>
    <w:rsid w:val="00810546"/>
    <w:rsid w:val="0081271D"/>
    <w:rsid w:val="00815722"/>
    <w:rsid w:val="00815943"/>
    <w:rsid w:val="00816E47"/>
    <w:rsid w:val="00820660"/>
    <w:rsid w:val="00820FF0"/>
    <w:rsid w:val="0082201D"/>
    <w:rsid w:val="00822237"/>
    <w:rsid w:val="00822488"/>
    <w:rsid w:val="00823F7E"/>
    <w:rsid w:val="00823FA2"/>
    <w:rsid w:val="008268A3"/>
    <w:rsid w:val="008272EA"/>
    <w:rsid w:val="00827745"/>
    <w:rsid w:val="00827B51"/>
    <w:rsid w:val="00830810"/>
    <w:rsid w:val="0083366C"/>
    <w:rsid w:val="0083638E"/>
    <w:rsid w:val="00836F8A"/>
    <w:rsid w:val="00837A8A"/>
    <w:rsid w:val="0084372E"/>
    <w:rsid w:val="00847AFB"/>
    <w:rsid w:val="0085163B"/>
    <w:rsid w:val="00851937"/>
    <w:rsid w:val="0085489E"/>
    <w:rsid w:val="0085640A"/>
    <w:rsid w:val="00857A4F"/>
    <w:rsid w:val="00857BE5"/>
    <w:rsid w:val="00860B38"/>
    <w:rsid w:val="00861DB8"/>
    <w:rsid w:val="008650F1"/>
    <w:rsid w:val="00867AEF"/>
    <w:rsid w:val="0087199C"/>
    <w:rsid w:val="008749C0"/>
    <w:rsid w:val="0087507A"/>
    <w:rsid w:val="00880940"/>
    <w:rsid w:val="00882DB4"/>
    <w:rsid w:val="008862E2"/>
    <w:rsid w:val="00892664"/>
    <w:rsid w:val="00893666"/>
    <w:rsid w:val="0089524F"/>
    <w:rsid w:val="00895EE7"/>
    <w:rsid w:val="00896FEA"/>
    <w:rsid w:val="008A20D9"/>
    <w:rsid w:val="008A664E"/>
    <w:rsid w:val="008A6680"/>
    <w:rsid w:val="008A6D46"/>
    <w:rsid w:val="008B00C8"/>
    <w:rsid w:val="008B1210"/>
    <w:rsid w:val="008B1F21"/>
    <w:rsid w:val="008B30EA"/>
    <w:rsid w:val="008B4716"/>
    <w:rsid w:val="008B56B4"/>
    <w:rsid w:val="008B5DCD"/>
    <w:rsid w:val="008B62BC"/>
    <w:rsid w:val="008C077E"/>
    <w:rsid w:val="008C39CA"/>
    <w:rsid w:val="008C41D9"/>
    <w:rsid w:val="008C7896"/>
    <w:rsid w:val="008D07EC"/>
    <w:rsid w:val="008D2370"/>
    <w:rsid w:val="008D3C59"/>
    <w:rsid w:val="008D45B8"/>
    <w:rsid w:val="008D5CBA"/>
    <w:rsid w:val="008E68AB"/>
    <w:rsid w:val="008E6A4F"/>
    <w:rsid w:val="008E7CBA"/>
    <w:rsid w:val="008F1F78"/>
    <w:rsid w:val="008F3A6C"/>
    <w:rsid w:val="008F53B5"/>
    <w:rsid w:val="008F6817"/>
    <w:rsid w:val="00900B9C"/>
    <w:rsid w:val="00906015"/>
    <w:rsid w:val="00912431"/>
    <w:rsid w:val="00912823"/>
    <w:rsid w:val="0091548D"/>
    <w:rsid w:val="00916CDF"/>
    <w:rsid w:val="00921926"/>
    <w:rsid w:val="00922075"/>
    <w:rsid w:val="00922F44"/>
    <w:rsid w:val="0092476A"/>
    <w:rsid w:val="0092781C"/>
    <w:rsid w:val="00932D33"/>
    <w:rsid w:val="00933AD0"/>
    <w:rsid w:val="0093420F"/>
    <w:rsid w:val="00946994"/>
    <w:rsid w:val="00946C19"/>
    <w:rsid w:val="00947A88"/>
    <w:rsid w:val="00950B4C"/>
    <w:rsid w:val="00953D0D"/>
    <w:rsid w:val="00955153"/>
    <w:rsid w:val="009622C6"/>
    <w:rsid w:val="00970BFF"/>
    <w:rsid w:val="00971B66"/>
    <w:rsid w:val="00975973"/>
    <w:rsid w:val="00975DA9"/>
    <w:rsid w:val="00975F8B"/>
    <w:rsid w:val="00976BE8"/>
    <w:rsid w:val="00991493"/>
    <w:rsid w:val="009917F6"/>
    <w:rsid w:val="00992E9D"/>
    <w:rsid w:val="0099688F"/>
    <w:rsid w:val="00997291"/>
    <w:rsid w:val="0099743C"/>
    <w:rsid w:val="009A3FDC"/>
    <w:rsid w:val="009A54BB"/>
    <w:rsid w:val="009A75A4"/>
    <w:rsid w:val="009B1979"/>
    <w:rsid w:val="009B2D08"/>
    <w:rsid w:val="009B5DFE"/>
    <w:rsid w:val="009B7649"/>
    <w:rsid w:val="009C0490"/>
    <w:rsid w:val="009C30BC"/>
    <w:rsid w:val="009C3339"/>
    <w:rsid w:val="009C59F8"/>
    <w:rsid w:val="009C7DC6"/>
    <w:rsid w:val="009D00A9"/>
    <w:rsid w:val="009D6AC0"/>
    <w:rsid w:val="009E0D3B"/>
    <w:rsid w:val="009E3A20"/>
    <w:rsid w:val="009E4173"/>
    <w:rsid w:val="009E6D32"/>
    <w:rsid w:val="009E7040"/>
    <w:rsid w:val="009E708A"/>
    <w:rsid w:val="009F1B93"/>
    <w:rsid w:val="009F215C"/>
    <w:rsid w:val="009F7E91"/>
    <w:rsid w:val="00A00569"/>
    <w:rsid w:val="00A0129D"/>
    <w:rsid w:val="00A04065"/>
    <w:rsid w:val="00A06377"/>
    <w:rsid w:val="00A1209F"/>
    <w:rsid w:val="00A17E51"/>
    <w:rsid w:val="00A20BB0"/>
    <w:rsid w:val="00A23160"/>
    <w:rsid w:val="00A23801"/>
    <w:rsid w:val="00A247AB"/>
    <w:rsid w:val="00A265C3"/>
    <w:rsid w:val="00A270E6"/>
    <w:rsid w:val="00A2786B"/>
    <w:rsid w:val="00A33734"/>
    <w:rsid w:val="00A34ABC"/>
    <w:rsid w:val="00A3505C"/>
    <w:rsid w:val="00A356AD"/>
    <w:rsid w:val="00A360B2"/>
    <w:rsid w:val="00A36661"/>
    <w:rsid w:val="00A3770D"/>
    <w:rsid w:val="00A4084A"/>
    <w:rsid w:val="00A41CA3"/>
    <w:rsid w:val="00A42172"/>
    <w:rsid w:val="00A43CAC"/>
    <w:rsid w:val="00A44E85"/>
    <w:rsid w:val="00A51831"/>
    <w:rsid w:val="00A52326"/>
    <w:rsid w:val="00A5457C"/>
    <w:rsid w:val="00A54AA8"/>
    <w:rsid w:val="00A60F9B"/>
    <w:rsid w:val="00A61005"/>
    <w:rsid w:val="00A65565"/>
    <w:rsid w:val="00A65922"/>
    <w:rsid w:val="00A70B4F"/>
    <w:rsid w:val="00A74144"/>
    <w:rsid w:val="00A74CF3"/>
    <w:rsid w:val="00A81708"/>
    <w:rsid w:val="00A83655"/>
    <w:rsid w:val="00A871B3"/>
    <w:rsid w:val="00A871C7"/>
    <w:rsid w:val="00A8744A"/>
    <w:rsid w:val="00A90629"/>
    <w:rsid w:val="00A91090"/>
    <w:rsid w:val="00A92C84"/>
    <w:rsid w:val="00A9641D"/>
    <w:rsid w:val="00AA3F96"/>
    <w:rsid w:val="00AA4206"/>
    <w:rsid w:val="00AB05AB"/>
    <w:rsid w:val="00AB09A3"/>
    <w:rsid w:val="00AB2F3E"/>
    <w:rsid w:val="00AB3905"/>
    <w:rsid w:val="00AB616A"/>
    <w:rsid w:val="00AB645A"/>
    <w:rsid w:val="00AC1044"/>
    <w:rsid w:val="00AD30DC"/>
    <w:rsid w:val="00AD3EEA"/>
    <w:rsid w:val="00AD5E9F"/>
    <w:rsid w:val="00AD5F23"/>
    <w:rsid w:val="00AD74E7"/>
    <w:rsid w:val="00AE2306"/>
    <w:rsid w:val="00AE32AC"/>
    <w:rsid w:val="00AE4516"/>
    <w:rsid w:val="00AE7F44"/>
    <w:rsid w:val="00AF0558"/>
    <w:rsid w:val="00AF0885"/>
    <w:rsid w:val="00AF7F79"/>
    <w:rsid w:val="00B05A16"/>
    <w:rsid w:val="00B07269"/>
    <w:rsid w:val="00B07A51"/>
    <w:rsid w:val="00B162E5"/>
    <w:rsid w:val="00B1650A"/>
    <w:rsid w:val="00B21231"/>
    <w:rsid w:val="00B24FF4"/>
    <w:rsid w:val="00B254CC"/>
    <w:rsid w:val="00B25EA3"/>
    <w:rsid w:val="00B34540"/>
    <w:rsid w:val="00B3498D"/>
    <w:rsid w:val="00B34DA2"/>
    <w:rsid w:val="00B35D0C"/>
    <w:rsid w:val="00B37192"/>
    <w:rsid w:val="00B51226"/>
    <w:rsid w:val="00B52455"/>
    <w:rsid w:val="00B5263B"/>
    <w:rsid w:val="00B53675"/>
    <w:rsid w:val="00B54692"/>
    <w:rsid w:val="00B55B54"/>
    <w:rsid w:val="00B55C97"/>
    <w:rsid w:val="00B571F6"/>
    <w:rsid w:val="00B60221"/>
    <w:rsid w:val="00B61A65"/>
    <w:rsid w:val="00B6235E"/>
    <w:rsid w:val="00B64557"/>
    <w:rsid w:val="00B65F56"/>
    <w:rsid w:val="00B6719D"/>
    <w:rsid w:val="00B67F51"/>
    <w:rsid w:val="00B7211E"/>
    <w:rsid w:val="00B745B7"/>
    <w:rsid w:val="00B74F11"/>
    <w:rsid w:val="00B74F9A"/>
    <w:rsid w:val="00B75D56"/>
    <w:rsid w:val="00B80F28"/>
    <w:rsid w:val="00B86714"/>
    <w:rsid w:val="00B86A48"/>
    <w:rsid w:val="00B904E2"/>
    <w:rsid w:val="00B91CE7"/>
    <w:rsid w:val="00B923FE"/>
    <w:rsid w:val="00B92C20"/>
    <w:rsid w:val="00B9337F"/>
    <w:rsid w:val="00B93766"/>
    <w:rsid w:val="00B93852"/>
    <w:rsid w:val="00B9400E"/>
    <w:rsid w:val="00B96F76"/>
    <w:rsid w:val="00B9754E"/>
    <w:rsid w:val="00BA3F51"/>
    <w:rsid w:val="00BA3FB0"/>
    <w:rsid w:val="00BA48CA"/>
    <w:rsid w:val="00BA5152"/>
    <w:rsid w:val="00BA5A2C"/>
    <w:rsid w:val="00BA73D1"/>
    <w:rsid w:val="00BA7AE9"/>
    <w:rsid w:val="00BB0010"/>
    <w:rsid w:val="00BB299F"/>
    <w:rsid w:val="00BB3BFC"/>
    <w:rsid w:val="00BB43F5"/>
    <w:rsid w:val="00BB5242"/>
    <w:rsid w:val="00BB7916"/>
    <w:rsid w:val="00BC183C"/>
    <w:rsid w:val="00BC1EAD"/>
    <w:rsid w:val="00BC419B"/>
    <w:rsid w:val="00BC6AE5"/>
    <w:rsid w:val="00BD05DE"/>
    <w:rsid w:val="00BD075C"/>
    <w:rsid w:val="00BD5CDC"/>
    <w:rsid w:val="00BD616C"/>
    <w:rsid w:val="00BD636B"/>
    <w:rsid w:val="00BD6DB2"/>
    <w:rsid w:val="00BD7D4A"/>
    <w:rsid w:val="00BE0468"/>
    <w:rsid w:val="00BE3A0A"/>
    <w:rsid w:val="00BE3C95"/>
    <w:rsid w:val="00BE7193"/>
    <w:rsid w:val="00BF0DEB"/>
    <w:rsid w:val="00BF3116"/>
    <w:rsid w:val="00BF3E28"/>
    <w:rsid w:val="00BF5311"/>
    <w:rsid w:val="00BF5DAF"/>
    <w:rsid w:val="00BF7A45"/>
    <w:rsid w:val="00C0018D"/>
    <w:rsid w:val="00C024A0"/>
    <w:rsid w:val="00C036F8"/>
    <w:rsid w:val="00C07AD2"/>
    <w:rsid w:val="00C107E4"/>
    <w:rsid w:val="00C11FA5"/>
    <w:rsid w:val="00C12E5A"/>
    <w:rsid w:val="00C13EF4"/>
    <w:rsid w:val="00C15D52"/>
    <w:rsid w:val="00C16221"/>
    <w:rsid w:val="00C20ED5"/>
    <w:rsid w:val="00C21C50"/>
    <w:rsid w:val="00C260A7"/>
    <w:rsid w:val="00C333CC"/>
    <w:rsid w:val="00C40448"/>
    <w:rsid w:val="00C41E35"/>
    <w:rsid w:val="00C445FE"/>
    <w:rsid w:val="00C45A50"/>
    <w:rsid w:val="00C4673D"/>
    <w:rsid w:val="00C50D30"/>
    <w:rsid w:val="00C5761B"/>
    <w:rsid w:val="00C577FC"/>
    <w:rsid w:val="00C57EA6"/>
    <w:rsid w:val="00C610C1"/>
    <w:rsid w:val="00C62FA8"/>
    <w:rsid w:val="00C66F33"/>
    <w:rsid w:val="00C6723F"/>
    <w:rsid w:val="00C673C7"/>
    <w:rsid w:val="00C70B9C"/>
    <w:rsid w:val="00C721DE"/>
    <w:rsid w:val="00C736CF"/>
    <w:rsid w:val="00C749DE"/>
    <w:rsid w:val="00C77A45"/>
    <w:rsid w:val="00C77BCF"/>
    <w:rsid w:val="00C841E2"/>
    <w:rsid w:val="00C84464"/>
    <w:rsid w:val="00C845AF"/>
    <w:rsid w:val="00C876D3"/>
    <w:rsid w:val="00C90478"/>
    <w:rsid w:val="00C9248B"/>
    <w:rsid w:val="00C92844"/>
    <w:rsid w:val="00C93095"/>
    <w:rsid w:val="00C93D37"/>
    <w:rsid w:val="00C96053"/>
    <w:rsid w:val="00C9684F"/>
    <w:rsid w:val="00C97953"/>
    <w:rsid w:val="00CA5B1B"/>
    <w:rsid w:val="00CA750E"/>
    <w:rsid w:val="00CB0642"/>
    <w:rsid w:val="00CB584B"/>
    <w:rsid w:val="00CB6A83"/>
    <w:rsid w:val="00CC099E"/>
    <w:rsid w:val="00CC31F4"/>
    <w:rsid w:val="00CC351D"/>
    <w:rsid w:val="00CC4CB8"/>
    <w:rsid w:val="00CC577C"/>
    <w:rsid w:val="00CC5888"/>
    <w:rsid w:val="00CC78AA"/>
    <w:rsid w:val="00CD3D69"/>
    <w:rsid w:val="00CD67CF"/>
    <w:rsid w:val="00CD6CBE"/>
    <w:rsid w:val="00CE0474"/>
    <w:rsid w:val="00CE31E8"/>
    <w:rsid w:val="00CE5C65"/>
    <w:rsid w:val="00CF0C55"/>
    <w:rsid w:val="00CF278B"/>
    <w:rsid w:val="00CF3544"/>
    <w:rsid w:val="00CF4BD1"/>
    <w:rsid w:val="00CF5058"/>
    <w:rsid w:val="00CF577E"/>
    <w:rsid w:val="00CF5E86"/>
    <w:rsid w:val="00CF69CC"/>
    <w:rsid w:val="00D02F4A"/>
    <w:rsid w:val="00D0359B"/>
    <w:rsid w:val="00D039A2"/>
    <w:rsid w:val="00D076BB"/>
    <w:rsid w:val="00D07E07"/>
    <w:rsid w:val="00D10704"/>
    <w:rsid w:val="00D12D0D"/>
    <w:rsid w:val="00D14C61"/>
    <w:rsid w:val="00D157AF"/>
    <w:rsid w:val="00D202B5"/>
    <w:rsid w:val="00D210D5"/>
    <w:rsid w:val="00D2191B"/>
    <w:rsid w:val="00D24707"/>
    <w:rsid w:val="00D247BE"/>
    <w:rsid w:val="00D25553"/>
    <w:rsid w:val="00D26AEE"/>
    <w:rsid w:val="00D328F6"/>
    <w:rsid w:val="00D33DC4"/>
    <w:rsid w:val="00D35B71"/>
    <w:rsid w:val="00D37411"/>
    <w:rsid w:val="00D37A73"/>
    <w:rsid w:val="00D4043D"/>
    <w:rsid w:val="00D416ED"/>
    <w:rsid w:val="00D4360C"/>
    <w:rsid w:val="00D443BB"/>
    <w:rsid w:val="00D46FBE"/>
    <w:rsid w:val="00D47B4E"/>
    <w:rsid w:val="00D508AC"/>
    <w:rsid w:val="00D522C7"/>
    <w:rsid w:val="00D535AE"/>
    <w:rsid w:val="00D53A42"/>
    <w:rsid w:val="00D60E7A"/>
    <w:rsid w:val="00D6284E"/>
    <w:rsid w:val="00D62D7C"/>
    <w:rsid w:val="00D63064"/>
    <w:rsid w:val="00D6383B"/>
    <w:rsid w:val="00D64812"/>
    <w:rsid w:val="00D64E44"/>
    <w:rsid w:val="00D7343B"/>
    <w:rsid w:val="00D735FC"/>
    <w:rsid w:val="00D76725"/>
    <w:rsid w:val="00D80928"/>
    <w:rsid w:val="00D80E55"/>
    <w:rsid w:val="00D81FB6"/>
    <w:rsid w:val="00D8211E"/>
    <w:rsid w:val="00D8471F"/>
    <w:rsid w:val="00D85A42"/>
    <w:rsid w:val="00D85B42"/>
    <w:rsid w:val="00D86CB1"/>
    <w:rsid w:val="00D87315"/>
    <w:rsid w:val="00D875B3"/>
    <w:rsid w:val="00D90948"/>
    <w:rsid w:val="00D91FD6"/>
    <w:rsid w:val="00D97739"/>
    <w:rsid w:val="00D97C2D"/>
    <w:rsid w:val="00DA208C"/>
    <w:rsid w:val="00DA2ED8"/>
    <w:rsid w:val="00DA3A68"/>
    <w:rsid w:val="00DA68E1"/>
    <w:rsid w:val="00DA695A"/>
    <w:rsid w:val="00DA6E55"/>
    <w:rsid w:val="00DA7F2F"/>
    <w:rsid w:val="00DB124D"/>
    <w:rsid w:val="00DB255F"/>
    <w:rsid w:val="00DB365B"/>
    <w:rsid w:val="00DB434A"/>
    <w:rsid w:val="00DB6B73"/>
    <w:rsid w:val="00DB752A"/>
    <w:rsid w:val="00DC0712"/>
    <w:rsid w:val="00DC1082"/>
    <w:rsid w:val="00DC1F8A"/>
    <w:rsid w:val="00DC2931"/>
    <w:rsid w:val="00DC2A1D"/>
    <w:rsid w:val="00DC7AB0"/>
    <w:rsid w:val="00DC7CD8"/>
    <w:rsid w:val="00DD40A3"/>
    <w:rsid w:val="00DD6775"/>
    <w:rsid w:val="00DD6966"/>
    <w:rsid w:val="00DD7496"/>
    <w:rsid w:val="00DE0AD2"/>
    <w:rsid w:val="00DE0C48"/>
    <w:rsid w:val="00DE4FE4"/>
    <w:rsid w:val="00DF2544"/>
    <w:rsid w:val="00DF2A1B"/>
    <w:rsid w:val="00DF34EA"/>
    <w:rsid w:val="00DF49CA"/>
    <w:rsid w:val="00DF665C"/>
    <w:rsid w:val="00DF66DC"/>
    <w:rsid w:val="00DF7725"/>
    <w:rsid w:val="00DF7A3A"/>
    <w:rsid w:val="00E00E10"/>
    <w:rsid w:val="00E0323E"/>
    <w:rsid w:val="00E20AB3"/>
    <w:rsid w:val="00E22760"/>
    <w:rsid w:val="00E23D02"/>
    <w:rsid w:val="00E23E3A"/>
    <w:rsid w:val="00E25FCD"/>
    <w:rsid w:val="00E27A68"/>
    <w:rsid w:val="00E31F01"/>
    <w:rsid w:val="00E34882"/>
    <w:rsid w:val="00E371CD"/>
    <w:rsid w:val="00E4085C"/>
    <w:rsid w:val="00E4162F"/>
    <w:rsid w:val="00E42670"/>
    <w:rsid w:val="00E43BA3"/>
    <w:rsid w:val="00E43BBB"/>
    <w:rsid w:val="00E461A3"/>
    <w:rsid w:val="00E512E9"/>
    <w:rsid w:val="00E51F60"/>
    <w:rsid w:val="00E5223D"/>
    <w:rsid w:val="00E5312F"/>
    <w:rsid w:val="00E544F2"/>
    <w:rsid w:val="00E54C0D"/>
    <w:rsid w:val="00E5659B"/>
    <w:rsid w:val="00E61008"/>
    <w:rsid w:val="00E61862"/>
    <w:rsid w:val="00E64827"/>
    <w:rsid w:val="00E65AF2"/>
    <w:rsid w:val="00E711E8"/>
    <w:rsid w:val="00E71881"/>
    <w:rsid w:val="00E76E19"/>
    <w:rsid w:val="00E76EB1"/>
    <w:rsid w:val="00E80632"/>
    <w:rsid w:val="00E80779"/>
    <w:rsid w:val="00E82B29"/>
    <w:rsid w:val="00E846AB"/>
    <w:rsid w:val="00E84804"/>
    <w:rsid w:val="00E86B33"/>
    <w:rsid w:val="00E872E7"/>
    <w:rsid w:val="00E87A2A"/>
    <w:rsid w:val="00E87ABC"/>
    <w:rsid w:val="00E87C84"/>
    <w:rsid w:val="00E915C8"/>
    <w:rsid w:val="00E97134"/>
    <w:rsid w:val="00E973EB"/>
    <w:rsid w:val="00EA057F"/>
    <w:rsid w:val="00EA2BF7"/>
    <w:rsid w:val="00EA4407"/>
    <w:rsid w:val="00EA4E0F"/>
    <w:rsid w:val="00EB09CB"/>
    <w:rsid w:val="00EB18EF"/>
    <w:rsid w:val="00EB2024"/>
    <w:rsid w:val="00EB45E1"/>
    <w:rsid w:val="00EB477B"/>
    <w:rsid w:val="00EB55A6"/>
    <w:rsid w:val="00EB6C2A"/>
    <w:rsid w:val="00EC1429"/>
    <w:rsid w:val="00EC227D"/>
    <w:rsid w:val="00EC2B6B"/>
    <w:rsid w:val="00EC3769"/>
    <w:rsid w:val="00EC7030"/>
    <w:rsid w:val="00ED2537"/>
    <w:rsid w:val="00EE2B26"/>
    <w:rsid w:val="00EE2B3C"/>
    <w:rsid w:val="00EE31AA"/>
    <w:rsid w:val="00EE3D72"/>
    <w:rsid w:val="00EE41F9"/>
    <w:rsid w:val="00EE55AC"/>
    <w:rsid w:val="00EE61C9"/>
    <w:rsid w:val="00EE6F3D"/>
    <w:rsid w:val="00EE7F72"/>
    <w:rsid w:val="00EF0338"/>
    <w:rsid w:val="00EF0DE4"/>
    <w:rsid w:val="00EF1697"/>
    <w:rsid w:val="00EF3F3B"/>
    <w:rsid w:val="00F01BEF"/>
    <w:rsid w:val="00F03840"/>
    <w:rsid w:val="00F040EF"/>
    <w:rsid w:val="00F07BD4"/>
    <w:rsid w:val="00F12620"/>
    <w:rsid w:val="00F140A6"/>
    <w:rsid w:val="00F147DF"/>
    <w:rsid w:val="00F15452"/>
    <w:rsid w:val="00F1740F"/>
    <w:rsid w:val="00F21B78"/>
    <w:rsid w:val="00F249F4"/>
    <w:rsid w:val="00F270E8"/>
    <w:rsid w:val="00F2776A"/>
    <w:rsid w:val="00F30358"/>
    <w:rsid w:val="00F317B6"/>
    <w:rsid w:val="00F33045"/>
    <w:rsid w:val="00F33538"/>
    <w:rsid w:val="00F35F20"/>
    <w:rsid w:val="00F36821"/>
    <w:rsid w:val="00F40536"/>
    <w:rsid w:val="00F408CF"/>
    <w:rsid w:val="00F41FD7"/>
    <w:rsid w:val="00F43AC7"/>
    <w:rsid w:val="00F44435"/>
    <w:rsid w:val="00F451D9"/>
    <w:rsid w:val="00F472F9"/>
    <w:rsid w:val="00F47EB2"/>
    <w:rsid w:val="00F52C15"/>
    <w:rsid w:val="00F52F9F"/>
    <w:rsid w:val="00F53FAC"/>
    <w:rsid w:val="00F54403"/>
    <w:rsid w:val="00F55494"/>
    <w:rsid w:val="00F56BC5"/>
    <w:rsid w:val="00F576DE"/>
    <w:rsid w:val="00F61BBA"/>
    <w:rsid w:val="00F63BF8"/>
    <w:rsid w:val="00F64B1E"/>
    <w:rsid w:val="00F655E9"/>
    <w:rsid w:val="00F664B3"/>
    <w:rsid w:val="00F679CD"/>
    <w:rsid w:val="00F704EA"/>
    <w:rsid w:val="00F71131"/>
    <w:rsid w:val="00F71634"/>
    <w:rsid w:val="00F73718"/>
    <w:rsid w:val="00F80D03"/>
    <w:rsid w:val="00F84627"/>
    <w:rsid w:val="00F85266"/>
    <w:rsid w:val="00F853E7"/>
    <w:rsid w:val="00F85FC2"/>
    <w:rsid w:val="00F86E64"/>
    <w:rsid w:val="00F91F3C"/>
    <w:rsid w:val="00F930E2"/>
    <w:rsid w:val="00F93A64"/>
    <w:rsid w:val="00F942EA"/>
    <w:rsid w:val="00F96F9C"/>
    <w:rsid w:val="00FA2E93"/>
    <w:rsid w:val="00FA3FB2"/>
    <w:rsid w:val="00FA54F9"/>
    <w:rsid w:val="00FB356D"/>
    <w:rsid w:val="00FB5391"/>
    <w:rsid w:val="00FB588E"/>
    <w:rsid w:val="00FB778E"/>
    <w:rsid w:val="00FB79BB"/>
    <w:rsid w:val="00FC00D5"/>
    <w:rsid w:val="00FC0931"/>
    <w:rsid w:val="00FC2AC8"/>
    <w:rsid w:val="00FC591A"/>
    <w:rsid w:val="00FD0477"/>
    <w:rsid w:val="00FD38A3"/>
    <w:rsid w:val="00FD3E1B"/>
    <w:rsid w:val="00FD760D"/>
    <w:rsid w:val="00FE6E4D"/>
    <w:rsid w:val="00FF3F23"/>
    <w:rsid w:val="00FF7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4063E7"/>
  <w15:docId w15:val="{657CCBE6-6C81-442A-AC85-E62D829D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3B89"/>
    <w:rPr>
      <w:rFonts w:asciiTheme="minorHAnsi" w:hAnsiTheme="minorHAnsi"/>
    </w:rPr>
  </w:style>
  <w:style w:type="paragraph" w:styleId="Nadpis1">
    <w:name w:val="heading 1"/>
    <w:basedOn w:val="Text"/>
    <w:next w:val="Text"/>
    <w:link w:val="Nadpis1Char"/>
    <w:uiPriority w:val="99"/>
    <w:qFormat/>
    <w:rsid w:val="009C5669"/>
    <w:pPr>
      <w:keepNext/>
      <w:keepLines/>
      <w:numPr>
        <w:numId w:val="2"/>
      </w:numPr>
      <w:spacing w:before="240" w:after="240"/>
      <w:outlineLvl w:val="0"/>
    </w:pPr>
    <w:rPr>
      <w:b/>
      <w:sz w:val="28"/>
    </w:rPr>
  </w:style>
  <w:style w:type="paragraph" w:styleId="Nadpis2">
    <w:name w:val="heading 2"/>
    <w:basedOn w:val="Text"/>
    <w:next w:val="Text"/>
    <w:link w:val="Nadpis2Char"/>
    <w:uiPriority w:val="99"/>
    <w:unhideWhenUsed/>
    <w:qFormat/>
    <w:rsid w:val="009C5669"/>
    <w:pPr>
      <w:keepNext/>
      <w:keepLines/>
      <w:numPr>
        <w:ilvl w:val="1"/>
        <w:numId w:val="2"/>
      </w:numPr>
      <w:spacing w:after="120"/>
      <w:outlineLvl w:val="1"/>
    </w:pPr>
    <w:rPr>
      <w:rFonts w:eastAsiaTheme="majorEastAsia" w:cstheme="majorBidi"/>
      <w:b/>
      <w:szCs w:val="26"/>
    </w:rPr>
  </w:style>
  <w:style w:type="paragraph" w:styleId="Nadpis3">
    <w:name w:val="heading 3"/>
    <w:basedOn w:val="Text"/>
    <w:next w:val="Text"/>
    <w:link w:val="Nadpis3Char"/>
    <w:uiPriority w:val="99"/>
    <w:unhideWhenUsed/>
    <w:qFormat/>
    <w:rsid w:val="007F7FC9"/>
    <w:pPr>
      <w:keepNext/>
      <w:keepLines/>
      <w:numPr>
        <w:ilvl w:val="2"/>
        <w:numId w:val="2"/>
      </w:numPr>
      <w:spacing w:after="120"/>
      <w:outlineLvl w:val="2"/>
    </w:pPr>
    <w:rPr>
      <w:rFonts w:eastAsiaTheme="majorEastAsia" w:cstheme="majorBidi"/>
      <w:b/>
    </w:rPr>
  </w:style>
  <w:style w:type="paragraph" w:styleId="Nadpis4">
    <w:name w:val="heading 4"/>
    <w:basedOn w:val="Text"/>
    <w:next w:val="Text"/>
    <w:link w:val="Nadpis4Char"/>
    <w:uiPriority w:val="99"/>
    <w:unhideWhenUsed/>
    <w:qFormat/>
    <w:rsid w:val="007F7FC9"/>
    <w:pPr>
      <w:keepNext/>
      <w:keepLines/>
      <w:numPr>
        <w:ilvl w:val="3"/>
        <w:numId w:val="1"/>
      </w:numPr>
      <w:spacing w:after="120"/>
      <w:ind w:left="851" w:hanging="851"/>
      <w:outlineLvl w:val="3"/>
    </w:pPr>
    <w:rPr>
      <w:rFonts w:eastAsiaTheme="majorEastAsia" w:cstheme="majorBidi"/>
      <w:b/>
      <w:bCs/>
      <w:iCs/>
    </w:rPr>
  </w:style>
  <w:style w:type="paragraph" w:styleId="Nadpis5">
    <w:name w:val="heading 5"/>
    <w:basedOn w:val="Normln"/>
    <w:next w:val="Normln"/>
    <w:link w:val="Nadpis5Char"/>
    <w:uiPriority w:val="99"/>
    <w:unhideWhenUsed/>
    <w:rsid w:val="00544471"/>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9"/>
    <w:unhideWhenUsed/>
    <w:rsid w:val="009C5669"/>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rsid w:val="009C5669"/>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unhideWhenUsed/>
    <w:rsid w:val="009C56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unhideWhenUsed/>
    <w:rsid w:val="009C56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basedOn w:val="Normln"/>
    <w:link w:val="TextnormlnChar"/>
    <w:rsid w:val="00544471"/>
  </w:style>
  <w:style w:type="character" w:customStyle="1" w:styleId="TextnormlnChar">
    <w:name w:val="Text normální Char"/>
    <w:basedOn w:val="Standardnpsmoodstavce"/>
    <w:link w:val="Textnormln"/>
    <w:rsid w:val="00544471"/>
  </w:style>
  <w:style w:type="character" w:customStyle="1" w:styleId="Nadpis4Char">
    <w:name w:val="Nadpis 4 Char"/>
    <w:basedOn w:val="Standardnpsmoodstavce"/>
    <w:link w:val="Nadpis4"/>
    <w:uiPriority w:val="99"/>
    <w:rsid w:val="007F7FC9"/>
    <w:rPr>
      <w:rFonts w:asciiTheme="minorHAnsi" w:eastAsiaTheme="majorEastAsia" w:hAnsiTheme="minorHAnsi" w:cstheme="majorBidi"/>
      <w:b/>
      <w:bCs/>
      <w:iCs/>
    </w:rPr>
  </w:style>
  <w:style w:type="character" w:customStyle="1" w:styleId="Nadpis1Char">
    <w:name w:val="Nadpis 1 Char"/>
    <w:basedOn w:val="Standardnpsmoodstavce"/>
    <w:link w:val="Nadpis1"/>
    <w:uiPriority w:val="99"/>
    <w:rsid w:val="009C5669"/>
    <w:rPr>
      <w:rFonts w:asciiTheme="minorHAnsi" w:hAnsiTheme="minorHAnsi" w:cstheme="minorHAnsi"/>
      <w:b/>
      <w:sz w:val="28"/>
    </w:rPr>
  </w:style>
  <w:style w:type="character" w:customStyle="1" w:styleId="Nadpis3Char">
    <w:name w:val="Nadpis 3 Char"/>
    <w:basedOn w:val="Standardnpsmoodstavce"/>
    <w:link w:val="Nadpis3"/>
    <w:uiPriority w:val="99"/>
    <w:rsid w:val="007F7FC9"/>
    <w:rPr>
      <w:rFonts w:asciiTheme="minorHAnsi" w:eastAsiaTheme="majorEastAsia" w:hAnsiTheme="minorHAnsi" w:cstheme="majorBidi"/>
      <w:b/>
    </w:rPr>
  </w:style>
  <w:style w:type="character" w:customStyle="1" w:styleId="Nadpis2Char">
    <w:name w:val="Nadpis 2 Char"/>
    <w:basedOn w:val="Standardnpsmoodstavce"/>
    <w:link w:val="Nadpis2"/>
    <w:uiPriority w:val="99"/>
    <w:rsid w:val="009C5669"/>
    <w:rPr>
      <w:rFonts w:asciiTheme="minorHAnsi" w:eastAsiaTheme="majorEastAsia" w:hAnsiTheme="minorHAnsi" w:cstheme="majorBidi"/>
      <w:b/>
      <w:szCs w:val="26"/>
    </w:rPr>
  </w:style>
  <w:style w:type="paragraph" w:customStyle="1" w:styleId="Zdrojeapozn">
    <w:name w:val="Zdroje a pozn."/>
    <w:basedOn w:val="Normln"/>
    <w:next w:val="Normln"/>
    <w:link w:val="ZdrojeapoznChar"/>
    <w:autoRedefine/>
    <w:rsid w:val="00C66F33"/>
    <w:pPr>
      <w:keepNext/>
      <w:spacing w:before="40"/>
      <w:jc w:val="both"/>
    </w:pPr>
    <w:rPr>
      <w:rFonts w:ascii="Calibri" w:hAnsi="Calibri"/>
      <w:sz w:val="20"/>
    </w:rPr>
  </w:style>
  <w:style w:type="character" w:customStyle="1" w:styleId="ZdrojeapoznChar">
    <w:name w:val="Zdroje a pozn. Char"/>
    <w:basedOn w:val="Standardnpsmoodstavce"/>
    <w:link w:val="Zdrojeapozn"/>
    <w:rsid w:val="00C66F33"/>
    <w:rPr>
      <w:sz w:val="20"/>
    </w:rPr>
  </w:style>
  <w:style w:type="paragraph" w:styleId="Citt">
    <w:name w:val="Quote"/>
    <w:basedOn w:val="Normln"/>
    <w:next w:val="Normln"/>
    <w:link w:val="CittChar"/>
    <w:uiPriority w:val="29"/>
    <w:rsid w:val="00544471"/>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544471"/>
    <w:rPr>
      <w:i/>
      <w:iCs/>
      <w:color w:val="404040" w:themeColor="text1" w:themeTint="BF"/>
    </w:rPr>
  </w:style>
  <w:style w:type="paragraph" w:styleId="Bezmezer">
    <w:name w:val="No Spacing"/>
    <w:link w:val="BezmezerChar"/>
    <w:uiPriority w:val="1"/>
    <w:qFormat/>
    <w:rsid w:val="00544471"/>
    <w:pPr>
      <w:jc w:val="both"/>
    </w:pPr>
  </w:style>
  <w:style w:type="character" w:customStyle="1" w:styleId="Nadpis5Char">
    <w:name w:val="Nadpis 5 Char"/>
    <w:basedOn w:val="Standardnpsmoodstavce"/>
    <w:link w:val="Nadpis5"/>
    <w:uiPriority w:val="99"/>
    <w:rsid w:val="00544471"/>
    <w:rPr>
      <w:rFonts w:asciiTheme="majorHAnsi" w:eastAsiaTheme="majorEastAsia" w:hAnsiTheme="majorHAnsi" w:cstheme="majorBidi"/>
      <w:color w:val="2E74B5" w:themeColor="accent1" w:themeShade="BF"/>
    </w:rPr>
  </w:style>
  <w:style w:type="paragraph" w:styleId="Nzev">
    <w:name w:val="Title"/>
    <w:basedOn w:val="Normln"/>
    <w:next w:val="Normln"/>
    <w:link w:val="NzevChar"/>
    <w:uiPriority w:val="10"/>
    <w:rsid w:val="0054447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447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544471"/>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544471"/>
    <w:rPr>
      <w:rFonts w:asciiTheme="minorHAnsi" w:eastAsiaTheme="minorEastAsia" w:hAnsiTheme="minorHAnsi"/>
      <w:color w:val="5A5A5A" w:themeColor="text1" w:themeTint="A5"/>
      <w:spacing w:val="15"/>
      <w:sz w:val="22"/>
      <w:szCs w:val="22"/>
    </w:rPr>
  </w:style>
  <w:style w:type="character" w:styleId="Zdraznnjemn">
    <w:name w:val="Subtle Emphasis"/>
    <w:basedOn w:val="Standardnpsmoodstavce"/>
    <w:uiPriority w:val="19"/>
    <w:rsid w:val="00544471"/>
    <w:rPr>
      <w:i/>
      <w:iCs/>
      <w:color w:val="404040" w:themeColor="text1" w:themeTint="BF"/>
    </w:rPr>
  </w:style>
  <w:style w:type="character" w:styleId="Zdraznn">
    <w:name w:val="Emphasis"/>
    <w:basedOn w:val="Standardnpsmoodstavce"/>
    <w:uiPriority w:val="20"/>
    <w:qFormat/>
    <w:rsid w:val="00544471"/>
    <w:rPr>
      <w:i/>
      <w:iCs/>
    </w:rPr>
  </w:style>
  <w:style w:type="character" w:styleId="Zdraznnintenzivn">
    <w:name w:val="Intense Emphasis"/>
    <w:basedOn w:val="Standardnpsmoodstavce"/>
    <w:uiPriority w:val="21"/>
    <w:rsid w:val="00544471"/>
    <w:rPr>
      <w:i/>
      <w:iCs/>
      <w:color w:val="5B9BD5" w:themeColor="accent1"/>
    </w:rPr>
  </w:style>
  <w:style w:type="character" w:styleId="Siln">
    <w:name w:val="Strong"/>
    <w:basedOn w:val="Standardnpsmoodstavce"/>
    <w:uiPriority w:val="22"/>
    <w:qFormat/>
    <w:rsid w:val="00544471"/>
    <w:rPr>
      <w:b/>
      <w:bCs/>
    </w:rPr>
  </w:style>
  <w:style w:type="paragraph" w:styleId="Vrazncitt">
    <w:name w:val="Intense Quote"/>
    <w:basedOn w:val="Normln"/>
    <w:next w:val="Normln"/>
    <w:link w:val="VrazncittChar"/>
    <w:uiPriority w:val="30"/>
    <w:rsid w:val="005444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544471"/>
    <w:rPr>
      <w:i/>
      <w:iCs/>
      <w:color w:val="5B9BD5" w:themeColor="accent1"/>
    </w:rPr>
  </w:style>
  <w:style w:type="character" w:styleId="Odkazjemn">
    <w:name w:val="Subtle Reference"/>
    <w:basedOn w:val="Standardnpsmoodstavce"/>
    <w:uiPriority w:val="31"/>
    <w:rsid w:val="00544471"/>
    <w:rPr>
      <w:smallCaps/>
      <w:color w:val="5A5A5A" w:themeColor="text1" w:themeTint="A5"/>
    </w:rPr>
  </w:style>
  <w:style w:type="character" w:styleId="Odkazintenzivn">
    <w:name w:val="Intense Reference"/>
    <w:basedOn w:val="Standardnpsmoodstavce"/>
    <w:uiPriority w:val="32"/>
    <w:rsid w:val="00544471"/>
    <w:rPr>
      <w:b/>
      <w:bCs/>
      <w:smallCaps/>
      <w:color w:val="5B9BD5" w:themeColor="accent1"/>
      <w:spacing w:val="5"/>
    </w:rPr>
  </w:style>
  <w:style w:type="character" w:styleId="Nzevknihy">
    <w:name w:val="Book Title"/>
    <w:basedOn w:val="Standardnpsmoodstavce"/>
    <w:uiPriority w:val="33"/>
    <w:rsid w:val="00544471"/>
    <w:rPr>
      <w:b/>
      <w:bCs/>
      <w:i/>
      <w:iCs/>
      <w:spacing w:val="5"/>
    </w:rPr>
  </w:style>
  <w:style w:type="paragraph" w:styleId="Odstavecseseznamem">
    <w:name w:val="List Paragraph"/>
    <w:aliases w:val="Nad,Nadpis pro KZ,Odstavec cíl se seznamem,Odstavec se seznamem1,Odstavec se seznamem2,Odstavec_muj,můj Nadpis 2,odrážky,List Paragraph,List Paragraph_0,List Paragraph1,List Paragraph2,Nad1,Nad2,Odstavec_muj1,Odstavec_muj10"/>
    <w:basedOn w:val="Normln"/>
    <w:link w:val="OdstavecseseznamemChar"/>
    <w:uiPriority w:val="34"/>
    <w:qFormat/>
    <w:rsid w:val="00544471"/>
    <w:pPr>
      <w:ind w:left="720"/>
      <w:contextualSpacing/>
    </w:pPr>
  </w:style>
  <w:style w:type="paragraph" w:customStyle="1" w:styleId="Text">
    <w:name w:val="Text"/>
    <w:basedOn w:val="Normln"/>
    <w:link w:val="TextChar"/>
    <w:qFormat/>
    <w:rsid w:val="009C5669"/>
    <w:pPr>
      <w:spacing w:before="120"/>
      <w:jc w:val="both"/>
    </w:pPr>
    <w:rPr>
      <w:rFonts w:cstheme="minorHAnsi"/>
    </w:rPr>
  </w:style>
  <w:style w:type="character" w:customStyle="1" w:styleId="TextChar">
    <w:name w:val="Text Char"/>
    <w:basedOn w:val="Standardnpsmoodstavce"/>
    <w:link w:val="Text"/>
    <w:rsid w:val="009C5669"/>
    <w:rPr>
      <w:rFonts w:asciiTheme="minorHAnsi" w:hAnsiTheme="minorHAnsi" w:cstheme="minorHAnsi"/>
    </w:rPr>
  </w:style>
  <w:style w:type="character" w:customStyle="1" w:styleId="Nadpis6Char">
    <w:name w:val="Nadpis 6 Char"/>
    <w:basedOn w:val="Standardnpsmoodstavce"/>
    <w:link w:val="Nadpis6"/>
    <w:uiPriority w:val="99"/>
    <w:rsid w:val="009C566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9"/>
    <w:rsid w:val="009C566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9"/>
    <w:rsid w:val="009C566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rsid w:val="009C5669"/>
    <w:rPr>
      <w:rFonts w:asciiTheme="majorHAnsi" w:eastAsiaTheme="majorEastAsia" w:hAnsiTheme="majorHAnsi" w:cstheme="majorBidi"/>
      <w:i/>
      <w:iCs/>
      <w:color w:val="272727" w:themeColor="text1" w:themeTint="D8"/>
      <w:sz w:val="21"/>
      <w:szCs w:val="21"/>
    </w:rPr>
  </w:style>
  <w:style w:type="paragraph" w:styleId="Titulek">
    <w:name w:val="caption"/>
    <w:basedOn w:val="Text"/>
    <w:next w:val="Text"/>
    <w:uiPriority w:val="35"/>
    <w:unhideWhenUsed/>
    <w:qFormat/>
    <w:rsid w:val="00173FDA"/>
    <w:pPr>
      <w:tabs>
        <w:tab w:val="left" w:pos="7938"/>
      </w:tabs>
    </w:pPr>
    <w:rPr>
      <w:iCs/>
      <w:szCs w:val="18"/>
    </w:rPr>
  </w:style>
  <w:style w:type="paragraph" w:styleId="Nadpisobsahu">
    <w:name w:val="TOC Heading"/>
    <w:basedOn w:val="Nadpis1"/>
    <w:next w:val="Normln"/>
    <w:uiPriority w:val="39"/>
    <w:semiHidden/>
    <w:unhideWhenUsed/>
    <w:qFormat/>
    <w:rsid w:val="009C5669"/>
    <w:pPr>
      <w:numPr>
        <w:numId w:val="0"/>
      </w:numPr>
      <w:spacing w:after="0"/>
      <w:outlineLvl w:val="9"/>
    </w:pPr>
    <w:rPr>
      <w:rFonts w:asciiTheme="majorHAnsi" w:eastAsiaTheme="majorEastAsia" w:hAnsiTheme="majorHAnsi" w:cstheme="majorBidi"/>
      <w:b w:val="0"/>
      <w:color w:val="2E74B5" w:themeColor="accent1" w:themeShade="BF"/>
      <w:sz w:val="32"/>
      <w:szCs w:val="32"/>
    </w:rPr>
  </w:style>
  <w:style w:type="paragraph" w:styleId="Zhlav">
    <w:name w:val="header"/>
    <w:basedOn w:val="Normln"/>
    <w:link w:val="ZhlavChar"/>
    <w:uiPriority w:val="99"/>
    <w:unhideWhenUsed/>
    <w:rsid w:val="001D688A"/>
    <w:pPr>
      <w:tabs>
        <w:tab w:val="center" w:pos="4536"/>
        <w:tab w:val="right" w:pos="9072"/>
      </w:tabs>
    </w:pPr>
  </w:style>
  <w:style w:type="character" w:customStyle="1" w:styleId="ZhlavChar">
    <w:name w:val="Záhlaví Char"/>
    <w:basedOn w:val="Standardnpsmoodstavce"/>
    <w:link w:val="Zhlav"/>
    <w:uiPriority w:val="99"/>
    <w:rsid w:val="001D688A"/>
    <w:rPr>
      <w:rFonts w:asciiTheme="minorHAnsi" w:hAnsiTheme="minorHAnsi"/>
    </w:rPr>
  </w:style>
  <w:style w:type="paragraph" w:styleId="Zpat">
    <w:name w:val="footer"/>
    <w:basedOn w:val="Normln"/>
    <w:link w:val="ZpatChar"/>
    <w:uiPriority w:val="99"/>
    <w:unhideWhenUsed/>
    <w:rsid w:val="001D688A"/>
    <w:pPr>
      <w:tabs>
        <w:tab w:val="center" w:pos="4536"/>
        <w:tab w:val="right" w:pos="9072"/>
      </w:tabs>
    </w:pPr>
  </w:style>
  <w:style w:type="character" w:customStyle="1" w:styleId="ZpatChar">
    <w:name w:val="Zápatí Char"/>
    <w:basedOn w:val="Standardnpsmoodstavce"/>
    <w:link w:val="Zpat"/>
    <w:uiPriority w:val="99"/>
    <w:rsid w:val="001D688A"/>
    <w:rPr>
      <w:rFonts w:asciiTheme="minorHAnsi" w:hAnsiTheme="minorHAnsi"/>
    </w:rPr>
  </w:style>
  <w:style w:type="paragraph" w:styleId="Textpoznpodarou">
    <w:name w:val="footnote text"/>
    <w:aliases w:val="Boston 10,Char,Char Char Char1,Char1,Font: Geneva 9,Footnote,Footnote Text Char1,Fußnotentextf,Geneva 9,Schriftart: 10 pt,Schriftart: 8 pt,Schriftart: 9 pt,Text pozn. pod čarou1,Text poznámky pod čiarou 007,f,o,pozn. pod čarou"/>
    <w:basedOn w:val="Normln"/>
    <w:link w:val="TextpoznpodarouChar"/>
    <w:uiPriority w:val="99"/>
    <w:unhideWhenUsed/>
    <w:qFormat/>
    <w:rsid w:val="00AB1D14"/>
    <w:rPr>
      <w:rFonts w:ascii="Calibri" w:eastAsia="Times New Roman" w:hAnsi="Calibri" w:cs="Times New Roman"/>
      <w:sz w:val="20"/>
      <w:szCs w:val="20"/>
    </w:rPr>
  </w:style>
  <w:style w:type="character" w:customStyle="1" w:styleId="TextpoznpodarouChar">
    <w:name w:val="Text pozn. pod čarou Char"/>
    <w:aliases w:val="Boston 10 Char,Char Char,Char Char Char1 Char,Char1 Char,Font: Geneva 9 Char,Footnote Char,Footnote Text Char1 Char,Fußnotentextf Char,Geneva 9 Char,Schriftart: 10 pt Char,Schriftart: 8 pt Char,Schriftart: 9 pt Char,f Char"/>
    <w:basedOn w:val="Standardnpsmoodstavce"/>
    <w:link w:val="Textpoznpodarou"/>
    <w:uiPriority w:val="99"/>
    <w:qFormat/>
    <w:rsid w:val="00AB1D14"/>
    <w:rPr>
      <w:rFonts w:eastAsia="Times New Roman" w:cs="Times New Roman"/>
      <w:sz w:val="20"/>
      <w:szCs w:val="20"/>
    </w:rPr>
  </w:style>
  <w:style w:type="character" w:styleId="Znakapoznpodarou">
    <w:name w:val="footnote reference"/>
    <w:aliases w:val="4_G,Appel note de bas de p,Appel note de bas de page,BVI fnr,Char Car Car Car Car,Footnote Reference Superscript,Footnote symbol,Légende,Légende.Char Car Car Car Car,PGI Fußnote Ziffer,Voetnootverwijzing,12 b.,Zúžené o ..."/>
    <w:basedOn w:val="Standardnpsmoodstavce"/>
    <w:uiPriority w:val="99"/>
    <w:unhideWhenUsed/>
    <w:qFormat/>
    <w:rsid w:val="00AB1D14"/>
    <w:rPr>
      <w:vertAlign w:val="superscript"/>
    </w:rPr>
  </w:style>
  <w:style w:type="paragraph" w:customStyle="1" w:styleId="TextKP">
    <w:name w:val="Text KP"/>
    <w:basedOn w:val="Normln"/>
    <w:link w:val="TextKPChar"/>
    <w:qFormat/>
    <w:rsid w:val="003F5107"/>
    <w:pPr>
      <w:spacing w:before="120"/>
      <w:jc w:val="both"/>
    </w:pPr>
    <w:rPr>
      <w:rFonts w:eastAsia="Times New Roman" w:cstheme="minorHAnsi"/>
    </w:rPr>
  </w:style>
  <w:style w:type="character" w:customStyle="1" w:styleId="TextKPChar">
    <w:name w:val="Text KP Char"/>
    <w:basedOn w:val="Standardnpsmoodstavce"/>
    <w:link w:val="TextKP"/>
    <w:rsid w:val="003F5107"/>
    <w:rPr>
      <w:rFonts w:asciiTheme="minorHAnsi" w:eastAsia="Times New Roman" w:hAnsiTheme="minorHAnsi" w:cstheme="minorHAnsi"/>
    </w:rPr>
  </w:style>
  <w:style w:type="paragraph" w:customStyle="1" w:styleId="Zdrojapozn">
    <w:name w:val="Zdroj a pozn."/>
    <w:basedOn w:val="Normln"/>
    <w:next w:val="Text"/>
    <w:link w:val="ZdrojapoznChar"/>
    <w:qFormat/>
    <w:rsid w:val="00E80D7E"/>
    <w:pPr>
      <w:jc w:val="both"/>
    </w:pPr>
    <w:rPr>
      <w:rFonts w:ascii="Calibri" w:eastAsia="Times New Roman" w:hAnsi="Calibri" w:cs="Times New Roman"/>
      <w:sz w:val="20"/>
      <w:lang w:eastAsia="cs-CZ"/>
    </w:rPr>
  </w:style>
  <w:style w:type="character" w:customStyle="1" w:styleId="ZdrojapoznChar">
    <w:name w:val="Zdroj a pozn. Char"/>
    <w:basedOn w:val="Standardnpsmoodstavce"/>
    <w:link w:val="Zdrojapozn"/>
    <w:rsid w:val="00E80D7E"/>
    <w:rPr>
      <w:rFonts w:eastAsia="Times New Roman" w:cs="Times New Roman"/>
      <w:sz w:val="20"/>
      <w:lang w:eastAsia="cs-CZ"/>
    </w:rPr>
  </w:style>
  <w:style w:type="character" w:styleId="Hypertextovodkaz">
    <w:name w:val="Hyperlink"/>
    <w:basedOn w:val="Standardnpsmoodstavce"/>
    <w:uiPriority w:val="99"/>
    <w:rsid w:val="00487340"/>
    <w:rPr>
      <w:color w:val="0000FF"/>
      <w:u w:val="single"/>
    </w:rPr>
  </w:style>
  <w:style w:type="paragraph" w:customStyle="1" w:styleId="Zdrojapoznmka">
    <w:name w:val="Zdroj a poznámka"/>
    <w:basedOn w:val="Bezmezer"/>
    <w:link w:val="ZdrojapoznmkaChar"/>
    <w:rsid w:val="00D162AA"/>
    <w:rPr>
      <w:rFonts w:asciiTheme="minorHAnsi" w:eastAsia="Times New Roman" w:hAnsiTheme="minorHAnsi" w:cs="Times New Roman"/>
      <w:i/>
      <w:sz w:val="20"/>
      <w:szCs w:val="20"/>
    </w:rPr>
  </w:style>
  <w:style w:type="character" w:customStyle="1" w:styleId="ZdrojapoznmkaChar">
    <w:name w:val="Zdroj a poznámka Char"/>
    <w:basedOn w:val="Standardnpsmoodstavce"/>
    <w:link w:val="Zdrojapoznmka"/>
    <w:rsid w:val="00D162AA"/>
    <w:rPr>
      <w:rFonts w:asciiTheme="minorHAnsi" w:eastAsia="Times New Roman" w:hAnsiTheme="minorHAnsi" w:cs="Times New Roman"/>
      <w:i/>
      <w:sz w:val="20"/>
      <w:szCs w:val="20"/>
    </w:rPr>
  </w:style>
  <w:style w:type="character" w:customStyle="1" w:styleId="OdstavecseseznamemChar">
    <w:name w:val="Odstavec se seznamem Char"/>
    <w:aliases w:val="Nad Char,Nadpis pro KZ Char,Odstavec cíl se seznamem Char,Odstavec se seznamem1 Char,Odstavec se seznamem2 Char,Odstavec_muj Char,můj Nadpis 2 Char,odrážky Char,List Paragraph Char,List Paragraph_0 Char,List Paragraph1 Char"/>
    <w:link w:val="Odstavecseseznamem"/>
    <w:uiPriority w:val="34"/>
    <w:locked/>
    <w:rsid w:val="00D162AA"/>
    <w:rPr>
      <w:rFonts w:asciiTheme="minorHAnsi" w:hAnsiTheme="minorHAnsi"/>
    </w:rPr>
  </w:style>
  <w:style w:type="paragraph" w:styleId="Normlnweb">
    <w:name w:val="Normal (Web)"/>
    <w:basedOn w:val="Normln"/>
    <w:uiPriority w:val="99"/>
    <w:rsid w:val="00EC14DC"/>
    <w:rPr>
      <w:rFonts w:eastAsia="Times New Roman" w:cs="Times New Roman"/>
    </w:rPr>
  </w:style>
  <w:style w:type="character" w:styleId="slostrnky">
    <w:name w:val="page number"/>
    <w:basedOn w:val="Standardnpsmoodstavce"/>
    <w:semiHidden/>
    <w:rsid w:val="00EC14DC"/>
  </w:style>
  <w:style w:type="character" w:styleId="Sledovanodkaz">
    <w:name w:val="FollowedHyperlink"/>
    <w:basedOn w:val="Standardnpsmoodstavce"/>
    <w:semiHidden/>
    <w:rsid w:val="00EC14DC"/>
    <w:rPr>
      <w:color w:val="800080"/>
      <w:u w:val="single"/>
    </w:rPr>
  </w:style>
  <w:style w:type="paragraph" w:styleId="Zkladntext">
    <w:name w:val="Body Text"/>
    <w:basedOn w:val="Normln"/>
    <w:link w:val="ZkladntextChar"/>
    <w:semiHidden/>
    <w:rsid w:val="00EC14DC"/>
    <w:pPr>
      <w:jc w:val="both"/>
    </w:pPr>
    <w:rPr>
      <w:rFonts w:ascii="Arial" w:eastAsia="Times New Roman" w:hAnsi="Arial" w:cs="Arial"/>
      <w:i/>
      <w:sz w:val="22"/>
    </w:rPr>
  </w:style>
  <w:style w:type="character" w:customStyle="1" w:styleId="ZkladntextChar">
    <w:name w:val="Základní text Char"/>
    <w:basedOn w:val="Standardnpsmoodstavce"/>
    <w:link w:val="Zkladntext"/>
    <w:semiHidden/>
    <w:rsid w:val="00EC14DC"/>
    <w:rPr>
      <w:rFonts w:ascii="Arial" w:eastAsia="Times New Roman" w:hAnsi="Arial" w:cs="Arial"/>
      <w:i/>
      <w:sz w:val="22"/>
    </w:rPr>
  </w:style>
  <w:style w:type="paragraph" w:styleId="Textbubliny">
    <w:name w:val="Balloon Text"/>
    <w:basedOn w:val="Normln"/>
    <w:link w:val="TextbublinyChar"/>
    <w:uiPriority w:val="99"/>
    <w:semiHidden/>
    <w:unhideWhenUsed/>
    <w:rsid w:val="00EC14DC"/>
    <w:rPr>
      <w:rFonts w:ascii="Tahoma" w:eastAsia="Times New Roman" w:hAnsi="Tahoma" w:cs="Tahoma"/>
      <w:sz w:val="16"/>
      <w:szCs w:val="16"/>
    </w:rPr>
  </w:style>
  <w:style w:type="character" w:customStyle="1" w:styleId="TextbublinyChar">
    <w:name w:val="Text bubliny Char"/>
    <w:basedOn w:val="Standardnpsmoodstavce"/>
    <w:link w:val="Textbubliny"/>
    <w:uiPriority w:val="99"/>
    <w:semiHidden/>
    <w:rsid w:val="00EC14DC"/>
    <w:rPr>
      <w:rFonts w:ascii="Tahoma" w:eastAsia="Times New Roman" w:hAnsi="Tahoma" w:cs="Tahoma"/>
      <w:sz w:val="16"/>
      <w:szCs w:val="16"/>
    </w:rPr>
  </w:style>
  <w:style w:type="paragraph" w:styleId="Obsah1">
    <w:name w:val="toc 1"/>
    <w:basedOn w:val="Normln"/>
    <w:next w:val="Normln"/>
    <w:autoRedefine/>
    <w:uiPriority w:val="39"/>
    <w:unhideWhenUsed/>
    <w:rsid w:val="00EC14DC"/>
    <w:pPr>
      <w:tabs>
        <w:tab w:val="left" w:pos="480"/>
        <w:tab w:val="right" w:leader="dot" w:pos="9060"/>
      </w:tabs>
      <w:spacing w:before="60" w:after="60"/>
    </w:pPr>
    <w:rPr>
      <w:rFonts w:eastAsia="Times New Roman" w:cstheme="minorHAnsi"/>
      <w:b/>
      <w:bCs/>
      <w:caps/>
      <w:sz w:val="20"/>
      <w:szCs w:val="20"/>
    </w:rPr>
  </w:style>
  <w:style w:type="paragraph" w:styleId="Obsah2">
    <w:name w:val="toc 2"/>
    <w:basedOn w:val="Normln"/>
    <w:next w:val="Normln"/>
    <w:autoRedefine/>
    <w:uiPriority w:val="39"/>
    <w:unhideWhenUsed/>
    <w:rsid w:val="00EC14DC"/>
    <w:pPr>
      <w:ind w:left="240"/>
    </w:pPr>
    <w:rPr>
      <w:rFonts w:eastAsia="Times New Roman" w:cstheme="minorHAnsi"/>
      <w:smallCaps/>
      <w:sz w:val="20"/>
      <w:szCs w:val="20"/>
    </w:rPr>
  </w:style>
  <w:style w:type="paragraph" w:styleId="Obsah3">
    <w:name w:val="toc 3"/>
    <w:basedOn w:val="Normln"/>
    <w:next w:val="Normln"/>
    <w:autoRedefine/>
    <w:uiPriority w:val="39"/>
    <w:unhideWhenUsed/>
    <w:rsid w:val="00EC14DC"/>
    <w:pPr>
      <w:ind w:left="480"/>
    </w:pPr>
    <w:rPr>
      <w:rFonts w:eastAsia="Times New Roman" w:cstheme="minorHAnsi"/>
      <w:i/>
      <w:iCs/>
      <w:sz w:val="20"/>
      <w:szCs w:val="20"/>
    </w:rPr>
  </w:style>
  <w:style w:type="paragraph" w:styleId="Obsah4">
    <w:name w:val="toc 4"/>
    <w:basedOn w:val="Normln"/>
    <w:next w:val="Normln"/>
    <w:autoRedefine/>
    <w:uiPriority w:val="39"/>
    <w:unhideWhenUsed/>
    <w:rsid w:val="00EC14DC"/>
    <w:pPr>
      <w:ind w:left="720"/>
    </w:pPr>
    <w:rPr>
      <w:rFonts w:eastAsia="Times New Roman" w:cstheme="minorHAnsi"/>
      <w:sz w:val="18"/>
      <w:szCs w:val="18"/>
    </w:rPr>
  </w:style>
  <w:style w:type="paragraph" w:styleId="Obsah5">
    <w:name w:val="toc 5"/>
    <w:basedOn w:val="Normln"/>
    <w:next w:val="Normln"/>
    <w:autoRedefine/>
    <w:uiPriority w:val="39"/>
    <w:unhideWhenUsed/>
    <w:rsid w:val="00EC14DC"/>
    <w:pPr>
      <w:ind w:left="960"/>
    </w:pPr>
    <w:rPr>
      <w:rFonts w:eastAsia="Times New Roman" w:cstheme="minorHAnsi"/>
      <w:sz w:val="18"/>
      <w:szCs w:val="18"/>
    </w:rPr>
  </w:style>
  <w:style w:type="paragraph" w:styleId="Obsah6">
    <w:name w:val="toc 6"/>
    <w:basedOn w:val="Normln"/>
    <w:next w:val="Normln"/>
    <w:autoRedefine/>
    <w:uiPriority w:val="39"/>
    <w:unhideWhenUsed/>
    <w:rsid w:val="00EC14DC"/>
    <w:pPr>
      <w:ind w:left="1200"/>
    </w:pPr>
    <w:rPr>
      <w:rFonts w:eastAsia="Times New Roman" w:cstheme="minorHAnsi"/>
      <w:sz w:val="18"/>
      <w:szCs w:val="18"/>
    </w:rPr>
  </w:style>
  <w:style w:type="paragraph" w:styleId="Obsah7">
    <w:name w:val="toc 7"/>
    <w:basedOn w:val="Normln"/>
    <w:next w:val="Normln"/>
    <w:autoRedefine/>
    <w:uiPriority w:val="39"/>
    <w:unhideWhenUsed/>
    <w:rsid w:val="00EC14DC"/>
    <w:pPr>
      <w:ind w:left="1440"/>
    </w:pPr>
    <w:rPr>
      <w:rFonts w:eastAsia="Times New Roman" w:cstheme="minorHAnsi"/>
      <w:sz w:val="18"/>
      <w:szCs w:val="18"/>
    </w:rPr>
  </w:style>
  <w:style w:type="paragraph" w:styleId="Obsah8">
    <w:name w:val="toc 8"/>
    <w:basedOn w:val="Normln"/>
    <w:next w:val="Normln"/>
    <w:autoRedefine/>
    <w:uiPriority w:val="39"/>
    <w:unhideWhenUsed/>
    <w:rsid w:val="00EC14DC"/>
    <w:pPr>
      <w:ind w:left="1680"/>
    </w:pPr>
    <w:rPr>
      <w:rFonts w:eastAsia="Times New Roman" w:cstheme="minorHAnsi"/>
      <w:sz w:val="18"/>
      <w:szCs w:val="18"/>
    </w:rPr>
  </w:style>
  <w:style w:type="paragraph" w:styleId="Obsah9">
    <w:name w:val="toc 9"/>
    <w:basedOn w:val="Normln"/>
    <w:next w:val="Normln"/>
    <w:autoRedefine/>
    <w:uiPriority w:val="39"/>
    <w:unhideWhenUsed/>
    <w:rsid w:val="00EC14DC"/>
    <w:pPr>
      <w:ind w:left="1920"/>
    </w:pPr>
    <w:rPr>
      <w:rFonts w:eastAsia="Times New Roman" w:cstheme="minorHAnsi"/>
      <w:sz w:val="18"/>
      <w:szCs w:val="18"/>
    </w:rPr>
  </w:style>
  <w:style w:type="table" w:styleId="Mkatabulky">
    <w:name w:val="Table Grid"/>
    <w:basedOn w:val="Normlntabulka"/>
    <w:uiPriority w:val="39"/>
    <w:rsid w:val="00EC14DC"/>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EC14DC"/>
  </w:style>
  <w:style w:type="paragraph" w:customStyle="1" w:styleId="Kritria">
    <w:name w:val="Kritéria"/>
    <w:basedOn w:val="TextKP"/>
    <w:link w:val="KritriaChar"/>
    <w:rsid w:val="00EC14DC"/>
    <w:pPr>
      <w:spacing w:before="0"/>
    </w:pPr>
    <w:rPr>
      <w:i/>
    </w:rPr>
  </w:style>
  <w:style w:type="character" w:customStyle="1" w:styleId="KritriaChar">
    <w:name w:val="Kritéria Char"/>
    <w:basedOn w:val="TextKPChar"/>
    <w:link w:val="Kritria"/>
    <w:rsid w:val="00EC14DC"/>
    <w:rPr>
      <w:rFonts w:asciiTheme="minorHAnsi" w:eastAsia="Times New Roman" w:hAnsiTheme="minorHAnsi" w:cstheme="minorHAnsi"/>
      <w:i/>
    </w:rPr>
  </w:style>
  <w:style w:type="table" w:customStyle="1" w:styleId="Mkatabulky1">
    <w:name w:val="Mřížka tabulky1"/>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kazy">
    <w:name w:val="_rozkazy"/>
    <w:basedOn w:val="Normln"/>
    <w:link w:val="rozkazyChar"/>
    <w:autoRedefine/>
    <w:rsid w:val="00EC14DC"/>
    <w:pPr>
      <w:keepNext/>
    </w:pPr>
    <w:rPr>
      <w:rFonts w:eastAsia="Times New Roman" w:cstheme="minorHAnsi"/>
      <w:i/>
      <w:snapToGrid w:val="0"/>
      <w:sz w:val="22"/>
      <w:szCs w:val="22"/>
      <w:lang w:eastAsia="cs-CZ"/>
    </w:rPr>
  </w:style>
  <w:style w:type="character" w:customStyle="1" w:styleId="rozkazyChar">
    <w:name w:val="_rozkazy Char"/>
    <w:basedOn w:val="Standardnpsmoodstavce"/>
    <w:link w:val="rozkazy"/>
    <w:rsid w:val="00EC14DC"/>
    <w:rPr>
      <w:rFonts w:asciiTheme="minorHAnsi" w:eastAsia="Times New Roman" w:hAnsiTheme="minorHAnsi" w:cstheme="minorHAnsi"/>
      <w:i/>
      <w:snapToGrid w:val="0"/>
      <w:sz w:val="22"/>
      <w:szCs w:val="22"/>
      <w:lang w:eastAsia="cs-CZ"/>
    </w:rPr>
  </w:style>
  <w:style w:type="character" w:styleId="Odkaznakoment">
    <w:name w:val="annotation reference"/>
    <w:basedOn w:val="Standardnpsmoodstavce"/>
    <w:uiPriority w:val="99"/>
    <w:semiHidden/>
    <w:unhideWhenUsed/>
    <w:rsid w:val="00EC14DC"/>
    <w:rPr>
      <w:sz w:val="16"/>
      <w:szCs w:val="16"/>
    </w:rPr>
  </w:style>
  <w:style w:type="paragraph" w:styleId="Textkomente">
    <w:name w:val="annotation text"/>
    <w:basedOn w:val="Normln"/>
    <w:link w:val="TextkomenteChar"/>
    <w:uiPriority w:val="99"/>
    <w:unhideWhenUsed/>
    <w:rsid w:val="00EC14DC"/>
    <w:rPr>
      <w:rFonts w:eastAsia="Times New Roman" w:cs="Times New Roman"/>
      <w:sz w:val="20"/>
      <w:szCs w:val="20"/>
    </w:rPr>
  </w:style>
  <w:style w:type="character" w:customStyle="1" w:styleId="TextkomenteChar">
    <w:name w:val="Text komentáře Char"/>
    <w:basedOn w:val="Standardnpsmoodstavce"/>
    <w:link w:val="Textkomente"/>
    <w:uiPriority w:val="99"/>
    <w:rsid w:val="00EC14DC"/>
    <w:rPr>
      <w:rFonts w:asciiTheme="minorHAnsi" w:eastAsia="Times New Roman" w:hAnsiTheme="minorHAnsi" w:cs="Times New Roman"/>
      <w:sz w:val="20"/>
      <w:szCs w:val="20"/>
    </w:rPr>
  </w:style>
  <w:style w:type="paragraph" w:styleId="Pedmtkomente">
    <w:name w:val="annotation subject"/>
    <w:basedOn w:val="Textkomente"/>
    <w:next w:val="Textkomente"/>
    <w:link w:val="PedmtkomenteChar"/>
    <w:uiPriority w:val="99"/>
    <w:semiHidden/>
    <w:unhideWhenUsed/>
    <w:rsid w:val="00EC14DC"/>
    <w:rPr>
      <w:b/>
      <w:bCs/>
    </w:rPr>
  </w:style>
  <w:style w:type="character" w:customStyle="1" w:styleId="PedmtkomenteChar">
    <w:name w:val="Předmět komentáře Char"/>
    <w:basedOn w:val="TextkomenteChar"/>
    <w:link w:val="Pedmtkomente"/>
    <w:uiPriority w:val="99"/>
    <w:semiHidden/>
    <w:rsid w:val="00EC14DC"/>
    <w:rPr>
      <w:rFonts w:asciiTheme="minorHAnsi" w:eastAsia="Times New Roman" w:hAnsiTheme="minorHAnsi" w:cs="Times New Roman"/>
      <w:b/>
      <w:bCs/>
      <w:sz w:val="20"/>
      <w:szCs w:val="20"/>
    </w:rPr>
  </w:style>
  <w:style w:type="character" w:customStyle="1" w:styleId="Role">
    <w:name w:val="Role"/>
    <w:basedOn w:val="Standardnpsmoodstavce"/>
    <w:rsid w:val="00EC14DC"/>
    <w:rPr>
      <w:rFonts w:ascii="Times New Roman" w:hAnsi="Times New Roman"/>
      <w:i/>
      <w:smallCaps/>
    </w:rPr>
  </w:style>
  <w:style w:type="paragraph" w:customStyle="1" w:styleId="Default">
    <w:name w:val="Default"/>
    <w:rsid w:val="00EC14DC"/>
    <w:pPr>
      <w:autoSpaceDE w:val="0"/>
      <w:autoSpaceDN w:val="0"/>
      <w:adjustRightInd w:val="0"/>
    </w:pPr>
    <w:rPr>
      <w:rFonts w:eastAsia="Times New Roman" w:cs="Calibri"/>
      <w:color w:val="000000"/>
      <w:lang w:eastAsia="cs-CZ"/>
    </w:rPr>
  </w:style>
  <w:style w:type="character" w:customStyle="1" w:styleId="apple-converted-space">
    <w:name w:val="apple-converted-space"/>
    <w:basedOn w:val="Standardnpsmoodstavce"/>
    <w:rsid w:val="00EC14DC"/>
  </w:style>
  <w:style w:type="numbering" w:customStyle="1" w:styleId="Bezseznamu1">
    <w:name w:val="Bez seznamu1"/>
    <w:next w:val="Bezseznamu"/>
    <w:uiPriority w:val="99"/>
    <w:semiHidden/>
    <w:unhideWhenUsed/>
    <w:rsid w:val="00EC14DC"/>
  </w:style>
  <w:style w:type="paragraph" w:styleId="Textvysvtlivek">
    <w:name w:val="endnote text"/>
    <w:basedOn w:val="Normln"/>
    <w:link w:val="TextvysvtlivekChar"/>
    <w:uiPriority w:val="99"/>
    <w:semiHidden/>
    <w:unhideWhenUsed/>
    <w:rsid w:val="00EC14DC"/>
    <w:rPr>
      <w:rFonts w:eastAsia="Times New Roman" w:cs="Times New Roman"/>
      <w:sz w:val="20"/>
      <w:szCs w:val="20"/>
    </w:rPr>
  </w:style>
  <w:style w:type="character" w:customStyle="1" w:styleId="TextvysvtlivekChar">
    <w:name w:val="Text vysvětlivek Char"/>
    <w:basedOn w:val="Standardnpsmoodstavce"/>
    <w:link w:val="Textvysvtlivek"/>
    <w:uiPriority w:val="99"/>
    <w:semiHidden/>
    <w:rsid w:val="00EC14DC"/>
    <w:rPr>
      <w:rFonts w:asciiTheme="minorHAnsi" w:eastAsia="Times New Roman" w:hAnsiTheme="minorHAnsi" w:cs="Times New Roman"/>
      <w:sz w:val="20"/>
      <w:szCs w:val="20"/>
    </w:rPr>
  </w:style>
  <w:style w:type="character" w:styleId="Odkaznavysvtlivky">
    <w:name w:val="endnote reference"/>
    <w:basedOn w:val="Standardnpsmoodstavce"/>
    <w:uiPriority w:val="99"/>
    <w:semiHidden/>
    <w:unhideWhenUsed/>
    <w:rsid w:val="00EC14DC"/>
    <w:rPr>
      <w:vertAlign w:val="superscript"/>
    </w:rPr>
  </w:style>
  <w:style w:type="paragraph" w:styleId="Seznamobrzk">
    <w:name w:val="table of figures"/>
    <w:basedOn w:val="Normln"/>
    <w:next w:val="Normln"/>
    <w:uiPriority w:val="99"/>
    <w:unhideWhenUsed/>
    <w:rsid w:val="00EC14DC"/>
    <w:pPr>
      <w:ind w:left="480" w:hanging="480"/>
    </w:pPr>
    <w:rPr>
      <w:rFonts w:eastAsia="Times New Roman" w:cs="Times New Roman"/>
      <w:b/>
      <w:bCs/>
      <w:sz w:val="20"/>
      <w:szCs w:val="20"/>
    </w:rPr>
  </w:style>
  <w:style w:type="paragraph" w:customStyle="1" w:styleId="statementtext">
    <w:name w:val="statement_text"/>
    <w:basedOn w:val="Normln"/>
    <w:rsid w:val="00EC14DC"/>
    <w:pPr>
      <w:spacing w:before="100" w:beforeAutospacing="1" w:after="100" w:afterAutospacing="1"/>
    </w:pPr>
    <w:rPr>
      <w:rFonts w:ascii="Times New Roman" w:eastAsia="Times New Roman" w:hAnsi="Times New Roman" w:cs="Times New Roman"/>
      <w:lang w:eastAsia="cs-CZ"/>
    </w:rPr>
  </w:style>
  <w:style w:type="paragraph" w:customStyle="1" w:styleId="CM1">
    <w:name w:val="CM1"/>
    <w:basedOn w:val="Default"/>
    <w:next w:val="Default"/>
    <w:uiPriority w:val="99"/>
    <w:rsid w:val="00EC14DC"/>
    <w:rPr>
      <w:rFonts w:ascii="EUAlbertina" w:eastAsiaTheme="minorHAnsi" w:hAnsi="EUAlbertina" w:cstheme="minorBidi"/>
      <w:color w:val="auto"/>
      <w:lang w:eastAsia="en-US"/>
    </w:rPr>
  </w:style>
  <w:style w:type="paragraph" w:customStyle="1" w:styleId="CM3">
    <w:name w:val="CM3"/>
    <w:basedOn w:val="Default"/>
    <w:next w:val="Default"/>
    <w:uiPriority w:val="99"/>
    <w:rsid w:val="00EC14DC"/>
    <w:rPr>
      <w:rFonts w:ascii="EUAlbertina" w:eastAsiaTheme="minorHAnsi" w:hAnsi="EUAlbertina" w:cstheme="minorBidi"/>
      <w:color w:val="auto"/>
      <w:lang w:eastAsia="en-US"/>
    </w:rPr>
  </w:style>
  <w:style w:type="paragraph" w:customStyle="1" w:styleId="OM-normln">
    <w:name w:val="OM - normální"/>
    <w:basedOn w:val="Normln"/>
    <w:uiPriority w:val="99"/>
    <w:rsid w:val="00EC14DC"/>
    <w:pPr>
      <w:spacing w:after="120"/>
      <w:jc w:val="both"/>
    </w:pPr>
    <w:rPr>
      <w:rFonts w:ascii="Arial" w:eastAsia="Times New Roman" w:hAnsi="Arial" w:cs="Arial"/>
      <w:sz w:val="20"/>
      <w:szCs w:val="20"/>
    </w:rPr>
  </w:style>
  <w:style w:type="paragraph" w:customStyle="1" w:styleId="CM4">
    <w:name w:val="CM4"/>
    <w:basedOn w:val="Normln"/>
    <w:next w:val="Normln"/>
    <w:uiPriority w:val="99"/>
    <w:rsid w:val="00EC14DC"/>
    <w:pPr>
      <w:autoSpaceDE w:val="0"/>
      <w:autoSpaceDN w:val="0"/>
      <w:adjustRightInd w:val="0"/>
    </w:pPr>
    <w:rPr>
      <w:rFonts w:ascii="EUAlbertina" w:hAnsi="EUAlbertina"/>
    </w:rPr>
  </w:style>
  <w:style w:type="character" w:styleId="PsacstrojHTML">
    <w:name w:val="HTML Typewriter"/>
    <w:basedOn w:val="Standardnpsmoodstavce"/>
    <w:uiPriority w:val="99"/>
    <w:semiHidden/>
    <w:unhideWhenUsed/>
    <w:rsid w:val="00EC14DC"/>
    <w:rPr>
      <w:rFonts w:ascii="Courier New" w:eastAsia="Times New Roman" w:hAnsi="Courier New" w:cs="Courier New"/>
      <w:sz w:val="20"/>
      <w:szCs w:val="20"/>
    </w:rPr>
  </w:style>
  <w:style w:type="numbering" w:customStyle="1" w:styleId="Bezseznamu2">
    <w:name w:val="Bez seznamu2"/>
    <w:next w:val="Bezseznamu"/>
    <w:uiPriority w:val="99"/>
    <w:semiHidden/>
    <w:unhideWhenUsed/>
    <w:rsid w:val="00EC14DC"/>
  </w:style>
  <w:style w:type="table" w:customStyle="1" w:styleId="Mkatabulky3">
    <w:name w:val="Mřížka tabulky3"/>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397C76"/>
    <w:pPr>
      <w:spacing w:line="221" w:lineRule="atLeast"/>
    </w:pPr>
    <w:rPr>
      <w:rFonts w:ascii="Times New Roman" w:eastAsiaTheme="minorHAnsi" w:hAnsi="Times New Roman" w:cs="Times New Roman"/>
      <w:color w:val="auto"/>
      <w:lang w:eastAsia="en-US"/>
    </w:rPr>
  </w:style>
  <w:style w:type="table" w:customStyle="1" w:styleId="Mkatabulky61">
    <w:name w:val="Mřížka tabulky61"/>
    <w:basedOn w:val="Normlntabulka"/>
    <w:next w:val="Mkatabulky"/>
    <w:rsid w:val="00D76178"/>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52AD"/>
    <w:rPr>
      <w:rFonts w:asciiTheme="minorHAnsi" w:hAnsiTheme="minorHAnsi"/>
    </w:rPr>
  </w:style>
  <w:style w:type="character" w:customStyle="1" w:styleId="Styl1-NzevmateriluChar">
    <w:name w:val="Styl1 - Název materiálu Char"/>
    <w:link w:val="Styl1-Nzevmaterilu"/>
    <w:locked/>
    <w:rsid w:val="00361943"/>
    <w:rPr>
      <w:rFonts w:ascii="Arial" w:hAnsi="Arial" w:cs="Arial"/>
      <w:b/>
      <w:noProof/>
      <w:sz w:val="22"/>
    </w:rPr>
  </w:style>
  <w:style w:type="paragraph" w:customStyle="1" w:styleId="Styl1-Nzevmaterilu">
    <w:name w:val="Styl1 - Název materiálu"/>
    <w:basedOn w:val="Normln"/>
    <w:link w:val="Styl1-NzevmateriluChar"/>
    <w:qFormat/>
    <w:rsid w:val="00361943"/>
    <w:pPr>
      <w:overflowPunct w:val="0"/>
      <w:autoSpaceDE w:val="0"/>
      <w:autoSpaceDN w:val="0"/>
      <w:adjustRightInd w:val="0"/>
      <w:jc w:val="center"/>
    </w:pPr>
    <w:rPr>
      <w:rFonts w:ascii="Arial" w:hAnsi="Arial" w:cs="Arial"/>
      <w:b/>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415">
      <w:bodyDiv w:val="1"/>
      <w:marLeft w:val="0"/>
      <w:marRight w:val="0"/>
      <w:marTop w:val="0"/>
      <w:marBottom w:val="0"/>
      <w:divBdr>
        <w:top w:val="none" w:sz="0" w:space="0" w:color="auto"/>
        <w:left w:val="none" w:sz="0" w:space="0" w:color="auto"/>
        <w:bottom w:val="none" w:sz="0" w:space="0" w:color="auto"/>
        <w:right w:val="none" w:sz="0" w:space="0" w:color="auto"/>
      </w:divBdr>
    </w:div>
    <w:div w:id="3871892">
      <w:bodyDiv w:val="1"/>
      <w:marLeft w:val="0"/>
      <w:marRight w:val="0"/>
      <w:marTop w:val="0"/>
      <w:marBottom w:val="0"/>
      <w:divBdr>
        <w:top w:val="none" w:sz="0" w:space="0" w:color="auto"/>
        <w:left w:val="none" w:sz="0" w:space="0" w:color="auto"/>
        <w:bottom w:val="none" w:sz="0" w:space="0" w:color="auto"/>
        <w:right w:val="none" w:sz="0" w:space="0" w:color="auto"/>
      </w:divBdr>
    </w:div>
    <w:div w:id="117459850">
      <w:bodyDiv w:val="1"/>
      <w:marLeft w:val="0"/>
      <w:marRight w:val="0"/>
      <w:marTop w:val="0"/>
      <w:marBottom w:val="0"/>
      <w:divBdr>
        <w:top w:val="none" w:sz="0" w:space="0" w:color="auto"/>
        <w:left w:val="none" w:sz="0" w:space="0" w:color="auto"/>
        <w:bottom w:val="none" w:sz="0" w:space="0" w:color="auto"/>
        <w:right w:val="none" w:sz="0" w:space="0" w:color="auto"/>
      </w:divBdr>
    </w:div>
    <w:div w:id="274366062">
      <w:bodyDiv w:val="1"/>
      <w:marLeft w:val="0"/>
      <w:marRight w:val="0"/>
      <w:marTop w:val="0"/>
      <w:marBottom w:val="0"/>
      <w:divBdr>
        <w:top w:val="none" w:sz="0" w:space="0" w:color="auto"/>
        <w:left w:val="none" w:sz="0" w:space="0" w:color="auto"/>
        <w:bottom w:val="none" w:sz="0" w:space="0" w:color="auto"/>
        <w:right w:val="none" w:sz="0" w:space="0" w:color="auto"/>
      </w:divBdr>
    </w:div>
    <w:div w:id="312638809">
      <w:bodyDiv w:val="1"/>
      <w:marLeft w:val="0"/>
      <w:marRight w:val="0"/>
      <w:marTop w:val="0"/>
      <w:marBottom w:val="0"/>
      <w:divBdr>
        <w:top w:val="none" w:sz="0" w:space="0" w:color="auto"/>
        <w:left w:val="none" w:sz="0" w:space="0" w:color="auto"/>
        <w:bottom w:val="none" w:sz="0" w:space="0" w:color="auto"/>
        <w:right w:val="none" w:sz="0" w:space="0" w:color="auto"/>
      </w:divBdr>
    </w:div>
    <w:div w:id="370500724">
      <w:bodyDiv w:val="1"/>
      <w:marLeft w:val="0"/>
      <w:marRight w:val="0"/>
      <w:marTop w:val="0"/>
      <w:marBottom w:val="0"/>
      <w:divBdr>
        <w:top w:val="none" w:sz="0" w:space="0" w:color="auto"/>
        <w:left w:val="none" w:sz="0" w:space="0" w:color="auto"/>
        <w:bottom w:val="none" w:sz="0" w:space="0" w:color="auto"/>
        <w:right w:val="none" w:sz="0" w:space="0" w:color="auto"/>
      </w:divBdr>
    </w:div>
    <w:div w:id="460226083">
      <w:bodyDiv w:val="1"/>
      <w:marLeft w:val="0"/>
      <w:marRight w:val="0"/>
      <w:marTop w:val="0"/>
      <w:marBottom w:val="0"/>
      <w:divBdr>
        <w:top w:val="none" w:sz="0" w:space="0" w:color="auto"/>
        <w:left w:val="none" w:sz="0" w:space="0" w:color="auto"/>
        <w:bottom w:val="none" w:sz="0" w:space="0" w:color="auto"/>
        <w:right w:val="none" w:sz="0" w:space="0" w:color="auto"/>
      </w:divBdr>
    </w:div>
    <w:div w:id="790972446">
      <w:bodyDiv w:val="1"/>
      <w:marLeft w:val="0"/>
      <w:marRight w:val="0"/>
      <w:marTop w:val="0"/>
      <w:marBottom w:val="0"/>
      <w:divBdr>
        <w:top w:val="none" w:sz="0" w:space="0" w:color="auto"/>
        <w:left w:val="none" w:sz="0" w:space="0" w:color="auto"/>
        <w:bottom w:val="none" w:sz="0" w:space="0" w:color="auto"/>
        <w:right w:val="none" w:sz="0" w:space="0" w:color="auto"/>
      </w:divBdr>
    </w:div>
    <w:div w:id="909846881">
      <w:bodyDiv w:val="1"/>
      <w:marLeft w:val="0"/>
      <w:marRight w:val="0"/>
      <w:marTop w:val="0"/>
      <w:marBottom w:val="0"/>
      <w:divBdr>
        <w:top w:val="none" w:sz="0" w:space="0" w:color="auto"/>
        <w:left w:val="none" w:sz="0" w:space="0" w:color="auto"/>
        <w:bottom w:val="none" w:sz="0" w:space="0" w:color="auto"/>
        <w:right w:val="none" w:sz="0" w:space="0" w:color="auto"/>
      </w:divBdr>
    </w:div>
    <w:div w:id="911547045">
      <w:bodyDiv w:val="1"/>
      <w:marLeft w:val="0"/>
      <w:marRight w:val="0"/>
      <w:marTop w:val="0"/>
      <w:marBottom w:val="0"/>
      <w:divBdr>
        <w:top w:val="none" w:sz="0" w:space="0" w:color="auto"/>
        <w:left w:val="none" w:sz="0" w:space="0" w:color="auto"/>
        <w:bottom w:val="none" w:sz="0" w:space="0" w:color="auto"/>
        <w:right w:val="none" w:sz="0" w:space="0" w:color="auto"/>
      </w:divBdr>
    </w:div>
    <w:div w:id="976765190">
      <w:bodyDiv w:val="1"/>
      <w:marLeft w:val="0"/>
      <w:marRight w:val="0"/>
      <w:marTop w:val="0"/>
      <w:marBottom w:val="0"/>
      <w:divBdr>
        <w:top w:val="none" w:sz="0" w:space="0" w:color="auto"/>
        <w:left w:val="none" w:sz="0" w:space="0" w:color="auto"/>
        <w:bottom w:val="none" w:sz="0" w:space="0" w:color="auto"/>
        <w:right w:val="none" w:sz="0" w:space="0" w:color="auto"/>
      </w:divBdr>
    </w:div>
    <w:div w:id="1025014960">
      <w:bodyDiv w:val="1"/>
      <w:marLeft w:val="0"/>
      <w:marRight w:val="0"/>
      <w:marTop w:val="0"/>
      <w:marBottom w:val="0"/>
      <w:divBdr>
        <w:top w:val="none" w:sz="0" w:space="0" w:color="auto"/>
        <w:left w:val="none" w:sz="0" w:space="0" w:color="auto"/>
        <w:bottom w:val="none" w:sz="0" w:space="0" w:color="auto"/>
        <w:right w:val="none" w:sz="0" w:space="0" w:color="auto"/>
      </w:divBdr>
    </w:div>
    <w:div w:id="1274022192">
      <w:bodyDiv w:val="1"/>
      <w:marLeft w:val="0"/>
      <w:marRight w:val="0"/>
      <w:marTop w:val="0"/>
      <w:marBottom w:val="0"/>
      <w:divBdr>
        <w:top w:val="none" w:sz="0" w:space="0" w:color="auto"/>
        <w:left w:val="none" w:sz="0" w:space="0" w:color="auto"/>
        <w:bottom w:val="none" w:sz="0" w:space="0" w:color="auto"/>
        <w:right w:val="none" w:sz="0" w:space="0" w:color="auto"/>
      </w:divBdr>
    </w:div>
    <w:div w:id="1300189090">
      <w:bodyDiv w:val="1"/>
      <w:marLeft w:val="0"/>
      <w:marRight w:val="0"/>
      <w:marTop w:val="0"/>
      <w:marBottom w:val="0"/>
      <w:divBdr>
        <w:top w:val="none" w:sz="0" w:space="0" w:color="auto"/>
        <w:left w:val="none" w:sz="0" w:space="0" w:color="auto"/>
        <w:bottom w:val="none" w:sz="0" w:space="0" w:color="auto"/>
        <w:right w:val="none" w:sz="0" w:space="0" w:color="auto"/>
      </w:divBdr>
    </w:div>
    <w:div w:id="1621377078">
      <w:bodyDiv w:val="1"/>
      <w:marLeft w:val="0"/>
      <w:marRight w:val="0"/>
      <w:marTop w:val="0"/>
      <w:marBottom w:val="0"/>
      <w:divBdr>
        <w:top w:val="none" w:sz="0" w:space="0" w:color="auto"/>
        <w:left w:val="none" w:sz="0" w:space="0" w:color="auto"/>
        <w:bottom w:val="none" w:sz="0" w:space="0" w:color="auto"/>
        <w:right w:val="none" w:sz="0" w:space="0" w:color="auto"/>
      </w:divBdr>
    </w:div>
    <w:div w:id="1639677303">
      <w:bodyDiv w:val="1"/>
      <w:marLeft w:val="0"/>
      <w:marRight w:val="0"/>
      <w:marTop w:val="0"/>
      <w:marBottom w:val="0"/>
      <w:divBdr>
        <w:top w:val="none" w:sz="0" w:space="0" w:color="auto"/>
        <w:left w:val="none" w:sz="0" w:space="0" w:color="auto"/>
        <w:bottom w:val="none" w:sz="0" w:space="0" w:color="auto"/>
        <w:right w:val="none" w:sz="0" w:space="0" w:color="auto"/>
      </w:divBdr>
    </w:div>
    <w:div w:id="1652513975">
      <w:bodyDiv w:val="1"/>
      <w:marLeft w:val="0"/>
      <w:marRight w:val="0"/>
      <w:marTop w:val="0"/>
      <w:marBottom w:val="0"/>
      <w:divBdr>
        <w:top w:val="none" w:sz="0" w:space="0" w:color="auto"/>
        <w:left w:val="none" w:sz="0" w:space="0" w:color="auto"/>
        <w:bottom w:val="none" w:sz="0" w:space="0" w:color="auto"/>
        <w:right w:val="none" w:sz="0" w:space="0" w:color="auto"/>
      </w:divBdr>
    </w:div>
    <w:div w:id="1684551758">
      <w:bodyDiv w:val="1"/>
      <w:marLeft w:val="0"/>
      <w:marRight w:val="0"/>
      <w:marTop w:val="0"/>
      <w:marBottom w:val="0"/>
      <w:divBdr>
        <w:top w:val="none" w:sz="0" w:space="0" w:color="auto"/>
        <w:left w:val="none" w:sz="0" w:space="0" w:color="auto"/>
        <w:bottom w:val="none" w:sz="0" w:space="0" w:color="auto"/>
        <w:right w:val="none" w:sz="0" w:space="0" w:color="auto"/>
      </w:divBdr>
    </w:div>
    <w:div w:id="1806702178">
      <w:bodyDiv w:val="1"/>
      <w:marLeft w:val="0"/>
      <w:marRight w:val="0"/>
      <w:marTop w:val="0"/>
      <w:marBottom w:val="0"/>
      <w:divBdr>
        <w:top w:val="none" w:sz="0" w:space="0" w:color="auto"/>
        <w:left w:val="none" w:sz="0" w:space="0" w:color="auto"/>
        <w:bottom w:val="none" w:sz="0" w:space="0" w:color="auto"/>
        <w:right w:val="none" w:sz="0" w:space="0" w:color="auto"/>
      </w:divBdr>
    </w:div>
    <w:div w:id="1938825585">
      <w:bodyDiv w:val="1"/>
      <w:marLeft w:val="0"/>
      <w:marRight w:val="0"/>
      <w:marTop w:val="0"/>
      <w:marBottom w:val="0"/>
      <w:divBdr>
        <w:top w:val="none" w:sz="0" w:space="0" w:color="auto"/>
        <w:left w:val="none" w:sz="0" w:space="0" w:color="auto"/>
        <w:bottom w:val="none" w:sz="0" w:space="0" w:color="auto"/>
        <w:right w:val="none" w:sz="0" w:space="0" w:color="auto"/>
      </w:divBdr>
    </w:div>
    <w:div w:id="1949506136">
      <w:bodyDiv w:val="1"/>
      <w:marLeft w:val="0"/>
      <w:marRight w:val="0"/>
      <w:marTop w:val="0"/>
      <w:marBottom w:val="0"/>
      <w:divBdr>
        <w:top w:val="none" w:sz="0" w:space="0" w:color="auto"/>
        <w:left w:val="none" w:sz="0" w:space="0" w:color="auto"/>
        <w:bottom w:val="none" w:sz="0" w:space="0" w:color="auto"/>
        <w:right w:val="none" w:sz="0" w:space="0" w:color="auto"/>
      </w:divBdr>
    </w:div>
    <w:div w:id="2016493328">
      <w:bodyDiv w:val="1"/>
      <w:marLeft w:val="0"/>
      <w:marRight w:val="0"/>
      <w:marTop w:val="0"/>
      <w:marBottom w:val="0"/>
      <w:divBdr>
        <w:top w:val="none" w:sz="0" w:space="0" w:color="auto"/>
        <w:left w:val="none" w:sz="0" w:space="0" w:color="auto"/>
        <w:bottom w:val="none" w:sz="0" w:space="0" w:color="auto"/>
        <w:right w:val="none" w:sz="0" w:space="0" w:color="auto"/>
      </w:divBdr>
    </w:div>
    <w:div w:id="2070498287">
      <w:bodyDiv w:val="1"/>
      <w:marLeft w:val="0"/>
      <w:marRight w:val="0"/>
      <w:marTop w:val="0"/>
      <w:marBottom w:val="0"/>
      <w:divBdr>
        <w:top w:val="none" w:sz="0" w:space="0" w:color="auto"/>
        <w:left w:val="none" w:sz="0" w:space="0" w:color="auto"/>
        <w:bottom w:val="none" w:sz="0" w:space="0" w:color="auto"/>
        <w:right w:val="none" w:sz="0" w:space="0" w:color="auto"/>
      </w:divBdr>
      <w:divsChild>
        <w:div w:id="464542121">
          <w:marLeft w:val="0"/>
          <w:marRight w:val="0"/>
          <w:marTop w:val="0"/>
          <w:marBottom w:val="0"/>
          <w:divBdr>
            <w:top w:val="none" w:sz="0" w:space="0" w:color="auto"/>
            <w:left w:val="none" w:sz="0" w:space="0" w:color="auto"/>
            <w:bottom w:val="none" w:sz="0" w:space="0" w:color="auto"/>
            <w:right w:val="none" w:sz="0" w:space="0" w:color="auto"/>
          </w:divBdr>
        </w:div>
        <w:div w:id="484320912">
          <w:marLeft w:val="0"/>
          <w:marRight w:val="0"/>
          <w:marTop w:val="0"/>
          <w:marBottom w:val="0"/>
          <w:divBdr>
            <w:top w:val="none" w:sz="0" w:space="0" w:color="auto"/>
            <w:left w:val="none" w:sz="0" w:space="0" w:color="auto"/>
            <w:bottom w:val="none" w:sz="0" w:space="0" w:color="auto"/>
            <w:right w:val="none" w:sz="0" w:space="0" w:color="auto"/>
          </w:divBdr>
        </w:div>
        <w:div w:id="508180887">
          <w:marLeft w:val="0"/>
          <w:marRight w:val="0"/>
          <w:marTop w:val="0"/>
          <w:marBottom w:val="0"/>
          <w:divBdr>
            <w:top w:val="none" w:sz="0" w:space="0" w:color="auto"/>
            <w:left w:val="none" w:sz="0" w:space="0" w:color="auto"/>
            <w:bottom w:val="none" w:sz="0" w:space="0" w:color="auto"/>
            <w:right w:val="none" w:sz="0" w:space="0" w:color="auto"/>
          </w:divBdr>
        </w:div>
        <w:div w:id="656231815">
          <w:marLeft w:val="0"/>
          <w:marRight w:val="0"/>
          <w:marTop w:val="0"/>
          <w:marBottom w:val="0"/>
          <w:divBdr>
            <w:top w:val="none" w:sz="0" w:space="0" w:color="auto"/>
            <w:left w:val="none" w:sz="0" w:space="0" w:color="auto"/>
            <w:bottom w:val="none" w:sz="0" w:space="0" w:color="auto"/>
            <w:right w:val="none" w:sz="0" w:space="0" w:color="auto"/>
          </w:divBdr>
        </w:div>
        <w:div w:id="1198423312">
          <w:marLeft w:val="0"/>
          <w:marRight w:val="0"/>
          <w:marTop w:val="0"/>
          <w:marBottom w:val="0"/>
          <w:divBdr>
            <w:top w:val="none" w:sz="0" w:space="0" w:color="auto"/>
            <w:left w:val="none" w:sz="0" w:space="0" w:color="auto"/>
            <w:bottom w:val="none" w:sz="0" w:space="0" w:color="auto"/>
            <w:right w:val="none" w:sz="0" w:space="0" w:color="auto"/>
          </w:divBdr>
        </w:div>
        <w:div w:id="1211302333">
          <w:marLeft w:val="0"/>
          <w:marRight w:val="0"/>
          <w:marTop w:val="0"/>
          <w:marBottom w:val="0"/>
          <w:divBdr>
            <w:top w:val="none" w:sz="0" w:space="0" w:color="auto"/>
            <w:left w:val="none" w:sz="0" w:space="0" w:color="auto"/>
            <w:bottom w:val="none" w:sz="0" w:space="0" w:color="auto"/>
            <w:right w:val="none" w:sz="0" w:space="0" w:color="auto"/>
          </w:divBdr>
        </w:div>
        <w:div w:id="1404985297">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773933877">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861779252">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2101372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rikoksentorjunta.fi/en/national-crime-prevention-programm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rikoksentorjunta.fi/en/national-crime-prevention-programm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rikoksentorjunta.fi/en/national-crime-prevention-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ikoksentorjunta.fi/en/database-on-finnish-evaluation-research-on-crime-prevention"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rikoksentorjunta.fi/en/database-on-finnish-evaluation-research-on-crime-preven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ikoksentorjunta.fi/en/national-crime-prevention-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rikoksentorjunta.fi/en/national-crime-prevention-programme"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EAF66-A4F9-4058-AC3C-1D72C874A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1249C-508B-4AB2-979A-2CB13649AAE0}">
  <ds:schemaRefs>
    <ds:schemaRef ds:uri="http://schemas.microsoft.com/sharepoint/v3/contenttype/forms"/>
  </ds:schemaRefs>
</ds:datastoreItem>
</file>

<file path=customXml/itemProps3.xml><?xml version="1.0" encoding="utf-8"?>
<ds:datastoreItem xmlns:ds="http://schemas.openxmlformats.org/officeDocument/2006/customXml" ds:itemID="{6A59B9E8-872E-4017-8005-49948FCB7F62}">
  <ds:schemaRefs>
    <ds:schemaRef ds:uri="http://purl.org/dc/dcmitype/"/>
    <ds:schemaRef ds:uri="http://purl.org/dc/elements/1.1/"/>
    <ds:schemaRef ds:uri="http://www.w3.org/XML/1998/namespace"/>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FA352DF-A2D9-43DB-A2E6-E5AE960F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89BB99F.dotm</Template>
  <TotalTime>8</TotalTime>
  <Pages>7</Pages>
  <Words>1677</Words>
  <Characters>9895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Kontrolní závěr z kontrolní akce NKÚ č. 18/20 - Peněžní prostředky státu určené na prevenci kriminality</vt:lpstr>
    </vt:vector>
  </TitlesOfParts>
  <Company>NKU</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Conclusion 18/20 - State funds earmarked for the crime prevention</dc:title>
  <dc:subject/>
  <dc:creator>Supreme Audit Office of Czech Republic</dc:creator>
  <cp:keywords/>
  <cp:lastModifiedBy>KOKRDA Daniel</cp:lastModifiedBy>
  <cp:revision>6</cp:revision>
  <cp:lastPrinted>2019-07-16T11:02:00Z</cp:lastPrinted>
  <dcterms:created xsi:type="dcterms:W3CDTF">2019-07-16T10:56:00Z</dcterms:created>
  <dcterms:modified xsi:type="dcterms:W3CDTF">2019-07-16T11:03:00Z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18/04-NKU30/1137/18</vt:lpwstr>
  </property>
  <property fmtid="{D5CDD505-2E9C-101B-9397-08002B2CF9AE}" pid="5" name="CJ_PostaDoruc_PisemnostOdpovedNa_Pisemnost">
    <vt:lpwstr>XXX-XXX-XXX</vt:lpwstr>
  </property>
  <property fmtid="{D5CDD505-2E9C-101B-9397-08002B2CF9AE}" pid="6" name="CJ_Spis_Pisemnost">
    <vt:lpwstr>840/70/18</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20.11.2018</vt:lpwstr>
  </property>
  <property fmtid="{D5CDD505-2E9C-101B-9397-08002B2CF9AE}" pid="11" name="DisplayName_SlozkaStupenUtajeniCollection_Slozka_Pisemnost">
    <vt:lpwstr/>
  </property>
  <property fmtid="{D5CDD505-2E9C-101B-9397-08002B2CF9AE}" pid="12" name="DisplayName_SpisovyUzel_PoziceZodpo_Pisemnost">
    <vt:lpwstr>Členové Úřadu</vt:lpwstr>
  </property>
  <property fmtid="{D5CDD505-2E9C-101B-9397-08002B2CF9AE}" pid="13" name="DisplayName_UserPoriz_Pisemnost">
    <vt:lpwstr>Bc. Jana Pokorná</vt:lpwstr>
  </property>
  <property fmtid="{D5CDD505-2E9C-101B-9397-08002B2CF9AE}" pid="14" name="DuvodZmeny_SlozkaStupenUtajeniCollection_Slozka_Pisemnost">
    <vt:lpwstr/>
  </property>
  <property fmtid="{D5CDD505-2E9C-101B-9397-08002B2CF9AE}" pid="15" name="EC_Pisemnost">
    <vt:lpwstr>18-14516/NKU</vt:lpwstr>
  </property>
  <property fmtid="{D5CDD505-2E9C-101B-9397-08002B2CF9AE}" pid="16" name="Key_BarCode_Pisemnost">
    <vt:lpwstr>*B000325073*</vt:lpwstr>
  </property>
  <property fmtid="{D5CDD505-2E9C-101B-9397-08002B2CF9AE}" pid="17" name="KRukam">
    <vt:lpwstr>{KRukam}</vt:lpwstr>
  </property>
  <property fmtid="{D5CDD505-2E9C-101B-9397-08002B2CF9AE}" pid="18" name="NameAddress_Contact_SpisovyUzel_PoziceZodpo_Pisemnost">
    <vt:lpwstr>ADRESÁT SU...</vt:lpwstr>
  </property>
  <property fmtid="{D5CDD505-2E9C-101B-9397-08002B2CF9AE}" pid="19" name="Odkaz">
    <vt:lpwstr>ODKAZ</vt:lpwstr>
  </property>
  <property fmtid="{D5CDD505-2E9C-101B-9397-08002B2CF9AE}" pid="20" name="Password_PisemnostTypZpristupneniInformaciZOSZ_Pisemnost">
    <vt:lpwstr>ZOSZ_Password</vt:lpwstr>
  </property>
  <property fmtid="{D5CDD505-2E9C-101B-9397-08002B2CF9AE}" pid="21" name="PocetListuDokumentu_Pisemnost">
    <vt:lpwstr>1</vt:lpwstr>
  </property>
  <property fmtid="{D5CDD505-2E9C-101B-9397-08002B2CF9AE}" pid="22" name="PocetListu_Pisemnost">
    <vt:lpwstr>1</vt:lpwstr>
  </property>
  <property fmtid="{D5CDD505-2E9C-101B-9397-08002B2CF9AE}" pid="23" name="PocetPriloh_Pisemnost">
    <vt:lpwstr>POČET PŘÍLOH</vt:lpwstr>
  </property>
  <property fmtid="{D5CDD505-2E9C-101B-9397-08002B2CF9AE}" pid="24" name="Podpis">
    <vt:lpwstr/>
  </property>
  <property fmtid="{D5CDD505-2E9C-101B-9397-08002B2CF9AE}" pid="25" name="PostalAddress_Contact_SpisovyUzel_PoziceZodpo_Pisemnost">
    <vt:lpwstr>ADRESA SU...</vt:lpwstr>
  </property>
  <property fmtid="{D5CDD505-2E9C-101B-9397-08002B2CF9AE}" pid="26" name="RC">
    <vt:lpwstr/>
  </property>
  <property fmtid="{D5CDD505-2E9C-101B-9397-08002B2CF9AE}" pid="27" name="SkartacniZnakLhuta_PisemnostZnak">
    <vt:lpwstr>?/?</vt:lpwstr>
  </property>
  <property fmtid="{D5CDD505-2E9C-101B-9397-08002B2CF9AE}" pid="28" name="SmlouvaCislo">
    <vt:lpwstr>ČÍSLO SMLOUVY</vt:lpwstr>
  </property>
  <property fmtid="{D5CDD505-2E9C-101B-9397-08002B2CF9AE}" pid="29" name="SZ_Spis_Pisemnost">
    <vt:lpwstr>18/04</vt:lpwstr>
  </property>
  <property fmtid="{D5CDD505-2E9C-101B-9397-08002B2CF9AE}" pid="30" name="TEST">
    <vt:lpwstr>testovací pole</vt:lpwstr>
  </property>
  <property fmtid="{D5CDD505-2E9C-101B-9397-08002B2CF9AE}" pid="31" name="TypPrilohy_Pisemnost">
    <vt:lpwstr>TYP PŘÍLOHY</vt:lpwstr>
  </property>
  <property fmtid="{D5CDD505-2E9C-101B-9397-08002B2CF9AE}" pid="32" name="UserName_PisemnostTypZpristupneniInformaciZOSZ_Pisemnost">
    <vt:lpwstr>ZOSZ_UserName</vt:lpwstr>
  </property>
  <property fmtid="{D5CDD505-2E9C-101B-9397-08002B2CF9AE}" pid="33" name="Vec_Pisemnost">
    <vt:lpwstr>Návrh kontrolního závěru 18/04 – do připomínek</vt:lpwstr>
  </property>
  <property fmtid="{D5CDD505-2E9C-101B-9397-08002B2CF9AE}" pid="34" name="Zkratka_SpisovyUzel_PoziceZodpo_Pisemnost">
    <vt:lpwstr>30</vt:lpwstr>
  </property>
  <property fmtid="{D5CDD505-2E9C-101B-9397-08002B2CF9AE}" pid="35" name="ContentTypeId">
    <vt:lpwstr>0x0101002F7A625AE9F5AB4A939F92BCAA7FEC02</vt:lpwstr>
  </property>
</Properties>
</file>