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14BAB" w14:textId="77777777" w:rsidR="00853B8D" w:rsidRPr="00853B8D" w:rsidRDefault="00E8036B" w:rsidP="00853B8D">
      <w:pPr>
        <w:spacing w:after="0" w:line="240" w:lineRule="auto"/>
        <w:jc w:val="center"/>
        <w:outlineLvl w:val="0"/>
        <w:rPr>
          <w:rFonts w:ascii="Calibri" w:eastAsia="Times New Roman" w:hAnsi="Calibri" w:cs="Calibri"/>
          <w:b/>
          <w:sz w:val="24"/>
          <w:szCs w:val="28"/>
          <w:lang w:eastAsia="cs-CZ"/>
        </w:rPr>
      </w:pPr>
      <w:bookmarkStart w:id="0" w:name="_GoBack"/>
      <w:bookmarkEnd w:id="0"/>
      <w:r w:rsidRPr="00853B8D">
        <w:rPr>
          <w:rFonts w:ascii="Calibri" w:eastAsia="Times New Roman" w:hAnsi="Calibri" w:cs="Calibri"/>
          <w:b/>
          <w:noProof/>
          <w:sz w:val="20"/>
          <w:szCs w:val="20"/>
          <w:lang w:eastAsia="cs-CZ"/>
        </w:rPr>
        <w:drawing>
          <wp:anchor distT="0" distB="0" distL="114300" distR="114300" simplePos="0" relativeHeight="251658240" behindDoc="0" locked="0" layoutInCell="1" allowOverlap="1" wp14:anchorId="470A1998" wp14:editId="6984A5A5">
            <wp:simplePos x="0" y="0"/>
            <wp:positionH relativeFrom="column">
              <wp:posOffset>2503170</wp:posOffset>
            </wp:positionH>
            <wp:positionV relativeFrom="paragraph">
              <wp:posOffset>14909</wp:posOffset>
            </wp:positionV>
            <wp:extent cx="763270" cy="539750"/>
            <wp:effectExtent l="0" t="0" r="0" b="0"/>
            <wp:wrapTopAndBottom/>
            <wp:docPr id="1"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15139" name="obrázek 2" descr="NKU_LOGO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3270" cy="539750"/>
                    </a:xfrm>
                    <a:prstGeom prst="rect">
                      <a:avLst/>
                    </a:prstGeom>
                    <a:noFill/>
                  </pic:spPr>
                </pic:pic>
              </a:graphicData>
            </a:graphic>
            <wp14:sizeRelH relativeFrom="page">
              <wp14:pctWidth>0</wp14:pctWidth>
            </wp14:sizeRelH>
            <wp14:sizeRelV relativeFrom="page">
              <wp14:pctHeight>0</wp14:pctHeight>
            </wp14:sizeRelV>
          </wp:anchor>
        </w:drawing>
      </w:r>
    </w:p>
    <w:p w14:paraId="39608B2E" w14:textId="77777777" w:rsidR="00916EDC" w:rsidRDefault="00916EDC" w:rsidP="00853B8D">
      <w:pPr>
        <w:spacing w:after="0" w:line="240" w:lineRule="auto"/>
        <w:jc w:val="center"/>
        <w:outlineLvl w:val="0"/>
        <w:rPr>
          <w:rFonts w:ascii="Calibri" w:eastAsia="Times New Roman" w:hAnsi="Calibri" w:cs="Calibri"/>
          <w:b/>
          <w:sz w:val="24"/>
          <w:szCs w:val="28"/>
          <w:lang w:eastAsia="cs-CZ"/>
        </w:rPr>
      </w:pPr>
    </w:p>
    <w:p w14:paraId="47C8360F" w14:textId="77777777" w:rsidR="007F549C" w:rsidRDefault="007F549C" w:rsidP="00853B8D">
      <w:pPr>
        <w:spacing w:after="0" w:line="240" w:lineRule="auto"/>
        <w:jc w:val="center"/>
        <w:outlineLvl w:val="0"/>
        <w:rPr>
          <w:rFonts w:ascii="Calibri" w:eastAsia="Times New Roman" w:hAnsi="Calibri" w:cs="Calibri"/>
          <w:b/>
          <w:sz w:val="24"/>
          <w:szCs w:val="28"/>
          <w:lang w:eastAsia="cs-CZ"/>
        </w:rPr>
      </w:pPr>
    </w:p>
    <w:p w14:paraId="66CEA8D3" w14:textId="77777777" w:rsidR="00916EDC" w:rsidRPr="007F549C" w:rsidRDefault="00E8036B" w:rsidP="007F549C">
      <w:pPr>
        <w:spacing w:after="0" w:line="240" w:lineRule="auto"/>
        <w:jc w:val="center"/>
        <w:outlineLvl w:val="0"/>
        <w:rPr>
          <w:rFonts w:ascii="Calibri" w:eastAsia="Times New Roman" w:hAnsi="Calibri" w:cs="Calibri"/>
          <w:b/>
          <w:sz w:val="28"/>
          <w:szCs w:val="28"/>
          <w:lang w:eastAsia="cs-CZ"/>
        </w:rPr>
      </w:pPr>
      <w:r w:rsidRPr="007F549C">
        <w:rPr>
          <w:rFonts w:ascii="Calibri" w:eastAsia="Times New Roman" w:hAnsi="Calibri" w:cs="Calibri"/>
          <w:b/>
          <w:sz w:val="28"/>
          <w:szCs w:val="28"/>
          <w:lang w:eastAsia="cs-CZ"/>
        </w:rPr>
        <w:t>Kontrolní závěr z kontrolní akce</w:t>
      </w:r>
    </w:p>
    <w:p w14:paraId="212F9C84" w14:textId="77777777" w:rsidR="00916EDC" w:rsidRPr="007F549C" w:rsidRDefault="00916EDC" w:rsidP="007F549C">
      <w:pPr>
        <w:spacing w:after="0" w:line="240" w:lineRule="auto"/>
        <w:jc w:val="center"/>
        <w:outlineLvl w:val="0"/>
        <w:rPr>
          <w:rFonts w:ascii="Calibri" w:eastAsia="Times New Roman" w:hAnsi="Calibri" w:cs="Calibri"/>
          <w:b/>
          <w:sz w:val="28"/>
          <w:szCs w:val="28"/>
          <w:lang w:eastAsia="cs-CZ"/>
        </w:rPr>
      </w:pPr>
    </w:p>
    <w:p w14:paraId="3A944314" w14:textId="77777777" w:rsidR="00916EDC" w:rsidRPr="007F549C" w:rsidRDefault="00E8036B" w:rsidP="007F549C">
      <w:pPr>
        <w:spacing w:after="0" w:line="240" w:lineRule="auto"/>
        <w:jc w:val="center"/>
        <w:rPr>
          <w:rFonts w:ascii="Calibri" w:eastAsia="Times New Roman" w:hAnsi="Calibri" w:cs="Calibri"/>
          <w:b/>
          <w:bCs/>
          <w:sz w:val="28"/>
          <w:szCs w:val="28"/>
        </w:rPr>
      </w:pPr>
      <w:r w:rsidRPr="007F549C">
        <w:rPr>
          <w:rFonts w:ascii="Calibri" w:eastAsia="Times New Roman" w:hAnsi="Calibri" w:cs="Calibri"/>
          <w:b/>
          <w:bCs/>
          <w:sz w:val="28"/>
          <w:szCs w:val="28"/>
        </w:rPr>
        <w:t>1</w:t>
      </w:r>
      <w:r w:rsidR="007B5098" w:rsidRPr="007F549C">
        <w:rPr>
          <w:rFonts w:ascii="Calibri" w:eastAsia="Times New Roman" w:hAnsi="Calibri" w:cs="Calibri"/>
          <w:b/>
          <w:bCs/>
          <w:sz w:val="28"/>
          <w:szCs w:val="28"/>
        </w:rPr>
        <w:t>8</w:t>
      </w:r>
      <w:r w:rsidRPr="007F549C">
        <w:rPr>
          <w:rFonts w:ascii="Calibri" w:eastAsia="Times New Roman" w:hAnsi="Calibri" w:cs="Calibri"/>
          <w:b/>
          <w:bCs/>
          <w:sz w:val="28"/>
          <w:szCs w:val="28"/>
        </w:rPr>
        <w:t>/</w:t>
      </w:r>
      <w:r w:rsidR="007B5098" w:rsidRPr="007F549C">
        <w:rPr>
          <w:rFonts w:ascii="Calibri" w:eastAsia="Times New Roman" w:hAnsi="Calibri" w:cs="Calibri"/>
          <w:b/>
          <w:bCs/>
          <w:sz w:val="28"/>
          <w:szCs w:val="28"/>
        </w:rPr>
        <w:t>16</w:t>
      </w:r>
    </w:p>
    <w:p w14:paraId="64DE28E9" w14:textId="77777777" w:rsidR="00916EDC" w:rsidRPr="007F549C" w:rsidRDefault="00916EDC" w:rsidP="007F549C">
      <w:pPr>
        <w:spacing w:after="0" w:line="240" w:lineRule="auto"/>
        <w:jc w:val="center"/>
        <w:rPr>
          <w:rFonts w:ascii="Calibri" w:eastAsia="Times New Roman" w:hAnsi="Calibri" w:cs="Calibri"/>
          <w:b/>
          <w:bCs/>
          <w:sz w:val="28"/>
          <w:szCs w:val="28"/>
        </w:rPr>
      </w:pPr>
    </w:p>
    <w:p w14:paraId="39D459E5" w14:textId="77777777" w:rsidR="00916EDC" w:rsidRPr="007F549C" w:rsidRDefault="00E8036B" w:rsidP="007F549C">
      <w:pPr>
        <w:spacing w:after="0" w:line="240" w:lineRule="auto"/>
        <w:jc w:val="center"/>
        <w:rPr>
          <w:rFonts w:ascii="Calibri" w:hAnsi="Calibri" w:cs="Calibri"/>
          <w:b/>
          <w:noProof/>
          <w:color w:val="000000"/>
          <w:sz w:val="28"/>
          <w:szCs w:val="28"/>
        </w:rPr>
      </w:pPr>
      <w:r w:rsidRPr="007F549C">
        <w:rPr>
          <w:rFonts w:ascii="Calibri" w:hAnsi="Calibri" w:cs="Calibri"/>
          <w:b/>
          <w:noProof/>
          <w:color w:val="000000"/>
          <w:sz w:val="28"/>
          <w:szCs w:val="28"/>
        </w:rPr>
        <w:t>Rozvoj vodních cest a podpora vodní dopravy</w:t>
      </w:r>
    </w:p>
    <w:p w14:paraId="22898B92" w14:textId="77777777" w:rsidR="00916EDC" w:rsidRDefault="00916EDC" w:rsidP="007F549C">
      <w:pPr>
        <w:tabs>
          <w:tab w:val="left" w:pos="7988"/>
        </w:tabs>
        <w:spacing w:after="0" w:line="264" w:lineRule="auto"/>
        <w:jc w:val="both"/>
        <w:rPr>
          <w:rFonts w:eastAsia="Times New Roman" w:cstheme="minorHAnsi"/>
        </w:rPr>
      </w:pPr>
    </w:p>
    <w:p w14:paraId="11BC30AA" w14:textId="77777777" w:rsidR="007F549C" w:rsidRPr="00916EDC" w:rsidRDefault="007F549C" w:rsidP="007F549C">
      <w:pPr>
        <w:tabs>
          <w:tab w:val="left" w:pos="7988"/>
        </w:tabs>
        <w:spacing w:after="0" w:line="264" w:lineRule="auto"/>
        <w:jc w:val="both"/>
        <w:rPr>
          <w:rFonts w:eastAsia="Times New Roman" w:cstheme="minorHAnsi"/>
        </w:rPr>
      </w:pPr>
    </w:p>
    <w:p w14:paraId="7BA3AE50" w14:textId="77777777" w:rsidR="00916EDC" w:rsidRPr="00916EDC" w:rsidRDefault="00E8036B" w:rsidP="007F549C">
      <w:pPr>
        <w:spacing w:after="0" w:line="264" w:lineRule="auto"/>
        <w:jc w:val="both"/>
        <w:rPr>
          <w:rFonts w:eastAsia="Times New Roman" w:cstheme="minorHAnsi"/>
          <w:sz w:val="24"/>
          <w:szCs w:val="24"/>
        </w:rPr>
      </w:pPr>
      <w:r w:rsidRPr="00916EDC">
        <w:rPr>
          <w:rFonts w:eastAsia="Times New Roman" w:cstheme="minorHAnsi"/>
          <w:sz w:val="24"/>
          <w:szCs w:val="24"/>
        </w:rPr>
        <w:t xml:space="preserve">Kontrolní akce byla zařazena do plánu kontrolní činnosti Nejvyššího kontrolního úřadu (dále </w:t>
      </w:r>
      <w:r w:rsidR="00C749B2">
        <w:rPr>
          <w:rFonts w:eastAsia="Times New Roman" w:cstheme="minorHAnsi"/>
          <w:sz w:val="24"/>
          <w:szCs w:val="24"/>
        </w:rPr>
        <w:t>také</w:t>
      </w:r>
      <w:r w:rsidRPr="00916EDC">
        <w:rPr>
          <w:rFonts w:eastAsia="Times New Roman" w:cstheme="minorHAnsi"/>
          <w:sz w:val="24"/>
          <w:szCs w:val="24"/>
        </w:rPr>
        <w:t xml:space="preserve"> „NKÚ“) na rok 201</w:t>
      </w:r>
      <w:r w:rsidR="007B5098">
        <w:rPr>
          <w:rFonts w:eastAsia="Times New Roman" w:cstheme="minorHAnsi"/>
          <w:sz w:val="24"/>
          <w:szCs w:val="24"/>
        </w:rPr>
        <w:t>8</w:t>
      </w:r>
      <w:r w:rsidRPr="00916EDC">
        <w:rPr>
          <w:rFonts w:eastAsia="Times New Roman" w:cstheme="minorHAnsi"/>
          <w:sz w:val="24"/>
          <w:szCs w:val="24"/>
        </w:rPr>
        <w:t xml:space="preserve"> pod číslem 1</w:t>
      </w:r>
      <w:r w:rsidR="007B5098">
        <w:rPr>
          <w:rFonts w:eastAsia="Times New Roman" w:cstheme="minorHAnsi"/>
          <w:sz w:val="24"/>
          <w:szCs w:val="24"/>
        </w:rPr>
        <w:t>8</w:t>
      </w:r>
      <w:r w:rsidRPr="00916EDC">
        <w:rPr>
          <w:rFonts w:eastAsia="Times New Roman" w:cstheme="minorHAnsi"/>
          <w:sz w:val="24"/>
          <w:szCs w:val="24"/>
        </w:rPr>
        <w:t>/</w:t>
      </w:r>
      <w:r w:rsidR="007B5098">
        <w:rPr>
          <w:rFonts w:eastAsia="Times New Roman" w:cstheme="minorHAnsi"/>
          <w:sz w:val="24"/>
          <w:szCs w:val="24"/>
        </w:rPr>
        <w:t>16</w:t>
      </w:r>
      <w:r w:rsidRPr="00916EDC">
        <w:rPr>
          <w:rFonts w:eastAsia="Times New Roman" w:cstheme="minorHAnsi"/>
          <w:sz w:val="24"/>
          <w:szCs w:val="24"/>
        </w:rPr>
        <w:t>. Kontrolní akci řídil a kontrolní závěr vypracoval člen NKÚ Ing. Jan Málek.</w:t>
      </w:r>
    </w:p>
    <w:p w14:paraId="51633AFB" w14:textId="77777777" w:rsidR="00916EDC" w:rsidRPr="00916EDC" w:rsidRDefault="00916EDC" w:rsidP="007F549C">
      <w:pPr>
        <w:spacing w:after="0" w:line="264" w:lineRule="auto"/>
        <w:jc w:val="both"/>
        <w:rPr>
          <w:rFonts w:eastAsia="Times New Roman" w:cstheme="minorHAnsi"/>
          <w:sz w:val="24"/>
          <w:szCs w:val="24"/>
        </w:rPr>
      </w:pPr>
    </w:p>
    <w:p w14:paraId="66DA9C34" w14:textId="77777777" w:rsidR="007B5098" w:rsidRPr="00916EDC" w:rsidRDefault="00E8036B" w:rsidP="007F549C">
      <w:pPr>
        <w:spacing w:after="0" w:line="264" w:lineRule="auto"/>
        <w:jc w:val="both"/>
        <w:rPr>
          <w:rFonts w:eastAsia="Times New Roman" w:cstheme="minorHAnsi"/>
          <w:sz w:val="24"/>
          <w:szCs w:val="24"/>
        </w:rPr>
      </w:pPr>
      <w:r>
        <w:rPr>
          <w:rFonts w:eastAsia="Times New Roman" w:cstheme="minorHAnsi"/>
          <w:sz w:val="24"/>
          <w:szCs w:val="24"/>
        </w:rPr>
        <w:t>Cílem kontroly bylo p</w:t>
      </w:r>
      <w:r w:rsidRPr="007B5098">
        <w:rPr>
          <w:rFonts w:eastAsia="Times New Roman" w:cstheme="minorHAnsi"/>
          <w:sz w:val="24"/>
          <w:szCs w:val="24"/>
        </w:rPr>
        <w:t>rověřit, zda jsou peněžní prostředky určené na rozvoj vodních cest a</w:t>
      </w:r>
      <w:r w:rsidR="00830BD1">
        <w:rPr>
          <w:rFonts w:eastAsia="Times New Roman" w:cstheme="minorHAnsi"/>
          <w:sz w:val="24"/>
          <w:szCs w:val="24"/>
        </w:rPr>
        <w:t> </w:t>
      </w:r>
      <w:r w:rsidRPr="007B5098">
        <w:rPr>
          <w:rFonts w:eastAsia="Times New Roman" w:cstheme="minorHAnsi"/>
          <w:sz w:val="24"/>
          <w:szCs w:val="24"/>
        </w:rPr>
        <w:t>vodní dopravy poskytovány účelně a efektivně tak, aby byly plněny cíle stanovené pro tuto oblast koncepčními a na ně navazujícími dokumenty.</w:t>
      </w:r>
    </w:p>
    <w:p w14:paraId="6BA75BBE" w14:textId="77777777" w:rsidR="00916EDC" w:rsidRPr="00916EDC" w:rsidRDefault="00916EDC" w:rsidP="007F549C">
      <w:pPr>
        <w:spacing w:after="0" w:line="264" w:lineRule="auto"/>
        <w:jc w:val="both"/>
        <w:rPr>
          <w:rFonts w:eastAsia="Times New Roman" w:cstheme="minorHAnsi"/>
          <w:sz w:val="24"/>
          <w:szCs w:val="24"/>
        </w:rPr>
      </w:pPr>
    </w:p>
    <w:p w14:paraId="0E777499" w14:textId="77777777" w:rsidR="00916EDC" w:rsidRPr="00916EDC" w:rsidRDefault="00E8036B" w:rsidP="007F549C">
      <w:pPr>
        <w:spacing w:after="0" w:line="264" w:lineRule="auto"/>
        <w:jc w:val="both"/>
        <w:rPr>
          <w:rFonts w:eastAsia="Times New Roman" w:cstheme="minorHAnsi"/>
          <w:sz w:val="24"/>
          <w:szCs w:val="24"/>
        </w:rPr>
      </w:pPr>
      <w:r w:rsidRPr="00916EDC">
        <w:rPr>
          <w:rFonts w:eastAsia="Times New Roman" w:cstheme="minorHAnsi"/>
          <w:sz w:val="24"/>
          <w:szCs w:val="24"/>
        </w:rPr>
        <w:t xml:space="preserve">Kontrola byla prováděna u kontrolovaných osob v období od </w:t>
      </w:r>
      <w:r w:rsidR="007B5098">
        <w:rPr>
          <w:rFonts w:eastAsia="Times New Roman" w:cstheme="minorHAnsi"/>
          <w:sz w:val="24"/>
          <w:szCs w:val="24"/>
        </w:rPr>
        <w:t>července</w:t>
      </w:r>
      <w:r w:rsidRPr="00916EDC">
        <w:rPr>
          <w:rFonts w:eastAsia="Times New Roman" w:cstheme="minorHAnsi"/>
          <w:sz w:val="24"/>
          <w:szCs w:val="24"/>
        </w:rPr>
        <w:t xml:space="preserve"> 201</w:t>
      </w:r>
      <w:r w:rsidR="007B5098">
        <w:rPr>
          <w:rFonts w:eastAsia="Times New Roman" w:cstheme="minorHAnsi"/>
          <w:sz w:val="24"/>
          <w:szCs w:val="24"/>
        </w:rPr>
        <w:t>8</w:t>
      </w:r>
      <w:r w:rsidRPr="00916EDC">
        <w:rPr>
          <w:rFonts w:eastAsia="Times New Roman" w:cstheme="minorHAnsi"/>
          <w:sz w:val="24"/>
          <w:szCs w:val="24"/>
        </w:rPr>
        <w:t xml:space="preserve"> do </w:t>
      </w:r>
      <w:r w:rsidR="007B5098">
        <w:rPr>
          <w:rFonts w:eastAsia="Times New Roman" w:cstheme="minorHAnsi"/>
          <w:sz w:val="24"/>
          <w:szCs w:val="24"/>
        </w:rPr>
        <w:t>břez</w:t>
      </w:r>
      <w:r w:rsidR="005236E9">
        <w:rPr>
          <w:rFonts w:eastAsia="Times New Roman" w:cstheme="minorHAnsi"/>
          <w:sz w:val="24"/>
          <w:szCs w:val="24"/>
        </w:rPr>
        <w:t>na</w:t>
      </w:r>
      <w:r w:rsidRPr="00916EDC">
        <w:rPr>
          <w:rFonts w:eastAsia="Times New Roman" w:cstheme="minorHAnsi"/>
          <w:sz w:val="24"/>
          <w:szCs w:val="24"/>
        </w:rPr>
        <w:t xml:space="preserve"> 201</w:t>
      </w:r>
      <w:r w:rsidR="007B5098">
        <w:rPr>
          <w:rFonts w:eastAsia="Times New Roman" w:cstheme="minorHAnsi"/>
          <w:sz w:val="24"/>
          <w:szCs w:val="24"/>
        </w:rPr>
        <w:t>9</w:t>
      </w:r>
      <w:r w:rsidRPr="00916EDC">
        <w:rPr>
          <w:rFonts w:eastAsia="Times New Roman" w:cstheme="minorHAnsi"/>
          <w:sz w:val="24"/>
          <w:szCs w:val="24"/>
        </w:rPr>
        <w:t>. Kontrolovaným obdobím bylo období od roku 201</w:t>
      </w:r>
      <w:r w:rsidR="007B5098">
        <w:rPr>
          <w:rFonts w:eastAsia="Times New Roman" w:cstheme="minorHAnsi"/>
          <w:sz w:val="24"/>
          <w:szCs w:val="24"/>
        </w:rPr>
        <w:t>4</w:t>
      </w:r>
      <w:r w:rsidRPr="00916EDC">
        <w:rPr>
          <w:rFonts w:eastAsia="Times New Roman" w:cstheme="minorHAnsi"/>
          <w:sz w:val="24"/>
          <w:szCs w:val="24"/>
        </w:rPr>
        <w:t xml:space="preserve"> do </w:t>
      </w:r>
      <w:r w:rsidR="005236E9">
        <w:rPr>
          <w:rFonts w:eastAsia="Times New Roman" w:cstheme="minorHAnsi"/>
          <w:sz w:val="24"/>
          <w:szCs w:val="24"/>
        </w:rPr>
        <w:t>doby ukončení kontroly</w:t>
      </w:r>
      <w:r w:rsidRPr="00916EDC">
        <w:rPr>
          <w:rFonts w:eastAsia="Times New Roman" w:cstheme="minorHAnsi"/>
          <w:sz w:val="24"/>
          <w:szCs w:val="24"/>
        </w:rPr>
        <w:t xml:space="preserve">, v případě věcných souvislostí i období předcházející. </w:t>
      </w:r>
    </w:p>
    <w:p w14:paraId="17C0CCB4" w14:textId="77777777" w:rsidR="00916EDC" w:rsidRPr="00916EDC" w:rsidRDefault="00916EDC" w:rsidP="007F549C">
      <w:pPr>
        <w:spacing w:after="0" w:line="264" w:lineRule="auto"/>
        <w:jc w:val="both"/>
        <w:rPr>
          <w:rFonts w:eastAsia="Times New Roman" w:cstheme="minorHAnsi"/>
          <w:sz w:val="24"/>
          <w:szCs w:val="24"/>
        </w:rPr>
      </w:pPr>
    </w:p>
    <w:p w14:paraId="5A79D4EE" w14:textId="77777777" w:rsidR="00916EDC" w:rsidRPr="00916EDC" w:rsidRDefault="00E8036B" w:rsidP="007F549C">
      <w:pPr>
        <w:spacing w:after="0" w:line="264" w:lineRule="auto"/>
        <w:jc w:val="both"/>
        <w:rPr>
          <w:rFonts w:eastAsia="Times New Roman" w:cstheme="minorHAnsi"/>
          <w:sz w:val="24"/>
          <w:szCs w:val="24"/>
        </w:rPr>
      </w:pPr>
      <w:r w:rsidRPr="00916EDC">
        <w:rPr>
          <w:rFonts w:eastAsia="Times New Roman" w:cstheme="minorHAnsi"/>
          <w:sz w:val="24"/>
          <w:szCs w:val="24"/>
        </w:rPr>
        <w:t>Kontrolované osoby:</w:t>
      </w:r>
    </w:p>
    <w:p w14:paraId="0EEA8981" w14:textId="77777777" w:rsidR="00916EDC" w:rsidRPr="00916EDC" w:rsidRDefault="00E8036B" w:rsidP="007F549C">
      <w:pPr>
        <w:spacing w:after="0" w:line="264" w:lineRule="auto"/>
        <w:jc w:val="both"/>
        <w:rPr>
          <w:rFonts w:eastAsia="Times New Roman" w:cstheme="minorHAnsi"/>
          <w:sz w:val="24"/>
          <w:szCs w:val="24"/>
        </w:rPr>
      </w:pPr>
      <w:r w:rsidRPr="00916EDC">
        <w:rPr>
          <w:rFonts w:eastAsia="Times New Roman" w:cstheme="minorHAnsi"/>
          <w:sz w:val="24"/>
          <w:szCs w:val="24"/>
        </w:rPr>
        <w:t xml:space="preserve">Ministerstvo </w:t>
      </w:r>
      <w:r w:rsidR="005236E9">
        <w:rPr>
          <w:rFonts w:eastAsia="Times New Roman" w:cstheme="minorHAnsi"/>
          <w:sz w:val="24"/>
          <w:szCs w:val="24"/>
        </w:rPr>
        <w:t xml:space="preserve">dopravy </w:t>
      </w:r>
      <w:r w:rsidRPr="00916EDC">
        <w:rPr>
          <w:rFonts w:eastAsia="Times New Roman" w:cstheme="minorHAnsi"/>
          <w:sz w:val="24"/>
          <w:szCs w:val="24"/>
        </w:rPr>
        <w:t>(dále také „M</w:t>
      </w:r>
      <w:r w:rsidR="005236E9">
        <w:rPr>
          <w:rFonts w:eastAsia="Times New Roman" w:cstheme="minorHAnsi"/>
          <w:sz w:val="24"/>
          <w:szCs w:val="24"/>
        </w:rPr>
        <w:t>D</w:t>
      </w:r>
      <w:r w:rsidRPr="00916EDC">
        <w:rPr>
          <w:rFonts w:eastAsia="Times New Roman" w:cstheme="minorHAnsi"/>
          <w:sz w:val="24"/>
          <w:szCs w:val="24"/>
        </w:rPr>
        <w:t>“),</w:t>
      </w:r>
    </w:p>
    <w:p w14:paraId="56A9C193" w14:textId="77777777" w:rsidR="00916EDC" w:rsidRPr="00ED604E" w:rsidRDefault="00E8036B" w:rsidP="007F549C">
      <w:pPr>
        <w:spacing w:after="0" w:line="264" w:lineRule="auto"/>
        <w:jc w:val="both"/>
        <w:rPr>
          <w:rFonts w:eastAsia="Times New Roman" w:cstheme="minorHAnsi"/>
          <w:sz w:val="24"/>
          <w:szCs w:val="24"/>
        </w:rPr>
      </w:pPr>
      <w:r w:rsidRPr="007B5098">
        <w:rPr>
          <w:rFonts w:eastAsia="Times New Roman" w:cstheme="minorHAnsi"/>
          <w:sz w:val="24"/>
          <w:szCs w:val="24"/>
        </w:rPr>
        <w:t>Ředitelství vodních cest ČR</w:t>
      </w:r>
      <w:r w:rsidRPr="00ED604E">
        <w:rPr>
          <w:rFonts w:eastAsia="Times New Roman" w:cstheme="minorHAnsi"/>
          <w:sz w:val="24"/>
          <w:szCs w:val="24"/>
        </w:rPr>
        <w:t xml:space="preserve"> (dále také „</w:t>
      </w:r>
      <w:r>
        <w:rPr>
          <w:rFonts w:eastAsia="Times New Roman" w:cstheme="minorHAnsi"/>
          <w:sz w:val="24"/>
          <w:szCs w:val="24"/>
        </w:rPr>
        <w:t>ŘVC</w:t>
      </w:r>
      <w:r w:rsidRPr="00ED604E">
        <w:rPr>
          <w:rFonts w:eastAsia="Times New Roman" w:cstheme="minorHAnsi"/>
          <w:sz w:val="24"/>
          <w:szCs w:val="24"/>
        </w:rPr>
        <w:t>“)</w:t>
      </w:r>
      <w:r w:rsidR="00BC1316" w:rsidRPr="00ED604E">
        <w:rPr>
          <w:rFonts w:eastAsia="Times New Roman" w:cstheme="minorHAnsi"/>
          <w:sz w:val="24"/>
          <w:szCs w:val="24"/>
        </w:rPr>
        <w:t>.</w:t>
      </w:r>
    </w:p>
    <w:p w14:paraId="49740895" w14:textId="77777777" w:rsidR="00916EDC" w:rsidRPr="007B5098" w:rsidRDefault="00916EDC" w:rsidP="007F549C">
      <w:pPr>
        <w:spacing w:after="0" w:line="264" w:lineRule="auto"/>
        <w:jc w:val="both"/>
        <w:rPr>
          <w:rFonts w:eastAsia="Times New Roman" w:cstheme="minorHAnsi"/>
          <w:sz w:val="24"/>
          <w:szCs w:val="24"/>
        </w:rPr>
      </w:pPr>
    </w:p>
    <w:p w14:paraId="037A105A" w14:textId="77777777" w:rsidR="002B7CC6" w:rsidRPr="00916EDC" w:rsidRDefault="002B7CC6" w:rsidP="007F549C">
      <w:pPr>
        <w:spacing w:after="0" w:line="264" w:lineRule="auto"/>
        <w:jc w:val="both"/>
        <w:rPr>
          <w:rFonts w:eastAsia="Times New Roman" w:cstheme="minorHAnsi"/>
          <w:sz w:val="24"/>
          <w:szCs w:val="24"/>
        </w:rPr>
      </w:pPr>
    </w:p>
    <w:p w14:paraId="7CD20676" w14:textId="77777777" w:rsidR="00916EDC" w:rsidRPr="00916EDC" w:rsidRDefault="00E8036B" w:rsidP="007F549C">
      <w:pPr>
        <w:spacing w:after="0" w:line="360" w:lineRule="auto"/>
        <w:jc w:val="both"/>
        <w:rPr>
          <w:rFonts w:eastAsia="Times New Roman" w:cstheme="minorHAnsi"/>
          <w:sz w:val="24"/>
          <w:szCs w:val="24"/>
        </w:rPr>
      </w:pPr>
      <w:r w:rsidRPr="00916EDC">
        <w:rPr>
          <w:rFonts w:eastAsia="Times New Roman" w:cstheme="minorHAnsi"/>
          <w:b/>
          <w:bCs/>
          <w:i/>
          <w:iCs/>
          <w:sz w:val="24"/>
          <w:szCs w:val="24"/>
        </w:rPr>
        <w:t xml:space="preserve">K o l e g i u m   N K Ú  </w:t>
      </w:r>
      <w:r w:rsidRPr="00916EDC">
        <w:rPr>
          <w:rFonts w:eastAsia="Times New Roman" w:cstheme="minorHAnsi"/>
          <w:sz w:val="24"/>
          <w:szCs w:val="24"/>
        </w:rPr>
        <w:t xml:space="preserve"> na svém</w:t>
      </w:r>
      <w:r w:rsidR="00830BD1">
        <w:rPr>
          <w:rFonts w:eastAsia="Times New Roman" w:cstheme="minorHAnsi"/>
          <w:sz w:val="24"/>
          <w:szCs w:val="24"/>
        </w:rPr>
        <w:t xml:space="preserve"> </w:t>
      </w:r>
      <w:r w:rsidR="00CF45B6">
        <w:rPr>
          <w:rFonts w:eastAsia="Times New Roman" w:cstheme="minorHAnsi"/>
          <w:sz w:val="24"/>
          <w:szCs w:val="24"/>
        </w:rPr>
        <w:t>IX.</w:t>
      </w:r>
      <w:r w:rsidR="00830BD1">
        <w:rPr>
          <w:rFonts w:eastAsia="Times New Roman" w:cstheme="minorHAnsi"/>
          <w:sz w:val="24"/>
          <w:szCs w:val="24"/>
        </w:rPr>
        <w:t xml:space="preserve"> </w:t>
      </w:r>
      <w:r w:rsidRPr="00916EDC">
        <w:rPr>
          <w:rFonts w:eastAsia="Times New Roman" w:cstheme="minorHAnsi"/>
          <w:sz w:val="24"/>
          <w:szCs w:val="24"/>
        </w:rPr>
        <w:t xml:space="preserve">jednání, </w:t>
      </w:r>
      <w:r w:rsidR="00AB7E36">
        <w:rPr>
          <w:rFonts w:eastAsia="Times New Roman" w:cstheme="minorHAnsi"/>
          <w:sz w:val="24"/>
          <w:szCs w:val="24"/>
        </w:rPr>
        <w:t xml:space="preserve">které se </w:t>
      </w:r>
      <w:r w:rsidRPr="00916EDC">
        <w:rPr>
          <w:rFonts w:eastAsia="Times New Roman" w:cstheme="minorHAnsi"/>
          <w:sz w:val="24"/>
          <w:szCs w:val="24"/>
        </w:rPr>
        <w:t>kona</w:t>
      </w:r>
      <w:r w:rsidR="00AB7E36">
        <w:rPr>
          <w:rFonts w:eastAsia="Times New Roman" w:cstheme="minorHAnsi"/>
          <w:sz w:val="24"/>
          <w:szCs w:val="24"/>
        </w:rPr>
        <w:t>lo</w:t>
      </w:r>
      <w:r w:rsidRPr="00916EDC">
        <w:rPr>
          <w:rFonts w:eastAsia="Times New Roman" w:cstheme="minorHAnsi"/>
          <w:sz w:val="24"/>
          <w:szCs w:val="24"/>
        </w:rPr>
        <w:t xml:space="preserve"> dne</w:t>
      </w:r>
      <w:r w:rsidR="00830BD1">
        <w:rPr>
          <w:rFonts w:eastAsia="Times New Roman" w:cstheme="minorHAnsi"/>
          <w:sz w:val="24"/>
          <w:szCs w:val="24"/>
        </w:rPr>
        <w:t xml:space="preserve"> </w:t>
      </w:r>
      <w:r w:rsidR="00CF45B6">
        <w:rPr>
          <w:rFonts w:eastAsia="Times New Roman" w:cstheme="minorHAnsi"/>
          <w:sz w:val="24"/>
          <w:szCs w:val="24"/>
        </w:rPr>
        <w:t>24. června</w:t>
      </w:r>
      <w:r w:rsidR="00830BD1">
        <w:rPr>
          <w:rFonts w:eastAsia="Times New Roman" w:cstheme="minorHAnsi"/>
          <w:sz w:val="24"/>
          <w:szCs w:val="24"/>
        </w:rPr>
        <w:t xml:space="preserve"> </w:t>
      </w:r>
      <w:r w:rsidRPr="00916EDC">
        <w:rPr>
          <w:rFonts w:eastAsia="Times New Roman" w:cstheme="minorHAnsi"/>
          <w:sz w:val="24"/>
          <w:szCs w:val="24"/>
        </w:rPr>
        <w:t>201</w:t>
      </w:r>
      <w:r w:rsidR="007B5098">
        <w:rPr>
          <w:rFonts w:eastAsia="Times New Roman" w:cstheme="minorHAnsi"/>
          <w:sz w:val="24"/>
          <w:szCs w:val="24"/>
        </w:rPr>
        <w:t>9</w:t>
      </w:r>
      <w:r w:rsidRPr="00916EDC">
        <w:rPr>
          <w:rFonts w:eastAsia="Times New Roman" w:cstheme="minorHAnsi"/>
          <w:sz w:val="24"/>
          <w:szCs w:val="24"/>
        </w:rPr>
        <w:t xml:space="preserve">, </w:t>
      </w:r>
    </w:p>
    <w:p w14:paraId="204EDECC" w14:textId="77777777" w:rsidR="00916EDC" w:rsidRPr="00916EDC" w:rsidRDefault="00E8036B" w:rsidP="007F549C">
      <w:pPr>
        <w:spacing w:after="0" w:line="360" w:lineRule="auto"/>
        <w:jc w:val="both"/>
        <w:rPr>
          <w:rFonts w:eastAsia="Times New Roman" w:cstheme="minorHAnsi"/>
          <w:sz w:val="24"/>
          <w:szCs w:val="24"/>
          <w:lang w:eastAsia="cs-CZ"/>
        </w:rPr>
      </w:pPr>
      <w:proofErr w:type="gramStart"/>
      <w:r w:rsidRPr="00916EDC">
        <w:rPr>
          <w:rFonts w:eastAsia="Times New Roman" w:cstheme="minorHAnsi"/>
          <w:b/>
          <w:bCs/>
          <w:i/>
          <w:iCs/>
          <w:sz w:val="24"/>
          <w:szCs w:val="24"/>
          <w:lang w:eastAsia="cs-CZ"/>
        </w:rPr>
        <w:t xml:space="preserve">s c h v á l i l o  </w:t>
      </w:r>
      <w:r w:rsidRPr="00916EDC">
        <w:rPr>
          <w:rFonts w:eastAsia="Times New Roman" w:cstheme="minorHAnsi"/>
          <w:sz w:val="24"/>
          <w:szCs w:val="24"/>
          <w:lang w:eastAsia="cs-CZ"/>
        </w:rPr>
        <w:t xml:space="preserve"> usnesením č.</w:t>
      </w:r>
      <w:proofErr w:type="gramEnd"/>
      <w:r w:rsidRPr="00916EDC">
        <w:rPr>
          <w:rFonts w:eastAsia="Times New Roman" w:cstheme="minorHAnsi"/>
          <w:sz w:val="24"/>
          <w:szCs w:val="24"/>
          <w:lang w:eastAsia="cs-CZ"/>
        </w:rPr>
        <w:t xml:space="preserve"> </w:t>
      </w:r>
      <w:r w:rsidR="00B76F94">
        <w:rPr>
          <w:rFonts w:eastAsia="Times New Roman" w:cstheme="minorHAnsi"/>
          <w:sz w:val="24"/>
          <w:szCs w:val="24"/>
          <w:lang w:eastAsia="cs-CZ"/>
        </w:rPr>
        <w:t>10</w:t>
      </w:r>
      <w:r w:rsidR="00830BD1">
        <w:rPr>
          <w:rFonts w:eastAsia="Times New Roman" w:cstheme="minorHAnsi"/>
          <w:sz w:val="24"/>
          <w:szCs w:val="24"/>
          <w:lang w:eastAsia="cs-CZ"/>
        </w:rPr>
        <w:t>/</w:t>
      </w:r>
      <w:r w:rsidR="00CF45B6">
        <w:rPr>
          <w:rFonts w:eastAsia="Times New Roman" w:cstheme="minorHAnsi"/>
          <w:sz w:val="24"/>
          <w:szCs w:val="24"/>
          <w:lang w:eastAsia="cs-CZ"/>
        </w:rPr>
        <w:t>IX</w:t>
      </w:r>
      <w:r w:rsidR="00830BD1">
        <w:rPr>
          <w:rFonts w:eastAsia="Times New Roman" w:cstheme="minorHAnsi"/>
          <w:sz w:val="24"/>
          <w:szCs w:val="24"/>
          <w:lang w:eastAsia="cs-CZ"/>
        </w:rPr>
        <w:t>/2019</w:t>
      </w:r>
    </w:p>
    <w:p w14:paraId="0CC5EA64" w14:textId="77777777" w:rsidR="00916EDC" w:rsidRPr="00916EDC" w:rsidRDefault="00E8036B" w:rsidP="007F549C">
      <w:pPr>
        <w:spacing w:after="0" w:line="360" w:lineRule="auto"/>
        <w:jc w:val="both"/>
        <w:rPr>
          <w:rFonts w:eastAsia="Times New Roman" w:cstheme="minorHAnsi"/>
          <w:sz w:val="24"/>
          <w:szCs w:val="24"/>
          <w:lang w:eastAsia="cs-CZ"/>
        </w:rPr>
      </w:pPr>
      <w:r w:rsidRPr="00916EDC">
        <w:rPr>
          <w:rFonts w:eastAsia="Times New Roman" w:cstheme="minorHAnsi"/>
          <w:b/>
          <w:bCs/>
          <w:i/>
          <w:iCs/>
          <w:sz w:val="24"/>
          <w:szCs w:val="24"/>
          <w:lang w:eastAsia="cs-CZ"/>
        </w:rPr>
        <w:t>k o n t r o l n í   z á v ě r</w:t>
      </w:r>
      <w:r w:rsidRPr="00916EDC">
        <w:rPr>
          <w:rFonts w:eastAsia="Times New Roman" w:cstheme="minorHAnsi"/>
          <w:sz w:val="24"/>
          <w:szCs w:val="24"/>
          <w:lang w:eastAsia="cs-CZ"/>
        </w:rPr>
        <w:t xml:space="preserve">   v tomto znění:</w:t>
      </w:r>
    </w:p>
    <w:p w14:paraId="1FBDAD3C" w14:textId="77777777" w:rsidR="00916EDC" w:rsidRPr="007F549C" w:rsidRDefault="00916EDC" w:rsidP="007F549C">
      <w:pPr>
        <w:spacing w:after="0" w:line="264" w:lineRule="auto"/>
        <w:jc w:val="both"/>
        <w:rPr>
          <w:rFonts w:eastAsia="Times New Roman" w:cstheme="minorHAnsi"/>
          <w:sz w:val="24"/>
          <w:szCs w:val="24"/>
          <w:lang w:eastAsia="cs-CZ"/>
        </w:rPr>
      </w:pPr>
    </w:p>
    <w:p w14:paraId="4AABA565" w14:textId="77777777" w:rsidR="00916EDC" w:rsidRPr="007F549C" w:rsidRDefault="00916EDC" w:rsidP="007F549C">
      <w:pPr>
        <w:spacing w:after="0" w:line="264" w:lineRule="auto"/>
        <w:jc w:val="both"/>
        <w:rPr>
          <w:rFonts w:eastAsia="Times New Roman" w:cstheme="minorHAnsi"/>
          <w:sz w:val="24"/>
          <w:szCs w:val="24"/>
          <w:lang w:eastAsia="cs-CZ"/>
        </w:rPr>
      </w:pPr>
    </w:p>
    <w:p w14:paraId="35F50249" w14:textId="77777777" w:rsidR="00FC36E7" w:rsidRPr="007F549C" w:rsidRDefault="00E8036B" w:rsidP="007F549C">
      <w:pPr>
        <w:spacing w:after="0" w:line="264" w:lineRule="auto"/>
        <w:ind w:left="567" w:hanging="567"/>
        <w:jc w:val="both"/>
        <w:rPr>
          <w:rFonts w:cstheme="minorHAnsi"/>
          <w:sz w:val="20"/>
          <w:szCs w:val="20"/>
        </w:rPr>
      </w:pPr>
      <w:r w:rsidRPr="007F549C">
        <w:rPr>
          <w:rFonts w:cstheme="minorHAnsi"/>
          <w:b/>
          <w:sz w:val="20"/>
          <w:szCs w:val="20"/>
        </w:rPr>
        <w:t>Pozn.:</w:t>
      </w:r>
      <w:r w:rsidRPr="007F549C">
        <w:rPr>
          <w:rFonts w:cstheme="minorHAnsi"/>
          <w:sz w:val="20"/>
          <w:szCs w:val="20"/>
        </w:rPr>
        <w:tab/>
        <w:t>Právní předpisy uvedené v tomto kontrolním závěru jsou aplikovány ve znění účinném pro kontrolované období.</w:t>
      </w:r>
    </w:p>
    <w:p w14:paraId="13658842" w14:textId="77777777" w:rsidR="00916EDC" w:rsidRPr="00916EDC" w:rsidRDefault="00E8036B" w:rsidP="00916EDC">
      <w:pPr>
        <w:spacing w:after="200" w:line="240" w:lineRule="auto"/>
        <w:rPr>
          <w:rFonts w:eastAsia="Times New Roman" w:cstheme="minorHAnsi"/>
          <w:sz w:val="24"/>
          <w:szCs w:val="24"/>
          <w:lang w:eastAsia="cs-CZ"/>
        </w:rPr>
      </w:pPr>
      <w:r w:rsidRPr="00916EDC">
        <w:rPr>
          <w:rFonts w:eastAsia="Times New Roman" w:cstheme="minorHAnsi"/>
          <w:sz w:val="24"/>
          <w:szCs w:val="24"/>
        </w:rPr>
        <w:br w:type="page"/>
      </w:r>
    </w:p>
    <w:p w14:paraId="3929085F" w14:textId="77777777" w:rsidR="00573679" w:rsidRPr="00B12F25" w:rsidRDefault="00E8036B" w:rsidP="00573679">
      <w:pPr>
        <w:pStyle w:val="Nadpis1"/>
        <w:spacing w:after="0"/>
        <w:jc w:val="center"/>
        <w:rPr>
          <w:rFonts w:asciiTheme="minorHAnsi" w:hAnsiTheme="minorHAnsi"/>
          <w:b w:val="0"/>
          <w:color w:val="000000" w:themeColor="text1"/>
          <w:sz w:val="28"/>
          <w:szCs w:val="28"/>
        </w:rPr>
      </w:pPr>
      <w:r w:rsidRPr="00D76920">
        <w:rPr>
          <w:rFonts w:asciiTheme="minorHAnsi" w:hAnsiTheme="minorHAnsi" w:cstheme="minorHAnsi"/>
          <w:sz w:val="28"/>
          <w:szCs w:val="28"/>
        </w:rPr>
        <w:lastRenderedPageBreak/>
        <w:t>Klíčová fakta</w:t>
      </w:r>
    </w:p>
    <w:p w14:paraId="7632E76B" w14:textId="77777777" w:rsidR="007B5098" w:rsidRDefault="007B5098" w:rsidP="00B404AE">
      <w:pPr>
        <w:spacing w:after="0" w:line="252" w:lineRule="auto"/>
        <w:contextualSpacing/>
        <w:jc w:val="both"/>
        <w:rPr>
          <w:rFonts w:eastAsia="Calibri" w:cstheme="minorHAnsi"/>
          <w:b/>
          <w:sz w:val="24"/>
          <w:szCs w:val="24"/>
        </w:rPr>
      </w:pPr>
    </w:p>
    <w:p w14:paraId="19E4FBF2" w14:textId="77777777" w:rsidR="00B404AE" w:rsidRPr="001F4976" w:rsidRDefault="00E8036B" w:rsidP="003F7772">
      <w:pPr>
        <w:tabs>
          <w:tab w:val="left" w:pos="1418"/>
        </w:tabs>
        <w:spacing w:after="0" w:line="252" w:lineRule="auto"/>
        <w:ind w:left="1418" w:hanging="1418"/>
        <w:contextualSpacing/>
        <w:jc w:val="both"/>
        <w:rPr>
          <w:rFonts w:eastAsia="Calibri" w:cstheme="minorHAnsi"/>
          <w:b/>
          <w:sz w:val="24"/>
          <w:szCs w:val="24"/>
        </w:rPr>
      </w:pPr>
      <w:r>
        <w:rPr>
          <w:rFonts w:eastAsia="Calibri" w:cstheme="minorHAnsi"/>
          <w:b/>
          <w:color w:val="0070C0"/>
          <w:sz w:val="24"/>
          <w:szCs w:val="24"/>
        </w:rPr>
        <w:t>625,7 mil. Kč</w:t>
      </w:r>
      <w:r>
        <w:rPr>
          <w:rFonts w:eastAsia="Calibri" w:cstheme="minorHAnsi"/>
          <w:b/>
          <w:color w:val="0070C0"/>
          <w:sz w:val="24"/>
          <w:szCs w:val="24"/>
        </w:rPr>
        <w:tab/>
      </w:r>
      <w:r w:rsidRPr="001F4976">
        <w:rPr>
          <w:rFonts w:eastAsia="Calibri" w:cstheme="minorHAnsi"/>
          <w:b/>
          <w:sz w:val="24"/>
          <w:szCs w:val="24"/>
        </w:rPr>
        <w:t xml:space="preserve">náklady vynaložené ŘVC na přípravu </w:t>
      </w:r>
      <w:r w:rsidR="003F7772">
        <w:rPr>
          <w:rFonts w:eastAsia="Calibri" w:cstheme="minorHAnsi"/>
          <w:b/>
          <w:sz w:val="24"/>
          <w:szCs w:val="24"/>
        </w:rPr>
        <w:t xml:space="preserve">dosud nezahájeného </w:t>
      </w:r>
      <w:r w:rsidRPr="001F4976">
        <w:rPr>
          <w:rFonts w:eastAsia="Calibri" w:cstheme="minorHAnsi"/>
          <w:b/>
          <w:sz w:val="24"/>
          <w:szCs w:val="24"/>
        </w:rPr>
        <w:t xml:space="preserve">projektu </w:t>
      </w:r>
      <w:r w:rsidR="003F7772">
        <w:rPr>
          <w:rFonts w:eastAsia="Calibri" w:cstheme="minorHAnsi"/>
          <w:b/>
          <w:sz w:val="24"/>
          <w:szCs w:val="24"/>
        </w:rPr>
        <w:br/>
      </w:r>
      <w:r w:rsidRPr="001F4976">
        <w:rPr>
          <w:rFonts w:eastAsia="Calibri" w:cstheme="minorHAnsi"/>
          <w:b/>
          <w:sz w:val="24"/>
          <w:szCs w:val="24"/>
        </w:rPr>
        <w:t>„Plavební stupeň Děčín“</w:t>
      </w:r>
    </w:p>
    <w:p w14:paraId="00A22100" w14:textId="77777777" w:rsidR="00B404AE" w:rsidRDefault="00B404AE" w:rsidP="00B404AE">
      <w:pPr>
        <w:tabs>
          <w:tab w:val="left" w:pos="1276"/>
        </w:tabs>
        <w:spacing w:after="0" w:line="252" w:lineRule="auto"/>
        <w:contextualSpacing/>
        <w:jc w:val="both"/>
        <w:rPr>
          <w:rFonts w:eastAsia="Calibri" w:cstheme="minorHAnsi"/>
          <w:b/>
          <w:sz w:val="24"/>
          <w:szCs w:val="24"/>
        </w:rPr>
      </w:pPr>
    </w:p>
    <w:p w14:paraId="66D8A54F" w14:textId="77777777" w:rsidR="00B404AE" w:rsidRPr="001F4976" w:rsidRDefault="00E8036B" w:rsidP="003F7772">
      <w:pPr>
        <w:tabs>
          <w:tab w:val="left" w:pos="1418"/>
        </w:tabs>
        <w:spacing w:after="0" w:line="252" w:lineRule="auto"/>
        <w:ind w:left="1418" w:hanging="1418"/>
        <w:contextualSpacing/>
        <w:jc w:val="both"/>
        <w:rPr>
          <w:rFonts w:eastAsia="Calibri" w:cstheme="minorHAnsi"/>
          <w:b/>
          <w:sz w:val="24"/>
          <w:szCs w:val="24"/>
        </w:rPr>
      </w:pPr>
      <w:r>
        <w:rPr>
          <w:rFonts w:eastAsia="Calibri" w:cstheme="minorHAnsi"/>
          <w:b/>
          <w:color w:val="0070C0"/>
          <w:sz w:val="24"/>
          <w:szCs w:val="24"/>
        </w:rPr>
        <w:t>302,1 mil. Kč</w:t>
      </w:r>
      <w:r>
        <w:rPr>
          <w:rFonts w:eastAsia="Calibri" w:cstheme="minorHAnsi"/>
          <w:b/>
          <w:color w:val="0070C0"/>
          <w:sz w:val="24"/>
          <w:szCs w:val="24"/>
        </w:rPr>
        <w:tab/>
      </w:r>
      <w:r w:rsidRPr="001F4976">
        <w:rPr>
          <w:rFonts w:eastAsia="Calibri" w:cstheme="minorHAnsi"/>
          <w:b/>
          <w:sz w:val="24"/>
          <w:szCs w:val="24"/>
        </w:rPr>
        <w:t xml:space="preserve">náklady vynaložené ŘVC na přípravu </w:t>
      </w:r>
      <w:r w:rsidR="003F7772">
        <w:rPr>
          <w:rFonts w:eastAsia="Calibri" w:cstheme="minorHAnsi"/>
          <w:b/>
          <w:sz w:val="24"/>
          <w:szCs w:val="24"/>
        </w:rPr>
        <w:t xml:space="preserve">dosud nezahájeného </w:t>
      </w:r>
      <w:r w:rsidRPr="001F4976">
        <w:rPr>
          <w:rFonts w:eastAsia="Calibri" w:cstheme="minorHAnsi"/>
          <w:b/>
          <w:sz w:val="24"/>
          <w:szCs w:val="24"/>
        </w:rPr>
        <w:t xml:space="preserve">projektu </w:t>
      </w:r>
      <w:r w:rsidR="003F7772">
        <w:rPr>
          <w:rFonts w:eastAsia="Calibri" w:cstheme="minorHAnsi"/>
          <w:b/>
          <w:sz w:val="24"/>
          <w:szCs w:val="24"/>
        </w:rPr>
        <w:br/>
      </w:r>
      <w:r w:rsidRPr="001F4976">
        <w:rPr>
          <w:rFonts w:eastAsia="Calibri" w:cstheme="minorHAnsi"/>
          <w:b/>
          <w:sz w:val="24"/>
          <w:szCs w:val="24"/>
        </w:rPr>
        <w:t xml:space="preserve">„Plavební stupeň </w:t>
      </w:r>
      <w:r>
        <w:rPr>
          <w:rFonts w:eastAsia="Calibri" w:cstheme="minorHAnsi"/>
          <w:b/>
          <w:sz w:val="24"/>
          <w:szCs w:val="24"/>
        </w:rPr>
        <w:t>Přelouč II</w:t>
      </w:r>
      <w:r w:rsidRPr="001F4976">
        <w:rPr>
          <w:rFonts w:eastAsia="Calibri" w:cstheme="minorHAnsi"/>
          <w:b/>
          <w:sz w:val="24"/>
          <w:szCs w:val="24"/>
        </w:rPr>
        <w:t>“</w:t>
      </w:r>
    </w:p>
    <w:p w14:paraId="204ABD44" w14:textId="77777777" w:rsidR="00B404AE" w:rsidRDefault="00B404AE" w:rsidP="00B404AE">
      <w:pPr>
        <w:spacing w:after="0" w:line="252" w:lineRule="auto"/>
        <w:contextualSpacing/>
        <w:jc w:val="both"/>
        <w:rPr>
          <w:rFonts w:eastAsia="Calibri" w:cstheme="minorHAnsi"/>
          <w:sz w:val="24"/>
          <w:szCs w:val="24"/>
        </w:rPr>
      </w:pPr>
    </w:p>
    <w:p w14:paraId="6E4B986A" w14:textId="163DD55A" w:rsidR="007B5098" w:rsidRDefault="00E8036B" w:rsidP="00B90C66">
      <w:pPr>
        <w:spacing w:after="0" w:line="252" w:lineRule="auto"/>
        <w:contextualSpacing/>
        <w:jc w:val="both"/>
        <w:rPr>
          <w:sz w:val="24"/>
          <w:szCs w:val="24"/>
        </w:rPr>
      </w:pPr>
      <w:r w:rsidRPr="00655B00">
        <w:rPr>
          <w:sz w:val="24"/>
          <w:szCs w:val="24"/>
        </w:rPr>
        <w:t>V České republice bylo v</w:t>
      </w:r>
      <w:r w:rsidR="00E03331" w:rsidRPr="00655B00">
        <w:rPr>
          <w:sz w:val="24"/>
          <w:szCs w:val="24"/>
        </w:rPr>
        <w:t xml:space="preserve"> roce 2017 </w:t>
      </w:r>
      <w:r w:rsidRPr="00655B00">
        <w:rPr>
          <w:sz w:val="24"/>
          <w:szCs w:val="24"/>
        </w:rPr>
        <w:t xml:space="preserve">přepraveno </w:t>
      </w:r>
      <w:r w:rsidR="00F97C70" w:rsidRPr="00655B00">
        <w:rPr>
          <w:sz w:val="24"/>
          <w:szCs w:val="24"/>
        </w:rPr>
        <w:t xml:space="preserve">459,4 </w:t>
      </w:r>
      <w:r w:rsidRPr="00655B00">
        <w:rPr>
          <w:sz w:val="24"/>
          <w:szCs w:val="24"/>
        </w:rPr>
        <w:t>mil. tun zboží</w:t>
      </w:r>
      <w:r w:rsidR="008F6C3D" w:rsidRPr="008F6C3D">
        <w:rPr>
          <w:sz w:val="24"/>
          <w:szCs w:val="24"/>
        </w:rPr>
        <w:t xml:space="preserve"> </w:t>
      </w:r>
      <w:r w:rsidR="008F6C3D" w:rsidRPr="00655B00">
        <w:rPr>
          <w:sz w:val="24"/>
          <w:szCs w:val="24"/>
        </w:rPr>
        <w:t>po silnici</w:t>
      </w:r>
      <w:r w:rsidRPr="00655B00">
        <w:rPr>
          <w:sz w:val="24"/>
          <w:szCs w:val="24"/>
        </w:rPr>
        <w:t xml:space="preserve">, </w:t>
      </w:r>
      <w:r w:rsidR="00F97C70" w:rsidRPr="00655B00">
        <w:rPr>
          <w:sz w:val="24"/>
          <w:szCs w:val="24"/>
        </w:rPr>
        <w:t>96,5</w:t>
      </w:r>
      <w:r w:rsidR="00F97C70">
        <w:rPr>
          <w:sz w:val="24"/>
          <w:szCs w:val="24"/>
        </w:rPr>
        <w:t xml:space="preserve"> </w:t>
      </w:r>
      <w:r w:rsidRPr="00655B00">
        <w:rPr>
          <w:sz w:val="24"/>
          <w:szCs w:val="24"/>
        </w:rPr>
        <w:t xml:space="preserve">mil. tun zboží </w:t>
      </w:r>
      <w:r w:rsidR="008F6C3D" w:rsidRPr="00655B00">
        <w:rPr>
          <w:sz w:val="24"/>
          <w:szCs w:val="24"/>
        </w:rPr>
        <w:t xml:space="preserve">po železnici </w:t>
      </w:r>
      <w:r w:rsidRPr="00655B00">
        <w:rPr>
          <w:sz w:val="24"/>
          <w:szCs w:val="24"/>
        </w:rPr>
        <w:t xml:space="preserve">a </w:t>
      </w:r>
      <w:r w:rsidR="00E03331" w:rsidRPr="00655B00">
        <w:rPr>
          <w:sz w:val="24"/>
          <w:szCs w:val="24"/>
        </w:rPr>
        <w:t>1,6 mil. tun zboží</w:t>
      </w:r>
      <w:r w:rsidR="008F6C3D" w:rsidRPr="008F6C3D">
        <w:rPr>
          <w:sz w:val="24"/>
          <w:szCs w:val="24"/>
        </w:rPr>
        <w:t xml:space="preserve"> </w:t>
      </w:r>
      <w:r w:rsidR="008F6C3D" w:rsidRPr="00655B00">
        <w:rPr>
          <w:sz w:val="24"/>
          <w:szCs w:val="24"/>
        </w:rPr>
        <w:t>po vodních cestách</w:t>
      </w:r>
      <w:r w:rsidR="003E6DF0" w:rsidRPr="00655B00">
        <w:rPr>
          <w:sz w:val="24"/>
          <w:szCs w:val="24"/>
        </w:rPr>
        <w:t xml:space="preserve">. </w:t>
      </w:r>
      <w:r w:rsidR="00AB05CF" w:rsidRPr="00655B00">
        <w:rPr>
          <w:sz w:val="24"/>
          <w:szCs w:val="24"/>
        </w:rPr>
        <w:t xml:space="preserve">Podíl nákladní říční dopravy </w:t>
      </w:r>
      <w:r w:rsidR="00B90C66" w:rsidRPr="00655B00">
        <w:rPr>
          <w:sz w:val="24"/>
          <w:szCs w:val="24"/>
        </w:rPr>
        <w:t>na těchto přepravách zůstává velmi nízký.</w:t>
      </w:r>
      <w:r w:rsidRPr="00655B00">
        <w:rPr>
          <w:rStyle w:val="Znakapoznpodarou"/>
          <w:rFonts w:eastAsia="Calibri" w:cstheme="minorHAnsi"/>
          <w:sz w:val="24"/>
          <w:szCs w:val="24"/>
        </w:rPr>
        <w:footnoteReference w:id="1"/>
      </w:r>
    </w:p>
    <w:p w14:paraId="5D2E9DFB" w14:textId="77777777" w:rsidR="00B7645C" w:rsidRPr="00655B00" w:rsidRDefault="00B7645C" w:rsidP="00B90C66">
      <w:pPr>
        <w:spacing w:after="0" w:line="252" w:lineRule="auto"/>
        <w:contextualSpacing/>
        <w:jc w:val="both"/>
        <w:rPr>
          <w:rFonts w:eastAsia="Calibri" w:cstheme="minorHAnsi"/>
          <w:sz w:val="24"/>
          <w:szCs w:val="24"/>
        </w:rPr>
      </w:pPr>
    </w:p>
    <w:p w14:paraId="4C63CC7D" w14:textId="77777777" w:rsidR="00B7645C" w:rsidRDefault="00B7645C" w:rsidP="00B7645C">
      <w:pPr>
        <w:spacing w:after="0" w:line="252" w:lineRule="auto"/>
        <w:contextualSpacing/>
        <w:jc w:val="center"/>
        <w:rPr>
          <w:rFonts w:eastAsia="Calibri" w:cstheme="minorHAnsi"/>
          <w:b/>
          <w:color w:val="FFFFFF" w:themeColor="background1"/>
          <w:sz w:val="24"/>
          <w:szCs w:val="24"/>
          <w14:textFill>
            <w14:noFill/>
          </w14:textFill>
        </w:rPr>
      </w:pPr>
      <w:r>
        <w:rPr>
          <w:rFonts w:eastAsia="Calibri" w:cstheme="minorHAnsi"/>
          <w:b/>
          <w:noProof/>
          <w:color w:val="FFFFFF" w:themeColor="background1"/>
          <w:sz w:val="24"/>
          <w:szCs w:val="24"/>
          <w:lang w:eastAsia="cs-CZ"/>
        </w:rPr>
        <w:drawing>
          <wp:inline distT="0" distB="0" distL="0" distR="0" wp14:anchorId="2BA8A470" wp14:editId="7FB92C08">
            <wp:extent cx="5756910" cy="2179930"/>
            <wp:effectExtent l="0" t="0" r="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231BFB" w14:textId="77777777" w:rsidR="00BE541E" w:rsidRPr="00647AD2" w:rsidRDefault="00BE541E" w:rsidP="00B90C66">
      <w:pPr>
        <w:spacing w:after="0" w:line="252" w:lineRule="auto"/>
        <w:contextualSpacing/>
        <w:jc w:val="both"/>
        <w:rPr>
          <w:sz w:val="24"/>
          <w:szCs w:val="24"/>
        </w:rPr>
      </w:pPr>
    </w:p>
    <w:p w14:paraId="7793EBE9" w14:textId="12A94D9E" w:rsidR="003E6DF0" w:rsidRPr="00655B00" w:rsidRDefault="00E8036B" w:rsidP="003E6DF0">
      <w:pPr>
        <w:spacing w:after="0" w:line="252" w:lineRule="auto"/>
        <w:contextualSpacing/>
        <w:jc w:val="both"/>
        <w:rPr>
          <w:rFonts w:eastAsia="Calibri" w:cstheme="minorHAnsi"/>
          <w:sz w:val="20"/>
          <w:szCs w:val="20"/>
        </w:rPr>
      </w:pPr>
      <w:r w:rsidRPr="006B378D">
        <w:rPr>
          <w:rFonts w:eastAsia="Calibri" w:cstheme="minorHAnsi"/>
          <w:b/>
          <w:sz w:val="20"/>
          <w:szCs w:val="20"/>
        </w:rPr>
        <w:t>Zdroj:</w:t>
      </w:r>
      <w:r w:rsidRPr="00655B00">
        <w:rPr>
          <w:rFonts w:eastAsia="Calibri" w:cstheme="minorHAnsi"/>
          <w:sz w:val="20"/>
          <w:szCs w:val="20"/>
        </w:rPr>
        <w:t xml:space="preserve"> </w:t>
      </w:r>
      <w:r w:rsidR="000D4515">
        <w:rPr>
          <w:sz w:val="20"/>
          <w:szCs w:val="20"/>
        </w:rPr>
        <w:t>d</w:t>
      </w:r>
      <w:r w:rsidRPr="00655B00">
        <w:rPr>
          <w:sz w:val="20"/>
          <w:szCs w:val="20"/>
        </w:rPr>
        <w:t>opravní ročenk</w:t>
      </w:r>
      <w:r w:rsidR="00E85987" w:rsidRPr="00655B00">
        <w:rPr>
          <w:sz w:val="20"/>
          <w:szCs w:val="20"/>
        </w:rPr>
        <w:t>y</w:t>
      </w:r>
      <w:r w:rsidRPr="00655B00">
        <w:rPr>
          <w:sz w:val="20"/>
          <w:szCs w:val="20"/>
        </w:rPr>
        <w:t xml:space="preserve"> ČR 2015 a 2017</w:t>
      </w:r>
      <w:r w:rsidR="006B378D">
        <w:rPr>
          <w:sz w:val="20"/>
          <w:szCs w:val="20"/>
        </w:rPr>
        <w:t>.</w:t>
      </w:r>
    </w:p>
    <w:p w14:paraId="00CE449B" w14:textId="77777777" w:rsidR="00B404AE" w:rsidRDefault="00B404AE" w:rsidP="003E6DF0">
      <w:pPr>
        <w:spacing w:after="0" w:line="252" w:lineRule="auto"/>
        <w:contextualSpacing/>
        <w:jc w:val="both"/>
        <w:rPr>
          <w:rFonts w:eastAsia="Calibri" w:cstheme="minorHAnsi"/>
          <w:sz w:val="24"/>
          <w:szCs w:val="24"/>
        </w:rPr>
      </w:pPr>
    </w:p>
    <w:p w14:paraId="042AA4A3" w14:textId="77777777" w:rsidR="003E6DF0" w:rsidRDefault="00E8036B" w:rsidP="00E908AE">
      <w:pPr>
        <w:spacing w:after="0" w:line="252" w:lineRule="auto"/>
        <w:contextualSpacing/>
        <w:jc w:val="both"/>
        <w:rPr>
          <w:sz w:val="24"/>
          <w:szCs w:val="24"/>
        </w:rPr>
      </w:pPr>
      <w:r w:rsidRPr="00655B00">
        <w:rPr>
          <w:rFonts w:eastAsia="Calibri" w:cstheme="minorHAnsi"/>
          <w:sz w:val="24"/>
          <w:szCs w:val="24"/>
        </w:rPr>
        <w:t xml:space="preserve">Počet plavidel </w:t>
      </w:r>
      <w:r w:rsidRPr="00655B00">
        <w:rPr>
          <w:sz w:val="24"/>
          <w:szCs w:val="24"/>
        </w:rPr>
        <w:t xml:space="preserve">nákladní říční dopravy </w:t>
      </w:r>
      <w:r w:rsidR="00D76920" w:rsidRPr="00655B00">
        <w:rPr>
          <w:sz w:val="24"/>
          <w:szCs w:val="24"/>
        </w:rPr>
        <w:t>v letech</w:t>
      </w:r>
      <w:r w:rsidR="006C05C1" w:rsidRPr="00655B00">
        <w:rPr>
          <w:sz w:val="24"/>
          <w:szCs w:val="24"/>
        </w:rPr>
        <w:t xml:space="preserve"> 2010–2017 klesl </w:t>
      </w:r>
      <w:r w:rsidR="00D76920" w:rsidRPr="00655B00">
        <w:rPr>
          <w:sz w:val="24"/>
          <w:szCs w:val="24"/>
        </w:rPr>
        <w:t xml:space="preserve">skoro </w:t>
      </w:r>
      <w:r w:rsidR="006C05C1" w:rsidRPr="00655B00">
        <w:rPr>
          <w:sz w:val="24"/>
          <w:szCs w:val="24"/>
        </w:rPr>
        <w:t xml:space="preserve">o </w:t>
      </w:r>
      <w:r w:rsidR="003A19E2" w:rsidRPr="00655B00">
        <w:rPr>
          <w:sz w:val="24"/>
          <w:szCs w:val="24"/>
        </w:rPr>
        <w:t>třetinu</w:t>
      </w:r>
      <w:r w:rsidRPr="00655B00">
        <w:rPr>
          <w:sz w:val="24"/>
          <w:szCs w:val="24"/>
        </w:rPr>
        <w:t>.</w:t>
      </w:r>
      <w:r w:rsidR="006C05C1" w:rsidRPr="00655B00">
        <w:rPr>
          <w:sz w:val="24"/>
          <w:szCs w:val="24"/>
        </w:rPr>
        <w:t xml:space="preserve"> Téměř 90 % plavidel je starších 30 let.</w:t>
      </w:r>
    </w:p>
    <w:p w14:paraId="72FAA8C6" w14:textId="77777777" w:rsidR="007F549C" w:rsidRPr="00655B00" w:rsidRDefault="007F549C" w:rsidP="00E908AE">
      <w:pPr>
        <w:spacing w:after="0" w:line="252" w:lineRule="auto"/>
        <w:contextualSpacing/>
        <w:jc w:val="both"/>
        <w:rPr>
          <w:rFonts w:eastAsia="Calibri" w:cstheme="minorHAnsi"/>
          <w:sz w:val="24"/>
          <w:szCs w:val="24"/>
        </w:rPr>
      </w:pPr>
    </w:p>
    <w:p w14:paraId="1529BC09" w14:textId="77777777" w:rsidR="00547F0E" w:rsidRDefault="00E8036B" w:rsidP="00AA68D0">
      <w:pPr>
        <w:spacing w:after="0" w:line="252" w:lineRule="auto"/>
        <w:contextualSpacing/>
        <w:jc w:val="both"/>
        <w:rPr>
          <w:rFonts w:eastAsia="Calibri" w:cstheme="minorHAnsi"/>
          <w:b/>
          <w:color w:val="FFFFFF" w:themeColor="background1"/>
          <w:sz w:val="24"/>
          <w:szCs w:val="24"/>
          <w14:textFill>
            <w14:noFill/>
          </w14:textFill>
        </w:rPr>
      </w:pPr>
      <w:r>
        <w:rPr>
          <w:rFonts w:eastAsia="Calibri" w:cstheme="minorHAnsi"/>
          <w:b/>
          <w:noProof/>
          <w:color w:val="FFFFFF" w:themeColor="background1"/>
          <w:sz w:val="24"/>
          <w:szCs w:val="24"/>
          <w:lang w:eastAsia="cs-CZ"/>
        </w:rPr>
        <w:drawing>
          <wp:inline distT="0" distB="0" distL="0" distR="0" wp14:anchorId="0414E57E" wp14:editId="30B4BC36">
            <wp:extent cx="3143250" cy="1846580"/>
            <wp:effectExtent l="0" t="0" r="0" b="127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A12D5">
        <w:rPr>
          <w:rFonts w:eastAsia="Calibri" w:cstheme="minorHAnsi"/>
          <w:b/>
          <w:color w:val="FFFFFF" w:themeColor="background1"/>
          <w:sz w:val="24"/>
          <w:szCs w:val="24"/>
          <w14:textFill>
            <w14:noFill/>
          </w14:textFill>
        </w:rPr>
        <w:t xml:space="preserve"> </w:t>
      </w:r>
      <w:r w:rsidR="00655B00">
        <w:rPr>
          <w:rFonts w:eastAsia="Calibri" w:cstheme="minorHAnsi"/>
          <w:b/>
          <w:color w:val="FFFFFF" w:themeColor="background1"/>
          <w:sz w:val="24"/>
          <w:szCs w:val="24"/>
          <w14:textFill>
            <w14:noFill/>
          </w14:textFill>
        </w:rPr>
        <w:t xml:space="preserve">     </w:t>
      </w:r>
      <w:r w:rsidR="009A12D5">
        <w:rPr>
          <w:rFonts w:eastAsia="Calibri" w:cstheme="minorHAnsi"/>
          <w:b/>
          <w:color w:val="FFFFFF" w:themeColor="background1"/>
          <w:sz w:val="24"/>
          <w:szCs w:val="24"/>
          <w14:textFill>
            <w14:noFill/>
          </w14:textFill>
        </w:rPr>
        <w:t xml:space="preserve"> </w:t>
      </w:r>
      <w:r w:rsidR="009A12D5" w:rsidRPr="00421703">
        <w:rPr>
          <w:rFonts w:eastAsia="Calibri" w:cstheme="minorHAnsi"/>
          <w:b/>
          <w:noProof/>
          <w:color w:val="FFFFFF" w:themeColor="background1"/>
          <w:sz w:val="24"/>
          <w:szCs w:val="24"/>
          <w:lang w:eastAsia="cs-CZ"/>
        </w:rPr>
        <w:drawing>
          <wp:inline distT="0" distB="0" distL="0" distR="0" wp14:anchorId="20A52841" wp14:editId="40D569FA">
            <wp:extent cx="2425065" cy="1923898"/>
            <wp:effectExtent l="0" t="0" r="0" b="635"/>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1F627C" w14:textId="04137334" w:rsidR="00D76920" w:rsidRPr="00655B00" w:rsidRDefault="00E8036B" w:rsidP="00D76920">
      <w:pPr>
        <w:spacing w:after="0" w:line="252" w:lineRule="auto"/>
        <w:contextualSpacing/>
        <w:jc w:val="both"/>
        <w:rPr>
          <w:rFonts w:eastAsia="Calibri" w:cstheme="minorHAnsi"/>
          <w:sz w:val="20"/>
          <w:szCs w:val="20"/>
        </w:rPr>
      </w:pPr>
      <w:r w:rsidRPr="00435EF1">
        <w:rPr>
          <w:rFonts w:eastAsia="Calibri" w:cstheme="minorHAnsi"/>
          <w:b/>
          <w:sz w:val="20"/>
          <w:szCs w:val="20"/>
        </w:rPr>
        <w:t>Zdroj:</w:t>
      </w:r>
      <w:r w:rsidRPr="00655B00">
        <w:rPr>
          <w:rFonts w:eastAsia="Calibri" w:cstheme="minorHAnsi"/>
          <w:sz w:val="20"/>
          <w:szCs w:val="20"/>
        </w:rPr>
        <w:t xml:space="preserve"> </w:t>
      </w:r>
      <w:r w:rsidR="00724EE9">
        <w:rPr>
          <w:sz w:val="20"/>
          <w:szCs w:val="20"/>
        </w:rPr>
        <w:t>d</w:t>
      </w:r>
      <w:r w:rsidRPr="00655B00">
        <w:rPr>
          <w:sz w:val="20"/>
          <w:szCs w:val="20"/>
        </w:rPr>
        <w:t>opravní ročenk</w:t>
      </w:r>
      <w:r w:rsidR="00E85987" w:rsidRPr="00655B00">
        <w:rPr>
          <w:sz w:val="20"/>
          <w:szCs w:val="20"/>
        </w:rPr>
        <w:t>y</w:t>
      </w:r>
      <w:r w:rsidRPr="00655B00">
        <w:rPr>
          <w:sz w:val="20"/>
          <w:szCs w:val="20"/>
        </w:rPr>
        <w:t xml:space="preserve"> ČR 2015 a 2017</w:t>
      </w:r>
      <w:r w:rsidR="00783585">
        <w:rPr>
          <w:sz w:val="20"/>
          <w:szCs w:val="20"/>
        </w:rPr>
        <w:t>.</w:t>
      </w:r>
    </w:p>
    <w:p w14:paraId="3812183F" w14:textId="77777777" w:rsidR="00B12F25" w:rsidRDefault="00B12F25">
      <w:pPr>
        <w:rPr>
          <w:rFonts w:eastAsia="Times New Roman" w:cstheme="minorHAnsi"/>
          <w:b/>
          <w:kern w:val="36"/>
          <w:sz w:val="28"/>
          <w:szCs w:val="28"/>
          <w:lang w:eastAsia="cs-CZ"/>
        </w:rPr>
      </w:pPr>
      <w:r>
        <w:rPr>
          <w:rFonts w:cstheme="minorHAnsi"/>
          <w:sz w:val="28"/>
          <w:szCs w:val="28"/>
        </w:rPr>
        <w:br w:type="page"/>
      </w:r>
    </w:p>
    <w:p w14:paraId="293903A0" w14:textId="77777777" w:rsidR="00573679" w:rsidRPr="004E5FE7" w:rsidRDefault="00B12F25" w:rsidP="00B12F25">
      <w:pPr>
        <w:pStyle w:val="Nadpis1"/>
        <w:spacing w:before="0" w:after="0" w:line="252" w:lineRule="auto"/>
        <w:ind w:left="360"/>
        <w:contextualSpacing/>
        <w:jc w:val="center"/>
        <w:rPr>
          <w:rFonts w:asciiTheme="minorHAnsi" w:hAnsiTheme="minorHAnsi" w:cstheme="minorHAnsi"/>
          <w:sz w:val="28"/>
          <w:szCs w:val="28"/>
        </w:rPr>
      </w:pPr>
      <w:r>
        <w:rPr>
          <w:rFonts w:asciiTheme="minorHAnsi" w:hAnsiTheme="minorHAnsi" w:cstheme="minorHAnsi"/>
          <w:sz w:val="28"/>
          <w:szCs w:val="28"/>
        </w:rPr>
        <w:lastRenderedPageBreak/>
        <w:t xml:space="preserve">I. </w:t>
      </w:r>
      <w:r w:rsidR="00E8036B">
        <w:rPr>
          <w:rFonts w:asciiTheme="minorHAnsi" w:hAnsiTheme="minorHAnsi" w:cstheme="minorHAnsi"/>
          <w:sz w:val="28"/>
          <w:szCs w:val="28"/>
        </w:rPr>
        <w:t>S</w:t>
      </w:r>
      <w:r w:rsidR="00E8036B" w:rsidRPr="004E5FE7">
        <w:rPr>
          <w:rFonts w:asciiTheme="minorHAnsi" w:hAnsiTheme="minorHAnsi" w:cstheme="minorHAnsi"/>
          <w:sz w:val="28"/>
          <w:szCs w:val="28"/>
        </w:rPr>
        <w:t>hrnutí a vyhodnocení</w:t>
      </w:r>
    </w:p>
    <w:p w14:paraId="0B4CE9B2" w14:textId="77777777" w:rsidR="00573679" w:rsidRPr="007F549C" w:rsidRDefault="00573679" w:rsidP="003C2F39">
      <w:pPr>
        <w:tabs>
          <w:tab w:val="left" w:pos="284"/>
        </w:tabs>
        <w:spacing w:after="0" w:line="264" w:lineRule="auto"/>
        <w:rPr>
          <w:sz w:val="24"/>
        </w:rPr>
      </w:pPr>
    </w:p>
    <w:p w14:paraId="20ADF99A" w14:textId="79374C55" w:rsidR="00275EBD" w:rsidRDefault="00E8036B" w:rsidP="003C2F39">
      <w:pPr>
        <w:pStyle w:val="Odstavecseseznamem"/>
        <w:numPr>
          <w:ilvl w:val="0"/>
          <w:numId w:val="31"/>
        </w:numPr>
        <w:tabs>
          <w:tab w:val="left" w:pos="284"/>
        </w:tabs>
        <w:autoSpaceDE w:val="0"/>
        <w:autoSpaceDN w:val="0"/>
        <w:adjustRightInd w:val="0"/>
        <w:spacing w:after="0" w:line="264" w:lineRule="auto"/>
        <w:ind w:left="0" w:firstLine="0"/>
        <w:contextualSpacing w:val="0"/>
        <w:jc w:val="both"/>
        <w:rPr>
          <w:rFonts w:eastAsia="Calibri" w:cstheme="minorHAnsi"/>
          <w:b/>
          <w:sz w:val="24"/>
          <w:szCs w:val="24"/>
        </w:rPr>
      </w:pPr>
      <w:r w:rsidRPr="00275EBD">
        <w:rPr>
          <w:rFonts w:eastAsia="Calibri" w:cstheme="minorHAnsi"/>
          <w:b/>
          <w:sz w:val="24"/>
          <w:szCs w:val="24"/>
        </w:rPr>
        <w:t>C</w:t>
      </w:r>
      <w:r w:rsidR="00D76920" w:rsidRPr="00275EBD">
        <w:rPr>
          <w:rFonts w:eastAsia="Calibri" w:cstheme="minorHAnsi"/>
          <w:b/>
          <w:sz w:val="24"/>
          <w:szCs w:val="24"/>
        </w:rPr>
        <w:t xml:space="preserve">íle stanovené pro oblast vodní dopravy </w:t>
      </w:r>
      <w:r w:rsidR="008C3EB3">
        <w:rPr>
          <w:rFonts w:eastAsia="Calibri" w:cstheme="minorHAnsi"/>
          <w:b/>
          <w:sz w:val="24"/>
          <w:szCs w:val="24"/>
        </w:rPr>
        <w:t>d</w:t>
      </w:r>
      <w:r w:rsidR="00D76920" w:rsidRPr="00275EBD">
        <w:rPr>
          <w:rFonts w:eastAsia="Calibri" w:cstheme="minorHAnsi"/>
          <w:b/>
          <w:sz w:val="24"/>
          <w:szCs w:val="24"/>
        </w:rPr>
        <w:t xml:space="preserve">opravní politikou a na ni navazujícími dokumenty </w:t>
      </w:r>
      <w:r w:rsidR="002E09AC" w:rsidRPr="00675FE4">
        <w:rPr>
          <w:rFonts w:eastAsia="Calibri" w:cstheme="minorHAnsi"/>
          <w:b/>
          <w:sz w:val="24"/>
          <w:szCs w:val="24"/>
        </w:rPr>
        <w:t xml:space="preserve">MD </w:t>
      </w:r>
      <w:r w:rsidR="00D76920" w:rsidRPr="00675FE4">
        <w:rPr>
          <w:rFonts w:eastAsia="Calibri" w:cstheme="minorHAnsi"/>
          <w:b/>
          <w:sz w:val="24"/>
          <w:szCs w:val="24"/>
        </w:rPr>
        <w:t xml:space="preserve">nejsou plněny. Podíl nákladní vodní dopravy na celkovém objemu přeprav zůstává </w:t>
      </w:r>
      <w:r w:rsidR="002E09AC" w:rsidRPr="00675FE4">
        <w:rPr>
          <w:rFonts w:eastAsia="Calibri" w:cstheme="minorHAnsi"/>
          <w:b/>
          <w:sz w:val="24"/>
          <w:szCs w:val="24"/>
        </w:rPr>
        <w:t>nízký</w:t>
      </w:r>
      <w:r w:rsidR="00B404AE" w:rsidRPr="00675FE4">
        <w:rPr>
          <w:rFonts w:eastAsia="Calibri" w:cstheme="minorHAnsi"/>
          <w:b/>
          <w:sz w:val="24"/>
          <w:szCs w:val="24"/>
        </w:rPr>
        <w:t xml:space="preserve">. K </w:t>
      </w:r>
      <w:r w:rsidR="00D76920" w:rsidRPr="00675FE4">
        <w:rPr>
          <w:rFonts w:eastAsia="Calibri" w:cstheme="minorHAnsi"/>
          <w:b/>
          <w:sz w:val="24"/>
          <w:szCs w:val="24"/>
        </w:rPr>
        <w:t>převodu části přeprav ze silnice na vodní cesty nedochází.</w:t>
      </w:r>
      <w:r w:rsidR="00687476" w:rsidRPr="00675FE4">
        <w:rPr>
          <w:rFonts w:eastAsia="Calibri" w:cstheme="minorHAnsi"/>
          <w:b/>
          <w:sz w:val="24"/>
          <w:szCs w:val="24"/>
        </w:rPr>
        <w:t xml:space="preserve"> </w:t>
      </w:r>
      <w:r w:rsidR="008F6C3D" w:rsidRPr="00675FE4">
        <w:rPr>
          <w:rFonts w:eastAsia="Calibri" w:cstheme="minorHAnsi"/>
          <w:b/>
          <w:sz w:val="24"/>
          <w:szCs w:val="24"/>
        </w:rPr>
        <w:t xml:space="preserve">Peněžní prostředky poskytované na rozvoj vodních cest a podporu nákladní vodní dopravy proto NKÚ nepovažuje </w:t>
      </w:r>
      <w:r w:rsidR="00F90846">
        <w:rPr>
          <w:rFonts w:eastAsia="Calibri" w:cstheme="minorHAnsi"/>
          <w:b/>
          <w:sz w:val="24"/>
          <w:szCs w:val="24"/>
        </w:rPr>
        <w:t xml:space="preserve">ve vztahu ke stanoveným cílům </w:t>
      </w:r>
      <w:r w:rsidR="008F6C3D" w:rsidRPr="00675FE4">
        <w:rPr>
          <w:rFonts w:eastAsia="Calibri" w:cstheme="minorHAnsi"/>
          <w:b/>
          <w:sz w:val="24"/>
          <w:szCs w:val="24"/>
        </w:rPr>
        <w:t>za účelně a efektivně vynaložené.</w:t>
      </w:r>
    </w:p>
    <w:p w14:paraId="4D4D5BAA" w14:textId="77777777" w:rsidR="00F237D1" w:rsidRPr="00675FE4" w:rsidRDefault="00F237D1" w:rsidP="003C2F39">
      <w:pPr>
        <w:tabs>
          <w:tab w:val="left" w:pos="284"/>
        </w:tabs>
        <w:autoSpaceDE w:val="0"/>
        <w:autoSpaceDN w:val="0"/>
        <w:adjustRightInd w:val="0"/>
        <w:spacing w:after="0" w:line="264" w:lineRule="auto"/>
        <w:jc w:val="both"/>
        <w:rPr>
          <w:rFonts w:eastAsia="Calibri" w:cstheme="minorHAnsi"/>
          <w:b/>
          <w:sz w:val="24"/>
          <w:szCs w:val="24"/>
        </w:rPr>
      </w:pPr>
    </w:p>
    <w:p w14:paraId="2BC276FB" w14:textId="29A9092A" w:rsidR="0017798A" w:rsidRDefault="00E8036B" w:rsidP="003C2F39">
      <w:pPr>
        <w:pStyle w:val="Odstavecseseznamem"/>
        <w:numPr>
          <w:ilvl w:val="0"/>
          <w:numId w:val="31"/>
        </w:numPr>
        <w:tabs>
          <w:tab w:val="left" w:pos="284"/>
        </w:tabs>
        <w:autoSpaceDE w:val="0"/>
        <w:autoSpaceDN w:val="0"/>
        <w:adjustRightInd w:val="0"/>
        <w:spacing w:after="0" w:line="264" w:lineRule="auto"/>
        <w:ind w:left="0" w:firstLine="0"/>
        <w:contextualSpacing w:val="0"/>
        <w:jc w:val="both"/>
        <w:rPr>
          <w:rFonts w:eastAsia="Calibri" w:cstheme="minorHAnsi"/>
          <w:b/>
          <w:sz w:val="24"/>
          <w:szCs w:val="24"/>
        </w:rPr>
      </w:pPr>
      <w:r w:rsidRPr="00675FE4">
        <w:rPr>
          <w:rFonts w:eastAsia="Calibri" w:cstheme="minorHAnsi"/>
          <w:b/>
          <w:sz w:val="24"/>
          <w:szCs w:val="24"/>
        </w:rPr>
        <w:t xml:space="preserve">Hlavní příčinou </w:t>
      </w:r>
      <w:r w:rsidR="009B649B" w:rsidRPr="00675FE4">
        <w:rPr>
          <w:rFonts w:eastAsia="Calibri" w:cstheme="minorHAnsi"/>
          <w:b/>
          <w:sz w:val="24"/>
          <w:szCs w:val="24"/>
        </w:rPr>
        <w:t>poklesu</w:t>
      </w:r>
      <w:r w:rsidRPr="00675FE4">
        <w:rPr>
          <w:rFonts w:eastAsia="Calibri" w:cstheme="minorHAnsi"/>
          <w:b/>
          <w:sz w:val="24"/>
          <w:szCs w:val="24"/>
        </w:rPr>
        <w:t xml:space="preserve"> </w:t>
      </w:r>
      <w:r w:rsidR="008F6C3D" w:rsidRPr="00675FE4">
        <w:rPr>
          <w:rFonts w:eastAsia="Calibri" w:cstheme="minorHAnsi"/>
          <w:b/>
          <w:sz w:val="24"/>
          <w:szCs w:val="24"/>
        </w:rPr>
        <w:t xml:space="preserve">nákladní </w:t>
      </w:r>
      <w:r w:rsidRPr="00675FE4">
        <w:rPr>
          <w:rFonts w:eastAsia="Calibri" w:cstheme="minorHAnsi"/>
          <w:b/>
          <w:sz w:val="24"/>
          <w:szCs w:val="24"/>
        </w:rPr>
        <w:t xml:space="preserve">vodní dopravy a překážkou pro její rozvoj je </w:t>
      </w:r>
      <w:r w:rsidR="00B9368E" w:rsidRPr="00675FE4">
        <w:rPr>
          <w:rFonts w:eastAsia="Calibri" w:cstheme="minorHAnsi"/>
          <w:b/>
          <w:sz w:val="24"/>
          <w:szCs w:val="24"/>
        </w:rPr>
        <w:t xml:space="preserve">především </w:t>
      </w:r>
      <w:r w:rsidRPr="00675FE4">
        <w:rPr>
          <w:rFonts w:eastAsia="Calibri" w:cstheme="minorHAnsi"/>
          <w:b/>
          <w:sz w:val="24"/>
          <w:szCs w:val="24"/>
        </w:rPr>
        <w:t>nedostatečná spolehlivost splavnosti labsko-vltavské vodní cesty v</w:t>
      </w:r>
      <w:r w:rsidR="00485A27">
        <w:rPr>
          <w:rFonts w:eastAsia="Calibri" w:cstheme="minorHAnsi"/>
          <w:b/>
          <w:sz w:val="24"/>
          <w:szCs w:val="24"/>
        </w:rPr>
        <w:t> </w:t>
      </w:r>
      <w:r w:rsidRPr="00675FE4">
        <w:rPr>
          <w:rFonts w:eastAsia="Calibri" w:cstheme="minorHAnsi"/>
          <w:b/>
          <w:sz w:val="24"/>
          <w:szCs w:val="24"/>
        </w:rPr>
        <w:t>úseku</w:t>
      </w:r>
      <w:r w:rsidR="00146FE7">
        <w:rPr>
          <w:rFonts w:eastAsia="Calibri" w:cstheme="minorHAnsi"/>
          <w:b/>
          <w:sz w:val="24"/>
          <w:szCs w:val="24"/>
        </w:rPr>
        <w:t xml:space="preserve"> </w:t>
      </w:r>
      <w:r w:rsidRPr="00675FE4">
        <w:rPr>
          <w:rFonts w:eastAsia="Calibri" w:cstheme="minorHAnsi"/>
          <w:b/>
          <w:sz w:val="24"/>
          <w:szCs w:val="24"/>
        </w:rPr>
        <w:t>Ústí n</w:t>
      </w:r>
      <w:r w:rsidR="00146FE7">
        <w:rPr>
          <w:rFonts w:eastAsia="Calibri" w:cstheme="minorHAnsi"/>
          <w:b/>
          <w:sz w:val="24"/>
          <w:szCs w:val="24"/>
        </w:rPr>
        <w:t xml:space="preserve">ad </w:t>
      </w:r>
      <w:r w:rsidRPr="00675FE4">
        <w:rPr>
          <w:rFonts w:eastAsia="Calibri" w:cstheme="minorHAnsi"/>
          <w:b/>
          <w:sz w:val="24"/>
          <w:szCs w:val="24"/>
        </w:rPr>
        <w:t>L</w:t>
      </w:r>
      <w:r w:rsidR="00146FE7">
        <w:rPr>
          <w:rFonts w:eastAsia="Calibri" w:cstheme="minorHAnsi"/>
          <w:b/>
          <w:sz w:val="24"/>
          <w:szCs w:val="24"/>
        </w:rPr>
        <w:t>abem</w:t>
      </w:r>
      <w:r w:rsidR="003C6FCC">
        <w:rPr>
          <w:rFonts w:eastAsia="Calibri" w:cstheme="minorHAnsi"/>
          <w:b/>
          <w:sz w:val="24"/>
          <w:szCs w:val="24"/>
        </w:rPr>
        <w:t> </w:t>
      </w:r>
      <w:r w:rsidRPr="00675FE4">
        <w:rPr>
          <w:rFonts w:eastAsia="Calibri" w:cstheme="minorHAnsi"/>
          <w:b/>
          <w:sz w:val="24"/>
          <w:szCs w:val="24"/>
        </w:rPr>
        <w:t xml:space="preserve">– státní hranice. </w:t>
      </w:r>
      <w:r w:rsidR="00391B02" w:rsidRPr="00675FE4">
        <w:rPr>
          <w:rFonts w:eastAsia="Calibri" w:cstheme="minorHAnsi"/>
          <w:b/>
          <w:sz w:val="24"/>
          <w:szCs w:val="24"/>
        </w:rPr>
        <w:t>Řešením je podle MD výstavba plavebního stupně v</w:t>
      </w:r>
      <w:r w:rsidR="0017798A">
        <w:rPr>
          <w:rFonts w:eastAsia="Calibri" w:cstheme="minorHAnsi"/>
          <w:b/>
          <w:sz w:val="24"/>
          <w:szCs w:val="24"/>
        </w:rPr>
        <w:t> </w:t>
      </w:r>
      <w:r w:rsidR="00391B02" w:rsidRPr="00675FE4">
        <w:rPr>
          <w:rFonts w:eastAsia="Calibri" w:cstheme="minorHAnsi"/>
          <w:b/>
          <w:sz w:val="24"/>
          <w:szCs w:val="24"/>
        </w:rPr>
        <w:t>Děčíně</w:t>
      </w:r>
      <w:r w:rsidR="0017798A">
        <w:rPr>
          <w:rFonts w:eastAsia="Calibri" w:cstheme="minorHAnsi"/>
          <w:b/>
          <w:sz w:val="24"/>
          <w:szCs w:val="24"/>
        </w:rPr>
        <w:t>.</w:t>
      </w:r>
      <w:r w:rsidR="00D97525" w:rsidRPr="00675FE4">
        <w:rPr>
          <w:rFonts w:eastAsia="Calibri" w:cstheme="minorHAnsi"/>
          <w:b/>
          <w:sz w:val="24"/>
          <w:szCs w:val="24"/>
        </w:rPr>
        <w:t xml:space="preserve"> </w:t>
      </w:r>
      <w:r w:rsidR="0017798A" w:rsidRPr="00675FE4">
        <w:rPr>
          <w:rFonts w:eastAsia="Calibri" w:cstheme="minorHAnsi"/>
          <w:b/>
          <w:sz w:val="24"/>
          <w:szCs w:val="24"/>
        </w:rPr>
        <w:t>S</w:t>
      </w:r>
      <w:r w:rsidR="0017798A">
        <w:rPr>
          <w:rFonts w:eastAsia="Calibri" w:cstheme="minorHAnsi"/>
          <w:b/>
          <w:sz w:val="24"/>
          <w:szCs w:val="24"/>
        </w:rPr>
        <w:t> touto stavbou</w:t>
      </w:r>
      <w:r w:rsidR="00146FE7">
        <w:rPr>
          <w:rFonts w:eastAsia="Calibri" w:cstheme="minorHAnsi"/>
          <w:b/>
          <w:sz w:val="24"/>
          <w:szCs w:val="24"/>
        </w:rPr>
        <w:t xml:space="preserve"> </w:t>
      </w:r>
      <w:r w:rsidR="00D97525" w:rsidRPr="00675FE4">
        <w:rPr>
          <w:rFonts w:eastAsia="Calibri" w:cstheme="minorHAnsi"/>
          <w:b/>
          <w:sz w:val="24"/>
          <w:szCs w:val="24"/>
        </w:rPr>
        <w:t>však</w:t>
      </w:r>
      <w:r w:rsidR="00391B02" w:rsidRPr="00675FE4">
        <w:rPr>
          <w:rFonts w:eastAsia="Calibri" w:cstheme="minorHAnsi"/>
          <w:b/>
          <w:sz w:val="24"/>
          <w:szCs w:val="24"/>
        </w:rPr>
        <w:t xml:space="preserve"> Ministerstvo životního prostředí</w:t>
      </w:r>
      <w:r w:rsidR="00391B02" w:rsidRPr="00B107BD">
        <w:rPr>
          <w:rFonts w:eastAsia="Calibri" w:cstheme="minorHAnsi"/>
          <w:b/>
          <w:sz w:val="24"/>
          <w:szCs w:val="24"/>
        </w:rPr>
        <w:t xml:space="preserve"> </w:t>
      </w:r>
      <w:r w:rsidR="00D97525" w:rsidRPr="00B107BD">
        <w:rPr>
          <w:rFonts w:eastAsia="Calibri" w:cstheme="minorHAnsi"/>
          <w:b/>
          <w:sz w:val="24"/>
          <w:szCs w:val="24"/>
        </w:rPr>
        <w:t>(dále také „MŽP“)</w:t>
      </w:r>
      <w:r w:rsidR="00D97525" w:rsidRPr="00675FE4">
        <w:rPr>
          <w:rFonts w:eastAsia="Calibri" w:cstheme="minorHAnsi"/>
          <w:b/>
          <w:sz w:val="24"/>
          <w:szCs w:val="24"/>
        </w:rPr>
        <w:t xml:space="preserve"> </w:t>
      </w:r>
      <w:r w:rsidR="00391B02" w:rsidRPr="00675FE4">
        <w:rPr>
          <w:rFonts w:eastAsia="Calibri" w:cstheme="minorHAnsi"/>
          <w:b/>
          <w:sz w:val="24"/>
          <w:szCs w:val="24"/>
        </w:rPr>
        <w:t>nesouhlasí.</w:t>
      </w:r>
      <w:r w:rsidR="00D97525" w:rsidRPr="00675FE4">
        <w:rPr>
          <w:rFonts w:eastAsia="Calibri" w:cstheme="minorHAnsi"/>
          <w:b/>
          <w:sz w:val="24"/>
          <w:szCs w:val="24"/>
        </w:rPr>
        <w:t xml:space="preserve"> </w:t>
      </w:r>
    </w:p>
    <w:p w14:paraId="5E5B3613" w14:textId="77777777" w:rsidR="00BB2EDC" w:rsidRDefault="00BB2EDC" w:rsidP="003C2F39">
      <w:pPr>
        <w:pStyle w:val="Odstavecseseznamem"/>
        <w:tabs>
          <w:tab w:val="left" w:pos="284"/>
        </w:tabs>
        <w:autoSpaceDE w:val="0"/>
        <w:autoSpaceDN w:val="0"/>
        <w:adjustRightInd w:val="0"/>
        <w:spacing w:after="0" w:line="264" w:lineRule="auto"/>
        <w:ind w:left="0"/>
        <w:contextualSpacing w:val="0"/>
        <w:jc w:val="both"/>
        <w:rPr>
          <w:rFonts w:eastAsia="Calibri" w:cstheme="minorHAnsi"/>
          <w:b/>
          <w:sz w:val="24"/>
          <w:szCs w:val="24"/>
        </w:rPr>
      </w:pPr>
    </w:p>
    <w:p w14:paraId="6C366E43" w14:textId="77777777" w:rsidR="00F237D1" w:rsidRPr="0017798A" w:rsidRDefault="00E8036B" w:rsidP="003C2F39">
      <w:pPr>
        <w:pStyle w:val="Odstavecseseznamem"/>
        <w:tabs>
          <w:tab w:val="left" w:pos="284"/>
        </w:tabs>
        <w:autoSpaceDE w:val="0"/>
        <w:autoSpaceDN w:val="0"/>
        <w:adjustRightInd w:val="0"/>
        <w:spacing w:after="0" w:line="264" w:lineRule="auto"/>
        <w:ind w:left="0"/>
        <w:contextualSpacing w:val="0"/>
        <w:jc w:val="both"/>
        <w:rPr>
          <w:rFonts w:eastAsia="Calibri" w:cstheme="minorHAnsi"/>
          <w:b/>
          <w:sz w:val="24"/>
          <w:szCs w:val="24"/>
        </w:rPr>
      </w:pPr>
      <w:r w:rsidRPr="0017798A">
        <w:rPr>
          <w:rFonts w:eastAsia="Calibri" w:cstheme="minorHAnsi"/>
          <w:b/>
          <w:sz w:val="24"/>
          <w:szCs w:val="24"/>
        </w:rPr>
        <w:t xml:space="preserve">Proces posuzování vlivů </w:t>
      </w:r>
      <w:r w:rsidR="00D97525" w:rsidRPr="0017798A">
        <w:rPr>
          <w:rFonts w:eastAsia="Calibri" w:cstheme="minorHAnsi"/>
          <w:b/>
          <w:sz w:val="24"/>
          <w:szCs w:val="24"/>
        </w:rPr>
        <w:t xml:space="preserve">tohoto </w:t>
      </w:r>
      <w:r w:rsidR="00CF470C" w:rsidRPr="0017798A">
        <w:rPr>
          <w:rFonts w:eastAsia="Calibri" w:cstheme="minorHAnsi"/>
          <w:b/>
          <w:sz w:val="24"/>
          <w:szCs w:val="24"/>
        </w:rPr>
        <w:t>projektu</w:t>
      </w:r>
      <w:r w:rsidRPr="0017798A">
        <w:rPr>
          <w:rFonts w:eastAsia="Calibri" w:cstheme="minorHAnsi"/>
          <w:b/>
          <w:sz w:val="24"/>
          <w:szCs w:val="24"/>
        </w:rPr>
        <w:t xml:space="preserve"> na životní prostředí </w:t>
      </w:r>
      <w:r w:rsidRPr="00B107BD">
        <w:rPr>
          <w:rFonts w:eastAsia="Calibri" w:cstheme="minorHAnsi"/>
          <w:b/>
          <w:sz w:val="24"/>
          <w:szCs w:val="24"/>
        </w:rPr>
        <w:t>(EIA)</w:t>
      </w:r>
      <w:r w:rsidRPr="0017798A">
        <w:rPr>
          <w:rFonts w:eastAsia="Calibri" w:cstheme="minorHAnsi"/>
          <w:b/>
          <w:sz w:val="24"/>
          <w:szCs w:val="24"/>
        </w:rPr>
        <w:t xml:space="preserve"> byl zahájen již v roce 2005</w:t>
      </w:r>
      <w:r w:rsidR="0058483C" w:rsidRPr="0017798A">
        <w:rPr>
          <w:rFonts w:eastAsia="Calibri" w:cstheme="minorHAnsi"/>
          <w:b/>
          <w:sz w:val="24"/>
          <w:szCs w:val="24"/>
        </w:rPr>
        <w:t>. P</w:t>
      </w:r>
      <w:r w:rsidR="00D97525" w:rsidRPr="0017798A">
        <w:rPr>
          <w:rFonts w:eastAsia="Calibri" w:cstheme="minorHAnsi"/>
          <w:b/>
          <w:sz w:val="24"/>
          <w:szCs w:val="24"/>
        </w:rPr>
        <w:t>o 14 letech a vyn</w:t>
      </w:r>
      <w:r w:rsidR="0058483C" w:rsidRPr="0017798A">
        <w:rPr>
          <w:rFonts w:eastAsia="Calibri" w:cstheme="minorHAnsi"/>
          <w:b/>
          <w:sz w:val="24"/>
          <w:szCs w:val="24"/>
        </w:rPr>
        <w:t xml:space="preserve">aložení částky 625,7 mil. Kč </w:t>
      </w:r>
      <w:r w:rsidR="006F18D4" w:rsidRPr="0017798A">
        <w:rPr>
          <w:rFonts w:eastAsia="Calibri" w:cstheme="minorHAnsi"/>
          <w:b/>
          <w:sz w:val="24"/>
          <w:szCs w:val="24"/>
        </w:rPr>
        <w:t xml:space="preserve">stále </w:t>
      </w:r>
      <w:r w:rsidR="00D97525" w:rsidRPr="0017798A">
        <w:rPr>
          <w:rFonts w:eastAsia="Calibri" w:cstheme="minorHAnsi"/>
          <w:b/>
          <w:sz w:val="24"/>
          <w:szCs w:val="24"/>
        </w:rPr>
        <w:t>ne</w:t>
      </w:r>
      <w:r w:rsidR="0058483C" w:rsidRPr="0017798A">
        <w:rPr>
          <w:rFonts w:eastAsia="Calibri" w:cstheme="minorHAnsi"/>
          <w:b/>
          <w:sz w:val="24"/>
          <w:szCs w:val="24"/>
        </w:rPr>
        <w:t>ní</w:t>
      </w:r>
      <w:r w:rsidR="00D97525" w:rsidRPr="0017798A">
        <w:rPr>
          <w:rFonts w:eastAsia="Calibri" w:cstheme="minorHAnsi"/>
          <w:b/>
          <w:sz w:val="24"/>
          <w:szCs w:val="24"/>
        </w:rPr>
        <w:t xml:space="preserve"> dokončen</w:t>
      </w:r>
      <w:r w:rsidR="0017798A">
        <w:rPr>
          <w:rFonts w:eastAsia="Calibri" w:cstheme="minorHAnsi"/>
          <w:b/>
          <w:sz w:val="24"/>
          <w:szCs w:val="24"/>
        </w:rPr>
        <w:t>.</w:t>
      </w:r>
      <w:r w:rsidR="0058483C" w:rsidRPr="0017798A">
        <w:rPr>
          <w:rFonts w:eastAsia="Calibri" w:cstheme="minorHAnsi"/>
          <w:b/>
          <w:sz w:val="24"/>
          <w:szCs w:val="24"/>
        </w:rPr>
        <w:t xml:space="preserve"> </w:t>
      </w:r>
      <w:r w:rsidR="0017798A">
        <w:rPr>
          <w:rFonts w:eastAsia="Calibri" w:cstheme="minorHAnsi"/>
          <w:b/>
          <w:sz w:val="24"/>
          <w:szCs w:val="24"/>
        </w:rPr>
        <w:t>N</w:t>
      </w:r>
      <w:r w:rsidR="00485A27">
        <w:rPr>
          <w:rFonts w:eastAsia="Calibri" w:cstheme="minorHAnsi"/>
          <w:b/>
          <w:sz w:val="24"/>
          <w:szCs w:val="24"/>
        </w:rPr>
        <w:t>ázory MD a </w:t>
      </w:r>
      <w:r w:rsidR="00D97525" w:rsidRPr="0017798A">
        <w:rPr>
          <w:rFonts w:eastAsia="Calibri" w:cstheme="minorHAnsi"/>
          <w:b/>
          <w:sz w:val="24"/>
          <w:szCs w:val="24"/>
        </w:rPr>
        <w:t>MŽP na</w:t>
      </w:r>
      <w:r w:rsidR="0017798A" w:rsidRPr="0017798A">
        <w:rPr>
          <w:rFonts w:eastAsia="Calibri" w:cstheme="minorHAnsi"/>
          <w:b/>
          <w:sz w:val="24"/>
          <w:szCs w:val="24"/>
        </w:rPr>
        <w:t xml:space="preserve"> </w:t>
      </w:r>
      <w:r w:rsidR="0017798A" w:rsidRPr="00675FE4">
        <w:rPr>
          <w:rFonts w:eastAsia="Calibri" w:cstheme="minorHAnsi"/>
          <w:b/>
          <w:sz w:val="24"/>
          <w:szCs w:val="24"/>
        </w:rPr>
        <w:t>výstavb</w:t>
      </w:r>
      <w:r w:rsidR="0017798A">
        <w:rPr>
          <w:rFonts w:eastAsia="Calibri" w:cstheme="minorHAnsi"/>
          <w:b/>
          <w:sz w:val="24"/>
          <w:szCs w:val="24"/>
        </w:rPr>
        <w:t>u</w:t>
      </w:r>
      <w:r w:rsidR="0017798A" w:rsidRPr="00675FE4">
        <w:rPr>
          <w:rFonts w:eastAsia="Calibri" w:cstheme="minorHAnsi"/>
          <w:b/>
          <w:sz w:val="24"/>
          <w:szCs w:val="24"/>
        </w:rPr>
        <w:t xml:space="preserve"> plavebního stupně v</w:t>
      </w:r>
      <w:r w:rsidR="0017798A">
        <w:rPr>
          <w:rFonts w:eastAsia="Calibri" w:cstheme="minorHAnsi"/>
          <w:b/>
          <w:sz w:val="24"/>
          <w:szCs w:val="24"/>
        </w:rPr>
        <w:t> </w:t>
      </w:r>
      <w:r w:rsidR="0017798A" w:rsidRPr="00675FE4">
        <w:rPr>
          <w:rFonts w:eastAsia="Calibri" w:cstheme="minorHAnsi"/>
          <w:b/>
          <w:sz w:val="24"/>
          <w:szCs w:val="24"/>
        </w:rPr>
        <w:t>Děčíně</w:t>
      </w:r>
      <w:r w:rsidR="00D97525" w:rsidRPr="0017798A">
        <w:rPr>
          <w:rFonts w:eastAsia="Calibri" w:cstheme="minorHAnsi"/>
          <w:b/>
          <w:sz w:val="24"/>
          <w:szCs w:val="24"/>
        </w:rPr>
        <w:t xml:space="preserve"> se </w:t>
      </w:r>
      <w:r w:rsidR="0058483C" w:rsidRPr="0017798A">
        <w:rPr>
          <w:rFonts w:eastAsia="Calibri" w:cstheme="minorHAnsi"/>
          <w:b/>
          <w:sz w:val="24"/>
          <w:szCs w:val="24"/>
        </w:rPr>
        <w:t xml:space="preserve">nadále </w:t>
      </w:r>
      <w:r w:rsidR="00D97525" w:rsidRPr="0017798A">
        <w:rPr>
          <w:rFonts w:eastAsia="Calibri" w:cstheme="minorHAnsi"/>
          <w:b/>
          <w:sz w:val="24"/>
          <w:szCs w:val="24"/>
        </w:rPr>
        <w:t>zásadně rozcházejí</w:t>
      </w:r>
      <w:r w:rsidR="0058483C" w:rsidRPr="0017798A">
        <w:rPr>
          <w:rFonts w:eastAsia="Calibri" w:cstheme="minorHAnsi"/>
          <w:b/>
          <w:sz w:val="24"/>
          <w:szCs w:val="24"/>
        </w:rPr>
        <w:t>. K</w:t>
      </w:r>
      <w:r w:rsidR="00D97525" w:rsidRPr="0017798A">
        <w:rPr>
          <w:rFonts w:eastAsia="Calibri" w:cstheme="minorHAnsi"/>
          <w:b/>
          <w:sz w:val="24"/>
          <w:szCs w:val="24"/>
        </w:rPr>
        <w:t xml:space="preserve">onflikt veřejného zájmu na ochraně lokalit soustavy </w:t>
      </w:r>
      <w:r w:rsidR="00D97525" w:rsidRPr="00435EF1">
        <w:rPr>
          <w:rFonts w:eastAsia="Calibri" w:cstheme="minorHAnsi"/>
          <w:b/>
          <w:i/>
          <w:sz w:val="24"/>
          <w:szCs w:val="24"/>
        </w:rPr>
        <w:t>Natura 2000</w:t>
      </w:r>
      <w:r w:rsidR="00D97525" w:rsidRPr="0017798A">
        <w:rPr>
          <w:rFonts w:eastAsia="Calibri" w:cstheme="minorHAnsi"/>
          <w:b/>
          <w:sz w:val="24"/>
          <w:szCs w:val="24"/>
        </w:rPr>
        <w:t xml:space="preserve"> a veřejného zájmu na rozvoji vodní dopravy není vyřešen.</w:t>
      </w:r>
    </w:p>
    <w:p w14:paraId="7F30E7BD" w14:textId="77777777" w:rsidR="009B649B" w:rsidRPr="009B649B" w:rsidRDefault="009B649B" w:rsidP="003C2F39">
      <w:pPr>
        <w:pStyle w:val="Odstavecseseznamem"/>
        <w:tabs>
          <w:tab w:val="left" w:pos="284"/>
        </w:tabs>
        <w:spacing w:after="0" w:line="264" w:lineRule="auto"/>
        <w:ind w:left="0"/>
        <w:contextualSpacing w:val="0"/>
        <w:rPr>
          <w:rFonts w:eastAsia="Calibri" w:cstheme="minorHAnsi"/>
          <w:b/>
          <w:sz w:val="24"/>
          <w:szCs w:val="24"/>
        </w:rPr>
      </w:pPr>
    </w:p>
    <w:p w14:paraId="123730FA" w14:textId="54D169CC" w:rsidR="00447FAB" w:rsidRPr="0058483C" w:rsidRDefault="00E8036B" w:rsidP="003C2F39">
      <w:pPr>
        <w:pStyle w:val="Odstavecseseznamem"/>
        <w:numPr>
          <w:ilvl w:val="0"/>
          <w:numId w:val="31"/>
        </w:numPr>
        <w:tabs>
          <w:tab w:val="left" w:pos="284"/>
        </w:tabs>
        <w:spacing w:after="0" w:line="264" w:lineRule="auto"/>
        <w:ind w:left="0" w:firstLine="0"/>
        <w:contextualSpacing w:val="0"/>
        <w:jc w:val="both"/>
        <w:rPr>
          <w:rFonts w:eastAsia="Calibri" w:cstheme="minorHAnsi"/>
          <w:b/>
          <w:sz w:val="24"/>
          <w:szCs w:val="24"/>
        </w:rPr>
      </w:pPr>
      <w:r>
        <w:rPr>
          <w:rFonts w:eastAsia="Calibri" w:cstheme="minorHAnsi"/>
          <w:b/>
          <w:sz w:val="24"/>
          <w:szCs w:val="24"/>
        </w:rPr>
        <w:t>V</w:t>
      </w:r>
      <w:r w:rsidR="00D80CF7" w:rsidRPr="00D80CF7">
        <w:rPr>
          <w:rFonts w:eastAsia="Calibri" w:cstheme="minorHAnsi"/>
          <w:b/>
          <w:sz w:val="24"/>
          <w:szCs w:val="24"/>
        </w:rPr>
        <w:t xml:space="preserve"> koncepčních a na ně navazujících dokumentech MD pro </w:t>
      </w:r>
      <w:r w:rsidR="00D80CF7" w:rsidRPr="00B27857">
        <w:rPr>
          <w:rFonts w:eastAsia="Calibri" w:cstheme="minorHAnsi"/>
          <w:b/>
          <w:sz w:val="24"/>
          <w:szCs w:val="24"/>
        </w:rPr>
        <w:t xml:space="preserve">oblast rozvoje vodních cest </w:t>
      </w:r>
      <w:r>
        <w:rPr>
          <w:rFonts w:eastAsia="Calibri" w:cstheme="minorHAnsi"/>
          <w:b/>
          <w:sz w:val="24"/>
          <w:szCs w:val="24"/>
        </w:rPr>
        <w:t>přetrvávají rozpory</w:t>
      </w:r>
      <w:r w:rsidR="00B404AE">
        <w:rPr>
          <w:rFonts w:eastAsia="Calibri" w:cstheme="minorHAnsi"/>
          <w:b/>
          <w:sz w:val="24"/>
          <w:szCs w:val="24"/>
        </w:rPr>
        <w:t>. H</w:t>
      </w:r>
      <w:r w:rsidR="009B649B" w:rsidRPr="00B27857">
        <w:rPr>
          <w:rFonts w:eastAsia="Calibri" w:cstheme="minorHAnsi"/>
          <w:b/>
          <w:sz w:val="24"/>
          <w:szCs w:val="24"/>
        </w:rPr>
        <w:t xml:space="preserve">odnocení efektivnosti investic </w:t>
      </w:r>
      <w:r>
        <w:rPr>
          <w:rFonts w:eastAsia="Calibri" w:cstheme="minorHAnsi"/>
          <w:b/>
          <w:sz w:val="24"/>
          <w:szCs w:val="24"/>
        </w:rPr>
        <w:t xml:space="preserve">vychází </w:t>
      </w:r>
      <w:r w:rsidR="009B649B" w:rsidRPr="00B27857">
        <w:rPr>
          <w:rFonts w:eastAsia="Calibri" w:cstheme="minorHAnsi"/>
          <w:b/>
          <w:sz w:val="24"/>
          <w:szCs w:val="24"/>
        </w:rPr>
        <w:t>z nedostatečně doložených vstupních údajů</w:t>
      </w:r>
      <w:r w:rsidR="002E09AC" w:rsidRPr="00B27857">
        <w:rPr>
          <w:rFonts w:eastAsia="Calibri" w:cstheme="minorHAnsi"/>
          <w:b/>
          <w:sz w:val="24"/>
          <w:szCs w:val="24"/>
        </w:rPr>
        <w:t>.</w:t>
      </w:r>
      <w:r w:rsidR="00B539DC" w:rsidRPr="00B27857">
        <w:rPr>
          <w:rFonts w:eastAsia="Calibri" w:cstheme="minorHAnsi"/>
          <w:b/>
          <w:sz w:val="24"/>
          <w:szCs w:val="24"/>
        </w:rPr>
        <w:t xml:space="preserve"> Na t</w:t>
      </w:r>
      <w:r w:rsidR="006F18D4">
        <w:rPr>
          <w:rFonts w:eastAsia="Calibri" w:cstheme="minorHAnsi"/>
          <w:b/>
          <w:sz w:val="24"/>
          <w:szCs w:val="24"/>
        </w:rPr>
        <w:t>u</w:t>
      </w:r>
      <w:r w:rsidR="00B539DC" w:rsidRPr="00B27857">
        <w:rPr>
          <w:rFonts w:eastAsia="Calibri" w:cstheme="minorHAnsi"/>
          <w:b/>
          <w:sz w:val="24"/>
          <w:szCs w:val="24"/>
        </w:rPr>
        <w:t xml:space="preserve">to </w:t>
      </w:r>
      <w:r w:rsidR="006F18D4">
        <w:rPr>
          <w:rFonts w:eastAsia="Calibri" w:cstheme="minorHAnsi"/>
          <w:b/>
          <w:sz w:val="24"/>
          <w:szCs w:val="24"/>
        </w:rPr>
        <w:t>skutečnost</w:t>
      </w:r>
      <w:r w:rsidR="00B539DC" w:rsidRPr="00B27857">
        <w:rPr>
          <w:rFonts w:eastAsia="Calibri" w:cstheme="minorHAnsi"/>
          <w:b/>
          <w:sz w:val="24"/>
          <w:szCs w:val="24"/>
        </w:rPr>
        <w:t xml:space="preserve"> </w:t>
      </w:r>
      <w:r w:rsidR="00B539DC" w:rsidRPr="00B27857">
        <w:rPr>
          <w:rFonts w:cstheme="minorHAnsi"/>
          <w:b/>
          <w:color w:val="000000"/>
          <w:sz w:val="24"/>
          <w:szCs w:val="24"/>
          <w:lang w:bidi="cs-CZ"/>
        </w:rPr>
        <w:t>NKÚ upozornil již v předchozích kontrolních akcích</w:t>
      </w:r>
      <w:r>
        <w:rPr>
          <w:rStyle w:val="Znakapoznpodarou"/>
          <w:rFonts w:cstheme="minorHAnsi"/>
          <w:b/>
          <w:sz w:val="24"/>
          <w:szCs w:val="24"/>
          <w:lang w:eastAsia="cs-CZ"/>
        </w:rPr>
        <w:footnoteReference w:id="2"/>
      </w:r>
      <w:r w:rsidR="00B539DC" w:rsidRPr="00B27857">
        <w:rPr>
          <w:rFonts w:cstheme="minorHAnsi"/>
          <w:b/>
          <w:color w:val="000000"/>
          <w:sz w:val="24"/>
          <w:szCs w:val="24"/>
          <w:lang w:bidi="cs-CZ"/>
        </w:rPr>
        <w:t>.</w:t>
      </w:r>
      <w:r w:rsidRPr="00B27857">
        <w:rPr>
          <w:rFonts w:cstheme="minorHAnsi"/>
          <w:b/>
          <w:color w:val="000000"/>
          <w:sz w:val="24"/>
          <w:szCs w:val="24"/>
          <w:lang w:bidi="cs-CZ"/>
        </w:rPr>
        <w:t xml:space="preserve"> </w:t>
      </w:r>
      <w:r w:rsidRPr="0058483C">
        <w:rPr>
          <w:rFonts w:cstheme="minorHAnsi"/>
          <w:b/>
          <w:iCs/>
          <w:sz w:val="24"/>
        </w:rPr>
        <w:t xml:space="preserve">NKÚ </w:t>
      </w:r>
      <w:r w:rsidR="00275EBD" w:rsidRPr="0058483C">
        <w:rPr>
          <w:rFonts w:cstheme="minorHAnsi"/>
          <w:b/>
          <w:iCs/>
          <w:sz w:val="24"/>
        </w:rPr>
        <w:t xml:space="preserve">proto </w:t>
      </w:r>
      <w:r w:rsidRPr="0058483C">
        <w:rPr>
          <w:rFonts w:cstheme="minorHAnsi"/>
          <w:b/>
          <w:iCs/>
          <w:sz w:val="24"/>
        </w:rPr>
        <w:t>nepovažuje za objektivně a jednoznačně prokázané d</w:t>
      </w:r>
      <w:r w:rsidR="00F25151" w:rsidRPr="0058483C">
        <w:rPr>
          <w:rFonts w:cstheme="minorHAnsi"/>
          <w:b/>
          <w:iCs/>
          <w:sz w:val="24"/>
          <w:szCs w:val="24"/>
        </w:rPr>
        <w:t>ůvody převažujícího veřejného zájmu na rozvoji vodní dopravy</w:t>
      </w:r>
      <w:r w:rsidR="00BB2EDC">
        <w:rPr>
          <w:rFonts w:cstheme="minorHAnsi"/>
          <w:b/>
          <w:iCs/>
          <w:sz w:val="24"/>
          <w:szCs w:val="24"/>
        </w:rPr>
        <w:t>, které</w:t>
      </w:r>
      <w:r w:rsidR="002E23C1" w:rsidRPr="0058483C">
        <w:rPr>
          <w:rFonts w:cstheme="minorHAnsi"/>
          <w:b/>
          <w:iCs/>
          <w:sz w:val="24"/>
          <w:szCs w:val="24"/>
        </w:rPr>
        <w:t xml:space="preserve"> </w:t>
      </w:r>
      <w:r w:rsidR="00BB2EDC">
        <w:rPr>
          <w:rFonts w:cstheme="minorHAnsi"/>
          <w:b/>
          <w:iCs/>
          <w:sz w:val="24"/>
          <w:szCs w:val="24"/>
        </w:rPr>
        <w:t xml:space="preserve">se </w:t>
      </w:r>
      <w:r w:rsidR="00F25151" w:rsidRPr="0058483C">
        <w:rPr>
          <w:rFonts w:cstheme="minorHAnsi"/>
          <w:b/>
          <w:iCs/>
          <w:sz w:val="24"/>
          <w:szCs w:val="24"/>
        </w:rPr>
        <w:t>opírají</w:t>
      </w:r>
      <w:r w:rsidR="00CE7FB9" w:rsidRPr="0058483C">
        <w:rPr>
          <w:rFonts w:cstheme="minorHAnsi"/>
          <w:b/>
          <w:iCs/>
          <w:sz w:val="24"/>
          <w:szCs w:val="24"/>
        </w:rPr>
        <w:t xml:space="preserve"> </w:t>
      </w:r>
      <w:r w:rsidR="00F25151" w:rsidRPr="0058483C">
        <w:rPr>
          <w:rFonts w:cstheme="minorHAnsi"/>
          <w:b/>
          <w:iCs/>
          <w:sz w:val="24"/>
          <w:szCs w:val="24"/>
        </w:rPr>
        <w:t>o výsledky vyhodnocení ekonomické efektivnosti veřejných investic do rozvoje infrastruktury</w:t>
      </w:r>
      <w:r w:rsidR="00F25151" w:rsidRPr="0058483C">
        <w:rPr>
          <w:rFonts w:cstheme="minorHAnsi"/>
          <w:b/>
          <w:iCs/>
          <w:sz w:val="24"/>
        </w:rPr>
        <w:t xml:space="preserve"> vodních cest</w:t>
      </w:r>
      <w:r>
        <w:rPr>
          <w:rStyle w:val="Znakapoznpodarou"/>
          <w:rFonts w:cstheme="minorHAnsi"/>
          <w:b/>
          <w:sz w:val="24"/>
          <w:szCs w:val="24"/>
          <w:lang w:eastAsia="cs-CZ"/>
        </w:rPr>
        <w:footnoteReference w:id="3"/>
      </w:r>
      <w:r w:rsidR="00B27857" w:rsidRPr="0058483C">
        <w:rPr>
          <w:rFonts w:cstheme="minorHAnsi"/>
          <w:b/>
          <w:iCs/>
          <w:sz w:val="24"/>
        </w:rPr>
        <w:t xml:space="preserve"> </w:t>
      </w:r>
      <w:r w:rsidR="00485A27">
        <w:rPr>
          <w:rFonts w:cstheme="minorHAnsi"/>
          <w:b/>
          <w:iCs/>
          <w:sz w:val="24"/>
        </w:rPr>
        <w:t>a </w:t>
      </w:r>
      <w:r w:rsidR="00B27857" w:rsidRPr="0058483C">
        <w:rPr>
          <w:rFonts w:cstheme="minorHAnsi"/>
          <w:b/>
          <w:iCs/>
          <w:sz w:val="24"/>
        </w:rPr>
        <w:t>které MD zahrnulo do koncepce vodní dopravy</w:t>
      </w:r>
      <w:r>
        <w:rPr>
          <w:rStyle w:val="Znakapoznpodarou"/>
          <w:rFonts w:cstheme="minorHAnsi"/>
          <w:b/>
          <w:sz w:val="24"/>
          <w:szCs w:val="24"/>
          <w:lang w:eastAsia="cs-CZ"/>
        </w:rPr>
        <w:footnoteReference w:id="4"/>
      </w:r>
      <w:r w:rsidRPr="0058483C">
        <w:rPr>
          <w:rFonts w:cstheme="minorHAnsi"/>
          <w:b/>
          <w:iCs/>
          <w:sz w:val="24"/>
        </w:rPr>
        <w:t xml:space="preserve">. </w:t>
      </w:r>
    </w:p>
    <w:p w14:paraId="6A5EAF46" w14:textId="77777777" w:rsidR="00275EBD" w:rsidRDefault="00275EBD" w:rsidP="003C2F39">
      <w:pPr>
        <w:pStyle w:val="Odstavecseseznamem"/>
        <w:tabs>
          <w:tab w:val="left" w:pos="284"/>
        </w:tabs>
        <w:spacing w:after="0" w:line="264" w:lineRule="auto"/>
        <w:ind w:left="0"/>
        <w:contextualSpacing w:val="0"/>
        <w:jc w:val="both"/>
        <w:rPr>
          <w:rFonts w:cstheme="minorHAnsi"/>
          <w:b/>
          <w:iCs/>
          <w:sz w:val="24"/>
        </w:rPr>
      </w:pPr>
    </w:p>
    <w:p w14:paraId="4D770312" w14:textId="77777777" w:rsidR="003338F2" w:rsidRPr="00447FAB" w:rsidRDefault="00E8036B" w:rsidP="003C2F39">
      <w:pPr>
        <w:pStyle w:val="Odstavecseseznamem"/>
        <w:tabs>
          <w:tab w:val="left" w:pos="284"/>
        </w:tabs>
        <w:spacing w:after="0" w:line="264" w:lineRule="auto"/>
        <w:ind w:left="0"/>
        <w:contextualSpacing w:val="0"/>
        <w:jc w:val="both"/>
        <w:rPr>
          <w:rFonts w:eastAsia="Calibri" w:cstheme="minorHAnsi"/>
          <w:b/>
          <w:sz w:val="24"/>
          <w:szCs w:val="24"/>
        </w:rPr>
      </w:pPr>
      <w:r w:rsidRPr="00447FAB">
        <w:rPr>
          <w:rFonts w:cstheme="minorHAnsi"/>
          <w:b/>
          <w:iCs/>
          <w:sz w:val="24"/>
        </w:rPr>
        <w:t xml:space="preserve">Vynakládání dalších prostředků na rozvoj vodních cest pro nákladní dopravu bez vyřešení </w:t>
      </w:r>
      <w:r w:rsidR="00C87B08" w:rsidRPr="00447FAB">
        <w:rPr>
          <w:rFonts w:cstheme="minorHAnsi"/>
          <w:b/>
          <w:iCs/>
          <w:sz w:val="24"/>
        </w:rPr>
        <w:t xml:space="preserve">všech </w:t>
      </w:r>
      <w:r w:rsidRPr="00447FAB">
        <w:rPr>
          <w:rFonts w:cstheme="minorHAnsi"/>
          <w:b/>
          <w:iCs/>
          <w:sz w:val="24"/>
        </w:rPr>
        <w:t>zásadních problémů omezujících využitelnost labsko-vltavské vodní cesty</w:t>
      </w:r>
      <w:r w:rsidR="00D81ED9" w:rsidRPr="00447FAB">
        <w:rPr>
          <w:rFonts w:cstheme="minorHAnsi"/>
          <w:b/>
          <w:iCs/>
          <w:sz w:val="24"/>
        </w:rPr>
        <w:t xml:space="preserve"> a </w:t>
      </w:r>
      <w:r w:rsidR="00FC1BC3" w:rsidRPr="00675FE4">
        <w:rPr>
          <w:rFonts w:cstheme="minorHAnsi"/>
          <w:b/>
          <w:iCs/>
          <w:sz w:val="24"/>
        </w:rPr>
        <w:t xml:space="preserve">bez </w:t>
      </w:r>
      <w:r w:rsidR="00D81ED9" w:rsidRPr="00675FE4">
        <w:rPr>
          <w:rFonts w:cstheme="minorHAnsi"/>
          <w:b/>
          <w:iCs/>
          <w:sz w:val="24"/>
        </w:rPr>
        <w:t xml:space="preserve">přípravy projektů v rámci uceleného dopravního řešení je spojeno s rizikem </w:t>
      </w:r>
      <w:r w:rsidR="00D81ED9" w:rsidRPr="00675FE4">
        <w:rPr>
          <w:rFonts w:eastAsia="Calibri" w:cstheme="minorHAnsi"/>
          <w:b/>
          <w:sz w:val="24"/>
          <w:szCs w:val="24"/>
        </w:rPr>
        <w:t>neúčeln</w:t>
      </w:r>
      <w:r w:rsidR="008E5A44" w:rsidRPr="00675FE4">
        <w:rPr>
          <w:rFonts w:eastAsia="Calibri" w:cstheme="minorHAnsi"/>
          <w:b/>
          <w:sz w:val="24"/>
          <w:szCs w:val="24"/>
        </w:rPr>
        <w:t>ého</w:t>
      </w:r>
      <w:r w:rsidR="00D81ED9" w:rsidRPr="00675FE4">
        <w:rPr>
          <w:rFonts w:eastAsia="Calibri" w:cstheme="minorHAnsi"/>
          <w:b/>
          <w:sz w:val="24"/>
          <w:szCs w:val="24"/>
        </w:rPr>
        <w:t xml:space="preserve"> a</w:t>
      </w:r>
      <w:r w:rsidR="00B107BD">
        <w:rPr>
          <w:rFonts w:eastAsia="Calibri" w:cstheme="minorHAnsi"/>
          <w:b/>
          <w:sz w:val="24"/>
          <w:szCs w:val="24"/>
        </w:rPr>
        <w:t> </w:t>
      </w:r>
      <w:r w:rsidR="00D81ED9" w:rsidRPr="00675FE4">
        <w:rPr>
          <w:rFonts w:eastAsia="Calibri" w:cstheme="minorHAnsi"/>
          <w:b/>
          <w:sz w:val="24"/>
          <w:szCs w:val="24"/>
        </w:rPr>
        <w:t>neefektivn</w:t>
      </w:r>
      <w:r w:rsidR="008E5A44" w:rsidRPr="00675FE4">
        <w:rPr>
          <w:rFonts w:eastAsia="Calibri" w:cstheme="minorHAnsi"/>
          <w:b/>
          <w:sz w:val="24"/>
          <w:szCs w:val="24"/>
        </w:rPr>
        <w:t>ího vynakládání peněžních prostředků státního rozpočtu</w:t>
      </w:r>
      <w:r w:rsidR="00D81ED9" w:rsidRPr="00675FE4">
        <w:rPr>
          <w:rFonts w:eastAsia="Calibri" w:cstheme="minorHAnsi"/>
          <w:b/>
          <w:sz w:val="24"/>
          <w:szCs w:val="24"/>
        </w:rPr>
        <w:t>.</w:t>
      </w:r>
    </w:p>
    <w:p w14:paraId="69BD9FEE" w14:textId="77777777" w:rsidR="00E001F3" w:rsidRPr="00E001F3" w:rsidRDefault="00E001F3" w:rsidP="003C2F39">
      <w:pPr>
        <w:pStyle w:val="Odstavecseseznamem"/>
        <w:tabs>
          <w:tab w:val="left" w:pos="284"/>
        </w:tabs>
        <w:spacing w:after="0" w:line="264" w:lineRule="auto"/>
        <w:ind w:left="0"/>
        <w:contextualSpacing w:val="0"/>
        <w:rPr>
          <w:rFonts w:eastAsia="Calibri" w:cstheme="minorHAnsi"/>
          <w:b/>
          <w:sz w:val="24"/>
          <w:szCs w:val="24"/>
        </w:rPr>
      </w:pPr>
    </w:p>
    <w:p w14:paraId="2AAD57DC" w14:textId="1A966485" w:rsidR="00BB3A6D" w:rsidRPr="00B404AE" w:rsidRDefault="00E8036B" w:rsidP="003C2F39">
      <w:pPr>
        <w:pStyle w:val="Odstavecseseznamem"/>
        <w:numPr>
          <w:ilvl w:val="0"/>
          <w:numId w:val="31"/>
        </w:numPr>
        <w:tabs>
          <w:tab w:val="left" w:pos="284"/>
        </w:tabs>
        <w:spacing w:after="0" w:line="264" w:lineRule="auto"/>
        <w:ind w:left="0" w:firstLine="0"/>
        <w:contextualSpacing w:val="0"/>
        <w:jc w:val="both"/>
        <w:rPr>
          <w:rFonts w:eastAsia="Calibri" w:cstheme="minorHAnsi"/>
          <w:b/>
          <w:sz w:val="24"/>
          <w:szCs w:val="24"/>
        </w:rPr>
      </w:pPr>
      <w:r w:rsidRPr="00BB3A6D">
        <w:rPr>
          <w:rFonts w:eastAsia="Calibri" w:cstheme="minorHAnsi"/>
          <w:b/>
          <w:sz w:val="24"/>
          <w:szCs w:val="24"/>
        </w:rPr>
        <w:t xml:space="preserve">MD </w:t>
      </w:r>
      <w:r w:rsidRPr="00675FE4">
        <w:rPr>
          <w:rFonts w:eastAsia="Calibri" w:cstheme="minorHAnsi"/>
          <w:b/>
          <w:sz w:val="24"/>
          <w:szCs w:val="24"/>
        </w:rPr>
        <w:t xml:space="preserve">schválilo urychlené zahájení </w:t>
      </w:r>
      <w:r w:rsidR="009E4BEF" w:rsidRPr="00675FE4">
        <w:rPr>
          <w:rFonts w:eastAsia="Calibri" w:cstheme="minorHAnsi"/>
          <w:b/>
          <w:sz w:val="24"/>
          <w:szCs w:val="24"/>
        </w:rPr>
        <w:t xml:space="preserve">projektu </w:t>
      </w:r>
      <w:r w:rsidRPr="00675FE4">
        <w:rPr>
          <w:rFonts w:eastAsia="Calibri" w:cstheme="minorHAnsi"/>
          <w:b/>
          <w:sz w:val="24"/>
          <w:szCs w:val="24"/>
        </w:rPr>
        <w:t>rekonstrukce silničního mostu přes Labe mezi</w:t>
      </w:r>
      <w:r w:rsidR="0058483C" w:rsidRPr="00675FE4">
        <w:rPr>
          <w:rFonts w:eastAsia="Calibri" w:cstheme="minorHAnsi"/>
          <w:b/>
          <w:sz w:val="24"/>
          <w:szCs w:val="24"/>
        </w:rPr>
        <w:t xml:space="preserve"> obcemi </w:t>
      </w:r>
      <w:r w:rsidRPr="00675FE4">
        <w:rPr>
          <w:rFonts w:eastAsia="Calibri" w:cstheme="minorHAnsi"/>
          <w:b/>
          <w:sz w:val="24"/>
          <w:szCs w:val="24"/>
        </w:rPr>
        <w:t>Valy</w:t>
      </w:r>
      <w:r w:rsidRPr="00BB3A6D">
        <w:rPr>
          <w:rFonts w:eastAsia="Calibri" w:cstheme="minorHAnsi"/>
          <w:b/>
          <w:sz w:val="24"/>
          <w:szCs w:val="24"/>
        </w:rPr>
        <w:t xml:space="preserve"> a Mělice</w:t>
      </w:r>
      <w:r w:rsidR="009E4BEF">
        <w:rPr>
          <w:rFonts w:eastAsia="Calibri" w:cstheme="minorHAnsi"/>
          <w:b/>
          <w:sz w:val="24"/>
          <w:szCs w:val="24"/>
        </w:rPr>
        <w:t xml:space="preserve">, který </w:t>
      </w:r>
      <w:r w:rsidRPr="00BB3A6D">
        <w:rPr>
          <w:rFonts w:eastAsia="Calibri" w:cstheme="minorHAnsi"/>
          <w:b/>
          <w:sz w:val="24"/>
          <w:szCs w:val="24"/>
        </w:rPr>
        <w:t xml:space="preserve">byl původně součástí souboru staveb </w:t>
      </w:r>
      <w:r w:rsidR="00B404AE">
        <w:rPr>
          <w:rFonts w:eastAsia="Calibri" w:cstheme="minorHAnsi"/>
          <w:b/>
          <w:sz w:val="24"/>
          <w:szCs w:val="24"/>
        </w:rPr>
        <w:t>řešících</w:t>
      </w:r>
      <w:r w:rsidRPr="00BB3A6D">
        <w:rPr>
          <w:rFonts w:eastAsia="Calibri" w:cstheme="minorHAnsi"/>
          <w:b/>
          <w:sz w:val="24"/>
          <w:szCs w:val="24"/>
        </w:rPr>
        <w:t xml:space="preserve"> splavnění </w:t>
      </w:r>
      <w:r w:rsidR="005E4FF4">
        <w:rPr>
          <w:rFonts w:eastAsia="Calibri" w:cstheme="minorHAnsi"/>
          <w:b/>
          <w:sz w:val="24"/>
          <w:szCs w:val="24"/>
        </w:rPr>
        <w:t>Labe</w:t>
      </w:r>
      <w:r w:rsidRPr="00BB3A6D">
        <w:rPr>
          <w:rFonts w:eastAsia="Calibri" w:cstheme="minorHAnsi"/>
          <w:b/>
          <w:sz w:val="24"/>
          <w:szCs w:val="24"/>
        </w:rPr>
        <w:t xml:space="preserve"> do</w:t>
      </w:r>
      <w:r w:rsidR="003C6FCC">
        <w:rPr>
          <w:rFonts w:eastAsia="Calibri" w:cstheme="minorHAnsi"/>
          <w:b/>
          <w:sz w:val="24"/>
          <w:szCs w:val="24"/>
        </w:rPr>
        <w:t xml:space="preserve"> </w:t>
      </w:r>
      <w:r w:rsidRPr="00BB3A6D">
        <w:rPr>
          <w:rFonts w:eastAsia="Calibri" w:cstheme="minorHAnsi"/>
          <w:b/>
          <w:sz w:val="24"/>
          <w:szCs w:val="24"/>
        </w:rPr>
        <w:t xml:space="preserve">Pardubic. </w:t>
      </w:r>
      <w:r w:rsidR="00B404AE">
        <w:rPr>
          <w:rFonts w:eastAsia="Calibri" w:cstheme="minorHAnsi"/>
          <w:b/>
          <w:sz w:val="24"/>
          <w:szCs w:val="24"/>
        </w:rPr>
        <w:t xml:space="preserve">Most se </w:t>
      </w:r>
      <w:r w:rsidR="00B404AE" w:rsidRPr="00B404AE">
        <w:rPr>
          <w:rFonts w:eastAsia="Calibri" w:cstheme="minorHAnsi"/>
          <w:b/>
          <w:sz w:val="24"/>
          <w:szCs w:val="24"/>
        </w:rPr>
        <w:t>nachází na pla</w:t>
      </w:r>
      <w:r w:rsidR="00532540">
        <w:rPr>
          <w:rFonts w:eastAsia="Calibri" w:cstheme="minorHAnsi"/>
          <w:b/>
          <w:sz w:val="24"/>
          <w:szCs w:val="24"/>
        </w:rPr>
        <w:t>vebním úseku odděleném od labsko-vltavské</w:t>
      </w:r>
      <w:r w:rsidR="00B404AE" w:rsidRPr="00B404AE">
        <w:rPr>
          <w:rFonts w:eastAsia="Calibri" w:cstheme="minorHAnsi"/>
          <w:b/>
          <w:sz w:val="24"/>
          <w:szCs w:val="24"/>
        </w:rPr>
        <w:t xml:space="preserve"> vodní cesty využívané pro nákladní dopravu nesplavným úsekem u Přelouče. </w:t>
      </w:r>
      <w:r w:rsidR="003F7772" w:rsidRPr="00B404AE">
        <w:rPr>
          <w:rFonts w:eastAsia="Calibri" w:cstheme="minorHAnsi"/>
          <w:b/>
          <w:sz w:val="24"/>
          <w:szCs w:val="24"/>
        </w:rPr>
        <w:t xml:space="preserve">Kromě toho chybí </w:t>
      </w:r>
      <w:r w:rsidR="003F7772" w:rsidRPr="00B404AE">
        <w:rPr>
          <w:rFonts w:eastAsia="Calibri" w:cstheme="minorHAnsi"/>
          <w:b/>
          <w:sz w:val="24"/>
          <w:szCs w:val="24"/>
        </w:rPr>
        <w:lastRenderedPageBreak/>
        <w:t>i</w:t>
      </w:r>
      <w:r w:rsidR="00B107BD">
        <w:rPr>
          <w:rFonts w:eastAsia="Calibri" w:cstheme="minorHAnsi"/>
          <w:b/>
          <w:sz w:val="24"/>
          <w:szCs w:val="24"/>
        </w:rPr>
        <w:t> </w:t>
      </w:r>
      <w:r w:rsidR="003F7772" w:rsidRPr="00B404AE">
        <w:rPr>
          <w:rFonts w:eastAsia="Calibri" w:cstheme="minorHAnsi"/>
          <w:b/>
          <w:sz w:val="24"/>
          <w:szCs w:val="24"/>
        </w:rPr>
        <w:t>nákladní přístav</w:t>
      </w:r>
      <w:r w:rsidR="003F7772">
        <w:rPr>
          <w:rFonts w:eastAsia="Calibri" w:cstheme="minorHAnsi"/>
          <w:b/>
          <w:sz w:val="24"/>
          <w:szCs w:val="24"/>
        </w:rPr>
        <w:t xml:space="preserve"> </w:t>
      </w:r>
      <w:r w:rsidR="003F7772" w:rsidRPr="00B404AE">
        <w:rPr>
          <w:rFonts w:eastAsia="Calibri" w:cstheme="minorHAnsi"/>
          <w:b/>
          <w:sz w:val="24"/>
          <w:szCs w:val="24"/>
        </w:rPr>
        <w:t>v Pardubicích.</w:t>
      </w:r>
      <w:r w:rsidR="003F7772">
        <w:rPr>
          <w:rFonts w:eastAsia="Calibri" w:cstheme="minorHAnsi"/>
          <w:b/>
          <w:sz w:val="24"/>
          <w:szCs w:val="24"/>
        </w:rPr>
        <w:t xml:space="preserve"> </w:t>
      </w:r>
      <w:r w:rsidR="00B404AE">
        <w:rPr>
          <w:rFonts w:eastAsia="Calibri" w:cstheme="minorHAnsi"/>
          <w:b/>
          <w:sz w:val="24"/>
          <w:szCs w:val="24"/>
        </w:rPr>
        <w:t xml:space="preserve">Rozhodnutí MD o zahájení rekonstrukce mostu je do doby dokončení projektů </w:t>
      </w:r>
      <w:r w:rsidR="006F18D4" w:rsidRPr="00435EF1">
        <w:rPr>
          <w:rFonts w:eastAsia="Calibri" w:cstheme="minorHAnsi"/>
          <w:b/>
          <w:i/>
          <w:sz w:val="24"/>
          <w:szCs w:val="24"/>
        </w:rPr>
        <w:t>Plavební stupeň Děčín</w:t>
      </w:r>
      <w:r w:rsidR="006F18D4">
        <w:rPr>
          <w:rFonts w:eastAsia="Calibri" w:cstheme="minorHAnsi"/>
          <w:b/>
          <w:sz w:val="24"/>
          <w:szCs w:val="24"/>
        </w:rPr>
        <w:t xml:space="preserve"> </w:t>
      </w:r>
      <w:r w:rsidR="00B404AE">
        <w:rPr>
          <w:rFonts w:eastAsia="Calibri" w:cstheme="minorHAnsi"/>
          <w:b/>
          <w:sz w:val="24"/>
          <w:szCs w:val="24"/>
        </w:rPr>
        <w:t xml:space="preserve">a </w:t>
      </w:r>
      <w:r w:rsidR="006F18D4" w:rsidRPr="00435EF1">
        <w:rPr>
          <w:rFonts w:eastAsia="Calibri" w:cstheme="minorHAnsi"/>
          <w:b/>
          <w:i/>
          <w:sz w:val="24"/>
          <w:szCs w:val="24"/>
        </w:rPr>
        <w:t>Plavební stupeň Přelouč II</w:t>
      </w:r>
      <w:r w:rsidR="006F18D4">
        <w:rPr>
          <w:rFonts w:eastAsia="Calibri" w:cstheme="minorHAnsi"/>
          <w:b/>
          <w:sz w:val="24"/>
          <w:szCs w:val="24"/>
        </w:rPr>
        <w:t xml:space="preserve"> </w:t>
      </w:r>
      <w:r w:rsidR="00B404AE">
        <w:rPr>
          <w:rFonts w:eastAsia="Calibri" w:cstheme="minorHAnsi"/>
          <w:b/>
          <w:sz w:val="24"/>
          <w:szCs w:val="24"/>
        </w:rPr>
        <w:t xml:space="preserve">z pohledu vodní dopravy </w:t>
      </w:r>
      <w:r w:rsidR="00B404AE" w:rsidRPr="00CF470C">
        <w:rPr>
          <w:rFonts w:eastAsia="Calibri" w:cstheme="minorHAnsi"/>
          <w:b/>
          <w:sz w:val="24"/>
          <w:szCs w:val="24"/>
        </w:rPr>
        <w:t xml:space="preserve">spojeno s rizikem neúčelného a nehospodárného vynakládání </w:t>
      </w:r>
      <w:r w:rsidR="00675FE4">
        <w:rPr>
          <w:rFonts w:eastAsia="Calibri" w:cstheme="minorHAnsi"/>
          <w:b/>
          <w:sz w:val="24"/>
          <w:szCs w:val="24"/>
        </w:rPr>
        <w:t xml:space="preserve">peněžních </w:t>
      </w:r>
      <w:r w:rsidR="00B404AE" w:rsidRPr="00CF470C">
        <w:rPr>
          <w:rFonts w:eastAsia="Calibri" w:cstheme="minorHAnsi"/>
          <w:b/>
          <w:sz w:val="24"/>
          <w:szCs w:val="24"/>
        </w:rPr>
        <w:t>prostředků</w:t>
      </w:r>
      <w:r w:rsidR="00B404AE">
        <w:rPr>
          <w:rFonts w:eastAsia="Calibri" w:cstheme="minorHAnsi"/>
          <w:b/>
          <w:sz w:val="24"/>
          <w:szCs w:val="24"/>
        </w:rPr>
        <w:t xml:space="preserve">. </w:t>
      </w:r>
      <w:r>
        <w:rPr>
          <w:rFonts w:eastAsia="Calibri" w:cstheme="minorHAnsi"/>
          <w:b/>
          <w:sz w:val="24"/>
          <w:szCs w:val="24"/>
        </w:rPr>
        <w:t>Investorem stavby je ŘVC</w:t>
      </w:r>
      <w:r w:rsidR="00CF470C">
        <w:rPr>
          <w:rFonts w:eastAsia="Calibri" w:cstheme="minorHAnsi"/>
          <w:b/>
          <w:sz w:val="24"/>
          <w:szCs w:val="24"/>
        </w:rPr>
        <w:t xml:space="preserve"> a většina nákladů má být financována z prostředků Státního</w:t>
      </w:r>
      <w:r w:rsidR="009E4BEF">
        <w:rPr>
          <w:rFonts w:eastAsia="Calibri" w:cstheme="minorHAnsi"/>
          <w:b/>
          <w:sz w:val="24"/>
          <w:szCs w:val="24"/>
        </w:rPr>
        <w:t xml:space="preserve"> fondu dopravní infrastruktury. </w:t>
      </w:r>
      <w:r>
        <w:rPr>
          <w:rFonts w:eastAsia="Calibri" w:cstheme="minorHAnsi"/>
          <w:b/>
          <w:sz w:val="24"/>
          <w:szCs w:val="24"/>
        </w:rPr>
        <w:t>Pardubický kraj, který je vlastníkem mostu, se má na nákladech na rekonstrukci</w:t>
      </w:r>
      <w:r w:rsidR="009E4BEF">
        <w:rPr>
          <w:rFonts w:eastAsia="Calibri" w:cstheme="minorHAnsi"/>
          <w:b/>
          <w:sz w:val="24"/>
          <w:szCs w:val="24"/>
        </w:rPr>
        <w:t xml:space="preserve"> ve výši 213 mil. Kč</w:t>
      </w:r>
      <w:r>
        <w:rPr>
          <w:rFonts w:eastAsia="Calibri" w:cstheme="minorHAnsi"/>
          <w:b/>
          <w:sz w:val="24"/>
          <w:szCs w:val="24"/>
        </w:rPr>
        <w:t xml:space="preserve"> podílet jen z cca jedné čtvrtiny. </w:t>
      </w:r>
    </w:p>
    <w:p w14:paraId="57106A10" w14:textId="77777777" w:rsidR="008936CC" w:rsidRPr="008936CC" w:rsidRDefault="008936CC" w:rsidP="003C2F39">
      <w:pPr>
        <w:pStyle w:val="Odstavecseseznamem"/>
        <w:tabs>
          <w:tab w:val="left" w:pos="284"/>
        </w:tabs>
        <w:spacing w:after="0" w:line="264" w:lineRule="auto"/>
        <w:ind w:left="0"/>
        <w:contextualSpacing w:val="0"/>
        <w:rPr>
          <w:rFonts w:eastAsia="Calibri" w:cstheme="minorHAnsi"/>
          <w:b/>
          <w:sz w:val="24"/>
          <w:szCs w:val="24"/>
        </w:rPr>
      </w:pPr>
    </w:p>
    <w:p w14:paraId="2BC1CB2B" w14:textId="534CCD7A" w:rsidR="00675FE4" w:rsidRDefault="00E8036B" w:rsidP="003C2F39">
      <w:pPr>
        <w:pStyle w:val="Odstavecseseznamem"/>
        <w:numPr>
          <w:ilvl w:val="0"/>
          <w:numId w:val="31"/>
        </w:numPr>
        <w:tabs>
          <w:tab w:val="left" w:pos="284"/>
        </w:tabs>
        <w:spacing w:after="0" w:line="264" w:lineRule="auto"/>
        <w:ind w:left="0" w:firstLine="0"/>
        <w:contextualSpacing w:val="0"/>
        <w:jc w:val="both"/>
        <w:rPr>
          <w:rFonts w:eastAsia="Calibri" w:cstheme="minorHAnsi"/>
          <w:b/>
          <w:sz w:val="24"/>
          <w:szCs w:val="24"/>
        </w:rPr>
      </w:pPr>
      <w:r>
        <w:rPr>
          <w:rFonts w:eastAsia="Calibri" w:cstheme="minorHAnsi"/>
          <w:b/>
          <w:sz w:val="24"/>
          <w:szCs w:val="24"/>
        </w:rPr>
        <w:t>P</w:t>
      </w:r>
      <w:r w:rsidRPr="008936CC">
        <w:rPr>
          <w:rFonts w:eastAsia="Calibri" w:cstheme="minorHAnsi"/>
          <w:b/>
          <w:sz w:val="24"/>
          <w:szCs w:val="24"/>
        </w:rPr>
        <w:t>rvním komplexním materiálem</w:t>
      </w:r>
      <w:r>
        <w:rPr>
          <w:rFonts w:eastAsia="Calibri" w:cstheme="minorHAnsi"/>
          <w:b/>
          <w:sz w:val="24"/>
          <w:szCs w:val="24"/>
        </w:rPr>
        <w:t xml:space="preserve"> obsahujícím</w:t>
      </w:r>
      <w:r w:rsidRPr="008936CC">
        <w:rPr>
          <w:rFonts w:eastAsia="Calibri" w:cstheme="minorHAnsi"/>
          <w:b/>
          <w:sz w:val="24"/>
          <w:szCs w:val="24"/>
        </w:rPr>
        <w:t xml:space="preserve"> souhrnné vyhodnocení technické a</w:t>
      </w:r>
      <w:r w:rsidR="005E25DC">
        <w:rPr>
          <w:rFonts w:eastAsia="Calibri" w:cstheme="minorHAnsi"/>
          <w:b/>
          <w:sz w:val="24"/>
          <w:szCs w:val="24"/>
        </w:rPr>
        <w:t> </w:t>
      </w:r>
      <w:r w:rsidRPr="008936CC">
        <w:rPr>
          <w:rFonts w:eastAsia="Calibri" w:cstheme="minorHAnsi"/>
          <w:b/>
          <w:sz w:val="24"/>
          <w:szCs w:val="24"/>
        </w:rPr>
        <w:t xml:space="preserve">ekonomické proveditelnosti </w:t>
      </w:r>
      <w:r w:rsidR="008173B3">
        <w:rPr>
          <w:rFonts w:eastAsia="Calibri" w:cstheme="minorHAnsi"/>
          <w:b/>
          <w:sz w:val="24"/>
          <w:szCs w:val="24"/>
        </w:rPr>
        <w:t>koridoru</w:t>
      </w:r>
      <w:r>
        <w:rPr>
          <w:rFonts w:eastAsia="Calibri" w:cstheme="minorHAnsi"/>
          <w:b/>
          <w:sz w:val="24"/>
          <w:szCs w:val="24"/>
        </w:rPr>
        <w:t xml:space="preserve"> </w:t>
      </w:r>
      <w:proofErr w:type="gramStart"/>
      <w:r>
        <w:rPr>
          <w:rFonts w:eastAsia="Calibri" w:cstheme="minorHAnsi"/>
          <w:b/>
          <w:sz w:val="24"/>
          <w:szCs w:val="24"/>
        </w:rPr>
        <w:t>Dunaj</w:t>
      </w:r>
      <w:proofErr w:type="gramEnd"/>
      <w:r w:rsidR="003C6FCC">
        <w:rPr>
          <w:rFonts w:eastAsia="Calibri" w:cstheme="minorHAnsi"/>
          <w:b/>
          <w:sz w:val="24"/>
          <w:szCs w:val="24"/>
        </w:rPr>
        <w:t>–</w:t>
      </w:r>
      <w:proofErr w:type="gramStart"/>
      <w:r>
        <w:rPr>
          <w:rFonts w:eastAsia="Calibri" w:cstheme="minorHAnsi"/>
          <w:b/>
          <w:sz w:val="24"/>
          <w:szCs w:val="24"/>
        </w:rPr>
        <w:t>Odra</w:t>
      </w:r>
      <w:proofErr w:type="gramEnd"/>
      <w:r w:rsidR="003C6FCC">
        <w:rPr>
          <w:rFonts w:eastAsia="Calibri" w:cstheme="minorHAnsi"/>
          <w:b/>
          <w:sz w:val="24"/>
          <w:szCs w:val="24"/>
        </w:rPr>
        <w:t>–</w:t>
      </w:r>
      <w:r>
        <w:rPr>
          <w:rFonts w:eastAsia="Calibri" w:cstheme="minorHAnsi"/>
          <w:b/>
          <w:sz w:val="24"/>
          <w:szCs w:val="24"/>
        </w:rPr>
        <w:t xml:space="preserve">Labe </w:t>
      </w:r>
      <w:r w:rsidR="0017798A" w:rsidRPr="00B107BD">
        <w:rPr>
          <w:rFonts w:cstheme="minorHAnsi"/>
          <w:b/>
          <w:sz w:val="24"/>
          <w:szCs w:val="24"/>
        </w:rPr>
        <w:t>(dále také „DOL“)</w:t>
      </w:r>
      <w:r w:rsidR="0017798A" w:rsidRPr="004C3DDD">
        <w:rPr>
          <w:rFonts w:cstheme="minorHAnsi"/>
          <w:sz w:val="24"/>
          <w:szCs w:val="24"/>
        </w:rPr>
        <w:t xml:space="preserve"> </w:t>
      </w:r>
      <w:r>
        <w:rPr>
          <w:rFonts w:eastAsia="Calibri" w:cstheme="minorHAnsi"/>
          <w:b/>
          <w:sz w:val="24"/>
          <w:szCs w:val="24"/>
        </w:rPr>
        <w:t>je</w:t>
      </w:r>
      <w:r w:rsidRPr="008936CC">
        <w:rPr>
          <w:rFonts w:eastAsia="Calibri" w:cstheme="minorHAnsi"/>
          <w:b/>
          <w:sz w:val="24"/>
          <w:szCs w:val="24"/>
        </w:rPr>
        <w:t xml:space="preserve"> </w:t>
      </w:r>
      <w:r w:rsidR="008173B3">
        <w:rPr>
          <w:rFonts w:eastAsia="Calibri" w:cstheme="minorHAnsi"/>
          <w:b/>
          <w:sz w:val="24"/>
          <w:szCs w:val="24"/>
        </w:rPr>
        <w:t>studie</w:t>
      </w:r>
      <w:r w:rsidR="008936CC" w:rsidRPr="008936CC">
        <w:rPr>
          <w:rFonts w:eastAsia="Calibri" w:cstheme="minorHAnsi"/>
          <w:b/>
          <w:sz w:val="24"/>
          <w:szCs w:val="24"/>
        </w:rPr>
        <w:t xml:space="preserve"> z prosince 2018</w:t>
      </w:r>
      <w:r w:rsidR="00B9368E">
        <w:rPr>
          <w:rFonts w:eastAsia="Calibri" w:cstheme="minorHAnsi"/>
          <w:b/>
          <w:sz w:val="24"/>
          <w:szCs w:val="24"/>
        </w:rPr>
        <w:t>, jejíž zpracování za</w:t>
      </w:r>
      <w:r w:rsidR="003F7772">
        <w:rPr>
          <w:rFonts w:eastAsia="Calibri" w:cstheme="minorHAnsi"/>
          <w:b/>
          <w:sz w:val="24"/>
          <w:szCs w:val="24"/>
        </w:rPr>
        <w:t>jisti</w:t>
      </w:r>
      <w:r w:rsidR="00B9368E">
        <w:rPr>
          <w:rFonts w:eastAsia="Calibri" w:cstheme="minorHAnsi"/>
          <w:b/>
          <w:sz w:val="24"/>
          <w:szCs w:val="24"/>
        </w:rPr>
        <w:t>lo MD</w:t>
      </w:r>
      <w:r w:rsidR="008936CC" w:rsidRPr="008936CC">
        <w:rPr>
          <w:rFonts w:eastAsia="Calibri" w:cstheme="minorHAnsi"/>
          <w:b/>
          <w:sz w:val="24"/>
          <w:szCs w:val="24"/>
        </w:rPr>
        <w:t xml:space="preserve">. </w:t>
      </w:r>
      <w:r w:rsidR="003F7772">
        <w:rPr>
          <w:rFonts w:eastAsia="Calibri" w:cstheme="minorHAnsi"/>
          <w:b/>
          <w:sz w:val="24"/>
          <w:szCs w:val="24"/>
        </w:rPr>
        <w:t>Z této studie vyplývá</w:t>
      </w:r>
      <w:r w:rsidR="0017798A">
        <w:rPr>
          <w:rFonts w:eastAsia="Calibri" w:cstheme="minorHAnsi"/>
          <w:b/>
          <w:sz w:val="24"/>
          <w:szCs w:val="24"/>
        </w:rPr>
        <w:t xml:space="preserve">, že výstavba koridoru v plné </w:t>
      </w:r>
      <w:r w:rsidR="008936CC" w:rsidRPr="008936CC">
        <w:rPr>
          <w:rFonts w:eastAsia="Calibri" w:cstheme="minorHAnsi"/>
          <w:b/>
          <w:sz w:val="24"/>
          <w:szCs w:val="24"/>
        </w:rPr>
        <w:t>variantě DOL by byla spojena s řadou rizik, která by mohla způsobit neúčelnost</w:t>
      </w:r>
      <w:r w:rsidR="00593148">
        <w:rPr>
          <w:rFonts w:eastAsia="Calibri" w:cstheme="minorHAnsi"/>
          <w:b/>
          <w:sz w:val="24"/>
          <w:szCs w:val="24"/>
        </w:rPr>
        <w:t xml:space="preserve"> a </w:t>
      </w:r>
      <w:r w:rsidR="008936CC" w:rsidRPr="008936CC">
        <w:rPr>
          <w:rFonts w:eastAsia="Calibri" w:cstheme="minorHAnsi"/>
          <w:b/>
          <w:sz w:val="24"/>
          <w:szCs w:val="24"/>
        </w:rPr>
        <w:t>neefektivnost vynakládání prostředků.</w:t>
      </w:r>
      <w:r w:rsidR="008173B3">
        <w:rPr>
          <w:rFonts w:eastAsia="Calibri" w:cstheme="minorHAnsi"/>
          <w:b/>
          <w:sz w:val="24"/>
          <w:szCs w:val="24"/>
        </w:rPr>
        <w:t xml:space="preserve"> Zároveň</w:t>
      </w:r>
      <w:r w:rsidR="00D26B5D">
        <w:rPr>
          <w:rFonts w:eastAsia="Calibri" w:cstheme="minorHAnsi"/>
          <w:b/>
          <w:sz w:val="24"/>
          <w:szCs w:val="24"/>
        </w:rPr>
        <w:t xml:space="preserve"> </w:t>
      </w:r>
      <w:r w:rsidR="003D0FA0">
        <w:rPr>
          <w:rFonts w:eastAsia="Calibri" w:cstheme="minorHAnsi"/>
          <w:b/>
          <w:sz w:val="24"/>
          <w:szCs w:val="24"/>
        </w:rPr>
        <w:t>není vytvořen</w:t>
      </w:r>
      <w:r w:rsidR="006E54DE">
        <w:rPr>
          <w:rFonts w:eastAsia="Calibri" w:cstheme="minorHAnsi"/>
          <w:b/>
          <w:sz w:val="24"/>
          <w:szCs w:val="24"/>
        </w:rPr>
        <w:t xml:space="preserve"> </w:t>
      </w:r>
      <w:r w:rsidR="008936CC" w:rsidRPr="008936CC">
        <w:rPr>
          <w:rFonts w:eastAsia="Calibri" w:cstheme="minorHAnsi"/>
          <w:b/>
          <w:sz w:val="24"/>
          <w:szCs w:val="24"/>
        </w:rPr>
        <w:t xml:space="preserve">předpoklad pro </w:t>
      </w:r>
      <w:r w:rsidR="003D0FA0">
        <w:rPr>
          <w:rFonts w:eastAsia="Calibri" w:cstheme="minorHAnsi"/>
          <w:b/>
          <w:sz w:val="24"/>
          <w:szCs w:val="24"/>
        </w:rPr>
        <w:t xml:space="preserve">účelné </w:t>
      </w:r>
      <w:r w:rsidR="00D26B5D">
        <w:rPr>
          <w:rFonts w:eastAsia="Calibri" w:cstheme="minorHAnsi"/>
          <w:b/>
          <w:sz w:val="24"/>
          <w:szCs w:val="24"/>
        </w:rPr>
        <w:t xml:space="preserve">pokračování přípravy </w:t>
      </w:r>
      <w:r w:rsidR="008936CC" w:rsidRPr="008936CC">
        <w:rPr>
          <w:rFonts w:eastAsia="Calibri" w:cstheme="minorHAnsi"/>
          <w:b/>
          <w:sz w:val="24"/>
          <w:szCs w:val="24"/>
        </w:rPr>
        <w:t>projektu</w:t>
      </w:r>
      <w:r w:rsidR="003D0FA0">
        <w:rPr>
          <w:rFonts w:eastAsia="Calibri" w:cstheme="minorHAnsi"/>
          <w:b/>
          <w:sz w:val="24"/>
          <w:szCs w:val="24"/>
        </w:rPr>
        <w:t xml:space="preserve">, neboť </w:t>
      </w:r>
      <w:r w:rsidR="00D26B5D">
        <w:rPr>
          <w:rFonts w:eastAsia="Calibri" w:cstheme="minorHAnsi"/>
          <w:b/>
          <w:sz w:val="24"/>
          <w:szCs w:val="24"/>
        </w:rPr>
        <w:t xml:space="preserve">dosud </w:t>
      </w:r>
      <w:r w:rsidR="004453E7">
        <w:rPr>
          <w:rFonts w:eastAsia="Calibri" w:cstheme="minorHAnsi"/>
          <w:b/>
          <w:sz w:val="24"/>
          <w:szCs w:val="24"/>
        </w:rPr>
        <w:t xml:space="preserve">mj. </w:t>
      </w:r>
      <w:r w:rsidR="003D0FA0">
        <w:rPr>
          <w:rFonts w:eastAsia="Calibri" w:cstheme="minorHAnsi"/>
          <w:b/>
          <w:sz w:val="24"/>
          <w:szCs w:val="24"/>
        </w:rPr>
        <w:t xml:space="preserve">nebylo </w:t>
      </w:r>
      <w:r w:rsidR="008936CC" w:rsidRPr="008936CC">
        <w:rPr>
          <w:rFonts w:eastAsia="Calibri" w:cstheme="minorHAnsi"/>
          <w:b/>
          <w:sz w:val="24"/>
          <w:szCs w:val="24"/>
        </w:rPr>
        <w:t>dosažen</w:t>
      </w:r>
      <w:r w:rsidR="003D0FA0">
        <w:rPr>
          <w:rFonts w:eastAsia="Calibri" w:cstheme="minorHAnsi"/>
          <w:b/>
          <w:sz w:val="24"/>
          <w:szCs w:val="24"/>
        </w:rPr>
        <w:t>o</w:t>
      </w:r>
      <w:r w:rsidR="00B107BD">
        <w:rPr>
          <w:rFonts w:eastAsia="Calibri" w:cstheme="minorHAnsi"/>
          <w:b/>
          <w:sz w:val="24"/>
          <w:szCs w:val="24"/>
        </w:rPr>
        <w:t xml:space="preserve"> jednoznačně vyjádřené a </w:t>
      </w:r>
      <w:r w:rsidR="00E33D67">
        <w:rPr>
          <w:rFonts w:eastAsia="Calibri" w:cstheme="minorHAnsi"/>
          <w:b/>
          <w:sz w:val="24"/>
          <w:szCs w:val="24"/>
        </w:rPr>
        <w:t xml:space="preserve">právně </w:t>
      </w:r>
      <w:r w:rsidR="008936CC" w:rsidRPr="008936CC">
        <w:rPr>
          <w:rFonts w:eastAsia="Calibri" w:cstheme="minorHAnsi"/>
          <w:b/>
          <w:sz w:val="24"/>
          <w:szCs w:val="24"/>
        </w:rPr>
        <w:t xml:space="preserve">závazně potvrzené shody všech států, kterých se </w:t>
      </w:r>
      <w:r w:rsidR="00D26B5D">
        <w:rPr>
          <w:rFonts w:eastAsia="Calibri" w:cstheme="minorHAnsi"/>
          <w:b/>
          <w:sz w:val="24"/>
          <w:szCs w:val="24"/>
        </w:rPr>
        <w:t xml:space="preserve">tento mezinárodní </w:t>
      </w:r>
      <w:r w:rsidR="008936CC" w:rsidRPr="008936CC">
        <w:rPr>
          <w:rFonts w:eastAsia="Calibri" w:cstheme="minorHAnsi"/>
          <w:b/>
          <w:sz w:val="24"/>
          <w:szCs w:val="24"/>
        </w:rPr>
        <w:t xml:space="preserve">projekt přímo týká. </w:t>
      </w:r>
    </w:p>
    <w:p w14:paraId="449C04EA" w14:textId="77777777" w:rsidR="00675FE4" w:rsidRPr="00675FE4" w:rsidRDefault="00675FE4" w:rsidP="003C2F39">
      <w:pPr>
        <w:pStyle w:val="Odstavecseseznamem"/>
        <w:tabs>
          <w:tab w:val="left" w:pos="284"/>
        </w:tabs>
        <w:spacing w:after="0" w:line="264" w:lineRule="auto"/>
        <w:ind w:left="0"/>
        <w:contextualSpacing w:val="0"/>
        <w:rPr>
          <w:rFonts w:eastAsia="Calibri" w:cstheme="minorHAnsi"/>
          <w:b/>
          <w:sz w:val="24"/>
          <w:szCs w:val="24"/>
        </w:rPr>
      </w:pPr>
    </w:p>
    <w:p w14:paraId="30756C1C" w14:textId="77777777" w:rsidR="00675FE4" w:rsidRPr="004C3DDD" w:rsidRDefault="00E8036B" w:rsidP="003C2F39">
      <w:pPr>
        <w:pStyle w:val="Odstavecseseznamem"/>
        <w:numPr>
          <w:ilvl w:val="0"/>
          <w:numId w:val="31"/>
        </w:numPr>
        <w:tabs>
          <w:tab w:val="left" w:pos="284"/>
        </w:tabs>
        <w:spacing w:after="0" w:line="264" w:lineRule="auto"/>
        <w:ind w:left="0" w:firstLine="0"/>
        <w:contextualSpacing w:val="0"/>
        <w:jc w:val="both"/>
        <w:rPr>
          <w:rFonts w:eastAsia="Calibri" w:cstheme="minorHAnsi"/>
          <w:b/>
          <w:sz w:val="24"/>
          <w:szCs w:val="24"/>
        </w:rPr>
      </w:pPr>
      <w:r w:rsidRPr="004C3DDD">
        <w:rPr>
          <w:rFonts w:eastAsia="Calibri" w:cstheme="minorHAnsi"/>
          <w:b/>
          <w:sz w:val="24"/>
          <w:szCs w:val="24"/>
        </w:rPr>
        <w:t>Podporou modernizace plavidel nákladní říční dopravy</w:t>
      </w:r>
      <w:r w:rsidR="007A1E1F" w:rsidRPr="004C3DDD">
        <w:rPr>
          <w:rFonts w:eastAsia="Calibri" w:cstheme="minorHAnsi"/>
          <w:b/>
          <w:sz w:val="24"/>
          <w:szCs w:val="24"/>
        </w:rPr>
        <w:t xml:space="preserve"> ve výši 53,4 mil. Kč</w:t>
      </w:r>
      <w:r w:rsidRPr="004C3DDD">
        <w:rPr>
          <w:rFonts w:eastAsia="Calibri" w:cstheme="minorHAnsi"/>
          <w:b/>
          <w:sz w:val="24"/>
          <w:szCs w:val="24"/>
        </w:rPr>
        <w:t>, o jejímž poskyt</w:t>
      </w:r>
      <w:r w:rsidR="008173B3" w:rsidRPr="004C3DDD">
        <w:rPr>
          <w:rFonts w:eastAsia="Calibri" w:cstheme="minorHAnsi"/>
          <w:b/>
          <w:sz w:val="24"/>
          <w:szCs w:val="24"/>
        </w:rPr>
        <w:t>nut</w:t>
      </w:r>
      <w:r w:rsidRPr="004C3DDD">
        <w:rPr>
          <w:rFonts w:eastAsia="Calibri" w:cstheme="minorHAnsi"/>
          <w:b/>
          <w:sz w:val="24"/>
          <w:szCs w:val="24"/>
        </w:rPr>
        <w:t xml:space="preserve">í </w:t>
      </w:r>
      <w:r w:rsidR="00BF531D" w:rsidRPr="004C3DDD">
        <w:rPr>
          <w:rFonts w:eastAsia="Calibri" w:cstheme="minorHAnsi"/>
          <w:b/>
          <w:sz w:val="24"/>
          <w:szCs w:val="24"/>
        </w:rPr>
        <w:t xml:space="preserve">v letech 2008–2015 </w:t>
      </w:r>
      <w:r w:rsidRPr="004C3DDD">
        <w:rPr>
          <w:rFonts w:eastAsia="Calibri" w:cstheme="minorHAnsi"/>
          <w:b/>
          <w:sz w:val="24"/>
          <w:szCs w:val="24"/>
        </w:rPr>
        <w:t xml:space="preserve">rozhodlo MD, bylo dosaženo pouze dílčích cílů. </w:t>
      </w:r>
      <w:r w:rsidR="00675FE4" w:rsidRPr="004C3DDD">
        <w:rPr>
          <w:rFonts w:cstheme="minorHAnsi"/>
          <w:b/>
          <w:sz w:val="24"/>
          <w:szCs w:val="24"/>
        </w:rPr>
        <w:t>Zajištěno není významné zefektivnění provozu modernizovaných plavidel, ani jejich dlouhodobé využívání s přínosy ve prospěch České republiky. NKÚ proto výše uvedené peněžní prostředky nepovažuje za dostatečně účelně a efektivně vynaložené.</w:t>
      </w:r>
    </w:p>
    <w:p w14:paraId="23C1459E" w14:textId="77777777" w:rsidR="00675FE4" w:rsidRPr="004C3DDD" w:rsidRDefault="00675FE4" w:rsidP="003C2F39">
      <w:pPr>
        <w:pStyle w:val="Odstavecseseznamem"/>
        <w:tabs>
          <w:tab w:val="left" w:pos="284"/>
        </w:tabs>
        <w:spacing w:after="0" w:line="264" w:lineRule="auto"/>
        <w:ind w:left="0"/>
        <w:contextualSpacing w:val="0"/>
        <w:rPr>
          <w:rFonts w:eastAsia="Calibri" w:cstheme="minorHAnsi"/>
          <w:b/>
          <w:sz w:val="24"/>
          <w:szCs w:val="24"/>
        </w:rPr>
      </w:pPr>
    </w:p>
    <w:p w14:paraId="489870E6" w14:textId="4B4854FC" w:rsidR="00151F2A" w:rsidRPr="004C3DDD" w:rsidRDefault="00CE7FB9" w:rsidP="003C2F39">
      <w:pPr>
        <w:pStyle w:val="Odstavecseseznamem"/>
        <w:numPr>
          <w:ilvl w:val="0"/>
          <w:numId w:val="31"/>
        </w:numPr>
        <w:tabs>
          <w:tab w:val="left" w:pos="284"/>
        </w:tabs>
        <w:spacing w:after="0" w:line="264" w:lineRule="auto"/>
        <w:ind w:left="0" w:firstLine="0"/>
        <w:contextualSpacing w:val="0"/>
        <w:jc w:val="both"/>
        <w:rPr>
          <w:rFonts w:eastAsia="Calibri" w:cstheme="minorHAnsi"/>
          <w:b/>
          <w:sz w:val="24"/>
          <w:szCs w:val="24"/>
        </w:rPr>
      </w:pPr>
      <w:r w:rsidRPr="004C3DDD">
        <w:rPr>
          <w:rFonts w:eastAsia="Calibri" w:cstheme="minorHAnsi"/>
          <w:b/>
          <w:sz w:val="24"/>
          <w:szCs w:val="24"/>
        </w:rPr>
        <w:t>N</w:t>
      </w:r>
      <w:r w:rsidR="00532540" w:rsidRPr="004C3DDD">
        <w:rPr>
          <w:rFonts w:eastAsia="Calibri" w:cstheme="minorHAnsi"/>
          <w:b/>
          <w:sz w:val="24"/>
          <w:szCs w:val="24"/>
        </w:rPr>
        <w:t xml:space="preserve">ejasné </w:t>
      </w:r>
      <w:r w:rsidR="006C08DE" w:rsidRPr="004C3DDD">
        <w:rPr>
          <w:rFonts w:eastAsia="Calibri" w:cstheme="minorHAnsi"/>
          <w:b/>
          <w:sz w:val="24"/>
          <w:szCs w:val="24"/>
        </w:rPr>
        <w:t xml:space="preserve">nastavení </w:t>
      </w:r>
      <w:r w:rsidR="00EE2AF6" w:rsidRPr="004C3DDD">
        <w:rPr>
          <w:rFonts w:eastAsia="Calibri" w:cstheme="minorHAnsi"/>
          <w:b/>
          <w:sz w:val="24"/>
          <w:szCs w:val="24"/>
        </w:rPr>
        <w:t>p</w:t>
      </w:r>
      <w:r w:rsidR="003A073A" w:rsidRPr="004C3DDD">
        <w:rPr>
          <w:rFonts w:eastAsia="Calibri" w:cstheme="minorHAnsi"/>
          <w:b/>
          <w:sz w:val="24"/>
          <w:szCs w:val="24"/>
        </w:rPr>
        <w:t>odmín</w:t>
      </w:r>
      <w:r w:rsidR="00E8036B" w:rsidRPr="004C3DDD">
        <w:rPr>
          <w:rFonts w:eastAsia="Calibri" w:cstheme="minorHAnsi"/>
          <w:b/>
          <w:sz w:val="24"/>
          <w:szCs w:val="24"/>
        </w:rPr>
        <w:t>e</w:t>
      </w:r>
      <w:r w:rsidR="003A073A" w:rsidRPr="004C3DDD">
        <w:rPr>
          <w:rFonts w:eastAsia="Calibri" w:cstheme="minorHAnsi"/>
          <w:b/>
          <w:sz w:val="24"/>
          <w:szCs w:val="24"/>
        </w:rPr>
        <w:t>k</w:t>
      </w:r>
      <w:r w:rsidR="006C08DE" w:rsidRPr="004C3DDD">
        <w:rPr>
          <w:rFonts w:eastAsia="Calibri" w:cstheme="minorHAnsi"/>
          <w:b/>
          <w:sz w:val="24"/>
          <w:szCs w:val="24"/>
        </w:rPr>
        <w:t xml:space="preserve"> </w:t>
      </w:r>
      <w:r w:rsidR="00DB493F" w:rsidRPr="004C3DDD">
        <w:rPr>
          <w:rFonts w:eastAsia="Calibri" w:cstheme="minorHAnsi"/>
          <w:b/>
          <w:sz w:val="24"/>
          <w:szCs w:val="24"/>
        </w:rPr>
        <w:t>pro</w:t>
      </w:r>
      <w:r w:rsidR="006C08DE" w:rsidRPr="004C3DDD">
        <w:rPr>
          <w:rFonts w:eastAsia="Calibri" w:cstheme="minorHAnsi"/>
          <w:b/>
          <w:sz w:val="24"/>
          <w:szCs w:val="24"/>
        </w:rPr>
        <w:t xml:space="preserve"> optimální alokaci</w:t>
      </w:r>
      <w:r w:rsidR="00E8036B" w:rsidRPr="004C3DDD">
        <w:rPr>
          <w:rFonts w:eastAsia="Calibri" w:cstheme="minorHAnsi"/>
          <w:b/>
          <w:sz w:val="24"/>
          <w:szCs w:val="24"/>
        </w:rPr>
        <w:t xml:space="preserve"> podpory</w:t>
      </w:r>
      <w:r w:rsidR="00DB493F" w:rsidRPr="004C3DDD">
        <w:rPr>
          <w:rFonts w:eastAsia="Calibri" w:cstheme="minorHAnsi"/>
          <w:b/>
          <w:sz w:val="24"/>
          <w:szCs w:val="24"/>
        </w:rPr>
        <w:t xml:space="preserve"> nezaručuj</w:t>
      </w:r>
      <w:r w:rsidR="00314E7F" w:rsidRPr="004C3DDD">
        <w:rPr>
          <w:rFonts w:eastAsia="Calibri" w:cstheme="minorHAnsi"/>
          <w:b/>
          <w:sz w:val="24"/>
          <w:szCs w:val="24"/>
        </w:rPr>
        <w:t>e</w:t>
      </w:r>
      <w:r w:rsidR="00593148">
        <w:rPr>
          <w:rFonts w:eastAsia="Calibri" w:cstheme="minorHAnsi"/>
          <w:b/>
          <w:sz w:val="24"/>
          <w:szCs w:val="24"/>
        </w:rPr>
        <w:t xml:space="preserve"> účelnost a </w:t>
      </w:r>
      <w:r w:rsidR="007A1E1F" w:rsidRPr="004C3DDD">
        <w:rPr>
          <w:rFonts w:eastAsia="Calibri" w:cstheme="minorHAnsi"/>
          <w:b/>
          <w:sz w:val="24"/>
          <w:szCs w:val="24"/>
        </w:rPr>
        <w:t>efektivnost vynaložení</w:t>
      </w:r>
      <w:r w:rsidR="00612EE3" w:rsidRPr="004C3DDD">
        <w:rPr>
          <w:rFonts w:eastAsia="Calibri" w:cstheme="minorHAnsi"/>
          <w:b/>
          <w:sz w:val="24"/>
          <w:szCs w:val="24"/>
        </w:rPr>
        <w:t xml:space="preserve"> peněžních prostředků</w:t>
      </w:r>
      <w:r w:rsidR="00675FE4" w:rsidRPr="004C3DDD">
        <w:rPr>
          <w:rFonts w:eastAsia="Calibri" w:cstheme="minorHAnsi"/>
          <w:b/>
          <w:sz w:val="24"/>
          <w:szCs w:val="24"/>
        </w:rPr>
        <w:t xml:space="preserve"> ani v dalších letech, tedy </w:t>
      </w:r>
      <w:r w:rsidR="00C151F1" w:rsidRPr="004C3DDD">
        <w:rPr>
          <w:rFonts w:eastAsia="Calibri" w:cstheme="minorHAnsi"/>
          <w:b/>
          <w:sz w:val="24"/>
          <w:szCs w:val="24"/>
        </w:rPr>
        <w:t>p</w:t>
      </w:r>
      <w:r w:rsidR="00D81ED9" w:rsidRPr="004C3DDD">
        <w:rPr>
          <w:rFonts w:eastAsia="Calibri" w:cstheme="minorHAnsi"/>
          <w:b/>
          <w:sz w:val="24"/>
          <w:szCs w:val="24"/>
        </w:rPr>
        <w:t>odpory v celkovém předpokládaném objemu 420</w:t>
      </w:r>
      <w:r w:rsidR="006E5195" w:rsidRPr="004C3DDD">
        <w:rPr>
          <w:rFonts w:eastAsia="Calibri" w:cstheme="minorHAnsi"/>
          <w:b/>
          <w:sz w:val="24"/>
          <w:szCs w:val="24"/>
        </w:rPr>
        <w:t xml:space="preserve"> </w:t>
      </w:r>
      <w:r w:rsidR="00D81ED9" w:rsidRPr="004C3DDD">
        <w:rPr>
          <w:rFonts w:eastAsia="Calibri" w:cstheme="minorHAnsi"/>
          <w:b/>
          <w:sz w:val="24"/>
          <w:szCs w:val="24"/>
        </w:rPr>
        <w:t xml:space="preserve">mil. Kč, o jejímž poskytnutí MD </w:t>
      </w:r>
      <w:r w:rsidR="005E7860" w:rsidRPr="004C3DDD">
        <w:rPr>
          <w:rFonts w:eastAsia="Calibri" w:cstheme="minorHAnsi"/>
          <w:b/>
          <w:sz w:val="24"/>
          <w:szCs w:val="24"/>
        </w:rPr>
        <w:t xml:space="preserve">v době kontroly </w:t>
      </w:r>
      <w:r w:rsidR="00D81ED9" w:rsidRPr="004C3DDD">
        <w:rPr>
          <w:rFonts w:eastAsia="Calibri" w:cstheme="minorHAnsi"/>
          <w:b/>
          <w:sz w:val="24"/>
          <w:szCs w:val="24"/>
        </w:rPr>
        <w:t>rozhod</w:t>
      </w:r>
      <w:r w:rsidR="005E7860" w:rsidRPr="004C3DDD">
        <w:rPr>
          <w:rFonts w:eastAsia="Calibri" w:cstheme="minorHAnsi"/>
          <w:b/>
          <w:sz w:val="24"/>
          <w:szCs w:val="24"/>
        </w:rPr>
        <w:t>ovalo</w:t>
      </w:r>
      <w:r w:rsidR="00C151F1" w:rsidRPr="004C3DDD">
        <w:rPr>
          <w:rFonts w:eastAsia="Calibri" w:cstheme="minorHAnsi"/>
          <w:b/>
          <w:sz w:val="24"/>
          <w:szCs w:val="24"/>
        </w:rPr>
        <w:t>.</w:t>
      </w:r>
      <w:r w:rsidR="00D81ED9" w:rsidRPr="004C3DDD">
        <w:rPr>
          <w:rFonts w:eastAsia="Calibri" w:cstheme="minorHAnsi"/>
          <w:b/>
          <w:sz w:val="24"/>
          <w:szCs w:val="24"/>
        </w:rPr>
        <w:t xml:space="preserve"> </w:t>
      </w:r>
    </w:p>
    <w:p w14:paraId="1B3011BB" w14:textId="77777777" w:rsidR="00151F2A" w:rsidRPr="00151F2A" w:rsidRDefault="00151F2A" w:rsidP="003C2F39">
      <w:pPr>
        <w:pStyle w:val="Odstavecseseznamem"/>
        <w:tabs>
          <w:tab w:val="left" w:pos="284"/>
        </w:tabs>
        <w:spacing w:after="0" w:line="264" w:lineRule="auto"/>
        <w:ind w:left="0"/>
        <w:contextualSpacing w:val="0"/>
        <w:rPr>
          <w:rFonts w:eastAsia="Calibri" w:cstheme="minorHAnsi"/>
          <w:b/>
          <w:sz w:val="24"/>
          <w:szCs w:val="24"/>
        </w:rPr>
      </w:pPr>
    </w:p>
    <w:p w14:paraId="1E24F52C" w14:textId="77777777" w:rsidR="006E54DE" w:rsidRPr="00151F2A" w:rsidRDefault="00E8036B" w:rsidP="003C2F39">
      <w:pPr>
        <w:pStyle w:val="Odstavecseseznamem"/>
        <w:numPr>
          <w:ilvl w:val="0"/>
          <w:numId w:val="31"/>
        </w:numPr>
        <w:tabs>
          <w:tab w:val="left" w:pos="284"/>
        </w:tabs>
        <w:spacing w:after="0" w:line="264" w:lineRule="auto"/>
        <w:ind w:left="0" w:firstLine="0"/>
        <w:contextualSpacing w:val="0"/>
        <w:jc w:val="both"/>
        <w:rPr>
          <w:rFonts w:eastAsia="Calibri" w:cstheme="minorHAnsi"/>
          <w:b/>
          <w:sz w:val="24"/>
          <w:szCs w:val="24"/>
        </w:rPr>
      </w:pPr>
      <w:r w:rsidRPr="00151F2A">
        <w:rPr>
          <w:rFonts w:eastAsia="Calibri" w:cstheme="minorHAnsi"/>
          <w:b/>
          <w:sz w:val="24"/>
          <w:szCs w:val="24"/>
        </w:rPr>
        <w:t>MD nevytvořilo systém indikátorů umožňující měřit míru dosažení stanovených cílů a</w:t>
      </w:r>
      <w:r w:rsidR="00830BD1">
        <w:rPr>
          <w:rFonts w:eastAsia="Calibri" w:cstheme="minorHAnsi"/>
          <w:b/>
          <w:sz w:val="24"/>
          <w:szCs w:val="24"/>
        </w:rPr>
        <w:t> </w:t>
      </w:r>
      <w:r w:rsidRPr="00151F2A">
        <w:rPr>
          <w:rFonts w:eastAsia="Calibri" w:cstheme="minorHAnsi"/>
          <w:b/>
          <w:sz w:val="24"/>
          <w:szCs w:val="24"/>
        </w:rPr>
        <w:t>poskytující podklad pro vyhodnocení efektivnosti podpory</w:t>
      </w:r>
      <w:r w:rsidR="00C361A9">
        <w:rPr>
          <w:rFonts w:eastAsia="Calibri" w:cstheme="minorHAnsi"/>
          <w:b/>
          <w:sz w:val="24"/>
          <w:szCs w:val="24"/>
        </w:rPr>
        <w:t xml:space="preserve"> </w:t>
      </w:r>
      <w:r w:rsidR="00C361A9" w:rsidRPr="00151F2A">
        <w:rPr>
          <w:rFonts w:eastAsia="Calibri" w:cstheme="minorHAnsi"/>
          <w:b/>
          <w:sz w:val="24"/>
          <w:szCs w:val="24"/>
        </w:rPr>
        <w:t>poskytnuté</w:t>
      </w:r>
      <w:r w:rsidR="00C361A9">
        <w:rPr>
          <w:rFonts w:eastAsia="Calibri" w:cstheme="minorHAnsi"/>
          <w:b/>
          <w:sz w:val="24"/>
          <w:szCs w:val="24"/>
        </w:rPr>
        <w:t xml:space="preserve"> na modernizaci plavidel</w:t>
      </w:r>
      <w:r w:rsidRPr="00151F2A">
        <w:rPr>
          <w:rFonts w:eastAsia="Calibri" w:cstheme="minorHAnsi"/>
          <w:b/>
          <w:sz w:val="24"/>
          <w:szCs w:val="24"/>
        </w:rPr>
        <w:t xml:space="preserve">. </w:t>
      </w:r>
      <w:r w:rsidR="00C361A9">
        <w:rPr>
          <w:rFonts w:eastAsia="Calibri" w:cstheme="minorHAnsi"/>
          <w:b/>
          <w:sz w:val="24"/>
          <w:szCs w:val="24"/>
        </w:rPr>
        <w:t>V</w:t>
      </w:r>
      <w:r w:rsidR="00AB05CF">
        <w:rPr>
          <w:rFonts w:eastAsia="Calibri" w:cstheme="minorHAnsi"/>
          <w:b/>
          <w:sz w:val="24"/>
          <w:szCs w:val="24"/>
        </w:rPr>
        <w:t xml:space="preserve"> době od zahájení realizace </w:t>
      </w:r>
      <w:r w:rsidR="00AB05CF" w:rsidRPr="00C90C82">
        <w:rPr>
          <w:rFonts w:eastAsia="Calibri" w:cstheme="minorHAnsi"/>
          <w:b/>
          <w:sz w:val="24"/>
          <w:szCs w:val="24"/>
        </w:rPr>
        <w:t>programu č. 127</w:t>
      </w:r>
      <w:r w:rsidR="00AB05CF">
        <w:rPr>
          <w:rFonts w:eastAsia="Calibri" w:cstheme="minorHAnsi"/>
          <w:b/>
          <w:sz w:val="24"/>
          <w:szCs w:val="24"/>
        </w:rPr>
        <w:t> </w:t>
      </w:r>
      <w:r w:rsidR="00AB05CF" w:rsidRPr="00C90C82">
        <w:rPr>
          <w:rFonts w:eastAsia="Calibri" w:cstheme="minorHAnsi"/>
          <w:b/>
          <w:sz w:val="24"/>
          <w:szCs w:val="24"/>
        </w:rPr>
        <w:t>550</w:t>
      </w:r>
      <w:r w:rsidR="00AB05CF">
        <w:rPr>
          <w:rFonts w:eastAsia="Calibri" w:cstheme="minorHAnsi"/>
          <w:b/>
          <w:sz w:val="24"/>
          <w:szCs w:val="24"/>
        </w:rPr>
        <w:t xml:space="preserve"> v roce 2008 do doby ukončení kontroly NKÚ ú</w:t>
      </w:r>
      <w:r w:rsidR="00D81ED9" w:rsidRPr="00151F2A">
        <w:rPr>
          <w:rFonts w:eastAsia="Calibri" w:cstheme="minorHAnsi"/>
          <w:b/>
          <w:sz w:val="24"/>
          <w:szCs w:val="24"/>
        </w:rPr>
        <w:t xml:space="preserve">činky poskytnuté podpory </w:t>
      </w:r>
      <w:r w:rsidR="00C361A9">
        <w:rPr>
          <w:rFonts w:eastAsia="Calibri" w:cstheme="minorHAnsi"/>
          <w:b/>
          <w:sz w:val="24"/>
          <w:szCs w:val="24"/>
        </w:rPr>
        <w:t xml:space="preserve">MD </w:t>
      </w:r>
      <w:r w:rsidR="00D81ED9" w:rsidRPr="00151F2A">
        <w:rPr>
          <w:rFonts w:eastAsia="Calibri" w:cstheme="minorHAnsi"/>
          <w:b/>
          <w:sz w:val="24"/>
          <w:szCs w:val="24"/>
        </w:rPr>
        <w:t>souhrnně nevyhodnotilo.</w:t>
      </w:r>
    </w:p>
    <w:p w14:paraId="0ADE6258" w14:textId="77777777" w:rsidR="005E4FF4" w:rsidRPr="00C90C82" w:rsidRDefault="005E4FF4" w:rsidP="003C2F39">
      <w:pPr>
        <w:pStyle w:val="Odstavecseseznamem"/>
        <w:tabs>
          <w:tab w:val="left" w:pos="284"/>
        </w:tabs>
        <w:spacing w:after="0" w:line="264" w:lineRule="auto"/>
        <w:ind w:left="0"/>
        <w:contextualSpacing w:val="0"/>
        <w:jc w:val="both"/>
        <w:rPr>
          <w:rFonts w:eastAsia="Calibri" w:cstheme="minorHAnsi"/>
          <w:b/>
          <w:sz w:val="24"/>
          <w:szCs w:val="24"/>
        </w:rPr>
      </w:pPr>
    </w:p>
    <w:p w14:paraId="106F76C7" w14:textId="77777777" w:rsidR="00305B89" w:rsidRDefault="00E8036B" w:rsidP="003C2F39">
      <w:pPr>
        <w:pStyle w:val="Odstavecseseznamem"/>
        <w:numPr>
          <w:ilvl w:val="0"/>
          <w:numId w:val="31"/>
        </w:numPr>
        <w:tabs>
          <w:tab w:val="left" w:pos="284"/>
        </w:tabs>
        <w:autoSpaceDE w:val="0"/>
        <w:autoSpaceDN w:val="0"/>
        <w:adjustRightInd w:val="0"/>
        <w:spacing w:after="0" w:line="264" w:lineRule="auto"/>
        <w:ind w:left="0" w:firstLine="0"/>
        <w:contextualSpacing w:val="0"/>
        <w:jc w:val="both"/>
        <w:rPr>
          <w:rFonts w:eastAsia="Calibri" w:cstheme="minorHAnsi"/>
          <w:b/>
          <w:sz w:val="24"/>
          <w:szCs w:val="24"/>
        </w:rPr>
      </w:pPr>
      <w:r w:rsidRPr="00C90C82">
        <w:rPr>
          <w:rFonts w:eastAsia="Calibri" w:cstheme="minorHAnsi"/>
          <w:b/>
          <w:sz w:val="24"/>
          <w:szCs w:val="24"/>
        </w:rPr>
        <w:t xml:space="preserve">MD řádně neplnilo povinnosti správce programu č. 127 550, </w:t>
      </w:r>
      <w:r w:rsidR="00DB493F">
        <w:rPr>
          <w:rFonts w:eastAsia="Calibri" w:cstheme="minorHAnsi"/>
          <w:b/>
          <w:sz w:val="24"/>
          <w:szCs w:val="24"/>
        </w:rPr>
        <w:t>neboť</w:t>
      </w:r>
      <w:r w:rsidRPr="00C90C82">
        <w:rPr>
          <w:rFonts w:eastAsia="Calibri" w:cstheme="minorHAnsi"/>
          <w:b/>
          <w:sz w:val="24"/>
          <w:szCs w:val="24"/>
        </w:rPr>
        <w:t xml:space="preserve"> dostatečně nekontrolovalo a nevyhodnocovalo plnění podmínek, které stanovilo příjemcům podpory na modernizaci plavidel. </w:t>
      </w:r>
    </w:p>
    <w:p w14:paraId="1F2C7B99" w14:textId="77777777" w:rsidR="00305B89" w:rsidRPr="00305B89" w:rsidRDefault="00305B89" w:rsidP="003C2F39">
      <w:pPr>
        <w:pStyle w:val="Odstavecseseznamem"/>
        <w:tabs>
          <w:tab w:val="left" w:pos="284"/>
        </w:tabs>
        <w:spacing w:after="0" w:line="264" w:lineRule="auto"/>
        <w:ind w:left="0"/>
        <w:contextualSpacing w:val="0"/>
        <w:rPr>
          <w:rFonts w:eastAsia="Calibri" w:cstheme="minorHAnsi"/>
          <w:b/>
          <w:sz w:val="24"/>
          <w:szCs w:val="24"/>
        </w:rPr>
      </w:pPr>
    </w:p>
    <w:p w14:paraId="088E651E" w14:textId="447397F0" w:rsidR="00AB445A" w:rsidRPr="00305B89" w:rsidRDefault="00E8036B" w:rsidP="003C2F39">
      <w:pPr>
        <w:pStyle w:val="Odstavecseseznamem"/>
        <w:numPr>
          <w:ilvl w:val="0"/>
          <w:numId w:val="31"/>
        </w:numPr>
        <w:tabs>
          <w:tab w:val="left" w:pos="284"/>
        </w:tabs>
        <w:autoSpaceDE w:val="0"/>
        <w:autoSpaceDN w:val="0"/>
        <w:adjustRightInd w:val="0"/>
        <w:spacing w:after="0" w:line="264" w:lineRule="auto"/>
        <w:ind w:left="0" w:firstLine="0"/>
        <w:contextualSpacing w:val="0"/>
        <w:jc w:val="both"/>
        <w:rPr>
          <w:rFonts w:eastAsia="Calibri" w:cstheme="minorHAnsi"/>
          <w:b/>
          <w:sz w:val="24"/>
          <w:szCs w:val="24"/>
        </w:rPr>
      </w:pPr>
      <w:r w:rsidRPr="00305B89">
        <w:rPr>
          <w:rFonts w:eastAsia="Calibri" w:cstheme="minorHAnsi"/>
          <w:b/>
          <w:sz w:val="24"/>
          <w:szCs w:val="24"/>
        </w:rPr>
        <w:t>MD řádně neplnilo</w:t>
      </w:r>
      <w:r w:rsidR="00AB445A" w:rsidRPr="00305B89">
        <w:rPr>
          <w:rFonts w:eastAsia="Calibri" w:cstheme="minorHAnsi"/>
          <w:b/>
          <w:sz w:val="24"/>
          <w:szCs w:val="24"/>
        </w:rPr>
        <w:t xml:space="preserve"> povinnosti řídicího orgánu </w:t>
      </w:r>
      <w:r w:rsidR="00106AE0">
        <w:rPr>
          <w:rFonts w:eastAsia="Calibri" w:cstheme="minorHAnsi"/>
          <w:b/>
          <w:sz w:val="24"/>
          <w:szCs w:val="24"/>
        </w:rPr>
        <w:t>o</w:t>
      </w:r>
      <w:r w:rsidR="00AB445A" w:rsidRPr="00305B89">
        <w:rPr>
          <w:rFonts w:eastAsia="Calibri" w:cstheme="minorHAnsi"/>
          <w:b/>
          <w:sz w:val="24"/>
          <w:szCs w:val="24"/>
        </w:rPr>
        <w:t xml:space="preserve">peračního programu </w:t>
      </w:r>
      <w:r w:rsidR="00AB445A" w:rsidRPr="00435EF1">
        <w:rPr>
          <w:rFonts w:eastAsia="Calibri" w:cstheme="minorHAnsi"/>
          <w:b/>
          <w:i/>
          <w:sz w:val="24"/>
          <w:szCs w:val="24"/>
        </w:rPr>
        <w:t>Doprava</w:t>
      </w:r>
      <w:r w:rsidR="00106AE0">
        <w:rPr>
          <w:rFonts w:eastAsia="Calibri" w:cstheme="minorHAnsi"/>
          <w:b/>
          <w:sz w:val="24"/>
          <w:szCs w:val="24"/>
        </w:rPr>
        <w:t xml:space="preserve"> </w:t>
      </w:r>
      <w:r w:rsidR="0032743B">
        <w:rPr>
          <w:rFonts w:eastAsia="Calibri" w:cstheme="minorHAnsi"/>
          <w:b/>
          <w:sz w:val="24"/>
          <w:szCs w:val="24"/>
        </w:rPr>
        <w:br/>
      </w:r>
      <w:r w:rsidR="00AB445A" w:rsidRPr="00305B89">
        <w:rPr>
          <w:rFonts w:eastAsia="Calibri" w:cstheme="minorHAnsi"/>
          <w:b/>
          <w:sz w:val="24"/>
          <w:szCs w:val="24"/>
        </w:rPr>
        <w:t xml:space="preserve">2007–2013, </w:t>
      </w:r>
      <w:r w:rsidR="00DB493F" w:rsidRPr="00305B89">
        <w:rPr>
          <w:rFonts w:eastAsia="Calibri" w:cstheme="minorHAnsi"/>
          <w:b/>
          <w:sz w:val="24"/>
          <w:szCs w:val="24"/>
        </w:rPr>
        <w:t>neboť</w:t>
      </w:r>
      <w:r w:rsidR="00AB445A" w:rsidRPr="00305B89">
        <w:rPr>
          <w:rFonts w:eastAsia="Calibri" w:cstheme="minorHAnsi"/>
          <w:b/>
          <w:sz w:val="24"/>
          <w:szCs w:val="24"/>
        </w:rPr>
        <w:t xml:space="preserve"> v případě šesti ze sedmi kontrolovaných projektů schválilo následné monitorovací zprávy za roky 2016 a 2017, přestože obsahovaly zásadní nedostatky v prokazování plnění </w:t>
      </w:r>
      <w:r w:rsidR="00612EE3" w:rsidRPr="00305B89">
        <w:rPr>
          <w:rFonts w:eastAsia="Calibri" w:cstheme="minorHAnsi"/>
          <w:b/>
          <w:sz w:val="24"/>
          <w:szCs w:val="24"/>
        </w:rPr>
        <w:t>stanovených</w:t>
      </w:r>
      <w:r w:rsidR="004737E2" w:rsidRPr="00305B89">
        <w:rPr>
          <w:rFonts w:eastAsia="Calibri" w:cstheme="minorHAnsi"/>
          <w:b/>
          <w:sz w:val="24"/>
          <w:szCs w:val="24"/>
        </w:rPr>
        <w:t xml:space="preserve"> podmínek. </w:t>
      </w:r>
      <w:r w:rsidRPr="00305B89">
        <w:rPr>
          <w:rFonts w:eastAsia="Calibri" w:cstheme="minorHAnsi"/>
          <w:b/>
          <w:sz w:val="24"/>
          <w:szCs w:val="24"/>
        </w:rPr>
        <w:t>N</w:t>
      </w:r>
      <w:r w:rsidR="007D2E64" w:rsidRPr="00305B89">
        <w:rPr>
          <w:rFonts w:eastAsia="Calibri" w:cstheme="minorHAnsi"/>
          <w:b/>
          <w:sz w:val="24"/>
          <w:szCs w:val="24"/>
        </w:rPr>
        <w:t>ěkter</w:t>
      </w:r>
      <w:r w:rsidRPr="00305B89">
        <w:rPr>
          <w:rFonts w:eastAsia="Calibri" w:cstheme="minorHAnsi"/>
          <w:b/>
          <w:sz w:val="24"/>
          <w:szCs w:val="24"/>
        </w:rPr>
        <w:t>é</w:t>
      </w:r>
      <w:r w:rsidR="007D2E64" w:rsidRPr="00305B89">
        <w:rPr>
          <w:rFonts w:eastAsia="Calibri" w:cstheme="minorHAnsi"/>
          <w:b/>
          <w:sz w:val="24"/>
          <w:szCs w:val="24"/>
        </w:rPr>
        <w:t xml:space="preserve"> </w:t>
      </w:r>
      <w:r w:rsidRPr="00305B89">
        <w:rPr>
          <w:rFonts w:eastAsia="Calibri" w:cstheme="minorHAnsi"/>
          <w:b/>
          <w:sz w:val="24"/>
          <w:szCs w:val="24"/>
        </w:rPr>
        <w:t>podmínky pro využití modernizovaných plavidel MD formulovalo nekonkrétně, takže neumožňují provést kontrolu jejich splnění s jednoznačným výsledkem.</w:t>
      </w:r>
    </w:p>
    <w:p w14:paraId="59C9DCC7" w14:textId="77777777" w:rsidR="00497374" w:rsidRDefault="00497374" w:rsidP="003C2F39">
      <w:pPr>
        <w:pStyle w:val="Odstavecseseznamem"/>
        <w:tabs>
          <w:tab w:val="left" w:pos="284"/>
        </w:tabs>
        <w:autoSpaceDE w:val="0"/>
        <w:autoSpaceDN w:val="0"/>
        <w:adjustRightInd w:val="0"/>
        <w:spacing w:after="0" w:line="264" w:lineRule="auto"/>
        <w:ind w:left="0"/>
        <w:contextualSpacing w:val="0"/>
        <w:jc w:val="both"/>
        <w:rPr>
          <w:rFonts w:eastAsia="Calibri" w:cstheme="minorHAnsi"/>
          <w:b/>
          <w:sz w:val="24"/>
          <w:szCs w:val="24"/>
        </w:rPr>
      </w:pPr>
    </w:p>
    <w:p w14:paraId="3027B6EE" w14:textId="2198AB21" w:rsidR="00497374" w:rsidRPr="00C90C82" w:rsidRDefault="00A1412D" w:rsidP="003C2F39">
      <w:pPr>
        <w:pStyle w:val="Odstavecseseznamem"/>
        <w:numPr>
          <w:ilvl w:val="0"/>
          <w:numId w:val="31"/>
        </w:numPr>
        <w:tabs>
          <w:tab w:val="left" w:pos="284"/>
        </w:tabs>
        <w:autoSpaceDE w:val="0"/>
        <w:autoSpaceDN w:val="0"/>
        <w:adjustRightInd w:val="0"/>
        <w:spacing w:after="0" w:line="264" w:lineRule="auto"/>
        <w:ind w:left="0" w:firstLine="0"/>
        <w:contextualSpacing w:val="0"/>
        <w:jc w:val="both"/>
        <w:rPr>
          <w:rFonts w:cstheme="minorHAnsi"/>
          <w:sz w:val="24"/>
          <w:szCs w:val="24"/>
        </w:rPr>
      </w:pPr>
      <w:r>
        <w:rPr>
          <w:rFonts w:eastAsia="Calibri" w:cstheme="minorHAnsi"/>
          <w:b/>
          <w:sz w:val="24"/>
          <w:szCs w:val="24"/>
        </w:rPr>
        <w:lastRenderedPageBreak/>
        <w:t>U</w:t>
      </w:r>
      <w:r w:rsidR="00E8036B" w:rsidRPr="00C90C82">
        <w:rPr>
          <w:rFonts w:eastAsia="Calibri" w:cstheme="minorHAnsi"/>
          <w:b/>
          <w:sz w:val="24"/>
          <w:szCs w:val="24"/>
        </w:rPr>
        <w:t xml:space="preserve"> tří projektů </w:t>
      </w:r>
      <w:r w:rsidR="007226DB">
        <w:rPr>
          <w:rFonts w:eastAsia="Calibri" w:cstheme="minorHAnsi"/>
          <w:b/>
          <w:sz w:val="24"/>
          <w:szCs w:val="24"/>
        </w:rPr>
        <w:t>NKÚ</w:t>
      </w:r>
      <w:r w:rsidR="00E8036B" w:rsidRPr="00C90C82">
        <w:rPr>
          <w:rFonts w:eastAsia="Calibri" w:cstheme="minorHAnsi"/>
          <w:b/>
          <w:sz w:val="24"/>
          <w:szCs w:val="24"/>
        </w:rPr>
        <w:t xml:space="preserve"> zji</w:t>
      </w:r>
      <w:r w:rsidR="007226DB">
        <w:rPr>
          <w:rFonts w:eastAsia="Calibri" w:cstheme="minorHAnsi"/>
          <w:b/>
          <w:sz w:val="24"/>
          <w:szCs w:val="24"/>
        </w:rPr>
        <w:t>stil</w:t>
      </w:r>
      <w:r w:rsidR="00E8036B" w:rsidRPr="00C90C82">
        <w:rPr>
          <w:rFonts w:eastAsia="Calibri" w:cstheme="minorHAnsi"/>
          <w:b/>
          <w:sz w:val="24"/>
          <w:szCs w:val="24"/>
        </w:rPr>
        <w:t xml:space="preserve"> využití plavidel ve výrazně</w:t>
      </w:r>
      <w:r w:rsidR="00106AE0">
        <w:rPr>
          <w:rFonts w:eastAsia="Calibri" w:cstheme="minorHAnsi"/>
          <w:b/>
          <w:sz w:val="24"/>
          <w:szCs w:val="24"/>
        </w:rPr>
        <w:t xml:space="preserve"> </w:t>
      </w:r>
      <w:r w:rsidR="00E8036B" w:rsidRPr="00C90C82">
        <w:rPr>
          <w:rFonts w:eastAsia="Calibri" w:cstheme="minorHAnsi"/>
          <w:b/>
          <w:sz w:val="24"/>
          <w:szCs w:val="24"/>
        </w:rPr>
        <w:t xml:space="preserve">nižším než stanoveném minimálním rozsahu </w:t>
      </w:r>
      <w:r w:rsidR="00E8036B" w:rsidRPr="0017798A">
        <w:rPr>
          <w:rFonts w:eastAsia="Calibri" w:cstheme="minorHAnsi"/>
          <w:sz w:val="24"/>
          <w:szCs w:val="24"/>
        </w:rPr>
        <w:t>(např. u jednoho z modernizovaných plavidel bylo v roce 2016 vykázáno celkem 215</w:t>
      </w:r>
      <w:r w:rsidR="003C2F39">
        <w:rPr>
          <w:rFonts w:eastAsia="Calibri" w:cstheme="minorHAnsi"/>
          <w:sz w:val="24"/>
          <w:szCs w:val="24"/>
        </w:rPr>
        <w:t> </w:t>
      </w:r>
      <w:r w:rsidR="00E8036B" w:rsidRPr="0017798A">
        <w:rPr>
          <w:rFonts w:eastAsia="Calibri" w:cstheme="minorHAnsi"/>
          <w:sz w:val="24"/>
          <w:szCs w:val="24"/>
        </w:rPr>
        <w:t>dní odstávek, v roce 2017 to bylo dokonce 326 dní).</w:t>
      </w:r>
      <w:r w:rsidR="00E8036B" w:rsidRPr="00C90C82">
        <w:rPr>
          <w:rFonts w:eastAsia="Calibri" w:cstheme="minorHAnsi"/>
          <w:b/>
          <w:sz w:val="24"/>
          <w:szCs w:val="24"/>
        </w:rPr>
        <w:t xml:space="preserve"> Příjemci podpory </w:t>
      </w:r>
      <w:r w:rsidR="00D26B5D" w:rsidRPr="00C90C82">
        <w:rPr>
          <w:rFonts w:eastAsia="Calibri" w:cstheme="minorHAnsi"/>
          <w:b/>
          <w:sz w:val="24"/>
          <w:szCs w:val="24"/>
        </w:rPr>
        <w:t>v souhrnné výši 4,4</w:t>
      </w:r>
      <w:r w:rsidR="003C2F39">
        <w:rPr>
          <w:rFonts w:eastAsia="Calibri" w:cstheme="minorHAnsi"/>
          <w:b/>
          <w:sz w:val="24"/>
          <w:szCs w:val="24"/>
        </w:rPr>
        <w:t> </w:t>
      </w:r>
      <w:r w:rsidR="00D26B5D" w:rsidRPr="00C90C82">
        <w:rPr>
          <w:rFonts w:eastAsia="Calibri" w:cstheme="minorHAnsi"/>
          <w:b/>
          <w:sz w:val="24"/>
          <w:szCs w:val="24"/>
        </w:rPr>
        <w:t>mil.</w:t>
      </w:r>
      <w:r w:rsidR="003C2F39">
        <w:rPr>
          <w:rFonts w:eastAsia="Calibri" w:cstheme="minorHAnsi"/>
          <w:b/>
          <w:sz w:val="24"/>
          <w:szCs w:val="24"/>
        </w:rPr>
        <w:t> </w:t>
      </w:r>
      <w:r w:rsidR="00D26B5D" w:rsidRPr="00C90C82">
        <w:rPr>
          <w:rFonts w:eastAsia="Calibri" w:cstheme="minorHAnsi"/>
          <w:b/>
          <w:sz w:val="24"/>
          <w:szCs w:val="24"/>
        </w:rPr>
        <w:t xml:space="preserve">Kč </w:t>
      </w:r>
      <w:r w:rsidR="007D2E64" w:rsidRPr="00C90C82">
        <w:rPr>
          <w:rFonts w:eastAsia="Calibri" w:cstheme="minorHAnsi"/>
          <w:b/>
          <w:sz w:val="24"/>
          <w:szCs w:val="24"/>
        </w:rPr>
        <w:t xml:space="preserve">tím </w:t>
      </w:r>
      <w:r w:rsidR="00E8036B" w:rsidRPr="00C90C82">
        <w:rPr>
          <w:rFonts w:eastAsia="Calibri" w:cstheme="minorHAnsi"/>
          <w:b/>
          <w:sz w:val="24"/>
          <w:szCs w:val="24"/>
        </w:rPr>
        <w:t xml:space="preserve">porušili </w:t>
      </w:r>
      <w:r w:rsidR="00E8036B" w:rsidRPr="004C3DDD">
        <w:rPr>
          <w:rFonts w:eastAsia="Calibri" w:cstheme="minorHAnsi"/>
          <w:b/>
          <w:sz w:val="24"/>
          <w:szCs w:val="24"/>
        </w:rPr>
        <w:t>podmínky poskytnuté podpory</w:t>
      </w:r>
      <w:r w:rsidR="00B76F94">
        <w:rPr>
          <w:rFonts w:eastAsia="Calibri" w:cstheme="minorHAnsi"/>
          <w:b/>
          <w:sz w:val="24"/>
          <w:szCs w:val="24"/>
        </w:rPr>
        <w:t>.</w:t>
      </w:r>
    </w:p>
    <w:p w14:paraId="7EA18CDE" w14:textId="77777777" w:rsidR="00E001F3" w:rsidRDefault="00E001F3" w:rsidP="003C2F39">
      <w:pPr>
        <w:tabs>
          <w:tab w:val="left" w:pos="284"/>
        </w:tabs>
        <w:spacing w:after="0" w:line="264" w:lineRule="auto"/>
        <w:jc w:val="both"/>
        <w:rPr>
          <w:rFonts w:eastAsia="Calibri" w:cstheme="minorHAnsi"/>
          <w:b/>
          <w:sz w:val="24"/>
          <w:szCs w:val="24"/>
        </w:rPr>
      </w:pPr>
    </w:p>
    <w:p w14:paraId="16A61AA2" w14:textId="77777777" w:rsidR="00166385" w:rsidRPr="00C90C82" w:rsidRDefault="00166385" w:rsidP="003C2F39">
      <w:pPr>
        <w:tabs>
          <w:tab w:val="left" w:pos="284"/>
        </w:tabs>
        <w:spacing w:after="0" w:line="264" w:lineRule="auto"/>
        <w:jc w:val="both"/>
        <w:rPr>
          <w:rFonts w:eastAsia="Calibri" w:cstheme="minorHAnsi"/>
          <w:b/>
          <w:sz w:val="24"/>
          <w:szCs w:val="24"/>
        </w:rPr>
      </w:pPr>
    </w:p>
    <w:p w14:paraId="7D588799" w14:textId="77777777" w:rsidR="004E5FE7" w:rsidRPr="00C90C82" w:rsidRDefault="00E8036B" w:rsidP="00995237">
      <w:pPr>
        <w:pStyle w:val="Nadpis1"/>
        <w:tabs>
          <w:tab w:val="left" w:pos="2835"/>
        </w:tabs>
        <w:spacing w:before="0" w:after="0"/>
        <w:jc w:val="center"/>
        <w:rPr>
          <w:rFonts w:asciiTheme="minorHAnsi" w:hAnsiTheme="minorHAnsi" w:cstheme="minorHAnsi"/>
          <w:b w:val="0"/>
          <w:sz w:val="28"/>
          <w:szCs w:val="28"/>
        </w:rPr>
      </w:pPr>
      <w:r w:rsidRPr="00C90C82">
        <w:rPr>
          <w:rFonts w:asciiTheme="minorHAnsi" w:hAnsiTheme="minorHAnsi" w:cstheme="minorHAnsi"/>
          <w:sz w:val="28"/>
          <w:szCs w:val="28"/>
        </w:rPr>
        <w:t>II. Informace o kontrolované oblasti</w:t>
      </w:r>
    </w:p>
    <w:p w14:paraId="4856F51D" w14:textId="77777777" w:rsidR="004E5FE7" w:rsidRPr="00995237" w:rsidRDefault="004E5FE7" w:rsidP="00995237">
      <w:pPr>
        <w:spacing w:after="0" w:line="264" w:lineRule="auto"/>
        <w:jc w:val="both"/>
        <w:rPr>
          <w:rFonts w:ascii="Calibri" w:eastAsia="Times New Roman" w:hAnsi="Calibri" w:cs="Calibri"/>
          <w:bCs/>
          <w:sz w:val="24"/>
          <w:szCs w:val="24"/>
        </w:rPr>
      </w:pPr>
    </w:p>
    <w:p w14:paraId="4B062F2E" w14:textId="78E9DBC3" w:rsidR="00C84986" w:rsidRPr="00995237" w:rsidRDefault="00E8036B" w:rsidP="00995237">
      <w:pPr>
        <w:autoSpaceDE w:val="0"/>
        <w:autoSpaceDN w:val="0"/>
        <w:adjustRightInd w:val="0"/>
        <w:spacing w:after="0" w:line="264" w:lineRule="auto"/>
        <w:jc w:val="both"/>
        <w:rPr>
          <w:rFonts w:ascii="Calibri" w:hAnsi="Calibri" w:cs="Calibri"/>
          <w:sz w:val="24"/>
          <w:szCs w:val="24"/>
        </w:rPr>
      </w:pPr>
      <w:r w:rsidRPr="00995237">
        <w:rPr>
          <w:rFonts w:ascii="Calibri" w:hAnsi="Calibri" w:cs="Calibri"/>
          <w:sz w:val="24"/>
          <w:szCs w:val="24"/>
        </w:rPr>
        <w:t>Zákonem č. 114/1995 Sb.</w:t>
      </w:r>
      <w:r w:rsidRPr="00995237">
        <w:rPr>
          <w:rStyle w:val="Znakapoznpodarou"/>
          <w:rFonts w:ascii="Calibri" w:hAnsi="Calibri" w:cs="Calibri"/>
          <w:sz w:val="24"/>
          <w:szCs w:val="24"/>
        </w:rPr>
        <w:footnoteReference w:id="5"/>
      </w:r>
      <w:r w:rsidRPr="00995237">
        <w:rPr>
          <w:rStyle w:val="Znakapoznpodarou"/>
          <w:rFonts w:ascii="Calibri" w:hAnsi="Calibri" w:cs="Calibri"/>
          <w:sz w:val="24"/>
          <w:szCs w:val="24"/>
        </w:rPr>
        <w:t xml:space="preserve"> </w:t>
      </w:r>
      <w:r w:rsidRPr="00995237">
        <w:rPr>
          <w:rFonts w:ascii="Calibri" w:hAnsi="Calibri" w:cs="Calibri"/>
          <w:sz w:val="24"/>
          <w:szCs w:val="24"/>
        </w:rPr>
        <w:t xml:space="preserve">a jeho prováděcí </w:t>
      </w:r>
      <w:r w:rsidR="00611A5B" w:rsidRPr="00995237">
        <w:rPr>
          <w:rFonts w:ascii="Calibri" w:hAnsi="Calibri" w:cs="Calibri"/>
          <w:sz w:val="24"/>
          <w:szCs w:val="24"/>
        </w:rPr>
        <w:t>vyhláškou</w:t>
      </w:r>
      <w:r w:rsidRPr="00995237">
        <w:rPr>
          <w:rFonts w:ascii="Calibri" w:hAnsi="Calibri" w:cs="Calibri"/>
          <w:sz w:val="24"/>
          <w:szCs w:val="24"/>
          <w:vertAlign w:val="superscript"/>
        </w:rPr>
        <w:footnoteReference w:id="6"/>
      </w:r>
      <w:r w:rsidRPr="00995237">
        <w:rPr>
          <w:rFonts w:ascii="Calibri" w:hAnsi="Calibri" w:cs="Calibri"/>
          <w:sz w:val="24"/>
          <w:szCs w:val="24"/>
        </w:rPr>
        <w:t xml:space="preserve"> je stanoveno rozdělení vodních cest do druhů a tříd </w:t>
      </w:r>
      <w:r w:rsidR="00532540" w:rsidRPr="00995237">
        <w:rPr>
          <w:rFonts w:ascii="Calibri" w:hAnsi="Calibri" w:cs="Calibri"/>
          <w:sz w:val="24"/>
          <w:szCs w:val="24"/>
        </w:rPr>
        <w:t>s</w:t>
      </w:r>
      <w:r w:rsidR="008173B3" w:rsidRPr="00995237">
        <w:rPr>
          <w:rFonts w:ascii="Calibri" w:hAnsi="Calibri" w:cs="Calibri"/>
          <w:sz w:val="24"/>
          <w:szCs w:val="24"/>
        </w:rPr>
        <w:t xml:space="preserve"> příslušn</w:t>
      </w:r>
      <w:r w:rsidR="00532540" w:rsidRPr="00995237">
        <w:rPr>
          <w:rFonts w:ascii="Calibri" w:hAnsi="Calibri" w:cs="Calibri"/>
          <w:sz w:val="24"/>
          <w:szCs w:val="24"/>
        </w:rPr>
        <w:t>ými</w:t>
      </w:r>
      <w:r w:rsidRPr="00995237">
        <w:rPr>
          <w:rFonts w:ascii="Calibri" w:hAnsi="Calibri" w:cs="Calibri"/>
          <w:sz w:val="24"/>
          <w:szCs w:val="24"/>
        </w:rPr>
        <w:t xml:space="preserve"> základní</w:t>
      </w:r>
      <w:r w:rsidR="00532540" w:rsidRPr="00995237">
        <w:rPr>
          <w:rFonts w:ascii="Calibri" w:hAnsi="Calibri" w:cs="Calibri"/>
          <w:sz w:val="24"/>
          <w:szCs w:val="24"/>
        </w:rPr>
        <w:t>mi</w:t>
      </w:r>
      <w:r w:rsidRPr="00995237">
        <w:rPr>
          <w:rFonts w:ascii="Calibri" w:hAnsi="Calibri" w:cs="Calibri"/>
          <w:sz w:val="24"/>
          <w:szCs w:val="24"/>
        </w:rPr>
        <w:t xml:space="preserve"> parametry. Požadavek na přizpůsobení sítě vnitrozemských vodních cest parametrům odpovídajícím klasifikaci evropských vnitrozemských vodních cest a na zajištění jejich splavnosti v průběhu celého plavebního období vyplývá z </w:t>
      </w:r>
      <w:r w:rsidRPr="00435EF1">
        <w:rPr>
          <w:rFonts w:ascii="Calibri" w:hAnsi="Calibri" w:cs="Calibri"/>
          <w:i/>
          <w:sz w:val="24"/>
          <w:szCs w:val="24"/>
        </w:rPr>
        <w:t>Evropské dohody o hlavních vnitrozemských vodních cestách mezinárodního významu</w:t>
      </w:r>
      <w:r w:rsidRPr="00995237">
        <w:rPr>
          <w:rFonts w:ascii="Calibri" w:hAnsi="Calibri" w:cs="Calibri"/>
          <w:sz w:val="24"/>
          <w:szCs w:val="24"/>
        </w:rPr>
        <w:t xml:space="preserve"> (dále také „</w:t>
      </w:r>
      <w:r w:rsidR="00192BAE">
        <w:rPr>
          <w:rFonts w:ascii="Calibri" w:hAnsi="Calibri" w:cs="Calibri"/>
          <w:sz w:val="24"/>
          <w:szCs w:val="24"/>
        </w:rPr>
        <w:t>d</w:t>
      </w:r>
      <w:r w:rsidRPr="00995237">
        <w:rPr>
          <w:rFonts w:ascii="Calibri" w:hAnsi="Calibri" w:cs="Calibri"/>
          <w:sz w:val="24"/>
          <w:szCs w:val="24"/>
        </w:rPr>
        <w:t>ohoda AGN“)</w:t>
      </w:r>
      <w:r w:rsidRPr="00995237">
        <w:rPr>
          <w:rFonts w:ascii="Calibri" w:hAnsi="Calibri" w:cs="Calibri"/>
          <w:sz w:val="24"/>
          <w:szCs w:val="24"/>
          <w:vertAlign w:val="superscript"/>
        </w:rPr>
        <w:footnoteReference w:id="7"/>
      </w:r>
      <w:r w:rsidRPr="00995237">
        <w:rPr>
          <w:rFonts w:ascii="Calibri" w:hAnsi="Calibri" w:cs="Calibri"/>
          <w:sz w:val="24"/>
          <w:szCs w:val="24"/>
        </w:rPr>
        <w:t xml:space="preserve">. </w:t>
      </w:r>
    </w:p>
    <w:p w14:paraId="474CC2CA" w14:textId="77777777" w:rsidR="00C84986" w:rsidRPr="00995237" w:rsidRDefault="00C84986" w:rsidP="00995237">
      <w:pPr>
        <w:autoSpaceDE w:val="0"/>
        <w:autoSpaceDN w:val="0"/>
        <w:adjustRightInd w:val="0"/>
        <w:spacing w:after="0" w:line="264" w:lineRule="auto"/>
        <w:jc w:val="both"/>
        <w:rPr>
          <w:rFonts w:ascii="Calibri" w:hAnsi="Calibri" w:cs="Calibri"/>
          <w:sz w:val="24"/>
          <w:szCs w:val="24"/>
        </w:rPr>
      </w:pPr>
    </w:p>
    <w:p w14:paraId="66D9995F" w14:textId="580858DB" w:rsidR="00C84986" w:rsidRPr="00995237" w:rsidRDefault="00E8036B" w:rsidP="00995237">
      <w:pPr>
        <w:autoSpaceDE w:val="0"/>
        <w:autoSpaceDN w:val="0"/>
        <w:adjustRightInd w:val="0"/>
        <w:spacing w:after="0" w:line="264" w:lineRule="auto"/>
        <w:jc w:val="both"/>
        <w:rPr>
          <w:rFonts w:ascii="Calibri" w:hAnsi="Calibri" w:cs="Calibri"/>
          <w:sz w:val="24"/>
          <w:szCs w:val="24"/>
        </w:rPr>
      </w:pPr>
      <w:r w:rsidRPr="00995237">
        <w:rPr>
          <w:rFonts w:ascii="Calibri" w:hAnsi="Calibri" w:cs="Calibri"/>
          <w:sz w:val="24"/>
          <w:szCs w:val="24"/>
        </w:rPr>
        <w:t>Nejdůležitější vodní cestou v České republice je labsko-vltavská vodní cesta, která je součástí transevropské dopravní sítě TEN-T</w:t>
      </w:r>
      <w:r w:rsidRPr="00995237">
        <w:rPr>
          <w:rFonts w:ascii="Calibri" w:hAnsi="Calibri" w:cs="Calibri"/>
          <w:sz w:val="24"/>
          <w:szCs w:val="24"/>
          <w:vertAlign w:val="superscript"/>
        </w:rPr>
        <w:footnoteReference w:id="8"/>
      </w:r>
      <w:r w:rsidR="00532540" w:rsidRPr="00995237">
        <w:rPr>
          <w:rFonts w:ascii="Calibri" w:hAnsi="Calibri" w:cs="Calibri"/>
          <w:sz w:val="24"/>
          <w:szCs w:val="24"/>
        </w:rPr>
        <w:t>. S</w:t>
      </w:r>
      <w:r w:rsidRPr="00995237">
        <w:rPr>
          <w:rFonts w:ascii="Calibri" w:hAnsi="Calibri" w:cs="Calibri"/>
          <w:sz w:val="24"/>
          <w:szCs w:val="24"/>
        </w:rPr>
        <w:t xml:space="preserve">polečně s uvažovaným průplavním spojením </w:t>
      </w:r>
      <w:r w:rsidR="006E50B7" w:rsidRPr="00995237">
        <w:rPr>
          <w:rFonts w:ascii="Calibri" w:hAnsi="Calibri" w:cs="Calibri"/>
          <w:sz w:val="24"/>
          <w:szCs w:val="24"/>
        </w:rPr>
        <w:br/>
      </w:r>
      <w:proofErr w:type="gramStart"/>
      <w:r w:rsidRPr="00995237">
        <w:rPr>
          <w:rFonts w:ascii="Calibri" w:hAnsi="Calibri" w:cs="Calibri"/>
          <w:sz w:val="24"/>
          <w:szCs w:val="24"/>
        </w:rPr>
        <w:t>Dunaj</w:t>
      </w:r>
      <w:proofErr w:type="gramEnd"/>
      <w:r w:rsidR="00704572">
        <w:rPr>
          <w:rFonts w:ascii="Calibri" w:hAnsi="Calibri" w:cs="Calibri"/>
          <w:sz w:val="24"/>
          <w:szCs w:val="24"/>
        </w:rPr>
        <w:t>–</w:t>
      </w:r>
      <w:proofErr w:type="gramStart"/>
      <w:r w:rsidRPr="00995237">
        <w:rPr>
          <w:rFonts w:ascii="Calibri" w:hAnsi="Calibri" w:cs="Calibri"/>
          <w:sz w:val="24"/>
          <w:szCs w:val="24"/>
        </w:rPr>
        <w:t>Odra</w:t>
      </w:r>
      <w:proofErr w:type="gramEnd"/>
      <w:r w:rsidR="00704572">
        <w:rPr>
          <w:rFonts w:ascii="Calibri" w:hAnsi="Calibri" w:cs="Calibri"/>
          <w:sz w:val="24"/>
          <w:szCs w:val="24"/>
        </w:rPr>
        <w:t>–</w:t>
      </w:r>
      <w:r w:rsidRPr="00995237">
        <w:rPr>
          <w:rFonts w:ascii="Calibri" w:hAnsi="Calibri" w:cs="Calibri"/>
          <w:sz w:val="24"/>
          <w:szCs w:val="24"/>
        </w:rPr>
        <w:t xml:space="preserve">Labe je zahrnuta do </w:t>
      </w:r>
      <w:r w:rsidR="00192BAE">
        <w:rPr>
          <w:rFonts w:ascii="Calibri" w:hAnsi="Calibri" w:cs="Calibri"/>
          <w:sz w:val="24"/>
          <w:szCs w:val="24"/>
        </w:rPr>
        <w:t>d</w:t>
      </w:r>
      <w:r w:rsidRPr="00995237">
        <w:rPr>
          <w:rFonts w:ascii="Calibri" w:hAnsi="Calibri" w:cs="Calibri"/>
          <w:sz w:val="24"/>
          <w:szCs w:val="24"/>
        </w:rPr>
        <w:t xml:space="preserve">ohody AGN. </w:t>
      </w:r>
      <w:r w:rsidR="006574D0" w:rsidRPr="00995237">
        <w:rPr>
          <w:rFonts w:ascii="Calibri" w:hAnsi="Calibri" w:cs="Calibri"/>
          <w:sz w:val="24"/>
          <w:szCs w:val="24"/>
        </w:rPr>
        <w:t xml:space="preserve">Podle </w:t>
      </w:r>
      <w:r w:rsidR="006574D0" w:rsidRPr="00435EF1">
        <w:rPr>
          <w:rFonts w:ascii="Calibri" w:hAnsi="Calibri" w:cs="Calibri"/>
          <w:i/>
          <w:sz w:val="24"/>
          <w:szCs w:val="24"/>
        </w:rPr>
        <w:t>Koncepce vodní dopravy pro období 2016–2023</w:t>
      </w:r>
      <w:r w:rsidR="006574D0" w:rsidRPr="00995237">
        <w:rPr>
          <w:rFonts w:ascii="Calibri" w:hAnsi="Calibri" w:cs="Calibri"/>
          <w:sz w:val="24"/>
          <w:szCs w:val="24"/>
        </w:rPr>
        <w:t xml:space="preserve"> (dále také „KVD“) MD p</w:t>
      </w:r>
      <w:r w:rsidRPr="00995237">
        <w:rPr>
          <w:rFonts w:ascii="Calibri" w:hAnsi="Calibri" w:cs="Calibri"/>
          <w:sz w:val="24"/>
          <w:szCs w:val="24"/>
        </w:rPr>
        <w:t>ro nákladní říční dopravu uvažuje s využitím 247 km dlouhého úseku Labe od státní hranice po Pardubice a 65 km dlouhého úseku Vltavy od Mělníka po Prahu</w:t>
      </w:r>
      <w:r w:rsidR="005E25DC" w:rsidRPr="00995237">
        <w:rPr>
          <w:rFonts w:ascii="Calibri" w:hAnsi="Calibri" w:cs="Calibri"/>
          <w:sz w:val="24"/>
          <w:szCs w:val="24"/>
        </w:rPr>
        <w:t>-</w:t>
      </w:r>
      <w:r w:rsidRPr="00995237">
        <w:rPr>
          <w:rFonts w:ascii="Calibri" w:hAnsi="Calibri" w:cs="Calibri"/>
          <w:sz w:val="24"/>
          <w:szCs w:val="24"/>
        </w:rPr>
        <w:t xml:space="preserve">Radotín (včetně vyústění části toku Berounky). </w:t>
      </w:r>
    </w:p>
    <w:p w14:paraId="44DDB11F" w14:textId="77777777" w:rsidR="00C84986" w:rsidRPr="00995237" w:rsidRDefault="00C84986" w:rsidP="00995237">
      <w:pPr>
        <w:autoSpaceDE w:val="0"/>
        <w:autoSpaceDN w:val="0"/>
        <w:adjustRightInd w:val="0"/>
        <w:spacing w:after="0" w:line="264" w:lineRule="auto"/>
        <w:jc w:val="both"/>
        <w:rPr>
          <w:rFonts w:ascii="Calibri" w:hAnsi="Calibri" w:cs="Calibri"/>
          <w:sz w:val="24"/>
          <w:szCs w:val="24"/>
        </w:rPr>
      </w:pPr>
    </w:p>
    <w:p w14:paraId="07E0C36A" w14:textId="77777777" w:rsidR="00C84986" w:rsidRPr="00995237" w:rsidRDefault="00E8036B" w:rsidP="00995237">
      <w:pPr>
        <w:autoSpaceDE w:val="0"/>
        <w:autoSpaceDN w:val="0"/>
        <w:adjustRightInd w:val="0"/>
        <w:spacing w:after="0" w:line="264" w:lineRule="auto"/>
        <w:jc w:val="both"/>
        <w:rPr>
          <w:rFonts w:ascii="Calibri" w:hAnsi="Calibri" w:cs="Calibri"/>
          <w:sz w:val="24"/>
          <w:szCs w:val="24"/>
        </w:rPr>
      </w:pPr>
      <w:r w:rsidRPr="00995237">
        <w:rPr>
          <w:rFonts w:ascii="Calibri" w:hAnsi="Calibri" w:cs="Calibri"/>
          <w:sz w:val="24"/>
          <w:szCs w:val="24"/>
        </w:rPr>
        <w:t>Překážkou využití labsko-vltavské vodní cesty pro nákladní dopravu je především nespolehlivá splavnost 40 km dlouhého úseku od Ústí nad Labem</w:t>
      </w:r>
      <w:r w:rsidR="00532540" w:rsidRPr="00995237">
        <w:rPr>
          <w:rFonts w:ascii="Calibri" w:hAnsi="Calibri" w:cs="Calibri"/>
          <w:sz w:val="24"/>
          <w:szCs w:val="24"/>
        </w:rPr>
        <w:t xml:space="preserve"> po státní hranici s Německem</w:t>
      </w:r>
      <w:r w:rsidR="008173B3" w:rsidRPr="00995237">
        <w:rPr>
          <w:rFonts w:ascii="Calibri" w:hAnsi="Calibri" w:cs="Calibri"/>
          <w:sz w:val="24"/>
          <w:szCs w:val="24"/>
        </w:rPr>
        <w:t>. Dále je to</w:t>
      </w:r>
      <w:r w:rsidRPr="00995237">
        <w:rPr>
          <w:rFonts w:ascii="Calibri" w:hAnsi="Calibri" w:cs="Calibri"/>
          <w:sz w:val="24"/>
          <w:szCs w:val="24"/>
        </w:rPr>
        <w:t xml:space="preserve"> nesplavnost 2 km dlouhého úseku u Přelouče a absence koncového nákladního přístavu na středním Labi s dostatečně kapacitním napojením na pozemní komunikace. Tyto nedostatky MD ve spolupráci s ŘVC navrhuje řešit výstavbou plavební</w:t>
      </w:r>
      <w:r w:rsidR="006C5EB3" w:rsidRPr="00995237">
        <w:rPr>
          <w:rFonts w:ascii="Calibri" w:hAnsi="Calibri" w:cs="Calibri"/>
          <w:sz w:val="24"/>
          <w:szCs w:val="24"/>
        </w:rPr>
        <w:t>ho</w:t>
      </w:r>
      <w:r w:rsidRPr="00995237">
        <w:rPr>
          <w:rFonts w:ascii="Calibri" w:hAnsi="Calibri" w:cs="Calibri"/>
          <w:sz w:val="24"/>
          <w:szCs w:val="24"/>
        </w:rPr>
        <w:t xml:space="preserve"> stup</w:t>
      </w:r>
      <w:r w:rsidR="006C5EB3" w:rsidRPr="00995237">
        <w:rPr>
          <w:rFonts w:ascii="Calibri" w:hAnsi="Calibri" w:cs="Calibri"/>
          <w:sz w:val="24"/>
          <w:szCs w:val="24"/>
        </w:rPr>
        <w:t>ně</w:t>
      </w:r>
      <w:r w:rsidRPr="00995237">
        <w:rPr>
          <w:rFonts w:ascii="Calibri" w:hAnsi="Calibri" w:cs="Calibri"/>
          <w:sz w:val="24"/>
          <w:szCs w:val="24"/>
        </w:rPr>
        <w:t xml:space="preserve"> Děčín</w:t>
      </w:r>
      <w:r w:rsidR="006C5EB3" w:rsidRPr="00995237">
        <w:rPr>
          <w:rFonts w:ascii="Calibri" w:hAnsi="Calibri" w:cs="Calibri"/>
          <w:sz w:val="24"/>
          <w:szCs w:val="24"/>
        </w:rPr>
        <w:t xml:space="preserve"> (dále také „PSD“), plavebního stupně </w:t>
      </w:r>
      <w:r w:rsidRPr="00995237">
        <w:rPr>
          <w:rFonts w:ascii="Calibri" w:hAnsi="Calibri" w:cs="Calibri"/>
          <w:sz w:val="24"/>
          <w:szCs w:val="24"/>
        </w:rPr>
        <w:t xml:space="preserve">Přelouč II </w:t>
      </w:r>
      <w:r w:rsidR="006C5EB3" w:rsidRPr="00995237">
        <w:rPr>
          <w:rFonts w:ascii="Calibri" w:hAnsi="Calibri" w:cs="Calibri"/>
          <w:sz w:val="24"/>
          <w:szCs w:val="24"/>
        </w:rPr>
        <w:t xml:space="preserve">(dále také „PSP“) </w:t>
      </w:r>
      <w:r w:rsidRPr="00995237">
        <w:rPr>
          <w:rFonts w:ascii="Calibri" w:hAnsi="Calibri" w:cs="Calibri"/>
          <w:sz w:val="24"/>
          <w:szCs w:val="24"/>
        </w:rPr>
        <w:t>a přístavu v Pardubicích.</w:t>
      </w:r>
    </w:p>
    <w:p w14:paraId="54B5621E" w14:textId="77777777" w:rsidR="00C84986" w:rsidRPr="00995237" w:rsidRDefault="00C84986" w:rsidP="00995237">
      <w:pPr>
        <w:autoSpaceDE w:val="0"/>
        <w:autoSpaceDN w:val="0"/>
        <w:adjustRightInd w:val="0"/>
        <w:spacing w:after="0" w:line="264" w:lineRule="auto"/>
        <w:jc w:val="both"/>
        <w:rPr>
          <w:rFonts w:ascii="Calibri" w:hAnsi="Calibri" w:cs="Calibri"/>
          <w:sz w:val="24"/>
          <w:szCs w:val="24"/>
        </w:rPr>
      </w:pPr>
    </w:p>
    <w:p w14:paraId="4D8203F8" w14:textId="14890E1D" w:rsidR="00342AE1" w:rsidRPr="00995237" w:rsidRDefault="00E8036B" w:rsidP="00995237">
      <w:pPr>
        <w:spacing w:after="0" w:line="264" w:lineRule="auto"/>
        <w:jc w:val="both"/>
        <w:rPr>
          <w:rFonts w:ascii="Calibri" w:hAnsi="Calibri" w:cs="Calibri"/>
          <w:sz w:val="24"/>
          <w:szCs w:val="24"/>
          <w:lang w:eastAsia="cs-CZ"/>
        </w:rPr>
      </w:pPr>
      <w:r w:rsidRPr="00995237">
        <w:rPr>
          <w:rFonts w:ascii="Calibri" w:eastAsia="Arial Unicode MS" w:hAnsi="Calibri" w:cs="Calibri"/>
          <w:bCs/>
          <w:sz w:val="24"/>
          <w:szCs w:val="24"/>
          <w:lang w:eastAsia="cs-CZ"/>
        </w:rPr>
        <w:t>MD je ústředním orgánem státní správy, který zodpovídá za tvorbu státní politiky v oblasti dopravy a v rozsahu své působnosti za její uskutečňování.</w:t>
      </w:r>
      <w:r w:rsidRPr="00995237">
        <w:rPr>
          <w:rStyle w:val="Znakapoznpodarou"/>
          <w:rFonts w:ascii="Calibri" w:eastAsia="Arial Unicode MS" w:hAnsi="Calibri" w:cs="Calibri"/>
          <w:bCs/>
          <w:sz w:val="24"/>
          <w:szCs w:val="24"/>
          <w:lang w:eastAsia="cs-CZ"/>
        </w:rPr>
        <w:footnoteReference w:id="9"/>
      </w:r>
      <w:r w:rsidRPr="00995237">
        <w:rPr>
          <w:rFonts w:ascii="Calibri" w:eastAsia="Arial Unicode MS" w:hAnsi="Calibri" w:cs="Calibri"/>
          <w:bCs/>
          <w:sz w:val="24"/>
          <w:szCs w:val="24"/>
          <w:lang w:eastAsia="cs-CZ"/>
        </w:rPr>
        <w:t xml:space="preserve"> Zodpovídá mj. za rozvoj dopravních sítí v České republice a do jeho působnosti spadá i problematika výstavby, obnovy a</w:t>
      </w:r>
      <w:r w:rsidR="00B107BD">
        <w:rPr>
          <w:rFonts w:ascii="Calibri" w:eastAsia="Arial Unicode MS" w:hAnsi="Calibri" w:cs="Calibri"/>
          <w:bCs/>
          <w:sz w:val="24"/>
          <w:szCs w:val="24"/>
          <w:lang w:eastAsia="cs-CZ"/>
        </w:rPr>
        <w:t> </w:t>
      </w:r>
      <w:r w:rsidRPr="00995237">
        <w:rPr>
          <w:rFonts w:ascii="Calibri" w:eastAsia="Arial Unicode MS" w:hAnsi="Calibri" w:cs="Calibri"/>
          <w:bCs/>
          <w:sz w:val="24"/>
          <w:szCs w:val="24"/>
          <w:lang w:eastAsia="cs-CZ"/>
        </w:rPr>
        <w:t xml:space="preserve">modernizace vodních cest. </w:t>
      </w:r>
      <w:r w:rsidR="00532540" w:rsidRPr="00995237">
        <w:rPr>
          <w:rFonts w:ascii="Calibri" w:eastAsia="Arial Unicode MS" w:hAnsi="Calibri" w:cs="Calibri"/>
          <w:bCs/>
          <w:sz w:val="24"/>
          <w:szCs w:val="24"/>
          <w:lang w:eastAsia="cs-CZ"/>
        </w:rPr>
        <w:t>MD j</w:t>
      </w:r>
      <w:r w:rsidRPr="00995237">
        <w:rPr>
          <w:rFonts w:ascii="Calibri" w:eastAsia="Arial Unicode MS" w:hAnsi="Calibri" w:cs="Calibri"/>
          <w:bCs/>
          <w:sz w:val="24"/>
          <w:szCs w:val="24"/>
          <w:lang w:eastAsia="cs-CZ"/>
        </w:rPr>
        <w:t xml:space="preserve">e </w:t>
      </w:r>
      <w:r w:rsidR="00532540" w:rsidRPr="00995237">
        <w:rPr>
          <w:rFonts w:ascii="Calibri" w:eastAsia="Arial Unicode MS" w:hAnsi="Calibri" w:cs="Calibri"/>
          <w:bCs/>
          <w:sz w:val="24"/>
          <w:szCs w:val="24"/>
          <w:lang w:eastAsia="cs-CZ"/>
        </w:rPr>
        <w:t xml:space="preserve">rovněž </w:t>
      </w:r>
      <w:r w:rsidRPr="00995237">
        <w:rPr>
          <w:rFonts w:ascii="Calibri" w:hAnsi="Calibri" w:cs="Calibri"/>
          <w:sz w:val="24"/>
          <w:szCs w:val="24"/>
          <w:lang w:eastAsia="cs-CZ"/>
        </w:rPr>
        <w:t>správcem programu č. 127</w:t>
      </w:r>
      <w:r w:rsidR="00704572">
        <w:rPr>
          <w:rFonts w:ascii="Calibri" w:hAnsi="Calibri" w:cs="Calibri"/>
          <w:sz w:val="24"/>
          <w:szCs w:val="24"/>
          <w:lang w:eastAsia="cs-CZ"/>
        </w:rPr>
        <w:t> </w:t>
      </w:r>
      <w:r w:rsidRPr="00995237">
        <w:rPr>
          <w:rFonts w:ascii="Calibri" w:hAnsi="Calibri" w:cs="Calibri"/>
          <w:sz w:val="24"/>
          <w:szCs w:val="24"/>
          <w:lang w:eastAsia="cs-CZ"/>
        </w:rPr>
        <w:t>550</w:t>
      </w:r>
      <w:r w:rsidR="00704572">
        <w:rPr>
          <w:rFonts w:ascii="Calibri" w:hAnsi="Calibri" w:cs="Calibri"/>
          <w:sz w:val="24"/>
          <w:szCs w:val="24"/>
          <w:lang w:eastAsia="cs-CZ"/>
        </w:rPr>
        <w:t> –</w:t>
      </w:r>
      <w:r w:rsidRPr="00995237">
        <w:rPr>
          <w:rFonts w:ascii="Calibri" w:hAnsi="Calibri" w:cs="Calibri"/>
          <w:sz w:val="24"/>
          <w:szCs w:val="24"/>
          <w:lang w:eastAsia="cs-CZ"/>
        </w:rPr>
        <w:t xml:space="preserve"> </w:t>
      </w:r>
      <w:r w:rsidRPr="00435EF1">
        <w:rPr>
          <w:rFonts w:ascii="Calibri" w:hAnsi="Calibri" w:cs="Calibri"/>
          <w:i/>
          <w:sz w:val="24"/>
          <w:szCs w:val="24"/>
          <w:lang w:eastAsia="cs-CZ"/>
        </w:rPr>
        <w:t>Modernizace plavidel vnitrozemské vodní nákladní dopravy</w:t>
      </w:r>
      <w:r w:rsidRPr="00995237">
        <w:rPr>
          <w:rFonts w:ascii="Calibri" w:hAnsi="Calibri" w:cs="Calibri"/>
          <w:sz w:val="24"/>
          <w:szCs w:val="24"/>
          <w:lang w:eastAsia="cs-CZ"/>
        </w:rPr>
        <w:t xml:space="preserve"> (dále také „program č. 127 550“)</w:t>
      </w:r>
      <w:r w:rsidR="00532540" w:rsidRPr="00995237">
        <w:rPr>
          <w:rFonts w:ascii="Calibri" w:hAnsi="Calibri" w:cs="Calibri"/>
          <w:sz w:val="24"/>
          <w:szCs w:val="24"/>
          <w:lang w:eastAsia="cs-CZ"/>
        </w:rPr>
        <w:t xml:space="preserve"> a</w:t>
      </w:r>
      <w:r w:rsidRPr="00995237">
        <w:rPr>
          <w:rFonts w:ascii="Calibri" w:hAnsi="Calibri" w:cs="Calibri"/>
          <w:sz w:val="24"/>
          <w:szCs w:val="24"/>
          <w:lang w:eastAsia="cs-CZ"/>
        </w:rPr>
        <w:t xml:space="preserve"> řídicím </w:t>
      </w:r>
      <w:r w:rsidRPr="00995237">
        <w:rPr>
          <w:rFonts w:ascii="Calibri" w:hAnsi="Calibri" w:cs="Calibri"/>
          <w:sz w:val="24"/>
          <w:szCs w:val="24"/>
          <w:lang w:eastAsia="cs-CZ"/>
        </w:rPr>
        <w:lastRenderedPageBreak/>
        <w:t xml:space="preserve">orgánem </w:t>
      </w:r>
      <w:r w:rsidR="00704572">
        <w:rPr>
          <w:rFonts w:ascii="Calibri" w:hAnsi="Calibri" w:cs="Calibri"/>
          <w:sz w:val="24"/>
          <w:szCs w:val="24"/>
          <w:lang w:eastAsia="cs-CZ"/>
        </w:rPr>
        <w:t>o</w:t>
      </w:r>
      <w:r w:rsidRPr="00995237">
        <w:rPr>
          <w:rFonts w:ascii="Calibri" w:hAnsi="Calibri" w:cs="Calibri"/>
          <w:sz w:val="24"/>
          <w:szCs w:val="24"/>
          <w:lang w:eastAsia="cs-CZ"/>
        </w:rPr>
        <w:t xml:space="preserve">peračního programu </w:t>
      </w:r>
      <w:r w:rsidRPr="00435EF1">
        <w:rPr>
          <w:rFonts w:ascii="Calibri" w:hAnsi="Calibri" w:cs="Calibri"/>
          <w:i/>
          <w:sz w:val="24"/>
          <w:szCs w:val="24"/>
          <w:lang w:eastAsia="cs-CZ"/>
        </w:rPr>
        <w:t>Doprava</w:t>
      </w:r>
      <w:r w:rsidRPr="00995237">
        <w:rPr>
          <w:rFonts w:ascii="Calibri" w:hAnsi="Calibri" w:cs="Calibri"/>
          <w:sz w:val="24"/>
          <w:szCs w:val="24"/>
          <w:lang w:eastAsia="cs-CZ"/>
        </w:rPr>
        <w:t xml:space="preserve"> </w:t>
      </w:r>
      <w:r w:rsidRPr="00435EF1">
        <w:rPr>
          <w:rFonts w:ascii="Calibri" w:hAnsi="Calibri" w:cs="Calibri"/>
          <w:i/>
          <w:sz w:val="24"/>
          <w:szCs w:val="24"/>
          <w:lang w:eastAsia="cs-CZ"/>
        </w:rPr>
        <w:t>2007–2013</w:t>
      </w:r>
      <w:r w:rsidRPr="00995237">
        <w:rPr>
          <w:rFonts w:ascii="Calibri" w:hAnsi="Calibri" w:cs="Calibri"/>
          <w:sz w:val="24"/>
          <w:szCs w:val="24"/>
          <w:lang w:eastAsia="cs-CZ"/>
        </w:rPr>
        <w:t xml:space="preserve"> (dále také „OPD“) a</w:t>
      </w:r>
      <w:r w:rsidR="00FE419B">
        <w:rPr>
          <w:rFonts w:ascii="Calibri" w:hAnsi="Calibri" w:cs="Calibri"/>
          <w:sz w:val="24"/>
          <w:szCs w:val="24"/>
          <w:lang w:eastAsia="cs-CZ"/>
        </w:rPr>
        <w:t> </w:t>
      </w:r>
      <w:r w:rsidR="00704572">
        <w:rPr>
          <w:rFonts w:ascii="Calibri" w:hAnsi="Calibri" w:cs="Calibri"/>
          <w:sz w:val="24"/>
          <w:szCs w:val="24"/>
          <w:lang w:eastAsia="cs-CZ"/>
        </w:rPr>
        <w:t>o</w:t>
      </w:r>
      <w:r w:rsidRPr="00995237">
        <w:rPr>
          <w:rFonts w:ascii="Calibri" w:hAnsi="Calibri" w:cs="Calibri"/>
          <w:sz w:val="24"/>
          <w:szCs w:val="24"/>
          <w:lang w:eastAsia="cs-CZ"/>
        </w:rPr>
        <w:t xml:space="preserve">peračního programu </w:t>
      </w:r>
      <w:r w:rsidRPr="00435EF1">
        <w:rPr>
          <w:rFonts w:ascii="Calibri" w:hAnsi="Calibri" w:cs="Calibri"/>
          <w:i/>
          <w:sz w:val="24"/>
          <w:szCs w:val="24"/>
          <w:lang w:eastAsia="cs-CZ"/>
        </w:rPr>
        <w:t>Doprava</w:t>
      </w:r>
      <w:r w:rsidRPr="00995237">
        <w:rPr>
          <w:rFonts w:ascii="Calibri" w:hAnsi="Calibri" w:cs="Calibri"/>
          <w:sz w:val="24"/>
          <w:szCs w:val="24"/>
          <w:lang w:eastAsia="cs-CZ"/>
        </w:rPr>
        <w:t xml:space="preserve"> pro programové období 20</w:t>
      </w:r>
      <w:r w:rsidR="003A1744">
        <w:rPr>
          <w:rFonts w:ascii="Calibri" w:hAnsi="Calibri" w:cs="Calibri"/>
          <w:sz w:val="24"/>
          <w:szCs w:val="24"/>
          <w:lang w:eastAsia="cs-CZ"/>
        </w:rPr>
        <w:t>14–2020 (dále také „OPD2“), z </w:t>
      </w:r>
      <w:r w:rsidRPr="00995237">
        <w:rPr>
          <w:rFonts w:ascii="Calibri" w:hAnsi="Calibri" w:cs="Calibri"/>
          <w:sz w:val="24"/>
          <w:szCs w:val="24"/>
          <w:lang w:eastAsia="cs-CZ"/>
        </w:rPr>
        <w:t xml:space="preserve">nichž byla, resp. je poskytována podpora na modernizaci nákladních říčních plavidel. </w:t>
      </w:r>
    </w:p>
    <w:p w14:paraId="0FDF3097" w14:textId="77777777" w:rsidR="00342AE1" w:rsidRPr="00995237" w:rsidRDefault="00342AE1" w:rsidP="00995237">
      <w:pPr>
        <w:spacing w:after="0" w:line="264" w:lineRule="auto"/>
        <w:jc w:val="both"/>
        <w:rPr>
          <w:rFonts w:ascii="Calibri" w:hAnsi="Calibri" w:cs="Calibri"/>
          <w:sz w:val="24"/>
          <w:szCs w:val="24"/>
          <w:lang w:eastAsia="cs-CZ"/>
        </w:rPr>
      </w:pPr>
    </w:p>
    <w:p w14:paraId="0057CF20" w14:textId="77777777" w:rsidR="00FA7569" w:rsidRPr="00995237" w:rsidRDefault="00E8036B" w:rsidP="00995237">
      <w:pPr>
        <w:spacing w:after="0" w:line="264" w:lineRule="auto"/>
        <w:jc w:val="both"/>
        <w:rPr>
          <w:rFonts w:ascii="Calibri" w:hAnsi="Calibri" w:cs="Calibri"/>
          <w:sz w:val="24"/>
          <w:szCs w:val="24"/>
          <w:lang w:eastAsia="cs-CZ"/>
        </w:rPr>
      </w:pPr>
      <w:r w:rsidRPr="00995237">
        <w:rPr>
          <w:rFonts w:ascii="Calibri" w:hAnsi="Calibri" w:cs="Calibri"/>
          <w:sz w:val="24"/>
          <w:szCs w:val="24"/>
          <w:lang w:eastAsia="cs-CZ"/>
        </w:rPr>
        <w:t>O poskytování podpory infrastrukturním projektům na vodních cestách rozhodovalo MD na základě záměrů projektů zpracovaných ŘVC, které je organizační složkou státu zřízenou MD</w:t>
      </w:r>
      <w:r w:rsidR="005E25DC" w:rsidRPr="00995237">
        <w:rPr>
          <w:rFonts w:ascii="Calibri" w:hAnsi="Calibri" w:cs="Calibri"/>
          <w:sz w:val="24"/>
          <w:szCs w:val="24"/>
          <w:lang w:eastAsia="cs-CZ"/>
        </w:rPr>
        <w:t xml:space="preserve"> </w:t>
      </w:r>
      <w:r w:rsidRPr="00995237">
        <w:rPr>
          <w:rFonts w:ascii="Calibri" w:hAnsi="Calibri" w:cs="Calibri"/>
          <w:sz w:val="24"/>
          <w:szCs w:val="24"/>
          <w:lang w:eastAsia="cs-CZ"/>
        </w:rPr>
        <w:t>a</w:t>
      </w:r>
      <w:r w:rsidR="005E25DC" w:rsidRPr="00995237">
        <w:rPr>
          <w:rFonts w:ascii="Calibri" w:hAnsi="Calibri" w:cs="Calibri"/>
          <w:sz w:val="24"/>
          <w:szCs w:val="24"/>
          <w:lang w:eastAsia="cs-CZ"/>
        </w:rPr>
        <w:t> </w:t>
      </w:r>
      <w:r w:rsidRPr="00995237">
        <w:rPr>
          <w:rFonts w:ascii="Calibri" w:hAnsi="Calibri" w:cs="Calibri"/>
          <w:sz w:val="24"/>
          <w:szCs w:val="24"/>
          <w:lang w:eastAsia="cs-CZ"/>
        </w:rPr>
        <w:t xml:space="preserve">zabezpečující přípravu a realizaci výstavby a modernizace dopravně významných vodních cest a dalších staveb nutných pro provoz na vodních cestách, jejich správu a údržbu. </w:t>
      </w:r>
    </w:p>
    <w:p w14:paraId="43B1AFEE" w14:textId="77777777" w:rsidR="007F549C" w:rsidRPr="00995237" w:rsidRDefault="007F549C" w:rsidP="00995237">
      <w:pPr>
        <w:spacing w:after="0" w:line="264" w:lineRule="auto"/>
        <w:jc w:val="both"/>
        <w:rPr>
          <w:rFonts w:ascii="Calibri" w:hAnsi="Calibri" w:cs="Calibri"/>
          <w:sz w:val="24"/>
          <w:szCs w:val="24"/>
          <w:lang w:eastAsia="cs-CZ"/>
        </w:rPr>
      </w:pPr>
    </w:p>
    <w:p w14:paraId="12B704DF" w14:textId="13FD289C" w:rsidR="00C84986" w:rsidRPr="00995237" w:rsidRDefault="00E8036B" w:rsidP="00995237">
      <w:pPr>
        <w:spacing w:after="0" w:line="264" w:lineRule="auto"/>
        <w:jc w:val="both"/>
        <w:rPr>
          <w:rFonts w:ascii="Calibri" w:hAnsi="Calibri" w:cs="Calibri"/>
          <w:sz w:val="24"/>
          <w:szCs w:val="24"/>
          <w:lang w:eastAsia="cs-CZ"/>
        </w:rPr>
      </w:pPr>
      <w:r w:rsidRPr="00995237">
        <w:rPr>
          <w:rFonts w:ascii="Calibri" w:hAnsi="Calibri" w:cs="Calibri"/>
          <w:sz w:val="24"/>
          <w:szCs w:val="24"/>
          <w:lang w:eastAsia="cs-CZ"/>
        </w:rPr>
        <w:t>Finanční prostředky na podporu těchto projektů byly v letech 2007–</w:t>
      </w:r>
      <w:r w:rsidR="006574D0" w:rsidRPr="00995237">
        <w:rPr>
          <w:rFonts w:ascii="Calibri" w:hAnsi="Calibri" w:cs="Calibri"/>
          <w:sz w:val="24"/>
          <w:szCs w:val="24"/>
          <w:lang w:eastAsia="cs-CZ"/>
        </w:rPr>
        <w:t>2015</w:t>
      </w:r>
      <w:r w:rsidRPr="00995237">
        <w:rPr>
          <w:rFonts w:ascii="Calibri" w:hAnsi="Calibri" w:cs="Calibri"/>
          <w:sz w:val="24"/>
          <w:szCs w:val="24"/>
          <w:lang w:eastAsia="cs-CZ"/>
        </w:rPr>
        <w:t xml:space="preserve"> poskytovány z OPD a z rozpočtu Státního fondu dopravní infrastruktury (dále </w:t>
      </w:r>
      <w:r w:rsidR="006574D0" w:rsidRPr="00995237">
        <w:rPr>
          <w:rFonts w:ascii="Calibri" w:hAnsi="Calibri" w:cs="Calibri"/>
          <w:sz w:val="24"/>
          <w:szCs w:val="24"/>
          <w:lang w:eastAsia="cs-CZ"/>
        </w:rPr>
        <w:t>také</w:t>
      </w:r>
      <w:r w:rsidRPr="00995237">
        <w:rPr>
          <w:rFonts w:ascii="Calibri" w:hAnsi="Calibri" w:cs="Calibri"/>
          <w:sz w:val="24"/>
          <w:szCs w:val="24"/>
          <w:lang w:eastAsia="cs-CZ"/>
        </w:rPr>
        <w:t xml:space="preserve"> „SFDI“). </w:t>
      </w:r>
      <w:r w:rsidR="00FA7569" w:rsidRPr="00995237">
        <w:rPr>
          <w:rFonts w:ascii="Calibri" w:hAnsi="Calibri" w:cs="Calibri"/>
          <w:sz w:val="24"/>
          <w:szCs w:val="24"/>
          <w:lang w:eastAsia="cs-CZ"/>
        </w:rPr>
        <w:t xml:space="preserve">Od roku 2014 byly </w:t>
      </w:r>
      <w:r w:rsidR="00740FDE" w:rsidRPr="00995237">
        <w:rPr>
          <w:rFonts w:ascii="Calibri" w:hAnsi="Calibri" w:cs="Calibri"/>
          <w:sz w:val="24"/>
          <w:szCs w:val="24"/>
          <w:lang w:eastAsia="cs-CZ"/>
        </w:rPr>
        <w:t xml:space="preserve">na </w:t>
      </w:r>
      <w:r w:rsidR="00740FDE" w:rsidRPr="00995237">
        <w:rPr>
          <w:rFonts w:ascii="Calibri" w:hAnsi="Calibri" w:cs="Calibri"/>
          <w:sz w:val="24"/>
          <w:szCs w:val="24"/>
        </w:rPr>
        <w:t xml:space="preserve">labsko-vltavské vodní cestě </w:t>
      </w:r>
      <w:r w:rsidR="00FA7569" w:rsidRPr="00995237">
        <w:rPr>
          <w:rFonts w:ascii="Calibri" w:hAnsi="Calibri" w:cs="Calibri"/>
          <w:sz w:val="24"/>
          <w:szCs w:val="24"/>
          <w:lang w:eastAsia="cs-CZ"/>
        </w:rPr>
        <w:t xml:space="preserve">realizovány spíše jen menší projekty, zejména rekonstrukce plavebních komor. Financovány byly z prostředků SFDI. </w:t>
      </w:r>
      <w:r w:rsidR="00044C88" w:rsidRPr="00995237">
        <w:rPr>
          <w:rFonts w:ascii="Calibri" w:hAnsi="Calibri" w:cs="Calibri"/>
          <w:sz w:val="24"/>
          <w:szCs w:val="24"/>
          <w:lang w:eastAsia="cs-CZ"/>
        </w:rPr>
        <w:t>V letech 2015–2019 byla z rozpočtu SFDI na přípravu a realizaci projektů ŘVC uvolněna celková částka 1</w:t>
      </w:r>
      <w:r w:rsidR="006E5195" w:rsidRPr="00995237">
        <w:rPr>
          <w:rFonts w:ascii="Calibri" w:hAnsi="Calibri" w:cs="Calibri"/>
          <w:sz w:val="24"/>
          <w:szCs w:val="24"/>
          <w:lang w:eastAsia="cs-CZ"/>
        </w:rPr>
        <w:t xml:space="preserve"> </w:t>
      </w:r>
      <w:r w:rsidR="00044C88" w:rsidRPr="00995237">
        <w:rPr>
          <w:rFonts w:ascii="Calibri" w:hAnsi="Calibri" w:cs="Calibri"/>
          <w:sz w:val="24"/>
          <w:szCs w:val="24"/>
          <w:lang w:eastAsia="cs-CZ"/>
        </w:rPr>
        <w:t xml:space="preserve">037 mil. Kč. </w:t>
      </w:r>
      <w:r w:rsidR="00FE419B">
        <w:rPr>
          <w:rFonts w:ascii="Calibri" w:hAnsi="Calibri" w:cs="Calibri"/>
          <w:sz w:val="24"/>
          <w:szCs w:val="24"/>
          <w:lang w:eastAsia="cs-CZ"/>
        </w:rPr>
        <w:t>O</w:t>
      </w:r>
      <w:r w:rsidR="00FA7569" w:rsidRPr="00995237">
        <w:rPr>
          <w:rFonts w:ascii="Calibri" w:hAnsi="Calibri" w:cs="Calibri"/>
          <w:sz w:val="24"/>
          <w:szCs w:val="24"/>
          <w:lang w:eastAsia="cs-CZ"/>
        </w:rPr>
        <w:t> podpo</w:t>
      </w:r>
      <w:r w:rsidR="00FE419B">
        <w:rPr>
          <w:rFonts w:ascii="Calibri" w:hAnsi="Calibri" w:cs="Calibri"/>
          <w:sz w:val="24"/>
          <w:szCs w:val="24"/>
          <w:lang w:eastAsia="cs-CZ"/>
        </w:rPr>
        <w:t>ře</w:t>
      </w:r>
      <w:r w:rsidR="00FA7569" w:rsidRPr="00995237">
        <w:rPr>
          <w:rFonts w:ascii="Calibri" w:hAnsi="Calibri" w:cs="Calibri"/>
          <w:sz w:val="24"/>
          <w:szCs w:val="24"/>
          <w:lang w:eastAsia="cs-CZ"/>
        </w:rPr>
        <w:t xml:space="preserve"> velkých projektů rozvoje vodních cest a vodní dopravy bylo uvažováno i</w:t>
      </w:r>
      <w:r w:rsidR="00FE419B">
        <w:rPr>
          <w:rFonts w:ascii="Calibri" w:hAnsi="Calibri" w:cs="Calibri"/>
          <w:sz w:val="24"/>
          <w:szCs w:val="24"/>
          <w:lang w:eastAsia="cs-CZ"/>
        </w:rPr>
        <w:t> </w:t>
      </w:r>
      <w:r w:rsidR="00FA7569" w:rsidRPr="00995237">
        <w:rPr>
          <w:rFonts w:ascii="Calibri" w:hAnsi="Calibri" w:cs="Calibri"/>
          <w:sz w:val="24"/>
          <w:szCs w:val="24"/>
          <w:lang w:eastAsia="cs-CZ"/>
        </w:rPr>
        <w:t>v dokumentaci OPD2</w:t>
      </w:r>
      <w:r w:rsidR="00611A5B" w:rsidRPr="00995237">
        <w:rPr>
          <w:rFonts w:ascii="Calibri" w:hAnsi="Calibri" w:cs="Calibri"/>
          <w:sz w:val="24"/>
          <w:szCs w:val="24"/>
          <w:lang w:eastAsia="cs-CZ"/>
        </w:rPr>
        <w:t>.</w:t>
      </w:r>
      <w:r w:rsidR="00FA7569" w:rsidRPr="00995237">
        <w:rPr>
          <w:rFonts w:ascii="Calibri" w:hAnsi="Calibri" w:cs="Calibri"/>
          <w:sz w:val="24"/>
          <w:szCs w:val="24"/>
          <w:lang w:eastAsia="cs-CZ"/>
        </w:rPr>
        <w:t xml:space="preserve"> </w:t>
      </w:r>
      <w:r w:rsidR="00740FDE" w:rsidRPr="00995237">
        <w:rPr>
          <w:rFonts w:ascii="Calibri" w:hAnsi="Calibri" w:cs="Calibri"/>
          <w:sz w:val="24"/>
          <w:szCs w:val="24"/>
          <w:lang w:eastAsia="cs-CZ"/>
        </w:rPr>
        <w:t xml:space="preserve">Příslušný </w:t>
      </w:r>
      <w:r w:rsidR="00FA7569" w:rsidRPr="00995237">
        <w:rPr>
          <w:rFonts w:ascii="Calibri" w:hAnsi="Calibri" w:cs="Calibri"/>
          <w:sz w:val="24"/>
          <w:szCs w:val="24"/>
          <w:lang w:eastAsia="cs-CZ"/>
        </w:rPr>
        <w:t xml:space="preserve">specifický cíl však byl z OPD2 v dubnu 2017 vyňat. </w:t>
      </w:r>
      <w:r w:rsidRPr="00995237">
        <w:rPr>
          <w:rFonts w:ascii="Calibri" w:hAnsi="Calibri" w:cs="Calibri"/>
          <w:sz w:val="24"/>
          <w:szCs w:val="24"/>
          <w:lang w:eastAsia="cs-CZ"/>
        </w:rPr>
        <w:t>Hodnotu již dokončených infrastrukturních projektů na labsko-vltavské</w:t>
      </w:r>
      <w:r w:rsidR="00AC0A32" w:rsidRPr="00995237">
        <w:rPr>
          <w:rFonts w:ascii="Calibri" w:hAnsi="Calibri" w:cs="Calibri"/>
          <w:sz w:val="24"/>
          <w:szCs w:val="24"/>
          <w:lang w:eastAsia="cs-CZ"/>
        </w:rPr>
        <w:t xml:space="preserve"> vodní</w:t>
      </w:r>
      <w:r w:rsidRPr="00995237">
        <w:rPr>
          <w:rFonts w:ascii="Calibri" w:hAnsi="Calibri" w:cs="Calibri"/>
          <w:sz w:val="24"/>
          <w:szCs w:val="24"/>
          <w:lang w:eastAsia="cs-CZ"/>
        </w:rPr>
        <w:t xml:space="preserve"> cestě MD vyčíslilo na 160</w:t>
      </w:r>
      <w:r w:rsidR="00FE419B">
        <w:rPr>
          <w:rFonts w:ascii="Calibri" w:hAnsi="Calibri" w:cs="Calibri"/>
          <w:sz w:val="24"/>
          <w:szCs w:val="24"/>
          <w:lang w:eastAsia="cs-CZ"/>
        </w:rPr>
        <w:t> mld. </w:t>
      </w:r>
      <w:r w:rsidRPr="00995237">
        <w:rPr>
          <w:rFonts w:ascii="Calibri" w:hAnsi="Calibri" w:cs="Calibri"/>
          <w:sz w:val="24"/>
          <w:szCs w:val="24"/>
          <w:lang w:eastAsia="cs-CZ"/>
        </w:rPr>
        <w:t>Kč.</w:t>
      </w:r>
      <w:r w:rsidR="00391B02" w:rsidRPr="00995237">
        <w:rPr>
          <w:rFonts w:ascii="Calibri" w:hAnsi="Calibri" w:cs="Calibri"/>
          <w:sz w:val="24"/>
          <w:szCs w:val="24"/>
          <w:lang w:eastAsia="cs-CZ"/>
        </w:rPr>
        <w:t xml:space="preserve"> </w:t>
      </w:r>
      <w:r w:rsidRPr="00995237">
        <w:rPr>
          <w:rFonts w:ascii="Calibri" w:hAnsi="Calibri" w:cs="Calibri"/>
          <w:sz w:val="24"/>
          <w:szCs w:val="24"/>
          <w:lang w:eastAsia="cs-CZ"/>
        </w:rPr>
        <w:t xml:space="preserve"> </w:t>
      </w:r>
    </w:p>
    <w:p w14:paraId="1242A4D9" w14:textId="77777777" w:rsidR="00167251" w:rsidRPr="00995237" w:rsidRDefault="00167251" w:rsidP="00995237">
      <w:pPr>
        <w:pStyle w:val="xl25"/>
        <w:spacing w:before="0" w:beforeAutospacing="0" w:after="0" w:afterAutospacing="0" w:line="264" w:lineRule="auto"/>
        <w:jc w:val="both"/>
        <w:rPr>
          <w:rFonts w:ascii="Calibri" w:eastAsiaTheme="minorHAnsi" w:hAnsi="Calibri" w:cs="Calibri"/>
          <w:b w:val="0"/>
          <w:bCs w:val="0"/>
        </w:rPr>
      </w:pPr>
    </w:p>
    <w:p w14:paraId="21BAD766" w14:textId="77777777" w:rsidR="00167251"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Modernizaci plavidel pro nákladní </w:t>
      </w:r>
      <w:r w:rsidR="00740FDE" w:rsidRPr="00995237">
        <w:rPr>
          <w:rFonts w:ascii="Calibri" w:hAnsi="Calibri" w:cs="Calibri"/>
          <w:sz w:val="24"/>
          <w:szCs w:val="24"/>
        </w:rPr>
        <w:t xml:space="preserve">říční </w:t>
      </w:r>
      <w:r w:rsidRPr="00995237">
        <w:rPr>
          <w:rFonts w:ascii="Calibri" w:hAnsi="Calibri" w:cs="Calibri"/>
          <w:sz w:val="24"/>
          <w:szCs w:val="24"/>
        </w:rPr>
        <w:t>dopravu MD podporovalo v letech 2008–2015 z programu č.</w:t>
      </w:r>
      <w:r w:rsidR="007F549C" w:rsidRPr="00995237">
        <w:rPr>
          <w:rFonts w:ascii="Calibri" w:hAnsi="Calibri" w:cs="Calibri"/>
          <w:sz w:val="24"/>
          <w:szCs w:val="24"/>
        </w:rPr>
        <w:t> </w:t>
      </w:r>
      <w:r w:rsidRPr="00995237">
        <w:rPr>
          <w:rFonts w:ascii="Calibri" w:hAnsi="Calibri" w:cs="Calibri"/>
          <w:sz w:val="24"/>
          <w:szCs w:val="24"/>
        </w:rPr>
        <w:t>127</w:t>
      </w:r>
      <w:r w:rsidR="00FA7569" w:rsidRPr="00995237">
        <w:rPr>
          <w:rFonts w:ascii="Calibri" w:hAnsi="Calibri" w:cs="Calibri"/>
          <w:sz w:val="24"/>
          <w:szCs w:val="24"/>
        </w:rPr>
        <w:t> </w:t>
      </w:r>
      <w:r w:rsidRPr="00995237">
        <w:rPr>
          <w:rFonts w:ascii="Calibri" w:hAnsi="Calibri" w:cs="Calibri"/>
          <w:sz w:val="24"/>
          <w:szCs w:val="24"/>
        </w:rPr>
        <w:t>550</w:t>
      </w:r>
      <w:r w:rsidR="00FA7569" w:rsidRPr="00995237">
        <w:rPr>
          <w:rFonts w:ascii="Calibri" w:hAnsi="Calibri" w:cs="Calibri"/>
          <w:sz w:val="24"/>
          <w:szCs w:val="24"/>
        </w:rPr>
        <w:t>, resp.</w:t>
      </w:r>
      <w:r w:rsidRPr="00995237">
        <w:rPr>
          <w:rFonts w:ascii="Calibri" w:hAnsi="Calibri" w:cs="Calibri"/>
          <w:sz w:val="24"/>
          <w:szCs w:val="24"/>
        </w:rPr>
        <w:t xml:space="preserve"> OPD. </w:t>
      </w:r>
      <w:r w:rsidR="00740FDE" w:rsidRPr="00995237">
        <w:rPr>
          <w:rFonts w:ascii="Calibri" w:hAnsi="Calibri" w:cs="Calibri"/>
          <w:sz w:val="24"/>
          <w:szCs w:val="24"/>
        </w:rPr>
        <w:t>Tato p</w:t>
      </w:r>
      <w:r w:rsidRPr="00995237">
        <w:rPr>
          <w:rFonts w:ascii="Calibri" w:hAnsi="Calibri" w:cs="Calibri"/>
          <w:sz w:val="24"/>
          <w:szCs w:val="24"/>
        </w:rPr>
        <w:t xml:space="preserve">odpora </w:t>
      </w:r>
      <w:r w:rsidR="00FA7569" w:rsidRPr="00995237">
        <w:rPr>
          <w:rFonts w:ascii="Calibri" w:hAnsi="Calibri" w:cs="Calibri"/>
          <w:sz w:val="24"/>
          <w:szCs w:val="24"/>
        </w:rPr>
        <w:t>je</w:t>
      </w:r>
      <w:r w:rsidRPr="00995237">
        <w:rPr>
          <w:rFonts w:ascii="Calibri" w:hAnsi="Calibri" w:cs="Calibri"/>
          <w:sz w:val="24"/>
          <w:szCs w:val="24"/>
        </w:rPr>
        <w:t xml:space="preserve"> zahrnuta i v OPD2 </w:t>
      </w:r>
      <w:r w:rsidR="00740FDE" w:rsidRPr="00995237">
        <w:rPr>
          <w:rFonts w:ascii="Calibri" w:hAnsi="Calibri" w:cs="Calibri"/>
          <w:sz w:val="24"/>
          <w:szCs w:val="24"/>
        </w:rPr>
        <w:t>v rámci s</w:t>
      </w:r>
      <w:r w:rsidRPr="00995237">
        <w:rPr>
          <w:rFonts w:ascii="Calibri" w:hAnsi="Calibri" w:cs="Calibri"/>
          <w:sz w:val="24"/>
          <w:szCs w:val="24"/>
        </w:rPr>
        <w:t>pecifick</w:t>
      </w:r>
      <w:r w:rsidR="00740FDE" w:rsidRPr="00995237">
        <w:rPr>
          <w:rFonts w:ascii="Calibri" w:hAnsi="Calibri" w:cs="Calibri"/>
          <w:sz w:val="24"/>
          <w:szCs w:val="24"/>
        </w:rPr>
        <w:t>ého</w:t>
      </w:r>
      <w:r w:rsidRPr="00995237">
        <w:rPr>
          <w:rFonts w:ascii="Calibri" w:hAnsi="Calibri" w:cs="Calibri"/>
          <w:sz w:val="24"/>
          <w:szCs w:val="24"/>
        </w:rPr>
        <w:t xml:space="preserve"> cíl</w:t>
      </w:r>
      <w:r w:rsidR="00740FDE" w:rsidRPr="00995237">
        <w:rPr>
          <w:rFonts w:ascii="Calibri" w:hAnsi="Calibri" w:cs="Calibri"/>
          <w:sz w:val="24"/>
          <w:szCs w:val="24"/>
        </w:rPr>
        <w:t>e</w:t>
      </w:r>
      <w:r w:rsidRPr="00995237">
        <w:rPr>
          <w:rFonts w:ascii="Calibri" w:hAnsi="Calibri" w:cs="Calibri"/>
          <w:sz w:val="24"/>
          <w:szCs w:val="24"/>
        </w:rPr>
        <w:t xml:space="preserve"> 1.5 </w:t>
      </w:r>
      <w:r w:rsidR="006E50B7" w:rsidRPr="00995237">
        <w:rPr>
          <w:rFonts w:ascii="Calibri" w:hAnsi="Calibri" w:cs="Calibri"/>
          <w:sz w:val="24"/>
          <w:szCs w:val="24"/>
        </w:rPr>
        <w:t>–</w:t>
      </w:r>
      <w:r w:rsidRPr="00995237">
        <w:rPr>
          <w:rFonts w:ascii="Calibri" w:hAnsi="Calibri" w:cs="Calibri"/>
          <w:sz w:val="24"/>
          <w:szCs w:val="24"/>
        </w:rPr>
        <w:t xml:space="preserve"> </w:t>
      </w:r>
      <w:r w:rsidRPr="00435EF1">
        <w:rPr>
          <w:rFonts w:ascii="Calibri" w:hAnsi="Calibri" w:cs="Calibri"/>
          <w:i/>
          <w:sz w:val="24"/>
          <w:szCs w:val="24"/>
        </w:rPr>
        <w:t>Vytvoření podmínek pro širší využití železniční a vodní dopravy prostřednictvím modernizace dopravního parku</w:t>
      </w:r>
      <w:r w:rsidRPr="00995237">
        <w:rPr>
          <w:rFonts w:ascii="Calibri" w:hAnsi="Calibri" w:cs="Calibri"/>
          <w:sz w:val="24"/>
          <w:szCs w:val="24"/>
        </w:rPr>
        <w:t xml:space="preserve">. O poskytnutí podpory </w:t>
      </w:r>
      <w:r w:rsidR="00FA7569" w:rsidRPr="00995237">
        <w:rPr>
          <w:rFonts w:ascii="Calibri" w:hAnsi="Calibri" w:cs="Calibri"/>
          <w:sz w:val="24"/>
          <w:szCs w:val="24"/>
        </w:rPr>
        <w:t xml:space="preserve">konkrétním projektům </w:t>
      </w:r>
      <w:r w:rsidRPr="00995237">
        <w:rPr>
          <w:rFonts w:ascii="Calibri" w:hAnsi="Calibri" w:cs="Calibri"/>
          <w:sz w:val="24"/>
          <w:szCs w:val="24"/>
        </w:rPr>
        <w:t>modernizac</w:t>
      </w:r>
      <w:r w:rsidR="00FA7569" w:rsidRPr="00995237">
        <w:rPr>
          <w:rFonts w:ascii="Calibri" w:hAnsi="Calibri" w:cs="Calibri"/>
          <w:sz w:val="24"/>
          <w:szCs w:val="24"/>
        </w:rPr>
        <w:t>e</w:t>
      </w:r>
      <w:r w:rsidRPr="00995237">
        <w:rPr>
          <w:rFonts w:ascii="Calibri" w:hAnsi="Calibri" w:cs="Calibri"/>
          <w:sz w:val="24"/>
          <w:szCs w:val="24"/>
        </w:rPr>
        <w:t xml:space="preserve"> plavidel z OPD2 MD do doby ukončení kontroly</w:t>
      </w:r>
      <w:r w:rsidR="004715FC" w:rsidRPr="00995237">
        <w:rPr>
          <w:rFonts w:ascii="Calibri" w:hAnsi="Calibri" w:cs="Calibri"/>
          <w:sz w:val="24"/>
          <w:szCs w:val="24"/>
        </w:rPr>
        <w:t xml:space="preserve"> NKÚ</w:t>
      </w:r>
      <w:r w:rsidRPr="00995237">
        <w:rPr>
          <w:rFonts w:ascii="Calibri" w:hAnsi="Calibri" w:cs="Calibri"/>
          <w:sz w:val="24"/>
          <w:szCs w:val="24"/>
        </w:rPr>
        <w:t xml:space="preserve"> nerozhodlo.</w:t>
      </w:r>
    </w:p>
    <w:p w14:paraId="17E6313C" w14:textId="77777777" w:rsidR="00E83980" w:rsidRPr="00995237" w:rsidRDefault="00E83980" w:rsidP="00995237">
      <w:pPr>
        <w:autoSpaceDE w:val="0"/>
        <w:autoSpaceDN w:val="0"/>
        <w:adjustRightInd w:val="0"/>
        <w:spacing w:after="0" w:line="264" w:lineRule="auto"/>
        <w:mirrorIndents/>
        <w:jc w:val="both"/>
        <w:rPr>
          <w:rFonts w:ascii="Calibri" w:hAnsi="Calibri" w:cs="Calibri"/>
          <w:sz w:val="24"/>
          <w:szCs w:val="24"/>
          <w:lang w:eastAsia="cs-CZ"/>
        </w:rPr>
      </w:pPr>
    </w:p>
    <w:p w14:paraId="74FB81B7" w14:textId="77777777" w:rsidR="00166385" w:rsidRPr="00995237" w:rsidRDefault="00166385" w:rsidP="00995237">
      <w:pPr>
        <w:autoSpaceDE w:val="0"/>
        <w:autoSpaceDN w:val="0"/>
        <w:adjustRightInd w:val="0"/>
        <w:spacing w:after="0" w:line="264" w:lineRule="auto"/>
        <w:mirrorIndents/>
        <w:jc w:val="both"/>
        <w:rPr>
          <w:rFonts w:ascii="Calibri" w:hAnsi="Calibri" w:cs="Calibri"/>
          <w:sz w:val="24"/>
          <w:szCs w:val="24"/>
          <w:lang w:eastAsia="cs-CZ"/>
        </w:rPr>
      </w:pPr>
    </w:p>
    <w:p w14:paraId="6FAC4F26" w14:textId="77777777" w:rsidR="00260294" w:rsidRPr="00C90C82" w:rsidRDefault="00E8036B" w:rsidP="00C90C82">
      <w:pPr>
        <w:pStyle w:val="Default"/>
        <w:tabs>
          <w:tab w:val="left" w:pos="3481"/>
        </w:tabs>
        <w:spacing w:line="252" w:lineRule="auto"/>
        <w:contextualSpacing/>
        <w:jc w:val="center"/>
        <w:rPr>
          <w:rFonts w:asciiTheme="minorHAnsi" w:eastAsia="Arial Unicode MS" w:hAnsiTheme="minorHAnsi" w:cstheme="minorHAnsi"/>
          <w:b/>
          <w:bCs/>
          <w:color w:val="auto"/>
          <w:sz w:val="28"/>
          <w:szCs w:val="28"/>
          <w:lang w:eastAsia="cs-CZ"/>
        </w:rPr>
      </w:pPr>
      <w:r w:rsidRPr="00C90C82">
        <w:rPr>
          <w:rFonts w:asciiTheme="minorHAnsi" w:hAnsiTheme="minorHAnsi" w:cstheme="minorHAnsi"/>
          <w:b/>
          <w:sz w:val="28"/>
          <w:szCs w:val="28"/>
        </w:rPr>
        <w:t>III. Rozsah kontroly</w:t>
      </w:r>
    </w:p>
    <w:p w14:paraId="406566CE" w14:textId="77777777" w:rsidR="00782995" w:rsidRPr="00995237" w:rsidRDefault="00782995" w:rsidP="00995237">
      <w:pPr>
        <w:spacing w:after="0" w:line="264" w:lineRule="auto"/>
        <w:jc w:val="both"/>
        <w:rPr>
          <w:rFonts w:ascii="Calibri" w:eastAsia="Arial Unicode MS" w:hAnsi="Calibri" w:cs="Calibri"/>
          <w:bCs/>
          <w:sz w:val="24"/>
          <w:szCs w:val="24"/>
          <w:lang w:eastAsia="cs-CZ"/>
        </w:rPr>
      </w:pPr>
    </w:p>
    <w:p w14:paraId="0D25CC5F" w14:textId="465A8279" w:rsidR="00641F62" w:rsidRPr="00995237" w:rsidRDefault="00E8036B" w:rsidP="00995237">
      <w:pPr>
        <w:spacing w:after="0" w:line="264" w:lineRule="auto"/>
        <w:jc w:val="both"/>
        <w:rPr>
          <w:rFonts w:ascii="Calibri" w:eastAsia="Arial Unicode MS" w:hAnsi="Calibri" w:cs="Calibri"/>
          <w:bCs/>
          <w:sz w:val="24"/>
          <w:szCs w:val="24"/>
          <w:lang w:eastAsia="cs-CZ"/>
        </w:rPr>
      </w:pPr>
      <w:r w:rsidRPr="00995237">
        <w:rPr>
          <w:rFonts w:ascii="Calibri" w:eastAsia="Arial Unicode MS" w:hAnsi="Calibri" w:cs="Calibri"/>
          <w:bCs/>
          <w:sz w:val="24"/>
          <w:szCs w:val="24"/>
          <w:lang w:eastAsia="cs-CZ"/>
        </w:rPr>
        <w:t>Kontrolní akcí č. 1</w:t>
      </w:r>
      <w:r w:rsidR="005F2CFC" w:rsidRPr="00995237">
        <w:rPr>
          <w:rFonts w:ascii="Calibri" w:eastAsia="Arial Unicode MS" w:hAnsi="Calibri" w:cs="Calibri"/>
          <w:bCs/>
          <w:sz w:val="24"/>
          <w:szCs w:val="24"/>
          <w:lang w:eastAsia="cs-CZ"/>
        </w:rPr>
        <w:t>8</w:t>
      </w:r>
      <w:r w:rsidRPr="00995237">
        <w:rPr>
          <w:rFonts w:ascii="Calibri" w:eastAsia="Arial Unicode MS" w:hAnsi="Calibri" w:cs="Calibri"/>
          <w:bCs/>
          <w:sz w:val="24"/>
          <w:szCs w:val="24"/>
          <w:lang w:eastAsia="cs-CZ"/>
        </w:rPr>
        <w:t>/</w:t>
      </w:r>
      <w:r w:rsidR="005F2CFC" w:rsidRPr="00995237">
        <w:rPr>
          <w:rFonts w:ascii="Calibri" w:eastAsia="Arial Unicode MS" w:hAnsi="Calibri" w:cs="Calibri"/>
          <w:bCs/>
          <w:sz w:val="24"/>
          <w:szCs w:val="24"/>
          <w:lang w:eastAsia="cs-CZ"/>
        </w:rPr>
        <w:t>16</w:t>
      </w:r>
      <w:r w:rsidRPr="00995237">
        <w:rPr>
          <w:rFonts w:ascii="Calibri" w:eastAsia="Arial Unicode MS" w:hAnsi="Calibri" w:cs="Calibri"/>
          <w:bCs/>
          <w:sz w:val="24"/>
          <w:szCs w:val="24"/>
          <w:lang w:eastAsia="cs-CZ"/>
        </w:rPr>
        <w:t xml:space="preserve"> </w:t>
      </w:r>
      <w:r w:rsidR="007369BA" w:rsidRPr="00995237">
        <w:rPr>
          <w:rFonts w:ascii="Calibri" w:eastAsia="Arial Unicode MS" w:hAnsi="Calibri" w:cs="Calibri"/>
          <w:bCs/>
          <w:sz w:val="24"/>
          <w:szCs w:val="24"/>
          <w:lang w:eastAsia="cs-CZ"/>
        </w:rPr>
        <w:t>prověřil</w:t>
      </w:r>
      <w:r w:rsidR="00FE419B" w:rsidRPr="00FE419B">
        <w:rPr>
          <w:rFonts w:ascii="Calibri" w:eastAsia="Arial Unicode MS" w:hAnsi="Calibri" w:cs="Calibri"/>
          <w:bCs/>
          <w:sz w:val="24"/>
          <w:szCs w:val="24"/>
          <w:lang w:eastAsia="cs-CZ"/>
        </w:rPr>
        <w:t xml:space="preserve"> </w:t>
      </w:r>
      <w:r w:rsidR="00FE419B" w:rsidRPr="00995237">
        <w:rPr>
          <w:rFonts w:ascii="Calibri" w:eastAsia="Arial Unicode MS" w:hAnsi="Calibri" w:cs="Calibri"/>
          <w:bCs/>
          <w:sz w:val="24"/>
          <w:szCs w:val="24"/>
          <w:lang w:eastAsia="cs-CZ"/>
        </w:rPr>
        <w:t>NKÚ</w:t>
      </w:r>
      <w:r w:rsidR="00AC0A32" w:rsidRPr="00995237">
        <w:rPr>
          <w:rFonts w:ascii="Calibri" w:eastAsia="Arial Unicode MS" w:hAnsi="Calibri" w:cs="Calibri"/>
          <w:bCs/>
          <w:sz w:val="24"/>
          <w:szCs w:val="24"/>
          <w:lang w:eastAsia="cs-CZ"/>
        </w:rPr>
        <w:t xml:space="preserve"> </w:t>
      </w:r>
      <w:r w:rsidRPr="00995237">
        <w:rPr>
          <w:rFonts w:ascii="Calibri" w:eastAsia="Arial Unicode MS" w:hAnsi="Calibri" w:cs="Calibri"/>
          <w:bCs/>
          <w:sz w:val="24"/>
          <w:szCs w:val="24"/>
          <w:lang w:eastAsia="cs-CZ"/>
        </w:rPr>
        <w:t>nakládání s</w:t>
      </w:r>
      <w:r w:rsidR="00611A5B" w:rsidRPr="00995237">
        <w:rPr>
          <w:rFonts w:ascii="Calibri" w:eastAsia="Arial Unicode MS" w:hAnsi="Calibri" w:cs="Calibri"/>
          <w:bCs/>
          <w:sz w:val="24"/>
          <w:szCs w:val="24"/>
          <w:lang w:eastAsia="cs-CZ"/>
        </w:rPr>
        <w:t xml:space="preserve"> peněžními </w:t>
      </w:r>
      <w:r w:rsidRPr="00995237">
        <w:rPr>
          <w:rFonts w:ascii="Calibri" w:eastAsia="Arial Unicode MS" w:hAnsi="Calibri" w:cs="Calibri"/>
          <w:bCs/>
          <w:sz w:val="24"/>
          <w:szCs w:val="24"/>
          <w:lang w:eastAsia="cs-CZ"/>
        </w:rPr>
        <w:t xml:space="preserve">prostředky </w:t>
      </w:r>
      <w:r w:rsidR="0051225F" w:rsidRPr="00995237">
        <w:rPr>
          <w:rFonts w:ascii="Calibri" w:eastAsia="Arial Unicode MS" w:hAnsi="Calibri" w:cs="Calibri"/>
          <w:bCs/>
          <w:sz w:val="24"/>
          <w:szCs w:val="24"/>
          <w:lang w:eastAsia="cs-CZ"/>
        </w:rPr>
        <w:t>státního rozpočtu</w:t>
      </w:r>
      <w:r w:rsidR="00611A5B" w:rsidRPr="00995237">
        <w:rPr>
          <w:rFonts w:ascii="Calibri" w:eastAsia="Arial Unicode MS" w:hAnsi="Calibri" w:cs="Calibri"/>
          <w:bCs/>
          <w:sz w:val="24"/>
          <w:szCs w:val="24"/>
          <w:lang w:eastAsia="cs-CZ"/>
        </w:rPr>
        <w:t>,</w:t>
      </w:r>
      <w:r w:rsidR="00AC0A32" w:rsidRPr="00995237">
        <w:rPr>
          <w:rFonts w:ascii="Calibri" w:eastAsia="Arial Unicode MS" w:hAnsi="Calibri" w:cs="Calibri"/>
          <w:bCs/>
          <w:sz w:val="24"/>
          <w:szCs w:val="24"/>
          <w:lang w:eastAsia="cs-CZ"/>
        </w:rPr>
        <w:t xml:space="preserve"> SFDI</w:t>
      </w:r>
      <w:r w:rsidR="00611A5B" w:rsidRPr="00995237">
        <w:rPr>
          <w:rFonts w:ascii="Calibri" w:eastAsia="Arial Unicode MS" w:hAnsi="Calibri" w:cs="Calibri"/>
          <w:bCs/>
          <w:sz w:val="24"/>
          <w:szCs w:val="24"/>
          <w:lang w:eastAsia="cs-CZ"/>
        </w:rPr>
        <w:t xml:space="preserve"> a</w:t>
      </w:r>
      <w:r w:rsidR="003A1744">
        <w:rPr>
          <w:rFonts w:ascii="Calibri" w:eastAsia="Arial Unicode MS" w:hAnsi="Calibri" w:cs="Calibri"/>
          <w:bCs/>
          <w:sz w:val="24"/>
          <w:szCs w:val="24"/>
          <w:lang w:eastAsia="cs-CZ"/>
        </w:rPr>
        <w:t> </w:t>
      </w:r>
      <w:r w:rsidR="00611A5B" w:rsidRPr="00995237">
        <w:rPr>
          <w:rFonts w:ascii="Calibri" w:eastAsia="Arial Unicode MS" w:hAnsi="Calibri" w:cs="Calibri"/>
          <w:bCs/>
          <w:sz w:val="24"/>
          <w:szCs w:val="24"/>
          <w:lang w:eastAsia="cs-CZ"/>
        </w:rPr>
        <w:t xml:space="preserve">Evropské unie (dále také „EU“) </w:t>
      </w:r>
      <w:r w:rsidR="00AC0A32" w:rsidRPr="00995237">
        <w:rPr>
          <w:rFonts w:ascii="Calibri" w:eastAsia="Arial Unicode MS" w:hAnsi="Calibri" w:cs="Calibri"/>
          <w:bCs/>
          <w:sz w:val="24"/>
          <w:szCs w:val="24"/>
          <w:lang w:eastAsia="cs-CZ"/>
        </w:rPr>
        <w:t xml:space="preserve">určenými na přípravu a </w:t>
      </w:r>
      <w:r w:rsidR="00610B9B" w:rsidRPr="00995237">
        <w:rPr>
          <w:rFonts w:ascii="Calibri" w:eastAsia="Arial Unicode MS" w:hAnsi="Calibri" w:cs="Calibri"/>
          <w:bCs/>
          <w:sz w:val="24"/>
          <w:szCs w:val="24"/>
          <w:lang w:eastAsia="cs-CZ"/>
        </w:rPr>
        <w:t>výstavbu</w:t>
      </w:r>
      <w:r w:rsidR="00AC0A32" w:rsidRPr="00995237">
        <w:rPr>
          <w:rFonts w:ascii="Calibri" w:eastAsia="Arial Unicode MS" w:hAnsi="Calibri" w:cs="Calibri"/>
          <w:bCs/>
          <w:sz w:val="24"/>
          <w:szCs w:val="24"/>
          <w:lang w:eastAsia="cs-CZ"/>
        </w:rPr>
        <w:t xml:space="preserve"> </w:t>
      </w:r>
      <w:r w:rsidR="00AC0A32" w:rsidRPr="00995237">
        <w:rPr>
          <w:rFonts w:ascii="Calibri" w:hAnsi="Calibri" w:cs="Calibri"/>
          <w:sz w:val="24"/>
          <w:szCs w:val="24"/>
          <w:lang w:eastAsia="cs-CZ"/>
        </w:rPr>
        <w:t xml:space="preserve">infrastrukturních projektů na vodních cestách a </w:t>
      </w:r>
      <w:r w:rsidR="00AC0A32" w:rsidRPr="00995237">
        <w:rPr>
          <w:rFonts w:ascii="Calibri" w:eastAsia="Arial Unicode MS" w:hAnsi="Calibri" w:cs="Calibri"/>
          <w:bCs/>
          <w:sz w:val="24"/>
          <w:szCs w:val="24"/>
          <w:lang w:eastAsia="cs-CZ"/>
        </w:rPr>
        <w:t>na podporu modernizace nákladních říčních plavidel.</w:t>
      </w:r>
      <w:r w:rsidR="007369BA" w:rsidRPr="00995237">
        <w:rPr>
          <w:rFonts w:ascii="Calibri" w:eastAsia="Arial Unicode MS" w:hAnsi="Calibri" w:cs="Calibri"/>
          <w:bCs/>
          <w:sz w:val="24"/>
          <w:szCs w:val="24"/>
          <w:lang w:eastAsia="cs-CZ"/>
        </w:rPr>
        <w:t xml:space="preserve"> </w:t>
      </w:r>
      <w:r w:rsidR="0012458A" w:rsidRPr="00995237">
        <w:rPr>
          <w:rFonts w:ascii="Calibri" w:eastAsia="Arial Unicode MS" w:hAnsi="Calibri" w:cs="Calibri"/>
          <w:bCs/>
          <w:sz w:val="24"/>
          <w:szCs w:val="24"/>
          <w:lang w:eastAsia="cs-CZ"/>
        </w:rPr>
        <w:t>Kontrole bylo podrobeno</w:t>
      </w:r>
      <w:r w:rsidR="009471DA" w:rsidRPr="00995237">
        <w:rPr>
          <w:rFonts w:ascii="Calibri" w:eastAsia="Arial Unicode MS" w:hAnsi="Calibri" w:cs="Calibri"/>
          <w:bCs/>
          <w:sz w:val="24"/>
          <w:szCs w:val="24"/>
          <w:lang w:eastAsia="cs-CZ"/>
        </w:rPr>
        <w:t xml:space="preserve"> </w:t>
      </w:r>
      <w:r w:rsidR="0012458A" w:rsidRPr="00995237">
        <w:rPr>
          <w:rFonts w:ascii="Calibri" w:eastAsia="Arial Unicode MS" w:hAnsi="Calibri" w:cs="Calibri"/>
          <w:bCs/>
          <w:sz w:val="24"/>
          <w:szCs w:val="24"/>
          <w:lang w:eastAsia="cs-CZ"/>
        </w:rPr>
        <w:t xml:space="preserve">šest infrastrukturních </w:t>
      </w:r>
      <w:r w:rsidR="009471DA" w:rsidRPr="00995237">
        <w:rPr>
          <w:rFonts w:ascii="Calibri" w:eastAsia="Arial Unicode MS" w:hAnsi="Calibri" w:cs="Calibri"/>
          <w:bCs/>
          <w:sz w:val="24"/>
          <w:szCs w:val="24"/>
          <w:lang w:eastAsia="cs-CZ"/>
        </w:rPr>
        <w:t>projektů</w:t>
      </w:r>
      <w:r w:rsidR="00637314" w:rsidRPr="00995237">
        <w:rPr>
          <w:rFonts w:ascii="Calibri" w:eastAsia="Arial Unicode MS" w:hAnsi="Calibri" w:cs="Calibri"/>
          <w:bCs/>
          <w:sz w:val="24"/>
          <w:szCs w:val="24"/>
          <w:lang w:eastAsia="cs-CZ"/>
        </w:rPr>
        <w:t xml:space="preserve"> </w:t>
      </w:r>
      <w:r w:rsidR="0012458A" w:rsidRPr="00995237">
        <w:rPr>
          <w:rFonts w:ascii="Calibri" w:eastAsia="Arial Unicode MS" w:hAnsi="Calibri" w:cs="Calibri"/>
          <w:bCs/>
          <w:sz w:val="24"/>
          <w:szCs w:val="24"/>
          <w:lang w:eastAsia="cs-CZ"/>
        </w:rPr>
        <w:t>s celkovým objemem nákladů</w:t>
      </w:r>
      <w:r w:rsidR="007369BA" w:rsidRPr="00995237">
        <w:rPr>
          <w:rFonts w:ascii="Calibri" w:eastAsia="Arial Unicode MS" w:hAnsi="Calibri" w:cs="Calibri"/>
          <w:bCs/>
          <w:sz w:val="24"/>
          <w:szCs w:val="24"/>
          <w:lang w:eastAsia="cs-CZ"/>
        </w:rPr>
        <w:t xml:space="preserve"> 1 388</w:t>
      </w:r>
      <w:r w:rsidR="00637314" w:rsidRPr="00995237">
        <w:rPr>
          <w:rFonts w:ascii="Calibri" w:eastAsia="Arial Unicode MS" w:hAnsi="Calibri" w:cs="Calibri"/>
          <w:bCs/>
          <w:sz w:val="24"/>
          <w:szCs w:val="24"/>
          <w:lang w:eastAsia="cs-CZ"/>
        </w:rPr>
        <w:t xml:space="preserve"> mil. Kč</w:t>
      </w:r>
      <w:r w:rsidR="0012458A" w:rsidRPr="00995237">
        <w:rPr>
          <w:rFonts w:ascii="Calibri" w:eastAsia="Arial Unicode MS" w:hAnsi="Calibri" w:cs="Calibri"/>
          <w:bCs/>
          <w:sz w:val="24"/>
          <w:szCs w:val="24"/>
          <w:lang w:eastAsia="cs-CZ"/>
        </w:rPr>
        <w:t xml:space="preserve"> a</w:t>
      </w:r>
      <w:r w:rsidR="00FE419B">
        <w:rPr>
          <w:rFonts w:ascii="Calibri" w:eastAsia="Arial Unicode MS" w:hAnsi="Calibri" w:cs="Calibri"/>
          <w:bCs/>
          <w:sz w:val="24"/>
          <w:szCs w:val="24"/>
          <w:lang w:eastAsia="cs-CZ"/>
        </w:rPr>
        <w:t> </w:t>
      </w:r>
      <w:r w:rsidR="0012458A" w:rsidRPr="00995237">
        <w:rPr>
          <w:rFonts w:ascii="Calibri" w:eastAsia="Arial Unicode MS" w:hAnsi="Calibri" w:cs="Calibri"/>
          <w:bCs/>
          <w:sz w:val="24"/>
          <w:szCs w:val="24"/>
          <w:lang w:eastAsia="cs-CZ"/>
        </w:rPr>
        <w:t xml:space="preserve">sedm projektů modernizace nákladních plavidel s celkovým objemem nákladů </w:t>
      </w:r>
      <w:r w:rsidR="007369BA" w:rsidRPr="00995237">
        <w:rPr>
          <w:rFonts w:ascii="Calibri" w:eastAsia="Arial Unicode MS" w:hAnsi="Calibri" w:cs="Calibri"/>
          <w:bCs/>
          <w:sz w:val="24"/>
          <w:szCs w:val="24"/>
          <w:lang w:eastAsia="cs-CZ"/>
        </w:rPr>
        <w:t xml:space="preserve">28,7 </w:t>
      </w:r>
      <w:r w:rsidR="0012458A" w:rsidRPr="00995237">
        <w:rPr>
          <w:rFonts w:ascii="Calibri" w:eastAsia="Arial Unicode MS" w:hAnsi="Calibri" w:cs="Calibri"/>
          <w:bCs/>
          <w:sz w:val="24"/>
          <w:szCs w:val="24"/>
          <w:lang w:eastAsia="cs-CZ"/>
        </w:rPr>
        <w:t>mil. Kč</w:t>
      </w:r>
      <w:r w:rsidR="00637314" w:rsidRPr="00995237">
        <w:rPr>
          <w:rFonts w:ascii="Calibri" w:eastAsia="Arial Unicode MS" w:hAnsi="Calibri" w:cs="Calibri"/>
          <w:bCs/>
          <w:sz w:val="24"/>
          <w:szCs w:val="24"/>
          <w:lang w:eastAsia="cs-CZ"/>
        </w:rPr>
        <w:t>.</w:t>
      </w:r>
      <w:r w:rsidR="00FA7569" w:rsidRPr="00995237">
        <w:rPr>
          <w:rFonts w:ascii="Calibri" w:eastAsia="Arial Unicode MS" w:hAnsi="Calibri" w:cs="Calibri"/>
          <w:bCs/>
          <w:sz w:val="24"/>
          <w:szCs w:val="24"/>
          <w:lang w:eastAsia="cs-CZ"/>
        </w:rPr>
        <w:t xml:space="preserve"> </w:t>
      </w:r>
    </w:p>
    <w:p w14:paraId="7E1E22B0" w14:textId="77777777" w:rsidR="009471DA" w:rsidRPr="00995237" w:rsidRDefault="009471DA" w:rsidP="00995237">
      <w:pPr>
        <w:spacing w:after="0" w:line="264" w:lineRule="auto"/>
        <w:jc w:val="both"/>
        <w:rPr>
          <w:rFonts w:ascii="Calibri" w:eastAsia="Arial Unicode MS" w:hAnsi="Calibri" w:cs="Calibri"/>
          <w:bCs/>
          <w:sz w:val="24"/>
          <w:szCs w:val="24"/>
          <w:lang w:eastAsia="cs-CZ"/>
        </w:rPr>
      </w:pPr>
    </w:p>
    <w:p w14:paraId="6525B365" w14:textId="77777777" w:rsidR="004C59AC" w:rsidRPr="00995237" w:rsidRDefault="00E8036B" w:rsidP="0022018A">
      <w:pPr>
        <w:keepNext/>
        <w:spacing w:after="0" w:line="264" w:lineRule="auto"/>
        <w:jc w:val="both"/>
        <w:rPr>
          <w:rFonts w:ascii="Calibri" w:eastAsia="Arial Unicode MS" w:hAnsi="Calibri" w:cs="Calibri"/>
          <w:bCs/>
          <w:sz w:val="24"/>
          <w:szCs w:val="24"/>
          <w:lang w:eastAsia="cs-CZ"/>
        </w:rPr>
      </w:pPr>
      <w:r w:rsidRPr="00995237">
        <w:rPr>
          <w:rFonts w:ascii="Calibri" w:eastAsia="Arial Unicode MS" w:hAnsi="Calibri" w:cs="Calibri"/>
          <w:bCs/>
          <w:sz w:val="24"/>
          <w:szCs w:val="24"/>
          <w:lang w:eastAsia="cs-CZ"/>
        </w:rPr>
        <w:t xml:space="preserve">Kontrola </w:t>
      </w:r>
      <w:r w:rsidR="00F06F73" w:rsidRPr="00995237">
        <w:rPr>
          <w:rFonts w:ascii="Calibri" w:eastAsia="Arial Unicode MS" w:hAnsi="Calibri" w:cs="Calibri"/>
          <w:bCs/>
          <w:sz w:val="24"/>
          <w:szCs w:val="24"/>
          <w:lang w:eastAsia="cs-CZ"/>
        </w:rPr>
        <w:t xml:space="preserve">na MD </w:t>
      </w:r>
      <w:r w:rsidRPr="00995237">
        <w:rPr>
          <w:rFonts w:ascii="Calibri" w:eastAsia="Arial Unicode MS" w:hAnsi="Calibri" w:cs="Calibri"/>
          <w:bCs/>
          <w:sz w:val="24"/>
          <w:szCs w:val="24"/>
          <w:lang w:eastAsia="cs-CZ"/>
        </w:rPr>
        <w:t xml:space="preserve">byla zaměřena zejména </w:t>
      </w:r>
      <w:proofErr w:type="gramStart"/>
      <w:r w:rsidRPr="00995237">
        <w:rPr>
          <w:rFonts w:ascii="Calibri" w:eastAsia="Arial Unicode MS" w:hAnsi="Calibri" w:cs="Calibri"/>
          <w:bCs/>
          <w:sz w:val="24"/>
          <w:szCs w:val="24"/>
          <w:lang w:eastAsia="cs-CZ"/>
        </w:rPr>
        <w:t>na</w:t>
      </w:r>
      <w:proofErr w:type="gramEnd"/>
      <w:r w:rsidRPr="00995237">
        <w:rPr>
          <w:rFonts w:ascii="Calibri" w:eastAsia="Arial Unicode MS" w:hAnsi="Calibri" w:cs="Calibri"/>
          <w:bCs/>
          <w:sz w:val="24"/>
          <w:szCs w:val="24"/>
          <w:lang w:eastAsia="cs-CZ"/>
        </w:rPr>
        <w:t>:</w:t>
      </w:r>
    </w:p>
    <w:p w14:paraId="72601476" w14:textId="77777777" w:rsidR="00610B9B" w:rsidRPr="00995237" w:rsidRDefault="00E8036B" w:rsidP="003A1744">
      <w:pPr>
        <w:pStyle w:val="Odstavecseseznamem"/>
        <w:numPr>
          <w:ilvl w:val="0"/>
          <w:numId w:val="45"/>
        </w:numPr>
        <w:spacing w:after="0" w:line="264" w:lineRule="auto"/>
        <w:ind w:left="284" w:hanging="284"/>
        <w:contextualSpacing w:val="0"/>
        <w:jc w:val="both"/>
        <w:rPr>
          <w:rFonts w:ascii="Calibri" w:eastAsia="Arial Unicode MS" w:hAnsi="Calibri" w:cs="Calibri"/>
          <w:bCs/>
          <w:sz w:val="24"/>
          <w:szCs w:val="24"/>
          <w:lang w:eastAsia="cs-CZ"/>
        </w:rPr>
      </w:pPr>
      <w:r w:rsidRPr="00995237">
        <w:rPr>
          <w:rFonts w:ascii="Calibri" w:hAnsi="Calibri" w:cs="Calibri"/>
          <w:bCs/>
          <w:sz w:val="24"/>
          <w:szCs w:val="24"/>
          <w:lang w:eastAsia="cs-CZ"/>
        </w:rPr>
        <w:t xml:space="preserve">koncepční činnost MD </w:t>
      </w:r>
      <w:r w:rsidR="004C59AC" w:rsidRPr="00995237">
        <w:rPr>
          <w:rFonts w:ascii="Calibri" w:hAnsi="Calibri" w:cs="Calibri"/>
          <w:bCs/>
          <w:sz w:val="24"/>
          <w:szCs w:val="24"/>
          <w:lang w:eastAsia="cs-CZ"/>
        </w:rPr>
        <w:t xml:space="preserve">v oblasti </w:t>
      </w:r>
      <w:r w:rsidRPr="00995237">
        <w:rPr>
          <w:rFonts w:ascii="Calibri" w:eastAsia="Times New Roman" w:hAnsi="Calibri" w:cs="Calibri"/>
          <w:sz w:val="24"/>
          <w:szCs w:val="24"/>
        </w:rPr>
        <w:t>rozvoje vodních cest a vodní dopravy,</w:t>
      </w:r>
    </w:p>
    <w:p w14:paraId="6AFDECD9" w14:textId="77777777" w:rsidR="004C59AC" w:rsidRPr="00995237" w:rsidRDefault="00E8036B" w:rsidP="003A1744">
      <w:pPr>
        <w:pStyle w:val="Odstavecseseznamem"/>
        <w:numPr>
          <w:ilvl w:val="0"/>
          <w:numId w:val="45"/>
        </w:numPr>
        <w:spacing w:after="0" w:line="264" w:lineRule="auto"/>
        <w:ind w:left="284" w:hanging="284"/>
        <w:contextualSpacing w:val="0"/>
        <w:jc w:val="both"/>
        <w:rPr>
          <w:rFonts w:ascii="Calibri" w:eastAsia="Arial Unicode MS" w:hAnsi="Calibri" w:cs="Calibri"/>
          <w:bCs/>
          <w:sz w:val="24"/>
          <w:szCs w:val="24"/>
          <w:lang w:eastAsia="cs-CZ"/>
        </w:rPr>
      </w:pPr>
      <w:r w:rsidRPr="00995237">
        <w:rPr>
          <w:rFonts w:ascii="Calibri" w:hAnsi="Calibri" w:cs="Calibri"/>
          <w:bCs/>
          <w:sz w:val="24"/>
          <w:szCs w:val="24"/>
          <w:lang w:eastAsia="cs-CZ"/>
        </w:rPr>
        <w:t xml:space="preserve">stanovení cílů </w:t>
      </w:r>
      <w:r w:rsidR="00611A5B" w:rsidRPr="00995237">
        <w:rPr>
          <w:rFonts w:ascii="Calibri" w:hAnsi="Calibri" w:cs="Calibri"/>
          <w:bCs/>
          <w:sz w:val="24"/>
          <w:szCs w:val="24"/>
          <w:lang w:eastAsia="cs-CZ"/>
        </w:rPr>
        <w:t xml:space="preserve">podpory </w:t>
      </w:r>
      <w:r w:rsidRPr="00995237">
        <w:rPr>
          <w:rFonts w:ascii="Calibri" w:hAnsi="Calibri" w:cs="Calibri"/>
          <w:bCs/>
          <w:sz w:val="24"/>
          <w:szCs w:val="24"/>
          <w:lang w:eastAsia="cs-CZ"/>
        </w:rPr>
        <w:t>a vytvoření systému ukazatelů umožňujícího objektivně vyhodnocovat míru jejich dosažení</w:t>
      </w:r>
      <w:r w:rsidR="00505C6B" w:rsidRPr="00995237">
        <w:rPr>
          <w:rFonts w:ascii="Calibri" w:hAnsi="Calibri" w:cs="Calibri"/>
          <w:bCs/>
          <w:sz w:val="24"/>
          <w:szCs w:val="24"/>
          <w:lang w:eastAsia="cs-CZ"/>
        </w:rPr>
        <w:t>,</w:t>
      </w:r>
    </w:p>
    <w:p w14:paraId="2A7435F2" w14:textId="77777777" w:rsidR="00610B9B" w:rsidRPr="00995237" w:rsidRDefault="00E8036B" w:rsidP="003A1744">
      <w:pPr>
        <w:pStyle w:val="Odstavecseseznamem"/>
        <w:numPr>
          <w:ilvl w:val="0"/>
          <w:numId w:val="45"/>
        </w:numPr>
        <w:spacing w:after="0" w:line="264" w:lineRule="auto"/>
        <w:ind w:left="284" w:hanging="284"/>
        <w:contextualSpacing w:val="0"/>
        <w:jc w:val="both"/>
        <w:rPr>
          <w:rFonts w:ascii="Calibri" w:eastAsia="Arial Unicode MS" w:hAnsi="Calibri" w:cs="Calibri"/>
          <w:bCs/>
          <w:sz w:val="24"/>
          <w:szCs w:val="24"/>
          <w:lang w:eastAsia="cs-CZ"/>
        </w:rPr>
      </w:pPr>
      <w:r w:rsidRPr="00995237">
        <w:rPr>
          <w:rFonts w:ascii="Calibri" w:eastAsia="Arial Unicode MS" w:hAnsi="Calibri" w:cs="Calibri"/>
          <w:bCs/>
          <w:sz w:val="24"/>
          <w:szCs w:val="24"/>
          <w:lang w:eastAsia="cs-CZ"/>
        </w:rPr>
        <w:t>účelnost a</w:t>
      </w:r>
      <w:r w:rsidR="00A20C9D" w:rsidRPr="00995237">
        <w:rPr>
          <w:rFonts w:ascii="Calibri" w:eastAsia="Arial Unicode MS" w:hAnsi="Calibri" w:cs="Calibri"/>
          <w:bCs/>
          <w:sz w:val="24"/>
          <w:szCs w:val="24"/>
          <w:lang w:eastAsia="cs-CZ"/>
        </w:rPr>
        <w:t xml:space="preserve"> </w:t>
      </w:r>
      <w:r w:rsidRPr="00995237">
        <w:rPr>
          <w:rFonts w:ascii="Calibri" w:eastAsia="Arial Unicode MS" w:hAnsi="Calibri" w:cs="Calibri"/>
          <w:bCs/>
          <w:sz w:val="24"/>
          <w:szCs w:val="24"/>
          <w:lang w:eastAsia="cs-CZ"/>
        </w:rPr>
        <w:t>efektivnost</w:t>
      </w:r>
      <w:r w:rsidR="00A20C9D" w:rsidRPr="00995237">
        <w:rPr>
          <w:rFonts w:ascii="Calibri" w:eastAsia="Arial Unicode MS" w:hAnsi="Calibri" w:cs="Calibri"/>
          <w:bCs/>
          <w:sz w:val="24"/>
          <w:szCs w:val="24"/>
          <w:lang w:eastAsia="cs-CZ"/>
        </w:rPr>
        <w:t xml:space="preserve"> poskytování podpory na </w:t>
      </w:r>
      <w:r w:rsidRPr="00995237">
        <w:rPr>
          <w:rFonts w:ascii="Calibri" w:eastAsia="Arial Unicode MS" w:hAnsi="Calibri" w:cs="Calibri"/>
          <w:bCs/>
          <w:sz w:val="24"/>
          <w:szCs w:val="24"/>
          <w:lang w:eastAsia="cs-CZ"/>
        </w:rPr>
        <w:t xml:space="preserve">modernizaci nákladních říčních plavidel včetně </w:t>
      </w:r>
      <w:r w:rsidR="00505C6B" w:rsidRPr="00995237">
        <w:rPr>
          <w:rFonts w:ascii="Calibri" w:eastAsia="Calibri" w:hAnsi="Calibri" w:cs="Calibri"/>
          <w:sz w:val="24"/>
          <w:szCs w:val="24"/>
        </w:rPr>
        <w:t>vyhodnocení účinků poskytnuté podpory</w:t>
      </w:r>
      <w:r w:rsidRPr="00995237">
        <w:rPr>
          <w:rFonts w:ascii="Calibri" w:eastAsia="Calibri" w:hAnsi="Calibri" w:cs="Calibri"/>
          <w:sz w:val="24"/>
          <w:szCs w:val="24"/>
        </w:rPr>
        <w:t>,</w:t>
      </w:r>
    </w:p>
    <w:p w14:paraId="47465B28" w14:textId="77777777" w:rsidR="004C59AC" w:rsidRPr="00995237" w:rsidRDefault="00E8036B" w:rsidP="003A1744">
      <w:pPr>
        <w:pStyle w:val="Odstavecseseznamem"/>
        <w:numPr>
          <w:ilvl w:val="0"/>
          <w:numId w:val="45"/>
        </w:numPr>
        <w:spacing w:after="0" w:line="264" w:lineRule="auto"/>
        <w:ind w:left="284" w:hanging="284"/>
        <w:contextualSpacing w:val="0"/>
        <w:jc w:val="both"/>
        <w:rPr>
          <w:rFonts w:ascii="Calibri" w:eastAsia="Arial Unicode MS" w:hAnsi="Calibri" w:cs="Calibri"/>
          <w:bCs/>
          <w:sz w:val="24"/>
          <w:szCs w:val="24"/>
          <w:lang w:eastAsia="cs-CZ"/>
        </w:rPr>
      </w:pPr>
      <w:r w:rsidRPr="00995237">
        <w:rPr>
          <w:rFonts w:ascii="Calibri" w:eastAsia="Calibri" w:hAnsi="Calibri" w:cs="Calibri"/>
          <w:sz w:val="24"/>
          <w:szCs w:val="24"/>
        </w:rPr>
        <w:t>plnění povinností</w:t>
      </w:r>
      <w:r w:rsidR="004A20B5" w:rsidRPr="00995237">
        <w:rPr>
          <w:rFonts w:ascii="Calibri" w:eastAsia="Calibri" w:hAnsi="Calibri" w:cs="Calibri"/>
          <w:sz w:val="24"/>
          <w:szCs w:val="24"/>
        </w:rPr>
        <w:t xml:space="preserve"> správce programu č. 127 550 a řídicího orgánu OPD v oblasti </w:t>
      </w:r>
      <w:r w:rsidR="004A20B5" w:rsidRPr="00995237">
        <w:rPr>
          <w:rFonts w:ascii="Calibri" w:eastAsia="Arial Unicode MS" w:hAnsi="Calibri" w:cs="Calibri"/>
          <w:bCs/>
          <w:sz w:val="24"/>
          <w:szCs w:val="24"/>
          <w:lang w:eastAsia="cs-CZ"/>
        </w:rPr>
        <w:t>podpory modernizac</w:t>
      </w:r>
      <w:r w:rsidRPr="00995237">
        <w:rPr>
          <w:rFonts w:ascii="Calibri" w:eastAsia="Arial Unicode MS" w:hAnsi="Calibri" w:cs="Calibri"/>
          <w:bCs/>
          <w:sz w:val="24"/>
          <w:szCs w:val="24"/>
          <w:lang w:eastAsia="cs-CZ"/>
        </w:rPr>
        <w:t>e</w:t>
      </w:r>
      <w:r w:rsidR="004A20B5" w:rsidRPr="00995237">
        <w:rPr>
          <w:rFonts w:ascii="Calibri" w:eastAsia="Arial Unicode MS" w:hAnsi="Calibri" w:cs="Calibri"/>
          <w:bCs/>
          <w:sz w:val="24"/>
          <w:szCs w:val="24"/>
          <w:lang w:eastAsia="cs-CZ"/>
        </w:rPr>
        <w:t xml:space="preserve"> nákladních říčních plavidel.</w:t>
      </w:r>
    </w:p>
    <w:p w14:paraId="7123E9FD" w14:textId="77777777" w:rsidR="00505C6B" w:rsidRPr="00995237" w:rsidRDefault="00505C6B" w:rsidP="00995237">
      <w:pPr>
        <w:spacing w:after="0" w:line="264" w:lineRule="auto"/>
        <w:ind w:left="66"/>
        <w:jc w:val="both"/>
        <w:rPr>
          <w:rFonts w:ascii="Calibri" w:eastAsia="Arial Unicode MS" w:hAnsi="Calibri" w:cs="Calibri"/>
          <w:bCs/>
          <w:sz w:val="24"/>
          <w:szCs w:val="24"/>
          <w:lang w:eastAsia="cs-CZ"/>
        </w:rPr>
      </w:pPr>
    </w:p>
    <w:p w14:paraId="09D494A9" w14:textId="77777777" w:rsidR="00505C6B" w:rsidRPr="00995237" w:rsidRDefault="00E8036B" w:rsidP="0022018A">
      <w:pPr>
        <w:keepNext/>
        <w:spacing w:after="0" w:line="264" w:lineRule="auto"/>
        <w:rPr>
          <w:rFonts w:ascii="Calibri" w:hAnsi="Calibri" w:cs="Calibri"/>
          <w:sz w:val="24"/>
          <w:szCs w:val="24"/>
          <w:lang w:eastAsia="cs-CZ"/>
        </w:rPr>
      </w:pPr>
      <w:r w:rsidRPr="00995237">
        <w:rPr>
          <w:rFonts w:ascii="Calibri" w:hAnsi="Calibri" w:cs="Calibri"/>
          <w:sz w:val="24"/>
          <w:szCs w:val="24"/>
          <w:lang w:eastAsia="cs-CZ"/>
        </w:rPr>
        <w:lastRenderedPageBreak/>
        <w:t xml:space="preserve">Kontrola na </w:t>
      </w:r>
      <w:r w:rsidR="00610B9B" w:rsidRPr="00995237">
        <w:rPr>
          <w:rFonts w:ascii="Calibri" w:hAnsi="Calibri" w:cs="Calibri"/>
          <w:sz w:val="24"/>
          <w:szCs w:val="24"/>
          <w:lang w:eastAsia="cs-CZ"/>
        </w:rPr>
        <w:t>ŘVC</w:t>
      </w:r>
      <w:r w:rsidRPr="00995237">
        <w:rPr>
          <w:rFonts w:ascii="Calibri" w:hAnsi="Calibri" w:cs="Calibri"/>
          <w:sz w:val="24"/>
          <w:szCs w:val="24"/>
          <w:lang w:eastAsia="cs-CZ"/>
        </w:rPr>
        <w:t xml:space="preserve"> byla zaměřena zejména </w:t>
      </w:r>
      <w:proofErr w:type="gramStart"/>
      <w:r w:rsidRPr="00995237">
        <w:rPr>
          <w:rFonts w:ascii="Calibri" w:hAnsi="Calibri" w:cs="Calibri"/>
          <w:sz w:val="24"/>
          <w:szCs w:val="24"/>
          <w:lang w:eastAsia="cs-CZ"/>
        </w:rPr>
        <w:t>na</w:t>
      </w:r>
      <w:proofErr w:type="gramEnd"/>
      <w:r w:rsidRPr="00995237">
        <w:rPr>
          <w:rFonts w:ascii="Calibri" w:hAnsi="Calibri" w:cs="Calibri"/>
          <w:sz w:val="24"/>
          <w:szCs w:val="24"/>
          <w:lang w:eastAsia="cs-CZ"/>
        </w:rPr>
        <w:t>:</w:t>
      </w:r>
    </w:p>
    <w:p w14:paraId="3B57D3B6" w14:textId="77777777" w:rsidR="00610B9B" w:rsidRPr="00995237" w:rsidRDefault="00E8036B" w:rsidP="00995237">
      <w:pPr>
        <w:pStyle w:val="Odstavecseseznamem"/>
        <w:numPr>
          <w:ilvl w:val="0"/>
          <w:numId w:val="44"/>
        </w:numPr>
        <w:spacing w:after="0" w:line="264" w:lineRule="auto"/>
        <w:ind w:left="284" w:hanging="284"/>
        <w:contextualSpacing w:val="0"/>
        <w:jc w:val="both"/>
        <w:rPr>
          <w:rFonts w:ascii="Calibri" w:hAnsi="Calibri" w:cs="Calibri"/>
          <w:sz w:val="24"/>
          <w:szCs w:val="24"/>
          <w:lang w:eastAsia="cs-CZ"/>
        </w:rPr>
      </w:pPr>
      <w:r w:rsidRPr="00995237">
        <w:rPr>
          <w:rFonts w:ascii="Calibri" w:hAnsi="Calibri" w:cs="Calibri"/>
          <w:sz w:val="24"/>
          <w:szCs w:val="24"/>
          <w:lang w:eastAsia="cs-CZ"/>
        </w:rPr>
        <w:t>hospodárnost a efektivnost vynakládání pros</w:t>
      </w:r>
      <w:r w:rsidR="004A20B5" w:rsidRPr="00995237">
        <w:rPr>
          <w:rFonts w:ascii="Calibri" w:hAnsi="Calibri" w:cs="Calibri"/>
          <w:sz w:val="24"/>
          <w:szCs w:val="24"/>
          <w:lang w:eastAsia="cs-CZ"/>
        </w:rPr>
        <w:t>tředků na přípravu a realizaci infrastrukturních projektů na labsko-vltavské vodní cestě</w:t>
      </w:r>
      <w:r w:rsidRPr="00995237">
        <w:rPr>
          <w:rFonts w:ascii="Calibri" w:hAnsi="Calibri" w:cs="Calibri"/>
          <w:sz w:val="24"/>
          <w:szCs w:val="24"/>
          <w:lang w:eastAsia="cs-CZ"/>
        </w:rPr>
        <w:t>,</w:t>
      </w:r>
    </w:p>
    <w:p w14:paraId="3361CF6D" w14:textId="77777777" w:rsidR="0028352C" w:rsidRPr="00995237" w:rsidRDefault="00E8036B" w:rsidP="00995237">
      <w:pPr>
        <w:pStyle w:val="Odstavecseseznamem"/>
        <w:numPr>
          <w:ilvl w:val="0"/>
          <w:numId w:val="44"/>
        </w:numPr>
        <w:spacing w:after="0" w:line="264" w:lineRule="auto"/>
        <w:ind w:left="284" w:hanging="284"/>
        <w:contextualSpacing w:val="0"/>
        <w:jc w:val="both"/>
        <w:rPr>
          <w:rFonts w:ascii="Calibri" w:hAnsi="Calibri" w:cs="Calibri"/>
          <w:sz w:val="24"/>
          <w:szCs w:val="24"/>
          <w:lang w:eastAsia="cs-CZ"/>
        </w:rPr>
      </w:pPr>
      <w:r w:rsidRPr="00995237">
        <w:rPr>
          <w:rFonts w:ascii="Calibri" w:hAnsi="Calibri" w:cs="Calibri"/>
          <w:sz w:val="24"/>
          <w:szCs w:val="24"/>
          <w:lang w:eastAsia="cs-CZ"/>
        </w:rPr>
        <w:t xml:space="preserve">soulad postupu </w:t>
      </w:r>
      <w:r w:rsidR="00610B9B" w:rsidRPr="00995237">
        <w:rPr>
          <w:rFonts w:ascii="Calibri" w:hAnsi="Calibri" w:cs="Calibri"/>
          <w:sz w:val="24"/>
          <w:szCs w:val="24"/>
          <w:lang w:eastAsia="cs-CZ"/>
        </w:rPr>
        <w:t>ŘVC</w:t>
      </w:r>
      <w:r w:rsidRPr="00995237">
        <w:rPr>
          <w:rFonts w:ascii="Calibri" w:hAnsi="Calibri" w:cs="Calibri"/>
          <w:sz w:val="24"/>
          <w:szCs w:val="24"/>
          <w:lang w:eastAsia="cs-CZ"/>
        </w:rPr>
        <w:t xml:space="preserve"> při </w:t>
      </w:r>
      <w:r w:rsidR="00610B9B" w:rsidRPr="00995237">
        <w:rPr>
          <w:rFonts w:ascii="Calibri" w:hAnsi="Calibri" w:cs="Calibri"/>
          <w:sz w:val="24"/>
          <w:szCs w:val="24"/>
          <w:lang w:eastAsia="cs-CZ"/>
        </w:rPr>
        <w:t>zadávání veřejných zakázek</w:t>
      </w:r>
      <w:r w:rsidR="00A20C9D" w:rsidRPr="00995237">
        <w:rPr>
          <w:rFonts w:ascii="Calibri" w:hAnsi="Calibri" w:cs="Calibri"/>
          <w:sz w:val="24"/>
          <w:szCs w:val="24"/>
          <w:lang w:eastAsia="cs-CZ"/>
        </w:rPr>
        <w:t xml:space="preserve"> </w:t>
      </w:r>
      <w:r w:rsidRPr="00995237">
        <w:rPr>
          <w:rFonts w:ascii="Calibri" w:hAnsi="Calibri" w:cs="Calibri"/>
          <w:sz w:val="24"/>
          <w:szCs w:val="24"/>
          <w:lang w:eastAsia="cs-CZ"/>
        </w:rPr>
        <w:t>s právními předpisy</w:t>
      </w:r>
      <w:r w:rsidRPr="00995237">
        <w:rPr>
          <w:rStyle w:val="Znakapoznpodarou"/>
          <w:rFonts w:ascii="Calibri" w:eastAsia="Calibri" w:hAnsi="Calibri" w:cs="Calibri"/>
          <w:sz w:val="24"/>
          <w:szCs w:val="24"/>
        </w:rPr>
        <w:footnoteReference w:id="10"/>
      </w:r>
      <w:r w:rsidR="00611A5B" w:rsidRPr="00995237">
        <w:rPr>
          <w:rFonts w:ascii="Calibri" w:hAnsi="Calibri" w:cs="Calibri"/>
          <w:sz w:val="24"/>
          <w:szCs w:val="24"/>
          <w:lang w:eastAsia="cs-CZ"/>
        </w:rPr>
        <w:t>.</w:t>
      </w:r>
    </w:p>
    <w:p w14:paraId="4A5F4810" w14:textId="77777777" w:rsidR="0028352C" w:rsidRPr="00995237" w:rsidRDefault="0028352C" w:rsidP="00995237">
      <w:pPr>
        <w:spacing w:after="0" w:line="264" w:lineRule="auto"/>
        <w:jc w:val="both"/>
        <w:rPr>
          <w:rFonts w:ascii="Calibri" w:hAnsi="Calibri" w:cs="Calibri"/>
          <w:sz w:val="24"/>
          <w:szCs w:val="24"/>
        </w:rPr>
      </w:pPr>
    </w:p>
    <w:p w14:paraId="445C61E2" w14:textId="77777777" w:rsidR="0007170E"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Kontrola navázala na kontrolní </w:t>
      </w:r>
      <w:r w:rsidR="00AB72EB" w:rsidRPr="00995237">
        <w:rPr>
          <w:rFonts w:ascii="Calibri" w:hAnsi="Calibri" w:cs="Calibri"/>
          <w:sz w:val="24"/>
          <w:szCs w:val="24"/>
        </w:rPr>
        <w:t xml:space="preserve">akce </w:t>
      </w:r>
      <w:r w:rsidR="00C51BDA" w:rsidRPr="00995237">
        <w:rPr>
          <w:rFonts w:ascii="Calibri" w:hAnsi="Calibri" w:cs="Calibri"/>
          <w:sz w:val="24"/>
          <w:szCs w:val="24"/>
        </w:rPr>
        <w:t xml:space="preserve">č. 08/19 </w:t>
      </w:r>
      <w:r w:rsidR="00AB72EB" w:rsidRPr="00995237">
        <w:rPr>
          <w:rFonts w:ascii="Calibri" w:hAnsi="Calibri" w:cs="Calibri"/>
          <w:sz w:val="24"/>
          <w:szCs w:val="24"/>
        </w:rPr>
        <w:t>a č. 14/03, při nichž</w:t>
      </w:r>
      <w:r w:rsidR="00017EA1" w:rsidRPr="00995237">
        <w:rPr>
          <w:rFonts w:ascii="Calibri" w:hAnsi="Calibri" w:cs="Calibri"/>
          <w:sz w:val="24"/>
          <w:szCs w:val="24"/>
        </w:rPr>
        <w:t xml:space="preserve"> NKÚ zjistil v činnosti MD opakující se nedostatky, zejména nevytvoření účinného systému řízení investic, nepodložen</w:t>
      </w:r>
      <w:r w:rsidR="00611A5B" w:rsidRPr="00995237">
        <w:rPr>
          <w:rFonts w:ascii="Calibri" w:hAnsi="Calibri" w:cs="Calibri"/>
          <w:sz w:val="24"/>
          <w:szCs w:val="24"/>
        </w:rPr>
        <w:t>á</w:t>
      </w:r>
      <w:r w:rsidR="00017EA1" w:rsidRPr="00995237">
        <w:rPr>
          <w:rFonts w:ascii="Calibri" w:hAnsi="Calibri" w:cs="Calibri"/>
          <w:sz w:val="24"/>
          <w:szCs w:val="24"/>
        </w:rPr>
        <w:t xml:space="preserve"> ekonomick</w:t>
      </w:r>
      <w:r w:rsidR="00611A5B" w:rsidRPr="00995237">
        <w:rPr>
          <w:rFonts w:ascii="Calibri" w:hAnsi="Calibri" w:cs="Calibri"/>
          <w:sz w:val="24"/>
          <w:szCs w:val="24"/>
        </w:rPr>
        <w:t>á</w:t>
      </w:r>
      <w:r w:rsidR="00017EA1" w:rsidRPr="00995237">
        <w:rPr>
          <w:rFonts w:ascii="Calibri" w:hAnsi="Calibri" w:cs="Calibri"/>
          <w:sz w:val="24"/>
          <w:szCs w:val="24"/>
        </w:rPr>
        <w:t xml:space="preserve"> hodnocení projektů, nedůsledné vyhodnocování jejich skutečných přínosů a</w:t>
      </w:r>
      <w:r w:rsidR="00081E9B" w:rsidRPr="00995237">
        <w:rPr>
          <w:rFonts w:ascii="Calibri" w:hAnsi="Calibri" w:cs="Calibri"/>
          <w:sz w:val="24"/>
          <w:szCs w:val="24"/>
        </w:rPr>
        <w:t> </w:t>
      </w:r>
      <w:r w:rsidR="00017EA1" w:rsidRPr="00995237">
        <w:rPr>
          <w:rFonts w:ascii="Calibri" w:hAnsi="Calibri" w:cs="Calibri"/>
          <w:sz w:val="24"/>
          <w:szCs w:val="24"/>
        </w:rPr>
        <w:t>absenci ucelené koncepce vodní dopravy.</w:t>
      </w:r>
    </w:p>
    <w:p w14:paraId="2723ED4D" w14:textId="77777777" w:rsidR="0007170E" w:rsidRPr="00995237" w:rsidRDefault="0007170E" w:rsidP="00995237">
      <w:pPr>
        <w:spacing w:after="0" w:line="264" w:lineRule="auto"/>
        <w:jc w:val="both"/>
        <w:rPr>
          <w:rFonts w:ascii="Calibri" w:hAnsi="Calibri" w:cs="Calibri"/>
          <w:sz w:val="24"/>
          <w:szCs w:val="24"/>
        </w:rPr>
      </w:pPr>
    </w:p>
    <w:p w14:paraId="2853606A" w14:textId="77777777" w:rsidR="002E3F8B" w:rsidRPr="00995237" w:rsidRDefault="00E8036B" w:rsidP="00995237">
      <w:pPr>
        <w:tabs>
          <w:tab w:val="center" w:pos="7020"/>
        </w:tabs>
        <w:spacing w:after="0" w:line="264" w:lineRule="auto"/>
        <w:jc w:val="both"/>
        <w:rPr>
          <w:rFonts w:ascii="Calibri" w:hAnsi="Calibri" w:cs="Calibri"/>
          <w:sz w:val="24"/>
          <w:szCs w:val="24"/>
        </w:rPr>
      </w:pPr>
      <w:r w:rsidRPr="00995237">
        <w:rPr>
          <w:rFonts w:ascii="Calibri" w:hAnsi="Calibri" w:cs="Calibri"/>
          <w:sz w:val="24"/>
          <w:szCs w:val="24"/>
        </w:rPr>
        <w:t>MD na nedostatky zjištěné v kontrolní akci č. 14/03 reagovalo nápravným opatřením, podle něhož mělo zpracovat koncepci vodní dopravy s kontrolním termínem 31. 12. 2015</w:t>
      </w:r>
      <w:r w:rsidR="00AB72EB" w:rsidRPr="00995237">
        <w:rPr>
          <w:rFonts w:ascii="Calibri" w:hAnsi="Calibri" w:cs="Calibri"/>
          <w:sz w:val="24"/>
          <w:szCs w:val="24"/>
        </w:rPr>
        <w:t>. D</w:t>
      </w:r>
      <w:r w:rsidRPr="00995237">
        <w:rPr>
          <w:rFonts w:ascii="Calibri" w:hAnsi="Calibri" w:cs="Calibri"/>
          <w:sz w:val="24"/>
          <w:szCs w:val="24"/>
        </w:rPr>
        <w:t xml:space="preserve">ále </w:t>
      </w:r>
      <w:r w:rsidR="00AB72EB" w:rsidRPr="00995237">
        <w:rPr>
          <w:rFonts w:ascii="Calibri" w:hAnsi="Calibri" w:cs="Calibri"/>
          <w:sz w:val="24"/>
          <w:szCs w:val="24"/>
        </w:rPr>
        <w:t>přijalo mj. opatření</w:t>
      </w:r>
      <w:r w:rsidRPr="00995237">
        <w:rPr>
          <w:rFonts w:ascii="Calibri" w:hAnsi="Calibri" w:cs="Calibri"/>
          <w:sz w:val="24"/>
          <w:szCs w:val="24"/>
        </w:rPr>
        <w:t xml:space="preserve">, v němž podmínilo zahájení stavebních prací na projektech splavnění Labe do Pardubic vydáním územního rozhodnutí projektu řešícího zlepšení plavebních podmínek na dolním Labi a zajištěním finančních zdrojů na jeho realizaci. </w:t>
      </w:r>
      <w:r w:rsidR="00740FDE" w:rsidRPr="00995237">
        <w:rPr>
          <w:rFonts w:ascii="Calibri" w:hAnsi="Calibri" w:cs="Calibri"/>
          <w:sz w:val="24"/>
          <w:szCs w:val="24"/>
        </w:rPr>
        <w:t>Vláda uložila ministru dopravy usnesením ze dne 7. prosince 2015 č. 1001</w:t>
      </w:r>
      <w:r w:rsidRPr="00995237">
        <w:rPr>
          <w:rFonts w:ascii="Calibri" w:hAnsi="Calibri" w:cs="Calibri"/>
          <w:sz w:val="24"/>
          <w:szCs w:val="24"/>
          <w:vertAlign w:val="superscript"/>
        </w:rPr>
        <w:footnoteReference w:id="11"/>
      </w:r>
      <w:r w:rsidR="00740FDE" w:rsidRPr="00995237">
        <w:rPr>
          <w:rFonts w:ascii="Calibri" w:hAnsi="Calibri" w:cs="Calibri"/>
          <w:sz w:val="24"/>
          <w:szCs w:val="24"/>
        </w:rPr>
        <w:t xml:space="preserve"> z</w:t>
      </w:r>
      <w:r w:rsidRPr="00995237">
        <w:rPr>
          <w:rFonts w:ascii="Calibri" w:hAnsi="Calibri" w:cs="Calibri"/>
          <w:sz w:val="24"/>
          <w:szCs w:val="24"/>
        </w:rPr>
        <w:t>ajistit realizaci těchto opatření</w:t>
      </w:r>
      <w:r w:rsidR="00740FDE" w:rsidRPr="00995237">
        <w:rPr>
          <w:rFonts w:ascii="Calibri" w:hAnsi="Calibri" w:cs="Calibri"/>
          <w:sz w:val="24"/>
          <w:szCs w:val="24"/>
        </w:rPr>
        <w:t>.</w:t>
      </w:r>
      <w:r w:rsidRPr="00995237">
        <w:rPr>
          <w:rFonts w:ascii="Calibri" w:hAnsi="Calibri" w:cs="Calibri"/>
          <w:sz w:val="24"/>
          <w:szCs w:val="24"/>
        </w:rPr>
        <w:t xml:space="preserve"> Kontrolní výbor Poslanecké sněmovny Parlamentu České republiky usnesením ze dne 28. dubna 2016 č. 191</w:t>
      </w:r>
      <w:r w:rsidRPr="00995237">
        <w:rPr>
          <w:rFonts w:ascii="Calibri" w:hAnsi="Calibri" w:cs="Calibri"/>
          <w:sz w:val="24"/>
          <w:szCs w:val="24"/>
          <w:vertAlign w:val="superscript"/>
        </w:rPr>
        <w:footnoteReference w:id="12"/>
      </w:r>
      <w:r w:rsidRPr="00995237">
        <w:rPr>
          <w:rFonts w:ascii="Calibri" w:hAnsi="Calibri" w:cs="Calibri"/>
          <w:sz w:val="24"/>
          <w:szCs w:val="24"/>
        </w:rPr>
        <w:t xml:space="preserve"> </w:t>
      </w:r>
      <w:r w:rsidR="00740FDE" w:rsidRPr="00995237">
        <w:rPr>
          <w:rFonts w:ascii="Calibri" w:hAnsi="Calibri" w:cs="Calibri"/>
          <w:sz w:val="24"/>
          <w:szCs w:val="24"/>
        </w:rPr>
        <w:t xml:space="preserve">navíc </w:t>
      </w:r>
      <w:r w:rsidRPr="00995237">
        <w:rPr>
          <w:rFonts w:ascii="Calibri" w:hAnsi="Calibri" w:cs="Calibri"/>
          <w:sz w:val="24"/>
          <w:szCs w:val="24"/>
        </w:rPr>
        <w:t xml:space="preserve">doporučil ministru dopravy rozšířit soubor opatření o opatření reagující na připomínky NKÚ týkající se mj. </w:t>
      </w:r>
      <w:r w:rsidR="00740FDE" w:rsidRPr="00995237">
        <w:rPr>
          <w:rFonts w:ascii="Calibri" w:hAnsi="Calibri" w:cs="Calibri"/>
          <w:sz w:val="24"/>
          <w:szCs w:val="24"/>
        </w:rPr>
        <w:t>odstranění</w:t>
      </w:r>
      <w:r w:rsidRPr="00995237">
        <w:rPr>
          <w:rFonts w:ascii="Calibri" w:hAnsi="Calibri" w:cs="Calibri"/>
          <w:sz w:val="24"/>
          <w:szCs w:val="24"/>
        </w:rPr>
        <w:t xml:space="preserve"> rozporů mezi koncepčními materiály MD a </w:t>
      </w:r>
      <w:r w:rsidR="00740FDE" w:rsidRPr="00995237">
        <w:rPr>
          <w:rFonts w:ascii="Calibri" w:hAnsi="Calibri" w:cs="Calibri"/>
          <w:sz w:val="24"/>
          <w:szCs w:val="24"/>
        </w:rPr>
        <w:t xml:space="preserve">vyřešení </w:t>
      </w:r>
      <w:r w:rsidRPr="00995237">
        <w:rPr>
          <w:rFonts w:ascii="Calibri" w:hAnsi="Calibri" w:cs="Calibri"/>
          <w:sz w:val="24"/>
          <w:szCs w:val="24"/>
        </w:rPr>
        <w:t>absence měř</w:t>
      </w:r>
      <w:r w:rsidR="00C361A9" w:rsidRPr="00995237">
        <w:rPr>
          <w:rFonts w:ascii="Calibri" w:hAnsi="Calibri" w:cs="Calibri"/>
          <w:sz w:val="24"/>
          <w:szCs w:val="24"/>
        </w:rPr>
        <w:t>i</w:t>
      </w:r>
      <w:r w:rsidRPr="00995237">
        <w:rPr>
          <w:rFonts w:ascii="Calibri" w:hAnsi="Calibri" w:cs="Calibri"/>
          <w:sz w:val="24"/>
          <w:szCs w:val="24"/>
        </w:rPr>
        <w:t>cích a vyhodnocovacích mechanizmů.</w:t>
      </w:r>
    </w:p>
    <w:p w14:paraId="21A69A40" w14:textId="77777777" w:rsidR="00276301" w:rsidRPr="00995237" w:rsidRDefault="00276301" w:rsidP="00995237">
      <w:pPr>
        <w:tabs>
          <w:tab w:val="center" w:pos="7020"/>
        </w:tabs>
        <w:spacing w:after="0" w:line="264" w:lineRule="auto"/>
        <w:jc w:val="both"/>
        <w:rPr>
          <w:rFonts w:ascii="Calibri" w:hAnsi="Calibri" w:cs="Calibri"/>
          <w:sz w:val="24"/>
          <w:szCs w:val="24"/>
        </w:rPr>
      </w:pPr>
    </w:p>
    <w:p w14:paraId="0F7857A1" w14:textId="77777777" w:rsidR="00833A70" w:rsidRPr="00995237" w:rsidRDefault="00833A70" w:rsidP="00995237">
      <w:pPr>
        <w:tabs>
          <w:tab w:val="center" w:pos="7020"/>
        </w:tabs>
        <w:spacing w:after="0" w:line="264" w:lineRule="auto"/>
        <w:jc w:val="both"/>
        <w:rPr>
          <w:rFonts w:ascii="Calibri" w:hAnsi="Calibri" w:cs="Calibri"/>
          <w:sz w:val="24"/>
          <w:szCs w:val="24"/>
        </w:rPr>
      </w:pPr>
    </w:p>
    <w:p w14:paraId="16C66ED1" w14:textId="77777777" w:rsidR="002E3F8B" w:rsidRDefault="00E8036B" w:rsidP="00276301">
      <w:pPr>
        <w:pStyle w:val="Nadpis1"/>
        <w:spacing w:before="0" w:after="0" w:line="252" w:lineRule="auto"/>
        <w:contextualSpacing/>
        <w:jc w:val="center"/>
        <w:rPr>
          <w:rFonts w:asciiTheme="minorHAnsi" w:hAnsiTheme="minorHAnsi" w:cstheme="minorHAnsi"/>
          <w:sz w:val="28"/>
          <w:szCs w:val="28"/>
        </w:rPr>
      </w:pPr>
      <w:r w:rsidRPr="004C3DDD">
        <w:rPr>
          <w:rFonts w:asciiTheme="minorHAnsi" w:hAnsiTheme="minorHAnsi" w:cstheme="minorHAnsi"/>
          <w:sz w:val="28"/>
          <w:szCs w:val="28"/>
        </w:rPr>
        <w:t>IV. Podrobn</w:t>
      </w:r>
      <w:r w:rsidR="00276301" w:rsidRPr="004C3DDD">
        <w:rPr>
          <w:rFonts w:asciiTheme="minorHAnsi" w:hAnsiTheme="minorHAnsi" w:cstheme="minorHAnsi"/>
          <w:sz w:val="28"/>
          <w:szCs w:val="28"/>
        </w:rPr>
        <w:t>é skutečnosti zjištěné kontrolou</w:t>
      </w:r>
    </w:p>
    <w:p w14:paraId="55960BA9" w14:textId="77777777" w:rsidR="00276301" w:rsidRPr="00995237" w:rsidRDefault="00276301" w:rsidP="00995237">
      <w:pPr>
        <w:spacing w:after="0" w:line="264" w:lineRule="auto"/>
        <w:rPr>
          <w:rFonts w:ascii="Calibri" w:hAnsi="Calibri" w:cs="Calibri"/>
          <w:lang w:eastAsia="cs-CZ"/>
        </w:rPr>
      </w:pPr>
    </w:p>
    <w:p w14:paraId="784A3406" w14:textId="77777777" w:rsidR="00916EDC" w:rsidRPr="00995237" w:rsidRDefault="00E8036B" w:rsidP="003C2F39">
      <w:pPr>
        <w:keepNext/>
        <w:spacing w:after="0" w:line="264" w:lineRule="auto"/>
        <w:jc w:val="both"/>
        <w:rPr>
          <w:rFonts w:ascii="Calibri" w:eastAsia="Times New Roman" w:hAnsi="Calibri" w:cs="Calibri"/>
          <w:b/>
          <w:sz w:val="24"/>
          <w:szCs w:val="24"/>
        </w:rPr>
      </w:pPr>
      <w:r w:rsidRPr="00995237">
        <w:rPr>
          <w:rFonts w:ascii="Calibri" w:eastAsia="Calibri" w:hAnsi="Calibri" w:cs="Calibri"/>
          <w:b/>
          <w:sz w:val="24"/>
          <w:szCs w:val="24"/>
        </w:rPr>
        <w:t xml:space="preserve">Dopravně-politické cíle, </w:t>
      </w:r>
      <w:r w:rsidR="00AB72EB" w:rsidRPr="00995237">
        <w:rPr>
          <w:rFonts w:ascii="Calibri" w:eastAsia="Times New Roman" w:hAnsi="Calibri" w:cs="Calibri"/>
          <w:b/>
          <w:sz w:val="24"/>
          <w:szCs w:val="24"/>
        </w:rPr>
        <w:t>k</w:t>
      </w:r>
      <w:r w:rsidR="00017EA1" w:rsidRPr="00995237">
        <w:rPr>
          <w:rFonts w:ascii="Calibri" w:eastAsia="Times New Roman" w:hAnsi="Calibri" w:cs="Calibri"/>
          <w:b/>
          <w:sz w:val="24"/>
          <w:szCs w:val="24"/>
        </w:rPr>
        <w:t>oncepce vodní dopravy</w:t>
      </w:r>
      <w:r w:rsidR="00044C88" w:rsidRPr="00995237">
        <w:rPr>
          <w:rFonts w:ascii="Calibri" w:eastAsia="Times New Roman" w:hAnsi="Calibri" w:cs="Calibri"/>
          <w:b/>
          <w:sz w:val="24"/>
          <w:szCs w:val="24"/>
        </w:rPr>
        <w:t xml:space="preserve">, </w:t>
      </w:r>
      <w:r w:rsidR="002F0F72" w:rsidRPr="00995237">
        <w:rPr>
          <w:rFonts w:ascii="Calibri" w:eastAsia="Times New Roman" w:hAnsi="Calibri" w:cs="Calibri"/>
          <w:b/>
          <w:sz w:val="24"/>
          <w:szCs w:val="24"/>
        </w:rPr>
        <w:t>p</w:t>
      </w:r>
      <w:r w:rsidR="00044C88" w:rsidRPr="00995237">
        <w:rPr>
          <w:rFonts w:ascii="Calibri" w:eastAsia="Times New Roman" w:hAnsi="Calibri" w:cs="Calibri"/>
          <w:b/>
          <w:sz w:val="24"/>
          <w:szCs w:val="24"/>
        </w:rPr>
        <w:t>lavební stup</w:t>
      </w:r>
      <w:r w:rsidR="002F0F72" w:rsidRPr="00995237">
        <w:rPr>
          <w:rFonts w:ascii="Calibri" w:eastAsia="Times New Roman" w:hAnsi="Calibri" w:cs="Calibri"/>
          <w:b/>
          <w:sz w:val="24"/>
          <w:szCs w:val="24"/>
        </w:rPr>
        <w:t>ně</w:t>
      </w:r>
      <w:r w:rsidR="00044C88" w:rsidRPr="00995237">
        <w:rPr>
          <w:rFonts w:ascii="Calibri" w:eastAsia="Times New Roman" w:hAnsi="Calibri" w:cs="Calibri"/>
          <w:b/>
          <w:sz w:val="24"/>
          <w:szCs w:val="24"/>
        </w:rPr>
        <w:t xml:space="preserve"> Děčín</w:t>
      </w:r>
      <w:r w:rsidR="002F0F72" w:rsidRPr="00995237">
        <w:rPr>
          <w:rFonts w:ascii="Calibri" w:eastAsia="Times New Roman" w:hAnsi="Calibri" w:cs="Calibri"/>
          <w:b/>
          <w:sz w:val="24"/>
          <w:szCs w:val="24"/>
        </w:rPr>
        <w:t xml:space="preserve"> a Přelouč II </w:t>
      </w:r>
    </w:p>
    <w:p w14:paraId="51BABE05" w14:textId="77777777" w:rsidR="00782995" w:rsidRPr="00995237" w:rsidRDefault="00782995" w:rsidP="003C2F39">
      <w:pPr>
        <w:keepNext/>
        <w:spacing w:after="0" w:line="264" w:lineRule="auto"/>
        <w:jc w:val="both"/>
        <w:rPr>
          <w:rFonts w:ascii="Calibri" w:hAnsi="Calibri" w:cs="Calibri"/>
          <w:sz w:val="24"/>
          <w:szCs w:val="24"/>
        </w:rPr>
      </w:pPr>
    </w:p>
    <w:p w14:paraId="041898C4" w14:textId="77777777" w:rsidR="00DA2E61" w:rsidRPr="00995237" w:rsidRDefault="00E8036B" w:rsidP="00995237">
      <w:pPr>
        <w:pStyle w:val="Default"/>
        <w:spacing w:line="264" w:lineRule="auto"/>
        <w:jc w:val="both"/>
        <w:rPr>
          <w:rFonts w:ascii="Calibri" w:hAnsi="Calibri" w:cs="Calibri"/>
          <w:color w:val="auto"/>
        </w:rPr>
      </w:pPr>
      <w:r w:rsidRPr="00995237">
        <w:rPr>
          <w:rFonts w:ascii="Calibri" w:hAnsi="Calibri" w:cs="Calibri"/>
          <w:color w:val="auto"/>
        </w:rPr>
        <w:t>Jedním z cílů dopravní politiky</w:t>
      </w:r>
      <w:r w:rsidRPr="00995237">
        <w:rPr>
          <w:rStyle w:val="Znakapoznpodarou"/>
          <w:rFonts w:ascii="Calibri" w:hAnsi="Calibri" w:cs="Calibri"/>
        </w:rPr>
        <w:footnoteReference w:id="13"/>
      </w:r>
      <w:r w:rsidRPr="00995237">
        <w:rPr>
          <w:rFonts w:ascii="Calibri" w:hAnsi="Calibri" w:cs="Calibri"/>
          <w:color w:val="auto"/>
        </w:rPr>
        <w:t xml:space="preserve"> </w:t>
      </w:r>
      <w:r w:rsidR="00DB6D49" w:rsidRPr="00995237">
        <w:rPr>
          <w:rFonts w:ascii="Calibri" w:hAnsi="Calibri" w:cs="Calibri"/>
          <w:color w:val="auto"/>
        </w:rPr>
        <w:t>je</w:t>
      </w:r>
      <w:r w:rsidRPr="00995237">
        <w:rPr>
          <w:rFonts w:ascii="Calibri" w:hAnsi="Calibri" w:cs="Calibri"/>
          <w:color w:val="auto"/>
        </w:rPr>
        <w:t xml:space="preserve"> snížení </w:t>
      </w:r>
      <w:r w:rsidR="008C5B12" w:rsidRPr="00995237">
        <w:rPr>
          <w:rFonts w:ascii="Calibri" w:hAnsi="Calibri" w:cs="Calibri"/>
          <w:color w:val="auto"/>
        </w:rPr>
        <w:t>emisí v dopravě, kterého m</w:t>
      </w:r>
      <w:r w:rsidR="00DB6D49" w:rsidRPr="00995237">
        <w:rPr>
          <w:rFonts w:ascii="Calibri" w:hAnsi="Calibri" w:cs="Calibri"/>
          <w:color w:val="auto"/>
        </w:rPr>
        <w:t>á</w:t>
      </w:r>
      <w:r w:rsidR="008C5B12" w:rsidRPr="00995237">
        <w:rPr>
          <w:rFonts w:ascii="Calibri" w:hAnsi="Calibri" w:cs="Calibri"/>
          <w:color w:val="auto"/>
        </w:rPr>
        <w:t xml:space="preserve"> být dosaženo </w:t>
      </w:r>
      <w:r w:rsidR="00AB72EB" w:rsidRPr="00995237">
        <w:rPr>
          <w:rFonts w:ascii="Calibri" w:hAnsi="Calibri" w:cs="Calibri"/>
          <w:color w:val="auto"/>
        </w:rPr>
        <w:t>zejména</w:t>
      </w:r>
      <w:r w:rsidR="008C5B12" w:rsidRPr="00995237">
        <w:rPr>
          <w:rFonts w:ascii="Calibri" w:hAnsi="Calibri" w:cs="Calibri"/>
          <w:color w:val="auto"/>
        </w:rPr>
        <w:t xml:space="preserve"> přesunutím části přepravy nákladů na </w:t>
      </w:r>
      <w:r w:rsidR="008C5B12" w:rsidRPr="00995237">
        <w:rPr>
          <w:rFonts w:ascii="Calibri" w:hAnsi="Calibri" w:cs="Calibri"/>
          <w:lang w:bidi="cs-CZ"/>
        </w:rPr>
        <w:t>střední a dlouhé vzdálenosti ze silniční na železniční a</w:t>
      </w:r>
      <w:r w:rsidR="0097496C" w:rsidRPr="00995237">
        <w:rPr>
          <w:rFonts w:ascii="Calibri" w:hAnsi="Calibri" w:cs="Calibri"/>
          <w:lang w:bidi="cs-CZ"/>
        </w:rPr>
        <w:t> </w:t>
      </w:r>
      <w:r w:rsidR="008C5B12" w:rsidRPr="00995237">
        <w:rPr>
          <w:rFonts w:ascii="Calibri" w:hAnsi="Calibri" w:cs="Calibri"/>
          <w:lang w:bidi="cs-CZ"/>
        </w:rPr>
        <w:t>vodní dopravu</w:t>
      </w:r>
      <w:r w:rsidR="009B7827" w:rsidRPr="00995237">
        <w:rPr>
          <w:rFonts w:ascii="Calibri" w:hAnsi="Calibri" w:cs="Calibri"/>
          <w:lang w:bidi="cs-CZ"/>
        </w:rPr>
        <w:t xml:space="preserve"> </w:t>
      </w:r>
      <w:r w:rsidR="008C5B12" w:rsidRPr="00995237">
        <w:rPr>
          <w:rFonts w:ascii="Calibri" w:hAnsi="Calibri" w:cs="Calibri"/>
          <w:lang w:bidi="cs-CZ"/>
        </w:rPr>
        <w:t xml:space="preserve">a zaváděním účinnějších </w:t>
      </w:r>
      <w:r w:rsidR="008C5B12" w:rsidRPr="00995237">
        <w:rPr>
          <w:rFonts w:ascii="Calibri" w:hAnsi="Calibri" w:cs="Calibri"/>
          <w:color w:val="auto"/>
        </w:rPr>
        <w:t>motorů</w:t>
      </w:r>
      <w:r w:rsidRPr="00995237">
        <w:rPr>
          <w:rFonts w:ascii="Calibri" w:hAnsi="Calibri" w:cs="Calibri"/>
          <w:color w:val="auto"/>
        </w:rPr>
        <w:t xml:space="preserve">. </w:t>
      </w:r>
      <w:r w:rsidR="009B7827" w:rsidRPr="00995237">
        <w:rPr>
          <w:rFonts w:ascii="Calibri" w:hAnsi="Calibri" w:cs="Calibri"/>
          <w:color w:val="auto"/>
        </w:rPr>
        <w:t>Podle stanoveného indikátoru by měl podíl přepravního objemu v železniční a vodní dopravě na celkovém objemu nákladní dopravy u</w:t>
      </w:r>
      <w:r w:rsidR="0097496C" w:rsidRPr="00995237">
        <w:rPr>
          <w:rFonts w:ascii="Calibri" w:hAnsi="Calibri" w:cs="Calibri"/>
          <w:color w:val="auto"/>
        </w:rPr>
        <w:t> </w:t>
      </w:r>
      <w:r w:rsidR="009B7827" w:rsidRPr="00995237">
        <w:rPr>
          <w:rFonts w:ascii="Calibri" w:hAnsi="Calibri" w:cs="Calibri"/>
          <w:color w:val="auto"/>
        </w:rPr>
        <w:t xml:space="preserve">přeprav nad 300 km v roce 2020 dosáhnout 50 %. Součástí cílů a opatření dopravní politiky je rovněž </w:t>
      </w:r>
      <w:r w:rsidR="00DB6D49" w:rsidRPr="00995237">
        <w:rPr>
          <w:rFonts w:ascii="Calibri" w:hAnsi="Calibri" w:cs="Calibri"/>
          <w:color w:val="auto"/>
        </w:rPr>
        <w:t>moderniz</w:t>
      </w:r>
      <w:r w:rsidR="009B7827" w:rsidRPr="00995237">
        <w:rPr>
          <w:rFonts w:ascii="Calibri" w:hAnsi="Calibri" w:cs="Calibri"/>
          <w:color w:val="auto"/>
        </w:rPr>
        <w:t>ace</w:t>
      </w:r>
      <w:r w:rsidR="00DB6D49" w:rsidRPr="00995237">
        <w:rPr>
          <w:rFonts w:ascii="Calibri" w:hAnsi="Calibri" w:cs="Calibri"/>
          <w:color w:val="auto"/>
        </w:rPr>
        <w:t xml:space="preserve"> a dobudován</w:t>
      </w:r>
      <w:r w:rsidR="005E7860" w:rsidRPr="00995237">
        <w:rPr>
          <w:rFonts w:ascii="Calibri" w:hAnsi="Calibri" w:cs="Calibri"/>
          <w:color w:val="auto"/>
        </w:rPr>
        <w:t>í</w:t>
      </w:r>
      <w:r w:rsidR="00DB6D49" w:rsidRPr="00995237">
        <w:rPr>
          <w:rFonts w:ascii="Calibri" w:hAnsi="Calibri" w:cs="Calibri"/>
          <w:color w:val="auto"/>
        </w:rPr>
        <w:t xml:space="preserve"> dopravní infrastruktur</w:t>
      </w:r>
      <w:r w:rsidR="005E7860" w:rsidRPr="00995237">
        <w:rPr>
          <w:rFonts w:ascii="Calibri" w:hAnsi="Calibri" w:cs="Calibri"/>
          <w:color w:val="auto"/>
        </w:rPr>
        <w:t>y sítě TEN-T. V</w:t>
      </w:r>
      <w:r w:rsidR="00DB6D49" w:rsidRPr="00995237">
        <w:rPr>
          <w:rFonts w:ascii="Calibri" w:hAnsi="Calibri" w:cs="Calibri"/>
          <w:color w:val="auto"/>
        </w:rPr>
        <w:t xml:space="preserve">yřešena </w:t>
      </w:r>
      <w:r w:rsidR="005E7860" w:rsidRPr="00995237">
        <w:rPr>
          <w:rFonts w:ascii="Calibri" w:hAnsi="Calibri" w:cs="Calibri"/>
          <w:color w:val="auto"/>
        </w:rPr>
        <w:t>má být mj.</w:t>
      </w:r>
      <w:r w:rsidR="003A1744">
        <w:rPr>
          <w:rFonts w:ascii="Calibri" w:hAnsi="Calibri" w:cs="Calibri"/>
          <w:color w:val="auto"/>
        </w:rPr>
        <w:t> </w:t>
      </w:r>
      <w:r w:rsidR="00DB6D49" w:rsidRPr="00995237">
        <w:rPr>
          <w:rFonts w:ascii="Calibri" w:hAnsi="Calibri" w:cs="Calibri"/>
          <w:color w:val="auto"/>
        </w:rPr>
        <w:t>nespolehlivá splavnost labsko-vltavské vodní cesty v přeshraničním úseku Labe</w:t>
      </w:r>
      <w:r w:rsidRPr="00995237">
        <w:rPr>
          <w:rFonts w:ascii="Calibri" w:hAnsi="Calibri" w:cs="Calibri"/>
          <w:color w:val="auto"/>
        </w:rPr>
        <w:t xml:space="preserve">. </w:t>
      </w:r>
    </w:p>
    <w:p w14:paraId="3EA94D9A" w14:textId="77777777" w:rsidR="009B7827" w:rsidRPr="00995237" w:rsidRDefault="009B7827" w:rsidP="00995237">
      <w:pPr>
        <w:pStyle w:val="Default"/>
        <w:spacing w:line="264" w:lineRule="auto"/>
        <w:jc w:val="both"/>
        <w:rPr>
          <w:rFonts w:ascii="Calibri" w:hAnsi="Calibri" w:cs="Calibri"/>
          <w:color w:val="auto"/>
        </w:rPr>
      </w:pPr>
    </w:p>
    <w:p w14:paraId="0012E1D8" w14:textId="77777777" w:rsidR="00DA2E61" w:rsidRPr="00995237" w:rsidRDefault="00E8036B" w:rsidP="00995237">
      <w:pPr>
        <w:pStyle w:val="Default"/>
        <w:spacing w:line="264" w:lineRule="auto"/>
        <w:jc w:val="both"/>
        <w:rPr>
          <w:rFonts w:ascii="Calibri" w:hAnsi="Calibri" w:cs="Calibri"/>
          <w:color w:val="auto"/>
        </w:rPr>
      </w:pPr>
      <w:r w:rsidRPr="00995237">
        <w:rPr>
          <w:rFonts w:ascii="Calibri" w:hAnsi="Calibri" w:cs="Calibri"/>
          <w:color w:val="auto"/>
        </w:rPr>
        <w:lastRenderedPageBreak/>
        <w:t>Cíl</w:t>
      </w:r>
      <w:r w:rsidR="003C1891" w:rsidRPr="00995237">
        <w:rPr>
          <w:rFonts w:ascii="Calibri" w:hAnsi="Calibri" w:cs="Calibri"/>
          <w:color w:val="auto"/>
        </w:rPr>
        <w:t>e</w:t>
      </w:r>
      <w:r w:rsidRPr="00995237">
        <w:rPr>
          <w:rFonts w:ascii="Calibri" w:hAnsi="Calibri" w:cs="Calibri"/>
          <w:color w:val="auto"/>
        </w:rPr>
        <w:t xml:space="preserve"> a priorit</w:t>
      </w:r>
      <w:r w:rsidR="003C1891" w:rsidRPr="00995237">
        <w:rPr>
          <w:rFonts w:ascii="Calibri" w:hAnsi="Calibri" w:cs="Calibri"/>
          <w:color w:val="auto"/>
        </w:rPr>
        <w:t>y</w:t>
      </w:r>
      <w:r w:rsidRPr="00995237">
        <w:rPr>
          <w:rFonts w:ascii="Calibri" w:hAnsi="Calibri" w:cs="Calibri"/>
          <w:color w:val="auto"/>
        </w:rPr>
        <w:t xml:space="preserve"> v oblasti infrastrukturních projektů MD konkretizovalo v </w:t>
      </w:r>
      <w:r w:rsidRPr="00435EF1">
        <w:rPr>
          <w:rFonts w:ascii="Calibri" w:hAnsi="Calibri" w:cs="Calibri"/>
          <w:i/>
        </w:rPr>
        <w:t>Dopravních sektorových strategiích, 2. fáze</w:t>
      </w:r>
      <w:r w:rsidRPr="00995237">
        <w:rPr>
          <w:rFonts w:ascii="Calibri" w:hAnsi="Calibri" w:cs="Calibri"/>
          <w:vertAlign w:val="superscript"/>
        </w:rPr>
        <w:footnoteReference w:id="14"/>
      </w:r>
      <w:r w:rsidRPr="00995237">
        <w:rPr>
          <w:rFonts w:ascii="Calibri" w:hAnsi="Calibri" w:cs="Calibri"/>
        </w:rPr>
        <w:t xml:space="preserve"> (dále také „DSS2“)</w:t>
      </w:r>
      <w:r w:rsidRPr="00995237">
        <w:rPr>
          <w:rFonts w:ascii="Calibri" w:hAnsi="Calibri" w:cs="Calibri"/>
          <w:color w:val="auto"/>
        </w:rPr>
        <w:t>. Pro sedm projektů na Labi byly v DSS2 uvedeny celkové náklady 4,4 mld. Kč (</w:t>
      </w:r>
      <w:r w:rsidR="009B7827" w:rsidRPr="00995237">
        <w:rPr>
          <w:rFonts w:ascii="Calibri" w:hAnsi="Calibri" w:cs="Calibri"/>
          <w:color w:val="auto"/>
        </w:rPr>
        <w:t>náklady na PSD v DSS2 nebyly vyčísleny). Na další 2,2</w:t>
      </w:r>
      <w:r w:rsidR="00081E9B" w:rsidRPr="00995237">
        <w:rPr>
          <w:rFonts w:ascii="Calibri" w:hAnsi="Calibri" w:cs="Calibri"/>
          <w:color w:val="auto"/>
        </w:rPr>
        <w:t> </w:t>
      </w:r>
      <w:r w:rsidR="009B7827" w:rsidRPr="00995237">
        <w:rPr>
          <w:rFonts w:ascii="Calibri" w:hAnsi="Calibri" w:cs="Calibri"/>
          <w:color w:val="auto"/>
        </w:rPr>
        <w:t xml:space="preserve">mld. Kč byly vyčísleny náklady na projekty na Vltavě. </w:t>
      </w:r>
      <w:r w:rsidRPr="00995237">
        <w:rPr>
          <w:rFonts w:ascii="Calibri" w:hAnsi="Calibri" w:cs="Calibri"/>
        </w:rPr>
        <w:t xml:space="preserve">V DSS2 je uvedeno, že pro oblast vodní dopravy </w:t>
      </w:r>
      <w:r w:rsidR="006873C1" w:rsidRPr="00995237">
        <w:rPr>
          <w:rFonts w:ascii="Calibri" w:hAnsi="Calibri" w:cs="Calibri"/>
        </w:rPr>
        <w:t>měla být do roku 2013</w:t>
      </w:r>
      <w:r w:rsidRPr="00995237">
        <w:rPr>
          <w:rFonts w:ascii="Calibri" w:hAnsi="Calibri" w:cs="Calibri"/>
        </w:rPr>
        <w:t xml:space="preserve"> zpracována samostatná koncepce</w:t>
      </w:r>
      <w:r w:rsidR="009B7827" w:rsidRPr="00995237">
        <w:rPr>
          <w:rFonts w:ascii="Calibri" w:hAnsi="Calibri" w:cs="Calibri"/>
        </w:rPr>
        <w:t>.</w:t>
      </w:r>
    </w:p>
    <w:p w14:paraId="6F6EC739" w14:textId="77777777" w:rsidR="00471185" w:rsidRPr="00995237" w:rsidRDefault="00471185" w:rsidP="00995237">
      <w:pPr>
        <w:spacing w:after="0" w:line="264" w:lineRule="auto"/>
        <w:jc w:val="both"/>
        <w:rPr>
          <w:rFonts w:ascii="Calibri" w:hAnsi="Calibri" w:cs="Calibri"/>
          <w:sz w:val="24"/>
          <w:szCs w:val="24"/>
        </w:rPr>
      </w:pPr>
    </w:p>
    <w:p w14:paraId="07DDD8E9" w14:textId="32370008" w:rsidR="006C5EB3"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MD zpracovalo dokument </w:t>
      </w:r>
      <w:r w:rsidRPr="00435EF1">
        <w:rPr>
          <w:rFonts w:ascii="Calibri" w:hAnsi="Calibri" w:cs="Calibri"/>
          <w:i/>
          <w:sz w:val="24"/>
          <w:szCs w:val="24"/>
        </w:rPr>
        <w:t>Koncepce vodní dopravy pro období 2016–2023</w:t>
      </w:r>
      <w:r w:rsidRPr="00995237">
        <w:rPr>
          <w:rFonts w:ascii="Calibri" w:hAnsi="Calibri" w:cs="Calibri"/>
          <w:sz w:val="24"/>
          <w:szCs w:val="24"/>
        </w:rPr>
        <w:t xml:space="preserve"> </w:t>
      </w:r>
      <w:r w:rsidR="00611A5B" w:rsidRPr="00995237">
        <w:rPr>
          <w:rFonts w:ascii="Calibri" w:hAnsi="Calibri" w:cs="Calibri"/>
          <w:sz w:val="24"/>
          <w:szCs w:val="24"/>
        </w:rPr>
        <w:t>který vláda svým</w:t>
      </w:r>
      <w:r w:rsidRPr="00995237">
        <w:rPr>
          <w:rFonts w:ascii="Calibri" w:hAnsi="Calibri" w:cs="Calibri"/>
          <w:sz w:val="24"/>
          <w:szCs w:val="24"/>
        </w:rPr>
        <w:t xml:space="preserve"> usnesením ze dne 25. září 2017 č. 685</w:t>
      </w:r>
      <w:r w:rsidRPr="00995237">
        <w:rPr>
          <w:rFonts w:ascii="Calibri" w:hAnsi="Calibri" w:cs="Calibri"/>
          <w:sz w:val="24"/>
          <w:szCs w:val="24"/>
          <w:vertAlign w:val="superscript"/>
        </w:rPr>
        <w:footnoteReference w:id="15"/>
      </w:r>
      <w:r w:rsidRPr="00995237">
        <w:rPr>
          <w:rFonts w:ascii="Calibri" w:hAnsi="Calibri" w:cs="Calibri"/>
          <w:sz w:val="24"/>
          <w:szCs w:val="24"/>
        </w:rPr>
        <w:t xml:space="preserve"> vzala na vědomí. Za nezbytnou podmínku pro rozvoj, resp. další existenci nákladní vodní dopravy na labsko-vltavské vodní cestě MD </w:t>
      </w:r>
      <w:r w:rsidR="00F55CA4" w:rsidRPr="00995237">
        <w:rPr>
          <w:rFonts w:ascii="Calibri" w:hAnsi="Calibri" w:cs="Calibri"/>
          <w:sz w:val="24"/>
          <w:szCs w:val="24"/>
        </w:rPr>
        <w:t>v </w:t>
      </w:r>
      <w:r w:rsidR="00501FCE" w:rsidRPr="00995237">
        <w:rPr>
          <w:rFonts w:ascii="Calibri" w:hAnsi="Calibri" w:cs="Calibri"/>
          <w:sz w:val="24"/>
          <w:szCs w:val="24"/>
        </w:rPr>
        <w:t>koncepci</w:t>
      </w:r>
      <w:r w:rsidR="00F55CA4" w:rsidRPr="00995237">
        <w:rPr>
          <w:rFonts w:ascii="Calibri" w:hAnsi="Calibri" w:cs="Calibri"/>
          <w:sz w:val="24"/>
          <w:szCs w:val="24"/>
        </w:rPr>
        <w:t xml:space="preserve"> </w:t>
      </w:r>
      <w:r w:rsidRPr="00995237">
        <w:rPr>
          <w:rFonts w:ascii="Calibri" w:hAnsi="Calibri" w:cs="Calibri"/>
          <w:sz w:val="24"/>
          <w:szCs w:val="24"/>
        </w:rPr>
        <w:t xml:space="preserve">označilo </w:t>
      </w:r>
      <w:r w:rsidR="00501FCE" w:rsidRPr="00995237">
        <w:rPr>
          <w:rFonts w:ascii="Calibri" w:hAnsi="Calibri" w:cs="Calibri"/>
          <w:sz w:val="24"/>
          <w:szCs w:val="24"/>
        </w:rPr>
        <w:t>výstavbu</w:t>
      </w:r>
      <w:r w:rsidRPr="00995237">
        <w:rPr>
          <w:rFonts w:ascii="Calibri" w:hAnsi="Calibri" w:cs="Calibri"/>
          <w:sz w:val="24"/>
          <w:szCs w:val="24"/>
        </w:rPr>
        <w:t xml:space="preserve"> PSD s odůvodněním, že bez </w:t>
      </w:r>
      <w:r w:rsidR="00501FCE" w:rsidRPr="00995237">
        <w:rPr>
          <w:rFonts w:ascii="Calibri" w:hAnsi="Calibri" w:cs="Calibri"/>
          <w:sz w:val="24"/>
          <w:szCs w:val="24"/>
        </w:rPr>
        <w:t>něj</w:t>
      </w:r>
      <w:r w:rsidRPr="00995237">
        <w:rPr>
          <w:rFonts w:ascii="Calibri" w:hAnsi="Calibri" w:cs="Calibri"/>
          <w:sz w:val="24"/>
          <w:szCs w:val="24"/>
        </w:rPr>
        <w:t xml:space="preserve"> není možné zajistit spolehlivou splavnost Labe v úseku Ústí n</w:t>
      </w:r>
      <w:r w:rsidR="008C3EB3">
        <w:rPr>
          <w:rFonts w:ascii="Calibri" w:hAnsi="Calibri" w:cs="Calibri"/>
          <w:sz w:val="24"/>
          <w:szCs w:val="24"/>
        </w:rPr>
        <w:t xml:space="preserve">ad </w:t>
      </w:r>
      <w:r w:rsidRPr="00995237">
        <w:rPr>
          <w:rFonts w:ascii="Calibri" w:hAnsi="Calibri" w:cs="Calibri"/>
          <w:sz w:val="24"/>
          <w:szCs w:val="24"/>
        </w:rPr>
        <w:t>L</w:t>
      </w:r>
      <w:r w:rsidR="008C3EB3">
        <w:rPr>
          <w:rFonts w:ascii="Calibri" w:hAnsi="Calibri" w:cs="Calibri"/>
          <w:sz w:val="24"/>
          <w:szCs w:val="24"/>
        </w:rPr>
        <w:t>abem</w:t>
      </w:r>
      <w:r w:rsidRPr="00995237">
        <w:rPr>
          <w:rFonts w:ascii="Calibri" w:hAnsi="Calibri" w:cs="Calibri"/>
          <w:sz w:val="24"/>
          <w:szCs w:val="24"/>
        </w:rPr>
        <w:t xml:space="preserve"> – státní hranice a hrozí útlum nebo </w:t>
      </w:r>
      <w:r w:rsidR="00F55CA4" w:rsidRPr="00995237">
        <w:rPr>
          <w:rFonts w:ascii="Calibri" w:hAnsi="Calibri" w:cs="Calibri"/>
          <w:sz w:val="24"/>
          <w:szCs w:val="24"/>
        </w:rPr>
        <w:t>i zastavení vodní dopravy. MD</w:t>
      </w:r>
      <w:r w:rsidRPr="00995237">
        <w:rPr>
          <w:rFonts w:ascii="Calibri" w:hAnsi="Calibri" w:cs="Calibri"/>
          <w:sz w:val="24"/>
          <w:szCs w:val="24"/>
        </w:rPr>
        <w:t xml:space="preserve"> zároveň upozornilo na </w:t>
      </w:r>
      <w:r w:rsidR="008C3EB3">
        <w:rPr>
          <w:rFonts w:ascii="Calibri" w:hAnsi="Calibri" w:cs="Calibri"/>
          <w:sz w:val="24"/>
          <w:szCs w:val="24"/>
        </w:rPr>
        <w:t>výrazně</w:t>
      </w:r>
      <w:r w:rsidRPr="00995237">
        <w:rPr>
          <w:rFonts w:ascii="Calibri" w:hAnsi="Calibri" w:cs="Calibri"/>
          <w:sz w:val="24"/>
          <w:szCs w:val="24"/>
        </w:rPr>
        <w:t xml:space="preserve"> negativní vliv PSD na veřejný zájem na ochraně lokalit soustavy </w:t>
      </w:r>
      <w:r w:rsidRPr="00435EF1">
        <w:rPr>
          <w:rFonts w:ascii="Calibri" w:hAnsi="Calibri" w:cs="Calibri"/>
          <w:i/>
          <w:sz w:val="24"/>
          <w:szCs w:val="24"/>
        </w:rPr>
        <w:t>Natura 2000</w:t>
      </w:r>
      <w:r w:rsidRPr="00995237">
        <w:rPr>
          <w:rFonts w:ascii="Calibri" w:hAnsi="Calibri" w:cs="Calibri"/>
          <w:sz w:val="24"/>
          <w:szCs w:val="24"/>
          <w:vertAlign w:val="superscript"/>
        </w:rPr>
        <w:footnoteReference w:id="16"/>
      </w:r>
      <w:r w:rsidR="00F55CA4" w:rsidRPr="00995237">
        <w:rPr>
          <w:rFonts w:ascii="Calibri" w:hAnsi="Calibri" w:cs="Calibri"/>
          <w:sz w:val="24"/>
          <w:szCs w:val="24"/>
        </w:rPr>
        <w:t xml:space="preserve"> a</w:t>
      </w:r>
      <w:r w:rsidRPr="00995237">
        <w:rPr>
          <w:rFonts w:ascii="Calibri" w:hAnsi="Calibri" w:cs="Calibri"/>
          <w:sz w:val="24"/>
          <w:szCs w:val="24"/>
        </w:rPr>
        <w:t> konflikt</w:t>
      </w:r>
      <w:r w:rsidR="00F55CA4" w:rsidRPr="00995237">
        <w:rPr>
          <w:rFonts w:ascii="Calibri" w:hAnsi="Calibri" w:cs="Calibri"/>
          <w:sz w:val="24"/>
          <w:szCs w:val="24"/>
        </w:rPr>
        <w:t xml:space="preserve"> tohoto veřejného zájmu</w:t>
      </w:r>
      <w:r w:rsidRPr="00995237">
        <w:rPr>
          <w:rFonts w:ascii="Calibri" w:hAnsi="Calibri" w:cs="Calibri"/>
          <w:sz w:val="24"/>
          <w:szCs w:val="24"/>
        </w:rPr>
        <w:t xml:space="preserve"> s veřejným zájmem na rozvoji vodní dopravy. </w:t>
      </w:r>
    </w:p>
    <w:p w14:paraId="64D725DA" w14:textId="77777777" w:rsidR="006C5EB3" w:rsidRPr="00995237" w:rsidRDefault="006C5EB3" w:rsidP="00995237">
      <w:pPr>
        <w:spacing w:after="0" w:line="264" w:lineRule="auto"/>
        <w:jc w:val="both"/>
        <w:rPr>
          <w:rFonts w:ascii="Calibri" w:hAnsi="Calibri" w:cs="Calibri"/>
          <w:iCs/>
          <w:sz w:val="24"/>
          <w:szCs w:val="24"/>
        </w:rPr>
      </w:pPr>
    </w:p>
    <w:p w14:paraId="2CD419C7" w14:textId="5F8B8983" w:rsidR="006C5EB3" w:rsidRPr="00995237" w:rsidRDefault="00E8036B" w:rsidP="00995237">
      <w:pPr>
        <w:pStyle w:val="Styl1-Nzevmaterilu"/>
        <w:spacing w:line="264" w:lineRule="auto"/>
        <w:jc w:val="both"/>
        <w:rPr>
          <w:rFonts w:ascii="Calibri" w:hAnsi="Calibri" w:cs="Calibri"/>
          <w:b w:val="0"/>
          <w:iCs/>
          <w:noProof w:val="0"/>
          <w:sz w:val="24"/>
        </w:rPr>
      </w:pPr>
      <w:r w:rsidRPr="00995237">
        <w:rPr>
          <w:rFonts w:ascii="Calibri" w:hAnsi="Calibri" w:cs="Calibri"/>
          <w:b w:val="0"/>
          <w:iCs/>
          <w:noProof w:val="0"/>
          <w:sz w:val="24"/>
        </w:rPr>
        <w:t xml:space="preserve">Existenci naléhavých důvodů převažujícího veřejného zájmu na rozvoji vodní dopravy </w:t>
      </w:r>
      <w:r w:rsidR="00D37497" w:rsidRPr="00995237">
        <w:rPr>
          <w:rFonts w:ascii="Calibri" w:hAnsi="Calibri" w:cs="Calibri"/>
          <w:b w:val="0"/>
          <w:iCs/>
          <w:noProof w:val="0"/>
          <w:sz w:val="24"/>
        </w:rPr>
        <w:t xml:space="preserve">MD </w:t>
      </w:r>
      <w:r w:rsidRPr="00995237">
        <w:rPr>
          <w:rFonts w:ascii="Calibri" w:hAnsi="Calibri" w:cs="Calibri"/>
          <w:b w:val="0"/>
          <w:iCs/>
          <w:noProof w:val="0"/>
          <w:sz w:val="24"/>
        </w:rPr>
        <w:t xml:space="preserve">doložilo dokumentem </w:t>
      </w:r>
      <w:r w:rsidRPr="00435EF1">
        <w:rPr>
          <w:rFonts w:ascii="Calibri" w:hAnsi="Calibri" w:cs="Calibri"/>
          <w:b w:val="0"/>
          <w:i/>
          <w:iCs/>
          <w:noProof w:val="0"/>
          <w:sz w:val="24"/>
        </w:rPr>
        <w:t>Koncepce vodní dopravy pro období 2016–2023 a její významně negativní vliv na lokality soustavy Natura 2000, popis a zhodnocení dotčených veřejných zájmů z hlediska směrnice Rady 92/43/EHS</w:t>
      </w:r>
      <w:r w:rsidRPr="00995237">
        <w:rPr>
          <w:rFonts w:ascii="Calibri" w:hAnsi="Calibri" w:cs="Calibri"/>
          <w:b w:val="0"/>
          <w:iCs/>
          <w:noProof w:val="0"/>
          <w:sz w:val="24"/>
        </w:rPr>
        <w:t xml:space="preserve"> (dále také „KVD – Natura 2000“)</w:t>
      </w:r>
      <w:r w:rsidR="00D37497" w:rsidRPr="00995237">
        <w:rPr>
          <w:rFonts w:ascii="Calibri" w:hAnsi="Calibri" w:cs="Calibri"/>
          <w:b w:val="0"/>
          <w:iCs/>
          <w:noProof w:val="0"/>
          <w:sz w:val="24"/>
        </w:rPr>
        <w:t>. Vycházelo přitom z</w:t>
      </w:r>
      <w:r w:rsidR="00081E9B" w:rsidRPr="00995237">
        <w:rPr>
          <w:rFonts w:ascii="Calibri" w:hAnsi="Calibri" w:cs="Calibri"/>
          <w:b w:val="0"/>
          <w:iCs/>
          <w:noProof w:val="0"/>
          <w:sz w:val="24"/>
        </w:rPr>
        <w:t> </w:t>
      </w:r>
      <w:r w:rsidR="00D37497" w:rsidRPr="00995237">
        <w:rPr>
          <w:rFonts w:ascii="Calibri" w:hAnsi="Calibri" w:cs="Calibri"/>
          <w:b w:val="0"/>
          <w:iCs/>
          <w:noProof w:val="0"/>
          <w:sz w:val="24"/>
        </w:rPr>
        <w:t xml:space="preserve">dokumentu </w:t>
      </w:r>
      <w:r w:rsidRPr="00435EF1">
        <w:rPr>
          <w:rFonts w:ascii="Calibri" w:hAnsi="Calibri" w:cs="Calibri"/>
          <w:b w:val="0"/>
          <w:i/>
          <w:iCs/>
          <w:noProof w:val="0"/>
          <w:sz w:val="24"/>
        </w:rPr>
        <w:t>Komplexní vyhodnocení ekonomické efektivnosti veřejných investic do rozvoje infrastruktury vodních cest vhodných pro nákladní vnitrozemskou dopravu v ČR</w:t>
      </w:r>
      <w:r w:rsidRPr="00995237">
        <w:rPr>
          <w:rFonts w:ascii="Calibri" w:hAnsi="Calibri" w:cs="Calibri"/>
          <w:b w:val="0"/>
          <w:iCs/>
          <w:noProof w:val="0"/>
          <w:sz w:val="24"/>
        </w:rPr>
        <w:t xml:space="preserve"> (dál</w:t>
      </w:r>
      <w:r w:rsidR="00D37497" w:rsidRPr="00995237">
        <w:rPr>
          <w:rFonts w:ascii="Calibri" w:hAnsi="Calibri" w:cs="Calibri"/>
          <w:b w:val="0"/>
          <w:iCs/>
          <w:noProof w:val="0"/>
          <w:sz w:val="24"/>
        </w:rPr>
        <w:t>e také „Komplexní vyhodnocení“)</w:t>
      </w:r>
      <w:r w:rsidRPr="00995237">
        <w:rPr>
          <w:rFonts w:ascii="Calibri" w:hAnsi="Calibri" w:cs="Calibri"/>
          <w:b w:val="0"/>
          <w:iCs/>
          <w:noProof w:val="0"/>
          <w:sz w:val="24"/>
        </w:rPr>
        <w:t>. Na základě KVD – Natura 2000 vláda usnesením ze dne 17.</w:t>
      </w:r>
      <w:r w:rsidR="00081E9B" w:rsidRPr="00995237">
        <w:rPr>
          <w:rFonts w:ascii="Calibri" w:hAnsi="Calibri" w:cs="Calibri"/>
          <w:b w:val="0"/>
          <w:iCs/>
          <w:noProof w:val="0"/>
          <w:sz w:val="24"/>
        </w:rPr>
        <w:t> </w:t>
      </w:r>
      <w:r w:rsidRPr="00995237">
        <w:rPr>
          <w:rFonts w:ascii="Calibri" w:hAnsi="Calibri" w:cs="Calibri"/>
          <w:b w:val="0"/>
          <w:iCs/>
          <w:noProof w:val="0"/>
          <w:sz w:val="24"/>
        </w:rPr>
        <w:t>ledna</w:t>
      </w:r>
      <w:r w:rsidR="00081E9B" w:rsidRPr="00995237">
        <w:rPr>
          <w:rFonts w:ascii="Calibri" w:hAnsi="Calibri" w:cs="Calibri"/>
          <w:b w:val="0"/>
          <w:iCs/>
          <w:noProof w:val="0"/>
          <w:sz w:val="24"/>
        </w:rPr>
        <w:t> </w:t>
      </w:r>
      <w:r w:rsidRPr="00995237">
        <w:rPr>
          <w:rFonts w:ascii="Calibri" w:hAnsi="Calibri" w:cs="Calibri"/>
          <w:b w:val="0"/>
          <w:iCs/>
          <w:noProof w:val="0"/>
          <w:sz w:val="24"/>
        </w:rPr>
        <w:t>2018 č. 46</w:t>
      </w:r>
      <w:r w:rsidRPr="00995237">
        <w:rPr>
          <w:rFonts w:ascii="Calibri" w:hAnsi="Calibri" w:cs="Calibri"/>
          <w:b w:val="0"/>
          <w:sz w:val="24"/>
          <w:vertAlign w:val="superscript"/>
        </w:rPr>
        <w:footnoteReference w:id="17"/>
      </w:r>
      <w:r w:rsidRPr="00995237">
        <w:rPr>
          <w:rFonts w:ascii="Calibri" w:hAnsi="Calibri" w:cs="Calibri"/>
          <w:b w:val="0"/>
          <w:iCs/>
          <w:noProof w:val="0"/>
          <w:sz w:val="24"/>
        </w:rPr>
        <w:t xml:space="preserve"> rozhodla, že existují naléhavé důvody převažujícího veřejného zájmu na schválení KVD </w:t>
      </w:r>
      <w:r w:rsidR="00740FDE" w:rsidRPr="00995237">
        <w:rPr>
          <w:rFonts w:ascii="Calibri" w:hAnsi="Calibri" w:cs="Calibri"/>
          <w:b w:val="0"/>
          <w:iCs/>
          <w:noProof w:val="0"/>
          <w:sz w:val="24"/>
        </w:rPr>
        <w:t xml:space="preserve">ve variantě </w:t>
      </w:r>
      <w:r w:rsidRPr="00995237">
        <w:rPr>
          <w:rFonts w:ascii="Calibri" w:hAnsi="Calibri" w:cs="Calibri"/>
          <w:b w:val="0"/>
          <w:iCs/>
          <w:noProof w:val="0"/>
          <w:sz w:val="24"/>
        </w:rPr>
        <w:t xml:space="preserve">zahrnující </w:t>
      </w:r>
      <w:r w:rsidR="00F55CA4" w:rsidRPr="00995237">
        <w:rPr>
          <w:rFonts w:ascii="Calibri" w:hAnsi="Calibri" w:cs="Calibri"/>
          <w:b w:val="0"/>
          <w:iCs/>
          <w:noProof w:val="0"/>
          <w:sz w:val="24"/>
        </w:rPr>
        <w:t>výstavbu</w:t>
      </w:r>
      <w:r w:rsidRPr="00995237">
        <w:rPr>
          <w:rFonts w:ascii="Calibri" w:hAnsi="Calibri" w:cs="Calibri"/>
          <w:b w:val="0"/>
          <w:iCs/>
          <w:noProof w:val="0"/>
          <w:sz w:val="24"/>
        </w:rPr>
        <w:t xml:space="preserve"> PSD.</w:t>
      </w:r>
    </w:p>
    <w:p w14:paraId="5FEDAB40" w14:textId="77777777" w:rsidR="000B0AFD" w:rsidRPr="00995237" w:rsidRDefault="000B0AFD" w:rsidP="00995237">
      <w:pPr>
        <w:spacing w:after="0" w:line="264" w:lineRule="auto"/>
        <w:jc w:val="both"/>
        <w:rPr>
          <w:rFonts w:ascii="Calibri" w:hAnsi="Calibri" w:cs="Calibri"/>
          <w:sz w:val="24"/>
          <w:szCs w:val="24"/>
        </w:rPr>
      </w:pPr>
    </w:p>
    <w:p w14:paraId="3BCFACCA" w14:textId="07274E72" w:rsidR="000911F5" w:rsidRPr="00995237" w:rsidRDefault="00E8036B" w:rsidP="00995237">
      <w:pPr>
        <w:pStyle w:val="Odstavecseseznamem"/>
        <w:spacing w:after="0" w:line="264" w:lineRule="auto"/>
        <w:ind w:left="0"/>
        <w:contextualSpacing w:val="0"/>
        <w:jc w:val="both"/>
        <w:rPr>
          <w:rFonts w:ascii="Calibri" w:hAnsi="Calibri" w:cs="Calibri"/>
          <w:sz w:val="24"/>
          <w:szCs w:val="24"/>
        </w:rPr>
      </w:pPr>
      <w:r w:rsidRPr="00995237">
        <w:rPr>
          <w:rFonts w:ascii="Calibri" w:hAnsi="Calibri" w:cs="Calibri"/>
          <w:sz w:val="24"/>
          <w:szCs w:val="24"/>
        </w:rPr>
        <w:t>NKÚ zjistil, že s</w:t>
      </w:r>
      <w:r w:rsidR="000B0AFD" w:rsidRPr="00995237">
        <w:rPr>
          <w:rFonts w:ascii="Calibri" w:hAnsi="Calibri" w:cs="Calibri"/>
          <w:sz w:val="24"/>
          <w:szCs w:val="24"/>
        </w:rPr>
        <w:t>ouhrn nákladů uvažovaný v Komplexním vyhodnocení není úplný a konečný pro dosažení cílového stavu vodních cest, neboť mj. pomíjí náklady na dobudování přístavní infrastruktury, jejíž existencí je rozvoj nákladní vodní dopravy podmíněn, nebo náklady na opatření pro zajištění bezpečné plavby ve smyslu zákona č. 114/1995 Sb.</w:t>
      </w:r>
      <w:r w:rsidRPr="00995237">
        <w:rPr>
          <w:rFonts w:ascii="Calibri" w:hAnsi="Calibri" w:cs="Calibri"/>
          <w:sz w:val="24"/>
          <w:szCs w:val="24"/>
          <w:vertAlign w:val="superscript"/>
        </w:rPr>
        <w:footnoteReference w:id="18"/>
      </w:r>
      <w:r w:rsidR="00F665D8" w:rsidRPr="00995237">
        <w:rPr>
          <w:rFonts w:ascii="Calibri" w:hAnsi="Calibri" w:cs="Calibri"/>
          <w:sz w:val="24"/>
          <w:szCs w:val="24"/>
        </w:rPr>
        <w:t>.</w:t>
      </w:r>
      <w:r w:rsidR="000B0AFD" w:rsidRPr="00995237">
        <w:rPr>
          <w:rFonts w:ascii="Calibri" w:hAnsi="Calibri" w:cs="Calibri"/>
          <w:sz w:val="24"/>
          <w:szCs w:val="24"/>
        </w:rPr>
        <w:t xml:space="preserve"> Komplexní vyhodnocení </w:t>
      </w:r>
      <w:r w:rsidR="00FC3608" w:rsidRPr="00995237">
        <w:rPr>
          <w:rFonts w:ascii="Calibri" w:hAnsi="Calibri" w:cs="Calibri"/>
          <w:sz w:val="24"/>
          <w:szCs w:val="24"/>
        </w:rPr>
        <w:t>rovněž n</w:t>
      </w:r>
      <w:r w:rsidR="00F55CA4" w:rsidRPr="00995237">
        <w:rPr>
          <w:rFonts w:ascii="Calibri" w:hAnsi="Calibri" w:cs="Calibri"/>
          <w:sz w:val="24"/>
          <w:szCs w:val="24"/>
        </w:rPr>
        <w:t>eřeší p</w:t>
      </w:r>
      <w:r w:rsidR="000B0AFD" w:rsidRPr="00995237">
        <w:rPr>
          <w:rFonts w:ascii="Calibri" w:hAnsi="Calibri" w:cs="Calibri"/>
          <w:sz w:val="24"/>
          <w:szCs w:val="24"/>
        </w:rPr>
        <w:t>roblematiku vzájemného vztahu nákladní a osobní, resp. rekreační plavby</w:t>
      </w:r>
      <w:r w:rsidR="009E70B7" w:rsidRPr="00995237">
        <w:rPr>
          <w:rFonts w:ascii="Calibri" w:hAnsi="Calibri" w:cs="Calibri"/>
          <w:sz w:val="24"/>
          <w:szCs w:val="24"/>
        </w:rPr>
        <w:t>, ani problematiku investic do obnovy plavidel potřebných pro uvažovaný nárůst nákladní vodní dopravy</w:t>
      </w:r>
      <w:r w:rsidR="000B0AFD" w:rsidRPr="00995237">
        <w:rPr>
          <w:rFonts w:ascii="Calibri" w:hAnsi="Calibri" w:cs="Calibri"/>
          <w:sz w:val="24"/>
          <w:szCs w:val="24"/>
        </w:rPr>
        <w:t>.</w:t>
      </w:r>
      <w:r w:rsidRPr="00995237">
        <w:rPr>
          <w:rFonts w:ascii="Calibri" w:hAnsi="Calibri" w:cs="Calibri"/>
          <w:sz w:val="24"/>
          <w:szCs w:val="24"/>
        </w:rPr>
        <w:t xml:space="preserve"> Náklady </w:t>
      </w:r>
      <w:r w:rsidR="00F665D8" w:rsidRPr="00995237">
        <w:rPr>
          <w:rFonts w:ascii="Calibri" w:hAnsi="Calibri" w:cs="Calibri"/>
          <w:sz w:val="24"/>
          <w:szCs w:val="24"/>
        </w:rPr>
        <w:t xml:space="preserve">projektů potřebných pro zajištění spolehlivé </w:t>
      </w:r>
      <w:r w:rsidR="00F665D8" w:rsidRPr="00995237">
        <w:rPr>
          <w:rFonts w:ascii="Calibri" w:hAnsi="Calibri" w:cs="Calibri"/>
          <w:sz w:val="24"/>
          <w:szCs w:val="24"/>
        </w:rPr>
        <w:lastRenderedPageBreak/>
        <w:t xml:space="preserve">splavnosti labsko-vltavské vodní cesty uvažované </w:t>
      </w:r>
      <w:r w:rsidRPr="00995237">
        <w:rPr>
          <w:rFonts w:ascii="Calibri" w:hAnsi="Calibri" w:cs="Calibri"/>
          <w:sz w:val="24"/>
          <w:szCs w:val="24"/>
        </w:rPr>
        <w:t xml:space="preserve">v Komplexním vyhodnocení </w:t>
      </w:r>
      <w:r w:rsidR="00F665D8" w:rsidRPr="00995237">
        <w:rPr>
          <w:rFonts w:ascii="Calibri" w:hAnsi="Calibri" w:cs="Calibri"/>
          <w:sz w:val="24"/>
          <w:szCs w:val="24"/>
        </w:rPr>
        <w:t>jsou výrazně nižší než náklady projektů v</w:t>
      </w:r>
      <w:r w:rsidRPr="00995237">
        <w:rPr>
          <w:rFonts w:ascii="Calibri" w:hAnsi="Calibri" w:cs="Calibri"/>
          <w:sz w:val="24"/>
          <w:szCs w:val="24"/>
        </w:rPr>
        <w:t> DSS2 a v KVD.</w:t>
      </w:r>
      <w:r w:rsidR="00F665D8" w:rsidRPr="00995237">
        <w:rPr>
          <w:rFonts w:ascii="Calibri" w:hAnsi="Calibri" w:cs="Calibri"/>
          <w:sz w:val="24"/>
          <w:szCs w:val="24"/>
        </w:rPr>
        <w:t xml:space="preserve"> </w:t>
      </w:r>
      <w:r w:rsidR="00166385" w:rsidRPr="00995237">
        <w:rPr>
          <w:rFonts w:ascii="Calibri" w:hAnsi="Calibri" w:cs="Calibri"/>
          <w:sz w:val="24"/>
          <w:szCs w:val="24"/>
        </w:rPr>
        <w:t xml:space="preserve">Přehled o investičních nákladech </w:t>
      </w:r>
      <w:r w:rsidR="00F665D8" w:rsidRPr="00995237">
        <w:rPr>
          <w:rFonts w:ascii="Calibri" w:hAnsi="Calibri" w:cs="Calibri"/>
          <w:sz w:val="24"/>
          <w:szCs w:val="24"/>
        </w:rPr>
        <w:t>těchto projektů</w:t>
      </w:r>
      <w:r w:rsidR="00166385" w:rsidRPr="00995237">
        <w:rPr>
          <w:rFonts w:ascii="Calibri" w:hAnsi="Calibri" w:cs="Calibri"/>
          <w:sz w:val="24"/>
          <w:szCs w:val="24"/>
        </w:rPr>
        <w:t xml:space="preserve"> je uveden v příloze č. 1 </w:t>
      </w:r>
      <w:r w:rsidR="00415BEB">
        <w:rPr>
          <w:rFonts w:ascii="Calibri" w:hAnsi="Calibri" w:cs="Calibri"/>
          <w:sz w:val="24"/>
          <w:szCs w:val="24"/>
        </w:rPr>
        <w:t xml:space="preserve">tohoto </w:t>
      </w:r>
      <w:r w:rsidR="00166385" w:rsidRPr="00995237">
        <w:rPr>
          <w:rFonts w:ascii="Calibri" w:hAnsi="Calibri" w:cs="Calibri"/>
          <w:sz w:val="24"/>
          <w:szCs w:val="24"/>
        </w:rPr>
        <w:t>kontrolního závěru.</w:t>
      </w:r>
    </w:p>
    <w:p w14:paraId="2924827F" w14:textId="77777777" w:rsidR="000911F5" w:rsidRPr="00995237" w:rsidRDefault="000911F5" w:rsidP="00995237">
      <w:pPr>
        <w:pStyle w:val="Odstavecseseznamem"/>
        <w:spacing w:after="0" w:line="264" w:lineRule="auto"/>
        <w:ind w:left="0"/>
        <w:contextualSpacing w:val="0"/>
        <w:jc w:val="both"/>
        <w:rPr>
          <w:rFonts w:ascii="Calibri" w:hAnsi="Calibri" w:cs="Calibri"/>
          <w:sz w:val="24"/>
          <w:szCs w:val="24"/>
        </w:rPr>
      </w:pPr>
    </w:p>
    <w:p w14:paraId="78AF160E" w14:textId="09F91574" w:rsidR="00833A70" w:rsidRPr="00995237" w:rsidRDefault="00E8036B" w:rsidP="00995237">
      <w:pPr>
        <w:pStyle w:val="Odstavecseseznamem"/>
        <w:spacing w:after="0" w:line="264" w:lineRule="auto"/>
        <w:ind w:left="0"/>
        <w:contextualSpacing w:val="0"/>
        <w:jc w:val="both"/>
        <w:rPr>
          <w:rFonts w:ascii="Calibri" w:hAnsi="Calibri" w:cs="Calibri"/>
          <w:sz w:val="24"/>
          <w:szCs w:val="24"/>
        </w:rPr>
      </w:pPr>
      <w:r w:rsidRPr="00995237">
        <w:rPr>
          <w:rFonts w:ascii="Calibri" w:hAnsi="Calibri" w:cs="Calibri"/>
          <w:sz w:val="24"/>
          <w:szCs w:val="24"/>
        </w:rPr>
        <w:t xml:space="preserve">Hodnocení ekonomické efektivnosti investic na labsko-vltavské vodní cestě v Komplexním vyhodnocení obsahuje předpoklady </w:t>
      </w:r>
      <w:r w:rsidRPr="00995237">
        <w:rPr>
          <w:rFonts w:ascii="Calibri" w:hAnsi="Calibri" w:cs="Calibri"/>
          <w:color w:val="000000"/>
          <w:sz w:val="24"/>
          <w:szCs w:val="24"/>
          <w:lang w:bidi="cs-CZ"/>
        </w:rPr>
        <w:t xml:space="preserve">o nárůstech objemů nákladní vodní dopravy, jejichž reálnost a objektivnost </w:t>
      </w:r>
      <w:r w:rsidR="00740FDE" w:rsidRPr="00995237">
        <w:rPr>
          <w:rFonts w:ascii="Calibri" w:hAnsi="Calibri" w:cs="Calibri"/>
          <w:color w:val="000000"/>
          <w:sz w:val="24"/>
          <w:szCs w:val="24"/>
          <w:lang w:bidi="cs-CZ"/>
        </w:rPr>
        <w:t>ne</w:t>
      </w:r>
      <w:r w:rsidR="004C3DDD" w:rsidRPr="00995237">
        <w:rPr>
          <w:rFonts w:ascii="Calibri" w:hAnsi="Calibri" w:cs="Calibri"/>
          <w:color w:val="000000"/>
          <w:sz w:val="24"/>
          <w:szCs w:val="24"/>
          <w:lang w:bidi="cs-CZ"/>
        </w:rPr>
        <w:t>ní</w:t>
      </w:r>
      <w:r w:rsidRPr="00995237">
        <w:rPr>
          <w:rFonts w:ascii="Calibri" w:hAnsi="Calibri" w:cs="Calibri"/>
          <w:color w:val="000000"/>
          <w:sz w:val="24"/>
          <w:szCs w:val="24"/>
          <w:lang w:bidi="cs-CZ"/>
        </w:rPr>
        <w:t xml:space="preserve"> </w:t>
      </w:r>
      <w:r w:rsidR="00A5450D" w:rsidRPr="00995237">
        <w:rPr>
          <w:rFonts w:ascii="Calibri" w:hAnsi="Calibri" w:cs="Calibri"/>
          <w:color w:val="000000"/>
          <w:sz w:val="24"/>
          <w:szCs w:val="24"/>
          <w:lang w:bidi="cs-CZ"/>
        </w:rPr>
        <w:t>dostatečně zřejmá</w:t>
      </w:r>
      <w:r w:rsidRPr="00995237">
        <w:rPr>
          <w:rFonts w:ascii="Calibri" w:hAnsi="Calibri" w:cs="Calibri"/>
          <w:color w:val="000000"/>
          <w:sz w:val="24"/>
          <w:szCs w:val="24"/>
          <w:lang w:bidi="cs-CZ"/>
        </w:rPr>
        <w:t xml:space="preserve">. V Komplexním vyhodnocení byl </w:t>
      </w:r>
      <w:r w:rsidR="009E70B7" w:rsidRPr="00995237">
        <w:rPr>
          <w:rFonts w:ascii="Calibri" w:hAnsi="Calibri" w:cs="Calibri"/>
          <w:color w:val="000000"/>
          <w:sz w:val="24"/>
          <w:szCs w:val="24"/>
          <w:lang w:bidi="cs-CZ"/>
        </w:rPr>
        <w:t>použit</w:t>
      </w:r>
      <w:r w:rsidRPr="00995237">
        <w:rPr>
          <w:rFonts w:ascii="Calibri" w:hAnsi="Calibri" w:cs="Calibri"/>
          <w:color w:val="000000"/>
          <w:sz w:val="24"/>
          <w:szCs w:val="24"/>
          <w:lang w:bidi="cs-CZ"/>
        </w:rPr>
        <w:t xml:space="preserve"> dopravní model vycházející z jiných předpokladů a docházející k jiným výsledkům, než tomu bylo v DSS2.</w:t>
      </w:r>
      <w:r w:rsidR="00833A70" w:rsidRPr="00995237">
        <w:rPr>
          <w:rFonts w:ascii="Calibri" w:hAnsi="Calibri" w:cs="Calibri"/>
          <w:color w:val="000000"/>
          <w:sz w:val="24"/>
          <w:szCs w:val="24"/>
          <w:lang w:bidi="cs-CZ"/>
        </w:rPr>
        <w:t xml:space="preserve"> Objem zboží přepraveného po vnitrozemských vodních cestách stagnuje či klesá ve většině členských </w:t>
      </w:r>
      <w:r w:rsidR="00435BB4" w:rsidRPr="00995237">
        <w:rPr>
          <w:rFonts w:ascii="Calibri" w:hAnsi="Calibri" w:cs="Calibri"/>
          <w:color w:val="000000"/>
          <w:sz w:val="24"/>
          <w:szCs w:val="24"/>
          <w:lang w:bidi="cs-CZ"/>
        </w:rPr>
        <w:t>států</w:t>
      </w:r>
      <w:r w:rsidR="00833A70" w:rsidRPr="00995237">
        <w:rPr>
          <w:rFonts w:ascii="Calibri" w:hAnsi="Calibri" w:cs="Calibri"/>
          <w:color w:val="000000"/>
          <w:sz w:val="24"/>
          <w:szCs w:val="24"/>
          <w:lang w:bidi="cs-CZ"/>
        </w:rPr>
        <w:t xml:space="preserve"> EU. </w:t>
      </w:r>
    </w:p>
    <w:p w14:paraId="6FEE01B5" w14:textId="77777777" w:rsidR="005F38FB" w:rsidRPr="00995237" w:rsidRDefault="005F38FB" w:rsidP="00995237">
      <w:pPr>
        <w:spacing w:after="0" w:line="264" w:lineRule="auto"/>
        <w:jc w:val="both"/>
        <w:rPr>
          <w:rFonts w:ascii="Calibri" w:hAnsi="Calibri" w:cs="Calibri"/>
          <w:color w:val="000000"/>
          <w:sz w:val="24"/>
          <w:szCs w:val="24"/>
          <w:lang w:bidi="cs-CZ"/>
        </w:rPr>
      </w:pPr>
    </w:p>
    <w:p w14:paraId="18C468E1" w14:textId="0F25EC10" w:rsidR="005F38FB" w:rsidRPr="00995237" w:rsidRDefault="00415BEB" w:rsidP="00415BEB">
      <w:pPr>
        <w:tabs>
          <w:tab w:val="right" w:pos="9072"/>
        </w:tabs>
        <w:spacing w:after="40" w:line="240" w:lineRule="auto"/>
        <w:ind w:left="1276" w:hanging="1276"/>
        <w:rPr>
          <w:rFonts w:cstheme="minorHAnsi"/>
          <w:b/>
          <w:sz w:val="24"/>
          <w:szCs w:val="24"/>
        </w:rPr>
      </w:pPr>
      <w:r>
        <w:rPr>
          <w:rFonts w:cstheme="minorHAnsi"/>
          <w:b/>
          <w:sz w:val="24"/>
          <w:szCs w:val="24"/>
        </w:rPr>
        <w:t xml:space="preserve">Tabulka č. 1: </w:t>
      </w:r>
      <w:r w:rsidR="005F38FB" w:rsidRPr="00995237">
        <w:rPr>
          <w:rFonts w:cstheme="minorHAnsi"/>
          <w:b/>
          <w:sz w:val="24"/>
          <w:szCs w:val="24"/>
        </w:rPr>
        <w:t xml:space="preserve">Přeprava </w:t>
      </w:r>
      <w:r w:rsidR="00B90B42" w:rsidRPr="00995237">
        <w:rPr>
          <w:rFonts w:cstheme="minorHAnsi"/>
          <w:b/>
          <w:sz w:val="24"/>
          <w:szCs w:val="24"/>
        </w:rPr>
        <w:t xml:space="preserve">zboží </w:t>
      </w:r>
      <w:r w:rsidR="005F38FB" w:rsidRPr="00995237">
        <w:rPr>
          <w:rFonts w:cstheme="minorHAnsi"/>
          <w:b/>
          <w:sz w:val="24"/>
          <w:szCs w:val="24"/>
        </w:rPr>
        <w:t>po vnitrozemských vodních cestách v</w:t>
      </w:r>
      <w:r w:rsidR="00B90B42" w:rsidRPr="00995237">
        <w:rPr>
          <w:rFonts w:cstheme="minorHAnsi"/>
          <w:b/>
          <w:sz w:val="24"/>
          <w:szCs w:val="24"/>
        </w:rPr>
        <w:t xml:space="preserve"> ČR a </w:t>
      </w:r>
      <w:r w:rsidR="005F38FB" w:rsidRPr="00995237">
        <w:rPr>
          <w:rFonts w:cstheme="minorHAnsi"/>
          <w:b/>
          <w:sz w:val="24"/>
          <w:szCs w:val="24"/>
        </w:rPr>
        <w:t>sousedních státech</w:t>
      </w:r>
      <w:r w:rsidR="00316E30" w:rsidRPr="00995237">
        <w:rPr>
          <w:rFonts w:cstheme="minorHAnsi"/>
          <w:b/>
          <w:sz w:val="24"/>
          <w:szCs w:val="24"/>
        </w:rPr>
        <w:t xml:space="preserve"> </w:t>
      </w:r>
      <w:r w:rsidR="00316E30" w:rsidRPr="00995237">
        <w:rPr>
          <w:rStyle w:val="suffix"/>
          <w:rFonts w:cstheme="minorHAnsi"/>
          <w:b/>
          <w:sz w:val="24"/>
          <w:szCs w:val="24"/>
        </w:rPr>
        <w:tab/>
      </w:r>
      <w:r w:rsidR="005F38FB" w:rsidRPr="00995237">
        <w:rPr>
          <w:rStyle w:val="suffix"/>
          <w:rFonts w:cstheme="minorHAnsi"/>
          <w:b/>
          <w:sz w:val="24"/>
          <w:szCs w:val="24"/>
        </w:rPr>
        <w:t xml:space="preserve">(v mil. </w:t>
      </w:r>
      <w:proofErr w:type="spellStart"/>
      <w:r w:rsidR="005F38FB" w:rsidRPr="00995237">
        <w:rPr>
          <w:rStyle w:val="suffix"/>
          <w:rFonts w:cstheme="minorHAnsi"/>
          <w:b/>
          <w:sz w:val="24"/>
          <w:szCs w:val="24"/>
        </w:rPr>
        <w:t>tkm</w:t>
      </w:r>
      <w:proofErr w:type="spellEnd"/>
      <w:r w:rsidR="005F38FB" w:rsidRPr="00995237">
        <w:rPr>
          <w:rStyle w:val="suffix"/>
          <w:rFonts w:cstheme="minorHAnsi"/>
          <w:b/>
          <w:sz w:val="24"/>
          <w:szCs w:val="24"/>
        </w:rPr>
        <w:t>)</w:t>
      </w:r>
    </w:p>
    <w:tbl>
      <w:tblPr>
        <w:tblW w:w="9072" w:type="dxa"/>
        <w:tblCellMar>
          <w:left w:w="70" w:type="dxa"/>
          <w:right w:w="70" w:type="dxa"/>
        </w:tblCellMar>
        <w:tblLook w:val="04A0" w:firstRow="1" w:lastRow="0" w:firstColumn="1" w:lastColumn="0" w:noHBand="0" w:noVBand="1"/>
      </w:tblPr>
      <w:tblGrid>
        <w:gridCol w:w="2268"/>
        <w:gridCol w:w="1134"/>
        <w:gridCol w:w="1134"/>
        <w:gridCol w:w="1134"/>
        <w:gridCol w:w="1134"/>
        <w:gridCol w:w="1134"/>
        <w:gridCol w:w="1134"/>
      </w:tblGrid>
      <w:tr w:rsidR="005F38FB" w:rsidRPr="0028146A" w14:paraId="310DED5B" w14:textId="77777777" w:rsidTr="00556A0B">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F83769" w14:textId="0ED53032" w:rsidR="005F38FB" w:rsidRPr="0028146A" w:rsidRDefault="005F38FB" w:rsidP="00556A0B">
            <w:pPr>
              <w:spacing w:after="0" w:line="264" w:lineRule="auto"/>
              <w:jc w:val="center"/>
              <w:rPr>
                <w:rFonts w:ascii="Calibri" w:eastAsia="Times New Roman" w:hAnsi="Calibri" w:cs="Calibri"/>
                <w:b/>
                <w:bCs/>
                <w:color w:val="000000"/>
                <w:sz w:val="20"/>
                <w:szCs w:val="20"/>
                <w:lang w:eastAsia="cs-CZ"/>
              </w:rPr>
            </w:pP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A728F68" w14:textId="77777777" w:rsidR="005F38FB" w:rsidRPr="0028146A" w:rsidRDefault="005F38FB" w:rsidP="00556A0B">
            <w:pPr>
              <w:spacing w:after="0" w:line="264" w:lineRule="auto"/>
              <w:jc w:val="center"/>
              <w:rPr>
                <w:rFonts w:ascii="Calibri" w:eastAsia="Times New Roman" w:hAnsi="Calibri" w:cs="Calibri"/>
                <w:b/>
                <w:bCs/>
                <w:color w:val="000000"/>
                <w:sz w:val="20"/>
                <w:szCs w:val="20"/>
                <w:lang w:eastAsia="cs-CZ"/>
              </w:rPr>
            </w:pPr>
            <w:r w:rsidRPr="0028146A">
              <w:rPr>
                <w:rFonts w:ascii="Calibri" w:eastAsia="Times New Roman" w:hAnsi="Calibri" w:cs="Calibri"/>
                <w:b/>
                <w:bCs/>
                <w:color w:val="000000"/>
                <w:sz w:val="20"/>
                <w:szCs w:val="20"/>
                <w:lang w:eastAsia="cs-CZ"/>
              </w:rPr>
              <w:t>2010</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7F487EF" w14:textId="77777777" w:rsidR="005F38FB" w:rsidRPr="0028146A" w:rsidRDefault="005F38FB" w:rsidP="00556A0B">
            <w:pPr>
              <w:spacing w:after="0" w:line="264" w:lineRule="auto"/>
              <w:jc w:val="center"/>
              <w:rPr>
                <w:rFonts w:ascii="Calibri" w:eastAsia="Times New Roman" w:hAnsi="Calibri" w:cs="Calibri"/>
                <w:b/>
                <w:bCs/>
                <w:color w:val="000000"/>
                <w:sz w:val="20"/>
                <w:szCs w:val="20"/>
                <w:lang w:eastAsia="cs-CZ"/>
              </w:rPr>
            </w:pPr>
            <w:r w:rsidRPr="0028146A">
              <w:rPr>
                <w:rFonts w:ascii="Calibri" w:eastAsia="Times New Roman" w:hAnsi="Calibri" w:cs="Calibri"/>
                <w:b/>
                <w:bCs/>
                <w:color w:val="000000"/>
                <w:sz w:val="20"/>
                <w:szCs w:val="20"/>
                <w:lang w:eastAsia="cs-CZ"/>
              </w:rPr>
              <w:t>2011</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B0FBF08" w14:textId="77777777" w:rsidR="005F38FB" w:rsidRPr="0028146A" w:rsidRDefault="005F38FB" w:rsidP="00556A0B">
            <w:pPr>
              <w:spacing w:after="0" w:line="264" w:lineRule="auto"/>
              <w:jc w:val="center"/>
              <w:rPr>
                <w:rFonts w:ascii="Calibri" w:eastAsia="Times New Roman" w:hAnsi="Calibri" w:cs="Calibri"/>
                <w:b/>
                <w:bCs/>
                <w:color w:val="000000"/>
                <w:sz w:val="20"/>
                <w:szCs w:val="20"/>
                <w:lang w:eastAsia="cs-CZ"/>
              </w:rPr>
            </w:pPr>
            <w:r w:rsidRPr="0028146A">
              <w:rPr>
                <w:rFonts w:ascii="Calibri" w:eastAsia="Times New Roman" w:hAnsi="Calibri" w:cs="Calibri"/>
                <w:b/>
                <w:bCs/>
                <w:color w:val="000000"/>
                <w:sz w:val="20"/>
                <w:szCs w:val="20"/>
                <w:lang w:eastAsia="cs-CZ"/>
              </w:rPr>
              <w:t>2012</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6205C43" w14:textId="77777777" w:rsidR="005F38FB" w:rsidRPr="0028146A" w:rsidRDefault="005F38FB" w:rsidP="00556A0B">
            <w:pPr>
              <w:spacing w:after="0" w:line="264" w:lineRule="auto"/>
              <w:jc w:val="center"/>
              <w:rPr>
                <w:rFonts w:ascii="Calibri" w:eastAsia="Times New Roman" w:hAnsi="Calibri" w:cs="Calibri"/>
                <w:b/>
                <w:bCs/>
                <w:color w:val="000000"/>
                <w:sz w:val="20"/>
                <w:szCs w:val="20"/>
                <w:lang w:eastAsia="cs-CZ"/>
              </w:rPr>
            </w:pPr>
            <w:r w:rsidRPr="0028146A">
              <w:rPr>
                <w:rFonts w:ascii="Calibri" w:eastAsia="Times New Roman" w:hAnsi="Calibri" w:cs="Calibri"/>
                <w:b/>
                <w:bCs/>
                <w:color w:val="000000"/>
                <w:sz w:val="20"/>
                <w:szCs w:val="20"/>
                <w:lang w:eastAsia="cs-CZ"/>
              </w:rPr>
              <w:t>2013</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28065AF" w14:textId="77777777" w:rsidR="005F38FB" w:rsidRPr="0028146A" w:rsidRDefault="005F38FB" w:rsidP="00556A0B">
            <w:pPr>
              <w:spacing w:after="0" w:line="264" w:lineRule="auto"/>
              <w:jc w:val="center"/>
              <w:rPr>
                <w:rFonts w:ascii="Calibri" w:eastAsia="Times New Roman" w:hAnsi="Calibri" w:cs="Calibri"/>
                <w:b/>
                <w:bCs/>
                <w:color w:val="000000"/>
                <w:sz w:val="20"/>
                <w:szCs w:val="20"/>
                <w:lang w:eastAsia="cs-CZ"/>
              </w:rPr>
            </w:pPr>
            <w:r w:rsidRPr="0028146A">
              <w:rPr>
                <w:rFonts w:ascii="Calibri" w:eastAsia="Times New Roman" w:hAnsi="Calibri" w:cs="Calibri"/>
                <w:b/>
                <w:bCs/>
                <w:color w:val="000000"/>
                <w:sz w:val="20"/>
                <w:szCs w:val="20"/>
                <w:lang w:eastAsia="cs-CZ"/>
              </w:rPr>
              <w:t>2014</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2C9C16B" w14:textId="77777777" w:rsidR="005F38FB" w:rsidRPr="0028146A" w:rsidRDefault="005F38FB" w:rsidP="00556A0B">
            <w:pPr>
              <w:spacing w:after="0" w:line="264" w:lineRule="auto"/>
              <w:jc w:val="center"/>
              <w:rPr>
                <w:rFonts w:ascii="Calibri" w:eastAsia="Times New Roman" w:hAnsi="Calibri" w:cs="Calibri"/>
                <w:b/>
                <w:bCs/>
                <w:color w:val="000000"/>
                <w:sz w:val="20"/>
                <w:szCs w:val="20"/>
                <w:lang w:eastAsia="cs-CZ"/>
              </w:rPr>
            </w:pPr>
            <w:r w:rsidRPr="0028146A">
              <w:rPr>
                <w:rFonts w:ascii="Calibri" w:eastAsia="Times New Roman" w:hAnsi="Calibri" w:cs="Calibri"/>
                <w:b/>
                <w:bCs/>
                <w:color w:val="000000"/>
                <w:sz w:val="20"/>
                <w:szCs w:val="20"/>
                <w:lang w:eastAsia="cs-CZ"/>
              </w:rPr>
              <w:t>2015</w:t>
            </w:r>
          </w:p>
        </w:tc>
      </w:tr>
      <w:tr w:rsidR="005F38FB" w:rsidRPr="0028146A" w14:paraId="3D9910C9" w14:textId="77777777" w:rsidTr="00415BEB">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E577A78" w14:textId="77777777" w:rsidR="005F38FB" w:rsidRPr="0028146A" w:rsidRDefault="005F38FB" w:rsidP="0028146A">
            <w:pPr>
              <w:spacing w:after="0" w:line="264" w:lineRule="auto"/>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Česká republika</w:t>
            </w:r>
          </w:p>
        </w:tc>
        <w:tc>
          <w:tcPr>
            <w:tcW w:w="1134" w:type="dxa"/>
            <w:tcBorders>
              <w:top w:val="nil"/>
              <w:left w:val="nil"/>
              <w:bottom w:val="single" w:sz="4" w:space="0" w:color="auto"/>
              <w:right w:val="single" w:sz="4" w:space="0" w:color="auto"/>
            </w:tcBorders>
            <w:shd w:val="clear" w:color="auto" w:fill="auto"/>
            <w:vAlign w:val="center"/>
            <w:hideMark/>
          </w:tcPr>
          <w:p w14:paraId="7D02598E"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43</w:t>
            </w:r>
          </w:p>
        </w:tc>
        <w:tc>
          <w:tcPr>
            <w:tcW w:w="1134" w:type="dxa"/>
            <w:tcBorders>
              <w:top w:val="nil"/>
              <w:left w:val="nil"/>
              <w:bottom w:val="single" w:sz="4" w:space="0" w:color="auto"/>
              <w:right w:val="single" w:sz="4" w:space="0" w:color="auto"/>
            </w:tcBorders>
            <w:shd w:val="clear" w:color="auto" w:fill="auto"/>
            <w:vAlign w:val="center"/>
            <w:hideMark/>
          </w:tcPr>
          <w:p w14:paraId="5E32A87A"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42</w:t>
            </w:r>
          </w:p>
        </w:tc>
        <w:tc>
          <w:tcPr>
            <w:tcW w:w="1134" w:type="dxa"/>
            <w:tcBorders>
              <w:top w:val="nil"/>
              <w:left w:val="nil"/>
              <w:bottom w:val="single" w:sz="4" w:space="0" w:color="auto"/>
              <w:right w:val="single" w:sz="4" w:space="0" w:color="auto"/>
            </w:tcBorders>
            <w:shd w:val="clear" w:color="auto" w:fill="auto"/>
            <w:vAlign w:val="center"/>
            <w:hideMark/>
          </w:tcPr>
          <w:p w14:paraId="58762EF4"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38</w:t>
            </w:r>
          </w:p>
        </w:tc>
        <w:tc>
          <w:tcPr>
            <w:tcW w:w="1134" w:type="dxa"/>
            <w:tcBorders>
              <w:top w:val="nil"/>
              <w:left w:val="nil"/>
              <w:bottom w:val="single" w:sz="4" w:space="0" w:color="auto"/>
              <w:right w:val="single" w:sz="4" w:space="0" w:color="auto"/>
            </w:tcBorders>
            <w:shd w:val="clear" w:color="auto" w:fill="auto"/>
            <w:vAlign w:val="center"/>
            <w:hideMark/>
          </w:tcPr>
          <w:p w14:paraId="48F4304A"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25</w:t>
            </w:r>
          </w:p>
        </w:tc>
        <w:tc>
          <w:tcPr>
            <w:tcW w:w="1134" w:type="dxa"/>
            <w:tcBorders>
              <w:top w:val="nil"/>
              <w:left w:val="nil"/>
              <w:bottom w:val="single" w:sz="4" w:space="0" w:color="auto"/>
              <w:right w:val="single" w:sz="4" w:space="0" w:color="auto"/>
            </w:tcBorders>
            <w:shd w:val="clear" w:color="auto" w:fill="auto"/>
            <w:vAlign w:val="center"/>
            <w:hideMark/>
          </w:tcPr>
          <w:p w14:paraId="5AED6511"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27</w:t>
            </w:r>
          </w:p>
        </w:tc>
        <w:tc>
          <w:tcPr>
            <w:tcW w:w="1134" w:type="dxa"/>
            <w:tcBorders>
              <w:top w:val="nil"/>
              <w:left w:val="nil"/>
              <w:bottom w:val="single" w:sz="4" w:space="0" w:color="auto"/>
              <w:right w:val="single" w:sz="4" w:space="0" w:color="auto"/>
            </w:tcBorders>
            <w:shd w:val="clear" w:color="auto" w:fill="auto"/>
            <w:vAlign w:val="center"/>
            <w:hideMark/>
          </w:tcPr>
          <w:p w14:paraId="604B2360"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33</w:t>
            </w:r>
          </w:p>
        </w:tc>
      </w:tr>
      <w:tr w:rsidR="005F38FB" w:rsidRPr="0028146A" w14:paraId="7ADC7650" w14:textId="77777777" w:rsidTr="00415BEB">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425D2FA" w14:textId="77777777" w:rsidR="005F38FB" w:rsidRPr="0028146A" w:rsidRDefault="005F38FB" w:rsidP="0028146A">
            <w:pPr>
              <w:spacing w:after="0" w:line="264" w:lineRule="auto"/>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Polsko</w:t>
            </w:r>
          </w:p>
        </w:tc>
        <w:tc>
          <w:tcPr>
            <w:tcW w:w="1134" w:type="dxa"/>
            <w:tcBorders>
              <w:top w:val="nil"/>
              <w:left w:val="nil"/>
              <w:bottom w:val="single" w:sz="4" w:space="0" w:color="auto"/>
              <w:right w:val="single" w:sz="4" w:space="0" w:color="auto"/>
            </w:tcBorders>
            <w:shd w:val="clear" w:color="auto" w:fill="auto"/>
            <w:vAlign w:val="center"/>
            <w:hideMark/>
          </w:tcPr>
          <w:p w14:paraId="2A1B8023"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130</w:t>
            </w:r>
          </w:p>
        </w:tc>
        <w:tc>
          <w:tcPr>
            <w:tcW w:w="1134" w:type="dxa"/>
            <w:tcBorders>
              <w:top w:val="nil"/>
              <w:left w:val="nil"/>
              <w:bottom w:val="single" w:sz="4" w:space="0" w:color="auto"/>
              <w:right w:val="single" w:sz="4" w:space="0" w:color="auto"/>
            </w:tcBorders>
            <w:shd w:val="clear" w:color="auto" w:fill="auto"/>
            <w:vAlign w:val="center"/>
            <w:hideMark/>
          </w:tcPr>
          <w:p w14:paraId="7C0F84D8"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161</w:t>
            </w:r>
          </w:p>
        </w:tc>
        <w:tc>
          <w:tcPr>
            <w:tcW w:w="1134" w:type="dxa"/>
            <w:tcBorders>
              <w:top w:val="nil"/>
              <w:left w:val="nil"/>
              <w:bottom w:val="single" w:sz="4" w:space="0" w:color="auto"/>
              <w:right w:val="single" w:sz="4" w:space="0" w:color="auto"/>
            </w:tcBorders>
            <w:shd w:val="clear" w:color="auto" w:fill="auto"/>
            <w:vAlign w:val="center"/>
            <w:hideMark/>
          </w:tcPr>
          <w:p w14:paraId="7A685344"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131</w:t>
            </w:r>
          </w:p>
        </w:tc>
        <w:tc>
          <w:tcPr>
            <w:tcW w:w="1134" w:type="dxa"/>
            <w:tcBorders>
              <w:top w:val="nil"/>
              <w:left w:val="nil"/>
              <w:bottom w:val="single" w:sz="4" w:space="0" w:color="auto"/>
              <w:right w:val="single" w:sz="4" w:space="0" w:color="auto"/>
            </w:tcBorders>
            <w:shd w:val="clear" w:color="auto" w:fill="auto"/>
            <w:vAlign w:val="center"/>
            <w:hideMark/>
          </w:tcPr>
          <w:p w14:paraId="0F4F6133"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91</w:t>
            </w:r>
          </w:p>
        </w:tc>
        <w:tc>
          <w:tcPr>
            <w:tcW w:w="1134" w:type="dxa"/>
            <w:tcBorders>
              <w:top w:val="nil"/>
              <w:left w:val="nil"/>
              <w:bottom w:val="single" w:sz="4" w:space="0" w:color="auto"/>
              <w:right w:val="single" w:sz="4" w:space="0" w:color="auto"/>
            </w:tcBorders>
            <w:shd w:val="clear" w:color="auto" w:fill="auto"/>
            <w:vAlign w:val="center"/>
            <w:hideMark/>
          </w:tcPr>
          <w:p w14:paraId="7350A0FD"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109</w:t>
            </w:r>
          </w:p>
        </w:tc>
        <w:tc>
          <w:tcPr>
            <w:tcW w:w="1134" w:type="dxa"/>
            <w:tcBorders>
              <w:top w:val="nil"/>
              <w:left w:val="nil"/>
              <w:bottom w:val="single" w:sz="4" w:space="0" w:color="auto"/>
              <w:right w:val="single" w:sz="4" w:space="0" w:color="auto"/>
            </w:tcBorders>
            <w:shd w:val="clear" w:color="auto" w:fill="auto"/>
            <w:vAlign w:val="center"/>
            <w:hideMark/>
          </w:tcPr>
          <w:p w14:paraId="773D0457"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88</w:t>
            </w:r>
          </w:p>
        </w:tc>
      </w:tr>
      <w:tr w:rsidR="005F38FB" w:rsidRPr="0028146A" w14:paraId="1BB54F2E" w14:textId="77777777" w:rsidTr="00415BEB">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6B3CCE0" w14:textId="77777777" w:rsidR="005F38FB" w:rsidRPr="0028146A" w:rsidRDefault="005F38FB" w:rsidP="0028146A">
            <w:pPr>
              <w:spacing w:after="0" w:line="264" w:lineRule="auto"/>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Slovenská republika</w:t>
            </w:r>
          </w:p>
        </w:tc>
        <w:tc>
          <w:tcPr>
            <w:tcW w:w="1134" w:type="dxa"/>
            <w:tcBorders>
              <w:top w:val="nil"/>
              <w:left w:val="nil"/>
              <w:bottom w:val="single" w:sz="4" w:space="0" w:color="auto"/>
              <w:right w:val="single" w:sz="4" w:space="0" w:color="auto"/>
            </w:tcBorders>
            <w:shd w:val="clear" w:color="auto" w:fill="auto"/>
            <w:vAlign w:val="center"/>
            <w:hideMark/>
          </w:tcPr>
          <w:p w14:paraId="6AC7AA47"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1 189</w:t>
            </w:r>
          </w:p>
        </w:tc>
        <w:tc>
          <w:tcPr>
            <w:tcW w:w="1134" w:type="dxa"/>
            <w:tcBorders>
              <w:top w:val="nil"/>
              <w:left w:val="nil"/>
              <w:bottom w:val="single" w:sz="4" w:space="0" w:color="auto"/>
              <w:right w:val="single" w:sz="4" w:space="0" w:color="auto"/>
            </w:tcBorders>
            <w:shd w:val="clear" w:color="auto" w:fill="auto"/>
            <w:vAlign w:val="center"/>
            <w:hideMark/>
          </w:tcPr>
          <w:p w14:paraId="08DC5E35"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931</w:t>
            </w:r>
          </w:p>
        </w:tc>
        <w:tc>
          <w:tcPr>
            <w:tcW w:w="1134" w:type="dxa"/>
            <w:tcBorders>
              <w:top w:val="nil"/>
              <w:left w:val="nil"/>
              <w:bottom w:val="single" w:sz="4" w:space="0" w:color="auto"/>
              <w:right w:val="single" w:sz="4" w:space="0" w:color="auto"/>
            </w:tcBorders>
            <w:shd w:val="clear" w:color="auto" w:fill="auto"/>
            <w:vAlign w:val="center"/>
            <w:hideMark/>
          </w:tcPr>
          <w:p w14:paraId="0916C6D6"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986</w:t>
            </w:r>
          </w:p>
        </w:tc>
        <w:tc>
          <w:tcPr>
            <w:tcW w:w="1134" w:type="dxa"/>
            <w:tcBorders>
              <w:top w:val="nil"/>
              <w:left w:val="nil"/>
              <w:bottom w:val="single" w:sz="4" w:space="0" w:color="auto"/>
              <w:right w:val="single" w:sz="4" w:space="0" w:color="auto"/>
            </w:tcBorders>
            <w:shd w:val="clear" w:color="auto" w:fill="auto"/>
            <w:vAlign w:val="center"/>
            <w:hideMark/>
          </w:tcPr>
          <w:p w14:paraId="49D6C055"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1 006</w:t>
            </w:r>
          </w:p>
        </w:tc>
        <w:tc>
          <w:tcPr>
            <w:tcW w:w="1134" w:type="dxa"/>
            <w:tcBorders>
              <w:top w:val="nil"/>
              <w:left w:val="nil"/>
              <w:bottom w:val="single" w:sz="4" w:space="0" w:color="auto"/>
              <w:right w:val="single" w:sz="4" w:space="0" w:color="auto"/>
            </w:tcBorders>
            <w:shd w:val="clear" w:color="auto" w:fill="auto"/>
            <w:vAlign w:val="center"/>
            <w:hideMark/>
          </w:tcPr>
          <w:p w14:paraId="4E9D4662"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906</w:t>
            </w:r>
          </w:p>
        </w:tc>
        <w:tc>
          <w:tcPr>
            <w:tcW w:w="1134" w:type="dxa"/>
            <w:tcBorders>
              <w:top w:val="nil"/>
              <w:left w:val="nil"/>
              <w:bottom w:val="single" w:sz="4" w:space="0" w:color="auto"/>
              <w:right w:val="single" w:sz="4" w:space="0" w:color="auto"/>
            </w:tcBorders>
            <w:shd w:val="clear" w:color="auto" w:fill="auto"/>
            <w:vAlign w:val="center"/>
            <w:hideMark/>
          </w:tcPr>
          <w:p w14:paraId="02A1FEB6"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742</w:t>
            </w:r>
          </w:p>
        </w:tc>
      </w:tr>
      <w:tr w:rsidR="005F38FB" w:rsidRPr="0028146A" w14:paraId="31E52863" w14:textId="77777777" w:rsidTr="00415BEB">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5AB60FF" w14:textId="77777777" w:rsidR="005F38FB" w:rsidRPr="0028146A" w:rsidRDefault="005F38FB" w:rsidP="0028146A">
            <w:pPr>
              <w:spacing w:after="0" w:line="264" w:lineRule="auto"/>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Rakousko</w:t>
            </w:r>
          </w:p>
        </w:tc>
        <w:tc>
          <w:tcPr>
            <w:tcW w:w="1134" w:type="dxa"/>
            <w:tcBorders>
              <w:top w:val="nil"/>
              <w:left w:val="nil"/>
              <w:bottom w:val="single" w:sz="4" w:space="0" w:color="auto"/>
              <w:right w:val="single" w:sz="4" w:space="0" w:color="auto"/>
            </w:tcBorders>
            <w:shd w:val="clear" w:color="auto" w:fill="auto"/>
            <w:vAlign w:val="center"/>
            <w:hideMark/>
          </w:tcPr>
          <w:p w14:paraId="6AB4D37A"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2 375</w:t>
            </w:r>
          </w:p>
        </w:tc>
        <w:tc>
          <w:tcPr>
            <w:tcW w:w="1134" w:type="dxa"/>
            <w:tcBorders>
              <w:top w:val="nil"/>
              <w:left w:val="nil"/>
              <w:bottom w:val="single" w:sz="4" w:space="0" w:color="auto"/>
              <w:right w:val="single" w:sz="4" w:space="0" w:color="auto"/>
            </w:tcBorders>
            <w:shd w:val="clear" w:color="auto" w:fill="auto"/>
            <w:vAlign w:val="center"/>
            <w:hideMark/>
          </w:tcPr>
          <w:p w14:paraId="3621DC0B"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2 123</w:t>
            </w:r>
          </w:p>
        </w:tc>
        <w:tc>
          <w:tcPr>
            <w:tcW w:w="1134" w:type="dxa"/>
            <w:tcBorders>
              <w:top w:val="nil"/>
              <w:left w:val="nil"/>
              <w:bottom w:val="single" w:sz="4" w:space="0" w:color="auto"/>
              <w:right w:val="single" w:sz="4" w:space="0" w:color="auto"/>
            </w:tcBorders>
            <w:shd w:val="clear" w:color="auto" w:fill="auto"/>
            <w:vAlign w:val="center"/>
            <w:hideMark/>
          </w:tcPr>
          <w:p w14:paraId="4C035AFA"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2 191</w:t>
            </w:r>
          </w:p>
        </w:tc>
        <w:tc>
          <w:tcPr>
            <w:tcW w:w="1134" w:type="dxa"/>
            <w:tcBorders>
              <w:top w:val="nil"/>
              <w:left w:val="nil"/>
              <w:bottom w:val="single" w:sz="4" w:space="0" w:color="auto"/>
              <w:right w:val="single" w:sz="4" w:space="0" w:color="auto"/>
            </w:tcBorders>
            <w:shd w:val="clear" w:color="auto" w:fill="auto"/>
            <w:vAlign w:val="center"/>
            <w:hideMark/>
          </w:tcPr>
          <w:p w14:paraId="37C5FF83"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2 352</w:t>
            </w:r>
          </w:p>
        </w:tc>
        <w:tc>
          <w:tcPr>
            <w:tcW w:w="1134" w:type="dxa"/>
            <w:tcBorders>
              <w:top w:val="nil"/>
              <w:left w:val="nil"/>
              <w:bottom w:val="single" w:sz="4" w:space="0" w:color="auto"/>
              <w:right w:val="single" w:sz="4" w:space="0" w:color="auto"/>
            </w:tcBorders>
            <w:shd w:val="clear" w:color="auto" w:fill="auto"/>
            <w:vAlign w:val="center"/>
            <w:hideMark/>
          </w:tcPr>
          <w:p w14:paraId="41E82480"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2 177</w:t>
            </w:r>
          </w:p>
        </w:tc>
        <w:tc>
          <w:tcPr>
            <w:tcW w:w="1134" w:type="dxa"/>
            <w:tcBorders>
              <w:top w:val="nil"/>
              <w:left w:val="nil"/>
              <w:bottom w:val="single" w:sz="4" w:space="0" w:color="auto"/>
              <w:right w:val="single" w:sz="4" w:space="0" w:color="auto"/>
            </w:tcBorders>
            <w:shd w:val="clear" w:color="auto" w:fill="auto"/>
            <w:vAlign w:val="center"/>
            <w:hideMark/>
          </w:tcPr>
          <w:p w14:paraId="01CD0929"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1 806</w:t>
            </w:r>
          </w:p>
        </w:tc>
      </w:tr>
      <w:tr w:rsidR="005F38FB" w:rsidRPr="0028146A" w14:paraId="6E2EA8BD" w14:textId="77777777" w:rsidTr="00415BEB">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F4B242D" w14:textId="77777777" w:rsidR="005F38FB" w:rsidRPr="0028146A" w:rsidRDefault="005F38FB" w:rsidP="0028146A">
            <w:pPr>
              <w:spacing w:after="0" w:line="264" w:lineRule="auto"/>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Německo</w:t>
            </w:r>
          </w:p>
        </w:tc>
        <w:tc>
          <w:tcPr>
            <w:tcW w:w="1134" w:type="dxa"/>
            <w:tcBorders>
              <w:top w:val="nil"/>
              <w:left w:val="nil"/>
              <w:bottom w:val="single" w:sz="4" w:space="0" w:color="auto"/>
              <w:right w:val="single" w:sz="4" w:space="0" w:color="auto"/>
            </w:tcBorders>
            <w:shd w:val="clear" w:color="auto" w:fill="auto"/>
            <w:vAlign w:val="center"/>
            <w:hideMark/>
          </w:tcPr>
          <w:p w14:paraId="40B7A465"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62 278</w:t>
            </w:r>
          </w:p>
        </w:tc>
        <w:tc>
          <w:tcPr>
            <w:tcW w:w="1134" w:type="dxa"/>
            <w:tcBorders>
              <w:top w:val="nil"/>
              <w:left w:val="nil"/>
              <w:bottom w:val="single" w:sz="4" w:space="0" w:color="auto"/>
              <w:right w:val="single" w:sz="4" w:space="0" w:color="auto"/>
            </w:tcBorders>
            <w:shd w:val="clear" w:color="auto" w:fill="auto"/>
            <w:vAlign w:val="center"/>
            <w:hideMark/>
          </w:tcPr>
          <w:p w14:paraId="602A8C8F"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55 027</w:t>
            </w:r>
          </w:p>
        </w:tc>
        <w:tc>
          <w:tcPr>
            <w:tcW w:w="1134" w:type="dxa"/>
            <w:tcBorders>
              <w:top w:val="nil"/>
              <w:left w:val="nil"/>
              <w:bottom w:val="single" w:sz="4" w:space="0" w:color="auto"/>
              <w:right w:val="single" w:sz="4" w:space="0" w:color="auto"/>
            </w:tcBorders>
            <w:shd w:val="clear" w:color="auto" w:fill="auto"/>
            <w:vAlign w:val="center"/>
            <w:hideMark/>
          </w:tcPr>
          <w:p w14:paraId="5B5F29EE"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58 488</w:t>
            </w:r>
          </w:p>
        </w:tc>
        <w:tc>
          <w:tcPr>
            <w:tcW w:w="1134" w:type="dxa"/>
            <w:tcBorders>
              <w:top w:val="nil"/>
              <w:left w:val="nil"/>
              <w:bottom w:val="single" w:sz="4" w:space="0" w:color="auto"/>
              <w:right w:val="single" w:sz="4" w:space="0" w:color="auto"/>
            </w:tcBorders>
            <w:shd w:val="clear" w:color="auto" w:fill="auto"/>
            <w:vAlign w:val="center"/>
            <w:hideMark/>
          </w:tcPr>
          <w:p w14:paraId="6CD88373"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60 071</w:t>
            </w:r>
          </w:p>
        </w:tc>
        <w:tc>
          <w:tcPr>
            <w:tcW w:w="1134" w:type="dxa"/>
            <w:tcBorders>
              <w:top w:val="nil"/>
              <w:left w:val="nil"/>
              <w:bottom w:val="single" w:sz="4" w:space="0" w:color="auto"/>
              <w:right w:val="single" w:sz="4" w:space="0" w:color="auto"/>
            </w:tcBorders>
            <w:shd w:val="clear" w:color="auto" w:fill="auto"/>
            <w:vAlign w:val="center"/>
            <w:hideMark/>
          </w:tcPr>
          <w:p w14:paraId="4937B382"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59 093</w:t>
            </w:r>
          </w:p>
        </w:tc>
        <w:tc>
          <w:tcPr>
            <w:tcW w:w="1134" w:type="dxa"/>
            <w:tcBorders>
              <w:top w:val="nil"/>
              <w:left w:val="nil"/>
              <w:bottom w:val="single" w:sz="4" w:space="0" w:color="auto"/>
              <w:right w:val="single" w:sz="4" w:space="0" w:color="auto"/>
            </w:tcBorders>
            <w:shd w:val="clear" w:color="auto" w:fill="auto"/>
            <w:vAlign w:val="center"/>
            <w:hideMark/>
          </w:tcPr>
          <w:p w14:paraId="78EE6F3E" w14:textId="77777777" w:rsidR="005F38FB" w:rsidRPr="0028146A" w:rsidRDefault="005F38FB" w:rsidP="0028146A">
            <w:pPr>
              <w:spacing w:after="0" w:line="264" w:lineRule="auto"/>
              <w:ind w:right="186"/>
              <w:jc w:val="right"/>
              <w:rPr>
                <w:rFonts w:ascii="Calibri" w:eastAsia="Times New Roman" w:hAnsi="Calibri" w:cs="Calibri"/>
                <w:color w:val="000000"/>
                <w:sz w:val="20"/>
                <w:szCs w:val="20"/>
                <w:lang w:eastAsia="cs-CZ"/>
              </w:rPr>
            </w:pPr>
            <w:r w:rsidRPr="0028146A">
              <w:rPr>
                <w:rFonts w:ascii="Calibri" w:eastAsia="Times New Roman" w:hAnsi="Calibri" w:cs="Calibri"/>
                <w:color w:val="000000"/>
                <w:sz w:val="20"/>
                <w:szCs w:val="20"/>
                <w:lang w:eastAsia="cs-CZ"/>
              </w:rPr>
              <w:t>55 315</w:t>
            </w:r>
          </w:p>
        </w:tc>
      </w:tr>
    </w:tbl>
    <w:p w14:paraId="0F0C4762" w14:textId="77777777" w:rsidR="005F38FB" w:rsidRPr="009801FF" w:rsidRDefault="005F38FB" w:rsidP="00995237">
      <w:pPr>
        <w:spacing w:before="40" w:after="0" w:line="240" w:lineRule="auto"/>
        <w:rPr>
          <w:rFonts w:eastAsia="Times New Roman" w:cstheme="minorHAnsi"/>
          <w:color w:val="000000"/>
          <w:sz w:val="20"/>
          <w:szCs w:val="20"/>
          <w:lang w:eastAsia="cs-CZ"/>
        </w:rPr>
      </w:pPr>
      <w:r w:rsidRPr="009801FF">
        <w:rPr>
          <w:rFonts w:eastAsia="Times New Roman" w:cstheme="minorHAnsi"/>
          <w:b/>
          <w:color w:val="000000"/>
          <w:sz w:val="20"/>
          <w:szCs w:val="20"/>
          <w:lang w:eastAsia="cs-CZ"/>
        </w:rPr>
        <w:t>Zdroj:</w:t>
      </w:r>
      <w:r w:rsidRPr="009801FF">
        <w:rPr>
          <w:rFonts w:eastAsia="Times New Roman" w:cstheme="minorHAnsi"/>
          <w:color w:val="000000"/>
          <w:sz w:val="20"/>
          <w:szCs w:val="20"/>
          <w:lang w:eastAsia="cs-CZ"/>
        </w:rPr>
        <w:t xml:space="preserve"> </w:t>
      </w:r>
      <w:r w:rsidRPr="00435EF1">
        <w:rPr>
          <w:rFonts w:eastAsia="Times New Roman" w:cstheme="minorHAnsi"/>
          <w:i/>
          <w:color w:val="000000"/>
          <w:sz w:val="20"/>
          <w:szCs w:val="20"/>
          <w:lang w:eastAsia="cs-CZ"/>
        </w:rPr>
        <w:t>Ročenka dopravy 2017</w:t>
      </w:r>
      <w:r w:rsidR="009801FF">
        <w:rPr>
          <w:rFonts w:eastAsia="Times New Roman" w:cstheme="minorHAnsi"/>
          <w:color w:val="000000"/>
          <w:sz w:val="20"/>
          <w:szCs w:val="20"/>
          <w:lang w:eastAsia="cs-CZ"/>
        </w:rPr>
        <w:t>.</w:t>
      </w:r>
    </w:p>
    <w:p w14:paraId="651B43A8" w14:textId="77777777" w:rsidR="005F38FB" w:rsidRPr="00995237" w:rsidRDefault="005F38FB" w:rsidP="00995237">
      <w:pPr>
        <w:spacing w:after="0" w:line="264" w:lineRule="auto"/>
        <w:jc w:val="both"/>
        <w:rPr>
          <w:rFonts w:ascii="Calibri" w:hAnsi="Calibri" w:cs="Calibri"/>
          <w:color w:val="000000"/>
          <w:sz w:val="24"/>
          <w:szCs w:val="24"/>
          <w:lang w:bidi="cs-CZ"/>
        </w:rPr>
      </w:pPr>
    </w:p>
    <w:p w14:paraId="61FF61B1" w14:textId="33B8B2CC" w:rsidR="000B0AFD" w:rsidRPr="00995237" w:rsidRDefault="00E8036B" w:rsidP="00995237">
      <w:pPr>
        <w:spacing w:after="0" w:line="264" w:lineRule="auto"/>
        <w:jc w:val="both"/>
        <w:rPr>
          <w:rFonts w:ascii="Calibri" w:hAnsi="Calibri" w:cs="Calibri"/>
          <w:color w:val="000000"/>
          <w:sz w:val="24"/>
          <w:szCs w:val="24"/>
          <w:lang w:bidi="cs-CZ"/>
        </w:rPr>
      </w:pPr>
      <w:r w:rsidRPr="00995237">
        <w:rPr>
          <w:rFonts w:ascii="Calibri" w:hAnsi="Calibri" w:cs="Calibri"/>
          <w:b/>
          <w:color w:val="000000"/>
          <w:sz w:val="24"/>
          <w:szCs w:val="24"/>
          <w:lang w:bidi="cs-CZ"/>
        </w:rPr>
        <w:t>Z důvod</w:t>
      </w:r>
      <w:r w:rsidR="00415BEB">
        <w:rPr>
          <w:rFonts w:ascii="Calibri" w:hAnsi="Calibri" w:cs="Calibri"/>
          <w:b/>
          <w:color w:val="000000"/>
          <w:sz w:val="24"/>
          <w:szCs w:val="24"/>
          <w:lang w:bidi="cs-CZ"/>
        </w:rPr>
        <w:t>u</w:t>
      </w:r>
      <w:r w:rsidRPr="00995237">
        <w:rPr>
          <w:rFonts w:ascii="Calibri" w:hAnsi="Calibri" w:cs="Calibri"/>
          <w:b/>
          <w:color w:val="000000"/>
          <w:sz w:val="24"/>
          <w:szCs w:val="24"/>
          <w:lang w:bidi="cs-CZ"/>
        </w:rPr>
        <w:t xml:space="preserve"> </w:t>
      </w:r>
      <w:r w:rsidR="00A5450D" w:rsidRPr="00995237">
        <w:rPr>
          <w:rFonts w:ascii="Calibri" w:hAnsi="Calibri" w:cs="Calibri"/>
          <w:b/>
          <w:color w:val="000000"/>
          <w:sz w:val="24"/>
          <w:szCs w:val="24"/>
          <w:lang w:bidi="cs-CZ"/>
        </w:rPr>
        <w:t xml:space="preserve">zjištění nedostatků na straně nákladů i přínosů </w:t>
      </w:r>
      <w:r w:rsidRPr="00995237">
        <w:rPr>
          <w:rFonts w:ascii="Calibri" w:hAnsi="Calibri" w:cs="Calibri"/>
          <w:b/>
          <w:color w:val="000000"/>
          <w:sz w:val="24"/>
          <w:szCs w:val="24"/>
          <w:lang w:bidi="cs-CZ"/>
        </w:rPr>
        <w:t xml:space="preserve">NKÚ </w:t>
      </w:r>
      <w:r w:rsidR="009E70B7" w:rsidRPr="00995237">
        <w:rPr>
          <w:rFonts w:ascii="Calibri" w:hAnsi="Calibri" w:cs="Calibri"/>
          <w:b/>
          <w:color w:val="000000"/>
          <w:sz w:val="24"/>
          <w:szCs w:val="24"/>
          <w:lang w:bidi="cs-CZ"/>
        </w:rPr>
        <w:t>nepovažuje</w:t>
      </w:r>
      <w:r w:rsidRPr="00995237">
        <w:rPr>
          <w:rFonts w:ascii="Calibri" w:hAnsi="Calibri" w:cs="Calibri"/>
          <w:b/>
          <w:color w:val="000000"/>
          <w:sz w:val="24"/>
          <w:szCs w:val="24"/>
          <w:lang w:bidi="cs-CZ"/>
        </w:rPr>
        <w:t xml:space="preserve"> výsledk</w:t>
      </w:r>
      <w:r w:rsidR="009E70B7" w:rsidRPr="00995237">
        <w:rPr>
          <w:rFonts w:ascii="Calibri" w:hAnsi="Calibri" w:cs="Calibri"/>
          <w:b/>
          <w:color w:val="000000"/>
          <w:sz w:val="24"/>
          <w:szCs w:val="24"/>
          <w:lang w:bidi="cs-CZ"/>
        </w:rPr>
        <w:t xml:space="preserve">y Komplexního vyhodnocení za věrohodné a </w:t>
      </w:r>
      <w:r w:rsidR="00A1412D" w:rsidRPr="00995237">
        <w:rPr>
          <w:rFonts w:ascii="Calibri" w:hAnsi="Calibri" w:cs="Calibri"/>
          <w:b/>
          <w:color w:val="000000"/>
          <w:sz w:val="24"/>
          <w:szCs w:val="24"/>
          <w:lang w:bidi="cs-CZ"/>
        </w:rPr>
        <w:t xml:space="preserve">objektivně prokazující </w:t>
      </w:r>
      <w:r w:rsidRPr="00995237">
        <w:rPr>
          <w:rFonts w:ascii="Calibri" w:hAnsi="Calibri" w:cs="Calibri"/>
          <w:b/>
          <w:color w:val="000000"/>
          <w:sz w:val="24"/>
          <w:szCs w:val="24"/>
          <w:lang w:bidi="cs-CZ"/>
        </w:rPr>
        <w:t>efektivnost investic na labsko-vltavské vodní cestě.</w:t>
      </w:r>
    </w:p>
    <w:p w14:paraId="1D539F17" w14:textId="77777777" w:rsidR="000B0AFD" w:rsidRPr="00995237" w:rsidRDefault="000B0AFD" w:rsidP="00995237">
      <w:pPr>
        <w:spacing w:after="0" w:line="264" w:lineRule="auto"/>
        <w:jc w:val="both"/>
        <w:rPr>
          <w:rFonts w:ascii="Calibri" w:hAnsi="Calibri" w:cs="Calibri"/>
          <w:iCs/>
          <w:sz w:val="24"/>
          <w:szCs w:val="24"/>
        </w:rPr>
      </w:pPr>
    </w:p>
    <w:p w14:paraId="2C0AFC64" w14:textId="77777777" w:rsidR="006C5EB3"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Podmínkou schválení KVD s významnými negativními vlivy na lokality soustavy </w:t>
      </w:r>
      <w:r w:rsidRPr="00435EF1">
        <w:rPr>
          <w:rFonts w:ascii="Calibri" w:hAnsi="Calibri" w:cs="Calibri"/>
          <w:i/>
          <w:sz w:val="24"/>
          <w:szCs w:val="24"/>
        </w:rPr>
        <w:t>Natura 2000</w:t>
      </w:r>
      <w:r w:rsidRPr="00995237">
        <w:rPr>
          <w:rFonts w:ascii="Calibri" w:hAnsi="Calibri" w:cs="Calibri"/>
          <w:sz w:val="24"/>
          <w:szCs w:val="24"/>
        </w:rPr>
        <w:t xml:space="preserve"> je dle zákona č. 114/1992 Sb.</w:t>
      </w:r>
      <w:r w:rsidRPr="00995237">
        <w:rPr>
          <w:rFonts w:ascii="Calibri" w:hAnsi="Calibri" w:cs="Calibri"/>
          <w:sz w:val="24"/>
          <w:szCs w:val="24"/>
          <w:vertAlign w:val="superscript"/>
        </w:rPr>
        <w:footnoteReference w:id="19"/>
      </w:r>
      <w:r w:rsidRPr="00995237">
        <w:rPr>
          <w:rFonts w:ascii="Calibri" w:hAnsi="Calibri" w:cs="Calibri"/>
          <w:sz w:val="24"/>
          <w:szCs w:val="24"/>
        </w:rPr>
        <w:t xml:space="preserve"> uložení a zajištění kompenzačních opatření. </w:t>
      </w:r>
      <w:r w:rsidR="00A55F3B" w:rsidRPr="00995237">
        <w:rPr>
          <w:rFonts w:ascii="Calibri" w:hAnsi="Calibri" w:cs="Calibri"/>
          <w:sz w:val="24"/>
          <w:szCs w:val="24"/>
        </w:rPr>
        <w:t>Ministerstvo životního prostředí (dále také „</w:t>
      </w:r>
      <w:r w:rsidRPr="00995237">
        <w:rPr>
          <w:rFonts w:ascii="Calibri" w:hAnsi="Calibri" w:cs="Calibri"/>
          <w:sz w:val="24"/>
          <w:szCs w:val="24"/>
        </w:rPr>
        <w:t>MŽP</w:t>
      </w:r>
      <w:r w:rsidR="00A55F3B" w:rsidRPr="00995237">
        <w:rPr>
          <w:rFonts w:ascii="Calibri" w:hAnsi="Calibri" w:cs="Calibri"/>
          <w:sz w:val="24"/>
          <w:szCs w:val="24"/>
        </w:rPr>
        <w:t>“)</w:t>
      </w:r>
      <w:r w:rsidRPr="00995237">
        <w:rPr>
          <w:rFonts w:ascii="Calibri" w:hAnsi="Calibri" w:cs="Calibri"/>
          <w:sz w:val="24"/>
          <w:szCs w:val="24"/>
        </w:rPr>
        <w:t xml:space="preserve"> dne 16. 11. 2018 předložilo vládě materiál, v němž ji informovalo</w:t>
      </w:r>
      <w:r w:rsidR="00A55F3B" w:rsidRPr="00995237">
        <w:rPr>
          <w:rFonts w:ascii="Calibri" w:hAnsi="Calibri" w:cs="Calibri"/>
          <w:sz w:val="24"/>
          <w:szCs w:val="24"/>
        </w:rPr>
        <w:t xml:space="preserve"> </w:t>
      </w:r>
      <w:r w:rsidRPr="00995237">
        <w:rPr>
          <w:rFonts w:ascii="Calibri" w:hAnsi="Calibri" w:cs="Calibri"/>
          <w:sz w:val="24"/>
          <w:szCs w:val="24"/>
        </w:rPr>
        <w:t>o nemožnosti stanovit kompenzační opatření a uvedlo požadavek na vypuštění záměru PSD</w:t>
      </w:r>
      <w:r w:rsidR="00A55F3B" w:rsidRPr="00995237">
        <w:rPr>
          <w:rFonts w:ascii="Calibri" w:hAnsi="Calibri" w:cs="Calibri"/>
          <w:sz w:val="24"/>
          <w:szCs w:val="24"/>
        </w:rPr>
        <w:t xml:space="preserve"> </w:t>
      </w:r>
      <w:r w:rsidRPr="00995237">
        <w:rPr>
          <w:rFonts w:ascii="Calibri" w:hAnsi="Calibri" w:cs="Calibri"/>
          <w:sz w:val="24"/>
          <w:szCs w:val="24"/>
        </w:rPr>
        <w:t>z návrhu KVD, což MD neakceptovalo. Vláda svým usnesením ze dne 20. listopadu 2018 č. 781</w:t>
      </w:r>
      <w:r w:rsidRPr="00995237">
        <w:rPr>
          <w:rFonts w:ascii="Calibri" w:hAnsi="Calibri" w:cs="Calibri"/>
          <w:sz w:val="24"/>
          <w:szCs w:val="24"/>
          <w:vertAlign w:val="superscript"/>
        </w:rPr>
        <w:footnoteReference w:id="20"/>
      </w:r>
      <w:r w:rsidRPr="00995237">
        <w:rPr>
          <w:rFonts w:ascii="Calibri" w:hAnsi="Calibri" w:cs="Calibri"/>
          <w:sz w:val="24"/>
          <w:szCs w:val="24"/>
        </w:rPr>
        <w:t xml:space="preserve"> vyslovila s informací MŽP nesouhlas. O možnosti </w:t>
      </w:r>
      <w:r w:rsidR="004E3CAC" w:rsidRPr="00995237">
        <w:rPr>
          <w:rFonts w:ascii="Calibri" w:hAnsi="Calibri" w:cs="Calibri"/>
          <w:sz w:val="24"/>
          <w:szCs w:val="24"/>
        </w:rPr>
        <w:t>provedení</w:t>
      </w:r>
      <w:r w:rsidRPr="00995237">
        <w:rPr>
          <w:rFonts w:ascii="Calibri" w:hAnsi="Calibri" w:cs="Calibri"/>
          <w:sz w:val="24"/>
          <w:szCs w:val="24"/>
        </w:rPr>
        <w:t xml:space="preserve"> kompenzačních opatření na území jiného členského státu EU nebylo do doby </w:t>
      </w:r>
      <w:r w:rsidR="004737E2" w:rsidRPr="00995237">
        <w:rPr>
          <w:rFonts w:ascii="Calibri" w:hAnsi="Calibri" w:cs="Calibri"/>
          <w:sz w:val="24"/>
          <w:szCs w:val="24"/>
        </w:rPr>
        <w:t xml:space="preserve">ukončení </w:t>
      </w:r>
      <w:r w:rsidRPr="00995237">
        <w:rPr>
          <w:rFonts w:ascii="Calibri" w:hAnsi="Calibri" w:cs="Calibri"/>
          <w:sz w:val="24"/>
          <w:szCs w:val="24"/>
        </w:rPr>
        <w:t>kontroly</w:t>
      </w:r>
      <w:r w:rsidR="00FC3608" w:rsidRPr="00995237">
        <w:rPr>
          <w:rFonts w:ascii="Calibri" w:hAnsi="Calibri" w:cs="Calibri"/>
          <w:sz w:val="24"/>
          <w:szCs w:val="24"/>
        </w:rPr>
        <w:t xml:space="preserve"> NKÚ</w:t>
      </w:r>
      <w:r w:rsidRPr="00995237">
        <w:rPr>
          <w:rFonts w:ascii="Calibri" w:hAnsi="Calibri" w:cs="Calibri"/>
          <w:sz w:val="24"/>
          <w:szCs w:val="24"/>
        </w:rPr>
        <w:t xml:space="preserve"> rozhodnuto. </w:t>
      </w:r>
      <w:r w:rsidR="006441A9" w:rsidRPr="00995237">
        <w:rPr>
          <w:rFonts w:ascii="Calibri" w:hAnsi="Calibri" w:cs="Calibri"/>
          <w:sz w:val="24"/>
          <w:szCs w:val="24"/>
        </w:rPr>
        <w:t xml:space="preserve">Nedořešeno zůstává i právně závazné </w:t>
      </w:r>
      <w:r w:rsidR="00FC3608" w:rsidRPr="00995237">
        <w:rPr>
          <w:rFonts w:ascii="Calibri" w:hAnsi="Calibri" w:cs="Calibri"/>
          <w:sz w:val="24"/>
          <w:szCs w:val="24"/>
        </w:rPr>
        <w:t>u</w:t>
      </w:r>
      <w:r w:rsidR="006441A9" w:rsidRPr="00995237">
        <w:rPr>
          <w:rFonts w:ascii="Calibri" w:hAnsi="Calibri" w:cs="Calibri"/>
          <w:sz w:val="24"/>
          <w:szCs w:val="24"/>
        </w:rPr>
        <w:t xml:space="preserve">kotvení požadavků na zajištění spolehlivé splavnosti Labe na německém území. </w:t>
      </w:r>
      <w:r w:rsidRPr="00995237">
        <w:rPr>
          <w:rFonts w:ascii="Calibri" w:hAnsi="Calibri" w:cs="Calibri"/>
          <w:sz w:val="24"/>
          <w:szCs w:val="24"/>
        </w:rPr>
        <w:t xml:space="preserve">Názorový spor mezi MD a MŽP ve věci </w:t>
      </w:r>
      <w:r w:rsidR="004E3CAC" w:rsidRPr="00995237">
        <w:rPr>
          <w:rFonts w:ascii="Calibri" w:hAnsi="Calibri" w:cs="Calibri"/>
          <w:sz w:val="24"/>
          <w:szCs w:val="24"/>
        </w:rPr>
        <w:t>výstavby</w:t>
      </w:r>
      <w:r w:rsidRPr="00995237">
        <w:rPr>
          <w:rFonts w:ascii="Calibri" w:hAnsi="Calibri" w:cs="Calibri"/>
          <w:sz w:val="24"/>
          <w:szCs w:val="24"/>
        </w:rPr>
        <w:t xml:space="preserve"> PSD přetrvává.</w:t>
      </w:r>
      <w:r w:rsidR="00C90C82" w:rsidRPr="00995237">
        <w:rPr>
          <w:rFonts w:ascii="Calibri" w:hAnsi="Calibri" w:cs="Calibri"/>
          <w:sz w:val="24"/>
          <w:szCs w:val="24"/>
        </w:rPr>
        <w:t xml:space="preserve"> Na zpracování podkladů souvisejících s přípravou záměru PSD vyložilo ŘVC celkem již 625,7 mil. Kč</w:t>
      </w:r>
      <w:r w:rsidR="00A5450D" w:rsidRPr="00995237">
        <w:rPr>
          <w:rFonts w:ascii="Calibri" w:hAnsi="Calibri" w:cs="Calibri"/>
          <w:sz w:val="24"/>
          <w:szCs w:val="24"/>
        </w:rPr>
        <w:t>. Tato částka byla f</w:t>
      </w:r>
      <w:r w:rsidR="00DB0B38" w:rsidRPr="00995237">
        <w:rPr>
          <w:rFonts w:ascii="Calibri" w:hAnsi="Calibri" w:cs="Calibri"/>
          <w:sz w:val="24"/>
          <w:szCs w:val="24"/>
        </w:rPr>
        <w:t>inancována převážně z rozpočtu SFDI.</w:t>
      </w:r>
    </w:p>
    <w:p w14:paraId="3C81434C" w14:textId="77777777" w:rsidR="006C5EB3" w:rsidRPr="00995237" w:rsidRDefault="006C5EB3" w:rsidP="00995237">
      <w:pPr>
        <w:spacing w:after="0" w:line="264" w:lineRule="auto"/>
        <w:jc w:val="both"/>
        <w:rPr>
          <w:rFonts w:ascii="Calibri" w:hAnsi="Calibri" w:cs="Calibri"/>
          <w:sz w:val="24"/>
          <w:szCs w:val="24"/>
        </w:rPr>
      </w:pPr>
    </w:p>
    <w:p w14:paraId="45FF9293" w14:textId="77777777" w:rsidR="00F0325A" w:rsidRPr="00995237" w:rsidRDefault="00E8036B" w:rsidP="00995237">
      <w:pPr>
        <w:spacing w:after="0" w:line="264" w:lineRule="auto"/>
        <w:jc w:val="both"/>
        <w:rPr>
          <w:rFonts w:ascii="Calibri" w:hAnsi="Calibri" w:cs="Calibri"/>
          <w:b/>
          <w:sz w:val="24"/>
          <w:szCs w:val="24"/>
        </w:rPr>
      </w:pPr>
      <w:r w:rsidRPr="00995237">
        <w:rPr>
          <w:rFonts w:ascii="Calibri" w:hAnsi="Calibri" w:cs="Calibri"/>
          <w:b/>
          <w:sz w:val="24"/>
          <w:szCs w:val="24"/>
        </w:rPr>
        <w:lastRenderedPageBreak/>
        <w:t xml:space="preserve">Z důvodu </w:t>
      </w:r>
      <w:r w:rsidR="004E3CAC" w:rsidRPr="00995237">
        <w:rPr>
          <w:rFonts w:ascii="Calibri" w:hAnsi="Calibri" w:cs="Calibri"/>
          <w:b/>
          <w:sz w:val="24"/>
          <w:szCs w:val="24"/>
        </w:rPr>
        <w:t xml:space="preserve">dlouhodobě přetrvávající </w:t>
      </w:r>
      <w:r w:rsidRPr="00995237">
        <w:rPr>
          <w:rFonts w:ascii="Calibri" w:hAnsi="Calibri" w:cs="Calibri"/>
          <w:b/>
          <w:sz w:val="24"/>
          <w:szCs w:val="24"/>
        </w:rPr>
        <w:t>nespolehlivé splavnosti labsko-vltavské vodní ce</w:t>
      </w:r>
      <w:r w:rsidR="00A5450D" w:rsidRPr="00995237">
        <w:rPr>
          <w:rFonts w:ascii="Calibri" w:hAnsi="Calibri" w:cs="Calibri"/>
          <w:b/>
          <w:sz w:val="24"/>
          <w:szCs w:val="24"/>
        </w:rPr>
        <w:t xml:space="preserve">sty NKÚ považuje </w:t>
      </w:r>
      <w:r w:rsidR="00501FCE" w:rsidRPr="00995237">
        <w:rPr>
          <w:rFonts w:ascii="Calibri" w:hAnsi="Calibri" w:cs="Calibri"/>
          <w:b/>
          <w:sz w:val="24"/>
          <w:szCs w:val="24"/>
        </w:rPr>
        <w:t xml:space="preserve">peněžní prostředky, které byly vynaloženy na dokončení investic na podporu nákladní vodní dopravy, </w:t>
      </w:r>
      <w:r w:rsidR="00A5450D" w:rsidRPr="00995237">
        <w:rPr>
          <w:rFonts w:ascii="Calibri" w:hAnsi="Calibri" w:cs="Calibri"/>
          <w:b/>
          <w:sz w:val="24"/>
          <w:szCs w:val="24"/>
        </w:rPr>
        <w:t xml:space="preserve">za potenciálně přinejmenším z části </w:t>
      </w:r>
      <w:r w:rsidRPr="00995237">
        <w:rPr>
          <w:rFonts w:ascii="Calibri" w:hAnsi="Calibri" w:cs="Calibri"/>
          <w:b/>
          <w:sz w:val="24"/>
          <w:szCs w:val="24"/>
        </w:rPr>
        <w:t xml:space="preserve">neúčelně a neefektivně vynaložené. Jejich celkovou hodnotu MD vyčíslilo na 160 mld. Kč. </w:t>
      </w:r>
    </w:p>
    <w:p w14:paraId="78A6F4AE" w14:textId="77777777" w:rsidR="00DB17D0" w:rsidRPr="00995237" w:rsidRDefault="00DB17D0" w:rsidP="00995237">
      <w:pPr>
        <w:spacing w:after="0" w:line="264" w:lineRule="auto"/>
        <w:jc w:val="both"/>
        <w:rPr>
          <w:rFonts w:ascii="Calibri" w:hAnsi="Calibri" w:cs="Calibri"/>
          <w:sz w:val="24"/>
          <w:szCs w:val="24"/>
        </w:rPr>
      </w:pPr>
    </w:p>
    <w:p w14:paraId="3805AAE7" w14:textId="367AB793" w:rsidR="00DB17D0"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Například realizace projektu </w:t>
      </w:r>
      <w:r w:rsidRPr="00435EF1">
        <w:rPr>
          <w:rFonts w:ascii="Calibri" w:hAnsi="Calibri" w:cs="Calibri"/>
          <w:i/>
          <w:sz w:val="24"/>
          <w:szCs w:val="24"/>
        </w:rPr>
        <w:t>Veřejný přístav Ústí n. L.</w:t>
      </w:r>
      <w:r w:rsidR="000C6040" w:rsidRPr="00435EF1">
        <w:rPr>
          <w:rFonts w:ascii="Calibri" w:hAnsi="Calibri" w:cs="Calibri"/>
          <w:i/>
          <w:sz w:val="24"/>
          <w:szCs w:val="24"/>
        </w:rPr>
        <w:t xml:space="preserve"> </w:t>
      </w:r>
      <w:r w:rsidR="00535BD9" w:rsidRPr="00435EF1">
        <w:rPr>
          <w:rFonts w:ascii="Calibri" w:hAnsi="Calibri" w:cs="Calibri"/>
          <w:i/>
          <w:sz w:val="24"/>
          <w:szCs w:val="24"/>
        </w:rPr>
        <w:t>–</w:t>
      </w:r>
      <w:r w:rsidR="000C6040" w:rsidRPr="00435EF1">
        <w:rPr>
          <w:rFonts w:ascii="Calibri" w:hAnsi="Calibri" w:cs="Calibri"/>
          <w:i/>
          <w:sz w:val="24"/>
          <w:szCs w:val="24"/>
        </w:rPr>
        <w:t xml:space="preserve"> </w:t>
      </w:r>
      <w:proofErr w:type="spellStart"/>
      <w:r w:rsidRPr="00435EF1">
        <w:rPr>
          <w:rFonts w:ascii="Calibri" w:hAnsi="Calibri" w:cs="Calibri"/>
          <w:i/>
          <w:sz w:val="24"/>
          <w:szCs w:val="24"/>
        </w:rPr>
        <w:t>Vaňov</w:t>
      </w:r>
      <w:proofErr w:type="spellEnd"/>
      <w:r w:rsidRPr="00435EF1">
        <w:rPr>
          <w:rFonts w:ascii="Calibri" w:hAnsi="Calibri" w:cs="Calibri"/>
          <w:i/>
          <w:sz w:val="24"/>
          <w:szCs w:val="24"/>
        </w:rPr>
        <w:t>, modernizace překladní hrany s povodňovou ochranou plavidel</w:t>
      </w:r>
      <w:r w:rsidRPr="00995237">
        <w:rPr>
          <w:rFonts w:ascii="Calibri" w:hAnsi="Calibri" w:cs="Calibri"/>
          <w:sz w:val="24"/>
          <w:szCs w:val="24"/>
        </w:rPr>
        <w:t xml:space="preserve"> </w:t>
      </w:r>
      <w:r w:rsidR="00F0325A" w:rsidRPr="00995237">
        <w:rPr>
          <w:rFonts w:ascii="Calibri" w:hAnsi="Calibri" w:cs="Calibri"/>
          <w:sz w:val="24"/>
          <w:szCs w:val="24"/>
        </w:rPr>
        <w:t>s celkovými náklad</w:t>
      </w:r>
      <w:r w:rsidR="00426665" w:rsidRPr="00995237">
        <w:rPr>
          <w:rFonts w:ascii="Calibri" w:hAnsi="Calibri" w:cs="Calibri"/>
          <w:sz w:val="24"/>
          <w:szCs w:val="24"/>
        </w:rPr>
        <w:t>y</w:t>
      </w:r>
      <w:r w:rsidR="00F0325A" w:rsidRPr="00995237">
        <w:rPr>
          <w:rFonts w:ascii="Calibri" w:hAnsi="Calibri" w:cs="Calibri"/>
          <w:sz w:val="24"/>
          <w:szCs w:val="24"/>
        </w:rPr>
        <w:t xml:space="preserve"> 104 mil. Kč</w:t>
      </w:r>
      <w:r w:rsidRPr="00995237">
        <w:rPr>
          <w:rFonts w:ascii="Calibri" w:hAnsi="Calibri" w:cs="Calibri"/>
          <w:sz w:val="24"/>
          <w:szCs w:val="24"/>
        </w:rPr>
        <w:t xml:space="preserve"> měla přinést navýšení přepravy kontejnerů mezi </w:t>
      </w:r>
      <w:proofErr w:type="spellStart"/>
      <w:r w:rsidRPr="00995237">
        <w:rPr>
          <w:rFonts w:ascii="Calibri" w:hAnsi="Calibri" w:cs="Calibri"/>
          <w:sz w:val="24"/>
          <w:szCs w:val="24"/>
        </w:rPr>
        <w:t>Vaňovem</w:t>
      </w:r>
      <w:proofErr w:type="spellEnd"/>
      <w:r w:rsidRPr="00995237">
        <w:rPr>
          <w:rFonts w:ascii="Calibri" w:hAnsi="Calibri" w:cs="Calibri"/>
          <w:sz w:val="24"/>
          <w:szCs w:val="24"/>
        </w:rPr>
        <w:t xml:space="preserve"> a Hamburkem </w:t>
      </w:r>
      <w:r w:rsidR="004E3CAC" w:rsidRPr="00995237">
        <w:rPr>
          <w:rFonts w:ascii="Calibri" w:hAnsi="Calibri" w:cs="Calibri"/>
          <w:sz w:val="24"/>
          <w:szCs w:val="24"/>
        </w:rPr>
        <w:t>o</w:t>
      </w:r>
      <w:r w:rsidRPr="00995237">
        <w:rPr>
          <w:rFonts w:ascii="Calibri" w:hAnsi="Calibri" w:cs="Calibri"/>
          <w:sz w:val="24"/>
          <w:szCs w:val="24"/>
        </w:rPr>
        <w:t xml:space="preserve"> 1</w:t>
      </w:r>
      <w:r w:rsidR="004E3CAC" w:rsidRPr="00995237">
        <w:rPr>
          <w:rFonts w:ascii="Calibri" w:hAnsi="Calibri" w:cs="Calibri"/>
          <w:sz w:val="24"/>
          <w:szCs w:val="24"/>
        </w:rPr>
        <w:t xml:space="preserve"> </w:t>
      </w:r>
      <w:r w:rsidRPr="00995237">
        <w:rPr>
          <w:rFonts w:ascii="Calibri" w:hAnsi="Calibri" w:cs="Calibri"/>
          <w:sz w:val="24"/>
          <w:szCs w:val="24"/>
        </w:rPr>
        <w:t>944 kusů ročně. V kategorii zemědělských substrátů a ostatních sypkých materiálů bylo počítáno s okamžitým navýšením o 112</w:t>
      </w:r>
      <w:r w:rsidR="00E15318" w:rsidRPr="00995237">
        <w:rPr>
          <w:rFonts w:ascii="Calibri" w:hAnsi="Calibri" w:cs="Calibri"/>
          <w:sz w:val="24"/>
          <w:szCs w:val="24"/>
        </w:rPr>
        <w:t xml:space="preserve"> tis</w:t>
      </w:r>
      <w:r w:rsidR="00C90C82" w:rsidRPr="00995237">
        <w:rPr>
          <w:rFonts w:ascii="Calibri" w:hAnsi="Calibri" w:cs="Calibri"/>
          <w:sz w:val="24"/>
          <w:szCs w:val="24"/>
        </w:rPr>
        <w:t>íc</w:t>
      </w:r>
      <w:r w:rsidRPr="00995237">
        <w:rPr>
          <w:rFonts w:ascii="Calibri" w:hAnsi="Calibri" w:cs="Calibri"/>
          <w:sz w:val="24"/>
          <w:szCs w:val="24"/>
        </w:rPr>
        <w:t xml:space="preserve"> tun, z čehož 75</w:t>
      </w:r>
      <w:r w:rsidR="00C90C82" w:rsidRPr="00995237">
        <w:rPr>
          <w:rFonts w:ascii="Calibri" w:hAnsi="Calibri" w:cs="Calibri"/>
          <w:sz w:val="24"/>
          <w:szCs w:val="24"/>
        </w:rPr>
        <w:t xml:space="preserve"> tisíc</w:t>
      </w:r>
      <w:r w:rsidRPr="00995237">
        <w:rPr>
          <w:rFonts w:ascii="Calibri" w:hAnsi="Calibri" w:cs="Calibri"/>
          <w:sz w:val="24"/>
          <w:szCs w:val="24"/>
        </w:rPr>
        <w:t xml:space="preserve"> tun měl</w:t>
      </w:r>
      <w:r w:rsidR="004E3CAC" w:rsidRPr="00995237">
        <w:rPr>
          <w:rFonts w:ascii="Calibri" w:hAnsi="Calibri" w:cs="Calibri"/>
          <w:sz w:val="24"/>
          <w:szCs w:val="24"/>
        </w:rPr>
        <w:t>o</w:t>
      </w:r>
      <w:r w:rsidRPr="00995237">
        <w:rPr>
          <w:rFonts w:ascii="Calibri" w:hAnsi="Calibri" w:cs="Calibri"/>
          <w:sz w:val="24"/>
          <w:szCs w:val="24"/>
        </w:rPr>
        <w:t xml:space="preserve"> </w:t>
      </w:r>
      <w:r w:rsidR="004E3CAC" w:rsidRPr="00995237">
        <w:rPr>
          <w:rFonts w:ascii="Calibri" w:hAnsi="Calibri" w:cs="Calibri"/>
          <w:sz w:val="24"/>
          <w:szCs w:val="24"/>
        </w:rPr>
        <w:t>připadnout na</w:t>
      </w:r>
      <w:r w:rsidRPr="00995237">
        <w:rPr>
          <w:rFonts w:ascii="Calibri" w:hAnsi="Calibri" w:cs="Calibri"/>
          <w:sz w:val="24"/>
          <w:szCs w:val="24"/>
        </w:rPr>
        <w:t xml:space="preserve"> přesun ze silnice a zbytek ze</w:t>
      </w:r>
      <w:r w:rsidR="004E3CAC" w:rsidRPr="00995237">
        <w:rPr>
          <w:rFonts w:ascii="Calibri" w:hAnsi="Calibri" w:cs="Calibri"/>
          <w:sz w:val="24"/>
          <w:szCs w:val="24"/>
        </w:rPr>
        <w:t xml:space="preserve"> </w:t>
      </w:r>
      <w:r w:rsidRPr="00995237">
        <w:rPr>
          <w:rFonts w:ascii="Calibri" w:hAnsi="Calibri" w:cs="Calibri"/>
          <w:sz w:val="24"/>
          <w:szCs w:val="24"/>
        </w:rPr>
        <w:t xml:space="preserve">železnice. V provedeném ex-post hodnocení </w:t>
      </w:r>
      <w:r w:rsidR="00F0325A" w:rsidRPr="00995237">
        <w:rPr>
          <w:rFonts w:ascii="Calibri" w:hAnsi="Calibri" w:cs="Calibri"/>
          <w:sz w:val="24"/>
          <w:szCs w:val="24"/>
        </w:rPr>
        <w:t xml:space="preserve">však </w:t>
      </w:r>
      <w:r w:rsidRPr="00995237">
        <w:rPr>
          <w:rFonts w:ascii="Calibri" w:hAnsi="Calibri" w:cs="Calibri"/>
          <w:sz w:val="24"/>
          <w:szCs w:val="24"/>
        </w:rPr>
        <w:t xml:space="preserve">MD konstatovalo, že ekonomická úspěšnost </w:t>
      </w:r>
      <w:r w:rsidR="00F0325A" w:rsidRPr="00995237">
        <w:rPr>
          <w:rFonts w:ascii="Calibri" w:hAnsi="Calibri" w:cs="Calibri"/>
          <w:sz w:val="24"/>
          <w:szCs w:val="24"/>
        </w:rPr>
        <w:t xml:space="preserve">tohoto projektu </w:t>
      </w:r>
      <w:r w:rsidRPr="00995237">
        <w:rPr>
          <w:rFonts w:ascii="Calibri" w:hAnsi="Calibri" w:cs="Calibri"/>
          <w:sz w:val="24"/>
          <w:szCs w:val="24"/>
        </w:rPr>
        <w:t xml:space="preserve">nebyla prokázána, </w:t>
      </w:r>
      <w:r w:rsidR="001204C1" w:rsidRPr="00995237">
        <w:rPr>
          <w:rFonts w:ascii="Calibri" w:hAnsi="Calibri" w:cs="Calibri"/>
          <w:sz w:val="24"/>
          <w:szCs w:val="24"/>
        </w:rPr>
        <w:t>neboť</w:t>
      </w:r>
      <w:r w:rsidRPr="00995237">
        <w:rPr>
          <w:rFonts w:ascii="Calibri" w:hAnsi="Calibri" w:cs="Calibri"/>
          <w:sz w:val="24"/>
          <w:szCs w:val="24"/>
        </w:rPr>
        <w:t xml:space="preserve"> místo předpokládaného nárůstu objemu přepravy sypkých substrátů došlo k poklesu a překládka kontejnerů a nadrozměrného zboží nebyla vůbec zahájena. Důvod MD </w:t>
      </w:r>
      <w:r w:rsidR="00415BEB">
        <w:rPr>
          <w:rFonts w:ascii="Calibri" w:hAnsi="Calibri" w:cs="Calibri"/>
          <w:sz w:val="24"/>
          <w:szCs w:val="24"/>
        </w:rPr>
        <w:t>spatřovalo</w:t>
      </w:r>
      <w:r w:rsidRPr="00995237">
        <w:rPr>
          <w:rFonts w:ascii="Calibri" w:hAnsi="Calibri" w:cs="Calibri"/>
          <w:sz w:val="24"/>
          <w:szCs w:val="24"/>
        </w:rPr>
        <w:t xml:space="preserve"> </w:t>
      </w:r>
      <w:r w:rsidR="00415BEB">
        <w:rPr>
          <w:rFonts w:ascii="Calibri" w:hAnsi="Calibri" w:cs="Calibri"/>
          <w:sz w:val="24"/>
          <w:szCs w:val="24"/>
        </w:rPr>
        <w:t xml:space="preserve">ve </w:t>
      </w:r>
      <w:r w:rsidRPr="00995237">
        <w:rPr>
          <w:rFonts w:ascii="Calibri" w:hAnsi="Calibri" w:cs="Calibri"/>
          <w:sz w:val="24"/>
          <w:szCs w:val="24"/>
        </w:rPr>
        <w:t>vnější</w:t>
      </w:r>
      <w:r w:rsidR="00415BEB">
        <w:rPr>
          <w:rFonts w:ascii="Calibri" w:hAnsi="Calibri" w:cs="Calibri"/>
          <w:sz w:val="24"/>
          <w:szCs w:val="24"/>
        </w:rPr>
        <w:t>ch</w:t>
      </w:r>
      <w:r w:rsidRPr="00995237">
        <w:rPr>
          <w:rFonts w:ascii="Calibri" w:hAnsi="Calibri" w:cs="Calibri"/>
          <w:sz w:val="24"/>
          <w:szCs w:val="24"/>
        </w:rPr>
        <w:t xml:space="preserve"> vliv</w:t>
      </w:r>
      <w:r w:rsidR="00415BEB">
        <w:rPr>
          <w:rFonts w:ascii="Calibri" w:hAnsi="Calibri" w:cs="Calibri"/>
          <w:sz w:val="24"/>
          <w:szCs w:val="24"/>
        </w:rPr>
        <w:t>ech</w:t>
      </w:r>
      <w:r w:rsidRPr="00995237">
        <w:rPr>
          <w:rFonts w:ascii="Calibri" w:hAnsi="Calibri" w:cs="Calibri"/>
          <w:sz w:val="24"/>
          <w:szCs w:val="24"/>
        </w:rPr>
        <w:t xml:space="preserve">, které znemožnily nebo ztížily používání labsko-vltavské vodní cesty, zejména </w:t>
      </w:r>
      <w:r w:rsidR="00700B3E" w:rsidRPr="00995237">
        <w:rPr>
          <w:rFonts w:ascii="Calibri" w:hAnsi="Calibri" w:cs="Calibri"/>
          <w:sz w:val="24"/>
          <w:szCs w:val="24"/>
        </w:rPr>
        <w:t>nevybudování</w:t>
      </w:r>
      <w:r w:rsidRPr="00995237">
        <w:rPr>
          <w:rFonts w:ascii="Calibri" w:hAnsi="Calibri" w:cs="Calibri"/>
          <w:sz w:val="24"/>
          <w:szCs w:val="24"/>
        </w:rPr>
        <w:t xml:space="preserve"> PSD</w:t>
      </w:r>
      <w:r w:rsidR="00044C88" w:rsidRPr="00995237">
        <w:rPr>
          <w:rFonts w:ascii="Calibri" w:hAnsi="Calibri" w:cs="Calibri"/>
          <w:sz w:val="24"/>
          <w:szCs w:val="24"/>
        </w:rPr>
        <w:t>,</w:t>
      </w:r>
      <w:r w:rsidRPr="00995237">
        <w:rPr>
          <w:rFonts w:ascii="Calibri" w:hAnsi="Calibri" w:cs="Calibri"/>
          <w:sz w:val="24"/>
          <w:szCs w:val="24"/>
        </w:rPr>
        <w:t xml:space="preserve"> </w:t>
      </w:r>
      <w:r w:rsidR="001204C1" w:rsidRPr="00995237">
        <w:rPr>
          <w:rFonts w:ascii="Calibri" w:hAnsi="Calibri" w:cs="Calibri"/>
          <w:sz w:val="24"/>
          <w:szCs w:val="24"/>
        </w:rPr>
        <w:t>a</w:t>
      </w:r>
      <w:r w:rsidR="00415BEB">
        <w:rPr>
          <w:rFonts w:ascii="Calibri" w:hAnsi="Calibri" w:cs="Calibri"/>
          <w:sz w:val="24"/>
          <w:szCs w:val="24"/>
        </w:rPr>
        <w:t> </w:t>
      </w:r>
      <w:r w:rsidR="001204C1" w:rsidRPr="00995237">
        <w:rPr>
          <w:rFonts w:ascii="Calibri" w:hAnsi="Calibri" w:cs="Calibri"/>
          <w:sz w:val="24"/>
          <w:szCs w:val="24"/>
        </w:rPr>
        <w:t>uvedlo</w:t>
      </w:r>
      <w:r w:rsidRPr="00995237">
        <w:rPr>
          <w:rFonts w:ascii="Calibri" w:hAnsi="Calibri" w:cs="Calibri"/>
          <w:sz w:val="24"/>
          <w:szCs w:val="24"/>
        </w:rPr>
        <w:t xml:space="preserve">, že objemy přepravy nelze spolehlivě predikovat. </w:t>
      </w:r>
      <w:r w:rsidR="004E3CAC" w:rsidRPr="00995237">
        <w:rPr>
          <w:rFonts w:ascii="Calibri" w:hAnsi="Calibri" w:cs="Calibri"/>
          <w:sz w:val="24"/>
          <w:szCs w:val="24"/>
        </w:rPr>
        <w:t>Tyto skutečnosti ale MD mělo zohlednit již při schvalování uvedeného projektu.</w:t>
      </w:r>
    </w:p>
    <w:p w14:paraId="4C7A24C7" w14:textId="77777777" w:rsidR="00A5450D" w:rsidRPr="00995237" w:rsidRDefault="00A5450D" w:rsidP="00995237">
      <w:pPr>
        <w:spacing w:after="0" w:line="264" w:lineRule="auto"/>
        <w:jc w:val="both"/>
        <w:rPr>
          <w:rFonts w:ascii="Calibri" w:hAnsi="Calibri" w:cs="Calibri"/>
          <w:sz w:val="24"/>
          <w:szCs w:val="24"/>
        </w:rPr>
      </w:pPr>
    </w:p>
    <w:p w14:paraId="04E1BD5D" w14:textId="77777777" w:rsidR="00DB17D0"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Podle MD by </w:t>
      </w:r>
      <w:proofErr w:type="spellStart"/>
      <w:r w:rsidRPr="00995237">
        <w:rPr>
          <w:rFonts w:ascii="Calibri" w:hAnsi="Calibri" w:cs="Calibri"/>
          <w:sz w:val="24"/>
          <w:szCs w:val="24"/>
        </w:rPr>
        <w:t>nerealizace</w:t>
      </w:r>
      <w:proofErr w:type="spellEnd"/>
      <w:r w:rsidRPr="00995237">
        <w:rPr>
          <w:rFonts w:ascii="Calibri" w:hAnsi="Calibri" w:cs="Calibri"/>
          <w:sz w:val="24"/>
          <w:szCs w:val="24"/>
        </w:rPr>
        <w:t xml:space="preserve"> PSD vedla k útlumu vodní dopravy, či její</w:t>
      </w:r>
      <w:r w:rsidR="004737E2" w:rsidRPr="00995237">
        <w:rPr>
          <w:rFonts w:ascii="Calibri" w:hAnsi="Calibri" w:cs="Calibri"/>
          <w:sz w:val="24"/>
          <w:szCs w:val="24"/>
        </w:rPr>
        <w:t>mu</w:t>
      </w:r>
      <w:r w:rsidRPr="00995237">
        <w:rPr>
          <w:rFonts w:ascii="Calibri" w:hAnsi="Calibri" w:cs="Calibri"/>
          <w:sz w:val="24"/>
          <w:szCs w:val="24"/>
        </w:rPr>
        <w:t xml:space="preserve"> úplnému zastavení. Variantu dalšího využití labsko-vltavské vodní cesty bez </w:t>
      </w:r>
      <w:r w:rsidR="004E3CAC" w:rsidRPr="00995237">
        <w:rPr>
          <w:rFonts w:ascii="Calibri" w:hAnsi="Calibri" w:cs="Calibri"/>
          <w:sz w:val="24"/>
          <w:szCs w:val="24"/>
        </w:rPr>
        <w:t xml:space="preserve">dokončení </w:t>
      </w:r>
      <w:r w:rsidRPr="00995237">
        <w:rPr>
          <w:rFonts w:ascii="Calibri" w:hAnsi="Calibri" w:cs="Calibri"/>
          <w:sz w:val="24"/>
          <w:szCs w:val="24"/>
        </w:rPr>
        <w:t xml:space="preserve">PSD MD nerozpracovalo. Do doby vydání závazného rozhodnutí o realizaci tohoto záměru jsou </w:t>
      </w:r>
      <w:r w:rsidR="00426665" w:rsidRPr="00995237">
        <w:rPr>
          <w:rFonts w:ascii="Calibri" w:hAnsi="Calibri" w:cs="Calibri"/>
          <w:sz w:val="24"/>
          <w:szCs w:val="24"/>
        </w:rPr>
        <w:t xml:space="preserve">tedy </w:t>
      </w:r>
      <w:r w:rsidRPr="00995237">
        <w:rPr>
          <w:rFonts w:ascii="Calibri" w:hAnsi="Calibri" w:cs="Calibri"/>
          <w:sz w:val="24"/>
          <w:szCs w:val="24"/>
        </w:rPr>
        <w:t>s rizikem ekonomické neúspěšnosti spojeny všechny další rozvojové investice na labsko-vltavské vodní cestě.</w:t>
      </w:r>
    </w:p>
    <w:p w14:paraId="632A4ECE" w14:textId="77777777" w:rsidR="00A5450D" w:rsidRPr="00995237" w:rsidRDefault="00A5450D" w:rsidP="00995237">
      <w:pPr>
        <w:spacing w:after="0" w:line="264" w:lineRule="auto"/>
        <w:jc w:val="both"/>
        <w:rPr>
          <w:rFonts w:ascii="Calibri" w:hAnsi="Calibri" w:cs="Calibri"/>
          <w:sz w:val="24"/>
          <w:szCs w:val="24"/>
        </w:rPr>
      </w:pPr>
    </w:p>
    <w:p w14:paraId="691E339D" w14:textId="0EEB305E" w:rsidR="002F0F72"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Projekt </w:t>
      </w:r>
      <w:r w:rsidRPr="00435EF1">
        <w:rPr>
          <w:rFonts w:ascii="Calibri" w:hAnsi="Calibri" w:cs="Calibri"/>
          <w:i/>
          <w:sz w:val="24"/>
          <w:szCs w:val="24"/>
        </w:rPr>
        <w:t>Plavební stupeň Přelouč II</w:t>
      </w:r>
      <w:r w:rsidRPr="00995237">
        <w:rPr>
          <w:rFonts w:ascii="Calibri" w:hAnsi="Calibri" w:cs="Calibri"/>
          <w:sz w:val="24"/>
          <w:szCs w:val="24"/>
        </w:rPr>
        <w:t xml:space="preserve"> </w:t>
      </w:r>
      <w:r w:rsidR="00EE2F0A" w:rsidRPr="00995237">
        <w:rPr>
          <w:rFonts w:ascii="Calibri" w:hAnsi="Calibri" w:cs="Calibri"/>
          <w:sz w:val="24"/>
          <w:szCs w:val="24"/>
        </w:rPr>
        <w:t xml:space="preserve">připravuje </w:t>
      </w:r>
      <w:r w:rsidRPr="00995237">
        <w:rPr>
          <w:rFonts w:ascii="Calibri" w:hAnsi="Calibri" w:cs="Calibri"/>
          <w:sz w:val="24"/>
          <w:szCs w:val="24"/>
        </w:rPr>
        <w:t>ŘVC již od roku 1994. V roce 2001 u</w:t>
      </w:r>
      <w:r w:rsidR="00EE2F0A">
        <w:rPr>
          <w:rFonts w:ascii="Calibri" w:hAnsi="Calibri" w:cs="Calibri"/>
          <w:sz w:val="24"/>
          <w:szCs w:val="24"/>
        </w:rPr>
        <w:t> </w:t>
      </w:r>
      <w:r w:rsidRPr="00995237">
        <w:rPr>
          <w:rFonts w:ascii="Calibri" w:hAnsi="Calibri" w:cs="Calibri"/>
          <w:sz w:val="24"/>
          <w:szCs w:val="24"/>
        </w:rPr>
        <w:t xml:space="preserve">něj byl zakončen proces </w:t>
      </w:r>
      <w:r w:rsidR="004E3CAC" w:rsidRPr="00995237">
        <w:rPr>
          <w:rFonts w:ascii="Calibri" w:hAnsi="Calibri" w:cs="Calibri"/>
          <w:sz w:val="24"/>
          <w:szCs w:val="24"/>
        </w:rPr>
        <w:t>posuzování vlivů na životní prostředí (</w:t>
      </w:r>
      <w:r w:rsidRPr="00995237">
        <w:rPr>
          <w:rFonts w:ascii="Calibri" w:hAnsi="Calibri" w:cs="Calibri"/>
          <w:sz w:val="24"/>
          <w:szCs w:val="24"/>
        </w:rPr>
        <w:t>EIA</w:t>
      </w:r>
      <w:r w:rsidR="004E3CAC" w:rsidRPr="00995237">
        <w:rPr>
          <w:rFonts w:ascii="Calibri" w:hAnsi="Calibri" w:cs="Calibri"/>
          <w:sz w:val="24"/>
          <w:szCs w:val="24"/>
        </w:rPr>
        <w:t>)</w:t>
      </w:r>
      <w:r w:rsidRPr="00995237">
        <w:rPr>
          <w:rFonts w:ascii="Calibri" w:hAnsi="Calibri" w:cs="Calibri"/>
          <w:sz w:val="24"/>
          <w:szCs w:val="24"/>
        </w:rPr>
        <w:t xml:space="preserve"> kladným stanoviskem. O</w:t>
      </w:r>
      <w:r w:rsidR="00EE2F0A">
        <w:rPr>
          <w:rFonts w:ascii="Calibri" w:hAnsi="Calibri" w:cs="Calibri"/>
          <w:sz w:val="24"/>
          <w:szCs w:val="24"/>
        </w:rPr>
        <w:t> </w:t>
      </w:r>
      <w:r w:rsidRPr="00995237">
        <w:rPr>
          <w:rFonts w:ascii="Calibri" w:hAnsi="Calibri" w:cs="Calibri"/>
          <w:sz w:val="24"/>
          <w:szCs w:val="24"/>
        </w:rPr>
        <w:t>projekt se pak několik let vedla řada soudních sporů, jejichž výsledkem byl rozsudek rušící již vydaná územní rozhodnutí a stavební povolení. V letech 2012–2014 byla vydána a</w:t>
      </w:r>
      <w:r w:rsidR="00EE2F0A">
        <w:rPr>
          <w:rFonts w:ascii="Calibri" w:hAnsi="Calibri" w:cs="Calibri"/>
          <w:sz w:val="24"/>
          <w:szCs w:val="24"/>
        </w:rPr>
        <w:t> </w:t>
      </w:r>
      <w:r w:rsidRPr="00995237">
        <w:rPr>
          <w:rFonts w:ascii="Calibri" w:hAnsi="Calibri" w:cs="Calibri"/>
          <w:sz w:val="24"/>
          <w:szCs w:val="24"/>
        </w:rPr>
        <w:t xml:space="preserve">v důsledku námitek a odvolání podaných ekologickými organizacemi znovu zrušena </w:t>
      </w:r>
      <w:r w:rsidR="00CB2987" w:rsidRPr="00995237">
        <w:rPr>
          <w:rFonts w:ascii="Calibri" w:hAnsi="Calibri" w:cs="Calibri"/>
          <w:sz w:val="24"/>
          <w:szCs w:val="24"/>
        </w:rPr>
        <w:t xml:space="preserve">další </w:t>
      </w:r>
      <w:r w:rsidRPr="00995237">
        <w:rPr>
          <w:rFonts w:ascii="Calibri" w:hAnsi="Calibri" w:cs="Calibri"/>
          <w:sz w:val="24"/>
          <w:szCs w:val="24"/>
        </w:rPr>
        <w:t>uzemní rozhodnutí. Po novele zákona č. 100/2001 Sb.</w:t>
      </w:r>
      <w:r w:rsidRPr="00995237">
        <w:rPr>
          <w:rFonts w:ascii="Calibri" w:hAnsi="Calibri" w:cs="Calibri"/>
          <w:sz w:val="24"/>
          <w:szCs w:val="24"/>
          <w:vertAlign w:val="superscript"/>
        </w:rPr>
        <w:footnoteReference w:id="21"/>
      </w:r>
      <w:r w:rsidRPr="00995237">
        <w:rPr>
          <w:rFonts w:ascii="Calibri" w:hAnsi="Calibri" w:cs="Calibri"/>
          <w:sz w:val="24"/>
          <w:szCs w:val="24"/>
        </w:rPr>
        <w:t xml:space="preserve"> Nejvyšší správní soud zrušil platné výjimky dle zákona č.</w:t>
      </w:r>
      <w:r w:rsidR="00CD5886" w:rsidRPr="00995237">
        <w:rPr>
          <w:rFonts w:ascii="Calibri" w:hAnsi="Calibri" w:cs="Calibri"/>
          <w:sz w:val="24"/>
          <w:szCs w:val="24"/>
        </w:rPr>
        <w:t> </w:t>
      </w:r>
      <w:r w:rsidRPr="00995237">
        <w:rPr>
          <w:rFonts w:ascii="Calibri" w:hAnsi="Calibri" w:cs="Calibri"/>
          <w:sz w:val="24"/>
          <w:szCs w:val="24"/>
        </w:rPr>
        <w:t xml:space="preserve">114/1992 Sb. a vrátil je k novému rozhodnutí odvolacímu orgánu MŽP. </w:t>
      </w:r>
      <w:r w:rsidR="004E3CAC" w:rsidRPr="00995237">
        <w:rPr>
          <w:rFonts w:ascii="Calibri" w:hAnsi="Calibri" w:cs="Calibri"/>
          <w:sz w:val="24"/>
          <w:szCs w:val="24"/>
        </w:rPr>
        <w:t>Z těchto důvodů</w:t>
      </w:r>
      <w:r w:rsidRPr="00995237">
        <w:rPr>
          <w:rFonts w:ascii="Calibri" w:hAnsi="Calibri" w:cs="Calibri"/>
          <w:sz w:val="24"/>
          <w:szCs w:val="24"/>
        </w:rPr>
        <w:t xml:space="preserve"> bude nutn</w:t>
      </w:r>
      <w:r w:rsidR="004E3CAC" w:rsidRPr="00995237">
        <w:rPr>
          <w:rFonts w:ascii="Calibri" w:hAnsi="Calibri" w:cs="Calibri"/>
          <w:sz w:val="24"/>
          <w:szCs w:val="24"/>
        </w:rPr>
        <w:t>o</w:t>
      </w:r>
      <w:r w:rsidRPr="00995237">
        <w:rPr>
          <w:rFonts w:ascii="Calibri" w:hAnsi="Calibri" w:cs="Calibri"/>
          <w:sz w:val="24"/>
          <w:szCs w:val="24"/>
        </w:rPr>
        <w:t xml:space="preserve"> opakovat posuzování vlivů na životní prostředí (EIA). Před zahájením procesu EIA bude nutno projít procesem </w:t>
      </w:r>
      <w:r w:rsidR="00F72805" w:rsidRPr="00995237">
        <w:rPr>
          <w:rFonts w:ascii="Calibri" w:hAnsi="Calibri" w:cs="Calibri"/>
          <w:sz w:val="24"/>
          <w:szCs w:val="24"/>
        </w:rPr>
        <w:t xml:space="preserve">posouzení </w:t>
      </w:r>
      <w:r w:rsidR="001F7955" w:rsidRPr="00995237">
        <w:rPr>
          <w:rFonts w:ascii="Calibri" w:hAnsi="Calibri" w:cs="Calibri"/>
          <w:sz w:val="24"/>
          <w:szCs w:val="24"/>
        </w:rPr>
        <w:t xml:space="preserve">vlivu </w:t>
      </w:r>
      <w:r w:rsidR="00F72805" w:rsidRPr="00995237">
        <w:rPr>
          <w:rFonts w:ascii="Calibri" w:hAnsi="Calibri" w:cs="Calibri"/>
          <w:sz w:val="24"/>
          <w:szCs w:val="24"/>
        </w:rPr>
        <w:t>koncep</w:t>
      </w:r>
      <w:r w:rsidR="001F7955" w:rsidRPr="00995237">
        <w:rPr>
          <w:rFonts w:ascii="Calibri" w:hAnsi="Calibri" w:cs="Calibri"/>
          <w:sz w:val="24"/>
          <w:szCs w:val="24"/>
        </w:rPr>
        <w:t>čního řešení</w:t>
      </w:r>
      <w:r w:rsidR="00F72805" w:rsidRPr="00995237">
        <w:rPr>
          <w:rFonts w:ascii="Calibri" w:hAnsi="Calibri" w:cs="Calibri"/>
          <w:sz w:val="24"/>
          <w:szCs w:val="24"/>
        </w:rPr>
        <w:t xml:space="preserve"> na životní prostředí (</w:t>
      </w:r>
      <w:r w:rsidRPr="00995237">
        <w:rPr>
          <w:rFonts w:ascii="Calibri" w:hAnsi="Calibri" w:cs="Calibri"/>
          <w:sz w:val="24"/>
          <w:szCs w:val="24"/>
        </w:rPr>
        <w:t>SEA</w:t>
      </w:r>
      <w:r w:rsidR="00F72805" w:rsidRPr="00995237">
        <w:rPr>
          <w:rFonts w:ascii="Calibri" w:hAnsi="Calibri" w:cs="Calibri"/>
          <w:sz w:val="24"/>
          <w:szCs w:val="24"/>
        </w:rPr>
        <w:t>)</w:t>
      </w:r>
      <w:r w:rsidR="00B954DD" w:rsidRPr="00995237">
        <w:rPr>
          <w:rFonts w:ascii="Calibri" w:hAnsi="Calibri" w:cs="Calibri"/>
          <w:sz w:val="24"/>
          <w:szCs w:val="24"/>
        </w:rPr>
        <w:t>, v </w:t>
      </w:r>
      <w:r w:rsidR="00EE2F0A">
        <w:rPr>
          <w:rFonts w:ascii="Calibri" w:hAnsi="Calibri" w:cs="Calibri"/>
          <w:sz w:val="24"/>
          <w:szCs w:val="24"/>
        </w:rPr>
        <w:t xml:space="preserve">jehož </w:t>
      </w:r>
      <w:r w:rsidRPr="00995237">
        <w:rPr>
          <w:rFonts w:ascii="Calibri" w:hAnsi="Calibri" w:cs="Calibri"/>
          <w:sz w:val="24"/>
          <w:szCs w:val="24"/>
        </w:rPr>
        <w:t>rámci bude vymezen koridor pro splavnění Labe u</w:t>
      </w:r>
      <w:r w:rsidR="00CD5886" w:rsidRPr="00995237">
        <w:rPr>
          <w:rFonts w:ascii="Calibri" w:hAnsi="Calibri" w:cs="Calibri"/>
          <w:sz w:val="24"/>
          <w:szCs w:val="24"/>
        </w:rPr>
        <w:t> </w:t>
      </w:r>
      <w:r w:rsidRPr="00995237">
        <w:rPr>
          <w:rFonts w:ascii="Calibri" w:hAnsi="Calibri" w:cs="Calibri"/>
          <w:sz w:val="24"/>
          <w:szCs w:val="24"/>
        </w:rPr>
        <w:t xml:space="preserve">Přelouče a také vymezena lokalita koncového přístavu Pardubice. V době kontroly projektu </w:t>
      </w:r>
      <w:r w:rsidR="00CB2987" w:rsidRPr="00995237">
        <w:rPr>
          <w:rFonts w:ascii="Calibri" w:hAnsi="Calibri" w:cs="Calibri"/>
          <w:color w:val="000000"/>
          <w:sz w:val="24"/>
          <w:szCs w:val="24"/>
          <w:lang w:bidi="cs-CZ"/>
        </w:rPr>
        <w:t xml:space="preserve">ŘVC zajišťovalo </w:t>
      </w:r>
      <w:r w:rsidRPr="00995237">
        <w:rPr>
          <w:rFonts w:ascii="Calibri" w:hAnsi="Calibri" w:cs="Calibri"/>
          <w:color w:val="000000"/>
          <w:sz w:val="24"/>
          <w:szCs w:val="24"/>
          <w:lang w:bidi="cs-CZ"/>
        </w:rPr>
        <w:t xml:space="preserve">hydrogeologický průzkum a </w:t>
      </w:r>
      <w:r w:rsidRPr="00995237">
        <w:rPr>
          <w:rFonts w:ascii="Calibri" w:hAnsi="Calibri" w:cs="Calibri"/>
          <w:sz w:val="24"/>
          <w:szCs w:val="24"/>
        </w:rPr>
        <w:t xml:space="preserve">biologický monitoring jako podklad pro </w:t>
      </w:r>
      <w:r w:rsidR="004E3CAC" w:rsidRPr="00995237">
        <w:rPr>
          <w:rFonts w:ascii="Calibri" w:hAnsi="Calibri" w:cs="Calibri"/>
          <w:sz w:val="24"/>
          <w:szCs w:val="24"/>
        </w:rPr>
        <w:t xml:space="preserve">zmíněný </w:t>
      </w:r>
      <w:r w:rsidRPr="00995237">
        <w:rPr>
          <w:rFonts w:ascii="Calibri" w:hAnsi="Calibri" w:cs="Calibri"/>
          <w:sz w:val="24"/>
          <w:szCs w:val="24"/>
        </w:rPr>
        <w:t>proces SEA. Na přípravu projektu ŘVC dosud vynaložilo částku 302,1 mil. Kč, která byla financována převážně z rozpočtu SFDI.</w:t>
      </w:r>
    </w:p>
    <w:p w14:paraId="46AEF4C3" w14:textId="77777777" w:rsidR="007154BB" w:rsidRPr="00995237" w:rsidRDefault="007154BB" w:rsidP="00995237">
      <w:pPr>
        <w:spacing w:after="0" w:line="264" w:lineRule="auto"/>
        <w:jc w:val="both"/>
        <w:rPr>
          <w:rFonts w:ascii="Calibri" w:hAnsi="Calibri" w:cs="Calibri"/>
          <w:sz w:val="24"/>
          <w:szCs w:val="24"/>
        </w:rPr>
      </w:pPr>
    </w:p>
    <w:p w14:paraId="40F0B7CE" w14:textId="77777777" w:rsidR="007154BB" w:rsidRPr="00995237" w:rsidRDefault="00E8036B" w:rsidP="00995237">
      <w:pPr>
        <w:keepNext/>
        <w:spacing w:after="0" w:line="264" w:lineRule="auto"/>
        <w:jc w:val="both"/>
        <w:rPr>
          <w:rFonts w:ascii="Calibri" w:hAnsi="Calibri" w:cs="Calibri"/>
          <w:b/>
          <w:sz w:val="24"/>
          <w:szCs w:val="24"/>
        </w:rPr>
      </w:pPr>
      <w:r w:rsidRPr="00995237">
        <w:rPr>
          <w:rFonts w:ascii="Calibri" w:hAnsi="Calibri" w:cs="Calibri"/>
          <w:b/>
          <w:sz w:val="24"/>
          <w:szCs w:val="24"/>
        </w:rPr>
        <w:lastRenderedPageBreak/>
        <w:t>Silniční most přes Labe mezi Valy a Mělicemi</w:t>
      </w:r>
    </w:p>
    <w:p w14:paraId="6DC820F1" w14:textId="77777777" w:rsidR="00C013AE" w:rsidRPr="00995237" w:rsidRDefault="00C013AE" w:rsidP="00995237">
      <w:pPr>
        <w:keepNext/>
        <w:spacing w:after="0" w:line="264" w:lineRule="auto"/>
        <w:jc w:val="both"/>
        <w:rPr>
          <w:rFonts w:ascii="Calibri" w:hAnsi="Calibri" w:cs="Calibri"/>
          <w:sz w:val="24"/>
          <w:szCs w:val="24"/>
        </w:rPr>
      </w:pPr>
    </w:p>
    <w:p w14:paraId="31A4A5DA" w14:textId="6BE65D62" w:rsidR="008F77B0" w:rsidRPr="00995237" w:rsidRDefault="00E8036B" w:rsidP="00995237">
      <w:pPr>
        <w:spacing w:after="0" w:line="264" w:lineRule="auto"/>
        <w:jc w:val="both"/>
        <w:rPr>
          <w:rFonts w:ascii="Calibri" w:hAnsi="Calibri" w:cs="Calibri"/>
          <w:sz w:val="24"/>
          <w:szCs w:val="24"/>
        </w:rPr>
      </w:pPr>
      <w:r w:rsidRPr="00995237">
        <w:rPr>
          <w:rFonts w:ascii="Calibri" w:hAnsi="Calibri" w:cs="Calibri"/>
          <w:iCs/>
          <w:sz w:val="24"/>
          <w:szCs w:val="24"/>
        </w:rPr>
        <w:t xml:space="preserve">Projekt </w:t>
      </w:r>
      <w:r w:rsidRPr="00435EF1">
        <w:rPr>
          <w:rFonts w:ascii="Calibri" w:hAnsi="Calibri" w:cs="Calibri"/>
          <w:i/>
          <w:sz w:val="24"/>
          <w:szCs w:val="24"/>
        </w:rPr>
        <w:t>Silniční most přes Labe mezi Valy a Mělicemi</w:t>
      </w:r>
      <w:r w:rsidRPr="00995237">
        <w:rPr>
          <w:rFonts w:ascii="Calibri" w:hAnsi="Calibri" w:cs="Calibri"/>
          <w:sz w:val="24"/>
          <w:szCs w:val="24"/>
        </w:rPr>
        <w:t xml:space="preserve"> (dále jen „</w:t>
      </w:r>
      <w:r w:rsidR="003E7CFF" w:rsidRPr="00995237">
        <w:rPr>
          <w:rFonts w:ascii="Calibri" w:hAnsi="Calibri" w:cs="Calibri"/>
          <w:sz w:val="24"/>
          <w:szCs w:val="24"/>
        </w:rPr>
        <w:t>p</w:t>
      </w:r>
      <w:r w:rsidRPr="00995237">
        <w:rPr>
          <w:rFonts w:ascii="Calibri" w:hAnsi="Calibri" w:cs="Calibri"/>
          <w:sz w:val="24"/>
          <w:szCs w:val="24"/>
        </w:rPr>
        <w:t xml:space="preserve">rojekt Valy – Mělice“) byl původně součástí souboru opatření, který měl zajistit splavnění </w:t>
      </w:r>
      <w:r w:rsidR="003E7CFF" w:rsidRPr="00995237">
        <w:rPr>
          <w:rFonts w:ascii="Calibri" w:hAnsi="Calibri" w:cs="Calibri"/>
          <w:sz w:val="24"/>
          <w:szCs w:val="24"/>
        </w:rPr>
        <w:t>Labe</w:t>
      </w:r>
      <w:r w:rsidRPr="00995237">
        <w:rPr>
          <w:rFonts w:ascii="Calibri" w:hAnsi="Calibri" w:cs="Calibri"/>
          <w:sz w:val="24"/>
          <w:szCs w:val="24"/>
        </w:rPr>
        <w:t xml:space="preserve"> pro nákladní vodní dopravu v úseku mezi Chvaleticemi a budoucím přístavem v Pardubicích v rámci souborného projektu </w:t>
      </w:r>
      <w:r w:rsidRPr="00435EF1">
        <w:rPr>
          <w:rFonts w:ascii="Calibri" w:hAnsi="Calibri" w:cs="Calibri"/>
          <w:i/>
          <w:sz w:val="24"/>
          <w:szCs w:val="24"/>
        </w:rPr>
        <w:t>Prodloužení splavnosti Labe do Pardubic</w:t>
      </w:r>
      <w:r w:rsidR="003E7CFF" w:rsidRPr="00995237">
        <w:rPr>
          <w:rFonts w:ascii="Calibri" w:hAnsi="Calibri" w:cs="Calibri"/>
          <w:sz w:val="24"/>
          <w:szCs w:val="24"/>
        </w:rPr>
        <w:t>. Tento souborný projekt měl prodlouž</w:t>
      </w:r>
      <w:r w:rsidR="00CB2987" w:rsidRPr="00995237">
        <w:rPr>
          <w:rFonts w:ascii="Calibri" w:hAnsi="Calibri" w:cs="Calibri"/>
          <w:sz w:val="24"/>
          <w:szCs w:val="24"/>
        </w:rPr>
        <w:t>it splavnost</w:t>
      </w:r>
      <w:r w:rsidR="003E7CFF" w:rsidRPr="00995237">
        <w:rPr>
          <w:rFonts w:ascii="Calibri" w:hAnsi="Calibri" w:cs="Calibri"/>
          <w:sz w:val="24"/>
          <w:szCs w:val="24"/>
        </w:rPr>
        <w:t xml:space="preserve"> labsko-vltavské vodní cesty o 24 km do Kunětic. Jeho </w:t>
      </w:r>
      <w:r w:rsidRPr="00995237">
        <w:rPr>
          <w:rFonts w:ascii="Calibri" w:hAnsi="Calibri" w:cs="Calibri"/>
          <w:sz w:val="24"/>
          <w:szCs w:val="24"/>
        </w:rPr>
        <w:t>klíčovou součástí byl</w:t>
      </w:r>
      <w:r w:rsidR="003E7CFF" w:rsidRPr="00995237">
        <w:rPr>
          <w:rFonts w:ascii="Calibri" w:hAnsi="Calibri" w:cs="Calibri"/>
          <w:sz w:val="24"/>
          <w:szCs w:val="24"/>
        </w:rPr>
        <w:t>o vybudování</w:t>
      </w:r>
      <w:r w:rsidRPr="00995237">
        <w:rPr>
          <w:rFonts w:ascii="Calibri" w:hAnsi="Calibri" w:cs="Calibri"/>
          <w:sz w:val="24"/>
          <w:szCs w:val="24"/>
        </w:rPr>
        <w:t xml:space="preserve"> PSP</w:t>
      </w:r>
      <w:r w:rsidR="003E7CFF" w:rsidRPr="00995237">
        <w:rPr>
          <w:rFonts w:ascii="Calibri" w:hAnsi="Calibri" w:cs="Calibri"/>
          <w:sz w:val="24"/>
          <w:szCs w:val="24"/>
        </w:rPr>
        <w:t xml:space="preserve"> a přístavu v Pardubicích</w:t>
      </w:r>
      <w:r w:rsidRPr="00995237">
        <w:rPr>
          <w:rFonts w:ascii="Calibri" w:hAnsi="Calibri" w:cs="Calibri"/>
          <w:sz w:val="24"/>
          <w:szCs w:val="24"/>
        </w:rPr>
        <w:t>.</w:t>
      </w:r>
    </w:p>
    <w:p w14:paraId="147B700B" w14:textId="77777777" w:rsidR="003E7CFF" w:rsidRPr="00995237" w:rsidRDefault="003E7CFF" w:rsidP="00995237">
      <w:pPr>
        <w:spacing w:after="0" w:line="264" w:lineRule="auto"/>
        <w:jc w:val="both"/>
        <w:rPr>
          <w:rFonts w:ascii="Calibri" w:hAnsi="Calibri" w:cs="Calibri"/>
          <w:sz w:val="24"/>
          <w:szCs w:val="24"/>
        </w:rPr>
      </w:pPr>
    </w:p>
    <w:p w14:paraId="5E861349" w14:textId="02D2FAAF" w:rsidR="003E7CFF"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V záměru projektu Valy – Mělice s předpokládanými celkovými investičními náklady 17</w:t>
      </w:r>
      <w:r w:rsidR="00CB2987" w:rsidRPr="00995237">
        <w:rPr>
          <w:rFonts w:ascii="Calibri" w:hAnsi="Calibri" w:cs="Calibri"/>
          <w:sz w:val="24"/>
          <w:szCs w:val="24"/>
        </w:rPr>
        <w:t>8,7</w:t>
      </w:r>
      <w:r w:rsidR="00CD5886" w:rsidRPr="00995237">
        <w:rPr>
          <w:rFonts w:ascii="Calibri" w:hAnsi="Calibri" w:cs="Calibri"/>
          <w:sz w:val="24"/>
          <w:szCs w:val="24"/>
        </w:rPr>
        <w:t> </w:t>
      </w:r>
      <w:r w:rsidRPr="00995237">
        <w:rPr>
          <w:rFonts w:ascii="Calibri" w:hAnsi="Calibri" w:cs="Calibri"/>
          <w:sz w:val="24"/>
          <w:szCs w:val="24"/>
        </w:rPr>
        <w:t>mil.</w:t>
      </w:r>
      <w:r w:rsidR="00CD5886" w:rsidRPr="00995237">
        <w:rPr>
          <w:rFonts w:ascii="Calibri" w:hAnsi="Calibri" w:cs="Calibri"/>
          <w:sz w:val="24"/>
          <w:szCs w:val="24"/>
        </w:rPr>
        <w:t> </w:t>
      </w:r>
      <w:r w:rsidRPr="00995237">
        <w:rPr>
          <w:rFonts w:ascii="Calibri" w:hAnsi="Calibri" w:cs="Calibri"/>
          <w:sz w:val="24"/>
          <w:szCs w:val="24"/>
        </w:rPr>
        <w:t>Kč je uveden odkaz na ekonomické hodnocení výše uvedeného souborného projektu s tím, že pro dosažení ekonomických efektů prodloužení vodní cesty je nezbytné realizovat všechny vzájemně související investiční akce, a dále je zmíněna i vazba na PSD.</w:t>
      </w:r>
      <w:r w:rsidR="00F95494" w:rsidRPr="00995237">
        <w:rPr>
          <w:rFonts w:ascii="Calibri" w:hAnsi="Calibri" w:cs="Calibri"/>
          <w:sz w:val="24"/>
          <w:szCs w:val="24"/>
        </w:rPr>
        <w:t xml:space="preserve"> V případě PSD i PSP ale dosud nebyl dokončen proces posuzování jejich vlivů na životní prostředí</w:t>
      </w:r>
      <w:r w:rsidR="00201FA4">
        <w:rPr>
          <w:rFonts w:ascii="Calibri" w:hAnsi="Calibri" w:cs="Calibri"/>
          <w:sz w:val="24"/>
          <w:szCs w:val="24"/>
        </w:rPr>
        <w:t>,</w:t>
      </w:r>
      <w:r w:rsidR="00F95494" w:rsidRPr="00995237">
        <w:rPr>
          <w:rFonts w:ascii="Calibri" w:hAnsi="Calibri" w:cs="Calibri"/>
          <w:sz w:val="24"/>
          <w:szCs w:val="24"/>
        </w:rPr>
        <w:t xml:space="preserve"> a o jejich realizaci tedy nemohlo být rozhodnuto.</w:t>
      </w:r>
    </w:p>
    <w:p w14:paraId="589EC7B0" w14:textId="77777777" w:rsidR="008F77B0" w:rsidRPr="00995237" w:rsidRDefault="008F77B0" w:rsidP="00995237">
      <w:pPr>
        <w:spacing w:after="0" w:line="264" w:lineRule="auto"/>
        <w:jc w:val="both"/>
        <w:rPr>
          <w:rFonts w:ascii="Calibri" w:hAnsi="Calibri" w:cs="Calibri"/>
          <w:sz w:val="24"/>
          <w:szCs w:val="24"/>
        </w:rPr>
      </w:pPr>
    </w:p>
    <w:p w14:paraId="5E5F818E" w14:textId="3A4130AD" w:rsidR="000A1D52"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Most tvoří přemostění Labe na silnici III. třídy spojující ob</w:t>
      </w:r>
      <w:r w:rsidR="00F72805" w:rsidRPr="00995237">
        <w:rPr>
          <w:rFonts w:ascii="Calibri" w:hAnsi="Calibri" w:cs="Calibri"/>
          <w:sz w:val="24"/>
          <w:szCs w:val="24"/>
        </w:rPr>
        <w:t>ce</w:t>
      </w:r>
      <w:r w:rsidRPr="00995237">
        <w:rPr>
          <w:rFonts w:ascii="Calibri" w:hAnsi="Calibri" w:cs="Calibri"/>
          <w:sz w:val="24"/>
          <w:szCs w:val="24"/>
        </w:rPr>
        <w:t xml:space="preserve"> Valy a Mělice</w:t>
      </w:r>
      <w:r w:rsidR="002E5B1E" w:rsidRPr="00995237">
        <w:rPr>
          <w:rFonts w:ascii="Calibri" w:hAnsi="Calibri" w:cs="Calibri"/>
          <w:sz w:val="24"/>
          <w:szCs w:val="24"/>
        </w:rPr>
        <w:t>. Nachází se</w:t>
      </w:r>
      <w:r w:rsidRPr="00995237">
        <w:rPr>
          <w:rFonts w:ascii="Calibri" w:hAnsi="Calibri" w:cs="Calibri"/>
          <w:sz w:val="24"/>
          <w:szCs w:val="24"/>
        </w:rPr>
        <w:t xml:space="preserve"> v říčním úseku </w:t>
      </w:r>
      <w:proofErr w:type="gramStart"/>
      <w:r w:rsidRPr="00995237">
        <w:rPr>
          <w:rFonts w:ascii="Calibri" w:hAnsi="Calibri" w:cs="Calibri"/>
          <w:sz w:val="24"/>
          <w:szCs w:val="24"/>
        </w:rPr>
        <w:t>Kunětice</w:t>
      </w:r>
      <w:proofErr w:type="gramEnd"/>
      <w:r w:rsidRPr="00995237">
        <w:rPr>
          <w:rFonts w:ascii="Calibri" w:hAnsi="Calibri" w:cs="Calibri"/>
          <w:sz w:val="24"/>
          <w:szCs w:val="24"/>
        </w:rPr>
        <w:t>–</w:t>
      </w:r>
      <w:proofErr w:type="gramStart"/>
      <w:r w:rsidRPr="00995237">
        <w:rPr>
          <w:rFonts w:ascii="Calibri" w:hAnsi="Calibri" w:cs="Calibri"/>
          <w:sz w:val="24"/>
          <w:szCs w:val="24"/>
        </w:rPr>
        <w:t>Přelouč</w:t>
      </w:r>
      <w:proofErr w:type="gramEnd"/>
      <w:r w:rsidRPr="00995237">
        <w:rPr>
          <w:rFonts w:ascii="Calibri" w:hAnsi="Calibri" w:cs="Calibri"/>
          <w:sz w:val="24"/>
          <w:szCs w:val="24"/>
        </w:rPr>
        <w:t>, který je dopravně významnou vodní cestou</w:t>
      </w:r>
      <w:r w:rsidRPr="00995237">
        <w:rPr>
          <w:rFonts w:ascii="Calibri" w:hAnsi="Calibri" w:cs="Calibri"/>
          <w:sz w:val="24"/>
          <w:szCs w:val="24"/>
          <w:vertAlign w:val="superscript"/>
        </w:rPr>
        <w:footnoteReference w:id="22"/>
      </w:r>
      <w:r w:rsidR="002E5B1E" w:rsidRPr="00995237">
        <w:rPr>
          <w:rFonts w:ascii="Calibri" w:hAnsi="Calibri" w:cs="Calibri"/>
          <w:sz w:val="24"/>
          <w:szCs w:val="24"/>
        </w:rPr>
        <w:t>, na níž musí být</w:t>
      </w:r>
      <w:r w:rsidRPr="00995237">
        <w:rPr>
          <w:rFonts w:ascii="Calibri" w:hAnsi="Calibri" w:cs="Calibri"/>
          <w:sz w:val="24"/>
          <w:szCs w:val="24"/>
        </w:rPr>
        <w:t xml:space="preserve"> </w:t>
      </w:r>
      <w:r w:rsidR="002E5B1E" w:rsidRPr="00995237">
        <w:rPr>
          <w:rFonts w:ascii="Calibri" w:hAnsi="Calibri" w:cs="Calibri"/>
          <w:sz w:val="24"/>
          <w:szCs w:val="24"/>
        </w:rPr>
        <w:t xml:space="preserve">u nově stavěných nebo rekonstruovaných mostů </w:t>
      </w:r>
      <w:r w:rsidR="00533421" w:rsidRPr="00995237">
        <w:rPr>
          <w:rFonts w:ascii="Calibri" w:hAnsi="Calibri" w:cs="Calibri"/>
          <w:sz w:val="24"/>
          <w:szCs w:val="24"/>
        </w:rPr>
        <w:t xml:space="preserve">zajištěna </w:t>
      </w:r>
      <w:r w:rsidR="002E5B1E" w:rsidRPr="00995237">
        <w:rPr>
          <w:rFonts w:ascii="Calibri" w:hAnsi="Calibri" w:cs="Calibri"/>
          <w:sz w:val="24"/>
          <w:szCs w:val="24"/>
        </w:rPr>
        <w:t>nejmenší podjezdná výška 7,0 m nad nejvyšší plavební hladinou stanovenou plavebním úřadem</w:t>
      </w:r>
      <w:r w:rsidRPr="00995237">
        <w:rPr>
          <w:rFonts w:ascii="Calibri" w:hAnsi="Calibri" w:cs="Calibri"/>
          <w:sz w:val="24"/>
          <w:szCs w:val="24"/>
          <w:vertAlign w:val="superscript"/>
        </w:rPr>
        <w:footnoteReference w:id="23"/>
      </w:r>
      <w:r w:rsidR="002E5B1E" w:rsidRPr="00995237">
        <w:rPr>
          <w:rFonts w:ascii="Calibri" w:hAnsi="Calibri" w:cs="Calibri"/>
          <w:sz w:val="24"/>
          <w:szCs w:val="24"/>
        </w:rPr>
        <w:t>. Stávající most je tvořen mostním provizoriem instalovaným v roce 1986</w:t>
      </w:r>
      <w:r w:rsidRPr="00995237">
        <w:rPr>
          <w:rFonts w:ascii="Calibri" w:hAnsi="Calibri" w:cs="Calibri"/>
          <w:sz w:val="24"/>
          <w:szCs w:val="24"/>
        </w:rPr>
        <w:t xml:space="preserve"> a dle mostního listu je s</w:t>
      </w:r>
      <w:r w:rsidR="002E5B1E" w:rsidRPr="00995237">
        <w:rPr>
          <w:rFonts w:ascii="Calibri" w:hAnsi="Calibri" w:cs="Calibri"/>
          <w:sz w:val="24"/>
          <w:szCs w:val="24"/>
        </w:rPr>
        <w:t>tavební stav jeho nosné konstrukce špatný. Provoz je na něm omezen na osobní dopravu.</w:t>
      </w:r>
      <w:r w:rsidRPr="00995237">
        <w:rPr>
          <w:rFonts w:ascii="Calibri" w:hAnsi="Calibri" w:cs="Calibri"/>
          <w:sz w:val="24"/>
          <w:szCs w:val="24"/>
        </w:rPr>
        <w:t xml:space="preserve"> </w:t>
      </w:r>
    </w:p>
    <w:p w14:paraId="10F9FD87" w14:textId="77777777" w:rsidR="002E5B1E" w:rsidRPr="00995237" w:rsidRDefault="002E5B1E" w:rsidP="00995237">
      <w:pPr>
        <w:spacing w:after="0" w:line="264" w:lineRule="auto"/>
        <w:jc w:val="both"/>
        <w:rPr>
          <w:rFonts w:ascii="Calibri" w:hAnsi="Calibri" w:cs="Calibri"/>
          <w:sz w:val="24"/>
          <w:szCs w:val="24"/>
        </w:rPr>
      </w:pPr>
    </w:p>
    <w:p w14:paraId="617FEED2" w14:textId="6437B287" w:rsidR="001F0A59"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Most je v majetku Pardubického kraje, který zodpovídá za jeho stav. V případě, že byl tento stav shledán nevyhovujícím</w:t>
      </w:r>
      <w:r w:rsidR="00DB60E8" w:rsidRPr="00995237">
        <w:rPr>
          <w:rFonts w:ascii="Calibri" w:hAnsi="Calibri" w:cs="Calibri"/>
          <w:sz w:val="24"/>
          <w:szCs w:val="24"/>
        </w:rPr>
        <w:t xml:space="preserve"> s potřebou</w:t>
      </w:r>
      <w:r w:rsidRPr="00995237">
        <w:rPr>
          <w:rFonts w:ascii="Calibri" w:hAnsi="Calibri" w:cs="Calibri"/>
          <w:sz w:val="24"/>
          <w:szCs w:val="24"/>
        </w:rPr>
        <w:t xml:space="preserve"> most neodkladně rekonstruovat, byl vlastník mostu, a</w:t>
      </w:r>
      <w:r w:rsidR="00CD5886" w:rsidRPr="00995237">
        <w:rPr>
          <w:rFonts w:ascii="Calibri" w:hAnsi="Calibri" w:cs="Calibri"/>
          <w:sz w:val="24"/>
          <w:szCs w:val="24"/>
        </w:rPr>
        <w:t> </w:t>
      </w:r>
      <w:r w:rsidRPr="00995237">
        <w:rPr>
          <w:rFonts w:ascii="Calibri" w:hAnsi="Calibri" w:cs="Calibri"/>
          <w:sz w:val="24"/>
          <w:szCs w:val="24"/>
        </w:rPr>
        <w:t xml:space="preserve">nikoliv ŘVC, povinen při rekonstrukci zajistit, aby jeho parametry (mj. podjezdná výška) odpovídaly platným právním předpisům. V záměru </w:t>
      </w:r>
      <w:r w:rsidR="00CB2987" w:rsidRPr="00995237">
        <w:rPr>
          <w:rFonts w:ascii="Calibri" w:hAnsi="Calibri" w:cs="Calibri"/>
          <w:sz w:val="24"/>
          <w:szCs w:val="24"/>
        </w:rPr>
        <w:t>p</w:t>
      </w:r>
      <w:r w:rsidRPr="00995237">
        <w:rPr>
          <w:rFonts w:ascii="Calibri" w:hAnsi="Calibri" w:cs="Calibri"/>
          <w:sz w:val="24"/>
          <w:szCs w:val="24"/>
        </w:rPr>
        <w:t>rojektu Valy – Mělice přitom ŘVC použilo formulace a řazení informací vyvolávající dojem, že v daném případě je zaji</w:t>
      </w:r>
      <w:r w:rsidR="00201FA4">
        <w:rPr>
          <w:rFonts w:ascii="Calibri" w:hAnsi="Calibri" w:cs="Calibri"/>
          <w:sz w:val="24"/>
          <w:szCs w:val="24"/>
        </w:rPr>
        <w:t>štění</w:t>
      </w:r>
      <w:r w:rsidRPr="00995237">
        <w:rPr>
          <w:rFonts w:ascii="Calibri" w:hAnsi="Calibri" w:cs="Calibri"/>
          <w:sz w:val="24"/>
          <w:szCs w:val="24"/>
        </w:rPr>
        <w:t xml:space="preserve"> navýšení jeho podjezdné výšky</w:t>
      </w:r>
      <w:r w:rsidR="00201FA4" w:rsidRPr="00201FA4">
        <w:rPr>
          <w:rFonts w:ascii="Calibri" w:hAnsi="Calibri" w:cs="Calibri"/>
          <w:sz w:val="24"/>
          <w:szCs w:val="24"/>
        </w:rPr>
        <w:t xml:space="preserve"> </w:t>
      </w:r>
      <w:r w:rsidR="00201FA4" w:rsidRPr="00995237">
        <w:rPr>
          <w:rFonts w:ascii="Calibri" w:hAnsi="Calibri" w:cs="Calibri"/>
          <w:sz w:val="24"/>
          <w:szCs w:val="24"/>
        </w:rPr>
        <w:t>povinností státu</w:t>
      </w:r>
      <w:r w:rsidRPr="00995237">
        <w:rPr>
          <w:rFonts w:ascii="Calibri" w:hAnsi="Calibri" w:cs="Calibri"/>
          <w:sz w:val="24"/>
          <w:szCs w:val="24"/>
        </w:rPr>
        <w:t>.</w:t>
      </w:r>
    </w:p>
    <w:p w14:paraId="03F9D2C6" w14:textId="77777777" w:rsidR="002E5B1E" w:rsidRPr="00995237" w:rsidRDefault="002E5B1E" w:rsidP="00995237">
      <w:pPr>
        <w:spacing w:after="0" w:line="264" w:lineRule="auto"/>
        <w:jc w:val="both"/>
        <w:rPr>
          <w:rFonts w:ascii="Calibri" w:hAnsi="Calibri" w:cs="Calibri"/>
          <w:sz w:val="24"/>
          <w:szCs w:val="24"/>
        </w:rPr>
      </w:pPr>
    </w:p>
    <w:p w14:paraId="2217994C" w14:textId="7B44364A" w:rsidR="000A1D52"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MD v lednu 2016 záměr </w:t>
      </w:r>
      <w:r w:rsidR="00CB2987" w:rsidRPr="00995237">
        <w:rPr>
          <w:rFonts w:ascii="Calibri" w:hAnsi="Calibri" w:cs="Calibri"/>
          <w:sz w:val="24"/>
          <w:szCs w:val="24"/>
        </w:rPr>
        <w:t>p</w:t>
      </w:r>
      <w:r w:rsidRPr="00995237">
        <w:rPr>
          <w:rFonts w:ascii="Calibri" w:hAnsi="Calibri" w:cs="Calibri"/>
          <w:sz w:val="24"/>
          <w:szCs w:val="24"/>
        </w:rPr>
        <w:t xml:space="preserve">rojektu Valy – Mělice schválilo s podmínkou, že k jeho realizaci </w:t>
      </w:r>
      <w:r w:rsidRPr="00995237">
        <w:rPr>
          <w:rFonts w:ascii="Calibri" w:hAnsi="Calibri" w:cs="Calibri"/>
          <w:color w:val="000000"/>
          <w:sz w:val="24"/>
          <w:szCs w:val="24"/>
          <w:lang w:bidi="cs-CZ"/>
        </w:rPr>
        <w:t xml:space="preserve">dojde až po získání </w:t>
      </w:r>
      <w:r w:rsidRPr="00995237">
        <w:rPr>
          <w:rFonts w:ascii="Calibri" w:hAnsi="Calibri" w:cs="Calibri"/>
          <w:sz w:val="24"/>
          <w:szCs w:val="24"/>
        </w:rPr>
        <w:t>pravomocného stavebního povolení pro PSP. V říjnu 2016 ale tuto podmínku zrušilo a uložilo Ř</w:t>
      </w:r>
      <w:r w:rsidR="005E7860" w:rsidRPr="00995237">
        <w:rPr>
          <w:rFonts w:ascii="Calibri" w:hAnsi="Calibri" w:cs="Calibri"/>
          <w:sz w:val="24"/>
          <w:szCs w:val="24"/>
        </w:rPr>
        <w:t>VC</w:t>
      </w:r>
      <w:r w:rsidRPr="00995237">
        <w:rPr>
          <w:rFonts w:ascii="Calibri" w:hAnsi="Calibri" w:cs="Calibri"/>
          <w:sz w:val="24"/>
          <w:szCs w:val="24"/>
        </w:rPr>
        <w:t xml:space="preserve">, aby zahájilo kroky vedoucí k uzavření smlouvy o spolupráci na projektu s Pardubickým krajem a </w:t>
      </w:r>
      <w:r w:rsidR="00CB2987" w:rsidRPr="00995237">
        <w:rPr>
          <w:rFonts w:ascii="Calibri" w:hAnsi="Calibri" w:cs="Calibri"/>
          <w:sz w:val="24"/>
          <w:szCs w:val="24"/>
        </w:rPr>
        <w:t xml:space="preserve">aby </w:t>
      </w:r>
      <w:r w:rsidRPr="00995237">
        <w:rPr>
          <w:rFonts w:ascii="Calibri" w:hAnsi="Calibri" w:cs="Calibri"/>
          <w:sz w:val="24"/>
          <w:szCs w:val="24"/>
        </w:rPr>
        <w:t xml:space="preserve">při financování jeho přípravy a realizace postupovalo podle schválených rozpočtů SFDI. </w:t>
      </w:r>
      <w:r w:rsidR="00AC36CA" w:rsidRPr="00995237">
        <w:rPr>
          <w:rFonts w:ascii="Calibri" w:hAnsi="Calibri" w:cs="Calibri"/>
          <w:sz w:val="24"/>
          <w:szCs w:val="24"/>
        </w:rPr>
        <w:t xml:space="preserve">Důvodem byl dopis hejtmana </w:t>
      </w:r>
      <w:r w:rsidRPr="00995237">
        <w:rPr>
          <w:rFonts w:ascii="Calibri" w:hAnsi="Calibri" w:cs="Calibri"/>
          <w:sz w:val="24"/>
          <w:szCs w:val="24"/>
        </w:rPr>
        <w:t>Pardubick</w:t>
      </w:r>
      <w:r w:rsidR="00AC36CA" w:rsidRPr="00995237">
        <w:rPr>
          <w:rFonts w:ascii="Calibri" w:hAnsi="Calibri" w:cs="Calibri"/>
          <w:sz w:val="24"/>
          <w:szCs w:val="24"/>
        </w:rPr>
        <w:t xml:space="preserve">ého kraje, jímž </w:t>
      </w:r>
      <w:r w:rsidRPr="00995237">
        <w:rPr>
          <w:rFonts w:ascii="Calibri" w:hAnsi="Calibri" w:cs="Calibri"/>
          <w:sz w:val="24"/>
          <w:szCs w:val="24"/>
        </w:rPr>
        <w:t xml:space="preserve">potvrdil spoluúčast </w:t>
      </w:r>
      <w:r w:rsidR="00AC36CA" w:rsidRPr="00995237">
        <w:rPr>
          <w:rFonts w:ascii="Calibri" w:hAnsi="Calibri" w:cs="Calibri"/>
          <w:sz w:val="24"/>
          <w:szCs w:val="24"/>
        </w:rPr>
        <w:t xml:space="preserve">kraje </w:t>
      </w:r>
      <w:r w:rsidRPr="00995237">
        <w:rPr>
          <w:rFonts w:ascii="Calibri" w:hAnsi="Calibri" w:cs="Calibri"/>
          <w:sz w:val="24"/>
          <w:szCs w:val="24"/>
        </w:rPr>
        <w:t>na financování projektu ve výši 47 mil. Kč</w:t>
      </w:r>
      <w:r w:rsidR="00AC36CA" w:rsidRPr="00995237">
        <w:rPr>
          <w:rFonts w:ascii="Calibri" w:hAnsi="Calibri" w:cs="Calibri"/>
          <w:sz w:val="24"/>
          <w:szCs w:val="24"/>
        </w:rPr>
        <w:t>, tzn. z cca jedné čtvrtiny</w:t>
      </w:r>
      <w:r w:rsidRPr="00995237">
        <w:rPr>
          <w:rFonts w:ascii="Calibri" w:hAnsi="Calibri" w:cs="Calibri"/>
          <w:sz w:val="24"/>
          <w:szCs w:val="24"/>
        </w:rPr>
        <w:t>. ŘVC v záměru projektu Valy – Mělice uvedlo, že po jeho dokončení nový most bezúplatně převede do majetku Pardubického kraje.</w:t>
      </w:r>
    </w:p>
    <w:p w14:paraId="7E60C841" w14:textId="77777777" w:rsidR="001F0A59" w:rsidRPr="00995237" w:rsidRDefault="001F0A59" w:rsidP="00995237">
      <w:pPr>
        <w:spacing w:after="0" w:line="264" w:lineRule="auto"/>
        <w:jc w:val="both"/>
        <w:rPr>
          <w:rFonts w:ascii="Calibri" w:hAnsi="Calibri" w:cs="Calibri"/>
          <w:sz w:val="24"/>
          <w:szCs w:val="24"/>
        </w:rPr>
      </w:pPr>
    </w:p>
    <w:p w14:paraId="61EF6909" w14:textId="77777777" w:rsidR="00EA64BE"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lastRenderedPageBreak/>
        <w:t>Otevřené zadávací řízení na stavební práce v rámci projektu Valy</w:t>
      </w:r>
      <w:r w:rsidR="00535BD9" w:rsidRPr="00995237">
        <w:rPr>
          <w:rFonts w:ascii="Calibri" w:hAnsi="Calibri" w:cs="Calibri"/>
          <w:sz w:val="24"/>
          <w:szCs w:val="24"/>
        </w:rPr>
        <w:t xml:space="preserve"> – </w:t>
      </w:r>
      <w:r w:rsidRPr="00995237">
        <w:rPr>
          <w:rFonts w:ascii="Calibri" w:hAnsi="Calibri" w:cs="Calibri"/>
          <w:sz w:val="24"/>
          <w:szCs w:val="24"/>
        </w:rPr>
        <w:t xml:space="preserve">Mělice zahájené v březnu 2018 s předpokládanou hodnotou veřejné zakázky 168 mil. Kč ŘVC v květnu 2018 zrušilo, když předtím vyloučilo všechny čtyři účastníky pro nesplnění podmínek zadávacího řízení </w:t>
      </w:r>
      <w:r w:rsidR="00501FCE" w:rsidRPr="00995237">
        <w:rPr>
          <w:rFonts w:ascii="Calibri" w:hAnsi="Calibri" w:cs="Calibri"/>
          <w:sz w:val="24"/>
          <w:szCs w:val="24"/>
        </w:rPr>
        <w:t>z důvodu překročení</w:t>
      </w:r>
      <w:r w:rsidRPr="00995237">
        <w:rPr>
          <w:rFonts w:ascii="Calibri" w:hAnsi="Calibri" w:cs="Calibri"/>
          <w:sz w:val="24"/>
          <w:szCs w:val="24"/>
        </w:rPr>
        <w:t xml:space="preserve"> předpokládané ceny veřejné zakázky</w:t>
      </w:r>
      <w:r w:rsidR="00501FCE" w:rsidRPr="00995237">
        <w:rPr>
          <w:rFonts w:ascii="Calibri" w:hAnsi="Calibri" w:cs="Calibri"/>
          <w:sz w:val="24"/>
          <w:szCs w:val="24"/>
        </w:rPr>
        <w:t>, kterou v</w:t>
      </w:r>
      <w:r w:rsidRPr="00995237">
        <w:rPr>
          <w:rFonts w:ascii="Calibri" w:hAnsi="Calibri" w:cs="Calibri"/>
          <w:sz w:val="24"/>
          <w:szCs w:val="24"/>
        </w:rPr>
        <w:t> zadávacích podmínkách stanovilo jako nepřekročitelnou. V říjnu 2018 ŘVC zahájilo nové otevřené zadávací řízení na zhotovitele stavby s předpokládanou hodnotou veřejné zakázky 189</w:t>
      </w:r>
      <w:r w:rsidR="00CB2987" w:rsidRPr="00995237">
        <w:rPr>
          <w:rFonts w:ascii="Calibri" w:hAnsi="Calibri" w:cs="Calibri"/>
          <w:sz w:val="24"/>
          <w:szCs w:val="24"/>
        </w:rPr>
        <w:t>,2</w:t>
      </w:r>
      <w:r w:rsidRPr="00995237">
        <w:rPr>
          <w:rFonts w:ascii="Calibri" w:hAnsi="Calibri" w:cs="Calibri"/>
          <w:sz w:val="24"/>
          <w:szCs w:val="24"/>
        </w:rPr>
        <w:t xml:space="preserve"> mil. Kč</w:t>
      </w:r>
      <w:r w:rsidR="00A1412D" w:rsidRPr="00995237">
        <w:rPr>
          <w:rFonts w:ascii="Calibri" w:hAnsi="Calibri" w:cs="Calibri"/>
          <w:sz w:val="24"/>
          <w:szCs w:val="24"/>
        </w:rPr>
        <w:t>. N</w:t>
      </w:r>
      <w:r w:rsidRPr="00995237">
        <w:rPr>
          <w:rFonts w:ascii="Calibri" w:hAnsi="Calibri" w:cs="Calibri"/>
          <w:sz w:val="24"/>
          <w:szCs w:val="24"/>
        </w:rPr>
        <w:t xml:space="preserve">a základě hodnocení tří předložených nabídek </w:t>
      </w:r>
      <w:r w:rsidR="00501FCE" w:rsidRPr="00995237">
        <w:rPr>
          <w:rFonts w:ascii="Calibri" w:hAnsi="Calibri" w:cs="Calibri"/>
          <w:sz w:val="24"/>
          <w:szCs w:val="24"/>
        </w:rPr>
        <w:t>v</w:t>
      </w:r>
      <w:r w:rsidRPr="00995237">
        <w:rPr>
          <w:rFonts w:ascii="Calibri" w:hAnsi="Calibri" w:cs="Calibri"/>
          <w:sz w:val="24"/>
          <w:szCs w:val="24"/>
        </w:rPr>
        <w:t>ybra</w:t>
      </w:r>
      <w:r w:rsidR="00501FCE" w:rsidRPr="00995237">
        <w:rPr>
          <w:rFonts w:ascii="Calibri" w:hAnsi="Calibri" w:cs="Calibri"/>
          <w:sz w:val="24"/>
          <w:szCs w:val="24"/>
        </w:rPr>
        <w:t>lo</w:t>
      </w:r>
      <w:r w:rsidRPr="00995237">
        <w:rPr>
          <w:rFonts w:ascii="Calibri" w:hAnsi="Calibri" w:cs="Calibri"/>
          <w:sz w:val="24"/>
          <w:szCs w:val="24"/>
        </w:rPr>
        <w:t xml:space="preserve"> dodavatele</w:t>
      </w:r>
      <w:r w:rsidR="00501FCE" w:rsidRPr="00995237">
        <w:rPr>
          <w:rFonts w:ascii="Calibri" w:hAnsi="Calibri" w:cs="Calibri"/>
          <w:sz w:val="24"/>
          <w:szCs w:val="24"/>
        </w:rPr>
        <w:t>, s nímž</w:t>
      </w:r>
      <w:r w:rsidRPr="00995237">
        <w:rPr>
          <w:rFonts w:ascii="Calibri" w:hAnsi="Calibri" w:cs="Calibri"/>
          <w:sz w:val="24"/>
          <w:szCs w:val="24"/>
        </w:rPr>
        <w:t xml:space="preserve"> v prosinci 2018 uzavřelo smlouvu s cenou 213</w:t>
      </w:r>
      <w:r w:rsidR="00CB2987" w:rsidRPr="00995237">
        <w:rPr>
          <w:rFonts w:ascii="Calibri" w:hAnsi="Calibri" w:cs="Calibri"/>
          <w:sz w:val="24"/>
          <w:szCs w:val="24"/>
        </w:rPr>
        <w:t>,3</w:t>
      </w:r>
      <w:r w:rsidRPr="00995237">
        <w:rPr>
          <w:rFonts w:ascii="Calibri" w:hAnsi="Calibri" w:cs="Calibri"/>
          <w:sz w:val="24"/>
          <w:szCs w:val="24"/>
        </w:rPr>
        <w:t xml:space="preserve"> mil. Kč.</w:t>
      </w:r>
      <w:r w:rsidR="00BA0E93" w:rsidRPr="00995237">
        <w:rPr>
          <w:rFonts w:ascii="Calibri" w:hAnsi="Calibri" w:cs="Calibri"/>
          <w:sz w:val="24"/>
          <w:szCs w:val="24"/>
        </w:rPr>
        <w:t xml:space="preserve"> V období od ledna 2016 do února 2019 ŘVC na projekt Valy</w:t>
      </w:r>
      <w:r w:rsidR="00535BD9" w:rsidRPr="00995237">
        <w:rPr>
          <w:rFonts w:ascii="Calibri" w:hAnsi="Calibri" w:cs="Calibri"/>
          <w:sz w:val="24"/>
          <w:szCs w:val="24"/>
        </w:rPr>
        <w:t xml:space="preserve"> – </w:t>
      </w:r>
      <w:r w:rsidR="00BA0E93" w:rsidRPr="00995237">
        <w:rPr>
          <w:rFonts w:ascii="Calibri" w:hAnsi="Calibri" w:cs="Calibri"/>
          <w:sz w:val="24"/>
          <w:szCs w:val="24"/>
        </w:rPr>
        <w:t>Mělice vyčerpalo z rozpočtu SFD</w:t>
      </w:r>
      <w:r w:rsidR="00F72805" w:rsidRPr="00995237">
        <w:rPr>
          <w:rFonts w:ascii="Calibri" w:hAnsi="Calibri" w:cs="Calibri"/>
          <w:sz w:val="24"/>
          <w:szCs w:val="24"/>
        </w:rPr>
        <w:t>I</w:t>
      </w:r>
      <w:r w:rsidR="00BA0E93" w:rsidRPr="00995237">
        <w:rPr>
          <w:rFonts w:ascii="Calibri" w:hAnsi="Calibri" w:cs="Calibri"/>
          <w:sz w:val="24"/>
          <w:szCs w:val="24"/>
        </w:rPr>
        <w:t xml:space="preserve"> celkem 0,8 mil. Kč.</w:t>
      </w:r>
    </w:p>
    <w:p w14:paraId="389D6F30" w14:textId="77777777" w:rsidR="001F0A59" w:rsidRPr="00995237" w:rsidRDefault="001F0A59" w:rsidP="00995237">
      <w:pPr>
        <w:spacing w:after="0" w:line="264" w:lineRule="auto"/>
        <w:jc w:val="both"/>
        <w:rPr>
          <w:rFonts w:ascii="Calibri" w:hAnsi="Calibri" w:cs="Calibri"/>
          <w:sz w:val="24"/>
          <w:szCs w:val="24"/>
        </w:rPr>
      </w:pPr>
    </w:p>
    <w:p w14:paraId="0ABF5404" w14:textId="714E4546" w:rsidR="001F0A59" w:rsidRPr="00995237" w:rsidRDefault="00E8036B" w:rsidP="00995237">
      <w:pPr>
        <w:tabs>
          <w:tab w:val="center" w:pos="7020"/>
        </w:tabs>
        <w:spacing w:after="0" w:line="264" w:lineRule="auto"/>
        <w:jc w:val="both"/>
        <w:rPr>
          <w:rFonts w:ascii="Calibri" w:hAnsi="Calibri" w:cs="Calibri"/>
          <w:b/>
          <w:sz w:val="24"/>
          <w:szCs w:val="24"/>
        </w:rPr>
      </w:pPr>
      <w:r w:rsidRPr="00995237">
        <w:rPr>
          <w:rFonts w:ascii="Calibri" w:hAnsi="Calibri" w:cs="Calibri"/>
          <w:b/>
          <w:sz w:val="24"/>
          <w:szCs w:val="24"/>
        </w:rPr>
        <w:t xml:space="preserve">Realizace </w:t>
      </w:r>
      <w:r w:rsidR="00201FA4">
        <w:rPr>
          <w:rFonts w:ascii="Calibri" w:hAnsi="Calibri" w:cs="Calibri"/>
          <w:b/>
          <w:sz w:val="24"/>
          <w:szCs w:val="24"/>
        </w:rPr>
        <w:t>p</w:t>
      </w:r>
      <w:r w:rsidRPr="00995237">
        <w:rPr>
          <w:rFonts w:ascii="Calibri" w:hAnsi="Calibri" w:cs="Calibri"/>
          <w:b/>
          <w:sz w:val="24"/>
          <w:szCs w:val="24"/>
        </w:rPr>
        <w:t xml:space="preserve">rojektu Valy – Mělice je z pohledu vodní dopravy do doby dokončení PSD a PSP spojena s rizikem neúčelného a nehospodárného vynakládání </w:t>
      </w:r>
      <w:r w:rsidR="0042122E" w:rsidRPr="00995237">
        <w:rPr>
          <w:rFonts w:ascii="Calibri" w:hAnsi="Calibri" w:cs="Calibri"/>
          <w:b/>
          <w:sz w:val="24"/>
          <w:szCs w:val="24"/>
        </w:rPr>
        <w:t xml:space="preserve">peněžních </w:t>
      </w:r>
      <w:r w:rsidRPr="00995237">
        <w:rPr>
          <w:rFonts w:ascii="Calibri" w:hAnsi="Calibri" w:cs="Calibri"/>
          <w:b/>
          <w:sz w:val="24"/>
          <w:szCs w:val="24"/>
        </w:rPr>
        <w:t>prostředků. Pokud</w:t>
      </w:r>
      <w:r w:rsidR="00201FA4" w:rsidRPr="00201FA4">
        <w:rPr>
          <w:rFonts w:ascii="Calibri" w:hAnsi="Calibri" w:cs="Calibri"/>
          <w:b/>
          <w:sz w:val="24"/>
          <w:szCs w:val="24"/>
        </w:rPr>
        <w:t xml:space="preserve"> </w:t>
      </w:r>
      <w:r w:rsidR="00201FA4" w:rsidRPr="00995237">
        <w:rPr>
          <w:rFonts w:ascii="Calibri" w:hAnsi="Calibri" w:cs="Calibri"/>
          <w:b/>
          <w:sz w:val="24"/>
          <w:szCs w:val="24"/>
        </w:rPr>
        <w:t>byl</w:t>
      </w:r>
      <w:r w:rsidRPr="00995237">
        <w:rPr>
          <w:rFonts w:ascii="Calibri" w:hAnsi="Calibri" w:cs="Calibri"/>
          <w:b/>
          <w:sz w:val="24"/>
          <w:szCs w:val="24"/>
        </w:rPr>
        <w:t xml:space="preserve"> důvodem pro urychlení realizace uvedeného projektu špatný stav mostu komplikující dopravu na silnici III. třídy, měl </w:t>
      </w:r>
      <w:r w:rsidR="0042122E" w:rsidRPr="00995237">
        <w:rPr>
          <w:rFonts w:ascii="Calibri" w:hAnsi="Calibri" w:cs="Calibri"/>
          <w:b/>
          <w:sz w:val="24"/>
          <w:szCs w:val="24"/>
        </w:rPr>
        <w:t xml:space="preserve">být </w:t>
      </w:r>
      <w:r w:rsidRPr="00995237">
        <w:rPr>
          <w:rFonts w:ascii="Calibri" w:hAnsi="Calibri" w:cs="Calibri"/>
          <w:b/>
          <w:sz w:val="24"/>
          <w:szCs w:val="24"/>
        </w:rPr>
        <w:t xml:space="preserve">projekt navržen s cílem vyřešit tento stav, a to včetně příslušného odůvodnění nezbytnosti jeho realizace. </w:t>
      </w:r>
      <w:r w:rsidR="00BA0E93" w:rsidRPr="00995237">
        <w:rPr>
          <w:rFonts w:ascii="Calibri" w:hAnsi="Calibri" w:cs="Calibri"/>
          <w:b/>
          <w:sz w:val="24"/>
          <w:szCs w:val="24"/>
        </w:rPr>
        <w:t>Financování projektu měl v tomto případě zajistit Pardubický kraj.</w:t>
      </w:r>
    </w:p>
    <w:p w14:paraId="6906CD2E" w14:textId="77777777" w:rsidR="004C3DDD" w:rsidRPr="00995237" w:rsidRDefault="004C3DDD" w:rsidP="00995237">
      <w:pPr>
        <w:spacing w:after="0" w:line="264" w:lineRule="auto"/>
        <w:jc w:val="both"/>
        <w:rPr>
          <w:rFonts w:ascii="Calibri" w:hAnsi="Calibri" w:cs="Calibri"/>
          <w:sz w:val="24"/>
          <w:szCs w:val="24"/>
        </w:rPr>
      </w:pPr>
    </w:p>
    <w:p w14:paraId="44FA5299" w14:textId="2AAC1993" w:rsidR="006873C1" w:rsidRPr="00995237" w:rsidRDefault="00E8036B" w:rsidP="00995237">
      <w:pPr>
        <w:keepNext/>
        <w:spacing w:after="0" w:line="264" w:lineRule="auto"/>
        <w:jc w:val="both"/>
        <w:rPr>
          <w:rFonts w:ascii="Calibri" w:hAnsi="Calibri" w:cs="Calibri"/>
          <w:b/>
          <w:sz w:val="24"/>
          <w:szCs w:val="24"/>
        </w:rPr>
      </w:pPr>
      <w:r w:rsidRPr="00995237">
        <w:rPr>
          <w:rFonts w:ascii="Calibri" w:hAnsi="Calibri" w:cs="Calibri"/>
          <w:b/>
          <w:sz w:val="24"/>
          <w:szCs w:val="24"/>
        </w:rPr>
        <w:t xml:space="preserve">Vodní koridor </w:t>
      </w:r>
      <w:proofErr w:type="gramStart"/>
      <w:r w:rsidRPr="00995237">
        <w:rPr>
          <w:rFonts w:ascii="Calibri" w:hAnsi="Calibri" w:cs="Calibri"/>
          <w:b/>
          <w:sz w:val="24"/>
          <w:szCs w:val="24"/>
        </w:rPr>
        <w:t>Dunaj</w:t>
      </w:r>
      <w:proofErr w:type="gramEnd"/>
      <w:r w:rsidR="00201FA4">
        <w:rPr>
          <w:rFonts w:ascii="Calibri" w:hAnsi="Calibri" w:cs="Calibri"/>
          <w:b/>
          <w:sz w:val="24"/>
          <w:szCs w:val="24"/>
        </w:rPr>
        <w:t>–</w:t>
      </w:r>
      <w:proofErr w:type="gramStart"/>
      <w:r w:rsidRPr="00995237">
        <w:rPr>
          <w:rFonts w:ascii="Calibri" w:hAnsi="Calibri" w:cs="Calibri"/>
          <w:b/>
          <w:sz w:val="24"/>
          <w:szCs w:val="24"/>
        </w:rPr>
        <w:t>Odra</w:t>
      </w:r>
      <w:proofErr w:type="gramEnd"/>
      <w:r w:rsidR="00201FA4">
        <w:rPr>
          <w:rFonts w:ascii="Calibri" w:hAnsi="Calibri" w:cs="Calibri"/>
          <w:b/>
          <w:sz w:val="24"/>
          <w:szCs w:val="24"/>
        </w:rPr>
        <w:t>–</w:t>
      </w:r>
      <w:r w:rsidRPr="00995237">
        <w:rPr>
          <w:rFonts w:ascii="Calibri" w:hAnsi="Calibri" w:cs="Calibri"/>
          <w:b/>
          <w:sz w:val="24"/>
          <w:szCs w:val="24"/>
        </w:rPr>
        <w:t>Labe</w:t>
      </w:r>
    </w:p>
    <w:p w14:paraId="523F9F35" w14:textId="77777777" w:rsidR="00B766FD" w:rsidRPr="00995237" w:rsidRDefault="00B766FD" w:rsidP="00995237">
      <w:pPr>
        <w:keepNext/>
        <w:spacing w:after="0" w:line="264" w:lineRule="auto"/>
        <w:jc w:val="both"/>
        <w:rPr>
          <w:rFonts w:ascii="Calibri" w:hAnsi="Calibri" w:cs="Calibri"/>
          <w:sz w:val="24"/>
          <w:szCs w:val="24"/>
        </w:rPr>
      </w:pPr>
    </w:p>
    <w:p w14:paraId="6DCB961C" w14:textId="5A691DF2" w:rsidR="00EF7547"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Vodní koridor </w:t>
      </w:r>
      <w:proofErr w:type="gramStart"/>
      <w:r w:rsidRPr="00995237">
        <w:rPr>
          <w:rFonts w:ascii="Calibri" w:hAnsi="Calibri" w:cs="Calibri"/>
          <w:sz w:val="24"/>
          <w:szCs w:val="24"/>
        </w:rPr>
        <w:t>Dunaj</w:t>
      </w:r>
      <w:proofErr w:type="gramEnd"/>
      <w:r w:rsidR="00201FA4">
        <w:rPr>
          <w:rFonts w:ascii="Calibri" w:hAnsi="Calibri" w:cs="Calibri"/>
          <w:sz w:val="24"/>
          <w:szCs w:val="24"/>
        </w:rPr>
        <w:t>–</w:t>
      </w:r>
      <w:proofErr w:type="gramStart"/>
      <w:r w:rsidRPr="00995237">
        <w:rPr>
          <w:rFonts w:ascii="Calibri" w:hAnsi="Calibri" w:cs="Calibri"/>
          <w:sz w:val="24"/>
          <w:szCs w:val="24"/>
        </w:rPr>
        <w:t>Odra</w:t>
      </w:r>
      <w:proofErr w:type="gramEnd"/>
      <w:r w:rsidR="00201FA4">
        <w:rPr>
          <w:rFonts w:ascii="Calibri" w:hAnsi="Calibri" w:cs="Calibri"/>
          <w:sz w:val="24"/>
          <w:szCs w:val="24"/>
        </w:rPr>
        <w:t>–</w:t>
      </w:r>
      <w:r w:rsidRPr="00995237">
        <w:rPr>
          <w:rFonts w:ascii="Calibri" w:hAnsi="Calibri" w:cs="Calibri"/>
          <w:sz w:val="24"/>
          <w:szCs w:val="24"/>
        </w:rPr>
        <w:t xml:space="preserve">Labe se stal součástí transevropské dopravní sítě TEN-T v rámci přístupových dohod mezi Českou republikou a </w:t>
      </w:r>
      <w:r w:rsidR="0042122E" w:rsidRPr="00995237">
        <w:rPr>
          <w:rFonts w:ascii="Calibri" w:hAnsi="Calibri" w:cs="Calibri"/>
          <w:sz w:val="24"/>
          <w:szCs w:val="24"/>
        </w:rPr>
        <w:t>EU</w:t>
      </w:r>
      <w:r w:rsidR="009D3687" w:rsidRPr="00995237">
        <w:rPr>
          <w:rFonts w:ascii="Calibri" w:hAnsi="Calibri" w:cs="Calibri"/>
          <w:sz w:val="24"/>
          <w:szCs w:val="24"/>
        </w:rPr>
        <w:t>, následně</w:t>
      </w:r>
      <w:r w:rsidRPr="00995237">
        <w:rPr>
          <w:rFonts w:ascii="Calibri" w:hAnsi="Calibri" w:cs="Calibri"/>
          <w:sz w:val="24"/>
          <w:szCs w:val="24"/>
        </w:rPr>
        <w:t xml:space="preserve"> ale byl tento projekt </w:t>
      </w:r>
      <w:r w:rsidR="00201FA4">
        <w:rPr>
          <w:rFonts w:ascii="Calibri" w:hAnsi="Calibri" w:cs="Calibri"/>
          <w:sz w:val="24"/>
          <w:szCs w:val="24"/>
        </w:rPr>
        <w:t xml:space="preserve">z dopravní sítě TEN-T </w:t>
      </w:r>
      <w:r w:rsidRPr="00995237">
        <w:rPr>
          <w:rFonts w:ascii="Calibri" w:hAnsi="Calibri" w:cs="Calibri"/>
          <w:sz w:val="24"/>
          <w:szCs w:val="24"/>
        </w:rPr>
        <w:t>vyňat. Hlavním důvodem bylo nezařazení navazujícího úseku Odry na polském území do sítě TEN-T.</w:t>
      </w:r>
    </w:p>
    <w:p w14:paraId="364A928E" w14:textId="77777777" w:rsidR="004C64A9" w:rsidRPr="00995237" w:rsidRDefault="004C64A9" w:rsidP="00995237">
      <w:pPr>
        <w:spacing w:after="0" w:line="264" w:lineRule="auto"/>
        <w:jc w:val="both"/>
        <w:rPr>
          <w:rFonts w:ascii="Calibri" w:hAnsi="Calibri" w:cs="Calibri"/>
          <w:sz w:val="24"/>
          <w:szCs w:val="24"/>
        </w:rPr>
      </w:pPr>
    </w:p>
    <w:p w14:paraId="65E51817" w14:textId="56D01528" w:rsidR="004B536A"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Vláda </w:t>
      </w:r>
      <w:r w:rsidR="00710B72" w:rsidRPr="00995237">
        <w:rPr>
          <w:rFonts w:ascii="Calibri" w:hAnsi="Calibri" w:cs="Calibri"/>
          <w:sz w:val="24"/>
          <w:szCs w:val="24"/>
        </w:rPr>
        <w:t xml:space="preserve">České republiky </w:t>
      </w:r>
      <w:r w:rsidRPr="00995237">
        <w:rPr>
          <w:rFonts w:ascii="Calibri" w:hAnsi="Calibri" w:cs="Calibri"/>
          <w:sz w:val="24"/>
          <w:szCs w:val="24"/>
        </w:rPr>
        <w:t>usnesením ze dne 20. července 2009 č. 929</w:t>
      </w:r>
      <w:r w:rsidRPr="00995237">
        <w:rPr>
          <w:rFonts w:ascii="Calibri" w:hAnsi="Calibri" w:cs="Calibri"/>
          <w:sz w:val="24"/>
          <w:szCs w:val="24"/>
          <w:vertAlign w:val="superscript"/>
        </w:rPr>
        <w:footnoteReference w:id="24"/>
      </w:r>
      <w:r w:rsidRPr="00995237">
        <w:rPr>
          <w:rFonts w:ascii="Calibri" w:hAnsi="Calibri" w:cs="Calibri"/>
          <w:sz w:val="24"/>
          <w:szCs w:val="24"/>
        </w:rPr>
        <w:t xml:space="preserve"> mj. uložila ministru dopravy prověřit ve spolupráci s ministrem zahraničních věcí na mezinárodní úrovni potřebnost DOL a zajistit projednání koridoru DOL s představiteli Polska, Rakouska, Slovenska, Německa, s Evropskou komisí a </w:t>
      </w:r>
      <w:r w:rsidR="0042122E" w:rsidRPr="00995237">
        <w:rPr>
          <w:rFonts w:ascii="Calibri" w:hAnsi="Calibri" w:cs="Calibri"/>
          <w:sz w:val="24"/>
          <w:szCs w:val="24"/>
        </w:rPr>
        <w:t xml:space="preserve">se </w:t>
      </w:r>
      <w:r w:rsidRPr="00995237">
        <w:rPr>
          <w:rFonts w:ascii="Calibri" w:hAnsi="Calibri" w:cs="Calibri"/>
          <w:sz w:val="24"/>
          <w:szCs w:val="24"/>
        </w:rPr>
        <w:t>signatáři dohody AGN s cílem posoudit v úplných evropských souvislostech problematiku jeho možné realizace, přepravní účinnosti a investiční náročnosti jednotlivých větví a předložit vládě do 31. prosince 2010 informaci o výsledcích tohoto prověření.</w:t>
      </w:r>
    </w:p>
    <w:p w14:paraId="20DA27A3" w14:textId="77777777" w:rsidR="004C64A9" w:rsidRPr="00995237" w:rsidRDefault="004C64A9" w:rsidP="00995237">
      <w:pPr>
        <w:pStyle w:val="Zkladntext1"/>
        <w:shd w:val="clear" w:color="auto" w:fill="auto"/>
        <w:tabs>
          <w:tab w:val="left" w:pos="749"/>
        </w:tabs>
        <w:spacing w:after="0" w:line="264" w:lineRule="auto"/>
        <w:ind w:firstLine="0"/>
        <w:rPr>
          <w:rFonts w:ascii="Calibri" w:hAnsi="Calibri" w:cs="Calibri"/>
          <w:sz w:val="24"/>
          <w:szCs w:val="24"/>
        </w:rPr>
      </w:pPr>
    </w:p>
    <w:p w14:paraId="6C2F66AA" w14:textId="08A4E39E" w:rsidR="00084409" w:rsidRPr="00995237" w:rsidRDefault="00E8036B" w:rsidP="00995237">
      <w:pPr>
        <w:pStyle w:val="Zkladntext1"/>
        <w:shd w:val="clear" w:color="auto" w:fill="auto"/>
        <w:tabs>
          <w:tab w:val="left" w:pos="749"/>
        </w:tabs>
        <w:spacing w:after="0" w:line="264" w:lineRule="auto"/>
        <w:ind w:firstLine="0"/>
        <w:rPr>
          <w:rFonts w:ascii="Calibri" w:hAnsi="Calibri" w:cs="Calibri"/>
          <w:sz w:val="24"/>
          <w:szCs w:val="24"/>
        </w:rPr>
      </w:pPr>
      <w:r w:rsidRPr="00995237">
        <w:rPr>
          <w:rFonts w:ascii="Calibri" w:hAnsi="Calibri" w:cs="Calibri"/>
          <w:sz w:val="24"/>
          <w:szCs w:val="24"/>
        </w:rPr>
        <w:t>Usnesením ze dne 19. ledna 2011 č. 49</w:t>
      </w:r>
      <w:r w:rsidRPr="00995237">
        <w:rPr>
          <w:rFonts w:ascii="Calibri" w:hAnsi="Calibri" w:cs="Calibri"/>
          <w:sz w:val="24"/>
          <w:szCs w:val="24"/>
          <w:vertAlign w:val="superscript"/>
        </w:rPr>
        <w:footnoteReference w:id="25"/>
      </w:r>
      <w:r w:rsidRPr="00995237">
        <w:rPr>
          <w:rFonts w:ascii="Calibri" w:hAnsi="Calibri" w:cs="Calibri"/>
          <w:sz w:val="24"/>
          <w:szCs w:val="24"/>
        </w:rPr>
        <w:t xml:space="preserve">, termín pro splnění tohoto úkolu vláda </w:t>
      </w:r>
      <w:r w:rsidR="00710B72" w:rsidRPr="00995237">
        <w:rPr>
          <w:rFonts w:ascii="Calibri" w:hAnsi="Calibri" w:cs="Calibri"/>
          <w:sz w:val="24"/>
          <w:szCs w:val="24"/>
        </w:rPr>
        <w:t xml:space="preserve">České republiky </w:t>
      </w:r>
      <w:r w:rsidRPr="00995237">
        <w:rPr>
          <w:rFonts w:ascii="Calibri" w:hAnsi="Calibri" w:cs="Calibri"/>
          <w:sz w:val="24"/>
          <w:szCs w:val="24"/>
        </w:rPr>
        <w:t xml:space="preserve">prodloužila do 31. prosince 2013. Dokument </w:t>
      </w:r>
      <w:r w:rsidRPr="00435EF1">
        <w:rPr>
          <w:rFonts w:ascii="Calibri" w:hAnsi="Calibri" w:cs="Calibri"/>
          <w:i/>
          <w:sz w:val="24"/>
          <w:szCs w:val="24"/>
        </w:rPr>
        <w:t>Prověření potřebnosti průplavního spojení Dunaj</w:t>
      </w:r>
      <w:r w:rsidR="00CD5886" w:rsidRPr="00435EF1">
        <w:rPr>
          <w:rFonts w:ascii="Calibri" w:hAnsi="Calibri" w:cs="Calibri"/>
          <w:i/>
          <w:sz w:val="24"/>
          <w:szCs w:val="24"/>
        </w:rPr>
        <w:t>-</w:t>
      </w:r>
      <w:r w:rsidRPr="00435EF1">
        <w:rPr>
          <w:rFonts w:ascii="Calibri" w:hAnsi="Calibri" w:cs="Calibri"/>
          <w:i/>
          <w:sz w:val="24"/>
          <w:szCs w:val="24"/>
        </w:rPr>
        <w:t>Odra</w:t>
      </w:r>
      <w:r w:rsidR="00CD5886" w:rsidRPr="00435EF1">
        <w:rPr>
          <w:rFonts w:ascii="Calibri" w:hAnsi="Calibri" w:cs="Calibri"/>
          <w:i/>
          <w:sz w:val="24"/>
          <w:szCs w:val="24"/>
        </w:rPr>
        <w:t>-</w:t>
      </w:r>
      <w:r w:rsidRPr="00435EF1">
        <w:rPr>
          <w:rFonts w:ascii="Calibri" w:hAnsi="Calibri" w:cs="Calibri"/>
          <w:i/>
          <w:sz w:val="24"/>
          <w:szCs w:val="24"/>
        </w:rPr>
        <w:t>Labe</w:t>
      </w:r>
      <w:r w:rsidRPr="00995237">
        <w:rPr>
          <w:rFonts w:ascii="Calibri" w:hAnsi="Calibri" w:cs="Calibri"/>
          <w:sz w:val="24"/>
          <w:szCs w:val="24"/>
        </w:rPr>
        <w:t>, který MD předložilo vládě v roce 2014</w:t>
      </w:r>
      <w:r w:rsidR="0042122E" w:rsidRPr="00995237">
        <w:rPr>
          <w:rFonts w:ascii="Calibri" w:hAnsi="Calibri" w:cs="Calibri"/>
          <w:sz w:val="24"/>
          <w:szCs w:val="24"/>
        </w:rPr>
        <w:t>,</w:t>
      </w:r>
      <w:r w:rsidRPr="00995237">
        <w:rPr>
          <w:rFonts w:ascii="Calibri" w:hAnsi="Calibri" w:cs="Calibri"/>
          <w:sz w:val="24"/>
          <w:szCs w:val="24"/>
        </w:rPr>
        <w:t xml:space="preserve"> a v němž mj. navrhlo další prodloužení termínu </w:t>
      </w:r>
      <w:r w:rsidR="00501FCE" w:rsidRPr="00995237">
        <w:rPr>
          <w:rFonts w:ascii="Calibri" w:hAnsi="Calibri" w:cs="Calibri"/>
          <w:sz w:val="24"/>
          <w:szCs w:val="24"/>
        </w:rPr>
        <w:t xml:space="preserve">pro splnění úkolu </w:t>
      </w:r>
      <w:r w:rsidRPr="00995237">
        <w:rPr>
          <w:rFonts w:ascii="Calibri" w:hAnsi="Calibri" w:cs="Calibri"/>
          <w:sz w:val="24"/>
          <w:szCs w:val="24"/>
        </w:rPr>
        <w:t>do 30. června 2015, vláda neprojednala, protože MD jej stáhlo z programu jednání.</w:t>
      </w:r>
      <w:r w:rsidR="00613D98" w:rsidRPr="00995237">
        <w:rPr>
          <w:rFonts w:ascii="Calibri" w:hAnsi="Calibri" w:cs="Calibri"/>
          <w:sz w:val="24"/>
          <w:szCs w:val="24"/>
        </w:rPr>
        <w:t xml:space="preserve"> V dopravní politice si MD stanovilo úkol řešit přípravu DOL v</w:t>
      </w:r>
      <w:r w:rsidR="00CD5886" w:rsidRPr="00995237">
        <w:rPr>
          <w:rFonts w:ascii="Calibri" w:hAnsi="Calibri" w:cs="Calibri"/>
          <w:sz w:val="24"/>
          <w:szCs w:val="24"/>
        </w:rPr>
        <w:t> </w:t>
      </w:r>
      <w:r w:rsidR="00613D98" w:rsidRPr="00995237">
        <w:rPr>
          <w:rFonts w:ascii="Calibri" w:hAnsi="Calibri" w:cs="Calibri"/>
          <w:sz w:val="24"/>
          <w:szCs w:val="24"/>
        </w:rPr>
        <w:t>závislosti na výsledcích studie proveditelnosti s termínem do konce roku 2015.</w:t>
      </w:r>
    </w:p>
    <w:p w14:paraId="7182686A" w14:textId="77777777" w:rsidR="00084409" w:rsidRPr="00995237" w:rsidRDefault="00084409" w:rsidP="00995237">
      <w:pPr>
        <w:spacing w:after="0" w:line="264" w:lineRule="auto"/>
        <w:jc w:val="both"/>
        <w:rPr>
          <w:rFonts w:ascii="Calibri" w:hAnsi="Calibri" w:cs="Calibri"/>
          <w:sz w:val="24"/>
          <w:szCs w:val="24"/>
        </w:rPr>
      </w:pPr>
    </w:p>
    <w:p w14:paraId="32EC90A3" w14:textId="38BCE01E" w:rsidR="00613D98"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V roce 2014 MD </w:t>
      </w:r>
      <w:r w:rsidR="00192BAE" w:rsidRPr="00995237">
        <w:rPr>
          <w:rFonts w:ascii="Calibri" w:hAnsi="Calibri" w:cs="Calibri"/>
          <w:sz w:val="24"/>
          <w:szCs w:val="24"/>
        </w:rPr>
        <w:t xml:space="preserve">pozastavilo </w:t>
      </w:r>
      <w:r w:rsidRPr="00995237">
        <w:rPr>
          <w:rFonts w:ascii="Calibri" w:hAnsi="Calibri" w:cs="Calibri"/>
          <w:sz w:val="24"/>
          <w:szCs w:val="24"/>
        </w:rPr>
        <w:t>zadání vypracování studie proveditelnosti záměru DOL z důvodu absence mezinárodní shody na tomto záměru. Zpracování</w:t>
      </w:r>
      <w:r w:rsidR="0042122E" w:rsidRPr="00995237">
        <w:rPr>
          <w:rFonts w:ascii="Calibri" w:hAnsi="Calibri" w:cs="Calibri"/>
          <w:sz w:val="24"/>
          <w:szCs w:val="24"/>
        </w:rPr>
        <w:t xml:space="preserve"> této</w:t>
      </w:r>
      <w:r w:rsidRPr="00995237">
        <w:rPr>
          <w:rFonts w:ascii="Calibri" w:hAnsi="Calibri" w:cs="Calibri"/>
          <w:sz w:val="24"/>
          <w:szCs w:val="24"/>
        </w:rPr>
        <w:t xml:space="preserve"> studie MD zadalo až v roce </w:t>
      </w:r>
      <w:r w:rsidRPr="00995237">
        <w:rPr>
          <w:rFonts w:ascii="Calibri" w:hAnsi="Calibri" w:cs="Calibri"/>
          <w:sz w:val="24"/>
          <w:szCs w:val="24"/>
        </w:rPr>
        <w:lastRenderedPageBreak/>
        <w:t>2016 na základě průběhu jedn</w:t>
      </w:r>
      <w:r w:rsidR="005E7860" w:rsidRPr="00995237">
        <w:rPr>
          <w:rFonts w:ascii="Calibri" w:hAnsi="Calibri" w:cs="Calibri"/>
          <w:sz w:val="24"/>
          <w:szCs w:val="24"/>
        </w:rPr>
        <w:t>ání, jehož výsledkem byl podpis</w:t>
      </w:r>
      <w:r w:rsidRPr="00995237">
        <w:rPr>
          <w:rFonts w:ascii="Calibri" w:hAnsi="Calibri" w:cs="Calibri"/>
          <w:sz w:val="24"/>
          <w:szCs w:val="24"/>
        </w:rPr>
        <w:t xml:space="preserve"> společného memoranda </w:t>
      </w:r>
      <w:r w:rsidR="00892BA2" w:rsidRPr="00995237">
        <w:rPr>
          <w:rFonts w:ascii="Calibri" w:hAnsi="Calibri" w:cs="Calibri"/>
          <w:sz w:val="24"/>
          <w:szCs w:val="24"/>
        </w:rPr>
        <w:t>Česka</w:t>
      </w:r>
      <w:r w:rsidRPr="00995237">
        <w:rPr>
          <w:rFonts w:ascii="Calibri" w:hAnsi="Calibri" w:cs="Calibri"/>
          <w:sz w:val="24"/>
          <w:szCs w:val="24"/>
        </w:rPr>
        <w:t>, Polska a Slovenska ke koridoru DOL v lednu 2017</w:t>
      </w:r>
      <w:r w:rsidR="004C3DDD" w:rsidRPr="00995237">
        <w:rPr>
          <w:rFonts w:ascii="Calibri" w:hAnsi="Calibri" w:cs="Calibri"/>
          <w:sz w:val="24"/>
          <w:szCs w:val="24"/>
        </w:rPr>
        <w:t xml:space="preserve">. </w:t>
      </w:r>
      <w:r w:rsidRPr="00995237">
        <w:rPr>
          <w:rFonts w:ascii="Calibri" w:hAnsi="Calibri" w:cs="Calibri"/>
          <w:sz w:val="24"/>
          <w:szCs w:val="24"/>
        </w:rPr>
        <w:t xml:space="preserve">Memorandum </w:t>
      </w:r>
      <w:r w:rsidR="00D364E0" w:rsidRPr="00995237">
        <w:rPr>
          <w:rFonts w:ascii="Calibri" w:hAnsi="Calibri" w:cs="Calibri"/>
          <w:sz w:val="24"/>
          <w:szCs w:val="24"/>
        </w:rPr>
        <w:t>deklaruj</w:t>
      </w:r>
      <w:r w:rsidRPr="00995237">
        <w:rPr>
          <w:rFonts w:ascii="Calibri" w:hAnsi="Calibri" w:cs="Calibri"/>
          <w:sz w:val="24"/>
          <w:szCs w:val="24"/>
        </w:rPr>
        <w:t>e</w:t>
      </w:r>
      <w:r w:rsidR="00D364E0" w:rsidRPr="00995237">
        <w:rPr>
          <w:rFonts w:ascii="Calibri" w:hAnsi="Calibri" w:cs="Calibri"/>
          <w:sz w:val="24"/>
          <w:szCs w:val="24"/>
        </w:rPr>
        <w:t xml:space="preserve"> </w:t>
      </w:r>
      <w:r w:rsidRPr="00995237">
        <w:rPr>
          <w:rFonts w:ascii="Calibri" w:hAnsi="Calibri" w:cs="Calibri"/>
          <w:sz w:val="24"/>
          <w:szCs w:val="24"/>
        </w:rPr>
        <w:t xml:space="preserve">zájem zúčastněných </w:t>
      </w:r>
      <w:r w:rsidR="00426665" w:rsidRPr="00995237">
        <w:rPr>
          <w:rFonts w:ascii="Calibri" w:hAnsi="Calibri" w:cs="Calibri"/>
          <w:sz w:val="24"/>
          <w:szCs w:val="24"/>
        </w:rPr>
        <w:t xml:space="preserve">států </w:t>
      </w:r>
      <w:r w:rsidRPr="00995237">
        <w:rPr>
          <w:rFonts w:ascii="Calibri" w:hAnsi="Calibri" w:cs="Calibri"/>
          <w:sz w:val="24"/>
          <w:szCs w:val="24"/>
        </w:rPr>
        <w:t xml:space="preserve">o uvedený projekt. </w:t>
      </w:r>
      <w:r w:rsidR="00D364E0" w:rsidRPr="00995237">
        <w:rPr>
          <w:rFonts w:ascii="Calibri" w:hAnsi="Calibri" w:cs="Calibri"/>
          <w:sz w:val="24"/>
          <w:szCs w:val="24"/>
        </w:rPr>
        <w:t xml:space="preserve">Žádný právně závazný dokument vymezující závazky jednotlivých států </w:t>
      </w:r>
      <w:r w:rsidRPr="00995237">
        <w:rPr>
          <w:rFonts w:ascii="Calibri" w:hAnsi="Calibri" w:cs="Calibri"/>
          <w:sz w:val="24"/>
          <w:szCs w:val="24"/>
        </w:rPr>
        <w:t xml:space="preserve">týkající se projektu však </w:t>
      </w:r>
      <w:r w:rsidR="00D364E0" w:rsidRPr="00995237">
        <w:rPr>
          <w:rFonts w:ascii="Calibri" w:hAnsi="Calibri" w:cs="Calibri"/>
          <w:sz w:val="24"/>
          <w:szCs w:val="24"/>
        </w:rPr>
        <w:t xml:space="preserve">do doby ukončení kontroly </w:t>
      </w:r>
      <w:r w:rsidR="004715FC" w:rsidRPr="00995237">
        <w:rPr>
          <w:rFonts w:ascii="Calibri" w:hAnsi="Calibri" w:cs="Calibri"/>
          <w:sz w:val="24"/>
          <w:szCs w:val="24"/>
        </w:rPr>
        <w:t xml:space="preserve">NKÚ </w:t>
      </w:r>
      <w:r w:rsidR="00D364E0" w:rsidRPr="00995237">
        <w:rPr>
          <w:rFonts w:ascii="Calibri" w:hAnsi="Calibri" w:cs="Calibri"/>
          <w:sz w:val="24"/>
          <w:szCs w:val="24"/>
        </w:rPr>
        <w:t>nebyl uzavřen.</w:t>
      </w:r>
    </w:p>
    <w:p w14:paraId="387586DF" w14:textId="77777777" w:rsidR="00060459" w:rsidRPr="00995237" w:rsidRDefault="00060459" w:rsidP="00995237">
      <w:pPr>
        <w:spacing w:after="0" w:line="264" w:lineRule="auto"/>
        <w:jc w:val="both"/>
        <w:rPr>
          <w:rFonts w:ascii="Calibri" w:hAnsi="Calibri" w:cs="Calibri"/>
          <w:sz w:val="24"/>
          <w:szCs w:val="24"/>
        </w:rPr>
      </w:pPr>
    </w:p>
    <w:p w14:paraId="0FC3E1B2" w14:textId="219527D6" w:rsidR="006873C1"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V období let 1998–2018 MD vypracovalo, resp. zajistilo vypracování celkem 55 analýz, studií a</w:t>
      </w:r>
      <w:r w:rsidR="005E25DC" w:rsidRPr="00995237">
        <w:rPr>
          <w:rFonts w:ascii="Calibri" w:hAnsi="Calibri" w:cs="Calibri"/>
          <w:sz w:val="24"/>
          <w:szCs w:val="24"/>
        </w:rPr>
        <w:t> </w:t>
      </w:r>
      <w:r w:rsidRPr="00995237">
        <w:rPr>
          <w:rFonts w:ascii="Calibri" w:hAnsi="Calibri" w:cs="Calibri"/>
          <w:sz w:val="24"/>
          <w:szCs w:val="24"/>
        </w:rPr>
        <w:t>dalších dokumentů týkajících se záměru DOL. Náklady na tyto materiály MD vyčíslilo jen u</w:t>
      </w:r>
      <w:r w:rsidR="008E46EC" w:rsidRPr="00995237">
        <w:rPr>
          <w:rFonts w:ascii="Calibri" w:hAnsi="Calibri" w:cs="Calibri"/>
          <w:sz w:val="24"/>
          <w:szCs w:val="24"/>
        </w:rPr>
        <w:t> </w:t>
      </w:r>
      <w:r w:rsidRPr="00995237">
        <w:rPr>
          <w:rFonts w:ascii="Calibri" w:hAnsi="Calibri" w:cs="Calibri"/>
          <w:sz w:val="24"/>
          <w:szCs w:val="24"/>
        </w:rPr>
        <w:t xml:space="preserve">šesti z nich, a to v celkové částce 34,2 mil. Kč. Z toho 27 mil. </w:t>
      </w:r>
      <w:r w:rsidR="0042122E" w:rsidRPr="00995237">
        <w:rPr>
          <w:rFonts w:ascii="Calibri" w:hAnsi="Calibri" w:cs="Calibri"/>
          <w:sz w:val="24"/>
          <w:szCs w:val="24"/>
        </w:rPr>
        <w:t xml:space="preserve">Kč připadá </w:t>
      </w:r>
      <w:r w:rsidRPr="00995237">
        <w:rPr>
          <w:rFonts w:ascii="Calibri" w:hAnsi="Calibri" w:cs="Calibri"/>
          <w:sz w:val="24"/>
          <w:szCs w:val="24"/>
        </w:rPr>
        <w:t xml:space="preserve">na dokument </w:t>
      </w:r>
      <w:r w:rsidRPr="00435EF1">
        <w:rPr>
          <w:rFonts w:ascii="Calibri" w:hAnsi="Calibri" w:cs="Calibri"/>
          <w:i/>
          <w:sz w:val="24"/>
          <w:szCs w:val="24"/>
        </w:rPr>
        <w:t>Studie proveditelnosti vodního koridoru Dunaj</w:t>
      </w:r>
      <w:r w:rsidR="005E25DC" w:rsidRPr="00435EF1">
        <w:rPr>
          <w:rFonts w:ascii="Calibri" w:hAnsi="Calibri" w:cs="Calibri"/>
          <w:i/>
          <w:sz w:val="24"/>
          <w:szCs w:val="24"/>
        </w:rPr>
        <w:t>-</w:t>
      </w:r>
      <w:r w:rsidRPr="00435EF1">
        <w:rPr>
          <w:rFonts w:ascii="Calibri" w:hAnsi="Calibri" w:cs="Calibri"/>
          <w:i/>
          <w:sz w:val="24"/>
          <w:szCs w:val="24"/>
        </w:rPr>
        <w:t>Odra</w:t>
      </w:r>
      <w:r w:rsidR="005E25DC" w:rsidRPr="00435EF1">
        <w:rPr>
          <w:rFonts w:ascii="Calibri" w:hAnsi="Calibri" w:cs="Calibri"/>
          <w:i/>
          <w:sz w:val="24"/>
          <w:szCs w:val="24"/>
        </w:rPr>
        <w:t>-</w:t>
      </w:r>
      <w:r w:rsidRPr="00435EF1">
        <w:rPr>
          <w:rFonts w:ascii="Calibri" w:hAnsi="Calibri" w:cs="Calibri"/>
          <w:i/>
          <w:sz w:val="24"/>
          <w:szCs w:val="24"/>
        </w:rPr>
        <w:t>Labe</w:t>
      </w:r>
      <w:r w:rsidRPr="00995237">
        <w:rPr>
          <w:rFonts w:ascii="Calibri" w:hAnsi="Calibri" w:cs="Calibri"/>
          <w:sz w:val="24"/>
          <w:szCs w:val="24"/>
        </w:rPr>
        <w:t xml:space="preserve"> z prosince 2018 (dále také „</w:t>
      </w:r>
      <w:r w:rsidR="0042122E" w:rsidRPr="00995237">
        <w:rPr>
          <w:rFonts w:ascii="Calibri" w:hAnsi="Calibri" w:cs="Calibri"/>
          <w:sz w:val="24"/>
          <w:szCs w:val="24"/>
        </w:rPr>
        <w:t>s</w:t>
      </w:r>
      <w:r w:rsidRPr="00995237">
        <w:rPr>
          <w:rFonts w:ascii="Calibri" w:hAnsi="Calibri" w:cs="Calibri"/>
          <w:sz w:val="24"/>
          <w:szCs w:val="24"/>
        </w:rPr>
        <w:t>tudie DOL“).</w:t>
      </w:r>
    </w:p>
    <w:p w14:paraId="68B6247B" w14:textId="77777777" w:rsidR="00304B99" w:rsidRPr="00995237" w:rsidRDefault="00304B99" w:rsidP="00995237">
      <w:pPr>
        <w:spacing w:after="0" w:line="264" w:lineRule="auto"/>
        <w:jc w:val="both"/>
        <w:rPr>
          <w:rFonts w:ascii="Calibri" w:hAnsi="Calibri" w:cs="Calibri"/>
          <w:sz w:val="24"/>
          <w:szCs w:val="24"/>
        </w:rPr>
      </w:pPr>
    </w:p>
    <w:p w14:paraId="2EA27314" w14:textId="77777777" w:rsidR="00304B99" w:rsidRPr="00995237" w:rsidRDefault="00E8036B" w:rsidP="00995237">
      <w:pPr>
        <w:tabs>
          <w:tab w:val="num" w:pos="1000"/>
        </w:tabs>
        <w:spacing w:after="0" w:line="264" w:lineRule="auto"/>
        <w:jc w:val="both"/>
        <w:rPr>
          <w:rFonts w:ascii="Calibri" w:hAnsi="Calibri" w:cs="Calibri"/>
          <w:sz w:val="24"/>
          <w:szCs w:val="24"/>
        </w:rPr>
      </w:pPr>
      <w:r w:rsidRPr="00995237">
        <w:rPr>
          <w:rFonts w:ascii="Calibri" w:hAnsi="Calibri" w:cs="Calibri"/>
          <w:sz w:val="24"/>
          <w:szCs w:val="24"/>
        </w:rPr>
        <w:t xml:space="preserve">Studie DOL </w:t>
      </w:r>
      <w:r w:rsidR="00060459" w:rsidRPr="00995237">
        <w:rPr>
          <w:rFonts w:ascii="Calibri" w:hAnsi="Calibri" w:cs="Calibri"/>
          <w:sz w:val="24"/>
          <w:szCs w:val="24"/>
        </w:rPr>
        <w:t>je prvním komplexním materiálem, jehož výsledkem je souhrnné a zároveň podrobné vyhodnocení technické a ekonomické proveditelnosti projektu DOL. V</w:t>
      </w:r>
      <w:r w:rsidRPr="00995237">
        <w:rPr>
          <w:rFonts w:ascii="Calibri" w:hAnsi="Calibri" w:cs="Calibri"/>
          <w:sz w:val="24"/>
          <w:szCs w:val="24"/>
        </w:rPr>
        <w:t xml:space="preserve"> rámci technické analýzy </w:t>
      </w:r>
      <w:r w:rsidR="00060459" w:rsidRPr="00995237">
        <w:rPr>
          <w:rFonts w:ascii="Calibri" w:hAnsi="Calibri" w:cs="Calibri"/>
          <w:sz w:val="24"/>
          <w:szCs w:val="24"/>
        </w:rPr>
        <w:t xml:space="preserve">se </w:t>
      </w:r>
      <w:r w:rsidR="00426665" w:rsidRPr="00995237">
        <w:rPr>
          <w:rFonts w:ascii="Calibri" w:hAnsi="Calibri" w:cs="Calibri"/>
          <w:sz w:val="24"/>
          <w:szCs w:val="24"/>
        </w:rPr>
        <w:t xml:space="preserve">tato studie </w:t>
      </w:r>
      <w:r w:rsidRPr="00995237">
        <w:rPr>
          <w:rFonts w:ascii="Calibri" w:hAnsi="Calibri" w:cs="Calibri"/>
          <w:sz w:val="24"/>
          <w:szCs w:val="24"/>
        </w:rPr>
        <w:t xml:space="preserve">zabývala celkem </w:t>
      </w:r>
      <w:r w:rsidR="00060459" w:rsidRPr="00995237">
        <w:rPr>
          <w:rFonts w:ascii="Calibri" w:hAnsi="Calibri" w:cs="Calibri"/>
          <w:sz w:val="24"/>
          <w:szCs w:val="24"/>
        </w:rPr>
        <w:t>osmnácti</w:t>
      </w:r>
      <w:r w:rsidRPr="00995237">
        <w:rPr>
          <w:rFonts w:ascii="Calibri" w:hAnsi="Calibri" w:cs="Calibri"/>
          <w:sz w:val="24"/>
          <w:szCs w:val="24"/>
        </w:rPr>
        <w:t xml:space="preserve"> variantami možných tras koridoru DOL, z nichž doporučila jednu trasu pro každou z větví s variantním řešením napojení dunajské větve na Dunaj nebo na Váh. </w:t>
      </w:r>
      <w:r w:rsidR="000F29CF" w:rsidRPr="00995237">
        <w:rPr>
          <w:rFonts w:ascii="Calibri" w:hAnsi="Calibri" w:cs="Calibri"/>
          <w:sz w:val="24"/>
          <w:szCs w:val="24"/>
        </w:rPr>
        <w:t>V případě labské větve se zabývala vybudováním plavebního spojení mezi Pardubicemi a napojením na dunajsko-oderskou větev. Navýšením parametrů labsko-vltavské vodní cesty v úseku do Pardubic se nezabývala.</w:t>
      </w:r>
    </w:p>
    <w:p w14:paraId="29258B6D" w14:textId="77777777" w:rsidR="00304B99" w:rsidRPr="00995237" w:rsidRDefault="00304B99" w:rsidP="00995237">
      <w:pPr>
        <w:spacing w:after="0" w:line="264" w:lineRule="auto"/>
        <w:jc w:val="both"/>
        <w:rPr>
          <w:rFonts w:ascii="Calibri" w:hAnsi="Calibri" w:cs="Calibri"/>
          <w:sz w:val="24"/>
          <w:szCs w:val="24"/>
        </w:rPr>
      </w:pPr>
    </w:p>
    <w:p w14:paraId="2062A12D" w14:textId="7225F78F" w:rsidR="00060459" w:rsidRPr="00995237" w:rsidRDefault="00E8036B" w:rsidP="00995237">
      <w:pPr>
        <w:spacing w:after="0" w:line="264" w:lineRule="auto"/>
        <w:jc w:val="both"/>
        <w:rPr>
          <w:rFonts w:ascii="Calibri" w:hAnsi="Calibri" w:cs="Calibri"/>
          <w:b/>
          <w:sz w:val="24"/>
          <w:szCs w:val="24"/>
        </w:rPr>
      </w:pPr>
      <w:r w:rsidRPr="00995237">
        <w:rPr>
          <w:rFonts w:ascii="Calibri" w:hAnsi="Calibri" w:cs="Calibri"/>
          <w:b/>
          <w:sz w:val="24"/>
          <w:szCs w:val="24"/>
        </w:rPr>
        <w:t xml:space="preserve">Z výsledků </w:t>
      </w:r>
      <w:r w:rsidR="0042122E" w:rsidRPr="00995237">
        <w:rPr>
          <w:rFonts w:ascii="Calibri" w:hAnsi="Calibri" w:cs="Calibri"/>
          <w:b/>
          <w:sz w:val="24"/>
          <w:szCs w:val="24"/>
        </w:rPr>
        <w:t>s</w:t>
      </w:r>
      <w:r w:rsidRPr="00995237">
        <w:rPr>
          <w:rFonts w:ascii="Calibri" w:hAnsi="Calibri" w:cs="Calibri"/>
          <w:b/>
          <w:sz w:val="24"/>
          <w:szCs w:val="24"/>
        </w:rPr>
        <w:t>tudie DOL vyplývá, že výstavba koridoru DOL v plné variantě propojující Dunaj, Odru a Labe by byla spojena s řadou rizik, která by mohla způsobit neúčelnost a</w:t>
      </w:r>
      <w:r w:rsidR="00BE7C76" w:rsidRPr="00995237">
        <w:rPr>
          <w:rFonts w:ascii="Calibri" w:hAnsi="Calibri" w:cs="Calibri"/>
          <w:b/>
          <w:sz w:val="24"/>
          <w:szCs w:val="24"/>
        </w:rPr>
        <w:t> </w:t>
      </w:r>
      <w:r w:rsidRPr="00995237">
        <w:rPr>
          <w:rFonts w:ascii="Calibri" w:hAnsi="Calibri" w:cs="Calibri"/>
          <w:b/>
          <w:sz w:val="24"/>
          <w:szCs w:val="24"/>
        </w:rPr>
        <w:t>neefektivnost vynakládání prostředků na přípravu a realizaci projektu v tomto rozsahu. Kromě dvou úseků Labe s problematickou splavností, které mají být řešeny plavebními stupni Děčín a Přelouč II, je u labské větve DOL velkým rizikem její investiční náročnost a</w:t>
      </w:r>
      <w:r w:rsidR="00BE7C76" w:rsidRPr="00995237">
        <w:rPr>
          <w:rFonts w:ascii="Calibri" w:hAnsi="Calibri" w:cs="Calibri"/>
          <w:b/>
          <w:sz w:val="24"/>
          <w:szCs w:val="24"/>
        </w:rPr>
        <w:t> </w:t>
      </w:r>
      <w:r w:rsidRPr="00995237">
        <w:rPr>
          <w:rFonts w:ascii="Calibri" w:hAnsi="Calibri" w:cs="Calibri"/>
          <w:b/>
          <w:sz w:val="24"/>
          <w:szCs w:val="24"/>
        </w:rPr>
        <w:t>vysok</w:t>
      </w:r>
      <w:r w:rsidR="005E7860" w:rsidRPr="00995237">
        <w:rPr>
          <w:rFonts w:ascii="Calibri" w:hAnsi="Calibri" w:cs="Calibri"/>
          <w:b/>
          <w:sz w:val="24"/>
          <w:szCs w:val="24"/>
        </w:rPr>
        <w:t>á</w:t>
      </w:r>
      <w:r w:rsidRPr="00995237">
        <w:rPr>
          <w:rFonts w:ascii="Calibri" w:hAnsi="Calibri" w:cs="Calibri"/>
          <w:b/>
          <w:sz w:val="24"/>
          <w:szCs w:val="24"/>
        </w:rPr>
        <w:t xml:space="preserve"> citlivost na možnou změnu kritických proměnných </w:t>
      </w:r>
      <w:r w:rsidRPr="00995237">
        <w:rPr>
          <w:rFonts w:ascii="Calibri" w:hAnsi="Calibri" w:cs="Calibri"/>
          <w:sz w:val="24"/>
          <w:szCs w:val="24"/>
        </w:rPr>
        <w:t>(</w:t>
      </w:r>
      <w:r w:rsidR="00B954DD" w:rsidRPr="00995237">
        <w:rPr>
          <w:rFonts w:ascii="Calibri" w:hAnsi="Calibri" w:cs="Calibri"/>
          <w:sz w:val="24"/>
          <w:szCs w:val="24"/>
        </w:rPr>
        <w:t>navýšení investičních nákladů a </w:t>
      </w:r>
      <w:r w:rsidRPr="00995237">
        <w:rPr>
          <w:rFonts w:ascii="Calibri" w:hAnsi="Calibri" w:cs="Calibri"/>
          <w:sz w:val="24"/>
          <w:szCs w:val="24"/>
        </w:rPr>
        <w:t>snížení přepravní poptávky)</w:t>
      </w:r>
      <w:r w:rsidRPr="00995237">
        <w:rPr>
          <w:rFonts w:ascii="Calibri" w:hAnsi="Calibri" w:cs="Calibri"/>
          <w:b/>
          <w:sz w:val="24"/>
          <w:szCs w:val="24"/>
        </w:rPr>
        <w:t>.</w:t>
      </w:r>
    </w:p>
    <w:p w14:paraId="02CE0741" w14:textId="77777777" w:rsidR="00060459" w:rsidRPr="00995237" w:rsidRDefault="00060459" w:rsidP="00995237">
      <w:pPr>
        <w:spacing w:after="0" w:line="264" w:lineRule="auto"/>
        <w:jc w:val="both"/>
        <w:rPr>
          <w:rFonts w:ascii="Calibri" w:hAnsi="Calibri" w:cs="Calibri"/>
          <w:sz w:val="24"/>
          <w:szCs w:val="24"/>
        </w:rPr>
      </w:pPr>
    </w:p>
    <w:p w14:paraId="34F8FC2A" w14:textId="77777777" w:rsidR="0005543A"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Celkové předpokládané investiční náklady plné varianty </w:t>
      </w:r>
      <w:r w:rsidR="00B1247F" w:rsidRPr="00995237">
        <w:rPr>
          <w:rFonts w:ascii="Calibri" w:hAnsi="Calibri" w:cs="Calibri"/>
          <w:sz w:val="24"/>
          <w:szCs w:val="24"/>
        </w:rPr>
        <w:t xml:space="preserve">DOL </w:t>
      </w:r>
      <w:r w:rsidRPr="00995237">
        <w:rPr>
          <w:rFonts w:ascii="Calibri" w:hAnsi="Calibri" w:cs="Calibri"/>
          <w:sz w:val="24"/>
          <w:szCs w:val="24"/>
        </w:rPr>
        <w:t>činí 613,9 mld. Kč</w:t>
      </w:r>
      <w:r w:rsidR="0042122E" w:rsidRPr="00995237">
        <w:rPr>
          <w:rFonts w:ascii="Calibri" w:hAnsi="Calibri" w:cs="Calibri"/>
          <w:sz w:val="24"/>
          <w:szCs w:val="24"/>
        </w:rPr>
        <w:t>, z</w:t>
      </w:r>
      <w:r w:rsidRPr="00995237">
        <w:rPr>
          <w:rFonts w:ascii="Calibri" w:hAnsi="Calibri" w:cs="Calibri"/>
          <w:sz w:val="24"/>
          <w:szCs w:val="24"/>
        </w:rPr>
        <w:t xml:space="preserve"> toho na labskou větev připadá 302,6 mld. Kč. </w:t>
      </w:r>
      <w:r w:rsidR="00B1247F" w:rsidRPr="00995237">
        <w:rPr>
          <w:rFonts w:ascii="Calibri" w:hAnsi="Calibri" w:cs="Calibri"/>
          <w:sz w:val="24"/>
          <w:szCs w:val="24"/>
        </w:rPr>
        <w:t xml:space="preserve">Roční provozní náklady pro tuto variantu byly vyčísleny na 543 mil. Kč. Výrazně méně nákladná </w:t>
      </w:r>
      <w:r w:rsidR="0042122E" w:rsidRPr="00995237">
        <w:rPr>
          <w:rFonts w:ascii="Calibri" w:hAnsi="Calibri" w:cs="Calibri"/>
          <w:sz w:val="24"/>
          <w:szCs w:val="24"/>
        </w:rPr>
        <w:t xml:space="preserve">by byla </w:t>
      </w:r>
      <w:r w:rsidR="00B1247F" w:rsidRPr="00995237">
        <w:rPr>
          <w:rFonts w:ascii="Calibri" w:hAnsi="Calibri" w:cs="Calibri"/>
          <w:sz w:val="24"/>
          <w:szCs w:val="24"/>
        </w:rPr>
        <w:t xml:space="preserve">redukovaná </w:t>
      </w:r>
      <w:r w:rsidRPr="00995237">
        <w:rPr>
          <w:rFonts w:ascii="Calibri" w:hAnsi="Calibri" w:cs="Calibri"/>
          <w:sz w:val="24"/>
          <w:szCs w:val="24"/>
        </w:rPr>
        <w:t>variant</w:t>
      </w:r>
      <w:r w:rsidR="00B1247F" w:rsidRPr="00995237">
        <w:rPr>
          <w:rFonts w:ascii="Calibri" w:hAnsi="Calibri" w:cs="Calibri"/>
          <w:sz w:val="24"/>
          <w:szCs w:val="24"/>
        </w:rPr>
        <w:t>a</w:t>
      </w:r>
      <w:r w:rsidRPr="00995237">
        <w:rPr>
          <w:rFonts w:ascii="Calibri" w:hAnsi="Calibri" w:cs="Calibri"/>
          <w:sz w:val="24"/>
          <w:szCs w:val="24"/>
        </w:rPr>
        <w:t xml:space="preserve"> </w:t>
      </w:r>
      <w:r w:rsidR="00B1247F" w:rsidRPr="00995237">
        <w:rPr>
          <w:rFonts w:ascii="Calibri" w:hAnsi="Calibri" w:cs="Calibri"/>
          <w:sz w:val="24"/>
          <w:szCs w:val="24"/>
        </w:rPr>
        <w:t xml:space="preserve">propojující </w:t>
      </w:r>
      <w:r w:rsidR="0042122E" w:rsidRPr="00995237">
        <w:rPr>
          <w:rFonts w:ascii="Calibri" w:hAnsi="Calibri" w:cs="Calibri"/>
          <w:sz w:val="24"/>
          <w:szCs w:val="24"/>
        </w:rPr>
        <w:t xml:space="preserve">jen </w:t>
      </w:r>
      <w:r w:rsidR="00B1247F" w:rsidRPr="00995237">
        <w:rPr>
          <w:rFonts w:ascii="Calibri" w:hAnsi="Calibri" w:cs="Calibri"/>
          <w:sz w:val="24"/>
          <w:szCs w:val="24"/>
        </w:rPr>
        <w:t xml:space="preserve">Dunaj s Odrou s předpokládanými investičními náklady </w:t>
      </w:r>
      <w:r w:rsidRPr="00995237">
        <w:rPr>
          <w:rFonts w:ascii="Calibri" w:hAnsi="Calibri" w:cs="Calibri"/>
          <w:sz w:val="24"/>
          <w:szCs w:val="24"/>
        </w:rPr>
        <w:t>311,3 mld. Kč</w:t>
      </w:r>
      <w:r w:rsidR="00B1247F" w:rsidRPr="00995237">
        <w:rPr>
          <w:rFonts w:ascii="Calibri" w:hAnsi="Calibri" w:cs="Calibri"/>
          <w:sz w:val="24"/>
          <w:szCs w:val="24"/>
        </w:rPr>
        <w:t xml:space="preserve"> a ročními provozními náklady</w:t>
      </w:r>
      <w:r w:rsidRPr="00995237">
        <w:rPr>
          <w:rFonts w:ascii="Calibri" w:hAnsi="Calibri" w:cs="Calibri"/>
          <w:sz w:val="24"/>
          <w:szCs w:val="24"/>
        </w:rPr>
        <w:t xml:space="preserve"> 350 mil. Kč. </w:t>
      </w:r>
      <w:r w:rsidR="00B1247F" w:rsidRPr="00995237">
        <w:rPr>
          <w:rFonts w:ascii="Calibri" w:hAnsi="Calibri" w:cs="Calibri"/>
          <w:sz w:val="24"/>
          <w:szCs w:val="24"/>
        </w:rPr>
        <w:t xml:space="preserve">Rizikovost plné varianty DOL vyplývá z výsledků citlivostní analýzy, podle nichž by projekt přestal být ekonomicky efektivní při nárůstu investičních nákladů o pouhá 3,2 %, nebo </w:t>
      </w:r>
      <w:r w:rsidR="0042122E" w:rsidRPr="00995237">
        <w:rPr>
          <w:rFonts w:ascii="Calibri" w:hAnsi="Calibri" w:cs="Calibri"/>
          <w:sz w:val="24"/>
          <w:szCs w:val="24"/>
        </w:rPr>
        <w:t xml:space="preserve">při </w:t>
      </w:r>
      <w:r w:rsidR="00B1247F" w:rsidRPr="00995237">
        <w:rPr>
          <w:rFonts w:ascii="Calibri" w:hAnsi="Calibri" w:cs="Calibri"/>
          <w:sz w:val="24"/>
          <w:szCs w:val="24"/>
        </w:rPr>
        <w:t>poklesu poptávky po přepravě o méně než 5 %. Citlivost redukované varianty na kritické proměnné je výrazně nižší</w:t>
      </w:r>
      <w:r w:rsidR="00B90E79" w:rsidRPr="00995237">
        <w:rPr>
          <w:rFonts w:ascii="Calibri" w:hAnsi="Calibri" w:cs="Calibri"/>
          <w:sz w:val="24"/>
          <w:szCs w:val="24"/>
        </w:rPr>
        <w:t>. Její ekonomická efektivnost by byla zachována i při zvýšení investičních nákladů o 23 %.</w:t>
      </w:r>
    </w:p>
    <w:p w14:paraId="4EEEAFE6" w14:textId="77777777" w:rsidR="00060459" w:rsidRPr="00995237" w:rsidRDefault="00060459" w:rsidP="00995237">
      <w:pPr>
        <w:spacing w:after="0" w:line="264" w:lineRule="auto"/>
        <w:jc w:val="both"/>
        <w:rPr>
          <w:rFonts w:ascii="Calibri" w:hAnsi="Calibri" w:cs="Calibri"/>
          <w:sz w:val="24"/>
          <w:szCs w:val="24"/>
        </w:rPr>
      </w:pPr>
    </w:p>
    <w:p w14:paraId="35DEF6D4" w14:textId="77777777" w:rsidR="00060459" w:rsidRPr="00995237" w:rsidRDefault="00E8036B" w:rsidP="00995237">
      <w:pPr>
        <w:spacing w:after="0" w:line="264" w:lineRule="auto"/>
        <w:jc w:val="both"/>
        <w:rPr>
          <w:rFonts w:ascii="Calibri" w:hAnsi="Calibri" w:cs="Calibri"/>
          <w:b/>
          <w:sz w:val="24"/>
          <w:szCs w:val="24"/>
        </w:rPr>
      </w:pPr>
      <w:r w:rsidRPr="00995237">
        <w:rPr>
          <w:rFonts w:ascii="Calibri" w:hAnsi="Calibri" w:cs="Calibri"/>
          <w:b/>
          <w:sz w:val="24"/>
          <w:szCs w:val="24"/>
        </w:rPr>
        <w:t xml:space="preserve">Ze </w:t>
      </w:r>
      <w:r w:rsidR="0042122E" w:rsidRPr="00995237">
        <w:rPr>
          <w:rFonts w:ascii="Calibri" w:hAnsi="Calibri" w:cs="Calibri"/>
          <w:b/>
          <w:sz w:val="24"/>
          <w:szCs w:val="24"/>
        </w:rPr>
        <w:t>s</w:t>
      </w:r>
      <w:r w:rsidRPr="00995237">
        <w:rPr>
          <w:rFonts w:ascii="Calibri" w:hAnsi="Calibri" w:cs="Calibri"/>
          <w:b/>
          <w:sz w:val="24"/>
          <w:szCs w:val="24"/>
        </w:rPr>
        <w:t xml:space="preserve">tudie DOL vyplývá, že DOL je </w:t>
      </w:r>
      <w:r w:rsidRPr="00995237">
        <w:rPr>
          <w:rFonts w:ascii="Calibri" w:hAnsi="Calibri" w:cs="Calibri"/>
          <w:sz w:val="24"/>
          <w:szCs w:val="24"/>
        </w:rPr>
        <w:t>(i v případě redukované varianty)</w:t>
      </w:r>
      <w:r w:rsidRPr="00995237">
        <w:rPr>
          <w:rFonts w:ascii="Calibri" w:hAnsi="Calibri" w:cs="Calibri"/>
          <w:b/>
          <w:sz w:val="24"/>
          <w:szCs w:val="24"/>
        </w:rPr>
        <w:t xml:space="preserve"> projektem s mezinárodním významem, a to jak ve fázi přípravy a výstavby, tak následného využívání</w:t>
      </w:r>
      <w:r w:rsidR="00B90E79" w:rsidRPr="00995237">
        <w:rPr>
          <w:rFonts w:ascii="Calibri" w:hAnsi="Calibri" w:cs="Calibri"/>
          <w:b/>
          <w:sz w:val="24"/>
          <w:szCs w:val="24"/>
        </w:rPr>
        <w:t xml:space="preserve">. </w:t>
      </w:r>
      <w:r w:rsidRPr="00995237">
        <w:rPr>
          <w:rFonts w:ascii="Calibri" w:hAnsi="Calibri" w:cs="Calibri"/>
          <w:b/>
          <w:bCs/>
          <w:sz w:val="24"/>
          <w:szCs w:val="24"/>
        </w:rPr>
        <w:t xml:space="preserve">Prvním z předpokladů pro pokračování přípravy tohoto projektu je </w:t>
      </w:r>
      <w:r w:rsidR="0042122E" w:rsidRPr="00995237">
        <w:rPr>
          <w:rFonts w:ascii="Calibri" w:hAnsi="Calibri" w:cs="Calibri"/>
          <w:b/>
          <w:bCs/>
          <w:sz w:val="24"/>
          <w:szCs w:val="24"/>
        </w:rPr>
        <w:t xml:space="preserve">tedy </w:t>
      </w:r>
      <w:r w:rsidRPr="00995237">
        <w:rPr>
          <w:rFonts w:ascii="Calibri" w:hAnsi="Calibri" w:cs="Calibri"/>
          <w:b/>
          <w:bCs/>
          <w:sz w:val="24"/>
          <w:szCs w:val="24"/>
        </w:rPr>
        <w:t>dosažení jednoznačně vyjádřené a právně závazně potvrzené shody všech států, kterých se projekt přímo týká</w:t>
      </w:r>
      <w:r w:rsidRPr="00995237">
        <w:rPr>
          <w:rFonts w:ascii="Calibri" w:hAnsi="Calibri" w:cs="Calibri"/>
          <w:bCs/>
          <w:sz w:val="24"/>
          <w:szCs w:val="24"/>
        </w:rPr>
        <w:t xml:space="preserve"> (v</w:t>
      </w:r>
      <w:r w:rsidR="00B90E79" w:rsidRPr="00995237">
        <w:rPr>
          <w:rFonts w:ascii="Calibri" w:hAnsi="Calibri" w:cs="Calibri"/>
          <w:bCs/>
          <w:sz w:val="24"/>
          <w:szCs w:val="24"/>
        </w:rPr>
        <w:t xml:space="preserve"> redukované</w:t>
      </w:r>
      <w:r w:rsidRPr="00995237">
        <w:rPr>
          <w:rFonts w:ascii="Calibri" w:hAnsi="Calibri" w:cs="Calibri"/>
          <w:bCs/>
          <w:sz w:val="24"/>
          <w:szCs w:val="24"/>
        </w:rPr>
        <w:t xml:space="preserve"> variantě je to Polsko, Slovensko, Rakousko a z důvodu využíván</w:t>
      </w:r>
      <w:r w:rsidR="00AB05CF" w:rsidRPr="00995237">
        <w:rPr>
          <w:rFonts w:ascii="Calibri" w:hAnsi="Calibri" w:cs="Calibri"/>
          <w:bCs/>
          <w:sz w:val="24"/>
          <w:szCs w:val="24"/>
        </w:rPr>
        <w:t>í</w:t>
      </w:r>
      <w:r w:rsidRPr="00995237">
        <w:rPr>
          <w:rFonts w:ascii="Calibri" w:hAnsi="Calibri" w:cs="Calibri"/>
          <w:bCs/>
          <w:sz w:val="24"/>
          <w:szCs w:val="24"/>
        </w:rPr>
        <w:t xml:space="preserve"> vody z Dunaje i Maďarsko)</w:t>
      </w:r>
      <w:r w:rsidR="00B90E79" w:rsidRPr="00995237">
        <w:rPr>
          <w:rFonts w:ascii="Calibri" w:hAnsi="Calibri" w:cs="Calibri"/>
          <w:b/>
          <w:bCs/>
          <w:sz w:val="24"/>
          <w:szCs w:val="24"/>
        </w:rPr>
        <w:t xml:space="preserve"> </w:t>
      </w:r>
      <w:r w:rsidRPr="00995237">
        <w:rPr>
          <w:rFonts w:ascii="Calibri" w:hAnsi="Calibri" w:cs="Calibri"/>
          <w:b/>
          <w:bCs/>
          <w:sz w:val="24"/>
          <w:szCs w:val="24"/>
        </w:rPr>
        <w:t xml:space="preserve">a </w:t>
      </w:r>
      <w:r w:rsidR="00B90E79" w:rsidRPr="00995237">
        <w:rPr>
          <w:rFonts w:ascii="Calibri" w:hAnsi="Calibri" w:cs="Calibri"/>
          <w:b/>
          <w:bCs/>
          <w:sz w:val="24"/>
          <w:szCs w:val="24"/>
        </w:rPr>
        <w:t>Evropské unie</w:t>
      </w:r>
      <w:r w:rsidRPr="00995237">
        <w:rPr>
          <w:rFonts w:ascii="Calibri" w:hAnsi="Calibri" w:cs="Calibri"/>
          <w:b/>
          <w:bCs/>
          <w:sz w:val="24"/>
          <w:szCs w:val="24"/>
        </w:rPr>
        <w:t xml:space="preserve"> na zájmu o jeho budoucí realizaci. Bez tohoto </w:t>
      </w:r>
      <w:r w:rsidRPr="00995237">
        <w:rPr>
          <w:rFonts w:ascii="Calibri" w:hAnsi="Calibri" w:cs="Calibri"/>
          <w:b/>
          <w:bCs/>
          <w:sz w:val="24"/>
          <w:szCs w:val="24"/>
        </w:rPr>
        <w:lastRenderedPageBreak/>
        <w:t xml:space="preserve">kroku je vynakládání </w:t>
      </w:r>
      <w:r w:rsidR="00114EBC" w:rsidRPr="00995237">
        <w:rPr>
          <w:rFonts w:ascii="Calibri" w:hAnsi="Calibri" w:cs="Calibri"/>
          <w:b/>
          <w:bCs/>
          <w:sz w:val="24"/>
          <w:szCs w:val="24"/>
        </w:rPr>
        <w:t xml:space="preserve">dalších peněžních </w:t>
      </w:r>
      <w:r w:rsidRPr="00995237">
        <w:rPr>
          <w:rFonts w:ascii="Calibri" w:hAnsi="Calibri" w:cs="Calibri"/>
          <w:b/>
          <w:bCs/>
          <w:sz w:val="24"/>
          <w:szCs w:val="24"/>
        </w:rPr>
        <w:t xml:space="preserve">prostředků na přípravu koridoru DOL spojeno s rizikem, že budou vynaloženy neúčelně. </w:t>
      </w:r>
    </w:p>
    <w:p w14:paraId="45AFE88D" w14:textId="77777777" w:rsidR="00060459" w:rsidRPr="00995237" w:rsidRDefault="00060459" w:rsidP="00995237">
      <w:pPr>
        <w:spacing w:after="0" w:line="264" w:lineRule="auto"/>
        <w:jc w:val="both"/>
        <w:rPr>
          <w:rFonts w:ascii="Calibri" w:hAnsi="Calibri" w:cs="Calibri"/>
          <w:bCs/>
          <w:sz w:val="24"/>
          <w:szCs w:val="24"/>
        </w:rPr>
      </w:pPr>
    </w:p>
    <w:p w14:paraId="08793248" w14:textId="356826D7" w:rsidR="00060459" w:rsidRPr="00995237" w:rsidRDefault="00E8036B" w:rsidP="00995237">
      <w:pPr>
        <w:spacing w:after="0" w:line="264" w:lineRule="auto"/>
        <w:jc w:val="both"/>
        <w:rPr>
          <w:rFonts w:ascii="Calibri" w:hAnsi="Calibri" w:cs="Calibri"/>
          <w:noProof/>
          <w:sz w:val="24"/>
          <w:szCs w:val="24"/>
        </w:rPr>
      </w:pPr>
      <w:r w:rsidRPr="00995237">
        <w:rPr>
          <w:rFonts w:ascii="Calibri" w:hAnsi="Calibri" w:cs="Calibri"/>
          <w:bCs/>
          <w:sz w:val="24"/>
          <w:szCs w:val="24"/>
        </w:rPr>
        <w:t xml:space="preserve">Nutnou součástí přípravy výstavby koridoru DOL v kterékoliv z variant by </w:t>
      </w:r>
      <w:r w:rsidR="0042122E" w:rsidRPr="00995237">
        <w:rPr>
          <w:rFonts w:ascii="Calibri" w:hAnsi="Calibri" w:cs="Calibri"/>
          <w:bCs/>
          <w:sz w:val="24"/>
          <w:szCs w:val="24"/>
        </w:rPr>
        <w:t xml:space="preserve">také </w:t>
      </w:r>
      <w:r w:rsidRPr="00995237">
        <w:rPr>
          <w:rFonts w:ascii="Calibri" w:hAnsi="Calibri" w:cs="Calibri"/>
          <w:bCs/>
          <w:sz w:val="24"/>
          <w:szCs w:val="24"/>
        </w:rPr>
        <w:t xml:space="preserve">bylo </w:t>
      </w:r>
      <w:r w:rsidRPr="00995237">
        <w:rPr>
          <w:rFonts w:ascii="Calibri" w:hAnsi="Calibri" w:cs="Calibri"/>
          <w:sz w:val="24"/>
          <w:szCs w:val="24"/>
        </w:rPr>
        <w:t>posouzení vlivů toh</w:t>
      </w:r>
      <w:r w:rsidR="0050028A" w:rsidRPr="00995237">
        <w:rPr>
          <w:rFonts w:ascii="Calibri" w:hAnsi="Calibri" w:cs="Calibri"/>
          <w:sz w:val="24"/>
          <w:szCs w:val="24"/>
        </w:rPr>
        <w:t>oto záměru na životní prostředí. S</w:t>
      </w:r>
      <w:r w:rsidRPr="00995237">
        <w:rPr>
          <w:rFonts w:ascii="Calibri" w:hAnsi="Calibri" w:cs="Calibri"/>
          <w:sz w:val="24"/>
          <w:szCs w:val="24"/>
        </w:rPr>
        <w:t xml:space="preserve"> ohledem na rozsah tohoto projektu a jeho přesah na území jiných států (mj. lokality </w:t>
      </w:r>
      <w:r w:rsidRPr="00435EF1">
        <w:rPr>
          <w:rFonts w:ascii="Calibri" w:hAnsi="Calibri" w:cs="Calibri"/>
          <w:i/>
          <w:noProof/>
          <w:sz w:val="24"/>
          <w:szCs w:val="24"/>
        </w:rPr>
        <w:t>N</w:t>
      </w:r>
      <w:r w:rsidR="00192BAE" w:rsidRPr="00435EF1">
        <w:rPr>
          <w:rFonts w:ascii="Calibri" w:hAnsi="Calibri" w:cs="Calibri"/>
          <w:i/>
          <w:noProof/>
          <w:sz w:val="24"/>
          <w:szCs w:val="24"/>
        </w:rPr>
        <w:t>atura</w:t>
      </w:r>
      <w:r w:rsidRPr="00435EF1">
        <w:rPr>
          <w:rFonts w:ascii="Calibri" w:hAnsi="Calibri" w:cs="Calibri"/>
          <w:i/>
          <w:noProof/>
          <w:sz w:val="24"/>
          <w:szCs w:val="24"/>
        </w:rPr>
        <w:t xml:space="preserve"> 2000</w:t>
      </w:r>
      <w:r w:rsidRPr="00995237">
        <w:rPr>
          <w:rFonts w:ascii="Calibri" w:hAnsi="Calibri" w:cs="Calibri"/>
          <w:noProof/>
          <w:sz w:val="24"/>
          <w:szCs w:val="24"/>
        </w:rPr>
        <w:t xml:space="preserve"> na území Polska) </w:t>
      </w:r>
      <w:r w:rsidR="0050028A" w:rsidRPr="00995237">
        <w:rPr>
          <w:rFonts w:ascii="Calibri" w:hAnsi="Calibri" w:cs="Calibri"/>
          <w:noProof/>
          <w:sz w:val="24"/>
          <w:szCs w:val="24"/>
        </w:rPr>
        <w:t xml:space="preserve">lze </w:t>
      </w:r>
      <w:r w:rsidRPr="00995237">
        <w:rPr>
          <w:rFonts w:ascii="Calibri" w:hAnsi="Calibri" w:cs="Calibri"/>
          <w:noProof/>
          <w:sz w:val="24"/>
          <w:szCs w:val="24"/>
        </w:rPr>
        <w:t xml:space="preserve">předpokládat, že by se jednalo o velmi časově a finančně náročný proces s nejistým výsledkem. Svědčí o tom mj. dlouhodobě neúspěšná snaha MD o dokončení posuzování vlivů na životní prostředí projektů PSD a PSP. Reálností získání </w:t>
      </w:r>
      <w:r w:rsidRPr="00995237">
        <w:rPr>
          <w:rFonts w:ascii="Calibri" w:hAnsi="Calibri" w:cs="Calibri"/>
          <w:bCs/>
          <w:sz w:val="24"/>
          <w:szCs w:val="24"/>
        </w:rPr>
        <w:t xml:space="preserve">kladného stanoviska příslušných orgánů ochrany přírody k realizaci projektu DOL se </w:t>
      </w:r>
      <w:r w:rsidR="0050028A" w:rsidRPr="00995237">
        <w:rPr>
          <w:rFonts w:ascii="Calibri" w:hAnsi="Calibri" w:cs="Calibri"/>
          <w:bCs/>
          <w:sz w:val="24"/>
          <w:szCs w:val="24"/>
        </w:rPr>
        <w:t>s</w:t>
      </w:r>
      <w:r w:rsidRPr="00995237">
        <w:rPr>
          <w:rFonts w:ascii="Calibri" w:hAnsi="Calibri" w:cs="Calibri"/>
          <w:bCs/>
          <w:sz w:val="24"/>
          <w:szCs w:val="24"/>
        </w:rPr>
        <w:t>tudie DOL blíže nezabývá.</w:t>
      </w:r>
    </w:p>
    <w:p w14:paraId="2C8AAB74" w14:textId="77777777" w:rsidR="00060459" w:rsidRPr="00995237" w:rsidRDefault="00060459" w:rsidP="00995237">
      <w:pPr>
        <w:spacing w:after="0" w:line="264" w:lineRule="auto"/>
        <w:jc w:val="both"/>
        <w:rPr>
          <w:rFonts w:ascii="Calibri" w:hAnsi="Calibri" w:cs="Calibri"/>
          <w:noProof/>
          <w:sz w:val="24"/>
          <w:szCs w:val="24"/>
        </w:rPr>
      </w:pPr>
    </w:p>
    <w:p w14:paraId="5EE05CED" w14:textId="4F8513F8" w:rsidR="00060459" w:rsidRPr="00995237" w:rsidRDefault="00E8036B" w:rsidP="00995237">
      <w:pPr>
        <w:spacing w:after="0" w:line="264" w:lineRule="auto"/>
        <w:jc w:val="both"/>
        <w:rPr>
          <w:rFonts w:ascii="Calibri" w:hAnsi="Calibri" w:cs="Calibri"/>
          <w:noProof/>
          <w:sz w:val="24"/>
          <w:szCs w:val="24"/>
        </w:rPr>
      </w:pPr>
      <w:r w:rsidRPr="00995237">
        <w:rPr>
          <w:rFonts w:ascii="Calibri" w:hAnsi="Calibri" w:cs="Calibri"/>
          <w:noProof/>
          <w:sz w:val="24"/>
          <w:szCs w:val="24"/>
        </w:rPr>
        <w:t xml:space="preserve">Paradoxem vodní dopravy, který se týká velkých </w:t>
      </w:r>
      <w:r w:rsidR="00A452FF" w:rsidRPr="00995237">
        <w:rPr>
          <w:rFonts w:ascii="Calibri" w:hAnsi="Calibri" w:cs="Calibri"/>
          <w:noProof/>
          <w:sz w:val="24"/>
          <w:szCs w:val="24"/>
        </w:rPr>
        <w:t>infrastruktur</w:t>
      </w:r>
      <w:r w:rsidRPr="00995237">
        <w:rPr>
          <w:rFonts w:ascii="Calibri" w:hAnsi="Calibri" w:cs="Calibri"/>
          <w:noProof/>
          <w:sz w:val="24"/>
          <w:szCs w:val="24"/>
        </w:rPr>
        <w:t>ních projektů na vodních cestách</w:t>
      </w:r>
      <w:r w:rsidR="00A44C6B">
        <w:rPr>
          <w:rFonts w:ascii="Calibri" w:hAnsi="Calibri" w:cs="Calibri"/>
          <w:noProof/>
          <w:sz w:val="24"/>
          <w:szCs w:val="24"/>
        </w:rPr>
        <w:t>,</w:t>
      </w:r>
      <w:r w:rsidRPr="00995237">
        <w:rPr>
          <w:rFonts w:ascii="Calibri" w:hAnsi="Calibri" w:cs="Calibri"/>
          <w:noProof/>
          <w:sz w:val="24"/>
          <w:szCs w:val="24"/>
        </w:rPr>
        <w:t xml:space="preserve"> je, že hlavním argumentem pro jejich prosazování jsou ekologické přínosy těchto projektů spočívající </w:t>
      </w:r>
      <w:r w:rsidR="0050028A" w:rsidRPr="00995237">
        <w:rPr>
          <w:rFonts w:ascii="Calibri" w:hAnsi="Calibri" w:cs="Calibri"/>
          <w:noProof/>
          <w:sz w:val="24"/>
          <w:szCs w:val="24"/>
        </w:rPr>
        <w:t xml:space="preserve">především </w:t>
      </w:r>
      <w:r w:rsidRPr="00995237">
        <w:rPr>
          <w:rFonts w:ascii="Calibri" w:hAnsi="Calibri" w:cs="Calibri"/>
          <w:noProof/>
          <w:sz w:val="24"/>
          <w:szCs w:val="24"/>
        </w:rPr>
        <w:t xml:space="preserve">ve vytvoření předpokladů pro převedení části nákladní dopravy ze silnic na vodní cestu. </w:t>
      </w:r>
      <w:r w:rsidR="0050028A" w:rsidRPr="00995237">
        <w:rPr>
          <w:rFonts w:ascii="Calibri" w:hAnsi="Calibri" w:cs="Calibri"/>
          <w:noProof/>
          <w:sz w:val="24"/>
          <w:szCs w:val="24"/>
        </w:rPr>
        <w:t xml:space="preserve">Přitom zásadní a dlouhodobý </w:t>
      </w:r>
      <w:r w:rsidRPr="00995237">
        <w:rPr>
          <w:rFonts w:ascii="Calibri" w:hAnsi="Calibri" w:cs="Calibri"/>
          <w:noProof/>
          <w:sz w:val="24"/>
          <w:szCs w:val="24"/>
        </w:rPr>
        <w:t>odpor proti těmto stavbám projevují orgány ochrany přírody a ekologičtí aktivisté argumentují</w:t>
      </w:r>
      <w:r w:rsidR="0050028A" w:rsidRPr="00995237">
        <w:rPr>
          <w:rFonts w:ascii="Calibri" w:hAnsi="Calibri" w:cs="Calibri"/>
          <w:noProof/>
          <w:sz w:val="24"/>
          <w:szCs w:val="24"/>
        </w:rPr>
        <w:t>cí</w:t>
      </w:r>
      <w:r w:rsidRPr="00995237">
        <w:rPr>
          <w:rFonts w:ascii="Calibri" w:hAnsi="Calibri" w:cs="Calibri"/>
          <w:noProof/>
          <w:sz w:val="24"/>
          <w:szCs w:val="24"/>
        </w:rPr>
        <w:t xml:space="preserve"> výrazně negativními vlivy </w:t>
      </w:r>
      <w:r w:rsidR="0050028A" w:rsidRPr="00995237">
        <w:rPr>
          <w:rFonts w:ascii="Calibri" w:hAnsi="Calibri" w:cs="Calibri"/>
          <w:noProof/>
          <w:sz w:val="24"/>
          <w:szCs w:val="24"/>
        </w:rPr>
        <w:t xml:space="preserve">těchto projektů </w:t>
      </w:r>
      <w:r w:rsidR="003C1891" w:rsidRPr="00995237">
        <w:rPr>
          <w:rFonts w:ascii="Calibri" w:hAnsi="Calibri" w:cs="Calibri"/>
          <w:noProof/>
          <w:sz w:val="24"/>
          <w:szCs w:val="24"/>
        </w:rPr>
        <w:t>na životní prostřed</w:t>
      </w:r>
      <w:r w:rsidRPr="00995237">
        <w:rPr>
          <w:rFonts w:ascii="Calibri" w:hAnsi="Calibri" w:cs="Calibri"/>
          <w:noProof/>
          <w:sz w:val="24"/>
          <w:szCs w:val="24"/>
        </w:rPr>
        <w:t xml:space="preserve">í. </w:t>
      </w:r>
    </w:p>
    <w:p w14:paraId="6059DD7E" w14:textId="77777777" w:rsidR="00B90E79" w:rsidRPr="00995237" w:rsidRDefault="00B90E79" w:rsidP="00995237">
      <w:pPr>
        <w:spacing w:after="0" w:line="264" w:lineRule="auto"/>
        <w:jc w:val="both"/>
        <w:rPr>
          <w:rFonts w:ascii="Calibri" w:hAnsi="Calibri" w:cs="Calibri"/>
          <w:bCs/>
          <w:sz w:val="24"/>
          <w:szCs w:val="24"/>
        </w:rPr>
      </w:pPr>
    </w:p>
    <w:p w14:paraId="72930C1A" w14:textId="77777777" w:rsidR="00B90E79" w:rsidRPr="00995237" w:rsidRDefault="00E8036B" w:rsidP="00995237">
      <w:pPr>
        <w:spacing w:after="0" w:line="264" w:lineRule="auto"/>
        <w:jc w:val="both"/>
        <w:rPr>
          <w:rFonts w:ascii="Calibri" w:hAnsi="Calibri" w:cs="Calibri"/>
          <w:bCs/>
          <w:sz w:val="24"/>
          <w:szCs w:val="24"/>
        </w:rPr>
      </w:pPr>
      <w:r w:rsidRPr="00995237">
        <w:rPr>
          <w:rFonts w:ascii="Calibri" w:hAnsi="Calibri" w:cs="Calibri"/>
          <w:sz w:val="24"/>
          <w:szCs w:val="24"/>
        </w:rPr>
        <w:t xml:space="preserve">Ve </w:t>
      </w:r>
      <w:r w:rsidR="0050028A" w:rsidRPr="00995237">
        <w:rPr>
          <w:rFonts w:ascii="Calibri" w:hAnsi="Calibri" w:cs="Calibri"/>
          <w:sz w:val="24"/>
          <w:szCs w:val="24"/>
        </w:rPr>
        <w:t>s</w:t>
      </w:r>
      <w:r w:rsidRPr="00995237">
        <w:rPr>
          <w:rFonts w:ascii="Calibri" w:hAnsi="Calibri" w:cs="Calibri"/>
          <w:sz w:val="24"/>
          <w:szCs w:val="24"/>
        </w:rPr>
        <w:t xml:space="preserve">tudii DOL je zdůrazněna komplexnost projektu a potřeba pojímat jej jako ucelené dopravní řešení. Vysoká finanční náročnost případné </w:t>
      </w:r>
      <w:r w:rsidRPr="00995237">
        <w:rPr>
          <w:rFonts w:ascii="Calibri" w:hAnsi="Calibri" w:cs="Calibri"/>
          <w:bCs/>
          <w:sz w:val="24"/>
          <w:szCs w:val="24"/>
        </w:rPr>
        <w:t>výstavby koridoru DOL (</w:t>
      </w:r>
      <w:r w:rsidRPr="00995237">
        <w:rPr>
          <w:rFonts w:ascii="Calibri" w:hAnsi="Calibri" w:cs="Calibri"/>
          <w:sz w:val="24"/>
          <w:szCs w:val="24"/>
        </w:rPr>
        <w:t xml:space="preserve">i </w:t>
      </w:r>
      <w:r w:rsidRPr="00995237">
        <w:rPr>
          <w:rFonts w:ascii="Calibri" w:hAnsi="Calibri" w:cs="Calibri"/>
          <w:bCs/>
          <w:sz w:val="24"/>
          <w:szCs w:val="24"/>
        </w:rPr>
        <w:t xml:space="preserve">ve </w:t>
      </w:r>
      <w:r w:rsidR="0050028A" w:rsidRPr="00995237">
        <w:rPr>
          <w:rFonts w:ascii="Calibri" w:hAnsi="Calibri" w:cs="Calibri"/>
          <w:bCs/>
          <w:sz w:val="24"/>
          <w:szCs w:val="24"/>
        </w:rPr>
        <w:t>s</w:t>
      </w:r>
      <w:r w:rsidRPr="00995237">
        <w:rPr>
          <w:rFonts w:ascii="Calibri" w:hAnsi="Calibri" w:cs="Calibri"/>
          <w:bCs/>
          <w:sz w:val="24"/>
          <w:szCs w:val="24"/>
        </w:rPr>
        <w:t>tudií DOL doporučené redukované variantě), vzdálený časový horizont zahájení výstavby (uvažován byl rok 2030) a</w:t>
      </w:r>
      <w:r w:rsidR="00BE7C76" w:rsidRPr="00995237">
        <w:rPr>
          <w:rFonts w:ascii="Calibri" w:hAnsi="Calibri" w:cs="Calibri"/>
          <w:bCs/>
          <w:sz w:val="24"/>
          <w:szCs w:val="24"/>
        </w:rPr>
        <w:t> </w:t>
      </w:r>
      <w:r w:rsidRPr="00995237">
        <w:rPr>
          <w:rFonts w:ascii="Calibri" w:hAnsi="Calibri" w:cs="Calibri"/>
          <w:bCs/>
          <w:sz w:val="24"/>
          <w:szCs w:val="24"/>
        </w:rPr>
        <w:t>dokončení (rok 2040 pro redukovanou variantu) a nejistota o budoucí dostupnosti zdrojů pro jeho financování představuje další významné riziko. N</w:t>
      </w:r>
      <w:r w:rsidR="003C1891" w:rsidRPr="00995237">
        <w:rPr>
          <w:rFonts w:ascii="Calibri" w:hAnsi="Calibri" w:cs="Calibri"/>
          <w:bCs/>
          <w:sz w:val="24"/>
          <w:szCs w:val="24"/>
        </w:rPr>
        <w:t xml:space="preserve">edokončení projektu kvůli případně chybějícím zdrojům na jeho financování </w:t>
      </w:r>
      <w:r w:rsidRPr="00995237">
        <w:rPr>
          <w:rFonts w:ascii="Calibri" w:hAnsi="Calibri" w:cs="Calibri"/>
          <w:bCs/>
          <w:sz w:val="24"/>
          <w:szCs w:val="24"/>
        </w:rPr>
        <w:t xml:space="preserve">by mohlo způsobit neúčelnost a neefektivnost </w:t>
      </w:r>
      <w:r w:rsidR="0050028A" w:rsidRPr="00995237">
        <w:rPr>
          <w:rFonts w:ascii="Calibri" w:hAnsi="Calibri" w:cs="Calibri"/>
          <w:bCs/>
          <w:sz w:val="24"/>
          <w:szCs w:val="24"/>
        </w:rPr>
        <w:t>již vynaložených</w:t>
      </w:r>
      <w:r w:rsidR="003C1891" w:rsidRPr="00995237">
        <w:rPr>
          <w:rFonts w:ascii="Calibri" w:hAnsi="Calibri" w:cs="Calibri"/>
          <w:bCs/>
          <w:sz w:val="24"/>
          <w:szCs w:val="24"/>
        </w:rPr>
        <w:t xml:space="preserve"> </w:t>
      </w:r>
      <w:r w:rsidR="00114EBC" w:rsidRPr="00995237">
        <w:rPr>
          <w:rFonts w:ascii="Calibri" w:hAnsi="Calibri" w:cs="Calibri"/>
          <w:bCs/>
          <w:sz w:val="24"/>
          <w:szCs w:val="24"/>
        </w:rPr>
        <w:t xml:space="preserve">peněžních </w:t>
      </w:r>
      <w:r w:rsidR="003C1891" w:rsidRPr="00995237">
        <w:rPr>
          <w:rFonts w:ascii="Calibri" w:hAnsi="Calibri" w:cs="Calibri"/>
          <w:bCs/>
          <w:sz w:val="24"/>
          <w:szCs w:val="24"/>
        </w:rPr>
        <w:t>prostředků</w:t>
      </w:r>
      <w:r w:rsidRPr="00995237">
        <w:rPr>
          <w:rFonts w:ascii="Calibri" w:hAnsi="Calibri" w:cs="Calibri"/>
          <w:bCs/>
          <w:sz w:val="24"/>
          <w:szCs w:val="24"/>
        </w:rPr>
        <w:t xml:space="preserve">. </w:t>
      </w:r>
    </w:p>
    <w:p w14:paraId="0E443FC7" w14:textId="77777777" w:rsidR="00B90E79" w:rsidRPr="00995237" w:rsidRDefault="00B90E79" w:rsidP="00995237">
      <w:pPr>
        <w:spacing w:after="0" w:line="264" w:lineRule="auto"/>
        <w:jc w:val="both"/>
        <w:rPr>
          <w:rFonts w:ascii="Calibri" w:hAnsi="Calibri" w:cs="Calibri"/>
          <w:bCs/>
          <w:sz w:val="24"/>
          <w:szCs w:val="24"/>
        </w:rPr>
      </w:pPr>
    </w:p>
    <w:p w14:paraId="6B4F725B" w14:textId="35971958" w:rsidR="00060459" w:rsidRPr="00995237" w:rsidRDefault="00E8036B" w:rsidP="00995237">
      <w:pPr>
        <w:spacing w:after="0" w:line="264" w:lineRule="auto"/>
        <w:jc w:val="both"/>
        <w:rPr>
          <w:rFonts w:ascii="Calibri" w:hAnsi="Calibri" w:cs="Calibri"/>
          <w:bCs/>
          <w:sz w:val="24"/>
          <w:szCs w:val="24"/>
        </w:rPr>
      </w:pPr>
      <w:r w:rsidRPr="00995237">
        <w:rPr>
          <w:rFonts w:ascii="Calibri" w:hAnsi="Calibri" w:cs="Calibri"/>
          <w:bCs/>
          <w:sz w:val="24"/>
          <w:szCs w:val="24"/>
        </w:rPr>
        <w:t xml:space="preserve">Efektivnost koridoru DOL se opírá o společenskoekonomické přínosy, které vycházejí z předpokladů, jejichž správnost, resp. s ohledem na velmi vzdálený časový horizont pravděpodobnost jejich naplnění, </w:t>
      </w:r>
      <w:r w:rsidR="00B90E79" w:rsidRPr="00995237">
        <w:rPr>
          <w:rFonts w:ascii="Calibri" w:hAnsi="Calibri" w:cs="Calibri"/>
          <w:bCs/>
          <w:sz w:val="24"/>
          <w:szCs w:val="24"/>
        </w:rPr>
        <w:t>nebylo možno</w:t>
      </w:r>
      <w:r w:rsidRPr="00995237">
        <w:rPr>
          <w:rFonts w:ascii="Calibri" w:hAnsi="Calibri" w:cs="Calibri"/>
          <w:bCs/>
          <w:sz w:val="24"/>
          <w:szCs w:val="24"/>
        </w:rPr>
        <w:t xml:space="preserve"> z dokladů předložených ke kontrole ověřit. Ze </w:t>
      </w:r>
      <w:r w:rsidR="00A44C6B">
        <w:rPr>
          <w:rFonts w:ascii="Calibri" w:hAnsi="Calibri" w:cs="Calibri"/>
          <w:bCs/>
          <w:sz w:val="24"/>
          <w:szCs w:val="24"/>
        </w:rPr>
        <w:t>s</w:t>
      </w:r>
      <w:r w:rsidRPr="00995237">
        <w:rPr>
          <w:rFonts w:ascii="Calibri" w:hAnsi="Calibri" w:cs="Calibri"/>
          <w:bCs/>
          <w:sz w:val="24"/>
          <w:szCs w:val="24"/>
        </w:rPr>
        <w:t xml:space="preserve">tudie DOL je nicméně </w:t>
      </w:r>
      <w:r w:rsidR="00B90E79" w:rsidRPr="00995237">
        <w:rPr>
          <w:rFonts w:ascii="Calibri" w:hAnsi="Calibri" w:cs="Calibri"/>
          <w:bCs/>
          <w:sz w:val="24"/>
          <w:szCs w:val="24"/>
        </w:rPr>
        <w:t xml:space="preserve">alespoň </w:t>
      </w:r>
      <w:r w:rsidRPr="00995237">
        <w:rPr>
          <w:rFonts w:ascii="Calibri" w:hAnsi="Calibri" w:cs="Calibri"/>
          <w:bCs/>
          <w:sz w:val="24"/>
          <w:szCs w:val="24"/>
        </w:rPr>
        <w:t>zřejmý postup, kterým byly tyto předpoklady stanoveny</w:t>
      </w:r>
      <w:r w:rsidR="00B90E79" w:rsidRPr="00995237">
        <w:rPr>
          <w:rFonts w:ascii="Calibri" w:hAnsi="Calibri" w:cs="Calibri"/>
          <w:bCs/>
          <w:sz w:val="24"/>
          <w:szCs w:val="24"/>
        </w:rPr>
        <w:t>,</w:t>
      </w:r>
      <w:r w:rsidRPr="00995237">
        <w:rPr>
          <w:rFonts w:ascii="Calibri" w:hAnsi="Calibri" w:cs="Calibri"/>
          <w:bCs/>
          <w:sz w:val="24"/>
          <w:szCs w:val="24"/>
        </w:rPr>
        <w:t xml:space="preserve"> i</w:t>
      </w:r>
      <w:r w:rsidR="00175071" w:rsidRPr="00995237">
        <w:rPr>
          <w:rFonts w:ascii="Calibri" w:hAnsi="Calibri" w:cs="Calibri"/>
          <w:bCs/>
          <w:sz w:val="24"/>
          <w:szCs w:val="24"/>
        </w:rPr>
        <w:t> </w:t>
      </w:r>
      <w:r w:rsidRPr="00995237">
        <w:rPr>
          <w:rFonts w:ascii="Calibri" w:hAnsi="Calibri" w:cs="Calibri"/>
          <w:bCs/>
          <w:sz w:val="24"/>
          <w:szCs w:val="24"/>
        </w:rPr>
        <w:t xml:space="preserve">zdroje údajů, z nichž vycházejí. </w:t>
      </w:r>
    </w:p>
    <w:p w14:paraId="61E30EAF" w14:textId="77777777" w:rsidR="00B90E79" w:rsidRPr="00995237" w:rsidRDefault="00B90E79" w:rsidP="00995237">
      <w:pPr>
        <w:spacing w:after="0" w:line="264" w:lineRule="auto"/>
        <w:jc w:val="both"/>
        <w:rPr>
          <w:rFonts w:ascii="Calibri" w:hAnsi="Calibri" w:cs="Calibri"/>
          <w:bCs/>
          <w:sz w:val="24"/>
          <w:szCs w:val="24"/>
        </w:rPr>
      </w:pPr>
    </w:p>
    <w:p w14:paraId="5EB732B4" w14:textId="00B40A22" w:rsidR="00060459"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Záměr DOL není zahrnut v KVD, ani v Komplexním vyhodnocení,</w:t>
      </w:r>
      <w:r w:rsidR="00B90E79" w:rsidRPr="00995237">
        <w:rPr>
          <w:rFonts w:ascii="Calibri" w:hAnsi="Calibri" w:cs="Calibri"/>
          <w:sz w:val="24"/>
          <w:szCs w:val="24"/>
        </w:rPr>
        <w:t xml:space="preserve"> </w:t>
      </w:r>
      <w:r w:rsidRPr="00995237">
        <w:rPr>
          <w:rFonts w:ascii="Calibri" w:hAnsi="Calibri" w:cs="Calibri"/>
          <w:sz w:val="24"/>
          <w:szCs w:val="24"/>
        </w:rPr>
        <w:t xml:space="preserve">a to ani jako výhledový projekt. Studie DOL se naopak nezabývá vlivem dokončení koridoru ve variantě </w:t>
      </w:r>
      <w:proofErr w:type="gramStart"/>
      <w:r w:rsidRPr="00995237">
        <w:rPr>
          <w:rFonts w:ascii="Calibri" w:hAnsi="Calibri" w:cs="Calibri"/>
          <w:sz w:val="24"/>
          <w:szCs w:val="24"/>
        </w:rPr>
        <w:t>D</w:t>
      </w:r>
      <w:r w:rsidR="00A44C6B">
        <w:rPr>
          <w:rFonts w:ascii="Calibri" w:hAnsi="Calibri" w:cs="Calibri"/>
          <w:sz w:val="24"/>
          <w:szCs w:val="24"/>
        </w:rPr>
        <w:t>unaj</w:t>
      </w:r>
      <w:proofErr w:type="gramEnd"/>
      <w:r w:rsidR="00A44C6B">
        <w:rPr>
          <w:rFonts w:ascii="Calibri" w:hAnsi="Calibri" w:cs="Calibri"/>
          <w:sz w:val="24"/>
          <w:szCs w:val="24"/>
        </w:rPr>
        <w:t>–</w:t>
      </w:r>
      <w:proofErr w:type="gramStart"/>
      <w:r w:rsidRPr="00995237">
        <w:rPr>
          <w:rFonts w:ascii="Calibri" w:hAnsi="Calibri" w:cs="Calibri"/>
          <w:sz w:val="24"/>
          <w:szCs w:val="24"/>
        </w:rPr>
        <w:t>O</w:t>
      </w:r>
      <w:r w:rsidR="00A44C6B">
        <w:rPr>
          <w:rFonts w:ascii="Calibri" w:hAnsi="Calibri" w:cs="Calibri"/>
          <w:sz w:val="24"/>
          <w:szCs w:val="24"/>
        </w:rPr>
        <w:t>dra</w:t>
      </w:r>
      <w:proofErr w:type="gramEnd"/>
      <w:r w:rsidRPr="00995237">
        <w:rPr>
          <w:rFonts w:ascii="Calibri" w:hAnsi="Calibri" w:cs="Calibri"/>
          <w:sz w:val="24"/>
          <w:szCs w:val="24"/>
        </w:rPr>
        <w:t xml:space="preserve"> na využití labsko-vltavské vodní cesty, ani možností, že např. z důvodu neprovedení výstavby PSD či PSP bude provoz vodní dopravy na labsko-vltavské cestě omezen. Je přitom zřejmé, že obě tyto vodní cesty se v segmentu mezinárodních přeprav (export a import do a z</w:t>
      </w:r>
      <w:r w:rsidR="00B90E79" w:rsidRPr="00995237">
        <w:rPr>
          <w:rFonts w:ascii="Calibri" w:hAnsi="Calibri" w:cs="Calibri"/>
          <w:sz w:val="24"/>
          <w:szCs w:val="24"/>
        </w:rPr>
        <w:t> České republiky</w:t>
      </w:r>
      <w:r w:rsidRPr="00995237">
        <w:rPr>
          <w:rFonts w:ascii="Calibri" w:hAnsi="Calibri" w:cs="Calibri"/>
          <w:sz w:val="24"/>
          <w:szCs w:val="24"/>
        </w:rPr>
        <w:t>) mohou vzájemně ovlivňovat.</w:t>
      </w:r>
    </w:p>
    <w:p w14:paraId="35210925" w14:textId="77777777" w:rsidR="00060459" w:rsidRPr="00995237" w:rsidRDefault="00060459" w:rsidP="00995237">
      <w:pPr>
        <w:spacing w:after="0" w:line="264" w:lineRule="auto"/>
        <w:jc w:val="both"/>
        <w:rPr>
          <w:rFonts w:ascii="Calibri" w:hAnsi="Calibri" w:cs="Calibri"/>
          <w:sz w:val="24"/>
          <w:szCs w:val="24"/>
        </w:rPr>
      </w:pPr>
    </w:p>
    <w:p w14:paraId="4F689D8B" w14:textId="77777777" w:rsidR="00304B99" w:rsidRPr="00995237" w:rsidRDefault="00E8036B" w:rsidP="00995237">
      <w:pPr>
        <w:keepNext/>
        <w:spacing w:after="0" w:line="264" w:lineRule="auto"/>
        <w:jc w:val="both"/>
        <w:rPr>
          <w:rFonts w:ascii="Calibri" w:hAnsi="Calibri" w:cs="Calibri"/>
          <w:b/>
          <w:sz w:val="24"/>
          <w:szCs w:val="24"/>
        </w:rPr>
      </w:pPr>
      <w:r w:rsidRPr="00995237">
        <w:rPr>
          <w:rFonts w:ascii="Calibri" w:hAnsi="Calibri" w:cs="Calibri"/>
          <w:b/>
          <w:sz w:val="24"/>
          <w:szCs w:val="24"/>
        </w:rPr>
        <w:t>Podpora m</w:t>
      </w:r>
      <w:r w:rsidR="00407E5E" w:rsidRPr="00995237">
        <w:rPr>
          <w:rFonts w:ascii="Calibri" w:hAnsi="Calibri" w:cs="Calibri"/>
          <w:b/>
          <w:sz w:val="24"/>
          <w:szCs w:val="24"/>
        </w:rPr>
        <w:t xml:space="preserve">odernizace </w:t>
      </w:r>
      <w:r w:rsidR="004453E7" w:rsidRPr="00995237">
        <w:rPr>
          <w:rFonts w:ascii="Calibri" w:hAnsi="Calibri" w:cs="Calibri"/>
          <w:b/>
          <w:sz w:val="24"/>
          <w:szCs w:val="24"/>
        </w:rPr>
        <w:t xml:space="preserve">nákladních říčních </w:t>
      </w:r>
      <w:r w:rsidR="00407E5E" w:rsidRPr="00995237">
        <w:rPr>
          <w:rFonts w:ascii="Calibri" w:hAnsi="Calibri" w:cs="Calibri"/>
          <w:b/>
          <w:sz w:val="24"/>
          <w:szCs w:val="24"/>
        </w:rPr>
        <w:t>plavidel</w:t>
      </w:r>
    </w:p>
    <w:p w14:paraId="7B70B3CF" w14:textId="77777777" w:rsidR="00407E5E" w:rsidRPr="00995237" w:rsidRDefault="00407E5E" w:rsidP="00995237">
      <w:pPr>
        <w:keepNext/>
        <w:spacing w:after="0" w:line="264" w:lineRule="auto"/>
        <w:jc w:val="both"/>
        <w:rPr>
          <w:rFonts w:ascii="Calibri" w:hAnsi="Calibri" w:cs="Calibri"/>
          <w:sz w:val="24"/>
          <w:szCs w:val="24"/>
        </w:rPr>
      </w:pPr>
    </w:p>
    <w:p w14:paraId="2DAF15FE" w14:textId="2B1D1FE1" w:rsidR="00BF531D"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MD v období let 2008–2015 rozhod</w:t>
      </w:r>
      <w:r w:rsidR="003209B8" w:rsidRPr="00995237">
        <w:rPr>
          <w:rFonts w:ascii="Calibri" w:hAnsi="Calibri" w:cs="Calibri"/>
          <w:sz w:val="24"/>
          <w:szCs w:val="24"/>
        </w:rPr>
        <w:t>ova</w:t>
      </w:r>
      <w:r w:rsidRPr="00995237">
        <w:rPr>
          <w:rFonts w:ascii="Calibri" w:hAnsi="Calibri" w:cs="Calibri"/>
          <w:sz w:val="24"/>
          <w:szCs w:val="24"/>
        </w:rPr>
        <w:t xml:space="preserve">lo o poskytování podpory určené na modernizaci nákladních říčních plavidel </w:t>
      </w:r>
      <w:r w:rsidR="003209B8" w:rsidRPr="00995237">
        <w:rPr>
          <w:rFonts w:ascii="Calibri" w:hAnsi="Calibri" w:cs="Calibri"/>
          <w:sz w:val="24"/>
          <w:szCs w:val="24"/>
        </w:rPr>
        <w:t>jako správce</w:t>
      </w:r>
      <w:r w:rsidRPr="00995237">
        <w:rPr>
          <w:rFonts w:ascii="Calibri" w:hAnsi="Calibri" w:cs="Calibri"/>
          <w:sz w:val="24"/>
          <w:szCs w:val="24"/>
        </w:rPr>
        <w:t xml:space="preserve"> programu č. 127 550 a </w:t>
      </w:r>
      <w:r w:rsidR="003209B8" w:rsidRPr="00995237">
        <w:rPr>
          <w:rFonts w:ascii="Calibri" w:hAnsi="Calibri" w:cs="Calibri"/>
          <w:sz w:val="24"/>
          <w:szCs w:val="24"/>
        </w:rPr>
        <w:t xml:space="preserve">jako řídicí orgán </w:t>
      </w:r>
      <w:r w:rsidRPr="00995237">
        <w:rPr>
          <w:rFonts w:ascii="Calibri" w:hAnsi="Calibri" w:cs="Calibri"/>
          <w:sz w:val="24"/>
          <w:szCs w:val="24"/>
        </w:rPr>
        <w:t xml:space="preserve">OPD. Program </w:t>
      </w:r>
      <w:r w:rsidRPr="00995237">
        <w:rPr>
          <w:rFonts w:ascii="Calibri" w:hAnsi="Calibri" w:cs="Calibri"/>
          <w:sz w:val="24"/>
          <w:szCs w:val="24"/>
        </w:rPr>
        <w:lastRenderedPageBreak/>
        <w:t>č. 127</w:t>
      </w:r>
      <w:r w:rsidR="00357420" w:rsidRPr="00995237">
        <w:rPr>
          <w:rFonts w:ascii="Calibri" w:hAnsi="Calibri" w:cs="Calibri"/>
          <w:sz w:val="24"/>
          <w:szCs w:val="24"/>
        </w:rPr>
        <w:t> </w:t>
      </w:r>
      <w:r w:rsidRPr="00995237">
        <w:rPr>
          <w:rFonts w:ascii="Calibri" w:hAnsi="Calibri" w:cs="Calibri"/>
          <w:sz w:val="24"/>
          <w:szCs w:val="24"/>
        </w:rPr>
        <w:t>550</w:t>
      </w:r>
      <w:r w:rsidR="00357420" w:rsidRPr="00995237">
        <w:rPr>
          <w:rFonts w:ascii="Calibri" w:hAnsi="Calibri" w:cs="Calibri"/>
          <w:sz w:val="24"/>
          <w:szCs w:val="24"/>
        </w:rPr>
        <w:t xml:space="preserve"> </w:t>
      </w:r>
      <w:r w:rsidRPr="00995237">
        <w:rPr>
          <w:rFonts w:ascii="Calibri" w:hAnsi="Calibri" w:cs="Calibri"/>
          <w:sz w:val="24"/>
          <w:szCs w:val="24"/>
        </w:rPr>
        <w:t xml:space="preserve">byl členěn do tří podprogramů. </w:t>
      </w:r>
      <w:r w:rsidR="00D0037E" w:rsidRPr="00995237">
        <w:rPr>
          <w:rFonts w:ascii="Calibri" w:hAnsi="Calibri" w:cs="Calibri"/>
          <w:sz w:val="24"/>
          <w:szCs w:val="24"/>
        </w:rPr>
        <w:t>Tomuto členění odpovídaly i cíle programu s důrazem na snížení negativních vlivů dopravy na životní prostředí (snížením emisí výfukových plynů ze spalovacích motorů plavidel a převedením části přeprav</w:t>
      </w:r>
      <w:r w:rsidR="00F60DEA">
        <w:rPr>
          <w:rFonts w:ascii="Calibri" w:hAnsi="Calibri" w:cs="Calibri"/>
          <w:sz w:val="24"/>
          <w:szCs w:val="24"/>
        </w:rPr>
        <w:t>y</w:t>
      </w:r>
      <w:r w:rsidR="00D0037E" w:rsidRPr="00995237">
        <w:rPr>
          <w:rFonts w:ascii="Calibri" w:hAnsi="Calibri" w:cs="Calibri"/>
          <w:sz w:val="24"/>
          <w:szCs w:val="24"/>
        </w:rPr>
        <w:t xml:space="preserve"> z pozemních druhů doprav na vnitrozemskou vodní dopravu)</w:t>
      </w:r>
      <w:r w:rsidR="0050028A" w:rsidRPr="00995237">
        <w:rPr>
          <w:rFonts w:ascii="Calibri" w:hAnsi="Calibri" w:cs="Calibri"/>
          <w:sz w:val="24"/>
          <w:szCs w:val="24"/>
        </w:rPr>
        <w:t xml:space="preserve">, zvýšení </w:t>
      </w:r>
      <w:proofErr w:type="spellStart"/>
      <w:r w:rsidR="0050028A" w:rsidRPr="00995237">
        <w:rPr>
          <w:rFonts w:ascii="Calibri" w:hAnsi="Calibri" w:cs="Calibri"/>
          <w:sz w:val="24"/>
          <w:szCs w:val="24"/>
        </w:rPr>
        <w:t>multimodality</w:t>
      </w:r>
      <w:proofErr w:type="spellEnd"/>
      <w:r w:rsidR="0050028A" w:rsidRPr="00995237">
        <w:rPr>
          <w:rFonts w:ascii="Calibri" w:hAnsi="Calibri" w:cs="Calibri"/>
          <w:sz w:val="24"/>
          <w:szCs w:val="24"/>
        </w:rPr>
        <w:t xml:space="preserve"> nákladní dopravy </w:t>
      </w:r>
      <w:r w:rsidR="00D0037E" w:rsidRPr="00995237">
        <w:rPr>
          <w:rFonts w:ascii="Calibri" w:hAnsi="Calibri" w:cs="Calibri"/>
          <w:sz w:val="24"/>
          <w:szCs w:val="24"/>
        </w:rPr>
        <w:t>a na zvýšení bezpečnosti plavby.</w:t>
      </w:r>
    </w:p>
    <w:p w14:paraId="30EB8C9D" w14:textId="77777777" w:rsidR="003209B8" w:rsidRPr="00995237" w:rsidRDefault="003209B8" w:rsidP="00995237">
      <w:pPr>
        <w:spacing w:after="0" w:line="264" w:lineRule="auto"/>
        <w:jc w:val="both"/>
        <w:rPr>
          <w:rFonts w:ascii="Calibri" w:hAnsi="Calibri" w:cs="Calibri"/>
          <w:sz w:val="24"/>
          <w:szCs w:val="24"/>
        </w:rPr>
      </w:pPr>
    </w:p>
    <w:p w14:paraId="577E269F" w14:textId="5B66E62E" w:rsidR="003209B8"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Uvedený program byl navržen jako prováděcí dokumentace OPD za účelem naplnění jeho cílů, konkrétně specifického cíle 6</w:t>
      </w:r>
      <w:r w:rsidR="00F60DEA">
        <w:rPr>
          <w:rFonts w:ascii="Calibri" w:hAnsi="Calibri" w:cs="Calibri"/>
          <w:sz w:val="24"/>
          <w:szCs w:val="24"/>
        </w:rPr>
        <w:t xml:space="preserve"> –</w:t>
      </w:r>
      <w:r w:rsidRPr="00995237">
        <w:rPr>
          <w:rFonts w:ascii="Calibri" w:hAnsi="Calibri" w:cs="Calibri"/>
          <w:sz w:val="24"/>
          <w:szCs w:val="24"/>
        </w:rPr>
        <w:t xml:space="preserve"> </w:t>
      </w:r>
      <w:r w:rsidRPr="00435EF1">
        <w:rPr>
          <w:rFonts w:ascii="Calibri" w:hAnsi="Calibri" w:cs="Calibri"/>
          <w:i/>
          <w:sz w:val="24"/>
          <w:szCs w:val="24"/>
        </w:rPr>
        <w:t xml:space="preserve">Zvýšení </w:t>
      </w:r>
      <w:proofErr w:type="spellStart"/>
      <w:r w:rsidRPr="00435EF1">
        <w:rPr>
          <w:rFonts w:ascii="Calibri" w:hAnsi="Calibri" w:cs="Calibri"/>
          <w:i/>
          <w:sz w:val="24"/>
          <w:szCs w:val="24"/>
        </w:rPr>
        <w:t>multimodality</w:t>
      </w:r>
      <w:proofErr w:type="spellEnd"/>
      <w:r w:rsidRPr="00435EF1">
        <w:rPr>
          <w:rFonts w:ascii="Calibri" w:hAnsi="Calibri" w:cs="Calibri"/>
          <w:i/>
          <w:sz w:val="24"/>
          <w:szCs w:val="24"/>
        </w:rPr>
        <w:t xml:space="preserve"> v nákladní přepravě a zlepšení vnitrozemské vodní dopravy</w:t>
      </w:r>
      <w:r w:rsidRPr="00995237">
        <w:rPr>
          <w:rFonts w:ascii="Calibri" w:hAnsi="Calibri" w:cs="Calibri"/>
          <w:sz w:val="24"/>
          <w:szCs w:val="24"/>
        </w:rPr>
        <w:t>, v rámci prioritní osy 6</w:t>
      </w:r>
      <w:r w:rsidR="00F60DEA">
        <w:rPr>
          <w:rFonts w:ascii="Calibri" w:hAnsi="Calibri" w:cs="Calibri"/>
          <w:sz w:val="24"/>
          <w:szCs w:val="24"/>
        </w:rPr>
        <w:t xml:space="preserve"> –</w:t>
      </w:r>
      <w:r w:rsidRPr="00995237">
        <w:rPr>
          <w:rFonts w:ascii="Calibri" w:hAnsi="Calibri" w:cs="Calibri"/>
          <w:sz w:val="24"/>
          <w:szCs w:val="24"/>
        </w:rPr>
        <w:t xml:space="preserve"> </w:t>
      </w:r>
      <w:r w:rsidRPr="00435EF1">
        <w:rPr>
          <w:rFonts w:ascii="Calibri" w:hAnsi="Calibri" w:cs="Calibri"/>
          <w:i/>
          <w:sz w:val="24"/>
          <w:szCs w:val="24"/>
        </w:rPr>
        <w:t>Podpora multimodální nákladní přepravy a rozvoj vnitrozemské vodní dopravy</w:t>
      </w:r>
      <w:r w:rsidRPr="00995237">
        <w:rPr>
          <w:rFonts w:ascii="Calibri" w:hAnsi="Calibri" w:cs="Calibri"/>
          <w:sz w:val="24"/>
          <w:szCs w:val="24"/>
        </w:rPr>
        <w:t xml:space="preserve">. Globálním cílem prioritní osy 6 OPD bylo zvýšení </w:t>
      </w:r>
      <w:proofErr w:type="spellStart"/>
      <w:r w:rsidRPr="00995237">
        <w:rPr>
          <w:rFonts w:ascii="Calibri" w:hAnsi="Calibri" w:cs="Calibri"/>
          <w:sz w:val="24"/>
          <w:szCs w:val="24"/>
        </w:rPr>
        <w:t>multimodality</w:t>
      </w:r>
      <w:proofErr w:type="spellEnd"/>
      <w:r w:rsidRPr="00995237">
        <w:rPr>
          <w:rFonts w:ascii="Calibri" w:hAnsi="Calibri" w:cs="Calibri"/>
          <w:sz w:val="24"/>
          <w:szCs w:val="24"/>
        </w:rPr>
        <w:t xml:space="preserve"> v nákladní přepravě a zlepšení vnitrozemské vodní dopravy. Specifickými cíli bylo zatraktivnění multimodální nákladní přepravy za účelem snížení negativních vlivů dopravy na životní prostředí a veřejné zdraví snížením podílu silniční nákladní dopravy a zlepšení vnitrozemské vodní dopravy. Předpokládanými výsledky a dopady poskytované podpory mělo být zvýšení podílu vnitrozemské vodní dopravy na přepravních objemech v nákladní dopravě a tím i snížení vlivu silniční dopravy na životní prostředí.</w:t>
      </w:r>
    </w:p>
    <w:p w14:paraId="1D9C7576" w14:textId="77777777" w:rsidR="00D0037E" w:rsidRPr="00995237" w:rsidRDefault="00D0037E" w:rsidP="00995237">
      <w:pPr>
        <w:spacing w:after="0" w:line="264" w:lineRule="auto"/>
        <w:jc w:val="both"/>
        <w:rPr>
          <w:rFonts w:ascii="Calibri" w:hAnsi="Calibri" w:cs="Calibri"/>
          <w:sz w:val="24"/>
          <w:szCs w:val="24"/>
        </w:rPr>
      </w:pPr>
    </w:p>
    <w:p w14:paraId="044A5FC2" w14:textId="1599631B" w:rsidR="00D0037E"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Ministerstvo financí (dále také „MF“) schválilo dokumentaci </w:t>
      </w:r>
      <w:r w:rsidR="00151F2A" w:rsidRPr="00995237">
        <w:rPr>
          <w:rFonts w:ascii="Calibri" w:hAnsi="Calibri" w:cs="Calibri"/>
          <w:sz w:val="24"/>
          <w:szCs w:val="24"/>
        </w:rPr>
        <w:t>p</w:t>
      </w:r>
      <w:r w:rsidRPr="00995237">
        <w:rPr>
          <w:rFonts w:ascii="Calibri" w:hAnsi="Calibri" w:cs="Calibri"/>
          <w:sz w:val="24"/>
          <w:szCs w:val="24"/>
        </w:rPr>
        <w:t>rogramu č. 127 550 v říjnu 2007.</w:t>
      </w:r>
      <w:r w:rsidR="00F60DEA">
        <w:rPr>
          <w:rFonts w:ascii="Calibri" w:hAnsi="Calibri" w:cs="Calibri"/>
          <w:sz w:val="24"/>
          <w:szCs w:val="24"/>
        </w:rPr>
        <w:t xml:space="preserve"> </w:t>
      </w:r>
      <w:r w:rsidRPr="00995237">
        <w:rPr>
          <w:rFonts w:ascii="Calibri" w:hAnsi="Calibri" w:cs="Calibri"/>
          <w:sz w:val="24"/>
          <w:szCs w:val="24"/>
        </w:rPr>
        <w:t>Stanovilo termín jeho realizace do 31. 12. 2013 a termín pro vypracování návrhu jeho závěrečného vyhodnocení do 30. 6. 2014. Zároveň stanovilo bilanci potřeb a zdrojů financování potřeb programu, indikátory dvou a parametry tří podprogramů.</w:t>
      </w:r>
    </w:p>
    <w:p w14:paraId="344844FB" w14:textId="77777777" w:rsidR="00D0037E" w:rsidRPr="00995237" w:rsidRDefault="00D0037E" w:rsidP="00995237">
      <w:pPr>
        <w:spacing w:after="0" w:line="264" w:lineRule="auto"/>
        <w:jc w:val="both"/>
        <w:rPr>
          <w:rFonts w:ascii="Calibri" w:hAnsi="Calibri" w:cs="Calibri"/>
          <w:sz w:val="24"/>
          <w:szCs w:val="24"/>
        </w:rPr>
      </w:pPr>
    </w:p>
    <w:p w14:paraId="538B312A" w14:textId="7FB341AB" w:rsidR="00357420" w:rsidRPr="00995237" w:rsidRDefault="00E8036B" w:rsidP="00995237">
      <w:pPr>
        <w:spacing w:after="0" w:line="264" w:lineRule="auto"/>
        <w:jc w:val="both"/>
        <w:rPr>
          <w:rFonts w:ascii="Calibri" w:hAnsi="Calibri" w:cs="Calibri"/>
          <w:sz w:val="24"/>
          <w:szCs w:val="24"/>
        </w:rPr>
      </w:pPr>
      <w:r w:rsidRPr="00995237">
        <w:rPr>
          <w:rFonts w:ascii="Calibri" w:hAnsi="Calibri" w:cs="Calibri"/>
          <w:b/>
          <w:sz w:val="24"/>
          <w:szCs w:val="24"/>
        </w:rPr>
        <w:t xml:space="preserve">V dokumentaci </w:t>
      </w:r>
      <w:r w:rsidR="00151F2A" w:rsidRPr="00995237">
        <w:rPr>
          <w:rFonts w:ascii="Calibri" w:hAnsi="Calibri" w:cs="Calibri"/>
          <w:b/>
          <w:sz w:val="24"/>
          <w:szCs w:val="24"/>
        </w:rPr>
        <w:t>p</w:t>
      </w:r>
      <w:r w:rsidRPr="00995237">
        <w:rPr>
          <w:rFonts w:ascii="Calibri" w:hAnsi="Calibri" w:cs="Calibri"/>
          <w:b/>
          <w:sz w:val="24"/>
          <w:szCs w:val="24"/>
        </w:rPr>
        <w:t xml:space="preserve">rogramu č. 127 550, v dokladech, jimiž MF tuto dokumentaci schválilo, ani v jiných dokladech, které MD předložilo ke kontrole, není </w:t>
      </w:r>
      <w:r w:rsidR="00A452FF" w:rsidRPr="00995237">
        <w:rPr>
          <w:rFonts w:ascii="Calibri" w:hAnsi="Calibri" w:cs="Calibri"/>
          <w:b/>
          <w:sz w:val="24"/>
          <w:szCs w:val="24"/>
        </w:rPr>
        <w:t xml:space="preserve">dostatečně </w:t>
      </w:r>
      <w:r w:rsidRPr="00995237">
        <w:rPr>
          <w:rFonts w:ascii="Calibri" w:hAnsi="Calibri" w:cs="Calibri"/>
          <w:b/>
          <w:sz w:val="24"/>
          <w:szCs w:val="24"/>
        </w:rPr>
        <w:t xml:space="preserve">vysvětleno, jak byly </w:t>
      </w:r>
      <w:r w:rsidR="00904802" w:rsidRPr="00995237">
        <w:rPr>
          <w:rFonts w:ascii="Calibri" w:hAnsi="Calibri" w:cs="Calibri"/>
          <w:b/>
          <w:sz w:val="24"/>
          <w:szCs w:val="24"/>
        </w:rPr>
        <w:t xml:space="preserve">stanoveny </w:t>
      </w:r>
      <w:r w:rsidRPr="00995237">
        <w:rPr>
          <w:rFonts w:ascii="Calibri" w:hAnsi="Calibri" w:cs="Calibri"/>
          <w:b/>
          <w:sz w:val="24"/>
          <w:szCs w:val="24"/>
        </w:rPr>
        <w:t>hodnoty indikátorů, jak bude měřeno jejich plnění a jaká je jejich relevance k</w:t>
      </w:r>
      <w:r w:rsidR="00BE7C76" w:rsidRPr="00995237">
        <w:rPr>
          <w:rFonts w:ascii="Calibri" w:hAnsi="Calibri" w:cs="Calibri"/>
          <w:b/>
          <w:sz w:val="24"/>
          <w:szCs w:val="24"/>
        </w:rPr>
        <w:t> </w:t>
      </w:r>
      <w:r w:rsidRPr="00995237">
        <w:rPr>
          <w:rFonts w:ascii="Calibri" w:hAnsi="Calibri" w:cs="Calibri"/>
          <w:b/>
          <w:sz w:val="24"/>
          <w:szCs w:val="24"/>
        </w:rPr>
        <w:t>plnění stanovených cílů.</w:t>
      </w:r>
      <w:r w:rsidRPr="00995237">
        <w:rPr>
          <w:rFonts w:ascii="Calibri" w:hAnsi="Calibri" w:cs="Calibri"/>
          <w:sz w:val="24"/>
          <w:szCs w:val="24"/>
        </w:rPr>
        <w:t xml:space="preserve"> Například v případě indikátoru „</w:t>
      </w:r>
      <w:r w:rsidR="00F60DEA" w:rsidRPr="00435EF1">
        <w:rPr>
          <w:rFonts w:ascii="Calibri" w:hAnsi="Calibri" w:cs="Calibri"/>
          <w:i/>
          <w:sz w:val="24"/>
          <w:szCs w:val="24"/>
        </w:rPr>
        <w:t>s</w:t>
      </w:r>
      <w:r w:rsidRPr="00435EF1">
        <w:rPr>
          <w:rFonts w:ascii="Calibri" w:hAnsi="Calibri" w:cs="Calibri"/>
          <w:i/>
          <w:sz w:val="24"/>
          <w:szCs w:val="24"/>
        </w:rPr>
        <w:t>nížení počtu plavebních nehod</w:t>
      </w:r>
      <w:r w:rsidRPr="00995237">
        <w:rPr>
          <w:rFonts w:ascii="Calibri" w:hAnsi="Calibri" w:cs="Calibri"/>
          <w:sz w:val="24"/>
          <w:szCs w:val="24"/>
        </w:rPr>
        <w:t xml:space="preserve">“ není zřejmé, </w:t>
      </w:r>
      <w:r w:rsidR="00151F2A" w:rsidRPr="00995237">
        <w:rPr>
          <w:rFonts w:ascii="Calibri" w:hAnsi="Calibri" w:cs="Calibri"/>
          <w:sz w:val="24"/>
          <w:szCs w:val="24"/>
        </w:rPr>
        <w:t xml:space="preserve">jaká je výchozí základna pro porovnání počtu plavebních nehod, jaké plavební nehody budou či nebudou v tomto měření </w:t>
      </w:r>
      <w:proofErr w:type="gramStart"/>
      <w:r w:rsidR="00151F2A" w:rsidRPr="00995237">
        <w:rPr>
          <w:rFonts w:ascii="Calibri" w:hAnsi="Calibri" w:cs="Calibri"/>
          <w:sz w:val="24"/>
          <w:szCs w:val="24"/>
        </w:rPr>
        <w:t>zohledněny</w:t>
      </w:r>
      <w:r w:rsidR="005B66BD" w:rsidRPr="00995237">
        <w:rPr>
          <w:rFonts w:ascii="Calibri" w:hAnsi="Calibri" w:cs="Calibri"/>
          <w:sz w:val="24"/>
          <w:szCs w:val="24"/>
        </w:rPr>
        <w:t xml:space="preserve"> </w:t>
      </w:r>
      <w:r w:rsidR="00151F2A" w:rsidRPr="00995237">
        <w:rPr>
          <w:rFonts w:ascii="Calibri" w:hAnsi="Calibri" w:cs="Calibri"/>
          <w:sz w:val="24"/>
          <w:szCs w:val="24"/>
        </w:rPr>
        <w:t>a jak</w:t>
      </w:r>
      <w:proofErr w:type="gramEnd"/>
      <w:r w:rsidR="00151F2A" w:rsidRPr="00995237">
        <w:rPr>
          <w:rFonts w:ascii="Calibri" w:hAnsi="Calibri" w:cs="Calibri"/>
          <w:sz w:val="24"/>
          <w:szCs w:val="24"/>
        </w:rPr>
        <w:t xml:space="preserve"> bude prokazována </w:t>
      </w:r>
      <w:r w:rsidR="003209B8" w:rsidRPr="00995237">
        <w:rPr>
          <w:rFonts w:ascii="Calibri" w:hAnsi="Calibri" w:cs="Calibri"/>
          <w:sz w:val="24"/>
          <w:szCs w:val="24"/>
        </w:rPr>
        <w:t xml:space="preserve">a posuzována </w:t>
      </w:r>
      <w:r w:rsidR="00151F2A" w:rsidRPr="00995237">
        <w:rPr>
          <w:rFonts w:ascii="Calibri" w:hAnsi="Calibri" w:cs="Calibri"/>
          <w:sz w:val="24"/>
          <w:szCs w:val="24"/>
        </w:rPr>
        <w:t xml:space="preserve">jejich </w:t>
      </w:r>
      <w:r w:rsidR="005B66BD" w:rsidRPr="00995237">
        <w:rPr>
          <w:rFonts w:ascii="Calibri" w:hAnsi="Calibri" w:cs="Calibri"/>
          <w:sz w:val="24"/>
          <w:szCs w:val="24"/>
        </w:rPr>
        <w:t>případná (ne)</w:t>
      </w:r>
      <w:r w:rsidR="00151F2A" w:rsidRPr="00995237">
        <w:rPr>
          <w:rFonts w:ascii="Calibri" w:hAnsi="Calibri" w:cs="Calibri"/>
          <w:sz w:val="24"/>
          <w:szCs w:val="24"/>
        </w:rPr>
        <w:t>souvislost s provedenou modernizací plavid</w:t>
      </w:r>
      <w:r w:rsidR="005B66BD" w:rsidRPr="00995237">
        <w:rPr>
          <w:rFonts w:ascii="Calibri" w:hAnsi="Calibri" w:cs="Calibri"/>
          <w:sz w:val="24"/>
          <w:szCs w:val="24"/>
        </w:rPr>
        <w:t>el</w:t>
      </w:r>
      <w:r w:rsidR="00151F2A" w:rsidRPr="00995237">
        <w:rPr>
          <w:rFonts w:ascii="Calibri" w:hAnsi="Calibri" w:cs="Calibri"/>
          <w:sz w:val="24"/>
          <w:szCs w:val="24"/>
        </w:rPr>
        <w:t>.</w:t>
      </w:r>
      <w:r w:rsidRPr="00995237">
        <w:rPr>
          <w:rFonts w:ascii="Calibri" w:hAnsi="Calibri" w:cs="Calibri"/>
          <w:sz w:val="24"/>
          <w:szCs w:val="24"/>
        </w:rPr>
        <w:t xml:space="preserve"> </w:t>
      </w:r>
    </w:p>
    <w:p w14:paraId="1DEA0C40" w14:textId="77777777" w:rsidR="00902EFE" w:rsidRPr="00995237" w:rsidRDefault="00902EFE" w:rsidP="00995237">
      <w:pPr>
        <w:spacing w:after="0" w:line="264" w:lineRule="auto"/>
        <w:jc w:val="both"/>
        <w:rPr>
          <w:rFonts w:ascii="Calibri" w:hAnsi="Calibri" w:cs="Calibri"/>
          <w:sz w:val="24"/>
          <w:szCs w:val="24"/>
        </w:rPr>
      </w:pPr>
    </w:p>
    <w:p w14:paraId="7DE57357" w14:textId="4B85C2F4" w:rsidR="00902EFE"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Výše podpory, kterou MF stanovilo v rámci bilance potřeb a zdrojů financování potřeb programu (386,6 mil. Kč) neodpovídá výši podpory, kterou uvedlo MD v dokumentaci programu (443,5 mil. Kč). Rovněž p</w:t>
      </w:r>
      <w:r w:rsidR="00902EFE" w:rsidRPr="00995237">
        <w:rPr>
          <w:rFonts w:ascii="Calibri" w:hAnsi="Calibri" w:cs="Calibri"/>
          <w:sz w:val="24"/>
          <w:szCs w:val="24"/>
        </w:rPr>
        <w:t>arametry, které MF stanovilo pro dva podprogramy, neodpovídají hodnotám parametrů, které navrhlo MD v dokumentaci. MD například navrhlo modernizaci celkem 52 lodních motorů</w:t>
      </w:r>
      <w:r w:rsidRPr="00995237">
        <w:rPr>
          <w:rFonts w:ascii="Calibri" w:hAnsi="Calibri" w:cs="Calibri"/>
          <w:sz w:val="24"/>
          <w:szCs w:val="24"/>
        </w:rPr>
        <w:t>, ale MF tento počet navýšilo na 151 lodních motorů. Důvod těchto rozdílů MD nevysvětlilo.</w:t>
      </w:r>
      <w:r w:rsidR="003209B8" w:rsidRPr="00995237">
        <w:rPr>
          <w:rFonts w:ascii="Calibri" w:hAnsi="Calibri" w:cs="Calibri"/>
          <w:sz w:val="24"/>
          <w:szCs w:val="24"/>
        </w:rPr>
        <w:t xml:space="preserve"> Obdobné nesrovnalosti se týkají i ukazatelů, které MF stanovilo při schválení aktualizované dokumentace </w:t>
      </w:r>
      <w:r w:rsidR="00971074" w:rsidRPr="00995237">
        <w:rPr>
          <w:rFonts w:ascii="Calibri" w:hAnsi="Calibri" w:cs="Calibri"/>
          <w:sz w:val="24"/>
          <w:szCs w:val="24"/>
        </w:rPr>
        <w:t>p</w:t>
      </w:r>
      <w:r w:rsidR="003209B8" w:rsidRPr="00995237">
        <w:rPr>
          <w:rFonts w:ascii="Calibri" w:hAnsi="Calibri" w:cs="Calibri"/>
          <w:sz w:val="24"/>
          <w:szCs w:val="24"/>
        </w:rPr>
        <w:t>rogramu č. 127 550 v srpnu 2014.</w:t>
      </w:r>
    </w:p>
    <w:p w14:paraId="6686D4DA" w14:textId="77777777" w:rsidR="00902EFE" w:rsidRPr="00995237" w:rsidRDefault="00902EFE" w:rsidP="00995237">
      <w:pPr>
        <w:spacing w:after="0" w:line="264" w:lineRule="auto"/>
        <w:jc w:val="both"/>
        <w:rPr>
          <w:rFonts w:ascii="Calibri" w:hAnsi="Calibri" w:cs="Calibri"/>
          <w:sz w:val="24"/>
          <w:szCs w:val="24"/>
        </w:rPr>
      </w:pPr>
    </w:p>
    <w:p w14:paraId="5DA09FF6" w14:textId="77777777" w:rsidR="00470AC6"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Při této aktualizaci byly celkové finanční potřeby programu z 905,1 mil. Kč </w:t>
      </w:r>
      <w:r w:rsidR="0050028A" w:rsidRPr="00995237">
        <w:rPr>
          <w:rFonts w:ascii="Calibri" w:hAnsi="Calibri" w:cs="Calibri"/>
          <w:sz w:val="24"/>
          <w:szCs w:val="24"/>
        </w:rPr>
        <w:t xml:space="preserve">sníženy </w:t>
      </w:r>
      <w:r w:rsidRPr="00995237">
        <w:rPr>
          <w:rFonts w:ascii="Calibri" w:hAnsi="Calibri" w:cs="Calibri"/>
          <w:sz w:val="24"/>
          <w:szCs w:val="24"/>
        </w:rPr>
        <w:t>na 224,</w:t>
      </w:r>
      <w:r w:rsidR="0050028A" w:rsidRPr="00995237">
        <w:rPr>
          <w:rFonts w:ascii="Calibri" w:hAnsi="Calibri" w:cs="Calibri"/>
          <w:sz w:val="24"/>
          <w:szCs w:val="24"/>
        </w:rPr>
        <w:t>5</w:t>
      </w:r>
      <w:r w:rsidR="00175071" w:rsidRPr="00995237">
        <w:rPr>
          <w:rFonts w:ascii="Calibri" w:hAnsi="Calibri" w:cs="Calibri"/>
          <w:sz w:val="24"/>
          <w:szCs w:val="24"/>
        </w:rPr>
        <w:t> </w:t>
      </w:r>
      <w:r w:rsidR="0050028A" w:rsidRPr="00995237">
        <w:rPr>
          <w:rFonts w:ascii="Calibri" w:hAnsi="Calibri" w:cs="Calibri"/>
          <w:sz w:val="24"/>
          <w:szCs w:val="24"/>
        </w:rPr>
        <w:t>mil. Kč (tj. o více než 75 %). V</w:t>
      </w:r>
      <w:r w:rsidRPr="00995237">
        <w:rPr>
          <w:rFonts w:ascii="Calibri" w:hAnsi="Calibri" w:cs="Calibri"/>
          <w:sz w:val="24"/>
          <w:szCs w:val="24"/>
        </w:rPr>
        <w:t xml:space="preserve">ýrazně redukovány </w:t>
      </w:r>
      <w:r w:rsidR="0050028A" w:rsidRPr="00995237">
        <w:rPr>
          <w:rFonts w:ascii="Calibri" w:hAnsi="Calibri" w:cs="Calibri"/>
          <w:sz w:val="24"/>
          <w:szCs w:val="24"/>
        </w:rPr>
        <w:t xml:space="preserve">byly </w:t>
      </w:r>
      <w:r w:rsidRPr="00995237">
        <w:rPr>
          <w:rFonts w:ascii="Calibri" w:hAnsi="Calibri" w:cs="Calibri"/>
          <w:sz w:val="24"/>
          <w:szCs w:val="24"/>
        </w:rPr>
        <w:t>i jeho parametry, resp. věcné cíl</w:t>
      </w:r>
      <w:r w:rsidR="003209B8" w:rsidRPr="00995237">
        <w:rPr>
          <w:rFonts w:ascii="Calibri" w:hAnsi="Calibri" w:cs="Calibri"/>
          <w:sz w:val="24"/>
          <w:szCs w:val="24"/>
        </w:rPr>
        <w:t>e</w:t>
      </w:r>
      <w:r w:rsidR="0050028A" w:rsidRPr="00995237">
        <w:rPr>
          <w:rFonts w:ascii="Calibri" w:hAnsi="Calibri" w:cs="Calibri"/>
          <w:sz w:val="24"/>
          <w:szCs w:val="24"/>
        </w:rPr>
        <w:t>. N</w:t>
      </w:r>
      <w:r w:rsidRPr="00995237">
        <w:rPr>
          <w:rFonts w:ascii="Calibri" w:hAnsi="Calibri" w:cs="Calibri"/>
          <w:sz w:val="24"/>
          <w:szCs w:val="24"/>
        </w:rPr>
        <w:t>apříklad počet modernizovaných lodních motorů klesl ze 151 na 50, tj. o 67 %. Důsledky těchto změn se MD nezabývalo.</w:t>
      </w:r>
      <w:r w:rsidR="003209B8" w:rsidRPr="00995237">
        <w:rPr>
          <w:rFonts w:ascii="Calibri" w:hAnsi="Calibri" w:cs="Calibri"/>
          <w:sz w:val="24"/>
          <w:szCs w:val="24"/>
        </w:rPr>
        <w:t xml:space="preserve"> </w:t>
      </w:r>
      <w:r w:rsidRPr="00995237">
        <w:rPr>
          <w:rFonts w:ascii="Calibri" w:hAnsi="Calibri" w:cs="Calibri"/>
          <w:sz w:val="24"/>
          <w:szCs w:val="24"/>
        </w:rPr>
        <w:t xml:space="preserve">V rámci schválení aktualizované dokumentace </w:t>
      </w:r>
      <w:r w:rsidR="00971074" w:rsidRPr="00995237">
        <w:rPr>
          <w:rFonts w:ascii="Calibri" w:hAnsi="Calibri" w:cs="Calibri"/>
          <w:sz w:val="24"/>
          <w:szCs w:val="24"/>
        </w:rPr>
        <w:t>p</w:t>
      </w:r>
      <w:r w:rsidRPr="00995237">
        <w:rPr>
          <w:rFonts w:ascii="Calibri" w:hAnsi="Calibri" w:cs="Calibri"/>
          <w:sz w:val="24"/>
          <w:szCs w:val="24"/>
        </w:rPr>
        <w:t xml:space="preserve">rogramu </w:t>
      </w:r>
      <w:r w:rsidRPr="00995237">
        <w:rPr>
          <w:rFonts w:ascii="Calibri" w:hAnsi="Calibri" w:cs="Calibri"/>
          <w:sz w:val="24"/>
          <w:szCs w:val="24"/>
        </w:rPr>
        <w:lastRenderedPageBreak/>
        <w:t>č.</w:t>
      </w:r>
      <w:r w:rsidR="00175071" w:rsidRPr="00995237">
        <w:rPr>
          <w:rFonts w:ascii="Calibri" w:hAnsi="Calibri" w:cs="Calibri"/>
          <w:sz w:val="24"/>
          <w:szCs w:val="24"/>
        </w:rPr>
        <w:t> </w:t>
      </w:r>
      <w:r w:rsidRPr="00995237">
        <w:rPr>
          <w:rFonts w:ascii="Calibri" w:hAnsi="Calibri" w:cs="Calibri"/>
          <w:sz w:val="24"/>
          <w:szCs w:val="24"/>
        </w:rPr>
        <w:t>127 550 MF prodloužilo termín realizace programu do konce roku 2015 a termín pro vypracování návrhu jeho závěrečného vyhodnocení do 30. 6. 2017.</w:t>
      </w:r>
    </w:p>
    <w:p w14:paraId="7625885D" w14:textId="77777777" w:rsidR="007C26F5" w:rsidRPr="00995237" w:rsidRDefault="007C26F5" w:rsidP="00995237">
      <w:pPr>
        <w:spacing w:after="0" w:line="264" w:lineRule="auto"/>
        <w:jc w:val="both"/>
        <w:rPr>
          <w:rFonts w:ascii="Calibri" w:hAnsi="Calibri" w:cs="Calibri"/>
          <w:sz w:val="24"/>
          <w:szCs w:val="24"/>
        </w:rPr>
      </w:pPr>
    </w:p>
    <w:p w14:paraId="18ED5C7C" w14:textId="6594EA3F" w:rsidR="00B00089" w:rsidRPr="00995237" w:rsidRDefault="00E8036B" w:rsidP="00995237">
      <w:pPr>
        <w:spacing w:after="0" w:line="264" w:lineRule="auto"/>
        <w:jc w:val="both"/>
        <w:rPr>
          <w:rFonts w:ascii="Calibri" w:hAnsi="Calibri" w:cs="Calibri"/>
          <w:b/>
          <w:sz w:val="24"/>
          <w:szCs w:val="24"/>
        </w:rPr>
      </w:pPr>
      <w:r w:rsidRPr="00995237">
        <w:rPr>
          <w:rFonts w:ascii="Calibri" w:hAnsi="Calibri" w:cs="Calibri"/>
          <w:sz w:val="24"/>
          <w:szCs w:val="24"/>
        </w:rPr>
        <w:t xml:space="preserve">MD závěrečné vyhodnocení </w:t>
      </w:r>
      <w:r w:rsidR="00971074" w:rsidRPr="00995237">
        <w:rPr>
          <w:rFonts w:ascii="Calibri" w:hAnsi="Calibri" w:cs="Calibri"/>
          <w:sz w:val="24"/>
          <w:szCs w:val="24"/>
        </w:rPr>
        <w:t>p</w:t>
      </w:r>
      <w:r w:rsidRPr="00995237">
        <w:rPr>
          <w:rFonts w:ascii="Calibri" w:hAnsi="Calibri" w:cs="Calibri"/>
          <w:sz w:val="24"/>
          <w:szCs w:val="24"/>
        </w:rPr>
        <w:t xml:space="preserve">rogramu č. 127 550 do doby </w:t>
      </w:r>
      <w:r w:rsidR="004715FC" w:rsidRPr="00995237">
        <w:rPr>
          <w:rFonts w:ascii="Calibri" w:hAnsi="Calibri" w:cs="Calibri"/>
          <w:sz w:val="24"/>
          <w:szCs w:val="24"/>
        </w:rPr>
        <w:t xml:space="preserve">ukončení </w:t>
      </w:r>
      <w:r w:rsidRPr="00995237">
        <w:rPr>
          <w:rFonts w:ascii="Calibri" w:hAnsi="Calibri" w:cs="Calibri"/>
          <w:sz w:val="24"/>
          <w:szCs w:val="24"/>
        </w:rPr>
        <w:t xml:space="preserve">kontroly </w:t>
      </w:r>
      <w:r w:rsidR="004715FC" w:rsidRPr="00995237">
        <w:rPr>
          <w:rFonts w:ascii="Calibri" w:hAnsi="Calibri" w:cs="Calibri"/>
          <w:sz w:val="24"/>
          <w:szCs w:val="24"/>
        </w:rPr>
        <w:t>NKÚ</w:t>
      </w:r>
      <w:r w:rsidRPr="00995237">
        <w:rPr>
          <w:rFonts w:ascii="Calibri" w:hAnsi="Calibri" w:cs="Calibri"/>
          <w:sz w:val="24"/>
          <w:szCs w:val="24"/>
        </w:rPr>
        <w:t xml:space="preserve"> neprovedlo.</w:t>
      </w:r>
      <w:r w:rsidR="0067291D" w:rsidRPr="00995237">
        <w:rPr>
          <w:rFonts w:ascii="Calibri" w:hAnsi="Calibri" w:cs="Calibri"/>
          <w:sz w:val="24"/>
          <w:szCs w:val="24"/>
        </w:rPr>
        <w:t xml:space="preserve"> Odůvodnilo to potřebou vyhodnotit indikátor „</w:t>
      </w:r>
      <w:r w:rsidR="00F60DEA" w:rsidRPr="00435EF1">
        <w:rPr>
          <w:rFonts w:ascii="Calibri" w:hAnsi="Calibri" w:cs="Calibri"/>
          <w:i/>
          <w:sz w:val="24"/>
          <w:szCs w:val="24"/>
        </w:rPr>
        <w:t>s</w:t>
      </w:r>
      <w:r w:rsidR="0067291D" w:rsidRPr="00435EF1">
        <w:rPr>
          <w:rFonts w:ascii="Calibri" w:hAnsi="Calibri" w:cs="Calibri"/>
          <w:i/>
          <w:sz w:val="24"/>
          <w:szCs w:val="24"/>
        </w:rPr>
        <w:t>nížení počtu plavebních nehod</w:t>
      </w:r>
      <w:r w:rsidR="0067291D" w:rsidRPr="00995237">
        <w:rPr>
          <w:rFonts w:ascii="Calibri" w:hAnsi="Calibri" w:cs="Calibri"/>
          <w:sz w:val="24"/>
          <w:szCs w:val="24"/>
        </w:rPr>
        <w:t xml:space="preserve">“ stanovený MF pro podprogram č. 3 za celé pětileté období po ukončení </w:t>
      </w:r>
      <w:r w:rsidR="00971074" w:rsidRPr="00995237">
        <w:rPr>
          <w:rFonts w:ascii="Calibri" w:hAnsi="Calibri" w:cs="Calibri"/>
          <w:sz w:val="24"/>
          <w:szCs w:val="24"/>
        </w:rPr>
        <w:t>p</w:t>
      </w:r>
      <w:r w:rsidR="0067291D" w:rsidRPr="00995237">
        <w:rPr>
          <w:rFonts w:ascii="Calibri" w:hAnsi="Calibri" w:cs="Calibri"/>
          <w:sz w:val="24"/>
          <w:szCs w:val="24"/>
        </w:rPr>
        <w:t>rogramu č. 127 550.</w:t>
      </w:r>
      <w:r w:rsidRPr="00995237">
        <w:rPr>
          <w:rFonts w:ascii="Calibri" w:hAnsi="Calibri" w:cs="Calibri"/>
          <w:sz w:val="24"/>
          <w:szCs w:val="24"/>
        </w:rPr>
        <w:t xml:space="preserve"> </w:t>
      </w:r>
      <w:r w:rsidR="00FC7937" w:rsidRPr="00995237">
        <w:rPr>
          <w:rFonts w:ascii="Calibri" w:hAnsi="Calibri" w:cs="Calibri"/>
          <w:sz w:val="24"/>
          <w:szCs w:val="24"/>
        </w:rPr>
        <w:t>Toto zdůvodnění však nic nemění na skutečnosti</w:t>
      </w:r>
      <w:r w:rsidRPr="00995237">
        <w:rPr>
          <w:rFonts w:ascii="Calibri" w:hAnsi="Calibri" w:cs="Calibri"/>
          <w:sz w:val="24"/>
          <w:szCs w:val="24"/>
        </w:rPr>
        <w:t xml:space="preserve">, že </w:t>
      </w:r>
      <w:r w:rsidRPr="00995237">
        <w:rPr>
          <w:rFonts w:ascii="Calibri" w:hAnsi="Calibri" w:cs="Calibri"/>
          <w:b/>
          <w:sz w:val="24"/>
          <w:szCs w:val="24"/>
        </w:rPr>
        <w:t>MD nevypracovalo a nepředložilo MF ke schválení závěrečné vyhodnocení programu v závazně stanoveném termínu.</w:t>
      </w:r>
      <w:r w:rsidR="009D3687" w:rsidRPr="00995237">
        <w:rPr>
          <w:rFonts w:ascii="Calibri" w:hAnsi="Calibri" w:cs="Calibri"/>
          <w:b/>
          <w:sz w:val="24"/>
          <w:szCs w:val="24"/>
        </w:rPr>
        <w:t xml:space="preserve"> Nesplnilo tak povinnost </w:t>
      </w:r>
      <w:r w:rsidR="007537A4" w:rsidRPr="00995237">
        <w:rPr>
          <w:rFonts w:ascii="Calibri" w:hAnsi="Calibri" w:cs="Calibri"/>
          <w:b/>
          <w:sz w:val="24"/>
          <w:szCs w:val="24"/>
        </w:rPr>
        <w:t>uloženou mu</w:t>
      </w:r>
      <w:r w:rsidR="009D3687" w:rsidRPr="00995237">
        <w:rPr>
          <w:rFonts w:ascii="Calibri" w:hAnsi="Calibri" w:cs="Calibri"/>
          <w:b/>
          <w:sz w:val="24"/>
          <w:szCs w:val="24"/>
        </w:rPr>
        <w:t xml:space="preserve"> právním předpisem</w:t>
      </w:r>
      <w:r w:rsidR="009D3687" w:rsidRPr="00995237">
        <w:rPr>
          <w:rFonts w:ascii="Calibri" w:hAnsi="Calibri" w:cs="Calibri"/>
          <w:b/>
          <w:sz w:val="24"/>
          <w:szCs w:val="24"/>
          <w:vertAlign w:val="superscript"/>
        </w:rPr>
        <w:footnoteReference w:id="26"/>
      </w:r>
      <w:r w:rsidR="007537A4" w:rsidRPr="00995237">
        <w:rPr>
          <w:rFonts w:ascii="Calibri" w:hAnsi="Calibri" w:cs="Calibri"/>
          <w:b/>
          <w:sz w:val="24"/>
          <w:szCs w:val="24"/>
        </w:rPr>
        <w:t>.</w:t>
      </w:r>
    </w:p>
    <w:p w14:paraId="34B5A6FC" w14:textId="77777777" w:rsidR="00F60DEA" w:rsidRDefault="00F60DEA" w:rsidP="00995237">
      <w:pPr>
        <w:spacing w:after="0" w:line="264" w:lineRule="auto"/>
        <w:jc w:val="both"/>
        <w:rPr>
          <w:rFonts w:ascii="Calibri" w:hAnsi="Calibri" w:cs="Calibri"/>
          <w:sz w:val="24"/>
          <w:szCs w:val="24"/>
        </w:rPr>
      </w:pPr>
    </w:p>
    <w:p w14:paraId="6501CEE5" w14:textId="714665A0" w:rsidR="00470AC6"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MD p</w:t>
      </w:r>
      <w:r w:rsidR="007C26F5" w:rsidRPr="00995237">
        <w:rPr>
          <w:rFonts w:ascii="Calibri" w:hAnsi="Calibri" w:cs="Calibri"/>
          <w:sz w:val="24"/>
          <w:szCs w:val="24"/>
        </w:rPr>
        <w:t xml:space="preserve">ředložilo </w:t>
      </w:r>
      <w:r w:rsidRPr="00995237">
        <w:rPr>
          <w:rFonts w:ascii="Calibri" w:hAnsi="Calibri" w:cs="Calibri"/>
          <w:sz w:val="24"/>
          <w:szCs w:val="24"/>
        </w:rPr>
        <w:t xml:space="preserve">ke kontrole NKÚ </w:t>
      </w:r>
      <w:r w:rsidR="007C26F5" w:rsidRPr="00995237">
        <w:rPr>
          <w:rFonts w:ascii="Calibri" w:hAnsi="Calibri" w:cs="Calibri"/>
          <w:sz w:val="24"/>
          <w:szCs w:val="24"/>
        </w:rPr>
        <w:t>pouze rozpracovaný n</w:t>
      </w:r>
      <w:r w:rsidR="003209B8" w:rsidRPr="00995237">
        <w:rPr>
          <w:rFonts w:ascii="Calibri" w:hAnsi="Calibri" w:cs="Calibri"/>
          <w:sz w:val="24"/>
          <w:szCs w:val="24"/>
        </w:rPr>
        <w:t>ávrh (draft) tohoto vyhodnocení, v němž mj. konstatovalo, že</w:t>
      </w:r>
      <w:r w:rsidR="0012763D" w:rsidRPr="00995237">
        <w:rPr>
          <w:rFonts w:ascii="Calibri" w:hAnsi="Calibri" w:cs="Calibri"/>
          <w:sz w:val="24"/>
          <w:szCs w:val="24"/>
        </w:rPr>
        <w:t xml:space="preserve"> věcných cílů </w:t>
      </w:r>
      <w:r w:rsidR="001E0BAA" w:rsidRPr="00995237">
        <w:rPr>
          <w:rFonts w:ascii="Calibri" w:hAnsi="Calibri" w:cs="Calibri"/>
          <w:sz w:val="24"/>
          <w:szCs w:val="24"/>
        </w:rPr>
        <w:t>p</w:t>
      </w:r>
      <w:r w:rsidR="003F6AE1" w:rsidRPr="00995237">
        <w:rPr>
          <w:rFonts w:ascii="Calibri" w:hAnsi="Calibri" w:cs="Calibri"/>
          <w:sz w:val="24"/>
          <w:szCs w:val="24"/>
        </w:rPr>
        <w:t xml:space="preserve">rogramu č. 127 550 </w:t>
      </w:r>
      <w:r w:rsidR="0012763D" w:rsidRPr="00995237">
        <w:rPr>
          <w:rFonts w:ascii="Calibri" w:hAnsi="Calibri" w:cs="Calibri"/>
          <w:sz w:val="24"/>
          <w:szCs w:val="24"/>
        </w:rPr>
        <w:t>nebylo z větší části dosaženo.</w:t>
      </w:r>
      <w:r w:rsidR="003F6AE1" w:rsidRPr="00995237">
        <w:rPr>
          <w:rFonts w:ascii="Calibri" w:hAnsi="Calibri" w:cs="Calibri"/>
          <w:sz w:val="24"/>
          <w:szCs w:val="24"/>
        </w:rPr>
        <w:t xml:space="preserve"> O</w:t>
      </w:r>
      <w:r w:rsidR="0012763D" w:rsidRPr="00995237">
        <w:rPr>
          <w:rFonts w:ascii="Calibri" w:hAnsi="Calibri" w:cs="Calibri"/>
          <w:sz w:val="24"/>
          <w:szCs w:val="24"/>
        </w:rPr>
        <w:t xml:space="preserve">proti původním předpokladům MD </w:t>
      </w:r>
      <w:r w:rsidR="00884899" w:rsidRPr="00995237">
        <w:rPr>
          <w:rFonts w:ascii="Calibri" w:hAnsi="Calibri" w:cs="Calibri"/>
          <w:sz w:val="24"/>
          <w:szCs w:val="24"/>
        </w:rPr>
        <w:t xml:space="preserve">byla </w:t>
      </w:r>
      <w:r w:rsidR="0012763D" w:rsidRPr="00995237">
        <w:rPr>
          <w:rFonts w:ascii="Calibri" w:hAnsi="Calibri" w:cs="Calibri"/>
          <w:sz w:val="24"/>
          <w:szCs w:val="24"/>
        </w:rPr>
        <w:t>provedena modernizace lodního parku České republiky určeného pro nákladní vodní dopravu ve výrazně menším rozsahu.</w:t>
      </w:r>
    </w:p>
    <w:p w14:paraId="116B1CD5" w14:textId="77777777" w:rsidR="0012763D" w:rsidRPr="00995237" w:rsidRDefault="0012763D" w:rsidP="00995237">
      <w:pPr>
        <w:spacing w:after="0" w:line="264" w:lineRule="auto"/>
        <w:jc w:val="both"/>
        <w:rPr>
          <w:rFonts w:ascii="Calibri" w:hAnsi="Calibri" w:cs="Calibri"/>
          <w:sz w:val="24"/>
          <w:szCs w:val="24"/>
        </w:rPr>
      </w:pPr>
    </w:p>
    <w:p w14:paraId="553DD199" w14:textId="321EFD15" w:rsidR="00FA157A"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Z </w:t>
      </w:r>
      <w:r w:rsidR="001E0BAA" w:rsidRPr="00995237">
        <w:rPr>
          <w:rFonts w:ascii="Calibri" w:hAnsi="Calibri" w:cs="Calibri"/>
          <w:sz w:val="24"/>
          <w:szCs w:val="24"/>
        </w:rPr>
        <w:t>p</w:t>
      </w:r>
      <w:r w:rsidRPr="00995237">
        <w:rPr>
          <w:rFonts w:ascii="Calibri" w:hAnsi="Calibri" w:cs="Calibri"/>
          <w:sz w:val="24"/>
          <w:szCs w:val="24"/>
        </w:rPr>
        <w:t xml:space="preserve">rogramu č. 127 550 a oblasti podpory 6.3 OPD bylo podpořeno 35 projektů modernizace plavidel. Původně stanovený objem finančních potřeb byl z částky 903,1 mil. Kč (dle dokumentace </w:t>
      </w:r>
      <w:r w:rsidR="001E0BAA" w:rsidRPr="00995237">
        <w:rPr>
          <w:rFonts w:ascii="Calibri" w:hAnsi="Calibri" w:cs="Calibri"/>
          <w:sz w:val="24"/>
          <w:szCs w:val="24"/>
        </w:rPr>
        <w:t>p</w:t>
      </w:r>
      <w:r w:rsidRPr="00995237">
        <w:rPr>
          <w:rFonts w:ascii="Calibri" w:hAnsi="Calibri" w:cs="Calibri"/>
          <w:sz w:val="24"/>
          <w:szCs w:val="24"/>
        </w:rPr>
        <w:t>rogramu č. 127 550), resp. 905,1 mil. Kč (dle bilance potřeb stanovené MF při schválení této dokumentace v roce 2007)</w:t>
      </w:r>
      <w:r w:rsidR="00E417DD">
        <w:rPr>
          <w:rFonts w:ascii="Calibri" w:hAnsi="Calibri" w:cs="Calibri"/>
          <w:sz w:val="24"/>
          <w:szCs w:val="24"/>
        </w:rPr>
        <w:t>,</w:t>
      </w:r>
      <w:r w:rsidRPr="00995237">
        <w:rPr>
          <w:rFonts w:ascii="Calibri" w:hAnsi="Calibri" w:cs="Calibri"/>
          <w:sz w:val="24"/>
          <w:szCs w:val="24"/>
        </w:rPr>
        <w:t xml:space="preserve"> snížen na 224,5 mil. Kč (dle bilance potřeb stanovené MF při schválení aktualizace dokumentace </w:t>
      </w:r>
      <w:r w:rsidR="001E0BAA" w:rsidRPr="00995237">
        <w:rPr>
          <w:rFonts w:ascii="Calibri" w:hAnsi="Calibri" w:cs="Calibri"/>
          <w:sz w:val="24"/>
          <w:szCs w:val="24"/>
        </w:rPr>
        <w:t>p</w:t>
      </w:r>
      <w:r w:rsidRPr="00995237">
        <w:rPr>
          <w:rFonts w:ascii="Calibri" w:hAnsi="Calibri" w:cs="Calibri"/>
          <w:sz w:val="24"/>
          <w:szCs w:val="24"/>
        </w:rPr>
        <w:t xml:space="preserve">rogramu č. 127 550 v roce 2014). Celkový objem nákladů realizovaných projektů dosáhl jen výše 115,7 mil. Kč, tj. cca 13 % původně stanovené a 52 % aktualizované hodnoty v bilanci potřeb </w:t>
      </w:r>
      <w:r w:rsidR="001E0BAA" w:rsidRPr="00995237">
        <w:rPr>
          <w:rFonts w:ascii="Calibri" w:hAnsi="Calibri" w:cs="Calibri"/>
          <w:sz w:val="24"/>
          <w:szCs w:val="24"/>
        </w:rPr>
        <w:t>p</w:t>
      </w:r>
      <w:r w:rsidRPr="00995237">
        <w:rPr>
          <w:rFonts w:ascii="Calibri" w:hAnsi="Calibri" w:cs="Calibri"/>
          <w:sz w:val="24"/>
          <w:szCs w:val="24"/>
        </w:rPr>
        <w:t xml:space="preserve">rogramu č. 127 550. Celkový objem podpory </w:t>
      </w:r>
      <w:r w:rsidR="001E0BAA" w:rsidRPr="00995237">
        <w:rPr>
          <w:rFonts w:ascii="Calibri" w:hAnsi="Calibri" w:cs="Calibri"/>
          <w:sz w:val="24"/>
          <w:szCs w:val="24"/>
        </w:rPr>
        <w:t xml:space="preserve">poskytnuté těmto projektům </w:t>
      </w:r>
      <w:r w:rsidRPr="00995237">
        <w:rPr>
          <w:rFonts w:ascii="Calibri" w:hAnsi="Calibri" w:cs="Calibri"/>
          <w:sz w:val="24"/>
          <w:szCs w:val="24"/>
        </w:rPr>
        <w:t>činil 53,4 mil Kč.</w:t>
      </w:r>
    </w:p>
    <w:p w14:paraId="3F9EB997" w14:textId="77777777" w:rsidR="0012763D" w:rsidRPr="00995237" w:rsidRDefault="0012763D" w:rsidP="00995237">
      <w:pPr>
        <w:spacing w:after="0" w:line="264" w:lineRule="auto"/>
        <w:jc w:val="both"/>
        <w:rPr>
          <w:rFonts w:ascii="Calibri" w:hAnsi="Calibri" w:cs="Calibri"/>
          <w:sz w:val="24"/>
          <w:szCs w:val="24"/>
        </w:rPr>
      </w:pPr>
    </w:p>
    <w:p w14:paraId="4742BBFC" w14:textId="77777777" w:rsidR="0012763D"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V rámci ekologizace motorů plavidel měla být podle původních předpokladů provedena výměna celkem 151 </w:t>
      </w:r>
      <w:r w:rsidR="002C154B" w:rsidRPr="00995237">
        <w:rPr>
          <w:rFonts w:ascii="Calibri" w:hAnsi="Calibri" w:cs="Calibri"/>
          <w:sz w:val="24"/>
          <w:szCs w:val="24"/>
        </w:rPr>
        <w:t xml:space="preserve">pohonných jednotek plavidel za </w:t>
      </w:r>
      <w:proofErr w:type="spellStart"/>
      <w:r w:rsidR="002C154B" w:rsidRPr="00995237">
        <w:rPr>
          <w:rFonts w:ascii="Calibri" w:hAnsi="Calibri" w:cs="Calibri"/>
          <w:sz w:val="24"/>
          <w:szCs w:val="24"/>
        </w:rPr>
        <w:t>nízkoemisní</w:t>
      </w:r>
      <w:proofErr w:type="spellEnd"/>
      <w:r w:rsidR="002C154B" w:rsidRPr="00995237">
        <w:rPr>
          <w:rFonts w:ascii="Calibri" w:hAnsi="Calibri" w:cs="Calibri"/>
          <w:sz w:val="24"/>
          <w:szCs w:val="24"/>
        </w:rPr>
        <w:t>. P</w:t>
      </w:r>
      <w:r w:rsidRPr="00995237">
        <w:rPr>
          <w:rFonts w:ascii="Calibri" w:hAnsi="Calibri" w:cs="Calibri"/>
          <w:sz w:val="24"/>
          <w:szCs w:val="24"/>
        </w:rPr>
        <w:t xml:space="preserve">o </w:t>
      </w:r>
      <w:r w:rsidR="00114EBC" w:rsidRPr="00995237">
        <w:rPr>
          <w:rFonts w:ascii="Calibri" w:hAnsi="Calibri" w:cs="Calibri"/>
          <w:sz w:val="24"/>
          <w:szCs w:val="24"/>
        </w:rPr>
        <w:t>aktualizaci dokumentace programu</w:t>
      </w:r>
      <w:r w:rsidRPr="00995237">
        <w:rPr>
          <w:rFonts w:ascii="Calibri" w:hAnsi="Calibri" w:cs="Calibri"/>
          <w:sz w:val="24"/>
          <w:szCs w:val="24"/>
        </w:rPr>
        <w:t xml:space="preserve"> </w:t>
      </w:r>
      <w:r w:rsidR="002C154B" w:rsidRPr="00995237">
        <w:rPr>
          <w:rFonts w:ascii="Calibri" w:hAnsi="Calibri" w:cs="Calibri"/>
          <w:sz w:val="24"/>
          <w:szCs w:val="24"/>
        </w:rPr>
        <w:t xml:space="preserve">byl tento počet snížen na </w:t>
      </w:r>
      <w:r w:rsidRPr="00995237">
        <w:rPr>
          <w:rFonts w:ascii="Calibri" w:hAnsi="Calibri" w:cs="Calibri"/>
          <w:sz w:val="24"/>
          <w:szCs w:val="24"/>
        </w:rPr>
        <w:t xml:space="preserve">50 pohonných jednotek. Provedena však byla výměna jen 13 </w:t>
      </w:r>
      <w:r w:rsidR="002C154B" w:rsidRPr="00995237">
        <w:rPr>
          <w:rFonts w:ascii="Calibri" w:hAnsi="Calibri" w:cs="Calibri"/>
          <w:sz w:val="24"/>
          <w:szCs w:val="24"/>
        </w:rPr>
        <w:t xml:space="preserve">pohonných </w:t>
      </w:r>
      <w:r w:rsidRPr="00995237">
        <w:rPr>
          <w:rFonts w:ascii="Calibri" w:hAnsi="Calibri" w:cs="Calibri"/>
          <w:sz w:val="24"/>
          <w:szCs w:val="24"/>
        </w:rPr>
        <w:t xml:space="preserve">jednotek na </w:t>
      </w:r>
      <w:r w:rsidR="00FA157A" w:rsidRPr="00995237">
        <w:rPr>
          <w:rFonts w:ascii="Calibri" w:hAnsi="Calibri" w:cs="Calibri"/>
          <w:sz w:val="24"/>
          <w:szCs w:val="24"/>
        </w:rPr>
        <w:t>sedmi</w:t>
      </w:r>
      <w:r w:rsidRPr="00995237">
        <w:rPr>
          <w:rFonts w:ascii="Calibri" w:hAnsi="Calibri" w:cs="Calibri"/>
          <w:sz w:val="24"/>
          <w:szCs w:val="24"/>
        </w:rPr>
        <w:t xml:space="preserve"> plavidlech. </w:t>
      </w:r>
      <w:proofErr w:type="spellStart"/>
      <w:r w:rsidRPr="00995237">
        <w:rPr>
          <w:rFonts w:ascii="Calibri" w:hAnsi="Calibri" w:cs="Calibri"/>
          <w:sz w:val="24"/>
          <w:szCs w:val="24"/>
        </w:rPr>
        <w:t>Nízkoemisních</w:t>
      </w:r>
      <w:proofErr w:type="spellEnd"/>
      <w:r w:rsidRPr="00995237">
        <w:rPr>
          <w:rFonts w:ascii="Calibri" w:hAnsi="Calibri" w:cs="Calibri"/>
          <w:sz w:val="24"/>
          <w:szCs w:val="24"/>
        </w:rPr>
        <w:t xml:space="preserve"> pomocných jednotek mělo být pořízeno 100 </w:t>
      </w:r>
      <w:r w:rsidR="002C154B" w:rsidRPr="00995237">
        <w:rPr>
          <w:rFonts w:ascii="Calibri" w:hAnsi="Calibri" w:cs="Calibri"/>
          <w:sz w:val="24"/>
          <w:szCs w:val="24"/>
        </w:rPr>
        <w:t>kusů</w:t>
      </w:r>
      <w:r w:rsidRPr="00995237">
        <w:rPr>
          <w:rFonts w:ascii="Calibri" w:hAnsi="Calibri" w:cs="Calibri"/>
          <w:sz w:val="24"/>
          <w:szCs w:val="24"/>
        </w:rPr>
        <w:t xml:space="preserve">, resp. po </w:t>
      </w:r>
      <w:r w:rsidR="00114EBC" w:rsidRPr="00995237">
        <w:rPr>
          <w:rFonts w:ascii="Calibri" w:hAnsi="Calibri" w:cs="Calibri"/>
          <w:sz w:val="24"/>
          <w:szCs w:val="24"/>
        </w:rPr>
        <w:t>aktualizaci dokumentace programu</w:t>
      </w:r>
      <w:r w:rsidRPr="00995237">
        <w:rPr>
          <w:rFonts w:ascii="Calibri" w:hAnsi="Calibri" w:cs="Calibri"/>
          <w:sz w:val="24"/>
          <w:szCs w:val="24"/>
        </w:rPr>
        <w:t xml:space="preserve"> 90 </w:t>
      </w:r>
      <w:r w:rsidR="002C154B" w:rsidRPr="00995237">
        <w:rPr>
          <w:rFonts w:ascii="Calibri" w:hAnsi="Calibri" w:cs="Calibri"/>
          <w:sz w:val="24"/>
          <w:szCs w:val="24"/>
        </w:rPr>
        <w:t>kusů</w:t>
      </w:r>
      <w:r w:rsidRPr="00995237">
        <w:rPr>
          <w:rFonts w:ascii="Calibri" w:hAnsi="Calibri" w:cs="Calibri"/>
          <w:sz w:val="24"/>
          <w:szCs w:val="24"/>
        </w:rPr>
        <w:t>. Pořízena nebyla žádná.</w:t>
      </w:r>
    </w:p>
    <w:p w14:paraId="66327C20" w14:textId="77777777" w:rsidR="0012763D" w:rsidRPr="00995237" w:rsidRDefault="0012763D" w:rsidP="00995237">
      <w:pPr>
        <w:spacing w:after="0" w:line="264" w:lineRule="auto"/>
        <w:jc w:val="both"/>
        <w:rPr>
          <w:rFonts w:ascii="Calibri" w:hAnsi="Calibri" w:cs="Calibri"/>
          <w:sz w:val="24"/>
          <w:szCs w:val="24"/>
        </w:rPr>
      </w:pPr>
    </w:p>
    <w:p w14:paraId="39D0BFB3" w14:textId="37EAE99E" w:rsidR="0012763D"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Obdobně tomu bylo s plněním věcných cílů zaměřených na zvýšení bezpečnosti vnitrozemské plavby. Podle původních předpokladů mělo být pořízeno 50 </w:t>
      </w:r>
      <w:r w:rsidR="002C154B" w:rsidRPr="00995237">
        <w:rPr>
          <w:rFonts w:ascii="Calibri" w:hAnsi="Calibri" w:cs="Calibri"/>
          <w:sz w:val="24"/>
          <w:szCs w:val="24"/>
        </w:rPr>
        <w:t>kusů</w:t>
      </w:r>
      <w:r w:rsidRPr="00995237">
        <w:rPr>
          <w:rFonts w:ascii="Calibri" w:hAnsi="Calibri" w:cs="Calibri"/>
          <w:sz w:val="24"/>
          <w:szCs w:val="24"/>
        </w:rPr>
        <w:t xml:space="preserve">, po </w:t>
      </w:r>
      <w:r w:rsidR="00114EBC" w:rsidRPr="00995237">
        <w:rPr>
          <w:rFonts w:ascii="Calibri" w:hAnsi="Calibri" w:cs="Calibri"/>
          <w:sz w:val="24"/>
          <w:szCs w:val="24"/>
        </w:rPr>
        <w:t>aktualizaci dokumentace programu</w:t>
      </w:r>
      <w:r w:rsidRPr="00995237">
        <w:rPr>
          <w:rFonts w:ascii="Calibri" w:hAnsi="Calibri" w:cs="Calibri"/>
          <w:sz w:val="24"/>
          <w:szCs w:val="24"/>
        </w:rPr>
        <w:t xml:space="preserve"> 30 </w:t>
      </w:r>
      <w:r w:rsidR="002C154B" w:rsidRPr="00995237">
        <w:rPr>
          <w:rFonts w:ascii="Calibri" w:hAnsi="Calibri" w:cs="Calibri"/>
          <w:sz w:val="24"/>
          <w:szCs w:val="24"/>
        </w:rPr>
        <w:t>kusů</w:t>
      </w:r>
      <w:r w:rsidRPr="00995237">
        <w:rPr>
          <w:rFonts w:ascii="Calibri" w:hAnsi="Calibri" w:cs="Calibri"/>
          <w:sz w:val="24"/>
          <w:szCs w:val="24"/>
        </w:rPr>
        <w:t xml:space="preserve"> příďových </w:t>
      </w:r>
      <w:proofErr w:type="spellStart"/>
      <w:r w:rsidRPr="00995237">
        <w:rPr>
          <w:rFonts w:ascii="Calibri" w:hAnsi="Calibri" w:cs="Calibri"/>
          <w:sz w:val="24"/>
          <w:szCs w:val="24"/>
        </w:rPr>
        <w:t>dokormidlovacích</w:t>
      </w:r>
      <w:proofErr w:type="spellEnd"/>
      <w:r w:rsidRPr="00995237">
        <w:rPr>
          <w:rFonts w:ascii="Calibri" w:hAnsi="Calibri" w:cs="Calibri"/>
          <w:sz w:val="24"/>
          <w:szCs w:val="24"/>
        </w:rPr>
        <w:t xml:space="preserve"> zařízení. Pořízeny byly pouze </w:t>
      </w:r>
      <w:r w:rsidR="00FA157A" w:rsidRPr="00995237">
        <w:rPr>
          <w:rFonts w:ascii="Calibri" w:hAnsi="Calibri" w:cs="Calibri"/>
          <w:sz w:val="24"/>
          <w:szCs w:val="24"/>
        </w:rPr>
        <w:t>tři</w:t>
      </w:r>
      <w:r w:rsidRPr="00995237">
        <w:rPr>
          <w:rFonts w:ascii="Calibri" w:hAnsi="Calibri" w:cs="Calibri"/>
          <w:sz w:val="24"/>
          <w:szCs w:val="24"/>
        </w:rPr>
        <w:t xml:space="preserve"> </w:t>
      </w:r>
      <w:r w:rsidR="001E0BAA" w:rsidRPr="00995237">
        <w:rPr>
          <w:rFonts w:ascii="Calibri" w:hAnsi="Calibri" w:cs="Calibri"/>
          <w:sz w:val="24"/>
          <w:szCs w:val="24"/>
        </w:rPr>
        <w:t>kusy</w:t>
      </w:r>
      <w:r w:rsidRPr="00995237">
        <w:rPr>
          <w:rFonts w:ascii="Calibri" w:hAnsi="Calibri" w:cs="Calibri"/>
          <w:sz w:val="24"/>
          <w:szCs w:val="24"/>
        </w:rPr>
        <w:t xml:space="preserve">. Radarových zařízení mělo být pořízeno 44 </w:t>
      </w:r>
      <w:r w:rsidR="002C154B" w:rsidRPr="00995237">
        <w:rPr>
          <w:rFonts w:ascii="Calibri" w:hAnsi="Calibri" w:cs="Calibri"/>
          <w:sz w:val="24"/>
          <w:szCs w:val="24"/>
        </w:rPr>
        <w:t>kusů</w:t>
      </w:r>
      <w:r w:rsidRPr="00995237">
        <w:rPr>
          <w:rFonts w:ascii="Calibri" w:hAnsi="Calibri" w:cs="Calibri"/>
          <w:sz w:val="24"/>
          <w:szCs w:val="24"/>
        </w:rPr>
        <w:t xml:space="preserve">, po </w:t>
      </w:r>
      <w:r w:rsidR="00114EBC" w:rsidRPr="00995237">
        <w:rPr>
          <w:rFonts w:ascii="Calibri" w:hAnsi="Calibri" w:cs="Calibri"/>
          <w:sz w:val="24"/>
          <w:szCs w:val="24"/>
        </w:rPr>
        <w:t xml:space="preserve">aktualizaci dokumentace programu </w:t>
      </w:r>
      <w:r w:rsidRPr="00995237">
        <w:rPr>
          <w:rFonts w:ascii="Calibri" w:hAnsi="Calibri" w:cs="Calibri"/>
          <w:sz w:val="24"/>
          <w:szCs w:val="24"/>
        </w:rPr>
        <w:t>37</w:t>
      </w:r>
      <w:r w:rsidR="00175071" w:rsidRPr="00995237">
        <w:rPr>
          <w:rFonts w:ascii="Calibri" w:hAnsi="Calibri" w:cs="Calibri"/>
          <w:sz w:val="24"/>
          <w:szCs w:val="24"/>
        </w:rPr>
        <w:t> </w:t>
      </w:r>
      <w:r w:rsidR="002C154B" w:rsidRPr="00995237">
        <w:rPr>
          <w:rFonts w:ascii="Calibri" w:hAnsi="Calibri" w:cs="Calibri"/>
          <w:sz w:val="24"/>
          <w:szCs w:val="24"/>
        </w:rPr>
        <w:t>kusů</w:t>
      </w:r>
      <w:r w:rsidRPr="00995237">
        <w:rPr>
          <w:rFonts w:ascii="Calibri" w:hAnsi="Calibri" w:cs="Calibri"/>
          <w:sz w:val="24"/>
          <w:szCs w:val="24"/>
        </w:rPr>
        <w:t xml:space="preserve">, ale pořízeny byly pouze </w:t>
      </w:r>
      <w:r w:rsidR="00FA157A" w:rsidRPr="00995237">
        <w:rPr>
          <w:rFonts w:ascii="Calibri" w:hAnsi="Calibri" w:cs="Calibri"/>
          <w:sz w:val="24"/>
          <w:szCs w:val="24"/>
        </w:rPr>
        <w:t>dva</w:t>
      </w:r>
      <w:r w:rsidRPr="00995237">
        <w:rPr>
          <w:rFonts w:ascii="Calibri" w:hAnsi="Calibri" w:cs="Calibri"/>
          <w:sz w:val="24"/>
          <w:szCs w:val="24"/>
        </w:rPr>
        <w:t xml:space="preserve"> </w:t>
      </w:r>
      <w:r w:rsidR="001E0BAA" w:rsidRPr="00995237">
        <w:rPr>
          <w:rFonts w:ascii="Calibri" w:hAnsi="Calibri" w:cs="Calibri"/>
          <w:sz w:val="24"/>
          <w:szCs w:val="24"/>
        </w:rPr>
        <w:t>kusy</w:t>
      </w:r>
      <w:r w:rsidRPr="00995237">
        <w:rPr>
          <w:rFonts w:ascii="Calibri" w:hAnsi="Calibri" w:cs="Calibri"/>
          <w:sz w:val="24"/>
          <w:szCs w:val="24"/>
        </w:rPr>
        <w:t>. Zařízení „</w:t>
      </w:r>
      <w:r w:rsidR="00E417DD">
        <w:rPr>
          <w:rFonts w:ascii="Calibri" w:hAnsi="Calibri" w:cs="Calibri"/>
          <w:sz w:val="24"/>
          <w:szCs w:val="24"/>
        </w:rPr>
        <w:t>a</w:t>
      </w:r>
      <w:r w:rsidRPr="00995237">
        <w:rPr>
          <w:rFonts w:ascii="Calibri" w:hAnsi="Calibri" w:cs="Calibri"/>
          <w:sz w:val="24"/>
          <w:szCs w:val="24"/>
        </w:rPr>
        <w:t xml:space="preserve">utopilot“ mělo být pořízeno 60 </w:t>
      </w:r>
      <w:r w:rsidR="002C154B" w:rsidRPr="00995237">
        <w:rPr>
          <w:rFonts w:ascii="Calibri" w:hAnsi="Calibri" w:cs="Calibri"/>
          <w:sz w:val="24"/>
          <w:szCs w:val="24"/>
        </w:rPr>
        <w:t>kusů</w:t>
      </w:r>
      <w:r w:rsidRPr="00995237">
        <w:rPr>
          <w:rFonts w:ascii="Calibri" w:hAnsi="Calibri" w:cs="Calibri"/>
          <w:sz w:val="24"/>
          <w:szCs w:val="24"/>
        </w:rPr>
        <w:t xml:space="preserve">, ale při </w:t>
      </w:r>
      <w:r w:rsidR="002C154B" w:rsidRPr="00995237">
        <w:rPr>
          <w:rFonts w:ascii="Calibri" w:hAnsi="Calibri" w:cs="Calibri"/>
          <w:sz w:val="24"/>
          <w:szCs w:val="24"/>
        </w:rPr>
        <w:t xml:space="preserve">aktualizaci dokumentace programu </w:t>
      </w:r>
      <w:r w:rsidRPr="00995237">
        <w:rPr>
          <w:rFonts w:ascii="Calibri" w:hAnsi="Calibri" w:cs="Calibri"/>
          <w:sz w:val="24"/>
          <w:szCs w:val="24"/>
        </w:rPr>
        <w:t xml:space="preserve">byla tato položka z věcných cílů </w:t>
      </w:r>
      <w:r w:rsidR="001E0BAA" w:rsidRPr="00995237">
        <w:rPr>
          <w:rFonts w:ascii="Calibri" w:hAnsi="Calibri" w:cs="Calibri"/>
          <w:sz w:val="24"/>
          <w:szCs w:val="24"/>
        </w:rPr>
        <w:t>p</w:t>
      </w:r>
      <w:r w:rsidRPr="00995237">
        <w:rPr>
          <w:rFonts w:ascii="Calibri" w:hAnsi="Calibri" w:cs="Calibri"/>
          <w:sz w:val="24"/>
          <w:szCs w:val="24"/>
        </w:rPr>
        <w:t>rogramu</w:t>
      </w:r>
      <w:r w:rsidR="001E0BAA" w:rsidRPr="00995237">
        <w:rPr>
          <w:rFonts w:ascii="Calibri" w:hAnsi="Calibri" w:cs="Calibri"/>
          <w:sz w:val="24"/>
          <w:szCs w:val="24"/>
        </w:rPr>
        <w:t xml:space="preserve"> č.</w:t>
      </w:r>
      <w:r w:rsidR="00E417DD">
        <w:rPr>
          <w:rFonts w:ascii="Calibri" w:hAnsi="Calibri" w:cs="Calibri"/>
          <w:sz w:val="24"/>
          <w:szCs w:val="24"/>
        </w:rPr>
        <w:t> </w:t>
      </w:r>
      <w:r w:rsidR="001E0BAA" w:rsidRPr="00995237">
        <w:rPr>
          <w:rFonts w:ascii="Calibri" w:hAnsi="Calibri" w:cs="Calibri"/>
          <w:sz w:val="24"/>
          <w:szCs w:val="24"/>
        </w:rPr>
        <w:t xml:space="preserve">127 550 </w:t>
      </w:r>
      <w:r w:rsidRPr="00995237">
        <w:rPr>
          <w:rFonts w:ascii="Calibri" w:hAnsi="Calibri" w:cs="Calibri"/>
          <w:sz w:val="24"/>
          <w:szCs w:val="24"/>
        </w:rPr>
        <w:t>vypuštěna. Výměna obšívek plavidel byla provedena ve</w:t>
      </w:r>
      <w:r w:rsidR="00E417DD">
        <w:rPr>
          <w:rFonts w:ascii="Calibri" w:hAnsi="Calibri" w:cs="Calibri"/>
          <w:sz w:val="24"/>
          <w:szCs w:val="24"/>
        </w:rPr>
        <w:t xml:space="preserve"> </w:t>
      </w:r>
      <w:r w:rsidRPr="00995237">
        <w:rPr>
          <w:rFonts w:ascii="Calibri" w:hAnsi="Calibri" w:cs="Calibri"/>
          <w:sz w:val="24"/>
          <w:szCs w:val="24"/>
        </w:rPr>
        <w:t>zhruba polovičním rozsahu.</w:t>
      </w:r>
    </w:p>
    <w:p w14:paraId="18571B55" w14:textId="77777777" w:rsidR="00111908" w:rsidRPr="00995237" w:rsidRDefault="00111908" w:rsidP="00995237">
      <w:pPr>
        <w:spacing w:after="0" w:line="264" w:lineRule="auto"/>
        <w:jc w:val="both"/>
        <w:rPr>
          <w:rFonts w:ascii="Calibri" w:hAnsi="Calibri" w:cs="Calibri"/>
          <w:sz w:val="24"/>
          <w:szCs w:val="24"/>
        </w:rPr>
      </w:pPr>
    </w:p>
    <w:p w14:paraId="60C05588" w14:textId="77777777" w:rsidR="00D069ED"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Podpora</w:t>
      </w:r>
      <w:r w:rsidR="001E0BAA" w:rsidRPr="00995237">
        <w:rPr>
          <w:rFonts w:ascii="Calibri" w:hAnsi="Calibri" w:cs="Calibri"/>
          <w:sz w:val="24"/>
          <w:szCs w:val="24"/>
        </w:rPr>
        <w:t xml:space="preserve"> poskytnutá</w:t>
      </w:r>
      <w:r w:rsidRPr="00995237">
        <w:rPr>
          <w:rFonts w:ascii="Calibri" w:hAnsi="Calibri" w:cs="Calibri"/>
          <w:sz w:val="24"/>
          <w:szCs w:val="24"/>
        </w:rPr>
        <w:t xml:space="preserve"> na modernizaci plavidel nebyla určena na celkovou modernizaci plavidel, ale na modernizaci jen jejich dílčích částí. MD </w:t>
      </w:r>
      <w:r w:rsidR="001E0BAA" w:rsidRPr="00995237">
        <w:rPr>
          <w:rFonts w:ascii="Calibri" w:hAnsi="Calibri" w:cs="Calibri"/>
          <w:sz w:val="24"/>
          <w:szCs w:val="24"/>
        </w:rPr>
        <w:t xml:space="preserve">přitom </w:t>
      </w:r>
      <w:r w:rsidRPr="00995237">
        <w:rPr>
          <w:rFonts w:ascii="Calibri" w:hAnsi="Calibri" w:cs="Calibri"/>
          <w:sz w:val="24"/>
          <w:szCs w:val="24"/>
        </w:rPr>
        <w:t xml:space="preserve">v podmínkách poskytování této podpory </w:t>
      </w:r>
      <w:r w:rsidRPr="00995237">
        <w:rPr>
          <w:rFonts w:ascii="Calibri" w:hAnsi="Calibri" w:cs="Calibri"/>
          <w:sz w:val="24"/>
          <w:szCs w:val="24"/>
        </w:rPr>
        <w:lastRenderedPageBreak/>
        <w:t xml:space="preserve">nezohlednilo morální a celkový technický stav plavidel, u nichž </w:t>
      </w:r>
      <w:r w:rsidR="001E0BAA" w:rsidRPr="00995237">
        <w:rPr>
          <w:rFonts w:ascii="Calibri" w:hAnsi="Calibri" w:cs="Calibri"/>
          <w:sz w:val="24"/>
          <w:szCs w:val="24"/>
        </w:rPr>
        <w:t>měla být</w:t>
      </w:r>
      <w:r w:rsidRPr="00995237">
        <w:rPr>
          <w:rFonts w:ascii="Calibri" w:hAnsi="Calibri" w:cs="Calibri"/>
          <w:sz w:val="24"/>
          <w:szCs w:val="24"/>
        </w:rPr>
        <w:t xml:space="preserve"> částečná modernizace provedena (s výjimkou požadavku na zachování způsobilosti plavidla k provozu po dobu udržitelnosti projektu). Není tedy zajištěno, že nebyla podpořena modernizace plavidel, která nebudou pro provoz moderní nákladní dopravy </w:t>
      </w:r>
      <w:r w:rsidR="00512A79" w:rsidRPr="00995237">
        <w:rPr>
          <w:rFonts w:ascii="Calibri" w:hAnsi="Calibri" w:cs="Calibri"/>
          <w:sz w:val="24"/>
          <w:szCs w:val="24"/>
        </w:rPr>
        <w:t>dlouhodobě využitelná</w:t>
      </w:r>
      <w:r w:rsidRPr="00995237">
        <w:rPr>
          <w:rFonts w:ascii="Calibri" w:hAnsi="Calibri" w:cs="Calibri"/>
          <w:sz w:val="24"/>
          <w:szCs w:val="24"/>
        </w:rPr>
        <w:t xml:space="preserve"> (např. z důvodu morálního zastarání, špatného stavu jejich nemodernizovaných částí, nevyhovující přepravní kapacity či jiných parametrů). MD k tomu uvedlo, že poskytování podpory na výstavbu nových plavidel, případně na celkovou modernizaci plavidla blížící se povaze pořízení nového plavidla, nebylo s ohledem na podmínky stanovené Evropskou komisí možné.</w:t>
      </w:r>
    </w:p>
    <w:p w14:paraId="4D9E3173" w14:textId="77777777" w:rsidR="00111908" w:rsidRPr="00995237" w:rsidRDefault="00111908" w:rsidP="00995237">
      <w:pPr>
        <w:spacing w:after="0" w:line="264" w:lineRule="auto"/>
        <w:jc w:val="both"/>
        <w:rPr>
          <w:rFonts w:ascii="Calibri" w:hAnsi="Calibri" w:cs="Calibri"/>
          <w:b/>
          <w:sz w:val="24"/>
          <w:szCs w:val="24"/>
        </w:rPr>
      </w:pPr>
    </w:p>
    <w:p w14:paraId="48DBE9F6" w14:textId="4A111B87" w:rsidR="003F6AE1" w:rsidRPr="00995237" w:rsidRDefault="00E8036B" w:rsidP="00995237">
      <w:pPr>
        <w:spacing w:after="0" w:line="264" w:lineRule="auto"/>
        <w:jc w:val="both"/>
        <w:rPr>
          <w:rFonts w:ascii="Calibri" w:hAnsi="Calibri" w:cs="Calibri"/>
          <w:b/>
          <w:sz w:val="24"/>
          <w:szCs w:val="24"/>
        </w:rPr>
      </w:pPr>
      <w:r w:rsidRPr="00995237">
        <w:rPr>
          <w:rFonts w:ascii="Calibri" w:hAnsi="Calibri" w:cs="Calibri"/>
          <w:b/>
          <w:sz w:val="24"/>
          <w:szCs w:val="24"/>
        </w:rPr>
        <w:t>Ke zvýšení podílu vnitrozemské vodní dopravy na přepravních objemech v nákladní dopravě nedošlo</w:t>
      </w:r>
      <w:r w:rsidR="007233C9" w:rsidRPr="00995237">
        <w:rPr>
          <w:rFonts w:ascii="Calibri" w:hAnsi="Calibri" w:cs="Calibri"/>
          <w:b/>
          <w:sz w:val="24"/>
          <w:szCs w:val="24"/>
        </w:rPr>
        <w:t>. T</w:t>
      </w:r>
      <w:r w:rsidRPr="00995237">
        <w:rPr>
          <w:rFonts w:ascii="Calibri" w:hAnsi="Calibri" w:cs="Calibri"/>
          <w:b/>
          <w:sz w:val="24"/>
          <w:szCs w:val="24"/>
        </w:rPr>
        <w:t>ento podíl v období let 2006–2015 naopak poklesl a zůstává nevýznamný.</w:t>
      </w:r>
      <w:r w:rsidRPr="00995237">
        <w:rPr>
          <w:rFonts w:ascii="Calibri" w:hAnsi="Calibri" w:cs="Calibri"/>
          <w:sz w:val="24"/>
          <w:szCs w:val="24"/>
        </w:rPr>
        <w:t xml:space="preserve"> Objem emisí CO</w:t>
      </w:r>
      <w:r w:rsidRPr="00995237">
        <w:rPr>
          <w:rFonts w:ascii="Calibri" w:hAnsi="Calibri" w:cs="Calibri"/>
          <w:sz w:val="24"/>
          <w:szCs w:val="24"/>
          <w:vertAlign w:val="subscript"/>
        </w:rPr>
        <w:t>2</w:t>
      </w:r>
      <w:r w:rsidRPr="00995237">
        <w:rPr>
          <w:rFonts w:ascii="Calibri" w:hAnsi="Calibri" w:cs="Calibri"/>
          <w:sz w:val="24"/>
          <w:szCs w:val="24"/>
        </w:rPr>
        <w:t xml:space="preserve"> v nákladní</w:t>
      </w:r>
      <w:r w:rsidR="00E417DD">
        <w:rPr>
          <w:rFonts w:ascii="Calibri" w:hAnsi="Calibri" w:cs="Calibri"/>
          <w:sz w:val="24"/>
          <w:szCs w:val="24"/>
        </w:rPr>
        <w:t xml:space="preserve"> </w:t>
      </w:r>
      <w:r w:rsidRPr="00995237">
        <w:rPr>
          <w:rFonts w:ascii="Calibri" w:hAnsi="Calibri" w:cs="Calibri"/>
          <w:sz w:val="24"/>
          <w:szCs w:val="24"/>
        </w:rPr>
        <w:t xml:space="preserve">vodní dopravě </w:t>
      </w:r>
      <w:r w:rsidR="007233C9" w:rsidRPr="00995237">
        <w:rPr>
          <w:rFonts w:ascii="Calibri" w:hAnsi="Calibri" w:cs="Calibri"/>
          <w:sz w:val="24"/>
          <w:szCs w:val="24"/>
        </w:rPr>
        <w:t xml:space="preserve">v uvedeném období </w:t>
      </w:r>
      <w:r w:rsidRPr="00995237">
        <w:rPr>
          <w:rFonts w:ascii="Calibri" w:hAnsi="Calibri" w:cs="Calibri"/>
          <w:sz w:val="24"/>
          <w:szCs w:val="24"/>
        </w:rPr>
        <w:t>klesl o 5 tis. tun, v nákladní silniční dopravě o 165 tis. tun. Podíl vodní dopravy na emisích CO</w:t>
      </w:r>
      <w:r w:rsidRPr="00995237">
        <w:rPr>
          <w:rFonts w:ascii="Calibri" w:hAnsi="Calibri" w:cs="Calibri"/>
          <w:sz w:val="24"/>
          <w:szCs w:val="24"/>
          <w:vertAlign w:val="subscript"/>
        </w:rPr>
        <w:t>2</w:t>
      </w:r>
      <w:r w:rsidRPr="00995237">
        <w:rPr>
          <w:rFonts w:ascii="Calibri" w:hAnsi="Calibri" w:cs="Calibri"/>
          <w:sz w:val="24"/>
          <w:szCs w:val="24"/>
        </w:rPr>
        <w:t xml:space="preserve"> z nákladní dopravy v roce 2006 činil 0,26 % a v roce 2015 činil 0,20 %. Obdobně je tomu i u dalších emisních látek. </w:t>
      </w:r>
      <w:r w:rsidRPr="00995237">
        <w:rPr>
          <w:rFonts w:ascii="Calibri" w:hAnsi="Calibri" w:cs="Calibri"/>
          <w:b/>
          <w:sz w:val="24"/>
          <w:szCs w:val="24"/>
        </w:rPr>
        <w:t xml:space="preserve">Účinky a dopady podpory poskytované v rámci </w:t>
      </w:r>
      <w:r w:rsidR="007233C9" w:rsidRPr="00995237">
        <w:rPr>
          <w:rFonts w:ascii="Calibri" w:hAnsi="Calibri" w:cs="Calibri"/>
          <w:b/>
          <w:sz w:val="24"/>
          <w:szCs w:val="24"/>
        </w:rPr>
        <w:t>p</w:t>
      </w:r>
      <w:r w:rsidRPr="00995237">
        <w:rPr>
          <w:rFonts w:ascii="Calibri" w:hAnsi="Calibri" w:cs="Calibri"/>
          <w:b/>
          <w:sz w:val="24"/>
          <w:szCs w:val="24"/>
        </w:rPr>
        <w:t xml:space="preserve">rogramu č. 127 550 a OPD na plnění cílů tohoto programu, cílů OPD i cílů stanovených v dané oblasti </w:t>
      </w:r>
      <w:r w:rsidR="007233C9" w:rsidRPr="00995237">
        <w:rPr>
          <w:rFonts w:ascii="Calibri" w:hAnsi="Calibri" w:cs="Calibri"/>
          <w:b/>
          <w:sz w:val="24"/>
          <w:szCs w:val="24"/>
        </w:rPr>
        <w:t>d</w:t>
      </w:r>
      <w:r w:rsidRPr="00995237">
        <w:rPr>
          <w:rFonts w:ascii="Calibri" w:hAnsi="Calibri" w:cs="Calibri"/>
          <w:b/>
          <w:sz w:val="24"/>
          <w:szCs w:val="24"/>
        </w:rPr>
        <w:t xml:space="preserve">opravní politikou, jsou velmi malé. </w:t>
      </w:r>
    </w:p>
    <w:p w14:paraId="7B932C40" w14:textId="77777777" w:rsidR="00E417DD" w:rsidRDefault="00E417DD" w:rsidP="00995237">
      <w:pPr>
        <w:spacing w:after="0" w:line="264" w:lineRule="auto"/>
        <w:jc w:val="both"/>
        <w:rPr>
          <w:rFonts w:ascii="Calibri" w:hAnsi="Calibri" w:cs="Calibri"/>
          <w:sz w:val="24"/>
          <w:szCs w:val="24"/>
        </w:rPr>
      </w:pPr>
    </w:p>
    <w:p w14:paraId="37AB4C66" w14:textId="4E261426" w:rsidR="00B00089"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Dopady a účinky podpory poskytnuté na modernizaci plavidel se MD nezabývalo ani </w:t>
      </w:r>
      <w:r w:rsidR="007233C9" w:rsidRPr="00995237">
        <w:rPr>
          <w:rFonts w:ascii="Calibri" w:hAnsi="Calibri" w:cs="Calibri"/>
          <w:sz w:val="24"/>
          <w:szCs w:val="24"/>
        </w:rPr>
        <w:t>při</w:t>
      </w:r>
      <w:r w:rsidRPr="00995237">
        <w:rPr>
          <w:rFonts w:ascii="Calibri" w:hAnsi="Calibri" w:cs="Calibri"/>
          <w:sz w:val="24"/>
          <w:szCs w:val="24"/>
        </w:rPr>
        <w:t xml:space="preserve"> vyhodnocení OPD. V dokumentu </w:t>
      </w:r>
      <w:r w:rsidRPr="00435EF1">
        <w:rPr>
          <w:rFonts w:ascii="Calibri" w:hAnsi="Calibri" w:cs="Calibri"/>
          <w:i/>
          <w:sz w:val="24"/>
          <w:szCs w:val="24"/>
        </w:rPr>
        <w:t>Závěrečná zpráva o provádění OPD 2007–2013</w:t>
      </w:r>
      <w:r w:rsidRPr="00995237">
        <w:rPr>
          <w:rFonts w:ascii="Calibri" w:hAnsi="Calibri" w:cs="Calibri"/>
          <w:sz w:val="24"/>
          <w:szCs w:val="24"/>
        </w:rPr>
        <w:t xml:space="preserve"> z října 2017 MD neuvedlo žádné bližší informace o tom, jaký byl vliv projektů modernizace plavidel na plnění cílů prioritní osy 6 OPD (zatraktivnění multimodální nákladní přepravy za účelem snížení negativních vlivů dopravy na životní prostředí a veřejné zdraví snížením podílu silniční nákladní dopravy, zlepšení vnitrozemské vodní dopravy) a dosažení očekávaných výsledků a dopadů poskytnuté podpory (zvýšení podílu vnitrozemské vodní dopravy na přepravních objemech především v nákladní dopravě a tím i snížení vlivu silniční dopravy na životní prostředí). Důsledky výrazně nižšího rozsahu skutečně provedené modernizace plavidel oproti původním předpokladům se MD </w:t>
      </w:r>
      <w:r w:rsidR="007233C9" w:rsidRPr="00995237">
        <w:rPr>
          <w:rFonts w:ascii="Calibri" w:hAnsi="Calibri" w:cs="Calibri"/>
          <w:sz w:val="24"/>
          <w:szCs w:val="24"/>
        </w:rPr>
        <w:t>při</w:t>
      </w:r>
      <w:r w:rsidRPr="00995237">
        <w:rPr>
          <w:rFonts w:ascii="Calibri" w:hAnsi="Calibri" w:cs="Calibri"/>
          <w:sz w:val="24"/>
          <w:szCs w:val="24"/>
        </w:rPr>
        <w:t xml:space="preserve"> vyhodnocení OPD nezabývalo.</w:t>
      </w:r>
    </w:p>
    <w:p w14:paraId="419EAA37" w14:textId="77777777" w:rsidR="00D0037E" w:rsidRPr="00995237" w:rsidRDefault="00D0037E" w:rsidP="00995237">
      <w:pPr>
        <w:spacing w:after="0" w:line="264" w:lineRule="auto"/>
        <w:jc w:val="both"/>
        <w:rPr>
          <w:rFonts w:ascii="Calibri" w:hAnsi="Calibri" w:cs="Calibri"/>
          <w:sz w:val="24"/>
          <w:szCs w:val="24"/>
        </w:rPr>
      </w:pPr>
    </w:p>
    <w:p w14:paraId="7EF4CC8E" w14:textId="77777777" w:rsidR="00BB5596"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MD v době od zahájení programu č. 127 550 v roce 2007 do doby </w:t>
      </w:r>
      <w:r w:rsidR="004715FC" w:rsidRPr="00995237">
        <w:rPr>
          <w:rFonts w:ascii="Calibri" w:hAnsi="Calibri" w:cs="Calibri"/>
          <w:sz w:val="24"/>
          <w:szCs w:val="24"/>
        </w:rPr>
        <w:t xml:space="preserve">ukončení kontroly NKÚ </w:t>
      </w:r>
      <w:r w:rsidRPr="00995237">
        <w:rPr>
          <w:rFonts w:ascii="Calibri" w:hAnsi="Calibri" w:cs="Calibri"/>
          <w:sz w:val="24"/>
          <w:szCs w:val="24"/>
        </w:rPr>
        <w:t>nevyhodnotilo hospodárnost, efektivnost a účelnost prostředků vynaložených na podporu modernizace plavidel</w:t>
      </w:r>
      <w:r w:rsidR="007537A4" w:rsidRPr="00995237">
        <w:rPr>
          <w:rFonts w:ascii="Calibri" w:hAnsi="Calibri" w:cs="Calibri"/>
          <w:sz w:val="24"/>
          <w:szCs w:val="24"/>
        </w:rPr>
        <w:t xml:space="preserve"> a</w:t>
      </w:r>
      <w:r w:rsidRPr="00995237">
        <w:rPr>
          <w:rFonts w:ascii="Calibri" w:hAnsi="Calibri" w:cs="Calibri"/>
          <w:sz w:val="24"/>
          <w:szCs w:val="24"/>
        </w:rPr>
        <w:t xml:space="preserve"> </w:t>
      </w:r>
      <w:r w:rsidR="007537A4" w:rsidRPr="00995237">
        <w:rPr>
          <w:rFonts w:ascii="Calibri" w:hAnsi="Calibri" w:cs="Calibri"/>
          <w:sz w:val="24"/>
          <w:szCs w:val="24"/>
        </w:rPr>
        <w:t>ne</w:t>
      </w:r>
      <w:r w:rsidRPr="00995237">
        <w:rPr>
          <w:rFonts w:ascii="Calibri" w:hAnsi="Calibri" w:cs="Calibri"/>
          <w:sz w:val="24"/>
          <w:szCs w:val="24"/>
        </w:rPr>
        <w:t xml:space="preserve">zabývalo </w:t>
      </w:r>
      <w:r w:rsidR="007537A4" w:rsidRPr="00995237">
        <w:rPr>
          <w:rFonts w:ascii="Calibri" w:hAnsi="Calibri" w:cs="Calibri"/>
          <w:sz w:val="24"/>
          <w:szCs w:val="24"/>
        </w:rPr>
        <w:t xml:space="preserve">se </w:t>
      </w:r>
      <w:r w:rsidRPr="00995237">
        <w:rPr>
          <w:rFonts w:ascii="Calibri" w:hAnsi="Calibri" w:cs="Calibri"/>
          <w:sz w:val="24"/>
          <w:szCs w:val="24"/>
        </w:rPr>
        <w:t>účinky a dopady podpory poskytnuté v této oblasti</w:t>
      </w:r>
      <w:r w:rsidR="007233C9" w:rsidRPr="00995237">
        <w:rPr>
          <w:rFonts w:ascii="Calibri" w:hAnsi="Calibri" w:cs="Calibri"/>
          <w:sz w:val="24"/>
          <w:szCs w:val="24"/>
        </w:rPr>
        <w:t>. Tato</w:t>
      </w:r>
      <w:r w:rsidRPr="00995237">
        <w:rPr>
          <w:rFonts w:ascii="Calibri" w:hAnsi="Calibri" w:cs="Calibri"/>
          <w:sz w:val="24"/>
          <w:szCs w:val="24"/>
        </w:rPr>
        <w:t xml:space="preserve"> </w:t>
      </w:r>
      <w:r w:rsidR="007233C9" w:rsidRPr="00995237">
        <w:rPr>
          <w:rFonts w:ascii="Calibri" w:hAnsi="Calibri" w:cs="Calibri"/>
          <w:sz w:val="24"/>
          <w:szCs w:val="24"/>
        </w:rPr>
        <w:t xml:space="preserve">skutečnost </w:t>
      </w:r>
      <w:r w:rsidRPr="00995237">
        <w:rPr>
          <w:rFonts w:ascii="Calibri" w:hAnsi="Calibri" w:cs="Calibri"/>
          <w:sz w:val="24"/>
          <w:szCs w:val="24"/>
        </w:rPr>
        <w:t>svědčí o tom, že MD řádně neplnilo povinnost stanovenou právním předpisem</w:t>
      </w:r>
      <w:r w:rsidRPr="00995237">
        <w:rPr>
          <w:rFonts w:ascii="Calibri" w:hAnsi="Calibri" w:cs="Calibri"/>
          <w:sz w:val="24"/>
          <w:szCs w:val="24"/>
          <w:vertAlign w:val="superscript"/>
        </w:rPr>
        <w:footnoteReference w:id="27"/>
      </w:r>
      <w:r w:rsidRPr="00995237">
        <w:rPr>
          <w:rFonts w:ascii="Calibri" w:hAnsi="Calibri" w:cs="Calibri"/>
          <w:sz w:val="24"/>
          <w:szCs w:val="24"/>
        </w:rPr>
        <w:t>.</w:t>
      </w:r>
    </w:p>
    <w:p w14:paraId="105855DB" w14:textId="77777777" w:rsidR="00F44F40" w:rsidRPr="00995237" w:rsidRDefault="00F44F40" w:rsidP="00995237">
      <w:pPr>
        <w:spacing w:after="0" w:line="264" w:lineRule="auto"/>
        <w:jc w:val="both"/>
        <w:rPr>
          <w:rFonts w:ascii="Calibri" w:hAnsi="Calibri" w:cs="Calibri"/>
          <w:sz w:val="24"/>
          <w:szCs w:val="24"/>
        </w:rPr>
      </w:pPr>
    </w:p>
    <w:p w14:paraId="27E26630" w14:textId="77777777" w:rsidR="00F44F40"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Míru vlivu této podpory na zlepšení celkového stavu plavidel a možnost jejich lepšího využití v dalším období NKÚ nemohl vyhodnotit</w:t>
      </w:r>
      <w:r w:rsidR="00B53623" w:rsidRPr="00995237">
        <w:rPr>
          <w:rFonts w:ascii="Calibri" w:hAnsi="Calibri" w:cs="Calibri"/>
          <w:sz w:val="24"/>
          <w:szCs w:val="24"/>
        </w:rPr>
        <w:t>. MD se při rozhodování o poskytnutí podpory celkovým stavem plavidel blíže nezabývalo.</w:t>
      </w:r>
      <w:r w:rsidRPr="00995237">
        <w:rPr>
          <w:rFonts w:ascii="Calibri" w:hAnsi="Calibri" w:cs="Calibri"/>
          <w:sz w:val="24"/>
          <w:szCs w:val="24"/>
        </w:rPr>
        <w:t xml:space="preserve"> </w:t>
      </w:r>
      <w:r w:rsidRPr="00995237">
        <w:rPr>
          <w:rFonts w:ascii="Calibri" w:eastAsia="Calibri" w:hAnsi="Calibri" w:cs="Calibri"/>
          <w:sz w:val="24"/>
          <w:szCs w:val="24"/>
        </w:rPr>
        <w:t xml:space="preserve">Počet plavidel </w:t>
      </w:r>
      <w:r w:rsidRPr="00995237">
        <w:rPr>
          <w:rFonts w:ascii="Calibri" w:hAnsi="Calibri" w:cs="Calibri"/>
          <w:sz w:val="24"/>
          <w:szCs w:val="24"/>
        </w:rPr>
        <w:t>nákladní říční dopravy v letech 2010–2017 klesl skoro o třetinu. Téměř 90 % plavidel je starších 30 let. Údaje o věkové struktuře plavidel uváděné v </w:t>
      </w:r>
      <w:r w:rsidR="007233C9" w:rsidRPr="00995237">
        <w:rPr>
          <w:rFonts w:ascii="Calibri" w:hAnsi="Calibri" w:cs="Calibri"/>
          <w:sz w:val="24"/>
          <w:szCs w:val="24"/>
        </w:rPr>
        <w:t>r</w:t>
      </w:r>
      <w:r w:rsidRPr="00995237">
        <w:rPr>
          <w:rFonts w:ascii="Calibri" w:hAnsi="Calibri" w:cs="Calibri"/>
          <w:sz w:val="24"/>
          <w:szCs w:val="24"/>
        </w:rPr>
        <w:t>očenkách dopravy nezohledňují provedené modernizace plavidel.</w:t>
      </w:r>
    </w:p>
    <w:p w14:paraId="3376F8AF" w14:textId="77777777" w:rsidR="00BB2FDF" w:rsidRPr="00995237" w:rsidRDefault="00BB2FDF" w:rsidP="00995237">
      <w:pPr>
        <w:spacing w:after="0" w:line="264" w:lineRule="auto"/>
        <w:jc w:val="both"/>
        <w:rPr>
          <w:rFonts w:ascii="Calibri" w:hAnsi="Calibri" w:cs="Calibri"/>
          <w:b/>
          <w:sz w:val="24"/>
          <w:szCs w:val="24"/>
        </w:rPr>
      </w:pPr>
    </w:p>
    <w:p w14:paraId="762F22B8" w14:textId="192A5C37" w:rsidR="00BB2FDF" w:rsidRPr="00995237" w:rsidRDefault="00BB2FDF" w:rsidP="00995237">
      <w:pPr>
        <w:spacing w:after="0" w:line="264" w:lineRule="auto"/>
        <w:jc w:val="both"/>
        <w:rPr>
          <w:rFonts w:ascii="Calibri" w:hAnsi="Calibri" w:cs="Calibri"/>
          <w:sz w:val="24"/>
          <w:szCs w:val="24"/>
        </w:rPr>
      </w:pPr>
      <w:r w:rsidRPr="00995237">
        <w:rPr>
          <w:rFonts w:ascii="Calibri" w:hAnsi="Calibri" w:cs="Calibri"/>
          <w:b/>
          <w:sz w:val="24"/>
          <w:szCs w:val="24"/>
        </w:rPr>
        <w:lastRenderedPageBreak/>
        <w:t>V žádostech o poskytnutí podpory z programu č. 127 550 a OPD, dokumentech z jejich hodnocení a příslušných rozhodnutích MD o poskytnutí podpory NKÚ zjistil rozpory v některých údajích</w:t>
      </w:r>
      <w:r w:rsidRPr="00995237">
        <w:rPr>
          <w:rFonts w:ascii="Calibri" w:hAnsi="Calibri" w:cs="Calibri"/>
          <w:sz w:val="24"/>
          <w:szCs w:val="24"/>
        </w:rPr>
        <w:t xml:space="preserve"> (vymezení cílů, hodnoty monitorovacích ukazatelů a jejich vazba na deklarované cíle projektu, informace o spotřebě motorů atd.). </w:t>
      </w:r>
      <w:r w:rsidRPr="00995237">
        <w:rPr>
          <w:rFonts w:ascii="Calibri" w:hAnsi="Calibri" w:cs="Calibri"/>
          <w:b/>
          <w:sz w:val="24"/>
          <w:szCs w:val="24"/>
        </w:rPr>
        <w:t>Ze</w:t>
      </w:r>
      <w:r w:rsidR="00E417DD">
        <w:rPr>
          <w:rFonts w:ascii="Calibri" w:hAnsi="Calibri" w:cs="Calibri"/>
          <w:b/>
          <w:sz w:val="24"/>
          <w:szCs w:val="24"/>
        </w:rPr>
        <w:t xml:space="preserve"> </w:t>
      </w:r>
      <w:r w:rsidRPr="00995237">
        <w:rPr>
          <w:rFonts w:ascii="Calibri" w:hAnsi="Calibri" w:cs="Calibri"/>
          <w:b/>
          <w:sz w:val="24"/>
          <w:szCs w:val="24"/>
        </w:rPr>
        <w:t>žádostí o poskytnutí podpory vyplývá, že modernizace plavidel bude mít jen velmi malý vliv na jejich využití.</w:t>
      </w:r>
      <w:r w:rsidRPr="00995237">
        <w:rPr>
          <w:rFonts w:ascii="Calibri" w:hAnsi="Calibri" w:cs="Calibri"/>
          <w:sz w:val="24"/>
          <w:szCs w:val="24"/>
        </w:rPr>
        <w:t xml:space="preserve"> Například nárůst přepravního objemu po výměně obšívky jednoho z plavidel byl v projektové žádosti vyčíslen na 439 tun za 5 let (tj. 0,6 %), což ve finančním vyjádření představuje částku 3 618 Kč. V případě </w:t>
      </w:r>
      <w:proofErr w:type="spellStart"/>
      <w:r w:rsidRPr="00995237">
        <w:rPr>
          <w:rFonts w:ascii="Calibri" w:hAnsi="Calibri" w:cs="Calibri"/>
          <w:sz w:val="24"/>
          <w:szCs w:val="24"/>
        </w:rPr>
        <w:t>remotorizace</w:t>
      </w:r>
      <w:proofErr w:type="spellEnd"/>
      <w:r w:rsidRPr="00995237">
        <w:rPr>
          <w:rFonts w:ascii="Calibri" w:hAnsi="Calibri" w:cs="Calibri"/>
          <w:sz w:val="24"/>
          <w:szCs w:val="24"/>
        </w:rPr>
        <w:t xml:space="preserve"> jiného plavidla byl ekonomický efekt navýšení celkového objemu přeprav vyčíslen na 11 372 Kč za 5 let. </w:t>
      </w:r>
    </w:p>
    <w:p w14:paraId="0953E22F" w14:textId="77777777" w:rsidR="00052264" w:rsidRPr="00995237" w:rsidRDefault="00052264" w:rsidP="00995237">
      <w:pPr>
        <w:spacing w:after="0" w:line="264" w:lineRule="auto"/>
        <w:jc w:val="both"/>
        <w:rPr>
          <w:rFonts w:ascii="Calibri" w:hAnsi="Calibri" w:cs="Calibri"/>
          <w:sz w:val="24"/>
          <w:szCs w:val="24"/>
        </w:rPr>
      </w:pPr>
    </w:p>
    <w:p w14:paraId="7218E9EE" w14:textId="77777777" w:rsidR="0065484F" w:rsidRPr="00995237" w:rsidRDefault="00E8036B" w:rsidP="00995237">
      <w:pPr>
        <w:spacing w:after="0" w:line="264" w:lineRule="auto"/>
        <w:jc w:val="both"/>
        <w:rPr>
          <w:rFonts w:ascii="Calibri" w:hAnsi="Calibri" w:cs="Calibri"/>
          <w:b/>
          <w:sz w:val="24"/>
          <w:szCs w:val="24"/>
        </w:rPr>
      </w:pPr>
      <w:r w:rsidRPr="00995237">
        <w:rPr>
          <w:rFonts w:ascii="Calibri" w:hAnsi="Calibri" w:cs="Calibri"/>
          <w:b/>
          <w:sz w:val="24"/>
          <w:szCs w:val="24"/>
        </w:rPr>
        <w:t xml:space="preserve">Účinek podpory poskytnuté v letech 2008–2015 v celkovém objemu 53,4 mil. Kč </w:t>
      </w:r>
      <w:r w:rsidRPr="00995237">
        <w:rPr>
          <w:rFonts w:ascii="Calibri" w:hAnsi="Calibri" w:cs="Calibri"/>
          <w:sz w:val="24"/>
          <w:szCs w:val="24"/>
        </w:rPr>
        <w:t>(z toho 45,4</w:t>
      </w:r>
      <w:r w:rsidR="008E46EC" w:rsidRPr="00995237">
        <w:rPr>
          <w:rFonts w:ascii="Calibri" w:hAnsi="Calibri" w:cs="Calibri"/>
          <w:sz w:val="24"/>
          <w:szCs w:val="24"/>
        </w:rPr>
        <w:t> </w:t>
      </w:r>
      <w:r w:rsidRPr="00995237">
        <w:rPr>
          <w:rFonts w:ascii="Calibri" w:hAnsi="Calibri" w:cs="Calibri"/>
          <w:sz w:val="24"/>
          <w:szCs w:val="24"/>
        </w:rPr>
        <w:t>mil. Kč z prostředků EU a 8,0 mil. Kč z prostředků státního rozpočtu)</w:t>
      </w:r>
      <w:r w:rsidRPr="00995237">
        <w:rPr>
          <w:rFonts w:ascii="Calibri" w:hAnsi="Calibri" w:cs="Calibri"/>
          <w:b/>
          <w:sz w:val="24"/>
          <w:szCs w:val="24"/>
        </w:rPr>
        <w:t xml:space="preserve"> na modernizaci plavidel se nijak neprojevil v podobě nárůstu objemu či podílu nákladní vodní dopravy na přepravních objemech. </w:t>
      </w:r>
      <w:r w:rsidR="00A6271C" w:rsidRPr="00995237">
        <w:rPr>
          <w:rFonts w:ascii="Calibri" w:hAnsi="Calibri" w:cs="Calibri"/>
          <w:b/>
          <w:sz w:val="24"/>
          <w:szCs w:val="24"/>
        </w:rPr>
        <w:t xml:space="preserve">Dosaženo bylo jen dílčích cílů OPD a programu č. 127 550. </w:t>
      </w:r>
      <w:r w:rsidR="00B579E2" w:rsidRPr="00995237">
        <w:rPr>
          <w:rFonts w:ascii="Calibri" w:hAnsi="Calibri" w:cs="Calibri"/>
          <w:b/>
          <w:sz w:val="24"/>
          <w:szCs w:val="24"/>
        </w:rPr>
        <w:t xml:space="preserve">Zajištěno není </w:t>
      </w:r>
      <w:r w:rsidR="00BB2FDF" w:rsidRPr="00995237">
        <w:rPr>
          <w:rFonts w:ascii="Calibri" w:hAnsi="Calibri" w:cs="Calibri"/>
          <w:b/>
          <w:sz w:val="24"/>
          <w:szCs w:val="24"/>
        </w:rPr>
        <w:t>významné</w:t>
      </w:r>
      <w:r w:rsidRPr="00995237">
        <w:rPr>
          <w:rFonts w:ascii="Calibri" w:hAnsi="Calibri" w:cs="Calibri"/>
          <w:b/>
          <w:sz w:val="24"/>
          <w:szCs w:val="24"/>
        </w:rPr>
        <w:t xml:space="preserve"> zefektivnění provozu modernizovaných plavidel</w:t>
      </w:r>
      <w:r w:rsidR="00B579E2" w:rsidRPr="00995237">
        <w:rPr>
          <w:rFonts w:ascii="Calibri" w:hAnsi="Calibri" w:cs="Calibri"/>
          <w:b/>
          <w:sz w:val="24"/>
          <w:szCs w:val="24"/>
        </w:rPr>
        <w:t>, ani</w:t>
      </w:r>
      <w:r w:rsidRPr="00995237">
        <w:rPr>
          <w:rFonts w:ascii="Calibri" w:hAnsi="Calibri" w:cs="Calibri"/>
          <w:b/>
          <w:sz w:val="24"/>
          <w:szCs w:val="24"/>
        </w:rPr>
        <w:t xml:space="preserve"> zajištění jejich dlouhodobého využívání </w:t>
      </w:r>
      <w:r w:rsidR="003B0719" w:rsidRPr="00995237">
        <w:rPr>
          <w:rFonts w:ascii="Calibri" w:hAnsi="Calibri" w:cs="Calibri"/>
          <w:b/>
          <w:sz w:val="24"/>
          <w:szCs w:val="24"/>
        </w:rPr>
        <w:t xml:space="preserve">s pozitivními efekty </w:t>
      </w:r>
      <w:r w:rsidRPr="00995237">
        <w:rPr>
          <w:rFonts w:ascii="Calibri" w:hAnsi="Calibri" w:cs="Calibri"/>
          <w:b/>
          <w:sz w:val="24"/>
          <w:szCs w:val="24"/>
        </w:rPr>
        <w:t xml:space="preserve">ve prospěch České republiky. </w:t>
      </w:r>
      <w:r w:rsidR="00B579E2" w:rsidRPr="00995237">
        <w:rPr>
          <w:rFonts w:ascii="Calibri" w:hAnsi="Calibri" w:cs="Calibri"/>
          <w:b/>
          <w:sz w:val="24"/>
          <w:szCs w:val="24"/>
        </w:rPr>
        <w:t xml:space="preserve">NKÚ proto peněžní prostředky vynaložené na podporu modernizace plavidel </w:t>
      </w:r>
      <w:r w:rsidR="00BB3FCD" w:rsidRPr="00995237">
        <w:rPr>
          <w:rFonts w:ascii="Calibri" w:hAnsi="Calibri" w:cs="Calibri"/>
          <w:b/>
          <w:sz w:val="24"/>
          <w:szCs w:val="24"/>
        </w:rPr>
        <w:t xml:space="preserve">nepovažuje </w:t>
      </w:r>
      <w:r w:rsidR="00B579E2" w:rsidRPr="00995237">
        <w:rPr>
          <w:rFonts w:ascii="Calibri" w:hAnsi="Calibri" w:cs="Calibri"/>
          <w:b/>
          <w:sz w:val="24"/>
          <w:szCs w:val="24"/>
        </w:rPr>
        <w:t xml:space="preserve">za </w:t>
      </w:r>
      <w:r w:rsidR="00BB3FCD" w:rsidRPr="00995237">
        <w:rPr>
          <w:rFonts w:ascii="Calibri" w:hAnsi="Calibri" w:cs="Calibri"/>
          <w:b/>
          <w:sz w:val="24"/>
          <w:szCs w:val="24"/>
        </w:rPr>
        <w:t xml:space="preserve">dostatečně </w:t>
      </w:r>
      <w:r w:rsidR="00B579E2" w:rsidRPr="00995237">
        <w:rPr>
          <w:rFonts w:ascii="Calibri" w:hAnsi="Calibri" w:cs="Calibri"/>
          <w:b/>
          <w:sz w:val="24"/>
          <w:szCs w:val="24"/>
        </w:rPr>
        <w:t>ú</w:t>
      </w:r>
      <w:r w:rsidR="00A6271C" w:rsidRPr="00995237">
        <w:rPr>
          <w:rFonts w:ascii="Calibri" w:hAnsi="Calibri" w:cs="Calibri"/>
          <w:b/>
          <w:sz w:val="24"/>
          <w:szCs w:val="24"/>
        </w:rPr>
        <w:t>čeln</w:t>
      </w:r>
      <w:r w:rsidR="00B579E2" w:rsidRPr="00995237">
        <w:rPr>
          <w:rFonts w:ascii="Calibri" w:hAnsi="Calibri" w:cs="Calibri"/>
          <w:b/>
          <w:sz w:val="24"/>
          <w:szCs w:val="24"/>
        </w:rPr>
        <w:t>ě</w:t>
      </w:r>
      <w:r w:rsidR="00A6271C" w:rsidRPr="00995237">
        <w:rPr>
          <w:rFonts w:ascii="Calibri" w:hAnsi="Calibri" w:cs="Calibri"/>
          <w:b/>
          <w:sz w:val="24"/>
          <w:szCs w:val="24"/>
        </w:rPr>
        <w:t xml:space="preserve"> a efektivn</w:t>
      </w:r>
      <w:r w:rsidR="00B579E2" w:rsidRPr="00995237">
        <w:rPr>
          <w:rFonts w:ascii="Calibri" w:hAnsi="Calibri" w:cs="Calibri"/>
          <w:b/>
          <w:sz w:val="24"/>
          <w:szCs w:val="24"/>
        </w:rPr>
        <w:t>ě</w:t>
      </w:r>
      <w:r w:rsidR="00A6271C" w:rsidRPr="00995237">
        <w:rPr>
          <w:rFonts w:ascii="Calibri" w:hAnsi="Calibri" w:cs="Calibri"/>
          <w:b/>
          <w:sz w:val="24"/>
          <w:szCs w:val="24"/>
        </w:rPr>
        <w:t xml:space="preserve"> </w:t>
      </w:r>
      <w:r w:rsidR="00B579E2" w:rsidRPr="00995237">
        <w:rPr>
          <w:rFonts w:ascii="Calibri" w:hAnsi="Calibri" w:cs="Calibri"/>
          <w:b/>
          <w:sz w:val="24"/>
          <w:szCs w:val="24"/>
        </w:rPr>
        <w:t>vynaložené</w:t>
      </w:r>
      <w:r w:rsidRPr="00995237">
        <w:rPr>
          <w:rFonts w:ascii="Calibri" w:hAnsi="Calibri" w:cs="Calibri"/>
          <w:b/>
          <w:sz w:val="24"/>
          <w:szCs w:val="24"/>
        </w:rPr>
        <w:t>.</w:t>
      </w:r>
    </w:p>
    <w:p w14:paraId="40D34CE4" w14:textId="77777777" w:rsidR="0065484F" w:rsidRPr="00995237" w:rsidRDefault="0065484F" w:rsidP="00995237">
      <w:pPr>
        <w:spacing w:after="0" w:line="264" w:lineRule="auto"/>
        <w:jc w:val="both"/>
        <w:rPr>
          <w:rFonts w:ascii="Calibri" w:hAnsi="Calibri" w:cs="Calibri"/>
          <w:sz w:val="24"/>
          <w:szCs w:val="24"/>
        </w:rPr>
      </w:pPr>
    </w:p>
    <w:p w14:paraId="0539A35E" w14:textId="77777777" w:rsidR="001529BF" w:rsidRPr="00995237" w:rsidRDefault="00BB2FDF" w:rsidP="00995237">
      <w:pPr>
        <w:pStyle w:val="MDSR"/>
        <w:spacing w:before="0" w:line="264" w:lineRule="auto"/>
        <w:ind w:firstLine="0"/>
        <w:rPr>
          <w:rFonts w:ascii="Calibri" w:eastAsiaTheme="minorHAnsi" w:hAnsi="Calibri" w:cs="Calibri"/>
          <w:szCs w:val="24"/>
          <w:lang w:eastAsia="en-US"/>
        </w:rPr>
      </w:pPr>
      <w:r w:rsidRPr="00995237">
        <w:rPr>
          <w:rFonts w:ascii="Calibri" w:eastAsiaTheme="minorHAnsi" w:hAnsi="Calibri" w:cs="Calibri"/>
          <w:b/>
          <w:szCs w:val="24"/>
          <w:lang w:eastAsia="en-US"/>
        </w:rPr>
        <w:t>U dvou kontrolovaných projektů</w:t>
      </w:r>
      <w:r w:rsidR="00E8036B" w:rsidRPr="00995237">
        <w:rPr>
          <w:rFonts w:ascii="Calibri" w:eastAsiaTheme="minorHAnsi" w:hAnsi="Calibri" w:cs="Calibri"/>
          <w:b/>
          <w:szCs w:val="24"/>
          <w:lang w:eastAsia="en-US"/>
        </w:rPr>
        <w:t xml:space="preserve"> NKÚ zjistil rozpor mezi stanovenými a skutečně dosaženými hodnotami závazných parametrů.</w:t>
      </w:r>
      <w:r w:rsidR="00E8036B" w:rsidRPr="00995237">
        <w:rPr>
          <w:rFonts w:ascii="Calibri" w:eastAsiaTheme="minorHAnsi" w:hAnsi="Calibri" w:cs="Calibri"/>
          <w:szCs w:val="24"/>
          <w:lang w:eastAsia="en-US"/>
        </w:rPr>
        <w:t xml:space="preserve"> </w:t>
      </w:r>
      <w:r w:rsidR="007233C9" w:rsidRPr="00995237">
        <w:rPr>
          <w:rFonts w:ascii="Calibri" w:eastAsiaTheme="minorHAnsi" w:hAnsi="Calibri" w:cs="Calibri"/>
          <w:szCs w:val="24"/>
          <w:lang w:eastAsia="en-US"/>
        </w:rPr>
        <w:t xml:space="preserve">V projektové žádosti </w:t>
      </w:r>
      <w:r w:rsidR="00904802" w:rsidRPr="00995237">
        <w:rPr>
          <w:rFonts w:ascii="Calibri" w:eastAsiaTheme="minorHAnsi" w:hAnsi="Calibri" w:cs="Calibri"/>
          <w:szCs w:val="24"/>
          <w:lang w:eastAsia="en-US"/>
        </w:rPr>
        <w:t xml:space="preserve">u jednoho z těchto projektů </w:t>
      </w:r>
      <w:r w:rsidR="007233C9" w:rsidRPr="00995237">
        <w:rPr>
          <w:rFonts w:ascii="Calibri" w:eastAsiaTheme="minorHAnsi" w:hAnsi="Calibri" w:cs="Calibri"/>
          <w:szCs w:val="24"/>
          <w:lang w:eastAsia="en-US"/>
        </w:rPr>
        <w:t>žadatel o</w:t>
      </w:r>
      <w:r w:rsidR="00E8036B" w:rsidRPr="00995237">
        <w:rPr>
          <w:rFonts w:ascii="Calibri" w:eastAsiaTheme="minorHAnsi" w:hAnsi="Calibri" w:cs="Calibri"/>
          <w:szCs w:val="24"/>
          <w:lang w:eastAsia="en-US"/>
        </w:rPr>
        <w:t xml:space="preserve"> podpo</w:t>
      </w:r>
      <w:r w:rsidR="007233C9" w:rsidRPr="00995237">
        <w:rPr>
          <w:rFonts w:ascii="Calibri" w:eastAsiaTheme="minorHAnsi" w:hAnsi="Calibri" w:cs="Calibri"/>
          <w:szCs w:val="24"/>
          <w:lang w:eastAsia="en-US"/>
        </w:rPr>
        <w:t>ru</w:t>
      </w:r>
      <w:r w:rsidR="00E8036B" w:rsidRPr="00995237">
        <w:rPr>
          <w:rFonts w:ascii="Calibri" w:eastAsiaTheme="minorHAnsi" w:hAnsi="Calibri" w:cs="Calibri"/>
          <w:szCs w:val="24"/>
          <w:lang w:eastAsia="en-US"/>
        </w:rPr>
        <w:t xml:space="preserve"> uvedl nesprávnou výměru měněné obšívky a </w:t>
      </w:r>
      <w:r w:rsidR="00114EBC" w:rsidRPr="00995237">
        <w:rPr>
          <w:rFonts w:ascii="Calibri" w:eastAsiaTheme="minorHAnsi" w:hAnsi="Calibri" w:cs="Calibri"/>
          <w:szCs w:val="24"/>
          <w:lang w:eastAsia="en-US"/>
        </w:rPr>
        <w:t xml:space="preserve">tuto </w:t>
      </w:r>
      <w:r w:rsidR="00E8036B" w:rsidRPr="00995237">
        <w:rPr>
          <w:rFonts w:ascii="Calibri" w:eastAsiaTheme="minorHAnsi" w:hAnsi="Calibri" w:cs="Calibri"/>
          <w:szCs w:val="24"/>
          <w:lang w:eastAsia="en-US"/>
        </w:rPr>
        <w:t>nesrovnalost</w:t>
      </w:r>
      <w:r w:rsidR="00114EBC" w:rsidRPr="00995237">
        <w:rPr>
          <w:rFonts w:ascii="Calibri" w:eastAsiaTheme="minorHAnsi" w:hAnsi="Calibri" w:cs="Calibri"/>
          <w:szCs w:val="24"/>
          <w:lang w:eastAsia="en-US"/>
        </w:rPr>
        <w:t xml:space="preserve"> před vydáním rozhodnutí o</w:t>
      </w:r>
      <w:r w:rsidR="003042CB" w:rsidRPr="00995237">
        <w:rPr>
          <w:rFonts w:ascii="Calibri" w:eastAsiaTheme="minorHAnsi" w:hAnsi="Calibri" w:cs="Calibri"/>
          <w:szCs w:val="24"/>
          <w:lang w:eastAsia="en-US"/>
        </w:rPr>
        <w:t> </w:t>
      </w:r>
      <w:r w:rsidR="00114EBC" w:rsidRPr="00995237">
        <w:rPr>
          <w:rFonts w:ascii="Calibri" w:eastAsiaTheme="minorHAnsi" w:hAnsi="Calibri" w:cs="Calibri"/>
          <w:szCs w:val="24"/>
          <w:lang w:eastAsia="en-US"/>
        </w:rPr>
        <w:t>poskytnutí dotace</w:t>
      </w:r>
      <w:r w:rsidR="00E8036B" w:rsidRPr="00995237">
        <w:rPr>
          <w:rFonts w:ascii="Calibri" w:eastAsiaTheme="minorHAnsi" w:hAnsi="Calibri" w:cs="Calibri"/>
          <w:szCs w:val="24"/>
          <w:lang w:eastAsia="en-US"/>
        </w:rPr>
        <w:t xml:space="preserve"> neodstranil</w:t>
      </w:r>
      <w:r w:rsidR="00114EBC" w:rsidRPr="00995237">
        <w:rPr>
          <w:rFonts w:ascii="Calibri" w:eastAsiaTheme="minorHAnsi" w:hAnsi="Calibri" w:cs="Calibri"/>
          <w:szCs w:val="24"/>
          <w:lang w:eastAsia="en-US"/>
        </w:rPr>
        <w:t xml:space="preserve">, </w:t>
      </w:r>
      <w:r w:rsidR="00E8036B" w:rsidRPr="00995237">
        <w:rPr>
          <w:rFonts w:ascii="Calibri" w:eastAsiaTheme="minorHAnsi" w:hAnsi="Calibri" w:cs="Calibri"/>
          <w:szCs w:val="24"/>
          <w:lang w:eastAsia="en-US"/>
        </w:rPr>
        <w:t xml:space="preserve">přestože jej MD vyzvalo k aktualizaci příslušných formulářů. Nedodržením závazného parametru </w:t>
      </w:r>
      <w:r w:rsidR="007233C9" w:rsidRPr="00995237">
        <w:rPr>
          <w:rFonts w:ascii="Calibri" w:eastAsiaTheme="minorHAnsi" w:hAnsi="Calibri" w:cs="Calibri"/>
          <w:szCs w:val="24"/>
          <w:lang w:eastAsia="en-US"/>
        </w:rPr>
        <w:t xml:space="preserve">pak </w:t>
      </w:r>
      <w:r w:rsidR="00E8036B" w:rsidRPr="00995237">
        <w:rPr>
          <w:rFonts w:ascii="Calibri" w:eastAsiaTheme="minorHAnsi" w:hAnsi="Calibri" w:cs="Calibri"/>
          <w:szCs w:val="24"/>
          <w:lang w:eastAsia="en-US"/>
        </w:rPr>
        <w:t xml:space="preserve">příjemce </w:t>
      </w:r>
      <w:r w:rsidR="007233C9" w:rsidRPr="00995237">
        <w:rPr>
          <w:rFonts w:ascii="Calibri" w:eastAsiaTheme="minorHAnsi" w:hAnsi="Calibri" w:cs="Calibri"/>
          <w:szCs w:val="24"/>
          <w:lang w:eastAsia="en-US"/>
        </w:rPr>
        <w:t xml:space="preserve">podpory </w:t>
      </w:r>
      <w:r w:rsidR="00E8036B" w:rsidRPr="00995237">
        <w:rPr>
          <w:rFonts w:ascii="Calibri" w:eastAsiaTheme="minorHAnsi" w:hAnsi="Calibri" w:cs="Calibri"/>
          <w:szCs w:val="24"/>
          <w:lang w:eastAsia="en-US"/>
        </w:rPr>
        <w:t xml:space="preserve">porušil podmínky, které mu MD stanovilo v rozhodnutí o poskytnutí dotace. </w:t>
      </w:r>
      <w:r w:rsidR="00E8036B" w:rsidRPr="00995237">
        <w:rPr>
          <w:rFonts w:ascii="Calibri" w:eastAsiaTheme="minorHAnsi" w:hAnsi="Calibri" w:cs="Calibri"/>
          <w:b/>
          <w:szCs w:val="24"/>
          <w:lang w:eastAsia="en-US"/>
        </w:rPr>
        <w:t>MD při následné kontrole projektu postupovalo benevolentně a uveden</w:t>
      </w:r>
      <w:r w:rsidRPr="00995237">
        <w:rPr>
          <w:rFonts w:ascii="Calibri" w:eastAsiaTheme="minorHAnsi" w:hAnsi="Calibri" w:cs="Calibri"/>
          <w:b/>
          <w:szCs w:val="24"/>
          <w:lang w:eastAsia="en-US"/>
        </w:rPr>
        <w:t xml:space="preserve">ý nedostatek </w:t>
      </w:r>
      <w:r w:rsidR="00E8036B" w:rsidRPr="00995237">
        <w:rPr>
          <w:rFonts w:ascii="Calibri" w:eastAsiaTheme="minorHAnsi" w:hAnsi="Calibri" w:cs="Calibri"/>
          <w:b/>
          <w:szCs w:val="24"/>
          <w:lang w:eastAsia="en-US"/>
        </w:rPr>
        <w:t>nesprávně vyhodnotilo</w:t>
      </w:r>
      <w:r w:rsidR="00E8036B" w:rsidRPr="00995237">
        <w:rPr>
          <w:rFonts w:ascii="Calibri" w:eastAsiaTheme="minorHAnsi" w:hAnsi="Calibri" w:cs="Calibri"/>
          <w:szCs w:val="24"/>
          <w:lang w:eastAsia="en-US"/>
        </w:rPr>
        <w:t xml:space="preserve"> jen jako administrativní pochybení</w:t>
      </w:r>
      <w:r w:rsidR="00114EBC" w:rsidRPr="00995237">
        <w:rPr>
          <w:rFonts w:ascii="Calibri" w:eastAsiaTheme="minorHAnsi" w:hAnsi="Calibri" w:cs="Calibri"/>
          <w:szCs w:val="24"/>
          <w:lang w:eastAsia="en-US"/>
        </w:rPr>
        <w:t xml:space="preserve"> příjemce</w:t>
      </w:r>
      <w:r w:rsidR="00E8036B" w:rsidRPr="00995237">
        <w:rPr>
          <w:rFonts w:ascii="Calibri" w:eastAsiaTheme="minorHAnsi" w:hAnsi="Calibri" w:cs="Calibri"/>
          <w:szCs w:val="24"/>
          <w:lang w:eastAsia="en-US"/>
        </w:rPr>
        <w:t>, a to bez jakýchkoliv opatření a s odůvodněním neodpovídajícím skutečnosti.</w:t>
      </w:r>
    </w:p>
    <w:p w14:paraId="0F3D0D24" w14:textId="77777777" w:rsidR="005F38FB" w:rsidRPr="00995237" w:rsidRDefault="005F38FB" w:rsidP="00995237">
      <w:pPr>
        <w:spacing w:after="0" w:line="264" w:lineRule="auto"/>
        <w:jc w:val="both"/>
        <w:rPr>
          <w:rFonts w:ascii="Calibri" w:hAnsi="Calibri" w:cs="Calibri"/>
          <w:sz w:val="24"/>
          <w:szCs w:val="24"/>
        </w:rPr>
      </w:pPr>
    </w:p>
    <w:p w14:paraId="342DD633" w14:textId="77777777" w:rsidR="00F44F40"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Závěrečné monitorovací zprávy projektů MD schvalovalo s velkým časovým odstupem po jejich vypracování a předložení příjemci (v jednom případě až téměř po třech letech). Toto prodlení MD vysvětlilo personálními důvody.</w:t>
      </w:r>
    </w:p>
    <w:p w14:paraId="5D7F3E3D" w14:textId="77777777" w:rsidR="00F44F40" w:rsidRPr="00995237" w:rsidRDefault="00F44F40" w:rsidP="00995237">
      <w:pPr>
        <w:spacing w:after="0" w:line="264" w:lineRule="auto"/>
        <w:jc w:val="both"/>
        <w:rPr>
          <w:rFonts w:ascii="Calibri" w:hAnsi="Calibri" w:cs="Calibri"/>
          <w:sz w:val="24"/>
          <w:szCs w:val="24"/>
        </w:rPr>
      </w:pPr>
    </w:p>
    <w:p w14:paraId="75839096" w14:textId="3C0F87C2" w:rsidR="00190A12"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 xml:space="preserve">Součástí rozhodnutí </w:t>
      </w:r>
      <w:r w:rsidR="0065484F" w:rsidRPr="00995237">
        <w:rPr>
          <w:rFonts w:ascii="Calibri" w:hAnsi="Calibri" w:cs="Calibri"/>
          <w:sz w:val="24"/>
          <w:szCs w:val="24"/>
        </w:rPr>
        <w:t xml:space="preserve">MD </w:t>
      </w:r>
      <w:r w:rsidRPr="00995237">
        <w:rPr>
          <w:rFonts w:ascii="Calibri" w:hAnsi="Calibri" w:cs="Calibri"/>
          <w:sz w:val="24"/>
          <w:szCs w:val="24"/>
        </w:rPr>
        <w:t>o poskytnutí dotac</w:t>
      </w:r>
      <w:r w:rsidR="0065484F" w:rsidRPr="00995237">
        <w:rPr>
          <w:rFonts w:ascii="Calibri" w:hAnsi="Calibri" w:cs="Calibri"/>
          <w:sz w:val="24"/>
          <w:szCs w:val="24"/>
        </w:rPr>
        <w:t>í</w:t>
      </w:r>
      <w:r w:rsidRPr="00995237">
        <w:rPr>
          <w:rFonts w:ascii="Calibri" w:hAnsi="Calibri" w:cs="Calibri"/>
          <w:sz w:val="24"/>
          <w:szCs w:val="24"/>
        </w:rPr>
        <w:t xml:space="preserve"> byly podmínky vymezující způsob používání modernizovaných plavidel. MD jimi stanovilo mj. povinnost příjemce podpory prokázat využití plavidla pro přeprav</w:t>
      </w:r>
      <w:r w:rsidR="00863EF6">
        <w:rPr>
          <w:rFonts w:ascii="Calibri" w:hAnsi="Calibri" w:cs="Calibri"/>
          <w:sz w:val="24"/>
          <w:szCs w:val="24"/>
        </w:rPr>
        <w:t>u</w:t>
      </w:r>
      <w:r w:rsidRPr="00995237">
        <w:rPr>
          <w:rFonts w:ascii="Calibri" w:hAnsi="Calibri" w:cs="Calibri"/>
          <w:sz w:val="24"/>
          <w:szCs w:val="24"/>
        </w:rPr>
        <w:t xml:space="preserve"> z České republiky do zahraničí, ze zahraničí do České republiky nebo pro vnitrostátní přeprav</w:t>
      </w:r>
      <w:r w:rsidR="00863EF6">
        <w:rPr>
          <w:rFonts w:ascii="Calibri" w:hAnsi="Calibri" w:cs="Calibri"/>
          <w:sz w:val="24"/>
          <w:szCs w:val="24"/>
        </w:rPr>
        <w:t>u</w:t>
      </w:r>
      <w:r w:rsidRPr="00995237">
        <w:rPr>
          <w:rFonts w:ascii="Calibri" w:hAnsi="Calibri" w:cs="Calibri"/>
          <w:sz w:val="24"/>
          <w:szCs w:val="24"/>
        </w:rPr>
        <w:t xml:space="preserve"> po více než nadpoloviční počet dní v kalendářním roce. Při výpočtu se přitom u plavidla využívaného v mezinárodních přepravách neměly započí</w:t>
      </w:r>
      <w:r w:rsidR="007233C9" w:rsidRPr="00995237">
        <w:rPr>
          <w:rFonts w:ascii="Calibri" w:hAnsi="Calibri" w:cs="Calibri"/>
          <w:sz w:val="24"/>
          <w:szCs w:val="24"/>
        </w:rPr>
        <w:t>tat</w:t>
      </w:r>
      <w:r w:rsidRPr="00995237">
        <w:rPr>
          <w:rFonts w:ascii="Calibri" w:hAnsi="Calibri" w:cs="Calibri"/>
          <w:sz w:val="24"/>
          <w:szCs w:val="24"/>
        </w:rPr>
        <w:t xml:space="preserve"> dny tzv. nízkých vodních stavů (dny, kdy byl stav vodočtu v Ústí nad Labem nižší než 170 cm) a dále dny, kdy „</w:t>
      </w:r>
      <w:r w:rsidRPr="00995237">
        <w:rPr>
          <w:rFonts w:ascii="Calibri" w:hAnsi="Calibri" w:cs="Calibri"/>
          <w:i/>
          <w:sz w:val="24"/>
          <w:szCs w:val="24"/>
        </w:rPr>
        <w:t>nebylo možné z objektivních důvodů s tímto plavidlem přepravovat věci (například modernizace plavidla v souladu s tímto programem)</w:t>
      </w:r>
      <w:r w:rsidRPr="00995237">
        <w:rPr>
          <w:rFonts w:ascii="Calibri" w:hAnsi="Calibri" w:cs="Calibri"/>
          <w:sz w:val="24"/>
          <w:szCs w:val="24"/>
        </w:rPr>
        <w:t xml:space="preserve">“. </w:t>
      </w:r>
    </w:p>
    <w:p w14:paraId="534EAFF2" w14:textId="77777777" w:rsidR="00581D27" w:rsidRPr="00995237" w:rsidRDefault="00581D27" w:rsidP="00995237">
      <w:pPr>
        <w:spacing w:after="0" w:line="264" w:lineRule="auto"/>
        <w:jc w:val="both"/>
        <w:rPr>
          <w:rFonts w:ascii="Calibri" w:hAnsi="Calibri" w:cs="Calibri"/>
          <w:sz w:val="24"/>
          <w:szCs w:val="24"/>
        </w:rPr>
      </w:pPr>
    </w:p>
    <w:p w14:paraId="0CC0AEA9" w14:textId="77777777" w:rsidR="00445C1E" w:rsidRPr="00995237" w:rsidRDefault="00E8036B" w:rsidP="00995237">
      <w:pPr>
        <w:spacing w:after="0" w:line="264" w:lineRule="auto"/>
        <w:jc w:val="both"/>
        <w:rPr>
          <w:rFonts w:ascii="Calibri" w:hAnsi="Calibri" w:cs="Calibri"/>
          <w:b/>
          <w:sz w:val="24"/>
          <w:szCs w:val="24"/>
        </w:rPr>
      </w:pPr>
      <w:r w:rsidRPr="00995237">
        <w:rPr>
          <w:rFonts w:ascii="Calibri" w:hAnsi="Calibri" w:cs="Calibri"/>
          <w:sz w:val="24"/>
          <w:szCs w:val="24"/>
        </w:rPr>
        <w:lastRenderedPageBreak/>
        <w:t>Formulace uvedené podmínky je v části týkající se odpočtu dní, kdy nebylo možné z</w:t>
      </w:r>
      <w:r w:rsidR="00BE7C76" w:rsidRPr="00995237">
        <w:rPr>
          <w:rFonts w:ascii="Calibri" w:hAnsi="Calibri" w:cs="Calibri"/>
          <w:sz w:val="24"/>
          <w:szCs w:val="24"/>
        </w:rPr>
        <w:t> </w:t>
      </w:r>
      <w:r w:rsidRPr="00995237">
        <w:rPr>
          <w:rFonts w:ascii="Calibri" w:hAnsi="Calibri" w:cs="Calibri"/>
          <w:sz w:val="24"/>
          <w:szCs w:val="24"/>
        </w:rPr>
        <w:t>objektivních důvodů s plavidlem přepravovat věci, nekonkrétní, neumožňující provést kontrolu splnění této podmínky</w:t>
      </w:r>
      <w:r w:rsidR="003C1891" w:rsidRPr="00995237">
        <w:rPr>
          <w:rFonts w:ascii="Calibri" w:hAnsi="Calibri" w:cs="Calibri"/>
          <w:sz w:val="24"/>
          <w:szCs w:val="24"/>
        </w:rPr>
        <w:t xml:space="preserve"> </w:t>
      </w:r>
      <w:r w:rsidRPr="00995237">
        <w:rPr>
          <w:rFonts w:ascii="Calibri" w:hAnsi="Calibri" w:cs="Calibri"/>
          <w:sz w:val="24"/>
          <w:szCs w:val="24"/>
        </w:rPr>
        <w:t>s jednoznačným výsledkem.</w:t>
      </w:r>
      <w:r w:rsidR="00F44F40" w:rsidRPr="00995237">
        <w:rPr>
          <w:rFonts w:ascii="Calibri" w:hAnsi="Calibri" w:cs="Calibri"/>
          <w:sz w:val="24"/>
          <w:szCs w:val="24"/>
        </w:rPr>
        <w:t xml:space="preserve"> </w:t>
      </w:r>
      <w:r w:rsidR="00190A12" w:rsidRPr="00995237">
        <w:rPr>
          <w:rFonts w:ascii="Calibri" w:hAnsi="Calibri" w:cs="Calibri"/>
          <w:b/>
          <w:sz w:val="24"/>
          <w:szCs w:val="24"/>
        </w:rPr>
        <w:t>Kontrolou následných monitorovacích zpráv sedmi kontrolovaných projektů NKÚ zjistil významné nedostatky ve vykazování údajů o využití plavidel</w:t>
      </w:r>
      <w:r w:rsidR="000C318B" w:rsidRPr="00995237">
        <w:rPr>
          <w:rFonts w:ascii="Calibri" w:hAnsi="Calibri" w:cs="Calibri"/>
          <w:b/>
          <w:sz w:val="24"/>
          <w:szCs w:val="24"/>
        </w:rPr>
        <w:t xml:space="preserve">. </w:t>
      </w:r>
    </w:p>
    <w:p w14:paraId="56F93168" w14:textId="77777777" w:rsidR="00445C1E" w:rsidRPr="00995237" w:rsidRDefault="00445C1E" w:rsidP="00995237">
      <w:pPr>
        <w:spacing w:after="0" w:line="264" w:lineRule="auto"/>
        <w:jc w:val="both"/>
        <w:rPr>
          <w:rFonts w:ascii="Calibri" w:hAnsi="Calibri" w:cs="Calibri"/>
          <w:sz w:val="24"/>
          <w:szCs w:val="24"/>
        </w:rPr>
      </w:pPr>
    </w:p>
    <w:p w14:paraId="30E93C79" w14:textId="7FD59A98" w:rsidR="00581D27" w:rsidRPr="00995237" w:rsidRDefault="00E8036B" w:rsidP="00995237">
      <w:pPr>
        <w:spacing w:after="0" w:line="264" w:lineRule="auto"/>
        <w:jc w:val="both"/>
        <w:rPr>
          <w:rFonts w:ascii="Calibri" w:hAnsi="Calibri" w:cs="Calibri"/>
          <w:sz w:val="24"/>
          <w:szCs w:val="24"/>
        </w:rPr>
      </w:pPr>
      <w:r w:rsidRPr="00995237">
        <w:rPr>
          <w:rFonts w:ascii="Calibri" w:hAnsi="Calibri" w:cs="Calibri"/>
          <w:sz w:val="24"/>
          <w:szCs w:val="24"/>
        </w:rPr>
        <w:t>Ve výkazech u jednotlivých plavidel příjemci uváděli různé počty dnů s nízkými vodními stavy. Do dnů přeprav započítávaly i přístavné jízdy (dny, kdy se plavidlo bez nákladu přemisťovalo do místa nakládky), nebo i dny, kdy se prázdné plavidlo přemisťovalo do místa, kde bylo odstaveno např. z důvodu oprav a údržby</w:t>
      </w:r>
      <w:r w:rsidR="00B07046" w:rsidRPr="00995237">
        <w:rPr>
          <w:rFonts w:ascii="Calibri" w:hAnsi="Calibri" w:cs="Calibri"/>
          <w:sz w:val="24"/>
          <w:szCs w:val="24"/>
        </w:rPr>
        <w:t xml:space="preserve"> nebo čekání na další přepravu</w:t>
      </w:r>
      <w:r w:rsidRPr="00995237">
        <w:rPr>
          <w:rFonts w:ascii="Calibri" w:hAnsi="Calibri" w:cs="Calibri"/>
          <w:sz w:val="24"/>
          <w:szCs w:val="24"/>
        </w:rPr>
        <w:t xml:space="preserve">. Některé dny přitom započetli </w:t>
      </w:r>
      <w:r w:rsidR="00435EF1">
        <w:rPr>
          <w:rFonts w:ascii="Calibri" w:hAnsi="Calibri" w:cs="Calibri"/>
          <w:sz w:val="24"/>
          <w:szCs w:val="24"/>
        </w:rPr>
        <w:t>dvakrát</w:t>
      </w:r>
      <w:r w:rsidRPr="00995237">
        <w:rPr>
          <w:rFonts w:ascii="Calibri" w:hAnsi="Calibri" w:cs="Calibri"/>
          <w:sz w:val="24"/>
          <w:szCs w:val="24"/>
        </w:rPr>
        <w:t xml:space="preserve">. </w:t>
      </w:r>
    </w:p>
    <w:p w14:paraId="7EC1B1B0" w14:textId="77777777" w:rsidR="00DD0956" w:rsidRPr="00995237" w:rsidRDefault="00DD0956" w:rsidP="00995237">
      <w:pPr>
        <w:spacing w:after="0" w:line="264" w:lineRule="auto"/>
        <w:jc w:val="both"/>
        <w:rPr>
          <w:rFonts w:ascii="Calibri" w:hAnsi="Calibri" w:cs="Calibri"/>
          <w:sz w:val="24"/>
          <w:szCs w:val="24"/>
        </w:rPr>
      </w:pPr>
    </w:p>
    <w:p w14:paraId="67CAB4EE" w14:textId="77777777" w:rsidR="00D44AD4" w:rsidRPr="00995237" w:rsidRDefault="00E8036B" w:rsidP="00995237">
      <w:pPr>
        <w:tabs>
          <w:tab w:val="left" w:pos="426"/>
        </w:tabs>
        <w:autoSpaceDE w:val="0"/>
        <w:autoSpaceDN w:val="0"/>
        <w:adjustRightInd w:val="0"/>
        <w:spacing w:after="0" w:line="264" w:lineRule="auto"/>
        <w:jc w:val="both"/>
        <w:rPr>
          <w:rFonts w:ascii="Calibri" w:hAnsi="Calibri" w:cs="Calibri"/>
          <w:sz w:val="24"/>
          <w:szCs w:val="24"/>
        </w:rPr>
      </w:pPr>
      <w:r w:rsidRPr="00995237">
        <w:rPr>
          <w:rFonts w:ascii="Calibri" w:hAnsi="Calibri" w:cs="Calibri"/>
          <w:sz w:val="24"/>
          <w:szCs w:val="24"/>
        </w:rPr>
        <w:t xml:space="preserve">Výrazné jsou i rozdíly ve vykázaných dobách jízdy ve stejných dopravních relacích (s týmiž místy nakládky a vykládky). Např. jedno z plavidel absolvovalo přístavnou jízdu z Hamburgu do Neštěmic (Ústí nad Labem) v únoru 2016 za 6 dní, ale obdobnou trasu z Hamburgu do Lovosic v březnu 2016 za 13 dní. Počátkem července 2016 tomuto plavidlu trvala přístavná jízda z Hamburgu do Děčína 7 dní, ale na přelomu července a srpna 2016 to bylo 15 dní. </w:t>
      </w:r>
    </w:p>
    <w:p w14:paraId="668C025F" w14:textId="77777777" w:rsidR="00D44AD4" w:rsidRPr="00995237" w:rsidRDefault="00D44AD4" w:rsidP="00995237">
      <w:pPr>
        <w:autoSpaceDE w:val="0"/>
        <w:autoSpaceDN w:val="0"/>
        <w:adjustRightInd w:val="0"/>
        <w:spacing w:after="0" w:line="264" w:lineRule="auto"/>
        <w:jc w:val="both"/>
        <w:rPr>
          <w:rFonts w:ascii="Calibri" w:hAnsi="Calibri" w:cs="Calibri"/>
          <w:sz w:val="24"/>
          <w:szCs w:val="24"/>
        </w:rPr>
      </w:pPr>
    </w:p>
    <w:p w14:paraId="2443F6A4" w14:textId="77777777" w:rsidR="00D44AD4" w:rsidRPr="00995237" w:rsidRDefault="00E8036B" w:rsidP="00995237">
      <w:pPr>
        <w:autoSpaceDE w:val="0"/>
        <w:autoSpaceDN w:val="0"/>
        <w:adjustRightInd w:val="0"/>
        <w:spacing w:after="0" w:line="264" w:lineRule="auto"/>
        <w:jc w:val="both"/>
        <w:rPr>
          <w:rFonts w:ascii="Calibri" w:hAnsi="Calibri" w:cs="Calibri"/>
          <w:sz w:val="24"/>
          <w:szCs w:val="24"/>
        </w:rPr>
      </w:pPr>
      <w:r w:rsidRPr="00995237">
        <w:rPr>
          <w:rFonts w:ascii="Calibri" w:hAnsi="Calibri" w:cs="Calibri"/>
          <w:sz w:val="24"/>
          <w:szCs w:val="24"/>
        </w:rPr>
        <w:t>V některých výkazech příjemci vykazovali dny nemožnosti přepravy souhrnně s označením „</w:t>
      </w:r>
      <w:r w:rsidRPr="00995237">
        <w:rPr>
          <w:rFonts w:ascii="Calibri" w:hAnsi="Calibri" w:cs="Calibri"/>
          <w:i/>
          <w:sz w:val="24"/>
          <w:szCs w:val="24"/>
        </w:rPr>
        <w:t>opravy, údržba, pohotovost</w:t>
      </w:r>
      <w:r w:rsidRPr="00995237">
        <w:rPr>
          <w:rFonts w:ascii="Calibri" w:hAnsi="Calibri" w:cs="Calibri"/>
          <w:sz w:val="24"/>
          <w:szCs w:val="24"/>
        </w:rPr>
        <w:t>“, „</w:t>
      </w:r>
      <w:r w:rsidRPr="00995237">
        <w:rPr>
          <w:rFonts w:ascii="Calibri" w:hAnsi="Calibri" w:cs="Calibri"/>
          <w:i/>
          <w:sz w:val="24"/>
          <w:szCs w:val="24"/>
        </w:rPr>
        <w:t>čekání, opravy, údržba</w:t>
      </w:r>
      <w:r w:rsidRPr="00995237">
        <w:rPr>
          <w:rFonts w:ascii="Calibri" w:hAnsi="Calibri" w:cs="Calibri"/>
          <w:sz w:val="24"/>
          <w:szCs w:val="24"/>
        </w:rPr>
        <w:t>“ atd. Přitom v řadě případů nebylo zřejmé, o jaké opravy se jedná, kdy byly prováděny a kolik dn</w:t>
      </w:r>
      <w:r w:rsidR="00B07046" w:rsidRPr="00995237">
        <w:rPr>
          <w:rFonts w:ascii="Calibri" w:hAnsi="Calibri" w:cs="Calibri"/>
          <w:sz w:val="24"/>
          <w:szCs w:val="24"/>
        </w:rPr>
        <w:t>ů</w:t>
      </w:r>
      <w:r w:rsidRPr="00995237">
        <w:rPr>
          <w:rFonts w:ascii="Calibri" w:hAnsi="Calibri" w:cs="Calibri"/>
          <w:sz w:val="24"/>
          <w:szCs w:val="24"/>
        </w:rPr>
        <w:t xml:space="preserve"> připadá na opravy a kolik na ostatní důvody nepoužívání plavidla v daném období. </w:t>
      </w:r>
      <w:r w:rsidRPr="00995237">
        <w:rPr>
          <w:rFonts w:ascii="Calibri" w:hAnsi="Calibri" w:cs="Calibri"/>
          <w:b/>
          <w:sz w:val="24"/>
          <w:szCs w:val="24"/>
        </w:rPr>
        <w:t>V případě některých plavidel byl vykázán velmi vysoký počet dn</w:t>
      </w:r>
      <w:r w:rsidR="00B07046" w:rsidRPr="00995237">
        <w:rPr>
          <w:rFonts w:ascii="Calibri" w:hAnsi="Calibri" w:cs="Calibri"/>
          <w:b/>
          <w:sz w:val="24"/>
          <w:szCs w:val="24"/>
        </w:rPr>
        <w:t>ů</w:t>
      </w:r>
      <w:r w:rsidRPr="00995237">
        <w:rPr>
          <w:rFonts w:ascii="Calibri" w:hAnsi="Calibri" w:cs="Calibri"/>
          <w:b/>
          <w:sz w:val="24"/>
          <w:szCs w:val="24"/>
        </w:rPr>
        <w:t xml:space="preserve"> oprav, resp. nevyužití plavidla</w:t>
      </w:r>
      <w:r w:rsidR="00B07046" w:rsidRPr="00995237">
        <w:rPr>
          <w:rFonts w:ascii="Calibri" w:hAnsi="Calibri" w:cs="Calibri"/>
          <w:b/>
          <w:sz w:val="24"/>
          <w:szCs w:val="24"/>
        </w:rPr>
        <w:t>.</w:t>
      </w:r>
      <w:r w:rsidRPr="00995237">
        <w:rPr>
          <w:rFonts w:ascii="Calibri" w:hAnsi="Calibri" w:cs="Calibri"/>
          <w:sz w:val="24"/>
          <w:szCs w:val="24"/>
        </w:rPr>
        <w:t xml:space="preserve"> Např. u jednoho z plavidel bylo v roce 2016 vykázáno celkem 215 dní odstávek, u nichž byla v poznámce zmíněna mj. oprava plavidla, v roce 2017 to bylo dokonce 326 dní. Naopak u jiného plavidla nebyl ve výkazu za rok 2016 vykázán </w:t>
      </w:r>
      <w:r w:rsidR="00445C1E" w:rsidRPr="00995237">
        <w:rPr>
          <w:rFonts w:ascii="Calibri" w:hAnsi="Calibri" w:cs="Calibri"/>
          <w:sz w:val="24"/>
          <w:szCs w:val="24"/>
        </w:rPr>
        <w:t xml:space="preserve">žádný </w:t>
      </w:r>
      <w:r w:rsidRPr="00995237">
        <w:rPr>
          <w:rFonts w:ascii="Calibri" w:hAnsi="Calibri" w:cs="Calibri"/>
          <w:sz w:val="24"/>
          <w:szCs w:val="24"/>
        </w:rPr>
        <w:t>odpočet dnů oprav.</w:t>
      </w:r>
    </w:p>
    <w:p w14:paraId="5E59BC48" w14:textId="77777777" w:rsidR="00445C1E" w:rsidRPr="00995237" w:rsidRDefault="00445C1E" w:rsidP="00995237">
      <w:pPr>
        <w:spacing w:after="0" w:line="264" w:lineRule="auto"/>
        <w:jc w:val="both"/>
        <w:rPr>
          <w:rFonts w:ascii="Calibri" w:hAnsi="Calibri" w:cs="Calibri"/>
          <w:sz w:val="24"/>
          <w:szCs w:val="24"/>
        </w:rPr>
      </w:pPr>
    </w:p>
    <w:p w14:paraId="3398F3AB" w14:textId="3AD7FF8F" w:rsidR="00445C1E" w:rsidRPr="00995237" w:rsidRDefault="00BB2FDF" w:rsidP="00995237">
      <w:pPr>
        <w:autoSpaceDE w:val="0"/>
        <w:autoSpaceDN w:val="0"/>
        <w:adjustRightInd w:val="0"/>
        <w:spacing w:after="0" w:line="264" w:lineRule="auto"/>
        <w:jc w:val="both"/>
        <w:rPr>
          <w:rFonts w:ascii="Calibri" w:hAnsi="Calibri" w:cs="Calibri"/>
          <w:b/>
          <w:sz w:val="24"/>
          <w:szCs w:val="24"/>
        </w:rPr>
      </w:pPr>
      <w:r w:rsidRPr="00995237">
        <w:rPr>
          <w:rFonts w:ascii="Calibri" w:hAnsi="Calibri" w:cs="Calibri"/>
          <w:b/>
          <w:sz w:val="24"/>
          <w:szCs w:val="24"/>
        </w:rPr>
        <w:t>U</w:t>
      </w:r>
      <w:r w:rsidR="00E8036B" w:rsidRPr="00995237">
        <w:rPr>
          <w:rFonts w:ascii="Calibri" w:hAnsi="Calibri" w:cs="Calibri"/>
          <w:b/>
          <w:sz w:val="24"/>
          <w:szCs w:val="24"/>
        </w:rPr>
        <w:t xml:space="preserve"> tří projektů modernizace plavidel s celkovým objemem vyplacené podpory 4</w:t>
      </w:r>
      <w:r w:rsidR="00B07046" w:rsidRPr="00995237">
        <w:rPr>
          <w:rFonts w:ascii="Calibri" w:hAnsi="Calibri" w:cs="Calibri"/>
          <w:b/>
          <w:sz w:val="24"/>
          <w:szCs w:val="24"/>
        </w:rPr>
        <w:t>,4</w:t>
      </w:r>
      <w:r w:rsidR="00BE7C76" w:rsidRPr="00995237">
        <w:rPr>
          <w:rFonts w:ascii="Calibri" w:hAnsi="Calibri" w:cs="Calibri"/>
          <w:b/>
          <w:sz w:val="24"/>
          <w:szCs w:val="24"/>
        </w:rPr>
        <w:t> </w:t>
      </w:r>
      <w:r w:rsidR="00B07046" w:rsidRPr="00995237">
        <w:rPr>
          <w:rFonts w:ascii="Calibri" w:hAnsi="Calibri" w:cs="Calibri"/>
          <w:b/>
          <w:sz w:val="24"/>
          <w:szCs w:val="24"/>
        </w:rPr>
        <w:t>mil.</w:t>
      </w:r>
      <w:r w:rsidR="00E8036B" w:rsidRPr="00995237">
        <w:rPr>
          <w:rFonts w:ascii="Calibri" w:hAnsi="Calibri" w:cs="Calibri"/>
          <w:b/>
          <w:sz w:val="24"/>
          <w:szCs w:val="24"/>
        </w:rPr>
        <w:t xml:space="preserve"> Kč NKÚ zjistil, že vykázaný </w:t>
      </w:r>
      <w:r w:rsidR="00A26C4C" w:rsidRPr="00995237">
        <w:rPr>
          <w:rFonts w:ascii="Calibri" w:hAnsi="Calibri" w:cs="Calibri"/>
          <w:b/>
          <w:sz w:val="24"/>
          <w:szCs w:val="24"/>
        </w:rPr>
        <w:t xml:space="preserve">rozsah jejich využití </w:t>
      </w:r>
      <w:r w:rsidR="00E8036B" w:rsidRPr="00995237">
        <w:rPr>
          <w:rFonts w:ascii="Calibri" w:hAnsi="Calibri" w:cs="Calibri"/>
          <w:b/>
          <w:sz w:val="24"/>
          <w:szCs w:val="24"/>
        </w:rPr>
        <w:t xml:space="preserve">v letech 2016 a 2017 </w:t>
      </w:r>
      <w:r w:rsidR="00A26C4C" w:rsidRPr="00995237">
        <w:rPr>
          <w:rFonts w:ascii="Calibri" w:hAnsi="Calibri" w:cs="Calibri"/>
          <w:b/>
          <w:sz w:val="24"/>
          <w:szCs w:val="24"/>
        </w:rPr>
        <w:t xml:space="preserve">je výrazně nižší než </w:t>
      </w:r>
      <w:r w:rsidR="00E12194" w:rsidRPr="00995237">
        <w:rPr>
          <w:rFonts w:ascii="Calibri" w:hAnsi="Calibri" w:cs="Calibri"/>
          <w:b/>
          <w:sz w:val="24"/>
          <w:szCs w:val="24"/>
        </w:rPr>
        <w:t xml:space="preserve">minimum, které </w:t>
      </w:r>
      <w:r w:rsidR="00A26C4C" w:rsidRPr="00995237">
        <w:rPr>
          <w:rFonts w:ascii="Calibri" w:hAnsi="Calibri" w:cs="Calibri"/>
          <w:b/>
          <w:sz w:val="24"/>
          <w:szCs w:val="24"/>
        </w:rPr>
        <w:t>MD stanovilo. Příjemci podpory tím závažně a opakovaně porušili podmínky poskytnuté podpory</w:t>
      </w:r>
      <w:r w:rsidR="00863EF6">
        <w:rPr>
          <w:rFonts w:ascii="Calibri" w:hAnsi="Calibri" w:cs="Calibri"/>
          <w:b/>
          <w:sz w:val="24"/>
          <w:szCs w:val="24"/>
        </w:rPr>
        <w:t>,</w:t>
      </w:r>
      <w:r w:rsidR="00A26C4C" w:rsidRPr="00995237">
        <w:rPr>
          <w:rFonts w:ascii="Calibri" w:hAnsi="Calibri" w:cs="Calibri"/>
          <w:b/>
          <w:sz w:val="24"/>
          <w:szCs w:val="24"/>
        </w:rPr>
        <w:t xml:space="preserve"> a </w:t>
      </w:r>
      <w:r w:rsidR="005D7F11" w:rsidRPr="00995237">
        <w:rPr>
          <w:rFonts w:ascii="Calibri" w:hAnsi="Calibri" w:cs="Calibri"/>
          <w:b/>
          <w:sz w:val="24"/>
          <w:szCs w:val="24"/>
        </w:rPr>
        <w:t>dopustili se tak porušení rozpočtové kázně</w:t>
      </w:r>
      <w:r w:rsidR="00A26C4C" w:rsidRPr="00995237">
        <w:rPr>
          <w:rFonts w:ascii="Calibri" w:hAnsi="Calibri" w:cs="Calibri"/>
          <w:b/>
          <w:sz w:val="24"/>
          <w:szCs w:val="24"/>
        </w:rPr>
        <w:t>.</w:t>
      </w:r>
    </w:p>
    <w:p w14:paraId="0DC8B4FA" w14:textId="77777777" w:rsidR="00445C1E" w:rsidRPr="00995237" w:rsidRDefault="00445C1E" w:rsidP="00995237">
      <w:pPr>
        <w:autoSpaceDE w:val="0"/>
        <w:autoSpaceDN w:val="0"/>
        <w:adjustRightInd w:val="0"/>
        <w:spacing w:after="0" w:line="264" w:lineRule="auto"/>
        <w:jc w:val="both"/>
        <w:rPr>
          <w:rFonts w:ascii="Calibri" w:hAnsi="Calibri" w:cs="Calibri"/>
          <w:sz w:val="24"/>
          <w:szCs w:val="24"/>
        </w:rPr>
      </w:pPr>
    </w:p>
    <w:p w14:paraId="67D383BB" w14:textId="77777777" w:rsidR="00445C1E" w:rsidRPr="00995237" w:rsidRDefault="00E8036B" w:rsidP="00995237">
      <w:pPr>
        <w:autoSpaceDE w:val="0"/>
        <w:autoSpaceDN w:val="0"/>
        <w:adjustRightInd w:val="0"/>
        <w:spacing w:after="0" w:line="264" w:lineRule="auto"/>
        <w:jc w:val="both"/>
        <w:rPr>
          <w:rFonts w:ascii="Calibri" w:hAnsi="Calibri" w:cs="Calibri"/>
          <w:b/>
          <w:sz w:val="24"/>
          <w:szCs w:val="24"/>
        </w:rPr>
      </w:pPr>
      <w:r w:rsidRPr="00995237">
        <w:rPr>
          <w:rFonts w:ascii="Calibri" w:hAnsi="Calibri" w:cs="Calibri"/>
          <w:b/>
          <w:sz w:val="24"/>
          <w:szCs w:val="24"/>
        </w:rPr>
        <w:t xml:space="preserve">S ohledem na výše uvedené skutečnosti NKÚ konstatuje, že MD u projektů, které byly podrobeny kontrole, neplnilo řádně povinnosti správce programu č. 127 550, neboť dostatečně nekontrolovalo a nevyhodnocovalo plnění podmínek, které stanovilo příjemcům podpory. Zároveň neplnilo řádně povinnosti řídicího orgánu OPD, neboť opakovaně schvalovalo následné monitorovací zprávy projektů obsahující zásadní nedostatky v prokazování plnění těchto podmínek.  </w:t>
      </w:r>
    </w:p>
    <w:p w14:paraId="38717D84" w14:textId="77777777" w:rsidR="00445C1E" w:rsidRPr="00995237" w:rsidRDefault="00445C1E" w:rsidP="00995237">
      <w:pPr>
        <w:spacing w:after="0" w:line="264" w:lineRule="auto"/>
        <w:jc w:val="both"/>
        <w:rPr>
          <w:rFonts w:ascii="Calibri" w:hAnsi="Calibri" w:cs="Calibri"/>
          <w:sz w:val="24"/>
          <w:szCs w:val="24"/>
          <w:highlight w:val="yellow"/>
        </w:rPr>
      </w:pPr>
    </w:p>
    <w:p w14:paraId="74E90FF6" w14:textId="77777777" w:rsidR="00445C1E" w:rsidRPr="001D6C9B" w:rsidRDefault="00E8036B" w:rsidP="00995237">
      <w:pPr>
        <w:autoSpaceDE w:val="0"/>
        <w:autoSpaceDN w:val="0"/>
        <w:adjustRightInd w:val="0"/>
        <w:spacing w:after="0" w:line="264" w:lineRule="auto"/>
        <w:jc w:val="both"/>
        <w:rPr>
          <w:rFonts w:ascii="Calibri" w:hAnsi="Calibri" w:cs="Calibri"/>
          <w:color w:val="000000" w:themeColor="text1"/>
          <w:sz w:val="24"/>
          <w:szCs w:val="24"/>
        </w:rPr>
      </w:pPr>
      <w:r w:rsidRPr="00995237">
        <w:rPr>
          <w:rFonts w:ascii="Calibri" w:hAnsi="Calibri" w:cs="Calibri"/>
          <w:sz w:val="24"/>
          <w:szCs w:val="24"/>
        </w:rPr>
        <w:t xml:space="preserve">MD k tomu uvedlo, že pro další období optimalizovalo a zpřehlednilo výkazy pro prokazování splnění </w:t>
      </w:r>
      <w:r w:rsidR="00A26C4C" w:rsidRPr="00995237">
        <w:rPr>
          <w:rFonts w:ascii="Calibri" w:hAnsi="Calibri" w:cs="Calibri"/>
          <w:sz w:val="24"/>
          <w:szCs w:val="24"/>
        </w:rPr>
        <w:t xml:space="preserve">uvedených </w:t>
      </w:r>
      <w:r w:rsidRPr="00995237">
        <w:rPr>
          <w:rFonts w:ascii="Calibri" w:hAnsi="Calibri" w:cs="Calibri"/>
          <w:sz w:val="24"/>
          <w:szCs w:val="24"/>
        </w:rPr>
        <w:t>podmín</w:t>
      </w:r>
      <w:r w:rsidR="00A26C4C" w:rsidRPr="00995237">
        <w:rPr>
          <w:rFonts w:ascii="Calibri" w:hAnsi="Calibri" w:cs="Calibri"/>
          <w:sz w:val="24"/>
          <w:szCs w:val="24"/>
        </w:rPr>
        <w:t>ek</w:t>
      </w:r>
      <w:r w:rsidRPr="00995237">
        <w:rPr>
          <w:rFonts w:ascii="Calibri" w:hAnsi="Calibri" w:cs="Calibri"/>
          <w:sz w:val="24"/>
          <w:szCs w:val="24"/>
        </w:rPr>
        <w:t xml:space="preserve"> </w:t>
      </w:r>
      <w:r w:rsidR="00A26C4C" w:rsidRPr="00995237">
        <w:rPr>
          <w:rFonts w:ascii="Calibri" w:hAnsi="Calibri" w:cs="Calibri"/>
          <w:sz w:val="24"/>
          <w:szCs w:val="24"/>
        </w:rPr>
        <w:t>a v</w:t>
      </w:r>
      <w:r w:rsidRPr="00995237">
        <w:rPr>
          <w:rFonts w:ascii="Calibri" w:hAnsi="Calibri" w:cs="Calibri"/>
          <w:sz w:val="24"/>
          <w:szCs w:val="24"/>
        </w:rPr>
        <w:t xml:space="preserve"> únoru 2018 provedlo s příjemci školení, na němž nové výkazy prezentovalo. </w:t>
      </w:r>
      <w:r w:rsidR="00B07046" w:rsidRPr="00995237">
        <w:rPr>
          <w:rFonts w:ascii="Calibri" w:hAnsi="Calibri" w:cs="Calibri"/>
          <w:sz w:val="24"/>
          <w:szCs w:val="24"/>
        </w:rPr>
        <w:t>Dále uvedlo, že n</w:t>
      </w:r>
      <w:r w:rsidRPr="00995237">
        <w:rPr>
          <w:rFonts w:ascii="Calibri" w:hAnsi="Calibri" w:cs="Calibri"/>
          <w:sz w:val="24"/>
          <w:szCs w:val="24"/>
        </w:rPr>
        <w:t xml:space="preserve">edostatky, které </w:t>
      </w:r>
      <w:r w:rsidR="00F44F40" w:rsidRPr="00995237">
        <w:rPr>
          <w:rFonts w:ascii="Calibri" w:hAnsi="Calibri" w:cs="Calibri"/>
          <w:sz w:val="24"/>
          <w:szCs w:val="24"/>
        </w:rPr>
        <w:t xml:space="preserve">NKÚ zjistil v následných monitorovacích zprávách </w:t>
      </w:r>
      <w:r w:rsidRPr="00995237">
        <w:rPr>
          <w:rFonts w:ascii="Calibri" w:hAnsi="Calibri" w:cs="Calibri"/>
          <w:sz w:val="24"/>
          <w:szCs w:val="24"/>
        </w:rPr>
        <w:t>za roky 2016 a 2017 řeší s příslušnými příjemci</w:t>
      </w:r>
      <w:r w:rsidRPr="001D6C9B">
        <w:rPr>
          <w:rFonts w:ascii="Calibri" w:hAnsi="Calibri" w:cs="Calibri"/>
          <w:color w:val="000000" w:themeColor="text1"/>
          <w:sz w:val="24"/>
          <w:szCs w:val="24"/>
        </w:rPr>
        <w:t>.</w:t>
      </w:r>
    </w:p>
    <w:p w14:paraId="6B356FCA" w14:textId="77777777" w:rsidR="000A01EA" w:rsidRPr="00995237" w:rsidRDefault="00E8036B" w:rsidP="00995237">
      <w:pPr>
        <w:pStyle w:val="Default"/>
        <w:spacing w:line="264" w:lineRule="auto"/>
        <w:jc w:val="both"/>
        <w:rPr>
          <w:rFonts w:ascii="Calibri" w:hAnsi="Calibri" w:cs="Calibri"/>
          <w:bCs/>
          <w:color w:val="auto"/>
        </w:rPr>
      </w:pPr>
      <w:r w:rsidRPr="00995237">
        <w:rPr>
          <w:rFonts w:ascii="Calibri" w:hAnsi="Calibri" w:cs="Calibri"/>
          <w:bCs/>
        </w:rPr>
        <w:lastRenderedPageBreak/>
        <w:t xml:space="preserve">Po ukončení poskytování podpory na modernizaci plavidel z OPD a programu č. 127 550 v roce 2015 do doby </w:t>
      </w:r>
      <w:r w:rsidR="004715FC" w:rsidRPr="00995237">
        <w:rPr>
          <w:rFonts w:ascii="Calibri" w:hAnsi="Calibri" w:cs="Calibri"/>
        </w:rPr>
        <w:t xml:space="preserve">ukončení kontroly NKÚ </w:t>
      </w:r>
      <w:r w:rsidRPr="00995237">
        <w:rPr>
          <w:rFonts w:ascii="Calibri" w:hAnsi="Calibri" w:cs="Calibri"/>
          <w:bCs/>
        </w:rPr>
        <w:t xml:space="preserve">MD na modernizaci plavidel neposkytlo žádnou podporu. </w:t>
      </w:r>
      <w:r w:rsidRPr="00995237">
        <w:rPr>
          <w:rFonts w:ascii="Calibri" w:hAnsi="Calibri" w:cs="Calibri"/>
          <w:bCs/>
          <w:color w:val="auto"/>
        </w:rPr>
        <w:t xml:space="preserve">Podpora modernizace plavidel byla zahrnuta do OPD2 v opatření pro plnění specifického cíle 1.5 </w:t>
      </w:r>
      <w:r w:rsidR="003042CB" w:rsidRPr="00995237">
        <w:rPr>
          <w:rFonts w:ascii="Calibri" w:hAnsi="Calibri" w:cs="Calibri"/>
          <w:bCs/>
          <w:color w:val="auto"/>
        </w:rPr>
        <w:t>–</w:t>
      </w:r>
      <w:r w:rsidR="00952CFC" w:rsidRPr="00995237">
        <w:rPr>
          <w:rFonts w:ascii="Calibri" w:hAnsi="Calibri" w:cs="Calibri"/>
        </w:rPr>
        <w:t xml:space="preserve"> </w:t>
      </w:r>
      <w:r w:rsidR="00952CFC" w:rsidRPr="00435EF1">
        <w:rPr>
          <w:rFonts w:ascii="Calibri" w:hAnsi="Calibri" w:cs="Calibri"/>
          <w:i/>
        </w:rPr>
        <w:t>Vytvoření podmínek pro širší využití železniční a vodní dopravy prostřednictvím modernizace dopravního parku</w:t>
      </w:r>
      <w:r w:rsidR="00952CFC" w:rsidRPr="00995237">
        <w:rPr>
          <w:rFonts w:ascii="Calibri" w:hAnsi="Calibri" w:cs="Calibri"/>
        </w:rPr>
        <w:t>.</w:t>
      </w:r>
      <w:r w:rsidRPr="00995237">
        <w:rPr>
          <w:rFonts w:ascii="Calibri" w:hAnsi="Calibri" w:cs="Calibri"/>
          <w:bCs/>
          <w:color w:val="auto"/>
        </w:rPr>
        <w:t xml:space="preserve"> </w:t>
      </w:r>
      <w:r w:rsidR="00952CFC" w:rsidRPr="00995237">
        <w:rPr>
          <w:rFonts w:ascii="Calibri" w:hAnsi="Calibri" w:cs="Calibri"/>
          <w:bCs/>
          <w:color w:val="auto"/>
        </w:rPr>
        <w:t>T</w:t>
      </w:r>
      <w:r w:rsidRPr="00995237">
        <w:rPr>
          <w:rFonts w:ascii="Calibri" w:hAnsi="Calibri" w:cs="Calibri"/>
          <w:bCs/>
          <w:color w:val="auto"/>
        </w:rPr>
        <w:t>ato podpora</w:t>
      </w:r>
      <w:r w:rsidR="00952CFC" w:rsidRPr="00995237">
        <w:rPr>
          <w:rFonts w:ascii="Calibri" w:hAnsi="Calibri" w:cs="Calibri"/>
          <w:bCs/>
          <w:color w:val="auto"/>
        </w:rPr>
        <w:t xml:space="preserve"> by měla být</w:t>
      </w:r>
      <w:r w:rsidRPr="00995237">
        <w:rPr>
          <w:rFonts w:ascii="Calibri" w:hAnsi="Calibri" w:cs="Calibri"/>
          <w:bCs/>
          <w:color w:val="auto"/>
        </w:rPr>
        <w:t xml:space="preserve"> poskytována v letech 2016–2021 s vyhodnocením v roce 2027</w:t>
      </w:r>
      <w:r w:rsidR="00952CFC" w:rsidRPr="00995237">
        <w:rPr>
          <w:rFonts w:ascii="Calibri" w:hAnsi="Calibri" w:cs="Calibri"/>
          <w:bCs/>
          <w:color w:val="auto"/>
        </w:rPr>
        <w:t>, a to v celkovém předpokládaném objemu 420 mil. Kč</w:t>
      </w:r>
      <w:r w:rsidRPr="00995237">
        <w:rPr>
          <w:rFonts w:ascii="Calibri" w:hAnsi="Calibri" w:cs="Calibri"/>
          <w:bCs/>
          <w:color w:val="auto"/>
        </w:rPr>
        <w:t>.</w:t>
      </w:r>
    </w:p>
    <w:p w14:paraId="7C0E876C" w14:textId="77777777" w:rsidR="00C12ECD" w:rsidRPr="00995237" w:rsidRDefault="00C12ECD" w:rsidP="00995237">
      <w:pPr>
        <w:pStyle w:val="Default"/>
        <w:spacing w:line="264" w:lineRule="auto"/>
        <w:jc w:val="both"/>
        <w:rPr>
          <w:rFonts w:ascii="Calibri" w:hAnsi="Calibri" w:cs="Calibri"/>
          <w:bCs/>
        </w:rPr>
      </w:pPr>
    </w:p>
    <w:p w14:paraId="546E41EE" w14:textId="1CC9E4A6" w:rsidR="00C12ECD" w:rsidRPr="00995237" w:rsidRDefault="00E8036B" w:rsidP="00995237">
      <w:pPr>
        <w:spacing w:after="0" w:line="264" w:lineRule="auto"/>
        <w:jc w:val="both"/>
        <w:rPr>
          <w:rFonts w:ascii="Calibri" w:hAnsi="Calibri" w:cs="Calibri"/>
          <w:bCs/>
          <w:color w:val="000000"/>
          <w:sz w:val="24"/>
          <w:szCs w:val="24"/>
        </w:rPr>
      </w:pPr>
      <w:r w:rsidRPr="00995237">
        <w:rPr>
          <w:rFonts w:ascii="Calibri" w:hAnsi="Calibri" w:cs="Calibri"/>
          <w:bCs/>
          <w:color w:val="000000"/>
          <w:sz w:val="24"/>
          <w:szCs w:val="24"/>
        </w:rPr>
        <w:t>Oproti podmínkám, které MD pro příjemce podpory stanovilo v programu č. 127 550 a OPD, MD podmínky podpory poskytované z OPD2 zmírnilo, když omezilo počet dnů, ze kterého se vypočítává více než nadpoloviční počet dnů s pozitivními efekty plynoucími z</w:t>
      </w:r>
      <w:r w:rsidR="00BE7C76" w:rsidRPr="00995237">
        <w:rPr>
          <w:rFonts w:ascii="Calibri" w:hAnsi="Calibri" w:cs="Calibri"/>
          <w:bCs/>
          <w:color w:val="000000"/>
          <w:sz w:val="24"/>
          <w:szCs w:val="24"/>
        </w:rPr>
        <w:t> </w:t>
      </w:r>
      <w:r w:rsidRPr="00995237">
        <w:rPr>
          <w:rFonts w:ascii="Calibri" w:hAnsi="Calibri" w:cs="Calibri"/>
          <w:bCs/>
          <w:color w:val="000000"/>
          <w:sz w:val="24"/>
          <w:szCs w:val="24"/>
        </w:rPr>
        <w:t>modernizace plavidel pro ČR</w:t>
      </w:r>
      <w:r w:rsidR="00863EF6">
        <w:rPr>
          <w:rFonts w:ascii="Calibri" w:hAnsi="Calibri" w:cs="Calibri"/>
          <w:bCs/>
          <w:color w:val="000000"/>
          <w:sz w:val="24"/>
          <w:szCs w:val="24"/>
        </w:rPr>
        <w:t>,</w:t>
      </w:r>
      <w:r w:rsidRPr="00995237">
        <w:rPr>
          <w:rFonts w:ascii="Calibri" w:hAnsi="Calibri" w:cs="Calibri"/>
          <w:bCs/>
          <w:color w:val="000000"/>
          <w:sz w:val="24"/>
          <w:szCs w:val="24"/>
        </w:rPr>
        <w:t xml:space="preserve"> a zkrátilo dobu pro povinné plnění této podmínky z </w:t>
      </w:r>
      <w:r w:rsidR="00E12194" w:rsidRPr="00995237">
        <w:rPr>
          <w:rFonts w:ascii="Calibri" w:hAnsi="Calibri" w:cs="Calibri"/>
          <w:bCs/>
          <w:color w:val="000000"/>
          <w:sz w:val="24"/>
          <w:szCs w:val="24"/>
        </w:rPr>
        <w:t>pěti</w:t>
      </w:r>
      <w:r w:rsidRPr="00995237">
        <w:rPr>
          <w:rFonts w:ascii="Calibri" w:hAnsi="Calibri" w:cs="Calibri"/>
          <w:bCs/>
          <w:color w:val="000000"/>
          <w:sz w:val="24"/>
          <w:szCs w:val="24"/>
        </w:rPr>
        <w:t xml:space="preserve"> na </w:t>
      </w:r>
      <w:r w:rsidR="00E12194" w:rsidRPr="00995237">
        <w:rPr>
          <w:rFonts w:ascii="Calibri" w:hAnsi="Calibri" w:cs="Calibri"/>
          <w:bCs/>
          <w:color w:val="000000"/>
          <w:sz w:val="24"/>
          <w:szCs w:val="24"/>
        </w:rPr>
        <w:t>tři</w:t>
      </w:r>
      <w:r w:rsidRPr="00995237">
        <w:rPr>
          <w:rFonts w:ascii="Calibri" w:hAnsi="Calibri" w:cs="Calibri"/>
          <w:bCs/>
          <w:color w:val="000000"/>
          <w:sz w:val="24"/>
          <w:szCs w:val="24"/>
        </w:rPr>
        <w:t xml:space="preserve"> roky. Zároveň navýšilo maximální výši podpory ze 49 % na 85 %. Příjemc</w:t>
      </w:r>
      <w:r w:rsidR="00B07046" w:rsidRPr="00995237">
        <w:rPr>
          <w:rFonts w:ascii="Calibri" w:hAnsi="Calibri" w:cs="Calibri"/>
          <w:bCs/>
          <w:color w:val="000000"/>
          <w:sz w:val="24"/>
          <w:szCs w:val="24"/>
        </w:rPr>
        <w:t>i</w:t>
      </w:r>
      <w:r w:rsidRPr="00995237">
        <w:rPr>
          <w:rFonts w:ascii="Calibri" w:hAnsi="Calibri" w:cs="Calibri"/>
          <w:bCs/>
          <w:color w:val="000000"/>
          <w:sz w:val="24"/>
          <w:szCs w:val="24"/>
        </w:rPr>
        <w:t xml:space="preserve"> dotac</w:t>
      </w:r>
      <w:r w:rsidR="00B07046" w:rsidRPr="00995237">
        <w:rPr>
          <w:rFonts w:ascii="Calibri" w:hAnsi="Calibri" w:cs="Calibri"/>
          <w:bCs/>
          <w:color w:val="000000"/>
          <w:sz w:val="24"/>
          <w:szCs w:val="24"/>
        </w:rPr>
        <w:t>í</w:t>
      </w:r>
      <w:r w:rsidRPr="00995237">
        <w:rPr>
          <w:rFonts w:ascii="Calibri" w:hAnsi="Calibri" w:cs="Calibri"/>
          <w:bCs/>
          <w:color w:val="000000"/>
          <w:sz w:val="24"/>
          <w:szCs w:val="24"/>
        </w:rPr>
        <w:t xml:space="preserve"> bud</w:t>
      </w:r>
      <w:r w:rsidR="00B07046" w:rsidRPr="00995237">
        <w:rPr>
          <w:rFonts w:ascii="Calibri" w:hAnsi="Calibri" w:cs="Calibri"/>
          <w:bCs/>
          <w:color w:val="000000"/>
          <w:sz w:val="24"/>
          <w:szCs w:val="24"/>
        </w:rPr>
        <w:t>ou</w:t>
      </w:r>
      <w:r w:rsidRPr="00995237">
        <w:rPr>
          <w:rFonts w:ascii="Calibri" w:hAnsi="Calibri" w:cs="Calibri"/>
          <w:bCs/>
          <w:color w:val="000000"/>
          <w:sz w:val="24"/>
          <w:szCs w:val="24"/>
        </w:rPr>
        <w:t xml:space="preserve"> moci při odpočtu uplatnit mj. </w:t>
      </w:r>
      <w:r w:rsidRPr="00995237">
        <w:rPr>
          <w:rFonts w:ascii="Calibri" w:hAnsi="Calibri" w:cs="Calibri"/>
          <w:color w:val="000000"/>
          <w:sz w:val="24"/>
          <w:szCs w:val="24"/>
        </w:rPr>
        <w:t>„</w:t>
      </w:r>
      <w:r w:rsidRPr="00995237">
        <w:rPr>
          <w:rFonts w:ascii="Calibri" w:hAnsi="Calibri" w:cs="Calibri"/>
          <w:i/>
          <w:color w:val="000000"/>
          <w:sz w:val="24"/>
          <w:szCs w:val="24"/>
        </w:rPr>
        <w:t>přiměřený počet dnů čekání na nakládku či připojení tlačného člunu či nutných pro čištění plavidla po vykládce</w:t>
      </w:r>
      <w:r w:rsidR="00014522" w:rsidRPr="00435EF1">
        <w:rPr>
          <w:rFonts w:ascii="Calibri" w:hAnsi="Calibri" w:cs="Calibri"/>
          <w:color w:val="000000"/>
          <w:sz w:val="24"/>
          <w:szCs w:val="24"/>
        </w:rPr>
        <w:t>“</w:t>
      </w:r>
      <w:r w:rsidR="00014522" w:rsidRPr="00995237">
        <w:rPr>
          <w:rFonts w:ascii="Calibri" w:hAnsi="Calibri" w:cs="Calibri"/>
          <w:i/>
          <w:color w:val="000000"/>
          <w:sz w:val="24"/>
          <w:szCs w:val="24"/>
        </w:rPr>
        <w:t xml:space="preserve"> </w:t>
      </w:r>
      <w:r w:rsidR="00014522" w:rsidRPr="00995237">
        <w:rPr>
          <w:rFonts w:ascii="Calibri" w:hAnsi="Calibri" w:cs="Calibri"/>
          <w:color w:val="000000"/>
          <w:sz w:val="24"/>
          <w:szCs w:val="24"/>
        </w:rPr>
        <w:t>nebo</w:t>
      </w:r>
      <w:r w:rsidR="00014522" w:rsidRPr="00995237">
        <w:rPr>
          <w:rFonts w:ascii="Calibri" w:hAnsi="Calibri" w:cs="Calibri"/>
          <w:i/>
          <w:color w:val="000000"/>
          <w:sz w:val="24"/>
          <w:szCs w:val="24"/>
        </w:rPr>
        <w:t xml:space="preserve"> </w:t>
      </w:r>
      <w:r w:rsidR="00014522" w:rsidRPr="00435EF1">
        <w:rPr>
          <w:rFonts w:ascii="Calibri" w:hAnsi="Calibri" w:cs="Calibri"/>
          <w:color w:val="000000"/>
          <w:sz w:val="24"/>
          <w:szCs w:val="24"/>
        </w:rPr>
        <w:t>“</w:t>
      </w:r>
      <w:r w:rsidRPr="00995237">
        <w:rPr>
          <w:rFonts w:ascii="Calibri" w:hAnsi="Calibri" w:cs="Calibri"/>
          <w:i/>
          <w:color w:val="000000"/>
          <w:sz w:val="24"/>
          <w:szCs w:val="24"/>
        </w:rPr>
        <w:t xml:space="preserve">přiměřený počet dnů věnovaných nezbytné údržbě nebo opravě plavidla včetně najetí loděnice </w:t>
      </w:r>
      <w:r w:rsidR="00535BD9" w:rsidRPr="00995237">
        <w:rPr>
          <w:rFonts w:ascii="Calibri" w:hAnsi="Calibri" w:cs="Calibri"/>
          <w:i/>
          <w:color w:val="000000"/>
          <w:sz w:val="24"/>
          <w:szCs w:val="24"/>
        </w:rPr>
        <w:t>–</w:t>
      </w:r>
      <w:r w:rsidRPr="00995237">
        <w:rPr>
          <w:rFonts w:ascii="Calibri" w:hAnsi="Calibri" w:cs="Calibri"/>
          <w:i/>
          <w:color w:val="000000"/>
          <w:sz w:val="24"/>
          <w:szCs w:val="24"/>
        </w:rPr>
        <w:t xml:space="preserve"> přistavení plavidla k údržbě či opravě</w:t>
      </w:r>
      <w:r w:rsidRPr="00995237">
        <w:rPr>
          <w:rFonts w:ascii="Calibri" w:hAnsi="Calibri" w:cs="Calibri"/>
          <w:color w:val="000000"/>
          <w:sz w:val="24"/>
          <w:szCs w:val="24"/>
        </w:rPr>
        <w:t>“</w:t>
      </w:r>
      <w:r w:rsidR="00014522" w:rsidRPr="00995237">
        <w:rPr>
          <w:rFonts w:ascii="Calibri" w:hAnsi="Calibri" w:cs="Calibri"/>
          <w:color w:val="000000"/>
          <w:sz w:val="24"/>
          <w:szCs w:val="24"/>
        </w:rPr>
        <w:t>.</w:t>
      </w:r>
    </w:p>
    <w:p w14:paraId="24E41F81" w14:textId="77777777" w:rsidR="00C12ECD" w:rsidRPr="00995237" w:rsidRDefault="00C12ECD" w:rsidP="00995237">
      <w:pPr>
        <w:spacing w:after="0" w:line="264" w:lineRule="auto"/>
        <w:jc w:val="both"/>
        <w:rPr>
          <w:rFonts w:ascii="Calibri" w:hAnsi="Calibri" w:cs="Calibri"/>
          <w:bCs/>
          <w:color w:val="000000"/>
          <w:sz w:val="24"/>
          <w:szCs w:val="24"/>
        </w:rPr>
      </w:pPr>
    </w:p>
    <w:p w14:paraId="5E995BBF" w14:textId="77777777" w:rsidR="00C12ECD" w:rsidRPr="00995237" w:rsidRDefault="005D7F11" w:rsidP="00995237">
      <w:pPr>
        <w:pStyle w:val="Default"/>
        <w:spacing w:line="264" w:lineRule="auto"/>
        <w:jc w:val="both"/>
        <w:rPr>
          <w:rFonts w:ascii="Calibri" w:hAnsi="Calibri" w:cs="Calibri"/>
          <w:bCs/>
        </w:rPr>
      </w:pPr>
      <w:r w:rsidRPr="00995237">
        <w:rPr>
          <w:rFonts w:ascii="Calibri" w:hAnsi="Calibri" w:cs="Calibri"/>
          <w:bCs/>
        </w:rPr>
        <w:t xml:space="preserve">MD nestanovilo konkrétní postup pro </w:t>
      </w:r>
      <w:r w:rsidR="00E8036B" w:rsidRPr="00995237">
        <w:rPr>
          <w:rFonts w:ascii="Calibri" w:hAnsi="Calibri" w:cs="Calibri"/>
          <w:bCs/>
        </w:rPr>
        <w:t>posuzov</w:t>
      </w:r>
      <w:r w:rsidRPr="00995237">
        <w:rPr>
          <w:rFonts w:ascii="Calibri" w:hAnsi="Calibri" w:cs="Calibri"/>
          <w:bCs/>
        </w:rPr>
        <w:t>ání</w:t>
      </w:r>
      <w:r w:rsidR="00E8036B" w:rsidRPr="00995237">
        <w:rPr>
          <w:rFonts w:ascii="Calibri" w:hAnsi="Calibri" w:cs="Calibri"/>
          <w:bCs/>
        </w:rPr>
        <w:t xml:space="preserve"> a</w:t>
      </w:r>
      <w:r w:rsidR="00BE7C76" w:rsidRPr="00995237">
        <w:rPr>
          <w:rFonts w:ascii="Calibri" w:hAnsi="Calibri" w:cs="Calibri"/>
          <w:bCs/>
        </w:rPr>
        <w:t> </w:t>
      </w:r>
      <w:r w:rsidRPr="00995237">
        <w:rPr>
          <w:rFonts w:ascii="Calibri" w:hAnsi="Calibri" w:cs="Calibri"/>
          <w:bCs/>
        </w:rPr>
        <w:t>kontrolu</w:t>
      </w:r>
      <w:r w:rsidR="00E8036B" w:rsidRPr="00995237">
        <w:rPr>
          <w:rFonts w:ascii="Calibri" w:hAnsi="Calibri" w:cs="Calibri"/>
          <w:bCs/>
        </w:rPr>
        <w:t xml:space="preserve"> objektivnost</w:t>
      </w:r>
      <w:r w:rsidRPr="00995237">
        <w:rPr>
          <w:rFonts w:ascii="Calibri" w:hAnsi="Calibri" w:cs="Calibri"/>
          <w:bCs/>
        </w:rPr>
        <w:t>i</w:t>
      </w:r>
      <w:r w:rsidR="00BC7005" w:rsidRPr="00995237">
        <w:rPr>
          <w:rFonts w:ascii="Calibri" w:hAnsi="Calibri" w:cs="Calibri"/>
          <w:bCs/>
        </w:rPr>
        <w:t xml:space="preserve"> odpočtu dnů s </w:t>
      </w:r>
      <w:r w:rsidR="00E8036B" w:rsidRPr="00995237">
        <w:rPr>
          <w:rFonts w:ascii="Calibri" w:hAnsi="Calibri" w:cs="Calibri"/>
          <w:bCs/>
        </w:rPr>
        <w:t xml:space="preserve">nemožností přepravovat s plavidlem </w:t>
      </w:r>
      <w:r w:rsidR="0065484F" w:rsidRPr="00995237">
        <w:rPr>
          <w:rFonts w:ascii="Calibri" w:hAnsi="Calibri" w:cs="Calibri"/>
          <w:bCs/>
        </w:rPr>
        <w:t>náklad, a to zejména</w:t>
      </w:r>
      <w:r w:rsidR="00E8036B" w:rsidRPr="00995237">
        <w:rPr>
          <w:rFonts w:ascii="Calibri" w:hAnsi="Calibri" w:cs="Calibri"/>
          <w:bCs/>
        </w:rPr>
        <w:t xml:space="preserve"> s ohledem na přiměřenost počtu </w:t>
      </w:r>
      <w:r w:rsidR="0065484F" w:rsidRPr="00995237">
        <w:rPr>
          <w:rFonts w:ascii="Calibri" w:hAnsi="Calibri" w:cs="Calibri"/>
          <w:bCs/>
        </w:rPr>
        <w:t xml:space="preserve">dnů čekání na nakládku, dnů nutných pro čištění plavidla, </w:t>
      </w:r>
      <w:r w:rsidR="00E8036B" w:rsidRPr="00995237">
        <w:rPr>
          <w:rFonts w:ascii="Calibri" w:hAnsi="Calibri" w:cs="Calibri"/>
          <w:bCs/>
        </w:rPr>
        <w:t>dnů</w:t>
      </w:r>
      <w:r w:rsidR="00BC7005" w:rsidRPr="00995237">
        <w:rPr>
          <w:rFonts w:ascii="Calibri" w:hAnsi="Calibri" w:cs="Calibri"/>
          <w:bCs/>
        </w:rPr>
        <w:t xml:space="preserve"> přístavných jízd a dnů oprav a </w:t>
      </w:r>
      <w:r w:rsidR="00E8036B" w:rsidRPr="00995237">
        <w:rPr>
          <w:rFonts w:ascii="Calibri" w:hAnsi="Calibri" w:cs="Calibri"/>
          <w:bCs/>
        </w:rPr>
        <w:t>údržby plavidla.</w:t>
      </w:r>
    </w:p>
    <w:p w14:paraId="3C619DF5" w14:textId="77777777" w:rsidR="00F44F40" w:rsidRPr="00995237" w:rsidRDefault="00F44F40" w:rsidP="00995237">
      <w:pPr>
        <w:autoSpaceDE w:val="0"/>
        <w:autoSpaceDN w:val="0"/>
        <w:adjustRightInd w:val="0"/>
        <w:spacing w:after="0" w:line="264" w:lineRule="auto"/>
        <w:jc w:val="both"/>
        <w:rPr>
          <w:rFonts w:ascii="Calibri" w:hAnsi="Calibri" w:cs="Calibri"/>
          <w:bCs/>
          <w:color w:val="000000"/>
          <w:sz w:val="24"/>
          <w:szCs w:val="24"/>
        </w:rPr>
      </w:pPr>
    </w:p>
    <w:p w14:paraId="07F5853E" w14:textId="77777777" w:rsidR="00952CFC" w:rsidRPr="00995237" w:rsidRDefault="00E8036B" w:rsidP="00995237">
      <w:pPr>
        <w:spacing w:after="0" w:line="264" w:lineRule="auto"/>
        <w:jc w:val="both"/>
        <w:rPr>
          <w:rFonts w:ascii="Calibri" w:hAnsi="Calibri" w:cs="Calibri"/>
          <w:sz w:val="24"/>
          <w:szCs w:val="24"/>
        </w:rPr>
      </w:pPr>
      <w:r w:rsidRPr="00995237">
        <w:rPr>
          <w:rFonts w:ascii="Calibri" w:hAnsi="Calibri" w:cs="Calibri"/>
          <w:bCs/>
          <w:color w:val="000000"/>
          <w:sz w:val="24"/>
          <w:szCs w:val="24"/>
        </w:rPr>
        <w:t>MD v srpnu 2017 vyhlásilo dvě výzvy, na jejichž základě přijalo 27 žádostí</w:t>
      </w:r>
      <w:r w:rsidRPr="00995237">
        <w:rPr>
          <w:rFonts w:ascii="Calibri" w:hAnsi="Calibri" w:cs="Calibri"/>
          <w:sz w:val="24"/>
          <w:szCs w:val="24"/>
        </w:rPr>
        <w:t xml:space="preserve"> o podporu s celkovým objemem finančních nákladů projektů 219,2 mil. Kč. Odborná hodnoticí komise MD však žádnou z těchto žádostí nedoporučila ke schválení z důvodu zásadních nesrovnalostí ve finanční analýze projektů a dalších nedostatků. Na tuto situaci MD reagovalo uspořádáním školení pro zájemce o podporu v červnu 2018. Následně v srpnu 2018 vyhlásilo další </w:t>
      </w:r>
      <w:r w:rsidR="00C12ECD" w:rsidRPr="00995237">
        <w:rPr>
          <w:rFonts w:ascii="Calibri" w:hAnsi="Calibri" w:cs="Calibri"/>
          <w:sz w:val="24"/>
          <w:szCs w:val="24"/>
        </w:rPr>
        <w:t>čtyři</w:t>
      </w:r>
      <w:r w:rsidRPr="00995237">
        <w:rPr>
          <w:rFonts w:ascii="Calibri" w:hAnsi="Calibri" w:cs="Calibri"/>
          <w:sz w:val="24"/>
          <w:szCs w:val="24"/>
        </w:rPr>
        <w:t xml:space="preserve"> výzvy, na jejichž základě přijalo 93 žádostí o podporu s celkovým objemem finančních nákladů projektů 509,7 mil. Kč</w:t>
      </w:r>
      <w:r w:rsidR="00B07046" w:rsidRPr="00995237">
        <w:rPr>
          <w:rFonts w:ascii="Calibri" w:hAnsi="Calibri" w:cs="Calibri"/>
          <w:sz w:val="24"/>
          <w:szCs w:val="24"/>
        </w:rPr>
        <w:t xml:space="preserve">. Předmětem těchto projektů je částečná </w:t>
      </w:r>
      <w:r w:rsidRPr="00995237">
        <w:rPr>
          <w:rFonts w:ascii="Calibri" w:hAnsi="Calibri" w:cs="Calibri"/>
          <w:sz w:val="24"/>
          <w:szCs w:val="24"/>
        </w:rPr>
        <w:t>modernizace 39</w:t>
      </w:r>
      <w:r w:rsidR="00175071" w:rsidRPr="00995237">
        <w:rPr>
          <w:rFonts w:ascii="Calibri" w:hAnsi="Calibri" w:cs="Calibri"/>
          <w:sz w:val="24"/>
          <w:szCs w:val="24"/>
        </w:rPr>
        <w:t> </w:t>
      </w:r>
      <w:r w:rsidR="00B07046" w:rsidRPr="00995237">
        <w:rPr>
          <w:rFonts w:ascii="Calibri" w:hAnsi="Calibri" w:cs="Calibri"/>
          <w:sz w:val="24"/>
          <w:szCs w:val="24"/>
        </w:rPr>
        <w:t xml:space="preserve">nákladních </w:t>
      </w:r>
      <w:r w:rsidRPr="00995237">
        <w:rPr>
          <w:rFonts w:ascii="Calibri" w:hAnsi="Calibri" w:cs="Calibri"/>
          <w:sz w:val="24"/>
          <w:szCs w:val="24"/>
        </w:rPr>
        <w:t xml:space="preserve">plavidel. V době </w:t>
      </w:r>
      <w:r w:rsidR="004715FC" w:rsidRPr="00995237">
        <w:rPr>
          <w:rFonts w:ascii="Calibri" w:hAnsi="Calibri" w:cs="Calibri"/>
          <w:sz w:val="24"/>
          <w:szCs w:val="24"/>
        </w:rPr>
        <w:t xml:space="preserve">ukončení kontroly NKÚ </w:t>
      </w:r>
      <w:r w:rsidR="00B07046" w:rsidRPr="00995237">
        <w:rPr>
          <w:rFonts w:ascii="Calibri" w:hAnsi="Calibri" w:cs="Calibri"/>
          <w:sz w:val="24"/>
          <w:szCs w:val="24"/>
        </w:rPr>
        <w:t xml:space="preserve">MD tyto </w:t>
      </w:r>
      <w:r w:rsidRPr="00995237">
        <w:rPr>
          <w:rFonts w:ascii="Calibri" w:hAnsi="Calibri" w:cs="Calibri"/>
          <w:sz w:val="24"/>
          <w:szCs w:val="24"/>
        </w:rPr>
        <w:t>žádost</w:t>
      </w:r>
      <w:r w:rsidR="00B07046" w:rsidRPr="00995237">
        <w:rPr>
          <w:rFonts w:ascii="Calibri" w:hAnsi="Calibri" w:cs="Calibri"/>
          <w:sz w:val="24"/>
          <w:szCs w:val="24"/>
        </w:rPr>
        <w:t xml:space="preserve">i kontrolovalo a </w:t>
      </w:r>
      <w:r w:rsidRPr="00995237">
        <w:rPr>
          <w:rFonts w:ascii="Calibri" w:hAnsi="Calibri" w:cs="Calibri"/>
          <w:sz w:val="24"/>
          <w:szCs w:val="24"/>
        </w:rPr>
        <w:t>žádnou z</w:t>
      </w:r>
      <w:r w:rsidR="00175071" w:rsidRPr="00995237">
        <w:rPr>
          <w:rFonts w:ascii="Calibri" w:hAnsi="Calibri" w:cs="Calibri"/>
          <w:sz w:val="24"/>
          <w:szCs w:val="24"/>
        </w:rPr>
        <w:t> </w:t>
      </w:r>
      <w:r w:rsidRPr="00995237">
        <w:rPr>
          <w:rFonts w:ascii="Calibri" w:hAnsi="Calibri" w:cs="Calibri"/>
          <w:sz w:val="24"/>
          <w:szCs w:val="24"/>
        </w:rPr>
        <w:t>nich zatím neschválilo.</w:t>
      </w:r>
    </w:p>
    <w:p w14:paraId="710548B4" w14:textId="77777777" w:rsidR="00952CFC" w:rsidRPr="00995237" w:rsidRDefault="00952CFC" w:rsidP="00995237">
      <w:pPr>
        <w:spacing w:after="0" w:line="264" w:lineRule="auto"/>
        <w:jc w:val="both"/>
        <w:rPr>
          <w:rFonts w:ascii="Calibri" w:hAnsi="Calibri" w:cs="Calibri"/>
          <w:sz w:val="24"/>
          <w:szCs w:val="24"/>
        </w:rPr>
      </w:pPr>
    </w:p>
    <w:p w14:paraId="72C30F88" w14:textId="77777777" w:rsidR="00BB5596" w:rsidRPr="00995237" w:rsidRDefault="00E8036B" w:rsidP="00995237">
      <w:pPr>
        <w:spacing w:after="0" w:line="264" w:lineRule="auto"/>
        <w:jc w:val="both"/>
        <w:rPr>
          <w:rFonts w:ascii="Calibri" w:hAnsi="Calibri" w:cs="Calibri"/>
          <w:b/>
          <w:sz w:val="24"/>
          <w:szCs w:val="24"/>
        </w:rPr>
      </w:pPr>
      <w:r w:rsidRPr="00995237">
        <w:rPr>
          <w:rFonts w:ascii="Calibri" w:hAnsi="Calibri" w:cs="Calibri"/>
          <w:b/>
          <w:sz w:val="24"/>
          <w:szCs w:val="24"/>
        </w:rPr>
        <w:t xml:space="preserve">Poskytování další podpory na modernizaci </w:t>
      </w:r>
      <w:r w:rsidR="00B07046" w:rsidRPr="00995237">
        <w:rPr>
          <w:rFonts w:ascii="Calibri" w:hAnsi="Calibri" w:cs="Calibri"/>
          <w:b/>
          <w:sz w:val="24"/>
          <w:szCs w:val="24"/>
        </w:rPr>
        <w:t xml:space="preserve">nákladních říčních </w:t>
      </w:r>
      <w:r w:rsidRPr="00995237">
        <w:rPr>
          <w:rFonts w:ascii="Calibri" w:hAnsi="Calibri" w:cs="Calibri"/>
          <w:b/>
          <w:sz w:val="24"/>
          <w:szCs w:val="24"/>
        </w:rPr>
        <w:t>plavidel</w:t>
      </w:r>
      <w:r w:rsidR="00F56C81" w:rsidRPr="00995237">
        <w:rPr>
          <w:rFonts w:ascii="Calibri" w:hAnsi="Calibri" w:cs="Calibri"/>
          <w:b/>
          <w:sz w:val="24"/>
          <w:szCs w:val="24"/>
        </w:rPr>
        <w:t xml:space="preserve"> </w:t>
      </w:r>
      <w:r w:rsidRPr="00995237">
        <w:rPr>
          <w:rFonts w:ascii="Calibri" w:hAnsi="Calibri" w:cs="Calibri"/>
          <w:b/>
          <w:sz w:val="24"/>
          <w:szCs w:val="24"/>
        </w:rPr>
        <w:t>při</w:t>
      </w:r>
      <w:r w:rsidR="00F56C81" w:rsidRPr="00995237">
        <w:rPr>
          <w:rFonts w:ascii="Calibri" w:hAnsi="Calibri" w:cs="Calibri"/>
          <w:b/>
          <w:sz w:val="24"/>
          <w:szCs w:val="24"/>
        </w:rPr>
        <w:t xml:space="preserve"> přetrvávající nespolehliv</w:t>
      </w:r>
      <w:r w:rsidRPr="00995237">
        <w:rPr>
          <w:rFonts w:ascii="Calibri" w:hAnsi="Calibri" w:cs="Calibri"/>
          <w:b/>
          <w:sz w:val="24"/>
          <w:szCs w:val="24"/>
        </w:rPr>
        <w:t>é</w:t>
      </w:r>
      <w:r w:rsidR="00F56C81" w:rsidRPr="00995237">
        <w:rPr>
          <w:rFonts w:ascii="Calibri" w:hAnsi="Calibri" w:cs="Calibri"/>
          <w:b/>
          <w:sz w:val="24"/>
          <w:szCs w:val="24"/>
        </w:rPr>
        <w:t xml:space="preserve"> splavnost</w:t>
      </w:r>
      <w:r w:rsidRPr="00995237">
        <w:rPr>
          <w:rFonts w:ascii="Calibri" w:hAnsi="Calibri" w:cs="Calibri"/>
          <w:b/>
          <w:sz w:val="24"/>
          <w:szCs w:val="24"/>
        </w:rPr>
        <w:t>i</w:t>
      </w:r>
      <w:r w:rsidR="00F56C81" w:rsidRPr="00995237">
        <w:rPr>
          <w:rFonts w:ascii="Calibri" w:hAnsi="Calibri" w:cs="Calibri"/>
          <w:b/>
          <w:sz w:val="24"/>
          <w:szCs w:val="24"/>
        </w:rPr>
        <w:t xml:space="preserve"> labsko-vltavské vodní cesty </w:t>
      </w:r>
      <w:r w:rsidR="0065484F" w:rsidRPr="00995237">
        <w:rPr>
          <w:rFonts w:ascii="Calibri" w:hAnsi="Calibri" w:cs="Calibri"/>
          <w:b/>
          <w:sz w:val="24"/>
          <w:szCs w:val="24"/>
        </w:rPr>
        <w:t xml:space="preserve">a </w:t>
      </w:r>
      <w:r w:rsidRPr="00995237">
        <w:rPr>
          <w:rFonts w:ascii="Calibri" w:hAnsi="Calibri" w:cs="Calibri"/>
          <w:b/>
          <w:sz w:val="24"/>
          <w:szCs w:val="24"/>
        </w:rPr>
        <w:t xml:space="preserve">bez </w:t>
      </w:r>
      <w:r w:rsidR="00B07046" w:rsidRPr="00995237">
        <w:rPr>
          <w:rFonts w:ascii="Calibri" w:hAnsi="Calibri" w:cs="Calibri"/>
          <w:b/>
          <w:sz w:val="24"/>
          <w:szCs w:val="24"/>
        </w:rPr>
        <w:t xml:space="preserve">dostatečných </w:t>
      </w:r>
      <w:r w:rsidRPr="00995237">
        <w:rPr>
          <w:rFonts w:ascii="Calibri" w:hAnsi="Calibri" w:cs="Calibri"/>
          <w:b/>
          <w:sz w:val="24"/>
          <w:szCs w:val="24"/>
        </w:rPr>
        <w:t>záruk jejich dlouhodobého a intenzivního využívání s pozitivními efekty ve prospěch České republiky je podle NKÚ spojeno s významným rizikem neúčelného a neefektivního vynakládání prostředků.</w:t>
      </w:r>
    </w:p>
    <w:p w14:paraId="4037D535" w14:textId="77777777" w:rsidR="00BB5596" w:rsidRPr="00995237" w:rsidRDefault="00BB5596" w:rsidP="00995237">
      <w:pPr>
        <w:spacing w:after="0" w:line="264" w:lineRule="auto"/>
        <w:jc w:val="both"/>
        <w:rPr>
          <w:rFonts w:ascii="Calibri" w:hAnsi="Calibri" w:cs="Calibri"/>
          <w:sz w:val="24"/>
          <w:szCs w:val="24"/>
        </w:rPr>
      </w:pPr>
    </w:p>
    <w:p w14:paraId="38FB3563" w14:textId="77777777" w:rsidR="004453E7" w:rsidRPr="00995237" w:rsidRDefault="004453E7" w:rsidP="00995237">
      <w:pPr>
        <w:spacing w:after="0" w:line="264" w:lineRule="auto"/>
        <w:jc w:val="both"/>
        <w:rPr>
          <w:rFonts w:ascii="Calibri" w:hAnsi="Calibri" w:cs="Calibri"/>
          <w:sz w:val="24"/>
          <w:szCs w:val="24"/>
        </w:rPr>
      </w:pPr>
    </w:p>
    <w:p w14:paraId="183BD65B" w14:textId="77777777" w:rsidR="001D6C9B" w:rsidRDefault="001D6C9B">
      <w:pPr>
        <w:rPr>
          <w:b/>
          <w:sz w:val="24"/>
          <w:szCs w:val="24"/>
        </w:rPr>
      </w:pPr>
      <w:r>
        <w:rPr>
          <w:b/>
          <w:sz w:val="24"/>
          <w:szCs w:val="24"/>
        </w:rPr>
        <w:br w:type="page"/>
      </w:r>
    </w:p>
    <w:p w14:paraId="4A9B2E29" w14:textId="77777777" w:rsidR="00916EDC" w:rsidRPr="00407E5E" w:rsidRDefault="00E8036B" w:rsidP="003C2F39">
      <w:pPr>
        <w:keepNext/>
        <w:spacing w:after="0" w:line="252" w:lineRule="auto"/>
        <w:contextualSpacing/>
        <w:rPr>
          <w:b/>
          <w:sz w:val="24"/>
          <w:szCs w:val="24"/>
        </w:rPr>
      </w:pPr>
      <w:r w:rsidRPr="00407E5E">
        <w:rPr>
          <w:b/>
          <w:sz w:val="24"/>
          <w:szCs w:val="24"/>
        </w:rPr>
        <w:lastRenderedPageBreak/>
        <w:t xml:space="preserve">Seznam </w:t>
      </w:r>
      <w:r w:rsidR="00260294" w:rsidRPr="00407E5E">
        <w:rPr>
          <w:b/>
          <w:sz w:val="24"/>
          <w:szCs w:val="24"/>
        </w:rPr>
        <w:t xml:space="preserve">použitých </w:t>
      </w:r>
      <w:r w:rsidRPr="00407E5E">
        <w:rPr>
          <w:b/>
          <w:sz w:val="24"/>
          <w:szCs w:val="24"/>
        </w:rPr>
        <w:t>zkratek:</w:t>
      </w:r>
    </w:p>
    <w:p w14:paraId="3E46B136" w14:textId="77777777" w:rsidR="002624B9" w:rsidRPr="00407E5E" w:rsidRDefault="002624B9" w:rsidP="003C2F39">
      <w:pPr>
        <w:keepNext/>
        <w:spacing w:after="0" w:line="252" w:lineRule="auto"/>
        <w:contextualSpacing/>
        <w:jc w:val="both"/>
        <w:rPr>
          <w:rFonts w:cstheme="minorHAnsi"/>
          <w:sz w:val="24"/>
          <w:szCs w:val="24"/>
        </w:rPr>
      </w:pPr>
    </w:p>
    <w:p w14:paraId="3909480C" w14:textId="4429CE7D" w:rsidR="00892BA2" w:rsidRPr="00892BA2" w:rsidRDefault="00E8036B" w:rsidP="0028146A">
      <w:pPr>
        <w:pStyle w:val="xl25"/>
        <w:spacing w:before="0" w:beforeAutospacing="0" w:after="0" w:afterAutospacing="0" w:line="264" w:lineRule="auto"/>
        <w:rPr>
          <w:rFonts w:asciiTheme="minorHAnsi" w:hAnsiTheme="minorHAnsi" w:cstheme="minorHAnsi"/>
          <w:b w:val="0"/>
          <w:bCs w:val="0"/>
          <w:iCs/>
        </w:rPr>
      </w:pPr>
      <w:r w:rsidRPr="00892BA2">
        <w:rPr>
          <w:rFonts w:asciiTheme="minorHAnsi" w:hAnsiTheme="minorHAnsi" w:cstheme="minorHAnsi"/>
          <w:b w:val="0"/>
          <w:bCs w:val="0"/>
          <w:iCs/>
        </w:rPr>
        <w:t>DOL</w:t>
      </w:r>
      <w:r w:rsidRPr="00892BA2">
        <w:rPr>
          <w:rFonts w:asciiTheme="minorHAnsi" w:hAnsiTheme="minorHAnsi" w:cstheme="minorHAnsi"/>
          <w:b w:val="0"/>
          <w:bCs w:val="0"/>
          <w:iCs/>
        </w:rPr>
        <w:tab/>
      </w:r>
      <w:r w:rsidR="00A90165">
        <w:rPr>
          <w:rFonts w:asciiTheme="minorHAnsi" w:hAnsiTheme="minorHAnsi" w:cstheme="minorHAnsi"/>
          <w:b w:val="0"/>
          <w:bCs w:val="0"/>
          <w:iCs/>
        </w:rPr>
        <w:t>v</w:t>
      </w:r>
      <w:r w:rsidRPr="00892BA2">
        <w:rPr>
          <w:rFonts w:asciiTheme="minorHAnsi" w:hAnsiTheme="minorHAnsi" w:cstheme="minorHAnsi"/>
          <w:b w:val="0"/>
          <w:bCs w:val="0"/>
          <w:iCs/>
        </w:rPr>
        <w:t xml:space="preserve">odní koridor </w:t>
      </w:r>
      <w:proofErr w:type="gramStart"/>
      <w:r w:rsidRPr="00892BA2">
        <w:rPr>
          <w:rFonts w:asciiTheme="minorHAnsi" w:hAnsiTheme="minorHAnsi" w:cstheme="minorHAnsi"/>
          <w:b w:val="0"/>
          <w:bCs w:val="0"/>
          <w:iCs/>
        </w:rPr>
        <w:t>Dunaj</w:t>
      </w:r>
      <w:proofErr w:type="gramEnd"/>
      <w:r w:rsidR="00A90165">
        <w:rPr>
          <w:rFonts w:asciiTheme="minorHAnsi" w:hAnsiTheme="minorHAnsi" w:cstheme="minorHAnsi"/>
          <w:b w:val="0"/>
          <w:bCs w:val="0"/>
          <w:iCs/>
        </w:rPr>
        <w:t>–</w:t>
      </w:r>
      <w:proofErr w:type="gramStart"/>
      <w:r w:rsidRPr="00892BA2">
        <w:rPr>
          <w:rFonts w:asciiTheme="minorHAnsi" w:hAnsiTheme="minorHAnsi" w:cstheme="minorHAnsi"/>
          <w:b w:val="0"/>
          <w:bCs w:val="0"/>
          <w:iCs/>
        </w:rPr>
        <w:t>Odra</w:t>
      </w:r>
      <w:proofErr w:type="gramEnd"/>
      <w:r w:rsidR="00A90165">
        <w:rPr>
          <w:rFonts w:asciiTheme="minorHAnsi" w:hAnsiTheme="minorHAnsi" w:cstheme="minorHAnsi"/>
          <w:b w:val="0"/>
          <w:bCs w:val="0"/>
          <w:iCs/>
        </w:rPr>
        <w:t>–</w:t>
      </w:r>
      <w:r w:rsidRPr="00892BA2">
        <w:rPr>
          <w:rFonts w:asciiTheme="minorHAnsi" w:hAnsiTheme="minorHAnsi" w:cstheme="minorHAnsi"/>
          <w:b w:val="0"/>
          <w:bCs w:val="0"/>
          <w:iCs/>
        </w:rPr>
        <w:t>Labe</w:t>
      </w:r>
    </w:p>
    <w:p w14:paraId="341DCFA0" w14:textId="77777777" w:rsidR="00892BA2" w:rsidRDefault="00E8036B" w:rsidP="0028146A">
      <w:pPr>
        <w:pStyle w:val="xl25"/>
        <w:spacing w:before="0" w:beforeAutospacing="0" w:after="0" w:afterAutospacing="0" w:line="264" w:lineRule="auto"/>
        <w:rPr>
          <w:rFonts w:asciiTheme="minorHAnsi" w:hAnsiTheme="minorHAnsi" w:cstheme="minorHAnsi"/>
          <w:b w:val="0"/>
          <w:bCs w:val="0"/>
          <w:iCs/>
        </w:rPr>
      </w:pPr>
      <w:r w:rsidRPr="00892BA2">
        <w:rPr>
          <w:rFonts w:asciiTheme="minorHAnsi" w:hAnsiTheme="minorHAnsi" w:cstheme="minorHAnsi"/>
          <w:b w:val="0"/>
          <w:bCs w:val="0"/>
          <w:iCs/>
        </w:rPr>
        <w:t>DSS2</w:t>
      </w:r>
      <w:r w:rsidRPr="00892BA2">
        <w:rPr>
          <w:rFonts w:asciiTheme="minorHAnsi" w:hAnsiTheme="minorHAnsi" w:cstheme="minorHAnsi"/>
          <w:b w:val="0"/>
          <w:bCs w:val="0"/>
          <w:iCs/>
        </w:rPr>
        <w:tab/>
      </w:r>
      <w:r w:rsidRPr="00435EF1">
        <w:rPr>
          <w:rFonts w:asciiTheme="minorHAnsi" w:hAnsiTheme="minorHAnsi" w:cstheme="minorHAnsi"/>
          <w:b w:val="0"/>
          <w:bCs w:val="0"/>
          <w:i/>
          <w:iCs/>
        </w:rPr>
        <w:t>Dopravní sektorové strategie, 2. fáze</w:t>
      </w:r>
    </w:p>
    <w:p w14:paraId="76B2E9BD" w14:textId="12E35992" w:rsidR="001F7955" w:rsidRPr="00892BA2" w:rsidRDefault="001F7955" w:rsidP="0028146A">
      <w:pPr>
        <w:pStyle w:val="xl25"/>
        <w:spacing w:before="0" w:beforeAutospacing="0" w:after="0" w:afterAutospacing="0" w:line="264" w:lineRule="auto"/>
        <w:rPr>
          <w:rFonts w:asciiTheme="minorHAnsi" w:hAnsiTheme="minorHAnsi" w:cstheme="minorHAnsi"/>
          <w:b w:val="0"/>
          <w:bCs w:val="0"/>
          <w:iCs/>
        </w:rPr>
      </w:pPr>
      <w:r>
        <w:rPr>
          <w:rFonts w:asciiTheme="minorHAnsi" w:hAnsiTheme="minorHAnsi" w:cstheme="minorHAnsi"/>
          <w:b w:val="0"/>
          <w:bCs w:val="0"/>
          <w:iCs/>
        </w:rPr>
        <w:t>EIA</w:t>
      </w:r>
      <w:r>
        <w:rPr>
          <w:rFonts w:asciiTheme="minorHAnsi" w:hAnsiTheme="minorHAnsi" w:cstheme="minorHAnsi"/>
          <w:b w:val="0"/>
          <w:bCs w:val="0"/>
          <w:iCs/>
        </w:rPr>
        <w:tab/>
      </w:r>
      <w:r w:rsidR="00A90165">
        <w:rPr>
          <w:rFonts w:asciiTheme="minorHAnsi" w:hAnsiTheme="minorHAnsi" w:cstheme="minorHAnsi"/>
          <w:b w:val="0"/>
          <w:bCs w:val="0"/>
          <w:iCs/>
        </w:rPr>
        <w:t>p</w:t>
      </w:r>
      <w:r w:rsidRPr="001F7955">
        <w:rPr>
          <w:rFonts w:asciiTheme="minorHAnsi" w:hAnsiTheme="minorHAnsi" w:cstheme="minorHAnsi"/>
          <w:b w:val="0"/>
          <w:bCs w:val="0"/>
          <w:iCs/>
        </w:rPr>
        <w:t xml:space="preserve">osouzení vlivu </w:t>
      </w:r>
      <w:r>
        <w:rPr>
          <w:rFonts w:asciiTheme="minorHAnsi" w:hAnsiTheme="minorHAnsi" w:cstheme="minorHAnsi"/>
          <w:b w:val="0"/>
          <w:bCs w:val="0"/>
          <w:iCs/>
        </w:rPr>
        <w:t>projektu</w:t>
      </w:r>
      <w:r w:rsidRPr="001F7955">
        <w:rPr>
          <w:rFonts w:asciiTheme="minorHAnsi" w:hAnsiTheme="minorHAnsi" w:cstheme="minorHAnsi"/>
          <w:b w:val="0"/>
          <w:bCs w:val="0"/>
          <w:iCs/>
        </w:rPr>
        <w:t xml:space="preserve"> na životní prostředí</w:t>
      </w:r>
    </w:p>
    <w:p w14:paraId="48BDF5D7" w14:textId="36EFE672" w:rsidR="00892BA2" w:rsidRPr="00892BA2" w:rsidRDefault="00E8036B" w:rsidP="0028146A">
      <w:pPr>
        <w:pStyle w:val="xl25"/>
        <w:spacing w:before="0" w:beforeAutospacing="0" w:after="0" w:afterAutospacing="0" w:line="264" w:lineRule="auto"/>
        <w:rPr>
          <w:rFonts w:asciiTheme="minorHAnsi" w:hAnsiTheme="minorHAnsi" w:cstheme="minorHAnsi"/>
          <w:b w:val="0"/>
          <w:bCs w:val="0"/>
          <w:iCs/>
        </w:rPr>
      </w:pPr>
      <w:r w:rsidRPr="00892BA2">
        <w:rPr>
          <w:rFonts w:asciiTheme="minorHAnsi" w:hAnsiTheme="minorHAnsi" w:cstheme="minorHAnsi"/>
          <w:b w:val="0"/>
          <w:bCs w:val="0"/>
          <w:iCs/>
        </w:rPr>
        <w:t>EVL</w:t>
      </w:r>
      <w:r w:rsidRPr="00892BA2">
        <w:rPr>
          <w:rFonts w:asciiTheme="minorHAnsi" w:hAnsiTheme="minorHAnsi" w:cstheme="minorHAnsi"/>
          <w:b w:val="0"/>
          <w:bCs w:val="0"/>
          <w:iCs/>
        </w:rPr>
        <w:tab/>
      </w:r>
      <w:r w:rsidR="00A90165">
        <w:rPr>
          <w:rFonts w:asciiTheme="minorHAnsi" w:hAnsiTheme="minorHAnsi" w:cstheme="minorHAnsi"/>
          <w:b w:val="0"/>
          <w:bCs w:val="0"/>
          <w:iCs/>
        </w:rPr>
        <w:t>e</w:t>
      </w:r>
      <w:r w:rsidRPr="00892BA2">
        <w:rPr>
          <w:rFonts w:asciiTheme="minorHAnsi" w:hAnsiTheme="minorHAnsi" w:cstheme="minorHAnsi"/>
          <w:b w:val="0"/>
          <w:bCs w:val="0"/>
          <w:iCs/>
        </w:rPr>
        <w:t>vropsky významná lokalita</w:t>
      </w:r>
    </w:p>
    <w:p w14:paraId="3A8D0E73" w14:textId="2C6863EE" w:rsidR="00892BA2" w:rsidRPr="00892BA2" w:rsidRDefault="00E8036B" w:rsidP="0028146A">
      <w:pPr>
        <w:pStyle w:val="xl25"/>
        <w:spacing w:before="0" w:beforeAutospacing="0" w:after="0" w:afterAutospacing="0" w:line="264" w:lineRule="auto"/>
        <w:rPr>
          <w:rFonts w:asciiTheme="minorHAnsi" w:hAnsiTheme="minorHAnsi" w:cstheme="minorHAnsi"/>
          <w:b w:val="0"/>
          <w:bCs w:val="0"/>
          <w:iCs/>
        </w:rPr>
      </w:pPr>
      <w:r w:rsidRPr="00892BA2">
        <w:rPr>
          <w:rFonts w:asciiTheme="minorHAnsi" w:hAnsiTheme="minorHAnsi" w:cstheme="minorHAnsi"/>
          <w:b w:val="0"/>
          <w:bCs w:val="0"/>
          <w:iCs/>
        </w:rPr>
        <w:t>KA</w:t>
      </w:r>
      <w:r w:rsidRPr="00892BA2">
        <w:rPr>
          <w:rFonts w:asciiTheme="minorHAnsi" w:hAnsiTheme="minorHAnsi" w:cstheme="minorHAnsi"/>
          <w:b w:val="0"/>
          <w:bCs w:val="0"/>
          <w:iCs/>
        </w:rPr>
        <w:tab/>
      </w:r>
      <w:r w:rsidR="00A90165">
        <w:rPr>
          <w:rFonts w:asciiTheme="minorHAnsi" w:hAnsiTheme="minorHAnsi" w:cstheme="minorHAnsi"/>
          <w:b w:val="0"/>
          <w:bCs w:val="0"/>
          <w:iCs/>
        </w:rPr>
        <w:t>k</w:t>
      </w:r>
      <w:r w:rsidRPr="00892BA2">
        <w:rPr>
          <w:rFonts w:asciiTheme="minorHAnsi" w:hAnsiTheme="minorHAnsi" w:cstheme="minorHAnsi"/>
          <w:b w:val="0"/>
          <w:bCs w:val="0"/>
          <w:iCs/>
        </w:rPr>
        <w:t>ontrolní akce</w:t>
      </w:r>
    </w:p>
    <w:p w14:paraId="50702758" w14:textId="33620C66" w:rsidR="00892BA2" w:rsidRPr="00892BA2" w:rsidRDefault="00E8036B" w:rsidP="0028146A">
      <w:pPr>
        <w:spacing w:after="0" w:line="264" w:lineRule="auto"/>
        <w:jc w:val="both"/>
        <w:rPr>
          <w:rFonts w:cstheme="minorHAnsi"/>
          <w:sz w:val="24"/>
          <w:szCs w:val="24"/>
        </w:rPr>
      </w:pPr>
      <w:r w:rsidRPr="00892BA2">
        <w:rPr>
          <w:rFonts w:cstheme="minorHAnsi"/>
          <w:sz w:val="24"/>
          <w:szCs w:val="24"/>
        </w:rPr>
        <w:t>KVD</w:t>
      </w:r>
      <w:r w:rsidRPr="00892BA2">
        <w:rPr>
          <w:rFonts w:cstheme="minorHAnsi"/>
          <w:sz w:val="24"/>
          <w:szCs w:val="24"/>
        </w:rPr>
        <w:tab/>
      </w:r>
      <w:r w:rsidRPr="00435EF1">
        <w:rPr>
          <w:rFonts w:cstheme="minorHAnsi"/>
          <w:i/>
          <w:sz w:val="24"/>
          <w:szCs w:val="24"/>
        </w:rPr>
        <w:t>Koncepce vodní dopravy</w:t>
      </w:r>
      <w:r w:rsidR="00A90165">
        <w:rPr>
          <w:rFonts w:cstheme="minorHAnsi"/>
          <w:sz w:val="24"/>
          <w:szCs w:val="24"/>
        </w:rPr>
        <w:t xml:space="preserve"> </w:t>
      </w:r>
      <w:r w:rsidR="00A90165" w:rsidRPr="008B0908">
        <w:rPr>
          <w:rFonts w:ascii="Calibri" w:hAnsi="Calibri" w:cs="Calibri"/>
          <w:i/>
          <w:sz w:val="24"/>
          <w:szCs w:val="24"/>
        </w:rPr>
        <w:t>pro období 2016–2023</w:t>
      </w:r>
    </w:p>
    <w:p w14:paraId="79A24570" w14:textId="77777777" w:rsidR="00892BA2" w:rsidRPr="00892BA2" w:rsidRDefault="00E8036B" w:rsidP="0028146A">
      <w:pPr>
        <w:spacing w:after="0" w:line="264" w:lineRule="auto"/>
        <w:jc w:val="both"/>
        <w:rPr>
          <w:rFonts w:cstheme="minorHAnsi"/>
          <w:sz w:val="24"/>
          <w:szCs w:val="24"/>
        </w:rPr>
      </w:pPr>
      <w:r w:rsidRPr="00892BA2">
        <w:rPr>
          <w:rFonts w:cstheme="minorHAnsi"/>
          <w:sz w:val="24"/>
          <w:szCs w:val="24"/>
        </w:rPr>
        <w:t>MD</w:t>
      </w:r>
      <w:r w:rsidRPr="00892BA2">
        <w:rPr>
          <w:rFonts w:cstheme="minorHAnsi"/>
          <w:sz w:val="24"/>
          <w:szCs w:val="24"/>
        </w:rPr>
        <w:tab/>
        <w:t>Ministerstvo dopravy</w:t>
      </w:r>
    </w:p>
    <w:p w14:paraId="614EDE29" w14:textId="77777777" w:rsidR="00892BA2" w:rsidRPr="00892BA2" w:rsidRDefault="00E8036B" w:rsidP="0028146A">
      <w:pPr>
        <w:spacing w:after="0" w:line="264" w:lineRule="auto"/>
        <w:jc w:val="both"/>
        <w:rPr>
          <w:rFonts w:cstheme="minorHAnsi"/>
          <w:sz w:val="24"/>
          <w:szCs w:val="24"/>
        </w:rPr>
      </w:pPr>
      <w:r w:rsidRPr="00892BA2">
        <w:rPr>
          <w:rFonts w:cstheme="minorHAnsi"/>
          <w:sz w:val="24"/>
          <w:szCs w:val="24"/>
        </w:rPr>
        <w:t xml:space="preserve">MF </w:t>
      </w:r>
      <w:r w:rsidRPr="00892BA2">
        <w:rPr>
          <w:rFonts w:cstheme="minorHAnsi"/>
          <w:sz w:val="24"/>
          <w:szCs w:val="24"/>
        </w:rPr>
        <w:tab/>
        <w:t>Ministerstvo financí</w:t>
      </w:r>
    </w:p>
    <w:p w14:paraId="29ADAA21" w14:textId="77777777" w:rsidR="00892BA2" w:rsidRDefault="00E8036B" w:rsidP="0028146A">
      <w:pPr>
        <w:spacing w:after="0" w:line="264" w:lineRule="auto"/>
        <w:jc w:val="both"/>
        <w:rPr>
          <w:rFonts w:cstheme="minorHAnsi"/>
          <w:sz w:val="24"/>
          <w:szCs w:val="24"/>
        </w:rPr>
      </w:pPr>
      <w:r w:rsidRPr="00892BA2">
        <w:rPr>
          <w:rFonts w:cstheme="minorHAnsi"/>
          <w:sz w:val="24"/>
          <w:szCs w:val="24"/>
        </w:rPr>
        <w:t>MŽP</w:t>
      </w:r>
      <w:r w:rsidRPr="00892BA2">
        <w:rPr>
          <w:rFonts w:cstheme="minorHAnsi"/>
          <w:sz w:val="24"/>
          <w:szCs w:val="24"/>
        </w:rPr>
        <w:tab/>
        <w:t>Ministerstvo životního prostředí</w:t>
      </w:r>
    </w:p>
    <w:p w14:paraId="066488A9" w14:textId="77777777" w:rsidR="00892BA2" w:rsidRPr="00892BA2" w:rsidRDefault="00E8036B" w:rsidP="0028146A">
      <w:pPr>
        <w:spacing w:after="0" w:line="264" w:lineRule="auto"/>
        <w:jc w:val="both"/>
        <w:rPr>
          <w:rFonts w:cstheme="minorHAnsi"/>
          <w:sz w:val="24"/>
          <w:szCs w:val="24"/>
        </w:rPr>
      </w:pPr>
      <w:r w:rsidRPr="00892BA2">
        <w:rPr>
          <w:rFonts w:cstheme="minorHAnsi"/>
          <w:iCs/>
          <w:sz w:val="24"/>
          <w:szCs w:val="24"/>
        </w:rPr>
        <w:t>NKÚ</w:t>
      </w:r>
      <w:r w:rsidRPr="00892BA2">
        <w:rPr>
          <w:rFonts w:cstheme="minorHAnsi"/>
          <w:iCs/>
          <w:sz w:val="24"/>
          <w:szCs w:val="24"/>
        </w:rPr>
        <w:tab/>
        <w:t>Nejvyšší kontrolní úřad</w:t>
      </w:r>
    </w:p>
    <w:p w14:paraId="59DB789C" w14:textId="3BCE63FF" w:rsidR="00892BA2" w:rsidRPr="00892BA2" w:rsidRDefault="00E8036B" w:rsidP="0028146A">
      <w:pPr>
        <w:spacing w:after="0" w:line="264" w:lineRule="auto"/>
        <w:jc w:val="both"/>
        <w:rPr>
          <w:rFonts w:cstheme="minorHAnsi"/>
          <w:sz w:val="24"/>
          <w:szCs w:val="24"/>
        </w:rPr>
      </w:pPr>
      <w:r w:rsidRPr="00892BA2">
        <w:rPr>
          <w:rFonts w:cstheme="minorHAnsi"/>
          <w:sz w:val="24"/>
          <w:szCs w:val="24"/>
        </w:rPr>
        <w:t>OPD1</w:t>
      </w:r>
      <w:r w:rsidRPr="00892BA2">
        <w:rPr>
          <w:rFonts w:cstheme="minorHAnsi"/>
          <w:sz w:val="24"/>
          <w:szCs w:val="24"/>
        </w:rPr>
        <w:tab/>
      </w:r>
      <w:r w:rsidR="00A90165">
        <w:rPr>
          <w:rFonts w:cstheme="minorHAnsi"/>
          <w:sz w:val="24"/>
          <w:szCs w:val="24"/>
        </w:rPr>
        <w:t>o</w:t>
      </w:r>
      <w:r w:rsidRPr="00892BA2">
        <w:rPr>
          <w:rFonts w:cstheme="minorHAnsi"/>
          <w:sz w:val="24"/>
          <w:szCs w:val="24"/>
        </w:rPr>
        <w:t xml:space="preserve">perační program </w:t>
      </w:r>
      <w:r w:rsidRPr="00435EF1">
        <w:rPr>
          <w:rFonts w:cstheme="minorHAnsi"/>
          <w:i/>
          <w:sz w:val="24"/>
          <w:szCs w:val="24"/>
        </w:rPr>
        <w:t>Doprava 2007–2013</w:t>
      </w:r>
      <w:r w:rsidRPr="00892BA2">
        <w:rPr>
          <w:rFonts w:cstheme="minorHAnsi"/>
          <w:sz w:val="24"/>
          <w:szCs w:val="24"/>
        </w:rPr>
        <w:t xml:space="preserve"> </w:t>
      </w:r>
    </w:p>
    <w:p w14:paraId="53AEE1DF" w14:textId="77DF12DD" w:rsidR="00892BA2" w:rsidRPr="00892BA2" w:rsidRDefault="0028146A" w:rsidP="0028146A">
      <w:pPr>
        <w:spacing w:after="0" w:line="264" w:lineRule="auto"/>
        <w:jc w:val="both"/>
        <w:rPr>
          <w:rFonts w:cstheme="minorHAnsi"/>
          <w:sz w:val="24"/>
          <w:szCs w:val="24"/>
        </w:rPr>
      </w:pPr>
      <w:r>
        <w:rPr>
          <w:rFonts w:cstheme="minorHAnsi"/>
          <w:sz w:val="24"/>
          <w:szCs w:val="24"/>
        </w:rPr>
        <w:t>OPD2</w:t>
      </w:r>
      <w:r w:rsidR="00E8036B" w:rsidRPr="00892BA2">
        <w:rPr>
          <w:rFonts w:cstheme="minorHAnsi"/>
          <w:sz w:val="24"/>
          <w:szCs w:val="24"/>
        </w:rPr>
        <w:tab/>
      </w:r>
      <w:r w:rsidR="00A90165">
        <w:rPr>
          <w:rFonts w:cstheme="minorHAnsi"/>
          <w:sz w:val="24"/>
          <w:szCs w:val="24"/>
        </w:rPr>
        <w:t>o</w:t>
      </w:r>
      <w:r w:rsidR="00E8036B" w:rsidRPr="00892BA2">
        <w:rPr>
          <w:rFonts w:cstheme="minorHAnsi"/>
          <w:sz w:val="24"/>
          <w:szCs w:val="24"/>
        </w:rPr>
        <w:t xml:space="preserve">perační program </w:t>
      </w:r>
      <w:r w:rsidR="00E8036B" w:rsidRPr="00435EF1">
        <w:rPr>
          <w:rFonts w:cstheme="minorHAnsi"/>
          <w:i/>
          <w:sz w:val="24"/>
          <w:szCs w:val="24"/>
        </w:rPr>
        <w:t>Doprava</w:t>
      </w:r>
      <w:r w:rsidR="00E8036B" w:rsidRPr="00892BA2">
        <w:rPr>
          <w:rFonts w:cstheme="minorHAnsi"/>
          <w:sz w:val="24"/>
          <w:szCs w:val="24"/>
        </w:rPr>
        <w:t xml:space="preserve"> (pro programové období 2014–2020)</w:t>
      </w:r>
    </w:p>
    <w:p w14:paraId="771C02BF" w14:textId="14D0B637" w:rsidR="00892BA2" w:rsidRPr="00892BA2" w:rsidRDefault="00E8036B" w:rsidP="0028146A">
      <w:pPr>
        <w:pStyle w:val="xl25"/>
        <w:spacing w:before="0" w:beforeAutospacing="0" w:after="0" w:afterAutospacing="0" w:line="264" w:lineRule="auto"/>
        <w:rPr>
          <w:rFonts w:asciiTheme="minorHAnsi" w:hAnsiTheme="minorHAnsi" w:cstheme="minorHAnsi"/>
          <w:b w:val="0"/>
          <w:bCs w:val="0"/>
          <w:iCs/>
        </w:rPr>
      </w:pPr>
      <w:r w:rsidRPr="00892BA2">
        <w:rPr>
          <w:rFonts w:asciiTheme="minorHAnsi" w:hAnsiTheme="minorHAnsi" w:cstheme="minorHAnsi"/>
          <w:b w:val="0"/>
          <w:bCs w:val="0"/>
          <w:iCs/>
        </w:rPr>
        <w:t>PSD</w:t>
      </w:r>
      <w:r w:rsidRPr="00892BA2">
        <w:rPr>
          <w:rFonts w:asciiTheme="minorHAnsi" w:hAnsiTheme="minorHAnsi" w:cstheme="minorHAnsi"/>
          <w:b w:val="0"/>
          <w:bCs w:val="0"/>
          <w:iCs/>
        </w:rPr>
        <w:tab/>
      </w:r>
      <w:r w:rsidR="00A90165">
        <w:rPr>
          <w:rFonts w:asciiTheme="minorHAnsi" w:hAnsiTheme="minorHAnsi" w:cstheme="minorHAnsi"/>
          <w:b w:val="0"/>
          <w:bCs w:val="0"/>
          <w:iCs/>
        </w:rPr>
        <w:t xml:space="preserve">projekt </w:t>
      </w:r>
      <w:r w:rsidRPr="00435EF1">
        <w:rPr>
          <w:rFonts w:asciiTheme="minorHAnsi" w:hAnsiTheme="minorHAnsi" w:cstheme="minorHAnsi"/>
          <w:b w:val="0"/>
          <w:bCs w:val="0"/>
          <w:i/>
          <w:iCs/>
        </w:rPr>
        <w:t>Plavební stupeň Děčín</w:t>
      </w:r>
    </w:p>
    <w:p w14:paraId="08A25852" w14:textId="5D2BEC62" w:rsidR="00892BA2" w:rsidRPr="00892BA2" w:rsidRDefault="00E8036B" w:rsidP="0028146A">
      <w:pPr>
        <w:pStyle w:val="xl25"/>
        <w:spacing w:before="0" w:beforeAutospacing="0" w:after="0" w:afterAutospacing="0" w:line="264" w:lineRule="auto"/>
        <w:rPr>
          <w:rFonts w:asciiTheme="minorHAnsi" w:hAnsiTheme="minorHAnsi" w:cstheme="minorHAnsi"/>
          <w:b w:val="0"/>
          <w:bCs w:val="0"/>
          <w:iCs/>
        </w:rPr>
      </w:pPr>
      <w:r w:rsidRPr="00892BA2">
        <w:rPr>
          <w:rFonts w:asciiTheme="minorHAnsi" w:hAnsiTheme="minorHAnsi" w:cstheme="minorHAnsi"/>
          <w:b w:val="0"/>
          <w:bCs w:val="0"/>
          <w:iCs/>
        </w:rPr>
        <w:t>PSP</w:t>
      </w:r>
      <w:r w:rsidRPr="00892BA2">
        <w:rPr>
          <w:rFonts w:asciiTheme="minorHAnsi" w:hAnsiTheme="minorHAnsi" w:cstheme="minorHAnsi"/>
          <w:b w:val="0"/>
          <w:bCs w:val="0"/>
          <w:iCs/>
        </w:rPr>
        <w:tab/>
      </w:r>
      <w:r w:rsidR="00A90165">
        <w:rPr>
          <w:rFonts w:asciiTheme="minorHAnsi" w:hAnsiTheme="minorHAnsi" w:cstheme="minorHAnsi"/>
          <w:b w:val="0"/>
          <w:bCs w:val="0"/>
          <w:iCs/>
        </w:rPr>
        <w:t xml:space="preserve">projekt </w:t>
      </w:r>
      <w:r w:rsidRPr="00435EF1">
        <w:rPr>
          <w:rFonts w:asciiTheme="minorHAnsi" w:hAnsiTheme="minorHAnsi" w:cstheme="minorHAnsi"/>
          <w:b w:val="0"/>
          <w:bCs w:val="0"/>
          <w:i/>
          <w:iCs/>
        </w:rPr>
        <w:t>Plavební stupeň Přelouč II</w:t>
      </w:r>
    </w:p>
    <w:p w14:paraId="5722E9E0" w14:textId="77777777" w:rsidR="00892BA2" w:rsidRPr="00892BA2" w:rsidRDefault="00E8036B" w:rsidP="0028146A">
      <w:pPr>
        <w:pStyle w:val="xl25"/>
        <w:spacing w:before="0" w:beforeAutospacing="0" w:after="0" w:afterAutospacing="0" w:line="264" w:lineRule="auto"/>
        <w:rPr>
          <w:rFonts w:asciiTheme="minorHAnsi" w:hAnsiTheme="minorHAnsi" w:cstheme="minorHAnsi"/>
          <w:b w:val="0"/>
          <w:bCs w:val="0"/>
          <w:iCs/>
        </w:rPr>
      </w:pPr>
      <w:r w:rsidRPr="00892BA2">
        <w:rPr>
          <w:rFonts w:asciiTheme="minorHAnsi" w:hAnsiTheme="minorHAnsi" w:cstheme="minorHAnsi"/>
          <w:b w:val="0"/>
          <w:bCs w:val="0"/>
          <w:iCs/>
        </w:rPr>
        <w:t>ŘVC</w:t>
      </w:r>
      <w:r w:rsidRPr="00892BA2">
        <w:rPr>
          <w:rFonts w:asciiTheme="minorHAnsi" w:hAnsiTheme="minorHAnsi" w:cstheme="minorHAnsi"/>
          <w:b w:val="0"/>
          <w:bCs w:val="0"/>
          <w:iCs/>
        </w:rPr>
        <w:tab/>
        <w:t>Ředitelství vodních cest ČR</w:t>
      </w:r>
    </w:p>
    <w:p w14:paraId="71731708" w14:textId="43E39156" w:rsidR="001F7955" w:rsidRDefault="001F7955" w:rsidP="0028146A">
      <w:pPr>
        <w:pStyle w:val="xl25"/>
        <w:spacing w:before="0" w:beforeAutospacing="0" w:after="0" w:afterAutospacing="0" w:line="264" w:lineRule="auto"/>
        <w:rPr>
          <w:rFonts w:asciiTheme="minorHAnsi" w:hAnsiTheme="minorHAnsi" w:cstheme="minorHAnsi"/>
          <w:b w:val="0"/>
          <w:bCs w:val="0"/>
          <w:iCs/>
        </w:rPr>
      </w:pPr>
      <w:r>
        <w:rPr>
          <w:rFonts w:asciiTheme="minorHAnsi" w:hAnsiTheme="minorHAnsi" w:cstheme="minorHAnsi"/>
          <w:b w:val="0"/>
          <w:bCs w:val="0"/>
          <w:iCs/>
        </w:rPr>
        <w:t>SEA</w:t>
      </w:r>
      <w:r>
        <w:rPr>
          <w:rFonts w:asciiTheme="minorHAnsi" w:hAnsiTheme="minorHAnsi" w:cstheme="minorHAnsi"/>
          <w:b w:val="0"/>
          <w:bCs w:val="0"/>
          <w:iCs/>
        </w:rPr>
        <w:tab/>
      </w:r>
      <w:r w:rsidR="00A90165">
        <w:rPr>
          <w:rFonts w:asciiTheme="minorHAnsi" w:hAnsiTheme="minorHAnsi" w:cstheme="minorHAnsi"/>
          <w:b w:val="0"/>
          <w:bCs w:val="0"/>
          <w:iCs/>
        </w:rPr>
        <w:t>p</w:t>
      </w:r>
      <w:r w:rsidRPr="001F7955">
        <w:rPr>
          <w:rFonts w:asciiTheme="minorHAnsi" w:hAnsiTheme="minorHAnsi" w:cstheme="minorHAnsi"/>
          <w:b w:val="0"/>
          <w:bCs w:val="0"/>
          <w:iCs/>
        </w:rPr>
        <w:t>osouzení vlivu koncep</w:t>
      </w:r>
      <w:r>
        <w:rPr>
          <w:rFonts w:asciiTheme="minorHAnsi" w:hAnsiTheme="minorHAnsi" w:cstheme="minorHAnsi"/>
          <w:b w:val="0"/>
          <w:bCs w:val="0"/>
          <w:iCs/>
        </w:rPr>
        <w:t>ce</w:t>
      </w:r>
      <w:r w:rsidRPr="001F7955">
        <w:rPr>
          <w:rFonts w:asciiTheme="minorHAnsi" w:hAnsiTheme="minorHAnsi" w:cstheme="minorHAnsi"/>
          <w:b w:val="0"/>
          <w:bCs w:val="0"/>
          <w:iCs/>
        </w:rPr>
        <w:t xml:space="preserve"> na životní prostředí</w:t>
      </w:r>
    </w:p>
    <w:p w14:paraId="674773E2" w14:textId="77777777" w:rsidR="00892BA2" w:rsidRPr="00892BA2" w:rsidRDefault="00E8036B" w:rsidP="0028146A">
      <w:pPr>
        <w:pStyle w:val="xl25"/>
        <w:spacing w:before="0" w:beforeAutospacing="0" w:after="0" w:afterAutospacing="0" w:line="264" w:lineRule="auto"/>
        <w:rPr>
          <w:rFonts w:asciiTheme="minorHAnsi" w:hAnsiTheme="minorHAnsi" w:cstheme="minorHAnsi"/>
          <w:b w:val="0"/>
          <w:bCs w:val="0"/>
          <w:iCs/>
        </w:rPr>
      </w:pPr>
      <w:r w:rsidRPr="00892BA2">
        <w:rPr>
          <w:rFonts w:asciiTheme="minorHAnsi" w:hAnsiTheme="minorHAnsi" w:cstheme="minorHAnsi"/>
          <w:b w:val="0"/>
          <w:bCs w:val="0"/>
          <w:iCs/>
        </w:rPr>
        <w:t>SFDI</w:t>
      </w:r>
      <w:r w:rsidRPr="00892BA2">
        <w:rPr>
          <w:rFonts w:asciiTheme="minorHAnsi" w:hAnsiTheme="minorHAnsi" w:cstheme="minorHAnsi"/>
          <w:b w:val="0"/>
          <w:bCs w:val="0"/>
          <w:iCs/>
        </w:rPr>
        <w:tab/>
        <w:t>Státní fond dopravní infrastruktury</w:t>
      </w:r>
    </w:p>
    <w:p w14:paraId="3B35872F" w14:textId="77777777" w:rsidR="002A72A6" w:rsidRDefault="002A72A6" w:rsidP="00892BA2">
      <w:pPr>
        <w:spacing w:after="0" w:line="252" w:lineRule="auto"/>
        <w:contextualSpacing/>
        <w:jc w:val="both"/>
        <w:rPr>
          <w:rFonts w:cstheme="minorHAnsi"/>
          <w:sz w:val="24"/>
          <w:szCs w:val="24"/>
        </w:rPr>
      </w:pPr>
    </w:p>
    <w:p w14:paraId="0F8FE700" w14:textId="77777777" w:rsidR="00435BB4" w:rsidRDefault="00435BB4" w:rsidP="00892BA2">
      <w:pPr>
        <w:spacing w:after="0" w:line="252" w:lineRule="auto"/>
        <w:contextualSpacing/>
        <w:jc w:val="both"/>
        <w:rPr>
          <w:rFonts w:cstheme="minorHAnsi"/>
          <w:sz w:val="24"/>
          <w:szCs w:val="24"/>
        </w:rPr>
      </w:pPr>
    </w:p>
    <w:p w14:paraId="1E9DA512" w14:textId="77777777" w:rsidR="00BD1954" w:rsidRDefault="00BD1954">
      <w:pPr>
        <w:rPr>
          <w:rFonts w:cstheme="minorHAnsi"/>
          <w:b/>
          <w:sz w:val="24"/>
          <w:szCs w:val="24"/>
        </w:rPr>
      </w:pPr>
      <w:r>
        <w:rPr>
          <w:rFonts w:cstheme="minorHAnsi"/>
          <w:b/>
          <w:sz w:val="24"/>
          <w:szCs w:val="24"/>
        </w:rPr>
        <w:br w:type="page"/>
      </w:r>
    </w:p>
    <w:p w14:paraId="20D2749D" w14:textId="77777777" w:rsidR="00435BB4" w:rsidRPr="00897D25" w:rsidRDefault="00435BB4" w:rsidP="00435BB4">
      <w:pPr>
        <w:spacing w:after="0" w:line="252" w:lineRule="auto"/>
        <w:contextualSpacing/>
        <w:jc w:val="right"/>
        <w:rPr>
          <w:rFonts w:cstheme="minorHAnsi"/>
          <w:b/>
          <w:sz w:val="24"/>
          <w:szCs w:val="24"/>
        </w:rPr>
      </w:pPr>
      <w:r w:rsidRPr="00897D25">
        <w:rPr>
          <w:rFonts w:cstheme="minorHAnsi"/>
          <w:b/>
          <w:sz w:val="24"/>
          <w:szCs w:val="24"/>
        </w:rPr>
        <w:lastRenderedPageBreak/>
        <w:t>Příloha č. 1</w:t>
      </w:r>
    </w:p>
    <w:p w14:paraId="44D0730B" w14:textId="77777777" w:rsidR="00435BB4" w:rsidRPr="00897D25" w:rsidRDefault="00435BB4" w:rsidP="00435BB4">
      <w:pPr>
        <w:spacing w:after="0" w:line="240" w:lineRule="auto"/>
        <w:contextualSpacing/>
        <w:rPr>
          <w:rFonts w:cstheme="minorHAnsi"/>
          <w:sz w:val="24"/>
          <w:szCs w:val="24"/>
        </w:rPr>
      </w:pPr>
    </w:p>
    <w:p w14:paraId="0BDA35D4" w14:textId="77777777" w:rsidR="00435BB4" w:rsidRPr="00897D25" w:rsidRDefault="00435BB4" w:rsidP="00435BB4">
      <w:pPr>
        <w:spacing w:after="0" w:line="240" w:lineRule="auto"/>
        <w:contextualSpacing/>
        <w:rPr>
          <w:rFonts w:cstheme="minorHAnsi"/>
          <w:b/>
          <w:sz w:val="24"/>
          <w:szCs w:val="24"/>
        </w:rPr>
      </w:pPr>
      <w:r w:rsidRPr="00897D25">
        <w:rPr>
          <w:rFonts w:cstheme="minorHAnsi"/>
          <w:b/>
          <w:sz w:val="24"/>
          <w:szCs w:val="24"/>
        </w:rPr>
        <w:t>Investiční náklady staveb na labsko-vltavské vodní cestě (v mil. Kč)</w:t>
      </w:r>
    </w:p>
    <w:p w14:paraId="4D4FCEC5" w14:textId="77777777" w:rsidR="00435BB4" w:rsidRPr="00897D25" w:rsidRDefault="00435BB4" w:rsidP="00435BB4">
      <w:pPr>
        <w:spacing w:after="0" w:line="240" w:lineRule="auto"/>
        <w:contextualSpacing/>
        <w:rPr>
          <w:rFonts w:cstheme="minorHAnsi"/>
          <w:b/>
          <w:sz w:val="24"/>
          <w:szCs w:val="24"/>
        </w:rPr>
      </w:pPr>
    </w:p>
    <w:p w14:paraId="09BC43B8" w14:textId="77777777" w:rsidR="00435BB4" w:rsidRPr="00897D25" w:rsidRDefault="00435BB4" w:rsidP="00435BB4">
      <w:pPr>
        <w:spacing w:after="0" w:line="240" w:lineRule="auto"/>
        <w:contextualSpacing/>
        <w:rPr>
          <w:rFonts w:cstheme="minorHAnsi"/>
          <w:b/>
          <w:sz w:val="8"/>
          <w:szCs w:val="8"/>
        </w:rPr>
      </w:pPr>
    </w:p>
    <w:tbl>
      <w:tblPr>
        <w:tblStyle w:val="Mkatabulky"/>
        <w:tblW w:w="9209" w:type="dxa"/>
        <w:tblLook w:val="04A0" w:firstRow="1" w:lastRow="0" w:firstColumn="1" w:lastColumn="0" w:noHBand="0" w:noVBand="1"/>
      </w:tblPr>
      <w:tblGrid>
        <w:gridCol w:w="3539"/>
        <w:gridCol w:w="1984"/>
        <w:gridCol w:w="1843"/>
        <w:gridCol w:w="1843"/>
      </w:tblGrid>
      <w:tr w:rsidR="00435BB4" w:rsidRPr="00BD1954" w14:paraId="37882EB2" w14:textId="77777777" w:rsidTr="00BD1954">
        <w:tc>
          <w:tcPr>
            <w:tcW w:w="3539" w:type="dxa"/>
            <w:shd w:val="clear" w:color="auto" w:fill="auto"/>
          </w:tcPr>
          <w:p w14:paraId="167EAFC1" w14:textId="77777777" w:rsidR="00435BB4" w:rsidRPr="00BD1954" w:rsidRDefault="00435BB4" w:rsidP="00BD1954">
            <w:pPr>
              <w:spacing w:line="264" w:lineRule="auto"/>
              <w:contextualSpacing/>
              <w:rPr>
                <w:rFonts w:ascii="Calibri" w:hAnsi="Calibri" w:cs="Calibri"/>
                <w:sz w:val="20"/>
                <w:szCs w:val="20"/>
              </w:rPr>
            </w:pPr>
          </w:p>
        </w:tc>
        <w:tc>
          <w:tcPr>
            <w:tcW w:w="1984" w:type="dxa"/>
            <w:shd w:val="clear" w:color="auto" w:fill="auto"/>
            <w:vAlign w:val="center"/>
          </w:tcPr>
          <w:p w14:paraId="152944A6" w14:textId="77777777" w:rsidR="00435BB4" w:rsidRPr="00435EF1" w:rsidRDefault="00435BB4" w:rsidP="00BD1954">
            <w:pPr>
              <w:spacing w:line="264" w:lineRule="auto"/>
              <w:contextualSpacing/>
              <w:jc w:val="center"/>
              <w:rPr>
                <w:rFonts w:ascii="Calibri" w:hAnsi="Calibri" w:cs="Calibri"/>
                <w:b/>
                <w:sz w:val="20"/>
                <w:szCs w:val="20"/>
              </w:rPr>
            </w:pPr>
            <w:r w:rsidRPr="00435EF1">
              <w:rPr>
                <w:rFonts w:ascii="Calibri" w:hAnsi="Calibri" w:cs="Calibri"/>
                <w:b/>
                <w:sz w:val="20"/>
                <w:szCs w:val="20"/>
              </w:rPr>
              <w:t>Komplexní vyhodnocení</w:t>
            </w:r>
            <w:r w:rsidR="00BD1954" w:rsidRPr="00435EF1">
              <w:rPr>
                <w:rFonts w:ascii="Calibri" w:hAnsi="Calibri" w:cs="Calibri"/>
                <w:b/>
                <w:sz w:val="20"/>
                <w:szCs w:val="20"/>
              </w:rPr>
              <w:t xml:space="preserve"> </w:t>
            </w:r>
          </w:p>
          <w:p w14:paraId="6B3B5D5C" w14:textId="77777777" w:rsidR="00435BB4" w:rsidRPr="00435EF1" w:rsidRDefault="00435BB4" w:rsidP="00BD1954">
            <w:pPr>
              <w:spacing w:line="264" w:lineRule="auto"/>
              <w:contextualSpacing/>
              <w:jc w:val="center"/>
              <w:rPr>
                <w:rFonts w:ascii="Calibri" w:hAnsi="Calibri" w:cs="Calibri"/>
                <w:b/>
                <w:sz w:val="20"/>
                <w:szCs w:val="20"/>
              </w:rPr>
            </w:pPr>
            <w:r w:rsidRPr="00435EF1">
              <w:rPr>
                <w:rFonts w:ascii="Calibri" w:hAnsi="Calibri" w:cs="Calibri"/>
                <w:b/>
                <w:sz w:val="20"/>
                <w:szCs w:val="20"/>
              </w:rPr>
              <w:t>(únor 2016)</w:t>
            </w:r>
          </w:p>
        </w:tc>
        <w:tc>
          <w:tcPr>
            <w:tcW w:w="1843" w:type="dxa"/>
            <w:shd w:val="clear" w:color="auto" w:fill="auto"/>
            <w:vAlign w:val="center"/>
          </w:tcPr>
          <w:p w14:paraId="5F797015" w14:textId="77777777" w:rsidR="00435BB4" w:rsidRPr="00435EF1" w:rsidRDefault="00435BB4" w:rsidP="00BD1954">
            <w:pPr>
              <w:spacing w:line="264" w:lineRule="auto"/>
              <w:contextualSpacing/>
              <w:jc w:val="center"/>
              <w:rPr>
                <w:rFonts w:ascii="Calibri" w:hAnsi="Calibri" w:cs="Calibri"/>
                <w:b/>
                <w:sz w:val="20"/>
                <w:szCs w:val="20"/>
              </w:rPr>
            </w:pPr>
            <w:r w:rsidRPr="00435EF1">
              <w:rPr>
                <w:rFonts w:ascii="Calibri" w:hAnsi="Calibri" w:cs="Calibri"/>
                <w:b/>
                <w:sz w:val="20"/>
                <w:szCs w:val="20"/>
              </w:rPr>
              <w:t>Koncepce vodní dopravy</w:t>
            </w:r>
            <w:r w:rsidR="00BD1954" w:rsidRPr="00435EF1">
              <w:rPr>
                <w:rFonts w:ascii="Calibri" w:hAnsi="Calibri" w:cs="Calibri"/>
                <w:b/>
                <w:sz w:val="20"/>
                <w:szCs w:val="20"/>
              </w:rPr>
              <w:t xml:space="preserve"> </w:t>
            </w:r>
          </w:p>
          <w:p w14:paraId="50CDB191" w14:textId="77777777" w:rsidR="00435BB4" w:rsidRPr="00435EF1" w:rsidRDefault="00435BB4" w:rsidP="00BD1954">
            <w:pPr>
              <w:spacing w:line="264" w:lineRule="auto"/>
              <w:contextualSpacing/>
              <w:jc w:val="center"/>
              <w:rPr>
                <w:rFonts w:ascii="Calibri" w:hAnsi="Calibri" w:cs="Calibri"/>
                <w:b/>
                <w:sz w:val="20"/>
                <w:szCs w:val="20"/>
              </w:rPr>
            </w:pPr>
            <w:r w:rsidRPr="00435EF1">
              <w:rPr>
                <w:rFonts w:ascii="Calibri" w:hAnsi="Calibri" w:cs="Calibri"/>
                <w:b/>
                <w:sz w:val="20"/>
                <w:szCs w:val="20"/>
              </w:rPr>
              <w:t>(srpen 2016)</w:t>
            </w:r>
          </w:p>
        </w:tc>
        <w:tc>
          <w:tcPr>
            <w:tcW w:w="1843" w:type="dxa"/>
            <w:shd w:val="clear" w:color="auto" w:fill="auto"/>
            <w:vAlign w:val="center"/>
          </w:tcPr>
          <w:p w14:paraId="7E21DCA4" w14:textId="77777777" w:rsidR="00435BB4" w:rsidRPr="00435EF1" w:rsidRDefault="00435BB4" w:rsidP="00BD1954">
            <w:pPr>
              <w:spacing w:line="264" w:lineRule="auto"/>
              <w:contextualSpacing/>
              <w:jc w:val="center"/>
              <w:rPr>
                <w:rFonts w:ascii="Calibri" w:hAnsi="Calibri" w:cs="Calibri"/>
                <w:b/>
                <w:sz w:val="20"/>
                <w:szCs w:val="20"/>
              </w:rPr>
            </w:pPr>
            <w:r w:rsidRPr="00435EF1">
              <w:rPr>
                <w:rFonts w:ascii="Calibri" w:hAnsi="Calibri" w:cs="Calibri"/>
                <w:b/>
                <w:sz w:val="20"/>
                <w:szCs w:val="20"/>
              </w:rPr>
              <w:t>Dopravní sektorové strategie, 2. fáze</w:t>
            </w:r>
            <w:r w:rsidR="00BD1954" w:rsidRPr="00435EF1">
              <w:rPr>
                <w:rFonts w:ascii="Calibri" w:hAnsi="Calibri" w:cs="Calibri"/>
                <w:b/>
                <w:sz w:val="20"/>
                <w:szCs w:val="20"/>
              </w:rPr>
              <w:t xml:space="preserve"> </w:t>
            </w:r>
          </w:p>
          <w:p w14:paraId="741A7F07" w14:textId="77777777" w:rsidR="00435BB4" w:rsidRPr="00435EF1" w:rsidRDefault="00435BB4" w:rsidP="00BD1954">
            <w:pPr>
              <w:spacing w:line="264" w:lineRule="auto"/>
              <w:contextualSpacing/>
              <w:jc w:val="center"/>
              <w:rPr>
                <w:rFonts w:ascii="Calibri" w:hAnsi="Calibri" w:cs="Calibri"/>
                <w:b/>
                <w:sz w:val="20"/>
                <w:szCs w:val="20"/>
              </w:rPr>
            </w:pPr>
            <w:r w:rsidRPr="00435EF1">
              <w:rPr>
                <w:rFonts w:ascii="Calibri" w:hAnsi="Calibri" w:cs="Calibri"/>
                <w:b/>
                <w:sz w:val="20"/>
                <w:szCs w:val="20"/>
              </w:rPr>
              <w:t>(srpen 2013)</w:t>
            </w:r>
          </w:p>
        </w:tc>
      </w:tr>
      <w:tr w:rsidR="00435BB4" w:rsidRPr="00BD1954" w14:paraId="4DAC223D" w14:textId="77777777" w:rsidTr="00BD1954">
        <w:tc>
          <w:tcPr>
            <w:tcW w:w="9209" w:type="dxa"/>
            <w:gridSpan w:val="4"/>
            <w:vAlign w:val="center"/>
          </w:tcPr>
          <w:p w14:paraId="7E7445F1" w14:textId="77777777" w:rsidR="00435BB4" w:rsidRPr="00BD1954" w:rsidRDefault="00435BB4" w:rsidP="00BD1954">
            <w:pPr>
              <w:spacing w:line="264" w:lineRule="auto"/>
              <w:contextualSpacing/>
              <w:rPr>
                <w:rFonts w:ascii="Calibri" w:hAnsi="Calibri" w:cs="Calibri"/>
                <w:b/>
                <w:sz w:val="20"/>
                <w:szCs w:val="20"/>
              </w:rPr>
            </w:pPr>
            <w:r w:rsidRPr="00BD1954">
              <w:rPr>
                <w:rFonts w:ascii="Calibri" w:hAnsi="Calibri" w:cs="Calibri"/>
                <w:b/>
                <w:sz w:val="20"/>
                <w:szCs w:val="20"/>
              </w:rPr>
              <w:t>Labe</w:t>
            </w:r>
          </w:p>
        </w:tc>
      </w:tr>
      <w:tr w:rsidR="00435BB4" w:rsidRPr="00BD1954" w14:paraId="4591544E" w14:textId="77777777" w:rsidTr="00BD1954">
        <w:tc>
          <w:tcPr>
            <w:tcW w:w="3539" w:type="dxa"/>
            <w:vAlign w:val="center"/>
          </w:tcPr>
          <w:p w14:paraId="5FAA6962"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Plavební stupeň Děčín</w:t>
            </w:r>
          </w:p>
        </w:tc>
        <w:tc>
          <w:tcPr>
            <w:tcW w:w="1984" w:type="dxa"/>
            <w:vAlign w:val="center"/>
          </w:tcPr>
          <w:p w14:paraId="2799ABAC"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3 734,8</w:t>
            </w:r>
          </w:p>
        </w:tc>
        <w:tc>
          <w:tcPr>
            <w:tcW w:w="1843" w:type="dxa"/>
            <w:vAlign w:val="center"/>
          </w:tcPr>
          <w:p w14:paraId="4D5B9B82"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5 150,0</w:t>
            </w:r>
          </w:p>
        </w:tc>
        <w:tc>
          <w:tcPr>
            <w:tcW w:w="1843" w:type="dxa"/>
            <w:vAlign w:val="center"/>
          </w:tcPr>
          <w:p w14:paraId="4E69A2A4"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4 189,0</w:t>
            </w:r>
          </w:p>
        </w:tc>
      </w:tr>
      <w:tr w:rsidR="00435BB4" w:rsidRPr="00BD1954" w14:paraId="3E0304DD" w14:textId="77777777" w:rsidTr="00BD1954">
        <w:tc>
          <w:tcPr>
            <w:tcW w:w="3539" w:type="dxa"/>
            <w:vAlign w:val="center"/>
          </w:tcPr>
          <w:p w14:paraId="735C0F4C"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Plavební komora Brandýs n. L.</w:t>
            </w:r>
          </w:p>
        </w:tc>
        <w:tc>
          <w:tcPr>
            <w:tcW w:w="1984" w:type="dxa"/>
            <w:vAlign w:val="center"/>
          </w:tcPr>
          <w:p w14:paraId="2DC3C415"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68,3</w:t>
            </w:r>
          </w:p>
        </w:tc>
        <w:tc>
          <w:tcPr>
            <w:tcW w:w="1843" w:type="dxa"/>
            <w:vAlign w:val="center"/>
          </w:tcPr>
          <w:p w14:paraId="4A461BA4"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w:t>
            </w:r>
          </w:p>
        </w:tc>
        <w:tc>
          <w:tcPr>
            <w:tcW w:w="1843" w:type="dxa"/>
            <w:vAlign w:val="center"/>
          </w:tcPr>
          <w:p w14:paraId="7E9F3D63"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323,0</w:t>
            </w:r>
          </w:p>
        </w:tc>
      </w:tr>
      <w:tr w:rsidR="00435BB4" w:rsidRPr="00BD1954" w14:paraId="58BC7812" w14:textId="77777777" w:rsidTr="00BD1954">
        <w:tc>
          <w:tcPr>
            <w:tcW w:w="3539" w:type="dxa"/>
            <w:vAlign w:val="center"/>
          </w:tcPr>
          <w:p w14:paraId="14DE5C8B" w14:textId="0C4B5D32" w:rsidR="00435BB4" w:rsidRPr="00BD1954" w:rsidRDefault="00435BB4" w:rsidP="00014F37">
            <w:pPr>
              <w:spacing w:line="264" w:lineRule="auto"/>
              <w:contextualSpacing/>
              <w:rPr>
                <w:rFonts w:ascii="Calibri" w:hAnsi="Calibri" w:cs="Calibri"/>
                <w:sz w:val="20"/>
                <w:szCs w:val="20"/>
              </w:rPr>
            </w:pPr>
            <w:r w:rsidRPr="00BD1954">
              <w:rPr>
                <w:rFonts w:ascii="Calibri" w:hAnsi="Calibri" w:cs="Calibri"/>
                <w:sz w:val="20"/>
                <w:szCs w:val="20"/>
              </w:rPr>
              <w:t xml:space="preserve">Plavební komora Velký Osek </w:t>
            </w:r>
            <w:r w:rsidR="00014F37">
              <w:rPr>
                <w:rFonts w:ascii="Calibri" w:hAnsi="Calibri" w:cs="Calibri"/>
                <w:sz w:val="20"/>
                <w:szCs w:val="20"/>
              </w:rPr>
              <w:t>–</w:t>
            </w:r>
            <w:r w:rsidRPr="00BD1954">
              <w:rPr>
                <w:rFonts w:ascii="Calibri" w:hAnsi="Calibri" w:cs="Calibri"/>
                <w:sz w:val="20"/>
                <w:szCs w:val="20"/>
              </w:rPr>
              <w:t xml:space="preserve"> modernizace</w:t>
            </w:r>
          </w:p>
        </w:tc>
        <w:tc>
          <w:tcPr>
            <w:tcW w:w="1984" w:type="dxa"/>
            <w:vAlign w:val="center"/>
          </w:tcPr>
          <w:p w14:paraId="3190F433"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79,0</w:t>
            </w:r>
          </w:p>
        </w:tc>
        <w:tc>
          <w:tcPr>
            <w:tcW w:w="1843" w:type="dxa"/>
            <w:vAlign w:val="center"/>
          </w:tcPr>
          <w:p w14:paraId="20F508BE"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w:t>
            </w:r>
          </w:p>
        </w:tc>
        <w:tc>
          <w:tcPr>
            <w:tcW w:w="1843" w:type="dxa"/>
            <w:vAlign w:val="center"/>
          </w:tcPr>
          <w:p w14:paraId="735D2E0C"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92,0</w:t>
            </w:r>
          </w:p>
        </w:tc>
      </w:tr>
      <w:tr w:rsidR="00435BB4" w:rsidRPr="00BD1954" w14:paraId="3056D4C9" w14:textId="77777777" w:rsidTr="00BD1954">
        <w:tc>
          <w:tcPr>
            <w:tcW w:w="3539" w:type="dxa"/>
            <w:vAlign w:val="center"/>
          </w:tcPr>
          <w:p w14:paraId="5157322A"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Stabilizace podmínek v přístavu Chvaletice</w:t>
            </w:r>
          </w:p>
        </w:tc>
        <w:tc>
          <w:tcPr>
            <w:tcW w:w="1984" w:type="dxa"/>
            <w:vAlign w:val="center"/>
          </w:tcPr>
          <w:p w14:paraId="192C571E"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64,9</w:t>
            </w:r>
          </w:p>
        </w:tc>
        <w:tc>
          <w:tcPr>
            <w:tcW w:w="1843" w:type="dxa"/>
            <w:vAlign w:val="center"/>
          </w:tcPr>
          <w:p w14:paraId="5516D5EA"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88,0</w:t>
            </w:r>
          </w:p>
        </w:tc>
        <w:tc>
          <w:tcPr>
            <w:tcW w:w="1843" w:type="dxa"/>
            <w:vAlign w:val="center"/>
          </w:tcPr>
          <w:p w14:paraId="68195ECD"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88,0</w:t>
            </w:r>
          </w:p>
        </w:tc>
      </w:tr>
      <w:tr w:rsidR="00435BB4" w:rsidRPr="00BD1954" w14:paraId="5B2AA783" w14:textId="77777777" w:rsidTr="00BD1954">
        <w:tc>
          <w:tcPr>
            <w:tcW w:w="3539" w:type="dxa"/>
            <w:vAlign w:val="center"/>
          </w:tcPr>
          <w:p w14:paraId="0E2DF598"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Plavební stupeň Přelouč II</w:t>
            </w:r>
          </w:p>
        </w:tc>
        <w:tc>
          <w:tcPr>
            <w:tcW w:w="1984" w:type="dxa"/>
            <w:vAlign w:val="center"/>
          </w:tcPr>
          <w:p w14:paraId="14338224"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2 210,2</w:t>
            </w:r>
          </w:p>
        </w:tc>
        <w:tc>
          <w:tcPr>
            <w:tcW w:w="1843" w:type="dxa"/>
            <w:vAlign w:val="center"/>
          </w:tcPr>
          <w:p w14:paraId="17146237"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3 063,0</w:t>
            </w:r>
          </w:p>
        </w:tc>
        <w:tc>
          <w:tcPr>
            <w:tcW w:w="1843" w:type="dxa"/>
            <w:vAlign w:val="center"/>
          </w:tcPr>
          <w:p w14:paraId="0408A83C"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3 063,0</w:t>
            </w:r>
          </w:p>
        </w:tc>
      </w:tr>
      <w:tr w:rsidR="00435BB4" w:rsidRPr="00BD1954" w14:paraId="50E3D1EE" w14:textId="77777777" w:rsidTr="00BD1954">
        <w:tc>
          <w:tcPr>
            <w:tcW w:w="3539" w:type="dxa"/>
            <w:vAlign w:val="center"/>
          </w:tcPr>
          <w:p w14:paraId="0E6942C1"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Most Valy – Mělice</w:t>
            </w:r>
          </w:p>
        </w:tc>
        <w:tc>
          <w:tcPr>
            <w:tcW w:w="1984" w:type="dxa"/>
            <w:vAlign w:val="center"/>
          </w:tcPr>
          <w:p w14:paraId="7732AABF"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177,1</w:t>
            </w:r>
          </w:p>
        </w:tc>
        <w:tc>
          <w:tcPr>
            <w:tcW w:w="1843" w:type="dxa"/>
            <w:vAlign w:val="center"/>
          </w:tcPr>
          <w:p w14:paraId="6DCD49E9"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223,0</w:t>
            </w:r>
          </w:p>
        </w:tc>
        <w:tc>
          <w:tcPr>
            <w:tcW w:w="1843" w:type="dxa"/>
            <w:vAlign w:val="center"/>
          </w:tcPr>
          <w:p w14:paraId="77995877"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214,0</w:t>
            </w:r>
          </w:p>
        </w:tc>
      </w:tr>
      <w:tr w:rsidR="00435BB4" w:rsidRPr="00BD1954" w14:paraId="5A292E85" w14:textId="77777777" w:rsidTr="00BD1954">
        <w:tc>
          <w:tcPr>
            <w:tcW w:w="3539" w:type="dxa"/>
            <w:vAlign w:val="center"/>
          </w:tcPr>
          <w:p w14:paraId="4EF96550"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Modernizace plavebního stupně Srnojedy</w:t>
            </w:r>
          </w:p>
        </w:tc>
        <w:tc>
          <w:tcPr>
            <w:tcW w:w="1984" w:type="dxa"/>
            <w:vAlign w:val="center"/>
          </w:tcPr>
          <w:p w14:paraId="50B07D56"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315,6</w:t>
            </w:r>
          </w:p>
        </w:tc>
        <w:tc>
          <w:tcPr>
            <w:tcW w:w="1843" w:type="dxa"/>
            <w:vAlign w:val="center"/>
          </w:tcPr>
          <w:p w14:paraId="1DC52CD4"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418,0</w:t>
            </w:r>
          </w:p>
        </w:tc>
        <w:tc>
          <w:tcPr>
            <w:tcW w:w="1843" w:type="dxa"/>
            <w:vAlign w:val="center"/>
          </w:tcPr>
          <w:p w14:paraId="305579AA"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418,0</w:t>
            </w:r>
          </w:p>
        </w:tc>
      </w:tr>
      <w:tr w:rsidR="00435BB4" w:rsidRPr="00BD1954" w14:paraId="5B25FD19" w14:textId="77777777" w:rsidTr="00BD1954">
        <w:tc>
          <w:tcPr>
            <w:tcW w:w="3539" w:type="dxa"/>
            <w:vAlign w:val="center"/>
          </w:tcPr>
          <w:p w14:paraId="78EA9442"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Přístav Pardubice</w:t>
            </w:r>
          </w:p>
        </w:tc>
        <w:tc>
          <w:tcPr>
            <w:tcW w:w="1984" w:type="dxa"/>
            <w:vAlign w:val="center"/>
          </w:tcPr>
          <w:p w14:paraId="5A46900D"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171,1</w:t>
            </w:r>
          </w:p>
        </w:tc>
        <w:tc>
          <w:tcPr>
            <w:tcW w:w="1843" w:type="dxa"/>
            <w:vAlign w:val="center"/>
          </w:tcPr>
          <w:p w14:paraId="60112819" w14:textId="77777777" w:rsidR="00435BB4" w:rsidRPr="00BD1954" w:rsidRDefault="00D42560"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224,0</w:t>
            </w:r>
          </w:p>
        </w:tc>
        <w:tc>
          <w:tcPr>
            <w:tcW w:w="1843" w:type="dxa"/>
            <w:vAlign w:val="center"/>
          </w:tcPr>
          <w:p w14:paraId="0D3C3E12"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224,0</w:t>
            </w:r>
          </w:p>
        </w:tc>
      </w:tr>
      <w:tr w:rsidR="00435BB4" w:rsidRPr="00BD1954" w14:paraId="0295FB61" w14:textId="77777777" w:rsidTr="00BD1954">
        <w:tc>
          <w:tcPr>
            <w:tcW w:w="3539" w:type="dxa"/>
            <w:vAlign w:val="center"/>
          </w:tcPr>
          <w:p w14:paraId="5B6B89A3"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 xml:space="preserve">Zvýšení překladních kapacit – přístav </w:t>
            </w:r>
            <w:proofErr w:type="spellStart"/>
            <w:r w:rsidRPr="00BD1954">
              <w:rPr>
                <w:rFonts w:ascii="Calibri" w:hAnsi="Calibri" w:cs="Calibri"/>
                <w:sz w:val="20"/>
                <w:szCs w:val="20"/>
              </w:rPr>
              <w:t>Rozbělesy</w:t>
            </w:r>
            <w:proofErr w:type="spellEnd"/>
          </w:p>
        </w:tc>
        <w:tc>
          <w:tcPr>
            <w:tcW w:w="1984" w:type="dxa"/>
            <w:vAlign w:val="center"/>
          </w:tcPr>
          <w:p w14:paraId="478C1F16"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24,0</w:t>
            </w:r>
          </w:p>
        </w:tc>
        <w:tc>
          <w:tcPr>
            <w:tcW w:w="1843" w:type="dxa"/>
            <w:vAlign w:val="center"/>
          </w:tcPr>
          <w:p w14:paraId="659165E8"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w:t>
            </w:r>
          </w:p>
        </w:tc>
        <w:tc>
          <w:tcPr>
            <w:tcW w:w="1843" w:type="dxa"/>
            <w:vAlign w:val="center"/>
          </w:tcPr>
          <w:p w14:paraId="15FF6A19"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w:t>
            </w:r>
          </w:p>
        </w:tc>
      </w:tr>
      <w:tr w:rsidR="00435BB4" w:rsidRPr="00BD1954" w14:paraId="64C52662" w14:textId="77777777" w:rsidTr="00BD1954">
        <w:tc>
          <w:tcPr>
            <w:tcW w:w="3539" w:type="dxa"/>
            <w:vAlign w:val="center"/>
          </w:tcPr>
          <w:p w14:paraId="4ED977DA"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 xml:space="preserve">Zvýšení překladních kapacit – přístav </w:t>
            </w:r>
            <w:proofErr w:type="spellStart"/>
            <w:r w:rsidRPr="00BD1954">
              <w:rPr>
                <w:rFonts w:ascii="Calibri" w:hAnsi="Calibri" w:cs="Calibri"/>
                <w:sz w:val="20"/>
                <w:szCs w:val="20"/>
              </w:rPr>
              <w:t>Vaňov</w:t>
            </w:r>
            <w:proofErr w:type="spellEnd"/>
          </w:p>
        </w:tc>
        <w:tc>
          <w:tcPr>
            <w:tcW w:w="1984" w:type="dxa"/>
            <w:vAlign w:val="center"/>
          </w:tcPr>
          <w:p w14:paraId="07D7C835"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48,0</w:t>
            </w:r>
          </w:p>
        </w:tc>
        <w:tc>
          <w:tcPr>
            <w:tcW w:w="1843" w:type="dxa"/>
            <w:vAlign w:val="center"/>
          </w:tcPr>
          <w:p w14:paraId="7C2853D8"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w:t>
            </w:r>
          </w:p>
        </w:tc>
        <w:tc>
          <w:tcPr>
            <w:tcW w:w="1843" w:type="dxa"/>
            <w:vAlign w:val="center"/>
          </w:tcPr>
          <w:p w14:paraId="32258752"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w:t>
            </w:r>
          </w:p>
        </w:tc>
      </w:tr>
      <w:tr w:rsidR="00435BB4" w:rsidRPr="00BD1954" w14:paraId="5AEA063C" w14:textId="77777777" w:rsidTr="00BD1954">
        <w:tc>
          <w:tcPr>
            <w:tcW w:w="3539" w:type="dxa"/>
            <w:vAlign w:val="center"/>
          </w:tcPr>
          <w:p w14:paraId="7A5E7662" w14:textId="77777777" w:rsidR="00435BB4" w:rsidRPr="00BD1954" w:rsidRDefault="00435BB4" w:rsidP="00BD1954">
            <w:pPr>
              <w:spacing w:line="264" w:lineRule="auto"/>
              <w:contextualSpacing/>
              <w:rPr>
                <w:rFonts w:ascii="Calibri" w:hAnsi="Calibri" w:cs="Calibri"/>
                <w:b/>
                <w:sz w:val="20"/>
                <w:szCs w:val="20"/>
              </w:rPr>
            </w:pPr>
            <w:r w:rsidRPr="00BD1954">
              <w:rPr>
                <w:rFonts w:ascii="Calibri" w:hAnsi="Calibri" w:cs="Calibri"/>
                <w:b/>
                <w:sz w:val="20"/>
                <w:szCs w:val="20"/>
              </w:rPr>
              <w:t>Labe celkem</w:t>
            </w:r>
          </w:p>
        </w:tc>
        <w:tc>
          <w:tcPr>
            <w:tcW w:w="1984" w:type="dxa"/>
            <w:vAlign w:val="center"/>
          </w:tcPr>
          <w:p w14:paraId="14F08650" w14:textId="77777777" w:rsidR="00435BB4" w:rsidRPr="00BD1954" w:rsidRDefault="00435BB4" w:rsidP="00BD1954">
            <w:pPr>
              <w:spacing w:line="264" w:lineRule="auto"/>
              <w:ind w:right="175"/>
              <w:contextualSpacing/>
              <w:jc w:val="right"/>
              <w:rPr>
                <w:rFonts w:ascii="Calibri" w:hAnsi="Calibri" w:cs="Calibri"/>
                <w:b/>
                <w:sz w:val="20"/>
                <w:szCs w:val="20"/>
              </w:rPr>
            </w:pPr>
            <w:r w:rsidRPr="00BD1954">
              <w:rPr>
                <w:rFonts w:ascii="Calibri" w:hAnsi="Calibri" w:cs="Calibri"/>
                <w:b/>
                <w:sz w:val="20"/>
                <w:szCs w:val="20"/>
              </w:rPr>
              <w:t>6 893,0</w:t>
            </w:r>
          </w:p>
        </w:tc>
        <w:tc>
          <w:tcPr>
            <w:tcW w:w="1843" w:type="dxa"/>
            <w:vAlign w:val="center"/>
          </w:tcPr>
          <w:p w14:paraId="6A5D7683" w14:textId="77777777" w:rsidR="00435BB4" w:rsidRPr="00BD1954" w:rsidRDefault="00435BB4" w:rsidP="00BD1954">
            <w:pPr>
              <w:spacing w:line="264" w:lineRule="auto"/>
              <w:ind w:right="175"/>
              <w:jc w:val="right"/>
              <w:rPr>
                <w:rFonts w:ascii="Calibri" w:hAnsi="Calibri" w:cs="Calibri"/>
                <w:b/>
                <w:color w:val="000000"/>
                <w:sz w:val="20"/>
                <w:szCs w:val="20"/>
              </w:rPr>
            </w:pPr>
            <w:r w:rsidRPr="00BD1954">
              <w:rPr>
                <w:rFonts w:ascii="Calibri" w:hAnsi="Calibri" w:cs="Calibri"/>
                <w:b/>
                <w:color w:val="000000"/>
                <w:sz w:val="20"/>
                <w:szCs w:val="20"/>
              </w:rPr>
              <w:t>9 166,0</w:t>
            </w:r>
          </w:p>
        </w:tc>
        <w:tc>
          <w:tcPr>
            <w:tcW w:w="1843" w:type="dxa"/>
            <w:vAlign w:val="center"/>
          </w:tcPr>
          <w:p w14:paraId="1E987C6C" w14:textId="77777777" w:rsidR="00435BB4" w:rsidRPr="00BD1954" w:rsidRDefault="00435BB4" w:rsidP="00BD1954">
            <w:pPr>
              <w:spacing w:line="264" w:lineRule="auto"/>
              <w:ind w:right="175"/>
              <w:jc w:val="right"/>
              <w:rPr>
                <w:rFonts w:ascii="Calibri" w:hAnsi="Calibri" w:cs="Calibri"/>
                <w:b/>
                <w:color w:val="000000"/>
                <w:sz w:val="20"/>
                <w:szCs w:val="20"/>
              </w:rPr>
            </w:pPr>
            <w:r w:rsidRPr="00BD1954">
              <w:rPr>
                <w:rFonts w:ascii="Calibri" w:hAnsi="Calibri" w:cs="Calibri"/>
                <w:b/>
                <w:color w:val="000000"/>
                <w:sz w:val="20"/>
                <w:szCs w:val="20"/>
              </w:rPr>
              <w:t>8 611,0</w:t>
            </w:r>
          </w:p>
        </w:tc>
      </w:tr>
      <w:tr w:rsidR="00435BB4" w:rsidRPr="00BD1954" w14:paraId="56E53970" w14:textId="77777777" w:rsidTr="00BD1954">
        <w:tc>
          <w:tcPr>
            <w:tcW w:w="9209" w:type="dxa"/>
            <w:gridSpan w:val="4"/>
            <w:vAlign w:val="center"/>
          </w:tcPr>
          <w:p w14:paraId="5EFE252E" w14:textId="77777777" w:rsidR="00435BB4" w:rsidRPr="00BD1954" w:rsidRDefault="00435BB4" w:rsidP="00BD1954">
            <w:pPr>
              <w:spacing w:line="264" w:lineRule="auto"/>
              <w:contextualSpacing/>
              <w:rPr>
                <w:rFonts w:ascii="Calibri" w:hAnsi="Calibri" w:cs="Calibri"/>
                <w:sz w:val="20"/>
                <w:szCs w:val="20"/>
              </w:rPr>
            </w:pPr>
          </w:p>
        </w:tc>
      </w:tr>
      <w:tr w:rsidR="00435BB4" w:rsidRPr="00BD1954" w14:paraId="5B639526" w14:textId="77777777" w:rsidTr="00BD1954">
        <w:tc>
          <w:tcPr>
            <w:tcW w:w="9209" w:type="dxa"/>
            <w:gridSpan w:val="4"/>
            <w:vAlign w:val="center"/>
          </w:tcPr>
          <w:p w14:paraId="32D974D3" w14:textId="77777777" w:rsidR="00435BB4" w:rsidRPr="00BD1954" w:rsidRDefault="00435BB4" w:rsidP="00BD1954">
            <w:pPr>
              <w:spacing w:line="264" w:lineRule="auto"/>
              <w:contextualSpacing/>
              <w:rPr>
                <w:rFonts w:ascii="Calibri" w:hAnsi="Calibri" w:cs="Calibri"/>
                <w:b/>
                <w:sz w:val="20"/>
                <w:szCs w:val="20"/>
              </w:rPr>
            </w:pPr>
            <w:r w:rsidRPr="00BD1954">
              <w:rPr>
                <w:rFonts w:ascii="Calibri" w:hAnsi="Calibri" w:cs="Calibri"/>
                <w:b/>
                <w:sz w:val="20"/>
                <w:szCs w:val="20"/>
              </w:rPr>
              <w:t>Vltava</w:t>
            </w:r>
          </w:p>
        </w:tc>
      </w:tr>
      <w:tr w:rsidR="00435BB4" w:rsidRPr="00BD1954" w14:paraId="43FEC0D2" w14:textId="77777777" w:rsidTr="00BD1954">
        <w:tc>
          <w:tcPr>
            <w:tcW w:w="3539" w:type="dxa"/>
            <w:vAlign w:val="center"/>
          </w:tcPr>
          <w:p w14:paraId="165DAC1F"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Zvýšení ponorů na Vltavě (Mělník – Praha Radotín)</w:t>
            </w:r>
          </w:p>
        </w:tc>
        <w:tc>
          <w:tcPr>
            <w:tcW w:w="1984" w:type="dxa"/>
            <w:vAlign w:val="center"/>
          </w:tcPr>
          <w:p w14:paraId="22A0E885"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232,9</w:t>
            </w:r>
          </w:p>
        </w:tc>
        <w:tc>
          <w:tcPr>
            <w:tcW w:w="1843" w:type="dxa"/>
            <w:vAlign w:val="center"/>
          </w:tcPr>
          <w:p w14:paraId="12050631"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308,0</w:t>
            </w:r>
          </w:p>
        </w:tc>
        <w:tc>
          <w:tcPr>
            <w:tcW w:w="1843" w:type="dxa"/>
            <w:vAlign w:val="center"/>
          </w:tcPr>
          <w:p w14:paraId="65CB5167"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65,0</w:t>
            </w:r>
          </w:p>
        </w:tc>
      </w:tr>
      <w:tr w:rsidR="00435BB4" w:rsidRPr="00BD1954" w14:paraId="613201EA" w14:textId="77777777" w:rsidTr="00BD1954">
        <w:tc>
          <w:tcPr>
            <w:tcW w:w="3539" w:type="dxa"/>
            <w:vAlign w:val="center"/>
          </w:tcPr>
          <w:p w14:paraId="1F38216A"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 xml:space="preserve">Úprava </w:t>
            </w:r>
            <w:proofErr w:type="spellStart"/>
            <w:r w:rsidRPr="00BD1954">
              <w:rPr>
                <w:rFonts w:ascii="Calibri" w:hAnsi="Calibri" w:cs="Calibri"/>
                <w:sz w:val="20"/>
                <w:szCs w:val="20"/>
              </w:rPr>
              <w:t>ohlaví</w:t>
            </w:r>
            <w:proofErr w:type="spellEnd"/>
            <w:r w:rsidRPr="00BD1954">
              <w:rPr>
                <w:rFonts w:ascii="Calibri" w:hAnsi="Calibri" w:cs="Calibri"/>
                <w:sz w:val="20"/>
                <w:szCs w:val="20"/>
              </w:rPr>
              <w:t xml:space="preserve"> plavební komory Hořín</w:t>
            </w:r>
          </w:p>
        </w:tc>
        <w:tc>
          <w:tcPr>
            <w:tcW w:w="1984" w:type="dxa"/>
            <w:vAlign w:val="center"/>
          </w:tcPr>
          <w:p w14:paraId="4766B347"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181,9</w:t>
            </w:r>
          </w:p>
        </w:tc>
        <w:tc>
          <w:tcPr>
            <w:tcW w:w="1843" w:type="dxa"/>
            <w:vAlign w:val="center"/>
          </w:tcPr>
          <w:p w14:paraId="49F8877B"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242,0</w:t>
            </w:r>
          </w:p>
        </w:tc>
        <w:tc>
          <w:tcPr>
            <w:tcW w:w="1843" w:type="dxa"/>
            <w:vAlign w:val="center"/>
          </w:tcPr>
          <w:p w14:paraId="5E72479C"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230,0</w:t>
            </w:r>
          </w:p>
        </w:tc>
      </w:tr>
      <w:tr w:rsidR="00435BB4" w:rsidRPr="00BD1954" w14:paraId="0394B7C7" w14:textId="77777777" w:rsidTr="00BD1954">
        <w:tc>
          <w:tcPr>
            <w:tcW w:w="3539" w:type="dxa"/>
            <w:vAlign w:val="center"/>
          </w:tcPr>
          <w:p w14:paraId="56804A78"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Zabezpečení podjezdných výšek na Vltavě – mosty</w:t>
            </w:r>
          </w:p>
        </w:tc>
        <w:tc>
          <w:tcPr>
            <w:tcW w:w="1984" w:type="dxa"/>
            <w:vAlign w:val="center"/>
          </w:tcPr>
          <w:p w14:paraId="12B5BCFB"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768,3</w:t>
            </w:r>
          </w:p>
        </w:tc>
        <w:tc>
          <w:tcPr>
            <w:tcW w:w="1843" w:type="dxa"/>
            <w:vAlign w:val="center"/>
          </w:tcPr>
          <w:p w14:paraId="611FA56D"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1 004,0</w:t>
            </w:r>
          </w:p>
        </w:tc>
        <w:tc>
          <w:tcPr>
            <w:tcW w:w="1843" w:type="dxa"/>
            <w:vAlign w:val="center"/>
          </w:tcPr>
          <w:p w14:paraId="161A21F0"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1 004,0</w:t>
            </w:r>
          </w:p>
        </w:tc>
      </w:tr>
      <w:tr w:rsidR="00435BB4" w:rsidRPr="00BD1954" w14:paraId="468D1638" w14:textId="77777777" w:rsidTr="00BD1954">
        <w:tc>
          <w:tcPr>
            <w:tcW w:w="3539" w:type="dxa"/>
            <w:vAlign w:val="center"/>
          </w:tcPr>
          <w:p w14:paraId="7B5AFA9F"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Modernizace rejd plavební komory Štvanice</w:t>
            </w:r>
          </w:p>
        </w:tc>
        <w:tc>
          <w:tcPr>
            <w:tcW w:w="1984" w:type="dxa"/>
            <w:vAlign w:val="center"/>
          </w:tcPr>
          <w:p w14:paraId="6C4DA1D7"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77,6</w:t>
            </w:r>
          </w:p>
        </w:tc>
        <w:tc>
          <w:tcPr>
            <w:tcW w:w="1843" w:type="dxa"/>
            <w:vAlign w:val="center"/>
          </w:tcPr>
          <w:p w14:paraId="7946AD83"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102,0</w:t>
            </w:r>
          </w:p>
        </w:tc>
        <w:tc>
          <w:tcPr>
            <w:tcW w:w="1843" w:type="dxa"/>
            <w:vAlign w:val="center"/>
          </w:tcPr>
          <w:p w14:paraId="277B76E6"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45,0</w:t>
            </w:r>
          </w:p>
        </w:tc>
      </w:tr>
      <w:tr w:rsidR="00435BB4" w:rsidRPr="00BD1954" w14:paraId="324D3105" w14:textId="77777777" w:rsidTr="00BD1954">
        <w:tc>
          <w:tcPr>
            <w:tcW w:w="3539" w:type="dxa"/>
            <w:vAlign w:val="center"/>
          </w:tcPr>
          <w:p w14:paraId="2D9A32D1" w14:textId="77777777" w:rsidR="00435BB4" w:rsidRPr="00BD1954" w:rsidRDefault="00435BB4" w:rsidP="00BD1954">
            <w:pPr>
              <w:spacing w:line="264" w:lineRule="auto"/>
              <w:contextualSpacing/>
              <w:rPr>
                <w:rFonts w:ascii="Calibri" w:hAnsi="Calibri" w:cs="Calibri"/>
                <w:sz w:val="20"/>
                <w:szCs w:val="20"/>
              </w:rPr>
            </w:pPr>
            <w:r w:rsidRPr="00BD1954">
              <w:rPr>
                <w:rFonts w:ascii="Calibri" w:hAnsi="Calibri" w:cs="Calibri"/>
                <w:sz w:val="20"/>
                <w:szCs w:val="20"/>
              </w:rPr>
              <w:t>Plavební komora Praha – Staré Město</w:t>
            </w:r>
          </w:p>
        </w:tc>
        <w:tc>
          <w:tcPr>
            <w:tcW w:w="1984" w:type="dxa"/>
            <w:vAlign w:val="center"/>
          </w:tcPr>
          <w:p w14:paraId="0F9C58EA"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490,6</w:t>
            </w:r>
          </w:p>
        </w:tc>
        <w:tc>
          <w:tcPr>
            <w:tcW w:w="1843" w:type="dxa"/>
            <w:vAlign w:val="center"/>
          </w:tcPr>
          <w:p w14:paraId="7C0BCC71"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650,0</w:t>
            </w:r>
          </w:p>
        </w:tc>
        <w:tc>
          <w:tcPr>
            <w:tcW w:w="1843" w:type="dxa"/>
            <w:vAlign w:val="center"/>
          </w:tcPr>
          <w:p w14:paraId="6BAEF72C" w14:textId="77777777" w:rsidR="00435BB4" w:rsidRPr="00BD1954" w:rsidRDefault="00435BB4" w:rsidP="00BD1954">
            <w:pPr>
              <w:spacing w:line="264" w:lineRule="auto"/>
              <w:ind w:right="175"/>
              <w:contextualSpacing/>
              <w:jc w:val="right"/>
              <w:rPr>
                <w:rFonts w:ascii="Calibri" w:hAnsi="Calibri" w:cs="Calibri"/>
                <w:sz w:val="20"/>
                <w:szCs w:val="20"/>
              </w:rPr>
            </w:pPr>
            <w:r w:rsidRPr="00BD1954">
              <w:rPr>
                <w:rFonts w:ascii="Calibri" w:hAnsi="Calibri" w:cs="Calibri"/>
                <w:sz w:val="20"/>
                <w:szCs w:val="20"/>
              </w:rPr>
              <w:t>650,0</w:t>
            </w:r>
          </w:p>
        </w:tc>
      </w:tr>
      <w:tr w:rsidR="00435BB4" w:rsidRPr="00BD1954" w14:paraId="0325C259" w14:textId="77777777" w:rsidTr="00BD1954">
        <w:tc>
          <w:tcPr>
            <w:tcW w:w="3539" w:type="dxa"/>
            <w:vAlign w:val="center"/>
          </w:tcPr>
          <w:p w14:paraId="565E6528" w14:textId="77777777" w:rsidR="00435BB4" w:rsidRPr="00BD1954" w:rsidRDefault="00435BB4" w:rsidP="00BD1954">
            <w:pPr>
              <w:spacing w:line="264" w:lineRule="auto"/>
              <w:contextualSpacing/>
              <w:rPr>
                <w:rFonts w:ascii="Calibri" w:hAnsi="Calibri" w:cs="Calibri"/>
                <w:b/>
                <w:sz w:val="20"/>
                <w:szCs w:val="20"/>
              </w:rPr>
            </w:pPr>
            <w:r w:rsidRPr="00BD1954">
              <w:rPr>
                <w:rFonts w:ascii="Calibri" w:hAnsi="Calibri" w:cs="Calibri"/>
                <w:b/>
                <w:sz w:val="20"/>
                <w:szCs w:val="20"/>
              </w:rPr>
              <w:t>Vltava celkem</w:t>
            </w:r>
          </w:p>
        </w:tc>
        <w:tc>
          <w:tcPr>
            <w:tcW w:w="1984" w:type="dxa"/>
            <w:vAlign w:val="center"/>
          </w:tcPr>
          <w:p w14:paraId="7E5B8F49" w14:textId="77777777" w:rsidR="00435BB4" w:rsidRPr="00BD1954" w:rsidRDefault="00435BB4" w:rsidP="00BD1954">
            <w:pPr>
              <w:spacing w:line="264" w:lineRule="auto"/>
              <w:ind w:right="175"/>
              <w:contextualSpacing/>
              <w:jc w:val="right"/>
              <w:rPr>
                <w:rFonts w:ascii="Calibri" w:hAnsi="Calibri" w:cs="Calibri"/>
                <w:b/>
                <w:sz w:val="20"/>
                <w:szCs w:val="20"/>
              </w:rPr>
            </w:pPr>
            <w:r w:rsidRPr="00BD1954">
              <w:rPr>
                <w:rFonts w:ascii="Calibri" w:hAnsi="Calibri" w:cs="Calibri"/>
                <w:b/>
                <w:sz w:val="20"/>
                <w:szCs w:val="20"/>
              </w:rPr>
              <w:t>1 752,2</w:t>
            </w:r>
          </w:p>
        </w:tc>
        <w:tc>
          <w:tcPr>
            <w:tcW w:w="1843" w:type="dxa"/>
            <w:vAlign w:val="center"/>
          </w:tcPr>
          <w:p w14:paraId="1994E8F8" w14:textId="77777777" w:rsidR="00435BB4" w:rsidRPr="00BD1954" w:rsidRDefault="00435BB4" w:rsidP="00BD1954">
            <w:pPr>
              <w:spacing w:line="264" w:lineRule="auto"/>
              <w:ind w:right="175"/>
              <w:jc w:val="right"/>
              <w:rPr>
                <w:rFonts w:ascii="Calibri" w:hAnsi="Calibri" w:cs="Calibri"/>
                <w:b/>
                <w:color w:val="000000"/>
                <w:sz w:val="20"/>
                <w:szCs w:val="20"/>
              </w:rPr>
            </w:pPr>
            <w:r w:rsidRPr="00BD1954">
              <w:rPr>
                <w:rFonts w:ascii="Calibri" w:hAnsi="Calibri" w:cs="Calibri"/>
                <w:b/>
                <w:color w:val="000000"/>
                <w:sz w:val="20"/>
                <w:szCs w:val="20"/>
              </w:rPr>
              <w:t>2 306,0</w:t>
            </w:r>
          </w:p>
        </w:tc>
        <w:tc>
          <w:tcPr>
            <w:tcW w:w="1843" w:type="dxa"/>
            <w:vAlign w:val="center"/>
          </w:tcPr>
          <w:p w14:paraId="00BA38E8" w14:textId="77777777" w:rsidR="00435BB4" w:rsidRPr="00BD1954" w:rsidRDefault="00435BB4" w:rsidP="00BD1954">
            <w:pPr>
              <w:spacing w:line="264" w:lineRule="auto"/>
              <w:ind w:right="175"/>
              <w:jc w:val="right"/>
              <w:rPr>
                <w:rFonts w:ascii="Calibri" w:hAnsi="Calibri" w:cs="Calibri"/>
                <w:b/>
                <w:color w:val="000000"/>
                <w:sz w:val="20"/>
                <w:szCs w:val="20"/>
              </w:rPr>
            </w:pPr>
            <w:r w:rsidRPr="00BD1954">
              <w:rPr>
                <w:rFonts w:ascii="Calibri" w:hAnsi="Calibri" w:cs="Calibri"/>
                <w:b/>
                <w:color w:val="000000"/>
                <w:sz w:val="20"/>
                <w:szCs w:val="20"/>
              </w:rPr>
              <w:t>1 994,0</w:t>
            </w:r>
          </w:p>
        </w:tc>
      </w:tr>
      <w:tr w:rsidR="00435BB4" w:rsidRPr="00BD1954" w14:paraId="6968E743" w14:textId="77777777" w:rsidTr="00BD1954">
        <w:tc>
          <w:tcPr>
            <w:tcW w:w="9209" w:type="dxa"/>
            <w:gridSpan w:val="4"/>
            <w:vAlign w:val="center"/>
          </w:tcPr>
          <w:p w14:paraId="5A9D8E4C" w14:textId="77777777" w:rsidR="00435BB4" w:rsidRPr="00BD1954" w:rsidRDefault="00435BB4" w:rsidP="00BD1954">
            <w:pPr>
              <w:spacing w:line="264" w:lineRule="auto"/>
              <w:ind w:right="175"/>
              <w:contextualSpacing/>
              <w:rPr>
                <w:rFonts w:ascii="Calibri" w:hAnsi="Calibri" w:cs="Calibri"/>
                <w:sz w:val="20"/>
                <w:szCs w:val="20"/>
              </w:rPr>
            </w:pPr>
          </w:p>
        </w:tc>
      </w:tr>
      <w:tr w:rsidR="00435BB4" w:rsidRPr="00BD1954" w14:paraId="2639BA64" w14:textId="77777777" w:rsidTr="00BD1954">
        <w:tc>
          <w:tcPr>
            <w:tcW w:w="3539" w:type="dxa"/>
            <w:vAlign w:val="center"/>
          </w:tcPr>
          <w:p w14:paraId="787CEB46" w14:textId="77777777" w:rsidR="00435BB4" w:rsidRPr="00BD1954" w:rsidRDefault="00435BB4" w:rsidP="00BD1954">
            <w:pPr>
              <w:spacing w:line="264" w:lineRule="auto"/>
              <w:contextualSpacing/>
              <w:rPr>
                <w:rFonts w:ascii="Calibri" w:hAnsi="Calibri" w:cs="Calibri"/>
                <w:b/>
                <w:sz w:val="20"/>
                <w:szCs w:val="20"/>
              </w:rPr>
            </w:pPr>
            <w:r w:rsidRPr="00BD1954">
              <w:rPr>
                <w:rFonts w:ascii="Calibri" w:hAnsi="Calibri" w:cs="Calibri"/>
                <w:b/>
                <w:sz w:val="20"/>
                <w:szCs w:val="20"/>
              </w:rPr>
              <w:t xml:space="preserve">Labe a Vltava celkem </w:t>
            </w:r>
          </w:p>
        </w:tc>
        <w:tc>
          <w:tcPr>
            <w:tcW w:w="1984" w:type="dxa"/>
            <w:vAlign w:val="center"/>
          </w:tcPr>
          <w:p w14:paraId="6B5AD8E2" w14:textId="77777777" w:rsidR="00435BB4" w:rsidRPr="00BD1954" w:rsidRDefault="00435BB4" w:rsidP="00BD1954">
            <w:pPr>
              <w:spacing w:line="264" w:lineRule="auto"/>
              <w:ind w:right="175"/>
              <w:contextualSpacing/>
              <w:jc w:val="right"/>
              <w:rPr>
                <w:rFonts w:ascii="Calibri" w:hAnsi="Calibri" w:cs="Calibri"/>
                <w:b/>
                <w:sz w:val="20"/>
                <w:szCs w:val="20"/>
              </w:rPr>
            </w:pPr>
            <w:r w:rsidRPr="00BD1954">
              <w:rPr>
                <w:rFonts w:ascii="Calibri" w:hAnsi="Calibri" w:cs="Calibri"/>
                <w:b/>
                <w:sz w:val="20"/>
                <w:szCs w:val="20"/>
              </w:rPr>
              <w:t>8 645,2</w:t>
            </w:r>
          </w:p>
        </w:tc>
        <w:tc>
          <w:tcPr>
            <w:tcW w:w="1843" w:type="dxa"/>
            <w:vAlign w:val="center"/>
          </w:tcPr>
          <w:p w14:paraId="173F4B11" w14:textId="77777777" w:rsidR="00435BB4" w:rsidRPr="00BD1954" w:rsidRDefault="00435BB4" w:rsidP="00BD1954">
            <w:pPr>
              <w:spacing w:line="264" w:lineRule="auto"/>
              <w:ind w:right="175"/>
              <w:jc w:val="right"/>
              <w:rPr>
                <w:rFonts w:ascii="Calibri" w:hAnsi="Calibri" w:cs="Calibri"/>
                <w:b/>
                <w:color w:val="000000"/>
                <w:sz w:val="20"/>
                <w:szCs w:val="20"/>
              </w:rPr>
            </w:pPr>
            <w:r w:rsidRPr="00BD1954">
              <w:rPr>
                <w:rFonts w:ascii="Calibri" w:hAnsi="Calibri" w:cs="Calibri"/>
                <w:b/>
                <w:color w:val="000000"/>
                <w:sz w:val="20"/>
                <w:szCs w:val="20"/>
              </w:rPr>
              <w:t>11 472,0</w:t>
            </w:r>
          </w:p>
        </w:tc>
        <w:tc>
          <w:tcPr>
            <w:tcW w:w="1843" w:type="dxa"/>
            <w:vAlign w:val="center"/>
          </w:tcPr>
          <w:p w14:paraId="722F937B" w14:textId="77777777" w:rsidR="00435BB4" w:rsidRPr="00BD1954" w:rsidRDefault="00435BB4" w:rsidP="00BD1954">
            <w:pPr>
              <w:spacing w:line="264" w:lineRule="auto"/>
              <w:ind w:right="175"/>
              <w:jc w:val="right"/>
              <w:rPr>
                <w:rFonts w:ascii="Calibri" w:hAnsi="Calibri" w:cs="Calibri"/>
                <w:b/>
                <w:color w:val="000000"/>
                <w:sz w:val="20"/>
                <w:szCs w:val="20"/>
              </w:rPr>
            </w:pPr>
            <w:r w:rsidRPr="00BD1954">
              <w:rPr>
                <w:rFonts w:ascii="Calibri" w:hAnsi="Calibri" w:cs="Calibri"/>
                <w:b/>
                <w:color w:val="000000"/>
                <w:sz w:val="20"/>
                <w:szCs w:val="20"/>
              </w:rPr>
              <w:t>10 605,0</w:t>
            </w:r>
          </w:p>
        </w:tc>
      </w:tr>
    </w:tbl>
    <w:p w14:paraId="0FB0469A" w14:textId="42430F8C" w:rsidR="00435BB4" w:rsidRPr="00BC7005" w:rsidRDefault="00435BB4" w:rsidP="00370289">
      <w:pPr>
        <w:spacing w:before="120" w:after="0" w:line="240" w:lineRule="auto"/>
        <w:rPr>
          <w:rFonts w:cstheme="minorHAnsi"/>
          <w:sz w:val="20"/>
          <w:szCs w:val="20"/>
        </w:rPr>
      </w:pPr>
      <w:r w:rsidRPr="00BC7005">
        <w:rPr>
          <w:rFonts w:cstheme="minorHAnsi"/>
          <w:b/>
          <w:sz w:val="20"/>
          <w:szCs w:val="20"/>
        </w:rPr>
        <w:t>Zdroj:</w:t>
      </w:r>
      <w:r w:rsidRPr="00BC7005">
        <w:rPr>
          <w:rFonts w:cstheme="minorHAnsi"/>
          <w:sz w:val="20"/>
          <w:szCs w:val="20"/>
        </w:rPr>
        <w:t xml:space="preserve"> </w:t>
      </w:r>
      <w:r w:rsidR="00014F37">
        <w:rPr>
          <w:rFonts w:cstheme="minorHAnsi"/>
          <w:sz w:val="20"/>
          <w:szCs w:val="20"/>
        </w:rPr>
        <w:t>k</w:t>
      </w:r>
      <w:r w:rsidRPr="00BC7005">
        <w:rPr>
          <w:rFonts w:cstheme="minorHAnsi"/>
          <w:sz w:val="20"/>
          <w:szCs w:val="20"/>
        </w:rPr>
        <w:t>oncepční dokumenty MD</w:t>
      </w:r>
      <w:r w:rsidR="00BC7005">
        <w:rPr>
          <w:rFonts w:cstheme="minorHAnsi"/>
          <w:sz w:val="20"/>
          <w:szCs w:val="20"/>
        </w:rPr>
        <w:t>.</w:t>
      </w:r>
    </w:p>
    <w:p w14:paraId="7891453A" w14:textId="77777777" w:rsidR="00435BB4" w:rsidRPr="00897D25" w:rsidRDefault="00435BB4" w:rsidP="00892BA2">
      <w:pPr>
        <w:spacing w:after="0" w:line="252" w:lineRule="auto"/>
        <w:contextualSpacing/>
        <w:jc w:val="both"/>
        <w:rPr>
          <w:rFonts w:cstheme="minorHAnsi"/>
          <w:sz w:val="24"/>
          <w:szCs w:val="24"/>
        </w:rPr>
      </w:pPr>
    </w:p>
    <w:p w14:paraId="7819C69E" w14:textId="77777777" w:rsidR="00435BB4" w:rsidRPr="00897D25" w:rsidRDefault="00435BB4" w:rsidP="00892BA2">
      <w:pPr>
        <w:spacing w:after="0" w:line="252" w:lineRule="auto"/>
        <w:contextualSpacing/>
        <w:jc w:val="both"/>
        <w:rPr>
          <w:rFonts w:cstheme="minorHAnsi"/>
          <w:sz w:val="24"/>
          <w:szCs w:val="24"/>
        </w:rPr>
        <w:sectPr w:rsidR="00435BB4" w:rsidRPr="00897D25" w:rsidSect="00FA76A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0FE581AE" w14:textId="77777777" w:rsidR="00435BB4" w:rsidRPr="00897D25" w:rsidRDefault="00435BB4" w:rsidP="00435BB4">
      <w:pPr>
        <w:spacing w:after="0"/>
        <w:jc w:val="right"/>
        <w:rPr>
          <w:rFonts w:cstheme="minorHAnsi"/>
          <w:b/>
          <w:sz w:val="24"/>
          <w:szCs w:val="24"/>
        </w:rPr>
      </w:pPr>
      <w:r w:rsidRPr="00897D25">
        <w:rPr>
          <w:rFonts w:cstheme="minorHAnsi"/>
          <w:b/>
          <w:sz w:val="24"/>
          <w:szCs w:val="24"/>
        </w:rPr>
        <w:lastRenderedPageBreak/>
        <w:t xml:space="preserve">Příloha č. </w:t>
      </w:r>
      <w:r w:rsidR="005F38FB" w:rsidRPr="00897D25">
        <w:rPr>
          <w:rFonts w:cstheme="minorHAnsi"/>
          <w:b/>
          <w:sz w:val="24"/>
          <w:szCs w:val="24"/>
        </w:rPr>
        <w:t>2</w:t>
      </w:r>
    </w:p>
    <w:p w14:paraId="72ACA170" w14:textId="77777777" w:rsidR="00435BB4" w:rsidRPr="00897D25" w:rsidRDefault="00435BB4" w:rsidP="00370289">
      <w:pPr>
        <w:spacing w:after="0"/>
        <w:rPr>
          <w:rFonts w:cstheme="minorHAnsi"/>
          <w:b/>
          <w:sz w:val="24"/>
          <w:szCs w:val="24"/>
        </w:rPr>
      </w:pPr>
    </w:p>
    <w:p w14:paraId="63BA2C7D" w14:textId="7EDD5428" w:rsidR="00435BB4" w:rsidRPr="00897D25" w:rsidRDefault="00435BB4" w:rsidP="00435BB4">
      <w:pPr>
        <w:spacing w:after="0"/>
        <w:rPr>
          <w:rFonts w:cstheme="minorHAnsi"/>
          <w:b/>
          <w:sz w:val="24"/>
          <w:szCs w:val="24"/>
        </w:rPr>
      </w:pPr>
      <w:r w:rsidRPr="00897D25">
        <w:rPr>
          <w:rFonts w:cstheme="minorHAnsi"/>
          <w:b/>
          <w:sz w:val="24"/>
          <w:szCs w:val="24"/>
        </w:rPr>
        <w:t>Investiční a neinvestiční náklady na dopravní infrastrukturu podle druhů dopravy (v mil. Kč</w:t>
      </w:r>
      <w:r w:rsidR="0078262D">
        <w:rPr>
          <w:rFonts w:cstheme="minorHAnsi"/>
          <w:b/>
          <w:sz w:val="24"/>
          <w:szCs w:val="24"/>
        </w:rPr>
        <w:t>,</w:t>
      </w:r>
      <w:r w:rsidR="00014F37">
        <w:rPr>
          <w:rFonts w:cstheme="minorHAnsi"/>
          <w:b/>
          <w:sz w:val="24"/>
          <w:szCs w:val="24"/>
        </w:rPr>
        <w:t xml:space="preserve"> v %</w:t>
      </w:r>
      <w:r w:rsidRPr="00897D25">
        <w:rPr>
          <w:rFonts w:cstheme="minorHAnsi"/>
          <w:b/>
          <w:sz w:val="24"/>
          <w:szCs w:val="24"/>
        </w:rPr>
        <w:t>)</w:t>
      </w:r>
    </w:p>
    <w:p w14:paraId="78499957" w14:textId="77777777" w:rsidR="00435BB4" w:rsidRDefault="00435BB4" w:rsidP="00435BB4">
      <w:pPr>
        <w:spacing w:after="0"/>
        <w:rPr>
          <w:rFonts w:cstheme="minorHAnsi"/>
          <w:b/>
          <w:sz w:val="24"/>
          <w:szCs w:val="24"/>
        </w:rPr>
      </w:pPr>
    </w:p>
    <w:p w14:paraId="3A8C87F5" w14:textId="77777777" w:rsidR="00BD1954" w:rsidRPr="00897D25" w:rsidRDefault="00BD1954" w:rsidP="00435BB4">
      <w:pPr>
        <w:spacing w:after="0"/>
        <w:rPr>
          <w:rFonts w:cstheme="minorHAnsi"/>
          <w:b/>
          <w:sz w:val="24"/>
          <w:szCs w:val="24"/>
        </w:rPr>
      </w:pPr>
    </w:p>
    <w:tbl>
      <w:tblPr>
        <w:tblW w:w="14024" w:type="dxa"/>
        <w:tblLayout w:type="fixed"/>
        <w:tblCellMar>
          <w:left w:w="70" w:type="dxa"/>
          <w:right w:w="70" w:type="dxa"/>
        </w:tblCellMar>
        <w:tblLook w:val="04A0" w:firstRow="1" w:lastRow="0" w:firstColumn="1" w:lastColumn="0" w:noHBand="0" w:noVBand="1"/>
      </w:tblPr>
      <w:tblGrid>
        <w:gridCol w:w="2400"/>
        <w:gridCol w:w="1172"/>
        <w:gridCol w:w="1172"/>
        <w:gridCol w:w="1172"/>
        <w:gridCol w:w="1172"/>
        <w:gridCol w:w="1171"/>
        <w:gridCol w:w="1172"/>
        <w:gridCol w:w="1172"/>
        <w:gridCol w:w="1172"/>
        <w:gridCol w:w="1172"/>
        <w:gridCol w:w="1077"/>
      </w:tblGrid>
      <w:tr w:rsidR="00435BB4" w:rsidRPr="00BD1954" w14:paraId="450EA77E" w14:textId="77777777" w:rsidTr="00BD1954">
        <w:trPr>
          <w:trHeight w:val="300"/>
        </w:trPr>
        <w:tc>
          <w:tcPr>
            <w:tcW w:w="14024" w:type="dxa"/>
            <w:gridSpan w:val="11"/>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C488477" w14:textId="77777777" w:rsidR="00435BB4" w:rsidRPr="00BD1954" w:rsidRDefault="00435BB4" w:rsidP="00BD1954">
            <w:pPr>
              <w:spacing w:before="20" w:after="20" w:line="240" w:lineRule="auto"/>
              <w:jc w:val="center"/>
              <w:rPr>
                <w:rFonts w:ascii="Calibri" w:eastAsia="Times New Roman" w:hAnsi="Calibri" w:cs="Calibri"/>
                <w:b/>
                <w:color w:val="000000"/>
                <w:sz w:val="20"/>
                <w:szCs w:val="20"/>
                <w:lang w:eastAsia="cs-CZ"/>
              </w:rPr>
            </w:pPr>
            <w:r w:rsidRPr="00BD1954">
              <w:rPr>
                <w:rFonts w:ascii="Calibri" w:eastAsia="Times New Roman" w:hAnsi="Calibri" w:cs="Calibri"/>
                <w:b/>
                <w:color w:val="000000"/>
                <w:sz w:val="20"/>
                <w:szCs w:val="20"/>
                <w:lang w:eastAsia="cs-CZ"/>
              </w:rPr>
              <w:t>Investiční výdaje</w:t>
            </w:r>
          </w:p>
        </w:tc>
      </w:tr>
      <w:tr w:rsidR="00435BB4" w:rsidRPr="00BD1954" w14:paraId="4012F659" w14:textId="77777777" w:rsidTr="00BD1954">
        <w:trPr>
          <w:trHeight w:val="300"/>
        </w:trPr>
        <w:tc>
          <w:tcPr>
            <w:tcW w:w="2400" w:type="dxa"/>
            <w:tcBorders>
              <w:top w:val="nil"/>
              <w:left w:val="single" w:sz="8" w:space="0" w:color="auto"/>
              <w:bottom w:val="single" w:sz="4" w:space="0" w:color="auto"/>
              <w:right w:val="single" w:sz="8" w:space="0" w:color="000000"/>
            </w:tcBorders>
            <w:shd w:val="clear" w:color="auto" w:fill="auto"/>
            <w:noWrap/>
            <w:vAlign w:val="center"/>
            <w:hideMark/>
          </w:tcPr>
          <w:p w14:paraId="5E3C5394"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2344" w:type="dxa"/>
            <w:gridSpan w:val="2"/>
            <w:tcBorders>
              <w:top w:val="nil"/>
              <w:left w:val="single" w:sz="8" w:space="0" w:color="auto"/>
              <w:bottom w:val="single" w:sz="4" w:space="0" w:color="auto"/>
              <w:right w:val="single" w:sz="8" w:space="0" w:color="000000"/>
            </w:tcBorders>
            <w:shd w:val="clear" w:color="auto" w:fill="auto"/>
            <w:vAlign w:val="center"/>
          </w:tcPr>
          <w:p w14:paraId="4B5F478E"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2013</w:t>
            </w:r>
          </w:p>
        </w:tc>
        <w:tc>
          <w:tcPr>
            <w:tcW w:w="2344" w:type="dxa"/>
            <w:gridSpan w:val="2"/>
            <w:tcBorders>
              <w:top w:val="nil"/>
              <w:left w:val="single" w:sz="8" w:space="0" w:color="auto"/>
              <w:bottom w:val="single" w:sz="4" w:space="0" w:color="auto"/>
              <w:right w:val="single" w:sz="8" w:space="0" w:color="000000"/>
            </w:tcBorders>
            <w:shd w:val="clear" w:color="auto" w:fill="auto"/>
            <w:vAlign w:val="center"/>
          </w:tcPr>
          <w:p w14:paraId="2148F6EB"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2014</w:t>
            </w:r>
          </w:p>
        </w:tc>
        <w:tc>
          <w:tcPr>
            <w:tcW w:w="2343" w:type="dxa"/>
            <w:gridSpan w:val="2"/>
            <w:tcBorders>
              <w:top w:val="nil"/>
              <w:left w:val="single" w:sz="8" w:space="0" w:color="auto"/>
              <w:bottom w:val="single" w:sz="4" w:space="0" w:color="auto"/>
              <w:right w:val="single" w:sz="8" w:space="0" w:color="000000"/>
            </w:tcBorders>
            <w:shd w:val="clear" w:color="auto" w:fill="auto"/>
            <w:vAlign w:val="center"/>
          </w:tcPr>
          <w:p w14:paraId="0735512B"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2015</w:t>
            </w:r>
          </w:p>
        </w:tc>
        <w:tc>
          <w:tcPr>
            <w:tcW w:w="2344" w:type="dxa"/>
            <w:gridSpan w:val="2"/>
            <w:tcBorders>
              <w:top w:val="nil"/>
              <w:left w:val="single" w:sz="8" w:space="0" w:color="auto"/>
              <w:bottom w:val="single" w:sz="4" w:space="0" w:color="auto"/>
              <w:right w:val="single" w:sz="8" w:space="0" w:color="000000"/>
            </w:tcBorders>
            <w:shd w:val="clear" w:color="auto" w:fill="auto"/>
            <w:vAlign w:val="center"/>
          </w:tcPr>
          <w:p w14:paraId="23779027"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2016</w:t>
            </w:r>
          </w:p>
        </w:tc>
        <w:tc>
          <w:tcPr>
            <w:tcW w:w="2249" w:type="dxa"/>
            <w:gridSpan w:val="2"/>
            <w:tcBorders>
              <w:top w:val="nil"/>
              <w:left w:val="single" w:sz="8" w:space="0" w:color="auto"/>
              <w:bottom w:val="single" w:sz="4" w:space="0" w:color="auto"/>
              <w:right w:val="single" w:sz="8" w:space="0" w:color="000000"/>
            </w:tcBorders>
            <w:shd w:val="clear" w:color="auto" w:fill="auto"/>
            <w:vAlign w:val="center"/>
          </w:tcPr>
          <w:p w14:paraId="3CE1DE1E"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2017</w:t>
            </w:r>
          </w:p>
        </w:tc>
      </w:tr>
      <w:tr w:rsidR="00435BB4" w:rsidRPr="00BD1954" w14:paraId="50CC1C4A" w14:textId="77777777" w:rsidTr="00BD1954">
        <w:trPr>
          <w:trHeight w:val="300"/>
        </w:trPr>
        <w:tc>
          <w:tcPr>
            <w:tcW w:w="2400" w:type="dxa"/>
            <w:tcBorders>
              <w:top w:val="nil"/>
              <w:left w:val="single" w:sz="8" w:space="0" w:color="auto"/>
              <w:bottom w:val="single" w:sz="4" w:space="0" w:color="auto"/>
              <w:right w:val="nil"/>
            </w:tcBorders>
            <w:shd w:val="clear" w:color="auto" w:fill="auto"/>
            <w:vAlign w:val="center"/>
            <w:hideMark/>
          </w:tcPr>
          <w:p w14:paraId="328178D1"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Silnice</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2C04C484"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16 827,3</w:t>
            </w:r>
          </w:p>
        </w:tc>
        <w:tc>
          <w:tcPr>
            <w:tcW w:w="1172" w:type="dxa"/>
            <w:tcBorders>
              <w:top w:val="nil"/>
              <w:left w:val="nil"/>
              <w:bottom w:val="single" w:sz="4" w:space="0" w:color="auto"/>
              <w:right w:val="single" w:sz="8" w:space="0" w:color="auto"/>
            </w:tcBorders>
            <w:shd w:val="clear" w:color="auto" w:fill="auto"/>
            <w:noWrap/>
            <w:vAlign w:val="center"/>
            <w:hideMark/>
          </w:tcPr>
          <w:p w14:paraId="4DF3C695" w14:textId="4988D971"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61,5</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1C1618AC"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16 631,7</w:t>
            </w:r>
          </w:p>
        </w:tc>
        <w:tc>
          <w:tcPr>
            <w:tcW w:w="1172" w:type="dxa"/>
            <w:tcBorders>
              <w:top w:val="nil"/>
              <w:left w:val="nil"/>
              <w:bottom w:val="single" w:sz="4" w:space="0" w:color="auto"/>
              <w:right w:val="single" w:sz="8" w:space="0" w:color="auto"/>
            </w:tcBorders>
            <w:shd w:val="clear" w:color="auto" w:fill="auto"/>
            <w:noWrap/>
            <w:vAlign w:val="center"/>
            <w:hideMark/>
          </w:tcPr>
          <w:p w14:paraId="16BD5075" w14:textId="734E102B"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54,2</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1" w:type="dxa"/>
            <w:tcBorders>
              <w:top w:val="nil"/>
              <w:left w:val="nil"/>
              <w:bottom w:val="single" w:sz="4" w:space="0" w:color="auto"/>
              <w:right w:val="single" w:sz="4" w:space="0" w:color="auto"/>
            </w:tcBorders>
            <w:shd w:val="clear" w:color="auto" w:fill="auto"/>
            <w:vAlign w:val="center"/>
            <w:hideMark/>
          </w:tcPr>
          <w:p w14:paraId="77C46766"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24 156,6</w:t>
            </w:r>
          </w:p>
        </w:tc>
        <w:tc>
          <w:tcPr>
            <w:tcW w:w="1172" w:type="dxa"/>
            <w:tcBorders>
              <w:top w:val="nil"/>
              <w:left w:val="nil"/>
              <w:bottom w:val="single" w:sz="4" w:space="0" w:color="auto"/>
              <w:right w:val="nil"/>
            </w:tcBorders>
            <w:shd w:val="clear" w:color="auto" w:fill="auto"/>
            <w:noWrap/>
            <w:vAlign w:val="center"/>
            <w:hideMark/>
          </w:tcPr>
          <w:p w14:paraId="44BFBE86" w14:textId="3BC5F486"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42,0</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0AFCE7EF"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22 958,3</w:t>
            </w:r>
          </w:p>
        </w:tc>
        <w:tc>
          <w:tcPr>
            <w:tcW w:w="1172" w:type="dxa"/>
            <w:tcBorders>
              <w:top w:val="nil"/>
              <w:left w:val="nil"/>
              <w:bottom w:val="single" w:sz="4" w:space="0" w:color="auto"/>
              <w:right w:val="single" w:sz="8" w:space="0" w:color="auto"/>
            </w:tcBorders>
            <w:shd w:val="clear" w:color="auto" w:fill="auto"/>
            <w:noWrap/>
            <w:vAlign w:val="center"/>
            <w:hideMark/>
          </w:tcPr>
          <w:p w14:paraId="235A79B8" w14:textId="3E92E872"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52,8</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60FC3CAB"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25 910,9</w:t>
            </w:r>
          </w:p>
        </w:tc>
        <w:tc>
          <w:tcPr>
            <w:tcW w:w="1077" w:type="dxa"/>
            <w:tcBorders>
              <w:top w:val="nil"/>
              <w:left w:val="nil"/>
              <w:bottom w:val="single" w:sz="4" w:space="0" w:color="auto"/>
              <w:right w:val="single" w:sz="8" w:space="0" w:color="auto"/>
            </w:tcBorders>
            <w:shd w:val="clear" w:color="auto" w:fill="auto"/>
            <w:noWrap/>
            <w:vAlign w:val="center"/>
            <w:hideMark/>
          </w:tcPr>
          <w:p w14:paraId="47B04822" w14:textId="276DC77D" w:rsidR="00435BB4" w:rsidRPr="00BD1954" w:rsidRDefault="00435BB4" w:rsidP="00BD1954">
            <w:pPr>
              <w:spacing w:before="20" w:after="20" w:line="240" w:lineRule="auto"/>
              <w:ind w:right="217"/>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60,5</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r>
      <w:tr w:rsidR="00435BB4" w:rsidRPr="00BD1954" w14:paraId="34776DB8" w14:textId="77777777" w:rsidTr="00BD1954">
        <w:trPr>
          <w:trHeight w:val="300"/>
        </w:trPr>
        <w:tc>
          <w:tcPr>
            <w:tcW w:w="2400" w:type="dxa"/>
            <w:tcBorders>
              <w:top w:val="nil"/>
              <w:left w:val="single" w:sz="8" w:space="0" w:color="auto"/>
              <w:bottom w:val="single" w:sz="4" w:space="0" w:color="auto"/>
              <w:right w:val="nil"/>
            </w:tcBorders>
            <w:shd w:val="clear" w:color="auto" w:fill="auto"/>
            <w:vAlign w:val="center"/>
            <w:hideMark/>
          </w:tcPr>
          <w:p w14:paraId="416617DA"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Železnice</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04ADDF4A"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8 717,7</w:t>
            </w:r>
          </w:p>
        </w:tc>
        <w:tc>
          <w:tcPr>
            <w:tcW w:w="1172" w:type="dxa"/>
            <w:tcBorders>
              <w:top w:val="nil"/>
              <w:left w:val="nil"/>
              <w:bottom w:val="single" w:sz="4" w:space="0" w:color="auto"/>
              <w:right w:val="single" w:sz="8" w:space="0" w:color="auto"/>
            </w:tcBorders>
            <w:shd w:val="clear" w:color="auto" w:fill="auto"/>
            <w:noWrap/>
            <w:vAlign w:val="center"/>
            <w:hideMark/>
          </w:tcPr>
          <w:p w14:paraId="1D5BCC3D" w14:textId="75E863DA"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31,9</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65B6F608"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12 787,3</w:t>
            </w:r>
          </w:p>
        </w:tc>
        <w:tc>
          <w:tcPr>
            <w:tcW w:w="1172" w:type="dxa"/>
            <w:tcBorders>
              <w:top w:val="nil"/>
              <w:left w:val="nil"/>
              <w:bottom w:val="single" w:sz="4" w:space="0" w:color="auto"/>
              <w:right w:val="single" w:sz="8" w:space="0" w:color="auto"/>
            </w:tcBorders>
            <w:shd w:val="clear" w:color="auto" w:fill="auto"/>
            <w:noWrap/>
            <w:vAlign w:val="center"/>
            <w:hideMark/>
          </w:tcPr>
          <w:p w14:paraId="370981C0" w14:textId="108B8F8A"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41,7</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1" w:type="dxa"/>
            <w:tcBorders>
              <w:top w:val="nil"/>
              <w:left w:val="nil"/>
              <w:bottom w:val="single" w:sz="4" w:space="0" w:color="auto"/>
              <w:right w:val="single" w:sz="4" w:space="0" w:color="auto"/>
            </w:tcBorders>
            <w:shd w:val="clear" w:color="auto" w:fill="auto"/>
            <w:vAlign w:val="center"/>
            <w:hideMark/>
          </w:tcPr>
          <w:p w14:paraId="02C36B5C"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31 784,5</w:t>
            </w:r>
          </w:p>
        </w:tc>
        <w:tc>
          <w:tcPr>
            <w:tcW w:w="1172" w:type="dxa"/>
            <w:tcBorders>
              <w:top w:val="nil"/>
              <w:left w:val="nil"/>
              <w:bottom w:val="single" w:sz="4" w:space="0" w:color="auto"/>
              <w:right w:val="nil"/>
            </w:tcBorders>
            <w:shd w:val="clear" w:color="auto" w:fill="auto"/>
            <w:noWrap/>
            <w:vAlign w:val="center"/>
            <w:hideMark/>
          </w:tcPr>
          <w:p w14:paraId="1DFA5C46" w14:textId="76771D04"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55,3</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28B2B796"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18 423,7</w:t>
            </w:r>
          </w:p>
        </w:tc>
        <w:tc>
          <w:tcPr>
            <w:tcW w:w="1172" w:type="dxa"/>
            <w:tcBorders>
              <w:top w:val="nil"/>
              <w:left w:val="nil"/>
              <w:bottom w:val="single" w:sz="4" w:space="0" w:color="auto"/>
              <w:right w:val="single" w:sz="8" w:space="0" w:color="auto"/>
            </w:tcBorders>
            <w:shd w:val="clear" w:color="auto" w:fill="auto"/>
            <w:noWrap/>
            <w:vAlign w:val="center"/>
            <w:hideMark/>
          </w:tcPr>
          <w:p w14:paraId="6B39AAEA" w14:textId="5EAEF300"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42,4</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1E5EC068"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14 890,8</w:t>
            </w:r>
          </w:p>
        </w:tc>
        <w:tc>
          <w:tcPr>
            <w:tcW w:w="1077" w:type="dxa"/>
            <w:tcBorders>
              <w:top w:val="nil"/>
              <w:left w:val="nil"/>
              <w:bottom w:val="single" w:sz="4" w:space="0" w:color="auto"/>
              <w:right w:val="single" w:sz="8" w:space="0" w:color="auto"/>
            </w:tcBorders>
            <w:shd w:val="clear" w:color="auto" w:fill="auto"/>
            <w:noWrap/>
            <w:vAlign w:val="center"/>
            <w:hideMark/>
          </w:tcPr>
          <w:p w14:paraId="340810C0" w14:textId="7998FF1E" w:rsidR="00435BB4" w:rsidRPr="00BD1954" w:rsidRDefault="00435BB4" w:rsidP="00BD1954">
            <w:pPr>
              <w:spacing w:before="20" w:after="20" w:line="240" w:lineRule="auto"/>
              <w:ind w:right="217"/>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34,8</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r>
      <w:tr w:rsidR="00435BB4" w:rsidRPr="00BD1954" w14:paraId="60E2962D" w14:textId="77777777" w:rsidTr="00BD1954">
        <w:trPr>
          <w:trHeight w:val="300"/>
        </w:trPr>
        <w:tc>
          <w:tcPr>
            <w:tcW w:w="2400" w:type="dxa"/>
            <w:tcBorders>
              <w:top w:val="nil"/>
              <w:left w:val="single" w:sz="8" w:space="0" w:color="auto"/>
              <w:bottom w:val="single" w:sz="4" w:space="0" w:color="auto"/>
              <w:right w:val="nil"/>
            </w:tcBorders>
            <w:shd w:val="clear" w:color="auto" w:fill="auto"/>
            <w:vAlign w:val="center"/>
            <w:hideMark/>
          </w:tcPr>
          <w:p w14:paraId="64B8E8C2"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Vodní cesty</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24C64E2B"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186,1</w:t>
            </w:r>
          </w:p>
        </w:tc>
        <w:tc>
          <w:tcPr>
            <w:tcW w:w="1172" w:type="dxa"/>
            <w:tcBorders>
              <w:top w:val="nil"/>
              <w:left w:val="nil"/>
              <w:bottom w:val="single" w:sz="4" w:space="0" w:color="auto"/>
              <w:right w:val="single" w:sz="8" w:space="0" w:color="auto"/>
            </w:tcBorders>
            <w:shd w:val="clear" w:color="auto" w:fill="auto"/>
            <w:noWrap/>
            <w:vAlign w:val="center"/>
            <w:hideMark/>
          </w:tcPr>
          <w:p w14:paraId="66B18C7A" w14:textId="002CD339"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0,7</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446721C0"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263,1</w:t>
            </w:r>
          </w:p>
        </w:tc>
        <w:tc>
          <w:tcPr>
            <w:tcW w:w="1172" w:type="dxa"/>
            <w:tcBorders>
              <w:top w:val="nil"/>
              <w:left w:val="nil"/>
              <w:bottom w:val="single" w:sz="4" w:space="0" w:color="auto"/>
              <w:right w:val="single" w:sz="8" w:space="0" w:color="auto"/>
            </w:tcBorders>
            <w:shd w:val="clear" w:color="auto" w:fill="auto"/>
            <w:noWrap/>
            <w:vAlign w:val="center"/>
            <w:hideMark/>
          </w:tcPr>
          <w:p w14:paraId="43869F23" w14:textId="2F74360E"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0,9</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1" w:type="dxa"/>
            <w:tcBorders>
              <w:top w:val="nil"/>
              <w:left w:val="nil"/>
              <w:bottom w:val="single" w:sz="4" w:space="0" w:color="auto"/>
              <w:right w:val="single" w:sz="4" w:space="0" w:color="auto"/>
            </w:tcBorders>
            <w:shd w:val="clear" w:color="auto" w:fill="auto"/>
            <w:vAlign w:val="center"/>
            <w:hideMark/>
          </w:tcPr>
          <w:p w14:paraId="1E93DA22"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412,5</w:t>
            </w:r>
          </w:p>
        </w:tc>
        <w:tc>
          <w:tcPr>
            <w:tcW w:w="1172" w:type="dxa"/>
            <w:tcBorders>
              <w:top w:val="nil"/>
              <w:left w:val="nil"/>
              <w:bottom w:val="single" w:sz="4" w:space="0" w:color="auto"/>
              <w:right w:val="nil"/>
            </w:tcBorders>
            <w:shd w:val="clear" w:color="auto" w:fill="auto"/>
            <w:noWrap/>
            <w:vAlign w:val="center"/>
            <w:hideMark/>
          </w:tcPr>
          <w:p w14:paraId="29240AB7" w14:textId="164C0454"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0,7</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66BBE971"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264,2</w:t>
            </w:r>
          </w:p>
        </w:tc>
        <w:tc>
          <w:tcPr>
            <w:tcW w:w="1172" w:type="dxa"/>
            <w:tcBorders>
              <w:top w:val="nil"/>
              <w:left w:val="nil"/>
              <w:bottom w:val="single" w:sz="4" w:space="0" w:color="auto"/>
              <w:right w:val="single" w:sz="8" w:space="0" w:color="auto"/>
            </w:tcBorders>
            <w:shd w:val="clear" w:color="auto" w:fill="auto"/>
            <w:noWrap/>
            <w:vAlign w:val="center"/>
            <w:hideMark/>
          </w:tcPr>
          <w:p w14:paraId="51F78185" w14:textId="096C4FA7"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0,6</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1F30B39E"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190,0</w:t>
            </w:r>
          </w:p>
        </w:tc>
        <w:tc>
          <w:tcPr>
            <w:tcW w:w="1077" w:type="dxa"/>
            <w:tcBorders>
              <w:top w:val="nil"/>
              <w:left w:val="nil"/>
              <w:bottom w:val="single" w:sz="4" w:space="0" w:color="auto"/>
              <w:right w:val="single" w:sz="8" w:space="0" w:color="auto"/>
            </w:tcBorders>
            <w:shd w:val="clear" w:color="auto" w:fill="auto"/>
            <w:noWrap/>
            <w:vAlign w:val="center"/>
            <w:hideMark/>
          </w:tcPr>
          <w:p w14:paraId="2A67883F" w14:textId="219DACB8" w:rsidR="00435BB4" w:rsidRPr="00BD1954" w:rsidRDefault="00435BB4" w:rsidP="00BD1954">
            <w:pPr>
              <w:spacing w:before="20" w:after="20" w:line="240" w:lineRule="auto"/>
              <w:ind w:right="217"/>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0,4</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r>
      <w:tr w:rsidR="00435BB4" w:rsidRPr="00BD1954" w14:paraId="693FA07E" w14:textId="77777777" w:rsidTr="00BD1954">
        <w:trPr>
          <w:trHeight w:val="300"/>
        </w:trPr>
        <w:tc>
          <w:tcPr>
            <w:tcW w:w="2400" w:type="dxa"/>
            <w:tcBorders>
              <w:top w:val="nil"/>
              <w:left w:val="single" w:sz="8" w:space="0" w:color="auto"/>
              <w:bottom w:val="single" w:sz="4" w:space="0" w:color="auto"/>
              <w:right w:val="nil"/>
            </w:tcBorders>
            <w:shd w:val="clear" w:color="auto" w:fill="auto"/>
            <w:vAlign w:val="center"/>
            <w:hideMark/>
          </w:tcPr>
          <w:p w14:paraId="6FA82C83"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Ostatní</w:t>
            </w:r>
          </w:p>
        </w:tc>
        <w:tc>
          <w:tcPr>
            <w:tcW w:w="1172" w:type="dxa"/>
            <w:tcBorders>
              <w:top w:val="nil"/>
              <w:left w:val="single" w:sz="8" w:space="0" w:color="auto"/>
              <w:bottom w:val="single" w:sz="4" w:space="0" w:color="auto"/>
              <w:right w:val="single" w:sz="4" w:space="0" w:color="auto"/>
            </w:tcBorders>
            <w:shd w:val="clear" w:color="auto" w:fill="auto"/>
            <w:noWrap/>
            <w:vAlign w:val="center"/>
            <w:hideMark/>
          </w:tcPr>
          <w:p w14:paraId="21C09A93"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1 616,1</w:t>
            </w:r>
          </w:p>
        </w:tc>
        <w:tc>
          <w:tcPr>
            <w:tcW w:w="1172" w:type="dxa"/>
            <w:tcBorders>
              <w:top w:val="nil"/>
              <w:left w:val="nil"/>
              <w:bottom w:val="single" w:sz="4" w:space="0" w:color="auto"/>
              <w:right w:val="single" w:sz="8" w:space="0" w:color="auto"/>
            </w:tcBorders>
            <w:shd w:val="clear" w:color="auto" w:fill="auto"/>
            <w:noWrap/>
            <w:vAlign w:val="center"/>
            <w:hideMark/>
          </w:tcPr>
          <w:p w14:paraId="74F6ABFA" w14:textId="59005446"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5,9</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noWrap/>
            <w:vAlign w:val="center"/>
            <w:hideMark/>
          </w:tcPr>
          <w:p w14:paraId="363086F7"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1 001,1</w:t>
            </w:r>
          </w:p>
        </w:tc>
        <w:tc>
          <w:tcPr>
            <w:tcW w:w="1172" w:type="dxa"/>
            <w:tcBorders>
              <w:top w:val="nil"/>
              <w:left w:val="nil"/>
              <w:bottom w:val="single" w:sz="4" w:space="0" w:color="auto"/>
              <w:right w:val="single" w:sz="8" w:space="0" w:color="auto"/>
            </w:tcBorders>
            <w:shd w:val="clear" w:color="auto" w:fill="auto"/>
            <w:noWrap/>
            <w:vAlign w:val="center"/>
            <w:hideMark/>
          </w:tcPr>
          <w:p w14:paraId="7EB66FFE" w14:textId="586EFC9B"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3,3</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1" w:type="dxa"/>
            <w:tcBorders>
              <w:top w:val="nil"/>
              <w:left w:val="nil"/>
              <w:bottom w:val="single" w:sz="4" w:space="0" w:color="auto"/>
              <w:right w:val="single" w:sz="4" w:space="0" w:color="auto"/>
            </w:tcBorders>
            <w:shd w:val="clear" w:color="auto" w:fill="auto"/>
            <w:noWrap/>
            <w:vAlign w:val="center"/>
            <w:hideMark/>
          </w:tcPr>
          <w:p w14:paraId="37F3614E"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1 148,2</w:t>
            </w:r>
          </w:p>
        </w:tc>
        <w:tc>
          <w:tcPr>
            <w:tcW w:w="1172" w:type="dxa"/>
            <w:tcBorders>
              <w:top w:val="nil"/>
              <w:left w:val="nil"/>
              <w:bottom w:val="single" w:sz="4" w:space="0" w:color="auto"/>
              <w:right w:val="nil"/>
            </w:tcBorders>
            <w:shd w:val="clear" w:color="auto" w:fill="auto"/>
            <w:noWrap/>
            <w:vAlign w:val="center"/>
            <w:hideMark/>
          </w:tcPr>
          <w:p w14:paraId="0EE8B4E5" w14:textId="6109C772"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single" w:sz="8" w:space="0" w:color="auto"/>
              <w:bottom w:val="single" w:sz="4" w:space="0" w:color="auto"/>
              <w:right w:val="single" w:sz="4" w:space="0" w:color="auto"/>
            </w:tcBorders>
            <w:shd w:val="clear" w:color="auto" w:fill="auto"/>
            <w:noWrap/>
            <w:vAlign w:val="center"/>
            <w:hideMark/>
          </w:tcPr>
          <w:p w14:paraId="10707A94"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1 821,5</w:t>
            </w:r>
          </w:p>
        </w:tc>
        <w:tc>
          <w:tcPr>
            <w:tcW w:w="1172" w:type="dxa"/>
            <w:tcBorders>
              <w:top w:val="nil"/>
              <w:left w:val="nil"/>
              <w:bottom w:val="single" w:sz="4" w:space="0" w:color="auto"/>
              <w:right w:val="single" w:sz="8" w:space="0" w:color="auto"/>
            </w:tcBorders>
            <w:shd w:val="clear" w:color="auto" w:fill="auto"/>
            <w:noWrap/>
            <w:vAlign w:val="center"/>
            <w:hideMark/>
          </w:tcPr>
          <w:p w14:paraId="461B3AE2" w14:textId="6359C0D9"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4,2</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noWrap/>
            <w:vAlign w:val="center"/>
            <w:hideMark/>
          </w:tcPr>
          <w:p w14:paraId="1DAED602"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1 804,5</w:t>
            </w:r>
          </w:p>
        </w:tc>
        <w:tc>
          <w:tcPr>
            <w:tcW w:w="1077" w:type="dxa"/>
            <w:tcBorders>
              <w:top w:val="nil"/>
              <w:left w:val="nil"/>
              <w:bottom w:val="single" w:sz="4" w:space="0" w:color="auto"/>
              <w:right w:val="single" w:sz="8" w:space="0" w:color="auto"/>
            </w:tcBorders>
            <w:shd w:val="clear" w:color="auto" w:fill="auto"/>
            <w:noWrap/>
            <w:vAlign w:val="center"/>
            <w:hideMark/>
          </w:tcPr>
          <w:p w14:paraId="5754BF66" w14:textId="3BB8A69C" w:rsidR="00435BB4" w:rsidRPr="00BD1954" w:rsidRDefault="00435BB4" w:rsidP="00BD1954">
            <w:pPr>
              <w:spacing w:before="20" w:after="20" w:line="240" w:lineRule="auto"/>
              <w:ind w:right="217"/>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4,2</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r>
      <w:tr w:rsidR="00435BB4" w:rsidRPr="00BD1954" w14:paraId="16AEC0F7" w14:textId="77777777" w:rsidTr="00BD1954">
        <w:trPr>
          <w:trHeight w:val="330"/>
        </w:trPr>
        <w:tc>
          <w:tcPr>
            <w:tcW w:w="2400" w:type="dxa"/>
            <w:tcBorders>
              <w:top w:val="nil"/>
              <w:left w:val="single" w:sz="8" w:space="0" w:color="auto"/>
              <w:bottom w:val="single" w:sz="8" w:space="0" w:color="auto"/>
              <w:right w:val="nil"/>
            </w:tcBorders>
            <w:shd w:val="clear" w:color="auto" w:fill="auto"/>
            <w:vAlign w:val="center"/>
            <w:hideMark/>
          </w:tcPr>
          <w:p w14:paraId="48FCE5F4"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Celkem</w:t>
            </w:r>
          </w:p>
        </w:tc>
        <w:tc>
          <w:tcPr>
            <w:tcW w:w="1172" w:type="dxa"/>
            <w:tcBorders>
              <w:top w:val="nil"/>
              <w:left w:val="single" w:sz="8" w:space="0" w:color="auto"/>
              <w:bottom w:val="single" w:sz="8" w:space="0" w:color="auto"/>
              <w:right w:val="single" w:sz="4" w:space="0" w:color="auto"/>
            </w:tcBorders>
            <w:shd w:val="clear" w:color="auto" w:fill="auto"/>
            <w:vAlign w:val="center"/>
            <w:hideMark/>
          </w:tcPr>
          <w:p w14:paraId="290E95DD"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27 347,2</w:t>
            </w:r>
          </w:p>
        </w:tc>
        <w:tc>
          <w:tcPr>
            <w:tcW w:w="1172" w:type="dxa"/>
            <w:tcBorders>
              <w:top w:val="nil"/>
              <w:left w:val="nil"/>
              <w:bottom w:val="single" w:sz="8" w:space="0" w:color="auto"/>
              <w:right w:val="single" w:sz="8" w:space="0" w:color="auto"/>
            </w:tcBorders>
            <w:shd w:val="clear" w:color="auto" w:fill="auto"/>
            <w:noWrap/>
            <w:vAlign w:val="center"/>
            <w:hideMark/>
          </w:tcPr>
          <w:p w14:paraId="2F97F90E" w14:textId="77777777"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1172" w:type="dxa"/>
            <w:tcBorders>
              <w:top w:val="nil"/>
              <w:left w:val="nil"/>
              <w:bottom w:val="single" w:sz="8" w:space="0" w:color="auto"/>
              <w:right w:val="single" w:sz="4" w:space="0" w:color="auto"/>
            </w:tcBorders>
            <w:shd w:val="clear" w:color="auto" w:fill="auto"/>
            <w:vAlign w:val="center"/>
            <w:hideMark/>
          </w:tcPr>
          <w:p w14:paraId="743A69A5"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30 683,2</w:t>
            </w:r>
          </w:p>
        </w:tc>
        <w:tc>
          <w:tcPr>
            <w:tcW w:w="1172" w:type="dxa"/>
            <w:tcBorders>
              <w:top w:val="nil"/>
              <w:left w:val="nil"/>
              <w:bottom w:val="single" w:sz="8" w:space="0" w:color="auto"/>
              <w:right w:val="single" w:sz="8" w:space="0" w:color="auto"/>
            </w:tcBorders>
            <w:shd w:val="clear" w:color="auto" w:fill="auto"/>
            <w:noWrap/>
            <w:vAlign w:val="center"/>
            <w:hideMark/>
          </w:tcPr>
          <w:p w14:paraId="7FF3DDCB" w14:textId="77777777"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1171" w:type="dxa"/>
            <w:tcBorders>
              <w:top w:val="nil"/>
              <w:left w:val="nil"/>
              <w:bottom w:val="single" w:sz="8" w:space="0" w:color="auto"/>
              <w:right w:val="single" w:sz="4" w:space="0" w:color="auto"/>
            </w:tcBorders>
            <w:shd w:val="clear" w:color="auto" w:fill="auto"/>
            <w:vAlign w:val="center"/>
            <w:hideMark/>
          </w:tcPr>
          <w:p w14:paraId="4990A284"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57 501,8</w:t>
            </w:r>
          </w:p>
        </w:tc>
        <w:tc>
          <w:tcPr>
            <w:tcW w:w="1172" w:type="dxa"/>
            <w:tcBorders>
              <w:top w:val="nil"/>
              <w:left w:val="nil"/>
              <w:bottom w:val="single" w:sz="8" w:space="0" w:color="auto"/>
              <w:right w:val="nil"/>
            </w:tcBorders>
            <w:shd w:val="clear" w:color="auto" w:fill="auto"/>
            <w:noWrap/>
            <w:vAlign w:val="center"/>
            <w:hideMark/>
          </w:tcPr>
          <w:p w14:paraId="4CB77FD6" w14:textId="77777777"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1172" w:type="dxa"/>
            <w:tcBorders>
              <w:top w:val="nil"/>
              <w:left w:val="single" w:sz="8" w:space="0" w:color="auto"/>
              <w:bottom w:val="single" w:sz="8" w:space="0" w:color="auto"/>
              <w:right w:val="single" w:sz="4" w:space="0" w:color="auto"/>
            </w:tcBorders>
            <w:shd w:val="clear" w:color="auto" w:fill="auto"/>
            <w:vAlign w:val="center"/>
            <w:hideMark/>
          </w:tcPr>
          <w:p w14:paraId="36B0256F"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43 467,7</w:t>
            </w:r>
          </w:p>
        </w:tc>
        <w:tc>
          <w:tcPr>
            <w:tcW w:w="1172" w:type="dxa"/>
            <w:tcBorders>
              <w:top w:val="nil"/>
              <w:left w:val="nil"/>
              <w:bottom w:val="single" w:sz="8" w:space="0" w:color="auto"/>
              <w:right w:val="single" w:sz="8" w:space="0" w:color="auto"/>
            </w:tcBorders>
            <w:shd w:val="clear" w:color="auto" w:fill="auto"/>
            <w:noWrap/>
            <w:vAlign w:val="center"/>
            <w:hideMark/>
          </w:tcPr>
          <w:p w14:paraId="1E98F45C" w14:textId="77777777"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1172" w:type="dxa"/>
            <w:tcBorders>
              <w:top w:val="nil"/>
              <w:left w:val="nil"/>
              <w:bottom w:val="single" w:sz="8" w:space="0" w:color="auto"/>
              <w:right w:val="single" w:sz="4" w:space="0" w:color="auto"/>
            </w:tcBorders>
            <w:shd w:val="clear" w:color="auto" w:fill="auto"/>
            <w:vAlign w:val="center"/>
            <w:hideMark/>
          </w:tcPr>
          <w:p w14:paraId="6CE32983"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42 796,2</w:t>
            </w:r>
          </w:p>
        </w:tc>
        <w:tc>
          <w:tcPr>
            <w:tcW w:w="1077" w:type="dxa"/>
            <w:tcBorders>
              <w:top w:val="nil"/>
              <w:left w:val="nil"/>
              <w:bottom w:val="single" w:sz="8" w:space="0" w:color="auto"/>
              <w:right w:val="single" w:sz="8" w:space="0" w:color="auto"/>
            </w:tcBorders>
            <w:shd w:val="clear" w:color="auto" w:fill="auto"/>
            <w:noWrap/>
            <w:vAlign w:val="center"/>
            <w:hideMark/>
          </w:tcPr>
          <w:p w14:paraId="61BC7A5A" w14:textId="77777777" w:rsidR="00435BB4" w:rsidRPr="00BD1954" w:rsidRDefault="00435BB4" w:rsidP="00BD1954">
            <w:pPr>
              <w:spacing w:before="20" w:after="20" w:line="240" w:lineRule="auto"/>
              <w:ind w:right="217"/>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r>
    </w:tbl>
    <w:p w14:paraId="492D7748" w14:textId="77777777" w:rsidR="00370289" w:rsidRDefault="00370289" w:rsidP="00370289">
      <w:pPr>
        <w:spacing w:after="0"/>
        <w:rPr>
          <w:rFonts w:eastAsia="Times New Roman" w:cstheme="minorHAnsi"/>
          <w:sz w:val="24"/>
          <w:szCs w:val="24"/>
          <w:lang w:eastAsia="cs-CZ"/>
        </w:rPr>
      </w:pPr>
    </w:p>
    <w:p w14:paraId="7045DDCB" w14:textId="77777777" w:rsidR="00BD1954" w:rsidRPr="00D42560" w:rsidRDefault="00BD1954" w:rsidP="00370289">
      <w:pPr>
        <w:spacing w:after="0"/>
        <w:rPr>
          <w:rFonts w:eastAsia="Times New Roman" w:cstheme="minorHAnsi"/>
          <w:sz w:val="24"/>
          <w:szCs w:val="24"/>
          <w:lang w:eastAsia="cs-CZ"/>
        </w:rPr>
      </w:pPr>
    </w:p>
    <w:tbl>
      <w:tblPr>
        <w:tblW w:w="14024" w:type="dxa"/>
        <w:tblLayout w:type="fixed"/>
        <w:tblCellMar>
          <w:left w:w="70" w:type="dxa"/>
          <w:right w:w="70" w:type="dxa"/>
        </w:tblCellMar>
        <w:tblLook w:val="04A0" w:firstRow="1" w:lastRow="0" w:firstColumn="1" w:lastColumn="0" w:noHBand="0" w:noVBand="1"/>
      </w:tblPr>
      <w:tblGrid>
        <w:gridCol w:w="2400"/>
        <w:gridCol w:w="1172"/>
        <w:gridCol w:w="1172"/>
        <w:gridCol w:w="1172"/>
        <w:gridCol w:w="1172"/>
        <w:gridCol w:w="1171"/>
        <w:gridCol w:w="1172"/>
        <w:gridCol w:w="1172"/>
        <w:gridCol w:w="1172"/>
        <w:gridCol w:w="1172"/>
        <w:gridCol w:w="1077"/>
      </w:tblGrid>
      <w:tr w:rsidR="00435BB4" w:rsidRPr="00BD1954" w14:paraId="092D47FE" w14:textId="77777777" w:rsidTr="00BD1954">
        <w:trPr>
          <w:trHeight w:val="315"/>
        </w:trPr>
        <w:tc>
          <w:tcPr>
            <w:tcW w:w="14024"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435AB061" w14:textId="77777777" w:rsidR="00435BB4" w:rsidRPr="00BD1954" w:rsidRDefault="00435BB4" w:rsidP="00BD1954">
            <w:pPr>
              <w:spacing w:before="20" w:after="20" w:line="240" w:lineRule="auto"/>
              <w:jc w:val="center"/>
              <w:rPr>
                <w:rFonts w:ascii="Calibri" w:eastAsia="Times New Roman" w:hAnsi="Calibri" w:cs="Calibri"/>
                <w:b/>
                <w:color w:val="000000"/>
                <w:sz w:val="20"/>
                <w:szCs w:val="20"/>
                <w:lang w:eastAsia="cs-CZ"/>
              </w:rPr>
            </w:pPr>
            <w:r w:rsidRPr="00BD1954">
              <w:rPr>
                <w:rFonts w:ascii="Calibri" w:eastAsia="Times New Roman" w:hAnsi="Calibri" w:cs="Calibri"/>
                <w:b/>
                <w:color w:val="000000"/>
                <w:sz w:val="20"/>
                <w:szCs w:val="20"/>
                <w:lang w:eastAsia="cs-CZ"/>
              </w:rPr>
              <w:t>Neinvestiční výdaje</w:t>
            </w:r>
          </w:p>
        </w:tc>
      </w:tr>
      <w:tr w:rsidR="00435BB4" w:rsidRPr="00BD1954" w14:paraId="5E819B51" w14:textId="77777777" w:rsidTr="00BD1954">
        <w:trPr>
          <w:trHeight w:val="300"/>
        </w:trPr>
        <w:tc>
          <w:tcPr>
            <w:tcW w:w="2400" w:type="dxa"/>
            <w:tcBorders>
              <w:top w:val="nil"/>
              <w:left w:val="single" w:sz="8" w:space="0" w:color="auto"/>
              <w:bottom w:val="single" w:sz="4" w:space="0" w:color="auto"/>
              <w:right w:val="single" w:sz="8" w:space="0" w:color="000000"/>
            </w:tcBorders>
            <w:shd w:val="clear" w:color="auto" w:fill="auto"/>
            <w:noWrap/>
            <w:vAlign w:val="center"/>
            <w:hideMark/>
          </w:tcPr>
          <w:p w14:paraId="292F8B14"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2344" w:type="dxa"/>
            <w:gridSpan w:val="2"/>
            <w:tcBorders>
              <w:top w:val="nil"/>
              <w:left w:val="single" w:sz="8" w:space="0" w:color="auto"/>
              <w:bottom w:val="single" w:sz="4" w:space="0" w:color="auto"/>
              <w:right w:val="single" w:sz="8" w:space="0" w:color="000000"/>
            </w:tcBorders>
            <w:shd w:val="clear" w:color="auto" w:fill="auto"/>
            <w:vAlign w:val="center"/>
          </w:tcPr>
          <w:p w14:paraId="1FF753C3"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2013</w:t>
            </w:r>
          </w:p>
        </w:tc>
        <w:tc>
          <w:tcPr>
            <w:tcW w:w="2344" w:type="dxa"/>
            <w:gridSpan w:val="2"/>
            <w:tcBorders>
              <w:top w:val="nil"/>
              <w:left w:val="single" w:sz="8" w:space="0" w:color="auto"/>
              <w:bottom w:val="single" w:sz="4" w:space="0" w:color="auto"/>
              <w:right w:val="single" w:sz="8" w:space="0" w:color="000000"/>
            </w:tcBorders>
            <w:shd w:val="clear" w:color="auto" w:fill="auto"/>
            <w:vAlign w:val="center"/>
          </w:tcPr>
          <w:p w14:paraId="6E551CFB"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2014</w:t>
            </w:r>
          </w:p>
        </w:tc>
        <w:tc>
          <w:tcPr>
            <w:tcW w:w="2343" w:type="dxa"/>
            <w:gridSpan w:val="2"/>
            <w:tcBorders>
              <w:top w:val="nil"/>
              <w:left w:val="single" w:sz="8" w:space="0" w:color="auto"/>
              <w:bottom w:val="single" w:sz="4" w:space="0" w:color="auto"/>
              <w:right w:val="single" w:sz="8" w:space="0" w:color="000000"/>
            </w:tcBorders>
            <w:shd w:val="clear" w:color="auto" w:fill="auto"/>
            <w:vAlign w:val="center"/>
          </w:tcPr>
          <w:p w14:paraId="5245AB6A"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2015</w:t>
            </w:r>
          </w:p>
        </w:tc>
        <w:tc>
          <w:tcPr>
            <w:tcW w:w="2344" w:type="dxa"/>
            <w:gridSpan w:val="2"/>
            <w:tcBorders>
              <w:top w:val="nil"/>
              <w:left w:val="single" w:sz="8" w:space="0" w:color="auto"/>
              <w:bottom w:val="single" w:sz="4" w:space="0" w:color="auto"/>
              <w:right w:val="single" w:sz="8" w:space="0" w:color="000000"/>
            </w:tcBorders>
            <w:shd w:val="clear" w:color="auto" w:fill="auto"/>
            <w:vAlign w:val="center"/>
          </w:tcPr>
          <w:p w14:paraId="55CDE071"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2016</w:t>
            </w:r>
          </w:p>
        </w:tc>
        <w:tc>
          <w:tcPr>
            <w:tcW w:w="2249" w:type="dxa"/>
            <w:gridSpan w:val="2"/>
            <w:tcBorders>
              <w:top w:val="nil"/>
              <w:left w:val="single" w:sz="8" w:space="0" w:color="auto"/>
              <w:bottom w:val="single" w:sz="4" w:space="0" w:color="auto"/>
              <w:right w:val="single" w:sz="8" w:space="0" w:color="000000"/>
            </w:tcBorders>
            <w:shd w:val="clear" w:color="auto" w:fill="auto"/>
            <w:vAlign w:val="center"/>
          </w:tcPr>
          <w:p w14:paraId="56282E35" w14:textId="77777777" w:rsidR="00435BB4" w:rsidRPr="00BD1954" w:rsidRDefault="00435BB4" w:rsidP="00BD1954">
            <w:pPr>
              <w:spacing w:before="20" w:after="20" w:line="240" w:lineRule="auto"/>
              <w:jc w:val="center"/>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2017</w:t>
            </w:r>
          </w:p>
        </w:tc>
      </w:tr>
      <w:tr w:rsidR="00435BB4" w:rsidRPr="00BD1954" w14:paraId="53C388D1" w14:textId="77777777" w:rsidTr="00BD1954">
        <w:trPr>
          <w:trHeight w:val="300"/>
        </w:trPr>
        <w:tc>
          <w:tcPr>
            <w:tcW w:w="2400" w:type="dxa"/>
            <w:tcBorders>
              <w:top w:val="nil"/>
              <w:left w:val="single" w:sz="8" w:space="0" w:color="auto"/>
              <w:bottom w:val="single" w:sz="4" w:space="0" w:color="auto"/>
              <w:right w:val="nil"/>
            </w:tcBorders>
            <w:shd w:val="clear" w:color="auto" w:fill="auto"/>
            <w:vAlign w:val="center"/>
            <w:hideMark/>
          </w:tcPr>
          <w:p w14:paraId="2D305A21"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Silnice</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32FE6673"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13 334,3</w:t>
            </w:r>
          </w:p>
        </w:tc>
        <w:tc>
          <w:tcPr>
            <w:tcW w:w="1172" w:type="dxa"/>
            <w:tcBorders>
              <w:top w:val="nil"/>
              <w:left w:val="nil"/>
              <w:bottom w:val="single" w:sz="4" w:space="0" w:color="auto"/>
              <w:right w:val="single" w:sz="8" w:space="0" w:color="auto"/>
            </w:tcBorders>
            <w:shd w:val="clear" w:color="auto" w:fill="auto"/>
            <w:noWrap/>
            <w:vAlign w:val="center"/>
            <w:hideMark/>
          </w:tcPr>
          <w:p w14:paraId="64AD2809" w14:textId="3F0B2E2F" w:rsidR="00435BB4" w:rsidRPr="00BD1954" w:rsidRDefault="00435BB4" w:rsidP="00BD1954">
            <w:pPr>
              <w:spacing w:before="20" w:after="20" w:line="240" w:lineRule="auto"/>
              <w:ind w:right="13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56,2</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61E5CE70"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16 166,5</w:t>
            </w:r>
          </w:p>
        </w:tc>
        <w:tc>
          <w:tcPr>
            <w:tcW w:w="1172" w:type="dxa"/>
            <w:tcBorders>
              <w:top w:val="nil"/>
              <w:left w:val="nil"/>
              <w:bottom w:val="single" w:sz="4" w:space="0" w:color="auto"/>
              <w:right w:val="single" w:sz="8" w:space="0" w:color="auto"/>
            </w:tcBorders>
            <w:shd w:val="clear" w:color="auto" w:fill="auto"/>
            <w:noWrap/>
            <w:vAlign w:val="center"/>
            <w:hideMark/>
          </w:tcPr>
          <w:p w14:paraId="482D917A" w14:textId="310873F3"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57,2</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1" w:type="dxa"/>
            <w:tcBorders>
              <w:top w:val="nil"/>
              <w:left w:val="nil"/>
              <w:bottom w:val="single" w:sz="4" w:space="0" w:color="auto"/>
              <w:right w:val="single" w:sz="4" w:space="0" w:color="auto"/>
            </w:tcBorders>
            <w:shd w:val="clear" w:color="auto" w:fill="auto"/>
            <w:vAlign w:val="center"/>
            <w:hideMark/>
          </w:tcPr>
          <w:p w14:paraId="1732D9A7"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18 674,8</w:t>
            </w:r>
          </w:p>
        </w:tc>
        <w:tc>
          <w:tcPr>
            <w:tcW w:w="1172" w:type="dxa"/>
            <w:tcBorders>
              <w:top w:val="nil"/>
              <w:left w:val="nil"/>
              <w:bottom w:val="single" w:sz="4" w:space="0" w:color="auto"/>
              <w:right w:val="nil"/>
            </w:tcBorders>
            <w:shd w:val="clear" w:color="auto" w:fill="auto"/>
            <w:noWrap/>
            <w:vAlign w:val="center"/>
            <w:hideMark/>
          </w:tcPr>
          <w:p w14:paraId="14D49777" w14:textId="7C300A04"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50,2</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3AC361C2"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20 742,6</w:t>
            </w:r>
          </w:p>
        </w:tc>
        <w:tc>
          <w:tcPr>
            <w:tcW w:w="1172" w:type="dxa"/>
            <w:tcBorders>
              <w:top w:val="nil"/>
              <w:left w:val="nil"/>
              <w:bottom w:val="single" w:sz="4" w:space="0" w:color="auto"/>
              <w:right w:val="single" w:sz="8" w:space="0" w:color="auto"/>
            </w:tcBorders>
            <w:shd w:val="clear" w:color="auto" w:fill="auto"/>
            <w:noWrap/>
            <w:vAlign w:val="center"/>
            <w:hideMark/>
          </w:tcPr>
          <w:p w14:paraId="748A2BC9" w14:textId="770C105F"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56,3</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73BEB5D4"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18 988,6</w:t>
            </w:r>
          </w:p>
        </w:tc>
        <w:tc>
          <w:tcPr>
            <w:tcW w:w="1077" w:type="dxa"/>
            <w:tcBorders>
              <w:top w:val="nil"/>
              <w:left w:val="nil"/>
              <w:bottom w:val="single" w:sz="4" w:space="0" w:color="auto"/>
              <w:right w:val="single" w:sz="8" w:space="0" w:color="auto"/>
            </w:tcBorders>
            <w:shd w:val="clear" w:color="auto" w:fill="auto"/>
            <w:noWrap/>
            <w:vAlign w:val="center"/>
            <w:hideMark/>
          </w:tcPr>
          <w:p w14:paraId="765270EF" w14:textId="66635961" w:rsidR="00435BB4" w:rsidRPr="00BD1954" w:rsidRDefault="00435BB4" w:rsidP="00BD1954">
            <w:pPr>
              <w:spacing w:before="20" w:after="20" w:line="240" w:lineRule="auto"/>
              <w:ind w:right="15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55,7</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r>
      <w:tr w:rsidR="00435BB4" w:rsidRPr="00BD1954" w14:paraId="687F6F20" w14:textId="77777777" w:rsidTr="00BD1954">
        <w:trPr>
          <w:trHeight w:val="300"/>
        </w:trPr>
        <w:tc>
          <w:tcPr>
            <w:tcW w:w="2400" w:type="dxa"/>
            <w:tcBorders>
              <w:top w:val="nil"/>
              <w:left w:val="single" w:sz="8" w:space="0" w:color="auto"/>
              <w:bottom w:val="single" w:sz="4" w:space="0" w:color="auto"/>
              <w:right w:val="nil"/>
            </w:tcBorders>
            <w:shd w:val="clear" w:color="auto" w:fill="auto"/>
            <w:vAlign w:val="center"/>
            <w:hideMark/>
          </w:tcPr>
          <w:p w14:paraId="0F64ADD8"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Železnice</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246DEADF"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9 812,1</w:t>
            </w:r>
          </w:p>
        </w:tc>
        <w:tc>
          <w:tcPr>
            <w:tcW w:w="1172" w:type="dxa"/>
            <w:tcBorders>
              <w:top w:val="nil"/>
              <w:left w:val="nil"/>
              <w:bottom w:val="single" w:sz="4" w:space="0" w:color="auto"/>
              <w:right w:val="single" w:sz="8" w:space="0" w:color="auto"/>
            </w:tcBorders>
            <w:shd w:val="clear" w:color="auto" w:fill="auto"/>
            <w:noWrap/>
            <w:vAlign w:val="center"/>
            <w:hideMark/>
          </w:tcPr>
          <w:p w14:paraId="27D837B8" w14:textId="14303741" w:rsidR="00435BB4" w:rsidRPr="00BD1954" w:rsidRDefault="00435BB4" w:rsidP="00BD1954">
            <w:pPr>
              <w:spacing w:before="20" w:after="20" w:line="240" w:lineRule="auto"/>
              <w:ind w:right="13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41,3</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2CDE44FE"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11 665,3</w:t>
            </w:r>
          </w:p>
        </w:tc>
        <w:tc>
          <w:tcPr>
            <w:tcW w:w="1172" w:type="dxa"/>
            <w:tcBorders>
              <w:top w:val="nil"/>
              <w:left w:val="nil"/>
              <w:bottom w:val="single" w:sz="4" w:space="0" w:color="auto"/>
              <w:right w:val="single" w:sz="8" w:space="0" w:color="auto"/>
            </w:tcBorders>
            <w:shd w:val="clear" w:color="auto" w:fill="auto"/>
            <w:noWrap/>
            <w:vAlign w:val="center"/>
            <w:hideMark/>
          </w:tcPr>
          <w:p w14:paraId="6609921F" w14:textId="429B582F"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41,3</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1" w:type="dxa"/>
            <w:tcBorders>
              <w:top w:val="nil"/>
              <w:left w:val="nil"/>
              <w:bottom w:val="single" w:sz="4" w:space="0" w:color="auto"/>
              <w:right w:val="single" w:sz="4" w:space="0" w:color="auto"/>
            </w:tcBorders>
            <w:shd w:val="clear" w:color="auto" w:fill="auto"/>
            <w:vAlign w:val="center"/>
            <w:hideMark/>
          </w:tcPr>
          <w:p w14:paraId="1837A4E7"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18 038,0</w:t>
            </w:r>
          </w:p>
        </w:tc>
        <w:tc>
          <w:tcPr>
            <w:tcW w:w="1172" w:type="dxa"/>
            <w:tcBorders>
              <w:top w:val="nil"/>
              <w:left w:val="nil"/>
              <w:bottom w:val="single" w:sz="4" w:space="0" w:color="auto"/>
              <w:right w:val="nil"/>
            </w:tcBorders>
            <w:shd w:val="clear" w:color="auto" w:fill="auto"/>
            <w:noWrap/>
            <w:vAlign w:val="center"/>
            <w:hideMark/>
          </w:tcPr>
          <w:p w14:paraId="29BDEC24" w14:textId="4B87D583"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48,5</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7618D9B9"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15 596,0</w:t>
            </w:r>
          </w:p>
        </w:tc>
        <w:tc>
          <w:tcPr>
            <w:tcW w:w="1172" w:type="dxa"/>
            <w:tcBorders>
              <w:top w:val="nil"/>
              <w:left w:val="nil"/>
              <w:bottom w:val="single" w:sz="4" w:space="0" w:color="auto"/>
              <w:right w:val="single" w:sz="8" w:space="0" w:color="auto"/>
            </w:tcBorders>
            <w:shd w:val="clear" w:color="auto" w:fill="auto"/>
            <w:noWrap/>
            <w:vAlign w:val="center"/>
            <w:hideMark/>
          </w:tcPr>
          <w:p w14:paraId="32657456" w14:textId="3923B46C"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42,3</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792CD0E5"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14 422,0</w:t>
            </w:r>
          </w:p>
        </w:tc>
        <w:tc>
          <w:tcPr>
            <w:tcW w:w="1077" w:type="dxa"/>
            <w:tcBorders>
              <w:top w:val="nil"/>
              <w:left w:val="nil"/>
              <w:bottom w:val="single" w:sz="4" w:space="0" w:color="auto"/>
              <w:right w:val="single" w:sz="8" w:space="0" w:color="auto"/>
            </w:tcBorders>
            <w:shd w:val="clear" w:color="auto" w:fill="auto"/>
            <w:noWrap/>
            <w:vAlign w:val="center"/>
            <w:hideMark/>
          </w:tcPr>
          <w:p w14:paraId="4756D03C" w14:textId="2E907AC3" w:rsidR="00435BB4" w:rsidRPr="00BD1954" w:rsidRDefault="00435BB4" w:rsidP="00BD1954">
            <w:pPr>
              <w:spacing w:before="20" w:after="20" w:line="240" w:lineRule="auto"/>
              <w:ind w:right="15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42,3</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r>
      <w:tr w:rsidR="00435BB4" w:rsidRPr="00BD1954" w14:paraId="23005BF8" w14:textId="77777777" w:rsidTr="00BD1954">
        <w:trPr>
          <w:trHeight w:val="300"/>
        </w:trPr>
        <w:tc>
          <w:tcPr>
            <w:tcW w:w="2400" w:type="dxa"/>
            <w:tcBorders>
              <w:top w:val="nil"/>
              <w:left w:val="single" w:sz="8" w:space="0" w:color="auto"/>
              <w:bottom w:val="single" w:sz="4" w:space="0" w:color="auto"/>
              <w:right w:val="nil"/>
            </w:tcBorders>
            <w:shd w:val="clear" w:color="auto" w:fill="auto"/>
            <w:vAlign w:val="center"/>
            <w:hideMark/>
          </w:tcPr>
          <w:p w14:paraId="7BD71CF3"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Vodní cesty</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067E9FED"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120,1</w:t>
            </w:r>
          </w:p>
        </w:tc>
        <w:tc>
          <w:tcPr>
            <w:tcW w:w="1172" w:type="dxa"/>
            <w:tcBorders>
              <w:top w:val="nil"/>
              <w:left w:val="nil"/>
              <w:bottom w:val="single" w:sz="4" w:space="0" w:color="auto"/>
              <w:right w:val="single" w:sz="8" w:space="0" w:color="auto"/>
            </w:tcBorders>
            <w:shd w:val="clear" w:color="auto" w:fill="auto"/>
            <w:noWrap/>
            <w:vAlign w:val="center"/>
            <w:hideMark/>
          </w:tcPr>
          <w:p w14:paraId="42C9EE23" w14:textId="5052284C" w:rsidR="00435BB4" w:rsidRPr="00BD1954" w:rsidRDefault="00435BB4" w:rsidP="00BD1954">
            <w:pPr>
              <w:spacing w:before="20" w:after="20" w:line="240" w:lineRule="auto"/>
              <w:ind w:right="13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0,5</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57C1808B"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123,7</w:t>
            </w:r>
          </w:p>
        </w:tc>
        <w:tc>
          <w:tcPr>
            <w:tcW w:w="1172" w:type="dxa"/>
            <w:tcBorders>
              <w:top w:val="nil"/>
              <w:left w:val="nil"/>
              <w:bottom w:val="single" w:sz="4" w:space="0" w:color="auto"/>
              <w:right w:val="single" w:sz="8" w:space="0" w:color="auto"/>
            </w:tcBorders>
            <w:shd w:val="clear" w:color="auto" w:fill="auto"/>
            <w:noWrap/>
            <w:vAlign w:val="center"/>
            <w:hideMark/>
          </w:tcPr>
          <w:p w14:paraId="356D2771" w14:textId="0C84A018"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0,4</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1" w:type="dxa"/>
            <w:tcBorders>
              <w:top w:val="nil"/>
              <w:left w:val="nil"/>
              <w:bottom w:val="single" w:sz="4" w:space="0" w:color="auto"/>
              <w:right w:val="single" w:sz="4" w:space="0" w:color="auto"/>
            </w:tcBorders>
            <w:shd w:val="clear" w:color="auto" w:fill="auto"/>
            <w:vAlign w:val="center"/>
            <w:hideMark/>
          </w:tcPr>
          <w:p w14:paraId="378EF6D0"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204,0</w:t>
            </w:r>
          </w:p>
        </w:tc>
        <w:tc>
          <w:tcPr>
            <w:tcW w:w="1172" w:type="dxa"/>
            <w:tcBorders>
              <w:top w:val="nil"/>
              <w:left w:val="nil"/>
              <w:bottom w:val="single" w:sz="4" w:space="0" w:color="auto"/>
              <w:right w:val="nil"/>
            </w:tcBorders>
            <w:shd w:val="clear" w:color="auto" w:fill="auto"/>
            <w:noWrap/>
            <w:vAlign w:val="center"/>
            <w:hideMark/>
          </w:tcPr>
          <w:p w14:paraId="029F5E76" w14:textId="1CA636A5"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0,5</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36F780A0"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168,9</w:t>
            </w:r>
          </w:p>
        </w:tc>
        <w:tc>
          <w:tcPr>
            <w:tcW w:w="1172" w:type="dxa"/>
            <w:tcBorders>
              <w:top w:val="nil"/>
              <w:left w:val="nil"/>
              <w:bottom w:val="single" w:sz="4" w:space="0" w:color="auto"/>
              <w:right w:val="single" w:sz="8" w:space="0" w:color="auto"/>
            </w:tcBorders>
            <w:shd w:val="clear" w:color="auto" w:fill="auto"/>
            <w:noWrap/>
            <w:vAlign w:val="center"/>
            <w:hideMark/>
          </w:tcPr>
          <w:p w14:paraId="500E56F6" w14:textId="155EE4CA"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0,5</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vAlign w:val="center"/>
            <w:hideMark/>
          </w:tcPr>
          <w:p w14:paraId="512B0E3B"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171,4</w:t>
            </w:r>
          </w:p>
        </w:tc>
        <w:tc>
          <w:tcPr>
            <w:tcW w:w="1077" w:type="dxa"/>
            <w:tcBorders>
              <w:top w:val="nil"/>
              <w:left w:val="nil"/>
              <w:bottom w:val="single" w:sz="4" w:space="0" w:color="auto"/>
              <w:right w:val="single" w:sz="8" w:space="0" w:color="auto"/>
            </w:tcBorders>
            <w:shd w:val="clear" w:color="auto" w:fill="auto"/>
            <w:noWrap/>
            <w:vAlign w:val="center"/>
            <w:hideMark/>
          </w:tcPr>
          <w:p w14:paraId="7BCDD8BA" w14:textId="6F7E88C6" w:rsidR="00435BB4" w:rsidRPr="00BD1954" w:rsidRDefault="00435BB4" w:rsidP="00BD1954">
            <w:pPr>
              <w:spacing w:before="20" w:after="20" w:line="240" w:lineRule="auto"/>
              <w:ind w:right="15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0,5</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r>
      <w:tr w:rsidR="00435BB4" w:rsidRPr="00BD1954" w14:paraId="01FED9EC" w14:textId="77777777" w:rsidTr="00BD1954">
        <w:trPr>
          <w:trHeight w:val="300"/>
        </w:trPr>
        <w:tc>
          <w:tcPr>
            <w:tcW w:w="2400" w:type="dxa"/>
            <w:tcBorders>
              <w:top w:val="nil"/>
              <w:left w:val="single" w:sz="8" w:space="0" w:color="auto"/>
              <w:bottom w:val="single" w:sz="4" w:space="0" w:color="auto"/>
              <w:right w:val="nil"/>
            </w:tcBorders>
            <w:shd w:val="clear" w:color="auto" w:fill="auto"/>
            <w:vAlign w:val="center"/>
            <w:hideMark/>
          </w:tcPr>
          <w:p w14:paraId="5FD5116F"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xml:space="preserve">Ostatní </w:t>
            </w:r>
          </w:p>
        </w:tc>
        <w:tc>
          <w:tcPr>
            <w:tcW w:w="1172" w:type="dxa"/>
            <w:tcBorders>
              <w:top w:val="nil"/>
              <w:left w:val="single" w:sz="8" w:space="0" w:color="auto"/>
              <w:bottom w:val="single" w:sz="4" w:space="0" w:color="auto"/>
              <w:right w:val="single" w:sz="4" w:space="0" w:color="auto"/>
            </w:tcBorders>
            <w:shd w:val="clear" w:color="auto" w:fill="auto"/>
            <w:noWrap/>
            <w:vAlign w:val="center"/>
            <w:hideMark/>
          </w:tcPr>
          <w:p w14:paraId="0C0AAF16"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473,3</w:t>
            </w:r>
          </w:p>
        </w:tc>
        <w:tc>
          <w:tcPr>
            <w:tcW w:w="1172" w:type="dxa"/>
            <w:tcBorders>
              <w:top w:val="nil"/>
              <w:left w:val="nil"/>
              <w:bottom w:val="single" w:sz="4" w:space="0" w:color="auto"/>
              <w:right w:val="single" w:sz="8" w:space="0" w:color="auto"/>
            </w:tcBorders>
            <w:shd w:val="clear" w:color="auto" w:fill="auto"/>
            <w:noWrap/>
            <w:vAlign w:val="center"/>
            <w:hideMark/>
          </w:tcPr>
          <w:p w14:paraId="10EB97B7" w14:textId="713CB6D8" w:rsidR="00435BB4" w:rsidRPr="00BD1954" w:rsidRDefault="00435BB4" w:rsidP="00BD1954">
            <w:pPr>
              <w:spacing w:before="20" w:after="20" w:line="240" w:lineRule="auto"/>
              <w:ind w:right="13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2,0</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noWrap/>
            <w:vAlign w:val="center"/>
            <w:hideMark/>
          </w:tcPr>
          <w:p w14:paraId="39280E37"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317,5</w:t>
            </w:r>
          </w:p>
        </w:tc>
        <w:tc>
          <w:tcPr>
            <w:tcW w:w="1172" w:type="dxa"/>
            <w:tcBorders>
              <w:top w:val="nil"/>
              <w:left w:val="nil"/>
              <w:bottom w:val="single" w:sz="4" w:space="0" w:color="auto"/>
              <w:right w:val="single" w:sz="8" w:space="0" w:color="auto"/>
            </w:tcBorders>
            <w:shd w:val="clear" w:color="auto" w:fill="auto"/>
            <w:noWrap/>
            <w:vAlign w:val="center"/>
            <w:hideMark/>
          </w:tcPr>
          <w:p w14:paraId="50B61970" w14:textId="1B39C08B"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1,1</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1" w:type="dxa"/>
            <w:tcBorders>
              <w:top w:val="nil"/>
              <w:left w:val="nil"/>
              <w:bottom w:val="single" w:sz="4" w:space="0" w:color="auto"/>
              <w:right w:val="single" w:sz="4" w:space="0" w:color="auto"/>
            </w:tcBorders>
            <w:shd w:val="clear" w:color="auto" w:fill="auto"/>
            <w:noWrap/>
            <w:vAlign w:val="center"/>
            <w:hideMark/>
          </w:tcPr>
          <w:p w14:paraId="74FAC622"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292,5</w:t>
            </w:r>
          </w:p>
        </w:tc>
        <w:tc>
          <w:tcPr>
            <w:tcW w:w="1172" w:type="dxa"/>
            <w:tcBorders>
              <w:top w:val="nil"/>
              <w:left w:val="nil"/>
              <w:bottom w:val="single" w:sz="4" w:space="0" w:color="auto"/>
              <w:right w:val="nil"/>
            </w:tcBorders>
            <w:shd w:val="clear" w:color="auto" w:fill="auto"/>
            <w:noWrap/>
            <w:vAlign w:val="center"/>
            <w:hideMark/>
          </w:tcPr>
          <w:p w14:paraId="53900E7F" w14:textId="25EA8B8B"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0,8</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single" w:sz="8" w:space="0" w:color="auto"/>
              <w:bottom w:val="single" w:sz="4" w:space="0" w:color="auto"/>
              <w:right w:val="single" w:sz="4" w:space="0" w:color="auto"/>
            </w:tcBorders>
            <w:shd w:val="clear" w:color="auto" w:fill="auto"/>
            <w:noWrap/>
            <w:vAlign w:val="center"/>
            <w:hideMark/>
          </w:tcPr>
          <w:p w14:paraId="5888F99F"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341,9</w:t>
            </w:r>
          </w:p>
        </w:tc>
        <w:tc>
          <w:tcPr>
            <w:tcW w:w="1172" w:type="dxa"/>
            <w:tcBorders>
              <w:top w:val="nil"/>
              <w:left w:val="nil"/>
              <w:bottom w:val="single" w:sz="4" w:space="0" w:color="auto"/>
              <w:right w:val="single" w:sz="8" w:space="0" w:color="auto"/>
            </w:tcBorders>
            <w:shd w:val="clear" w:color="auto" w:fill="auto"/>
            <w:noWrap/>
            <w:vAlign w:val="center"/>
            <w:hideMark/>
          </w:tcPr>
          <w:p w14:paraId="19DD40A6" w14:textId="7827FEDB"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0,9</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c>
          <w:tcPr>
            <w:tcW w:w="1172" w:type="dxa"/>
            <w:tcBorders>
              <w:top w:val="nil"/>
              <w:left w:val="nil"/>
              <w:bottom w:val="single" w:sz="4" w:space="0" w:color="auto"/>
              <w:right w:val="single" w:sz="4" w:space="0" w:color="auto"/>
            </w:tcBorders>
            <w:shd w:val="clear" w:color="auto" w:fill="auto"/>
            <w:noWrap/>
            <w:vAlign w:val="center"/>
            <w:hideMark/>
          </w:tcPr>
          <w:p w14:paraId="5805EBC2"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479,7</w:t>
            </w:r>
          </w:p>
        </w:tc>
        <w:tc>
          <w:tcPr>
            <w:tcW w:w="1077" w:type="dxa"/>
            <w:tcBorders>
              <w:top w:val="nil"/>
              <w:left w:val="nil"/>
              <w:bottom w:val="single" w:sz="4" w:space="0" w:color="auto"/>
              <w:right w:val="single" w:sz="8" w:space="0" w:color="auto"/>
            </w:tcBorders>
            <w:shd w:val="clear" w:color="auto" w:fill="auto"/>
            <w:noWrap/>
            <w:vAlign w:val="center"/>
            <w:hideMark/>
          </w:tcPr>
          <w:p w14:paraId="763247F1" w14:textId="72192CBE" w:rsidR="00435BB4" w:rsidRPr="00BD1954" w:rsidRDefault="00435BB4" w:rsidP="00BD1954">
            <w:pPr>
              <w:spacing w:before="20" w:after="20" w:line="240" w:lineRule="auto"/>
              <w:ind w:right="15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1,4</w:t>
            </w:r>
            <w:r w:rsidR="00014F37">
              <w:rPr>
                <w:rFonts w:ascii="Calibri" w:eastAsia="Times New Roman" w:hAnsi="Calibri" w:cs="Calibri"/>
                <w:color w:val="000000"/>
                <w:sz w:val="20"/>
                <w:szCs w:val="20"/>
                <w:lang w:eastAsia="cs-CZ"/>
              </w:rPr>
              <w:t> </w:t>
            </w:r>
            <w:r w:rsidRPr="00BD1954">
              <w:rPr>
                <w:rFonts w:ascii="Calibri" w:eastAsia="Times New Roman" w:hAnsi="Calibri" w:cs="Calibri"/>
                <w:color w:val="000000"/>
                <w:sz w:val="20"/>
                <w:szCs w:val="20"/>
                <w:lang w:eastAsia="cs-CZ"/>
              </w:rPr>
              <w:t>%</w:t>
            </w:r>
          </w:p>
        </w:tc>
      </w:tr>
      <w:tr w:rsidR="00435BB4" w:rsidRPr="00BD1954" w14:paraId="4CADF18E" w14:textId="77777777" w:rsidTr="00BD1954">
        <w:trPr>
          <w:trHeight w:val="315"/>
        </w:trPr>
        <w:tc>
          <w:tcPr>
            <w:tcW w:w="2400" w:type="dxa"/>
            <w:tcBorders>
              <w:top w:val="nil"/>
              <w:left w:val="single" w:sz="8" w:space="0" w:color="auto"/>
              <w:bottom w:val="single" w:sz="8" w:space="0" w:color="auto"/>
              <w:right w:val="nil"/>
            </w:tcBorders>
            <w:shd w:val="clear" w:color="auto" w:fill="auto"/>
            <w:vAlign w:val="center"/>
            <w:hideMark/>
          </w:tcPr>
          <w:p w14:paraId="28FADF78" w14:textId="77777777" w:rsidR="00435BB4" w:rsidRPr="00BD1954" w:rsidRDefault="00435BB4" w:rsidP="00BD1954">
            <w:pPr>
              <w:spacing w:before="20" w:after="20" w:line="240" w:lineRule="auto"/>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xml:space="preserve">Celkem </w:t>
            </w:r>
          </w:p>
        </w:tc>
        <w:tc>
          <w:tcPr>
            <w:tcW w:w="1172" w:type="dxa"/>
            <w:tcBorders>
              <w:top w:val="nil"/>
              <w:left w:val="single" w:sz="8" w:space="0" w:color="auto"/>
              <w:bottom w:val="single" w:sz="8" w:space="0" w:color="auto"/>
              <w:right w:val="single" w:sz="4" w:space="0" w:color="auto"/>
            </w:tcBorders>
            <w:shd w:val="clear" w:color="auto" w:fill="auto"/>
            <w:vAlign w:val="center"/>
            <w:hideMark/>
          </w:tcPr>
          <w:p w14:paraId="3B5BC2EE"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23 739,8</w:t>
            </w:r>
          </w:p>
        </w:tc>
        <w:tc>
          <w:tcPr>
            <w:tcW w:w="1172" w:type="dxa"/>
            <w:tcBorders>
              <w:top w:val="nil"/>
              <w:left w:val="nil"/>
              <w:bottom w:val="single" w:sz="8" w:space="0" w:color="auto"/>
              <w:right w:val="single" w:sz="8" w:space="0" w:color="auto"/>
            </w:tcBorders>
            <w:shd w:val="clear" w:color="auto" w:fill="auto"/>
            <w:noWrap/>
            <w:vAlign w:val="center"/>
            <w:hideMark/>
          </w:tcPr>
          <w:p w14:paraId="4A52081E" w14:textId="77777777" w:rsidR="00435BB4" w:rsidRPr="00BD1954" w:rsidRDefault="00435BB4" w:rsidP="00BD1954">
            <w:pPr>
              <w:spacing w:before="20" w:after="20" w:line="240" w:lineRule="auto"/>
              <w:ind w:right="13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1172" w:type="dxa"/>
            <w:tcBorders>
              <w:top w:val="nil"/>
              <w:left w:val="nil"/>
              <w:bottom w:val="single" w:sz="8" w:space="0" w:color="auto"/>
              <w:right w:val="single" w:sz="4" w:space="0" w:color="auto"/>
            </w:tcBorders>
            <w:shd w:val="clear" w:color="auto" w:fill="auto"/>
            <w:vAlign w:val="center"/>
            <w:hideMark/>
          </w:tcPr>
          <w:p w14:paraId="480E30B4"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28 273,0</w:t>
            </w:r>
          </w:p>
        </w:tc>
        <w:tc>
          <w:tcPr>
            <w:tcW w:w="1172" w:type="dxa"/>
            <w:tcBorders>
              <w:top w:val="nil"/>
              <w:left w:val="nil"/>
              <w:bottom w:val="single" w:sz="8" w:space="0" w:color="auto"/>
              <w:right w:val="single" w:sz="8" w:space="0" w:color="auto"/>
            </w:tcBorders>
            <w:shd w:val="clear" w:color="auto" w:fill="auto"/>
            <w:noWrap/>
            <w:vAlign w:val="center"/>
            <w:hideMark/>
          </w:tcPr>
          <w:p w14:paraId="636F4002" w14:textId="77777777" w:rsidR="00435BB4" w:rsidRPr="00BD1954" w:rsidRDefault="00435BB4" w:rsidP="00BD1954">
            <w:pPr>
              <w:spacing w:before="20" w:after="20" w:line="240" w:lineRule="auto"/>
              <w:ind w:right="203"/>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1171" w:type="dxa"/>
            <w:tcBorders>
              <w:top w:val="nil"/>
              <w:left w:val="nil"/>
              <w:bottom w:val="single" w:sz="8" w:space="0" w:color="auto"/>
              <w:right w:val="single" w:sz="4" w:space="0" w:color="auto"/>
            </w:tcBorders>
            <w:shd w:val="clear" w:color="auto" w:fill="auto"/>
            <w:vAlign w:val="center"/>
            <w:hideMark/>
          </w:tcPr>
          <w:p w14:paraId="3DF765AB"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37 209,3</w:t>
            </w:r>
          </w:p>
        </w:tc>
        <w:tc>
          <w:tcPr>
            <w:tcW w:w="1172" w:type="dxa"/>
            <w:tcBorders>
              <w:top w:val="nil"/>
              <w:left w:val="nil"/>
              <w:bottom w:val="single" w:sz="8" w:space="0" w:color="auto"/>
              <w:right w:val="nil"/>
            </w:tcBorders>
            <w:shd w:val="clear" w:color="auto" w:fill="auto"/>
            <w:noWrap/>
            <w:vAlign w:val="center"/>
            <w:hideMark/>
          </w:tcPr>
          <w:p w14:paraId="57041BE6" w14:textId="77777777"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1172" w:type="dxa"/>
            <w:tcBorders>
              <w:top w:val="nil"/>
              <w:left w:val="single" w:sz="8" w:space="0" w:color="auto"/>
              <w:bottom w:val="single" w:sz="8" w:space="0" w:color="auto"/>
              <w:right w:val="single" w:sz="4" w:space="0" w:color="auto"/>
            </w:tcBorders>
            <w:shd w:val="clear" w:color="auto" w:fill="auto"/>
            <w:vAlign w:val="center"/>
            <w:hideMark/>
          </w:tcPr>
          <w:p w14:paraId="53AF2B08"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36 849,4</w:t>
            </w:r>
          </w:p>
        </w:tc>
        <w:tc>
          <w:tcPr>
            <w:tcW w:w="1172" w:type="dxa"/>
            <w:tcBorders>
              <w:top w:val="nil"/>
              <w:left w:val="nil"/>
              <w:bottom w:val="single" w:sz="8" w:space="0" w:color="auto"/>
              <w:right w:val="single" w:sz="8" w:space="0" w:color="auto"/>
            </w:tcBorders>
            <w:shd w:val="clear" w:color="auto" w:fill="auto"/>
            <w:noWrap/>
            <w:vAlign w:val="center"/>
            <w:hideMark/>
          </w:tcPr>
          <w:p w14:paraId="0212C201" w14:textId="77777777" w:rsidR="00435BB4" w:rsidRPr="00BD1954" w:rsidRDefault="00435BB4" w:rsidP="00BD1954">
            <w:pPr>
              <w:spacing w:before="20" w:after="20" w:line="240" w:lineRule="auto"/>
              <w:ind w:right="216"/>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c>
          <w:tcPr>
            <w:tcW w:w="1172" w:type="dxa"/>
            <w:tcBorders>
              <w:top w:val="nil"/>
              <w:left w:val="nil"/>
              <w:bottom w:val="single" w:sz="8" w:space="0" w:color="auto"/>
              <w:right w:val="single" w:sz="4" w:space="0" w:color="auto"/>
            </w:tcBorders>
            <w:shd w:val="clear" w:color="auto" w:fill="auto"/>
            <w:vAlign w:val="center"/>
            <w:hideMark/>
          </w:tcPr>
          <w:p w14:paraId="24A949A7" w14:textId="77777777" w:rsidR="00435BB4" w:rsidRPr="00BD1954" w:rsidRDefault="00435BB4" w:rsidP="00BD1954">
            <w:pPr>
              <w:spacing w:before="20" w:after="20" w:line="240" w:lineRule="auto"/>
              <w:ind w:right="95"/>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34 061,7</w:t>
            </w:r>
          </w:p>
        </w:tc>
        <w:tc>
          <w:tcPr>
            <w:tcW w:w="1077" w:type="dxa"/>
            <w:tcBorders>
              <w:top w:val="nil"/>
              <w:left w:val="nil"/>
              <w:bottom w:val="single" w:sz="8" w:space="0" w:color="auto"/>
              <w:right w:val="single" w:sz="8" w:space="0" w:color="auto"/>
            </w:tcBorders>
            <w:shd w:val="clear" w:color="auto" w:fill="auto"/>
            <w:noWrap/>
            <w:vAlign w:val="center"/>
            <w:hideMark/>
          </w:tcPr>
          <w:p w14:paraId="0D7B425F" w14:textId="77777777" w:rsidR="00435BB4" w:rsidRPr="00BD1954" w:rsidRDefault="00435BB4" w:rsidP="00BD1954">
            <w:pPr>
              <w:spacing w:before="20" w:after="20" w:line="240" w:lineRule="auto"/>
              <w:ind w:right="151"/>
              <w:jc w:val="right"/>
              <w:rPr>
                <w:rFonts w:ascii="Calibri" w:eastAsia="Times New Roman" w:hAnsi="Calibri" w:cs="Calibri"/>
                <w:color w:val="000000"/>
                <w:sz w:val="20"/>
                <w:szCs w:val="20"/>
                <w:lang w:eastAsia="cs-CZ"/>
              </w:rPr>
            </w:pPr>
            <w:r w:rsidRPr="00BD1954">
              <w:rPr>
                <w:rFonts w:ascii="Calibri" w:eastAsia="Times New Roman" w:hAnsi="Calibri" w:cs="Calibri"/>
                <w:color w:val="000000"/>
                <w:sz w:val="20"/>
                <w:szCs w:val="20"/>
                <w:lang w:eastAsia="cs-CZ"/>
              </w:rPr>
              <w:t> </w:t>
            </w:r>
          </w:p>
        </w:tc>
      </w:tr>
      <w:tr w:rsidR="00435BB4" w:rsidRPr="00BD1954" w14:paraId="76ABD479" w14:textId="77777777" w:rsidTr="00BD1954">
        <w:trPr>
          <w:trHeight w:val="315"/>
        </w:trPr>
        <w:tc>
          <w:tcPr>
            <w:tcW w:w="14024" w:type="dxa"/>
            <w:gridSpan w:val="11"/>
            <w:tcBorders>
              <w:top w:val="nil"/>
              <w:left w:val="nil"/>
              <w:bottom w:val="nil"/>
              <w:right w:val="nil"/>
            </w:tcBorders>
            <w:shd w:val="clear" w:color="auto" w:fill="auto"/>
            <w:hideMark/>
          </w:tcPr>
          <w:p w14:paraId="4818B385" w14:textId="77777777" w:rsidR="00435BB4" w:rsidRPr="00BD1954" w:rsidRDefault="00435BB4" w:rsidP="0078262D">
            <w:pPr>
              <w:spacing w:before="40" w:after="20" w:line="240" w:lineRule="auto"/>
              <w:ind w:hanging="74"/>
              <w:rPr>
                <w:rFonts w:ascii="Calibri" w:eastAsia="Times New Roman" w:hAnsi="Calibri" w:cs="Calibri"/>
                <w:color w:val="000000"/>
                <w:sz w:val="20"/>
                <w:szCs w:val="20"/>
                <w:lang w:eastAsia="cs-CZ"/>
              </w:rPr>
            </w:pPr>
            <w:r w:rsidRPr="00BD1954">
              <w:rPr>
                <w:rFonts w:ascii="Calibri" w:eastAsia="Times New Roman" w:hAnsi="Calibri" w:cs="Calibri"/>
                <w:b/>
                <w:color w:val="000000"/>
                <w:sz w:val="20"/>
                <w:szCs w:val="20"/>
                <w:lang w:eastAsia="cs-CZ"/>
              </w:rPr>
              <w:t>Zdroj:</w:t>
            </w:r>
            <w:r w:rsidRPr="00BD1954">
              <w:rPr>
                <w:rFonts w:ascii="Calibri" w:eastAsia="Times New Roman" w:hAnsi="Calibri" w:cs="Calibri"/>
                <w:color w:val="000000"/>
                <w:sz w:val="20"/>
                <w:szCs w:val="20"/>
                <w:lang w:eastAsia="cs-CZ"/>
              </w:rPr>
              <w:t xml:space="preserve"> </w:t>
            </w:r>
            <w:r w:rsidRPr="00435EF1">
              <w:rPr>
                <w:rFonts w:ascii="Calibri" w:eastAsia="Times New Roman" w:hAnsi="Calibri" w:cs="Calibri"/>
                <w:i/>
                <w:color w:val="000000"/>
                <w:sz w:val="20"/>
                <w:szCs w:val="20"/>
                <w:lang w:eastAsia="cs-CZ"/>
              </w:rPr>
              <w:t>Ročenka dopravy 2017</w:t>
            </w:r>
            <w:r w:rsidR="00BC7005" w:rsidRPr="00BD1954">
              <w:rPr>
                <w:rFonts w:ascii="Calibri" w:eastAsia="Times New Roman" w:hAnsi="Calibri" w:cs="Calibri"/>
                <w:color w:val="000000"/>
                <w:sz w:val="20"/>
                <w:szCs w:val="20"/>
                <w:lang w:eastAsia="cs-CZ"/>
              </w:rPr>
              <w:t>.</w:t>
            </w:r>
          </w:p>
        </w:tc>
      </w:tr>
    </w:tbl>
    <w:p w14:paraId="39031A06" w14:textId="77777777" w:rsidR="00435BB4" w:rsidRPr="002624B9" w:rsidRDefault="00435BB4" w:rsidP="00BC7005">
      <w:pPr>
        <w:spacing w:after="0" w:line="240" w:lineRule="auto"/>
        <w:contextualSpacing/>
        <w:jc w:val="both"/>
        <w:rPr>
          <w:rFonts w:cstheme="minorHAnsi"/>
          <w:sz w:val="24"/>
          <w:szCs w:val="24"/>
        </w:rPr>
      </w:pPr>
    </w:p>
    <w:sectPr w:rsidR="00435BB4" w:rsidRPr="002624B9" w:rsidSect="00435BB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AA6A" w14:textId="77777777" w:rsidR="00435EF1" w:rsidRDefault="00435EF1">
      <w:pPr>
        <w:spacing w:after="0" w:line="240" w:lineRule="auto"/>
      </w:pPr>
      <w:r>
        <w:separator/>
      </w:r>
    </w:p>
  </w:endnote>
  <w:endnote w:type="continuationSeparator" w:id="0">
    <w:p w14:paraId="0301EF19" w14:textId="77777777" w:rsidR="00435EF1" w:rsidRDefault="0043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C4AF1" w14:textId="77777777" w:rsidR="00556A0B" w:rsidRDefault="00556A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742505"/>
      <w:docPartObj>
        <w:docPartGallery w:val="Page Numbers (Bottom of Page)"/>
        <w:docPartUnique/>
      </w:docPartObj>
    </w:sdtPr>
    <w:sdtEndPr>
      <w:rPr>
        <w:rFonts w:ascii="Calibri" w:hAnsi="Calibri" w:cs="Calibri"/>
        <w:sz w:val="24"/>
        <w:szCs w:val="24"/>
      </w:rPr>
    </w:sdtEndPr>
    <w:sdtContent>
      <w:p w14:paraId="7DCE1BCC" w14:textId="49E344E1" w:rsidR="00435EF1" w:rsidRPr="00995237" w:rsidRDefault="00435EF1" w:rsidP="00995237">
        <w:pPr>
          <w:pStyle w:val="Zpat"/>
          <w:jc w:val="center"/>
          <w:rPr>
            <w:rFonts w:ascii="Calibri" w:hAnsi="Calibri" w:cs="Calibri"/>
            <w:sz w:val="24"/>
            <w:szCs w:val="24"/>
          </w:rPr>
        </w:pPr>
        <w:r w:rsidRPr="00995237">
          <w:rPr>
            <w:rFonts w:ascii="Calibri" w:hAnsi="Calibri" w:cs="Calibri"/>
            <w:sz w:val="24"/>
            <w:szCs w:val="24"/>
          </w:rPr>
          <w:fldChar w:fldCharType="begin"/>
        </w:r>
        <w:r w:rsidRPr="00995237">
          <w:rPr>
            <w:rFonts w:ascii="Calibri" w:hAnsi="Calibri" w:cs="Calibri"/>
            <w:sz w:val="24"/>
            <w:szCs w:val="24"/>
          </w:rPr>
          <w:instrText>PAGE   \* MERGEFORMAT</w:instrText>
        </w:r>
        <w:r w:rsidRPr="00995237">
          <w:rPr>
            <w:rFonts w:ascii="Calibri" w:hAnsi="Calibri" w:cs="Calibri"/>
            <w:sz w:val="24"/>
            <w:szCs w:val="24"/>
          </w:rPr>
          <w:fldChar w:fldCharType="separate"/>
        </w:r>
        <w:r w:rsidR="00556A0B">
          <w:rPr>
            <w:rFonts w:ascii="Calibri" w:hAnsi="Calibri" w:cs="Calibri"/>
            <w:noProof/>
            <w:sz w:val="24"/>
            <w:szCs w:val="24"/>
          </w:rPr>
          <w:t>22</w:t>
        </w:r>
        <w:r w:rsidRPr="00995237">
          <w:rPr>
            <w:rFonts w:ascii="Calibri" w:hAnsi="Calibri" w:cs="Calibr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44756"/>
      <w:docPartObj>
        <w:docPartGallery w:val="Page Numbers (Bottom of Page)"/>
        <w:docPartUnique/>
      </w:docPartObj>
    </w:sdtPr>
    <w:sdtEndPr>
      <w:rPr>
        <w:sz w:val="24"/>
      </w:rPr>
    </w:sdtEndPr>
    <w:sdtContent>
      <w:p w14:paraId="7C4A5591" w14:textId="43C1A489" w:rsidR="00435EF1" w:rsidRPr="0078262D" w:rsidRDefault="00435EF1" w:rsidP="0078262D">
        <w:pPr>
          <w:pStyle w:val="Zpat"/>
          <w:jc w:val="center"/>
          <w:rPr>
            <w:sz w:val="24"/>
          </w:rPr>
        </w:pPr>
        <w:r w:rsidRPr="0078262D">
          <w:rPr>
            <w:sz w:val="24"/>
          </w:rPr>
          <w:fldChar w:fldCharType="begin"/>
        </w:r>
        <w:r w:rsidRPr="0078262D">
          <w:rPr>
            <w:sz w:val="24"/>
          </w:rPr>
          <w:instrText>PAGE   \* MERGEFORMAT</w:instrText>
        </w:r>
        <w:r w:rsidRPr="0078262D">
          <w:rPr>
            <w:sz w:val="24"/>
          </w:rPr>
          <w:fldChar w:fldCharType="separate"/>
        </w:r>
        <w:r w:rsidR="00556A0B">
          <w:rPr>
            <w:noProof/>
            <w:sz w:val="24"/>
          </w:rPr>
          <w:t>1</w:t>
        </w:r>
        <w:r w:rsidRPr="0078262D">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9018F" w14:textId="77777777" w:rsidR="00435EF1" w:rsidRDefault="00435EF1" w:rsidP="00916EDC">
      <w:pPr>
        <w:spacing w:after="0" w:line="240" w:lineRule="auto"/>
      </w:pPr>
      <w:r>
        <w:separator/>
      </w:r>
    </w:p>
  </w:footnote>
  <w:footnote w:type="continuationSeparator" w:id="0">
    <w:p w14:paraId="78860454" w14:textId="77777777" w:rsidR="00435EF1" w:rsidRDefault="00435EF1" w:rsidP="00916EDC">
      <w:pPr>
        <w:spacing w:after="0" w:line="240" w:lineRule="auto"/>
      </w:pPr>
      <w:r>
        <w:continuationSeparator/>
      </w:r>
    </w:p>
  </w:footnote>
  <w:footnote w:id="1">
    <w:p w14:paraId="6822F028" w14:textId="5A86D5EC" w:rsidR="00435EF1" w:rsidRPr="00666077" w:rsidRDefault="00435EF1" w:rsidP="00830BD1">
      <w:pPr>
        <w:pStyle w:val="Textpoznpodarou"/>
        <w:ind w:left="284" w:hanging="284"/>
        <w:contextualSpacing/>
      </w:pPr>
      <w:r>
        <w:rPr>
          <w:rStyle w:val="Znakapoznpodarou"/>
        </w:rPr>
        <w:footnoteRef/>
      </w:r>
      <w:r>
        <w:t xml:space="preserve"> </w:t>
      </w:r>
      <w:r>
        <w:tab/>
        <w:t>Údaje nezahrnují</w:t>
      </w:r>
      <w:r w:rsidRPr="00577750">
        <w:t xml:space="preserve"> </w:t>
      </w:r>
      <w:r>
        <w:t>přepravu věcí leteckou dopravou</w:t>
      </w:r>
      <w:r w:rsidR="00EC6350" w:rsidRPr="00EC6350">
        <w:t xml:space="preserve"> </w:t>
      </w:r>
      <w:r w:rsidR="00EC6350">
        <w:t>a ropovody</w:t>
      </w:r>
      <w:r>
        <w:t>.</w:t>
      </w:r>
    </w:p>
  </w:footnote>
  <w:footnote w:id="2">
    <w:p w14:paraId="1F640A78" w14:textId="09D11B49" w:rsidR="00435EF1" w:rsidRDefault="00435EF1" w:rsidP="006E50B7">
      <w:pPr>
        <w:pStyle w:val="Textpoznpodarou"/>
        <w:ind w:left="284" w:hanging="284"/>
        <w:jc w:val="both"/>
      </w:pPr>
      <w:r>
        <w:rPr>
          <w:rStyle w:val="Znakapoznpodarou"/>
        </w:rPr>
        <w:footnoteRef/>
      </w:r>
      <w:r>
        <w:tab/>
        <w:t xml:space="preserve">Kontrolní akce č. </w:t>
      </w:r>
      <w:r>
        <w:rPr>
          <w:rFonts w:cstheme="minorHAnsi"/>
        </w:rPr>
        <w:t>08</w:t>
      </w:r>
      <w:r w:rsidRPr="000A7569">
        <w:rPr>
          <w:rFonts w:cstheme="minorHAnsi"/>
        </w:rPr>
        <w:t>/</w:t>
      </w:r>
      <w:r>
        <w:rPr>
          <w:rFonts w:cstheme="minorHAnsi"/>
        </w:rPr>
        <w:t>19</w:t>
      </w:r>
      <w:r w:rsidRPr="000A7569">
        <w:rPr>
          <w:rFonts w:cstheme="minorHAnsi"/>
        </w:rPr>
        <w:t xml:space="preserve"> </w:t>
      </w:r>
      <w:r>
        <w:rPr>
          <w:rFonts w:cstheme="minorHAnsi"/>
        </w:rPr>
        <w:t xml:space="preserve">– </w:t>
      </w:r>
      <w:r w:rsidRPr="00435EF1">
        <w:rPr>
          <w:rFonts w:cstheme="minorHAnsi"/>
          <w:i/>
        </w:rPr>
        <w:t>Finanční prostředky určené na rozvoj a modernizaci vodních cest a přístavů</w:t>
      </w:r>
      <w:r>
        <w:rPr>
          <w:rFonts w:cstheme="minorHAnsi"/>
        </w:rPr>
        <w:t xml:space="preserve"> (kontrolní závěr byl zveřejněn v </w:t>
      </w:r>
      <w:r w:rsidRPr="00641F62">
        <w:rPr>
          <w:rFonts w:cstheme="minorHAnsi"/>
        </w:rPr>
        <w:t xml:space="preserve">částce </w:t>
      </w:r>
      <w:r>
        <w:rPr>
          <w:rFonts w:cstheme="minorHAnsi"/>
        </w:rPr>
        <w:t>1</w:t>
      </w:r>
      <w:r w:rsidRPr="00641F62">
        <w:rPr>
          <w:rFonts w:cstheme="minorHAnsi"/>
        </w:rPr>
        <w:t>/20</w:t>
      </w:r>
      <w:r>
        <w:rPr>
          <w:rFonts w:cstheme="minorHAnsi"/>
        </w:rPr>
        <w:t>09</w:t>
      </w:r>
      <w:r w:rsidRPr="00641F62">
        <w:rPr>
          <w:rFonts w:cstheme="minorHAnsi"/>
        </w:rPr>
        <w:t xml:space="preserve"> </w:t>
      </w:r>
      <w:r w:rsidRPr="00435EF1">
        <w:rPr>
          <w:rFonts w:cstheme="minorHAnsi"/>
          <w:i/>
        </w:rPr>
        <w:t>Věstníku NKÚ</w:t>
      </w:r>
      <w:r w:rsidRPr="00641F62">
        <w:rPr>
          <w:rFonts w:cstheme="minorHAnsi"/>
        </w:rPr>
        <w:t>)</w:t>
      </w:r>
      <w:r>
        <w:rPr>
          <w:rFonts w:cstheme="minorHAnsi"/>
        </w:rPr>
        <w:t xml:space="preserve"> a kontrolní akce č. </w:t>
      </w:r>
      <w:r w:rsidRPr="000A7569">
        <w:rPr>
          <w:rFonts w:cstheme="minorHAnsi"/>
        </w:rPr>
        <w:t xml:space="preserve">14/03 </w:t>
      </w:r>
      <w:r>
        <w:rPr>
          <w:rFonts w:cstheme="minorHAnsi"/>
        </w:rPr>
        <w:t xml:space="preserve">– </w:t>
      </w:r>
      <w:r w:rsidRPr="00435EF1">
        <w:rPr>
          <w:rFonts w:cstheme="minorHAnsi"/>
          <w:i/>
        </w:rPr>
        <w:t>Peněžní prostředky určené na rozvoj a modernizaci vodních cest a přístavů a na podporu multimodální nákladní přepravy</w:t>
      </w:r>
      <w:r>
        <w:rPr>
          <w:rFonts w:cstheme="minorHAnsi"/>
        </w:rPr>
        <w:t xml:space="preserve"> (kontrolní závěr byl zveřejněn v </w:t>
      </w:r>
      <w:r w:rsidRPr="00641F62">
        <w:rPr>
          <w:rFonts w:cstheme="minorHAnsi"/>
        </w:rPr>
        <w:t xml:space="preserve">částce </w:t>
      </w:r>
      <w:r>
        <w:rPr>
          <w:rFonts w:cstheme="minorHAnsi"/>
        </w:rPr>
        <w:t>4</w:t>
      </w:r>
      <w:r w:rsidRPr="00641F62">
        <w:rPr>
          <w:rFonts w:cstheme="minorHAnsi"/>
        </w:rPr>
        <w:t>/201</w:t>
      </w:r>
      <w:r>
        <w:rPr>
          <w:rFonts w:cstheme="minorHAnsi"/>
        </w:rPr>
        <w:t>4</w:t>
      </w:r>
      <w:r w:rsidRPr="00641F62">
        <w:rPr>
          <w:rFonts w:cstheme="minorHAnsi"/>
        </w:rPr>
        <w:t xml:space="preserve"> </w:t>
      </w:r>
      <w:r w:rsidRPr="00435EF1">
        <w:rPr>
          <w:rFonts w:cstheme="minorHAnsi"/>
          <w:i/>
        </w:rPr>
        <w:t>Věstníku NKÚ</w:t>
      </w:r>
      <w:r w:rsidRPr="00641F62">
        <w:rPr>
          <w:rFonts w:cstheme="minorHAnsi"/>
        </w:rPr>
        <w:t>)</w:t>
      </w:r>
      <w:r w:rsidRPr="003F4255">
        <w:rPr>
          <w:rFonts w:eastAsia="Arial Unicode MS" w:cstheme="minorHAnsi"/>
          <w:bCs/>
          <w:lang w:eastAsia="cs-CZ"/>
        </w:rPr>
        <w:t>.</w:t>
      </w:r>
    </w:p>
  </w:footnote>
  <w:footnote w:id="3">
    <w:p w14:paraId="5BF27290" w14:textId="2E9463C5" w:rsidR="00435EF1" w:rsidRDefault="00435EF1" w:rsidP="006E50B7">
      <w:pPr>
        <w:pStyle w:val="Textpoznpodarou"/>
        <w:ind w:left="284" w:hanging="284"/>
        <w:jc w:val="both"/>
      </w:pPr>
      <w:r>
        <w:rPr>
          <w:rStyle w:val="Znakapoznpodarou"/>
        </w:rPr>
        <w:footnoteRef/>
      </w:r>
      <w:r>
        <w:tab/>
        <w:t xml:space="preserve">Dokument </w:t>
      </w:r>
      <w:r w:rsidRPr="00435EF1">
        <w:rPr>
          <w:rFonts w:cstheme="minorHAnsi"/>
          <w:i/>
          <w:iCs/>
        </w:rPr>
        <w:t>Komplexní vyhodnocení ekonomické efektivnosti veřejných investic do rozvoje infrastruktury vodních cest vhodných pro nákladní vnitrozemskou dopravu v ČR</w:t>
      </w:r>
      <w:r w:rsidRPr="000A7569">
        <w:rPr>
          <w:rFonts w:cstheme="minorHAnsi"/>
        </w:rPr>
        <w:t xml:space="preserve"> </w:t>
      </w:r>
      <w:r>
        <w:rPr>
          <w:rFonts w:cstheme="minorHAnsi"/>
        </w:rPr>
        <w:t>z února 2016</w:t>
      </w:r>
      <w:r w:rsidRPr="003F4255">
        <w:rPr>
          <w:rFonts w:eastAsia="Arial Unicode MS" w:cstheme="minorHAnsi"/>
          <w:bCs/>
          <w:lang w:eastAsia="cs-CZ"/>
        </w:rPr>
        <w:t>.</w:t>
      </w:r>
    </w:p>
  </w:footnote>
  <w:footnote w:id="4">
    <w:p w14:paraId="7F21D766" w14:textId="3D456735" w:rsidR="00435EF1" w:rsidRDefault="00435EF1" w:rsidP="006E50B7">
      <w:pPr>
        <w:pStyle w:val="Textpoznpodarou"/>
        <w:ind w:left="284" w:hanging="284"/>
        <w:jc w:val="both"/>
      </w:pPr>
      <w:r>
        <w:rPr>
          <w:rStyle w:val="Znakapoznpodarou"/>
        </w:rPr>
        <w:footnoteRef/>
      </w:r>
      <w:r>
        <w:tab/>
        <w:t>Dokument</w:t>
      </w:r>
      <w:r w:rsidRPr="000A7569">
        <w:rPr>
          <w:rFonts w:cstheme="minorHAnsi"/>
        </w:rPr>
        <w:t xml:space="preserve"> </w:t>
      </w:r>
      <w:r w:rsidRPr="00435EF1">
        <w:rPr>
          <w:rFonts w:cstheme="minorHAnsi"/>
          <w:i/>
        </w:rPr>
        <w:t>Koncepce vodní dopravy pro období 2016–2023</w:t>
      </w:r>
      <w:r w:rsidRPr="000A7569">
        <w:rPr>
          <w:rFonts w:cstheme="minorHAnsi"/>
        </w:rPr>
        <w:t xml:space="preserve"> </w:t>
      </w:r>
      <w:r>
        <w:rPr>
          <w:rFonts w:cstheme="minorHAnsi"/>
        </w:rPr>
        <w:t>vzala vláda na vědomí</w:t>
      </w:r>
      <w:r w:rsidRPr="000A7569">
        <w:rPr>
          <w:rFonts w:cstheme="minorHAnsi"/>
        </w:rPr>
        <w:t xml:space="preserve"> usnesením ze dne 25.</w:t>
      </w:r>
      <w:r>
        <w:rPr>
          <w:rFonts w:cstheme="minorHAnsi"/>
        </w:rPr>
        <w:t> </w:t>
      </w:r>
      <w:r w:rsidRPr="000A7569">
        <w:rPr>
          <w:rFonts w:cstheme="minorHAnsi"/>
        </w:rPr>
        <w:t>září</w:t>
      </w:r>
      <w:r>
        <w:rPr>
          <w:rFonts w:cstheme="minorHAnsi"/>
        </w:rPr>
        <w:t> </w:t>
      </w:r>
      <w:r w:rsidRPr="000A7569">
        <w:rPr>
          <w:rFonts w:cstheme="minorHAnsi"/>
        </w:rPr>
        <w:t xml:space="preserve">2017 č. 685, </w:t>
      </w:r>
      <w:r w:rsidRPr="00435EF1">
        <w:rPr>
          <w:rFonts w:cstheme="minorHAnsi"/>
          <w:i/>
        </w:rPr>
        <w:t>ke Koncepci vodní dopravy pro období 2016–2023</w:t>
      </w:r>
      <w:r w:rsidRPr="003F4255">
        <w:rPr>
          <w:rFonts w:eastAsia="Arial Unicode MS" w:cstheme="minorHAnsi"/>
          <w:bCs/>
          <w:lang w:eastAsia="cs-CZ"/>
        </w:rPr>
        <w:t>.</w:t>
      </w:r>
    </w:p>
  </w:footnote>
  <w:footnote w:id="5">
    <w:p w14:paraId="50516322" w14:textId="77777777" w:rsidR="00435EF1" w:rsidRPr="00F14560" w:rsidRDefault="00435EF1" w:rsidP="006E50B7">
      <w:pPr>
        <w:pStyle w:val="poznmkapodarou"/>
        <w:rPr>
          <w:rFonts w:asciiTheme="minorHAnsi" w:eastAsiaTheme="minorHAnsi" w:hAnsiTheme="minorHAnsi" w:cstheme="minorHAnsi"/>
        </w:rPr>
      </w:pPr>
      <w:r w:rsidRPr="006E50B7">
        <w:rPr>
          <w:rFonts w:asciiTheme="minorHAnsi" w:eastAsiaTheme="minorHAnsi" w:hAnsiTheme="minorHAnsi" w:cstheme="minorHAnsi"/>
          <w:vertAlign w:val="superscript"/>
        </w:rPr>
        <w:footnoteRef/>
      </w:r>
      <w:r w:rsidRPr="006E50B7">
        <w:rPr>
          <w:rFonts w:asciiTheme="minorHAnsi" w:eastAsiaTheme="minorHAnsi" w:hAnsiTheme="minorHAnsi" w:cstheme="minorHAnsi"/>
          <w:vertAlign w:val="superscript"/>
        </w:rPr>
        <w:t xml:space="preserve">  </w:t>
      </w:r>
      <w:r>
        <w:rPr>
          <w:rFonts w:asciiTheme="minorHAnsi" w:eastAsiaTheme="minorHAnsi" w:hAnsiTheme="minorHAnsi" w:cstheme="minorHAnsi"/>
        </w:rPr>
        <w:tab/>
      </w:r>
      <w:r w:rsidRPr="00F14560">
        <w:rPr>
          <w:rFonts w:asciiTheme="minorHAnsi" w:eastAsiaTheme="minorHAnsi" w:hAnsiTheme="minorHAnsi" w:cstheme="minorHAnsi"/>
        </w:rPr>
        <w:t>Zákon č. 114/1995 Sb., o vnitrozemské plavbě.</w:t>
      </w:r>
    </w:p>
  </w:footnote>
  <w:footnote w:id="6">
    <w:p w14:paraId="5D54EB96" w14:textId="77777777" w:rsidR="00435EF1" w:rsidRPr="00F14560" w:rsidRDefault="00435EF1" w:rsidP="006E50B7">
      <w:pPr>
        <w:pStyle w:val="poznmkapodarou"/>
        <w:rPr>
          <w:rFonts w:asciiTheme="minorHAnsi" w:eastAsiaTheme="minorHAnsi" w:hAnsiTheme="minorHAnsi" w:cstheme="minorHAnsi"/>
        </w:rPr>
      </w:pPr>
      <w:r w:rsidRPr="006E50B7">
        <w:rPr>
          <w:rFonts w:asciiTheme="minorHAnsi" w:eastAsiaTheme="minorHAnsi" w:hAnsiTheme="minorHAnsi" w:cstheme="minorHAnsi"/>
          <w:vertAlign w:val="superscript"/>
        </w:rPr>
        <w:footnoteRef/>
      </w:r>
      <w:r w:rsidRPr="006E50B7">
        <w:rPr>
          <w:rFonts w:asciiTheme="minorHAnsi" w:eastAsiaTheme="minorHAnsi" w:hAnsiTheme="minorHAnsi" w:cstheme="minorHAnsi"/>
          <w:vertAlign w:val="superscript"/>
        </w:rPr>
        <w:t xml:space="preserve"> </w:t>
      </w:r>
      <w:r>
        <w:rPr>
          <w:rFonts w:asciiTheme="minorHAnsi" w:eastAsiaTheme="minorHAnsi" w:hAnsiTheme="minorHAnsi" w:cstheme="minorHAnsi"/>
        </w:rPr>
        <w:tab/>
      </w:r>
      <w:r w:rsidRPr="00F14560">
        <w:rPr>
          <w:rFonts w:asciiTheme="minorHAnsi" w:eastAsiaTheme="minorHAnsi" w:hAnsiTheme="minorHAnsi" w:cstheme="minorHAnsi"/>
        </w:rPr>
        <w:t xml:space="preserve">Vyhláška č. 222/1995 Sb., o vodních cestách, plavebním provozu v přístavech, společné havárii a dopravě nebezpečných věcí. </w:t>
      </w:r>
    </w:p>
  </w:footnote>
  <w:footnote w:id="7">
    <w:p w14:paraId="1DDECA56" w14:textId="77777777" w:rsidR="00435EF1" w:rsidRPr="004D06A3" w:rsidRDefault="00435EF1" w:rsidP="006E50B7">
      <w:pPr>
        <w:pStyle w:val="poznmkapodarou"/>
        <w:rPr>
          <w:rFonts w:asciiTheme="minorHAnsi" w:eastAsiaTheme="minorHAnsi" w:hAnsiTheme="minorHAnsi" w:cstheme="minorHAnsi"/>
        </w:rPr>
      </w:pPr>
      <w:r w:rsidRPr="006E50B7">
        <w:rPr>
          <w:rFonts w:asciiTheme="minorHAnsi" w:eastAsiaTheme="minorHAnsi" w:hAnsiTheme="minorHAnsi" w:cstheme="minorHAnsi"/>
          <w:vertAlign w:val="superscript"/>
        </w:rPr>
        <w:footnoteRef/>
      </w:r>
      <w:r w:rsidRPr="006E50B7">
        <w:rPr>
          <w:rFonts w:asciiTheme="minorHAnsi" w:eastAsiaTheme="minorHAnsi" w:hAnsiTheme="minorHAnsi" w:cstheme="minorHAnsi"/>
          <w:vertAlign w:val="superscript"/>
        </w:rPr>
        <w:t xml:space="preserve"> </w:t>
      </w:r>
      <w:r>
        <w:rPr>
          <w:rFonts w:asciiTheme="minorHAnsi" w:eastAsiaTheme="minorHAnsi" w:hAnsiTheme="minorHAnsi" w:cstheme="minorHAnsi"/>
        </w:rPr>
        <w:tab/>
      </w:r>
      <w:r w:rsidRPr="00435EF1">
        <w:rPr>
          <w:rFonts w:asciiTheme="minorHAnsi" w:eastAsiaTheme="minorHAnsi" w:hAnsiTheme="minorHAnsi" w:cstheme="minorHAnsi"/>
          <w:i/>
        </w:rPr>
        <w:t>Evropská dohoda o hlavních vnitrozemských vodních cestách mezinárodního významu</w:t>
      </w:r>
      <w:r w:rsidRPr="004D06A3">
        <w:rPr>
          <w:rFonts w:asciiTheme="minorHAnsi" w:eastAsiaTheme="minorHAnsi" w:hAnsiTheme="minorHAnsi" w:cstheme="minorHAnsi"/>
        </w:rPr>
        <w:t xml:space="preserve"> (AGN) přijatá Českou republikou a vyhlášená ve </w:t>
      </w:r>
      <w:r w:rsidRPr="00435EF1">
        <w:rPr>
          <w:rFonts w:asciiTheme="minorHAnsi" w:eastAsiaTheme="minorHAnsi" w:hAnsiTheme="minorHAnsi" w:cstheme="minorHAnsi"/>
          <w:i/>
        </w:rPr>
        <w:t>Sbírce zákonů</w:t>
      </w:r>
      <w:r w:rsidRPr="004D06A3">
        <w:rPr>
          <w:rFonts w:asciiTheme="minorHAnsi" w:eastAsiaTheme="minorHAnsi" w:hAnsiTheme="minorHAnsi" w:cstheme="minorHAnsi"/>
        </w:rPr>
        <w:t xml:space="preserve"> pod č. 163/1999 Sb.; vstoupila v platnost dne 26. 7. 1999.</w:t>
      </w:r>
    </w:p>
  </w:footnote>
  <w:footnote w:id="8">
    <w:p w14:paraId="07050DDA" w14:textId="2A953712" w:rsidR="00435EF1" w:rsidRPr="007E0D37" w:rsidRDefault="00435EF1" w:rsidP="006E50B7">
      <w:pPr>
        <w:autoSpaceDE w:val="0"/>
        <w:autoSpaceDN w:val="0"/>
        <w:adjustRightInd w:val="0"/>
        <w:spacing w:after="0" w:line="240" w:lineRule="auto"/>
        <w:ind w:left="284" w:hanging="284"/>
        <w:jc w:val="both"/>
        <w:rPr>
          <w:rFonts w:cstheme="minorHAnsi"/>
          <w:sz w:val="20"/>
          <w:szCs w:val="20"/>
        </w:rPr>
      </w:pPr>
      <w:r w:rsidRPr="006E50B7">
        <w:rPr>
          <w:rFonts w:cstheme="minorHAnsi"/>
          <w:sz w:val="20"/>
          <w:szCs w:val="20"/>
          <w:vertAlign w:val="superscript"/>
        </w:rPr>
        <w:footnoteRef/>
      </w:r>
      <w:r w:rsidRPr="006E50B7">
        <w:rPr>
          <w:rFonts w:cstheme="minorHAnsi"/>
          <w:sz w:val="20"/>
          <w:szCs w:val="20"/>
          <w:vertAlign w:val="superscript"/>
        </w:rPr>
        <w:t xml:space="preserve"> </w:t>
      </w:r>
      <w:r>
        <w:rPr>
          <w:rFonts w:cstheme="minorHAnsi"/>
          <w:sz w:val="20"/>
          <w:szCs w:val="20"/>
        </w:rPr>
        <w:tab/>
        <w:t>S</w:t>
      </w:r>
      <w:r w:rsidRPr="007E0D37">
        <w:rPr>
          <w:rFonts w:cstheme="minorHAnsi"/>
          <w:sz w:val="20"/>
          <w:szCs w:val="20"/>
        </w:rPr>
        <w:t xml:space="preserve">íť silničních a železničních koridorů, mezinárodních letišť a vodních cest schválená </w:t>
      </w:r>
      <w:r>
        <w:rPr>
          <w:rFonts w:cstheme="minorHAnsi"/>
          <w:sz w:val="20"/>
          <w:szCs w:val="20"/>
        </w:rPr>
        <w:t>n</w:t>
      </w:r>
      <w:r w:rsidRPr="007E0D37">
        <w:rPr>
          <w:rFonts w:cstheme="minorHAnsi"/>
          <w:sz w:val="20"/>
          <w:szCs w:val="20"/>
        </w:rPr>
        <w:t>a</w:t>
      </w:r>
      <w:r w:rsidRPr="007E0D37">
        <w:rPr>
          <w:rFonts w:cstheme="minorHAnsi" w:hint="eastAsia"/>
          <w:sz w:val="20"/>
          <w:szCs w:val="20"/>
        </w:rPr>
        <w:t>ří</w:t>
      </w:r>
      <w:r w:rsidRPr="007E0D37">
        <w:rPr>
          <w:rFonts w:cstheme="minorHAnsi"/>
          <w:sz w:val="20"/>
          <w:szCs w:val="20"/>
        </w:rPr>
        <w:t>zen</w:t>
      </w:r>
      <w:r w:rsidRPr="007E0D37">
        <w:rPr>
          <w:rFonts w:cstheme="minorHAnsi" w:hint="eastAsia"/>
          <w:sz w:val="20"/>
          <w:szCs w:val="20"/>
        </w:rPr>
        <w:t>í</w:t>
      </w:r>
      <w:r w:rsidRPr="007E0D37">
        <w:rPr>
          <w:rFonts w:cstheme="minorHAnsi"/>
          <w:sz w:val="20"/>
          <w:szCs w:val="20"/>
        </w:rPr>
        <w:t>m Evropsk</w:t>
      </w:r>
      <w:r w:rsidRPr="007E0D37">
        <w:rPr>
          <w:rFonts w:cstheme="minorHAnsi" w:hint="eastAsia"/>
          <w:sz w:val="20"/>
          <w:szCs w:val="20"/>
        </w:rPr>
        <w:t>é</w:t>
      </w:r>
      <w:r w:rsidRPr="007E0D37">
        <w:rPr>
          <w:rFonts w:cstheme="minorHAnsi"/>
          <w:sz w:val="20"/>
          <w:szCs w:val="20"/>
        </w:rPr>
        <w:t xml:space="preserve">ho parlamentu a rady </w:t>
      </w:r>
      <w:r w:rsidRPr="007E0D37">
        <w:rPr>
          <w:rFonts w:cstheme="minorHAnsi" w:hint="eastAsia"/>
          <w:sz w:val="20"/>
          <w:szCs w:val="20"/>
        </w:rPr>
        <w:t>č</w:t>
      </w:r>
      <w:r w:rsidRPr="007E0D37">
        <w:rPr>
          <w:rFonts w:cstheme="minorHAnsi"/>
          <w:sz w:val="20"/>
          <w:szCs w:val="20"/>
        </w:rPr>
        <w:t>. 1315/2</w:t>
      </w:r>
      <w:r>
        <w:rPr>
          <w:rFonts w:cstheme="minorHAnsi"/>
          <w:sz w:val="20"/>
          <w:szCs w:val="20"/>
        </w:rPr>
        <w:t xml:space="preserve">013/EU ze dne 11. prosince 2013, </w:t>
      </w:r>
      <w:r w:rsidRPr="00B24F8E">
        <w:rPr>
          <w:rFonts w:cstheme="minorHAnsi"/>
          <w:sz w:val="20"/>
          <w:szCs w:val="20"/>
        </w:rPr>
        <w:t>o hlavních směrech Unie pro rozvoj transevropské dopravní sítě a o zrušení rozhodnutí č. 661/2010/EU</w:t>
      </w:r>
      <w:r w:rsidRPr="004D06A3">
        <w:rPr>
          <w:rFonts w:cstheme="minorHAnsi"/>
          <w:sz w:val="20"/>
          <w:szCs w:val="20"/>
        </w:rPr>
        <w:t>.</w:t>
      </w:r>
    </w:p>
  </w:footnote>
  <w:footnote w:id="9">
    <w:p w14:paraId="67F1180B" w14:textId="77777777" w:rsidR="00435EF1" w:rsidRPr="00F14560" w:rsidRDefault="00435EF1" w:rsidP="006E50B7">
      <w:pPr>
        <w:pStyle w:val="Textpoznpodarou"/>
        <w:ind w:left="284" w:hanging="284"/>
        <w:jc w:val="both"/>
        <w:rPr>
          <w:rFonts w:cstheme="minorHAnsi"/>
        </w:rPr>
      </w:pPr>
      <w:r w:rsidRPr="006E50B7">
        <w:rPr>
          <w:rFonts w:cstheme="minorHAnsi"/>
          <w:vertAlign w:val="superscript"/>
        </w:rPr>
        <w:footnoteRef/>
      </w:r>
      <w:r w:rsidRPr="006E50B7">
        <w:rPr>
          <w:rFonts w:cstheme="minorHAnsi"/>
          <w:vertAlign w:val="superscript"/>
        </w:rPr>
        <w:t xml:space="preserve"> </w:t>
      </w:r>
      <w:r>
        <w:rPr>
          <w:rFonts w:cstheme="minorHAnsi"/>
        </w:rPr>
        <w:tab/>
      </w:r>
      <w:r w:rsidRPr="00F14560">
        <w:rPr>
          <w:rFonts w:cstheme="minorHAnsi"/>
        </w:rPr>
        <w:t>Ustanovení § 17 zákona č. 2/1969 Sb., o zřízení ministerstev a jiných ústředních orgánů státní správy České republiky.</w:t>
      </w:r>
    </w:p>
  </w:footnote>
  <w:footnote w:id="10">
    <w:p w14:paraId="27345283" w14:textId="396E66B6" w:rsidR="00435EF1" w:rsidRDefault="00435EF1" w:rsidP="00081E9B">
      <w:pPr>
        <w:pStyle w:val="Textpoznpodarou"/>
        <w:ind w:left="284" w:hanging="284"/>
      </w:pPr>
      <w:r>
        <w:rPr>
          <w:rStyle w:val="Znakapoznpodarou"/>
        </w:rPr>
        <w:footnoteRef/>
      </w:r>
      <w:r>
        <w:t xml:space="preserve"> </w:t>
      </w:r>
      <w:r>
        <w:tab/>
        <w:t>Zákon č. 137/2006 Sb., o veřejných zakázkách;</w:t>
      </w:r>
      <w:r w:rsidRPr="00611A5B">
        <w:rPr>
          <w:rFonts w:cstheme="minorHAnsi"/>
        </w:rPr>
        <w:t xml:space="preserve"> </w:t>
      </w:r>
      <w:r>
        <w:rPr>
          <w:rFonts w:cstheme="minorHAnsi"/>
        </w:rPr>
        <w:t>z</w:t>
      </w:r>
      <w:r w:rsidRPr="007369BA">
        <w:rPr>
          <w:rFonts w:cstheme="minorHAnsi"/>
        </w:rPr>
        <w:t xml:space="preserve">ákon </w:t>
      </w:r>
      <w:r>
        <w:rPr>
          <w:rFonts w:cstheme="minorHAnsi"/>
        </w:rPr>
        <w:t>č. 134/2016 Sb.</w:t>
      </w:r>
      <w:r w:rsidRPr="007369BA">
        <w:rPr>
          <w:rFonts w:cstheme="minorHAnsi"/>
        </w:rPr>
        <w:t xml:space="preserve">, </w:t>
      </w:r>
      <w:r>
        <w:rPr>
          <w:rFonts w:cstheme="minorHAnsi"/>
        </w:rPr>
        <w:t>o zadávání veřejných zakázek.</w:t>
      </w:r>
    </w:p>
  </w:footnote>
  <w:footnote w:id="11">
    <w:p w14:paraId="1D4E3060" w14:textId="77777777" w:rsidR="00435EF1" w:rsidRPr="004C3DDD" w:rsidRDefault="00435EF1" w:rsidP="00081E9B">
      <w:pPr>
        <w:pStyle w:val="Textpoznpodarou"/>
        <w:ind w:left="284" w:hanging="284"/>
        <w:jc w:val="both"/>
        <w:rPr>
          <w:rFonts w:cstheme="minorHAnsi"/>
        </w:rPr>
      </w:pPr>
      <w:r w:rsidRPr="00081E9B">
        <w:rPr>
          <w:rStyle w:val="Znakapoznpodarou"/>
          <w:rFonts w:cstheme="minorHAnsi"/>
        </w:rPr>
        <w:footnoteRef/>
      </w:r>
      <w:r w:rsidRPr="00081E9B">
        <w:rPr>
          <w:rFonts w:cstheme="minorHAnsi"/>
        </w:rPr>
        <w:t xml:space="preserve"> </w:t>
      </w:r>
      <w:r w:rsidRPr="00081E9B">
        <w:rPr>
          <w:rFonts w:cstheme="minorHAnsi"/>
        </w:rPr>
        <w:tab/>
        <w:t xml:space="preserve">Usnesení vlády </w:t>
      </w:r>
      <w:r w:rsidRPr="004C3DDD">
        <w:rPr>
          <w:rFonts w:cstheme="minorHAnsi"/>
        </w:rPr>
        <w:t xml:space="preserve">České republiky ze dne 7. prosince 2015 č. 1001, </w:t>
      </w:r>
      <w:r w:rsidRPr="00435EF1">
        <w:rPr>
          <w:rFonts w:cstheme="minorHAnsi"/>
          <w:i/>
        </w:rPr>
        <w:t>ke Kontrolnímu závěru Nejvyššího kontrolního úřadu z kontrolní akce č. 14/03 Peněžní prostředky určené na rozvoj a modernizaci vodních cest a přístavů a na podporu multimodální nákladní přepravy</w:t>
      </w:r>
      <w:r w:rsidRPr="004C3DDD">
        <w:rPr>
          <w:rFonts w:cstheme="minorHAnsi"/>
        </w:rPr>
        <w:t>.</w:t>
      </w:r>
    </w:p>
  </w:footnote>
  <w:footnote w:id="12">
    <w:p w14:paraId="5BA2A2F9" w14:textId="5B671E4B" w:rsidR="00435EF1" w:rsidRPr="004C3DDD" w:rsidRDefault="00435EF1" w:rsidP="00081E9B">
      <w:pPr>
        <w:pStyle w:val="Textpoznpodarou"/>
        <w:ind w:left="284" w:hanging="284"/>
        <w:jc w:val="both"/>
        <w:rPr>
          <w:rFonts w:cstheme="minorHAnsi"/>
        </w:rPr>
      </w:pPr>
      <w:r w:rsidRPr="004C3DDD">
        <w:rPr>
          <w:rStyle w:val="Znakapoznpodarou"/>
          <w:rFonts w:cstheme="minorHAnsi"/>
        </w:rPr>
        <w:footnoteRef/>
      </w:r>
      <w:r w:rsidRPr="004C3DDD">
        <w:rPr>
          <w:rFonts w:cstheme="minorHAnsi"/>
        </w:rPr>
        <w:t xml:space="preserve"> </w:t>
      </w:r>
      <w:r w:rsidRPr="004C3DDD">
        <w:rPr>
          <w:rFonts w:cstheme="minorHAnsi"/>
        </w:rPr>
        <w:tab/>
        <w:t xml:space="preserve">Usnesení </w:t>
      </w:r>
      <w:r>
        <w:rPr>
          <w:rFonts w:cstheme="minorHAnsi"/>
        </w:rPr>
        <w:t>k</w:t>
      </w:r>
      <w:r w:rsidRPr="004C3DDD">
        <w:rPr>
          <w:rFonts w:cstheme="minorHAnsi"/>
        </w:rPr>
        <w:t xml:space="preserve">ontrolního výboru Poslanecké sněmovny Parlamentu České republiky ze dne 28. dubna 2016 č. 191, </w:t>
      </w:r>
      <w:r w:rsidRPr="00435EF1">
        <w:rPr>
          <w:rFonts w:cstheme="minorHAnsi"/>
          <w:i/>
        </w:rPr>
        <w:t>ke Kontrolnímu závěru Nejvyššího kontrolního úřadu z kontrolní akce č. 14/03 – Peněžní prostředky určené na rozvoj a modernizaci vodních cest a přístavů a na podporu multimodální nákladní přepravy</w:t>
      </w:r>
      <w:r w:rsidRPr="004C3DDD">
        <w:rPr>
          <w:rFonts w:cstheme="minorHAnsi"/>
        </w:rPr>
        <w:t>.</w:t>
      </w:r>
    </w:p>
  </w:footnote>
  <w:footnote w:id="13">
    <w:p w14:paraId="09530AF8" w14:textId="77777777" w:rsidR="00435EF1" w:rsidRPr="004C3DDD" w:rsidRDefault="00435EF1" w:rsidP="00081E9B">
      <w:pPr>
        <w:pStyle w:val="poznmkapodarou"/>
        <w:rPr>
          <w:rFonts w:asciiTheme="minorHAnsi" w:eastAsiaTheme="minorHAnsi" w:hAnsiTheme="minorHAnsi" w:cstheme="minorHAnsi"/>
        </w:rPr>
      </w:pPr>
      <w:r w:rsidRPr="004C3DDD">
        <w:rPr>
          <w:rStyle w:val="Znakapoznpodarou"/>
          <w:rFonts w:asciiTheme="minorHAnsi" w:hAnsiTheme="minorHAnsi" w:cstheme="minorHAnsi"/>
        </w:rPr>
        <w:footnoteRef/>
      </w:r>
      <w:r w:rsidRPr="004C3DDD">
        <w:rPr>
          <w:rFonts w:asciiTheme="minorHAnsi" w:hAnsiTheme="minorHAnsi" w:cstheme="minorHAnsi"/>
        </w:rPr>
        <w:t xml:space="preserve">  </w:t>
      </w:r>
      <w:r w:rsidRPr="004C3DDD">
        <w:rPr>
          <w:rFonts w:asciiTheme="minorHAnsi" w:hAnsiTheme="minorHAnsi" w:cstheme="minorHAnsi"/>
        </w:rPr>
        <w:tab/>
      </w:r>
      <w:r w:rsidRPr="004C3DDD">
        <w:rPr>
          <w:rFonts w:asciiTheme="minorHAnsi" w:eastAsiaTheme="minorHAnsi" w:hAnsiTheme="minorHAnsi" w:cstheme="minorHAnsi"/>
        </w:rPr>
        <w:t xml:space="preserve">Dokument schválila vláda České republiky usnesením ze dne 12. června 2013 č. 449, </w:t>
      </w:r>
      <w:r w:rsidRPr="00435EF1">
        <w:rPr>
          <w:rFonts w:asciiTheme="minorHAnsi" w:eastAsiaTheme="minorHAnsi" w:hAnsiTheme="minorHAnsi" w:cstheme="minorHAnsi"/>
          <w:i/>
        </w:rPr>
        <w:t>k Dopravní politice České republiky pro období let 2014 až 2020 s výhledem do roku 2050</w:t>
      </w:r>
      <w:r w:rsidRPr="004C3DDD">
        <w:rPr>
          <w:rFonts w:asciiTheme="minorHAnsi" w:eastAsiaTheme="minorHAnsi" w:hAnsiTheme="minorHAnsi" w:cstheme="minorHAnsi"/>
        </w:rPr>
        <w:t>.</w:t>
      </w:r>
    </w:p>
  </w:footnote>
  <w:footnote w:id="14">
    <w:p w14:paraId="51D87DC5" w14:textId="1E021CB5" w:rsidR="00435EF1" w:rsidRPr="00081E9B" w:rsidRDefault="00435EF1" w:rsidP="00081E9B">
      <w:pPr>
        <w:autoSpaceDE w:val="0"/>
        <w:autoSpaceDN w:val="0"/>
        <w:adjustRightInd w:val="0"/>
        <w:spacing w:after="0" w:line="240" w:lineRule="auto"/>
        <w:ind w:left="284" w:hanging="284"/>
        <w:jc w:val="both"/>
        <w:rPr>
          <w:rFonts w:cstheme="minorHAnsi"/>
          <w:sz w:val="20"/>
          <w:szCs w:val="20"/>
        </w:rPr>
      </w:pPr>
      <w:r w:rsidRPr="004C3DDD">
        <w:rPr>
          <w:rStyle w:val="Znakapoznpodarou"/>
          <w:rFonts w:cstheme="minorHAnsi"/>
          <w:sz w:val="20"/>
          <w:szCs w:val="20"/>
        </w:rPr>
        <w:footnoteRef/>
      </w:r>
      <w:r w:rsidRPr="004C3DDD">
        <w:rPr>
          <w:rFonts w:cstheme="minorHAnsi"/>
          <w:sz w:val="20"/>
          <w:szCs w:val="20"/>
        </w:rPr>
        <w:t xml:space="preserve"> </w:t>
      </w:r>
      <w:r w:rsidRPr="004C3DDD">
        <w:rPr>
          <w:rFonts w:cstheme="minorHAnsi"/>
          <w:sz w:val="20"/>
          <w:szCs w:val="20"/>
        </w:rPr>
        <w:tab/>
        <w:t xml:space="preserve">Dokument schválila vláda České republiky usnesením ze dne 13. listopadu 2013 č. 850, </w:t>
      </w:r>
      <w:r w:rsidRPr="00435EF1">
        <w:rPr>
          <w:rFonts w:cstheme="minorHAnsi"/>
          <w:i/>
          <w:sz w:val="20"/>
          <w:szCs w:val="20"/>
        </w:rPr>
        <w:t>o Dopravních sektorových strategiích, 2. fáze</w:t>
      </w:r>
      <w:r w:rsidRPr="004C3DDD">
        <w:rPr>
          <w:rFonts w:cstheme="minorHAnsi"/>
          <w:sz w:val="20"/>
          <w:szCs w:val="20"/>
        </w:rPr>
        <w:t>. Dokument</w:t>
      </w:r>
      <w:r w:rsidRPr="00081E9B">
        <w:rPr>
          <w:rFonts w:cstheme="minorHAnsi"/>
          <w:sz w:val="20"/>
          <w:szCs w:val="20"/>
        </w:rPr>
        <w:t xml:space="preserve"> představuje základní resortní koncepci MD formulující v návaznosti na </w:t>
      </w:r>
      <w:r>
        <w:rPr>
          <w:rFonts w:cstheme="minorHAnsi"/>
          <w:sz w:val="20"/>
          <w:szCs w:val="20"/>
        </w:rPr>
        <w:t>d</w:t>
      </w:r>
      <w:r w:rsidRPr="00081E9B">
        <w:rPr>
          <w:rFonts w:cstheme="minorHAnsi"/>
          <w:sz w:val="20"/>
          <w:szCs w:val="20"/>
        </w:rPr>
        <w:t>opravní politiku priority a cíle v oblasti rozvoje dopravy a dopravní infrastruktury ve střednědobém horizontu roku 2020 a rámcově i v dlouhodobém horizontu až do roku 2050.</w:t>
      </w:r>
    </w:p>
  </w:footnote>
  <w:footnote w:id="15">
    <w:p w14:paraId="795DD8D0" w14:textId="77777777" w:rsidR="00435EF1" w:rsidRPr="004C3DDD" w:rsidRDefault="00435EF1" w:rsidP="00081E9B">
      <w:pPr>
        <w:pStyle w:val="Textpoznpodarou"/>
        <w:ind w:left="284" w:hanging="284"/>
        <w:jc w:val="both"/>
        <w:rPr>
          <w:rFonts w:cstheme="minorHAnsi"/>
        </w:rPr>
      </w:pPr>
      <w:r w:rsidRPr="00081E9B">
        <w:rPr>
          <w:rStyle w:val="Znakapoznpodarou"/>
        </w:rPr>
        <w:footnoteRef/>
      </w:r>
      <w:r w:rsidRPr="00081E9B">
        <w:t xml:space="preserve"> </w:t>
      </w:r>
      <w:r>
        <w:tab/>
      </w:r>
      <w:r w:rsidRPr="00081E9B">
        <w:rPr>
          <w:rFonts w:cstheme="minorHAnsi"/>
        </w:rPr>
        <w:t xml:space="preserve">Usnesení </w:t>
      </w:r>
      <w:r w:rsidRPr="004C3DDD">
        <w:rPr>
          <w:rFonts w:cstheme="minorHAnsi"/>
        </w:rPr>
        <w:t xml:space="preserve">vlády České republiky ze dne 25. září 2017 č. 685, </w:t>
      </w:r>
      <w:r w:rsidRPr="00435EF1">
        <w:rPr>
          <w:rFonts w:cstheme="minorHAnsi"/>
          <w:i/>
        </w:rPr>
        <w:t>ke Koncepci vodní dopravy pro období</w:t>
      </w:r>
      <w:r w:rsidRPr="00435EF1">
        <w:rPr>
          <w:rFonts w:cstheme="minorHAnsi"/>
          <w:i/>
        </w:rPr>
        <w:br/>
        <w:t>2016–2023</w:t>
      </w:r>
      <w:r w:rsidRPr="004C3DDD">
        <w:rPr>
          <w:rFonts w:cstheme="minorHAnsi"/>
        </w:rPr>
        <w:t>.</w:t>
      </w:r>
    </w:p>
  </w:footnote>
  <w:footnote w:id="16">
    <w:p w14:paraId="20539322" w14:textId="77777777" w:rsidR="00435EF1" w:rsidRPr="004C3DDD" w:rsidRDefault="00435EF1" w:rsidP="00081E9B">
      <w:pPr>
        <w:autoSpaceDE w:val="0"/>
        <w:autoSpaceDN w:val="0"/>
        <w:adjustRightInd w:val="0"/>
        <w:spacing w:after="0" w:line="240" w:lineRule="auto"/>
        <w:ind w:left="284" w:hanging="284"/>
        <w:jc w:val="both"/>
        <w:rPr>
          <w:rFonts w:cstheme="minorHAnsi"/>
          <w:sz w:val="20"/>
          <w:szCs w:val="20"/>
        </w:rPr>
      </w:pPr>
      <w:r w:rsidRPr="004C3DDD">
        <w:rPr>
          <w:rStyle w:val="Znakapoznpodarou"/>
          <w:sz w:val="20"/>
          <w:szCs w:val="20"/>
        </w:rPr>
        <w:footnoteRef/>
      </w:r>
      <w:r w:rsidRPr="004C3DDD">
        <w:rPr>
          <w:sz w:val="20"/>
          <w:szCs w:val="20"/>
        </w:rPr>
        <w:t xml:space="preserve"> </w:t>
      </w:r>
      <w:r w:rsidRPr="004C3DDD">
        <w:rPr>
          <w:sz w:val="20"/>
          <w:szCs w:val="20"/>
        </w:rPr>
        <w:tab/>
      </w:r>
      <w:r w:rsidRPr="00435EF1">
        <w:rPr>
          <w:rFonts w:cstheme="minorHAnsi"/>
          <w:i/>
          <w:sz w:val="20"/>
          <w:szCs w:val="20"/>
        </w:rPr>
        <w:t>Natura 2000</w:t>
      </w:r>
      <w:r w:rsidRPr="004C3DDD">
        <w:rPr>
          <w:rFonts w:cstheme="minorHAnsi"/>
          <w:sz w:val="20"/>
          <w:szCs w:val="20"/>
        </w:rPr>
        <w:t xml:space="preserve"> je </w:t>
      </w:r>
      <w:r w:rsidRPr="004C3DDD">
        <w:rPr>
          <w:rFonts w:cstheme="minorHAnsi"/>
          <w:bCs/>
          <w:sz w:val="20"/>
          <w:szCs w:val="20"/>
        </w:rPr>
        <w:t>soustava chráněných území</w:t>
      </w:r>
      <w:r w:rsidRPr="004C3DDD">
        <w:rPr>
          <w:rFonts w:cstheme="minorHAnsi"/>
          <w:sz w:val="20"/>
          <w:szCs w:val="20"/>
        </w:rPr>
        <w:t xml:space="preserve">, které vytvářejí na svém území podle jednotných principů státy EU na základě Směrnice Evropského parlamentu a rady č. </w:t>
      </w:r>
      <w:r w:rsidRPr="004C3DDD">
        <w:rPr>
          <w:rFonts w:cstheme="minorHAnsi"/>
          <w:bCs/>
          <w:color w:val="000000"/>
          <w:sz w:val="20"/>
          <w:szCs w:val="20"/>
        </w:rPr>
        <w:t xml:space="preserve">2009/147/ES ze dne 30. listopadu 2009, o ochraně volně žijících ptáků, a </w:t>
      </w:r>
      <w:r w:rsidRPr="004C3DDD">
        <w:rPr>
          <w:rFonts w:cstheme="minorHAnsi"/>
          <w:sz w:val="20"/>
          <w:szCs w:val="20"/>
        </w:rPr>
        <w:t xml:space="preserve">Směrnice Evropského parlamentu a rady č. </w:t>
      </w:r>
      <w:r w:rsidRPr="004C3DDD">
        <w:rPr>
          <w:rFonts w:cstheme="minorHAnsi"/>
          <w:bCs/>
          <w:sz w:val="20"/>
          <w:szCs w:val="20"/>
        </w:rPr>
        <w:t>92/43/EHS ze dne 21. května 1992, o ochraně přírodních stanovišť, volně žijících živočichů a planě rostoucích rostlin.</w:t>
      </w:r>
    </w:p>
  </w:footnote>
  <w:footnote w:id="17">
    <w:p w14:paraId="414044A9" w14:textId="52141016" w:rsidR="00435EF1" w:rsidRPr="00081E9B" w:rsidRDefault="00435EF1" w:rsidP="00081E9B">
      <w:pPr>
        <w:autoSpaceDE w:val="0"/>
        <w:autoSpaceDN w:val="0"/>
        <w:adjustRightInd w:val="0"/>
        <w:spacing w:after="0" w:line="240" w:lineRule="auto"/>
        <w:ind w:left="284" w:hanging="284"/>
        <w:jc w:val="both"/>
        <w:rPr>
          <w:rFonts w:cstheme="minorHAnsi"/>
          <w:sz w:val="20"/>
          <w:szCs w:val="20"/>
        </w:rPr>
      </w:pPr>
      <w:r w:rsidRPr="004C3DDD">
        <w:rPr>
          <w:rStyle w:val="Znakapoznpodarou"/>
          <w:sz w:val="20"/>
          <w:szCs w:val="20"/>
        </w:rPr>
        <w:footnoteRef/>
      </w:r>
      <w:r w:rsidRPr="004C3DDD">
        <w:rPr>
          <w:sz w:val="20"/>
          <w:szCs w:val="20"/>
        </w:rPr>
        <w:t xml:space="preserve"> </w:t>
      </w:r>
      <w:r w:rsidRPr="004C3DDD">
        <w:rPr>
          <w:sz w:val="20"/>
          <w:szCs w:val="20"/>
        </w:rPr>
        <w:tab/>
      </w:r>
      <w:r w:rsidRPr="004C3DDD">
        <w:rPr>
          <w:rFonts w:cstheme="minorHAnsi"/>
          <w:sz w:val="20"/>
          <w:szCs w:val="20"/>
        </w:rPr>
        <w:t>Usnesení vlády České republiky ze dne</w:t>
      </w:r>
      <w:r w:rsidRPr="00081E9B">
        <w:rPr>
          <w:rFonts w:cstheme="minorHAnsi"/>
          <w:sz w:val="20"/>
          <w:szCs w:val="20"/>
        </w:rPr>
        <w:t xml:space="preserve"> 17. ledna 2018 č. 46, </w:t>
      </w:r>
      <w:r w:rsidRPr="00435EF1">
        <w:rPr>
          <w:rFonts w:cstheme="minorHAnsi"/>
          <w:i/>
          <w:sz w:val="20"/>
          <w:szCs w:val="20"/>
        </w:rPr>
        <w:t>o posouzení převahy veřejných zájmů na schválení Koncepce vodní dopravy pro období 2016–2023 vč. opatření „Realizace stavebních opatření odstraňujících úzká místa omezující plavební provoz“ zahrnujícího návrh záměru „Plavební stupeň Děčín“</w:t>
      </w:r>
      <w:r w:rsidRPr="00081E9B">
        <w:rPr>
          <w:rFonts w:cstheme="minorHAnsi"/>
          <w:sz w:val="20"/>
          <w:szCs w:val="20"/>
        </w:rPr>
        <w:t>.</w:t>
      </w:r>
    </w:p>
  </w:footnote>
  <w:footnote w:id="18">
    <w:p w14:paraId="5996E1E8" w14:textId="77777777" w:rsidR="00435EF1" w:rsidRPr="00603FE1" w:rsidRDefault="00435EF1" w:rsidP="00081E9B">
      <w:pPr>
        <w:autoSpaceDE w:val="0"/>
        <w:autoSpaceDN w:val="0"/>
        <w:adjustRightInd w:val="0"/>
        <w:spacing w:after="0" w:line="240" w:lineRule="auto"/>
        <w:ind w:left="284" w:hanging="284"/>
        <w:jc w:val="both"/>
        <w:rPr>
          <w:rFonts w:cstheme="minorHAnsi"/>
        </w:rPr>
      </w:pPr>
      <w:r w:rsidRPr="00081E9B">
        <w:rPr>
          <w:rStyle w:val="Znakapoznpodarou"/>
          <w:sz w:val="20"/>
          <w:szCs w:val="20"/>
        </w:rPr>
        <w:footnoteRef/>
      </w:r>
      <w:r w:rsidRPr="00081E9B">
        <w:rPr>
          <w:sz w:val="20"/>
          <w:szCs w:val="20"/>
        </w:rPr>
        <w:t xml:space="preserve"> </w:t>
      </w:r>
      <w:r>
        <w:rPr>
          <w:sz w:val="20"/>
          <w:szCs w:val="20"/>
        </w:rPr>
        <w:tab/>
      </w:r>
      <w:r w:rsidRPr="00081E9B">
        <w:rPr>
          <w:rFonts w:cstheme="minorHAnsi"/>
          <w:sz w:val="20"/>
          <w:szCs w:val="20"/>
        </w:rPr>
        <w:t>Zákon č. 114/1995 Sb., o vnitrozemské plavbě.</w:t>
      </w:r>
    </w:p>
  </w:footnote>
  <w:footnote w:id="19">
    <w:p w14:paraId="0C656B4F" w14:textId="77777777" w:rsidR="00435EF1" w:rsidRPr="00CD5886" w:rsidRDefault="00435EF1" w:rsidP="00CD5886">
      <w:pPr>
        <w:autoSpaceDE w:val="0"/>
        <w:autoSpaceDN w:val="0"/>
        <w:adjustRightInd w:val="0"/>
        <w:spacing w:after="0" w:line="240" w:lineRule="auto"/>
        <w:ind w:left="284" w:hanging="284"/>
        <w:jc w:val="both"/>
        <w:rPr>
          <w:rFonts w:cstheme="minorHAnsi"/>
          <w:sz w:val="20"/>
          <w:szCs w:val="20"/>
        </w:rPr>
      </w:pPr>
      <w:r w:rsidRPr="00CD5886">
        <w:rPr>
          <w:rStyle w:val="Znakapoznpodarou"/>
          <w:sz w:val="20"/>
          <w:szCs w:val="20"/>
        </w:rPr>
        <w:footnoteRef/>
      </w:r>
      <w:r w:rsidRPr="00CD5886">
        <w:rPr>
          <w:sz w:val="20"/>
          <w:szCs w:val="20"/>
        </w:rPr>
        <w:t xml:space="preserve"> </w:t>
      </w:r>
      <w:r>
        <w:rPr>
          <w:sz w:val="20"/>
          <w:szCs w:val="20"/>
        </w:rPr>
        <w:tab/>
      </w:r>
      <w:r w:rsidRPr="00CD5886">
        <w:rPr>
          <w:rFonts w:cstheme="minorHAnsi"/>
          <w:sz w:val="20"/>
          <w:szCs w:val="20"/>
        </w:rPr>
        <w:t>Ustanovení § 45i odst. 9 zákona č. 114/1992 Sb., o ochraně přírody a krajiny.</w:t>
      </w:r>
    </w:p>
  </w:footnote>
  <w:footnote w:id="20">
    <w:p w14:paraId="29D26A00" w14:textId="77777777" w:rsidR="00435EF1" w:rsidRPr="00CD5886" w:rsidRDefault="00435EF1" w:rsidP="00CD5886">
      <w:pPr>
        <w:autoSpaceDE w:val="0"/>
        <w:autoSpaceDN w:val="0"/>
        <w:adjustRightInd w:val="0"/>
        <w:spacing w:after="0" w:line="240" w:lineRule="auto"/>
        <w:ind w:left="284" w:hanging="284"/>
        <w:jc w:val="both"/>
        <w:rPr>
          <w:rFonts w:cstheme="minorHAnsi"/>
          <w:sz w:val="20"/>
          <w:szCs w:val="20"/>
        </w:rPr>
      </w:pPr>
      <w:r w:rsidRPr="00CD5886">
        <w:rPr>
          <w:rStyle w:val="Znakapoznpodarou"/>
          <w:sz w:val="20"/>
          <w:szCs w:val="20"/>
        </w:rPr>
        <w:footnoteRef/>
      </w:r>
      <w:r w:rsidRPr="00CD5886">
        <w:rPr>
          <w:sz w:val="20"/>
          <w:szCs w:val="20"/>
        </w:rPr>
        <w:t xml:space="preserve"> </w:t>
      </w:r>
      <w:r>
        <w:rPr>
          <w:sz w:val="20"/>
          <w:szCs w:val="20"/>
        </w:rPr>
        <w:tab/>
      </w:r>
      <w:r w:rsidRPr="004C3DDD">
        <w:rPr>
          <w:rFonts w:cstheme="minorHAnsi"/>
          <w:sz w:val="20"/>
          <w:szCs w:val="20"/>
        </w:rPr>
        <w:t xml:space="preserve">Usnesení vlády České republiky ze dne 20. listopadu 2018 č. 781, </w:t>
      </w:r>
      <w:r w:rsidRPr="00435EF1">
        <w:rPr>
          <w:rFonts w:cstheme="minorHAnsi"/>
          <w:i/>
          <w:sz w:val="20"/>
          <w:szCs w:val="20"/>
        </w:rPr>
        <w:t xml:space="preserve">o informaci o nemožnosti stanovit kompenzační opatření týkající se řešení významného negativního vlivu zlepšení plavebních podmínek v úseku mezi Ústím nad Labem a státní hranicí prostřednictvím vodního díla Plavební stupeň Děčín na předmět ochrany č. 3270 (bahnité říční náplavy) v EVL Labské údolí a předmět ochrany bobr evropský v EVL Labské údolí a EVL Porta </w:t>
      </w:r>
      <w:proofErr w:type="spellStart"/>
      <w:r w:rsidRPr="00435EF1">
        <w:rPr>
          <w:rFonts w:cstheme="minorHAnsi"/>
          <w:i/>
          <w:sz w:val="20"/>
          <w:szCs w:val="20"/>
        </w:rPr>
        <w:t>Bohemica</w:t>
      </w:r>
      <w:proofErr w:type="spellEnd"/>
      <w:r w:rsidRPr="00CD5886">
        <w:rPr>
          <w:rFonts w:cstheme="minorHAnsi"/>
          <w:sz w:val="20"/>
          <w:szCs w:val="20"/>
        </w:rPr>
        <w:t>.</w:t>
      </w:r>
    </w:p>
  </w:footnote>
  <w:footnote w:id="21">
    <w:p w14:paraId="0839539A" w14:textId="77777777" w:rsidR="00435EF1" w:rsidRPr="002F0F72" w:rsidRDefault="00435EF1" w:rsidP="00CD5886">
      <w:pPr>
        <w:autoSpaceDE w:val="0"/>
        <w:autoSpaceDN w:val="0"/>
        <w:adjustRightInd w:val="0"/>
        <w:spacing w:after="0" w:line="240" w:lineRule="auto"/>
        <w:ind w:left="284" w:hanging="284"/>
        <w:jc w:val="both"/>
        <w:rPr>
          <w:rFonts w:cstheme="minorHAnsi"/>
          <w:sz w:val="20"/>
          <w:szCs w:val="20"/>
        </w:rPr>
      </w:pPr>
      <w:r>
        <w:rPr>
          <w:rStyle w:val="Znakapoznpodarou"/>
        </w:rPr>
        <w:footnoteRef/>
      </w:r>
      <w:r>
        <w:t xml:space="preserve"> </w:t>
      </w:r>
      <w:r>
        <w:tab/>
      </w:r>
      <w:r>
        <w:rPr>
          <w:rFonts w:cstheme="minorHAnsi"/>
          <w:sz w:val="20"/>
          <w:szCs w:val="20"/>
        </w:rPr>
        <w:t>Z</w:t>
      </w:r>
      <w:r w:rsidRPr="002F0F72">
        <w:rPr>
          <w:rFonts w:cstheme="minorHAnsi"/>
          <w:sz w:val="20"/>
          <w:szCs w:val="20"/>
        </w:rPr>
        <w:t>ákon č. 100/2001 Sb., o posuzování vlivů na životní prostředí a o změně některých souvisejících zákonů (zákon o posuzov</w:t>
      </w:r>
      <w:r>
        <w:rPr>
          <w:rFonts w:cstheme="minorHAnsi"/>
          <w:sz w:val="20"/>
          <w:szCs w:val="20"/>
        </w:rPr>
        <w:t>ání vlivů na životní prostředí).</w:t>
      </w:r>
    </w:p>
  </w:footnote>
  <w:footnote w:id="22">
    <w:p w14:paraId="1A48E701" w14:textId="77777777" w:rsidR="00435EF1" w:rsidRPr="00D42560" w:rsidRDefault="00435EF1" w:rsidP="00CD5886">
      <w:pPr>
        <w:autoSpaceDE w:val="0"/>
        <w:autoSpaceDN w:val="0"/>
        <w:adjustRightInd w:val="0"/>
        <w:spacing w:after="0" w:line="240" w:lineRule="auto"/>
        <w:ind w:left="284" w:hanging="284"/>
        <w:jc w:val="both"/>
        <w:rPr>
          <w:rFonts w:cstheme="minorHAnsi"/>
          <w:sz w:val="20"/>
          <w:szCs w:val="20"/>
        </w:rPr>
      </w:pPr>
      <w:r>
        <w:rPr>
          <w:rStyle w:val="Znakapoznpodarou"/>
        </w:rPr>
        <w:footnoteRef/>
      </w:r>
      <w:r>
        <w:t xml:space="preserve"> </w:t>
      </w:r>
      <w:r>
        <w:tab/>
      </w:r>
      <w:r w:rsidRPr="00D42560">
        <w:rPr>
          <w:rFonts w:cstheme="minorHAnsi"/>
          <w:sz w:val="20"/>
          <w:szCs w:val="20"/>
        </w:rPr>
        <w:t>Ustanovení § 3 odst. 4 zákona č. 114/1995 Sb., o vnitrozemské plavbě.</w:t>
      </w:r>
    </w:p>
  </w:footnote>
  <w:footnote w:id="23">
    <w:p w14:paraId="79D2E3B5" w14:textId="77777777" w:rsidR="00435EF1" w:rsidRPr="00D42560" w:rsidRDefault="00435EF1" w:rsidP="00CD5886">
      <w:pPr>
        <w:autoSpaceDE w:val="0"/>
        <w:autoSpaceDN w:val="0"/>
        <w:adjustRightInd w:val="0"/>
        <w:spacing w:after="0" w:line="240" w:lineRule="auto"/>
        <w:ind w:left="284" w:hanging="284"/>
        <w:jc w:val="both"/>
        <w:rPr>
          <w:rFonts w:cstheme="minorHAnsi"/>
          <w:sz w:val="20"/>
          <w:szCs w:val="20"/>
        </w:rPr>
      </w:pPr>
      <w:r w:rsidRPr="00D42560">
        <w:rPr>
          <w:rStyle w:val="Znakapoznpodarou"/>
          <w:sz w:val="20"/>
          <w:szCs w:val="20"/>
        </w:rPr>
        <w:footnoteRef/>
      </w:r>
      <w:r w:rsidRPr="00D42560">
        <w:rPr>
          <w:sz w:val="20"/>
          <w:szCs w:val="20"/>
        </w:rPr>
        <w:t xml:space="preserve"> </w:t>
      </w:r>
      <w:r w:rsidRPr="00D42560">
        <w:rPr>
          <w:sz w:val="20"/>
          <w:szCs w:val="20"/>
        </w:rPr>
        <w:tab/>
      </w:r>
      <w:r w:rsidRPr="00D42560">
        <w:rPr>
          <w:rFonts w:cstheme="minorHAnsi"/>
          <w:sz w:val="20"/>
          <w:szCs w:val="20"/>
        </w:rPr>
        <w:t>Ustanovení § 8 odst. 1 vyhlášky MD č. 222/1995 Sb., o vodních cestách, plavebním provozu v přístavech, společné havárii a dopravě nebezpečných věcí.</w:t>
      </w:r>
    </w:p>
  </w:footnote>
  <w:footnote w:id="24">
    <w:p w14:paraId="2A76887F" w14:textId="77777777" w:rsidR="00435EF1" w:rsidRPr="00D42560" w:rsidRDefault="00435EF1" w:rsidP="00CD5886">
      <w:pPr>
        <w:autoSpaceDE w:val="0"/>
        <w:autoSpaceDN w:val="0"/>
        <w:adjustRightInd w:val="0"/>
        <w:spacing w:after="0" w:line="240" w:lineRule="auto"/>
        <w:ind w:left="284" w:hanging="284"/>
        <w:jc w:val="both"/>
        <w:rPr>
          <w:rFonts w:cstheme="minorHAnsi"/>
          <w:sz w:val="20"/>
          <w:szCs w:val="20"/>
        </w:rPr>
      </w:pPr>
      <w:r>
        <w:rPr>
          <w:rStyle w:val="Znakapoznpodarou"/>
        </w:rPr>
        <w:footnoteRef/>
      </w:r>
      <w:r>
        <w:t xml:space="preserve"> </w:t>
      </w:r>
      <w:r w:rsidRPr="00D42560">
        <w:rPr>
          <w:sz w:val="20"/>
          <w:szCs w:val="20"/>
        </w:rPr>
        <w:tab/>
      </w:r>
      <w:r w:rsidRPr="00D42560">
        <w:rPr>
          <w:rFonts w:cstheme="minorHAnsi"/>
          <w:sz w:val="20"/>
          <w:szCs w:val="20"/>
        </w:rPr>
        <w:t xml:space="preserve">Usnesení vlády ze dne 20. července 2009 č. 929, </w:t>
      </w:r>
      <w:r w:rsidRPr="00435EF1">
        <w:rPr>
          <w:rFonts w:cstheme="minorHAnsi"/>
          <w:i/>
          <w:sz w:val="20"/>
          <w:szCs w:val="20"/>
        </w:rPr>
        <w:t>o Politice územního rozvoje České republiky 2008</w:t>
      </w:r>
      <w:r w:rsidRPr="00D42560">
        <w:rPr>
          <w:rFonts w:cstheme="minorHAnsi"/>
          <w:sz w:val="20"/>
          <w:szCs w:val="20"/>
        </w:rPr>
        <w:t>.</w:t>
      </w:r>
    </w:p>
  </w:footnote>
  <w:footnote w:id="25">
    <w:p w14:paraId="205F3FCA" w14:textId="77777777" w:rsidR="00435EF1" w:rsidRPr="00D42560" w:rsidRDefault="00435EF1" w:rsidP="00CD5886">
      <w:pPr>
        <w:autoSpaceDE w:val="0"/>
        <w:autoSpaceDN w:val="0"/>
        <w:adjustRightInd w:val="0"/>
        <w:spacing w:after="0" w:line="240" w:lineRule="auto"/>
        <w:ind w:left="284" w:hanging="284"/>
        <w:jc w:val="both"/>
        <w:rPr>
          <w:rFonts w:cstheme="minorHAnsi"/>
          <w:sz w:val="20"/>
          <w:szCs w:val="20"/>
        </w:rPr>
      </w:pPr>
      <w:r w:rsidRPr="00D42560">
        <w:rPr>
          <w:rStyle w:val="Znakapoznpodarou"/>
          <w:sz w:val="20"/>
          <w:szCs w:val="20"/>
        </w:rPr>
        <w:footnoteRef/>
      </w:r>
      <w:r w:rsidRPr="00D42560">
        <w:rPr>
          <w:sz w:val="20"/>
          <w:szCs w:val="20"/>
        </w:rPr>
        <w:t xml:space="preserve"> </w:t>
      </w:r>
      <w:r w:rsidRPr="00D42560">
        <w:rPr>
          <w:sz w:val="20"/>
          <w:szCs w:val="20"/>
        </w:rPr>
        <w:tab/>
      </w:r>
      <w:r w:rsidRPr="00D42560">
        <w:rPr>
          <w:rFonts w:cstheme="minorHAnsi"/>
          <w:sz w:val="20"/>
          <w:szCs w:val="20"/>
        </w:rPr>
        <w:t xml:space="preserve">Usnesení vlády ze dne 19. ledna 2011 č. 49, </w:t>
      </w:r>
      <w:r w:rsidRPr="00435EF1">
        <w:rPr>
          <w:rFonts w:cstheme="minorHAnsi"/>
          <w:i/>
          <w:sz w:val="20"/>
          <w:szCs w:val="20"/>
        </w:rPr>
        <w:t>k prověření potřebnosti průplavního spojení Dunaj-Odra-Labe</w:t>
      </w:r>
      <w:r w:rsidRPr="00D42560">
        <w:rPr>
          <w:rFonts w:cstheme="minorHAnsi"/>
          <w:sz w:val="20"/>
          <w:szCs w:val="20"/>
        </w:rPr>
        <w:t>.</w:t>
      </w:r>
    </w:p>
  </w:footnote>
  <w:footnote w:id="26">
    <w:p w14:paraId="011EDF16" w14:textId="77777777" w:rsidR="00435EF1" w:rsidRPr="00BE7C76" w:rsidRDefault="00435EF1" w:rsidP="009D3687">
      <w:pPr>
        <w:autoSpaceDE w:val="0"/>
        <w:autoSpaceDN w:val="0"/>
        <w:adjustRightInd w:val="0"/>
        <w:spacing w:after="0" w:line="240" w:lineRule="auto"/>
        <w:ind w:left="284" w:hanging="284"/>
        <w:jc w:val="both"/>
        <w:rPr>
          <w:rFonts w:cstheme="minorHAnsi"/>
          <w:sz w:val="20"/>
          <w:szCs w:val="20"/>
        </w:rPr>
      </w:pPr>
      <w:r w:rsidRPr="00BE7C76">
        <w:rPr>
          <w:rStyle w:val="Znakapoznpodarou"/>
          <w:sz w:val="20"/>
          <w:szCs w:val="20"/>
        </w:rPr>
        <w:footnoteRef/>
      </w:r>
      <w:r w:rsidRPr="00BE7C76">
        <w:rPr>
          <w:sz w:val="20"/>
          <w:szCs w:val="20"/>
        </w:rPr>
        <w:t xml:space="preserve"> </w:t>
      </w:r>
      <w:r w:rsidRPr="00BE7C76">
        <w:rPr>
          <w:sz w:val="20"/>
          <w:szCs w:val="20"/>
        </w:rPr>
        <w:tab/>
      </w:r>
      <w:r w:rsidRPr="00BE7C76">
        <w:rPr>
          <w:rFonts w:cstheme="minorHAnsi"/>
          <w:sz w:val="20"/>
          <w:szCs w:val="20"/>
        </w:rPr>
        <w:t>Vyhláška č. 560/2006 Sb., o účasti státního rozpočtu na financování programů reprodukce majetku.</w:t>
      </w:r>
    </w:p>
  </w:footnote>
  <w:footnote w:id="27">
    <w:p w14:paraId="1860F309" w14:textId="77777777" w:rsidR="00435EF1" w:rsidRPr="00D42560" w:rsidRDefault="00435EF1" w:rsidP="00BE7C76">
      <w:pPr>
        <w:autoSpaceDE w:val="0"/>
        <w:autoSpaceDN w:val="0"/>
        <w:adjustRightInd w:val="0"/>
        <w:spacing w:after="0" w:line="240" w:lineRule="auto"/>
        <w:ind w:left="284" w:hanging="284"/>
        <w:jc w:val="both"/>
        <w:rPr>
          <w:rFonts w:cstheme="minorHAnsi"/>
          <w:sz w:val="20"/>
          <w:szCs w:val="20"/>
        </w:rPr>
      </w:pPr>
      <w:r w:rsidRPr="00D42560">
        <w:rPr>
          <w:rStyle w:val="Znakapoznpodarou"/>
          <w:sz w:val="20"/>
          <w:szCs w:val="20"/>
        </w:rPr>
        <w:footnoteRef/>
      </w:r>
      <w:r w:rsidRPr="00D42560">
        <w:rPr>
          <w:sz w:val="20"/>
          <w:szCs w:val="20"/>
        </w:rPr>
        <w:t xml:space="preserve"> </w:t>
      </w:r>
      <w:r w:rsidRPr="00D42560">
        <w:rPr>
          <w:sz w:val="20"/>
          <w:szCs w:val="20"/>
        </w:rPr>
        <w:tab/>
        <w:t xml:space="preserve">Ustanovení </w:t>
      </w:r>
      <w:r w:rsidRPr="00D42560">
        <w:rPr>
          <w:rFonts w:cstheme="minorHAnsi"/>
          <w:sz w:val="20"/>
          <w:szCs w:val="20"/>
        </w:rPr>
        <w:t>§ 39 odst. 3 zákona č. 218/2000 Sb., o rozpočtových pravidlech a o změně některých souvisejících zákonů (rozpočtová pravidla).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9983F" w14:textId="77777777" w:rsidR="00556A0B" w:rsidRDefault="00556A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18D3" w14:textId="77777777" w:rsidR="00556A0B" w:rsidRDefault="00556A0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1E89" w14:textId="77777777" w:rsidR="00556A0B" w:rsidRDefault="00556A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0A8"/>
    <w:multiLevelType w:val="multilevel"/>
    <w:tmpl w:val="438A7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07593"/>
    <w:multiLevelType w:val="hybridMultilevel"/>
    <w:tmpl w:val="D388C61A"/>
    <w:lvl w:ilvl="0" w:tplc="18AC01E8">
      <w:start w:val="1"/>
      <w:numFmt w:val="bullet"/>
      <w:lvlText w:val=""/>
      <w:lvlJc w:val="left"/>
      <w:pPr>
        <w:ind w:left="1004" w:hanging="360"/>
      </w:pPr>
      <w:rPr>
        <w:rFonts w:ascii="Symbol" w:hAnsi="Symbol" w:hint="default"/>
      </w:rPr>
    </w:lvl>
    <w:lvl w:ilvl="1" w:tplc="6B2E62AA" w:tentative="1">
      <w:start w:val="1"/>
      <w:numFmt w:val="bullet"/>
      <w:lvlText w:val="o"/>
      <w:lvlJc w:val="left"/>
      <w:pPr>
        <w:ind w:left="1724" w:hanging="360"/>
      </w:pPr>
      <w:rPr>
        <w:rFonts w:ascii="Courier New" w:hAnsi="Courier New" w:cs="Courier New" w:hint="default"/>
      </w:rPr>
    </w:lvl>
    <w:lvl w:ilvl="2" w:tplc="9CDC403C" w:tentative="1">
      <w:start w:val="1"/>
      <w:numFmt w:val="bullet"/>
      <w:lvlText w:val=""/>
      <w:lvlJc w:val="left"/>
      <w:pPr>
        <w:ind w:left="2444" w:hanging="360"/>
      </w:pPr>
      <w:rPr>
        <w:rFonts w:ascii="Wingdings" w:hAnsi="Wingdings" w:hint="default"/>
      </w:rPr>
    </w:lvl>
    <w:lvl w:ilvl="3" w:tplc="97841B68" w:tentative="1">
      <w:start w:val="1"/>
      <w:numFmt w:val="bullet"/>
      <w:lvlText w:val=""/>
      <w:lvlJc w:val="left"/>
      <w:pPr>
        <w:ind w:left="3164" w:hanging="360"/>
      </w:pPr>
      <w:rPr>
        <w:rFonts w:ascii="Symbol" w:hAnsi="Symbol" w:hint="default"/>
      </w:rPr>
    </w:lvl>
    <w:lvl w:ilvl="4" w:tplc="A8E2891C" w:tentative="1">
      <w:start w:val="1"/>
      <w:numFmt w:val="bullet"/>
      <w:lvlText w:val="o"/>
      <w:lvlJc w:val="left"/>
      <w:pPr>
        <w:ind w:left="3884" w:hanging="360"/>
      </w:pPr>
      <w:rPr>
        <w:rFonts w:ascii="Courier New" w:hAnsi="Courier New" w:cs="Courier New" w:hint="default"/>
      </w:rPr>
    </w:lvl>
    <w:lvl w:ilvl="5" w:tplc="6AFA5CF4" w:tentative="1">
      <w:start w:val="1"/>
      <w:numFmt w:val="bullet"/>
      <w:lvlText w:val=""/>
      <w:lvlJc w:val="left"/>
      <w:pPr>
        <w:ind w:left="4604" w:hanging="360"/>
      </w:pPr>
      <w:rPr>
        <w:rFonts w:ascii="Wingdings" w:hAnsi="Wingdings" w:hint="default"/>
      </w:rPr>
    </w:lvl>
    <w:lvl w:ilvl="6" w:tplc="82A0A3DE" w:tentative="1">
      <w:start w:val="1"/>
      <w:numFmt w:val="bullet"/>
      <w:lvlText w:val=""/>
      <w:lvlJc w:val="left"/>
      <w:pPr>
        <w:ind w:left="5324" w:hanging="360"/>
      </w:pPr>
      <w:rPr>
        <w:rFonts w:ascii="Symbol" w:hAnsi="Symbol" w:hint="default"/>
      </w:rPr>
    </w:lvl>
    <w:lvl w:ilvl="7" w:tplc="0922BA16" w:tentative="1">
      <w:start w:val="1"/>
      <w:numFmt w:val="bullet"/>
      <w:lvlText w:val="o"/>
      <w:lvlJc w:val="left"/>
      <w:pPr>
        <w:ind w:left="6044" w:hanging="360"/>
      </w:pPr>
      <w:rPr>
        <w:rFonts w:ascii="Courier New" w:hAnsi="Courier New" w:cs="Courier New" w:hint="default"/>
      </w:rPr>
    </w:lvl>
    <w:lvl w:ilvl="8" w:tplc="7C821AB4" w:tentative="1">
      <w:start w:val="1"/>
      <w:numFmt w:val="bullet"/>
      <w:lvlText w:val=""/>
      <w:lvlJc w:val="left"/>
      <w:pPr>
        <w:ind w:left="6764" w:hanging="360"/>
      </w:pPr>
      <w:rPr>
        <w:rFonts w:ascii="Wingdings" w:hAnsi="Wingdings" w:hint="default"/>
      </w:rPr>
    </w:lvl>
  </w:abstractNum>
  <w:abstractNum w:abstractNumId="2" w15:restartNumberingAfterBreak="0">
    <w:nsid w:val="042702DD"/>
    <w:multiLevelType w:val="hybridMultilevel"/>
    <w:tmpl w:val="9E128F18"/>
    <w:lvl w:ilvl="0" w:tplc="C77A09A2">
      <w:start w:val="1"/>
      <w:numFmt w:val="upperRoman"/>
      <w:lvlText w:val="%1."/>
      <w:lvlJc w:val="left"/>
      <w:pPr>
        <w:ind w:left="1080" w:hanging="720"/>
      </w:pPr>
      <w:rPr>
        <w:rFonts w:hint="default"/>
      </w:rPr>
    </w:lvl>
    <w:lvl w:ilvl="1" w:tplc="F982A57C" w:tentative="1">
      <w:start w:val="1"/>
      <w:numFmt w:val="lowerLetter"/>
      <w:lvlText w:val="%2."/>
      <w:lvlJc w:val="left"/>
      <w:pPr>
        <w:ind w:left="1440" w:hanging="360"/>
      </w:pPr>
    </w:lvl>
    <w:lvl w:ilvl="2" w:tplc="0E983682" w:tentative="1">
      <w:start w:val="1"/>
      <w:numFmt w:val="lowerRoman"/>
      <w:lvlText w:val="%3."/>
      <w:lvlJc w:val="right"/>
      <w:pPr>
        <w:ind w:left="2160" w:hanging="180"/>
      </w:pPr>
    </w:lvl>
    <w:lvl w:ilvl="3" w:tplc="93CEE0C6" w:tentative="1">
      <w:start w:val="1"/>
      <w:numFmt w:val="decimal"/>
      <w:lvlText w:val="%4."/>
      <w:lvlJc w:val="left"/>
      <w:pPr>
        <w:ind w:left="2880" w:hanging="360"/>
      </w:pPr>
    </w:lvl>
    <w:lvl w:ilvl="4" w:tplc="A1942734" w:tentative="1">
      <w:start w:val="1"/>
      <w:numFmt w:val="lowerLetter"/>
      <w:lvlText w:val="%5."/>
      <w:lvlJc w:val="left"/>
      <w:pPr>
        <w:ind w:left="3600" w:hanging="360"/>
      </w:pPr>
    </w:lvl>
    <w:lvl w:ilvl="5" w:tplc="810064C6" w:tentative="1">
      <w:start w:val="1"/>
      <w:numFmt w:val="lowerRoman"/>
      <w:lvlText w:val="%6."/>
      <w:lvlJc w:val="right"/>
      <w:pPr>
        <w:ind w:left="4320" w:hanging="180"/>
      </w:pPr>
    </w:lvl>
    <w:lvl w:ilvl="6" w:tplc="9D4021FA" w:tentative="1">
      <w:start w:val="1"/>
      <w:numFmt w:val="decimal"/>
      <w:lvlText w:val="%7."/>
      <w:lvlJc w:val="left"/>
      <w:pPr>
        <w:ind w:left="5040" w:hanging="360"/>
      </w:pPr>
    </w:lvl>
    <w:lvl w:ilvl="7" w:tplc="F1C23E14" w:tentative="1">
      <w:start w:val="1"/>
      <w:numFmt w:val="lowerLetter"/>
      <w:lvlText w:val="%8."/>
      <w:lvlJc w:val="left"/>
      <w:pPr>
        <w:ind w:left="5760" w:hanging="360"/>
      </w:pPr>
    </w:lvl>
    <w:lvl w:ilvl="8" w:tplc="D6FC43EC" w:tentative="1">
      <w:start w:val="1"/>
      <w:numFmt w:val="lowerRoman"/>
      <w:lvlText w:val="%9."/>
      <w:lvlJc w:val="right"/>
      <w:pPr>
        <w:ind w:left="6480" w:hanging="180"/>
      </w:pPr>
    </w:lvl>
  </w:abstractNum>
  <w:abstractNum w:abstractNumId="3" w15:restartNumberingAfterBreak="0">
    <w:nsid w:val="07E212A4"/>
    <w:multiLevelType w:val="hybridMultilevel"/>
    <w:tmpl w:val="B8368972"/>
    <w:lvl w:ilvl="0" w:tplc="DD246B7C">
      <w:start w:val="1"/>
      <w:numFmt w:val="bullet"/>
      <w:lvlText w:val=""/>
      <w:lvlJc w:val="left"/>
      <w:pPr>
        <w:ind w:left="360" w:hanging="360"/>
      </w:pPr>
      <w:rPr>
        <w:rFonts w:ascii="Symbol" w:hAnsi="Symbol" w:hint="default"/>
        <w:i/>
        <w:color w:val="auto"/>
      </w:rPr>
    </w:lvl>
    <w:lvl w:ilvl="1" w:tplc="00484176" w:tentative="1">
      <w:start w:val="1"/>
      <w:numFmt w:val="bullet"/>
      <w:lvlText w:val="o"/>
      <w:lvlJc w:val="left"/>
      <w:pPr>
        <w:ind w:left="1080" w:hanging="360"/>
      </w:pPr>
      <w:rPr>
        <w:rFonts w:ascii="Courier New" w:hAnsi="Courier New" w:cs="Courier New" w:hint="default"/>
      </w:rPr>
    </w:lvl>
    <w:lvl w:ilvl="2" w:tplc="D256C500" w:tentative="1">
      <w:start w:val="1"/>
      <w:numFmt w:val="bullet"/>
      <w:lvlText w:val=""/>
      <w:lvlJc w:val="left"/>
      <w:pPr>
        <w:ind w:left="1800" w:hanging="360"/>
      </w:pPr>
      <w:rPr>
        <w:rFonts w:ascii="Wingdings" w:hAnsi="Wingdings" w:hint="default"/>
      </w:rPr>
    </w:lvl>
    <w:lvl w:ilvl="3" w:tplc="0CCAFC34" w:tentative="1">
      <w:start w:val="1"/>
      <w:numFmt w:val="bullet"/>
      <w:lvlText w:val=""/>
      <w:lvlJc w:val="left"/>
      <w:pPr>
        <w:ind w:left="2520" w:hanging="360"/>
      </w:pPr>
      <w:rPr>
        <w:rFonts w:ascii="Symbol" w:hAnsi="Symbol" w:hint="default"/>
      </w:rPr>
    </w:lvl>
    <w:lvl w:ilvl="4" w:tplc="F90CCE12" w:tentative="1">
      <w:start w:val="1"/>
      <w:numFmt w:val="bullet"/>
      <w:lvlText w:val="o"/>
      <w:lvlJc w:val="left"/>
      <w:pPr>
        <w:ind w:left="3240" w:hanging="360"/>
      </w:pPr>
      <w:rPr>
        <w:rFonts w:ascii="Courier New" w:hAnsi="Courier New" w:cs="Courier New" w:hint="default"/>
      </w:rPr>
    </w:lvl>
    <w:lvl w:ilvl="5" w:tplc="3F0652FA" w:tentative="1">
      <w:start w:val="1"/>
      <w:numFmt w:val="bullet"/>
      <w:lvlText w:val=""/>
      <w:lvlJc w:val="left"/>
      <w:pPr>
        <w:ind w:left="3960" w:hanging="360"/>
      </w:pPr>
      <w:rPr>
        <w:rFonts w:ascii="Wingdings" w:hAnsi="Wingdings" w:hint="default"/>
      </w:rPr>
    </w:lvl>
    <w:lvl w:ilvl="6" w:tplc="AC8CE22C" w:tentative="1">
      <w:start w:val="1"/>
      <w:numFmt w:val="bullet"/>
      <w:lvlText w:val=""/>
      <w:lvlJc w:val="left"/>
      <w:pPr>
        <w:ind w:left="4680" w:hanging="360"/>
      </w:pPr>
      <w:rPr>
        <w:rFonts w:ascii="Symbol" w:hAnsi="Symbol" w:hint="default"/>
      </w:rPr>
    </w:lvl>
    <w:lvl w:ilvl="7" w:tplc="42EA62E6" w:tentative="1">
      <w:start w:val="1"/>
      <w:numFmt w:val="bullet"/>
      <w:lvlText w:val="o"/>
      <w:lvlJc w:val="left"/>
      <w:pPr>
        <w:ind w:left="5400" w:hanging="360"/>
      </w:pPr>
      <w:rPr>
        <w:rFonts w:ascii="Courier New" w:hAnsi="Courier New" w:cs="Courier New" w:hint="default"/>
      </w:rPr>
    </w:lvl>
    <w:lvl w:ilvl="8" w:tplc="A24A6B96" w:tentative="1">
      <w:start w:val="1"/>
      <w:numFmt w:val="bullet"/>
      <w:lvlText w:val=""/>
      <w:lvlJc w:val="left"/>
      <w:pPr>
        <w:ind w:left="6120" w:hanging="360"/>
      </w:pPr>
      <w:rPr>
        <w:rFonts w:ascii="Wingdings" w:hAnsi="Wingdings" w:hint="default"/>
      </w:rPr>
    </w:lvl>
  </w:abstractNum>
  <w:abstractNum w:abstractNumId="4" w15:restartNumberingAfterBreak="0">
    <w:nsid w:val="07EC1894"/>
    <w:multiLevelType w:val="multilevel"/>
    <w:tmpl w:val="1EDE8F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40A2A"/>
    <w:multiLevelType w:val="hybridMultilevel"/>
    <w:tmpl w:val="1BAE3FD2"/>
    <w:lvl w:ilvl="0" w:tplc="F11E9CD6">
      <w:start w:val="1"/>
      <w:numFmt w:val="bullet"/>
      <w:lvlText w:val=""/>
      <w:lvlJc w:val="left"/>
      <w:pPr>
        <w:ind w:left="360" w:hanging="360"/>
      </w:pPr>
      <w:rPr>
        <w:rFonts w:ascii="Symbol" w:hAnsi="Symbol" w:hint="default"/>
        <w:i/>
        <w:color w:val="auto"/>
      </w:rPr>
    </w:lvl>
    <w:lvl w:ilvl="1" w:tplc="33B86552" w:tentative="1">
      <w:start w:val="1"/>
      <w:numFmt w:val="bullet"/>
      <w:lvlText w:val="o"/>
      <w:lvlJc w:val="left"/>
      <w:pPr>
        <w:ind w:left="1080" w:hanging="360"/>
      </w:pPr>
      <w:rPr>
        <w:rFonts w:ascii="Courier New" w:hAnsi="Courier New" w:cs="Courier New" w:hint="default"/>
      </w:rPr>
    </w:lvl>
    <w:lvl w:ilvl="2" w:tplc="88AC9984" w:tentative="1">
      <w:start w:val="1"/>
      <w:numFmt w:val="bullet"/>
      <w:lvlText w:val=""/>
      <w:lvlJc w:val="left"/>
      <w:pPr>
        <w:ind w:left="1800" w:hanging="360"/>
      </w:pPr>
      <w:rPr>
        <w:rFonts w:ascii="Wingdings" w:hAnsi="Wingdings" w:hint="default"/>
      </w:rPr>
    </w:lvl>
    <w:lvl w:ilvl="3" w:tplc="C40ED138" w:tentative="1">
      <w:start w:val="1"/>
      <w:numFmt w:val="bullet"/>
      <w:lvlText w:val=""/>
      <w:lvlJc w:val="left"/>
      <w:pPr>
        <w:ind w:left="2520" w:hanging="360"/>
      </w:pPr>
      <w:rPr>
        <w:rFonts w:ascii="Symbol" w:hAnsi="Symbol" w:hint="default"/>
      </w:rPr>
    </w:lvl>
    <w:lvl w:ilvl="4" w:tplc="072A2904" w:tentative="1">
      <w:start w:val="1"/>
      <w:numFmt w:val="bullet"/>
      <w:lvlText w:val="o"/>
      <w:lvlJc w:val="left"/>
      <w:pPr>
        <w:ind w:left="3240" w:hanging="360"/>
      </w:pPr>
      <w:rPr>
        <w:rFonts w:ascii="Courier New" w:hAnsi="Courier New" w:cs="Courier New" w:hint="default"/>
      </w:rPr>
    </w:lvl>
    <w:lvl w:ilvl="5" w:tplc="D2FCBE94" w:tentative="1">
      <w:start w:val="1"/>
      <w:numFmt w:val="bullet"/>
      <w:lvlText w:val=""/>
      <w:lvlJc w:val="left"/>
      <w:pPr>
        <w:ind w:left="3960" w:hanging="360"/>
      </w:pPr>
      <w:rPr>
        <w:rFonts w:ascii="Wingdings" w:hAnsi="Wingdings" w:hint="default"/>
      </w:rPr>
    </w:lvl>
    <w:lvl w:ilvl="6" w:tplc="AABEBD3A" w:tentative="1">
      <w:start w:val="1"/>
      <w:numFmt w:val="bullet"/>
      <w:lvlText w:val=""/>
      <w:lvlJc w:val="left"/>
      <w:pPr>
        <w:ind w:left="4680" w:hanging="360"/>
      </w:pPr>
      <w:rPr>
        <w:rFonts w:ascii="Symbol" w:hAnsi="Symbol" w:hint="default"/>
      </w:rPr>
    </w:lvl>
    <w:lvl w:ilvl="7" w:tplc="1554ACAC" w:tentative="1">
      <w:start w:val="1"/>
      <w:numFmt w:val="bullet"/>
      <w:lvlText w:val="o"/>
      <w:lvlJc w:val="left"/>
      <w:pPr>
        <w:ind w:left="5400" w:hanging="360"/>
      </w:pPr>
      <w:rPr>
        <w:rFonts w:ascii="Courier New" w:hAnsi="Courier New" w:cs="Courier New" w:hint="default"/>
      </w:rPr>
    </w:lvl>
    <w:lvl w:ilvl="8" w:tplc="F1CE020A" w:tentative="1">
      <w:start w:val="1"/>
      <w:numFmt w:val="bullet"/>
      <w:lvlText w:val=""/>
      <w:lvlJc w:val="left"/>
      <w:pPr>
        <w:ind w:left="6120" w:hanging="360"/>
      </w:pPr>
      <w:rPr>
        <w:rFonts w:ascii="Wingdings" w:hAnsi="Wingdings" w:hint="default"/>
      </w:rPr>
    </w:lvl>
  </w:abstractNum>
  <w:abstractNum w:abstractNumId="6" w15:restartNumberingAfterBreak="0">
    <w:nsid w:val="11C90F18"/>
    <w:multiLevelType w:val="hybridMultilevel"/>
    <w:tmpl w:val="68DAE89C"/>
    <w:lvl w:ilvl="0" w:tplc="F0CA3998">
      <w:numFmt w:val="bullet"/>
      <w:lvlText w:val="–"/>
      <w:lvlJc w:val="left"/>
      <w:pPr>
        <w:ind w:left="720" w:hanging="360"/>
      </w:pPr>
      <w:rPr>
        <w:rFonts w:ascii="Times New Roman" w:eastAsia="Times New Roman" w:hAnsi="Times New Roman" w:cs="Times New Roman" w:hint="default"/>
        <w:i/>
        <w:color w:val="auto"/>
      </w:rPr>
    </w:lvl>
    <w:lvl w:ilvl="1" w:tplc="C80E6BBE" w:tentative="1">
      <w:start w:val="1"/>
      <w:numFmt w:val="bullet"/>
      <w:lvlText w:val="o"/>
      <w:lvlJc w:val="left"/>
      <w:pPr>
        <w:ind w:left="1440" w:hanging="360"/>
      </w:pPr>
      <w:rPr>
        <w:rFonts w:ascii="Courier New" w:hAnsi="Courier New" w:cs="Courier New" w:hint="default"/>
      </w:rPr>
    </w:lvl>
    <w:lvl w:ilvl="2" w:tplc="DC843E76" w:tentative="1">
      <w:start w:val="1"/>
      <w:numFmt w:val="bullet"/>
      <w:lvlText w:val=""/>
      <w:lvlJc w:val="left"/>
      <w:pPr>
        <w:ind w:left="2160" w:hanging="360"/>
      </w:pPr>
      <w:rPr>
        <w:rFonts w:ascii="Wingdings" w:hAnsi="Wingdings" w:hint="default"/>
      </w:rPr>
    </w:lvl>
    <w:lvl w:ilvl="3" w:tplc="973C6274" w:tentative="1">
      <w:start w:val="1"/>
      <w:numFmt w:val="bullet"/>
      <w:lvlText w:val=""/>
      <w:lvlJc w:val="left"/>
      <w:pPr>
        <w:ind w:left="2880" w:hanging="360"/>
      </w:pPr>
      <w:rPr>
        <w:rFonts w:ascii="Symbol" w:hAnsi="Symbol" w:hint="default"/>
      </w:rPr>
    </w:lvl>
    <w:lvl w:ilvl="4" w:tplc="91A83BFA" w:tentative="1">
      <w:start w:val="1"/>
      <w:numFmt w:val="bullet"/>
      <w:lvlText w:val="o"/>
      <w:lvlJc w:val="left"/>
      <w:pPr>
        <w:ind w:left="3600" w:hanging="360"/>
      </w:pPr>
      <w:rPr>
        <w:rFonts w:ascii="Courier New" w:hAnsi="Courier New" w:cs="Courier New" w:hint="default"/>
      </w:rPr>
    </w:lvl>
    <w:lvl w:ilvl="5" w:tplc="58F6716C" w:tentative="1">
      <w:start w:val="1"/>
      <w:numFmt w:val="bullet"/>
      <w:lvlText w:val=""/>
      <w:lvlJc w:val="left"/>
      <w:pPr>
        <w:ind w:left="4320" w:hanging="360"/>
      </w:pPr>
      <w:rPr>
        <w:rFonts w:ascii="Wingdings" w:hAnsi="Wingdings" w:hint="default"/>
      </w:rPr>
    </w:lvl>
    <w:lvl w:ilvl="6" w:tplc="A1BC4D4E" w:tentative="1">
      <w:start w:val="1"/>
      <w:numFmt w:val="bullet"/>
      <w:lvlText w:val=""/>
      <w:lvlJc w:val="left"/>
      <w:pPr>
        <w:ind w:left="5040" w:hanging="360"/>
      </w:pPr>
      <w:rPr>
        <w:rFonts w:ascii="Symbol" w:hAnsi="Symbol" w:hint="default"/>
      </w:rPr>
    </w:lvl>
    <w:lvl w:ilvl="7" w:tplc="1B0878D6" w:tentative="1">
      <w:start w:val="1"/>
      <w:numFmt w:val="bullet"/>
      <w:lvlText w:val="o"/>
      <w:lvlJc w:val="left"/>
      <w:pPr>
        <w:ind w:left="5760" w:hanging="360"/>
      </w:pPr>
      <w:rPr>
        <w:rFonts w:ascii="Courier New" w:hAnsi="Courier New" w:cs="Courier New" w:hint="default"/>
      </w:rPr>
    </w:lvl>
    <w:lvl w:ilvl="8" w:tplc="40AC7628" w:tentative="1">
      <w:start w:val="1"/>
      <w:numFmt w:val="bullet"/>
      <w:lvlText w:val=""/>
      <w:lvlJc w:val="left"/>
      <w:pPr>
        <w:ind w:left="6480" w:hanging="360"/>
      </w:pPr>
      <w:rPr>
        <w:rFonts w:ascii="Wingdings" w:hAnsi="Wingdings" w:hint="default"/>
      </w:rPr>
    </w:lvl>
  </w:abstractNum>
  <w:abstractNum w:abstractNumId="7" w15:restartNumberingAfterBreak="0">
    <w:nsid w:val="13097FF7"/>
    <w:multiLevelType w:val="hybridMultilevel"/>
    <w:tmpl w:val="0A968D26"/>
    <w:lvl w:ilvl="0" w:tplc="20FA6B2C">
      <w:start w:val="1"/>
      <w:numFmt w:val="bullet"/>
      <w:lvlText w:val=""/>
      <w:lvlJc w:val="left"/>
      <w:pPr>
        <w:ind w:left="360" w:hanging="360"/>
      </w:pPr>
      <w:rPr>
        <w:rFonts w:ascii="Wingdings" w:hAnsi="Wingdings" w:hint="default"/>
      </w:rPr>
    </w:lvl>
    <w:lvl w:ilvl="1" w:tplc="DE4EE8A0" w:tentative="1">
      <w:start w:val="1"/>
      <w:numFmt w:val="lowerLetter"/>
      <w:lvlText w:val="%2."/>
      <w:lvlJc w:val="left"/>
      <w:pPr>
        <w:ind w:left="1080" w:hanging="360"/>
      </w:pPr>
    </w:lvl>
    <w:lvl w:ilvl="2" w:tplc="CFF2180A" w:tentative="1">
      <w:start w:val="1"/>
      <w:numFmt w:val="lowerRoman"/>
      <w:lvlText w:val="%3."/>
      <w:lvlJc w:val="right"/>
      <w:pPr>
        <w:ind w:left="1800" w:hanging="180"/>
      </w:pPr>
    </w:lvl>
    <w:lvl w:ilvl="3" w:tplc="A5BE0ED4" w:tentative="1">
      <w:start w:val="1"/>
      <w:numFmt w:val="decimal"/>
      <w:lvlText w:val="%4."/>
      <w:lvlJc w:val="left"/>
      <w:pPr>
        <w:ind w:left="2520" w:hanging="360"/>
      </w:pPr>
    </w:lvl>
    <w:lvl w:ilvl="4" w:tplc="3E28E0AE" w:tentative="1">
      <w:start w:val="1"/>
      <w:numFmt w:val="lowerLetter"/>
      <w:lvlText w:val="%5."/>
      <w:lvlJc w:val="left"/>
      <w:pPr>
        <w:ind w:left="3240" w:hanging="360"/>
      </w:pPr>
    </w:lvl>
    <w:lvl w:ilvl="5" w:tplc="0AA8447C" w:tentative="1">
      <w:start w:val="1"/>
      <w:numFmt w:val="lowerRoman"/>
      <w:lvlText w:val="%6."/>
      <w:lvlJc w:val="right"/>
      <w:pPr>
        <w:ind w:left="3960" w:hanging="180"/>
      </w:pPr>
    </w:lvl>
    <w:lvl w:ilvl="6" w:tplc="C514351E" w:tentative="1">
      <w:start w:val="1"/>
      <w:numFmt w:val="decimal"/>
      <w:lvlText w:val="%7."/>
      <w:lvlJc w:val="left"/>
      <w:pPr>
        <w:ind w:left="4680" w:hanging="360"/>
      </w:pPr>
    </w:lvl>
    <w:lvl w:ilvl="7" w:tplc="3828BFA4" w:tentative="1">
      <w:start w:val="1"/>
      <w:numFmt w:val="lowerLetter"/>
      <w:lvlText w:val="%8."/>
      <w:lvlJc w:val="left"/>
      <w:pPr>
        <w:ind w:left="5400" w:hanging="360"/>
      </w:pPr>
    </w:lvl>
    <w:lvl w:ilvl="8" w:tplc="A858AC04" w:tentative="1">
      <w:start w:val="1"/>
      <w:numFmt w:val="lowerRoman"/>
      <w:lvlText w:val="%9."/>
      <w:lvlJc w:val="right"/>
      <w:pPr>
        <w:ind w:left="6120" w:hanging="180"/>
      </w:pPr>
    </w:lvl>
  </w:abstractNum>
  <w:abstractNum w:abstractNumId="8" w15:restartNumberingAfterBreak="0">
    <w:nsid w:val="14B47BCC"/>
    <w:multiLevelType w:val="hybridMultilevel"/>
    <w:tmpl w:val="0F6034BE"/>
    <w:lvl w:ilvl="0" w:tplc="31B2CA7A">
      <w:start w:val="1"/>
      <w:numFmt w:val="upperRoman"/>
      <w:lvlText w:val="%1."/>
      <w:lvlJc w:val="left"/>
      <w:pPr>
        <w:ind w:left="1080" w:hanging="720"/>
      </w:pPr>
      <w:rPr>
        <w:rFonts w:hint="default"/>
      </w:rPr>
    </w:lvl>
    <w:lvl w:ilvl="1" w:tplc="534E61DC" w:tentative="1">
      <w:start w:val="1"/>
      <w:numFmt w:val="lowerLetter"/>
      <w:lvlText w:val="%2."/>
      <w:lvlJc w:val="left"/>
      <w:pPr>
        <w:ind w:left="1440" w:hanging="360"/>
      </w:pPr>
    </w:lvl>
    <w:lvl w:ilvl="2" w:tplc="AA82C620" w:tentative="1">
      <w:start w:val="1"/>
      <w:numFmt w:val="lowerRoman"/>
      <w:lvlText w:val="%3."/>
      <w:lvlJc w:val="right"/>
      <w:pPr>
        <w:ind w:left="2160" w:hanging="180"/>
      </w:pPr>
    </w:lvl>
    <w:lvl w:ilvl="3" w:tplc="37A2A994" w:tentative="1">
      <w:start w:val="1"/>
      <w:numFmt w:val="decimal"/>
      <w:lvlText w:val="%4."/>
      <w:lvlJc w:val="left"/>
      <w:pPr>
        <w:ind w:left="2880" w:hanging="360"/>
      </w:pPr>
    </w:lvl>
    <w:lvl w:ilvl="4" w:tplc="070EE8E2" w:tentative="1">
      <w:start w:val="1"/>
      <w:numFmt w:val="lowerLetter"/>
      <w:lvlText w:val="%5."/>
      <w:lvlJc w:val="left"/>
      <w:pPr>
        <w:ind w:left="3600" w:hanging="360"/>
      </w:pPr>
    </w:lvl>
    <w:lvl w:ilvl="5" w:tplc="CE148E14" w:tentative="1">
      <w:start w:val="1"/>
      <w:numFmt w:val="lowerRoman"/>
      <w:lvlText w:val="%6."/>
      <w:lvlJc w:val="right"/>
      <w:pPr>
        <w:ind w:left="4320" w:hanging="180"/>
      </w:pPr>
    </w:lvl>
    <w:lvl w:ilvl="6" w:tplc="39D03D12" w:tentative="1">
      <w:start w:val="1"/>
      <w:numFmt w:val="decimal"/>
      <w:lvlText w:val="%7."/>
      <w:lvlJc w:val="left"/>
      <w:pPr>
        <w:ind w:left="5040" w:hanging="360"/>
      </w:pPr>
    </w:lvl>
    <w:lvl w:ilvl="7" w:tplc="5CAC9CE6" w:tentative="1">
      <w:start w:val="1"/>
      <w:numFmt w:val="lowerLetter"/>
      <w:lvlText w:val="%8."/>
      <w:lvlJc w:val="left"/>
      <w:pPr>
        <w:ind w:left="5760" w:hanging="360"/>
      </w:pPr>
    </w:lvl>
    <w:lvl w:ilvl="8" w:tplc="C15EDD7A" w:tentative="1">
      <w:start w:val="1"/>
      <w:numFmt w:val="lowerRoman"/>
      <w:lvlText w:val="%9."/>
      <w:lvlJc w:val="right"/>
      <w:pPr>
        <w:ind w:left="6480" w:hanging="180"/>
      </w:pPr>
    </w:lvl>
  </w:abstractNum>
  <w:abstractNum w:abstractNumId="9" w15:restartNumberingAfterBreak="0">
    <w:nsid w:val="16753C8A"/>
    <w:multiLevelType w:val="hybridMultilevel"/>
    <w:tmpl w:val="4EB00870"/>
    <w:lvl w:ilvl="0" w:tplc="1CB8FF1C">
      <w:start w:val="1"/>
      <w:numFmt w:val="bullet"/>
      <w:lvlText w:val=""/>
      <w:lvlJc w:val="left"/>
      <w:pPr>
        <w:ind w:left="360" w:hanging="360"/>
      </w:pPr>
      <w:rPr>
        <w:rFonts w:ascii="Symbol" w:hAnsi="Symbol" w:hint="default"/>
        <w:i/>
        <w:color w:val="auto"/>
      </w:rPr>
    </w:lvl>
    <w:lvl w:ilvl="1" w:tplc="688065D0" w:tentative="1">
      <w:start w:val="1"/>
      <w:numFmt w:val="bullet"/>
      <w:lvlText w:val="o"/>
      <w:lvlJc w:val="left"/>
      <w:pPr>
        <w:ind w:left="1080" w:hanging="360"/>
      </w:pPr>
      <w:rPr>
        <w:rFonts w:ascii="Courier New" w:hAnsi="Courier New" w:cs="Courier New" w:hint="default"/>
      </w:rPr>
    </w:lvl>
    <w:lvl w:ilvl="2" w:tplc="3140E412" w:tentative="1">
      <w:start w:val="1"/>
      <w:numFmt w:val="bullet"/>
      <w:lvlText w:val=""/>
      <w:lvlJc w:val="left"/>
      <w:pPr>
        <w:ind w:left="1800" w:hanging="360"/>
      </w:pPr>
      <w:rPr>
        <w:rFonts w:ascii="Wingdings" w:hAnsi="Wingdings" w:hint="default"/>
      </w:rPr>
    </w:lvl>
    <w:lvl w:ilvl="3" w:tplc="4752AAE2" w:tentative="1">
      <w:start w:val="1"/>
      <w:numFmt w:val="bullet"/>
      <w:lvlText w:val=""/>
      <w:lvlJc w:val="left"/>
      <w:pPr>
        <w:ind w:left="2520" w:hanging="360"/>
      </w:pPr>
      <w:rPr>
        <w:rFonts w:ascii="Symbol" w:hAnsi="Symbol" w:hint="default"/>
      </w:rPr>
    </w:lvl>
    <w:lvl w:ilvl="4" w:tplc="312815C2" w:tentative="1">
      <w:start w:val="1"/>
      <w:numFmt w:val="bullet"/>
      <w:lvlText w:val="o"/>
      <w:lvlJc w:val="left"/>
      <w:pPr>
        <w:ind w:left="3240" w:hanging="360"/>
      </w:pPr>
      <w:rPr>
        <w:rFonts w:ascii="Courier New" w:hAnsi="Courier New" w:cs="Courier New" w:hint="default"/>
      </w:rPr>
    </w:lvl>
    <w:lvl w:ilvl="5" w:tplc="22EE8046" w:tentative="1">
      <w:start w:val="1"/>
      <w:numFmt w:val="bullet"/>
      <w:lvlText w:val=""/>
      <w:lvlJc w:val="left"/>
      <w:pPr>
        <w:ind w:left="3960" w:hanging="360"/>
      </w:pPr>
      <w:rPr>
        <w:rFonts w:ascii="Wingdings" w:hAnsi="Wingdings" w:hint="default"/>
      </w:rPr>
    </w:lvl>
    <w:lvl w:ilvl="6" w:tplc="77A8C656" w:tentative="1">
      <w:start w:val="1"/>
      <w:numFmt w:val="bullet"/>
      <w:lvlText w:val=""/>
      <w:lvlJc w:val="left"/>
      <w:pPr>
        <w:ind w:left="4680" w:hanging="360"/>
      </w:pPr>
      <w:rPr>
        <w:rFonts w:ascii="Symbol" w:hAnsi="Symbol" w:hint="default"/>
      </w:rPr>
    </w:lvl>
    <w:lvl w:ilvl="7" w:tplc="5FE428E6" w:tentative="1">
      <w:start w:val="1"/>
      <w:numFmt w:val="bullet"/>
      <w:lvlText w:val="o"/>
      <w:lvlJc w:val="left"/>
      <w:pPr>
        <w:ind w:left="5400" w:hanging="360"/>
      </w:pPr>
      <w:rPr>
        <w:rFonts w:ascii="Courier New" w:hAnsi="Courier New" w:cs="Courier New" w:hint="default"/>
      </w:rPr>
    </w:lvl>
    <w:lvl w:ilvl="8" w:tplc="5C6E503A" w:tentative="1">
      <w:start w:val="1"/>
      <w:numFmt w:val="bullet"/>
      <w:lvlText w:val=""/>
      <w:lvlJc w:val="left"/>
      <w:pPr>
        <w:ind w:left="6120" w:hanging="360"/>
      </w:pPr>
      <w:rPr>
        <w:rFonts w:ascii="Wingdings" w:hAnsi="Wingdings" w:hint="default"/>
      </w:rPr>
    </w:lvl>
  </w:abstractNum>
  <w:abstractNum w:abstractNumId="10" w15:restartNumberingAfterBreak="0">
    <w:nsid w:val="17CB7847"/>
    <w:multiLevelType w:val="hybridMultilevel"/>
    <w:tmpl w:val="1F2C4750"/>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8E060D"/>
    <w:multiLevelType w:val="hybridMultilevel"/>
    <w:tmpl w:val="7B6EC8D6"/>
    <w:lvl w:ilvl="0" w:tplc="7DAE0F74">
      <w:start w:val="1"/>
      <w:numFmt w:val="bullet"/>
      <w:lvlText w:val=""/>
      <w:lvlJc w:val="left"/>
      <w:pPr>
        <w:ind w:left="720" w:hanging="360"/>
      </w:pPr>
      <w:rPr>
        <w:rFonts w:ascii="Symbol" w:hAnsi="Symbol" w:hint="default"/>
      </w:rPr>
    </w:lvl>
    <w:lvl w:ilvl="1" w:tplc="D9BA7546" w:tentative="1">
      <w:start w:val="1"/>
      <w:numFmt w:val="bullet"/>
      <w:lvlText w:val="o"/>
      <w:lvlJc w:val="left"/>
      <w:pPr>
        <w:ind w:left="1440" w:hanging="360"/>
      </w:pPr>
      <w:rPr>
        <w:rFonts w:ascii="Courier New" w:hAnsi="Courier New" w:cs="Courier New" w:hint="default"/>
      </w:rPr>
    </w:lvl>
    <w:lvl w:ilvl="2" w:tplc="9C8AFAE6" w:tentative="1">
      <w:start w:val="1"/>
      <w:numFmt w:val="bullet"/>
      <w:lvlText w:val=""/>
      <w:lvlJc w:val="left"/>
      <w:pPr>
        <w:ind w:left="2160" w:hanging="360"/>
      </w:pPr>
      <w:rPr>
        <w:rFonts w:ascii="Wingdings" w:hAnsi="Wingdings" w:hint="default"/>
      </w:rPr>
    </w:lvl>
    <w:lvl w:ilvl="3" w:tplc="F59E3698" w:tentative="1">
      <w:start w:val="1"/>
      <w:numFmt w:val="bullet"/>
      <w:lvlText w:val=""/>
      <w:lvlJc w:val="left"/>
      <w:pPr>
        <w:ind w:left="2880" w:hanging="360"/>
      </w:pPr>
      <w:rPr>
        <w:rFonts w:ascii="Symbol" w:hAnsi="Symbol" w:hint="default"/>
      </w:rPr>
    </w:lvl>
    <w:lvl w:ilvl="4" w:tplc="F86024E4" w:tentative="1">
      <w:start w:val="1"/>
      <w:numFmt w:val="bullet"/>
      <w:lvlText w:val="o"/>
      <w:lvlJc w:val="left"/>
      <w:pPr>
        <w:ind w:left="3600" w:hanging="360"/>
      </w:pPr>
      <w:rPr>
        <w:rFonts w:ascii="Courier New" w:hAnsi="Courier New" w:cs="Courier New" w:hint="default"/>
      </w:rPr>
    </w:lvl>
    <w:lvl w:ilvl="5" w:tplc="BBE4B394" w:tentative="1">
      <w:start w:val="1"/>
      <w:numFmt w:val="bullet"/>
      <w:lvlText w:val=""/>
      <w:lvlJc w:val="left"/>
      <w:pPr>
        <w:ind w:left="4320" w:hanging="360"/>
      </w:pPr>
      <w:rPr>
        <w:rFonts w:ascii="Wingdings" w:hAnsi="Wingdings" w:hint="default"/>
      </w:rPr>
    </w:lvl>
    <w:lvl w:ilvl="6" w:tplc="C3867BC8" w:tentative="1">
      <w:start w:val="1"/>
      <w:numFmt w:val="bullet"/>
      <w:lvlText w:val=""/>
      <w:lvlJc w:val="left"/>
      <w:pPr>
        <w:ind w:left="5040" w:hanging="360"/>
      </w:pPr>
      <w:rPr>
        <w:rFonts w:ascii="Symbol" w:hAnsi="Symbol" w:hint="default"/>
      </w:rPr>
    </w:lvl>
    <w:lvl w:ilvl="7" w:tplc="16CA8BCE" w:tentative="1">
      <w:start w:val="1"/>
      <w:numFmt w:val="bullet"/>
      <w:lvlText w:val="o"/>
      <w:lvlJc w:val="left"/>
      <w:pPr>
        <w:ind w:left="5760" w:hanging="360"/>
      </w:pPr>
      <w:rPr>
        <w:rFonts w:ascii="Courier New" w:hAnsi="Courier New" w:cs="Courier New" w:hint="default"/>
      </w:rPr>
    </w:lvl>
    <w:lvl w:ilvl="8" w:tplc="DBA6252E" w:tentative="1">
      <w:start w:val="1"/>
      <w:numFmt w:val="bullet"/>
      <w:lvlText w:val=""/>
      <w:lvlJc w:val="left"/>
      <w:pPr>
        <w:ind w:left="6480" w:hanging="360"/>
      </w:pPr>
      <w:rPr>
        <w:rFonts w:ascii="Wingdings" w:hAnsi="Wingdings" w:hint="default"/>
      </w:rPr>
    </w:lvl>
  </w:abstractNum>
  <w:abstractNum w:abstractNumId="12" w15:restartNumberingAfterBreak="0">
    <w:nsid w:val="1AFB558D"/>
    <w:multiLevelType w:val="hybridMultilevel"/>
    <w:tmpl w:val="D8888198"/>
    <w:lvl w:ilvl="0" w:tplc="6E3EB404">
      <w:start w:val="1"/>
      <w:numFmt w:val="decimal"/>
      <w:lvlText w:val="%1."/>
      <w:lvlJc w:val="left"/>
      <w:pPr>
        <w:ind w:left="720" w:hanging="360"/>
      </w:pPr>
      <w:rPr>
        <w:rFonts w:hint="default"/>
      </w:rPr>
    </w:lvl>
    <w:lvl w:ilvl="1" w:tplc="9CF04276" w:tentative="1">
      <w:start w:val="1"/>
      <w:numFmt w:val="lowerLetter"/>
      <w:lvlText w:val="%2."/>
      <w:lvlJc w:val="left"/>
      <w:pPr>
        <w:ind w:left="1440" w:hanging="360"/>
      </w:pPr>
    </w:lvl>
    <w:lvl w:ilvl="2" w:tplc="25A20E80" w:tentative="1">
      <w:start w:val="1"/>
      <w:numFmt w:val="lowerRoman"/>
      <w:lvlText w:val="%3."/>
      <w:lvlJc w:val="right"/>
      <w:pPr>
        <w:ind w:left="2160" w:hanging="180"/>
      </w:pPr>
    </w:lvl>
    <w:lvl w:ilvl="3" w:tplc="AAC6199C" w:tentative="1">
      <w:start w:val="1"/>
      <w:numFmt w:val="decimal"/>
      <w:lvlText w:val="%4."/>
      <w:lvlJc w:val="left"/>
      <w:pPr>
        <w:ind w:left="2880" w:hanging="360"/>
      </w:pPr>
    </w:lvl>
    <w:lvl w:ilvl="4" w:tplc="DA3CDFBA" w:tentative="1">
      <w:start w:val="1"/>
      <w:numFmt w:val="lowerLetter"/>
      <w:lvlText w:val="%5."/>
      <w:lvlJc w:val="left"/>
      <w:pPr>
        <w:ind w:left="3600" w:hanging="360"/>
      </w:pPr>
    </w:lvl>
    <w:lvl w:ilvl="5" w:tplc="78CCC262" w:tentative="1">
      <w:start w:val="1"/>
      <w:numFmt w:val="lowerRoman"/>
      <w:lvlText w:val="%6."/>
      <w:lvlJc w:val="right"/>
      <w:pPr>
        <w:ind w:left="4320" w:hanging="180"/>
      </w:pPr>
    </w:lvl>
    <w:lvl w:ilvl="6" w:tplc="C03A20B6" w:tentative="1">
      <w:start w:val="1"/>
      <w:numFmt w:val="decimal"/>
      <w:lvlText w:val="%7."/>
      <w:lvlJc w:val="left"/>
      <w:pPr>
        <w:ind w:left="5040" w:hanging="360"/>
      </w:pPr>
    </w:lvl>
    <w:lvl w:ilvl="7" w:tplc="5C046B02" w:tentative="1">
      <w:start w:val="1"/>
      <w:numFmt w:val="lowerLetter"/>
      <w:lvlText w:val="%8."/>
      <w:lvlJc w:val="left"/>
      <w:pPr>
        <w:ind w:left="5760" w:hanging="360"/>
      </w:pPr>
    </w:lvl>
    <w:lvl w:ilvl="8" w:tplc="83C8F7E2" w:tentative="1">
      <w:start w:val="1"/>
      <w:numFmt w:val="lowerRoman"/>
      <w:lvlText w:val="%9."/>
      <w:lvlJc w:val="right"/>
      <w:pPr>
        <w:ind w:left="6480" w:hanging="180"/>
      </w:pPr>
    </w:lvl>
  </w:abstractNum>
  <w:abstractNum w:abstractNumId="13" w15:restartNumberingAfterBreak="0">
    <w:nsid w:val="1DFF08F5"/>
    <w:multiLevelType w:val="hybridMultilevel"/>
    <w:tmpl w:val="38CE8C16"/>
    <w:lvl w:ilvl="0" w:tplc="53F670F0">
      <w:start w:val="1"/>
      <w:numFmt w:val="upperRoman"/>
      <w:lvlText w:val="%1."/>
      <w:lvlJc w:val="left"/>
      <w:pPr>
        <w:ind w:left="1004" w:hanging="720"/>
      </w:pPr>
      <w:rPr>
        <w:rFonts w:hint="default"/>
      </w:rPr>
    </w:lvl>
    <w:lvl w:ilvl="1" w:tplc="35904402" w:tentative="1">
      <w:start w:val="1"/>
      <w:numFmt w:val="lowerLetter"/>
      <w:lvlText w:val="%2."/>
      <w:lvlJc w:val="left"/>
      <w:pPr>
        <w:ind w:left="1364" w:hanging="360"/>
      </w:pPr>
    </w:lvl>
    <w:lvl w:ilvl="2" w:tplc="6C0A2F8C" w:tentative="1">
      <w:start w:val="1"/>
      <w:numFmt w:val="lowerRoman"/>
      <w:lvlText w:val="%3."/>
      <w:lvlJc w:val="right"/>
      <w:pPr>
        <w:ind w:left="2084" w:hanging="180"/>
      </w:pPr>
    </w:lvl>
    <w:lvl w:ilvl="3" w:tplc="71787950" w:tentative="1">
      <w:start w:val="1"/>
      <w:numFmt w:val="decimal"/>
      <w:lvlText w:val="%4."/>
      <w:lvlJc w:val="left"/>
      <w:pPr>
        <w:ind w:left="2804" w:hanging="360"/>
      </w:pPr>
    </w:lvl>
    <w:lvl w:ilvl="4" w:tplc="87C89EF0" w:tentative="1">
      <w:start w:val="1"/>
      <w:numFmt w:val="lowerLetter"/>
      <w:lvlText w:val="%5."/>
      <w:lvlJc w:val="left"/>
      <w:pPr>
        <w:ind w:left="3524" w:hanging="360"/>
      </w:pPr>
    </w:lvl>
    <w:lvl w:ilvl="5" w:tplc="06C0488C" w:tentative="1">
      <w:start w:val="1"/>
      <w:numFmt w:val="lowerRoman"/>
      <w:lvlText w:val="%6."/>
      <w:lvlJc w:val="right"/>
      <w:pPr>
        <w:ind w:left="4244" w:hanging="180"/>
      </w:pPr>
    </w:lvl>
    <w:lvl w:ilvl="6" w:tplc="974A89CE" w:tentative="1">
      <w:start w:val="1"/>
      <w:numFmt w:val="decimal"/>
      <w:lvlText w:val="%7."/>
      <w:lvlJc w:val="left"/>
      <w:pPr>
        <w:ind w:left="4964" w:hanging="360"/>
      </w:pPr>
    </w:lvl>
    <w:lvl w:ilvl="7" w:tplc="03E016A2" w:tentative="1">
      <w:start w:val="1"/>
      <w:numFmt w:val="lowerLetter"/>
      <w:lvlText w:val="%8."/>
      <w:lvlJc w:val="left"/>
      <w:pPr>
        <w:ind w:left="5684" w:hanging="360"/>
      </w:pPr>
    </w:lvl>
    <w:lvl w:ilvl="8" w:tplc="CDEEBCAA" w:tentative="1">
      <w:start w:val="1"/>
      <w:numFmt w:val="lowerRoman"/>
      <w:lvlText w:val="%9."/>
      <w:lvlJc w:val="right"/>
      <w:pPr>
        <w:ind w:left="6404" w:hanging="180"/>
      </w:pPr>
    </w:lvl>
  </w:abstractNum>
  <w:abstractNum w:abstractNumId="14" w15:restartNumberingAfterBreak="0">
    <w:nsid w:val="1F343B10"/>
    <w:multiLevelType w:val="hybridMultilevel"/>
    <w:tmpl w:val="C644CDDA"/>
    <w:lvl w:ilvl="0" w:tplc="6DB432D2">
      <w:start w:val="1"/>
      <w:numFmt w:val="decimal"/>
      <w:lvlText w:val="%1."/>
      <w:lvlJc w:val="left"/>
      <w:pPr>
        <w:ind w:left="720" w:hanging="360"/>
      </w:pPr>
      <w:rPr>
        <w:rFonts w:hint="default"/>
      </w:rPr>
    </w:lvl>
    <w:lvl w:ilvl="1" w:tplc="F878BA74" w:tentative="1">
      <w:start w:val="1"/>
      <w:numFmt w:val="lowerLetter"/>
      <w:lvlText w:val="%2."/>
      <w:lvlJc w:val="left"/>
      <w:pPr>
        <w:ind w:left="1440" w:hanging="360"/>
      </w:pPr>
    </w:lvl>
    <w:lvl w:ilvl="2" w:tplc="A8020704" w:tentative="1">
      <w:start w:val="1"/>
      <w:numFmt w:val="lowerRoman"/>
      <w:lvlText w:val="%3."/>
      <w:lvlJc w:val="right"/>
      <w:pPr>
        <w:ind w:left="2160" w:hanging="180"/>
      </w:pPr>
    </w:lvl>
    <w:lvl w:ilvl="3" w:tplc="93D28A9C" w:tentative="1">
      <w:start w:val="1"/>
      <w:numFmt w:val="decimal"/>
      <w:lvlText w:val="%4."/>
      <w:lvlJc w:val="left"/>
      <w:pPr>
        <w:ind w:left="2880" w:hanging="360"/>
      </w:pPr>
    </w:lvl>
    <w:lvl w:ilvl="4" w:tplc="13526FE2" w:tentative="1">
      <w:start w:val="1"/>
      <w:numFmt w:val="lowerLetter"/>
      <w:lvlText w:val="%5."/>
      <w:lvlJc w:val="left"/>
      <w:pPr>
        <w:ind w:left="3600" w:hanging="360"/>
      </w:pPr>
    </w:lvl>
    <w:lvl w:ilvl="5" w:tplc="97227928" w:tentative="1">
      <w:start w:val="1"/>
      <w:numFmt w:val="lowerRoman"/>
      <w:lvlText w:val="%6."/>
      <w:lvlJc w:val="right"/>
      <w:pPr>
        <w:ind w:left="4320" w:hanging="180"/>
      </w:pPr>
    </w:lvl>
    <w:lvl w:ilvl="6" w:tplc="7D245148" w:tentative="1">
      <w:start w:val="1"/>
      <w:numFmt w:val="decimal"/>
      <w:lvlText w:val="%7."/>
      <w:lvlJc w:val="left"/>
      <w:pPr>
        <w:ind w:left="5040" w:hanging="360"/>
      </w:pPr>
    </w:lvl>
    <w:lvl w:ilvl="7" w:tplc="A41088AE" w:tentative="1">
      <w:start w:val="1"/>
      <w:numFmt w:val="lowerLetter"/>
      <w:lvlText w:val="%8."/>
      <w:lvlJc w:val="left"/>
      <w:pPr>
        <w:ind w:left="5760" w:hanging="360"/>
      </w:pPr>
    </w:lvl>
    <w:lvl w:ilvl="8" w:tplc="25103CE0" w:tentative="1">
      <w:start w:val="1"/>
      <w:numFmt w:val="lowerRoman"/>
      <w:lvlText w:val="%9."/>
      <w:lvlJc w:val="right"/>
      <w:pPr>
        <w:ind w:left="6480" w:hanging="180"/>
      </w:pPr>
    </w:lvl>
  </w:abstractNum>
  <w:abstractNum w:abstractNumId="15" w15:restartNumberingAfterBreak="0">
    <w:nsid w:val="1F967082"/>
    <w:multiLevelType w:val="hybridMultilevel"/>
    <w:tmpl w:val="26641666"/>
    <w:lvl w:ilvl="0" w:tplc="EB6EA2D4">
      <w:start w:val="1"/>
      <w:numFmt w:val="bullet"/>
      <w:lvlText w:val=""/>
      <w:lvlJc w:val="left"/>
      <w:pPr>
        <w:ind w:left="360" w:hanging="360"/>
      </w:pPr>
      <w:rPr>
        <w:rFonts w:ascii="Wingdings" w:hAnsi="Wingdings" w:hint="default"/>
      </w:rPr>
    </w:lvl>
    <w:lvl w:ilvl="1" w:tplc="10B40B2A">
      <w:start w:val="1"/>
      <w:numFmt w:val="bullet"/>
      <w:lvlText w:val=""/>
      <w:lvlJc w:val="left"/>
      <w:pPr>
        <w:ind w:left="1080" w:hanging="360"/>
      </w:pPr>
      <w:rPr>
        <w:rFonts w:ascii="Symbol" w:hAnsi="Symbol" w:hint="default"/>
      </w:rPr>
    </w:lvl>
    <w:lvl w:ilvl="2" w:tplc="8E782A26" w:tentative="1">
      <w:start w:val="1"/>
      <w:numFmt w:val="lowerRoman"/>
      <w:lvlText w:val="%3."/>
      <w:lvlJc w:val="right"/>
      <w:pPr>
        <w:ind w:left="1800" w:hanging="180"/>
      </w:pPr>
    </w:lvl>
    <w:lvl w:ilvl="3" w:tplc="76A8A26E" w:tentative="1">
      <w:start w:val="1"/>
      <w:numFmt w:val="decimal"/>
      <w:lvlText w:val="%4."/>
      <w:lvlJc w:val="left"/>
      <w:pPr>
        <w:ind w:left="2520" w:hanging="360"/>
      </w:pPr>
    </w:lvl>
    <w:lvl w:ilvl="4" w:tplc="C54C701C" w:tentative="1">
      <w:start w:val="1"/>
      <w:numFmt w:val="lowerLetter"/>
      <w:lvlText w:val="%5."/>
      <w:lvlJc w:val="left"/>
      <w:pPr>
        <w:ind w:left="3240" w:hanging="360"/>
      </w:pPr>
    </w:lvl>
    <w:lvl w:ilvl="5" w:tplc="4AE8F5E0" w:tentative="1">
      <w:start w:val="1"/>
      <w:numFmt w:val="lowerRoman"/>
      <w:lvlText w:val="%6."/>
      <w:lvlJc w:val="right"/>
      <w:pPr>
        <w:ind w:left="3960" w:hanging="180"/>
      </w:pPr>
    </w:lvl>
    <w:lvl w:ilvl="6" w:tplc="57723AD2" w:tentative="1">
      <w:start w:val="1"/>
      <w:numFmt w:val="decimal"/>
      <w:lvlText w:val="%7."/>
      <w:lvlJc w:val="left"/>
      <w:pPr>
        <w:ind w:left="4680" w:hanging="360"/>
      </w:pPr>
    </w:lvl>
    <w:lvl w:ilvl="7" w:tplc="FA1A550A" w:tentative="1">
      <w:start w:val="1"/>
      <w:numFmt w:val="lowerLetter"/>
      <w:lvlText w:val="%8."/>
      <w:lvlJc w:val="left"/>
      <w:pPr>
        <w:ind w:left="5400" w:hanging="360"/>
      </w:pPr>
    </w:lvl>
    <w:lvl w:ilvl="8" w:tplc="F544C5E6" w:tentative="1">
      <w:start w:val="1"/>
      <w:numFmt w:val="lowerRoman"/>
      <w:lvlText w:val="%9."/>
      <w:lvlJc w:val="right"/>
      <w:pPr>
        <w:ind w:left="6120" w:hanging="180"/>
      </w:pPr>
    </w:lvl>
  </w:abstractNum>
  <w:abstractNum w:abstractNumId="16" w15:restartNumberingAfterBreak="0">
    <w:nsid w:val="1FB8041E"/>
    <w:multiLevelType w:val="hybridMultilevel"/>
    <w:tmpl w:val="F2B81046"/>
    <w:lvl w:ilvl="0" w:tplc="9F6A2C82">
      <w:start w:val="1"/>
      <w:numFmt w:val="lowerLetter"/>
      <w:lvlText w:val="%1)"/>
      <w:lvlJc w:val="left"/>
      <w:pPr>
        <w:ind w:left="720" w:hanging="360"/>
      </w:pPr>
      <w:rPr>
        <w:rFonts w:hint="default"/>
      </w:rPr>
    </w:lvl>
    <w:lvl w:ilvl="1" w:tplc="004E082C" w:tentative="1">
      <w:start w:val="1"/>
      <w:numFmt w:val="lowerLetter"/>
      <w:lvlText w:val="%2."/>
      <w:lvlJc w:val="left"/>
      <w:pPr>
        <w:ind w:left="1440" w:hanging="360"/>
      </w:pPr>
    </w:lvl>
    <w:lvl w:ilvl="2" w:tplc="E0DE21EA" w:tentative="1">
      <w:start w:val="1"/>
      <w:numFmt w:val="lowerRoman"/>
      <w:lvlText w:val="%3."/>
      <w:lvlJc w:val="right"/>
      <w:pPr>
        <w:ind w:left="2160" w:hanging="180"/>
      </w:pPr>
    </w:lvl>
    <w:lvl w:ilvl="3" w:tplc="7F02CEB4" w:tentative="1">
      <w:start w:val="1"/>
      <w:numFmt w:val="decimal"/>
      <w:lvlText w:val="%4."/>
      <w:lvlJc w:val="left"/>
      <w:pPr>
        <w:ind w:left="2880" w:hanging="360"/>
      </w:pPr>
    </w:lvl>
    <w:lvl w:ilvl="4" w:tplc="72025766" w:tentative="1">
      <w:start w:val="1"/>
      <w:numFmt w:val="lowerLetter"/>
      <w:lvlText w:val="%5."/>
      <w:lvlJc w:val="left"/>
      <w:pPr>
        <w:ind w:left="3600" w:hanging="360"/>
      </w:pPr>
    </w:lvl>
    <w:lvl w:ilvl="5" w:tplc="5E78AFD6" w:tentative="1">
      <w:start w:val="1"/>
      <w:numFmt w:val="lowerRoman"/>
      <w:lvlText w:val="%6."/>
      <w:lvlJc w:val="right"/>
      <w:pPr>
        <w:ind w:left="4320" w:hanging="180"/>
      </w:pPr>
    </w:lvl>
    <w:lvl w:ilvl="6" w:tplc="29A277EA" w:tentative="1">
      <w:start w:val="1"/>
      <w:numFmt w:val="decimal"/>
      <w:lvlText w:val="%7."/>
      <w:lvlJc w:val="left"/>
      <w:pPr>
        <w:ind w:left="5040" w:hanging="360"/>
      </w:pPr>
    </w:lvl>
    <w:lvl w:ilvl="7" w:tplc="B844B19E" w:tentative="1">
      <w:start w:val="1"/>
      <w:numFmt w:val="lowerLetter"/>
      <w:lvlText w:val="%8."/>
      <w:lvlJc w:val="left"/>
      <w:pPr>
        <w:ind w:left="5760" w:hanging="360"/>
      </w:pPr>
    </w:lvl>
    <w:lvl w:ilvl="8" w:tplc="9E3C1034" w:tentative="1">
      <w:start w:val="1"/>
      <w:numFmt w:val="lowerRoman"/>
      <w:lvlText w:val="%9."/>
      <w:lvlJc w:val="right"/>
      <w:pPr>
        <w:ind w:left="6480" w:hanging="180"/>
      </w:pPr>
    </w:lvl>
  </w:abstractNum>
  <w:abstractNum w:abstractNumId="17" w15:restartNumberingAfterBreak="0">
    <w:nsid w:val="27DA144A"/>
    <w:multiLevelType w:val="hybridMultilevel"/>
    <w:tmpl w:val="0FD6F644"/>
    <w:lvl w:ilvl="0" w:tplc="30CA3886">
      <w:numFmt w:val="bullet"/>
      <w:lvlText w:val="–"/>
      <w:lvlJc w:val="left"/>
      <w:pPr>
        <w:ind w:left="720" w:hanging="360"/>
      </w:pPr>
      <w:rPr>
        <w:rFonts w:ascii="Times New Roman" w:eastAsia="Times New Roman" w:hAnsi="Times New Roman" w:cs="Times New Roman" w:hint="default"/>
        <w:i/>
        <w:color w:val="auto"/>
      </w:rPr>
    </w:lvl>
    <w:lvl w:ilvl="1" w:tplc="CE60CC5C" w:tentative="1">
      <w:start w:val="1"/>
      <w:numFmt w:val="bullet"/>
      <w:lvlText w:val="o"/>
      <w:lvlJc w:val="left"/>
      <w:pPr>
        <w:ind w:left="1440" w:hanging="360"/>
      </w:pPr>
      <w:rPr>
        <w:rFonts w:ascii="Courier New" w:hAnsi="Courier New" w:cs="Courier New" w:hint="default"/>
      </w:rPr>
    </w:lvl>
    <w:lvl w:ilvl="2" w:tplc="783638A0" w:tentative="1">
      <w:start w:val="1"/>
      <w:numFmt w:val="bullet"/>
      <w:lvlText w:val=""/>
      <w:lvlJc w:val="left"/>
      <w:pPr>
        <w:ind w:left="2160" w:hanging="360"/>
      </w:pPr>
      <w:rPr>
        <w:rFonts w:ascii="Wingdings" w:hAnsi="Wingdings" w:hint="default"/>
      </w:rPr>
    </w:lvl>
    <w:lvl w:ilvl="3" w:tplc="D7F462C6" w:tentative="1">
      <w:start w:val="1"/>
      <w:numFmt w:val="bullet"/>
      <w:lvlText w:val=""/>
      <w:lvlJc w:val="left"/>
      <w:pPr>
        <w:ind w:left="2880" w:hanging="360"/>
      </w:pPr>
      <w:rPr>
        <w:rFonts w:ascii="Symbol" w:hAnsi="Symbol" w:hint="default"/>
      </w:rPr>
    </w:lvl>
    <w:lvl w:ilvl="4" w:tplc="D6668372" w:tentative="1">
      <w:start w:val="1"/>
      <w:numFmt w:val="bullet"/>
      <w:lvlText w:val="o"/>
      <w:lvlJc w:val="left"/>
      <w:pPr>
        <w:ind w:left="3600" w:hanging="360"/>
      </w:pPr>
      <w:rPr>
        <w:rFonts w:ascii="Courier New" w:hAnsi="Courier New" w:cs="Courier New" w:hint="default"/>
      </w:rPr>
    </w:lvl>
    <w:lvl w:ilvl="5" w:tplc="51466AB6" w:tentative="1">
      <w:start w:val="1"/>
      <w:numFmt w:val="bullet"/>
      <w:lvlText w:val=""/>
      <w:lvlJc w:val="left"/>
      <w:pPr>
        <w:ind w:left="4320" w:hanging="360"/>
      </w:pPr>
      <w:rPr>
        <w:rFonts w:ascii="Wingdings" w:hAnsi="Wingdings" w:hint="default"/>
      </w:rPr>
    </w:lvl>
    <w:lvl w:ilvl="6" w:tplc="4B962324" w:tentative="1">
      <w:start w:val="1"/>
      <w:numFmt w:val="bullet"/>
      <w:lvlText w:val=""/>
      <w:lvlJc w:val="left"/>
      <w:pPr>
        <w:ind w:left="5040" w:hanging="360"/>
      </w:pPr>
      <w:rPr>
        <w:rFonts w:ascii="Symbol" w:hAnsi="Symbol" w:hint="default"/>
      </w:rPr>
    </w:lvl>
    <w:lvl w:ilvl="7" w:tplc="5F583B82" w:tentative="1">
      <w:start w:val="1"/>
      <w:numFmt w:val="bullet"/>
      <w:lvlText w:val="o"/>
      <w:lvlJc w:val="left"/>
      <w:pPr>
        <w:ind w:left="5760" w:hanging="360"/>
      </w:pPr>
      <w:rPr>
        <w:rFonts w:ascii="Courier New" w:hAnsi="Courier New" w:cs="Courier New" w:hint="default"/>
      </w:rPr>
    </w:lvl>
    <w:lvl w:ilvl="8" w:tplc="43545CFE" w:tentative="1">
      <w:start w:val="1"/>
      <w:numFmt w:val="bullet"/>
      <w:lvlText w:val=""/>
      <w:lvlJc w:val="left"/>
      <w:pPr>
        <w:ind w:left="6480" w:hanging="360"/>
      </w:pPr>
      <w:rPr>
        <w:rFonts w:ascii="Wingdings" w:hAnsi="Wingdings" w:hint="default"/>
      </w:rPr>
    </w:lvl>
  </w:abstractNum>
  <w:abstractNum w:abstractNumId="18" w15:restartNumberingAfterBreak="0">
    <w:nsid w:val="2BA46D65"/>
    <w:multiLevelType w:val="hybridMultilevel"/>
    <w:tmpl w:val="26FC07C2"/>
    <w:lvl w:ilvl="0" w:tplc="CD6642D4">
      <w:start w:val="1"/>
      <w:numFmt w:val="bullet"/>
      <w:lvlText w:val="-"/>
      <w:lvlJc w:val="left"/>
      <w:pPr>
        <w:ind w:left="720" w:hanging="360"/>
      </w:pPr>
      <w:rPr>
        <w:rFonts w:ascii="Calibri" w:eastAsiaTheme="minorHAnsi" w:hAnsi="Calibri" w:cs="Calibri" w:hint="default"/>
      </w:rPr>
    </w:lvl>
    <w:lvl w:ilvl="1" w:tplc="4B44FB14" w:tentative="1">
      <w:start w:val="1"/>
      <w:numFmt w:val="lowerLetter"/>
      <w:lvlText w:val="%2."/>
      <w:lvlJc w:val="left"/>
      <w:pPr>
        <w:ind w:left="1440" w:hanging="360"/>
      </w:pPr>
    </w:lvl>
    <w:lvl w:ilvl="2" w:tplc="C5BA14AA" w:tentative="1">
      <w:start w:val="1"/>
      <w:numFmt w:val="lowerRoman"/>
      <w:lvlText w:val="%3."/>
      <w:lvlJc w:val="right"/>
      <w:pPr>
        <w:ind w:left="2160" w:hanging="180"/>
      </w:pPr>
    </w:lvl>
    <w:lvl w:ilvl="3" w:tplc="267CA768" w:tentative="1">
      <w:start w:val="1"/>
      <w:numFmt w:val="decimal"/>
      <w:lvlText w:val="%4."/>
      <w:lvlJc w:val="left"/>
      <w:pPr>
        <w:ind w:left="2880" w:hanging="360"/>
      </w:pPr>
    </w:lvl>
    <w:lvl w:ilvl="4" w:tplc="E772C770" w:tentative="1">
      <w:start w:val="1"/>
      <w:numFmt w:val="lowerLetter"/>
      <w:lvlText w:val="%5."/>
      <w:lvlJc w:val="left"/>
      <w:pPr>
        <w:ind w:left="3600" w:hanging="360"/>
      </w:pPr>
    </w:lvl>
    <w:lvl w:ilvl="5" w:tplc="C38C6106" w:tentative="1">
      <w:start w:val="1"/>
      <w:numFmt w:val="lowerRoman"/>
      <w:lvlText w:val="%6."/>
      <w:lvlJc w:val="right"/>
      <w:pPr>
        <w:ind w:left="4320" w:hanging="180"/>
      </w:pPr>
    </w:lvl>
    <w:lvl w:ilvl="6" w:tplc="A3DE0ED6" w:tentative="1">
      <w:start w:val="1"/>
      <w:numFmt w:val="decimal"/>
      <w:lvlText w:val="%7."/>
      <w:lvlJc w:val="left"/>
      <w:pPr>
        <w:ind w:left="5040" w:hanging="360"/>
      </w:pPr>
    </w:lvl>
    <w:lvl w:ilvl="7" w:tplc="6C8840B0" w:tentative="1">
      <w:start w:val="1"/>
      <w:numFmt w:val="lowerLetter"/>
      <w:lvlText w:val="%8."/>
      <w:lvlJc w:val="left"/>
      <w:pPr>
        <w:ind w:left="5760" w:hanging="360"/>
      </w:pPr>
    </w:lvl>
    <w:lvl w:ilvl="8" w:tplc="124E9E46" w:tentative="1">
      <w:start w:val="1"/>
      <w:numFmt w:val="lowerRoman"/>
      <w:lvlText w:val="%9."/>
      <w:lvlJc w:val="right"/>
      <w:pPr>
        <w:ind w:left="6480" w:hanging="180"/>
      </w:pPr>
    </w:lvl>
  </w:abstractNum>
  <w:abstractNum w:abstractNumId="19" w15:restartNumberingAfterBreak="0">
    <w:nsid w:val="31844057"/>
    <w:multiLevelType w:val="hybridMultilevel"/>
    <w:tmpl w:val="214822A8"/>
    <w:lvl w:ilvl="0" w:tplc="507C0E1A">
      <w:start w:val="6"/>
      <w:numFmt w:val="bullet"/>
      <w:lvlText w:val="–"/>
      <w:lvlJc w:val="left"/>
      <w:pPr>
        <w:ind w:left="502" w:hanging="360"/>
      </w:pPr>
      <w:rPr>
        <w:rFonts w:ascii="Calibri" w:eastAsia="Calibri" w:hAnsi="Calibri" w:cs="Calibri" w:hint="default"/>
      </w:rPr>
    </w:lvl>
    <w:lvl w:ilvl="1" w:tplc="428677C0" w:tentative="1">
      <w:start w:val="1"/>
      <w:numFmt w:val="bullet"/>
      <w:lvlText w:val="o"/>
      <w:lvlJc w:val="left"/>
      <w:pPr>
        <w:ind w:left="1440" w:hanging="360"/>
      </w:pPr>
      <w:rPr>
        <w:rFonts w:ascii="Courier New" w:hAnsi="Courier New" w:cs="Courier New" w:hint="default"/>
      </w:rPr>
    </w:lvl>
    <w:lvl w:ilvl="2" w:tplc="A0986766" w:tentative="1">
      <w:start w:val="1"/>
      <w:numFmt w:val="bullet"/>
      <w:lvlText w:val=""/>
      <w:lvlJc w:val="left"/>
      <w:pPr>
        <w:ind w:left="2160" w:hanging="360"/>
      </w:pPr>
      <w:rPr>
        <w:rFonts w:ascii="Wingdings" w:hAnsi="Wingdings" w:hint="default"/>
      </w:rPr>
    </w:lvl>
    <w:lvl w:ilvl="3" w:tplc="2B585C0C" w:tentative="1">
      <w:start w:val="1"/>
      <w:numFmt w:val="bullet"/>
      <w:lvlText w:val=""/>
      <w:lvlJc w:val="left"/>
      <w:pPr>
        <w:ind w:left="2880" w:hanging="360"/>
      </w:pPr>
      <w:rPr>
        <w:rFonts w:ascii="Symbol" w:hAnsi="Symbol" w:hint="default"/>
      </w:rPr>
    </w:lvl>
    <w:lvl w:ilvl="4" w:tplc="B770CD6E" w:tentative="1">
      <w:start w:val="1"/>
      <w:numFmt w:val="bullet"/>
      <w:lvlText w:val="o"/>
      <w:lvlJc w:val="left"/>
      <w:pPr>
        <w:ind w:left="3600" w:hanging="360"/>
      </w:pPr>
      <w:rPr>
        <w:rFonts w:ascii="Courier New" w:hAnsi="Courier New" w:cs="Courier New" w:hint="default"/>
      </w:rPr>
    </w:lvl>
    <w:lvl w:ilvl="5" w:tplc="74A2E064" w:tentative="1">
      <w:start w:val="1"/>
      <w:numFmt w:val="bullet"/>
      <w:lvlText w:val=""/>
      <w:lvlJc w:val="left"/>
      <w:pPr>
        <w:ind w:left="4320" w:hanging="360"/>
      </w:pPr>
      <w:rPr>
        <w:rFonts w:ascii="Wingdings" w:hAnsi="Wingdings" w:hint="default"/>
      </w:rPr>
    </w:lvl>
    <w:lvl w:ilvl="6" w:tplc="DE363CAE" w:tentative="1">
      <w:start w:val="1"/>
      <w:numFmt w:val="bullet"/>
      <w:lvlText w:val=""/>
      <w:lvlJc w:val="left"/>
      <w:pPr>
        <w:ind w:left="5040" w:hanging="360"/>
      </w:pPr>
      <w:rPr>
        <w:rFonts w:ascii="Symbol" w:hAnsi="Symbol" w:hint="default"/>
      </w:rPr>
    </w:lvl>
    <w:lvl w:ilvl="7" w:tplc="6730F522" w:tentative="1">
      <w:start w:val="1"/>
      <w:numFmt w:val="bullet"/>
      <w:lvlText w:val="o"/>
      <w:lvlJc w:val="left"/>
      <w:pPr>
        <w:ind w:left="5760" w:hanging="360"/>
      </w:pPr>
      <w:rPr>
        <w:rFonts w:ascii="Courier New" w:hAnsi="Courier New" w:cs="Courier New" w:hint="default"/>
      </w:rPr>
    </w:lvl>
    <w:lvl w:ilvl="8" w:tplc="CE505042" w:tentative="1">
      <w:start w:val="1"/>
      <w:numFmt w:val="bullet"/>
      <w:lvlText w:val=""/>
      <w:lvlJc w:val="left"/>
      <w:pPr>
        <w:ind w:left="6480" w:hanging="360"/>
      </w:pPr>
      <w:rPr>
        <w:rFonts w:ascii="Wingdings" w:hAnsi="Wingdings" w:hint="default"/>
      </w:rPr>
    </w:lvl>
  </w:abstractNum>
  <w:abstractNum w:abstractNumId="20" w15:restartNumberingAfterBreak="0">
    <w:nsid w:val="396061A0"/>
    <w:multiLevelType w:val="hybridMultilevel"/>
    <w:tmpl w:val="17FEB396"/>
    <w:lvl w:ilvl="0" w:tplc="13447494">
      <w:start w:val="1"/>
      <w:numFmt w:val="bullet"/>
      <w:lvlText w:val=""/>
      <w:lvlJc w:val="left"/>
      <w:pPr>
        <w:ind w:left="360" w:hanging="360"/>
      </w:pPr>
      <w:rPr>
        <w:rFonts w:ascii="Symbol" w:hAnsi="Symbol" w:hint="default"/>
      </w:rPr>
    </w:lvl>
    <w:lvl w:ilvl="1" w:tplc="E206A70C" w:tentative="1">
      <w:start w:val="1"/>
      <w:numFmt w:val="bullet"/>
      <w:lvlText w:val="o"/>
      <w:lvlJc w:val="left"/>
      <w:pPr>
        <w:ind w:left="1080" w:hanging="360"/>
      </w:pPr>
      <w:rPr>
        <w:rFonts w:ascii="Courier New" w:hAnsi="Courier New" w:cs="Courier New" w:hint="default"/>
      </w:rPr>
    </w:lvl>
    <w:lvl w:ilvl="2" w:tplc="E452A93E" w:tentative="1">
      <w:start w:val="1"/>
      <w:numFmt w:val="bullet"/>
      <w:lvlText w:val=""/>
      <w:lvlJc w:val="left"/>
      <w:pPr>
        <w:ind w:left="1800" w:hanging="360"/>
      </w:pPr>
      <w:rPr>
        <w:rFonts w:ascii="Wingdings" w:hAnsi="Wingdings" w:hint="default"/>
      </w:rPr>
    </w:lvl>
    <w:lvl w:ilvl="3" w:tplc="32A06DEE" w:tentative="1">
      <w:start w:val="1"/>
      <w:numFmt w:val="bullet"/>
      <w:lvlText w:val=""/>
      <w:lvlJc w:val="left"/>
      <w:pPr>
        <w:ind w:left="2520" w:hanging="360"/>
      </w:pPr>
      <w:rPr>
        <w:rFonts w:ascii="Symbol" w:hAnsi="Symbol" w:hint="default"/>
      </w:rPr>
    </w:lvl>
    <w:lvl w:ilvl="4" w:tplc="B3D8E5B6" w:tentative="1">
      <w:start w:val="1"/>
      <w:numFmt w:val="bullet"/>
      <w:lvlText w:val="o"/>
      <w:lvlJc w:val="left"/>
      <w:pPr>
        <w:ind w:left="3240" w:hanging="360"/>
      </w:pPr>
      <w:rPr>
        <w:rFonts w:ascii="Courier New" w:hAnsi="Courier New" w:cs="Courier New" w:hint="default"/>
      </w:rPr>
    </w:lvl>
    <w:lvl w:ilvl="5" w:tplc="35008958" w:tentative="1">
      <w:start w:val="1"/>
      <w:numFmt w:val="bullet"/>
      <w:lvlText w:val=""/>
      <w:lvlJc w:val="left"/>
      <w:pPr>
        <w:ind w:left="3960" w:hanging="360"/>
      </w:pPr>
      <w:rPr>
        <w:rFonts w:ascii="Wingdings" w:hAnsi="Wingdings" w:hint="default"/>
      </w:rPr>
    </w:lvl>
    <w:lvl w:ilvl="6" w:tplc="706EA388" w:tentative="1">
      <w:start w:val="1"/>
      <w:numFmt w:val="bullet"/>
      <w:lvlText w:val=""/>
      <w:lvlJc w:val="left"/>
      <w:pPr>
        <w:ind w:left="4680" w:hanging="360"/>
      </w:pPr>
      <w:rPr>
        <w:rFonts w:ascii="Symbol" w:hAnsi="Symbol" w:hint="default"/>
      </w:rPr>
    </w:lvl>
    <w:lvl w:ilvl="7" w:tplc="3844167E" w:tentative="1">
      <w:start w:val="1"/>
      <w:numFmt w:val="bullet"/>
      <w:lvlText w:val="o"/>
      <w:lvlJc w:val="left"/>
      <w:pPr>
        <w:ind w:left="5400" w:hanging="360"/>
      </w:pPr>
      <w:rPr>
        <w:rFonts w:ascii="Courier New" w:hAnsi="Courier New" w:cs="Courier New" w:hint="default"/>
      </w:rPr>
    </w:lvl>
    <w:lvl w:ilvl="8" w:tplc="26803F72" w:tentative="1">
      <w:start w:val="1"/>
      <w:numFmt w:val="bullet"/>
      <w:lvlText w:val=""/>
      <w:lvlJc w:val="left"/>
      <w:pPr>
        <w:ind w:left="6120" w:hanging="360"/>
      </w:pPr>
      <w:rPr>
        <w:rFonts w:ascii="Wingdings" w:hAnsi="Wingdings" w:hint="default"/>
      </w:rPr>
    </w:lvl>
  </w:abstractNum>
  <w:abstractNum w:abstractNumId="21" w15:restartNumberingAfterBreak="0">
    <w:nsid w:val="3E25456B"/>
    <w:multiLevelType w:val="hybridMultilevel"/>
    <w:tmpl w:val="825ECC88"/>
    <w:lvl w:ilvl="0" w:tplc="E4008230">
      <w:start w:val="1"/>
      <w:numFmt w:val="lowerLetter"/>
      <w:lvlText w:val="%1)"/>
      <w:lvlJc w:val="left"/>
      <w:pPr>
        <w:ind w:left="720" w:hanging="360"/>
      </w:pPr>
      <w:rPr>
        <w:rFonts w:hint="default"/>
      </w:rPr>
    </w:lvl>
    <w:lvl w:ilvl="1" w:tplc="E5D009D2" w:tentative="1">
      <w:start w:val="1"/>
      <w:numFmt w:val="lowerLetter"/>
      <w:lvlText w:val="%2."/>
      <w:lvlJc w:val="left"/>
      <w:pPr>
        <w:ind w:left="1440" w:hanging="360"/>
      </w:pPr>
    </w:lvl>
    <w:lvl w:ilvl="2" w:tplc="29CE1756" w:tentative="1">
      <w:start w:val="1"/>
      <w:numFmt w:val="lowerRoman"/>
      <w:lvlText w:val="%3."/>
      <w:lvlJc w:val="right"/>
      <w:pPr>
        <w:ind w:left="2160" w:hanging="180"/>
      </w:pPr>
    </w:lvl>
    <w:lvl w:ilvl="3" w:tplc="92949EC2" w:tentative="1">
      <w:start w:val="1"/>
      <w:numFmt w:val="decimal"/>
      <w:lvlText w:val="%4."/>
      <w:lvlJc w:val="left"/>
      <w:pPr>
        <w:ind w:left="2880" w:hanging="360"/>
      </w:pPr>
    </w:lvl>
    <w:lvl w:ilvl="4" w:tplc="E14A824C" w:tentative="1">
      <w:start w:val="1"/>
      <w:numFmt w:val="lowerLetter"/>
      <w:lvlText w:val="%5."/>
      <w:lvlJc w:val="left"/>
      <w:pPr>
        <w:ind w:left="3600" w:hanging="360"/>
      </w:pPr>
    </w:lvl>
    <w:lvl w:ilvl="5" w:tplc="1E2E3938" w:tentative="1">
      <w:start w:val="1"/>
      <w:numFmt w:val="lowerRoman"/>
      <w:lvlText w:val="%6."/>
      <w:lvlJc w:val="right"/>
      <w:pPr>
        <w:ind w:left="4320" w:hanging="180"/>
      </w:pPr>
    </w:lvl>
    <w:lvl w:ilvl="6" w:tplc="A82A00B8" w:tentative="1">
      <w:start w:val="1"/>
      <w:numFmt w:val="decimal"/>
      <w:lvlText w:val="%7."/>
      <w:lvlJc w:val="left"/>
      <w:pPr>
        <w:ind w:left="5040" w:hanging="360"/>
      </w:pPr>
    </w:lvl>
    <w:lvl w:ilvl="7" w:tplc="DE0895CC" w:tentative="1">
      <w:start w:val="1"/>
      <w:numFmt w:val="lowerLetter"/>
      <w:lvlText w:val="%8."/>
      <w:lvlJc w:val="left"/>
      <w:pPr>
        <w:ind w:left="5760" w:hanging="360"/>
      </w:pPr>
    </w:lvl>
    <w:lvl w:ilvl="8" w:tplc="18BAD77C" w:tentative="1">
      <w:start w:val="1"/>
      <w:numFmt w:val="lowerRoman"/>
      <w:lvlText w:val="%9."/>
      <w:lvlJc w:val="right"/>
      <w:pPr>
        <w:ind w:left="6480" w:hanging="180"/>
      </w:pPr>
    </w:lvl>
  </w:abstractNum>
  <w:abstractNum w:abstractNumId="22" w15:restartNumberingAfterBreak="0">
    <w:nsid w:val="3E883499"/>
    <w:multiLevelType w:val="hybridMultilevel"/>
    <w:tmpl w:val="E17869A6"/>
    <w:lvl w:ilvl="0" w:tplc="7B1C6700">
      <w:start w:val="4"/>
      <w:numFmt w:val="bullet"/>
      <w:lvlText w:val="-"/>
      <w:lvlJc w:val="left"/>
      <w:pPr>
        <w:ind w:left="720" w:hanging="360"/>
      </w:pPr>
      <w:rPr>
        <w:rFonts w:ascii="Calibri" w:eastAsia="Arial Unicode MS" w:hAnsi="Calibri" w:cs="Calibri" w:hint="default"/>
      </w:rPr>
    </w:lvl>
    <w:lvl w:ilvl="1" w:tplc="D9BA7546" w:tentative="1">
      <w:start w:val="1"/>
      <w:numFmt w:val="bullet"/>
      <w:lvlText w:val="o"/>
      <w:lvlJc w:val="left"/>
      <w:pPr>
        <w:ind w:left="1440" w:hanging="360"/>
      </w:pPr>
      <w:rPr>
        <w:rFonts w:ascii="Courier New" w:hAnsi="Courier New" w:cs="Courier New" w:hint="default"/>
      </w:rPr>
    </w:lvl>
    <w:lvl w:ilvl="2" w:tplc="9C8AFAE6" w:tentative="1">
      <w:start w:val="1"/>
      <w:numFmt w:val="bullet"/>
      <w:lvlText w:val=""/>
      <w:lvlJc w:val="left"/>
      <w:pPr>
        <w:ind w:left="2160" w:hanging="360"/>
      </w:pPr>
      <w:rPr>
        <w:rFonts w:ascii="Wingdings" w:hAnsi="Wingdings" w:hint="default"/>
      </w:rPr>
    </w:lvl>
    <w:lvl w:ilvl="3" w:tplc="F59E3698" w:tentative="1">
      <w:start w:val="1"/>
      <w:numFmt w:val="bullet"/>
      <w:lvlText w:val=""/>
      <w:lvlJc w:val="left"/>
      <w:pPr>
        <w:ind w:left="2880" w:hanging="360"/>
      </w:pPr>
      <w:rPr>
        <w:rFonts w:ascii="Symbol" w:hAnsi="Symbol" w:hint="default"/>
      </w:rPr>
    </w:lvl>
    <w:lvl w:ilvl="4" w:tplc="F86024E4" w:tentative="1">
      <w:start w:val="1"/>
      <w:numFmt w:val="bullet"/>
      <w:lvlText w:val="o"/>
      <w:lvlJc w:val="left"/>
      <w:pPr>
        <w:ind w:left="3600" w:hanging="360"/>
      </w:pPr>
      <w:rPr>
        <w:rFonts w:ascii="Courier New" w:hAnsi="Courier New" w:cs="Courier New" w:hint="default"/>
      </w:rPr>
    </w:lvl>
    <w:lvl w:ilvl="5" w:tplc="BBE4B394" w:tentative="1">
      <w:start w:val="1"/>
      <w:numFmt w:val="bullet"/>
      <w:lvlText w:val=""/>
      <w:lvlJc w:val="left"/>
      <w:pPr>
        <w:ind w:left="4320" w:hanging="360"/>
      </w:pPr>
      <w:rPr>
        <w:rFonts w:ascii="Wingdings" w:hAnsi="Wingdings" w:hint="default"/>
      </w:rPr>
    </w:lvl>
    <w:lvl w:ilvl="6" w:tplc="C3867BC8" w:tentative="1">
      <w:start w:val="1"/>
      <w:numFmt w:val="bullet"/>
      <w:lvlText w:val=""/>
      <w:lvlJc w:val="left"/>
      <w:pPr>
        <w:ind w:left="5040" w:hanging="360"/>
      </w:pPr>
      <w:rPr>
        <w:rFonts w:ascii="Symbol" w:hAnsi="Symbol" w:hint="default"/>
      </w:rPr>
    </w:lvl>
    <w:lvl w:ilvl="7" w:tplc="16CA8BCE" w:tentative="1">
      <w:start w:val="1"/>
      <w:numFmt w:val="bullet"/>
      <w:lvlText w:val="o"/>
      <w:lvlJc w:val="left"/>
      <w:pPr>
        <w:ind w:left="5760" w:hanging="360"/>
      </w:pPr>
      <w:rPr>
        <w:rFonts w:ascii="Courier New" w:hAnsi="Courier New" w:cs="Courier New" w:hint="default"/>
      </w:rPr>
    </w:lvl>
    <w:lvl w:ilvl="8" w:tplc="DBA6252E" w:tentative="1">
      <w:start w:val="1"/>
      <w:numFmt w:val="bullet"/>
      <w:lvlText w:val=""/>
      <w:lvlJc w:val="left"/>
      <w:pPr>
        <w:ind w:left="6480" w:hanging="360"/>
      </w:pPr>
      <w:rPr>
        <w:rFonts w:ascii="Wingdings" w:hAnsi="Wingdings" w:hint="default"/>
      </w:rPr>
    </w:lvl>
  </w:abstractNum>
  <w:abstractNum w:abstractNumId="23" w15:restartNumberingAfterBreak="0">
    <w:nsid w:val="44F06124"/>
    <w:multiLevelType w:val="hybridMultilevel"/>
    <w:tmpl w:val="6066985E"/>
    <w:lvl w:ilvl="0" w:tplc="B6E618E0">
      <w:start w:val="1"/>
      <w:numFmt w:val="decimal"/>
      <w:lvlText w:val="%1."/>
      <w:lvlJc w:val="left"/>
      <w:pPr>
        <w:ind w:left="360" w:hanging="360"/>
      </w:pPr>
    </w:lvl>
    <w:lvl w:ilvl="1" w:tplc="8F5E708C" w:tentative="1">
      <w:start w:val="1"/>
      <w:numFmt w:val="lowerLetter"/>
      <w:lvlText w:val="%2."/>
      <w:lvlJc w:val="left"/>
      <w:pPr>
        <w:ind w:left="1080" w:hanging="360"/>
      </w:pPr>
    </w:lvl>
    <w:lvl w:ilvl="2" w:tplc="33C449EC" w:tentative="1">
      <w:start w:val="1"/>
      <w:numFmt w:val="lowerRoman"/>
      <w:lvlText w:val="%3."/>
      <w:lvlJc w:val="right"/>
      <w:pPr>
        <w:ind w:left="1800" w:hanging="180"/>
      </w:pPr>
    </w:lvl>
    <w:lvl w:ilvl="3" w:tplc="53509A46" w:tentative="1">
      <w:start w:val="1"/>
      <w:numFmt w:val="decimal"/>
      <w:lvlText w:val="%4."/>
      <w:lvlJc w:val="left"/>
      <w:pPr>
        <w:ind w:left="2520" w:hanging="360"/>
      </w:pPr>
    </w:lvl>
    <w:lvl w:ilvl="4" w:tplc="E668A76E" w:tentative="1">
      <w:start w:val="1"/>
      <w:numFmt w:val="lowerLetter"/>
      <w:lvlText w:val="%5."/>
      <w:lvlJc w:val="left"/>
      <w:pPr>
        <w:ind w:left="3240" w:hanging="360"/>
      </w:pPr>
    </w:lvl>
    <w:lvl w:ilvl="5" w:tplc="93024D34" w:tentative="1">
      <w:start w:val="1"/>
      <w:numFmt w:val="lowerRoman"/>
      <w:lvlText w:val="%6."/>
      <w:lvlJc w:val="right"/>
      <w:pPr>
        <w:ind w:left="3960" w:hanging="180"/>
      </w:pPr>
    </w:lvl>
    <w:lvl w:ilvl="6" w:tplc="171E56BE" w:tentative="1">
      <w:start w:val="1"/>
      <w:numFmt w:val="decimal"/>
      <w:lvlText w:val="%7."/>
      <w:lvlJc w:val="left"/>
      <w:pPr>
        <w:ind w:left="4680" w:hanging="360"/>
      </w:pPr>
    </w:lvl>
    <w:lvl w:ilvl="7" w:tplc="4DDA2134" w:tentative="1">
      <w:start w:val="1"/>
      <w:numFmt w:val="lowerLetter"/>
      <w:lvlText w:val="%8."/>
      <w:lvlJc w:val="left"/>
      <w:pPr>
        <w:ind w:left="5400" w:hanging="360"/>
      </w:pPr>
    </w:lvl>
    <w:lvl w:ilvl="8" w:tplc="4862551C" w:tentative="1">
      <w:start w:val="1"/>
      <w:numFmt w:val="lowerRoman"/>
      <w:lvlText w:val="%9."/>
      <w:lvlJc w:val="right"/>
      <w:pPr>
        <w:ind w:left="6120" w:hanging="180"/>
      </w:pPr>
    </w:lvl>
  </w:abstractNum>
  <w:abstractNum w:abstractNumId="24" w15:restartNumberingAfterBreak="0">
    <w:nsid w:val="484A09EE"/>
    <w:multiLevelType w:val="hybridMultilevel"/>
    <w:tmpl w:val="388CD662"/>
    <w:lvl w:ilvl="0" w:tplc="B6267056">
      <w:start w:val="1"/>
      <w:numFmt w:val="bullet"/>
      <w:lvlText w:val=""/>
      <w:lvlJc w:val="left"/>
      <w:pPr>
        <w:ind w:left="720" w:hanging="360"/>
      </w:pPr>
      <w:rPr>
        <w:rFonts w:ascii="Wingdings" w:hAnsi="Wingdings" w:hint="default"/>
      </w:rPr>
    </w:lvl>
    <w:lvl w:ilvl="1" w:tplc="07489D4E" w:tentative="1">
      <w:start w:val="1"/>
      <w:numFmt w:val="bullet"/>
      <w:lvlText w:val="o"/>
      <w:lvlJc w:val="left"/>
      <w:pPr>
        <w:ind w:left="1440" w:hanging="360"/>
      </w:pPr>
      <w:rPr>
        <w:rFonts w:ascii="Courier New" w:hAnsi="Courier New" w:cs="Courier New" w:hint="default"/>
      </w:rPr>
    </w:lvl>
    <w:lvl w:ilvl="2" w:tplc="5A24A66A" w:tentative="1">
      <w:start w:val="1"/>
      <w:numFmt w:val="bullet"/>
      <w:lvlText w:val=""/>
      <w:lvlJc w:val="left"/>
      <w:pPr>
        <w:ind w:left="2160" w:hanging="360"/>
      </w:pPr>
      <w:rPr>
        <w:rFonts w:ascii="Wingdings" w:hAnsi="Wingdings" w:hint="default"/>
      </w:rPr>
    </w:lvl>
    <w:lvl w:ilvl="3" w:tplc="E04EAAAE" w:tentative="1">
      <w:start w:val="1"/>
      <w:numFmt w:val="bullet"/>
      <w:lvlText w:val=""/>
      <w:lvlJc w:val="left"/>
      <w:pPr>
        <w:ind w:left="2880" w:hanging="360"/>
      </w:pPr>
      <w:rPr>
        <w:rFonts w:ascii="Symbol" w:hAnsi="Symbol" w:hint="default"/>
      </w:rPr>
    </w:lvl>
    <w:lvl w:ilvl="4" w:tplc="50A43DFE" w:tentative="1">
      <w:start w:val="1"/>
      <w:numFmt w:val="bullet"/>
      <w:lvlText w:val="o"/>
      <w:lvlJc w:val="left"/>
      <w:pPr>
        <w:ind w:left="3600" w:hanging="360"/>
      </w:pPr>
      <w:rPr>
        <w:rFonts w:ascii="Courier New" w:hAnsi="Courier New" w:cs="Courier New" w:hint="default"/>
      </w:rPr>
    </w:lvl>
    <w:lvl w:ilvl="5" w:tplc="B268BEC2" w:tentative="1">
      <w:start w:val="1"/>
      <w:numFmt w:val="bullet"/>
      <w:lvlText w:val=""/>
      <w:lvlJc w:val="left"/>
      <w:pPr>
        <w:ind w:left="4320" w:hanging="360"/>
      </w:pPr>
      <w:rPr>
        <w:rFonts w:ascii="Wingdings" w:hAnsi="Wingdings" w:hint="default"/>
      </w:rPr>
    </w:lvl>
    <w:lvl w:ilvl="6" w:tplc="CFBCE1F6" w:tentative="1">
      <w:start w:val="1"/>
      <w:numFmt w:val="bullet"/>
      <w:lvlText w:val=""/>
      <w:lvlJc w:val="left"/>
      <w:pPr>
        <w:ind w:left="5040" w:hanging="360"/>
      </w:pPr>
      <w:rPr>
        <w:rFonts w:ascii="Symbol" w:hAnsi="Symbol" w:hint="default"/>
      </w:rPr>
    </w:lvl>
    <w:lvl w:ilvl="7" w:tplc="2F485488" w:tentative="1">
      <w:start w:val="1"/>
      <w:numFmt w:val="bullet"/>
      <w:lvlText w:val="o"/>
      <w:lvlJc w:val="left"/>
      <w:pPr>
        <w:ind w:left="5760" w:hanging="360"/>
      </w:pPr>
      <w:rPr>
        <w:rFonts w:ascii="Courier New" w:hAnsi="Courier New" w:cs="Courier New" w:hint="default"/>
      </w:rPr>
    </w:lvl>
    <w:lvl w:ilvl="8" w:tplc="5268B766" w:tentative="1">
      <w:start w:val="1"/>
      <w:numFmt w:val="bullet"/>
      <w:lvlText w:val=""/>
      <w:lvlJc w:val="left"/>
      <w:pPr>
        <w:ind w:left="6480" w:hanging="360"/>
      </w:pPr>
      <w:rPr>
        <w:rFonts w:ascii="Wingdings" w:hAnsi="Wingdings" w:hint="default"/>
      </w:rPr>
    </w:lvl>
  </w:abstractNum>
  <w:abstractNum w:abstractNumId="25" w15:restartNumberingAfterBreak="0">
    <w:nsid w:val="4C97005A"/>
    <w:multiLevelType w:val="hybridMultilevel"/>
    <w:tmpl w:val="29225B1C"/>
    <w:lvl w:ilvl="0" w:tplc="7980A2D2">
      <w:start w:val="1"/>
      <w:numFmt w:val="upperRoman"/>
      <w:lvlText w:val="%1."/>
      <w:lvlJc w:val="left"/>
      <w:pPr>
        <w:ind w:left="1080" w:hanging="720"/>
      </w:pPr>
      <w:rPr>
        <w:rFonts w:hint="default"/>
      </w:rPr>
    </w:lvl>
    <w:lvl w:ilvl="1" w:tplc="E9668FBE" w:tentative="1">
      <w:start w:val="1"/>
      <w:numFmt w:val="lowerLetter"/>
      <w:lvlText w:val="%2."/>
      <w:lvlJc w:val="left"/>
      <w:pPr>
        <w:ind w:left="1440" w:hanging="360"/>
      </w:pPr>
    </w:lvl>
    <w:lvl w:ilvl="2" w:tplc="F918C82A" w:tentative="1">
      <w:start w:val="1"/>
      <w:numFmt w:val="lowerRoman"/>
      <w:lvlText w:val="%3."/>
      <w:lvlJc w:val="right"/>
      <w:pPr>
        <w:ind w:left="2160" w:hanging="180"/>
      </w:pPr>
    </w:lvl>
    <w:lvl w:ilvl="3" w:tplc="7E308B0C" w:tentative="1">
      <w:start w:val="1"/>
      <w:numFmt w:val="decimal"/>
      <w:lvlText w:val="%4."/>
      <w:lvlJc w:val="left"/>
      <w:pPr>
        <w:ind w:left="2880" w:hanging="360"/>
      </w:pPr>
    </w:lvl>
    <w:lvl w:ilvl="4" w:tplc="B37C529C" w:tentative="1">
      <w:start w:val="1"/>
      <w:numFmt w:val="lowerLetter"/>
      <w:lvlText w:val="%5."/>
      <w:lvlJc w:val="left"/>
      <w:pPr>
        <w:ind w:left="3600" w:hanging="360"/>
      </w:pPr>
    </w:lvl>
    <w:lvl w:ilvl="5" w:tplc="A7BC4EA6" w:tentative="1">
      <w:start w:val="1"/>
      <w:numFmt w:val="lowerRoman"/>
      <w:lvlText w:val="%6."/>
      <w:lvlJc w:val="right"/>
      <w:pPr>
        <w:ind w:left="4320" w:hanging="180"/>
      </w:pPr>
    </w:lvl>
    <w:lvl w:ilvl="6" w:tplc="8D5A5DA0" w:tentative="1">
      <w:start w:val="1"/>
      <w:numFmt w:val="decimal"/>
      <w:lvlText w:val="%7."/>
      <w:lvlJc w:val="left"/>
      <w:pPr>
        <w:ind w:left="5040" w:hanging="360"/>
      </w:pPr>
    </w:lvl>
    <w:lvl w:ilvl="7" w:tplc="3510FAD4" w:tentative="1">
      <w:start w:val="1"/>
      <w:numFmt w:val="lowerLetter"/>
      <w:lvlText w:val="%8."/>
      <w:lvlJc w:val="left"/>
      <w:pPr>
        <w:ind w:left="5760" w:hanging="360"/>
      </w:pPr>
    </w:lvl>
    <w:lvl w:ilvl="8" w:tplc="4364C248" w:tentative="1">
      <w:start w:val="1"/>
      <w:numFmt w:val="lowerRoman"/>
      <w:lvlText w:val="%9."/>
      <w:lvlJc w:val="right"/>
      <w:pPr>
        <w:ind w:left="6480" w:hanging="180"/>
      </w:pPr>
    </w:lvl>
  </w:abstractNum>
  <w:abstractNum w:abstractNumId="26" w15:restartNumberingAfterBreak="0">
    <w:nsid w:val="4CF64CAE"/>
    <w:multiLevelType w:val="hybridMultilevel"/>
    <w:tmpl w:val="B9A0B29C"/>
    <w:lvl w:ilvl="0" w:tplc="52864870">
      <w:numFmt w:val="bullet"/>
      <w:lvlText w:val="-"/>
      <w:lvlJc w:val="left"/>
      <w:pPr>
        <w:ind w:left="644" w:hanging="360"/>
      </w:pPr>
      <w:rPr>
        <w:rFonts w:ascii="Calibri" w:eastAsia="Times New Roman" w:hAnsi="Calibri" w:cs="Calibri" w:hint="default"/>
      </w:rPr>
    </w:lvl>
    <w:lvl w:ilvl="1" w:tplc="504A851E" w:tentative="1">
      <w:start w:val="1"/>
      <w:numFmt w:val="bullet"/>
      <w:lvlText w:val="o"/>
      <w:lvlJc w:val="left"/>
      <w:pPr>
        <w:ind w:left="1364" w:hanging="360"/>
      </w:pPr>
      <w:rPr>
        <w:rFonts w:ascii="Courier New" w:hAnsi="Courier New" w:cs="Courier New" w:hint="default"/>
      </w:rPr>
    </w:lvl>
    <w:lvl w:ilvl="2" w:tplc="76FE4B5A" w:tentative="1">
      <w:start w:val="1"/>
      <w:numFmt w:val="bullet"/>
      <w:lvlText w:val=""/>
      <w:lvlJc w:val="left"/>
      <w:pPr>
        <w:ind w:left="2084" w:hanging="360"/>
      </w:pPr>
      <w:rPr>
        <w:rFonts w:ascii="Wingdings" w:hAnsi="Wingdings" w:hint="default"/>
      </w:rPr>
    </w:lvl>
    <w:lvl w:ilvl="3" w:tplc="24DEE300" w:tentative="1">
      <w:start w:val="1"/>
      <w:numFmt w:val="bullet"/>
      <w:lvlText w:val=""/>
      <w:lvlJc w:val="left"/>
      <w:pPr>
        <w:ind w:left="2804" w:hanging="360"/>
      </w:pPr>
      <w:rPr>
        <w:rFonts w:ascii="Symbol" w:hAnsi="Symbol" w:hint="default"/>
      </w:rPr>
    </w:lvl>
    <w:lvl w:ilvl="4" w:tplc="2A9E7494" w:tentative="1">
      <w:start w:val="1"/>
      <w:numFmt w:val="bullet"/>
      <w:lvlText w:val="o"/>
      <w:lvlJc w:val="left"/>
      <w:pPr>
        <w:ind w:left="3524" w:hanging="360"/>
      </w:pPr>
      <w:rPr>
        <w:rFonts w:ascii="Courier New" w:hAnsi="Courier New" w:cs="Courier New" w:hint="default"/>
      </w:rPr>
    </w:lvl>
    <w:lvl w:ilvl="5" w:tplc="ADB800D2" w:tentative="1">
      <w:start w:val="1"/>
      <w:numFmt w:val="bullet"/>
      <w:lvlText w:val=""/>
      <w:lvlJc w:val="left"/>
      <w:pPr>
        <w:ind w:left="4244" w:hanging="360"/>
      </w:pPr>
      <w:rPr>
        <w:rFonts w:ascii="Wingdings" w:hAnsi="Wingdings" w:hint="default"/>
      </w:rPr>
    </w:lvl>
    <w:lvl w:ilvl="6" w:tplc="E0BAFB68" w:tentative="1">
      <w:start w:val="1"/>
      <w:numFmt w:val="bullet"/>
      <w:lvlText w:val=""/>
      <w:lvlJc w:val="left"/>
      <w:pPr>
        <w:ind w:left="4964" w:hanging="360"/>
      </w:pPr>
      <w:rPr>
        <w:rFonts w:ascii="Symbol" w:hAnsi="Symbol" w:hint="default"/>
      </w:rPr>
    </w:lvl>
    <w:lvl w:ilvl="7" w:tplc="65A2887C" w:tentative="1">
      <w:start w:val="1"/>
      <w:numFmt w:val="bullet"/>
      <w:lvlText w:val="o"/>
      <w:lvlJc w:val="left"/>
      <w:pPr>
        <w:ind w:left="5684" w:hanging="360"/>
      </w:pPr>
      <w:rPr>
        <w:rFonts w:ascii="Courier New" w:hAnsi="Courier New" w:cs="Courier New" w:hint="default"/>
      </w:rPr>
    </w:lvl>
    <w:lvl w:ilvl="8" w:tplc="5F607E7E" w:tentative="1">
      <w:start w:val="1"/>
      <w:numFmt w:val="bullet"/>
      <w:lvlText w:val=""/>
      <w:lvlJc w:val="left"/>
      <w:pPr>
        <w:ind w:left="6404" w:hanging="360"/>
      </w:pPr>
      <w:rPr>
        <w:rFonts w:ascii="Wingdings" w:hAnsi="Wingdings" w:hint="default"/>
      </w:rPr>
    </w:lvl>
  </w:abstractNum>
  <w:abstractNum w:abstractNumId="27" w15:restartNumberingAfterBreak="0">
    <w:nsid w:val="4E4031C5"/>
    <w:multiLevelType w:val="hybridMultilevel"/>
    <w:tmpl w:val="399A28BE"/>
    <w:lvl w:ilvl="0" w:tplc="275EC030">
      <w:numFmt w:val="bullet"/>
      <w:lvlText w:val="-"/>
      <w:lvlJc w:val="left"/>
      <w:pPr>
        <w:ind w:left="720" w:hanging="360"/>
      </w:pPr>
      <w:rPr>
        <w:rFonts w:ascii="Calibri" w:eastAsiaTheme="minorHAnsi" w:hAnsi="Calibri" w:cs="Calibri" w:hint="default"/>
      </w:rPr>
    </w:lvl>
    <w:lvl w:ilvl="1" w:tplc="72CEBA92" w:tentative="1">
      <w:start w:val="1"/>
      <w:numFmt w:val="bullet"/>
      <w:lvlText w:val="o"/>
      <w:lvlJc w:val="left"/>
      <w:pPr>
        <w:ind w:left="1440" w:hanging="360"/>
      </w:pPr>
      <w:rPr>
        <w:rFonts w:ascii="Courier New" w:hAnsi="Courier New" w:cs="Courier New" w:hint="default"/>
      </w:rPr>
    </w:lvl>
    <w:lvl w:ilvl="2" w:tplc="151E6266" w:tentative="1">
      <w:start w:val="1"/>
      <w:numFmt w:val="bullet"/>
      <w:lvlText w:val=""/>
      <w:lvlJc w:val="left"/>
      <w:pPr>
        <w:ind w:left="2160" w:hanging="360"/>
      </w:pPr>
      <w:rPr>
        <w:rFonts w:ascii="Wingdings" w:hAnsi="Wingdings" w:hint="default"/>
      </w:rPr>
    </w:lvl>
    <w:lvl w:ilvl="3" w:tplc="3DCC3506" w:tentative="1">
      <w:start w:val="1"/>
      <w:numFmt w:val="bullet"/>
      <w:lvlText w:val=""/>
      <w:lvlJc w:val="left"/>
      <w:pPr>
        <w:ind w:left="2880" w:hanging="360"/>
      </w:pPr>
      <w:rPr>
        <w:rFonts w:ascii="Symbol" w:hAnsi="Symbol" w:hint="default"/>
      </w:rPr>
    </w:lvl>
    <w:lvl w:ilvl="4" w:tplc="AD64654A" w:tentative="1">
      <w:start w:val="1"/>
      <w:numFmt w:val="bullet"/>
      <w:lvlText w:val="o"/>
      <w:lvlJc w:val="left"/>
      <w:pPr>
        <w:ind w:left="3600" w:hanging="360"/>
      </w:pPr>
      <w:rPr>
        <w:rFonts w:ascii="Courier New" w:hAnsi="Courier New" w:cs="Courier New" w:hint="default"/>
      </w:rPr>
    </w:lvl>
    <w:lvl w:ilvl="5" w:tplc="3FFE4E2E" w:tentative="1">
      <w:start w:val="1"/>
      <w:numFmt w:val="bullet"/>
      <w:lvlText w:val=""/>
      <w:lvlJc w:val="left"/>
      <w:pPr>
        <w:ind w:left="4320" w:hanging="360"/>
      </w:pPr>
      <w:rPr>
        <w:rFonts w:ascii="Wingdings" w:hAnsi="Wingdings" w:hint="default"/>
      </w:rPr>
    </w:lvl>
    <w:lvl w:ilvl="6" w:tplc="CED2C460" w:tentative="1">
      <w:start w:val="1"/>
      <w:numFmt w:val="bullet"/>
      <w:lvlText w:val=""/>
      <w:lvlJc w:val="left"/>
      <w:pPr>
        <w:ind w:left="5040" w:hanging="360"/>
      </w:pPr>
      <w:rPr>
        <w:rFonts w:ascii="Symbol" w:hAnsi="Symbol" w:hint="default"/>
      </w:rPr>
    </w:lvl>
    <w:lvl w:ilvl="7" w:tplc="3822D0B0" w:tentative="1">
      <w:start w:val="1"/>
      <w:numFmt w:val="bullet"/>
      <w:lvlText w:val="o"/>
      <w:lvlJc w:val="left"/>
      <w:pPr>
        <w:ind w:left="5760" w:hanging="360"/>
      </w:pPr>
      <w:rPr>
        <w:rFonts w:ascii="Courier New" w:hAnsi="Courier New" w:cs="Courier New" w:hint="default"/>
      </w:rPr>
    </w:lvl>
    <w:lvl w:ilvl="8" w:tplc="AF0CD2D6" w:tentative="1">
      <w:start w:val="1"/>
      <w:numFmt w:val="bullet"/>
      <w:lvlText w:val=""/>
      <w:lvlJc w:val="left"/>
      <w:pPr>
        <w:ind w:left="6480" w:hanging="360"/>
      </w:pPr>
      <w:rPr>
        <w:rFonts w:ascii="Wingdings" w:hAnsi="Wingdings" w:hint="default"/>
      </w:rPr>
    </w:lvl>
  </w:abstractNum>
  <w:abstractNum w:abstractNumId="28" w15:restartNumberingAfterBreak="0">
    <w:nsid w:val="553C18C6"/>
    <w:multiLevelType w:val="hybridMultilevel"/>
    <w:tmpl w:val="2520A984"/>
    <w:lvl w:ilvl="0" w:tplc="C60A0A2A">
      <w:start w:val="1"/>
      <w:numFmt w:val="bullet"/>
      <w:lvlText w:val=""/>
      <w:lvlJc w:val="left"/>
      <w:pPr>
        <w:ind w:left="360" w:hanging="360"/>
      </w:pPr>
      <w:rPr>
        <w:rFonts w:ascii="Symbol" w:hAnsi="Symbol" w:hint="default"/>
      </w:rPr>
    </w:lvl>
    <w:lvl w:ilvl="1" w:tplc="5F2A63B4" w:tentative="1">
      <w:start w:val="1"/>
      <w:numFmt w:val="bullet"/>
      <w:lvlText w:val="o"/>
      <w:lvlJc w:val="left"/>
      <w:pPr>
        <w:ind w:left="1080" w:hanging="360"/>
      </w:pPr>
      <w:rPr>
        <w:rFonts w:ascii="Courier New" w:hAnsi="Courier New" w:cs="Courier New" w:hint="default"/>
      </w:rPr>
    </w:lvl>
    <w:lvl w:ilvl="2" w:tplc="7ACA140A" w:tentative="1">
      <w:start w:val="1"/>
      <w:numFmt w:val="bullet"/>
      <w:lvlText w:val=""/>
      <w:lvlJc w:val="left"/>
      <w:pPr>
        <w:ind w:left="1800" w:hanging="360"/>
      </w:pPr>
      <w:rPr>
        <w:rFonts w:ascii="Wingdings" w:hAnsi="Wingdings" w:hint="default"/>
      </w:rPr>
    </w:lvl>
    <w:lvl w:ilvl="3" w:tplc="194836F8" w:tentative="1">
      <w:start w:val="1"/>
      <w:numFmt w:val="bullet"/>
      <w:lvlText w:val=""/>
      <w:lvlJc w:val="left"/>
      <w:pPr>
        <w:ind w:left="2520" w:hanging="360"/>
      </w:pPr>
      <w:rPr>
        <w:rFonts w:ascii="Symbol" w:hAnsi="Symbol" w:hint="default"/>
      </w:rPr>
    </w:lvl>
    <w:lvl w:ilvl="4" w:tplc="44087314" w:tentative="1">
      <w:start w:val="1"/>
      <w:numFmt w:val="bullet"/>
      <w:lvlText w:val="o"/>
      <w:lvlJc w:val="left"/>
      <w:pPr>
        <w:ind w:left="3240" w:hanging="360"/>
      </w:pPr>
      <w:rPr>
        <w:rFonts w:ascii="Courier New" w:hAnsi="Courier New" w:cs="Courier New" w:hint="default"/>
      </w:rPr>
    </w:lvl>
    <w:lvl w:ilvl="5" w:tplc="6632E426" w:tentative="1">
      <w:start w:val="1"/>
      <w:numFmt w:val="bullet"/>
      <w:lvlText w:val=""/>
      <w:lvlJc w:val="left"/>
      <w:pPr>
        <w:ind w:left="3960" w:hanging="360"/>
      </w:pPr>
      <w:rPr>
        <w:rFonts w:ascii="Wingdings" w:hAnsi="Wingdings" w:hint="default"/>
      </w:rPr>
    </w:lvl>
    <w:lvl w:ilvl="6" w:tplc="39F49954" w:tentative="1">
      <w:start w:val="1"/>
      <w:numFmt w:val="bullet"/>
      <w:lvlText w:val=""/>
      <w:lvlJc w:val="left"/>
      <w:pPr>
        <w:ind w:left="4680" w:hanging="360"/>
      </w:pPr>
      <w:rPr>
        <w:rFonts w:ascii="Symbol" w:hAnsi="Symbol" w:hint="default"/>
      </w:rPr>
    </w:lvl>
    <w:lvl w:ilvl="7" w:tplc="90B4DC42" w:tentative="1">
      <w:start w:val="1"/>
      <w:numFmt w:val="bullet"/>
      <w:lvlText w:val="o"/>
      <w:lvlJc w:val="left"/>
      <w:pPr>
        <w:ind w:left="5400" w:hanging="360"/>
      </w:pPr>
      <w:rPr>
        <w:rFonts w:ascii="Courier New" w:hAnsi="Courier New" w:cs="Courier New" w:hint="default"/>
      </w:rPr>
    </w:lvl>
    <w:lvl w:ilvl="8" w:tplc="7F12659A" w:tentative="1">
      <w:start w:val="1"/>
      <w:numFmt w:val="bullet"/>
      <w:lvlText w:val=""/>
      <w:lvlJc w:val="left"/>
      <w:pPr>
        <w:ind w:left="6120" w:hanging="360"/>
      </w:pPr>
      <w:rPr>
        <w:rFonts w:ascii="Wingdings" w:hAnsi="Wingdings" w:hint="default"/>
      </w:rPr>
    </w:lvl>
  </w:abstractNum>
  <w:abstractNum w:abstractNumId="29" w15:restartNumberingAfterBreak="0">
    <w:nsid w:val="58324E99"/>
    <w:multiLevelType w:val="hybridMultilevel"/>
    <w:tmpl w:val="331C2C60"/>
    <w:lvl w:ilvl="0" w:tplc="7ACC6E3A">
      <w:start w:val="1"/>
      <w:numFmt w:val="decimal"/>
      <w:lvlText w:val="%1."/>
      <w:lvlJc w:val="left"/>
      <w:pPr>
        <w:ind w:left="780" w:hanging="360"/>
      </w:pPr>
      <w:rPr>
        <w:rFonts w:hint="default"/>
      </w:rPr>
    </w:lvl>
    <w:lvl w:ilvl="1" w:tplc="31D87CC2" w:tentative="1">
      <w:start w:val="1"/>
      <w:numFmt w:val="bullet"/>
      <w:lvlText w:val="o"/>
      <w:lvlJc w:val="left"/>
      <w:pPr>
        <w:ind w:left="1500" w:hanging="360"/>
      </w:pPr>
      <w:rPr>
        <w:rFonts w:ascii="Courier New" w:hAnsi="Courier New" w:cs="Courier New" w:hint="default"/>
      </w:rPr>
    </w:lvl>
    <w:lvl w:ilvl="2" w:tplc="B77493BA" w:tentative="1">
      <w:start w:val="1"/>
      <w:numFmt w:val="bullet"/>
      <w:lvlText w:val=""/>
      <w:lvlJc w:val="left"/>
      <w:pPr>
        <w:ind w:left="2220" w:hanging="360"/>
      </w:pPr>
      <w:rPr>
        <w:rFonts w:ascii="Wingdings" w:hAnsi="Wingdings" w:hint="default"/>
      </w:rPr>
    </w:lvl>
    <w:lvl w:ilvl="3" w:tplc="C1C63F6C" w:tentative="1">
      <w:start w:val="1"/>
      <w:numFmt w:val="bullet"/>
      <w:lvlText w:val=""/>
      <w:lvlJc w:val="left"/>
      <w:pPr>
        <w:ind w:left="2940" w:hanging="360"/>
      </w:pPr>
      <w:rPr>
        <w:rFonts w:ascii="Symbol" w:hAnsi="Symbol" w:hint="default"/>
      </w:rPr>
    </w:lvl>
    <w:lvl w:ilvl="4" w:tplc="8A5EA5CA" w:tentative="1">
      <w:start w:val="1"/>
      <w:numFmt w:val="bullet"/>
      <w:lvlText w:val="o"/>
      <w:lvlJc w:val="left"/>
      <w:pPr>
        <w:ind w:left="3660" w:hanging="360"/>
      </w:pPr>
      <w:rPr>
        <w:rFonts w:ascii="Courier New" w:hAnsi="Courier New" w:cs="Courier New" w:hint="default"/>
      </w:rPr>
    </w:lvl>
    <w:lvl w:ilvl="5" w:tplc="C2DC2064" w:tentative="1">
      <w:start w:val="1"/>
      <w:numFmt w:val="bullet"/>
      <w:lvlText w:val=""/>
      <w:lvlJc w:val="left"/>
      <w:pPr>
        <w:ind w:left="4380" w:hanging="360"/>
      </w:pPr>
      <w:rPr>
        <w:rFonts w:ascii="Wingdings" w:hAnsi="Wingdings" w:hint="default"/>
      </w:rPr>
    </w:lvl>
    <w:lvl w:ilvl="6" w:tplc="19761536" w:tentative="1">
      <w:start w:val="1"/>
      <w:numFmt w:val="bullet"/>
      <w:lvlText w:val=""/>
      <w:lvlJc w:val="left"/>
      <w:pPr>
        <w:ind w:left="5100" w:hanging="360"/>
      </w:pPr>
      <w:rPr>
        <w:rFonts w:ascii="Symbol" w:hAnsi="Symbol" w:hint="default"/>
      </w:rPr>
    </w:lvl>
    <w:lvl w:ilvl="7" w:tplc="1EB6879E" w:tentative="1">
      <w:start w:val="1"/>
      <w:numFmt w:val="bullet"/>
      <w:lvlText w:val="o"/>
      <w:lvlJc w:val="left"/>
      <w:pPr>
        <w:ind w:left="5820" w:hanging="360"/>
      </w:pPr>
      <w:rPr>
        <w:rFonts w:ascii="Courier New" w:hAnsi="Courier New" w:cs="Courier New" w:hint="default"/>
      </w:rPr>
    </w:lvl>
    <w:lvl w:ilvl="8" w:tplc="4372D17C" w:tentative="1">
      <w:start w:val="1"/>
      <w:numFmt w:val="bullet"/>
      <w:lvlText w:val=""/>
      <w:lvlJc w:val="left"/>
      <w:pPr>
        <w:ind w:left="6540" w:hanging="360"/>
      </w:pPr>
      <w:rPr>
        <w:rFonts w:ascii="Wingdings" w:hAnsi="Wingdings" w:hint="default"/>
      </w:rPr>
    </w:lvl>
  </w:abstractNum>
  <w:abstractNum w:abstractNumId="30" w15:restartNumberingAfterBreak="0">
    <w:nsid w:val="59E56634"/>
    <w:multiLevelType w:val="hybridMultilevel"/>
    <w:tmpl w:val="D1E86190"/>
    <w:lvl w:ilvl="0" w:tplc="A498C94E">
      <w:start w:val="1"/>
      <w:numFmt w:val="bullet"/>
      <w:lvlText w:val=""/>
      <w:lvlJc w:val="left"/>
      <w:pPr>
        <w:ind w:left="360" w:hanging="360"/>
      </w:pPr>
      <w:rPr>
        <w:rFonts w:ascii="Wingdings" w:hAnsi="Wingdings" w:hint="default"/>
      </w:rPr>
    </w:lvl>
    <w:lvl w:ilvl="1" w:tplc="3828D206">
      <w:start w:val="1"/>
      <w:numFmt w:val="bullet"/>
      <w:lvlText w:val=""/>
      <w:lvlJc w:val="left"/>
      <w:pPr>
        <w:ind w:left="1080" w:hanging="360"/>
      </w:pPr>
      <w:rPr>
        <w:rFonts w:ascii="Symbol" w:hAnsi="Symbol" w:hint="default"/>
      </w:rPr>
    </w:lvl>
    <w:lvl w:ilvl="2" w:tplc="AB8A510E" w:tentative="1">
      <w:start w:val="1"/>
      <w:numFmt w:val="lowerRoman"/>
      <w:lvlText w:val="%3."/>
      <w:lvlJc w:val="right"/>
      <w:pPr>
        <w:ind w:left="1800" w:hanging="180"/>
      </w:pPr>
    </w:lvl>
    <w:lvl w:ilvl="3" w:tplc="F8B029BE" w:tentative="1">
      <w:start w:val="1"/>
      <w:numFmt w:val="decimal"/>
      <w:lvlText w:val="%4."/>
      <w:lvlJc w:val="left"/>
      <w:pPr>
        <w:ind w:left="2520" w:hanging="360"/>
      </w:pPr>
    </w:lvl>
    <w:lvl w:ilvl="4" w:tplc="AEC4332C" w:tentative="1">
      <w:start w:val="1"/>
      <w:numFmt w:val="lowerLetter"/>
      <w:lvlText w:val="%5."/>
      <w:lvlJc w:val="left"/>
      <w:pPr>
        <w:ind w:left="3240" w:hanging="360"/>
      </w:pPr>
    </w:lvl>
    <w:lvl w:ilvl="5" w:tplc="98C40F18" w:tentative="1">
      <w:start w:val="1"/>
      <w:numFmt w:val="lowerRoman"/>
      <w:lvlText w:val="%6."/>
      <w:lvlJc w:val="right"/>
      <w:pPr>
        <w:ind w:left="3960" w:hanging="180"/>
      </w:pPr>
    </w:lvl>
    <w:lvl w:ilvl="6" w:tplc="81E832A4" w:tentative="1">
      <w:start w:val="1"/>
      <w:numFmt w:val="decimal"/>
      <w:lvlText w:val="%7."/>
      <w:lvlJc w:val="left"/>
      <w:pPr>
        <w:ind w:left="4680" w:hanging="360"/>
      </w:pPr>
    </w:lvl>
    <w:lvl w:ilvl="7" w:tplc="3E1E84CC" w:tentative="1">
      <w:start w:val="1"/>
      <w:numFmt w:val="lowerLetter"/>
      <w:lvlText w:val="%8."/>
      <w:lvlJc w:val="left"/>
      <w:pPr>
        <w:ind w:left="5400" w:hanging="360"/>
      </w:pPr>
    </w:lvl>
    <w:lvl w:ilvl="8" w:tplc="15EA3262" w:tentative="1">
      <w:start w:val="1"/>
      <w:numFmt w:val="lowerRoman"/>
      <w:lvlText w:val="%9."/>
      <w:lvlJc w:val="right"/>
      <w:pPr>
        <w:ind w:left="6120" w:hanging="180"/>
      </w:pPr>
    </w:lvl>
  </w:abstractNum>
  <w:abstractNum w:abstractNumId="31" w15:restartNumberingAfterBreak="0">
    <w:nsid w:val="5B910AD9"/>
    <w:multiLevelType w:val="hybridMultilevel"/>
    <w:tmpl w:val="56624682"/>
    <w:lvl w:ilvl="0" w:tplc="25F8E7B4">
      <w:start w:val="1"/>
      <w:numFmt w:val="bullet"/>
      <w:lvlText w:val=""/>
      <w:lvlJc w:val="left"/>
      <w:pPr>
        <w:ind w:left="720" w:hanging="360"/>
      </w:pPr>
      <w:rPr>
        <w:rFonts w:ascii="Symbol" w:hAnsi="Symbol" w:hint="default"/>
      </w:rPr>
    </w:lvl>
    <w:lvl w:ilvl="1" w:tplc="624EBC42" w:tentative="1">
      <w:start w:val="1"/>
      <w:numFmt w:val="bullet"/>
      <w:lvlText w:val="o"/>
      <w:lvlJc w:val="left"/>
      <w:pPr>
        <w:ind w:left="1440" w:hanging="360"/>
      </w:pPr>
      <w:rPr>
        <w:rFonts w:ascii="Courier New" w:hAnsi="Courier New" w:cs="Courier New" w:hint="default"/>
      </w:rPr>
    </w:lvl>
    <w:lvl w:ilvl="2" w:tplc="D2E40870" w:tentative="1">
      <w:start w:val="1"/>
      <w:numFmt w:val="bullet"/>
      <w:lvlText w:val=""/>
      <w:lvlJc w:val="left"/>
      <w:pPr>
        <w:ind w:left="2160" w:hanging="360"/>
      </w:pPr>
      <w:rPr>
        <w:rFonts w:ascii="Wingdings" w:hAnsi="Wingdings" w:hint="default"/>
      </w:rPr>
    </w:lvl>
    <w:lvl w:ilvl="3" w:tplc="0AF80AB6" w:tentative="1">
      <w:start w:val="1"/>
      <w:numFmt w:val="bullet"/>
      <w:lvlText w:val=""/>
      <w:lvlJc w:val="left"/>
      <w:pPr>
        <w:ind w:left="2880" w:hanging="360"/>
      </w:pPr>
      <w:rPr>
        <w:rFonts w:ascii="Symbol" w:hAnsi="Symbol" w:hint="default"/>
      </w:rPr>
    </w:lvl>
    <w:lvl w:ilvl="4" w:tplc="54D6F5FA" w:tentative="1">
      <w:start w:val="1"/>
      <w:numFmt w:val="bullet"/>
      <w:lvlText w:val="o"/>
      <w:lvlJc w:val="left"/>
      <w:pPr>
        <w:ind w:left="3600" w:hanging="360"/>
      </w:pPr>
      <w:rPr>
        <w:rFonts w:ascii="Courier New" w:hAnsi="Courier New" w:cs="Courier New" w:hint="default"/>
      </w:rPr>
    </w:lvl>
    <w:lvl w:ilvl="5" w:tplc="1602925E" w:tentative="1">
      <w:start w:val="1"/>
      <w:numFmt w:val="bullet"/>
      <w:lvlText w:val=""/>
      <w:lvlJc w:val="left"/>
      <w:pPr>
        <w:ind w:left="4320" w:hanging="360"/>
      </w:pPr>
      <w:rPr>
        <w:rFonts w:ascii="Wingdings" w:hAnsi="Wingdings" w:hint="default"/>
      </w:rPr>
    </w:lvl>
    <w:lvl w:ilvl="6" w:tplc="88B4C6EC" w:tentative="1">
      <w:start w:val="1"/>
      <w:numFmt w:val="bullet"/>
      <w:lvlText w:val=""/>
      <w:lvlJc w:val="left"/>
      <w:pPr>
        <w:ind w:left="5040" w:hanging="360"/>
      </w:pPr>
      <w:rPr>
        <w:rFonts w:ascii="Symbol" w:hAnsi="Symbol" w:hint="default"/>
      </w:rPr>
    </w:lvl>
    <w:lvl w:ilvl="7" w:tplc="03B826CA" w:tentative="1">
      <w:start w:val="1"/>
      <w:numFmt w:val="bullet"/>
      <w:lvlText w:val="o"/>
      <w:lvlJc w:val="left"/>
      <w:pPr>
        <w:ind w:left="5760" w:hanging="360"/>
      </w:pPr>
      <w:rPr>
        <w:rFonts w:ascii="Courier New" w:hAnsi="Courier New" w:cs="Courier New" w:hint="default"/>
      </w:rPr>
    </w:lvl>
    <w:lvl w:ilvl="8" w:tplc="80E07100" w:tentative="1">
      <w:start w:val="1"/>
      <w:numFmt w:val="bullet"/>
      <w:lvlText w:val=""/>
      <w:lvlJc w:val="left"/>
      <w:pPr>
        <w:ind w:left="6480" w:hanging="360"/>
      </w:pPr>
      <w:rPr>
        <w:rFonts w:ascii="Wingdings" w:hAnsi="Wingdings" w:hint="default"/>
      </w:rPr>
    </w:lvl>
  </w:abstractNum>
  <w:abstractNum w:abstractNumId="32" w15:restartNumberingAfterBreak="0">
    <w:nsid w:val="5CF85561"/>
    <w:multiLevelType w:val="hybridMultilevel"/>
    <w:tmpl w:val="5BD2E01C"/>
    <w:lvl w:ilvl="0" w:tplc="2130A91A">
      <w:start w:val="1"/>
      <w:numFmt w:val="bullet"/>
      <w:lvlText w:val=""/>
      <w:lvlJc w:val="left"/>
      <w:pPr>
        <w:ind w:left="360" w:hanging="360"/>
      </w:pPr>
      <w:rPr>
        <w:rFonts w:ascii="Symbol" w:hAnsi="Symbol" w:hint="default"/>
      </w:rPr>
    </w:lvl>
    <w:lvl w:ilvl="1" w:tplc="C0341EA8" w:tentative="1">
      <w:start w:val="1"/>
      <w:numFmt w:val="lowerLetter"/>
      <w:lvlText w:val="%2."/>
      <w:lvlJc w:val="left"/>
      <w:pPr>
        <w:ind w:left="1080" w:hanging="360"/>
      </w:pPr>
    </w:lvl>
    <w:lvl w:ilvl="2" w:tplc="76DAF8F2" w:tentative="1">
      <w:start w:val="1"/>
      <w:numFmt w:val="lowerRoman"/>
      <w:lvlText w:val="%3."/>
      <w:lvlJc w:val="right"/>
      <w:pPr>
        <w:ind w:left="1800" w:hanging="180"/>
      </w:pPr>
    </w:lvl>
    <w:lvl w:ilvl="3" w:tplc="E1E6E332" w:tentative="1">
      <w:start w:val="1"/>
      <w:numFmt w:val="decimal"/>
      <w:lvlText w:val="%4."/>
      <w:lvlJc w:val="left"/>
      <w:pPr>
        <w:ind w:left="2520" w:hanging="360"/>
      </w:pPr>
    </w:lvl>
    <w:lvl w:ilvl="4" w:tplc="A5F64EFA" w:tentative="1">
      <w:start w:val="1"/>
      <w:numFmt w:val="lowerLetter"/>
      <w:lvlText w:val="%5."/>
      <w:lvlJc w:val="left"/>
      <w:pPr>
        <w:ind w:left="3240" w:hanging="360"/>
      </w:pPr>
    </w:lvl>
    <w:lvl w:ilvl="5" w:tplc="5D7CF4AA" w:tentative="1">
      <w:start w:val="1"/>
      <w:numFmt w:val="lowerRoman"/>
      <w:lvlText w:val="%6."/>
      <w:lvlJc w:val="right"/>
      <w:pPr>
        <w:ind w:left="3960" w:hanging="180"/>
      </w:pPr>
    </w:lvl>
    <w:lvl w:ilvl="6" w:tplc="E0281BB2" w:tentative="1">
      <w:start w:val="1"/>
      <w:numFmt w:val="decimal"/>
      <w:lvlText w:val="%7."/>
      <w:lvlJc w:val="left"/>
      <w:pPr>
        <w:ind w:left="4680" w:hanging="360"/>
      </w:pPr>
    </w:lvl>
    <w:lvl w:ilvl="7" w:tplc="00728BA8" w:tentative="1">
      <w:start w:val="1"/>
      <w:numFmt w:val="lowerLetter"/>
      <w:lvlText w:val="%8."/>
      <w:lvlJc w:val="left"/>
      <w:pPr>
        <w:ind w:left="5400" w:hanging="360"/>
      </w:pPr>
    </w:lvl>
    <w:lvl w:ilvl="8" w:tplc="3BFA3292" w:tentative="1">
      <w:start w:val="1"/>
      <w:numFmt w:val="lowerRoman"/>
      <w:lvlText w:val="%9."/>
      <w:lvlJc w:val="right"/>
      <w:pPr>
        <w:ind w:left="6120" w:hanging="180"/>
      </w:pPr>
    </w:lvl>
  </w:abstractNum>
  <w:abstractNum w:abstractNumId="33" w15:restartNumberingAfterBreak="0">
    <w:nsid w:val="5DBF3410"/>
    <w:multiLevelType w:val="hybridMultilevel"/>
    <w:tmpl w:val="D9D428D8"/>
    <w:lvl w:ilvl="0" w:tplc="97320454">
      <w:numFmt w:val="bullet"/>
      <w:lvlText w:val="-"/>
      <w:lvlJc w:val="left"/>
      <w:pPr>
        <w:ind w:left="720" w:hanging="360"/>
      </w:pPr>
      <w:rPr>
        <w:rFonts w:ascii="Calibri" w:eastAsia="Times New Roman" w:hAnsi="Calibri" w:cs="Calibri" w:hint="default"/>
      </w:rPr>
    </w:lvl>
    <w:lvl w:ilvl="1" w:tplc="6CE61DA8" w:tentative="1">
      <w:start w:val="1"/>
      <w:numFmt w:val="bullet"/>
      <w:lvlText w:val="o"/>
      <w:lvlJc w:val="left"/>
      <w:pPr>
        <w:ind w:left="1440" w:hanging="360"/>
      </w:pPr>
      <w:rPr>
        <w:rFonts w:ascii="Courier New" w:hAnsi="Courier New" w:cs="Courier New" w:hint="default"/>
      </w:rPr>
    </w:lvl>
    <w:lvl w:ilvl="2" w:tplc="38F8FB44" w:tentative="1">
      <w:start w:val="1"/>
      <w:numFmt w:val="bullet"/>
      <w:lvlText w:val=""/>
      <w:lvlJc w:val="left"/>
      <w:pPr>
        <w:ind w:left="2160" w:hanging="360"/>
      </w:pPr>
      <w:rPr>
        <w:rFonts w:ascii="Wingdings" w:hAnsi="Wingdings" w:hint="default"/>
      </w:rPr>
    </w:lvl>
    <w:lvl w:ilvl="3" w:tplc="210C3DA8" w:tentative="1">
      <w:start w:val="1"/>
      <w:numFmt w:val="bullet"/>
      <w:lvlText w:val=""/>
      <w:lvlJc w:val="left"/>
      <w:pPr>
        <w:ind w:left="2880" w:hanging="360"/>
      </w:pPr>
      <w:rPr>
        <w:rFonts w:ascii="Symbol" w:hAnsi="Symbol" w:hint="default"/>
      </w:rPr>
    </w:lvl>
    <w:lvl w:ilvl="4" w:tplc="ACB87D06" w:tentative="1">
      <w:start w:val="1"/>
      <w:numFmt w:val="bullet"/>
      <w:lvlText w:val="o"/>
      <w:lvlJc w:val="left"/>
      <w:pPr>
        <w:ind w:left="3600" w:hanging="360"/>
      </w:pPr>
      <w:rPr>
        <w:rFonts w:ascii="Courier New" w:hAnsi="Courier New" w:cs="Courier New" w:hint="default"/>
      </w:rPr>
    </w:lvl>
    <w:lvl w:ilvl="5" w:tplc="ECD41DD8" w:tentative="1">
      <w:start w:val="1"/>
      <w:numFmt w:val="bullet"/>
      <w:lvlText w:val=""/>
      <w:lvlJc w:val="left"/>
      <w:pPr>
        <w:ind w:left="4320" w:hanging="360"/>
      </w:pPr>
      <w:rPr>
        <w:rFonts w:ascii="Wingdings" w:hAnsi="Wingdings" w:hint="default"/>
      </w:rPr>
    </w:lvl>
    <w:lvl w:ilvl="6" w:tplc="5DA04A86" w:tentative="1">
      <w:start w:val="1"/>
      <w:numFmt w:val="bullet"/>
      <w:lvlText w:val=""/>
      <w:lvlJc w:val="left"/>
      <w:pPr>
        <w:ind w:left="5040" w:hanging="360"/>
      </w:pPr>
      <w:rPr>
        <w:rFonts w:ascii="Symbol" w:hAnsi="Symbol" w:hint="default"/>
      </w:rPr>
    </w:lvl>
    <w:lvl w:ilvl="7" w:tplc="6DDE3F34" w:tentative="1">
      <w:start w:val="1"/>
      <w:numFmt w:val="bullet"/>
      <w:lvlText w:val="o"/>
      <w:lvlJc w:val="left"/>
      <w:pPr>
        <w:ind w:left="5760" w:hanging="360"/>
      </w:pPr>
      <w:rPr>
        <w:rFonts w:ascii="Courier New" w:hAnsi="Courier New" w:cs="Courier New" w:hint="default"/>
      </w:rPr>
    </w:lvl>
    <w:lvl w:ilvl="8" w:tplc="136EBA68" w:tentative="1">
      <w:start w:val="1"/>
      <w:numFmt w:val="bullet"/>
      <w:lvlText w:val=""/>
      <w:lvlJc w:val="left"/>
      <w:pPr>
        <w:ind w:left="6480" w:hanging="360"/>
      </w:pPr>
      <w:rPr>
        <w:rFonts w:ascii="Wingdings" w:hAnsi="Wingdings" w:hint="default"/>
      </w:rPr>
    </w:lvl>
  </w:abstractNum>
  <w:abstractNum w:abstractNumId="34" w15:restartNumberingAfterBreak="0">
    <w:nsid w:val="5F8121C6"/>
    <w:multiLevelType w:val="hybridMultilevel"/>
    <w:tmpl w:val="CEAAF794"/>
    <w:lvl w:ilvl="0" w:tplc="B9325B14">
      <w:start w:val="1"/>
      <w:numFmt w:val="bullet"/>
      <w:lvlText w:val=""/>
      <w:lvlJc w:val="left"/>
      <w:pPr>
        <w:ind w:left="1004" w:hanging="360"/>
      </w:pPr>
      <w:rPr>
        <w:rFonts w:ascii="Symbol" w:hAnsi="Symbol" w:hint="default"/>
      </w:rPr>
    </w:lvl>
    <w:lvl w:ilvl="1" w:tplc="83C6C6A4" w:tentative="1">
      <w:start w:val="1"/>
      <w:numFmt w:val="bullet"/>
      <w:lvlText w:val="o"/>
      <w:lvlJc w:val="left"/>
      <w:pPr>
        <w:ind w:left="1724" w:hanging="360"/>
      </w:pPr>
      <w:rPr>
        <w:rFonts w:ascii="Courier New" w:hAnsi="Courier New" w:cs="Courier New" w:hint="default"/>
      </w:rPr>
    </w:lvl>
    <w:lvl w:ilvl="2" w:tplc="FFB45EE4" w:tentative="1">
      <w:start w:val="1"/>
      <w:numFmt w:val="bullet"/>
      <w:lvlText w:val=""/>
      <w:lvlJc w:val="left"/>
      <w:pPr>
        <w:ind w:left="2444" w:hanging="360"/>
      </w:pPr>
      <w:rPr>
        <w:rFonts w:ascii="Wingdings" w:hAnsi="Wingdings" w:hint="default"/>
      </w:rPr>
    </w:lvl>
    <w:lvl w:ilvl="3" w:tplc="AD901710" w:tentative="1">
      <w:start w:val="1"/>
      <w:numFmt w:val="bullet"/>
      <w:lvlText w:val=""/>
      <w:lvlJc w:val="left"/>
      <w:pPr>
        <w:ind w:left="3164" w:hanging="360"/>
      </w:pPr>
      <w:rPr>
        <w:rFonts w:ascii="Symbol" w:hAnsi="Symbol" w:hint="default"/>
      </w:rPr>
    </w:lvl>
    <w:lvl w:ilvl="4" w:tplc="1A8AA512" w:tentative="1">
      <w:start w:val="1"/>
      <w:numFmt w:val="bullet"/>
      <w:lvlText w:val="o"/>
      <w:lvlJc w:val="left"/>
      <w:pPr>
        <w:ind w:left="3884" w:hanging="360"/>
      </w:pPr>
      <w:rPr>
        <w:rFonts w:ascii="Courier New" w:hAnsi="Courier New" w:cs="Courier New" w:hint="default"/>
      </w:rPr>
    </w:lvl>
    <w:lvl w:ilvl="5" w:tplc="509A96E0" w:tentative="1">
      <w:start w:val="1"/>
      <w:numFmt w:val="bullet"/>
      <w:lvlText w:val=""/>
      <w:lvlJc w:val="left"/>
      <w:pPr>
        <w:ind w:left="4604" w:hanging="360"/>
      </w:pPr>
      <w:rPr>
        <w:rFonts w:ascii="Wingdings" w:hAnsi="Wingdings" w:hint="default"/>
      </w:rPr>
    </w:lvl>
    <w:lvl w:ilvl="6" w:tplc="B99ACDC0" w:tentative="1">
      <w:start w:val="1"/>
      <w:numFmt w:val="bullet"/>
      <w:lvlText w:val=""/>
      <w:lvlJc w:val="left"/>
      <w:pPr>
        <w:ind w:left="5324" w:hanging="360"/>
      </w:pPr>
      <w:rPr>
        <w:rFonts w:ascii="Symbol" w:hAnsi="Symbol" w:hint="default"/>
      </w:rPr>
    </w:lvl>
    <w:lvl w:ilvl="7" w:tplc="E01873C0" w:tentative="1">
      <w:start w:val="1"/>
      <w:numFmt w:val="bullet"/>
      <w:lvlText w:val="o"/>
      <w:lvlJc w:val="left"/>
      <w:pPr>
        <w:ind w:left="6044" w:hanging="360"/>
      </w:pPr>
      <w:rPr>
        <w:rFonts w:ascii="Courier New" w:hAnsi="Courier New" w:cs="Courier New" w:hint="default"/>
      </w:rPr>
    </w:lvl>
    <w:lvl w:ilvl="8" w:tplc="021A1770" w:tentative="1">
      <w:start w:val="1"/>
      <w:numFmt w:val="bullet"/>
      <w:lvlText w:val=""/>
      <w:lvlJc w:val="left"/>
      <w:pPr>
        <w:ind w:left="6764" w:hanging="360"/>
      </w:pPr>
      <w:rPr>
        <w:rFonts w:ascii="Wingdings" w:hAnsi="Wingdings" w:hint="default"/>
      </w:rPr>
    </w:lvl>
  </w:abstractNum>
  <w:abstractNum w:abstractNumId="35" w15:restartNumberingAfterBreak="0">
    <w:nsid w:val="610C5417"/>
    <w:multiLevelType w:val="hybridMultilevel"/>
    <w:tmpl w:val="8B9C4FD0"/>
    <w:lvl w:ilvl="0" w:tplc="58343DA0">
      <w:start w:val="1"/>
      <w:numFmt w:val="bullet"/>
      <w:lvlText w:val=""/>
      <w:lvlJc w:val="left"/>
      <w:pPr>
        <w:ind w:left="360" w:hanging="360"/>
      </w:pPr>
      <w:rPr>
        <w:rFonts w:ascii="Symbol" w:hAnsi="Symbol" w:hint="default"/>
        <w:i/>
        <w:color w:val="auto"/>
      </w:rPr>
    </w:lvl>
    <w:lvl w:ilvl="1" w:tplc="83969774" w:tentative="1">
      <w:start w:val="1"/>
      <w:numFmt w:val="bullet"/>
      <w:lvlText w:val="o"/>
      <w:lvlJc w:val="left"/>
      <w:pPr>
        <w:ind w:left="1080" w:hanging="360"/>
      </w:pPr>
      <w:rPr>
        <w:rFonts w:ascii="Courier New" w:hAnsi="Courier New" w:cs="Courier New" w:hint="default"/>
      </w:rPr>
    </w:lvl>
    <w:lvl w:ilvl="2" w:tplc="DA660AC6" w:tentative="1">
      <w:start w:val="1"/>
      <w:numFmt w:val="bullet"/>
      <w:lvlText w:val=""/>
      <w:lvlJc w:val="left"/>
      <w:pPr>
        <w:ind w:left="1800" w:hanging="360"/>
      </w:pPr>
      <w:rPr>
        <w:rFonts w:ascii="Wingdings" w:hAnsi="Wingdings" w:hint="default"/>
      </w:rPr>
    </w:lvl>
    <w:lvl w:ilvl="3" w:tplc="91D067B6" w:tentative="1">
      <w:start w:val="1"/>
      <w:numFmt w:val="bullet"/>
      <w:lvlText w:val=""/>
      <w:lvlJc w:val="left"/>
      <w:pPr>
        <w:ind w:left="2520" w:hanging="360"/>
      </w:pPr>
      <w:rPr>
        <w:rFonts w:ascii="Symbol" w:hAnsi="Symbol" w:hint="default"/>
      </w:rPr>
    </w:lvl>
    <w:lvl w:ilvl="4" w:tplc="4394E26A" w:tentative="1">
      <w:start w:val="1"/>
      <w:numFmt w:val="bullet"/>
      <w:lvlText w:val="o"/>
      <w:lvlJc w:val="left"/>
      <w:pPr>
        <w:ind w:left="3240" w:hanging="360"/>
      </w:pPr>
      <w:rPr>
        <w:rFonts w:ascii="Courier New" w:hAnsi="Courier New" w:cs="Courier New" w:hint="default"/>
      </w:rPr>
    </w:lvl>
    <w:lvl w:ilvl="5" w:tplc="7FD4456E" w:tentative="1">
      <w:start w:val="1"/>
      <w:numFmt w:val="bullet"/>
      <w:lvlText w:val=""/>
      <w:lvlJc w:val="left"/>
      <w:pPr>
        <w:ind w:left="3960" w:hanging="360"/>
      </w:pPr>
      <w:rPr>
        <w:rFonts w:ascii="Wingdings" w:hAnsi="Wingdings" w:hint="default"/>
      </w:rPr>
    </w:lvl>
    <w:lvl w:ilvl="6" w:tplc="FBE892EA" w:tentative="1">
      <w:start w:val="1"/>
      <w:numFmt w:val="bullet"/>
      <w:lvlText w:val=""/>
      <w:lvlJc w:val="left"/>
      <w:pPr>
        <w:ind w:left="4680" w:hanging="360"/>
      </w:pPr>
      <w:rPr>
        <w:rFonts w:ascii="Symbol" w:hAnsi="Symbol" w:hint="default"/>
      </w:rPr>
    </w:lvl>
    <w:lvl w:ilvl="7" w:tplc="8C52D1C0" w:tentative="1">
      <w:start w:val="1"/>
      <w:numFmt w:val="bullet"/>
      <w:lvlText w:val="o"/>
      <w:lvlJc w:val="left"/>
      <w:pPr>
        <w:ind w:left="5400" w:hanging="360"/>
      </w:pPr>
      <w:rPr>
        <w:rFonts w:ascii="Courier New" w:hAnsi="Courier New" w:cs="Courier New" w:hint="default"/>
      </w:rPr>
    </w:lvl>
    <w:lvl w:ilvl="8" w:tplc="408A42EA" w:tentative="1">
      <w:start w:val="1"/>
      <w:numFmt w:val="bullet"/>
      <w:lvlText w:val=""/>
      <w:lvlJc w:val="left"/>
      <w:pPr>
        <w:ind w:left="6120" w:hanging="360"/>
      </w:pPr>
      <w:rPr>
        <w:rFonts w:ascii="Wingdings" w:hAnsi="Wingdings" w:hint="default"/>
      </w:rPr>
    </w:lvl>
  </w:abstractNum>
  <w:abstractNum w:abstractNumId="36" w15:restartNumberingAfterBreak="0">
    <w:nsid w:val="69220A67"/>
    <w:multiLevelType w:val="hybridMultilevel"/>
    <w:tmpl w:val="8EC467AA"/>
    <w:lvl w:ilvl="0" w:tplc="CD84B53C">
      <w:start w:val="1"/>
      <w:numFmt w:val="bullet"/>
      <w:lvlText w:val=""/>
      <w:lvlJc w:val="left"/>
      <w:pPr>
        <w:ind w:left="360" w:hanging="360"/>
      </w:pPr>
      <w:rPr>
        <w:rFonts w:ascii="Symbol" w:hAnsi="Symbol" w:hint="default"/>
        <w:i/>
        <w:color w:val="auto"/>
      </w:rPr>
    </w:lvl>
    <w:lvl w:ilvl="1" w:tplc="4ED82578" w:tentative="1">
      <w:start w:val="1"/>
      <w:numFmt w:val="bullet"/>
      <w:lvlText w:val="o"/>
      <w:lvlJc w:val="left"/>
      <w:pPr>
        <w:ind w:left="1080" w:hanging="360"/>
      </w:pPr>
      <w:rPr>
        <w:rFonts w:ascii="Courier New" w:hAnsi="Courier New" w:cs="Courier New" w:hint="default"/>
      </w:rPr>
    </w:lvl>
    <w:lvl w:ilvl="2" w:tplc="C1AC5410" w:tentative="1">
      <w:start w:val="1"/>
      <w:numFmt w:val="bullet"/>
      <w:lvlText w:val=""/>
      <w:lvlJc w:val="left"/>
      <w:pPr>
        <w:ind w:left="1800" w:hanging="360"/>
      </w:pPr>
      <w:rPr>
        <w:rFonts w:ascii="Wingdings" w:hAnsi="Wingdings" w:hint="default"/>
      </w:rPr>
    </w:lvl>
    <w:lvl w:ilvl="3" w:tplc="6AC8E8A8" w:tentative="1">
      <w:start w:val="1"/>
      <w:numFmt w:val="bullet"/>
      <w:lvlText w:val=""/>
      <w:lvlJc w:val="left"/>
      <w:pPr>
        <w:ind w:left="2520" w:hanging="360"/>
      </w:pPr>
      <w:rPr>
        <w:rFonts w:ascii="Symbol" w:hAnsi="Symbol" w:hint="default"/>
      </w:rPr>
    </w:lvl>
    <w:lvl w:ilvl="4" w:tplc="02C23DAA" w:tentative="1">
      <w:start w:val="1"/>
      <w:numFmt w:val="bullet"/>
      <w:lvlText w:val="o"/>
      <w:lvlJc w:val="left"/>
      <w:pPr>
        <w:ind w:left="3240" w:hanging="360"/>
      </w:pPr>
      <w:rPr>
        <w:rFonts w:ascii="Courier New" w:hAnsi="Courier New" w:cs="Courier New" w:hint="default"/>
      </w:rPr>
    </w:lvl>
    <w:lvl w:ilvl="5" w:tplc="ED9AE4F8" w:tentative="1">
      <w:start w:val="1"/>
      <w:numFmt w:val="bullet"/>
      <w:lvlText w:val=""/>
      <w:lvlJc w:val="left"/>
      <w:pPr>
        <w:ind w:left="3960" w:hanging="360"/>
      </w:pPr>
      <w:rPr>
        <w:rFonts w:ascii="Wingdings" w:hAnsi="Wingdings" w:hint="default"/>
      </w:rPr>
    </w:lvl>
    <w:lvl w:ilvl="6" w:tplc="88022376" w:tentative="1">
      <w:start w:val="1"/>
      <w:numFmt w:val="bullet"/>
      <w:lvlText w:val=""/>
      <w:lvlJc w:val="left"/>
      <w:pPr>
        <w:ind w:left="4680" w:hanging="360"/>
      </w:pPr>
      <w:rPr>
        <w:rFonts w:ascii="Symbol" w:hAnsi="Symbol" w:hint="default"/>
      </w:rPr>
    </w:lvl>
    <w:lvl w:ilvl="7" w:tplc="DE0CEC72" w:tentative="1">
      <w:start w:val="1"/>
      <w:numFmt w:val="bullet"/>
      <w:lvlText w:val="o"/>
      <w:lvlJc w:val="left"/>
      <w:pPr>
        <w:ind w:left="5400" w:hanging="360"/>
      </w:pPr>
      <w:rPr>
        <w:rFonts w:ascii="Courier New" w:hAnsi="Courier New" w:cs="Courier New" w:hint="default"/>
      </w:rPr>
    </w:lvl>
    <w:lvl w:ilvl="8" w:tplc="8D00CEEC" w:tentative="1">
      <w:start w:val="1"/>
      <w:numFmt w:val="bullet"/>
      <w:lvlText w:val=""/>
      <w:lvlJc w:val="left"/>
      <w:pPr>
        <w:ind w:left="6120" w:hanging="360"/>
      </w:pPr>
      <w:rPr>
        <w:rFonts w:ascii="Wingdings" w:hAnsi="Wingdings" w:hint="default"/>
      </w:rPr>
    </w:lvl>
  </w:abstractNum>
  <w:abstractNum w:abstractNumId="37" w15:restartNumberingAfterBreak="0">
    <w:nsid w:val="6A866DA0"/>
    <w:multiLevelType w:val="hybridMultilevel"/>
    <w:tmpl w:val="E728AC18"/>
    <w:lvl w:ilvl="0" w:tplc="E6866656">
      <w:start w:val="1"/>
      <w:numFmt w:val="decimal"/>
      <w:pStyle w:val="Styl1"/>
      <w:lvlText w:val="%1."/>
      <w:lvlJc w:val="left"/>
      <w:pPr>
        <w:ind w:left="357" w:hanging="357"/>
      </w:pPr>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rPr>
    </w:lvl>
    <w:lvl w:ilvl="1" w:tplc="638C4A76">
      <w:start w:val="1"/>
      <w:numFmt w:val="lowerLetter"/>
      <w:lvlText w:val="%2."/>
      <w:lvlJc w:val="left"/>
      <w:pPr>
        <w:ind w:left="1440" w:hanging="360"/>
      </w:pPr>
    </w:lvl>
    <w:lvl w:ilvl="2" w:tplc="DF44EBE6">
      <w:start w:val="1"/>
      <w:numFmt w:val="lowerRoman"/>
      <w:lvlText w:val="%3."/>
      <w:lvlJc w:val="right"/>
      <w:pPr>
        <w:ind w:left="2160" w:hanging="180"/>
      </w:pPr>
    </w:lvl>
    <w:lvl w:ilvl="3" w:tplc="86B2DB0E">
      <w:start w:val="1"/>
      <w:numFmt w:val="decimal"/>
      <w:lvlText w:val="%4."/>
      <w:lvlJc w:val="left"/>
      <w:pPr>
        <w:ind w:left="2880" w:hanging="360"/>
      </w:pPr>
    </w:lvl>
    <w:lvl w:ilvl="4" w:tplc="5E3A6C88">
      <w:start w:val="1"/>
      <w:numFmt w:val="lowerLetter"/>
      <w:lvlText w:val="%5."/>
      <w:lvlJc w:val="left"/>
      <w:pPr>
        <w:ind w:left="3600" w:hanging="360"/>
      </w:pPr>
    </w:lvl>
    <w:lvl w:ilvl="5" w:tplc="0D82820C">
      <w:start w:val="1"/>
      <w:numFmt w:val="lowerRoman"/>
      <w:lvlText w:val="%6."/>
      <w:lvlJc w:val="right"/>
      <w:pPr>
        <w:ind w:left="4320" w:hanging="180"/>
      </w:pPr>
    </w:lvl>
    <w:lvl w:ilvl="6" w:tplc="A9024B7E">
      <w:start w:val="1"/>
      <w:numFmt w:val="decimal"/>
      <w:lvlText w:val="%7."/>
      <w:lvlJc w:val="left"/>
      <w:pPr>
        <w:ind w:left="5040" w:hanging="360"/>
      </w:pPr>
    </w:lvl>
    <w:lvl w:ilvl="7" w:tplc="B810B948">
      <w:start w:val="1"/>
      <w:numFmt w:val="lowerLetter"/>
      <w:lvlText w:val="%8."/>
      <w:lvlJc w:val="left"/>
      <w:pPr>
        <w:ind w:left="5760" w:hanging="360"/>
      </w:pPr>
    </w:lvl>
    <w:lvl w:ilvl="8" w:tplc="98A69C3C">
      <w:start w:val="1"/>
      <w:numFmt w:val="lowerRoman"/>
      <w:lvlText w:val="%9."/>
      <w:lvlJc w:val="right"/>
      <w:pPr>
        <w:ind w:left="6480" w:hanging="180"/>
      </w:pPr>
    </w:lvl>
  </w:abstractNum>
  <w:abstractNum w:abstractNumId="38" w15:restartNumberingAfterBreak="0">
    <w:nsid w:val="6B9F143E"/>
    <w:multiLevelType w:val="hybridMultilevel"/>
    <w:tmpl w:val="65A270D6"/>
    <w:lvl w:ilvl="0" w:tplc="1FAE9D12">
      <w:start w:val="1"/>
      <w:numFmt w:val="decimal"/>
      <w:lvlText w:val="%1."/>
      <w:lvlJc w:val="left"/>
      <w:pPr>
        <w:ind w:left="360" w:hanging="360"/>
      </w:pPr>
    </w:lvl>
    <w:lvl w:ilvl="1" w:tplc="2236BBAE" w:tentative="1">
      <w:start w:val="1"/>
      <w:numFmt w:val="lowerLetter"/>
      <w:lvlText w:val="%2."/>
      <w:lvlJc w:val="left"/>
      <w:pPr>
        <w:ind w:left="1080" w:hanging="360"/>
      </w:pPr>
    </w:lvl>
    <w:lvl w:ilvl="2" w:tplc="9A30B8E4" w:tentative="1">
      <w:start w:val="1"/>
      <w:numFmt w:val="lowerRoman"/>
      <w:lvlText w:val="%3."/>
      <w:lvlJc w:val="right"/>
      <w:pPr>
        <w:ind w:left="1800" w:hanging="180"/>
      </w:pPr>
    </w:lvl>
    <w:lvl w:ilvl="3" w:tplc="B1A24698" w:tentative="1">
      <w:start w:val="1"/>
      <w:numFmt w:val="decimal"/>
      <w:lvlText w:val="%4."/>
      <w:lvlJc w:val="left"/>
      <w:pPr>
        <w:ind w:left="2520" w:hanging="360"/>
      </w:pPr>
    </w:lvl>
    <w:lvl w:ilvl="4" w:tplc="82D22624" w:tentative="1">
      <w:start w:val="1"/>
      <w:numFmt w:val="lowerLetter"/>
      <w:lvlText w:val="%5."/>
      <w:lvlJc w:val="left"/>
      <w:pPr>
        <w:ind w:left="3240" w:hanging="360"/>
      </w:pPr>
    </w:lvl>
    <w:lvl w:ilvl="5" w:tplc="8090894E" w:tentative="1">
      <w:start w:val="1"/>
      <w:numFmt w:val="lowerRoman"/>
      <w:lvlText w:val="%6."/>
      <w:lvlJc w:val="right"/>
      <w:pPr>
        <w:ind w:left="3960" w:hanging="180"/>
      </w:pPr>
    </w:lvl>
    <w:lvl w:ilvl="6" w:tplc="F1F02E7A" w:tentative="1">
      <w:start w:val="1"/>
      <w:numFmt w:val="decimal"/>
      <w:lvlText w:val="%7."/>
      <w:lvlJc w:val="left"/>
      <w:pPr>
        <w:ind w:left="4680" w:hanging="360"/>
      </w:pPr>
    </w:lvl>
    <w:lvl w:ilvl="7" w:tplc="808C1C3A" w:tentative="1">
      <w:start w:val="1"/>
      <w:numFmt w:val="lowerLetter"/>
      <w:lvlText w:val="%8."/>
      <w:lvlJc w:val="left"/>
      <w:pPr>
        <w:ind w:left="5400" w:hanging="360"/>
      </w:pPr>
    </w:lvl>
    <w:lvl w:ilvl="8" w:tplc="67AC87E6" w:tentative="1">
      <w:start w:val="1"/>
      <w:numFmt w:val="lowerRoman"/>
      <w:lvlText w:val="%9."/>
      <w:lvlJc w:val="right"/>
      <w:pPr>
        <w:ind w:left="6120" w:hanging="180"/>
      </w:pPr>
    </w:lvl>
  </w:abstractNum>
  <w:abstractNum w:abstractNumId="39" w15:restartNumberingAfterBreak="0">
    <w:nsid w:val="74A938B2"/>
    <w:multiLevelType w:val="hybridMultilevel"/>
    <w:tmpl w:val="79DEC1A2"/>
    <w:lvl w:ilvl="0" w:tplc="580050FE">
      <w:start w:val="1"/>
      <w:numFmt w:val="decimal"/>
      <w:lvlText w:val="%1."/>
      <w:lvlJc w:val="left"/>
      <w:pPr>
        <w:ind w:left="720" w:hanging="360"/>
      </w:pPr>
      <w:rPr>
        <w:rFonts w:hint="default"/>
      </w:rPr>
    </w:lvl>
    <w:lvl w:ilvl="1" w:tplc="9606D4A6" w:tentative="1">
      <w:start w:val="1"/>
      <w:numFmt w:val="lowerLetter"/>
      <w:lvlText w:val="%2."/>
      <w:lvlJc w:val="left"/>
      <w:pPr>
        <w:ind w:left="1440" w:hanging="360"/>
      </w:pPr>
    </w:lvl>
    <w:lvl w:ilvl="2" w:tplc="965E4042" w:tentative="1">
      <w:start w:val="1"/>
      <w:numFmt w:val="lowerRoman"/>
      <w:lvlText w:val="%3."/>
      <w:lvlJc w:val="right"/>
      <w:pPr>
        <w:ind w:left="2160" w:hanging="180"/>
      </w:pPr>
    </w:lvl>
    <w:lvl w:ilvl="3" w:tplc="74323778" w:tentative="1">
      <w:start w:val="1"/>
      <w:numFmt w:val="decimal"/>
      <w:lvlText w:val="%4."/>
      <w:lvlJc w:val="left"/>
      <w:pPr>
        <w:ind w:left="2880" w:hanging="360"/>
      </w:pPr>
    </w:lvl>
    <w:lvl w:ilvl="4" w:tplc="77045DF2" w:tentative="1">
      <w:start w:val="1"/>
      <w:numFmt w:val="lowerLetter"/>
      <w:lvlText w:val="%5."/>
      <w:lvlJc w:val="left"/>
      <w:pPr>
        <w:ind w:left="3600" w:hanging="360"/>
      </w:pPr>
    </w:lvl>
    <w:lvl w:ilvl="5" w:tplc="708AEF80" w:tentative="1">
      <w:start w:val="1"/>
      <w:numFmt w:val="lowerRoman"/>
      <w:lvlText w:val="%6."/>
      <w:lvlJc w:val="right"/>
      <w:pPr>
        <w:ind w:left="4320" w:hanging="180"/>
      </w:pPr>
    </w:lvl>
    <w:lvl w:ilvl="6" w:tplc="928210E8" w:tentative="1">
      <w:start w:val="1"/>
      <w:numFmt w:val="decimal"/>
      <w:lvlText w:val="%7."/>
      <w:lvlJc w:val="left"/>
      <w:pPr>
        <w:ind w:left="5040" w:hanging="360"/>
      </w:pPr>
    </w:lvl>
    <w:lvl w:ilvl="7" w:tplc="046AD9AE" w:tentative="1">
      <w:start w:val="1"/>
      <w:numFmt w:val="lowerLetter"/>
      <w:lvlText w:val="%8."/>
      <w:lvlJc w:val="left"/>
      <w:pPr>
        <w:ind w:left="5760" w:hanging="360"/>
      </w:pPr>
    </w:lvl>
    <w:lvl w:ilvl="8" w:tplc="6FB27612" w:tentative="1">
      <w:start w:val="1"/>
      <w:numFmt w:val="lowerRoman"/>
      <w:lvlText w:val="%9."/>
      <w:lvlJc w:val="right"/>
      <w:pPr>
        <w:ind w:left="6480" w:hanging="180"/>
      </w:pPr>
    </w:lvl>
  </w:abstractNum>
  <w:abstractNum w:abstractNumId="40" w15:restartNumberingAfterBreak="0">
    <w:nsid w:val="76415AA1"/>
    <w:multiLevelType w:val="hybridMultilevel"/>
    <w:tmpl w:val="443E81FE"/>
    <w:lvl w:ilvl="0" w:tplc="28CA3838">
      <w:start w:val="1"/>
      <w:numFmt w:val="bullet"/>
      <w:lvlText w:val=""/>
      <w:lvlJc w:val="left"/>
      <w:pPr>
        <w:ind w:left="360" w:hanging="360"/>
      </w:pPr>
      <w:rPr>
        <w:rFonts w:ascii="Wingdings" w:hAnsi="Wingdings" w:hint="default"/>
      </w:rPr>
    </w:lvl>
    <w:lvl w:ilvl="1" w:tplc="09CE763E" w:tentative="1">
      <w:start w:val="1"/>
      <w:numFmt w:val="lowerLetter"/>
      <w:lvlText w:val="%2."/>
      <w:lvlJc w:val="left"/>
      <w:pPr>
        <w:ind w:left="1080" w:hanging="360"/>
      </w:pPr>
    </w:lvl>
    <w:lvl w:ilvl="2" w:tplc="8E9433A4" w:tentative="1">
      <w:start w:val="1"/>
      <w:numFmt w:val="lowerRoman"/>
      <w:lvlText w:val="%3."/>
      <w:lvlJc w:val="right"/>
      <w:pPr>
        <w:ind w:left="1800" w:hanging="180"/>
      </w:pPr>
    </w:lvl>
    <w:lvl w:ilvl="3" w:tplc="661474EE" w:tentative="1">
      <w:start w:val="1"/>
      <w:numFmt w:val="decimal"/>
      <w:lvlText w:val="%4."/>
      <w:lvlJc w:val="left"/>
      <w:pPr>
        <w:ind w:left="2520" w:hanging="360"/>
      </w:pPr>
    </w:lvl>
    <w:lvl w:ilvl="4" w:tplc="4770E806" w:tentative="1">
      <w:start w:val="1"/>
      <w:numFmt w:val="lowerLetter"/>
      <w:lvlText w:val="%5."/>
      <w:lvlJc w:val="left"/>
      <w:pPr>
        <w:ind w:left="3240" w:hanging="360"/>
      </w:pPr>
    </w:lvl>
    <w:lvl w:ilvl="5" w:tplc="B3E4B258" w:tentative="1">
      <w:start w:val="1"/>
      <w:numFmt w:val="lowerRoman"/>
      <w:lvlText w:val="%6."/>
      <w:lvlJc w:val="right"/>
      <w:pPr>
        <w:ind w:left="3960" w:hanging="180"/>
      </w:pPr>
    </w:lvl>
    <w:lvl w:ilvl="6" w:tplc="7D20953E" w:tentative="1">
      <w:start w:val="1"/>
      <w:numFmt w:val="decimal"/>
      <w:lvlText w:val="%7."/>
      <w:lvlJc w:val="left"/>
      <w:pPr>
        <w:ind w:left="4680" w:hanging="360"/>
      </w:pPr>
    </w:lvl>
    <w:lvl w:ilvl="7" w:tplc="D0A254FA" w:tentative="1">
      <w:start w:val="1"/>
      <w:numFmt w:val="lowerLetter"/>
      <w:lvlText w:val="%8."/>
      <w:lvlJc w:val="left"/>
      <w:pPr>
        <w:ind w:left="5400" w:hanging="360"/>
      </w:pPr>
    </w:lvl>
    <w:lvl w:ilvl="8" w:tplc="5B681110" w:tentative="1">
      <w:start w:val="1"/>
      <w:numFmt w:val="lowerRoman"/>
      <w:lvlText w:val="%9."/>
      <w:lvlJc w:val="right"/>
      <w:pPr>
        <w:ind w:left="6120" w:hanging="180"/>
      </w:pPr>
    </w:lvl>
  </w:abstractNum>
  <w:abstractNum w:abstractNumId="41" w15:restartNumberingAfterBreak="0">
    <w:nsid w:val="79266B72"/>
    <w:multiLevelType w:val="hybridMultilevel"/>
    <w:tmpl w:val="75B07FAE"/>
    <w:lvl w:ilvl="0" w:tplc="D668F71A">
      <w:start w:val="1"/>
      <w:numFmt w:val="bullet"/>
      <w:lvlText w:val=""/>
      <w:lvlJc w:val="left"/>
      <w:pPr>
        <w:ind w:left="360" w:hanging="360"/>
      </w:pPr>
      <w:rPr>
        <w:rFonts w:ascii="Symbol" w:hAnsi="Symbol" w:hint="default"/>
      </w:rPr>
    </w:lvl>
    <w:lvl w:ilvl="1" w:tplc="4814A200" w:tentative="1">
      <w:start w:val="1"/>
      <w:numFmt w:val="bullet"/>
      <w:lvlText w:val="o"/>
      <w:lvlJc w:val="left"/>
      <w:pPr>
        <w:ind w:left="1080" w:hanging="360"/>
      </w:pPr>
      <w:rPr>
        <w:rFonts w:ascii="Courier New" w:hAnsi="Courier New" w:cs="Courier New" w:hint="default"/>
      </w:rPr>
    </w:lvl>
    <w:lvl w:ilvl="2" w:tplc="425E8878" w:tentative="1">
      <w:start w:val="1"/>
      <w:numFmt w:val="bullet"/>
      <w:lvlText w:val=""/>
      <w:lvlJc w:val="left"/>
      <w:pPr>
        <w:ind w:left="1800" w:hanging="360"/>
      </w:pPr>
      <w:rPr>
        <w:rFonts w:ascii="Wingdings" w:hAnsi="Wingdings" w:hint="default"/>
      </w:rPr>
    </w:lvl>
    <w:lvl w:ilvl="3" w:tplc="E222D774" w:tentative="1">
      <w:start w:val="1"/>
      <w:numFmt w:val="bullet"/>
      <w:lvlText w:val=""/>
      <w:lvlJc w:val="left"/>
      <w:pPr>
        <w:ind w:left="2520" w:hanging="360"/>
      </w:pPr>
      <w:rPr>
        <w:rFonts w:ascii="Symbol" w:hAnsi="Symbol" w:hint="default"/>
      </w:rPr>
    </w:lvl>
    <w:lvl w:ilvl="4" w:tplc="17EAAE26" w:tentative="1">
      <w:start w:val="1"/>
      <w:numFmt w:val="bullet"/>
      <w:lvlText w:val="o"/>
      <w:lvlJc w:val="left"/>
      <w:pPr>
        <w:ind w:left="3240" w:hanging="360"/>
      </w:pPr>
      <w:rPr>
        <w:rFonts w:ascii="Courier New" w:hAnsi="Courier New" w:cs="Courier New" w:hint="default"/>
      </w:rPr>
    </w:lvl>
    <w:lvl w:ilvl="5" w:tplc="8A94DECE" w:tentative="1">
      <w:start w:val="1"/>
      <w:numFmt w:val="bullet"/>
      <w:lvlText w:val=""/>
      <w:lvlJc w:val="left"/>
      <w:pPr>
        <w:ind w:left="3960" w:hanging="360"/>
      </w:pPr>
      <w:rPr>
        <w:rFonts w:ascii="Wingdings" w:hAnsi="Wingdings" w:hint="default"/>
      </w:rPr>
    </w:lvl>
    <w:lvl w:ilvl="6" w:tplc="25BE6B44" w:tentative="1">
      <w:start w:val="1"/>
      <w:numFmt w:val="bullet"/>
      <w:lvlText w:val=""/>
      <w:lvlJc w:val="left"/>
      <w:pPr>
        <w:ind w:left="4680" w:hanging="360"/>
      </w:pPr>
      <w:rPr>
        <w:rFonts w:ascii="Symbol" w:hAnsi="Symbol" w:hint="default"/>
      </w:rPr>
    </w:lvl>
    <w:lvl w:ilvl="7" w:tplc="8FEA9F94" w:tentative="1">
      <w:start w:val="1"/>
      <w:numFmt w:val="bullet"/>
      <w:lvlText w:val="o"/>
      <w:lvlJc w:val="left"/>
      <w:pPr>
        <w:ind w:left="5400" w:hanging="360"/>
      </w:pPr>
      <w:rPr>
        <w:rFonts w:ascii="Courier New" w:hAnsi="Courier New" w:cs="Courier New" w:hint="default"/>
      </w:rPr>
    </w:lvl>
    <w:lvl w:ilvl="8" w:tplc="802224F4" w:tentative="1">
      <w:start w:val="1"/>
      <w:numFmt w:val="bullet"/>
      <w:lvlText w:val=""/>
      <w:lvlJc w:val="left"/>
      <w:pPr>
        <w:ind w:left="6120" w:hanging="360"/>
      </w:pPr>
      <w:rPr>
        <w:rFonts w:ascii="Wingdings" w:hAnsi="Wingdings" w:hint="default"/>
      </w:rPr>
    </w:lvl>
  </w:abstractNum>
  <w:abstractNum w:abstractNumId="42" w15:restartNumberingAfterBreak="0">
    <w:nsid w:val="7B316926"/>
    <w:multiLevelType w:val="hybridMultilevel"/>
    <w:tmpl w:val="7E96AC86"/>
    <w:lvl w:ilvl="0" w:tplc="4DEE0FE4">
      <w:start w:val="1"/>
      <w:numFmt w:val="bullet"/>
      <w:lvlText w:val="-"/>
      <w:lvlJc w:val="left"/>
      <w:pPr>
        <w:ind w:left="720" w:hanging="360"/>
      </w:pPr>
      <w:rPr>
        <w:rFonts w:ascii="Calibri" w:eastAsiaTheme="minorHAnsi" w:hAnsi="Calibri" w:cs="Calibri" w:hint="default"/>
      </w:rPr>
    </w:lvl>
    <w:lvl w:ilvl="1" w:tplc="05C6F99C" w:tentative="1">
      <w:start w:val="1"/>
      <w:numFmt w:val="bullet"/>
      <w:lvlText w:val="o"/>
      <w:lvlJc w:val="left"/>
      <w:pPr>
        <w:ind w:left="1440" w:hanging="360"/>
      </w:pPr>
      <w:rPr>
        <w:rFonts w:ascii="Courier New" w:hAnsi="Courier New" w:cs="Courier New" w:hint="default"/>
      </w:rPr>
    </w:lvl>
    <w:lvl w:ilvl="2" w:tplc="95DC7E30" w:tentative="1">
      <w:start w:val="1"/>
      <w:numFmt w:val="bullet"/>
      <w:lvlText w:val=""/>
      <w:lvlJc w:val="left"/>
      <w:pPr>
        <w:ind w:left="2160" w:hanging="360"/>
      </w:pPr>
      <w:rPr>
        <w:rFonts w:ascii="Wingdings" w:hAnsi="Wingdings" w:hint="default"/>
      </w:rPr>
    </w:lvl>
    <w:lvl w:ilvl="3" w:tplc="7E12F8DC" w:tentative="1">
      <w:start w:val="1"/>
      <w:numFmt w:val="bullet"/>
      <w:lvlText w:val=""/>
      <w:lvlJc w:val="left"/>
      <w:pPr>
        <w:ind w:left="2880" w:hanging="360"/>
      </w:pPr>
      <w:rPr>
        <w:rFonts w:ascii="Symbol" w:hAnsi="Symbol" w:hint="default"/>
      </w:rPr>
    </w:lvl>
    <w:lvl w:ilvl="4" w:tplc="9364CC96" w:tentative="1">
      <w:start w:val="1"/>
      <w:numFmt w:val="bullet"/>
      <w:lvlText w:val="o"/>
      <w:lvlJc w:val="left"/>
      <w:pPr>
        <w:ind w:left="3600" w:hanging="360"/>
      </w:pPr>
      <w:rPr>
        <w:rFonts w:ascii="Courier New" w:hAnsi="Courier New" w:cs="Courier New" w:hint="default"/>
      </w:rPr>
    </w:lvl>
    <w:lvl w:ilvl="5" w:tplc="30BC2264" w:tentative="1">
      <w:start w:val="1"/>
      <w:numFmt w:val="bullet"/>
      <w:lvlText w:val=""/>
      <w:lvlJc w:val="left"/>
      <w:pPr>
        <w:ind w:left="4320" w:hanging="360"/>
      </w:pPr>
      <w:rPr>
        <w:rFonts w:ascii="Wingdings" w:hAnsi="Wingdings" w:hint="default"/>
      </w:rPr>
    </w:lvl>
    <w:lvl w:ilvl="6" w:tplc="E324811E" w:tentative="1">
      <w:start w:val="1"/>
      <w:numFmt w:val="bullet"/>
      <w:lvlText w:val=""/>
      <w:lvlJc w:val="left"/>
      <w:pPr>
        <w:ind w:left="5040" w:hanging="360"/>
      </w:pPr>
      <w:rPr>
        <w:rFonts w:ascii="Symbol" w:hAnsi="Symbol" w:hint="default"/>
      </w:rPr>
    </w:lvl>
    <w:lvl w:ilvl="7" w:tplc="EBC46454" w:tentative="1">
      <w:start w:val="1"/>
      <w:numFmt w:val="bullet"/>
      <w:lvlText w:val="o"/>
      <w:lvlJc w:val="left"/>
      <w:pPr>
        <w:ind w:left="5760" w:hanging="360"/>
      </w:pPr>
      <w:rPr>
        <w:rFonts w:ascii="Courier New" w:hAnsi="Courier New" w:cs="Courier New" w:hint="default"/>
      </w:rPr>
    </w:lvl>
    <w:lvl w:ilvl="8" w:tplc="662AE5D0" w:tentative="1">
      <w:start w:val="1"/>
      <w:numFmt w:val="bullet"/>
      <w:lvlText w:val=""/>
      <w:lvlJc w:val="left"/>
      <w:pPr>
        <w:ind w:left="6480" w:hanging="360"/>
      </w:pPr>
      <w:rPr>
        <w:rFonts w:ascii="Wingdings" w:hAnsi="Wingdings" w:hint="default"/>
      </w:rPr>
    </w:lvl>
  </w:abstractNum>
  <w:abstractNum w:abstractNumId="43" w15:restartNumberingAfterBreak="0">
    <w:nsid w:val="7BC03687"/>
    <w:multiLevelType w:val="hybridMultilevel"/>
    <w:tmpl w:val="2A78BED0"/>
    <w:lvl w:ilvl="0" w:tplc="8124DF2A">
      <w:start w:val="1"/>
      <w:numFmt w:val="bullet"/>
      <w:lvlText w:val=""/>
      <w:lvlJc w:val="left"/>
      <w:pPr>
        <w:ind w:left="360" w:hanging="360"/>
      </w:pPr>
      <w:rPr>
        <w:rFonts w:ascii="Wingdings" w:hAnsi="Wingdings" w:hint="default"/>
      </w:rPr>
    </w:lvl>
    <w:lvl w:ilvl="1" w:tplc="0B1EDB34" w:tentative="1">
      <w:start w:val="1"/>
      <w:numFmt w:val="lowerLetter"/>
      <w:lvlText w:val="%2."/>
      <w:lvlJc w:val="left"/>
      <w:pPr>
        <w:ind w:left="1080" w:hanging="360"/>
      </w:pPr>
    </w:lvl>
    <w:lvl w:ilvl="2" w:tplc="0F987F80" w:tentative="1">
      <w:start w:val="1"/>
      <w:numFmt w:val="lowerRoman"/>
      <w:lvlText w:val="%3."/>
      <w:lvlJc w:val="right"/>
      <w:pPr>
        <w:ind w:left="1800" w:hanging="180"/>
      </w:pPr>
    </w:lvl>
    <w:lvl w:ilvl="3" w:tplc="BE7C0C2A" w:tentative="1">
      <w:start w:val="1"/>
      <w:numFmt w:val="decimal"/>
      <w:lvlText w:val="%4."/>
      <w:lvlJc w:val="left"/>
      <w:pPr>
        <w:ind w:left="2520" w:hanging="360"/>
      </w:pPr>
    </w:lvl>
    <w:lvl w:ilvl="4" w:tplc="1A34B250" w:tentative="1">
      <w:start w:val="1"/>
      <w:numFmt w:val="lowerLetter"/>
      <w:lvlText w:val="%5."/>
      <w:lvlJc w:val="left"/>
      <w:pPr>
        <w:ind w:left="3240" w:hanging="360"/>
      </w:pPr>
    </w:lvl>
    <w:lvl w:ilvl="5" w:tplc="51246CD0" w:tentative="1">
      <w:start w:val="1"/>
      <w:numFmt w:val="lowerRoman"/>
      <w:lvlText w:val="%6."/>
      <w:lvlJc w:val="right"/>
      <w:pPr>
        <w:ind w:left="3960" w:hanging="180"/>
      </w:pPr>
    </w:lvl>
    <w:lvl w:ilvl="6" w:tplc="F0046FE8" w:tentative="1">
      <w:start w:val="1"/>
      <w:numFmt w:val="decimal"/>
      <w:lvlText w:val="%7."/>
      <w:lvlJc w:val="left"/>
      <w:pPr>
        <w:ind w:left="4680" w:hanging="360"/>
      </w:pPr>
    </w:lvl>
    <w:lvl w:ilvl="7" w:tplc="ACCC8B68" w:tentative="1">
      <w:start w:val="1"/>
      <w:numFmt w:val="lowerLetter"/>
      <w:lvlText w:val="%8."/>
      <w:lvlJc w:val="left"/>
      <w:pPr>
        <w:ind w:left="5400" w:hanging="360"/>
      </w:pPr>
    </w:lvl>
    <w:lvl w:ilvl="8" w:tplc="92427B4A" w:tentative="1">
      <w:start w:val="1"/>
      <w:numFmt w:val="lowerRoman"/>
      <w:lvlText w:val="%9."/>
      <w:lvlJc w:val="right"/>
      <w:pPr>
        <w:ind w:left="6120" w:hanging="180"/>
      </w:pPr>
    </w:lvl>
  </w:abstractNum>
  <w:abstractNum w:abstractNumId="44" w15:restartNumberingAfterBreak="0">
    <w:nsid w:val="7C756C3D"/>
    <w:multiLevelType w:val="hybridMultilevel"/>
    <w:tmpl w:val="CD42F13E"/>
    <w:lvl w:ilvl="0" w:tplc="33000FF4">
      <w:start w:val="1"/>
      <w:numFmt w:val="upperRoman"/>
      <w:lvlText w:val="%1."/>
      <w:lvlJc w:val="left"/>
      <w:pPr>
        <w:ind w:left="1080" w:hanging="720"/>
      </w:pPr>
      <w:rPr>
        <w:rFonts w:hint="default"/>
      </w:rPr>
    </w:lvl>
    <w:lvl w:ilvl="1" w:tplc="864A4E42" w:tentative="1">
      <w:start w:val="1"/>
      <w:numFmt w:val="lowerLetter"/>
      <w:lvlText w:val="%2."/>
      <w:lvlJc w:val="left"/>
      <w:pPr>
        <w:ind w:left="1440" w:hanging="360"/>
      </w:pPr>
    </w:lvl>
    <w:lvl w:ilvl="2" w:tplc="B7FEF9D4" w:tentative="1">
      <w:start w:val="1"/>
      <w:numFmt w:val="lowerRoman"/>
      <w:lvlText w:val="%3."/>
      <w:lvlJc w:val="right"/>
      <w:pPr>
        <w:ind w:left="2160" w:hanging="180"/>
      </w:pPr>
    </w:lvl>
    <w:lvl w:ilvl="3" w:tplc="FAA89B18" w:tentative="1">
      <w:start w:val="1"/>
      <w:numFmt w:val="decimal"/>
      <w:lvlText w:val="%4."/>
      <w:lvlJc w:val="left"/>
      <w:pPr>
        <w:ind w:left="2880" w:hanging="360"/>
      </w:pPr>
    </w:lvl>
    <w:lvl w:ilvl="4" w:tplc="7D4A02C0" w:tentative="1">
      <w:start w:val="1"/>
      <w:numFmt w:val="lowerLetter"/>
      <w:lvlText w:val="%5."/>
      <w:lvlJc w:val="left"/>
      <w:pPr>
        <w:ind w:left="3600" w:hanging="360"/>
      </w:pPr>
    </w:lvl>
    <w:lvl w:ilvl="5" w:tplc="C6F8ABFE" w:tentative="1">
      <w:start w:val="1"/>
      <w:numFmt w:val="lowerRoman"/>
      <w:lvlText w:val="%6."/>
      <w:lvlJc w:val="right"/>
      <w:pPr>
        <w:ind w:left="4320" w:hanging="180"/>
      </w:pPr>
    </w:lvl>
    <w:lvl w:ilvl="6" w:tplc="DFE4AEDC" w:tentative="1">
      <w:start w:val="1"/>
      <w:numFmt w:val="decimal"/>
      <w:lvlText w:val="%7."/>
      <w:lvlJc w:val="left"/>
      <w:pPr>
        <w:ind w:left="5040" w:hanging="360"/>
      </w:pPr>
    </w:lvl>
    <w:lvl w:ilvl="7" w:tplc="C36ED19E" w:tentative="1">
      <w:start w:val="1"/>
      <w:numFmt w:val="lowerLetter"/>
      <w:lvlText w:val="%8."/>
      <w:lvlJc w:val="left"/>
      <w:pPr>
        <w:ind w:left="5760" w:hanging="360"/>
      </w:pPr>
    </w:lvl>
    <w:lvl w:ilvl="8" w:tplc="26DE93A8" w:tentative="1">
      <w:start w:val="1"/>
      <w:numFmt w:val="lowerRoman"/>
      <w:lvlText w:val="%9."/>
      <w:lvlJc w:val="right"/>
      <w:pPr>
        <w:ind w:left="6480" w:hanging="180"/>
      </w:pPr>
    </w:lvl>
  </w:abstractNum>
  <w:num w:numId="1">
    <w:abstractNumId w:val="6"/>
  </w:num>
  <w:num w:numId="2">
    <w:abstractNumId w:val="17"/>
  </w:num>
  <w:num w:numId="3">
    <w:abstractNumId w:val="31"/>
  </w:num>
  <w:num w:numId="4">
    <w:abstractNumId w:val="23"/>
  </w:num>
  <w:num w:numId="5">
    <w:abstractNumId w:val="38"/>
  </w:num>
  <w:num w:numId="6">
    <w:abstractNumId w:val="19"/>
  </w:num>
  <w:num w:numId="7">
    <w:abstractNumId w:val="41"/>
  </w:num>
  <w:num w:numId="8">
    <w:abstractNumId w:val="35"/>
  </w:num>
  <w:num w:numId="9">
    <w:abstractNumId w:val="5"/>
  </w:num>
  <w:num w:numId="10">
    <w:abstractNumId w:val="3"/>
  </w:num>
  <w:num w:numId="11">
    <w:abstractNumId w:val="36"/>
  </w:num>
  <w:num w:numId="12">
    <w:abstractNumId w:val="20"/>
  </w:num>
  <w:num w:numId="13">
    <w:abstractNumId w:val="9"/>
  </w:num>
  <w:num w:numId="14">
    <w:abstractNumId w:val="28"/>
  </w:num>
  <w:num w:numId="15">
    <w:abstractNumId w:val="44"/>
  </w:num>
  <w:num w:numId="16">
    <w:abstractNumId w:val="8"/>
  </w:num>
  <w:num w:numId="17">
    <w:abstractNumId w:val="2"/>
  </w:num>
  <w:num w:numId="18">
    <w:abstractNumId w:val="29"/>
  </w:num>
  <w:num w:numId="19">
    <w:abstractNumId w:val="24"/>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
  </w:num>
  <w:num w:numId="23">
    <w:abstractNumId w:val="13"/>
  </w:num>
  <w:num w:numId="24">
    <w:abstractNumId w:val="25"/>
  </w:num>
  <w:num w:numId="25">
    <w:abstractNumId w:val="22"/>
  </w:num>
  <w:num w:numId="26">
    <w:abstractNumId w:val="39"/>
  </w:num>
  <w:num w:numId="27">
    <w:abstractNumId w:val="33"/>
  </w:num>
  <w:num w:numId="28">
    <w:abstractNumId w:val="26"/>
  </w:num>
  <w:num w:numId="29">
    <w:abstractNumId w:val="27"/>
  </w:num>
  <w:num w:numId="30">
    <w:abstractNumId w:val="32"/>
  </w:num>
  <w:num w:numId="31">
    <w:abstractNumId w:val="30"/>
  </w:num>
  <w:num w:numId="32">
    <w:abstractNumId w:val="43"/>
  </w:num>
  <w:num w:numId="33">
    <w:abstractNumId w:val="40"/>
  </w:num>
  <w:num w:numId="34">
    <w:abstractNumId w:val="15"/>
  </w:num>
  <w:num w:numId="35">
    <w:abstractNumId w:val="7"/>
  </w:num>
  <w:num w:numId="36">
    <w:abstractNumId w:val="21"/>
  </w:num>
  <w:num w:numId="37">
    <w:abstractNumId w:val="0"/>
  </w:num>
  <w:num w:numId="38">
    <w:abstractNumId w:val="4"/>
  </w:num>
  <w:num w:numId="39">
    <w:abstractNumId w:val="12"/>
  </w:num>
  <w:num w:numId="40">
    <w:abstractNumId w:val="42"/>
  </w:num>
  <w:num w:numId="41">
    <w:abstractNumId w:val="18"/>
  </w:num>
  <w:num w:numId="42">
    <w:abstractNumId w:val="14"/>
  </w:num>
  <w:num w:numId="43">
    <w:abstractNumId w:val="16"/>
  </w:num>
  <w:num w:numId="44">
    <w:abstractNumId w:val="1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DC"/>
    <w:rsid w:val="000134CA"/>
    <w:rsid w:val="00014522"/>
    <w:rsid w:val="00014F37"/>
    <w:rsid w:val="00017EA1"/>
    <w:rsid w:val="00020164"/>
    <w:rsid w:val="00020667"/>
    <w:rsid w:val="00022397"/>
    <w:rsid w:val="00023F89"/>
    <w:rsid w:val="0002536E"/>
    <w:rsid w:val="00030DFE"/>
    <w:rsid w:val="00041F9F"/>
    <w:rsid w:val="00044C88"/>
    <w:rsid w:val="00051503"/>
    <w:rsid w:val="00052264"/>
    <w:rsid w:val="0005543A"/>
    <w:rsid w:val="00057E9D"/>
    <w:rsid w:val="00060459"/>
    <w:rsid w:val="00067F9A"/>
    <w:rsid w:val="0007170E"/>
    <w:rsid w:val="00077CD3"/>
    <w:rsid w:val="00077EB6"/>
    <w:rsid w:val="00081D0D"/>
    <w:rsid w:val="00081E9B"/>
    <w:rsid w:val="00084409"/>
    <w:rsid w:val="00090EC9"/>
    <w:rsid w:val="000911F5"/>
    <w:rsid w:val="00094DEC"/>
    <w:rsid w:val="00096EC7"/>
    <w:rsid w:val="000A01EA"/>
    <w:rsid w:val="000A1D52"/>
    <w:rsid w:val="000A7569"/>
    <w:rsid w:val="000B0AFD"/>
    <w:rsid w:val="000B1F39"/>
    <w:rsid w:val="000C0778"/>
    <w:rsid w:val="000C318B"/>
    <w:rsid w:val="000C3640"/>
    <w:rsid w:val="000C4702"/>
    <w:rsid w:val="000C6040"/>
    <w:rsid w:val="000D195A"/>
    <w:rsid w:val="000D4515"/>
    <w:rsid w:val="000D5962"/>
    <w:rsid w:val="000E11BA"/>
    <w:rsid w:val="000E4842"/>
    <w:rsid w:val="000F0C3E"/>
    <w:rsid w:val="000F29CF"/>
    <w:rsid w:val="00103FDD"/>
    <w:rsid w:val="00103FEB"/>
    <w:rsid w:val="001046D6"/>
    <w:rsid w:val="0010691C"/>
    <w:rsid w:val="00106AE0"/>
    <w:rsid w:val="00111908"/>
    <w:rsid w:val="00112EA8"/>
    <w:rsid w:val="00113771"/>
    <w:rsid w:val="00114EBC"/>
    <w:rsid w:val="0011564E"/>
    <w:rsid w:val="00117ACA"/>
    <w:rsid w:val="001204C1"/>
    <w:rsid w:val="00121879"/>
    <w:rsid w:val="0012458A"/>
    <w:rsid w:val="0012681E"/>
    <w:rsid w:val="0012763D"/>
    <w:rsid w:val="001365A0"/>
    <w:rsid w:val="001373E3"/>
    <w:rsid w:val="001448B5"/>
    <w:rsid w:val="00146FE7"/>
    <w:rsid w:val="00151F2A"/>
    <w:rsid w:val="001529BF"/>
    <w:rsid w:val="0015596F"/>
    <w:rsid w:val="0016118F"/>
    <w:rsid w:val="00163B9B"/>
    <w:rsid w:val="00163E5B"/>
    <w:rsid w:val="00166385"/>
    <w:rsid w:val="00167251"/>
    <w:rsid w:val="0017094C"/>
    <w:rsid w:val="00172361"/>
    <w:rsid w:val="00175071"/>
    <w:rsid w:val="0017798A"/>
    <w:rsid w:val="001843B5"/>
    <w:rsid w:val="00184ABC"/>
    <w:rsid w:val="00190A12"/>
    <w:rsid w:val="00192BAE"/>
    <w:rsid w:val="001940DD"/>
    <w:rsid w:val="001A3895"/>
    <w:rsid w:val="001B227C"/>
    <w:rsid w:val="001C375B"/>
    <w:rsid w:val="001D56EF"/>
    <w:rsid w:val="001D5833"/>
    <w:rsid w:val="001D6540"/>
    <w:rsid w:val="001D6C9B"/>
    <w:rsid w:val="001E0157"/>
    <w:rsid w:val="001E0BAA"/>
    <w:rsid w:val="001F03D4"/>
    <w:rsid w:val="001F0A59"/>
    <w:rsid w:val="001F197A"/>
    <w:rsid w:val="001F4976"/>
    <w:rsid w:val="001F5029"/>
    <w:rsid w:val="001F5E76"/>
    <w:rsid w:val="001F7955"/>
    <w:rsid w:val="00200EB4"/>
    <w:rsid w:val="00201FA4"/>
    <w:rsid w:val="00206F09"/>
    <w:rsid w:val="002105D3"/>
    <w:rsid w:val="0022018A"/>
    <w:rsid w:val="002236DC"/>
    <w:rsid w:val="0022429F"/>
    <w:rsid w:val="0022463F"/>
    <w:rsid w:val="00224C04"/>
    <w:rsid w:val="002267DA"/>
    <w:rsid w:val="00227D23"/>
    <w:rsid w:val="00233D62"/>
    <w:rsid w:val="00244D01"/>
    <w:rsid w:val="00254C33"/>
    <w:rsid w:val="00254F64"/>
    <w:rsid w:val="00260294"/>
    <w:rsid w:val="002624B9"/>
    <w:rsid w:val="00263EA9"/>
    <w:rsid w:val="00266960"/>
    <w:rsid w:val="00275EBD"/>
    <w:rsid w:val="00276301"/>
    <w:rsid w:val="00280D39"/>
    <w:rsid w:val="0028146A"/>
    <w:rsid w:val="0028244D"/>
    <w:rsid w:val="002827CC"/>
    <w:rsid w:val="0028352C"/>
    <w:rsid w:val="00283AFA"/>
    <w:rsid w:val="00291F63"/>
    <w:rsid w:val="00297295"/>
    <w:rsid w:val="002979D7"/>
    <w:rsid w:val="002A4C96"/>
    <w:rsid w:val="002A684E"/>
    <w:rsid w:val="002A72A6"/>
    <w:rsid w:val="002B04B6"/>
    <w:rsid w:val="002B7CC6"/>
    <w:rsid w:val="002C154B"/>
    <w:rsid w:val="002C2002"/>
    <w:rsid w:val="002C6292"/>
    <w:rsid w:val="002D08A4"/>
    <w:rsid w:val="002D5108"/>
    <w:rsid w:val="002D515E"/>
    <w:rsid w:val="002D5B9E"/>
    <w:rsid w:val="002D5EDB"/>
    <w:rsid w:val="002E0844"/>
    <w:rsid w:val="002E09AC"/>
    <w:rsid w:val="002E23C1"/>
    <w:rsid w:val="002E38CB"/>
    <w:rsid w:val="002E3F8B"/>
    <w:rsid w:val="002E517A"/>
    <w:rsid w:val="002E5B1E"/>
    <w:rsid w:val="002E7678"/>
    <w:rsid w:val="002F0F72"/>
    <w:rsid w:val="002F4DA0"/>
    <w:rsid w:val="002F4EF9"/>
    <w:rsid w:val="002F700E"/>
    <w:rsid w:val="003030EA"/>
    <w:rsid w:val="003042CB"/>
    <w:rsid w:val="00304B99"/>
    <w:rsid w:val="00305B89"/>
    <w:rsid w:val="0031426C"/>
    <w:rsid w:val="00314E7F"/>
    <w:rsid w:val="00315A4E"/>
    <w:rsid w:val="0031684C"/>
    <w:rsid w:val="00316E30"/>
    <w:rsid w:val="003209B8"/>
    <w:rsid w:val="00322491"/>
    <w:rsid w:val="00325BF9"/>
    <w:rsid w:val="0032743B"/>
    <w:rsid w:val="003275AF"/>
    <w:rsid w:val="00330812"/>
    <w:rsid w:val="00331EA1"/>
    <w:rsid w:val="003338F2"/>
    <w:rsid w:val="00334200"/>
    <w:rsid w:val="00340DEF"/>
    <w:rsid w:val="0034258F"/>
    <w:rsid w:val="00342AE1"/>
    <w:rsid w:val="003447A1"/>
    <w:rsid w:val="0034655D"/>
    <w:rsid w:val="00347A5F"/>
    <w:rsid w:val="00350487"/>
    <w:rsid w:val="00354D03"/>
    <w:rsid w:val="00357420"/>
    <w:rsid w:val="00360A59"/>
    <w:rsid w:val="00370289"/>
    <w:rsid w:val="00370321"/>
    <w:rsid w:val="00391B02"/>
    <w:rsid w:val="003A073A"/>
    <w:rsid w:val="003A1744"/>
    <w:rsid w:val="003A19E2"/>
    <w:rsid w:val="003B0719"/>
    <w:rsid w:val="003B28F5"/>
    <w:rsid w:val="003B4E6F"/>
    <w:rsid w:val="003B7843"/>
    <w:rsid w:val="003C1891"/>
    <w:rsid w:val="003C2F39"/>
    <w:rsid w:val="003C6FCC"/>
    <w:rsid w:val="003D0FA0"/>
    <w:rsid w:val="003D59B0"/>
    <w:rsid w:val="003E0738"/>
    <w:rsid w:val="003E1002"/>
    <w:rsid w:val="003E1F0F"/>
    <w:rsid w:val="003E6DF0"/>
    <w:rsid w:val="003E7397"/>
    <w:rsid w:val="003E7CFF"/>
    <w:rsid w:val="003F4255"/>
    <w:rsid w:val="003F6AE1"/>
    <w:rsid w:val="003F7772"/>
    <w:rsid w:val="003F7FFE"/>
    <w:rsid w:val="004079A1"/>
    <w:rsid w:val="00407E5E"/>
    <w:rsid w:val="004102A3"/>
    <w:rsid w:val="00415BEB"/>
    <w:rsid w:val="0042122E"/>
    <w:rsid w:val="00421703"/>
    <w:rsid w:val="00421BFE"/>
    <w:rsid w:val="00425555"/>
    <w:rsid w:val="00426665"/>
    <w:rsid w:val="00431802"/>
    <w:rsid w:val="00434567"/>
    <w:rsid w:val="00435BB4"/>
    <w:rsid w:val="00435EF1"/>
    <w:rsid w:val="00443F86"/>
    <w:rsid w:val="0044532B"/>
    <w:rsid w:val="004453E7"/>
    <w:rsid w:val="00445C1E"/>
    <w:rsid w:val="00447B82"/>
    <w:rsid w:val="00447FAB"/>
    <w:rsid w:val="00447FF4"/>
    <w:rsid w:val="00452707"/>
    <w:rsid w:val="00462BC0"/>
    <w:rsid w:val="00467902"/>
    <w:rsid w:val="00470AC6"/>
    <w:rsid w:val="00471185"/>
    <w:rsid w:val="00471262"/>
    <w:rsid w:val="004715FC"/>
    <w:rsid w:val="004737E2"/>
    <w:rsid w:val="00476839"/>
    <w:rsid w:val="004819D3"/>
    <w:rsid w:val="00485A27"/>
    <w:rsid w:val="00495065"/>
    <w:rsid w:val="00495EFE"/>
    <w:rsid w:val="0049611D"/>
    <w:rsid w:val="00497374"/>
    <w:rsid w:val="004A0B68"/>
    <w:rsid w:val="004A15E2"/>
    <w:rsid w:val="004A20B5"/>
    <w:rsid w:val="004A2D50"/>
    <w:rsid w:val="004A3EFC"/>
    <w:rsid w:val="004B0B80"/>
    <w:rsid w:val="004B536A"/>
    <w:rsid w:val="004B6DE6"/>
    <w:rsid w:val="004B7293"/>
    <w:rsid w:val="004C00BD"/>
    <w:rsid w:val="004C1A14"/>
    <w:rsid w:val="004C3DDD"/>
    <w:rsid w:val="004C59AC"/>
    <w:rsid w:val="004C64A9"/>
    <w:rsid w:val="004D06A3"/>
    <w:rsid w:val="004E2045"/>
    <w:rsid w:val="004E3CAC"/>
    <w:rsid w:val="004E5FE7"/>
    <w:rsid w:val="0050028A"/>
    <w:rsid w:val="00501FCE"/>
    <w:rsid w:val="00504E0C"/>
    <w:rsid w:val="00505C6B"/>
    <w:rsid w:val="0051225F"/>
    <w:rsid w:val="00512368"/>
    <w:rsid w:val="00512A79"/>
    <w:rsid w:val="00515464"/>
    <w:rsid w:val="005218CA"/>
    <w:rsid w:val="005236E9"/>
    <w:rsid w:val="005248FA"/>
    <w:rsid w:val="00524940"/>
    <w:rsid w:val="00532540"/>
    <w:rsid w:val="00533421"/>
    <w:rsid w:val="00533F72"/>
    <w:rsid w:val="00535889"/>
    <w:rsid w:val="00535BD9"/>
    <w:rsid w:val="00543633"/>
    <w:rsid w:val="0054368B"/>
    <w:rsid w:val="00544EE4"/>
    <w:rsid w:val="005460EA"/>
    <w:rsid w:val="00547F0E"/>
    <w:rsid w:val="00551572"/>
    <w:rsid w:val="00556A0B"/>
    <w:rsid w:val="0056023F"/>
    <w:rsid w:val="00560769"/>
    <w:rsid w:val="00562E5A"/>
    <w:rsid w:val="00571BD1"/>
    <w:rsid w:val="00573679"/>
    <w:rsid w:val="00577750"/>
    <w:rsid w:val="00581D27"/>
    <w:rsid w:val="00583FE6"/>
    <w:rsid w:val="0058483C"/>
    <w:rsid w:val="0058695E"/>
    <w:rsid w:val="00586E1A"/>
    <w:rsid w:val="0059210B"/>
    <w:rsid w:val="005928D8"/>
    <w:rsid w:val="00593148"/>
    <w:rsid w:val="005B22C8"/>
    <w:rsid w:val="005B34E4"/>
    <w:rsid w:val="005B66BD"/>
    <w:rsid w:val="005C2716"/>
    <w:rsid w:val="005D169D"/>
    <w:rsid w:val="005D1D0F"/>
    <w:rsid w:val="005D3EA4"/>
    <w:rsid w:val="005D492E"/>
    <w:rsid w:val="005D7F11"/>
    <w:rsid w:val="005E25DC"/>
    <w:rsid w:val="005E4CC2"/>
    <w:rsid w:val="005E4CFA"/>
    <w:rsid w:val="005E4FF4"/>
    <w:rsid w:val="005E7860"/>
    <w:rsid w:val="005E7C2F"/>
    <w:rsid w:val="005F1F3B"/>
    <w:rsid w:val="005F2CFC"/>
    <w:rsid w:val="005F38FB"/>
    <w:rsid w:val="005F6DFF"/>
    <w:rsid w:val="006000D5"/>
    <w:rsid w:val="00603FE1"/>
    <w:rsid w:val="00606E74"/>
    <w:rsid w:val="00606F82"/>
    <w:rsid w:val="00610B9B"/>
    <w:rsid w:val="00611A5B"/>
    <w:rsid w:val="00612EE3"/>
    <w:rsid w:val="00613D98"/>
    <w:rsid w:val="006149AB"/>
    <w:rsid w:val="0061603B"/>
    <w:rsid w:val="0062542F"/>
    <w:rsid w:val="00625F6F"/>
    <w:rsid w:val="00637314"/>
    <w:rsid w:val="0063766D"/>
    <w:rsid w:val="00640670"/>
    <w:rsid w:val="00641F62"/>
    <w:rsid w:val="00642D82"/>
    <w:rsid w:val="006437D6"/>
    <w:rsid w:val="006441A9"/>
    <w:rsid w:val="00644592"/>
    <w:rsid w:val="00647AD2"/>
    <w:rsid w:val="0065388D"/>
    <w:rsid w:val="0065484F"/>
    <w:rsid w:val="00655A43"/>
    <w:rsid w:val="00655B00"/>
    <w:rsid w:val="006574D0"/>
    <w:rsid w:val="0066223D"/>
    <w:rsid w:val="00666077"/>
    <w:rsid w:val="006663CB"/>
    <w:rsid w:val="006667A2"/>
    <w:rsid w:val="00667A0F"/>
    <w:rsid w:val="0067291D"/>
    <w:rsid w:val="00675FE4"/>
    <w:rsid w:val="00680BC1"/>
    <w:rsid w:val="00682F01"/>
    <w:rsid w:val="00684AF1"/>
    <w:rsid w:val="00684E96"/>
    <w:rsid w:val="006873C1"/>
    <w:rsid w:val="00687476"/>
    <w:rsid w:val="006900B6"/>
    <w:rsid w:val="006A2411"/>
    <w:rsid w:val="006B378D"/>
    <w:rsid w:val="006C05C1"/>
    <w:rsid w:val="006C08DE"/>
    <w:rsid w:val="006C3E02"/>
    <w:rsid w:val="006C4B7E"/>
    <w:rsid w:val="006C5EB3"/>
    <w:rsid w:val="006D3482"/>
    <w:rsid w:val="006E4EDC"/>
    <w:rsid w:val="006E50B7"/>
    <w:rsid w:val="006E5195"/>
    <w:rsid w:val="006E54DE"/>
    <w:rsid w:val="006F18D4"/>
    <w:rsid w:val="006F5599"/>
    <w:rsid w:val="00700B3E"/>
    <w:rsid w:val="00704572"/>
    <w:rsid w:val="007065AF"/>
    <w:rsid w:val="00707CFA"/>
    <w:rsid w:val="00710B72"/>
    <w:rsid w:val="007147F0"/>
    <w:rsid w:val="007154BB"/>
    <w:rsid w:val="007212B9"/>
    <w:rsid w:val="007226DB"/>
    <w:rsid w:val="007233C9"/>
    <w:rsid w:val="00724EE9"/>
    <w:rsid w:val="007329C3"/>
    <w:rsid w:val="007369BA"/>
    <w:rsid w:val="00736F5E"/>
    <w:rsid w:val="007404A2"/>
    <w:rsid w:val="00740FDE"/>
    <w:rsid w:val="0074572F"/>
    <w:rsid w:val="00746D56"/>
    <w:rsid w:val="0074782E"/>
    <w:rsid w:val="007537A4"/>
    <w:rsid w:val="0075697E"/>
    <w:rsid w:val="00766AA7"/>
    <w:rsid w:val="007670FC"/>
    <w:rsid w:val="00776F02"/>
    <w:rsid w:val="00781332"/>
    <w:rsid w:val="0078262D"/>
    <w:rsid w:val="00782995"/>
    <w:rsid w:val="00783252"/>
    <w:rsid w:val="00783585"/>
    <w:rsid w:val="00785ACB"/>
    <w:rsid w:val="007954A2"/>
    <w:rsid w:val="007A1E1F"/>
    <w:rsid w:val="007B3EAE"/>
    <w:rsid w:val="007B5098"/>
    <w:rsid w:val="007C26F5"/>
    <w:rsid w:val="007C3361"/>
    <w:rsid w:val="007C626B"/>
    <w:rsid w:val="007C70A4"/>
    <w:rsid w:val="007D2E64"/>
    <w:rsid w:val="007D7157"/>
    <w:rsid w:val="007E068F"/>
    <w:rsid w:val="007E0D37"/>
    <w:rsid w:val="007E60C8"/>
    <w:rsid w:val="007F0A59"/>
    <w:rsid w:val="007F1101"/>
    <w:rsid w:val="007F3D38"/>
    <w:rsid w:val="007F549C"/>
    <w:rsid w:val="008020E5"/>
    <w:rsid w:val="00803D59"/>
    <w:rsid w:val="00803E06"/>
    <w:rsid w:val="00804250"/>
    <w:rsid w:val="00806221"/>
    <w:rsid w:val="008173B3"/>
    <w:rsid w:val="00817627"/>
    <w:rsid w:val="00820477"/>
    <w:rsid w:val="00824D7B"/>
    <w:rsid w:val="00825CB5"/>
    <w:rsid w:val="008279BC"/>
    <w:rsid w:val="00830BD1"/>
    <w:rsid w:val="00833A70"/>
    <w:rsid w:val="00837C23"/>
    <w:rsid w:val="00847B1B"/>
    <w:rsid w:val="00850A1E"/>
    <w:rsid w:val="00851F54"/>
    <w:rsid w:val="00853B8D"/>
    <w:rsid w:val="008558EB"/>
    <w:rsid w:val="00856ADA"/>
    <w:rsid w:val="008623E3"/>
    <w:rsid w:val="00863EF6"/>
    <w:rsid w:val="008647AB"/>
    <w:rsid w:val="008735F8"/>
    <w:rsid w:val="0087656C"/>
    <w:rsid w:val="00884899"/>
    <w:rsid w:val="00892BA2"/>
    <w:rsid w:val="008936CC"/>
    <w:rsid w:val="00893843"/>
    <w:rsid w:val="00895E12"/>
    <w:rsid w:val="008974C3"/>
    <w:rsid w:val="00897D25"/>
    <w:rsid w:val="008A3B0F"/>
    <w:rsid w:val="008A3CF2"/>
    <w:rsid w:val="008A7D16"/>
    <w:rsid w:val="008C157B"/>
    <w:rsid w:val="008C3EB3"/>
    <w:rsid w:val="008C4C39"/>
    <w:rsid w:val="008C53CD"/>
    <w:rsid w:val="008C5B12"/>
    <w:rsid w:val="008C79FE"/>
    <w:rsid w:val="008D301D"/>
    <w:rsid w:val="008D724E"/>
    <w:rsid w:val="008D74C9"/>
    <w:rsid w:val="008E0CCD"/>
    <w:rsid w:val="008E14CA"/>
    <w:rsid w:val="008E46EC"/>
    <w:rsid w:val="008E490C"/>
    <w:rsid w:val="008E5A44"/>
    <w:rsid w:val="008E6489"/>
    <w:rsid w:val="008E6BD6"/>
    <w:rsid w:val="008F0B17"/>
    <w:rsid w:val="008F101D"/>
    <w:rsid w:val="008F6C3D"/>
    <w:rsid w:val="008F77B0"/>
    <w:rsid w:val="00902EFE"/>
    <w:rsid w:val="009031A7"/>
    <w:rsid w:val="00904802"/>
    <w:rsid w:val="0090534B"/>
    <w:rsid w:val="00911F45"/>
    <w:rsid w:val="00913113"/>
    <w:rsid w:val="00916789"/>
    <w:rsid w:val="00916EDC"/>
    <w:rsid w:val="00921F32"/>
    <w:rsid w:val="00930030"/>
    <w:rsid w:val="009354C6"/>
    <w:rsid w:val="0094193D"/>
    <w:rsid w:val="00941B4F"/>
    <w:rsid w:val="00945C6A"/>
    <w:rsid w:val="00946AFA"/>
    <w:rsid w:val="009471DA"/>
    <w:rsid w:val="00952072"/>
    <w:rsid w:val="009525A0"/>
    <w:rsid w:val="00952CFC"/>
    <w:rsid w:val="0096495B"/>
    <w:rsid w:val="0096773A"/>
    <w:rsid w:val="00967DD5"/>
    <w:rsid w:val="00970250"/>
    <w:rsid w:val="00971074"/>
    <w:rsid w:val="00971EAD"/>
    <w:rsid w:val="0097496C"/>
    <w:rsid w:val="009801FF"/>
    <w:rsid w:val="00987F53"/>
    <w:rsid w:val="00991E80"/>
    <w:rsid w:val="00995237"/>
    <w:rsid w:val="00997103"/>
    <w:rsid w:val="009A12D5"/>
    <w:rsid w:val="009B649B"/>
    <w:rsid w:val="009B7827"/>
    <w:rsid w:val="009C06E7"/>
    <w:rsid w:val="009C14B6"/>
    <w:rsid w:val="009C38CE"/>
    <w:rsid w:val="009D3687"/>
    <w:rsid w:val="009D4CCA"/>
    <w:rsid w:val="009D5BE8"/>
    <w:rsid w:val="009E4149"/>
    <w:rsid w:val="009E4BEF"/>
    <w:rsid w:val="009E6F43"/>
    <w:rsid w:val="009E70B7"/>
    <w:rsid w:val="009F0DC1"/>
    <w:rsid w:val="009F20F2"/>
    <w:rsid w:val="009F3A15"/>
    <w:rsid w:val="009F4CBA"/>
    <w:rsid w:val="009F72BE"/>
    <w:rsid w:val="00A031C5"/>
    <w:rsid w:val="00A049AC"/>
    <w:rsid w:val="00A063C4"/>
    <w:rsid w:val="00A1251E"/>
    <w:rsid w:val="00A12924"/>
    <w:rsid w:val="00A1412D"/>
    <w:rsid w:val="00A14BE1"/>
    <w:rsid w:val="00A1733E"/>
    <w:rsid w:val="00A20336"/>
    <w:rsid w:val="00A20C9D"/>
    <w:rsid w:val="00A24384"/>
    <w:rsid w:val="00A24ACA"/>
    <w:rsid w:val="00A25385"/>
    <w:rsid w:val="00A25A2C"/>
    <w:rsid w:val="00A26C4C"/>
    <w:rsid w:val="00A306ED"/>
    <w:rsid w:val="00A4074D"/>
    <w:rsid w:val="00A44C6B"/>
    <w:rsid w:val="00A452FF"/>
    <w:rsid w:val="00A53367"/>
    <w:rsid w:val="00A5450D"/>
    <w:rsid w:val="00A554CD"/>
    <w:rsid w:val="00A55F3B"/>
    <w:rsid w:val="00A562F3"/>
    <w:rsid w:val="00A57129"/>
    <w:rsid w:val="00A6036F"/>
    <w:rsid w:val="00A60964"/>
    <w:rsid w:val="00A6271C"/>
    <w:rsid w:val="00A66643"/>
    <w:rsid w:val="00A7171D"/>
    <w:rsid w:val="00A73302"/>
    <w:rsid w:val="00A8080E"/>
    <w:rsid w:val="00A83644"/>
    <w:rsid w:val="00A90165"/>
    <w:rsid w:val="00AA54BD"/>
    <w:rsid w:val="00AA68D0"/>
    <w:rsid w:val="00AB05CF"/>
    <w:rsid w:val="00AB2DCC"/>
    <w:rsid w:val="00AB445A"/>
    <w:rsid w:val="00AB4474"/>
    <w:rsid w:val="00AB5C8E"/>
    <w:rsid w:val="00AB72EB"/>
    <w:rsid w:val="00AB7E36"/>
    <w:rsid w:val="00AC0A32"/>
    <w:rsid w:val="00AC1834"/>
    <w:rsid w:val="00AC36CA"/>
    <w:rsid w:val="00AC7E81"/>
    <w:rsid w:val="00AD4E55"/>
    <w:rsid w:val="00AD5DF8"/>
    <w:rsid w:val="00AE588C"/>
    <w:rsid w:val="00B00089"/>
    <w:rsid w:val="00B0080F"/>
    <w:rsid w:val="00B03899"/>
    <w:rsid w:val="00B07046"/>
    <w:rsid w:val="00B10462"/>
    <w:rsid w:val="00B107BD"/>
    <w:rsid w:val="00B1247F"/>
    <w:rsid w:val="00B12F25"/>
    <w:rsid w:val="00B20686"/>
    <w:rsid w:val="00B24F8E"/>
    <w:rsid w:val="00B261F7"/>
    <w:rsid w:val="00B27857"/>
    <w:rsid w:val="00B36EAF"/>
    <w:rsid w:val="00B404AE"/>
    <w:rsid w:val="00B46869"/>
    <w:rsid w:val="00B47970"/>
    <w:rsid w:val="00B479A5"/>
    <w:rsid w:val="00B51B0D"/>
    <w:rsid w:val="00B525C0"/>
    <w:rsid w:val="00B53623"/>
    <w:rsid w:val="00B539DC"/>
    <w:rsid w:val="00B56007"/>
    <w:rsid w:val="00B579E2"/>
    <w:rsid w:val="00B64CE3"/>
    <w:rsid w:val="00B7645C"/>
    <w:rsid w:val="00B766FD"/>
    <w:rsid w:val="00B76F94"/>
    <w:rsid w:val="00B80E0C"/>
    <w:rsid w:val="00B81E4E"/>
    <w:rsid w:val="00B90B42"/>
    <w:rsid w:val="00B90C66"/>
    <w:rsid w:val="00B90E79"/>
    <w:rsid w:val="00B92C51"/>
    <w:rsid w:val="00B9368E"/>
    <w:rsid w:val="00B954DD"/>
    <w:rsid w:val="00B97475"/>
    <w:rsid w:val="00B97DAE"/>
    <w:rsid w:val="00BA0E93"/>
    <w:rsid w:val="00BA2792"/>
    <w:rsid w:val="00BB0179"/>
    <w:rsid w:val="00BB2EDC"/>
    <w:rsid w:val="00BB2FDF"/>
    <w:rsid w:val="00BB3A6D"/>
    <w:rsid w:val="00BB3FCD"/>
    <w:rsid w:val="00BB5596"/>
    <w:rsid w:val="00BB6433"/>
    <w:rsid w:val="00BC1316"/>
    <w:rsid w:val="00BC491A"/>
    <w:rsid w:val="00BC7005"/>
    <w:rsid w:val="00BC781D"/>
    <w:rsid w:val="00BD1954"/>
    <w:rsid w:val="00BD285F"/>
    <w:rsid w:val="00BD2DAD"/>
    <w:rsid w:val="00BE2240"/>
    <w:rsid w:val="00BE28A3"/>
    <w:rsid w:val="00BE3DA8"/>
    <w:rsid w:val="00BE4A0E"/>
    <w:rsid w:val="00BE541E"/>
    <w:rsid w:val="00BE6B0E"/>
    <w:rsid w:val="00BE7C76"/>
    <w:rsid w:val="00BF531D"/>
    <w:rsid w:val="00BF66E6"/>
    <w:rsid w:val="00C013AE"/>
    <w:rsid w:val="00C0243E"/>
    <w:rsid w:val="00C0334E"/>
    <w:rsid w:val="00C07659"/>
    <w:rsid w:val="00C12ECD"/>
    <w:rsid w:val="00C13D6D"/>
    <w:rsid w:val="00C14396"/>
    <w:rsid w:val="00C151F1"/>
    <w:rsid w:val="00C16143"/>
    <w:rsid w:val="00C16C30"/>
    <w:rsid w:val="00C17FA5"/>
    <w:rsid w:val="00C23900"/>
    <w:rsid w:val="00C26008"/>
    <w:rsid w:val="00C315BA"/>
    <w:rsid w:val="00C317A2"/>
    <w:rsid w:val="00C3308F"/>
    <w:rsid w:val="00C361A9"/>
    <w:rsid w:val="00C416D2"/>
    <w:rsid w:val="00C43B34"/>
    <w:rsid w:val="00C51BDA"/>
    <w:rsid w:val="00C532E8"/>
    <w:rsid w:val="00C57C97"/>
    <w:rsid w:val="00C632AE"/>
    <w:rsid w:val="00C63B08"/>
    <w:rsid w:val="00C6543F"/>
    <w:rsid w:val="00C66903"/>
    <w:rsid w:val="00C72F54"/>
    <w:rsid w:val="00C749B2"/>
    <w:rsid w:val="00C77827"/>
    <w:rsid w:val="00C83086"/>
    <w:rsid w:val="00C84986"/>
    <w:rsid w:val="00C87B08"/>
    <w:rsid w:val="00C87C3E"/>
    <w:rsid w:val="00C90C82"/>
    <w:rsid w:val="00C94B2C"/>
    <w:rsid w:val="00CA3362"/>
    <w:rsid w:val="00CA5593"/>
    <w:rsid w:val="00CA660F"/>
    <w:rsid w:val="00CB2987"/>
    <w:rsid w:val="00CC2A4F"/>
    <w:rsid w:val="00CC3180"/>
    <w:rsid w:val="00CC4341"/>
    <w:rsid w:val="00CD146B"/>
    <w:rsid w:val="00CD2DDA"/>
    <w:rsid w:val="00CD3446"/>
    <w:rsid w:val="00CD45D2"/>
    <w:rsid w:val="00CD5886"/>
    <w:rsid w:val="00CE47A6"/>
    <w:rsid w:val="00CE761F"/>
    <w:rsid w:val="00CE7FB9"/>
    <w:rsid w:val="00CF45B6"/>
    <w:rsid w:val="00CF470C"/>
    <w:rsid w:val="00CF533A"/>
    <w:rsid w:val="00D0037E"/>
    <w:rsid w:val="00D06380"/>
    <w:rsid w:val="00D069ED"/>
    <w:rsid w:val="00D06A0F"/>
    <w:rsid w:val="00D1358B"/>
    <w:rsid w:val="00D26B5D"/>
    <w:rsid w:val="00D35F24"/>
    <w:rsid w:val="00D364E0"/>
    <w:rsid w:val="00D37497"/>
    <w:rsid w:val="00D42560"/>
    <w:rsid w:val="00D4363D"/>
    <w:rsid w:val="00D44938"/>
    <w:rsid w:val="00D44AD4"/>
    <w:rsid w:val="00D45B7B"/>
    <w:rsid w:val="00D46E47"/>
    <w:rsid w:val="00D471C4"/>
    <w:rsid w:val="00D478F6"/>
    <w:rsid w:val="00D51A71"/>
    <w:rsid w:val="00D56B0B"/>
    <w:rsid w:val="00D6005F"/>
    <w:rsid w:val="00D66630"/>
    <w:rsid w:val="00D67B47"/>
    <w:rsid w:val="00D7026F"/>
    <w:rsid w:val="00D751B7"/>
    <w:rsid w:val="00D76920"/>
    <w:rsid w:val="00D80CF7"/>
    <w:rsid w:val="00D81ED9"/>
    <w:rsid w:val="00D82CEF"/>
    <w:rsid w:val="00D86CC6"/>
    <w:rsid w:val="00D86ED1"/>
    <w:rsid w:val="00D9534E"/>
    <w:rsid w:val="00D964CE"/>
    <w:rsid w:val="00D97525"/>
    <w:rsid w:val="00DA2E61"/>
    <w:rsid w:val="00DB0B38"/>
    <w:rsid w:val="00DB17D0"/>
    <w:rsid w:val="00DB493F"/>
    <w:rsid w:val="00DB560D"/>
    <w:rsid w:val="00DB581A"/>
    <w:rsid w:val="00DB60E8"/>
    <w:rsid w:val="00DB6D49"/>
    <w:rsid w:val="00DC05EF"/>
    <w:rsid w:val="00DD0956"/>
    <w:rsid w:val="00DE0159"/>
    <w:rsid w:val="00DE2CB7"/>
    <w:rsid w:val="00DE2FB6"/>
    <w:rsid w:val="00DE7799"/>
    <w:rsid w:val="00DF1BEB"/>
    <w:rsid w:val="00DF6AA1"/>
    <w:rsid w:val="00E001F3"/>
    <w:rsid w:val="00E03331"/>
    <w:rsid w:val="00E045CB"/>
    <w:rsid w:val="00E07E1D"/>
    <w:rsid w:val="00E1105D"/>
    <w:rsid w:val="00E12194"/>
    <w:rsid w:val="00E152AD"/>
    <w:rsid w:val="00E15318"/>
    <w:rsid w:val="00E179BA"/>
    <w:rsid w:val="00E224B4"/>
    <w:rsid w:val="00E253EA"/>
    <w:rsid w:val="00E31D31"/>
    <w:rsid w:val="00E33374"/>
    <w:rsid w:val="00E33D67"/>
    <w:rsid w:val="00E35F36"/>
    <w:rsid w:val="00E417DD"/>
    <w:rsid w:val="00E6065C"/>
    <w:rsid w:val="00E630CD"/>
    <w:rsid w:val="00E63469"/>
    <w:rsid w:val="00E63705"/>
    <w:rsid w:val="00E8036B"/>
    <w:rsid w:val="00E809F2"/>
    <w:rsid w:val="00E83980"/>
    <w:rsid w:val="00E83CE5"/>
    <w:rsid w:val="00E84B33"/>
    <w:rsid w:val="00E85987"/>
    <w:rsid w:val="00E85C0C"/>
    <w:rsid w:val="00E87A8B"/>
    <w:rsid w:val="00E908AE"/>
    <w:rsid w:val="00E95325"/>
    <w:rsid w:val="00E958DC"/>
    <w:rsid w:val="00E971E3"/>
    <w:rsid w:val="00EA0BF8"/>
    <w:rsid w:val="00EA1CFD"/>
    <w:rsid w:val="00EA64BE"/>
    <w:rsid w:val="00EA69CB"/>
    <w:rsid w:val="00EB46F1"/>
    <w:rsid w:val="00EC4820"/>
    <w:rsid w:val="00EC5924"/>
    <w:rsid w:val="00EC6350"/>
    <w:rsid w:val="00ED004F"/>
    <w:rsid w:val="00ED1A47"/>
    <w:rsid w:val="00ED5261"/>
    <w:rsid w:val="00ED604E"/>
    <w:rsid w:val="00EE1B31"/>
    <w:rsid w:val="00EE2AF6"/>
    <w:rsid w:val="00EE2F0A"/>
    <w:rsid w:val="00EE453D"/>
    <w:rsid w:val="00EF100C"/>
    <w:rsid w:val="00EF1C22"/>
    <w:rsid w:val="00EF4FAE"/>
    <w:rsid w:val="00EF6C37"/>
    <w:rsid w:val="00EF7547"/>
    <w:rsid w:val="00F0289E"/>
    <w:rsid w:val="00F0325A"/>
    <w:rsid w:val="00F05D32"/>
    <w:rsid w:val="00F06F73"/>
    <w:rsid w:val="00F14353"/>
    <w:rsid w:val="00F14560"/>
    <w:rsid w:val="00F161C4"/>
    <w:rsid w:val="00F237D1"/>
    <w:rsid w:val="00F25151"/>
    <w:rsid w:val="00F27178"/>
    <w:rsid w:val="00F33863"/>
    <w:rsid w:val="00F33D6C"/>
    <w:rsid w:val="00F40C40"/>
    <w:rsid w:val="00F422BC"/>
    <w:rsid w:val="00F44F40"/>
    <w:rsid w:val="00F50D98"/>
    <w:rsid w:val="00F55CA4"/>
    <w:rsid w:val="00F56C81"/>
    <w:rsid w:val="00F60DEA"/>
    <w:rsid w:val="00F6242B"/>
    <w:rsid w:val="00F633DC"/>
    <w:rsid w:val="00F665D8"/>
    <w:rsid w:val="00F70417"/>
    <w:rsid w:val="00F70C3E"/>
    <w:rsid w:val="00F72524"/>
    <w:rsid w:val="00F72805"/>
    <w:rsid w:val="00F74281"/>
    <w:rsid w:val="00F772C6"/>
    <w:rsid w:val="00F8615D"/>
    <w:rsid w:val="00F90846"/>
    <w:rsid w:val="00F90BA5"/>
    <w:rsid w:val="00F93505"/>
    <w:rsid w:val="00F95494"/>
    <w:rsid w:val="00F97C70"/>
    <w:rsid w:val="00FA0245"/>
    <w:rsid w:val="00FA157A"/>
    <w:rsid w:val="00FA5F19"/>
    <w:rsid w:val="00FA7569"/>
    <w:rsid w:val="00FA76A7"/>
    <w:rsid w:val="00FB0980"/>
    <w:rsid w:val="00FB17F6"/>
    <w:rsid w:val="00FC1BC3"/>
    <w:rsid w:val="00FC3608"/>
    <w:rsid w:val="00FC36E7"/>
    <w:rsid w:val="00FC7937"/>
    <w:rsid w:val="00FD0557"/>
    <w:rsid w:val="00FD616C"/>
    <w:rsid w:val="00FD6889"/>
    <w:rsid w:val="00FE24BF"/>
    <w:rsid w:val="00FE419B"/>
    <w:rsid w:val="00FE45B2"/>
    <w:rsid w:val="00FF67CE"/>
    <w:rsid w:val="00FF71A6"/>
    <w:rsid w:val="00FF7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0E6F7"/>
  <w15:chartTrackingRefBased/>
  <w15:docId w15:val="{23B86534-DDD6-4C8E-82E1-9D22F5B6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4E5FE7"/>
    <w:pPr>
      <w:keepNext/>
      <w:keepLines/>
      <w:suppressAutoHyphens/>
      <w:overflowPunct w:val="0"/>
      <w:autoSpaceDE w:val="0"/>
      <w:autoSpaceDN w:val="0"/>
      <w:adjustRightInd w:val="0"/>
      <w:spacing w:before="480" w:after="240" w:line="240" w:lineRule="auto"/>
      <w:textAlignment w:val="baseline"/>
      <w:outlineLvl w:val="0"/>
    </w:pPr>
    <w:rPr>
      <w:rFonts w:ascii="Arial Narrow" w:eastAsia="Times New Roman" w:hAnsi="Arial Narrow" w:cs="Times New Roman"/>
      <w:b/>
      <w:kern w:val="36"/>
      <w:sz w:val="36"/>
      <w:szCs w:val="20"/>
      <w:lang w:eastAsia="cs-CZ"/>
    </w:rPr>
  </w:style>
  <w:style w:type="paragraph" w:styleId="Nadpis8">
    <w:name w:val="heading 8"/>
    <w:basedOn w:val="Normln"/>
    <w:next w:val="Normln"/>
    <w:link w:val="Nadpis8Char"/>
    <w:uiPriority w:val="9"/>
    <w:semiHidden/>
    <w:unhideWhenUsed/>
    <w:qFormat/>
    <w:rsid w:val="007F110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916ED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6EDC"/>
    <w:rPr>
      <w:sz w:val="20"/>
      <w:szCs w:val="20"/>
    </w:rPr>
  </w:style>
  <w:style w:type="character" w:styleId="Znakapoznpodarou">
    <w:name w:val="footnote reference"/>
    <w:aliases w:val="12 b.,Footnote,Footnote call,PGI Fußnote Ziffer,PGI Fußnote Ziffer + Times New Roman,Zúžené o ..."/>
    <w:basedOn w:val="Standardnpsmoodstavce"/>
    <w:uiPriority w:val="99"/>
    <w:rsid w:val="00916EDC"/>
    <w:rPr>
      <w:vertAlign w:val="superscript"/>
    </w:rPr>
  </w:style>
  <w:style w:type="paragraph" w:styleId="Zhlav">
    <w:name w:val="header"/>
    <w:basedOn w:val="Normln"/>
    <w:link w:val="ZhlavChar"/>
    <w:uiPriority w:val="99"/>
    <w:unhideWhenUsed/>
    <w:rsid w:val="00C330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308F"/>
  </w:style>
  <w:style w:type="paragraph" w:styleId="Zpat">
    <w:name w:val="footer"/>
    <w:basedOn w:val="Normln"/>
    <w:link w:val="ZpatChar"/>
    <w:uiPriority w:val="99"/>
    <w:unhideWhenUsed/>
    <w:rsid w:val="00C330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3308F"/>
  </w:style>
  <w:style w:type="paragraph" w:styleId="Odstavecseseznamem">
    <w:name w:val="List Paragraph"/>
    <w:aliases w:val="Literatura,odrážky"/>
    <w:basedOn w:val="Normln"/>
    <w:link w:val="OdstavecseseznamemChar"/>
    <w:uiPriority w:val="34"/>
    <w:qFormat/>
    <w:rsid w:val="0054368B"/>
    <w:pPr>
      <w:ind w:left="720"/>
      <w:contextualSpacing/>
    </w:pPr>
  </w:style>
  <w:style w:type="paragraph" w:styleId="Textbubliny">
    <w:name w:val="Balloon Text"/>
    <w:basedOn w:val="Normln"/>
    <w:link w:val="TextbublinyChar"/>
    <w:uiPriority w:val="99"/>
    <w:semiHidden/>
    <w:unhideWhenUsed/>
    <w:rsid w:val="00AB7E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E36"/>
    <w:rPr>
      <w:rFonts w:ascii="Segoe UI" w:hAnsi="Segoe UI" w:cs="Segoe UI"/>
      <w:sz w:val="18"/>
      <w:szCs w:val="18"/>
    </w:rPr>
  </w:style>
  <w:style w:type="character" w:styleId="Odkaznakoment">
    <w:name w:val="annotation reference"/>
    <w:basedOn w:val="Standardnpsmoodstavce"/>
    <w:uiPriority w:val="99"/>
    <w:semiHidden/>
    <w:unhideWhenUsed/>
    <w:rsid w:val="00A25385"/>
    <w:rPr>
      <w:sz w:val="16"/>
      <w:szCs w:val="16"/>
    </w:rPr>
  </w:style>
  <w:style w:type="paragraph" w:styleId="Textkomente">
    <w:name w:val="annotation text"/>
    <w:basedOn w:val="Normln"/>
    <w:link w:val="TextkomenteChar"/>
    <w:uiPriority w:val="99"/>
    <w:semiHidden/>
    <w:unhideWhenUsed/>
    <w:rsid w:val="00A25385"/>
    <w:pPr>
      <w:spacing w:line="240" w:lineRule="auto"/>
    </w:pPr>
    <w:rPr>
      <w:sz w:val="20"/>
      <w:szCs w:val="20"/>
    </w:rPr>
  </w:style>
  <w:style w:type="character" w:customStyle="1" w:styleId="TextkomenteChar">
    <w:name w:val="Text komentáře Char"/>
    <w:basedOn w:val="Standardnpsmoodstavce"/>
    <w:link w:val="Textkomente"/>
    <w:uiPriority w:val="99"/>
    <w:semiHidden/>
    <w:rsid w:val="00A25385"/>
    <w:rPr>
      <w:sz w:val="20"/>
      <w:szCs w:val="20"/>
    </w:rPr>
  </w:style>
  <w:style w:type="paragraph" w:styleId="Pedmtkomente">
    <w:name w:val="annotation subject"/>
    <w:basedOn w:val="Textkomente"/>
    <w:next w:val="Textkomente"/>
    <w:link w:val="PedmtkomenteChar"/>
    <w:uiPriority w:val="99"/>
    <w:semiHidden/>
    <w:unhideWhenUsed/>
    <w:rsid w:val="00A25385"/>
    <w:rPr>
      <w:b/>
      <w:bCs/>
    </w:rPr>
  </w:style>
  <w:style w:type="character" w:customStyle="1" w:styleId="PedmtkomenteChar">
    <w:name w:val="Předmět komentáře Char"/>
    <w:basedOn w:val="TextkomenteChar"/>
    <w:link w:val="Pedmtkomente"/>
    <w:uiPriority w:val="99"/>
    <w:semiHidden/>
    <w:rsid w:val="00A25385"/>
    <w:rPr>
      <w:b/>
      <w:bCs/>
      <w:sz w:val="20"/>
      <w:szCs w:val="20"/>
    </w:rPr>
  </w:style>
  <w:style w:type="paragraph" w:customStyle="1" w:styleId="Default">
    <w:name w:val="Default"/>
    <w:rsid w:val="009F3A1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4E5FE7"/>
    <w:rPr>
      <w:rFonts w:ascii="Arial Narrow" w:eastAsia="Times New Roman" w:hAnsi="Arial Narrow" w:cs="Times New Roman"/>
      <w:b/>
      <w:kern w:val="36"/>
      <w:sz w:val="36"/>
      <w:szCs w:val="20"/>
      <w:lang w:eastAsia="cs-CZ"/>
    </w:rPr>
  </w:style>
  <w:style w:type="character" w:customStyle="1" w:styleId="OdstavecseseznamemChar">
    <w:name w:val="Odstavec se seznamem Char"/>
    <w:aliases w:val="Literatura Char,odrážky Char"/>
    <w:basedOn w:val="Standardnpsmoodstavce"/>
    <w:link w:val="Odstavecseseznamem"/>
    <w:uiPriority w:val="34"/>
    <w:locked/>
    <w:rsid w:val="00260294"/>
  </w:style>
  <w:style w:type="character" w:customStyle="1" w:styleId="Nadpis8Char">
    <w:name w:val="Nadpis 8 Char"/>
    <w:basedOn w:val="Standardnpsmoodstavce"/>
    <w:link w:val="Nadpis8"/>
    <w:uiPriority w:val="99"/>
    <w:rsid w:val="007F1101"/>
    <w:rPr>
      <w:rFonts w:asciiTheme="majorHAnsi" w:eastAsiaTheme="majorEastAsia" w:hAnsiTheme="majorHAnsi" w:cstheme="majorBidi"/>
      <w:color w:val="272727" w:themeColor="text1" w:themeTint="D8"/>
      <w:sz w:val="21"/>
      <w:szCs w:val="21"/>
    </w:rPr>
  </w:style>
  <w:style w:type="paragraph" w:customStyle="1" w:styleId="Styl1">
    <w:name w:val="Styl   1."/>
    <w:basedOn w:val="Normln"/>
    <w:qFormat/>
    <w:rsid w:val="00D06A0F"/>
    <w:pPr>
      <w:numPr>
        <w:numId w:val="20"/>
      </w:numPr>
      <w:spacing w:before="120" w:after="240" w:line="240" w:lineRule="auto"/>
      <w:jc w:val="both"/>
    </w:pPr>
    <w:rPr>
      <w:rFonts w:ascii="Arial" w:eastAsia="Calibri" w:hAnsi="Arial" w:cs="Arial"/>
      <w:lang w:eastAsia="cs-CZ"/>
    </w:rPr>
  </w:style>
  <w:style w:type="character" w:styleId="Siln">
    <w:name w:val="Strong"/>
    <w:basedOn w:val="Standardnpsmoodstavce"/>
    <w:uiPriority w:val="22"/>
    <w:qFormat/>
    <w:rsid w:val="00971EAD"/>
    <w:rPr>
      <w:b/>
      <w:bCs/>
    </w:rPr>
  </w:style>
  <w:style w:type="paragraph" w:customStyle="1" w:styleId="poznmkapodarou">
    <w:name w:val="poznámka pod čarou"/>
    <w:basedOn w:val="Normln"/>
    <w:uiPriority w:val="99"/>
    <w:rsid w:val="00F14560"/>
    <w:pPr>
      <w:spacing w:after="0" w:line="240" w:lineRule="auto"/>
      <w:ind w:left="284" w:hanging="284"/>
      <w:contextualSpacing/>
      <w:jc w:val="both"/>
    </w:pPr>
    <w:rPr>
      <w:rFonts w:ascii="Arial" w:eastAsia="Times New Roman" w:hAnsi="Arial" w:cs="Arial"/>
      <w:sz w:val="20"/>
      <w:szCs w:val="20"/>
    </w:rPr>
  </w:style>
  <w:style w:type="paragraph" w:styleId="Zkladntextodsazen2">
    <w:name w:val="Body Text Indent 2"/>
    <w:basedOn w:val="Normln"/>
    <w:link w:val="Zkladntextodsazen2Char"/>
    <w:uiPriority w:val="99"/>
    <w:rsid w:val="004D06A3"/>
    <w:pPr>
      <w:spacing w:after="120" w:line="480" w:lineRule="auto"/>
      <w:ind w:left="283"/>
    </w:pPr>
    <w:rPr>
      <w:rFonts w:ascii="Arial" w:eastAsia="Times New Roman" w:hAnsi="Arial"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4D06A3"/>
    <w:rPr>
      <w:rFonts w:ascii="Arial" w:eastAsia="Times New Roman" w:hAnsi="Arial" w:cs="Times New Roman"/>
      <w:sz w:val="24"/>
      <w:szCs w:val="24"/>
      <w:lang w:eastAsia="cs-CZ"/>
    </w:rPr>
  </w:style>
  <w:style w:type="paragraph" w:customStyle="1" w:styleId="xl25">
    <w:name w:val="xl25"/>
    <w:basedOn w:val="Normln"/>
    <w:rsid w:val="00167251"/>
    <w:pPr>
      <w:autoSpaceDE w:val="0"/>
      <w:autoSpaceDN w:val="0"/>
      <w:adjustRightInd w:val="0"/>
      <w:spacing w:before="100" w:beforeAutospacing="1" w:after="100" w:afterAutospacing="1" w:line="240" w:lineRule="auto"/>
    </w:pPr>
    <w:rPr>
      <w:rFonts w:ascii="Arial" w:eastAsia="Arial Unicode MS" w:hAnsi="Arial" w:cs="Arial"/>
      <w:b/>
      <w:bCs/>
      <w:sz w:val="24"/>
      <w:szCs w:val="24"/>
      <w:lang w:eastAsia="cs-CZ"/>
    </w:rPr>
  </w:style>
  <w:style w:type="character" w:customStyle="1" w:styleId="Styl1-NzevmateriluChar">
    <w:name w:val="Styl1 - Název materiálu Char"/>
    <w:link w:val="Styl1-Nzevmaterilu"/>
    <w:locked/>
    <w:rsid w:val="006C5EB3"/>
    <w:rPr>
      <w:rFonts w:ascii="Arial" w:hAnsi="Arial" w:cs="Arial"/>
      <w:b/>
      <w:noProof/>
      <w:szCs w:val="24"/>
    </w:rPr>
  </w:style>
  <w:style w:type="paragraph" w:customStyle="1" w:styleId="Styl1-Nzevmaterilu">
    <w:name w:val="Styl1 - Název materiálu"/>
    <w:basedOn w:val="Normln"/>
    <w:link w:val="Styl1-NzevmateriluChar"/>
    <w:qFormat/>
    <w:rsid w:val="006C5EB3"/>
    <w:pPr>
      <w:overflowPunct w:val="0"/>
      <w:autoSpaceDE w:val="0"/>
      <w:autoSpaceDN w:val="0"/>
      <w:adjustRightInd w:val="0"/>
      <w:spacing w:after="0" w:line="240" w:lineRule="auto"/>
      <w:jc w:val="center"/>
    </w:pPr>
    <w:rPr>
      <w:rFonts w:ascii="Arial" w:hAnsi="Arial" w:cs="Arial"/>
      <w:b/>
      <w:noProof/>
      <w:szCs w:val="24"/>
    </w:rPr>
  </w:style>
  <w:style w:type="paragraph" w:customStyle="1" w:styleId="CM4">
    <w:name w:val="CM4"/>
    <w:basedOn w:val="Default"/>
    <w:next w:val="Default"/>
    <w:uiPriority w:val="99"/>
    <w:rsid w:val="006C5EB3"/>
    <w:rPr>
      <w:rFonts w:ascii="EUAlbertina" w:hAnsi="EUAlbertina" w:cstheme="minorBidi"/>
      <w:color w:val="auto"/>
    </w:rPr>
  </w:style>
  <w:style w:type="character" w:styleId="Hypertextovodkaz">
    <w:name w:val="Hyperlink"/>
    <w:basedOn w:val="Standardnpsmoodstavce"/>
    <w:uiPriority w:val="99"/>
    <w:rsid w:val="008F77B0"/>
    <w:rPr>
      <w:rFonts w:cs="Times New Roman"/>
      <w:color w:val="0000FF"/>
      <w:u w:val="single"/>
    </w:rPr>
  </w:style>
  <w:style w:type="character" w:customStyle="1" w:styleId="Zkladntext">
    <w:name w:val="Základní text_"/>
    <w:basedOn w:val="Standardnpsmoodstavce"/>
    <w:link w:val="Zkladntext1"/>
    <w:rsid w:val="008F77B0"/>
    <w:rPr>
      <w:shd w:val="clear" w:color="auto" w:fill="FFFFFF"/>
    </w:rPr>
  </w:style>
  <w:style w:type="paragraph" w:customStyle="1" w:styleId="Zkladntext1">
    <w:name w:val="Základní text1"/>
    <w:basedOn w:val="Normln"/>
    <w:link w:val="Zkladntext"/>
    <w:rsid w:val="008F77B0"/>
    <w:pPr>
      <w:widowControl w:val="0"/>
      <w:shd w:val="clear" w:color="auto" w:fill="FFFFFF"/>
      <w:spacing w:after="100" w:line="252" w:lineRule="auto"/>
      <w:ind w:firstLine="400"/>
      <w:jc w:val="both"/>
    </w:pPr>
  </w:style>
  <w:style w:type="paragraph" w:styleId="Zkladntext3">
    <w:name w:val="Body Text 3"/>
    <w:basedOn w:val="Normln"/>
    <w:link w:val="Zkladntext3Char1"/>
    <w:uiPriority w:val="99"/>
    <w:rsid w:val="00667A0F"/>
    <w:pPr>
      <w:spacing w:after="120" w:line="240" w:lineRule="auto"/>
    </w:pPr>
    <w:rPr>
      <w:rFonts w:ascii="Arial" w:eastAsia="Times New Roman" w:hAnsi="Arial" w:cs="Times New Roman"/>
      <w:sz w:val="16"/>
      <w:szCs w:val="16"/>
    </w:rPr>
  </w:style>
  <w:style w:type="character" w:customStyle="1" w:styleId="Zkladntext3Char">
    <w:name w:val="Základní text 3 Char"/>
    <w:basedOn w:val="Standardnpsmoodstavce"/>
    <w:uiPriority w:val="99"/>
    <w:semiHidden/>
    <w:rsid w:val="00667A0F"/>
    <w:rPr>
      <w:sz w:val="16"/>
      <w:szCs w:val="16"/>
    </w:rPr>
  </w:style>
  <w:style w:type="character" w:customStyle="1" w:styleId="Zkladntext3Char1">
    <w:name w:val="Základní text 3 Char1"/>
    <w:basedOn w:val="Standardnpsmoodstavce"/>
    <w:link w:val="Zkladntext3"/>
    <w:uiPriority w:val="99"/>
    <w:locked/>
    <w:rsid w:val="00667A0F"/>
    <w:rPr>
      <w:rFonts w:ascii="Arial" w:eastAsia="Times New Roman" w:hAnsi="Arial" w:cs="Times New Roman"/>
      <w:sz w:val="16"/>
      <w:szCs w:val="16"/>
    </w:rPr>
  </w:style>
  <w:style w:type="character" w:customStyle="1" w:styleId="Nadpis4">
    <w:name w:val="Nadpis #4_"/>
    <w:basedOn w:val="Standardnpsmoodstavce"/>
    <w:link w:val="Nadpis40"/>
    <w:rsid w:val="00667A0F"/>
    <w:rPr>
      <w:b/>
      <w:bCs/>
      <w:shd w:val="clear" w:color="auto" w:fill="FFFFFF"/>
    </w:rPr>
  </w:style>
  <w:style w:type="paragraph" w:customStyle="1" w:styleId="Nadpis40">
    <w:name w:val="Nadpis #4"/>
    <w:basedOn w:val="Normln"/>
    <w:link w:val="Nadpis4"/>
    <w:rsid w:val="00667A0F"/>
    <w:pPr>
      <w:widowControl w:val="0"/>
      <w:shd w:val="clear" w:color="auto" w:fill="FFFFFF"/>
      <w:spacing w:after="100" w:line="230" w:lineRule="auto"/>
      <w:ind w:left="740" w:hanging="170"/>
      <w:jc w:val="both"/>
      <w:outlineLvl w:val="3"/>
    </w:pPr>
    <w:rPr>
      <w:b/>
      <w:bCs/>
    </w:rPr>
  </w:style>
  <w:style w:type="paragraph" w:customStyle="1" w:styleId="normlnblok">
    <w:name w:val="normální blok"/>
    <w:basedOn w:val="Normln"/>
    <w:uiPriority w:val="99"/>
    <w:rsid w:val="00084409"/>
    <w:pPr>
      <w:spacing w:before="120" w:after="0" w:line="240" w:lineRule="auto"/>
      <w:jc w:val="both"/>
    </w:pPr>
    <w:rPr>
      <w:rFonts w:ascii="Times New Roman" w:eastAsia="Times New Roman" w:hAnsi="Times New Roman" w:cs="Times New Roman"/>
      <w:sz w:val="24"/>
      <w:szCs w:val="24"/>
      <w:lang w:eastAsia="cs-CZ"/>
    </w:rPr>
  </w:style>
  <w:style w:type="paragraph" w:customStyle="1" w:styleId="MDSR">
    <w:name w:val="MDS ČR"/>
    <w:rsid w:val="00E07E1D"/>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table" w:styleId="Mkatabulky">
    <w:name w:val="Table Grid"/>
    <w:basedOn w:val="Normlntabulka"/>
    <w:uiPriority w:val="39"/>
    <w:rsid w:val="0043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ffix">
    <w:name w:val="suffix"/>
    <w:basedOn w:val="Standardnpsmoodstavce"/>
    <w:rsid w:val="00435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4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List_aplikace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List_aplikace_Microsoft_Excel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List_aplikace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cs-CZ" sz="1100" b="1" i="0" cap="none" baseline="0">
                <a:solidFill>
                  <a:sysClr val="windowText" lastClr="000000"/>
                </a:solidFill>
              </a:rPr>
              <a:t>Podíl vodní dopravy na přepravě zboží v ČR</a:t>
            </a:r>
          </a:p>
        </c:rich>
      </c:tx>
      <c:layout>
        <c:manualLayout>
          <c:xMode val="edge"/>
          <c:yMode val="edge"/>
          <c:x val="0.28294901257792815"/>
          <c:y val="5.3819540040012477E-3"/>
        </c:manualLayout>
      </c:layout>
      <c:overlay val="0"/>
      <c:spPr>
        <a:noFill/>
        <a:ln>
          <a:noFill/>
        </a:ln>
        <a:effectLst/>
      </c:spPr>
    </c:title>
    <c:autoTitleDeleted val="0"/>
    <c:plotArea>
      <c:layout>
        <c:manualLayout>
          <c:layoutTarget val="inner"/>
          <c:xMode val="edge"/>
          <c:yMode val="edge"/>
          <c:x val="6.7873303167420816E-3"/>
          <c:y val="0.21043971631205674"/>
          <c:w val="0.99321266968325794"/>
          <c:h val="0.51763533813592455"/>
        </c:manualLayout>
      </c:layout>
      <c:lineChart>
        <c:grouping val="standard"/>
        <c:varyColors val="0"/>
        <c:ser>
          <c:idx val="0"/>
          <c:order val="0"/>
          <c:tx>
            <c:strRef>
              <c:f>List1!$B$1</c:f>
              <c:strCache>
                <c:ptCount val="1"/>
                <c:pt idx="0">
                  <c:v>Podíl vodní dopravy tunách</c:v>
                </c:pt>
              </c:strCache>
            </c:strRef>
          </c:tx>
          <c:spPr>
            <a:ln w="22225" cap="rnd" cmpd="sng" algn="ctr">
              <a:solidFill>
                <a:srgbClr val="0070C0"/>
              </a:solidFill>
              <a:round/>
            </a:ln>
            <a:effectLst/>
          </c:spPr>
          <c:marker>
            <c:symbol val="circle"/>
            <c:size val="17"/>
            <c:spPr>
              <a:solidFill>
                <a:schemeClr val="lt1"/>
              </a:solidFill>
              <a:ln>
                <a:solidFill>
                  <a:srgbClr val="0070C0"/>
                </a:solidFill>
              </a:ln>
              <a:effectLst/>
            </c:spPr>
          </c:marker>
          <c:dLbls>
            <c:spPr>
              <a:noFill/>
              <a:ln>
                <a:noFill/>
              </a:ln>
              <a:effectLst/>
            </c:spPr>
            <c:txPr>
              <a:bodyPr rot="0" spcFirstLastPara="1" vertOverflow="ellipsis" vert="horz" wrap="square" lIns="36000" tIns="0" rIns="36000" bIns="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a:solidFill>
                        <a:schemeClr val="dk1">
                          <a:lumMod val="35000"/>
                          <a:lumOff val="65000"/>
                        </a:schemeClr>
                      </a:solidFill>
                    </a:ln>
                    <a:effectLst/>
                  </c:spPr>
                </c15:leaderLines>
              </c:ext>
            </c:extLst>
          </c:dLbls>
          <c:cat>
            <c:numRef>
              <c:f>List1!$A$2:$A$9</c:f>
              <c:numCache>
                <c:formatCode>General</c:formatCode>
                <c:ptCount val="8"/>
                <c:pt idx="0">
                  <c:v>2010</c:v>
                </c:pt>
                <c:pt idx="1">
                  <c:v>2011</c:v>
                </c:pt>
                <c:pt idx="2">
                  <c:v>2012</c:v>
                </c:pt>
                <c:pt idx="3">
                  <c:v>2013</c:v>
                </c:pt>
                <c:pt idx="4">
                  <c:v>2014</c:v>
                </c:pt>
                <c:pt idx="5">
                  <c:v>2015</c:v>
                </c:pt>
                <c:pt idx="6">
                  <c:v>2016</c:v>
                </c:pt>
                <c:pt idx="7">
                  <c:v>2017</c:v>
                </c:pt>
              </c:numCache>
            </c:numRef>
          </c:cat>
          <c:val>
            <c:numRef>
              <c:f>List1!$B$2:$B$9</c:f>
              <c:numCache>
                <c:formatCode>0.00%</c:formatCode>
                <c:ptCount val="8"/>
                <c:pt idx="0">
                  <c:v>3.7000000000000002E-3</c:v>
                </c:pt>
                <c:pt idx="1">
                  <c:v>4.3E-3</c:v>
                </c:pt>
                <c:pt idx="2">
                  <c:v>4.1999999999999997E-3</c:v>
                </c:pt>
                <c:pt idx="3">
                  <c:v>3.7000000000000002E-3</c:v>
                </c:pt>
                <c:pt idx="4">
                  <c:v>3.7000000000000002E-3</c:v>
                </c:pt>
                <c:pt idx="5">
                  <c:v>3.3999999999999998E-3</c:v>
                </c:pt>
                <c:pt idx="6">
                  <c:v>3.3E-3</c:v>
                </c:pt>
                <c:pt idx="7">
                  <c:v>2.8E-3</c:v>
                </c:pt>
              </c:numCache>
            </c:numRef>
          </c:val>
          <c:smooth val="0"/>
          <c:extLst>
            <c:ext xmlns:c16="http://schemas.microsoft.com/office/drawing/2014/chart" uri="{C3380CC4-5D6E-409C-BE32-E72D297353CC}">
              <c16:uniqueId val="{00000000-49DB-470A-AAF4-697392F9EA45}"/>
            </c:ext>
          </c:extLst>
        </c:ser>
        <c:ser>
          <c:idx val="1"/>
          <c:order val="1"/>
          <c:tx>
            <c:strRef>
              <c:f>List1!$C$1</c:f>
              <c:strCache>
                <c:ptCount val="1"/>
                <c:pt idx="0">
                  <c:v>Podíl vodní dopravy v tunokilometrech</c:v>
                </c:pt>
              </c:strCache>
            </c:strRef>
          </c:tx>
          <c:spPr>
            <a:ln w="19050" cap="rnd" cmpd="sng" algn="ctr">
              <a:solidFill>
                <a:srgbClr val="FF0000"/>
              </a:solidFill>
              <a:round/>
            </a:ln>
            <a:effectLst/>
          </c:spPr>
          <c:marker>
            <c:symbol val="circle"/>
            <c:size val="17"/>
            <c:spPr>
              <a:solidFill>
                <a:schemeClr val="lt1"/>
              </a:solidFill>
              <a:ln>
                <a:solidFill>
                  <a:srgbClr val="FF0000"/>
                </a:solidFill>
              </a:ln>
              <a:effectLst/>
            </c:spPr>
          </c:marker>
          <c:dLbls>
            <c:numFmt formatCode="0.00%" sourceLinked="0"/>
            <c:spPr>
              <a:noFill/>
              <a:ln>
                <a:noFill/>
              </a:ln>
              <a:effectLst/>
            </c:spPr>
            <c:txPr>
              <a:bodyPr rot="0" spcFirstLastPara="1" vertOverflow="ellipsis" vert="horz" wrap="square" lIns="36000" tIns="0" rIns="36000" bIns="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0"/>
              </c:ext>
            </c:extLst>
          </c:dLbls>
          <c:cat>
            <c:numRef>
              <c:f>List1!$A$2:$A$9</c:f>
              <c:numCache>
                <c:formatCode>General</c:formatCode>
                <c:ptCount val="8"/>
                <c:pt idx="0">
                  <c:v>2010</c:v>
                </c:pt>
                <c:pt idx="1">
                  <c:v>2011</c:v>
                </c:pt>
                <c:pt idx="2">
                  <c:v>2012</c:v>
                </c:pt>
                <c:pt idx="3">
                  <c:v>2013</c:v>
                </c:pt>
                <c:pt idx="4">
                  <c:v>2014</c:v>
                </c:pt>
                <c:pt idx="5">
                  <c:v>2015</c:v>
                </c:pt>
                <c:pt idx="6">
                  <c:v>2016</c:v>
                </c:pt>
                <c:pt idx="7">
                  <c:v>2017</c:v>
                </c:pt>
              </c:numCache>
            </c:numRef>
          </c:cat>
          <c:val>
            <c:numRef>
              <c:f>List1!$C$2:$C$9</c:f>
              <c:numCache>
                <c:formatCode>0%</c:formatCode>
                <c:ptCount val="8"/>
                <c:pt idx="0" formatCode="0.00%">
                  <c:v>1.0200000000000001E-2</c:v>
                </c:pt>
                <c:pt idx="1">
                  <c:v>0.01</c:v>
                </c:pt>
                <c:pt idx="2" formatCode="0.00%">
                  <c:v>1.01E-2</c:v>
                </c:pt>
                <c:pt idx="3">
                  <c:v>0.01</c:v>
                </c:pt>
                <c:pt idx="4" formatCode="0.00%">
                  <c:v>9.4999999999999998E-3</c:v>
                </c:pt>
                <c:pt idx="5" formatCode="0.00%">
                  <c:v>7.7999999999999996E-3</c:v>
                </c:pt>
                <c:pt idx="6" formatCode="0.00%">
                  <c:v>9.2999999999999992E-3</c:v>
                </c:pt>
                <c:pt idx="7" formatCode="0.00%">
                  <c:v>1.03E-2</c:v>
                </c:pt>
              </c:numCache>
            </c:numRef>
          </c:val>
          <c:smooth val="0"/>
          <c:extLst>
            <c:ext xmlns:c16="http://schemas.microsoft.com/office/drawing/2014/chart" uri="{C3380CC4-5D6E-409C-BE32-E72D297353CC}">
              <c16:uniqueId val="{00000001-49DB-470A-AAF4-697392F9EA45}"/>
            </c:ext>
          </c:extLst>
        </c:ser>
        <c:dLbls>
          <c:dLblPos val="ctr"/>
          <c:showLegendKey val="0"/>
          <c:showVal val="1"/>
          <c:showCatName val="0"/>
          <c:showSerName val="0"/>
          <c:showPercent val="0"/>
          <c:showBubbleSize val="0"/>
        </c:dLbls>
        <c:marker val="1"/>
        <c:smooth val="0"/>
        <c:axId val="697565264"/>
        <c:axId val="697570256"/>
      </c:lineChart>
      <c:catAx>
        <c:axId val="69756526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697570256"/>
        <c:crosses val="autoZero"/>
        <c:auto val="1"/>
        <c:lblAlgn val="ctr"/>
        <c:lblOffset val="100"/>
        <c:noMultiLvlLbl val="0"/>
      </c:catAx>
      <c:valAx>
        <c:axId val="697570256"/>
        <c:scaling>
          <c:orientation val="minMax"/>
        </c:scaling>
        <c:delete val="1"/>
        <c:axPos val="l"/>
        <c:numFmt formatCode="0.00%" sourceLinked="1"/>
        <c:majorTickMark val="none"/>
        <c:minorTickMark val="none"/>
        <c:tickLblPos val="nextTo"/>
        <c:crossAx val="697565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lt1"/>
    </a:solidFill>
    <a:ln w="9525" cap="flat" cmpd="sng" algn="ctr">
      <a:noFill/>
      <a:round/>
    </a:ln>
    <a:effectLst/>
  </c:spPr>
  <c:txPr>
    <a:bodyPr/>
    <a:lstStyle/>
    <a:p>
      <a:pPr>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250" b="0" i="0" u="none" strike="noStrike" kern="1200" spc="0" baseline="0">
                <a:solidFill>
                  <a:schemeClr val="tx1">
                    <a:lumMod val="65000"/>
                    <a:lumOff val="35000"/>
                  </a:schemeClr>
                </a:solidFill>
                <a:latin typeface="+mn-lt"/>
                <a:ea typeface="+mn-ea"/>
                <a:cs typeface="+mn-cs"/>
              </a:defRPr>
            </a:pPr>
            <a:r>
              <a:rPr lang="cs-CZ" sz="1100" b="1" i="0" baseline="0">
                <a:solidFill>
                  <a:sysClr val="windowText" lastClr="000000"/>
                </a:solidFill>
              </a:rPr>
              <a:t>Počet plavidel vnitrozemské vodní dopravy registrovaných v ČR</a:t>
            </a:r>
          </a:p>
        </c:rich>
      </c:tx>
      <c:layout>
        <c:manualLayout>
          <c:xMode val="edge"/>
          <c:yMode val="edge"/>
          <c:x val="0.12575550783424799"/>
          <c:y val="2.0091195615678762E-3"/>
        </c:manualLayout>
      </c:layout>
      <c:overlay val="0"/>
      <c:spPr>
        <a:noFill/>
        <a:ln w="0">
          <a:solidFill>
            <a:schemeClr val="bg1"/>
          </a:solidFill>
        </a:ln>
        <a:effectLst/>
      </c:spPr>
      <c:txPr>
        <a:bodyPr rot="0" spcFirstLastPara="1" vertOverflow="clip" vert="horz" wrap="square" anchor="ctr" anchorCtr="1"/>
        <a:lstStyle/>
        <a:p>
          <a:pPr>
            <a:defRPr sz="125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3.6541795911874654E-2"/>
          <c:y val="0.26000389909995775"/>
          <c:w val="0.93872549019607843"/>
          <c:h val="0.51408604013906789"/>
        </c:manualLayout>
      </c:layout>
      <c:lineChart>
        <c:grouping val="standard"/>
        <c:varyColors val="0"/>
        <c:ser>
          <c:idx val="0"/>
          <c:order val="0"/>
          <c:tx>
            <c:strRef>
              <c:f>List1!$B$1</c:f>
              <c:strCache>
                <c:ptCount val="1"/>
                <c:pt idx="0">
                  <c:v>Řada 1</c:v>
                </c:pt>
              </c:strCache>
            </c:strRef>
          </c:tx>
          <c:spPr>
            <a:ln w="28575" cap="rnd">
              <a:solidFill>
                <a:srgbClr val="0070C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numRef>
              <c:f>List1!$A$2:$A$9</c:f>
              <c:numCache>
                <c:formatCode>General</c:formatCode>
                <c:ptCount val="8"/>
                <c:pt idx="0">
                  <c:v>2010</c:v>
                </c:pt>
                <c:pt idx="1">
                  <c:v>2011</c:v>
                </c:pt>
                <c:pt idx="2">
                  <c:v>2012</c:v>
                </c:pt>
                <c:pt idx="3">
                  <c:v>2013</c:v>
                </c:pt>
                <c:pt idx="4">
                  <c:v>2014</c:v>
                </c:pt>
                <c:pt idx="5">
                  <c:v>2015</c:v>
                </c:pt>
                <c:pt idx="6">
                  <c:v>2016</c:v>
                </c:pt>
                <c:pt idx="7">
                  <c:v>2017</c:v>
                </c:pt>
              </c:numCache>
            </c:numRef>
          </c:cat>
          <c:val>
            <c:numRef>
              <c:f>List1!$B$2:$B$9</c:f>
              <c:numCache>
                <c:formatCode>General</c:formatCode>
                <c:ptCount val="8"/>
                <c:pt idx="0">
                  <c:v>301</c:v>
                </c:pt>
                <c:pt idx="1">
                  <c:v>273</c:v>
                </c:pt>
                <c:pt idx="2">
                  <c:v>260</c:v>
                </c:pt>
                <c:pt idx="3">
                  <c:v>234</c:v>
                </c:pt>
                <c:pt idx="4">
                  <c:v>227</c:v>
                </c:pt>
                <c:pt idx="5">
                  <c:v>215</c:v>
                </c:pt>
                <c:pt idx="6">
                  <c:v>207</c:v>
                </c:pt>
                <c:pt idx="7">
                  <c:v>210</c:v>
                </c:pt>
              </c:numCache>
            </c:numRef>
          </c:val>
          <c:smooth val="0"/>
          <c:extLst>
            <c:ext xmlns:c16="http://schemas.microsoft.com/office/drawing/2014/chart" uri="{C3380CC4-5D6E-409C-BE32-E72D297353CC}">
              <c16:uniqueId val="{00000000-A374-4EEA-97C0-EC310F4EB0D9}"/>
            </c:ext>
          </c:extLst>
        </c:ser>
        <c:dLbls>
          <c:dLblPos val="t"/>
          <c:showLegendKey val="0"/>
          <c:showVal val="1"/>
          <c:showCatName val="0"/>
          <c:showSerName val="0"/>
          <c:showPercent val="0"/>
          <c:showBubbleSize val="0"/>
        </c:dLbls>
        <c:smooth val="0"/>
        <c:axId val="692162768"/>
        <c:axId val="692163184"/>
      </c:lineChart>
      <c:catAx>
        <c:axId val="6921627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692163184"/>
        <c:crosses val="autoZero"/>
        <c:auto val="1"/>
        <c:lblAlgn val="ctr"/>
        <c:lblOffset val="100"/>
        <c:noMultiLvlLbl val="0"/>
      </c:catAx>
      <c:valAx>
        <c:axId val="692163184"/>
        <c:scaling>
          <c:orientation val="minMax"/>
          <c:min val="200"/>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692162768"/>
        <c:crosses val="autoZero"/>
        <c:crossBetween val="between"/>
        <c:majorUnit val="50"/>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clip" vert="horz" wrap="square" anchor="ctr" anchorCtr="1"/>
          <a:lstStyle/>
          <a:p>
            <a:pPr marL="0" marR="0" lvl="0" indent="0" algn="ctr" defTabSz="914400" rtl="0" eaLnBrk="1" fontAlgn="auto" latinLnBrk="0" hangingPunct="1">
              <a:lnSpc>
                <a:spcPct val="100000"/>
              </a:lnSpc>
              <a:buClrTx/>
              <a:buSzTx/>
              <a:buFontTx/>
              <a:buNone/>
              <a:defRPr sz="1250" b="0" i="0" u="none" strike="noStrike" kern="1200" spc="0" baseline="0">
                <a:solidFill>
                  <a:sysClr val="windowText" lastClr="000000">
                    <a:lumMod val="65000"/>
                    <a:lumOff val="35000"/>
                  </a:sysClr>
                </a:solidFill>
                <a:latin typeface="+mn-lt"/>
                <a:ea typeface="+mn-ea"/>
                <a:cs typeface="+mn-cs"/>
              </a:defRPr>
            </a:pPr>
            <a:r>
              <a:rPr lang="cs-CZ" sz="1100" b="1" i="0" baseline="0">
                <a:solidFill>
                  <a:sysClr val="windowText" lastClr="000000"/>
                </a:solidFill>
              </a:rPr>
              <a:t>Věková struktura </a:t>
            </a:r>
            <a:r>
              <a:rPr lang="cs-CZ" sz="1100" b="1" i="0" baseline="0">
                <a:solidFill>
                  <a:sysClr val="windowText" lastClr="000000"/>
                </a:solidFill>
                <a:effectLst/>
              </a:rPr>
              <a:t>plavidel nákladní vodní dopravy registrovaných v ČR (2017)</a:t>
            </a:r>
            <a:r>
              <a:rPr lang="cs-CZ" sz="1250"/>
              <a:t> </a:t>
            </a:r>
          </a:p>
        </c:rich>
      </c:tx>
      <c:layout>
        <c:manualLayout>
          <c:xMode val="edge"/>
          <c:yMode val="edge"/>
          <c:x val="0.15209035634096407"/>
          <c:y val="0"/>
        </c:manualLayout>
      </c:layout>
      <c:overlay val="0"/>
      <c:spPr>
        <a:noFill/>
        <a:ln>
          <a:noFill/>
        </a:ln>
        <a:effectLst/>
      </c:spPr>
      <c:txPr>
        <a:bodyPr rot="0" spcFirstLastPara="1" vertOverflow="clip" vert="horz" wrap="square" anchor="ctr" anchorCtr="1"/>
        <a:lstStyle/>
        <a:p>
          <a:pPr marL="0" marR="0" lvl="0" indent="0" algn="ctr" defTabSz="914400" rtl="0" eaLnBrk="1" fontAlgn="auto" latinLnBrk="0" hangingPunct="1">
            <a:lnSpc>
              <a:spcPct val="100000"/>
            </a:lnSpc>
            <a:buClrTx/>
            <a:buSzTx/>
            <a:buFontTx/>
            <a:buNone/>
            <a:defRPr sz="1250" b="0" i="0" u="none" strike="noStrike" kern="1200" spc="0" baseline="0">
              <a:solidFill>
                <a:sysClr val="windowText" lastClr="000000">
                  <a:lumMod val="65000"/>
                  <a:lumOff val="35000"/>
                </a:sysClr>
              </a:solidFill>
              <a:latin typeface="+mn-lt"/>
              <a:ea typeface="+mn-ea"/>
              <a:cs typeface="+mn-cs"/>
            </a:defRPr>
          </a:pPr>
          <a:endParaRPr lang="cs-CZ"/>
        </a:p>
      </c:txPr>
    </c:title>
    <c:autoTitleDeleted val="0"/>
    <c:plotArea>
      <c:layout>
        <c:manualLayout>
          <c:layoutTarget val="inner"/>
          <c:xMode val="edge"/>
          <c:yMode val="edge"/>
          <c:x val="0.12625476018168585"/>
          <c:y val="0.40849080029797907"/>
          <c:w val="0.42326906701469857"/>
          <c:h val="0.57260523093486848"/>
        </c:manualLayout>
      </c:layout>
      <c:doughnutChart>
        <c:varyColors val="1"/>
        <c:ser>
          <c:idx val="0"/>
          <c:order val="0"/>
          <c:tx>
            <c:strRef>
              <c:f>List1!$B$1</c:f>
              <c:strCache>
                <c:ptCount val="1"/>
                <c:pt idx="0">
                  <c:v>Prodej</c:v>
                </c:pt>
              </c:strCache>
            </c:strRef>
          </c:tx>
          <c:dPt>
            <c:idx val="0"/>
            <c:bubble3D val="0"/>
            <c:spPr>
              <a:solidFill>
                <a:schemeClr val="accent5">
                  <a:shade val="58000"/>
                </a:schemeClr>
              </a:solidFill>
              <a:ln w="19050">
                <a:solidFill>
                  <a:schemeClr val="lt1"/>
                </a:solidFill>
              </a:ln>
              <a:effectLst/>
            </c:spPr>
            <c:extLst>
              <c:ext xmlns:c16="http://schemas.microsoft.com/office/drawing/2014/chart" uri="{C3380CC4-5D6E-409C-BE32-E72D297353CC}">
                <c16:uniqueId val="{00000001-CEE8-46AF-9C80-44AB4E53F6F4}"/>
              </c:ext>
            </c:extLst>
          </c:dPt>
          <c:dPt>
            <c:idx val="1"/>
            <c:bubble3D val="0"/>
            <c:spPr>
              <a:solidFill>
                <a:schemeClr val="accent5">
                  <a:shade val="86000"/>
                </a:schemeClr>
              </a:solidFill>
              <a:ln w="19050">
                <a:solidFill>
                  <a:schemeClr val="lt1"/>
                </a:solidFill>
              </a:ln>
              <a:effectLst/>
            </c:spPr>
            <c:extLst>
              <c:ext xmlns:c16="http://schemas.microsoft.com/office/drawing/2014/chart" uri="{C3380CC4-5D6E-409C-BE32-E72D297353CC}">
                <c16:uniqueId val="{00000003-CEE8-46AF-9C80-44AB4E53F6F4}"/>
              </c:ext>
            </c:extLst>
          </c:dPt>
          <c:dPt>
            <c:idx val="2"/>
            <c:bubble3D val="0"/>
            <c:spPr>
              <a:solidFill>
                <a:schemeClr val="accent5">
                  <a:tint val="86000"/>
                </a:schemeClr>
              </a:solidFill>
              <a:ln w="19050">
                <a:solidFill>
                  <a:schemeClr val="lt1"/>
                </a:solidFill>
              </a:ln>
              <a:effectLst/>
            </c:spPr>
            <c:extLst>
              <c:ext xmlns:c16="http://schemas.microsoft.com/office/drawing/2014/chart" uri="{C3380CC4-5D6E-409C-BE32-E72D297353CC}">
                <c16:uniqueId val="{00000005-CEE8-46AF-9C80-44AB4E53F6F4}"/>
              </c:ext>
            </c:extLst>
          </c:dPt>
          <c:dPt>
            <c:idx val="3"/>
            <c:bubble3D val="0"/>
            <c:spPr>
              <a:solidFill>
                <a:schemeClr val="accent5">
                  <a:tint val="58000"/>
                </a:schemeClr>
              </a:solidFill>
              <a:ln w="19050">
                <a:solidFill>
                  <a:schemeClr val="lt1"/>
                </a:solidFill>
              </a:ln>
              <a:effectLst/>
            </c:spPr>
            <c:extLst>
              <c:ext xmlns:c16="http://schemas.microsoft.com/office/drawing/2014/chart" uri="{C3380CC4-5D6E-409C-BE32-E72D297353CC}">
                <c16:uniqueId val="{00000007-CEE8-46AF-9C80-44AB4E53F6F4}"/>
              </c:ext>
            </c:extLst>
          </c:dPt>
          <c:dLbls>
            <c:dLbl>
              <c:idx val="0"/>
              <c:layout>
                <c:manualLayout>
                  <c:x val="3.5741639009445908E-2"/>
                  <c:y val="-5.03778337531486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EE8-46AF-9C80-44AB4E53F6F4}"/>
                </c:ext>
              </c:extLst>
            </c:dLbl>
            <c:dLbl>
              <c:idx val="1"/>
              <c:layout>
                <c:manualLayout>
                  <c:x val="-8.1695174878733748E-2"/>
                  <c:y val="2.15905001799208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EE8-46AF-9C80-44AB4E53F6F4}"/>
                </c:ext>
              </c:extLst>
            </c:dLbl>
            <c:dLbl>
              <c:idx val="2"/>
              <c:layout>
                <c:manualLayout>
                  <c:x val="-2.5529742149604288E-2"/>
                  <c:y val="-5.75746671464555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EE8-46AF-9C80-44AB4E53F6F4}"/>
                </c:ext>
              </c:extLst>
            </c:dLbl>
            <c:dLbl>
              <c:idx val="3"/>
              <c:layout>
                <c:manualLayout>
                  <c:x val="-1.0211896859841762E-2"/>
                  <c:y val="-6.480548391320932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CEE8-46AF-9C80-44AB4E53F6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do roku 1970</c:v>
                </c:pt>
                <c:pt idx="1">
                  <c:v>1970–1989</c:v>
                </c:pt>
                <c:pt idx="2">
                  <c:v>1990–1999</c:v>
                </c:pt>
                <c:pt idx="3">
                  <c:v>od roku 2000</c:v>
                </c:pt>
              </c:strCache>
            </c:strRef>
          </c:cat>
          <c:val>
            <c:numRef>
              <c:f>List1!$B$2:$B$5</c:f>
              <c:numCache>
                <c:formatCode>General</c:formatCode>
                <c:ptCount val="4"/>
                <c:pt idx="0">
                  <c:v>49</c:v>
                </c:pt>
                <c:pt idx="1">
                  <c:v>137</c:v>
                </c:pt>
                <c:pt idx="2">
                  <c:v>13</c:v>
                </c:pt>
                <c:pt idx="3">
                  <c:v>11</c:v>
                </c:pt>
              </c:numCache>
            </c:numRef>
          </c:val>
          <c:extLst>
            <c:ext xmlns:c16="http://schemas.microsoft.com/office/drawing/2014/chart" uri="{C3380CC4-5D6E-409C-BE32-E72D297353CC}">
              <c16:uniqueId val="{00000000-087B-4296-B62B-AC0AC4C22F04}"/>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60544562723061035"/>
          <c:y val="0.48751941133593202"/>
          <c:w val="0.32868247182277499"/>
          <c:h val="0.4354336249840690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A7A4-7A50-4AC0-B5BD-0A33090B2B60}">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http://schemas.microsoft.com/sharepoint/v3"/>
  </ds:schemaRefs>
</ds:datastoreItem>
</file>

<file path=customXml/itemProps2.xml><?xml version="1.0" encoding="utf-8"?>
<ds:datastoreItem xmlns:ds="http://schemas.openxmlformats.org/officeDocument/2006/customXml" ds:itemID="{EE2F46A7-ECD1-4DA3-A5C3-C0C37B9B9182}">
  <ds:schemaRefs>
    <ds:schemaRef ds:uri="http://schemas.microsoft.com/sharepoint/v3/contenttype/forms"/>
  </ds:schemaRefs>
</ds:datastoreItem>
</file>

<file path=customXml/itemProps3.xml><?xml version="1.0" encoding="utf-8"?>
<ds:datastoreItem xmlns:ds="http://schemas.openxmlformats.org/officeDocument/2006/customXml" ds:itemID="{202B02F8-D079-4C69-BA0F-D2F32659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85A20-6D70-4A83-911A-ABFCDF1E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5F283A9E.dotm</Template>
  <TotalTime>3</TotalTime>
  <Pages>23</Pages>
  <Words>7738</Words>
  <Characters>45658</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Kontrolní závěr z kontrolní akce NKÚ č. 18/16 - Rozvoj vodních cest a podpora vodní dopravy</vt:lpstr>
    </vt:vector>
  </TitlesOfParts>
  <Company>NKU</Company>
  <LinksUpToDate>false</LinksUpToDate>
  <CharactersWithSpaces>53290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18/16 - Rozvoj vodních cest a podpora vodní dopravy</dc:title>
  <dc:creator>Nejvyšší kontrolní úřad</dc:creator>
  <cp:keywords>kontrolní závěr; vodní doprava</cp:keywords>
  <cp:lastModifiedBy>KOKRDA Daniel</cp:lastModifiedBy>
  <cp:revision>4</cp:revision>
  <cp:lastPrinted>2019-06-27T06:58:00Z</cp:lastPrinted>
  <dcterms:created xsi:type="dcterms:W3CDTF">2019-07-08T10:20:00Z</dcterms:created>
  <dcterms:modified xsi:type="dcterms:W3CDTF">2019-07-08T10:23:00Z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140/19-NKU200/382/19</vt:lpwstr>
  </property>
  <property fmtid="{D5CDD505-2E9C-101B-9397-08002B2CF9AE}" pid="5" name="CJ_PostaDoruc_PisemnostOdpovedNa_Pisemnost">
    <vt:lpwstr>XXX-XXX-XXX</vt:lpwstr>
  </property>
  <property fmtid="{D5CDD505-2E9C-101B-9397-08002B2CF9AE}" pid="6" name="CJ_Spis_Pisemnost">
    <vt:lpwstr>200/3/19</vt:lpwstr>
  </property>
  <property fmtid="{D5CDD505-2E9C-101B-9397-08002B2CF9AE}" pid="7" name="Contact_PostaOdes_All">
    <vt:lpwstr>ROZDĚLOVNÍK...</vt:lpwstr>
  </property>
  <property fmtid="{D5CDD505-2E9C-101B-9397-08002B2CF9AE}" pid="8" name="ContentTypeId">
    <vt:lpwstr>0x0101002F7A625AE9F5AB4A939F92BCAA7FEC02</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4.6.2019</vt:lpwstr>
  </property>
  <property fmtid="{D5CDD505-2E9C-101B-9397-08002B2CF9AE}" pid="12" name="DisplayName_CJCol">
    <vt:lpwstr>140/19-NKU200/382/19</vt:lpwstr>
  </property>
  <property fmtid="{D5CDD505-2E9C-101B-9397-08002B2CF9AE}" pid="13" name="DisplayName_SlozkaStupenUtajeniCollection_Slozka_Pisemnost">
    <vt:lpwstr/>
  </property>
  <property fmtid="{D5CDD505-2E9C-101B-9397-08002B2CF9AE}" pid="14" name="DisplayName_SpisovyUzel_PoziceZodpo_Pisemnost">
    <vt:lpwstr>Sekce kontrolní</vt:lpwstr>
  </property>
  <property fmtid="{D5CDD505-2E9C-101B-9397-08002B2CF9AE}" pid="15" name="DisplayName_UserPoriz_Pisemnost">
    <vt:lpwstr>Ivana Růžičková</vt:lpwstr>
  </property>
  <property fmtid="{D5CDD505-2E9C-101B-9397-08002B2CF9AE}" pid="16" name="DuvodZmeny_SlozkaStupenUtajeniCollection_Slozka_Pisemnost">
    <vt:lpwstr/>
  </property>
  <property fmtid="{D5CDD505-2E9C-101B-9397-08002B2CF9AE}" pid="17" name="EC_Pisemnost">
    <vt:lpwstr>19-7660/NKU</vt:lpwstr>
  </property>
  <property fmtid="{D5CDD505-2E9C-101B-9397-08002B2CF9AE}" pid="18" name="Key_BarCode_Pisemnost">
    <vt:lpwstr>*B000337481*</vt:lpwstr>
  </property>
  <property fmtid="{D5CDD505-2E9C-101B-9397-08002B2CF9AE}" pid="19" name="KRukam">
    <vt:lpwstr>{KRukam}</vt:lpwstr>
  </property>
  <property fmtid="{D5CDD505-2E9C-101B-9397-08002B2CF9AE}" pid="20" name="NameAddress_Contact_SpisovyUzel_PoziceZodpo_Pisemnost">
    <vt:lpwstr>ADRESÁT SU...</vt:lpwstr>
  </property>
  <property fmtid="{D5CDD505-2E9C-101B-9397-08002B2CF9AE}" pid="21" name="NamePostalAddress_Contact_PostaOdes">
    <vt:lpwstr>{NameAddress_Contact_PostaOdes}
{PostalAddress_Contact_PostaOdes}</vt:lpwstr>
  </property>
  <property fmtid="{D5CDD505-2E9C-101B-9397-08002B2CF9AE}" pid="22" name="Odkaz">
    <vt:lpwstr>ODKAZ</vt:lpwstr>
  </property>
  <property fmtid="{D5CDD505-2E9C-101B-9397-08002B2CF9AE}" pid="23" name="Password_PisemnostTypZpristupneniInformaciZOSZ_Pisemnost">
    <vt:lpwstr>ZOSZ_Password</vt:lpwstr>
  </property>
  <property fmtid="{D5CDD505-2E9C-101B-9397-08002B2CF9AE}" pid="24" name="PocetListuDokumentu_Pisemnost">
    <vt:lpwstr>1</vt:lpwstr>
  </property>
  <property fmtid="{D5CDD505-2E9C-101B-9397-08002B2CF9AE}" pid="25" name="PocetListu_Pisemnost">
    <vt:lpwstr>1</vt:lpwstr>
  </property>
  <property fmtid="{D5CDD505-2E9C-101B-9397-08002B2CF9AE}" pid="26" name="PocetPriloh_Pisemnost">
    <vt:lpwstr>POČET PŘÍLOH</vt:lpwstr>
  </property>
  <property fmtid="{D5CDD505-2E9C-101B-9397-08002B2CF9AE}" pid="27" name="Podpis">
    <vt:lpwstr/>
  </property>
  <property fmtid="{D5CDD505-2E9C-101B-9397-08002B2CF9AE}" pid="28" name="PostalAddress_Contact_SpisovyUzel_PoziceZodpo_Pisemnost">
    <vt:lpwstr>ADRESA SU...</vt:lpwstr>
  </property>
  <property fmtid="{D5CDD505-2E9C-101B-9397-08002B2CF9AE}" pid="29" name="RC">
    <vt:lpwstr/>
  </property>
  <property fmtid="{D5CDD505-2E9C-101B-9397-08002B2CF9AE}" pid="30" name="SkartacniZnakLhuta_PisemnostZnak">
    <vt:lpwstr>?/?</vt:lpwstr>
  </property>
  <property fmtid="{D5CDD505-2E9C-101B-9397-08002B2CF9AE}" pid="31" name="SmlouvaCislo">
    <vt:lpwstr>ČÍSLO SMLOUVY</vt:lpwstr>
  </property>
  <property fmtid="{D5CDD505-2E9C-101B-9397-08002B2CF9AE}" pid="32" name="SZ_Spis_Pisemnost">
    <vt:lpwstr>140/19</vt:lpwstr>
  </property>
  <property fmtid="{D5CDD505-2E9C-101B-9397-08002B2CF9AE}" pid="33" name="TEST">
    <vt:lpwstr>testovací pole</vt:lpwstr>
  </property>
  <property fmtid="{D5CDD505-2E9C-101B-9397-08002B2CF9AE}" pid="34" name="TypPrilohy_Pisemnost">
    <vt:lpwstr>TYP PŘÍLOHY</vt:lpwstr>
  </property>
  <property fmtid="{D5CDD505-2E9C-101B-9397-08002B2CF9AE}" pid="35" name="UserName_PisemnostTypZpristupneniInformaciZOSZ_Pisemnost">
    <vt:lpwstr>ZOSZ_UserName</vt:lpwstr>
  </property>
  <property fmtid="{D5CDD505-2E9C-101B-9397-08002B2CF9AE}" pid="36" name="Vec_Pisemnost">
    <vt:lpwstr>KZ 18/16 - připomínkové řízení</vt:lpwstr>
  </property>
  <property fmtid="{D5CDD505-2E9C-101B-9397-08002B2CF9AE}" pid="37" name="Zkratka_SpisovyUzel_PoziceZodpo_Pisemnost">
    <vt:lpwstr>200</vt:lpwstr>
  </property>
</Properties>
</file>