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41558" w14:textId="77777777" w:rsidR="00395345" w:rsidRPr="00E128B3" w:rsidRDefault="00395345" w:rsidP="006E3B89">
      <w:pPr>
        <w:jc w:val="center"/>
        <w:rPr>
          <w:lang w:val="en-GB"/>
        </w:rPr>
      </w:pPr>
      <w:bookmarkStart w:id="0" w:name="_GoBack"/>
      <w:bookmarkEnd w:id="0"/>
      <w:r w:rsidRPr="00E128B3">
        <w:rPr>
          <w:noProof/>
          <w:lang w:val="cs-CZ" w:eastAsia="cs-CZ"/>
        </w:rPr>
        <w:drawing>
          <wp:anchor distT="0" distB="0" distL="114300" distR="114300" simplePos="0" relativeHeight="251655680" behindDoc="0" locked="0" layoutInCell="1" allowOverlap="1" wp14:anchorId="1A5BBAD5" wp14:editId="66B1DEB0">
            <wp:simplePos x="0" y="0"/>
            <wp:positionH relativeFrom="margin">
              <wp:posOffset>2522855</wp:posOffset>
            </wp:positionH>
            <wp:positionV relativeFrom="paragraph">
              <wp:posOffset>559</wp:posOffset>
            </wp:positionV>
            <wp:extent cx="713740" cy="504190"/>
            <wp:effectExtent l="0" t="0" r="0" b="0"/>
            <wp:wrapTopAndBottom/>
            <wp:docPr id="6" name="obrázek 4"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072" name="Picture 4" descr="NKU_logo-transp-rgb300dp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3740" cy="504190"/>
                    </a:xfrm>
                    <a:prstGeom prst="rect">
                      <a:avLst/>
                    </a:prstGeom>
                    <a:noFill/>
                  </pic:spPr>
                </pic:pic>
              </a:graphicData>
            </a:graphic>
            <wp14:sizeRelH relativeFrom="page">
              <wp14:pctWidth>0</wp14:pctWidth>
            </wp14:sizeRelH>
            <wp14:sizeRelV relativeFrom="page">
              <wp14:pctHeight>0</wp14:pctHeight>
            </wp14:sizeRelV>
          </wp:anchor>
        </w:drawing>
      </w:r>
    </w:p>
    <w:p w14:paraId="34F38485" w14:textId="77777777" w:rsidR="00395345" w:rsidRPr="00E128B3" w:rsidRDefault="00395345" w:rsidP="006E3B89">
      <w:pPr>
        <w:jc w:val="center"/>
        <w:rPr>
          <w:lang w:val="en-GB"/>
        </w:rPr>
      </w:pPr>
    </w:p>
    <w:p w14:paraId="7D2FBAF4" w14:textId="77777777" w:rsidR="00395345" w:rsidRPr="00E128B3" w:rsidRDefault="00395345" w:rsidP="006E3B89">
      <w:pPr>
        <w:jc w:val="center"/>
        <w:rPr>
          <w:lang w:val="en-GB"/>
        </w:rPr>
      </w:pPr>
    </w:p>
    <w:p w14:paraId="2B241E46" w14:textId="77777777" w:rsidR="00395345" w:rsidRPr="00E128B3" w:rsidRDefault="00395345" w:rsidP="006E3B89">
      <w:pPr>
        <w:jc w:val="center"/>
        <w:rPr>
          <w:b/>
          <w:sz w:val="28"/>
          <w:szCs w:val="28"/>
          <w:lang w:val="en-GB"/>
        </w:rPr>
      </w:pPr>
      <w:r w:rsidRPr="00E128B3">
        <w:rPr>
          <w:b/>
          <w:sz w:val="28"/>
          <w:szCs w:val="28"/>
          <w:lang w:val="en-GB" w:bidi="en-GB"/>
        </w:rPr>
        <w:t>Audit Conclusion</w:t>
      </w:r>
    </w:p>
    <w:p w14:paraId="23AA322E" w14:textId="77777777" w:rsidR="00395345" w:rsidRPr="00E128B3" w:rsidRDefault="00395345" w:rsidP="006E3B89">
      <w:pPr>
        <w:jc w:val="center"/>
        <w:rPr>
          <w:lang w:val="en-GB"/>
        </w:rPr>
      </w:pPr>
    </w:p>
    <w:p w14:paraId="5353E4E1" w14:textId="77777777" w:rsidR="00395345" w:rsidRPr="00E128B3" w:rsidRDefault="00395345" w:rsidP="006E3B89">
      <w:pPr>
        <w:jc w:val="center"/>
        <w:rPr>
          <w:b/>
          <w:sz w:val="28"/>
          <w:szCs w:val="28"/>
          <w:lang w:val="en-GB"/>
        </w:rPr>
      </w:pPr>
      <w:r w:rsidRPr="00E128B3">
        <w:rPr>
          <w:b/>
          <w:sz w:val="28"/>
          <w:szCs w:val="28"/>
          <w:lang w:val="en-GB" w:bidi="en-GB"/>
        </w:rPr>
        <w:t>18/04</w:t>
      </w:r>
    </w:p>
    <w:p w14:paraId="5480613B" w14:textId="77777777" w:rsidR="00395345" w:rsidRPr="00E128B3" w:rsidRDefault="00395345" w:rsidP="006E3B89">
      <w:pPr>
        <w:jc w:val="center"/>
        <w:rPr>
          <w:lang w:val="en-GB"/>
        </w:rPr>
      </w:pPr>
    </w:p>
    <w:p w14:paraId="5C1EF7F0" w14:textId="77777777" w:rsidR="006E3B89" w:rsidRPr="00E128B3" w:rsidRDefault="00395345" w:rsidP="006E3B89">
      <w:pPr>
        <w:jc w:val="center"/>
        <w:rPr>
          <w:lang w:val="en-GB"/>
        </w:rPr>
      </w:pPr>
      <w:r w:rsidRPr="00E128B3">
        <w:rPr>
          <w:b/>
          <w:sz w:val="28"/>
          <w:szCs w:val="28"/>
          <w:lang w:val="en-GB" w:bidi="en-GB"/>
        </w:rPr>
        <w:t>Funds earmarked for supporting air quality improvements</w:t>
      </w:r>
    </w:p>
    <w:p w14:paraId="2B1A946C" w14:textId="77777777" w:rsidR="00395345" w:rsidRPr="00E128B3" w:rsidRDefault="00395345" w:rsidP="006E3B89">
      <w:pPr>
        <w:jc w:val="both"/>
        <w:rPr>
          <w:lang w:val="en-GB"/>
        </w:rPr>
      </w:pPr>
    </w:p>
    <w:p w14:paraId="35BCABBB" w14:textId="0C0B0AF6" w:rsidR="00395345" w:rsidRPr="00E128B3" w:rsidRDefault="00395345" w:rsidP="006E3B89">
      <w:pPr>
        <w:pStyle w:val="Text"/>
        <w:spacing w:after="120" w:line="264" w:lineRule="auto"/>
        <w:rPr>
          <w:lang w:val="en-GB"/>
        </w:rPr>
      </w:pPr>
      <w:r w:rsidRPr="00E128B3">
        <w:rPr>
          <w:lang w:val="en-GB" w:bidi="en-GB"/>
        </w:rPr>
        <w:t xml:space="preserve">The audit was included in the audit plan of the Supreme Audit Office (hereinafter the “SAO”) for 2018 under number 18/04. The audit was managed and the Audit Conclusion drawn up by SAO member </w:t>
      </w:r>
      <w:r w:rsidR="00EC2BE0">
        <w:rPr>
          <w:lang w:val="en-GB" w:bidi="en-GB"/>
        </w:rPr>
        <w:t>Mr</w:t>
      </w:r>
      <w:r w:rsidRPr="00E128B3">
        <w:rPr>
          <w:lang w:val="en-GB" w:bidi="en-GB"/>
        </w:rPr>
        <w:t xml:space="preserve"> Petr Neuvirt.</w:t>
      </w:r>
    </w:p>
    <w:p w14:paraId="2214FD20" w14:textId="7EDBB750" w:rsidR="00395345" w:rsidRPr="00E128B3" w:rsidRDefault="00395345" w:rsidP="006E3B89">
      <w:pPr>
        <w:pStyle w:val="Text"/>
        <w:spacing w:after="120" w:line="264" w:lineRule="auto"/>
        <w:rPr>
          <w:lang w:val="en-GB"/>
        </w:rPr>
      </w:pPr>
      <w:r w:rsidRPr="00E128B3">
        <w:rPr>
          <w:lang w:val="en-GB" w:bidi="en-GB"/>
        </w:rPr>
        <w:t>The objective of the audit was to examine the provision and use of funds spent on promoting air quality improvements and to examine whether these funds contributed to improving air quality in the Czech Republic.</w:t>
      </w:r>
    </w:p>
    <w:p w14:paraId="1A3F8673" w14:textId="77777777" w:rsidR="00395345" w:rsidRPr="00E128B3" w:rsidRDefault="00395345" w:rsidP="006E3B89">
      <w:pPr>
        <w:pStyle w:val="Text"/>
        <w:spacing w:after="120" w:line="264" w:lineRule="auto"/>
        <w:rPr>
          <w:lang w:val="en-GB"/>
        </w:rPr>
      </w:pPr>
      <w:r w:rsidRPr="00E128B3">
        <w:rPr>
          <w:lang w:val="en-GB" w:bidi="en-GB"/>
        </w:rPr>
        <w:t>The audit was conducted with the audited entities between February 2018 and September 2018.</w:t>
      </w:r>
    </w:p>
    <w:p w14:paraId="1215AABE" w14:textId="77777777" w:rsidR="00395345" w:rsidRPr="00E128B3" w:rsidRDefault="00395345" w:rsidP="006E3B89">
      <w:pPr>
        <w:pStyle w:val="Text"/>
        <w:spacing w:after="120" w:line="264" w:lineRule="auto"/>
        <w:rPr>
          <w:lang w:val="en-GB"/>
        </w:rPr>
      </w:pPr>
      <w:r w:rsidRPr="00E128B3">
        <w:rPr>
          <w:lang w:val="en-GB" w:bidi="en-GB"/>
        </w:rPr>
        <w:t>The period under review was 2015-2017; both the previous and subsequent periods were also considered for contextual reasons.</w:t>
      </w:r>
    </w:p>
    <w:p w14:paraId="64440101" w14:textId="77777777" w:rsidR="00395345" w:rsidRPr="00E128B3" w:rsidRDefault="00395345" w:rsidP="006E3B89">
      <w:pPr>
        <w:pStyle w:val="Text"/>
        <w:spacing w:after="120" w:line="264" w:lineRule="auto"/>
        <w:rPr>
          <w:lang w:val="en-GB"/>
        </w:rPr>
      </w:pPr>
      <w:r w:rsidRPr="00E128B3">
        <w:rPr>
          <w:lang w:val="en-GB" w:bidi="en-GB"/>
        </w:rPr>
        <w:t>Audited entities:</w:t>
      </w:r>
      <w:r w:rsidRPr="00E128B3">
        <w:rPr>
          <w:lang w:val="en-GB" w:bidi="en-GB"/>
        </w:rPr>
        <w:cr/>
        <w:t xml:space="preserve">Ministry of the Environment (“MoE”); State Environmental Fund of the Czech Republic, Prague (“SEF”); Czech Hydrometeorological Institute, Prague (“CHMI”); South Bohemian Region, České Budějovice; Moravian-Silesian Region, Ostrava; Central Bohemian Region, Praha; Ústí Region, Ústí nad Labem; ADM Olomouc s.r.o., Olomouc; BPS Pacov s.r.o., Pacov; </w:t>
      </w:r>
      <w:r w:rsidRPr="00E128B3">
        <w:rPr>
          <w:rFonts w:cs="Arial"/>
          <w:noProof/>
          <w:color w:val="000000"/>
          <w:lang w:val="en-GB" w:bidi="en-GB"/>
        </w:rPr>
        <w:t>Cement Hranice, akciová společnost, Hranice;</w:t>
      </w:r>
      <w:r w:rsidRPr="00E128B3">
        <w:rPr>
          <w:lang w:val="en-GB" w:bidi="en-GB"/>
        </w:rPr>
        <w:t xml:space="preserve"> Elektrárny Opatovice, a.s., Opatovice nad Labem-Pardubice; METAZ Týnec a.s., Prague; </w:t>
      </w:r>
      <w:r w:rsidRPr="00E128B3">
        <w:rPr>
          <w:rFonts w:cs="Arial"/>
          <w:noProof/>
          <w:color w:val="000000"/>
          <w:lang w:val="en-GB" w:bidi="en-GB"/>
        </w:rPr>
        <w:t xml:space="preserve">PRECIOSA ORNELA, a.s., Zásada; Severočeské doly a.s., Chomutov; </w:t>
      </w:r>
      <w:r w:rsidRPr="00E128B3">
        <w:rPr>
          <w:lang w:val="en-GB" w:bidi="en-GB"/>
        </w:rPr>
        <w:t>Wotan Forest, a.s., České Budějovice.</w:t>
      </w:r>
    </w:p>
    <w:p w14:paraId="1FE7763B" w14:textId="77777777" w:rsidR="00395345" w:rsidRPr="00E128B3" w:rsidRDefault="00395345" w:rsidP="006E3B89">
      <w:pPr>
        <w:spacing w:before="120" w:after="120" w:line="264" w:lineRule="auto"/>
        <w:rPr>
          <w:lang w:val="en-GB"/>
        </w:rPr>
      </w:pPr>
    </w:p>
    <w:p w14:paraId="0DAF7A5F" w14:textId="77777777" w:rsidR="00395345" w:rsidRPr="00E128B3" w:rsidRDefault="00395345" w:rsidP="00395345">
      <w:pPr>
        <w:spacing w:after="120"/>
        <w:rPr>
          <w:lang w:val="en-GB"/>
        </w:rPr>
      </w:pPr>
      <w:r w:rsidRPr="00E128B3">
        <w:rPr>
          <w:lang w:val="en-GB" w:bidi="en-GB"/>
        </w:rPr>
        <w:t xml:space="preserve">At its meeting no. XVI held on 10 December 2018, the </w:t>
      </w:r>
      <w:r w:rsidRPr="00E128B3">
        <w:rPr>
          <w:b/>
          <w:i/>
          <w:spacing w:val="40"/>
          <w:lang w:val="en-GB" w:bidi="en-GB"/>
        </w:rPr>
        <w:t>Board of the SAO</w:t>
      </w:r>
    </w:p>
    <w:p w14:paraId="1FF64630" w14:textId="77777777" w:rsidR="00395345" w:rsidRPr="00E128B3" w:rsidRDefault="00395345" w:rsidP="00395345">
      <w:pPr>
        <w:spacing w:after="120"/>
        <w:rPr>
          <w:lang w:val="en-GB"/>
        </w:rPr>
      </w:pPr>
      <w:r w:rsidRPr="00E128B3">
        <w:rPr>
          <w:b/>
          <w:i/>
          <w:spacing w:val="40"/>
          <w:lang w:val="en-GB" w:bidi="en-GB"/>
        </w:rPr>
        <w:t xml:space="preserve">approved, </w:t>
      </w:r>
      <w:r w:rsidRPr="00E128B3">
        <w:rPr>
          <w:lang w:val="en-GB" w:bidi="en-GB"/>
        </w:rPr>
        <w:t>by Resolution No. 6/X/2018,</w:t>
      </w:r>
    </w:p>
    <w:p w14:paraId="45EF5157" w14:textId="77777777" w:rsidR="00395345" w:rsidRPr="00E128B3" w:rsidRDefault="00395345" w:rsidP="00C84464">
      <w:pPr>
        <w:pStyle w:val="Text"/>
        <w:rPr>
          <w:lang w:val="en-GB"/>
        </w:rPr>
      </w:pPr>
      <w:r w:rsidRPr="00E128B3">
        <w:rPr>
          <w:lang w:val="en-GB" w:bidi="en-GB"/>
        </w:rPr>
        <w:t xml:space="preserve">the </w:t>
      </w:r>
      <w:r w:rsidRPr="00E128B3">
        <w:rPr>
          <w:b/>
          <w:spacing w:val="40"/>
          <w:lang w:val="en-GB" w:bidi="en-GB"/>
        </w:rPr>
        <w:t xml:space="preserve">Audit Conclusion </w:t>
      </w:r>
      <w:r w:rsidRPr="00E128B3">
        <w:rPr>
          <w:lang w:val="en-GB" w:bidi="en-GB"/>
        </w:rPr>
        <w:t>as follows:</w:t>
      </w:r>
      <w:r w:rsidRPr="00E128B3">
        <w:rPr>
          <w:lang w:val="en-GB" w:bidi="en-GB"/>
        </w:rPr>
        <w:br w:type="page"/>
      </w:r>
    </w:p>
    <w:p w14:paraId="138472BD" w14:textId="77777777" w:rsidR="0080029B" w:rsidRPr="00415D84" w:rsidRDefault="0080029B" w:rsidP="0080029B">
      <w:pPr>
        <w:autoSpaceDE w:val="0"/>
        <w:autoSpaceDN w:val="0"/>
        <w:adjustRightInd w:val="0"/>
        <w:jc w:val="center"/>
        <w:rPr>
          <w:rFonts w:cstheme="minorHAnsi"/>
          <w:b/>
          <w:bCs/>
          <w:color w:val="004595"/>
          <w:sz w:val="36"/>
          <w:szCs w:val="22"/>
          <w:lang w:val="en-GB" w:eastAsia="cs-CZ"/>
        </w:rPr>
      </w:pPr>
      <w:r w:rsidRPr="00415D84">
        <w:rPr>
          <w:rFonts w:eastAsia="Arial" w:cstheme="minorHAnsi"/>
          <w:b/>
          <w:color w:val="004595"/>
          <w:sz w:val="36"/>
          <w:szCs w:val="22"/>
          <w:lang w:val="en-GB" w:bidi="en-GB"/>
        </w:rPr>
        <w:lastRenderedPageBreak/>
        <w:t>KEY FACTS</w:t>
      </w:r>
    </w:p>
    <w:p w14:paraId="5B327C33" w14:textId="77777777" w:rsidR="0080029B" w:rsidRPr="00D74E6C" w:rsidRDefault="0080029B" w:rsidP="0080029B">
      <w:pPr>
        <w:autoSpaceDE w:val="0"/>
        <w:autoSpaceDN w:val="0"/>
        <w:adjustRightInd w:val="0"/>
        <w:rPr>
          <w:rFonts w:cstheme="minorHAnsi"/>
          <w:sz w:val="20"/>
          <w:lang w:val="en-GB" w:eastAsia="cs-CZ"/>
        </w:rPr>
      </w:pPr>
    </w:p>
    <w:p w14:paraId="609E07C0" w14:textId="77777777" w:rsidR="0080029B" w:rsidRPr="00D74E6C" w:rsidRDefault="0080029B" w:rsidP="0080029B">
      <w:pPr>
        <w:autoSpaceDE w:val="0"/>
        <w:autoSpaceDN w:val="0"/>
        <w:adjustRightInd w:val="0"/>
        <w:jc w:val="center"/>
        <w:rPr>
          <w:rFonts w:cstheme="minorHAnsi"/>
          <w:sz w:val="20"/>
          <w:lang w:val="en-GB" w:eastAsia="cs-CZ"/>
        </w:rPr>
      </w:pPr>
    </w:p>
    <w:tbl>
      <w:tblPr>
        <w:tblW w:w="9205" w:type="dxa"/>
        <w:jc w:val="center"/>
        <w:tblLayout w:type="fixed"/>
        <w:tblCellMar>
          <w:left w:w="40" w:type="dxa"/>
          <w:right w:w="40" w:type="dxa"/>
        </w:tblCellMar>
        <w:tblLook w:val="0000" w:firstRow="0" w:lastRow="0" w:firstColumn="0" w:lastColumn="0" w:noHBand="0" w:noVBand="0"/>
      </w:tblPr>
      <w:tblGrid>
        <w:gridCol w:w="5103"/>
        <w:gridCol w:w="4102"/>
      </w:tblGrid>
      <w:tr w:rsidR="00D74E6C" w:rsidRPr="00D74E6C" w14:paraId="1969D35B" w14:textId="77777777" w:rsidTr="00415D84">
        <w:trPr>
          <w:trHeight w:val="572"/>
          <w:jc w:val="center"/>
        </w:trPr>
        <w:tc>
          <w:tcPr>
            <w:tcW w:w="9205" w:type="dxa"/>
            <w:gridSpan w:val="2"/>
            <w:tcBorders>
              <w:top w:val="nil"/>
              <w:left w:val="nil"/>
              <w:bottom w:val="nil"/>
              <w:right w:val="nil"/>
            </w:tcBorders>
            <w:shd w:val="clear" w:color="auto" w:fill="004595"/>
            <w:vAlign w:val="center"/>
          </w:tcPr>
          <w:p w14:paraId="2F8EEEBF" w14:textId="1608CFCF" w:rsidR="00D74E6C" w:rsidRPr="00D74E6C" w:rsidRDefault="00D74E6C" w:rsidP="00D74E6C">
            <w:pPr>
              <w:autoSpaceDE w:val="0"/>
              <w:autoSpaceDN w:val="0"/>
              <w:adjustRightInd w:val="0"/>
              <w:jc w:val="center"/>
              <w:rPr>
                <w:rFonts w:cstheme="minorHAnsi"/>
                <w:i/>
                <w:color w:val="FFFFFF" w:themeColor="background1"/>
                <w:sz w:val="22"/>
                <w:lang w:val="en-GB" w:eastAsia="cs-CZ"/>
              </w:rPr>
            </w:pPr>
            <w:r w:rsidRPr="00D74E6C">
              <w:rPr>
                <w:rFonts w:eastAsia="Arial" w:cstheme="minorHAnsi"/>
                <w:i/>
                <w:color w:val="FFFFFF" w:themeColor="background1"/>
                <w:sz w:val="22"/>
                <w:szCs w:val="20"/>
                <w:lang w:val="en-GB" w:bidi="en-GB"/>
              </w:rPr>
              <w:t>Report on the Environment of the Czech Republic 2017</w:t>
            </w:r>
          </w:p>
        </w:tc>
      </w:tr>
      <w:tr w:rsidR="0080029B" w:rsidRPr="00D74E6C" w14:paraId="78818D57" w14:textId="77777777" w:rsidTr="00415D84">
        <w:trPr>
          <w:trHeight w:val="1348"/>
          <w:jc w:val="center"/>
        </w:trPr>
        <w:tc>
          <w:tcPr>
            <w:tcW w:w="5103" w:type="dxa"/>
            <w:tcBorders>
              <w:top w:val="nil"/>
              <w:left w:val="nil"/>
              <w:bottom w:val="nil"/>
              <w:right w:val="nil"/>
            </w:tcBorders>
            <w:shd w:val="clear" w:color="auto" w:fill="004595"/>
            <w:vAlign w:val="center"/>
          </w:tcPr>
          <w:p w14:paraId="299C34EE" w14:textId="3A69DA8D" w:rsidR="0080029B" w:rsidRPr="00D74E6C" w:rsidRDefault="0080029B" w:rsidP="00D74E6C">
            <w:pPr>
              <w:autoSpaceDE w:val="0"/>
              <w:autoSpaceDN w:val="0"/>
              <w:adjustRightInd w:val="0"/>
              <w:jc w:val="center"/>
              <w:rPr>
                <w:rFonts w:cstheme="minorHAnsi"/>
                <w:color w:val="FFFFFF" w:themeColor="background1"/>
                <w:lang w:val="en-GB" w:eastAsia="cs-CZ"/>
              </w:rPr>
            </w:pPr>
            <w:r w:rsidRPr="00D74E6C">
              <w:rPr>
                <w:rFonts w:eastAsia="Arial" w:cstheme="minorHAnsi"/>
                <w:color w:val="FFFFFF" w:themeColor="background1"/>
                <w:szCs w:val="20"/>
                <w:lang w:val="en-GB" w:bidi="en-GB"/>
              </w:rPr>
              <w:t xml:space="preserve">A total of </w:t>
            </w:r>
            <w:r w:rsidRPr="00D74E6C">
              <w:rPr>
                <w:rFonts w:eastAsia="Arial" w:cstheme="minorHAnsi"/>
                <w:b/>
                <w:color w:val="FFFFFF" w:themeColor="background1"/>
                <w:szCs w:val="20"/>
                <w:lang w:val="en-GB" w:bidi="en-GB"/>
              </w:rPr>
              <w:t>39 smog situations</w:t>
            </w:r>
            <w:r w:rsidRPr="00D74E6C">
              <w:rPr>
                <w:rFonts w:eastAsia="Arial" w:cstheme="minorHAnsi"/>
                <w:color w:val="FFFFFF" w:themeColor="background1"/>
                <w:szCs w:val="20"/>
                <w:lang w:val="en-GB" w:bidi="en-GB"/>
              </w:rPr>
              <w:t xml:space="preserve">, </w:t>
            </w:r>
            <w:r w:rsidR="00D74E6C" w:rsidRPr="00D74E6C">
              <w:rPr>
                <w:rFonts w:eastAsia="Arial" w:cstheme="minorHAnsi"/>
                <w:color w:val="FFFFFF" w:themeColor="background1"/>
                <w:szCs w:val="20"/>
                <w:lang w:val="en-GB" w:bidi="en-GB"/>
              </w:rPr>
              <w:br/>
            </w:r>
            <w:r w:rsidRPr="00D74E6C">
              <w:rPr>
                <w:rFonts w:eastAsia="Arial" w:cstheme="minorHAnsi"/>
                <w:color w:val="FFFFFF" w:themeColor="background1"/>
                <w:szCs w:val="20"/>
                <w:lang w:val="en-GB" w:bidi="en-GB"/>
              </w:rPr>
              <w:t xml:space="preserve">with a total duration of </w:t>
            </w:r>
            <w:r w:rsidRPr="00D74E6C">
              <w:rPr>
                <w:rFonts w:eastAsia="Arial" w:cstheme="minorHAnsi"/>
                <w:b/>
                <w:color w:val="FFFFFF" w:themeColor="background1"/>
                <w:szCs w:val="20"/>
                <w:lang w:val="en-GB" w:bidi="en-GB"/>
              </w:rPr>
              <w:t>3,757 hours</w:t>
            </w:r>
            <w:r w:rsidRPr="00D74E6C">
              <w:rPr>
                <w:rFonts w:eastAsia="Arial" w:cstheme="minorHAnsi"/>
                <w:color w:val="FFFFFF" w:themeColor="background1"/>
                <w:szCs w:val="20"/>
                <w:lang w:val="en-GB" w:bidi="en-GB"/>
              </w:rPr>
              <w:t xml:space="preserve">, </w:t>
            </w:r>
            <w:r w:rsidR="00D74E6C" w:rsidRPr="00D74E6C">
              <w:rPr>
                <w:rFonts w:eastAsia="Arial" w:cstheme="minorHAnsi"/>
                <w:color w:val="FFFFFF" w:themeColor="background1"/>
                <w:szCs w:val="20"/>
                <w:lang w:val="en-GB" w:bidi="en-GB"/>
              </w:rPr>
              <w:br/>
            </w:r>
            <w:r w:rsidRPr="00D74E6C">
              <w:rPr>
                <w:rFonts w:eastAsia="Arial" w:cstheme="minorHAnsi"/>
                <w:color w:val="FFFFFF" w:themeColor="background1"/>
                <w:szCs w:val="20"/>
                <w:lang w:val="en-GB" w:bidi="en-GB"/>
              </w:rPr>
              <w:t>were declared in 2017.</w:t>
            </w:r>
          </w:p>
        </w:tc>
        <w:tc>
          <w:tcPr>
            <w:tcW w:w="4102" w:type="dxa"/>
            <w:tcBorders>
              <w:top w:val="nil"/>
              <w:left w:val="nil"/>
              <w:bottom w:val="nil"/>
              <w:right w:val="nil"/>
            </w:tcBorders>
            <w:shd w:val="clear" w:color="auto" w:fill="004595"/>
            <w:vAlign w:val="center"/>
          </w:tcPr>
          <w:p w14:paraId="68A762AE" w14:textId="2B83AF8E" w:rsidR="0080029B" w:rsidRPr="00D74E6C" w:rsidRDefault="0080029B" w:rsidP="00D74E6C">
            <w:pPr>
              <w:autoSpaceDE w:val="0"/>
              <w:autoSpaceDN w:val="0"/>
              <w:adjustRightInd w:val="0"/>
              <w:jc w:val="center"/>
              <w:rPr>
                <w:rFonts w:cstheme="minorHAnsi"/>
                <w:color w:val="FFFFFF" w:themeColor="background1"/>
                <w:lang w:val="en-GB" w:eastAsia="cs-CZ"/>
              </w:rPr>
            </w:pPr>
            <w:r w:rsidRPr="00D74E6C">
              <w:rPr>
                <w:rFonts w:eastAsia="Arial" w:cstheme="minorHAnsi"/>
                <w:color w:val="FFFFFF" w:themeColor="background1"/>
                <w:szCs w:val="20"/>
                <w:lang w:val="en-GB" w:bidi="en-GB"/>
              </w:rPr>
              <w:t xml:space="preserve">The </w:t>
            </w:r>
            <w:r w:rsidRPr="00D74E6C">
              <w:rPr>
                <w:rFonts w:eastAsia="Arial" w:cstheme="minorHAnsi"/>
                <w:b/>
                <w:color w:val="FFFFFF" w:themeColor="background1"/>
                <w:szCs w:val="20"/>
                <w:lang w:val="en-GB" w:bidi="en-GB"/>
              </w:rPr>
              <w:t>deaths</w:t>
            </w:r>
            <w:r w:rsidRPr="00D74E6C">
              <w:rPr>
                <w:rFonts w:eastAsia="Arial" w:cstheme="minorHAnsi"/>
                <w:color w:val="FFFFFF" w:themeColor="background1"/>
                <w:szCs w:val="20"/>
                <w:lang w:val="en-GB" w:bidi="en-GB"/>
              </w:rPr>
              <w:t xml:space="preserve"> of approximately </w:t>
            </w:r>
            <w:r w:rsidR="00D74E6C" w:rsidRPr="00D74E6C">
              <w:rPr>
                <w:rFonts w:eastAsia="Arial" w:cstheme="minorHAnsi"/>
                <w:color w:val="FFFFFF" w:themeColor="background1"/>
                <w:szCs w:val="20"/>
                <w:lang w:val="en-GB" w:bidi="en-GB"/>
              </w:rPr>
              <w:br/>
            </w:r>
            <w:r w:rsidRPr="00D74E6C">
              <w:rPr>
                <w:rFonts w:eastAsia="Arial" w:cstheme="minorHAnsi"/>
                <w:b/>
                <w:color w:val="FFFFFF" w:themeColor="background1"/>
                <w:szCs w:val="20"/>
                <w:lang w:val="en-GB" w:bidi="en-GB"/>
              </w:rPr>
              <w:t>5,700 people</w:t>
            </w:r>
            <w:r w:rsidRPr="00D74E6C">
              <w:rPr>
                <w:rFonts w:eastAsia="Arial" w:cstheme="minorHAnsi"/>
                <w:color w:val="FFFFFF" w:themeColor="background1"/>
                <w:szCs w:val="20"/>
                <w:lang w:val="en-GB" w:bidi="en-GB"/>
              </w:rPr>
              <w:t xml:space="preserve"> could be attributed </w:t>
            </w:r>
            <w:r w:rsidR="00D74E6C" w:rsidRPr="00D74E6C">
              <w:rPr>
                <w:rFonts w:eastAsia="Arial" w:cstheme="minorHAnsi"/>
                <w:color w:val="FFFFFF" w:themeColor="background1"/>
                <w:szCs w:val="20"/>
                <w:lang w:val="en-GB" w:bidi="en-GB"/>
              </w:rPr>
              <w:br/>
            </w:r>
            <w:r w:rsidRPr="00D74E6C">
              <w:rPr>
                <w:rFonts w:eastAsia="Arial" w:cstheme="minorHAnsi"/>
                <w:color w:val="FFFFFF" w:themeColor="background1"/>
                <w:szCs w:val="20"/>
                <w:lang w:val="en-GB" w:bidi="en-GB"/>
              </w:rPr>
              <w:t>to polluted air in 2017.</w:t>
            </w:r>
          </w:p>
        </w:tc>
      </w:tr>
    </w:tbl>
    <w:p w14:paraId="525BCCA7" w14:textId="77777777" w:rsidR="00D74E6C" w:rsidRDefault="00D74E6C" w:rsidP="0080029B">
      <w:pPr>
        <w:autoSpaceDE w:val="0"/>
        <w:autoSpaceDN w:val="0"/>
        <w:adjustRightInd w:val="0"/>
        <w:jc w:val="center"/>
        <w:rPr>
          <w:rFonts w:eastAsia="Arial" w:cstheme="minorHAnsi"/>
          <w:sz w:val="20"/>
          <w:szCs w:val="20"/>
          <w:lang w:val="en-GB" w:bidi="en-GB"/>
        </w:rPr>
      </w:pPr>
    </w:p>
    <w:p w14:paraId="6E93A6A2" w14:textId="77777777" w:rsidR="00D74E6C" w:rsidRDefault="00D74E6C" w:rsidP="0080029B">
      <w:pPr>
        <w:autoSpaceDE w:val="0"/>
        <w:autoSpaceDN w:val="0"/>
        <w:adjustRightInd w:val="0"/>
        <w:jc w:val="center"/>
        <w:rPr>
          <w:rFonts w:eastAsia="Arial" w:cstheme="minorHAnsi"/>
          <w:sz w:val="20"/>
          <w:szCs w:val="20"/>
          <w:lang w:val="en-GB" w:bidi="en-GB"/>
        </w:rPr>
      </w:pPr>
    </w:p>
    <w:p w14:paraId="1D184489" w14:textId="317848F5" w:rsidR="0080029B" w:rsidRPr="00D74E6C" w:rsidRDefault="0080029B" w:rsidP="0080029B">
      <w:pPr>
        <w:autoSpaceDE w:val="0"/>
        <w:autoSpaceDN w:val="0"/>
        <w:adjustRightInd w:val="0"/>
        <w:jc w:val="center"/>
        <w:rPr>
          <w:rFonts w:cstheme="minorHAnsi"/>
          <w:color w:val="004595"/>
          <w:sz w:val="28"/>
          <w:lang w:val="en-GB" w:eastAsia="cs-CZ"/>
        </w:rPr>
      </w:pPr>
      <w:r w:rsidRPr="00D74E6C">
        <w:rPr>
          <w:rFonts w:eastAsia="Arial" w:cstheme="minorHAnsi"/>
          <w:color w:val="004595"/>
          <w:sz w:val="28"/>
          <w:szCs w:val="20"/>
          <w:lang w:val="en-GB" w:bidi="en-GB"/>
        </w:rPr>
        <w:t xml:space="preserve">LARGEST </w:t>
      </w:r>
      <w:r w:rsidRPr="00D74E6C">
        <w:rPr>
          <w:rFonts w:eastAsia="Arial" w:cstheme="minorHAnsi"/>
          <w:b/>
          <w:color w:val="004595"/>
          <w:sz w:val="28"/>
          <w:szCs w:val="20"/>
          <w:lang w:val="en-GB" w:bidi="en-GB"/>
        </w:rPr>
        <w:t>EMISSION SOURCES</w:t>
      </w:r>
    </w:p>
    <w:p w14:paraId="4709EE0C" w14:textId="77777777" w:rsidR="0080029B" w:rsidRPr="00D74E6C" w:rsidRDefault="0080029B" w:rsidP="0080029B">
      <w:pPr>
        <w:autoSpaceDE w:val="0"/>
        <w:autoSpaceDN w:val="0"/>
        <w:adjustRightInd w:val="0"/>
        <w:jc w:val="center"/>
        <w:rPr>
          <w:rFonts w:cstheme="minorHAnsi"/>
          <w:sz w:val="20"/>
          <w:lang w:val="en-GB" w:eastAsia="cs-CZ"/>
        </w:rPr>
      </w:pPr>
    </w:p>
    <w:tbl>
      <w:tblPr>
        <w:tblW w:w="9140" w:type="dxa"/>
        <w:tblInd w:w="324" w:type="dxa"/>
        <w:tblLayout w:type="fixed"/>
        <w:tblCellMar>
          <w:top w:w="170" w:type="dxa"/>
          <w:left w:w="227" w:type="dxa"/>
          <w:right w:w="227" w:type="dxa"/>
        </w:tblCellMar>
        <w:tblLook w:val="0000" w:firstRow="0" w:lastRow="0" w:firstColumn="0" w:lastColumn="0" w:noHBand="0" w:noVBand="0"/>
      </w:tblPr>
      <w:tblGrid>
        <w:gridCol w:w="3022"/>
        <w:gridCol w:w="2835"/>
        <w:gridCol w:w="3283"/>
      </w:tblGrid>
      <w:tr w:rsidR="00D74E6C" w:rsidRPr="00415D84" w14:paraId="2405843B" w14:textId="77777777" w:rsidTr="000E198A">
        <w:trPr>
          <w:trHeight w:val="1087"/>
        </w:trPr>
        <w:tc>
          <w:tcPr>
            <w:tcW w:w="3022" w:type="dxa"/>
            <w:tcBorders>
              <w:top w:val="nil"/>
              <w:left w:val="nil"/>
              <w:bottom w:val="nil"/>
              <w:right w:val="nil"/>
            </w:tcBorders>
          </w:tcPr>
          <w:p w14:paraId="62FE17A0" w14:textId="77777777" w:rsidR="0080029B" w:rsidRPr="00415D84" w:rsidRDefault="0080029B" w:rsidP="00D74E6C">
            <w:pPr>
              <w:autoSpaceDE w:val="0"/>
              <w:autoSpaceDN w:val="0"/>
              <w:adjustRightInd w:val="0"/>
              <w:jc w:val="center"/>
              <w:rPr>
                <w:rFonts w:cstheme="minorHAnsi"/>
                <w:b/>
                <w:bCs/>
                <w:color w:val="004595"/>
                <w:sz w:val="22"/>
                <w:szCs w:val="18"/>
                <w:lang w:val="en-GB" w:eastAsia="cs-CZ"/>
              </w:rPr>
            </w:pPr>
            <w:r w:rsidRPr="00415D84">
              <w:rPr>
                <w:rFonts w:eastAsia="Arial" w:cstheme="minorHAnsi"/>
                <w:b/>
                <w:color w:val="004595"/>
                <w:sz w:val="22"/>
                <w:szCs w:val="18"/>
                <w:lang w:val="en-GB" w:bidi="en-GB"/>
              </w:rPr>
              <w:t>THE TRANSPORT SECTOR PRODUCES</w:t>
            </w:r>
          </w:p>
        </w:tc>
        <w:tc>
          <w:tcPr>
            <w:tcW w:w="2835" w:type="dxa"/>
            <w:tcBorders>
              <w:top w:val="nil"/>
              <w:left w:val="nil"/>
              <w:bottom w:val="nil"/>
              <w:right w:val="nil"/>
            </w:tcBorders>
          </w:tcPr>
          <w:p w14:paraId="48DD4A16" w14:textId="77777777" w:rsidR="0080029B" w:rsidRPr="00415D84" w:rsidRDefault="0080029B" w:rsidP="00D74E6C">
            <w:pPr>
              <w:autoSpaceDE w:val="0"/>
              <w:autoSpaceDN w:val="0"/>
              <w:adjustRightInd w:val="0"/>
              <w:jc w:val="center"/>
              <w:rPr>
                <w:rFonts w:cstheme="minorHAnsi"/>
                <w:b/>
                <w:bCs/>
                <w:color w:val="004595"/>
                <w:sz w:val="22"/>
                <w:szCs w:val="18"/>
                <w:lang w:val="en-GB" w:eastAsia="cs-CZ"/>
              </w:rPr>
            </w:pPr>
            <w:r w:rsidRPr="00415D84">
              <w:rPr>
                <w:rFonts w:eastAsia="Arial" w:cstheme="minorHAnsi"/>
                <w:b/>
                <w:color w:val="004595"/>
                <w:sz w:val="22"/>
                <w:szCs w:val="18"/>
                <w:lang w:val="en-GB" w:bidi="en-GB"/>
              </w:rPr>
              <w:t>THE ENERGY AND HEAT GENERATION SECTOR PRODUCES</w:t>
            </w:r>
          </w:p>
        </w:tc>
        <w:tc>
          <w:tcPr>
            <w:tcW w:w="3283" w:type="dxa"/>
            <w:tcBorders>
              <w:top w:val="nil"/>
              <w:left w:val="nil"/>
              <w:bottom w:val="nil"/>
              <w:right w:val="nil"/>
            </w:tcBorders>
          </w:tcPr>
          <w:p w14:paraId="6C701C95" w14:textId="77777777" w:rsidR="0080029B" w:rsidRPr="00415D84" w:rsidRDefault="0080029B" w:rsidP="00D74E6C">
            <w:pPr>
              <w:autoSpaceDE w:val="0"/>
              <w:autoSpaceDN w:val="0"/>
              <w:adjustRightInd w:val="0"/>
              <w:jc w:val="center"/>
              <w:rPr>
                <w:rFonts w:cstheme="minorHAnsi"/>
                <w:b/>
                <w:bCs/>
                <w:color w:val="004595"/>
                <w:sz w:val="22"/>
                <w:szCs w:val="18"/>
                <w:lang w:val="en-GB" w:eastAsia="cs-CZ"/>
              </w:rPr>
            </w:pPr>
            <w:r w:rsidRPr="00415D84">
              <w:rPr>
                <w:rFonts w:eastAsia="Arial" w:cstheme="minorHAnsi"/>
                <w:b/>
                <w:color w:val="004595"/>
                <w:sz w:val="22"/>
                <w:szCs w:val="18"/>
                <w:lang w:val="en-GB" w:bidi="en-GB"/>
              </w:rPr>
              <w:t>THE HOUSEHOLD SECTOR PRODUCES</w:t>
            </w:r>
          </w:p>
        </w:tc>
      </w:tr>
      <w:tr w:rsidR="0080029B" w:rsidRPr="00D74E6C" w14:paraId="488C6D7C" w14:textId="77777777" w:rsidTr="000E198A">
        <w:trPr>
          <w:trHeight w:val="565"/>
        </w:trPr>
        <w:tc>
          <w:tcPr>
            <w:tcW w:w="3022" w:type="dxa"/>
            <w:tcBorders>
              <w:top w:val="nil"/>
              <w:left w:val="nil"/>
              <w:bottom w:val="nil"/>
              <w:right w:val="nil"/>
            </w:tcBorders>
          </w:tcPr>
          <w:p w14:paraId="02AE87E8" w14:textId="403B2769" w:rsidR="0080029B" w:rsidRPr="00415D84" w:rsidRDefault="0080029B" w:rsidP="00D74E6C">
            <w:pPr>
              <w:autoSpaceDE w:val="0"/>
              <w:autoSpaceDN w:val="0"/>
              <w:adjustRightInd w:val="0"/>
              <w:rPr>
                <w:rFonts w:cstheme="minorHAnsi"/>
                <w:sz w:val="22"/>
                <w:szCs w:val="18"/>
                <w:lang w:val="en-GB" w:eastAsia="cs-CZ"/>
              </w:rPr>
            </w:pPr>
            <w:r w:rsidRPr="00415D84">
              <w:rPr>
                <w:rFonts w:eastAsia="Arial" w:cstheme="minorHAnsi"/>
                <w:b/>
                <w:sz w:val="22"/>
                <w:szCs w:val="18"/>
                <w:lang w:val="en-GB" w:bidi="en-GB"/>
              </w:rPr>
              <w:t>32%</w:t>
            </w:r>
            <w:r w:rsidR="00D74E6C" w:rsidRPr="00415D84">
              <w:rPr>
                <w:rFonts w:eastAsia="Arial" w:cstheme="minorHAnsi"/>
                <w:sz w:val="22"/>
                <w:szCs w:val="18"/>
                <w:lang w:val="en-GB" w:bidi="en-GB"/>
              </w:rPr>
              <w:t xml:space="preserve">  </w:t>
            </w:r>
            <w:r w:rsidRPr="00415D84">
              <w:rPr>
                <w:rFonts w:eastAsia="Arial" w:cstheme="minorHAnsi"/>
                <w:sz w:val="22"/>
                <w:szCs w:val="18"/>
                <w:lang w:val="en-GB" w:bidi="en-GB"/>
              </w:rPr>
              <w:t>of the total NOx emissions</w:t>
            </w:r>
          </w:p>
        </w:tc>
        <w:tc>
          <w:tcPr>
            <w:tcW w:w="2835" w:type="dxa"/>
            <w:tcBorders>
              <w:top w:val="nil"/>
              <w:left w:val="nil"/>
              <w:bottom w:val="nil"/>
              <w:right w:val="nil"/>
            </w:tcBorders>
          </w:tcPr>
          <w:p w14:paraId="7CA072CB" w14:textId="233BF5B8" w:rsidR="0080029B" w:rsidRPr="00415D84" w:rsidRDefault="0080029B" w:rsidP="00770287">
            <w:pPr>
              <w:autoSpaceDE w:val="0"/>
              <w:autoSpaceDN w:val="0"/>
              <w:adjustRightInd w:val="0"/>
              <w:rPr>
                <w:rFonts w:cstheme="minorHAnsi"/>
                <w:sz w:val="22"/>
                <w:szCs w:val="18"/>
                <w:lang w:val="en-GB" w:eastAsia="cs-CZ"/>
              </w:rPr>
            </w:pPr>
            <w:r w:rsidRPr="00415D84">
              <w:rPr>
                <w:rFonts w:eastAsia="Arial" w:cstheme="minorHAnsi"/>
                <w:b/>
                <w:sz w:val="22"/>
                <w:szCs w:val="18"/>
                <w:lang w:val="en-GB" w:bidi="en-GB"/>
              </w:rPr>
              <w:t>51%</w:t>
            </w:r>
            <w:r w:rsidRPr="00415D84">
              <w:rPr>
                <w:rFonts w:eastAsia="Arial" w:cstheme="minorHAnsi"/>
                <w:sz w:val="22"/>
                <w:szCs w:val="18"/>
                <w:lang w:val="en-GB" w:bidi="en-GB"/>
              </w:rPr>
              <w:t xml:space="preserve"> </w:t>
            </w:r>
            <w:r w:rsidR="00D74E6C" w:rsidRPr="00415D84">
              <w:rPr>
                <w:rFonts w:eastAsia="Arial" w:cstheme="minorHAnsi"/>
                <w:sz w:val="22"/>
                <w:szCs w:val="18"/>
                <w:lang w:val="en-GB" w:bidi="en-GB"/>
              </w:rPr>
              <w:t xml:space="preserve"> </w:t>
            </w:r>
            <w:r w:rsidRPr="00415D84">
              <w:rPr>
                <w:rFonts w:eastAsia="Arial" w:cstheme="minorHAnsi"/>
                <w:sz w:val="22"/>
                <w:szCs w:val="18"/>
                <w:lang w:val="en-GB" w:bidi="en-GB"/>
              </w:rPr>
              <w:t>of the total sulphur dioxide emissions</w:t>
            </w:r>
          </w:p>
        </w:tc>
        <w:tc>
          <w:tcPr>
            <w:tcW w:w="3283" w:type="dxa"/>
            <w:tcBorders>
              <w:top w:val="nil"/>
              <w:left w:val="nil"/>
              <w:bottom w:val="nil"/>
              <w:right w:val="nil"/>
            </w:tcBorders>
          </w:tcPr>
          <w:p w14:paraId="3260D9B3" w14:textId="683ADC7D" w:rsidR="0080029B" w:rsidRPr="00415D84" w:rsidRDefault="0080029B" w:rsidP="00770287">
            <w:pPr>
              <w:autoSpaceDE w:val="0"/>
              <w:autoSpaceDN w:val="0"/>
              <w:adjustRightInd w:val="0"/>
              <w:rPr>
                <w:rFonts w:cstheme="minorHAnsi"/>
                <w:sz w:val="22"/>
                <w:szCs w:val="18"/>
                <w:lang w:val="en-GB" w:eastAsia="cs-CZ"/>
              </w:rPr>
            </w:pPr>
            <w:r w:rsidRPr="00415D84">
              <w:rPr>
                <w:rFonts w:eastAsia="Arial" w:cstheme="minorHAnsi"/>
                <w:b/>
                <w:sz w:val="22"/>
                <w:szCs w:val="18"/>
                <w:lang w:val="en-GB" w:bidi="en-GB"/>
              </w:rPr>
              <w:t>98%</w:t>
            </w:r>
            <w:r w:rsidRPr="00415D84">
              <w:rPr>
                <w:rFonts w:eastAsia="Arial" w:cstheme="minorHAnsi"/>
                <w:sz w:val="22"/>
                <w:szCs w:val="18"/>
                <w:lang w:val="en-GB" w:bidi="en-GB"/>
              </w:rPr>
              <w:t xml:space="preserve"> </w:t>
            </w:r>
            <w:r w:rsidR="00D74E6C" w:rsidRPr="00415D84">
              <w:rPr>
                <w:rFonts w:eastAsia="Arial" w:cstheme="minorHAnsi"/>
                <w:sz w:val="22"/>
                <w:szCs w:val="18"/>
                <w:lang w:val="en-GB" w:bidi="en-GB"/>
              </w:rPr>
              <w:t xml:space="preserve"> </w:t>
            </w:r>
            <w:r w:rsidRPr="00415D84">
              <w:rPr>
                <w:rFonts w:eastAsia="Arial" w:cstheme="minorHAnsi"/>
                <w:sz w:val="22"/>
                <w:szCs w:val="18"/>
                <w:lang w:val="en-GB" w:bidi="en-GB"/>
              </w:rPr>
              <w:t>of the total benzo(a}pyrene emissions</w:t>
            </w:r>
          </w:p>
        </w:tc>
      </w:tr>
      <w:tr w:rsidR="0080029B" w:rsidRPr="00D74E6C" w14:paraId="5325D293" w14:textId="77777777" w:rsidTr="000E198A">
        <w:trPr>
          <w:trHeight w:val="550"/>
        </w:trPr>
        <w:tc>
          <w:tcPr>
            <w:tcW w:w="3022" w:type="dxa"/>
            <w:tcBorders>
              <w:top w:val="nil"/>
              <w:left w:val="nil"/>
              <w:bottom w:val="nil"/>
              <w:right w:val="nil"/>
            </w:tcBorders>
          </w:tcPr>
          <w:p w14:paraId="4E51167F" w14:textId="1B4CA2E1" w:rsidR="0080029B" w:rsidRPr="00415D84" w:rsidRDefault="0080029B" w:rsidP="00D74E6C">
            <w:pPr>
              <w:autoSpaceDE w:val="0"/>
              <w:autoSpaceDN w:val="0"/>
              <w:adjustRightInd w:val="0"/>
              <w:rPr>
                <w:rFonts w:cstheme="minorHAnsi"/>
                <w:sz w:val="22"/>
                <w:szCs w:val="18"/>
                <w:lang w:val="en-GB" w:eastAsia="cs-CZ"/>
              </w:rPr>
            </w:pPr>
            <w:r w:rsidRPr="00415D84">
              <w:rPr>
                <w:rFonts w:eastAsia="Arial" w:cstheme="minorHAnsi"/>
                <w:b/>
                <w:sz w:val="22"/>
                <w:szCs w:val="18"/>
                <w:lang w:val="en-GB" w:bidi="en-GB"/>
              </w:rPr>
              <w:t>8%</w:t>
            </w:r>
            <w:r w:rsidR="00D74E6C" w:rsidRPr="00415D84">
              <w:rPr>
                <w:rFonts w:eastAsia="Arial" w:cstheme="minorHAnsi"/>
                <w:sz w:val="22"/>
                <w:szCs w:val="18"/>
                <w:lang w:val="en-GB" w:bidi="en-GB"/>
              </w:rPr>
              <w:t xml:space="preserve">  </w:t>
            </w:r>
            <w:r w:rsidRPr="00415D84">
              <w:rPr>
                <w:rFonts w:eastAsia="Arial" w:cstheme="minorHAnsi"/>
                <w:sz w:val="22"/>
                <w:szCs w:val="18"/>
                <w:lang w:val="en-GB" w:bidi="en-GB"/>
              </w:rPr>
              <w:t>of the total gross particulate matter emissions</w:t>
            </w:r>
          </w:p>
        </w:tc>
        <w:tc>
          <w:tcPr>
            <w:tcW w:w="2835" w:type="dxa"/>
            <w:tcBorders>
              <w:top w:val="nil"/>
              <w:left w:val="nil"/>
              <w:bottom w:val="nil"/>
              <w:right w:val="nil"/>
            </w:tcBorders>
          </w:tcPr>
          <w:p w14:paraId="17D8E7EC" w14:textId="0F59818D" w:rsidR="0080029B" w:rsidRPr="00415D84" w:rsidRDefault="0080029B" w:rsidP="00770287">
            <w:pPr>
              <w:autoSpaceDE w:val="0"/>
              <w:autoSpaceDN w:val="0"/>
              <w:adjustRightInd w:val="0"/>
              <w:rPr>
                <w:rFonts w:cstheme="minorHAnsi"/>
                <w:sz w:val="22"/>
                <w:szCs w:val="18"/>
                <w:lang w:val="en-GB" w:eastAsia="cs-CZ"/>
              </w:rPr>
            </w:pPr>
            <w:r w:rsidRPr="00415D84">
              <w:rPr>
                <w:rFonts w:eastAsia="Arial" w:cstheme="minorHAnsi"/>
                <w:b/>
                <w:sz w:val="22"/>
                <w:szCs w:val="18"/>
                <w:lang w:val="en-GB" w:bidi="en-GB"/>
              </w:rPr>
              <w:t>27%</w:t>
            </w:r>
            <w:r w:rsidRPr="00415D84">
              <w:rPr>
                <w:rFonts w:eastAsia="Arial" w:cstheme="minorHAnsi"/>
                <w:sz w:val="22"/>
                <w:szCs w:val="18"/>
                <w:lang w:val="en-GB" w:bidi="en-GB"/>
              </w:rPr>
              <w:t xml:space="preserve"> </w:t>
            </w:r>
            <w:r w:rsidR="00D74E6C" w:rsidRPr="00415D84">
              <w:rPr>
                <w:rFonts w:eastAsia="Arial" w:cstheme="minorHAnsi"/>
                <w:sz w:val="22"/>
                <w:szCs w:val="18"/>
                <w:lang w:val="en-GB" w:bidi="en-GB"/>
              </w:rPr>
              <w:t xml:space="preserve"> </w:t>
            </w:r>
            <w:r w:rsidRPr="00415D84">
              <w:rPr>
                <w:rFonts w:eastAsia="Arial" w:cstheme="minorHAnsi"/>
                <w:sz w:val="22"/>
                <w:szCs w:val="18"/>
                <w:lang w:val="en-GB" w:bidi="en-GB"/>
              </w:rPr>
              <w:t>of the total NOx emissions</w:t>
            </w:r>
          </w:p>
        </w:tc>
        <w:tc>
          <w:tcPr>
            <w:tcW w:w="3283" w:type="dxa"/>
            <w:tcBorders>
              <w:top w:val="nil"/>
              <w:left w:val="nil"/>
              <w:bottom w:val="nil"/>
              <w:right w:val="nil"/>
            </w:tcBorders>
          </w:tcPr>
          <w:p w14:paraId="7745FDC8" w14:textId="445DB363" w:rsidR="0080029B" w:rsidRPr="00415D84" w:rsidRDefault="0080029B" w:rsidP="00770287">
            <w:pPr>
              <w:autoSpaceDE w:val="0"/>
              <w:autoSpaceDN w:val="0"/>
              <w:adjustRightInd w:val="0"/>
              <w:rPr>
                <w:rFonts w:cstheme="minorHAnsi"/>
                <w:sz w:val="22"/>
                <w:szCs w:val="18"/>
                <w:lang w:val="en-GB" w:eastAsia="cs-CZ"/>
              </w:rPr>
            </w:pPr>
            <w:r w:rsidRPr="00415D84">
              <w:rPr>
                <w:rFonts w:eastAsia="Arial" w:cstheme="minorHAnsi"/>
                <w:b/>
                <w:sz w:val="22"/>
                <w:szCs w:val="18"/>
                <w:lang w:val="en-GB" w:bidi="en-GB"/>
              </w:rPr>
              <w:t>74%</w:t>
            </w:r>
            <w:r w:rsidRPr="00415D84">
              <w:rPr>
                <w:rFonts w:eastAsia="Arial" w:cstheme="minorHAnsi"/>
                <w:sz w:val="22"/>
                <w:szCs w:val="18"/>
                <w:lang w:val="en-GB" w:bidi="en-GB"/>
              </w:rPr>
              <w:t xml:space="preserve"> </w:t>
            </w:r>
            <w:r w:rsidR="00D74E6C" w:rsidRPr="00415D84">
              <w:rPr>
                <w:rFonts w:eastAsia="Arial" w:cstheme="minorHAnsi"/>
                <w:sz w:val="22"/>
                <w:szCs w:val="18"/>
                <w:lang w:val="en-GB" w:bidi="en-GB"/>
              </w:rPr>
              <w:t xml:space="preserve"> </w:t>
            </w:r>
            <w:r w:rsidRPr="00415D84">
              <w:rPr>
                <w:rFonts w:eastAsia="Arial" w:cstheme="minorHAnsi"/>
                <w:sz w:val="22"/>
                <w:szCs w:val="18"/>
                <w:lang w:val="en-GB" w:bidi="en-GB"/>
              </w:rPr>
              <w:t>of the total fine particulate matter emissions</w:t>
            </w:r>
          </w:p>
        </w:tc>
      </w:tr>
      <w:tr w:rsidR="0080029B" w:rsidRPr="00D74E6C" w14:paraId="44C7A7FA" w14:textId="77777777" w:rsidTr="000E198A">
        <w:trPr>
          <w:trHeight w:val="707"/>
        </w:trPr>
        <w:tc>
          <w:tcPr>
            <w:tcW w:w="3022" w:type="dxa"/>
            <w:tcBorders>
              <w:top w:val="nil"/>
              <w:left w:val="nil"/>
              <w:bottom w:val="nil"/>
              <w:right w:val="nil"/>
            </w:tcBorders>
          </w:tcPr>
          <w:p w14:paraId="6D0C210C" w14:textId="77777777" w:rsidR="0080029B" w:rsidRPr="00415D84" w:rsidRDefault="0080029B" w:rsidP="00770287">
            <w:pPr>
              <w:autoSpaceDE w:val="0"/>
              <w:autoSpaceDN w:val="0"/>
              <w:adjustRightInd w:val="0"/>
              <w:rPr>
                <w:rFonts w:cstheme="minorHAnsi"/>
                <w:sz w:val="22"/>
                <w:szCs w:val="18"/>
                <w:lang w:val="en-GB"/>
              </w:rPr>
            </w:pPr>
          </w:p>
        </w:tc>
        <w:tc>
          <w:tcPr>
            <w:tcW w:w="2835" w:type="dxa"/>
            <w:tcBorders>
              <w:top w:val="nil"/>
              <w:left w:val="nil"/>
              <w:bottom w:val="nil"/>
              <w:right w:val="nil"/>
            </w:tcBorders>
          </w:tcPr>
          <w:p w14:paraId="055CCCCA" w14:textId="77777777" w:rsidR="0080029B" w:rsidRPr="00415D84" w:rsidRDefault="0080029B" w:rsidP="00770287">
            <w:pPr>
              <w:autoSpaceDE w:val="0"/>
              <w:autoSpaceDN w:val="0"/>
              <w:adjustRightInd w:val="0"/>
              <w:rPr>
                <w:rFonts w:cstheme="minorHAnsi"/>
                <w:sz w:val="22"/>
                <w:szCs w:val="18"/>
                <w:lang w:val="en-GB"/>
              </w:rPr>
            </w:pPr>
          </w:p>
        </w:tc>
        <w:tc>
          <w:tcPr>
            <w:tcW w:w="3283" w:type="dxa"/>
            <w:tcBorders>
              <w:top w:val="nil"/>
              <w:left w:val="nil"/>
              <w:bottom w:val="nil"/>
              <w:right w:val="nil"/>
            </w:tcBorders>
          </w:tcPr>
          <w:p w14:paraId="54290593" w14:textId="3B6F4FFB" w:rsidR="0080029B" w:rsidRPr="00415D84" w:rsidRDefault="0080029B" w:rsidP="00770287">
            <w:pPr>
              <w:autoSpaceDE w:val="0"/>
              <w:autoSpaceDN w:val="0"/>
              <w:adjustRightInd w:val="0"/>
              <w:rPr>
                <w:rFonts w:cstheme="minorHAnsi"/>
                <w:sz w:val="22"/>
                <w:szCs w:val="18"/>
                <w:lang w:val="en-GB" w:eastAsia="cs-CZ"/>
              </w:rPr>
            </w:pPr>
            <w:r w:rsidRPr="00415D84">
              <w:rPr>
                <w:rFonts w:eastAsia="Arial" w:cstheme="minorHAnsi"/>
                <w:b/>
                <w:sz w:val="22"/>
                <w:szCs w:val="18"/>
                <w:lang w:val="en-GB" w:bidi="en-GB"/>
              </w:rPr>
              <w:t>47%</w:t>
            </w:r>
            <w:r w:rsidRPr="00415D84">
              <w:rPr>
                <w:rFonts w:eastAsia="Arial" w:cstheme="minorHAnsi"/>
                <w:sz w:val="22"/>
                <w:szCs w:val="18"/>
                <w:lang w:val="en-GB" w:bidi="en-GB"/>
              </w:rPr>
              <w:t xml:space="preserve"> </w:t>
            </w:r>
            <w:r w:rsidR="00D74E6C" w:rsidRPr="00415D84">
              <w:rPr>
                <w:rFonts w:eastAsia="Arial" w:cstheme="minorHAnsi"/>
                <w:sz w:val="22"/>
                <w:szCs w:val="18"/>
                <w:lang w:val="en-GB" w:bidi="en-GB"/>
              </w:rPr>
              <w:t xml:space="preserve"> </w:t>
            </w:r>
            <w:r w:rsidRPr="00415D84">
              <w:rPr>
                <w:rFonts w:eastAsia="Arial" w:cstheme="minorHAnsi"/>
                <w:sz w:val="22"/>
                <w:szCs w:val="18"/>
                <w:lang w:val="en-GB" w:bidi="en-GB"/>
              </w:rPr>
              <w:t>of the total volatile organic compound emissions</w:t>
            </w:r>
          </w:p>
        </w:tc>
      </w:tr>
    </w:tbl>
    <w:p w14:paraId="3A83F7EA" w14:textId="77777777" w:rsidR="0080029B" w:rsidRPr="00415D84" w:rsidRDefault="0080029B" w:rsidP="00D74E6C">
      <w:pPr>
        <w:autoSpaceDE w:val="0"/>
        <w:autoSpaceDN w:val="0"/>
        <w:adjustRightInd w:val="0"/>
        <w:spacing w:before="120"/>
        <w:ind w:left="284"/>
        <w:rPr>
          <w:rFonts w:cstheme="minorHAnsi"/>
          <w:sz w:val="22"/>
          <w:szCs w:val="16"/>
          <w:lang w:val="en-GB" w:eastAsia="cs-CZ"/>
        </w:rPr>
      </w:pPr>
      <w:r w:rsidRPr="00415D84">
        <w:rPr>
          <w:rFonts w:eastAsia="Arial" w:cstheme="minorHAnsi"/>
          <w:sz w:val="22"/>
          <w:szCs w:val="16"/>
          <w:lang w:val="en-GB" w:bidi="en-GB"/>
        </w:rPr>
        <w:t>(Source: CHMI - conclusions from the emission data for 2005-2016.)</w:t>
      </w:r>
    </w:p>
    <w:p w14:paraId="73CA9A88" w14:textId="77777777" w:rsidR="0080029B" w:rsidRPr="00D74E6C" w:rsidRDefault="0080029B" w:rsidP="0080029B">
      <w:pPr>
        <w:autoSpaceDE w:val="0"/>
        <w:autoSpaceDN w:val="0"/>
        <w:adjustRightInd w:val="0"/>
        <w:rPr>
          <w:rFonts w:cstheme="minorHAnsi"/>
          <w:sz w:val="20"/>
          <w:lang w:val="en-GB" w:eastAsia="cs-CZ"/>
        </w:rPr>
      </w:pPr>
    </w:p>
    <w:p w14:paraId="66A77D78" w14:textId="77777777" w:rsidR="00D74E6C" w:rsidRDefault="00D74E6C" w:rsidP="0080029B">
      <w:pPr>
        <w:autoSpaceDE w:val="0"/>
        <w:autoSpaceDN w:val="0"/>
        <w:adjustRightInd w:val="0"/>
        <w:jc w:val="center"/>
        <w:rPr>
          <w:rFonts w:eastAsia="Arial" w:cstheme="minorHAnsi"/>
          <w:sz w:val="20"/>
          <w:szCs w:val="20"/>
          <w:lang w:val="en-GB" w:bidi="en-GB"/>
        </w:rPr>
      </w:pPr>
    </w:p>
    <w:p w14:paraId="3E973B08" w14:textId="6092316C" w:rsidR="0080029B" w:rsidRDefault="0080029B" w:rsidP="0080029B">
      <w:pPr>
        <w:autoSpaceDE w:val="0"/>
        <w:autoSpaceDN w:val="0"/>
        <w:adjustRightInd w:val="0"/>
        <w:jc w:val="center"/>
        <w:rPr>
          <w:rFonts w:eastAsia="Arial" w:cstheme="minorHAnsi"/>
          <w:color w:val="004595"/>
          <w:sz w:val="28"/>
          <w:szCs w:val="20"/>
          <w:lang w:val="en-GB" w:bidi="en-GB"/>
        </w:rPr>
      </w:pPr>
      <w:r w:rsidRPr="00D74E6C">
        <w:rPr>
          <w:rFonts w:eastAsia="Arial" w:cstheme="minorHAnsi"/>
          <w:b/>
          <w:color w:val="004595"/>
          <w:sz w:val="28"/>
          <w:szCs w:val="20"/>
          <w:lang w:val="en-GB" w:bidi="en-GB"/>
        </w:rPr>
        <w:t>ALLOCATION FROM THE EU FUNDS</w:t>
      </w:r>
      <w:r w:rsidRPr="00D74E6C">
        <w:rPr>
          <w:rFonts w:eastAsia="Arial" w:cstheme="minorHAnsi"/>
          <w:color w:val="004595"/>
          <w:sz w:val="28"/>
          <w:szCs w:val="20"/>
          <w:lang w:val="en-GB" w:bidi="en-GB"/>
        </w:rPr>
        <w:t xml:space="preserve"> </w:t>
      </w:r>
      <w:r w:rsidR="00D74E6C">
        <w:rPr>
          <w:rFonts w:eastAsia="Arial" w:cstheme="minorHAnsi"/>
          <w:color w:val="004595"/>
          <w:sz w:val="28"/>
          <w:szCs w:val="20"/>
          <w:lang w:val="en-GB" w:bidi="en-GB"/>
        </w:rPr>
        <w:br/>
      </w:r>
      <w:r w:rsidRPr="00D74E6C">
        <w:rPr>
          <w:rFonts w:eastAsia="Arial" w:cstheme="minorHAnsi"/>
          <w:color w:val="004595"/>
          <w:sz w:val="28"/>
          <w:szCs w:val="20"/>
          <w:lang w:val="en-GB" w:bidi="en-GB"/>
        </w:rPr>
        <w:t>FOR AIR QUALITY IMPROVEMENTS IN 2015-2017</w:t>
      </w:r>
    </w:p>
    <w:p w14:paraId="1BACBD99" w14:textId="0FA31086" w:rsidR="00726270" w:rsidRDefault="00726270" w:rsidP="0080029B">
      <w:pPr>
        <w:autoSpaceDE w:val="0"/>
        <w:autoSpaceDN w:val="0"/>
        <w:adjustRightInd w:val="0"/>
        <w:jc w:val="center"/>
        <w:rPr>
          <w:rFonts w:eastAsia="Arial" w:cstheme="minorHAnsi"/>
          <w:color w:val="004595"/>
          <w:sz w:val="28"/>
          <w:szCs w:val="20"/>
          <w:lang w:val="en-GB" w:bidi="en-GB"/>
        </w:rPr>
      </w:pPr>
      <w:r>
        <w:rPr>
          <w:rFonts w:eastAsia="Arial" w:cstheme="minorHAnsi"/>
          <w:noProof/>
          <w:color w:val="004595"/>
          <w:sz w:val="28"/>
          <w:szCs w:val="20"/>
          <w:lang w:val="cs-CZ" w:eastAsia="cs-CZ"/>
        </w:rPr>
        <mc:AlternateContent>
          <mc:Choice Requires="wps">
            <w:drawing>
              <wp:anchor distT="0" distB="0" distL="114300" distR="114300" simplePos="0" relativeHeight="251685888" behindDoc="0" locked="0" layoutInCell="1" allowOverlap="1" wp14:anchorId="17595137" wp14:editId="50B8ECAA">
                <wp:simplePos x="0" y="0"/>
                <wp:positionH relativeFrom="column">
                  <wp:posOffset>3051057</wp:posOffset>
                </wp:positionH>
                <wp:positionV relativeFrom="paragraph">
                  <wp:posOffset>163048</wp:posOffset>
                </wp:positionV>
                <wp:extent cx="1690577" cy="818707"/>
                <wp:effectExtent l="0" t="0" r="5080" b="635"/>
                <wp:wrapNone/>
                <wp:docPr id="2" name="Zaoblený obdélník 2"/>
                <wp:cNvGraphicFramePr/>
                <a:graphic xmlns:a="http://schemas.openxmlformats.org/drawingml/2006/main">
                  <a:graphicData uri="http://schemas.microsoft.com/office/word/2010/wordprocessingShape">
                    <wps:wsp>
                      <wps:cNvSpPr/>
                      <wps:spPr>
                        <a:xfrm>
                          <a:off x="0" y="0"/>
                          <a:ext cx="1690577" cy="818707"/>
                        </a:xfrm>
                        <a:prstGeom prst="roundRect">
                          <a:avLst/>
                        </a:prstGeom>
                        <a:solidFill>
                          <a:srgbClr val="0045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85DE32" w14:textId="77777777" w:rsidR="00726270" w:rsidRPr="00726270" w:rsidRDefault="00726270" w:rsidP="00726270">
                            <w:pPr>
                              <w:autoSpaceDE w:val="0"/>
                              <w:autoSpaceDN w:val="0"/>
                              <w:adjustRightInd w:val="0"/>
                              <w:jc w:val="center"/>
                              <w:rPr>
                                <w:rFonts w:cstheme="minorHAnsi"/>
                                <w:sz w:val="28"/>
                                <w:lang w:val="en-GB" w:eastAsia="cs-CZ"/>
                              </w:rPr>
                            </w:pPr>
                            <w:r w:rsidRPr="00726270">
                              <w:rPr>
                                <w:rFonts w:eastAsia="Arial" w:cstheme="minorHAnsi"/>
                                <w:sz w:val="28"/>
                                <w:szCs w:val="20"/>
                                <w:lang w:val="en-GB" w:bidi="en-GB"/>
                              </w:rPr>
                              <w:t xml:space="preserve">CZK </w:t>
                            </w:r>
                            <w:r w:rsidRPr="00415D84">
                              <w:rPr>
                                <w:rFonts w:eastAsia="Arial" w:cstheme="minorHAnsi"/>
                                <w:b/>
                                <w:sz w:val="40"/>
                                <w:szCs w:val="20"/>
                                <w:lang w:val="en-GB" w:bidi="en-GB"/>
                              </w:rPr>
                              <w:t>3</w:t>
                            </w:r>
                            <w:r w:rsidRPr="00726270">
                              <w:rPr>
                                <w:rFonts w:eastAsia="Arial" w:cstheme="minorHAnsi"/>
                                <w:b/>
                                <w:sz w:val="28"/>
                                <w:szCs w:val="20"/>
                                <w:lang w:val="en-GB" w:bidi="en-GB"/>
                              </w:rPr>
                              <w:t xml:space="preserve"> </w:t>
                            </w:r>
                            <w:r w:rsidRPr="00726270">
                              <w:rPr>
                                <w:rFonts w:eastAsia="Arial" w:cstheme="minorHAnsi"/>
                                <w:sz w:val="28"/>
                                <w:szCs w:val="20"/>
                                <w:lang w:val="en-GB" w:bidi="en-GB"/>
                              </w:rPr>
                              <w:t>billion</w:t>
                            </w:r>
                          </w:p>
                          <w:p w14:paraId="5D188683" w14:textId="062CA630" w:rsidR="00726270" w:rsidRPr="00726270" w:rsidRDefault="00726270" w:rsidP="00726270">
                            <w:pPr>
                              <w:jc w:val="center"/>
                              <w:rPr>
                                <w:sz w:val="48"/>
                              </w:rPr>
                            </w:pPr>
                            <w:r w:rsidRPr="00726270">
                              <w:rPr>
                                <w:rFonts w:eastAsia="Arial" w:cstheme="minorHAnsi"/>
                                <w:sz w:val="28"/>
                                <w:szCs w:val="20"/>
                                <w:lang w:val="en-GB" w:bidi="en-GB"/>
                              </w:rPr>
                              <w:t>FOR THE INDUSTRY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595137" id="Zaoblený obdélník 2" o:spid="_x0000_s1026" style="position:absolute;left:0;text-align:left;margin-left:240.25pt;margin-top:12.85pt;width:133.1pt;height:64.4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" fillcolor="#004595" stroked="f" strokeweight="1pt">
                <v:stroke joinstyle="miter"/>
                <v:textbox>
                  <w:txbxContent>
                    <w:p w14:paraId="2A85DE32" w14:textId="77777777" w:rsidR="00726270" w:rsidRPr="00726270" w:rsidRDefault="00726270" w:rsidP="00726270">
                      <w:pPr>
                        <w:autoSpaceDE w:val="0"/>
                        <w:autoSpaceDN w:val="0"/>
                        <w:adjustRightInd w:val="0"/>
                        <w:jc w:val="center"/>
                        <w:rPr>
                          <w:rFonts w:cstheme="minorHAnsi"/>
                          <w:sz w:val="28"/>
                          <w:lang w:val="en-GB" w:eastAsia="cs-CZ"/>
                        </w:rPr>
                      </w:pPr>
                      <w:r w:rsidRPr="00726270">
                        <w:rPr>
                          <w:rFonts w:eastAsia="Arial" w:cstheme="minorHAnsi"/>
                          <w:sz w:val="28"/>
                          <w:szCs w:val="20"/>
                          <w:lang w:val="en-GB" w:bidi="en-GB"/>
                        </w:rPr>
                        <w:t xml:space="preserve">CZK </w:t>
                      </w:r>
                      <w:r w:rsidRPr="00415D84">
                        <w:rPr>
                          <w:rFonts w:eastAsia="Arial" w:cstheme="minorHAnsi"/>
                          <w:b/>
                          <w:sz w:val="40"/>
                          <w:szCs w:val="20"/>
                          <w:lang w:val="en-GB" w:bidi="en-GB"/>
                        </w:rPr>
                        <w:t>3</w:t>
                      </w:r>
                      <w:r w:rsidRPr="00726270">
                        <w:rPr>
                          <w:rFonts w:eastAsia="Arial" w:cstheme="minorHAnsi"/>
                          <w:b/>
                          <w:sz w:val="28"/>
                          <w:szCs w:val="20"/>
                          <w:lang w:val="en-GB" w:bidi="en-GB"/>
                        </w:rPr>
                        <w:t xml:space="preserve"> </w:t>
                      </w:r>
                      <w:r w:rsidRPr="00726270">
                        <w:rPr>
                          <w:rFonts w:eastAsia="Arial" w:cstheme="minorHAnsi"/>
                          <w:sz w:val="28"/>
                          <w:szCs w:val="20"/>
                          <w:lang w:val="en-GB" w:bidi="en-GB"/>
                        </w:rPr>
                        <w:t>billion</w:t>
                      </w:r>
                    </w:p>
                    <w:p w14:paraId="5D188683" w14:textId="062CA630" w:rsidR="00726270" w:rsidRPr="00726270" w:rsidRDefault="00726270" w:rsidP="00726270">
                      <w:pPr>
                        <w:jc w:val="center"/>
                        <w:rPr>
                          <w:sz w:val="48"/>
                        </w:rPr>
                      </w:pPr>
                      <w:r w:rsidRPr="00726270">
                        <w:rPr>
                          <w:rFonts w:eastAsia="Arial" w:cstheme="minorHAnsi"/>
                          <w:sz w:val="28"/>
                          <w:szCs w:val="20"/>
                          <w:lang w:val="en-GB" w:bidi="en-GB"/>
                        </w:rPr>
                        <w:t>FOR THE INDUSTRY</w:t>
                      </w:r>
                    </w:p>
                  </w:txbxContent>
                </v:textbox>
              </v:roundrect>
            </w:pict>
          </mc:Fallback>
        </mc:AlternateContent>
      </w:r>
      <w:r>
        <w:rPr>
          <w:rFonts w:eastAsia="Arial" w:cstheme="minorHAnsi"/>
          <w:noProof/>
          <w:color w:val="004595"/>
          <w:sz w:val="28"/>
          <w:szCs w:val="20"/>
          <w:lang w:val="cs-CZ" w:eastAsia="cs-CZ"/>
        </w:rPr>
        <mc:AlternateContent>
          <mc:Choice Requires="wps">
            <w:drawing>
              <wp:anchor distT="0" distB="0" distL="114300" distR="114300" simplePos="0" relativeHeight="251681792" behindDoc="0" locked="0" layoutInCell="1" allowOverlap="1" wp14:anchorId="67187404" wp14:editId="615C10B8">
                <wp:simplePos x="0" y="0"/>
                <wp:positionH relativeFrom="column">
                  <wp:posOffset>1066682</wp:posOffset>
                </wp:positionH>
                <wp:positionV relativeFrom="paragraph">
                  <wp:posOffset>154955</wp:posOffset>
                </wp:positionV>
                <wp:extent cx="1690577" cy="818707"/>
                <wp:effectExtent l="0" t="0" r="5080" b="635"/>
                <wp:wrapNone/>
                <wp:docPr id="1" name="Zaoblený obdélník 1"/>
                <wp:cNvGraphicFramePr/>
                <a:graphic xmlns:a="http://schemas.openxmlformats.org/drawingml/2006/main">
                  <a:graphicData uri="http://schemas.microsoft.com/office/word/2010/wordprocessingShape">
                    <wps:wsp>
                      <wps:cNvSpPr/>
                      <wps:spPr>
                        <a:xfrm>
                          <a:off x="0" y="0"/>
                          <a:ext cx="1690577" cy="818707"/>
                        </a:xfrm>
                        <a:prstGeom prst="roundRect">
                          <a:avLst/>
                        </a:prstGeom>
                        <a:solidFill>
                          <a:srgbClr val="0045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82BB82" w14:textId="77777777" w:rsidR="00D74E6C" w:rsidRPr="00D74E6C" w:rsidRDefault="00D74E6C" w:rsidP="00D74E6C">
                            <w:pPr>
                              <w:autoSpaceDE w:val="0"/>
                              <w:autoSpaceDN w:val="0"/>
                              <w:adjustRightInd w:val="0"/>
                              <w:jc w:val="center"/>
                              <w:rPr>
                                <w:rFonts w:cstheme="minorHAnsi"/>
                                <w:sz w:val="28"/>
                                <w:lang w:val="en-GB" w:eastAsia="cs-CZ"/>
                              </w:rPr>
                            </w:pPr>
                            <w:r w:rsidRPr="00D74E6C">
                              <w:rPr>
                                <w:rFonts w:eastAsia="Arial" w:cstheme="minorHAnsi"/>
                                <w:sz w:val="28"/>
                                <w:szCs w:val="20"/>
                                <w:lang w:val="en-GB" w:bidi="en-GB"/>
                              </w:rPr>
                              <w:t xml:space="preserve">CZK </w:t>
                            </w:r>
                            <w:r w:rsidRPr="00415D84">
                              <w:rPr>
                                <w:rFonts w:eastAsia="Arial" w:cstheme="minorHAnsi"/>
                                <w:b/>
                                <w:sz w:val="40"/>
                                <w:szCs w:val="20"/>
                                <w:lang w:val="en-GB" w:bidi="en-GB"/>
                              </w:rPr>
                              <w:t xml:space="preserve">6.4 </w:t>
                            </w:r>
                            <w:r w:rsidRPr="00D74E6C">
                              <w:rPr>
                                <w:rFonts w:eastAsia="Arial" w:cstheme="minorHAnsi"/>
                                <w:sz w:val="28"/>
                                <w:szCs w:val="20"/>
                                <w:lang w:val="en-GB" w:bidi="en-GB"/>
                              </w:rPr>
                              <w:t>billion</w:t>
                            </w:r>
                          </w:p>
                          <w:p w14:paraId="2AC4E764" w14:textId="4C604497" w:rsidR="00D74E6C" w:rsidRPr="00D74E6C" w:rsidRDefault="00D74E6C" w:rsidP="00D74E6C">
                            <w:pPr>
                              <w:jc w:val="center"/>
                              <w:rPr>
                                <w:sz w:val="36"/>
                              </w:rPr>
                            </w:pPr>
                            <w:r w:rsidRPr="00D74E6C">
                              <w:rPr>
                                <w:rFonts w:eastAsia="Arial" w:cstheme="minorHAnsi"/>
                                <w:sz w:val="28"/>
                                <w:szCs w:val="20"/>
                                <w:lang w:val="en-GB" w:bidi="en-GB"/>
                              </w:rPr>
                              <w:t>FOR HOUSEHOLDS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187404" id="Zaoblený obdélník 1" o:spid="_x0000_s1027" style="position:absolute;left:0;text-align:left;margin-left:84pt;margin-top:12.2pt;width:133.1pt;height:64.4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" fillcolor="#004595" stroked="f" strokeweight="1pt">
                <v:stroke joinstyle="miter"/>
                <v:textbox>
                  <w:txbxContent>
                    <w:p w14:paraId="6282BB82" w14:textId="77777777" w:rsidR="00D74E6C" w:rsidRPr="00D74E6C" w:rsidRDefault="00D74E6C" w:rsidP="00D74E6C">
                      <w:pPr>
                        <w:autoSpaceDE w:val="0"/>
                        <w:autoSpaceDN w:val="0"/>
                        <w:adjustRightInd w:val="0"/>
                        <w:jc w:val="center"/>
                        <w:rPr>
                          <w:rFonts w:cstheme="minorHAnsi"/>
                          <w:sz w:val="28"/>
                          <w:lang w:val="en-GB" w:eastAsia="cs-CZ"/>
                        </w:rPr>
                      </w:pPr>
                      <w:r w:rsidRPr="00D74E6C">
                        <w:rPr>
                          <w:rFonts w:eastAsia="Arial" w:cstheme="minorHAnsi"/>
                          <w:sz w:val="28"/>
                          <w:szCs w:val="20"/>
                          <w:lang w:val="en-GB" w:bidi="en-GB"/>
                        </w:rPr>
                        <w:t xml:space="preserve">CZK </w:t>
                      </w:r>
                      <w:r w:rsidRPr="00415D84">
                        <w:rPr>
                          <w:rFonts w:eastAsia="Arial" w:cstheme="minorHAnsi"/>
                          <w:b/>
                          <w:sz w:val="40"/>
                          <w:szCs w:val="20"/>
                          <w:lang w:val="en-GB" w:bidi="en-GB"/>
                        </w:rPr>
                        <w:t xml:space="preserve">6.4 </w:t>
                      </w:r>
                      <w:r w:rsidRPr="00D74E6C">
                        <w:rPr>
                          <w:rFonts w:eastAsia="Arial" w:cstheme="minorHAnsi"/>
                          <w:sz w:val="28"/>
                          <w:szCs w:val="20"/>
                          <w:lang w:val="en-GB" w:bidi="en-GB"/>
                        </w:rPr>
                        <w:t>billion</w:t>
                      </w:r>
                    </w:p>
                    <w:p w14:paraId="2AC4E764" w14:textId="4C604497" w:rsidR="00D74E6C" w:rsidRPr="00D74E6C" w:rsidRDefault="00D74E6C" w:rsidP="00D74E6C">
                      <w:pPr>
                        <w:jc w:val="center"/>
                        <w:rPr>
                          <w:sz w:val="36"/>
                        </w:rPr>
                      </w:pPr>
                      <w:r w:rsidRPr="00D74E6C">
                        <w:rPr>
                          <w:rFonts w:eastAsia="Arial" w:cstheme="minorHAnsi"/>
                          <w:sz w:val="28"/>
                          <w:szCs w:val="20"/>
                          <w:lang w:val="en-GB" w:bidi="en-GB"/>
                        </w:rPr>
                        <w:t>FOR HOUSEHOLDS</w:t>
                      </w:r>
                    </w:p>
                  </w:txbxContent>
                </v:textbox>
              </v:roundrect>
            </w:pict>
          </mc:Fallback>
        </mc:AlternateContent>
      </w:r>
    </w:p>
    <w:p w14:paraId="0B60C4F6" w14:textId="1092C3CE" w:rsidR="00726270" w:rsidRDefault="00726270" w:rsidP="0080029B">
      <w:pPr>
        <w:autoSpaceDE w:val="0"/>
        <w:autoSpaceDN w:val="0"/>
        <w:adjustRightInd w:val="0"/>
        <w:jc w:val="center"/>
        <w:rPr>
          <w:rFonts w:eastAsia="Arial" w:cstheme="minorHAnsi"/>
          <w:color w:val="004595"/>
          <w:sz w:val="28"/>
          <w:szCs w:val="20"/>
          <w:lang w:val="en-GB" w:bidi="en-GB"/>
        </w:rPr>
      </w:pPr>
    </w:p>
    <w:p w14:paraId="54DD94EF" w14:textId="5D19AA41" w:rsidR="00D74E6C" w:rsidRDefault="00D74E6C" w:rsidP="0080029B">
      <w:pPr>
        <w:autoSpaceDE w:val="0"/>
        <w:autoSpaceDN w:val="0"/>
        <w:adjustRightInd w:val="0"/>
        <w:jc w:val="center"/>
        <w:rPr>
          <w:rFonts w:eastAsia="Arial" w:cstheme="minorHAnsi"/>
          <w:color w:val="004595"/>
          <w:sz w:val="28"/>
          <w:szCs w:val="20"/>
          <w:lang w:val="en-GB" w:bidi="en-GB"/>
        </w:rPr>
      </w:pPr>
    </w:p>
    <w:p w14:paraId="1DCFE00A" w14:textId="44DC040C" w:rsidR="00D74E6C" w:rsidRDefault="00D74E6C" w:rsidP="0080029B">
      <w:pPr>
        <w:autoSpaceDE w:val="0"/>
        <w:autoSpaceDN w:val="0"/>
        <w:adjustRightInd w:val="0"/>
        <w:jc w:val="center"/>
        <w:rPr>
          <w:rFonts w:eastAsia="Arial" w:cstheme="minorHAnsi"/>
          <w:color w:val="004595"/>
          <w:sz w:val="28"/>
          <w:szCs w:val="20"/>
          <w:lang w:val="en-GB" w:bidi="en-GB"/>
        </w:rPr>
      </w:pPr>
    </w:p>
    <w:p w14:paraId="2069AA0F" w14:textId="77777777" w:rsidR="00D74E6C" w:rsidRPr="00D74E6C" w:rsidRDefault="00D74E6C" w:rsidP="0080029B">
      <w:pPr>
        <w:autoSpaceDE w:val="0"/>
        <w:autoSpaceDN w:val="0"/>
        <w:adjustRightInd w:val="0"/>
        <w:jc w:val="center"/>
        <w:rPr>
          <w:rFonts w:cstheme="minorHAnsi"/>
          <w:color w:val="004595"/>
          <w:sz w:val="28"/>
          <w:lang w:val="en-GB" w:eastAsia="cs-CZ"/>
        </w:rPr>
      </w:pPr>
    </w:p>
    <w:p w14:paraId="4AC083D6" w14:textId="77777777" w:rsidR="0080029B" w:rsidRPr="00D74E6C" w:rsidRDefault="0080029B" w:rsidP="0080029B">
      <w:pPr>
        <w:autoSpaceDE w:val="0"/>
        <w:autoSpaceDN w:val="0"/>
        <w:adjustRightInd w:val="0"/>
        <w:jc w:val="center"/>
        <w:rPr>
          <w:rFonts w:cstheme="minorHAnsi"/>
          <w:sz w:val="20"/>
          <w:lang w:val="en-GB" w:eastAsia="cs-CZ"/>
        </w:rPr>
      </w:pPr>
    </w:p>
    <w:tbl>
      <w:tblPr>
        <w:tblW w:w="8597" w:type="dxa"/>
        <w:jc w:val="center"/>
        <w:tblLayout w:type="fixed"/>
        <w:tblCellMar>
          <w:left w:w="40" w:type="dxa"/>
          <w:right w:w="40" w:type="dxa"/>
        </w:tblCellMar>
        <w:tblLook w:val="0000" w:firstRow="0" w:lastRow="0" w:firstColumn="0" w:lastColumn="0" w:noHBand="0" w:noVBand="0"/>
      </w:tblPr>
      <w:tblGrid>
        <w:gridCol w:w="3946"/>
        <w:gridCol w:w="793"/>
        <w:gridCol w:w="3858"/>
      </w:tblGrid>
      <w:tr w:rsidR="0080029B" w:rsidRPr="00415D84" w14:paraId="33A97D80" w14:textId="77777777" w:rsidTr="00415D84">
        <w:trPr>
          <w:trHeight w:val="2225"/>
          <w:jc w:val="center"/>
        </w:trPr>
        <w:tc>
          <w:tcPr>
            <w:tcW w:w="3946" w:type="dxa"/>
            <w:tcBorders>
              <w:top w:val="nil"/>
              <w:left w:val="nil"/>
              <w:bottom w:val="nil"/>
              <w:right w:val="nil"/>
            </w:tcBorders>
          </w:tcPr>
          <w:p w14:paraId="0679B112" w14:textId="77777777" w:rsidR="0080029B" w:rsidRPr="00415D84" w:rsidRDefault="0080029B" w:rsidP="00770287">
            <w:pPr>
              <w:autoSpaceDE w:val="0"/>
              <w:autoSpaceDN w:val="0"/>
              <w:adjustRightInd w:val="0"/>
              <w:jc w:val="center"/>
              <w:rPr>
                <w:rFonts w:cstheme="minorHAnsi"/>
                <w:color w:val="004595"/>
                <w:lang w:val="en-GB" w:eastAsia="cs-CZ"/>
              </w:rPr>
            </w:pPr>
            <w:r w:rsidRPr="00415D84">
              <w:rPr>
                <w:rFonts w:eastAsia="Arial" w:cstheme="minorHAnsi"/>
                <w:color w:val="004595"/>
                <w:szCs w:val="20"/>
                <w:lang w:val="en-GB" w:bidi="en-GB"/>
              </w:rPr>
              <w:t>Minimum number of boiler replacements in the first two calls regarding “boiler subsidies”</w:t>
            </w:r>
          </w:p>
          <w:p w14:paraId="058AAE26" w14:textId="77777777" w:rsidR="0080029B" w:rsidRPr="00415D84" w:rsidRDefault="0080029B" w:rsidP="00770287">
            <w:pPr>
              <w:autoSpaceDE w:val="0"/>
              <w:autoSpaceDN w:val="0"/>
              <w:adjustRightInd w:val="0"/>
              <w:jc w:val="center"/>
              <w:rPr>
                <w:rFonts w:cstheme="minorHAnsi"/>
                <w:b/>
                <w:bCs/>
                <w:color w:val="004595"/>
                <w:lang w:val="en-GB" w:eastAsia="cs-CZ"/>
              </w:rPr>
            </w:pPr>
            <w:r w:rsidRPr="00415D84">
              <w:rPr>
                <w:rFonts w:eastAsia="Arial" w:cstheme="minorHAnsi"/>
                <w:b/>
                <w:color w:val="004595"/>
                <w:sz w:val="40"/>
                <w:szCs w:val="20"/>
                <w:lang w:val="en-GB" w:bidi="en-GB"/>
              </w:rPr>
              <w:t>57,225</w:t>
            </w:r>
          </w:p>
        </w:tc>
        <w:tc>
          <w:tcPr>
            <w:tcW w:w="793" w:type="dxa"/>
            <w:tcBorders>
              <w:top w:val="nil"/>
              <w:left w:val="nil"/>
              <w:bottom w:val="nil"/>
              <w:right w:val="nil"/>
            </w:tcBorders>
          </w:tcPr>
          <w:p w14:paraId="34479A88" w14:textId="77777777" w:rsidR="0080029B" w:rsidRPr="00415D84" w:rsidRDefault="0080029B" w:rsidP="00770287">
            <w:pPr>
              <w:autoSpaceDE w:val="0"/>
              <w:autoSpaceDN w:val="0"/>
              <w:adjustRightInd w:val="0"/>
              <w:jc w:val="center"/>
              <w:rPr>
                <w:rFonts w:cstheme="minorHAnsi"/>
                <w:b/>
                <w:bCs/>
                <w:color w:val="004595"/>
                <w:sz w:val="36"/>
                <w:szCs w:val="36"/>
                <w:lang w:val="en-GB" w:eastAsia="cs-CZ"/>
              </w:rPr>
            </w:pPr>
            <w:r w:rsidRPr="00415D84">
              <w:rPr>
                <w:rFonts w:eastAsia="Arial" w:cstheme="minorHAnsi"/>
                <w:b/>
                <w:color w:val="004595"/>
                <w:sz w:val="36"/>
                <w:szCs w:val="36"/>
                <w:lang w:val="en-GB" w:bidi="en-GB"/>
              </w:rPr>
              <w:t>=&gt;</w:t>
            </w:r>
          </w:p>
        </w:tc>
        <w:tc>
          <w:tcPr>
            <w:tcW w:w="3858" w:type="dxa"/>
            <w:tcBorders>
              <w:top w:val="nil"/>
              <w:left w:val="nil"/>
              <w:bottom w:val="nil"/>
              <w:right w:val="nil"/>
            </w:tcBorders>
          </w:tcPr>
          <w:p w14:paraId="3A002C1F" w14:textId="16515025" w:rsidR="0080029B" w:rsidRPr="00415D84" w:rsidRDefault="0080029B" w:rsidP="00770287">
            <w:pPr>
              <w:autoSpaceDE w:val="0"/>
              <w:autoSpaceDN w:val="0"/>
              <w:adjustRightInd w:val="0"/>
              <w:jc w:val="center"/>
              <w:rPr>
                <w:rFonts w:cstheme="minorHAnsi"/>
                <w:color w:val="004595"/>
                <w:lang w:val="en-GB" w:eastAsia="cs-CZ"/>
              </w:rPr>
            </w:pPr>
            <w:r w:rsidRPr="00415D84">
              <w:rPr>
                <w:rFonts w:eastAsia="Arial" w:cstheme="minorHAnsi"/>
                <w:b/>
                <w:color w:val="004595"/>
                <w:sz w:val="40"/>
                <w:szCs w:val="20"/>
                <w:lang w:val="en-GB" w:bidi="en-GB"/>
              </w:rPr>
              <w:t xml:space="preserve">10% </w:t>
            </w:r>
            <w:r w:rsidRPr="00415D84">
              <w:rPr>
                <w:rFonts w:eastAsia="Arial" w:cstheme="minorHAnsi"/>
                <w:b/>
                <w:color w:val="004595"/>
                <w:sz w:val="32"/>
                <w:szCs w:val="20"/>
                <w:lang w:val="en-GB" w:bidi="en-GB"/>
              </w:rPr>
              <w:t xml:space="preserve">non-compliant </w:t>
            </w:r>
            <w:r w:rsidR="00415D84">
              <w:rPr>
                <w:rFonts w:eastAsia="Arial" w:cstheme="minorHAnsi"/>
                <w:b/>
                <w:color w:val="004595"/>
                <w:sz w:val="44"/>
                <w:szCs w:val="20"/>
                <w:lang w:val="en-GB" w:bidi="en-GB"/>
              </w:rPr>
              <w:br/>
            </w:r>
            <w:r w:rsidRPr="00415D84">
              <w:rPr>
                <w:rFonts w:eastAsia="Arial" w:cstheme="minorHAnsi"/>
                <w:color w:val="004595"/>
                <w:szCs w:val="20"/>
                <w:lang w:val="en-GB" w:bidi="en-GB"/>
              </w:rPr>
              <w:t>boilers in emission classes 1 and 2</w:t>
            </w:r>
            <w:r w:rsidRPr="000E198A">
              <w:rPr>
                <w:rFonts w:eastAsia="Arial" w:cstheme="minorHAnsi"/>
                <w:b/>
                <w:color w:val="004595"/>
                <w:sz w:val="28"/>
                <w:szCs w:val="20"/>
                <w:lang w:val="en-GB" w:bidi="en-GB"/>
              </w:rPr>
              <w:t>!</w:t>
            </w:r>
          </w:p>
        </w:tc>
      </w:tr>
    </w:tbl>
    <w:p w14:paraId="09104F66" w14:textId="28FBA2CA" w:rsidR="0080029B" w:rsidRPr="00E128B3" w:rsidRDefault="0080029B">
      <w:pPr>
        <w:rPr>
          <w:rFonts w:cstheme="minorHAnsi"/>
          <w:lang w:val="en-GB"/>
        </w:rPr>
      </w:pPr>
      <w:r w:rsidRPr="00E128B3">
        <w:rPr>
          <w:lang w:val="en-GB" w:bidi="en-GB"/>
        </w:rPr>
        <w:br w:type="page"/>
      </w:r>
    </w:p>
    <w:p w14:paraId="51C2B8E5" w14:textId="77777777" w:rsidR="00395345" w:rsidRPr="00E128B3" w:rsidRDefault="0034463B" w:rsidP="00395345">
      <w:pPr>
        <w:pStyle w:val="Nadpis1"/>
        <w:numPr>
          <w:ilvl w:val="0"/>
          <w:numId w:val="0"/>
        </w:numPr>
        <w:ind w:left="432" w:hanging="432"/>
        <w:jc w:val="center"/>
        <w:rPr>
          <w:lang w:val="en-GB"/>
        </w:rPr>
      </w:pPr>
      <w:r w:rsidRPr="00E128B3">
        <w:rPr>
          <w:lang w:val="en-GB" w:bidi="en-GB"/>
        </w:rPr>
        <w:lastRenderedPageBreak/>
        <w:t>I. Summary and evaluation</w:t>
      </w:r>
    </w:p>
    <w:p w14:paraId="363C15EA" w14:textId="14FB4B15" w:rsidR="00466E6F" w:rsidRPr="00E128B3" w:rsidRDefault="00466E6F" w:rsidP="006E3B89">
      <w:pPr>
        <w:pStyle w:val="Text"/>
        <w:spacing w:after="120" w:line="264" w:lineRule="auto"/>
        <w:rPr>
          <w:lang w:val="en-GB"/>
        </w:rPr>
      </w:pPr>
      <w:r w:rsidRPr="00E128B3">
        <w:rPr>
          <w:lang w:val="en-GB" w:bidi="en-GB"/>
        </w:rPr>
        <w:t xml:space="preserve">The SAO performed an interim audit of the air quality improvement measures in the Czech Republic. The sources of funding of the measures include, without limitation, the Operational Programme </w:t>
      </w:r>
      <w:r w:rsidRPr="00E128B3">
        <w:rPr>
          <w:i/>
          <w:lang w:val="en-GB" w:bidi="en-GB"/>
        </w:rPr>
        <w:t xml:space="preserve">Environment </w:t>
      </w:r>
      <w:r w:rsidRPr="00E128B3">
        <w:rPr>
          <w:lang w:val="en-GB" w:bidi="en-GB"/>
        </w:rPr>
        <w:t>(“OPE”), priority axis</w:t>
      </w:r>
      <w:r w:rsidR="00770287">
        <w:rPr>
          <w:lang w:val="en-GB" w:bidi="en-GB"/>
        </w:rPr>
        <w:t xml:space="preserve"> </w:t>
      </w:r>
      <w:r w:rsidRPr="00E128B3">
        <w:rPr>
          <w:lang w:val="en-GB" w:bidi="en-GB"/>
        </w:rPr>
        <w:t xml:space="preserve">2: </w:t>
      </w:r>
      <w:r w:rsidRPr="00E128B3">
        <w:rPr>
          <w:i/>
          <w:lang w:val="en-GB" w:bidi="en-GB"/>
        </w:rPr>
        <w:t>Improving air quality in human settlements</w:t>
      </w:r>
      <w:r w:rsidRPr="00E128B3">
        <w:rPr>
          <w:lang w:val="en-GB" w:bidi="en-GB"/>
        </w:rPr>
        <w:t xml:space="preserve"> (“PA2”) and </w:t>
      </w:r>
      <w:r w:rsidR="00770287" w:rsidRPr="00E128B3">
        <w:rPr>
          <w:lang w:val="en-GB" w:bidi="en-GB"/>
        </w:rPr>
        <w:t>the</w:t>
      </w:r>
      <w:r w:rsidRPr="00E128B3">
        <w:rPr>
          <w:lang w:val="en-GB" w:bidi="en-GB"/>
        </w:rPr>
        <w:t xml:space="preserve"> </w:t>
      </w:r>
      <w:r w:rsidRPr="00E128B3">
        <w:rPr>
          <w:i/>
          <w:lang w:val="en-GB" w:bidi="en-GB"/>
        </w:rPr>
        <w:t xml:space="preserve">National Programme Environment </w:t>
      </w:r>
      <w:r w:rsidRPr="00E128B3">
        <w:rPr>
          <w:lang w:val="en-GB" w:bidi="en-GB"/>
        </w:rPr>
        <w:t>(“NPE”). The SAO verified whether the measures specified in the programming documents and the resources used under PA2 of the OPE and the NPE contributed to the improvement of air quality in the Czech Republic.</w:t>
      </w:r>
    </w:p>
    <w:p w14:paraId="3A217AFD" w14:textId="183C7779" w:rsidR="00466E6F" w:rsidRPr="00E128B3" w:rsidRDefault="00F03840" w:rsidP="006E3B89">
      <w:pPr>
        <w:pStyle w:val="Text"/>
        <w:spacing w:after="120" w:line="264" w:lineRule="auto"/>
        <w:rPr>
          <w:b/>
          <w:lang w:val="en-GB" w:eastAsia="cs-CZ"/>
        </w:rPr>
      </w:pPr>
      <w:r w:rsidRPr="00E128B3">
        <w:rPr>
          <w:b/>
          <w:lang w:val="en-GB" w:bidi="en-GB"/>
        </w:rPr>
        <w:t>The data for the period 2015 to 2017 indicates that air quality does not improve in the Czech Republic. For certain priority pollutants,</w:t>
      </w:r>
      <w:r w:rsidR="00466E6F" w:rsidRPr="00E128B3">
        <w:rPr>
          <w:rStyle w:val="Znakapoznpodarou"/>
          <w:b/>
          <w:lang w:val="en-GB" w:bidi="en-GB"/>
        </w:rPr>
        <w:footnoteReference w:id="2"/>
      </w:r>
      <w:r w:rsidRPr="00E128B3">
        <w:rPr>
          <w:b/>
          <w:lang w:val="en-GB" w:bidi="en-GB"/>
        </w:rPr>
        <w:t xml:space="preserve"> the air pollution limits</w:t>
      </w:r>
      <w:r w:rsidR="00466E6F" w:rsidRPr="00E128B3">
        <w:rPr>
          <w:rStyle w:val="Znakapoznpodarou"/>
          <w:lang w:val="en-GB" w:bidi="en-GB"/>
        </w:rPr>
        <w:footnoteReference w:id="3"/>
      </w:r>
      <w:r w:rsidRPr="00E128B3">
        <w:rPr>
          <w:b/>
          <w:lang w:val="en-GB" w:bidi="en-GB"/>
        </w:rPr>
        <w:t xml:space="preserve"> specified by the law</w:t>
      </w:r>
      <w:r w:rsidR="00466E6F" w:rsidRPr="00E128B3">
        <w:rPr>
          <w:rStyle w:val="Znakapoznpodarou"/>
          <w:b/>
          <w:lang w:val="en-GB" w:bidi="en-GB"/>
        </w:rPr>
        <w:footnoteReference w:id="4"/>
      </w:r>
      <w:r w:rsidRPr="00E128B3">
        <w:rPr>
          <w:b/>
          <w:lang w:val="en-GB" w:bidi="en-GB"/>
        </w:rPr>
        <w:t xml:space="preserve"> continue to be exceeded in the long term. On the basis of the evaluation of the fulfilment of the individual measures, the interim evaluations, and the development in the emissions,</w:t>
      </w:r>
      <w:r w:rsidR="00466E6F" w:rsidRPr="00E128B3">
        <w:rPr>
          <w:rStyle w:val="Znakapoznpodarou"/>
          <w:lang w:val="en-GB" w:bidi="en-GB"/>
        </w:rPr>
        <w:footnoteReference w:id="5"/>
      </w:r>
      <w:r w:rsidRPr="00E128B3">
        <w:rPr>
          <w:b/>
          <w:lang w:val="en-GB" w:bidi="en-GB"/>
        </w:rPr>
        <w:t xml:space="preserve"> the SAO has concluded that certain measures specified in the strategic documents aimed at promoting air quality were not fulfilled and, for certain other measures, the specified deadlines were not met. </w:t>
      </w:r>
    </w:p>
    <w:p w14:paraId="3178129A" w14:textId="308E3432" w:rsidR="002E2343" w:rsidRPr="00E128B3" w:rsidRDefault="00466E6F" w:rsidP="006E3B89">
      <w:pPr>
        <w:pStyle w:val="Text"/>
        <w:spacing w:after="120" w:line="264" w:lineRule="auto"/>
        <w:rPr>
          <w:b/>
          <w:lang w:val="en-GB" w:eastAsia="cs-CZ"/>
        </w:rPr>
      </w:pPr>
      <w:r w:rsidRPr="00E128B3">
        <w:rPr>
          <w:b/>
          <w:lang w:val="en-GB" w:bidi="en-GB"/>
        </w:rPr>
        <w:t xml:space="preserve">The system of funding under the OPE priority axis </w:t>
      </w:r>
      <w:r w:rsidRPr="00E128B3">
        <w:rPr>
          <w:b/>
          <w:i/>
          <w:lang w:val="en-GB" w:bidi="en-GB"/>
        </w:rPr>
        <w:t>Improving air quality in human settlements”</w:t>
      </w:r>
      <w:r w:rsidRPr="00E128B3">
        <w:rPr>
          <w:b/>
          <w:lang w:val="en-GB" w:bidi="en-GB"/>
        </w:rPr>
        <w:t xml:space="preserve"> is set up to primarily support the replacement of obsolete and inadequate local heating sources in households, which represent a major source of air pollution in the Czech Republic. The replacement of the obsolete boilers</w:t>
      </w:r>
      <w:r w:rsidRPr="00E128B3">
        <w:rPr>
          <w:rStyle w:val="Znakapoznpodarou"/>
          <w:b/>
          <w:lang w:val="en-GB" w:bidi="en-GB"/>
        </w:rPr>
        <w:footnoteReference w:id="6"/>
      </w:r>
      <w:r w:rsidRPr="00E128B3">
        <w:rPr>
          <w:b/>
          <w:lang w:val="en-GB" w:bidi="en-GB"/>
        </w:rPr>
        <w:t xml:space="preserve"> for low-emission sources leads to accelerating the decrease in emissions in this sector. The financial allocation under the first two calls covers the replacement of only 10% of the obsolete boilers. A significant improvement in the household heating sector can be expected only after 2022</w:t>
      </w:r>
      <w:r w:rsidRPr="00E128B3">
        <w:rPr>
          <w:b/>
          <w:vertAlign w:val="superscript"/>
          <w:lang w:val="en-GB" w:bidi="en-GB"/>
        </w:rPr>
        <w:t>5</w:t>
      </w:r>
      <w:r w:rsidRPr="00E128B3">
        <w:rPr>
          <w:b/>
          <w:lang w:val="en-GB" w:bidi="en-GB"/>
        </w:rPr>
        <w:t xml:space="preserve"> after the operation of the obsolete boilers is generally banned by law. However, the resulting effect will largely depend on the level of compliance with the ban and its enforceability.</w:t>
      </w:r>
    </w:p>
    <w:p w14:paraId="666E7DDA" w14:textId="5C66BCBC" w:rsidR="002E2343" w:rsidRPr="00E128B3" w:rsidRDefault="00781C81" w:rsidP="006E3B89">
      <w:pPr>
        <w:pStyle w:val="Text"/>
        <w:spacing w:after="120" w:line="264" w:lineRule="auto"/>
        <w:rPr>
          <w:b/>
          <w:lang w:val="en-GB" w:eastAsia="cs-CZ"/>
        </w:rPr>
      </w:pPr>
      <w:r w:rsidRPr="00E128B3">
        <w:rPr>
          <w:b/>
          <w:lang w:val="en-GB" w:bidi="en-GB"/>
        </w:rPr>
        <w:t>As regards the substantively completed projects aimed at reducing industrial emissions, the specified indicators have been met. The funds thus spent contribute to reducing the pollutant emissions into the air</w:t>
      </w:r>
      <w:r w:rsidR="00573CE1" w:rsidRPr="00E128B3">
        <w:rPr>
          <w:rStyle w:val="Znakapoznpodarou"/>
          <w:b/>
          <w:lang w:val="en-GB" w:bidi="en-GB"/>
        </w:rPr>
        <w:footnoteReference w:id="7"/>
      </w:r>
      <w:r w:rsidRPr="00E128B3">
        <w:rPr>
          <w:b/>
          <w:lang w:val="en-GB" w:bidi="en-GB"/>
        </w:rPr>
        <w:t>.</w:t>
      </w:r>
    </w:p>
    <w:p w14:paraId="37DF0138" w14:textId="6C63658A" w:rsidR="00466E6F" w:rsidRPr="00E128B3" w:rsidRDefault="00466E6F" w:rsidP="006E3B89">
      <w:pPr>
        <w:pStyle w:val="Text"/>
        <w:spacing w:after="120" w:line="264" w:lineRule="auto"/>
        <w:rPr>
          <w:b/>
          <w:lang w:val="en-GB" w:eastAsia="cs-CZ"/>
        </w:rPr>
      </w:pPr>
      <w:r w:rsidRPr="00E128B3">
        <w:rPr>
          <w:b/>
          <w:lang w:val="en-GB" w:bidi="en-GB"/>
        </w:rPr>
        <w:t>On the basis of the audit conducted, the SAO identified significant risks of the failure to meet the objective specified in the area of air quality even by 2020</w:t>
      </w:r>
      <w:r w:rsidR="002A7A29" w:rsidRPr="00E128B3">
        <w:rPr>
          <w:rStyle w:val="Znakapoznpodarou"/>
          <w:b/>
          <w:lang w:val="en-GB" w:bidi="en-GB"/>
        </w:rPr>
        <w:footnoteReference w:id="8"/>
      </w:r>
      <w:r w:rsidRPr="00E128B3">
        <w:rPr>
          <w:b/>
          <w:lang w:val="en-GB" w:bidi="en-GB"/>
        </w:rPr>
        <w:t>:</w:t>
      </w:r>
    </w:p>
    <w:p w14:paraId="013E7FD7" w14:textId="4A30ED44" w:rsidR="002A7A29" w:rsidRPr="00E128B3" w:rsidRDefault="00466E6F" w:rsidP="006E3B89">
      <w:pPr>
        <w:pStyle w:val="Text"/>
        <w:numPr>
          <w:ilvl w:val="0"/>
          <w:numId w:val="45"/>
        </w:numPr>
        <w:spacing w:after="120" w:line="264" w:lineRule="auto"/>
        <w:ind w:left="284" w:hanging="284"/>
        <w:rPr>
          <w:lang w:val="en-GB"/>
        </w:rPr>
      </w:pPr>
      <w:r w:rsidRPr="00E128B3">
        <w:rPr>
          <w:b/>
          <w:lang w:val="en-GB" w:bidi="en-GB"/>
        </w:rPr>
        <w:lastRenderedPageBreak/>
        <w:t xml:space="preserve">The strict national unexceedable emission limits of 2020 will be difficult to meet. </w:t>
      </w:r>
      <w:r w:rsidRPr="00E128B3">
        <w:rPr>
          <w:lang w:val="en-GB" w:bidi="en-GB"/>
        </w:rPr>
        <w:t xml:space="preserve">In the </w:t>
      </w:r>
      <w:r w:rsidRPr="00E128B3">
        <w:rPr>
          <w:i/>
          <w:lang w:val="en-GB" w:bidi="en-GB"/>
        </w:rPr>
        <w:t>National Emission Reduction Programme of the Czech Republic</w:t>
      </w:r>
      <w:r w:rsidRPr="00E128B3">
        <w:rPr>
          <w:lang w:val="en-GB" w:bidi="en-GB"/>
        </w:rPr>
        <w:t xml:space="preserve">, the Czech Republic set its own emission reduction objectives, the so-called </w:t>
      </w:r>
      <w:r w:rsidRPr="00E128B3">
        <w:rPr>
          <w:i/>
          <w:lang w:val="en-GB" w:bidi="en-GB"/>
        </w:rPr>
        <w:t>unexceedable national emission ceilings of 2020</w:t>
      </w:r>
      <w:r w:rsidRPr="00E128B3">
        <w:rPr>
          <w:lang w:val="en-GB" w:bidi="en-GB"/>
        </w:rPr>
        <w:t>. As regards the reduction of the emissions of fine particulate matter, there was a decrease by 12% from 2005 to 2016; in order to meet the national commitment, there would have to be a further decrease in the reduction of fine particulate matter by 42% between 2016 and 2020. However, the pace and level of reduction in the emissions of air pollutants is decelerating or fading in recent years.</w:t>
      </w:r>
    </w:p>
    <w:p w14:paraId="55BAFAF3" w14:textId="77777777" w:rsidR="00466E6F" w:rsidRPr="00E128B3" w:rsidRDefault="00466E6F" w:rsidP="006E3B89">
      <w:pPr>
        <w:pStyle w:val="Text"/>
        <w:numPr>
          <w:ilvl w:val="0"/>
          <w:numId w:val="45"/>
        </w:numPr>
        <w:spacing w:after="120" w:line="264" w:lineRule="auto"/>
        <w:ind w:left="284" w:hanging="284"/>
        <w:rPr>
          <w:b/>
          <w:lang w:val="en-GB" w:eastAsia="cs-CZ"/>
        </w:rPr>
      </w:pPr>
      <w:r w:rsidRPr="00E128B3">
        <w:rPr>
          <w:b/>
          <w:lang w:val="en-GB" w:bidi="en-GB"/>
        </w:rPr>
        <w:t xml:space="preserve">The measures set for air quality improvement are not performed sufficiently and in time: </w:t>
      </w:r>
    </w:p>
    <w:p w14:paraId="013A1DB0" w14:textId="1292C3D3" w:rsidR="00466E6F" w:rsidRPr="00E128B3" w:rsidRDefault="00466E6F" w:rsidP="006E3B89">
      <w:pPr>
        <w:pStyle w:val="Text"/>
        <w:numPr>
          <w:ilvl w:val="0"/>
          <w:numId w:val="44"/>
        </w:numPr>
        <w:spacing w:before="0" w:line="264" w:lineRule="auto"/>
        <w:ind w:left="568" w:hanging="284"/>
        <w:rPr>
          <w:lang w:val="en-GB" w:eastAsia="cs-CZ"/>
        </w:rPr>
      </w:pPr>
      <w:r w:rsidRPr="00E128B3">
        <w:rPr>
          <w:lang w:val="en-GB" w:bidi="en-GB"/>
        </w:rPr>
        <w:t xml:space="preserve">A total of 7 out of the 23 priority measures of the </w:t>
      </w:r>
      <w:r w:rsidRPr="00E128B3">
        <w:rPr>
          <w:i/>
          <w:lang w:val="en-GB" w:bidi="en-GB"/>
        </w:rPr>
        <w:t xml:space="preserve">National Emission Reduction Programme of the Czech Republic </w:t>
      </w:r>
      <w:r w:rsidRPr="00E128B3">
        <w:rPr>
          <w:lang w:val="en-GB" w:bidi="en-GB"/>
        </w:rPr>
        <w:t>(“NERP”) were not fulfilled before the required deadline or before the completion of this audit</w:t>
      </w:r>
      <w:r w:rsidRPr="00E128B3">
        <w:rPr>
          <w:rStyle w:val="Znakapoznpodarou"/>
          <w:lang w:val="en-GB" w:bidi="en-GB"/>
        </w:rPr>
        <w:footnoteReference w:id="9"/>
      </w:r>
      <w:r w:rsidRPr="00E128B3">
        <w:rPr>
          <w:lang w:val="en-GB" w:bidi="en-GB"/>
        </w:rPr>
        <w:t xml:space="preserve">. </w:t>
      </w:r>
    </w:p>
    <w:p w14:paraId="2D91ACF9" w14:textId="77777777" w:rsidR="00466E6F" w:rsidRPr="00E128B3" w:rsidRDefault="00466E6F" w:rsidP="006E3B89">
      <w:pPr>
        <w:pStyle w:val="Text"/>
        <w:numPr>
          <w:ilvl w:val="0"/>
          <w:numId w:val="44"/>
        </w:numPr>
        <w:spacing w:before="0" w:line="264" w:lineRule="auto"/>
        <w:ind w:left="568" w:hanging="284"/>
        <w:rPr>
          <w:lang w:val="en-GB" w:eastAsia="cs-CZ"/>
        </w:rPr>
      </w:pPr>
      <w:r w:rsidRPr="00E128B3">
        <w:rPr>
          <w:lang w:val="en-GB" w:bidi="en-GB"/>
        </w:rPr>
        <w:t>Another 6 of the 23 priority measures of the NERP are fulfilled on a continuous basis but there are significant risks of the failure to implement these measures in time and to the required extent</w:t>
      </w:r>
      <w:r w:rsidRPr="00E128B3">
        <w:rPr>
          <w:rStyle w:val="Znakapoznpodarou"/>
          <w:lang w:val="en-GB" w:bidi="en-GB"/>
        </w:rPr>
        <w:footnoteReference w:id="10"/>
      </w:r>
      <w:r w:rsidRPr="00E128B3">
        <w:rPr>
          <w:lang w:val="en-GB" w:bidi="en-GB"/>
        </w:rPr>
        <w:t xml:space="preserve">. </w:t>
      </w:r>
    </w:p>
    <w:p w14:paraId="48A5A399" w14:textId="7A27ED0E" w:rsidR="00466E6F" w:rsidRPr="00E128B3" w:rsidRDefault="00466E6F" w:rsidP="006E3B89">
      <w:pPr>
        <w:pStyle w:val="Text"/>
        <w:numPr>
          <w:ilvl w:val="0"/>
          <w:numId w:val="44"/>
        </w:numPr>
        <w:spacing w:before="0" w:line="264" w:lineRule="auto"/>
        <w:ind w:left="568" w:hanging="284"/>
        <w:rPr>
          <w:lang w:val="en-GB" w:eastAsia="cs-CZ"/>
        </w:rPr>
      </w:pPr>
      <w:r w:rsidRPr="00E128B3">
        <w:rPr>
          <w:lang w:val="en-GB" w:bidi="en-GB"/>
        </w:rPr>
        <w:t>According to the interim evaluation</w:t>
      </w:r>
      <w:r w:rsidR="00D6284E" w:rsidRPr="00E128B3">
        <w:rPr>
          <w:rStyle w:val="Znakapoznpodarou"/>
          <w:lang w:val="en-GB" w:bidi="en-GB"/>
        </w:rPr>
        <w:footnoteReference w:id="11"/>
      </w:r>
      <w:r w:rsidRPr="00E128B3">
        <w:rPr>
          <w:lang w:val="en-GB" w:bidi="en-GB"/>
        </w:rPr>
        <w:t xml:space="preserve"> of the fulfilment of the programme measures to improve air quality, it is particularly the measures in the sector of transport that are not being fulfilled adequately. Their implementation is still only very limited, mainly as regards the transport infrastructure.</w:t>
      </w:r>
    </w:p>
    <w:p w14:paraId="15821371" w14:textId="6D8C9425" w:rsidR="00466E6F" w:rsidRPr="00E128B3" w:rsidRDefault="00466E6F" w:rsidP="006E3B89">
      <w:pPr>
        <w:pStyle w:val="Text"/>
        <w:numPr>
          <w:ilvl w:val="0"/>
          <w:numId w:val="44"/>
        </w:numPr>
        <w:spacing w:before="0" w:line="264" w:lineRule="auto"/>
        <w:ind w:left="568" w:hanging="284"/>
        <w:rPr>
          <w:lang w:val="en-GB" w:eastAsia="cs-CZ"/>
        </w:rPr>
      </w:pPr>
      <w:r w:rsidRPr="00E128B3">
        <w:rPr>
          <w:lang w:val="en-GB" w:bidi="en-GB"/>
        </w:rPr>
        <w:t>The MoE cannot evaluate the fulfilment of the measures under the AQIPs sufficiently and conclusively as it has no effective system in place for the timely collection of data and information.</w:t>
      </w:r>
      <w:r w:rsidR="00E128B3" w:rsidRPr="00E128B3">
        <w:rPr>
          <w:lang w:val="en-GB" w:bidi="en-GB"/>
        </w:rPr>
        <w:t xml:space="preserve"> </w:t>
      </w:r>
    </w:p>
    <w:p w14:paraId="3A309298" w14:textId="77777777" w:rsidR="00110E8E" w:rsidRPr="00E128B3" w:rsidRDefault="00466E6F" w:rsidP="00A36661">
      <w:pPr>
        <w:pStyle w:val="Text"/>
        <w:numPr>
          <w:ilvl w:val="0"/>
          <w:numId w:val="45"/>
        </w:numPr>
        <w:spacing w:after="120" w:line="264" w:lineRule="auto"/>
        <w:ind w:left="284" w:hanging="284"/>
        <w:rPr>
          <w:lang w:val="en-GB" w:eastAsia="cs-CZ"/>
        </w:rPr>
      </w:pPr>
      <w:r w:rsidRPr="00E128B3">
        <w:rPr>
          <w:b/>
          <w:lang w:val="en-GB" w:bidi="en-GB"/>
        </w:rPr>
        <w:t>The AQIP deficiencies found by the courts will not be rectified before 2020</w:t>
      </w:r>
      <w:r w:rsidR="002E2343" w:rsidRPr="00E128B3">
        <w:rPr>
          <w:rStyle w:val="Znakapoznpodarou"/>
          <w:b/>
          <w:lang w:val="en-GB" w:bidi="en-GB"/>
        </w:rPr>
        <w:footnoteReference w:id="12"/>
      </w:r>
      <w:r w:rsidRPr="00E128B3">
        <w:rPr>
          <w:b/>
          <w:lang w:val="en-GB" w:bidi="en-GB"/>
        </w:rPr>
        <w:t xml:space="preserve"> </w:t>
      </w:r>
      <w:r w:rsidRPr="00E128B3">
        <w:rPr>
          <w:lang w:val="en-GB" w:bidi="en-GB"/>
        </w:rPr>
        <w:t xml:space="preserve">because the MoE plans to issue new and updated AQIPs during 2019. Within 12 months of issue, the municipalities and regions will be required to prepare their schedules for the </w:t>
      </w:r>
      <w:r w:rsidRPr="00E128B3">
        <w:rPr>
          <w:lang w:val="en-GB" w:bidi="en-GB"/>
        </w:rPr>
        <w:lastRenderedPageBreak/>
        <w:t>implementation of the measures. The first detailed AQIP implementation schedules will thus have no impact on the fulfilment of the strategic milestone of 2020.</w:t>
      </w:r>
    </w:p>
    <w:p w14:paraId="7474A210" w14:textId="77777777" w:rsidR="00466E6F" w:rsidRPr="00E128B3" w:rsidRDefault="00466E6F" w:rsidP="00A36661">
      <w:pPr>
        <w:pStyle w:val="Text"/>
        <w:numPr>
          <w:ilvl w:val="0"/>
          <w:numId w:val="45"/>
        </w:numPr>
        <w:spacing w:after="120" w:line="264" w:lineRule="auto"/>
        <w:ind w:left="284" w:hanging="284"/>
        <w:rPr>
          <w:lang w:val="en-GB" w:eastAsia="cs-CZ"/>
        </w:rPr>
      </w:pPr>
      <w:r w:rsidRPr="00E128B3">
        <w:rPr>
          <w:b/>
          <w:lang w:val="en-GB" w:bidi="en-GB"/>
        </w:rPr>
        <w:t>There is a risk of the Czech Republic failing to meet the goal of reducing exposure for fine particulate matter</w:t>
      </w:r>
      <w:r w:rsidRPr="00E128B3">
        <w:rPr>
          <w:rStyle w:val="Znakapoznpodarou"/>
          <w:b/>
          <w:lang w:val="en-GB" w:bidi="en-GB"/>
        </w:rPr>
        <w:footnoteReference w:id="13"/>
      </w:r>
      <w:r w:rsidRPr="00E128B3">
        <w:rPr>
          <w:b/>
          <w:lang w:val="en-GB" w:bidi="en-GB"/>
        </w:rPr>
        <w:t xml:space="preserve">. </w:t>
      </w:r>
      <w:r w:rsidRPr="00E128B3">
        <w:rPr>
          <w:lang w:val="en-GB" w:bidi="en-GB"/>
        </w:rPr>
        <w:t>The wording of the EU directive is not clear as to what urban background stations</w:t>
      </w:r>
      <w:r w:rsidR="00D6284E" w:rsidRPr="00E128B3">
        <w:rPr>
          <w:rStyle w:val="Znakapoznpodarou"/>
          <w:lang w:val="en-GB" w:bidi="en-GB"/>
        </w:rPr>
        <w:footnoteReference w:id="14"/>
      </w:r>
      <w:r w:rsidRPr="00E128B3">
        <w:rPr>
          <w:lang w:val="en-GB" w:bidi="en-GB"/>
        </w:rPr>
        <w:t xml:space="preserve"> the data evaluated should come from. The selected methodology affects the resulting value of the indicator for the Czech Republic in the individual years, including the target year 2015.</w:t>
      </w:r>
    </w:p>
    <w:p w14:paraId="397A3FA4" w14:textId="785AA065" w:rsidR="00466E6F" w:rsidRPr="00E128B3" w:rsidRDefault="00466E6F" w:rsidP="006E3B89">
      <w:pPr>
        <w:pStyle w:val="Text"/>
        <w:numPr>
          <w:ilvl w:val="0"/>
          <w:numId w:val="45"/>
        </w:numPr>
        <w:spacing w:after="120" w:line="264" w:lineRule="auto"/>
        <w:ind w:left="284" w:hanging="284"/>
        <w:rPr>
          <w:lang w:val="en-GB" w:eastAsia="cs-CZ"/>
        </w:rPr>
      </w:pPr>
      <w:r w:rsidRPr="00E128B3">
        <w:rPr>
          <w:b/>
          <w:lang w:val="en-GB" w:bidi="en-GB"/>
        </w:rPr>
        <w:t>The CHMI does not have a current policy for the state network for air pollution monitoring.</w:t>
      </w:r>
      <w:r w:rsidRPr="00E128B3">
        <w:rPr>
          <w:lang w:val="en-GB" w:bidi="en-GB"/>
        </w:rPr>
        <w:t xml:space="preserve"> While the state network for pollution monitoring does meet the requirements for the number of measuring stations in accordance with the European and national legislation, the non-systematic approach to the development of the state network for pollution monitoring brings about the risk of failure to meet the specific programme indicator of the OPE 2014–2020, i.e. reducing the “level of uncertainty of spatial interpretation of pollution data” from 35% in 2011 to 30% in 2023.</w:t>
      </w:r>
    </w:p>
    <w:p w14:paraId="21E84BEC" w14:textId="593037F5" w:rsidR="00466E6F" w:rsidRPr="00E128B3" w:rsidRDefault="00466E6F" w:rsidP="006E3B89">
      <w:pPr>
        <w:pStyle w:val="Text"/>
        <w:numPr>
          <w:ilvl w:val="0"/>
          <w:numId w:val="45"/>
        </w:numPr>
        <w:spacing w:after="120" w:line="264" w:lineRule="auto"/>
        <w:ind w:left="284" w:hanging="284"/>
        <w:rPr>
          <w:lang w:val="en-GB" w:eastAsia="cs-CZ"/>
        </w:rPr>
      </w:pPr>
      <w:r w:rsidRPr="00E128B3">
        <w:rPr>
          <w:b/>
          <w:lang w:val="en-GB" w:bidi="en-GB"/>
        </w:rPr>
        <w:t xml:space="preserve">The SEF does not monitor and evaluate the economy, efficiency and effectiveness of the funds used from the NPE for supporting air quality improvements. </w:t>
      </w:r>
      <w:r w:rsidRPr="00E128B3">
        <w:rPr>
          <w:lang w:val="en-GB" w:bidi="en-GB"/>
        </w:rPr>
        <w:t>The SEF has not even set any quantifiable and measurable objectives in its fundamental objectives as the basic prerequisites for the evaluation of the projects implemented and of the programme as such. The SEF thus does not evaluate the actual benefits, impacts and results of the individual priority areas or of the individual calls regarding air quality improvement in the Czech Republic. Deficiencies related to public procurement have been found by audits of the selected projects funded from the NPE.</w:t>
      </w:r>
    </w:p>
    <w:p w14:paraId="67B5724D" w14:textId="29DF99EE" w:rsidR="0087199C" w:rsidRPr="00E128B3" w:rsidRDefault="0087199C" w:rsidP="006E3B89">
      <w:pPr>
        <w:pStyle w:val="Text"/>
        <w:numPr>
          <w:ilvl w:val="0"/>
          <w:numId w:val="45"/>
        </w:numPr>
        <w:spacing w:after="120" w:line="264" w:lineRule="auto"/>
        <w:ind w:left="284" w:hanging="284"/>
        <w:rPr>
          <w:b/>
          <w:lang w:val="en-GB" w:eastAsia="cs-CZ"/>
        </w:rPr>
      </w:pPr>
      <w:r w:rsidRPr="00E128B3">
        <w:rPr>
          <w:b/>
          <w:lang w:val="en-GB" w:bidi="en-GB"/>
        </w:rPr>
        <w:t>Between 2014 and 2016, no Czech Entity submitted a project application for assistance under the LIFE Programme, which is coordinated by the European Commission, with a focus on air quality and emissions.</w:t>
      </w:r>
    </w:p>
    <w:p w14:paraId="36EEDE72" w14:textId="3F477C86" w:rsidR="006E3B89" w:rsidRPr="00E128B3" w:rsidRDefault="00BB7916" w:rsidP="006E3B89">
      <w:pPr>
        <w:jc w:val="both"/>
        <w:rPr>
          <w:lang w:val="en-GB"/>
        </w:rPr>
      </w:pPr>
      <w:r w:rsidRPr="00E128B3">
        <w:rPr>
          <w:b/>
          <w:lang w:val="en-GB" w:bidi="en-GB"/>
        </w:rPr>
        <w:t>With regard to the significant impact of cross-border transmission on the level of air pollution between the Czech Republic and Poland,</w:t>
      </w:r>
      <w:r w:rsidRPr="00E128B3">
        <w:rPr>
          <w:rStyle w:val="Znakapoznpodarou"/>
          <w:b/>
          <w:lang w:val="en-GB" w:bidi="en-GB"/>
        </w:rPr>
        <w:footnoteReference w:id="15"/>
      </w:r>
      <w:r w:rsidRPr="00E128B3">
        <w:rPr>
          <w:b/>
          <w:lang w:val="en-GB" w:bidi="en-GB"/>
        </w:rPr>
        <w:t xml:space="preserve"> the MoE should hold transboundary consultations with Poland in the preparation of the national air pollution control programme.</w:t>
      </w:r>
      <w:r w:rsidRPr="00E128B3">
        <w:rPr>
          <w:rStyle w:val="Znakapoznpodarou"/>
          <w:b/>
          <w:lang w:val="en-GB" w:bidi="en-GB"/>
        </w:rPr>
        <w:footnoteReference w:id="16"/>
      </w:r>
    </w:p>
    <w:p w14:paraId="04D89987" w14:textId="77777777" w:rsidR="00BB7916" w:rsidRPr="00E128B3" w:rsidRDefault="00BB7916" w:rsidP="006E3B89">
      <w:pPr>
        <w:spacing w:before="120" w:after="120" w:line="264" w:lineRule="auto"/>
        <w:jc w:val="both"/>
        <w:rPr>
          <w:lang w:val="en-GB"/>
        </w:rPr>
      </w:pPr>
    </w:p>
    <w:p w14:paraId="048688EB" w14:textId="77777777" w:rsidR="00395345" w:rsidRPr="00E128B3" w:rsidRDefault="00395345" w:rsidP="006E3B89">
      <w:pPr>
        <w:pStyle w:val="Nadpis1"/>
        <w:numPr>
          <w:ilvl w:val="0"/>
          <w:numId w:val="0"/>
        </w:numPr>
        <w:spacing w:before="120" w:after="120" w:line="264" w:lineRule="auto"/>
        <w:ind w:left="432"/>
        <w:jc w:val="center"/>
        <w:rPr>
          <w:lang w:val="en-GB"/>
        </w:rPr>
      </w:pPr>
      <w:r w:rsidRPr="00E128B3">
        <w:rPr>
          <w:lang w:val="en-GB" w:bidi="en-GB"/>
        </w:rPr>
        <w:lastRenderedPageBreak/>
        <w:t>II. Information on the audited area</w:t>
      </w:r>
    </w:p>
    <w:p w14:paraId="383F4DAD" w14:textId="7FA242CC" w:rsidR="00395345" w:rsidRPr="00E128B3" w:rsidRDefault="00395345" w:rsidP="006E3B89">
      <w:pPr>
        <w:pStyle w:val="Text"/>
        <w:spacing w:after="120" w:line="264" w:lineRule="auto"/>
        <w:rPr>
          <w:lang w:val="en-GB"/>
        </w:rPr>
      </w:pPr>
      <w:r w:rsidRPr="00E128B3">
        <w:rPr>
          <w:lang w:val="en-GB" w:bidi="en-GB"/>
        </w:rPr>
        <w:t>At the national level, air quality is governed by the Air Protection Act</w:t>
      </w:r>
      <w:r w:rsidRPr="00E128B3">
        <w:rPr>
          <w:vertAlign w:val="superscript"/>
          <w:lang w:val="en-GB" w:bidi="en-GB"/>
        </w:rPr>
        <w:t>2</w:t>
      </w:r>
      <w:r w:rsidRPr="00E128B3">
        <w:rPr>
          <w:lang w:val="en-GB" w:bidi="en-GB"/>
        </w:rPr>
        <w:t xml:space="preserve"> and its implementing regulations. The Act specifies, among others, the permissible air pollution levels and limits, the air pollution assessment and evaluation methods, air pollution control tools, the rights and obligations of persons, and the competences of public authorities in the area of air protection. The Act lists the authorities responsible for public administration in the area of air protection. They are the Ministry of the Environment, the Czech Environmental Inspectorate, the regional authorities, municipal authorities of municipalities with extended competences, municipal authorities, customs authorities, the Czech Trade Inspection Authority, the Ministry of Agriculture, and the Ministry of Health.</w:t>
      </w:r>
    </w:p>
    <w:p w14:paraId="6F93C96D" w14:textId="2E23888E" w:rsidR="00395345" w:rsidRPr="00E128B3" w:rsidRDefault="00395345" w:rsidP="006E3B89">
      <w:pPr>
        <w:pStyle w:val="Text"/>
        <w:spacing w:after="120" w:line="264" w:lineRule="auto"/>
        <w:rPr>
          <w:rFonts w:eastAsia="Calibri"/>
          <w:lang w:val="en-GB"/>
        </w:rPr>
      </w:pPr>
      <w:r w:rsidRPr="00E128B3">
        <w:rPr>
          <w:lang w:val="en-GB" w:bidi="en-GB"/>
        </w:rPr>
        <w:t xml:space="preserve">The umbrella strategic document in the environmental protection is the </w:t>
      </w:r>
      <w:r w:rsidRPr="00E128B3">
        <w:rPr>
          <w:i/>
          <w:lang w:val="en-GB" w:bidi="en-GB"/>
        </w:rPr>
        <w:t>State Environmental Policy of the Czech Republic 2012–2020</w:t>
      </w:r>
      <w:r w:rsidRPr="00E128B3">
        <w:rPr>
          <w:lang w:val="en-GB" w:bidi="en-GB"/>
        </w:rPr>
        <w:t xml:space="preserve"> (“SEP”). The SEP was approved by Government Resolution No. 6 of 9 January 2013</w:t>
      </w:r>
      <w:r w:rsidRPr="00E128B3">
        <w:rPr>
          <w:rFonts w:eastAsia="Calibri"/>
          <w:lang w:val="en-GB" w:bidi="en-GB"/>
        </w:rPr>
        <w:t xml:space="preserve"> and its updated version was approved by Government Resolution No. 1026 of</w:t>
      </w:r>
      <w:r w:rsidRPr="00E128B3">
        <w:rPr>
          <w:lang w:val="en-GB" w:bidi="en-GB"/>
        </w:rPr>
        <w:t xml:space="preserve"> 23 November 2016. </w:t>
      </w:r>
      <w:r w:rsidRPr="00E128B3">
        <w:rPr>
          <w:rFonts w:eastAsia="Calibri"/>
          <w:lang w:val="en-GB" w:bidi="en-GB"/>
        </w:rPr>
        <w:t xml:space="preserve">In the area of air quality improvement, the SEP sets the strategic objective of reducing the level of air pollution, which is further broken down into three specific objectives: </w:t>
      </w:r>
    </w:p>
    <w:p w14:paraId="13A343CD" w14:textId="243A84B5" w:rsidR="00395345" w:rsidRPr="00E128B3" w:rsidRDefault="00145E4E" w:rsidP="006E3B89">
      <w:pPr>
        <w:pStyle w:val="Text"/>
        <w:numPr>
          <w:ilvl w:val="0"/>
          <w:numId w:val="18"/>
        </w:numPr>
        <w:spacing w:before="0" w:line="264" w:lineRule="auto"/>
        <w:ind w:left="284" w:hanging="284"/>
        <w:rPr>
          <w:rFonts w:eastAsia="Calibri"/>
          <w:lang w:val="en-GB"/>
        </w:rPr>
      </w:pPr>
      <w:r w:rsidRPr="00E128B3">
        <w:rPr>
          <w:rFonts w:eastAsia="Calibri"/>
          <w:lang w:val="en-GB" w:bidi="en-GB"/>
        </w:rPr>
        <w:t>improving air quality in areas where air pollution limits are exceeded;</w:t>
      </w:r>
    </w:p>
    <w:p w14:paraId="796CC3D8" w14:textId="7401D46A" w:rsidR="00395345" w:rsidRPr="00E128B3" w:rsidRDefault="00145E4E" w:rsidP="006E3B89">
      <w:pPr>
        <w:pStyle w:val="Text"/>
        <w:numPr>
          <w:ilvl w:val="0"/>
          <w:numId w:val="18"/>
        </w:numPr>
        <w:spacing w:before="0" w:line="264" w:lineRule="auto"/>
        <w:ind w:left="284" w:hanging="284"/>
        <w:rPr>
          <w:rFonts w:eastAsia="Calibri"/>
          <w:lang w:val="en-GB"/>
        </w:rPr>
      </w:pPr>
      <w:r w:rsidRPr="00E128B3">
        <w:rPr>
          <w:rFonts w:eastAsia="Calibri"/>
          <w:lang w:val="en-GB" w:bidi="en-GB"/>
        </w:rPr>
        <w:t>implementing the national emission ceilings for sulphur dioxide (SO</w:t>
      </w:r>
      <w:r w:rsidRPr="00E128B3">
        <w:rPr>
          <w:rFonts w:eastAsia="Calibri"/>
          <w:vertAlign w:val="subscript"/>
          <w:lang w:val="en-GB" w:bidi="en-GB"/>
        </w:rPr>
        <w:t>2</w:t>
      </w:r>
      <w:r w:rsidRPr="00E128B3">
        <w:rPr>
          <w:rFonts w:eastAsia="Calibri"/>
          <w:lang w:val="en-GB" w:bidi="en-GB"/>
        </w:rPr>
        <w:t>), nitrogen oxides (NO</w:t>
      </w:r>
      <w:r w:rsidRPr="00E128B3">
        <w:rPr>
          <w:rFonts w:eastAsia="Calibri"/>
          <w:vertAlign w:val="subscript"/>
          <w:lang w:val="en-GB" w:bidi="en-GB"/>
        </w:rPr>
        <w:t>X</w:t>
      </w:r>
      <w:r w:rsidRPr="00E128B3">
        <w:rPr>
          <w:rFonts w:eastAsia="Calibri"/>
          <w:lang w:val="en-GB" w:bidi="en-GB"/>
        </w:rPr>
        <w:t>), volatile organic compounds (NMVOC), ammonia (NH</w:t>
      </w:r>
      <w:r w:rsidRPr="00E128B3">
        <w:rPr>
          <w:rFonts w:eastAsia="Calibri"/>
          <w:vertAlign w:val="subscript"/>
          <w:lang w:val="en-GB" w:bidi="en-GB"/>
        </w:rPr>
        <w:t>3</w:t>
      </w:r>
      <w:r w:rsidRPr="00E128B3">
        <w:rPr>
          <w:rFonts w:eastAsia="Calibri"/>
          <w:lang w:val="en-GB" w:bidi="en-GB"/>
        </w:rPr>
        <w:t>), and fine suspended particulate matter (PM</w:t>
      </w:r>
      <w:r w:rsidRPr="00E128B3">
        <w:rPr>
          <w:rFonts w:eastAsia="Calibri"/>
          <w:vertAlign w:val="subscript"/>
          <w:lang w:val="en-GB" w:bidi="en-GB"/>
        </w:rPr>
        <w:t>2.5</w:t>
      </w:r>
      <w:r w:rsidRPr="00E128B3">
        <w:rPr>
          <w:rFonts w:eastAsia="Calibri"/>
          <w:lang w:val="en-GB" w:bidi="en-GB"/>
        </w:rPr>
        <w:t>);</w:t>
      </w:r>
    </w:p>
    <w:p w14:paraId="5CA23465" w14:textId="3BFA1B2E" w:rsidR="00395345" w:rsidRPr="00E128B3" w:rsidRDefault="00145E4E" w:rsidP="006E3B89">
      <w:pPr>
        <w:pStyle w:val="Text"/>
        <w:numPr>
          <w:ilvl w:val="0"/>
          <w:numId w:val="18"/>
        </w:numPr>
        <w:spacing w:before="0" w:line="264" w:lineRule="auto"/>
        <w:ind w:left="284" w:hanging="284"/>
        <w:rPr>
          <w:rFonts w:eastAsia="Calibri"/>
          <w:lang w:val="en-GB"/>
        </w:rPr>
      </w:pPr>
      <w:r w:rsidRPr="00E128B3">
        <w:rPr>
          <w:rFonts w:eastAsia="Calibri"/>
          <w:lang w:val="en-GB" w:bidi="en-GB"/>
        </w:rPr>
        <w:t>reducing the emissions of heavy metals and persistent organic substances (e.g. benzo</w:t>
      </w:r>
      <w:r w:rsidR="00565F57" w:rsidRPr="00E128B3">
        <w:rPr>
          <w:lang w:val="en-GB" w:bidi="en-GB"/>
        </w:rPr>
        <w:t>[</w:t>
      </w:r>
      <w:r w:rsidR="00395345" w:rsidRPr="00E128B3">
        <w:rPr>
          <w:rFonts w:eastAsia="Calibri"/>
          <w:lang w:val="en-GB" w:bidi="en-GB"/>
        </w:rPr>
        <w:t>a</w:t>
      </w:r>
      <w:r w:rsidR="00565F57" w:rsidRPr="00E128B3">
        <w:rPr>
          <w:lang w:val="en-GB" w:bidi="en-GB"/>
        </w:rPr>
        <w:t>]</w:t>
      </w:r>
      <w:r w:rsidR="00395345" w:rsidRPr="00E128B3">
        <w:rPr>
          <w:rFonts w:eastAsia="Calibri"/>
          <w:lang w:val="en-GB" w:bidi="en-GB"/>
        </w:rPr>
        <w:t>pyrene)</w:t>
      </w:r>
      <w:r w:rsidR="00395345" w:rsidRPr="00E128B3">
        <w:rPr>
          <w:rFonts w:eastAsia="Calibri"/>
          <w:i/>
          <w:lang w:val="en-GB" w:bidi="en-GB"/>
        </w:rPr>
        <w:t>.</w:t>
      </w:r>
    </w:p>
    <w:p w14:paraId="55C0FB81" w14:textId="77777777" w:rsidR="00395345" w:rsidRPr="00E128B3" w:rsidRDefault="00395345" w:rsidP="006E3B89">
      <w:pPr>
        <w:pStyle w:val="Text"/>
        <w:spacing w:after="120" w:line="264" w:lineRule="auto"/>
        <w:rPr>
          <w:lang w:val="en-GB"/>
        </w:rPr>
      </w:pPr>
      <w:r w:rsidRPr="00E128B3">
        <w:rPr>
          <w:lang w:val="en-GB" w:bidi="en-GB"/>
        </w:rPr>
        <w:t>The SEP also sets out the detailed strategic framework of the OPE</w:t>
      </w:r>
      <w:r w:rsidRPr="00E128B3">
        <w:rPr>
          <w:rFonts w:eastAsia="Calibri"/>
          <w:lang w:val="en-GB" w:bidi="en-GB"/>
        </w:rPr>
        <w:t xml:space="preserve"> 2014–2020. </w:t>
      </w:r>
      <w:r w:rsidRPr="00E128B3">
        <w:rPr>
          <w:lang w:val="en-GB" w:bidi="en-GB"/>
        </w:rPr>
        <w:t>Air quality protection policy is also based the</w:t>
      </w:r>
      <w:r w:rsidRPr="00E128B3">
        <w:rPr>
          <w:i/>
          <w:lang w:val="en-GB" w:bidi="en-GB"/>
        </w:rPr>
        <w:t xml:space="preserve"> Medium-term Air Quality Improvement Strategy of the Czech Republic (until 2020) </w:t>
      </w:r>
      <w:r w:rsidRPr="00E128B3">
        <w:rPr>
          <w:lang w:val="en-GB" w:bidi="en-GB"/>
        </w:rPr>
        <w:t xml:space="preserve">(“Strategy”), the NERP, and the AQIPs. </w:t>
      </w:r>
    </w:p>
    <w:p w14:paraId="677D6485" w14:textId="77777777" w:rsidR="00395345" w:rsidRPr="00E128B3" w:rsidRDefault="00395345" w:rsidP="006E3B89">
      <w:pPr>
        <w:pStyle w:val="Text"/>
        <w:spacing w:after="120" w:line="264" w:lineRule="auto"/>
        <w:rPr>
          <w:i/>
          <w:lang w:val="en-GB"/>
        </w:rPr>
      </w:pPr>
      <w:r w:rsidRPr="00E128B3">
        <w:rPr>
          <w:i/>
          <w:lang w:val="en-GB" w:bidi="en-GB"/>
        </w:rPr>
        <w:t>Medium-term Air Quality Improvement Strategy of the Czech Republic (until 2020)</w:t>
      </w:r>
    </w:p>
    <w:p w14:paraId="5086284B" w14:textId="04F19798" w:rsidR="00395345" w:rsidRPr="00E128B3" w:rsidRDefault="00395345" w:rsidP="006E3B89">
      <w:pPr>
        <w:pStyle w:val="TextKP"/>
        <w:spacing w:after="120" w:line="264" w:lineRule="auto"/>
        <w:rPr>
          <w:lang w:val="en-GB" w:eastAsia="cs-CZ"/>
        </w:rPr>
      </w:pPr>
      <w:r w:rsidRPr="00E128B3">
        <w:rPr>
          <w:rFonts w:eastAsia="Calibri"/>
          <w:lang w:val="en-GB" w:bidi="en-GB"/>
        </w:rPr>
        <w:t xml:space="preserve">The requirement from the European Commission (“Commission”) to prepare a comprehensive air quality management policy for the Czech Republic resulted in the preparation of the </w:t>
      </w:r>
      <w:r w:rsidRPr="00E128B3">
        <w:rPr>
          <w:i/>
          <w:lang w:val="en-GB" w:bidi="en-GB"/>
        </w:rPr>
        <w:t>Medium-term Air Quality Improvement Strategy of the Czech Republic (until 2020)</w:t>
      </w:r>
      <w:r w:rsidRPr="00E128B3">
        <w:rPr>
          <w:lang w:val="en-GB" w:bidi="en-GB"/>
        </w:rPr>
        <w:t xml:space="preserve">. </w:t>
      </w:r>
      <w:r w:rsidRPr="00E128B3">
        <w:rPr>
          <w:rFonts w:eastAsia="Calibri"/>
          <w:lang w:val="en-GB" w:bidi="en-GB"/>
        </w:rPr>
        <w:t xml:space="preserve">This requirement was also worded as the prerequisite for the approval of priority axis 2: </w:t>
      </w:r>
      <w:r w:rsidRPr="00E128B3">
        <w:rPr>
          <w:rFonts w:eastAsia="Calibri"/>
          <w:i/>
          <w:lang w:val="en-GB" w:bidi="en-GB"/>
        </w:rPr>
        <w:t>Improving air quality in human settlements in the OPE 2014–2020</w:t>
      </w:r>
      <w:r w:rsidRPr="00E128B3">
        <w:rPr>
          <w:rFonts w:eastAsia="Calibri"/>
          <w:lang w:val="en-GB" w:bidi="en-GB"/>
        </w:rPr>
        <w:t xml:space="preserve">. </w:t>
      </w:r>
      <w:r w:rsidRPr="00E128B3">
        <w:rPr>
          <w:lang w:val="en-GB" w:bidi="en-GB"/>
        </w:rPr>
        <w:t>The Strategy was approved by Government Resolution No. 979 of 2 December 2015.</w:t>
      </w:r>
    </w:p>
    <w:p w14:paraId="45C4A741" w14:textId="230C36EF" w:rsidR="005F4547" w:rsidRPr="00E128B3" w:rsidRDefault="00395345" w:rsidP="006E3B89">
      <w:pPr>
        <w:pStyle w:val="TextKP"/>
        <w:spacing w:after="120" w:line="264" w:lineRule="auto"/>
        <w:rPr>
          <w:lang w:val="en-GB" w:eastAsia="cs-CZ"/>
        </w:rPr>
      </w:pPr>
      <w:r w:rsidRPr="00E128B3">
        <w:rPr>
          <w:lang w:val="en-GB" w:bidi="en-GB"/>
        </w:rPr>
        <w:t xml:space="preserve">The Strategy forms the strategic framework for the </w:t>
      </w:r>
      <w:r w:rsidRPr="00E128B3">
        <w:rPr>
          <w:i/>
          <w:lang w:val="en-GB" w:bidi="en-GB"/>
        </w:rPr>
        <w:t xml:space="preserve">National Emission Reduction Programme of the Czech Republic </w:t>
      </w:r>
      <w:r w:rsidRPr="00E128B3">
        <w:rPr>
          <w:lang w:val="en-GB" w:bidi="en-GB"/>
        </w:rPr>
        <w:t>and for the programmes aimed at air quality improvements in zones and agglomerations</w:t>
      </w:r>
      <w:r w:rsidRPr="00E128B3">
        <w:rPr>
          <w:rFonts w:eastAsia="Calibri"/>
          <w:sz w:val="18"/>
          <w:szCs w:val="18"/>
          <w:lang w:val="en-GB" w:bidi="en-GB"/>
        </w:rPr>
        <w:t xml:space="preserve"> </w:t>
      </w:r>
      <w:r w:rsidRPr="00E128B3">
        <w:rPr>
          <w:lang w:val="en-GB" w:bidi="en-GB"/>
        </w:rPr>
        <w:t>in the Czech Republic, which must be prepared in accordance with the national and EU legislation.</w:t>
      </w:r>
    </w:p>
    <w:p w14:paraId="24513292" w14:textId="77777777" w:rsidR="00395345" w:rsidRPr="00E128B3" w:rsidRDefault="00395345" w:rsidP="006E3B89">
      <w:pPr>
        <w:pStyle w:val="Text"/>
        <w:spacing w:after="120" w:line="264" w:lineRule="auto"/>
        <w:rPr>
          <w:i/>
          <w:lang w:val="en-GB"/>
        </w:rPr>
      </w:pPr>
      <w:r w:rsidRPr="00E128B3">
        <w:rPr>
          <w:i/>
          <w:lang w:val="en-GB" w:bidi="en-GB"/>
        </w:rPr>
        <w:t>National Emission Reduction Programme of the Czech Republic</w:t>
      </w:r>
    </w:p>
    <w:p w14:paraId="5A0DC93A" w14:textId="3D4C9201" w:rsidR="005414EB" w:rsidRPr="00E128B3" w:rsidRDefault="00395345" w:rsidP="006E3B89">
      <w:pPr>
        <w:pStyle w:val="Text"/>
        <w:spacing w:after="120" w:line="264" w:lineRule="auto"/>
        <w:rPr>
          <w:i/>
          <w:lang w:val="en-GB"/>
        </w:rPr>
      </w:pPr>
      <w:r w:rsidRPr="00E128B3">
        <w:rPr>
          <w:lang w:val="en-GB" w:bidi="en-GB"/>
        </w:rPr>
        <w:t xml:space="preserve">The NERP for the period until 2020 and looking ahead to 2030 was prepared in accordance with Section 8 of the Act and with regard to the international commitments of the Czech Republic, the expected changes in the legal framework of the EU, and the failure to meet the </w:t>
      </w:r>
      <w:r w:rsidRPr="00E128B3">
        <w:rPr>
          <w:lang w:val="en-GB" w:bidi="en-GB"/>
        </w:rPr>
        <w:lastRenderedPageBreak/>
        <w:t>air pollution limits set for certain pollutants. The strategic objective of the NERP is to decrease the health risks arising from air pollution and the negative impacts on ecosystems and vegetation and on materials as soon as possible by upholding the international emission control commitments and by observance of the applicable air pollution limits. For this purpose, a new scenario is set out in the NERP, including additional measures (NERP-WAM), including the implementation schedule and the authorities responsible for the implementation. The NERP was approved by Government Resolution No. 978 of 2 December 2015.</w:t>
      </w:r>
    </w:p>
    <w:p w14:paraId="5DEDAD21" w14:textId="77777777" w:rsidR="00395345" w:rsidRPr="00E128B3" w:rsidRDefault="00395345" w:rsidP="00145E4E">
      <w:pPr>
        <w:pStyle w:val="Text"/>
        <w:keepNext/>
        <w:spacing w:after="120" w:line="264" w:lineRule="auto"/>
        <w:rPr>
          <w:i/>
          <w:lang w:val="en-GB"/>
        </w:rPr>
      </w:pPr>
      <w:r w:rsidRPr="00E128B3">
        <w:rPr>
          <w:i/>
          <w:lang w:val="en-GB" w:bidi="en-GB"/>
        </w:rPr>
        <w:t>Air quality assessment</w:t>
      </w:r>
    </w:p>
    <w:p w14:paraId="0217BCE2" w14:textId="12BB7656" w:rsidR="00395345" w:rsidRPr="00E128B3" w:rsidRDefault="00470F6E" w:rsidP="006E3B89">
      <w:pPr>
        <w:pStyle w:val="Text"/>
        <w:spacing w:after="120" w:line="264" w:lineRule="auto"/>
        <w:rPr>
          <w:lang w:val="en-GB"/>
        </w:rPr>
      </w:pPr>
      <w:r w:rsidRPr="00E128B3">
        <w:rPr>
          <w:b/>
          <w:noProof/>
          <w:lang w:val="cs-CZ" w:eastAsia="cs-CZ"/>
        </w:rPr>
        <w:drawing>
          <wp:anchor distT="0" distB="0" distL="114300" distR="114300" simplePos="0" relativeHeight="251650048" behindDoc="0" locked="0" layoutInCell="1" allowOverlap="1" wp14:anchorId="60EC178B" wp14:editId="23FA5051">
            <wp:simplePos x="0" y="0"/>
            <wp:positionH relativeFrom="margin">
              <wp:posOffset>-15240</wp:posOffset>
            </wp:positionH>
            <wp:positionV relativeFrom="paragraph">
              <wp:posOffset>1527175</wp:posOffset>
            </wp:positionV>
            <wp:extent cx="4233545" cy="2406650"/>
            <wp:effectExtent l="0" t="0" r="0" b="0"/>
            <wp:wrapTopAndBottom/>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7033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233545" cy="240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5345" w:rsidRPr="00E128B3">
        <w:rPr>
          <w:lang w:val="en-GB" w:bidi="en-GB"/>
        </w:rPr>
        <w:t xml:space="preserve">Air pollution level is assessed and evaluated by the CHMI under authorisation from the MoE for designated territories (zones) or for zones which represent an urban agglomeration with a population of over 250,000 (agglomeration). The Act defines seven zones for the Czech Republic (Central Bohemia, Southwest, Northwest, Northeast, Southeast, Central Moravia, and Moravia-Silesia) and three agglomerations (Prague, Brno, and Ostrava/Karviná/Frýdek-Místek). </w:t>
      </w:r>
    </w:p>
    <w:p w14:paraId="63B5E12C" w14:textId="2456ABDA" w:rsidR="00395345" w:rsidRPr="00E128B3" w:rsidRDefault="00395345" w:rsidP="00145E4E">
      <w:pPr>
        <w:pStyle w:val="Titulek"/>
        <w:spacing w:after="40"/>
        <w:ind w:left="1418" w:hanging="1418"/>
        <w:jc w:val="left"/>
        <w:rPr>
          <w:b/>
          <w:lang w:val="en-GB"/>
        </w:rPr>
      </w:pPr>
      <w:r w:rsidRPr="00E128B3">
        <w:rPr>
          <w:b/>
          <w:lang w:val="en-GB" w:bidi="en-GB"/>
        </w:rPr>
        <w:t xml:space="preserve">Figure </w:t>
      </w:r>
      <w:r w:rsidR="006E3B89" w:rsidRPr="00E128B3">
        <w:rPr>
          <w:b/>
          <w:lang w:val="en-GB" w:bidi="en-GB"/>
        </w:rPr>
        <w:fldChar w:fldCharType="begin"/>
      </w:r>
      <w:r w:rsidR="006E3B89" w:rsidRPr="00E128B3">
        <w:rPr>
          <w:b/>
          <w:lang w:val="en-GB" w:bidi="en-GB"/>
        </w:rPr>
        <w:instrText xml:space="preserve"> SEQ Obrázek_č. \* ARABIC </w:instrText>
      </w:r>
      <w:r w:rsidR="006E3B89" w:rsidRPr="00E128B3">
        <w:rPr>
          <w:b/>
          <w:lang w:val="en-GB" w:bidi="en-GB"/>
        </w:rPr>
        <w:fldChar w:fldCharType="separate"/>
      </w:r>
      <w:r w:rsidR="00136D57">
        <w:rPr>
          <w:b/>
          <w:noProof/>
          <w:lang w:val="en-GB" w:bidi="en-GB"/>
        </w:rPr>
        <w:t>1</w:t>
      </w:r>
      <w:r w:rsidR="006E3B89" w:rsidRPr="00E128B3">
        <w:rPr>
          <w:b/>
          <w:noProof/>
          <w:lang w:val="en-GB" w:bidi="en-GB"/>
        </w:rPr>
        <w:fldChar w:fldCharType="end"/>
      </w:r>
      <w:r w:rsidRPr="00E128B3">
        <w:rPr>
          <w:b/>
          <w:lang w:val="en-GB" w:bidi="en-GB"/>
        </w:rPr>
        <w:t>: Zones and agglomerations for air pollution assessment and evaluation</w:t>
      </w:r>
    </w:p>
    <w:p w14:paraId="538C423B" w14:textId="7711A728" w:rsidR="00395345" w:rsidRPr="00E128B3" w:rsidRDefault="00395345" w:rsidP="00395345">
      <w:pPr>
        <w:pStyle w:val="Zdrojapozn"/>
        <w:rPr>
          <w:lang w:val="en-GB"/>
        </w:rPr>
      </w:pPr>
      <w:r w:rsidRPr="00E128B3">
        <w:rPr>
          <w:b/>
          <w:lang w:val="en-GB" w:bidi="en-GB"/>
        </w:rPr>
        <w:t xml:space="preserve">Source: </w:t>
      </w:r>
      <w:r w:rsidRPr="00E128B3">
        <w:rPr>
          <w:rFonts w:eastAsiaTheme="minorHAnsi"/>
          <w:lang w:val="en-GB" w:bidi="en-GB"/>
        </w:rPr>
        <w:t>the Strategy.</w:t>
      </w:r>
    </w:p>
    <w:p w14:paraId="46D5BBD5" w14:textId="11E19CA5" w:rsidR="00395345" w:rsidRPr="00E128B3" w:rsidRDefault="00395345" w:rsidP="00E128B3">
      <w:pPr>
        <w:pStyle w:val="Text"/>
        <w:spacing w:after="120" w:line="264" w:lineRule="auto"/>
        <w:rPr>
          <w:lang w:val="en-GB" w:eastAsia="cs-CZ"/>
        </w:rPr>
      </w:pPr>
      <w:r w:rsidRPr="00E128B3">
        <w:rPr>
          <w:lang w:val="en-GB" w:bidi="en-GB"/>
        </w:rPr>
        <w:t>In order to ensure a minimum air quality level, the law specifies the air pollution limits (ambient air quality standards) for selected pollutants with regard to human health protection. The air pollution limits are also set in accordance with the requirements of EU legislation with regard to air quality in Europe. For stationary measurement, the CHMI manages and operates a state network for air pollution monitoring.</w:t>
      </w:r>
    </w:p>
    <w:p w14:paraId="1093B186" w14:textId="77777777" w:rsidR="00395345" w:rsidRPr="00E128B3" w:rsidRDefault="00395345" w:rsidP="006E3B89">
      <w:pPr>
        <w:pStyle w:val="Text"/>
        <w:spacing w:after="120" w:line="264" w:lineRule="auto"/>
        <w:rPr>
          <w:i/>
          <w:lang w:val="en-GB"/>
        </w:rPr>
      </w:pPr>
      <w:r w:rsidRPr="00E128B3">
        <w:rPr>
          <w:i/>
          <w:lang w:val="en-GB" w:bidi="en-GB"/>
        </w:rPr>
        <w:t>Air Quality Improvement Programmes</w:t>
      </w:r>
    </w:p>
    <w:p w14:paraId="0D0E1EAD" w14:textId="0AA43ED5" w:rsidR="00395345" w:rsidRPr="00E128B3" w:rsidRDefault="00395345" w:rsidP="006F68A3">
      <w:pPr>
        <w:spacing w:before="120" w:after="120" w:line="264" w:lineRule="auto"/>
        <w:jc w:val="both"/>
        <w:rPr>
          <w:lang w:val="en-GB"/>
        </w:rPr>
      </w:pPr>
      <w:r w:rsidRPr="00E128B3">
        <w:rPr>
          <w:lang w:val="en-GB" w:bidi="en-GB"/>
        </w:rPr>
        <w:t xml:space="preserve">The AQIPs were prepared under Section 9 of the Act where the air pollution limit set by the Act has been exceeded in the zone or agglomeration or where the air pollution limit set by the Act has been exceeded in the zone or agglomeration more times than permitted by the Act. Due to the level of air pollution in the Czech Republic, the preparation of the AQIPs was relevant to all the zones and agglomerations in the country. The AQIPs were prepared by the MoE in cooperation with the relevant regional and/or municipal authorities. Being the regional air quality management strategies, the AQIPs contain emission and air pollution analyses, pollution causes and findings of the previous AQIPs, measures in the form of emission ceilings, and new competences regarding the listed major pollution sources. The reference year used for the analytical parts of the AQIPs was 2011. The proposal section specifies measures regarding the pollutants in question (objectives). Among others, they are based on dispersion studies and their purpose is to help achieve the air pollution limits set by the Act in the relevant zone or agglomeration by 2020, which year represents a strategic milestone. The AQIPs for the individual zones and agglomerations were approved in the course of 2016 and were issued by the MoE in the form of generally applicable measures. </w:t>
      </w:r>
    </w:p>
    <w:p w14:paraId="46AE2F31" w14:textId="77777777" w:rsidR="00470F6E" w:rsidRDefault="00470F6E" w:rsidP="006E3B89">
      <w:pPr>
        <w:pStyle w:val="Nadpis1"/>
        <w:numPr>
          <w:ilvl w:val="0"/>
          <w:numId w:val="0"/>
        </w:numPr>
        <w:spacing w:before="120" w:after="120" w:line="264" w:lineRule="auto"/>
        <w:ind w:left="432" w:hanging="432"/>
        <w:jc w:val="center"/>
        <w:rPr>
          <w:lang w:val="en-GB" w:bidi="en-GB"/>
        </w:rPr>
      </w:pPr>
    </w:p>
    <w:p w14:paraId="71BB80C7" w14:textId="54AB321C" w:rsidR="00395345" w:rsidRPr="00E128B3" w:rsidRDefault="00395345" w:rsidP="006E3B89">
      <w:pPr>
        <w:pStyle w:val="Nadpis1"/>
        <w:numPr>
          <w:ilvl w:val="0"/>
          <w:numId w:val="0"/>
        </w:numPr>
        <w:spacing w:before="120" w:after="120" w:line="264" w:lineRule="auto"/>
        <w:ind w:left="432" w:hanging="432"/>
        <w:jc w:val="center"/>
        <w:rPr>
          <w:lang w:val="en-GB"/>
        </w:rPr>
      </w:pPr>
      <w:r w:rsidRPr="00E128B3">
        <w:rPr>
          <w:lang w:val="en-GB" w:bidi="en-GB"/>
        </w:rPr>
        <w:t>III. Scope of audit</w:t>
      </w:r>
    </w:p>
    <w:p w14:paraId="41483965" w14:textId="28F226B7" w:rsidR="00F53FAC" w:rsidRPr="00E128B3" w:rsidRDefault="00395345" w:rsidP="006E3B89">
      <w:pPr>
        <w:pStyle w:val="Text"/>
        <w:spacing w:after="120" w:line="264" w:lineRule="auto"/>
        <w:rPr>
          <w:lang w:val="en-GB"/>
        </w:rPr>
      </w:pPr>
      <w:r w:rsidRPr="00E128B3">
        <w:rPr>
          <w:lang w:val="en-GB" w:bidi="en-GB"/>
        </w:rPr>
        <w:t>The audit focused on the funding of measures aimed at supporting air quality improvements in the Czech Republic under OPE P</w:t>
      </w:r>
      <w:r w:rsidR="002034AF">
        <w:rPr>
          <w:lang w:val="en-GB" w:bidi="en-GB"/>
        </w:rPr>
        <w:t>A</w:t>
      </w:r>
      <w:r w:rsidRPr="00E128B3">
        <w:rPr>
          <w:lang w:val="en-GB" w:bidi="en-GB"/>
        </w:rPr>
        <w:t xml:space="preserve">2: </w:t>
      </w:r>
      <w:r w:rsidRPr="00E128B3">
        <w:rPr>
          <w:i/>
          <w:lang w:val="en-GB" w:bidi="en-GB"/>
        </w:rPr>
        <w:t>Improving air quality in human settlements</w:t>
      </w:r>
      <w:r w:rsidRPr="00E128B3">
        <w:rPr>
          <w:lang w:val="en-GB" w:bidi="en-GB"/>
        </w:rPr>
        <w:t xml:space="preserve"> and under the NPE as the complementary source. The objective of the audit was to verify whether the measures specified in the programming documents and the resources used under the OPE and the NPE contributed to the improvement of air quality in the Czech Republic, i.e. whether they were effective. Examination was also performed of the possibilities of funding from the </w:t>
      </w:r>
      <w:r w:rsidRPr="00E128B3">
        <w:rPr>
          <w:i/>
          <w:lang w:val="en-GB" w:bidi="en-GB"/>
        </w:rPr>
        <w:t>LIFE Programme</w:t>
      </w:r>
      <w:r w:rsidRPr="00E128B3">
        <w:rPr>
          <w:lang w:val="en-GB" w:bidi="en-GB"/>
        </w:rPr>
        <w:t xml:space="preserve"> – the Community programme concerning the environment and climate, coordinated by the European Commission.</w:t>
      </w:r>
    </w:p>
    <w:p w14:paraId="0ACEAF23" w14:textId="77777777" w:rsidR="00395345" w:rsidRPr="00E128B3" w:rsidRDefault="00395345" w:rsidP="006E3B89">
      <w:pPr>
        <w:pStyle w:val="Text"/>
        <w:spacing w:after="120" w:line="264" w:lineRule="auto"/>
        <w:rPr>
          <w:lang w:val="en-GB"/>
        </w:rPr>
      </w:pPr>
      <w:r w:rsidRPr="00E128B3">
        <w:rPr>
          <w:lang w:val="en-GB" w:bidi="en-GB"/>
        </w:rPr>
        <w:t>In order to fulfil the objective, the audit was conducted at two levels:</w:t>
      </w:r>
    </w:p>
    <w:p w14:paraId="36218438" w14:textId="3B57518A" w:rsidR="00395345" w:rsidRPr="00E128B3" w:rsidRDefault="00395345" w:rsidP="006E3B89">
      <w:pPr>
        <w:pStyle w:val="Text"/>
        <w:numPr>
          <w:ilvl w:val="0"/>
          <w:numId w:val="12"/>
        </w:numPr>
        <w:spacing w:after="120" w:line="264" w:lineRule="auto"/>
        <w:ind w:left="284" w:hanging="284"/>
        <w:rPr>
          <w:lang w:val="en-GB"/>
        </w:rPr>
      </w:pPr>
      <w:r w:rsidRPr="00E128B3">
        <w:rPr>
          <w:lang w:val="en-GB" w:bidi="en-GB"/>
        </w:rPr>
        <w:t>Audit of the set-up of the system of air quality improvement measures in the programming document, their implementation, and evaluation. This audit was conducted at the MoE. The main areas under examination included the strategic and conceptual activities of the MoE as the main body responsible for air protection in the Czech Republic; the level of fulfilment of the specified measures and objectives at the national level, in particular, in the NERP, and the method of the interim evaluation of the implementation of the measures specified in the AQIPs for the regional level;</w:t>
      </w:r>
    </w:p>
    <w:p w14:paraId="3EDA1C27" w14:textId="6B7E4061" w:rsidR="00607712" w:rsidRPr="00E128B3" w:rsidRDefault="00395345" w:rsidP="006E3B89">
      <w:pPr>
        <w:pStyle w:val="Text"/>
        <w:numPr>
          <w:ilvl w:val="0"/>
          <w:numId w:val="12"/>
        </w:numPr>
        <w:spacing w:after="120" w:line="264" w:lineRule="auto"/>
        <w:ind w:left="284" w:hanging="284"/>
        <w:rPr>
          <w:lang w:val="en-GB"/>
        </w:rPr>
      </w:pPr>
      <w:r w:rsidRPr="00E128B3">
        <w:rPr>
          <w:lang w:val="en-GB" w:bidi="en-GB"/>
        </w:rPr>
        <w:t>Audit of the funding of air quality improvements from the European or national sources. The audit was conducted with the MoE as the managing authority of the OPE, with the SEF as the intermediate body of the OPE and the provider of the funds from the NPE, and with selected beneficiaries (CHMI, regions, other beneficiaries). The effectiveness of the funds spent on air quality improvements was verified on the basis of the specified indicators and objectives of the individual projects and the level of their fulfilment as of the completion date of the audit. The audited entities are listed and the evaluation of the project indicators is provided in Annex 5 to this Audit Conclusion.</w:t>
      </w:r>
    </w:p>
    <w:p w14:paraId="5076ECC4" w14:textId="167B5847" w:rsidR="00395345" w:rsidRPr="00E128B3" w:rsidRDefault="00395345" w:rsidP="006E3B89">
      <w:pPr>
        <w:pStyle w:val="Text"/>
        <w:spacing w:after="120" w:line="264" w:lineRule="auto"/>
        <w:rPr>
          <w:lang w:val="en-GB"/>
        </w:rPr>
      </w:pPr>
      <w:r w:rsidRPr="00E128B3">
        <w:rPr>
          <w:lang w:val="en-GB" w:bidi="en-GB"/>
        </w:rPr>
        <w:t xml:space="preserve">At the system level, funds in the total amount of CZK 10.6 billion were audited, of which funding under PA2 of the OPE accounted for CZK 9.9 billion. The amount audited at the system level was based on the allocation of funds under the calls that were announced between 2015 and 2018 with a focus on air quality improvements under PA2 of the OPE, the NPE, and the </w:t>
      </w:r>
      <w:r w:rsidRPr="00E128B3">
        <w:rPr>
          <w:i/>
          <w:lang w:val="en-GB" w:bidi="en-GB"/>
        </w:rPr>
        <w:t>LIFE Programme</w:t>
      </w:r>
      <w:r w:rsidRPr="00E128B3">
        <w:rPr>
          <w:lang w:val="en-GB" w:bidi="en-GB"/>
        </w:rPr>
        <w:t>. In particular, the audit focused on the preparation and evaluation of the individual calls.</w:t>
      </w:r>
    </w:p>
    <w:p w14:paraId="7D660AEB" w14:textId="5E3D85B0" w:rsidR="00395345" w:rsidRPr="00E128B3" w:rsidRDefault="00395345" w:rsidP="006E3B89">
      <w:pPr>
        <w:pStyle w:val="Text"/>
        <w:spacing w:after="120" w:line="264" w:lineRule="auto"/>
        <w:rPr>
          <w:lang w:val="en-GB"/>
        </w:rPr>
      </w:pPr>
      <w:r w:rsidRPr="00E128B3">
        <w:rPr>
          <w:lang w:val="en-GB" w:bidi="en-GB"/>
        </w:rPr>
        <w:t>At the SEF level, the SAO examined evaluation system and the method of selecting the successful projects aimed at air quality improvements. The audit examined the administration of 14 projects involving the total subsidy of CZK 496.6 million, of which PA2 of the OPE accounted for CZK 487 million, representing approximately 5% of the funds allocated under the calls announced under PA2 of the OPE.</w:t>
      </w:r>
    </w:p>
    <w:p w14:paraId="4EBDD2E7" w14:textId="49D1D5EE" w:rsidR="00395345" w:rsidRPr="00E128B3" w:rsidRDefault="00395345" w:rsidP="00155568">
      <w:pPr>
        <w:pStyle w:val="Text"/>
        <w:spacing w:after="120" w:line="264" w:lineRule="auto"/>
        <w:rPr>
          <w:lang w:val="en-GB"/>
        </w:rPr>
      </w:pPr>
      <w:r w:rsidRPr="00E128B3">
        <w:rPr>
          <w:lang w:val="en-GB" w:bidi="en-GB"/>
        </w:rPr>
        <w:t>Audits were also conducted with the beneficiaries, with a particular focus on adherence to the terms and conditions of receiving and using the aid. The audit was conducted with four regions as the beneficiaries of subsidies under PA2 of the OPE for reallocation of the resources to individuals to promote the replacement of obsolete boilers. In addition, the CHMI was also audited, being a major beneficiary under PA2 of the OPE with a particular focus on the improvement of the system for the monitoring, evaluation and forecasting of air quality and the related weather aspects. In addition, four beneficiaries of aid granted under PA2 of the OPE for reducing emissions from stationary sources and four beneficiaries of aid under the NPE were audited. Overall, the audit checked the implementation of 21 projects with a total subsidy of CZK 3.82 billion, of which PA2 of the OPE accounted for CZK 3.8 billion, representing 38% of the funds allocated so far under PA2 of the OPE. The audit examined public contracts in the total amount of CZK 541.9 million excl. VAT.</w:t>
      </w:r>
    </w:p>
    <w:p w14:paraId="6350D9BB" w14:textId="180948CB" w:rsidR="006E3B89" w:rsidRPr="00E128B3" w:rsidRDefault="00395345" w:rsidP="00155568">
      <w:pPr>
        <w:spacing w:before="120" w:after="120" w:line="264" w:lineRule="auto"/>
        <w:jc w:val="both"/>
        <w:rPr>
          <w:lang w:val="en-GB"/>
        </w:rPr>
      </w:pPr>
      <w:r w:rsidRPr="00E128B3">
        <w:rPr>
          <w:lang w:val="en-GB" w:bidi="en-GB"/>
        </w:rPr>
        <w:t xml:space="preserve">The audit thus examined the air quality improvement support system as a whole: system set-up and management by the Ministry of the Environment (being the competent air protection body and the managing authority of the OPE), the activities of the SEF (being the intermediary body for the aid), and the use of the financial aid by the main beneficiaries. The output of this audit is the evaluation of the set-up and functioning of the system of support for air quality improvements in the Czech Republic and the identification of its weak points. </w:t>
      </w:r>
    </w:p>
    <w:p w14:paraId="2FBDD7C4" w14:textId="77777777" w:rsidR="00395345" w:rsidRPr="00E128B3" w:rsidRDefault="00395345" w:rsidP="006E3B89">
      <w:pPr>
        <w:pStyle w:val="Text"/>
        <w:spacing w:after="120" w:line="264" w:lineRule="auto"/>
        <w:rPr>
          <w:lang w:val="en-GB"/>
        </w:rPr>
      </w:pPr>
    </w:p>
    <w:p w14:paraId="210B4535" w14:textId="77777777" w:rsidR="00395345" w:rsidRPr="00E128B3" w:rsidRDefault="00395345" w:rsidP="006E3B89">
      <w:pPr>
        <w:pStyle w:val="Nadpis1"/>
        <w:numPr>
          <w:ilvl w:val="0"/>
          <w:numId w:val="0"/>
        </w:numPr>
        <w:spacing w:before="120" w:after="120" w:line="264" w:lineRule="auto"/>
        <w:ind w:left="432" w:hanging="432"/>
        <w:jc w:val="center"/>
        <w:rPr>
          <w:lang w:val="en-GB"/>
        </w:rPr>
      </w:pPr>
      <w:r w:rsidRPr="00E128B3">
        <w:rPr>
          <w:lang w:val="en-GB" w:bidi="en-GB"/>
        </w:rPr>
        <w:t>IV. Detailed facts ascertained by the audit</w:t>
      </w:r>
    </w:p>
    <w:p w14:paraId="486AD546" w14:textId="77777777" w:rsidR="00395345" w:rsidRPr="00E128B3" w:rsidRDefault="00395345" w:rsidP="006E3B89">
      <w:pPr>
        <w:pStyle w:val="Nadpis2"/>
        <w:numPr>
          <w:ilvl w:val="0"/>
          <w:numId w:val="0"/>
        </w:numPr>
        <w:spacing w:line="264" w:lineRule="auto"/>
        <w:ind w:left="576" w:hanging="576"/>
        <w:rPr>
          <w:lang w:val="en-GB"/>
        </w:rPr>
      </w:pPr>
      <w:r w:rsidRPr="00E128B3">
        <w:rPr>
          <w:lang w:val="en-GB" w:bidi="en-GB"/>
        </w:rPr>
        <w:t>A. Funding of air quality improvement measures</w:t>
      </w:r>
    </w:p>
    <w:p w14:paraId="4584C229" w14:textId="559F5B47" w:rsidR="00395345" w:rsidRPr="00E128B3" w:rsidRDefault="00395345" w:rsidP="006E3B89">
      <w:pPr>
        <w:pStyle w:val="Text"/>
        <w:spacing w:after="120" w:line="264" w:lineRule="auto"/>
        <w:rPr>
          <w:lang w:val="en-GB"/>
        </w:rPr>
      </w:pPr>
      <w:r w:rsidRPr="00E128B3">
        <w:rPr>
          <w:lang w:val="en-GB" w:bidi="en-GB"/>
        </w:rPr>
        <w:t>The ESIF are the main source of funding for air quality improvement measures</w:t>
      </w:r>
      <w:r w:rsidRPr="00E128B3">
        <w:rPr>
          <w:rStyle w:val="Znakapoznpodarou"/>
          <w:lang w:val="en-GB" w:bidi="en-GB"/>
        </w:rPr>
        <w:footnoteReference w:id="17"/>
      </w:r>
      <w:r w:rsidRPr="00E128B3">
        <w:rPr>
          <w:lang w:val="en-GB" w:bidi="en-GB"/>
        </w:rPr>
        <w:t xml:space="preserve">. The NPE is a complementary source of funding. LIFE, a financial instrument of the EU for the environment and climate, administered by the European Commission, is another identified source of funding. </w:t>
      </w:r>
    </w:p>
    <w:p w14:paraId="11196FAC" w14:textId="77777777" w:rsidR="00395345" w:rsidRPr="00E128B3" w:rsidRDefault="00395345" w:rsidP="006E3B89">
      <w:pPr>
        <w:pStyle w:val="Text"/>
        <w:numPr>
          <w:ilvl w:val="0"/>
          <w:numId w:val="36"/>
        </w:numPr>
        <w:spacing w:after="120" w:line="264" w:lineRule="auto"/>
        <w:ind w:left="284" w:hanging="284"/>
        <w:rPr>
          <w:b/>
          <w:lang w:val="en-GB"/>
        </w:rPr>
      </w:pPr>
      <w:r w:rsidRPr="00E128B3">
        <w:rPr>
          <w:b/>
          <w:lang w:val="en-GB" w:bidi="en-GB"/>
        </w:rPr>
        <w:t>Operational Programme Environment 2014–2020</w:t>
      </w:r>
    </w:p>
    <w:p w14:paraId="17DDC59F" w14:textId="3696FCDC" w:rsidR="00395345" w:rsidRPr="00E128B3" w:rsidRDefault="00395345" w:rsidP="006E3B89">
      <w:pPr>
        <w:pStyle w:val="Text"/>
        <w:spacing w:after="120" w:line="264" w:lineRule="auto"/>
        <w:rPr>
          <w:lang w:val="en-GB"/>
        </w:rPr>
      </w:pPr>
      <w:r w:rsidRPr="00E128B3">
        <w:rPr>
          <w:rFonts w:ascii="Calibri" w:eastAsia="Calibri" w:hAnsi="Calibri" w:cs="Calibri"/>
          <w:lang w:val="en-GB" w:bidi="en-GB"/>
        </w:rPr>
        <w:t>The issue of air quality improvements is addressed by p</w:t>
      </w:r>
      <w:r w:rsidRPr="00E128B3">
        <w:rPr>
          <w:lang w:val="en-GB" w:bidi="en-GB"/>
        </w:rPr>
        <w:t xml:space="preserve">riority axis 2: </w:t>
      </w:r>
      <w:r w:rsidRPr="00E128B3">
        <w:rPr>
          <w:i/>
          <w:lang w:val="en-GB" w:bidi="en-GB"/>
        </w:rPr>
        <w:t>Improving air quality in human settlements</w:t>
      </w:r>
      <w:r w:rsidRPr="00E128B3">
        <w:rPr>
          <w:lang w:val="en-GB" w:bidi="en-GB"/>
        </w:rPr>
        <w:t>. The managing authority of the OPE is the MoE and the intermediate body for PA2 is the SEF. PA2 is fully co-financed from the Cohesion Fund. The current amount of allocation to PA2 for the programming period 2014 – 2020 is EUR 490,700,000, i.e. about CZK 13 billion.</w:t>
      </w:r>
    </w:p>
    <w:p w14:paraId="31F317B7" w14:textId="1C92DFDF" w:rsidR="00A2786B" w:rsidRPr="00E128B3" w:rsidRDefault="00A2786B" w:rsidP="006E3B89">
      <w:pPr>
        <w:pStyle w:val="TextKP"/>
        <w:spacing w:after="120" w:line="264" w:lineRule="auto"/>
        <w:rPr>
          <w:lang w:val="en-GB"/>
        </w:rPr>
      </w:pPr>
      <w:r w:rsidRPr="00E128B3">
        <w:rPr>
          <w:lang w:val="en-GB" w:bidi="en-GB"/>
        </w:rPr>
        <w:t xml:space="preserve">PA2 of the OPE 2014–2020 has three specific objectives (“SOs”): 2.1: </w:t>
      </w:r>
      <w:r w:rsidRPr="00E128B3">
        <w:rPr>
          <w:i/>
          <w:lang w:val="en-GB" w:bidi="en-GB"/>
        </w:rPr>
        <w:t>Reduce emissions from local household heating</w:t>
      </w:r>
      <w:r w:rsidRPr="00E128B3">
        <w:rPr>
          <w:lang w:val="en-GB" w:bidi="en-GB"/>
        </w:rPr>
        <w:t xml:space="preserve">; 2.2: </w:t>
      </w:r>
      <w:r w:rsidRPr="00E128B3">
        <w:rPr>
          <w:i/>
          <w:lang w:val="en-GB" w:bidi="en-GB"/>
        </w:rPr>
        <w:t>Reduce emissions from stationary sources and improve their monitoring system</w:t>
      </w:r>
      <w:r w:rsidRPr="00E128B3">
        <w:rPr>
          <w:lang w:val="en-GB" w:bidi="en-GB"/>
        </w:rPr>
        <w:t>; 2.3: </w:t>
      </w:r>
      <w:r w:rsidRPr="00E128B3">
        <w:rPr>
          <w:i/>
          <w:lang w:val="en-GB" w:bidi="en-GB"/>
        </w:rPr>
        <w:t>Improve the system of monitoring, evaluation and forecasting of the air quality trends and of the related weather aspects.</w:t>
      </w:r>
    </w:p>
    <w:p w14:paraId="55E18EBC" w14:textId="77777777" w:rsidR="00395345" w:rsidRPr="00E128B3" w:rsidRDefault="00395345" w:rsidP="006E3B89">
      <w:pPr>
        <w:spacing w:before="120" w:after="120" w:line="264" w:lineRule="auto"/>
        <w:jc w:val="both"/>
        <w:rPr>
          <w:lang w:val="en-GB"/>
        </w:rPr>
      </w:pPr>
      <w:r w:rsidRPr="00E128B3">
        <w:rPr>
          <w:lang w:val="en-GB" w:bidi="en-GB"/>
        </w:rPr>
        <w:t>The table below provides an overview of all the calls issued under PA2 of the OPE to date, including the amount of aid paid to the beneficiaries. The information regarding the ongoing and closed calls under PA2 is provided as of 7 August 2018.</w:t>
      </w:r>
    </w:p>
    <w:p w14:paraId="492DB889" w14:textId="666360FD" w:rsidR="00395345" w:rsidRPr="00E128B3" w:rsidRDefault="00395345" w:rsidP="00470F6E">
      <w:pPr>
        <w:pStyle w:val="Titulek"/>
        <w:keepNext/>
        <w:tabs>
          <w:tab w:val="clear" w:pos="7938"/>
          <w:tab w:val="left" w:pos="7513"/>
        </w:tabs>
        <w:spacing w:after="40"/>
        <w:ind w:left="851" w:hanging="851"/>
        <w:rPr>
          <w:rFonts w:eastAsia="Calibri"/>
          <w:b/>
          <w:lang w:val="en-GB"/>
        </w:rPr>
      </w:pPr>
      <w:r w:rsidRPr="00E128B3">
        <w:rPr>
          <w:b/>
          <w:lang w:val="en-GB" w:bidi="en-GB"/>
        </w:rPr>
        <w:t xml:space="preserve">Table </w:t>
      </w:r>
      <w:r w:rsidR="00A36661" w:rsidRPr="00E128B3">
        <w:rPr>
          <w:b/>
          <w:lang w:val="en-GB" w:bidi="en-GB"/>
        </w:rPr>
        <w:fldChar w:fldCharType="begin"/>
      </w:r>
      <w:r w:rsidR="00A36661" w:rsidRPr="00E128B3">
        <w:rPr>
          <w:b/>
          <w:lang w:val="en-GB" w:bidi="en-GB"/>
        </w:rPr>
        <w:instrText xml:space="preserve"> SEQ Tabulka_č. \* ARABIC </w:instrText>
      </w:r>
      <w:r w:rsidR="00A36661" w:rsidRPr="00E128B3">
        <w:rPr>
          <w:b/>
          <w:lang w:val="en-GB" w:bidi="en-GB"/>
        </w:rPr>
        <w:fldChar w:fldCharType="separate"/>
      </w:r>
      <w:r w:rsidR="00136D57">
        <w:rPr>
          <w:b/>
          <w:noProof/>
          <w:lang w:val="en-GB" w:bidi="en-GB"/>
        </w:rPr>
        <w:t>1</w:t>
      </w:r>
      <w:r w:rsidR="00A36661" w:rsidRPr="00E128B3">
        <w:rPr>
          <w:b/>
          <w:noProof/>
          <w:lang w:val="en-GB" w:bidi="en-GB"/>
        </w:rPr>
        <w:fldChar w:fldCharType="end"/>
      </w:r>
      <w:r w:rsidRPr="00E128B3">
        <w:rPr>
          <w:b/>
          <w:lang w:val="en-GB" w:bidi="en-GB"/>
        </w:rPr>
        <w:t xml:space="preserve">: </w:t>
      </w:r>
      <w:r w:rsidR="00470F6E">
        <w:rPr>
          <w:b/>
          <w:lang w:val="en-GB" w:bidi="en-GB"/>
        </w:rPr>
        <w:tab/>
      </w:r>
      <w:r w:rsidRPr="00E128B3">
        <w:rPr>
          <w:b/>
          <w:lang w:val="en-GB" w:bidi="en-GB"/>
        </w:rPr>
        <w:t xml:space="preserve">An overview of the ongoing and closed calls under PA2 of the OPE 2014–2020 </w:t>
      </w:r>
      <w:r w:rsidR="00470F6E">
        <w:rPr>
          <w:b/>
          <w:lang w:val="en-GB" w:bidi="en-GB"/>
        </w:rPr>
        <w:br/>
      </w:r>
      <w:r w:rsidRPr="00E128B3">
        <w:rPr>
          <w:b/>
          <w:lang w:val="en-GB" w:bidi="en-GB"/>
        </w:rPr>
        <w:t>(as of 7 August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3"/>
        <w:gridCol w:w="1713"/>
        <w:gridCol w:w="1276"/>
        <w:gridCol w:w="1002"/>
        <w:gridCol w:w="681"/>
        <w:gridCol w:w="1077"/>
        <w:gridCol w:w="681"/>
        <w:gridCol w:w="1077"/>
        <w:gridCol w:w="1002"/>
      </w:tblGrid>
      <w:tr w:rsidR="00B9337F" w:rsidRPr="00E128B3" w14:paraId="062AB3D1" w14:textId="77777777" w:rsidTr="00395345">
        <w:trPr>
          <w:trHeight w:val="238"/>
        </w:trPr>
        <w:tc>
          <w:tcPr>
            <w:tcW w:w="404" w:type="pct"/>
            <w:vMerge w:val="restart"/>
            <w:shd w:val="clear" w:color="auto" w:fill="E5F1FF"/>
            <w:tcMar>
              <w:top w:w="0" w:type="dxa"/>
              <w:left w:w="70" w:type="dxa"/>
              <w:bottom w:w="0" w:type="dxa"/>
              <w:right w:w="70" w:type="dxa"/>
            </w:tcMar>
            <w:vAlign w:val="center"/>
            <w:hideMark/>
          </w:tcPr>
          <w:p w14:paraId="7A0D2B5E" w14:textId="77777777" w:rsidR="00395345" w:rsidRPr="00E128B3" w:rsidRDefault="00395345" w:rsidP="00D508AC">
            <w:pPr>
              <w:keepNext/>
              <w:jc w:val="center"/>
              <w:rPr>
                <w:rFonts w:ascii="Calibri" w:eastAsia="Calibri" w:hAnsi="Calibri" w:cs="Calibri"/>
                <w:b/>
                <w:bCs/>
                <w:sz w:val="16"/>
                <w:szCs w:val="16"/>
                <w:lang w:val="en-GB"/>
              </w:rPr>
            </w:pPr>
            <w:r w:rsidRPr="00E128B3">
              <w:rPr>
                <w:rFonts w:ascii="Calibri" w:eastAsia="Calibri" w:hAnsi="Calibri" w:cs="Calibri"/>
                <w:b/>
                <w:sz w:val="16"/>
                <w:szCs w:val="16"/>
                <w:lang w:val="en-GB" w:bidi="en-GB"/>
              </w:rPr>
              <w:t>Specific objective</w:t>
            </w:r>
          </w:p>
        </w:tc>
        <w:tc>
          <w:tcPr>
            <w:tcW w:w="958" w:type="pct"/>
            <w:vMerge w:val="restart"/>
            <w:shd w:val="clear" w:color="auto" w:fill="E5F1FF"/>
            <w:tcMar>
              <w:top w:w="0" w:type="dxa"/>
              <w:left w:w="70" w:type="dxa"/>
              <w:bottom w:w="0" w:type="dxa"/>
              <w:right w:w="70" w:type="dxa"/>
            </w:tcMar>
            <w:vAlign w:val="center"/>
            <w:hideMark/>
          </w:tcPr>
          <w:p w14:paraId="6645BFEA" w14:textId="77777777" w:rsidR="00395345" w:rsidRPr="00E128B3" w:rsidRDefault="00395345" w:rsidP="00D508AC">
            <w:pPr>
              <w:keepNext/>
              <w:ind w:left="-3"/>
              <w:jc w:val="center"/>
              <w:rPr>
                <w:rFonts w:ascii="Calibri" w:eastAsia="Calibri" w:hAnsi="Calibri" w:cs="Calibri"/>
                <w:b/>
                <w:bCs/>
                <w:sz w:val="16"/>
                <w:szCs w:val="16"/>
                <w:lang w:val="en-GB"/>
              </w:rPr>
            </w:pPr>
            <w:r w:rsidRPr="00E128B3">
              <w:rPr>
                <w:rFonts w:ascii="Calibri" w:eastAsia="Calibri" w:hAnsi="Calibri" w:cs="Calibri"/>
                <w:b/>
                <w:sz w:val="16"/>
                <w:szCs w:val="16"/>
                <w:lang w:val="en-GB" w:bidi="en-GB"/>
              </w:rPr>
              <w:t>Call title</w:t>
            </w:r>
          </w:p>
        </w:tc>
        <w:tc>
          <w:tcPr>
            <w:tcW w:w="575" w:type="pct"/>
            <w:vMerge w:val="restart"/>
            <w:shd w:val="clear" w:color="auto" w:fill="E5F1FF"/>
            <w:tcMar>
              <w:top w:w="0" w:type="dxa"/>
              <w:left w:w="70" w:type="dxa"/>
              <w:bottom w:w="0" w:type="dxa"/>
              <w:right w:w="70" w:type="dxa"/>
            </w:tcMar>
            <w:vAlign w:val="center"/>
            <w:hideMark/>
          </w:tcPr>
          <w:p w14:paraId="1CE05D22" w14:textId="77FE9AC4" w:rsidR="00395345" w:rsidRPr="00E128B3" w:rsidRDefault="00395345" w:rsidP="00D508AC">
            <w:pPr>
              <w:keepNext/>
              <w:jc w:val="center"/>
              <w:rPr>
                <w:rFonts w:ascii="Calibri" w:eastAsia="Calibri" w:hAnsi="Calibri" w:cs="Calibri"/>
                <w:b/>
                <w:bCs/>
                <w:sz w:val="16"/>
                <w:szCs w:val="16"/>
                <w:lang w:val="en-GB"/>
              </w:rPr>
            </w:pPr>
            <w:r w:rsidRPr="00E128B3">
              <w:rPr>
                <w:rFonts w:ascii="Calibri" w:eastAsia="Calibri" w:hAnsi="Calibri" w:cs="Calibri"/>
                <w:b/>
                <w:sz w:val="16"/>
                <w:szCs w:val="16"/>
                <w:lang w:val="en-GB" w:bidi="en-GB"/>
              </w:rPr>
              <w:t>Application deadline</w:t>
            </w:r>
          </w:p>
        </w:tc>
        <w:tc>
          <w:tcPr>
            <w:tcW w:w="657" w:type="pct"/>
            <w:vMerge w:val="restart"/>
            <w:shd w:val="clear" w:color="auto" w:fill="E5F1FF"/>
            <w:tcMar>
              <w:top w:w="0" w:type="dxa"/>
              <w:left w:w="70" w:type="dxa"/>
              <w:bottom w:w="0" w:type="dxa"/>
              <w:right w:w="70" w:type="dxa"/>
            </w:tcMar>
            <w:vAlign w:val="center"/>
            <w:hideMark/>
          </w:tcPr>
          <w:p w14:paraId="6661B51F" w14:textId="7358C054" w:rsidR="00395345" w:rsidRPr="00E128B3" w:rsidRDefault="00395345" w:rsidP="00D508AC">
            <w:pPr>
              <w:keepNext/>
              <w:jc w:val="center"/>
              <w:rPr>
                <w:rFonts w:ascii="Calibri" w:eastAsia="Calibri" w:hAnsi="Calibri" w:cs="Calibri"/>
                <w:b/>
                <w:bCs/>
                <w:sz w:val="16"/>
                <w:szCs w:val="16"/>
                <w:lang w:val="en-GB"/>
              </w:rPr>
            </w:pPr>
            <w:r w:rsidRPr="00E128B3">
              <w:rPr>
                <w:rFonts w:ascii="Calibri" w:eastAsia="Calibri" w:hAnsi="Calibri" w:cs="Calibri"/>
                <w:b/>
                <w:sz w:val="16"/>
                <w:szCs w:val="16"/>
                <w:lang w:val="en-GB" w:bidi="en-GB"/>
              </w:rPr>
              <w:t>Amount of EU contribution allocated to the call (CZK)</w:t>
            </w:r>
          </w:p>
        </w:tc>
        <w:tc>
          <w:tcPr>
            <w:tcW w:w="897" w:type="pct"/>
            <w:gridSpan w:val="2"/>
            <w:shd w:val="clear" w:color="auto" w:fill="E5F1FF"/>
            <w:tcMar>
              <w:top w:w="0" w:type="dxa"/>
              <w:left w:w="70" w:type="dxa"/>
              <w:bottom w:w="0" w:type="dxa"/>
              <w:right w:w="70" w:type="dxa"/>
            </w:tcMar>
            <w:vAlign w:val="center"/>
            <w:hideMark/>
          </w:tcPr>
          <w:p w14:paraId="4D6E42F3" w14:textId="6DEEE6E9" w:rsidR="00395345" w:rsidRPr="00E128B3" w:rsidRDefault="00395345" w:rsidP="00D508AC">
            <w:pPr>
              <w:keepNext/>
              <w:jc w:val="center"/>
              <w:rPr>
                <w:rFonts w:ascii="Calibri" w:eastAsia="Calibri" w:hAnsi="Calibri" w:cs="Calibri"/>
                <w:b/>
                <w:bCs/>
                <w:sz w:val="16"/>
                <w:szCs w:val="16"/>
                <w:lang w:val="en-GB"/>
              </w:rPr>
            </w:pPr>
            <w:r w:rsidRPr="00E128B3">
              <w:rPr>
                <w:rFonts w:ascii="Calibri" w:eastAsia="Calibri" w:hAnsi="Calibri" w:cs="Calibri"/>
                <w:b/>
                <w:sz w:val="16"/>
                <w:szCs w:val="16"/>
                <w:lang w:val="en-GB" w:bidi="en-GB"/>
              </w:rPr>
              <w:t>Applications submitted under individual calls</w:t>
            </w:r>
          </w:p>
        </w:tc>
        <w:tc>
          <w:tcPr>
            <w:tcW w:w="927" w:type="pct"/>
            <w:gridSpan w:val="2"/>
            <w:shd w:val="clear" w:color="auto" w:fill="E5F1FF"/>
            <w:tcMar>
              <w:top w:w="0" w:type="dxa"/>
              <w:left w:w="70" w:type="dxa"/>
              <w:bottom w:w="0" w:type="dxa"/>
              <w:right w:w="70" w:type="dxa"/>
            </w:tcMar>
            <w:vAlign w:val="center"/>
            <w:hideMark/>
          </w:tcPr>
          <w:p w14:paraId="1A0B3235" w14:textId="2ED751A0" w:rsidR="00395345" w:rsidRPr="00E128B3" w:rsidRDefault="00395345" w:rsidP="00D508AC">
            <w:pPr>
              <w:keepNext/>
              <w:jc w:val="center"/>
              <w:rPr>
                <w:rFonts w:ascii="Calibri" w:eastAsia="Calibri" w:hAnsi="Calibri" w:cs="Calibri"/>
                <w:b/>
                <w:bCs/>
                <w:sz w:val="16"/>
                <w:szCs w:val="16"/>
                <w:lang w:val="en-GB"/>
              </w:rPr>
            </w:pPr>
            <w:r w:rsidRPr="00E128B3">
              <w:rPr>
                <w:rFonts w:ascii="Calibri" w:eastAsia="Calibri" w:hAnsi="Calibri" w:cs="Calibri"/>
                <w:b/>
                <w:sz w:val="16"/>
                <w:szCs w:val="16"/>
                <w:lang w:val="en-GB" w:bidi="en-GB"/>
              </w:rPr>
              <w:t>Applications approved by the managing authority</w:t>
            </w:r>
          </w:p>
        </w:tc>
        <w:tc>
          <w:tcPr>
            <w:tcW w:w="582" w:type="pct"/>
            <w:vMerge w:val="restart"/>
            <w:shd w:val="clear" w:color="auto" w:fill="E5F1FF"/>
            <w:tcMar>
              <w:top w:w="0" w:type="dxa"/>
              <w:left w:w="70" w:type="dxa"/>
              <w:bottom w:w="0" w:type="dxa"/>
              <w:right w:w="70" w:type="dxa"/>
            </w:tcMar>
            <w:vAlign w:val="center"/>
            <w:hideMark/>
          </w:tcPr>
          <w:p w14:paraId="3A91CB22" w14:textId="18843AA7" w:rsidR="00395345" w:rsidRPr="00E128B3" w:rsidRDefault="00395345" w:rsidP="00D508AC">
            <w:pPr>
              <w:keepNext/>
              <w:jc w:val="center"/>
              <w:rPr>
                <w:rFonts w:ascii="Calibri" w:eastAsia="Calibri" w:hAnsi="Calibri" w:cs="Calibri"/>
                <w:b/>
                <w:bCs/>
                <w:sz w:val="16"/>
                <w:szCs w:val="16"/>
                <w:lang w:val="en-GB"/>
              </w:rPr>
            </w:pPr>
            <w:r w:rsidRPr="00E128B3">
              <w:rPr>
                <w:rFonts w:ascii="Calibri" w:eastAsia="Calibri" w:hAnsi="Calibri" w:cs="Calibri"/>
                <w:b/>
                <w:sz w:val="16"/>
                <w:szCs w:val="16"/>
                <w:lang w:val="en-GB" w:bidi="en-GB"/>
              </w:rPr>
              <w:t>Amounts paid to beneficiaries (CZK)</w:t>
            </w:r>
          </w:p>
        </w:tc>
      </w:tr>
      <w:tr w:rsidR="00B9337F" w:rsidRPr="00E128B3" w14:paraId="7D89664D" w14:textId="77777777" w:rsidTr="00395345">
        <w:trPr>
          <w:trHeight w:val="348"/>
        </w:trPr>
        <w:tc>
          <w:tcPr>
            <w:tcW w:w="404" w:type="pct"/>
            <w:vMerge/>
            <w:vAlign w:val="center"/>
            <w:hideMark/>
          </w:tcPr>
          <w:p w14:paraId="2F4111F3" w14:textId="77777777" w:rsidR="00395345" w:rsidRPr="00E128B3" w:rsidRDefault="00395345" w:rsidP="00D508AC">
            <w:pPr>
              <w:keepNext/>
              <w:spacing w:line="259" w:lineRule="auto"/>
              <w:rPr>
                <w:rFonts w:ascii="Calibri" w:eastAsia="Calibri" w:hAnsi="Calibri" w:cs="Calibri"/>
                <w:b/>
                <w:bCs/>
                <w:sz w:val="16"/>
                <w:szCs w:val="16"/>
                <w:lang w:val="en-GB"/>
              </w:rPr>
            </w:pPr>
          </w:p>
        </w:tc>
        <w:tc>
          <w:tcPr>
            <w:tcW w:w="958" w:type="pct"/>
            <w:vMerge/>
            <w:vAlign w:val="center"/>
            <w:hideMark/>
          </w:tcPr>
          <w:p w14:paraId="6E5A5384" w14:textId="77777777" w:rsidR="00395345" w:rsidRPr="00E128B3" w:rsidRDefault="00395345" w:rsidP="00D508AC">
            <w:pPr>
              <w:keepNext/>
              <w:spacing w:line="259" w:lineRule="auto"/>
              <w:rPr>
                <w:rFonts w:ascii="Calibri" w:eastAsia="Calibri" w:hAnsi="Calibri" w:cs="Calibri"/>
                <w:b/>
                <w:bCs/>
                <w:sz w:val="16"/>
                <w:szCs w:val="16"/>
                <w:lang w:val="en-GB"/>
              </w:rPr>
            </w:pPr>
          </w:p>
        </w:tc>
        <w:tc>
          <w:tcPr>
            <w:tcW w:w="575" w:type="pct"/>
            <w:vMerge/>
            <w:vAlign w:val="center"/>
            <w:hideMark/>
          </w:tcPr>
          <w:p w14:paraId="1A42F0A8" w14:textId="77777777" w:rsidR="00395345" w:rsidRPr="00E128B3" w:rsidRDefault="00395345" w:rsidP="00D508AC">
            <w:pPr>
              <w:keepNext/>
              <w:spacing w:line="259" w:lineRule="auto"/>
              <w:rPr>
                <w:rFonts w:ascii="Calibri" w:eastAsia="Calibri" w:hAnsi="Calibri" w:cs="Calibri"/>
                <w:b/>
                <w:bCs/>
                <w:sz w:val="16"/>
                <w:szCs w:val="16"/>
                <w:lang w:val="en-GB"/>
              </w:rPr>
            </w:pPr>
          </w:p>
        </w:tc>
        <w:tc>
          <w:tcPr>
            <w:tcW w:w="657" w:type="pct"/>
            <w:vMerge/>
            <w:vAlign w:val="center"/>
            <w:hideMark/>
          </w:tcPr>
          <w:p w14:paraId="151720B2" w14:textId="77777777" w:rsidR="00395345" w:rsidRPr="00E128B3" w:rsidRDefault="00395345" w:rsidP="00D508AC">
            <w:pPr>
              <w:keepNext/>
              <w:spacing w:line="259" w:lineRule="auto"/>
              <w:rPr>
                <w:rFonts w:ascii="Calibri" w:eastAsia="Calibri" w:hAnsi="Calibri" w:cs="Calibri"/>
                <w:b/>
                <w:bCs/>
                <w:sz w:val="16"/>
                <w:szCs w:val="16"/>
                <w:lang w:val="en-GB"/>
              </w:rPr>
            </w:pPr>
          </w:p>
        </w:tc>
        <w:tc>
          <w:tcPr>
            <w:tcW w:w="268" w:type="pct"/>
            <w:shd w:val="clear" w:color="auto" w:fill="E5F1FF"/>
            <w:tcMar>
              <w:top w:w="0" w:type="dxa"/>
              <w:left w:w="70" w:type="dxa"/>
              <w:bottom w:w="0" w:type="dxa"/>
              <w:right w:w="70" w:type="dxa"/>
            </w:tcMar>
            <w:vAlign w:val="center"/>
            <w:hideMark/>
          </w:tcPr>
          <w:p w14:paraId="334E00F7" w14:textId="77777777" w:rsidR="00395345" w:rsidRPr="00E128B3" w:rsidRDefault="00395345" w:rsidP="00D508AC">
            <w:pPr>
              <w:keepNext/>
              <w:spacing w:line="259" w:lineRule="auto"/>
              <w:jc w:val="center"/>
              <w:rPr>
                <w:rFonts w:ascii="Calibri" w:eastAsia="Calibri" w:hAnsi="Calibri" w:cs="Calibri"/>
                <w:b/>
                <w:bCs/>
                <w:sz w:val="16"/>
                <w:szCs w:val="16"/>
                <w:lang w:val="en-GB"/>
              </w:rPr>
            </w:pPr>
            <w:r w:rsidRPr="00E128B3">
              <w:rPr>
                <w:rFonts w:ascii="Calibri" w:eastAsia="Calibri" w:hAnsi="Calibri" w:cs="Calibri"/>
                <w:b/>
                <w:sz w:val="16"/>
                <w:szCs w:val="16"/>
                <w:lang w:val="en-GB" w:bidi="en-GB"/>
              </w:rPr>
              <w:t>Quantity</w:t>
            </w:r>
          </w:p>
        </w:tc>
        <w:tc>
          <w:tcPr>
            <w:tcW w:w="629" w:type="pct"/>
            <w:shd w:val="clear" w:color="auto" w:fill="E5F1FF"/>
            <w:tcMar>
              <w:top w:w="0" w:type="dxa"/>
              <w:left w:w="70" w:type="dxa"/>
              <w:bottom w:w="0" w:type="dxa"/>
              <w:right w:w="70" w:type="dxa"/>
            </w:tcMar>
            <w:vAlign w:val="center"/>
            <w:hideMark/>
          </w:tcPr>
          <w:p w14:paraId="5287D554" w14:textId="35993E07" w:rsidR="00395345" w:rsidRPr="00E128B3" w:rsidRDefault="00395345" w:rsidP="00D508AC">
            <w:pPr>
              <w:keepNext/>
              <w:spacing w:line="259" w:lineRule="auto"/>
              <w:jc w:val="center"/>
              <w:rPr>
                <w:rFonts w:ascii="Calibri" w:eastAsia="Calibri" w:hAnsi="Calibri" w:cs="Calibri"/>
                <w:b/>
                <w:bCs/>
                <w:sz w:val="16"/>
                <w:szCs w:val="16"/>
                <w:lang w:val="en-GB"/>
              </w:rPr>
            </w:pPr>
            <w:r w:rsidRPr="00E128B3">
              <w:rPr>
                <w:rFonts w:ascii="Calibri" w:eastAsia="Calibri" w:hAnsi="Calibri" w:cs="Calibri"/>
                <w:b/>
                <w:sz w:val="16"/>
                <w:szCs w:val="16"/>
                <w:lang w:val="en-GB" w:bidi="en-GB"/>
              </w:rPr>
              <w:t>EU contribution (CZK)</w:t>
            </w:r>
          </w:p>
        </w:tc>
        <w:tc>
          <w:tcPr>
            <w:tcW w:w="261" w:type="pct"/>
            <w:shd w:val="clear" w:color="auto" w:fill="E5F1FF"/>
            <w:tcMar>
              <w:top w:w="0" w:type="dxa"/>
              <w:left w:w="70" w:type="dxa"/>
              <w:bottom w:w="0" w:type="dxa"/>
              <w:right w:w="70" w:type="dxa"/>
            </w:tcMar>
            <w:vAlign w:val="center"/>
            <w:hideMark/>
          </w:tcPr>
          <w:p w14:paraId="400FC9F0" w14:textId="77777777" w:rsidR="00395345" w:rsidRPr="00E128B3" w:rsidRDefault="00395345" w:rsidP="00D508AC">
            <w:pPr>
              <w:keepNext/>
              <w:spacing w:line="259" w:lineRule="auto"/>
              <w:jc w:val="center"/>
              <w:rPr>
                <w:rFonts w:ascii="Calibri" w:eastAsia="Calibri" w:hAnsi="Calibri" w:cs="Calibri"/>
                <w:b/>
                <w:bCs/>
                <w:sz w:val="16"/>
                <w:szCs w:val="16"/>
                <w:lang w:val="en-GB"/>
              </w:rPr>
            </w:pPr>
            <w:r w:rsidRPr="00E128B3">
              <w:rPr>
                <w:rFonts w:ascii="Calibri" w:eastAsia="Calibri" w:hAnsi="Calibri" w:cs="Calibri"/>
                <w:b/>
                <w:sz w:val="16"/>
                <w:szCs w:val="16"/>
                <w:lang w:val="en-GB" w:bidi="en-GB"/>
              </w:rPr>
              <w:t>Quantity</w:t>
            </w:r>
          </w:p>
        </w:tc>
        <w:tc>
          <w:tcPr>
            <w:tcW w:w="666" w:type="pct"/>
            <w:shd w:val="clear" w:color="auto" w:fill="E5F1FF"/>
            <w:tcMar>
              <w:top w:w="0" w:type="dxa"/>
              <w:left w:w="70" w:type="dxa"/>
              <w:bottom w:w="0" w:type="dxa"/>
              <w:right w:w="70" w:type="dxa"/>
            </w:tcMar>
            <w:vAlign w:val="center"/>
            <w:hideMark/>
          </w:tcPr>
          <w:p w14:paraId="38C2CE89" w14:textId="79CB389D" w:rsidR="00395345" w:rsidRPr="00E128B3" w:rsidRDefault="00395345" w:rsidP="00D508AC">
            <w:pPr>
              <w:keepNext/>
              <w:spacing w:line="259" w:lineRule="auto"/>
              <w:jc w:val="center"/>
              <w:rPr>
                <w:rFonts w:ascii="Calibri" w:eastAsia="Calibri" w:hAnsi="Calibri" w:cs="Calibri"/>
                <w:b/>
                <w:bCs/>
                <w:sz w:val="16"/>
                <w:szCs w:val="16"/>
                <w:lang w:val="en-GB"/>
              </w:rPr>
            </w:pPr>
            <w:r w:rsidRPr="00E128B3">
              <w:rPr>
                <w:rFonts w:ascii="Calibri" w:eastAsia="Calibri" w:hAnsi="Calibri" w:cs="Calibri"/>
                <w:b/>
                <w:sz w:val="16"/>
                <w:szCs w:val="16"/>
                <w:lang w:val="en-GB" w:bidi="en-GB"/>
              </w:rPr>
              <w:t>EU contribution (CZK)</w:t>
            </w:r>
          </w:p>
        </w:tc>
        <w:tc>
          <w:tcPr>
            <w:tcW w:w="582" w:type="pct"/>
            <w:vMerge/>
            <w:vAlign w:val="center"/>
            <w:hideMark/>
          </w:tcPr>
          <w:p w14:paraId="247A2926" w14:textId="77777777" w:rsidR="00395345" w:rsidRPr="00E128B3" w:rsidRDefault="00395345" w:rsidP="00D508AC">
            <w:pPr>
              <w:keepNext/>
              <w:spacing w:line="259" w:lineRule="auto"/>
              <w:rPr>
                <w:rFonts w:ascii="Calibri" w:eastAsia="Calibri" w:hAnsi="Calibri" w:cs="Calibri"/>
                <w:b/>
                <w:bCs/>
                <w:sz w:val="16"/>
                <w:szCs w:val="16"/>
                <w:lang w:val="en-GB"/>
              </w:rPr>
            </w:pPr>
          </w:p>
        </w:tc>
      </w:tr>
      <w:tr w:rsidR="00B9337F" w:rsidRPr="00E128B3" w14:paraId="5717EB01" w14:textId="77777777" w:rsidTr="00395345">
        <w:trPr>
          <w:trHeight w:val="121"/>
        </w:trPr>
        <w:tc>
          <w:tcPr>
            <w:tcW w:w="404" w:type="pct"/>
            <w:noWrap/>
            <w:tcMar>
              <w:top w:w="0" w:type="dxa"/>
              <w:left w:w="70" w:type="dxa"/>
              <w:bottom w:w="0" w:type="dxa"/>
              <w:right w:w="70" w:type="dxa"/>
            </w:tcMar>
            <w:vAlign w:val="center"/>
            <w:hideMark/>
          </w:tcPr>
          <w:p w14:paraId="1B268D76" w14:textId="77777777" w:rsidR="00395345" w:rsidRPr="00E128B3" w:rsidRDefault="00395345" w:rsidP="00D508AC">
            <w:pPr>
              <w:keepNext/>
              <w:spacing w:line="259" w:lineRule="auto"/>
              <w:rPr>
                <w:rFonts w:ascii="Calibri" w:eastAsia="Calibri" w:hAnsi="Calibri" w:cs="Calibri"/>
                <w:b/>
                <w:bCs/>
                <w:sz w:val="16"/>
                <w:szCs w:val="16"/>
                <w:lang w:val="en-GB"/>
              </w:rPr>
            </w:pPr>
            <w:r w:rsidRPr="00E128B3">
              <w:rPr>
                <w:rFonts w:ascii="Calibri" w:eastAsia="Calibri" w:hAnsi="Calibri" w:cs="Calibri"/>
                <w:b/>
                <w:sz w:val="16"/>
                <w:szCs w:val="16"/>
                <w:lang w:val="en-GB" w:bidi="en-GB"/>
              </w:rPr>
              <w:t>Total</w:t>
            </w:r>
          </w:p>
        </w:tc>
        <w:tc>
          <w:tcPr>
            <w:tcW w:w="1533" w:type="pct"/>
            <w:gridSpan w:val="2"/>
            <w:noWrap/>
            <w:tcMar>
              <w:top w:w="0" w:type="dxa"/>
              <w:left w:w="70" w:type="dxa"/>
              <w:bottom w:w="0" w:type="dxa"/>
              <w:right w:w="70" w:type="dxa"/>
            </w:tcMar>
            <w:vAlign w:val="center"/>
            <w:hideMark/>
          </w:tcPr>
          <w:p w14:paraId="310DBA84" w14:textId="77777777" w:rsidR="00395345" w:rsidRPr="00E128B3" w:rsidRDefault="00395345" w:rsidP="00D508AC">
            <w:pPr>
              <w:keepNext/>
              <w:spacing w:line="259" w:lineRule="auto"/>
              <w:rPr>
                <w:rFonts w:ascii="Calibri" w:eastAsia="Calibri" w:hAnsi="Calibri" w:cs="Calibri"/>
                <w:b/>
                <w:bCs/>
                <w:sz w:val="16"/>
                <w:szCs w:val="16"/>
                <w:lang w:val="en-GB"/>
              </w:rPr>
            </w:pPr>
            <w:r w:rsidRPr="00E128B3">
              <w:rPr>
                <w:rFonts w:ascii="Calibri" w:eastAsia="Calibri" w:hAnsi="Calibri" w:cs="Calibri"/>
                <w:b/>
                <w:sz w:val="16"/>
                <w:szCs w:val="16"/>
                <w:lang w:val="en-GB" w:bidi="en-GB"/>
              </w:rPr>
              <w:t>Priority axis 2</w:t>
            </w:r>
          </w:p>
        </w:tc>
        <w:tc>
          <w:tcPr>
            <w:tcW w:w="657" w:type="pct"/>
            <w:noWrap/>
            <w:tcMar>
              <w:top w:w="0" w:type="dxa"/>
              <w:left w:w="70" w:type="dxa"/>
              <w:bottom w:w="0" w:type="dxa"/>
              <w:right w:w="70" w:type="dxa"/>
            </w:tcMar>
            <w:vAlign w:val="center"/>
            <w:hideMark/>
          </w:tcPr>
          <w:p w14:paraId="76B91AD7"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9,921,980,000</w:t>
            </w:r>
          </w:p>
        </w:tc>
        <w:tc>
          <w:tcPr>
            <w:tcW w:w="268" w:type="pct"/>
            <w:noWrap/>
            <w:tcMar>
              <w:top w:w="0" w:type="dxa"/>
              <w:left w:w="70" w:type="dxa"/>
              <w:bottom w:w="0" w:type="dxa"/>
              <w:right w:w="70" w:type="dxa"/>
            </w:tcMar>
            <w:vAlign w:val="center"/>
            <w:hideMark/>
          </w:tcPr>
          <w:p w14:paraId="36478F7C"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525</w:t>
            </w:r>
          </w:p>
        </w:tc>
        <w:tc>
          <w:tcPr>
            <w:tcW w:w="629" w:type="pct"/>
            <w:noWrap/>
            <w:tcMar>
              <w:top w:w="0" w:type="dxa"/>
              <w:left w:w="70" w:type="dxa"/>
              <w:bottom w:w="0" w:type="dxa"/>
              <w:right w:w="70" w:type="dxa"/>
            </w:tcMar>
            <w:vAlign w:val="center"/>
            <w:hideMark/>
          </w:tcPr>
          <w:p w14:paraId="725858BE" w14:textId="77777777" w:rsidR="00395345" w:rsidRPr="00E128B3" w:rsidRDefault="00395345" w:rsidP="00D508AC">
            <w:pPr>
              <w:keepNext/>
              <w:spacing w:line="259" w:lineRule="auto"/>
              <w:jc w:val="right"/>
              <w:rPr>
                <w:rFonts w:ascii="Calibri" w:eastAsia="Calibri" w:hAnsi="Calibri" w:cs="Calibri"/>
                <w:b/>
                <w:bCs/>
                <w:sz w:val="16"/>
                <w:szCs w:val="16"/>
                <w:highlight w:val="yellow"/>
                <w:lang w:val="en-GB"/>
              </w:rPr>
            </w:pPr>
            <w:r w:rsidRPr="00E128B3">
              <w:rPr>
                <w:rFonts w:ascii="Calibri" w:eastAsia="Calibri" w:hAnsi="Calibri" w:cs="Calibri"/>
                <w:b/>
                <w:sz w:val="16"/>
                <w:szCs w:val="16"/>
                <w:lang w:val="en-GB" w:bidi="en-GB"/>
              </w:rPr>
              <w:t>17,264,291,670</w:t>
            </w:r>
          </w:p>
        </w:tc>
        <w:tc>
          <w:tcPr>
            <w:tcW w:w="261" w:type="pct"/>
            <w:noWrap/>
            <w:tcMar>
              <w:top w:w="0" w:type="dxa"/>
              <w:left w:w="70" w:type="dxa"/>
              <w:bottom w:w="0" w:type="dxa"/>
              <w:right w:w="70" w:type="dxa"/>
            </w:tcMar>
            <w:vAlign w:val="center"/>
            <w:hideMark/>
          </w:tcPr>
          <w:p w14:paraId="425162EA" w14:textId="77777777" w:rsidR="00395345" w:rsidRPr="00E128B3" w:rsidRDefault="00395345" w:rsidP="00D508AC">
            <w:pPr>
              <w:keepNext/>
              <w:spacing w:line="259" w:lineRule="auto"/>
              <w:jc w:val="right"/>
              <w:rPr>
                <w:rFonts w:ascii="Calibri" w:eastAsia="Calibri" w:hAnsi="Calibri" w:cs="Calibri"/>
                <w:b/>
                <w:bCs/>
                <w:sz w:val="16"/>
                <w:szCs w:val="16"/>
                <w:highlight w:val="yellow"/>
                <w:lang w:val="en-GB"/>
              </w:rPr>
            </w:pPr>
            <w:r w:rsidRPr="00E128B3">
              <w:rPr>
                <w:rFonts w:ascii="Calibri" w:eastAsia="Calibri" w:hAnsi="Calibri" w:cs="Calibri"/>
                <w:b/>
                <w:sz w:val="16"/>
                <w:szCs w:val="16"/>
                <w:lang w:val="en-GB" w:bidi="en-GB"/>
              </w:rPr>
              <w:t>190</w:t>
            </w:r>
          </w:p>
        </w:tc>
        <w:tc>
          <w:tcPr>
            <w:tcW w:w="666" w:type="pct"/>
            <w:noWrap/>
            <w:tcMar>
              <w:top w:w="0" w:type="dxa"/>
              <w:left w:w="70" w:type="dxa"/>
              <w:bottom w:w="0" w:type="dxa"/>
              <w:right w:w="70" w:type="dxa"/>
            </w:tcMar>
            <w:vAlign w:val="center"/>
            <w:hideMark/>
          </w:tcPr>
          <w:p w14:paraId="474C8871" w14:textId="77777777" w:rsidR="00395345" w:rsidRPr="00E128B3" w:rsidRDefault="00395345" w:rsidP="00D508AC">
            <w:pPr>
              <w:keepNext/>
              <w:spacing w:line="259" w:lineRule="auto"/>
              <w:jc w:val="right"/>
              <w:rPr>
                <w:rFonts w:ascii="Calibri" w:eastAsia="Calibri" w:hAnsi="Calibri" w:cs="Calibri"/>
                <w:b/>
                <w:bCs/>
                <w:sz w:val="16"/>
                <w:szCs w:val="16"/>
                <w:highlight w:val="yellow"/>
                <w:lang w:val="en-GB"/>
              </w:rPr>
            </w:pPr>
            <w:r w:rsidRPr="00E128B3">
              <w:rPr>
                <w:rFonts w:ascii="Calibri" w:eastAsia="Calibri" w:hAnsi="Calibri" w:cs="Calibri"/>
                <w:b/>
                <w:sz w:val="16"/>
                <w:szCs w:val="16"/>
                <w:lang w:val="en-GB" w:bidi="en-GB"/>
              </w:rPr>
              <w:t>10,760,864,500</w:t>
            </w:r>
          </w:p>
        </w:tc>
        <w:tc>
          <w:tcPr>
            <w:tcW w:w="582" w:type="pct"/>
            <w:noWrap/>
            <w:tcMar>
              <w:top w:w="0" w:type="dxa"/>
              <w:left w:w="70" w:type="dxa"/>
              <w:bottom w:w="0" w:type="dxa"/>
              <w:right w:w="70" w:type="dxa"/>
            </w:tcMar>
            <w:vAlign w:val="center"/>
            <w:hideMark/>
          </w:tcPr>
          <w:p w14:paraId="5E1B444B" w14:textId="77777777" w:rsidR="00395345" w:rsidRPr="00E128B3" w:rsidRDefault="00395345" w:rsidP="00D508AC">
            <w:pPr>
              <w:keepNext/>
              <w:spacing w:line="259" w:lineRule="auto"/>
              <w:jc w:val="right"/>
              <w:rPr>
                <w:rFonts w:ascii="Calibri" w:eastAsia="Calibri" w:hAnsi="Calibri" w:cs="Calibri"/>
                <w:b/>
                <w:bCs/>
                <w:sz w:val="16"/>
                <w:szCs w:val="16"/>
                <w:highlight w:val="yellow"/>
                <w:lang w:val="en-GB"/>
              </w:rPr>
            </w:pPr>
            <w:r w:rsidRPr="00E128B3">
              <w:rPr>
                <w:rFonts w:ascii="Calibri" w:eastAsia="Calibri" w:hAnsi="Calibri" w:cs="Calibri"/>
                <w:b/>
                <w:sz w:val="16"/>
                <w:szCs w:val="16"/>
                <w:lang w:val="en-GB" w:bidi="en-GB"/>
              </w:rPr>
              <w:t>5,836,802,952</w:t>
            </w:r>
          </w:p>
        </w:tc>
      </w:tr>
      <w:tr w:rsidR="00B9337F" w:rsidRPr="00E128B3" w14:paraId="35AD957A" w14:textId="77777777" w:rsidTr="00395345">
        <w:trPr>
          <w:trHeight w:val="121"/>
        </w:trPr>
        <w:tc>
          <w:tcPr>
            <w:tcW w:w="404" w:type="pct"/>
            <w:vMerge w:val="restart"/>
            <w:noWrap/>
            <w:tcMar>
              <w:top w:w="0" w:type="dxa"/>
              <w:left w:w="70" w:type="dxa"/>
              <w:bottom w:w="0" w:type="dxa"/>
              <w:right w:w="70" w:type="dxa"/>
            </w:tcMar>
            <w:vAlign w:val="center"/>
            <w:hideMark/>
          </w:tcPr>
          <w:p w14:paraId="4B9F6592" w14:textId="77777777" w:rsidR="00395345" w:rsidRPr="00E128B3" w:rsidRDefault="00395345" w:rsidP="00D508AC">
            <w:pPr>
              <w:keepNext/>
              <w:spacing w:line="259" w:lineRule="auto"/>
              <w:jc w:val="center"/>
              <w:rPr>
                <w:rFonts w:ascii="Calibri" w:eastAsia="Calibri" w:hAnsi="Calibri" w:cs="Calibri"/>
                <w:sz w:val="16"/>
                <w:szCs w:val="16"/>
                <w:lang w:val="en-GB"/>
              </w:rPr>
            </w:pPr>
            <w:r w:rsidRPr="00E128B3">
              <w:rPr>
                <w:rFonts w:ascii="Calibri" w:eastAsia="Calibri" w:hAnsi="Calibri" w:cs="Calibri"/>
                <w:sz w:val="16"/>
                <w:szCs w:val="16"/>
                <w:lang w:val="en-GB" w:bidi="en-GB"/>
              </w:rPr>
              <w:t>SO 2.1</w:t>
            </w:r>
          </w:p>
        </w:tc>
        <w:tc>
          <w:tcPr>
            <w:tcW w:w="958" w:type="pct"/>
            <w:noWrap/>
            <w:tcMar>
              <w:top w:w="0" w:type="dxa"/>
              <w:left w:w="70" w:type="dxa"/>
              <w:bottom w:w="0" w:type="dxa"/>
              <w:right w:w="70" w:type="dxa"/>
            </w:tcMar>
            <w:vAlign w:val="center"/>
            <w:hideMark/>
          </w:tcPr>
          <w:p w14:paraId="3D087492" w14:textId="77777777" w:rsidR="00395345" w:rsidRPr="00E128B3" w:rsidRDefault="00395345" w:rsidP="00D508AC">
            <w:pPr>
              <w:keepNext/>
              <w:spacing w:line="259" w:lineRule="auto"/>
              <w:rPr>
                <w:rFonts w:ascii="Calibri" w:eastAsia="Calibri" w:hAnsi="Calibri" w:cs="Calibri"/>
                <w:sz w:val="16"/>
                <w:szCs w:val="16"/>
                <w:lang w:val="en-GB"/>
              </w:rPr>
            </w:pPr>
            <w:r w:rsidRPr="00E128B3">
              <w:rPr>
                <w:rFonts w:ascii="Calibri" w:eastAsia="Calibri" w:hAnsi="Calibri" w:cs="Calibri"/>
                <w:sz w:val="16"/>
                <w:szCs w:val="16"/>
                <w:lang w:val="en-GB" w:bidi="en-GB"/>
              </w:rPr>
              <w:t>MoE_Call 16, rolling</w:t>
            </w:r>
          </w:p>
        </w:tc>
        <w:tc>
          <w:tcPr>
            <w:tcW w:w="575" w:type="pct"/>
            <w:noWrap/>
            <w:tcMar>
              <w:top w:w="0" w:type="dxa"/>
              <w:left w:w="70" w:type="dxa"/>
              <w:bottom w:w="0" w:type="dxa"/>
              <w:right w:w="70" w:type="dxa"/>
            </w:tcMar>
            <w:vAlign w:val="center"/>
            <w:hideMark/>
          </w:tcPr>
          <w:p w14:paraId="086CD969" w14:textId="5F531229"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24 October 2015</w:t>
            </w:r>
          </w:p>
        </w:tc>
        <w:tc>
          <w:tcPr>
            <w:tcW w:w="657" w:type="pct"/>
            <w:noWrap/>
            <w:tcMar>
              <w:top w:w="0" w:type="dxa"/>
              <w:left w:w="70" w:type="dxa"/>
              <w:bottom w:w="0" w:type="dxa"/>
              <w:right w:w="70" w:type="dxa"/>
            </w:tcMar>
            <w:vAlign w:val="center"/>
            <w:hideMark/>
          </w:tcPr>
          <w:p w14:paraId="52DD58DA"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3,000,000,000</w:t>
            </w:r>
          </w:p>
        </w:tc>
        <w:tc>
          <w:tcPr>
            <w:tcW w:w="268" w:type="pct"/>
            <w:noWrap/>
            <w:tcMar>
              <w:top w:w="0" w:type="dxa"/>
              <w:left w:w="70" w:type="dxa"/>
              <w:bottom w:w="0" w:type="dxa"/>
              <w:right w:w="70" w:type="dxa"/>
            </w:tcMar>
            <w:vAlign w:val="center"/>
            <w:hideMark/>
          </w:tcPr>
          <w:p w14:paraId="10A67685"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14</w:t>
            </w:r>
          </w:p>
        </w:tc>
        <w:tc>
          <w:tcPr>
            <w:tcW w:w="629" w:type="pct"/>
            <w:noWrap/>
            <w:tcMar>
              <w:top w:w="0" w:type="dxa"/>
              <w:left w:w="70" w:type="dxa"/>
              <w:bottom w:w="0" w:type="dxa"/>
              <w:right w:w="70" w:type="dxa"/>
            </w:tcMar>
            <w:vAlign w:val="center"/>
            <w:hideMark/>
          </w:tcPr>
          <w:p w14:paraId="5D1D7F31"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3,283,670,000</w:t>
            </w:r>
          </w:p>
        </w:tc>
        <w:tc>
          <w:tcPr>
            <w:tcW w:w="261" w:type="pct"/>
            <w:noWrap/>
            <w:tcMar>
              <w:top w:w="0" w:type="dxa"/>
              <w:left w:w="70" w:type="dxa"/>
              <w:bottom w:w="0" w:type="dxa"/>
              <w:right w:w="70" w:type="dxa"/>
            </w:tcMar>
            <w:vAlign w:val="center"/>
            <w:hideMark/>
          </w:tcPr>
          <w:p w14:paraId="4FA56174"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14</w:t>
            </w:r>
          </w:p>
        </w:tc>
        <w:tc>
          <w:tcPr>
            <w:tcW w:w="666" w:type="pct"/>
            <w:noWrap/>
            <w:tcMar>
              <w:top w:w="0" w:type="dxa"/>
              <w:left w:w="70" w:type="dxa"/>
              <w:bottom w:w="0" w:type="dxa"/>
              <w:right w:w="70" w:type="dxa"/>
            </w:tcMar>
            <w:vAlign w:val="center"/>
            <w:hideMark/>
          </w:tcPr>
          <w:p w14:paraId="16987323"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3,283,670,000</w:t>
            </w:r>
          </w:p>
        </w:tc>
        <w:tc>
          <w:tcPr>
            <w:tcW w:w="582" w:type="pct"/>
            <w:noWrap/>
            <w:tcMar>
              <w:top w:w="0" w:type="dxa"/>
              <w:left w:w="70" w:type="dxa"/>
              <w:bottom w:w="0" w:type="dxa"/>
              <w:right w:w="70" w:type="dxa"/>
            </w:tcMar>
            <w:vAlign w:val="center"/>
            <w:hideMark/>
          </w:tcPr>
          <w:p w14:paraId="7185D0F1"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3,260,530,114</w:t>
            </w:r>
          </w:p>
        </w:tc>
      </w:tr>
      <w:tr w:rsidR="00B9337F" w:rsidRPr="00E128B3" w14:paraId="6544E88E" w14:textId="77777777" w:rsidTr="00395345">
        <w:trPr>
          <w:trHeight w:val="121"/>
        </w:trPr>
        <w:tc>
          <w:tcPr>
            <w:tcW w:w="404" w:type="pct"/>
            <w:vMerge/>
            <w:vAlign w:val="center"/>
            <w:hideMark/>
          </w:tcPr>
          <w:p w14:paraId="5F4C40C3" w14:textId="77777777" w:rsidR="00395345" w:rsidRPr="00E128B3" w:rsidRDefault="00395345" w:rsidP="00D508AC">
            <w:pPr>
              <w:keepNext/>
              <w:spacing w:line="259" w:lineRule="auto"/>
              <w:rPr>
                <w:rFonts w:ascii="Calibri" w:eastAsia="Calibri" w:hAnsi="Calibri" w:cs="Calibri"/>
                <w:sz w:val="16"/>
                <w:szCs w:val="16"/>
                <w:lang w:val="en-GB"/>
              </w:rPr>
            </w:pPr>
          </w:p>
        </w:tc>
        <w:tc>
          <w:tcPr>
            <w:tcW w:w="958" w:type="pct"/>
            <w:noWrap/>
            <w:tcMar>
              <w:top w:w="0" w:type="dxa"/>
              <w:left w:w="70" w:type="dxa"/>
              <w:bottom w:w="0" w:type="dxa"/>
              <w:right w:w="70" w:type="dxa"/>
            </w:tcMar>
            <w:vAlign w:val="center"/>
            <w:hideMark/>
          </w:tcPr>
          <w:p w14:paraId="0B5D51B5" w14:textId="77777777" w:rsidR="00395345" w:rsidRPr="00E128B3" w:rsidRDefault="00395345" w:rsidP="00D508AC">
            <w:pPr>
              <w:keepNext/>
              <w:spacing w:line="259" w:lineRule="auto"/>
              <w:rPr>
                <w:rFonts w:ascii="Calibri" w:eastAsia="Calibri" w:hAnsi="Calibri" w:cs="Calibri"/>
                <w:sz w:val="16"/>
                <w:szCs w:val="16"/>
                <w:lang w:val="en-GB"/>
              </w:rPr>
            </w:pPr>
            <w:r w:rsidRPr="00E128B3">
              <w:rPr>
                <w:rFonts w:ascii="Calibri" w:eastAsia="Calibri" w:hAnsi="Calibri" w:cs="Calibri"/>
                <w:sz w:val="16"/>
                <w:szCs w:val="16"/>
                <w:lang w:val="en-GB" w:bidi="en-GB"/>
              </w:rPr>
              <w:t>MoE_Call 67, rolling</w:t>
            </w:r>
          </w:p>
        </w:tc>
        <w:tc>
          <w:tcPr>
            <w:tcW w:w="575" w:type="pct"/>
            <w:noWrap/>
            <w:tcMar>
              <w:top w:w="0" w:type="dxa"/>
              <w:left w:w="70" w:type="dxa"/>
              <w:bottom w:w="0" w:type="dxa"/>
              <w:right w:w="70" w:type="dxa"/>
            </w:tcMar>
            <w:vAlign w:val="center"/>
            <w:hideMark/>
          </w:tcPr>
          <w:p w14:paraId="16145091" w14:textId="484F7083"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28 April 2017</w:t>
            </w:r>
          </w:p>
        </w:tc>
        <w:tc>
          <w:tcPr>
            <w:tcW w:w="657" w:type="pct"/>
            <w:noWrap/>
            <w:tcMar>
              <w:top w:w="0" w:type="dxa"/>
              <w:left w:w="70" w:type="dxa"/>
              <w:bottom w:w="0" w:type="dxa"/>
              <w:right w:w="70" w:type="dxa"/>
            </w:tcMar>
            <w:vAlign w:val="center"/>
            <w:hideMark/>
          </w:tcPr>
          <w:p w14:paraId="24638CEA"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3,421,980,000</w:t>
            </w:r>
          </w:p>
        </w:tc>
        <w:tc>
          <w:tcPr>
            <w:tcW w:w="268" w:type="pct"/>
            <w:noWrap/>
            <w:tcMar>
              <w:top w:w="0" w:type="dxa"/>
              <w:left w:w="70" w:type="dxa"/>
              <w:bottom w:w="0" w:type="dxa"/>
              <w:right w:w="70" w:type="dxa"/>
            </w:tcMar>
            <w:vAlign w:val="center"/>
            <w:hideMark/>
          </w:tcPr>
          <w:p w14:paraId="1A21B65E"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14</w:t>
            </w:r>
          </w:p>
        </w:tc>
        <w:tc>
          <w:tcPr>
            <w:tcW w:w="629" w:type="pct"/>
            <w:noWrap/>
            <w:tcMar>
              <w:top w:w="0" w:type="dxa"/>
              <w:left w:w="70" w:type="dxa"/>
              <w:bottom w:w="0" w:type="dxa"/>
              <w:right w:w="70" w:type="dxa"/>
            </w:tcMar>
            <w:vAlign w:val="center"/>
            <w:hideMark/>
          </w:tcPr>
          <w:p w14:paraId="1A5DE0F5"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3,421,980,000</w:t>
            </w:r>
          </w:p>
        </w:tc>
        <w:tc>
          <w:tcPr>
            <w:tcW w:w="261" w:type="pct"/>
            <w:noWrap/>
            <w:tcMar>
              <w:top w:w="0" w:type="dxa"/>
              <w:left w:w="70" w:type="dxa"/>
              <w:bottom w:w="0" w:type="dxa"/>
              <w:right w:w="70" w:type="dxa"/>
            </w:tcMar>
            <w:vAlign w:val="center"/>
            <w:hideMark/>
          </w:tcPr>
          <w:p w14:paraId="1E8BE24F"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14</w:t>
            </w:r>
          </w:p>
        </w:tc>
        <w:tc>
          <w:tcPr>
            <w:tcW w:w="666" w:type="pct"/>
            <w:noWrap/>
            <w:tcMar>
              <w:top w:w="0" w:type="dxa"/>
              <w:left w:w="70" w:type="dxa"/>
              <w:bottom w:w="0" w:type="dxa"/>
              <w:right w:w="70" w:type="dxa"/>
            </w:tcMar>
            <w:vAlign w:val="center"/>
            <w:hideMark/>
          </w:tcPr>
          <w:p w14:paraId="7775B93A"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3,421,980,000</w:t>
            </w:r>
          </w:p>
        </w:tc>
        <w:tc>
          <w:tcPr>
            <w:tcW w:w="582" w:type="pct"/>
            <w:noWrap/>
            <w:tcMar>
              <w:top w:w="0" w:type="dxa"/>
              <w:left w:w="70" w:type="dxa"/>
              <w:bottom w:w="0" w:type="dxa"/>
              <w:right w:w="70" w:type="dxa"/>
            </w:tcMar>
            <w:vAlign w:val="center"/>
            <w:hideMark/>
          </w:tcPr>
          <w:p w14:paraId="7A4FDFAD"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1,877,820,613</w:t>
            </w:r>
          </w:p>
        </w:tc>
      </w:tr>
      <w:tr w:rsidR="00B9337F" w:rsidRPr="00E128B3" w14:paraId="02E3BF70" w14:textId="77777777" w:rsidTr="00395345">
        <w:trPr>
          <w:trHeight w:val="121"/>
        </w:trPr>
        <w:tc>
          <w:tcPr>
            <w:tcW w:w="404" w:type="pct"/>
            <w:noWrap/>
            <w:tcMar>
              <w:top w:w="0" w:type="dxa"/>
              <w:left w:w="70" w:type="dxa"/>
              <w:bottom w:w="0" w:type="dxa"/>
              <w:right w:w="70" w:type="dxa"/>
            </w:tcMar>
            <w:vAlign w:val="center"/>
            <w:hideMark/>
          </w:tcPr>
          <w:p w14:paraId="1F9A8168" w14:textId="77777777" w:rsidR="00395345" w:rsidRPr="00E128B3" w:rsidRDefault="00395345" w:rsidP="00D508AC">
            <w:pPr>
              <w:keepNext/>
              <w:spacing w:line="259" w:lineRule="auto"/>
              <w:rPr>
                <w:rFonts w:ascii="Calibri" w:eastAsia="Calibri" w:hAnsi="Calibri" w:cs="Calibri"/>
                <w:b/>
                <w:bCs/>
                <w:sz w:val="16"/>
                <w:szCs w:val="16"/>
                <w:lang w:val="en-GB"/>
              </w:rPr>
            </w:pPr>
            <w:r w:rsidRPr="00E128B3">
              <w:rPr>
                <w:rFonts w:ascii="Calibri" w:eastAsia="Calibri" w:hAnsi="Calibri" w:cs="Calibri"/>
                <w:b/>
                <w:sz w:val="16"/>
                <w:szCs w:val="16"/>
                <w:lang w:val="en-GB" w:bidi="en-GB"/>
              </w:rPr>
              <w:t>Total</w:t>
            </w:r>
          </w:p>
        </w:tc>
        <w:tc>
          <w:tcPr>
            <w:tcW w:w="958" w:type="pct"/>
            <w:noWrap/>
            <w:tcMar>
              <w:top w:w="0" w:type="dxa"/>
              <w:left w:w="70" w:type="dxa"/>
              <w:bottom w:w="0" w:type="dxa"/>
              <w:right w:w="70" w:type="dxa"/>
            </w:tcMar>
            <w:vAlign w:val="center"/>
            <w:hideMark/>
          </w:tcPr>
          <w:p w14:paraId="056322E4" w14:textId="77777777" w:rsidR="00395345" w:rsidRPr="00E128B3" w:rsidRDefault="00395345" w:rsidP="00D508AC">
            <w:pPr>
              <w:keepNext/>
              <w:spacing w:line="259" w:lineRule="auto"/>
              <w:rPr>
                <w:rFonts w:ascii="Calibri" w:eastAsia="Calibri" w:hAnsi="Calibri" w:cs="Calibri"/>
                <w:b/>
                <w:bCs/>
                <w:sz w:val="16"/>
                <w:szCs w:val="16"/>
                <w:lang w:val="en-GB"/>
              </w:rPr>
            </w:pPr>
            <w:r w:rsidRPr="00E128B3">
              <w:rPr>
                <w:rFonts w:ascii="Calibri" w:eastAsia="Calibri" w:hAnsi="Calibri" w:cs="Calibri"/>
                <w:b/>
                <w:sz w:val="16"/>
                <w:szCs w:val="16"/>
                <w:lang w:val="en-GB" w:bidi="en-GB"/>
              </w:rPr>
              <w:t>SO 2.1</w:t>
            </w:r>
          </w:p>
        </w:tc>
        <w:tc>
          <w:tcPr>
            <w:tcW w:w="575" w:type="pct"/>
            <w:noWrap/>
            <w:tcMar>
              <w:top w:w="0" w:type="dxa"/>
              <w:left w:w="70" w:type="dxa"/>
              <w:bottom w:w="0" w:type="dxa"/>
              <w:right w:w="70" w:type="dxa"/>
            </w:tcMar>
            <w:vAlign w:val="center"/>
            <w:hideMark/>
          </w:tcPr>
          <w:p w14:paraId="473E2978"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 </w:t>
            </w:r>
          </w:p>
        </w:tc>
        <w:tc>
          <w:tcPr>
            <w:tcW w:w="657" w:type="pct"/>
            <w:noWrap/>
            <w:tcMar>
              <w:top w:w="0" w:type="dxa"/>
              <w:left w:w="70" w:type="dxa"/>
              <w:bottom w:w="0" w:type="dxa"/>
              <w:right w:w="70" w:type="dxa"/>
            </w:tcMar>
            <w:vAlign w:val="center"/>
            <w:hideMark/>
          </w:tcPr>
          <w:p w14:paraId="36C9B39D"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6,421,980,000</w:t>
            </w:r>
          </w:p>
        </w:tc>
        <w:tc>
          <w:tcPr>
            <w:tcW w:w="268" w:type="pct"/>
            <w:noWrap/>
            <w:tcMar>
              <w:top w:w="0" w:type="dxa"/>
              <w:left w:w="70" w:type="dxa"/>
              <w:bottom w:w="0" w:type="dxa"/>
              <w:right w:w="70" w:type="dxa"/>
            </w:tcMar>
            <w:vAlign w:val="center"/>
            <w:hideMark/>
          </w:tcPr>
          <w:p w14:paraId="72FC71C3"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28</w:t>
            </w:r>
          </w:p>
        </w:tc>
        <w:tc>
          <w:tcPr>
            <w:tcW w:w="629" w:type="pct"/>
            <w:noWrap/>
            <w:tcMar>
              <w:top w:w="0" w:type="dxa"/>
              <w:left w:w="70" w:type="dxa"/>
              <w:bottom w:w="0" w:type="dxa"/>
              <w:right w:w="70" w:type="dxa"/>
            </w:tcMar>
            <w:vAlign w:val="center"/>
            <w:hideMark/>
          </w:tcPr>
          <w:p w14:paraId="59A53CF9"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6,705,650,000</w:t>
            </w:r>
          </w:p>
        </w:tc>
        <w:tc>
          <w:tcPr>
            <w:tcW w:w="261" w:type="pct"/>
            <w:noWrap/>
            <w:tcMar>
              <w:top w:w="0" w:type="dxa"/>
              <w:left w:w="70" w:type="dxa"/>
              <w:bottom w:w="0" w:type="dxa"/>
              <w:right w:w="70" w:type="dxa"/>
            </w:tcMar>
            <w:vAlign w:val="center"/>
            <w:hideMark/>
          </w:tcPr>
          <w:p w14:paraId="33211578"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28</w:t>
            </w:r>
          </w:p>
        </w:tc>
        <w:tc>
          <w:tcPr>
            <w:tcW w:w="666" w:type="pct"/>
            <w:noWrap/>
            <w:tcMar>
              <w:top w:w="0" w:type="dxa"/>
              <w:left w:w="70" w:type="dxa"/>
              <w:bottom w:w="0" w:type="dxa"/>
              <w:right w:w="70" w:type="dxa"/>
            </w:tcMar>
            <w:vAlign w:val="center"/>
            <w:hideMark/>
          </w:tcPr>
          <w:p w14:paraId="17415D7C"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6,705,650,000</w:t>
            </w:r>
          </w:p>
        </w:tc>
        <w:tc>
          <w:tcPr>
            <w:tcW w:w="582" w:type="pct"/>
            <w:noWrap/>
            <w:tcMar>
              <w:top w:w="0" w:type="dxa"/>
              <w:left w:w="70" w:type="dxa"/>
              <w:bottom w:w="0" w:type="dxa"/>
              <w:right w:w="70" w:type="dxa"/>
            </w:tcMar>
            <w:vAlign w:val="center"/>
            <w:hideMark/>
          </w:tcPr>
          <w:p w14:paraId="41AC1D10"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5,138,350,726</w:t>
            </w:r>
          </w:p>
        </w:tc>
      </w:tr>
      <w:tr w:rsidR="00B9337F" w:rsidRPr="00E128B3" w14:paraId="4778054C" w14:textId="77777777" w:rsidTr="00395345">
        <w:trPr>
          <w:trHeight w:val="121"/>
        </w:trPr>
        <w:tc>
          <w:tcPr>
            <w:tcW w:w="404" w:type="pct"/>
            <w:vMerge w:val="restart"/>
            <w:noWrap/>
            <w:tcMar>
              <w:top w:w="0" w:type="dxa"/>
              <w:left w:w="70" w:type="dxa"/>
              <w:bottom w:w="0" w:type="dxa"/>
              <w:right w:w="70" w:type="dxa"/>
            </w:tcMar>
            <w:vAlign w:val="center"/>
            <w:hideMark/>
          </w:tcPr>
          <w:p w14:paraId="7633F03E" w14:textId="77777777" w:rsidR="00395345" w:rsidRPr="00E128B3" w:rsidRDefault="00395345" w:rsidP="00D508AC">
            <w:pPr>
              <w:keepNext/>
              <w:spacing w:line="259" w:lineRule="auto"/>
              <w:jc w:val="center"/>
              <w:rPr>
                <w:rFonts w:ascii="Calibri" w:eastAsia="Calibri" w:hAnsi="Calibri" w:cs="Calibri"/>
                <w:sz w:val="16"/>
                <w:szCs w:val="16"/>
                <w:lang w:val="en-GB"/>
              </w:rPr>
            </w:pPr>
            <w:r w:rsidRPr="00E128B3">
              <w:rPr>
                <w:rFonts w:ascii="Calibri" w:eastAsia="Calibri" w:hAnsi="Calibri" w:cs="Calibri"/>
                <w:sz w:val="16"/>
                <w:szCs w:val="16"/>
                <w:lang w:val="en-GB" w:bidi="en-GB"/>
              </w:rPr>
              <w:t>SO 2.2</w:t>
            </w:r>
          </w:p>
        </w:tc>
        <w:tc>
          <w:tcPr>
            <w:tcW w:w="958" w:type="pct"/>
            <w:noWrap/>
            <w:tcMar>
              <w:top w:w="0" w:type="dxa"/>
              <w:left w:w="70" w:type="dxa"/>
              <w:bottom w:w="0" w:type="dxa"/>
              <w:right w:w="70" w:type="dxa"/>
            </w:tcMar>
            <w:vAlign w:val="center"/>
            <w:hideMark/>
          </w:tcPr>
          <w:p w14:paraId="41948272" w14:textId="77777777" w:rsidR="00395345" w:rsidRPr="00E128B3" w:rsidRDefault="00395345" w:rsidP="00D508AC">
            <w:pPr>
              <w:keepNext/>
              <w:spacing w:line="259" w:lineRule="auto"/>
              <w:rPr>
                <w:rFonts w:ascii="Calibri" w:eastAsia="Calibri" w:hAnsi="Calibri" w:cs="Calibri"/>
                <w:sz w:val="16"/>
                <w:szCs w:val="16"/>
                <w:lang w:val="en-GB"/>
              </w:rPr>
            </w:pPr>
            <w:r w:rsidRPr="00E128B3">
              <w:rPr>
                <w:rFonts w:ascii="Calibri" w:eastAsia="Calibri" w:hAnsi="Calibri" w:cs="Calibri"/>
                <w:sz w:val="16"/>
                <w:szCs w:val="16"/>
                <w:lang w:val="en-GB" w:bidi="en-GB"/>
              </w:rPr>
              <w:t>MoE_Call 8, single-round</w:t>
            </w:r>
          </w:p>
        </w:tc>
        <w:tc>
          <w:tcPr>
            <w:tcW w:w="575" w:type="pct"/>
            <w:noWrap/>
            <w:tcMar>
              <w:top w:w="0" w:type="dxa"/>
              <w:left w:w="70" w:type="dxa"/>
              <w:bottom w:w="0" w:type="dxa"/>
              <w:right w:w="70" w:type="dxa"/>
            </w:tcMar>
            <w:vAlign w:val="center"/>
            <w:hideMark/>
          </w:tcPr>
          <w:p w14:paraId="795D2CFF" w14:textId="5FD379D3"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16 December 2015</w:t>
            </w:r>
          </w:p>
        </w:tc>
        <w:tc>
          <w:tcPr>
            <w:tcW w:w="657" w:type="pct"/>
            <w:noWrap/>
            <w:tcMar>
              <w:top w:w="0" w:type="dxa"/>
              <w:left w:w="70" w:type="dxa"/>
              <w:bottom w:w="0" w:type="dxa"/>
              <w:right w:w="70" w:type="dxa"/>
            </w:tcMar>
            <w:vAlign w:val="center"/>
            <w:hideMark/>
          </w:tcPr>
          <w:p w14:paraId="06942DD3"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2,500,000,000</w:t>
            </w:r>
          </w:p>
        </w:tc>
        <w:tc>
          <w:tcPr>
            <w:tcW w:w="268" w:type="pct"/>
            <w:noWrap/>
            <w:tcMar>
              <w:top w:w="0" w:type="dxa"/>
              <w:left w:w="70" w:type="dxa"/>
              <w:bottom w:w="0" w:type="dxa"/>
              <w:right w:w="70" w:type="dxa"/>
            </w:tcMar>
            <w:vAlign w:val="center"/>
            <w:hideMark/>
          </w:tcPr>
          <w:p w14:paraId="7DAE9C70"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240</w:t>
            </w:r>
          </w:p>
        </w:tc>
        <w:tc>
          <w:tcPr>
            <w:tcW w:w="629" w:type="pct"/>
            <w:noWrap/>
            <w:tcMar>
              <w:top w:w="0" w:type="dxa"/>
              <w:left w:w="70" w:type="dxa"/>
              <w:bottom w:w="0" w:type="dxa"/>
              <w:right w:w="70" w:type="dxa"/>
            </w:tcMar>
            <w:vAlign w:val="center"/>
            <w:hideMark/>
          </w:tcPr>
          <w:p w14:paraId="2EB47C02"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5,195,394,267</w:t>
            </w:r>
          </w:p>
        </w:tc>
        <w:tc>
          <w:tcPr>
            <w:tcW w:w="261" w:type="pct"/>
            <w:noWrap/>
            <w:tcMar>
              <w:top w:w="0" w:type="dxa"/>
              <w:left w:w="70" w:type="dxa"/>
              <w:bottom w:w="0" w:type="dxa"/>
              <w:right w:w="70" w:type="dxa"/>
            </w:tcMar>
            <w:vAlign w:val="center"/>
            <w:hideMark/>
          </w:tcPr>
          <w:p w14:paraId="5D06345D"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126</w:t>
            </w:r>
          </w:p>
        </w:tc>
        <w:tc>
          <w:tcPr>
            <w:tcW w:w="666" w:type="pct"/>
            <w:noWrap/>
            <w:tcMar>
              <w:top w:w="0" w:type="dxa"/>
              <w:left w:w="70" w:type="dxa"/>
              <w:bottom w:w="0" w:type="dxa"/>
              <w:right w:w="70" w:type="dxa"/>
            </w:tcMar>
            <w:vAlign w:val="center"/>
            <w:hideMark/>
          </w:tcPr>
          <w:p w14:paraId="5213B33E"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2,620,902,085</w:t>
            </w:r>
          </w:p>
        </w:tc>
        <w:tc>
          <w:tcPr>
            <w:tcW w:w="582" w:type="pct"/>
            <w:noWrap/>
            <w:tcMar>
              <w:top w:w="0" w:type="dxa"/>
              <w:left w:w="70" w:type="dxa"/>
              <w:bottom w:w="0" w:type="dxa"/>
              <w:right w:w="70" w:type="dxa"/>
            </w:tcMar>
            <w:vAlign w:val="center"/>
            <w:hideMark/>
          </w:tcPr>
          <w:p w14:paraId="58D03B19"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580,876,412</w:t>
            </w:r>
          </w:p>
        </w:tc>
      </w:tr>
      <w:tr w:rsidR="00B9337F" w:rsidRPr="00E128B3" w14:paraId="08652E62" w14:textId="77777777" w:rsidTr="00395345">
        <w:trPr>
          <w:trHeight w:val="121"/>
        </w:trPr>
        <w:tc>
          <w:tcPr>
            <w:tcW w:w="404" w:type="pct"/>
            <w:vMerge/>
            <w:vAlign w:val="center"/>
            <w:hideMark/>
          </w:tcPr>
          <w:p w14:paraId="62701EEE" w14:textId="77777777" w:rsidR="00395345" w:rsidRPr="00E128B3" w:rsidRDefault="00395345" w:rsidP="00D508AC">
            <w:pPr>
              <w:keepNext/>
              <w:spacing w:line="259" w:lineRule="auto"/>
              <w:rPr>
                <w:rFonts w:ascii="Calibri" w:eastAsia="Calibri" w:hAnsi="Calibri" w:cs="Calibri"/>
                <w:sz w:val="16"/>
                <w:szCs w:val="16"/>
                <w:lang w:val="en-GB"/>
              </w:rPr>
            </w:pPr>
          </w:p>
        </w:tc>
        <w:tc>
          <w:tcPr>
            <w:tcW w:w="958" w:type="pct"/>
            <w:noWrap/>
            <w:tcMar>
              <w:top w:w="0" w:type="dxa"/>
              <w:left w:w="70" w:type="dxa"/>
              <w:bottom w:w="0" w:type="dxa"/>
              <w:right w:w="70" w:type="dxa"/>
            </w:tcMar>
            <w:vAlign w:val="center"/>
            <w:hideMark/>
          </w:tcPr>
          <w:p w14:paraId="025F8700" w14:textId="77777777" w:rsidR="00395345" w:rsidRPr="00E128B3" w:rsidRDefault="00395345" w:rsidP="00D508AC">
            <w:pPr>
              <w:keepNext/>
              <w:spacing w:line="259" w:lineRule="auto"/>
              <w:rPr>
                <w:rFonts w:ascii="Calibri" w:eastAsia="Calibri" w:hAnsi="Calibri" w:cs="Calibri"/>
                <w:sz w:val="16"/>
                <w:szCs w:val="16"/>
                <w:highlight w:val="yellow"/>
                <w:lang w:val="en-GB"/>
              </w:rPr>
            </w:pPr>
            <w:r w:rsidRPr="00E128B3">
              <w:rPr>
                <w:rFonts w:ascii="Calibri" w:eastAsia="Calibri" w:hAnsi="Calibri" w:cs="Calibri"/>
                <w:sz w:val="16"/>
                <w:szCs w:val="16"/>
                <w:lang w:val="en-GB" w:bidi="en-GB"/>
              </w:rPr>
              <w:t>MoE_Call 89, single-round</w:t>
            </w:r>
          </w:p>
        </w:tc>
        <w:tc>
          <w:tcPr>
            <w:tcW w:w="575" w:type="pct"/>
            <w:noWrap/>
            <w:tcMar>
              <w:top w:w="0" w:type="dxa"/>
              <w:left w:w="70" w:type="dxa"/>
              <w:bottom w:w="0" w:type="dxa"/>
              <w:right w:w="70" w:type="dxa"/>
            </w:tcMar>
            <w:vAlign w:val="center"/>
            <w:hideMark/>
          </w:tcPr>
          <w:p w14:paraId="25CACC1D" w14:textId="191FCE2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31 January 2018</w:t>
            </w:r>
          </w:p>
        </w:tc>
        <w:tc>
          <w:tcPr>
            <w:tcW w:w="657" w:type="pct"/>
            <w:noWrap/>
            <w:tcMar>
              <w:top w:w="0" w:type="dxa"/>
              <w:left w:w="70" w:type="dxa"/>
              <w:bottom w:w="0" w:type="dxa"/>
              <w:right w:w="70" w:type="dxa"/>
            </w:tcMar>
            <w:vAlign w:val="center"/>
            <w:hideMark/>
          </w:tcPr>
          <w:p w14:paraId="70054874"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500,000,000</w:t>
            </w:r>
          </w:p>
        </w:tc>
        <w:tc>
          <w:tcPr>
            <w:tcW w:w="268" w:type="pct"/>
            <w:noWrap/>
            <w:tcMar>
              <w:top w:w="0" w:type="dxa"/>
              <w:left w:w="70" w:type="dxa"/>
              <w:bottom w:w="0" w:type="dxa"/>
              <w:right w:w="70" w:type="dxa"/>
            </w:tcMar>
            <w:vAlign w:val="center"/>
            <w:hideMark/>
          </w:tcPr>
          <w:p w14:paraId="15B98BC5"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220</w:t>
            </w:r>
          </w:p>
        </w:tc>
        <w:tc>
          <w:tcPr>
            <w:tcW w:w="629" w:type="pct"/>
            <w:noWrap/>
            <w:tcMar>
              <w:top w:w="0" w:type="dxa"/>
              <w:left w:w="70" w:type="dxa"/>
              <w:bottom w:w="0" w:type="dxa"/>
              <w:right w:w="70" w:type="dxa"/>
            </w:tcMar>
            <w:vAlign w:val="center"/>
            <w:hideMark/>
          </w:tcPr>
          <w:p w14:paraId="0A33C156"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4,845,795,315</w:t>
            </w:r>
          </w:p>
        </w:tc>
        <w:tc>
          <w:tcPr>
            <w:tcW w:w="261" w:type="pct"/>
            <w:noWrap/>
            <w:tcMar>
              <w:top w:w="0" w:type="dxa"/>
              <w:left w:w="70" w:type="dxa"/>
              <w:bottom w:w="0" w:type="dxa"/>
              <w:right w:w="70" w:type="dxa"/>
            </w:tcMar>
            <w:vAlign w:val="center"/>
            <w:hideMark/>
          </w:tcPr>
          <w:p w14:paraId="7E8CBFA1"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10</w:t>
            </w:r>
          </w:p>
        </w:tc>
        <w:tc>
          <w:tcPr>
            <w:tcW w:w="666" w:type="pct"/>
            <w:noWrap/>
            <w:tcMar>
              <w:top w:w="0" w:type="dxa"/>
              <w:left w:w="70" w:type="dxa"/>
              <w:bottom w:w="0" w:type="dxa"/>
              <w:right w:w="70" w:type="dxa"/>
            </w:tcMar>
            <w:vAlign w:val="center"/>
            <w:hideMark/>
          </w:tcPr>
          <w:p w14:paraId="78A076F3"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1,037,353,159</w:t>
            </w:r>
          </w:p>
        </w:tc>
        <w:tc>
          <w:tcPr>
            <w:tcW w:w="582" w:type="pct"/>
            <w:noWrap/>
            <w:tcMar>
              <w:top w:w="0" w:type="dxa"/>
              <w:left w:w="70" w:type="dxa"/>
              <w:bottom w:w="0" w:type="dxa"/>
              <w:right w:w="70" w:type="dxa"/>
            </w:tcMar>
            <w:vAlign w:val="center"/>
            <w:hideMark/>
          </w:tcPr>
          <w:p w14:paraId="3F004509" w14:textId="77777777" w:rsidR="00395345" w:rsidRPr="00E128B3" w:rsidRDefault="00395345" w:rsidP="00D508AC">
            <w:pPr>
              <w:keepNext/>
              <w:spacing w:line="259" w:lineRule="auto"/>
              <w:jc w:val="right"/>
              <w:rPr>
                <w:rFonts w:ascii="Calibri" w:eastAsia="Calibri" w:hAnsi="Calibri" w:cs="Calibri"/>
                <w:sz w:val="16"/>
                <w:szCs w:val="16"/>
                <w:highlight w:val="yellow"/>
                <w:lang w:val="en-GB"/>
              </w:rPr>
            </w:pPr>
            <w:r w:rsidRPr="00E128B3">
              <w:rPr>
                <w:rFonts w:ascii="Calibri" w:eastAsia="Calibri" w:hAnsi="Calibri" w:cs="Calibri"/>
                <w:sz w:val="16"/>
                <w:szCs w:val="16"/>
                <w:lang w:val="en-GB" w:bidi="en-GB"/>
              </w:rPr>
              <w:t>0</w:t>
            </w:r>
          </w:p>
        </w:tc>
      </w:tr>
      <w:tr w:rsidR="00B9337F" w:rsidRPr="00E128B3" w14:paraId="7A47FA89" w14:textId="77777777" w:rsidTr="00395345">
        <w:trPr>
          <w:trHeight w:val="121"/>
        </w:trPr>
        <w:tc>
          <w:tcPr>
            <w:tcW w:w="404" w:type="pct"/>
            <w:noWrap/>
            <w:tcMar>
              <w:top w:w="0" w:type="dxa"/>
              <w:left w:w="70" w:type="dxa"/>
              <w:bottom w:w="0" w:type="dxa"/>
              <w:right w:w="70" w:type="dxa"/>
            </w:tcMar>
            <w:vAlign w:val="center"/>
            <w:hideMark/>
          </w:tcPr>
          <w:p w14:paraId="2CB11D5A" w14:textId="77777777" w:rsidR="00395345" w:rsidRPr="00E128B3" w:rsidRDefault="00395345" w:rsidP="00D508AC">
            <w:pPr>
              <w:keepNext/>
              <w:spacing w:line="259" w:lineRule="auto"/>
              <w:rPr>
                <w:rFonts w:ascii="Calibri" w:eastAsia="Calibri" w:hAnsi="Calibri" w:cs="Calibri"/>
                <w:b/>
                <w:bCs/>
                <w:sz w:val="16"/>
                <w:szCs w:val="16"/>
                <w:lang w:val="en-GB"/>
              </w:rPr>
            </w:pPr>
            <w:r w:rsidRPr="00E128B3">
              <w:rPr>
                <w:rFonts w:ascii="Calibri" w:eastAsia="Calibri" w:hAnsi="Calibri" w:cs="Calibri"/>
                <w:b/>
                <w:sz w:val="16"/>
                <w:szCs w:val="16"/>
                <w:lang w:val="en-GB" w:bidi="en-GB"/>
              </w:rPr>
              <w:t>Total</w:t>
            </w:r>
          </w:p>
        </w:tc>
        <w:tc>
          <w:tcPr>
            <w:tcW w:w="958" w:type="pct"/>
            <w:noWrap/>
            <w:tcMar>
              <w:top w:w="0" w:type="dxa"/>
              <w:left w:w="70" w:type="dxa"/>
              <w:bottom w:w="0" w:type="dxa"/>
              <w:right w:w="70" w:type="dxa"/>
            </w:tcMar>
            <w:vAlign w:val="center"/>
            <w:hideMark/>
          </w:tcPr>
          <w:p w14:paraId="21BFBE91" w14:textId="77777777" w:rsidR="00395345" w:rsidRPr="00E128B3" w:rsidRDefault="00395345" w:rsidP="00D508AC">
            <w:pPr>
              <w:keepNext/>
              <w:spacing w:line="259" w:lineRule="auto"/>
              <w:rPr>
                <w:rFonts w:ascii="Calibri" w:eastAsia="Calibri" w:hAnsi="Calibri" w:cs="Calibri"/>
                <w:b/>
                <w:bCs/>
                <w:sz w:val="16"/>
                <w:szCs w:val="16"/>
                <w:lang w:val="en-GB"/>
              </w:rPr>
            </w:pPr>
            <w:r w:rsidRPr="00E128B3">
              <w:rPr>
                <w:rFonts w:ascii="Calibri" w:eastAsia="Calibri" w:hAnsi="Calibri" w:cs="Calibri"/>
                <w:b/>
                <w:sz w:val="16"/>
                <w:szCs w:val="16"/>
                <w:lang w:val="en-GB" w:bidi="en-GB"/>
              </w:rPr>
              <w:t>SO 2.2</w:t>
            </w:r>
          </w:p>
        </w:tc>
        <w:tc>
          <w:tcPr>
            <w:tcW w:w="575" w:type="pct"/>
            <w:noWrap/>
            <w:tcMar>
              <w:top w:w="0" w:type="dxa"/>
              <w:left w:w="70" w:type="dxa"/>
              <w:bottom w:w="0" w:type="dxa"/>
              <w:right w:w="70" w:type="dxa"/>
            </w:tcMar>
            <w:vAlign w:val="center"/>
            <w:hideMark/>
          </w:tcPr>
          <w:p w14:paraId="53FE9558"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 </w:t>
            </w:r>
          </w:p>
        </w:tc>
        <w:tc>
          <w:tcPr>
            <w:tcW w:w="657" w:type="pct"/>
            <w:noWrap/>
            <w:tcMar>
              <w:top w:w="0" w:type="dxa"/>
              <w:left w:w="70" w:type="dxa"/>
              <w:bottom w:w="0" w:type="dxa"/>
              <w:right w:w="70" w:type="dxa"/>
            </w:tcMar>
            <w:vAlign w:val="center"/>
            <w:hideMark/>
          </w:tcPr>
          <w:p w14:paraId="68B4348C"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3,000,000,000</w:t>
            </w:r>
          </w:p>
        </w:tc>
        <w:tc>
          <w:tcPr>
            <w:tcW w:w="268" w:type="pct"/>
            <w:noWrap/>
            <w:tcMar>
              <w:top w:w="0" w:type="dxa"/>
              <w:left w:w="70" w:type="dxa"/>
              <w:bottom w:w="0" w:type="dxa"/>
              <w:right w:w="70" w:type="dxa"/>
            </w:tcMar>
            <w:vAlign w:val="center"/>
            <w:hideMark/>
          </w:tcPr>
          <w:p w14:paraId="6450C80F"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460</w:t>
            </w:r>
          </w:p>
        </w:tc>
        <w:tc>
          <w:tcPr>
            <w:tcW w:w="629" w:type="pct"/>
            <w:noWrap/>
            <w:tcMar>
              <w:top w:w="0" w:type="dxa"/>
              <w:left w:w="70" w:type="dxa"/>
              <w:bottom w:w="0" w:type="dxa"/>
              <w:right w:w="70" w:type="dxa"/>
            </w:tcMar>
            <w:vAlign w:val="center"/>
            <w:hideMark/>
          </w:tcPr>
          <w:p w14:paraId="0A17C231"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10,041,189,582</w:t>
            </w:r>
          </w:p>
        </w:tc>
        <w:tc>
          <w:tcPr>
            <w:tcW w:w="261" w:type="pct"/>
            <w:noWrap/>
            <w:tcMar>
              <w:top w:w="0" w:type="dxa"/>
              <w:left w:w="70" w:type="dxa"/>
              <w:bottom w:w="0" w:type="dxa"/>
              <w:right w:w="70" w:type="dxa"/>
            </w:tcMar>
            <w:vAlign w:val="center"/>
            <w:hideMark/>
          </w:tcPr>
          <w:p w14:paraId="4C818401"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136</w:t>
            </w:r>
          </w:p>
        </w:tc>
        <w:tc>
          <w:tcPr>
            <w:tcW w:w="666" w:type="pct"/>
            <w:noWrap/>
            <w:tcMar>
              <w:top w:w="0" w:type="dxa"/>
              <w:left w:w="70" w:type="dxa"/>
              <w:bottom w:w="0" w:type="dxa"/>
              <w:right w:w="70" w:type="dxa"/>
            </w:tcMar>
            <w:vAlign w:val="center"/>
            <w:hideMark/>
          </w:tcPr>
          <w:p w14:paraId="1FB1E8AA"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3,658,255,244</w:t>
            </w:r>
          </w:p>
        </w:tc>
        <w:tc>
          <w:tcPr>
            <w:tcW w:w="582" w:type="pct"/>
            <w:noWrap/>
            <w:tcMar>
              <w:top w:w="0" w:type="dxa"/>
              <w:left w:w="70" w:type="dxa"/>
              <w:bottom w:w="0" w:type="dxa"/>
              <w:right w:w="70" w:type="dxa"/>
            </w:tcMar>
            <w:vAlign w:val="center"/>
            <w:hideMark/>
          </w:tcPr>
          <w:p w14:paraId="0737947C" w14:textId="77777777" w:rsidR="00395345" w:rsidRPr="00E128B3" w:rsidRDefault="00395345" w:rsidP="00D508AC">
            <w:pPr>
              <w:keepNext/>
              <w:spacing w:line="259" w:lineRule="auto"/>
              <w:jc w:val="right"/>
              <w:rPr>
                <w:rFonts w:ascii="Calibri" w:eastAsia="Calibri" w:hAnsi="Calibri" w:cs="Calibri"/>
                <w:b/>
                <w:bCs/>
                <w:sz w:val="16"/>
                <w:szCs w:val="16"/>
                <w:highlight w:val="yellow"/>
                <w:lang w:val="en-GB"/>
              </w:rPr>
            </w:pPr>
            <w:r w:rsidRPr="00E128B3">
              <w:rPr>
                <w:rFonts w:ascii="Calibri" w:eastAsia="Calibri" w:hAnsi="Calibri" w:cs="Calibri"/>
                <w:b/>
                <w:sz w:val="16"/>
                <w:szCs w:val="16"/>
                <w:lang w:val="en-GB" w:bidi="en-GB"/>
              </w:rPr>
              <w:t>580,876,412</w:t>
            </w:r>
          </w:p>
        </w:tc>
      </w:tr>
      <w:tr w:rsidR="00B9337F" w:rsidRPr="00E128B3" w14:paraId="1239F9EC" w14:textId="77777777" w:rsidTr="00395345">
        <w:trPr>
          <w:trHeight w:val="127"/>
        </w:trPr>
        <w:tc>
          <w:tcPr>
            <w:tcW w:w="404" w:type="pct"/>
            <w:vMerge w:val="restart"/>
            <w:noWrap/>
            <w:tcMar>
              <w:top w:w="0" w:type="dxa"/>
              <w:left w:w="70" w:type="dxa"/>
              <w:bottom w:w="0" w:type="dxa"/>
              <w:right w:w="70" w:type="dxa"/>
            </w:tcMar>
            <w:vAlign w:val="center"/>
            <w:hideMark/>
          </w:tcPr>
          <w:p w14:paraId="36636164" w14:textId="77777777" w:rsidR="00395345" w:rsidRPr="00E128B3" w:rsidRDefault="00395345" w:rsidP="00D508AC">
            <w:pPr>
              <w:keepNext/>
              <w:spacing w:line="259" w:lineRule="auto"/>
              <w:jc w:val="center"/>
              <w:rPr>
                <w:rFonts w:ascii="Calibri" w:eastAsia="Calibri" w:hAnsi="Calibri" w:cs="Calibri"/>
                <w:sz w:val="16"/>
                <w:szCs w:val="16"/>
                <w:lang w:val="en-GB"/>
              </w:rPr>
            </w:pPr>
            <w:r w:rsidRPr="00E128B3">
              <w:rPr>
                <w:rFonts w:ascii="Calibri" w:eastAsia="Calibri" w:hAnsi="Calibri" w:cs="Calibri"/>
                <w:sz w:val="16"/>
                <w:szCs w:val="16"/>
                <w:lang w:val="en-GB" w:bidi="en-GB"/>
              </w:rPr>
              <w:t>SO 2.3</w:t>
            </w:r>
          </w:p>
        </w:tc>
        <w:tc>
          <w:tcPr>
            <w:tcW w:w="958" w:type="pct"/>
            <w:noWrap/>
            <w:tcMar>
              <w:top w:w="0" w:type="dxa"/>
              <w:left w:w="70" w:type="dxa"/>
              <w:bottom w:w="0" w:type="dxa"/>
              <w:right w:w="70" w:type="dxa"/>
            </w:tcMar>
            <w:vAlign w:val="center"/>
            <w:hideMark/>
          </w:tcPr>
          <w:p w14:paraId="1D9C0A7A" w14:textId="77777777" w:rsidR="00395345" w:rsidRPr="00E128B3" w:rsidRDefault="00395345" w:rsidP="00D508AC">
            <w:pPr>
              <w:keepNext/>
              <w:spacing w:line="259" w:lineRule="auto"/>
              <w:rPr>
                <w:rFonts w:ascii="Calibri" w:eastAsia="Calibri" w:hAnsi="Calibri" w:cs="Calibri"/>
                <w:sz w:val="16"/>
                <w:szCs w:val="16"/>
                <w:lang w:val="en-GB"/>
              </w:rPr>
            </w:pPr>
            <w:r w:rsidRPr="00E128B3">
              <w:rPr>
                <w:rFonts w:ascii="Calibri" w:eastAsia="Calibri" w:hAnsi="Calibri" w:cs="Calibri"/>
                <w:sz w:val="16"/>
                <w:szCs w:val="16"/>
                <w:lang w:val="en-GB" w:bidi="en-GB"/>
              </w:rPr>
              <w:t>MoE_Call 17, rolling</w:t>
            </w:r>
          </w:p>
        </w:tc>
        <w:tc>
          <w:tcPr>
            <w:tcW w:w="575" w:type="pct"/>
            <w:noWrap/>
            <w:tcMar>
              <w:top w:w="0" w:type="dxa"/>
              <w:left w:w="70" w:type="dxa"/>
              <w:bottom w:w="0" w:type="dxa"/>
              <w:right w:w="70" w:type="dxa"/>
            </w:tcMar>
            <w:vAlign w:val="center"/>
            <w:hideMark/>
          </w:tcPr>
          <w:p w14:paraId="064AB94C" w14:textId="4D276784"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15 October 2016</w:t>
            </w:r>
          </w:p>
        </w:tc>
        <w:tc>
          <w:tcPr>
            <w:tcW w:w="657" w:type="pct"/>
            <w:noWrap/>
            <w:tcMar>
              <w:top w:w="0" w:type="dxa"/>
              <w:left w:w="70" w:type="dxa"/>
              <w:bottom w:w="0" w:type="dxa"/>
              <w:right w:w="70" w:type="dxa"/>
            </w:tcMar>
            <w:vAlign w:val="center"/>
            <w:hideMark/>
          </w:tcPr>
          <w:p w14:paraId="7BB35D51"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200,000,000</w:t>
            </w:r>
          </w:p>
        </w:tc>
        <w:tc>
          <w:tcPr>
            <w:tcW w:w="268" w:type="pct"/>
            <w:noWrap/>
            <w:tcMar>
              <w:top w:w="0" w:type="dxa"/>
              <w:left w:w="70" w:type="dxa"/>
              <w:bottom w:w="0" w:type="dxa"/>
              <w:right w:w="70" w:type="dxa"/>
            </w:tcMar>
            <w:vAlign w:val="center"/>
            <w:hideMark/>
          </w:tcPr>
          <w:p w14:paraId="2B0FDBEC" w14:textId="77777777" w:rsidR="00395345" w:rsidRPr="00E128B3" w:rsidRDefault="00395345" w:rsidP="00D508AC">
            <w:pPr>
              <w:keepNext/>
              <w:spacing w:line="259" w:lineRule="auto"/>
              <w:jc w:val="right"/>
              <w:rPr>
                <w:rFonts w:ascii="Calibri" w:eastAsia="Calibri" w:hAnsi="Calibri" w:cs="Calibri"/>
                <w:sz w:val="16"/>
                <w:szCs w:val="16"/>
                <w:highlight w:val="yellow"/>
                <w:lang w:val="en-GB"/>
              </w:rPr>
            </w:pPr>
            <w:r w:rsidRPr="00E128B3">
              <w:rPr>
                <w:rFonts w:ascii="Calibri" w:eastAsia="Calibri" w:hAnsi="Calibri" w:cs="Calibri"/>
                <w:sz w:val="16"/>
                <w:szCs w:val="16"/>
                <w:lang w:val="en-GB" w:bidi="en-GB"/>
              </w:rPr>
              <w:t>18</w:t>
            </w:r>
          </w:p>
        </w:tc>
        <w:tc>
          <w:tcPr>
            <w:tcW w:w="629" w:type="pct"/>
            <w:noWrap/>
            <w:tcMar>
              <w:top w:w="0" w:type="dxa"/>
              <w:left w:w="70" w:type="dxa"/>
              <w:bottom w:w="0" w:type="dxa"/>
              <w:right w:w="70" w:type="dxa"/>
            </w:tcMar>
            <w:vAlign w:val="center"/>
            <w:hideMark/>
          </w:tcPr>
          <w:p w14:paraId="1A74AB01"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264,181,173</w:t>
            </w:r>
          </w:p>
        </w:tc>
        <w:tc>
          <w:tcPr>
            <w:tcW w:w="261" w:type="pct"/>
            <w:noWrap/>
            <w:tcMar>
              <w:top w:w="0" w:type="dxa"/>
              <w:left w:w="70" w:type="dxa"/>
              <w:bottom w:w="0" w:type="dxa"/>
              <w:right w:w="70" w:type="dxa"/>
            </w:tcMar>
            <w:vAlign w:val="center"/>
            <w:hideMark/>
          </w:tcPr>
          <w:p w14:paraId="08D0F6AB"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14</w:t>
            </w:r>
          </w:p>
        </w:tc>
        <w:tc>
          <w:tcPr>
            <w:tcW w:w="666" w:type="pct"/>
            <w:noWrap/>
            <w:tcMar>
              <w:top w:w="0" w:type="dxa"/>
              <w:left w:w="70" w:type="dxa"/>
              <w:bottom w:w="0" w:type="dxa"/>
              <w:right w:w="70" w:type="dxa"/>
            </w:tcMar>
            <w:vAlign w:val="center"/>
            <w:hideMark/>
          </w:tcPr>
          <w:p w14:paraId="5393C587"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208,173,769</w:t>
            </w:r>
          </w:p>
        </w:tc>
        <w:tc>
          <w:tcPr>
            <w:tcW w:w="582" w:type="pct"/>
            <w:noWrap/>
            <w:tcMar>
              <w:top w:w="0" w:type="dxa"/>
              <w:left w:w="70" w:type="dxa"/>
              <w:bottom w:w="0" w:type="dxa"/>
              <w:right w:w="70" w:type="dxa"/>
            </w:tcMar>
            <w:vAlign w:val="center"/>
            <w:hideMark/>
          </w:tcPr>
          <w:p w14:paraId="670DA9DA" w14:textId="77777777" w:rsidR="00395345" w:rsidRPr="00E128B3" w:rsidRDefault="00395345" w:rsidP="00D508AC">
            <w:pPr>
              <w:keepNext/>
              <w:spacing w:line="259" w:lineRule="auto"/>
              <w:jc w:val="right"/>
              <w:rPr>
                <w:rFonts w:ascii="Calibri" w:eastAsia="Calibri" w:hAnsi="Calibri" w:cs="Calibri"/>
                <w:sz w:val="16"/>
                <w:szCs w:val="16"/>
                <w:highlight w:val="yellow"/>
                <w:lang w:val="en-GB"/>
              </w:rPr>
            </w:pPr>
            <w:r w:rsidRPr="00E128B3">
              <w:rPr>
                <w:rFonts w:ascii="Calibri" w:eastAsia="Calibri" w:hAnsi="Calibri" w:cs="Calibri"/>
                <w:sz w:val="16"/>
                <w:szCs w:val="16"/>
                <w:lang w:val="en-GB" w:bidi="en-GB"/>
              </w:rPr>
              <w:t>116,695,418</w:t>
            </w:r>
          </w:p>
        </w:tc>
      </w:tr>
      <w:tr w:rsidR="00B9337F" w:rsidRPr="00E128B3" w14:paraId="7D0AC51B" w14:textId="77777777" w:rsidTr="00395345">
        <w:trPr>
          <w:trHeight w:val="121"/>
        </w:trPr>
        <w:tc>
          <w:tcPr>
            <w:tcW w:w="404" w:type="pct"/>
            <w:vMerge/>
            <w:vAlign w:val="center"/>
            <w:hideMark/>
          </w:tcPr>
          <w:p w14:paraId="55359186" w14:textId="77777777" w:rsidR="00395345" w:rsidRPr="00E128B3" w:rsidRDefault="00395345" w:rsidP="00D508AC">
            <w:pPr>
              <w:keepNext/>
              <w:spacing w:line="259" w:lineRule="auto"/>
              <w:rPr>
                <w:rFonts w:ascii="Calibri" w:eastAsia="Calibri" w:hAnsi="Calibri" w:cs="Calibri"/>
                <w:sz w:val="16"/>
                <w:szCs w:val="16"/>
                <w:lang w:val="en-GB"/>
              </w:rPr>
            </w:pPr>
          </w:p>
        </w:tc>
        <w:tc>
          <w:tcPr>
            <w:tcW w:w="958" w:type="pct"/>
            <w:noWrap/>
            <w:tcMar>
              <w:top w:w="0" w:type="dxa"/>
              <w:left w:w="70" w:type="dxa"/>
              <w:bottom w:w="0" w:type="dxa"/>
              <w:right w:w="70" w:type="dxa"/>
            </w:tcMar>
            <w:vAlign w:val="center"/>
            <w:hideMark/>
          </w:tcPr>
          <w:p w14:paraId="031CA3C4" w14:textId="77777777" w:rsidR="00395345" w:rsidRPr="00E128B3" w:rsidRDefault="00395345" w:rsidP="00D508AC">
            <w:pPr>
              <w:keepNext/>
              <w:spacing w:line="259" w:lineRule="auto"/>
              <w:rPr>
                <w:rFonts w:ascii="Calibri" w:eastAsia="Calibri" w:hAnsi="Calibri" w:cs="Calibri"/>
                <w:sz w:val="16"/>
                <w:szCs w:val="16"/>
                <w:lang w:val="en-GB"/>
              </w:rPr>
            </w:pPr>
            <w:r w:rsidRPr="00E128B3">
              <w:rPr>
                <w:rFonts w:ascii="Calibri" w:eastAsia="Calibri" w:hAnsi="Calibri" w:cs="Calibri"/>
                <w:sz w:val="16"/>
                <w:szCs w:val="16"/>
                <w:lang w:val="en-GB" w:bidi="en-GB"/>
              </w:rPr>
              <w:t>MoE_Call 79, rolling</w:t>
            </w:r>
          </w:p>
        </w:tc>
        <w:tc>
          <w:tcPr>
            <w:tcW w:w="575" w:type="pct"/>
            <w:noWrap/>
            <w:tcMar>
              <w:top w:w="0" w:type="dxa"/>
              <w:left w:w="70" w:type="dxa"/>
              <w:bottom w:w="0" w:type="dxa"/>
              <w:right w:w="70" w:type="dxa"/>
            </w:tcMar>
            <w:vAlign w:val="center"/>
            <w:hideMark/>
          </w:tcPr>
          <w:p w14:paraId="7CC340C2" w14:textId="5BC554D0"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20 December 2017</w:t>
            </w:r>
          </w:p>
        </w:tc>
        <w:tc>
          <w:tcPr>
            <w:tcW w:w="657" w:type="pct"/>
            <w:noWrap/>
            <w:tcMar>
              <w:top w:w="0" w:type="dxa"/>
              <w:left w:w="70" w:type="dxa"/>
              <w:bottom w:w="0" w:type="dxa"/>
              <w:right w:w="70" w:type="dxa"/>
            </w:tcMar>
            <w:vAlign w:val="center"/>
            <w:hideMark/>
          </w:tcPr>
          <w:p w14:paraId="69985946"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200,000,000</w:t>
            </w:r>
          </w:p>
        </w:tc>
        <w:tc>
          <w:tcPr>
            <w:tcW w:w="268" w:type="pct"/>
            <w:noWrap/>
            <w:tcMar>
              <w:top w:w="0" w:type="dxa"/>
              <w:left w:w="70" w:type="dxa"/>
              <w:bottom w:w="0" w:type="dxa"/>
              <w:right w:w="70" w:type="dxa"/>
            </w:tcMar>
            <w:vAlign w:val="center"/>
            <w:hideMark/>
          </w:tcPr>
          <w:p w14:paraId="14A5BA82"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11</w:t>
            </w:r>
          </w:p>
        </w:tc>
        <w:tc>
          <w:tcPr>
            <w:tcW w:w="629" w:type="pct"/>
            <w:noWrap/>
            <w:tcMar>
              <w:top w:w="0" w:type="dxa"/>
              <w:left w:w="70" w:type="dxa"/>
              <w:bottom w:w="0" w:type="dxa"/>
              <w:right w:w="70" w:type="dxa"/>
            </w:tcMar>
            <w:vAlign w:val="center"/>
            <w:hideMark/>
          </w:tcPr>
          <w:p w14:paraId="34F0CC2B"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139,507,371</w:t>
            </w:r>
          </w:p>
        </w:tc>
        <w:tc>
          <w:tcPr>
            <w:tcW w:w="261" w:type="pct"/>
            <w:noWrap/>
            <w:tcMar>
              <w:top w:w="0" w:type="dxa"/>
              <w:left w:w="70" w:type="dxa"/>
              <w:bottom w:w="0" w:type="dxa"/>
              <w:right w:w="70" w:type="dxa"/>
            </w:tcMar>
            <w:vAlign w:val="center"/>
            <w:hideMark/>
          </w:tcPr>
          <w:p w14:paraId="14D55747"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9</w:t>
            </w:r>
          </w:p>
        </w:tc>
        <w:tc>
          <w:tcPr>
            <w:tcW w:w="666" w:type="pct"/>
            <w:noWrap/>
            <w:tcMar>
              <w:top w:w="0" w:type="dxa"/>
              <w:left w:w="70" w:type="dxa"/>
              <w:bottom w:w="0" w:type="dxa"/>
              <w:right w:w="70" w:type="dxa"/>
            </w:tcMar>
            <w:vAlign w:val="center"/>
            <w:hideMark/>
          </w:tcPr>
          <w:p w14:paraId="57820779"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138,173,311</w:t>
            </w:r>
          </w:p>
        </w:tc>
        <w:tc>
          <w:tcPr>
            <w:tcW w:w="582" w:type="pct"/>
            <w:noWrap/>
            <w:tcMar>
              <w:top w:w="0" w:type="dxa"/>
              <w:left w:w="70" w:type="dxa"/>
              <w:bottom w:w="0" w:type="dxa"/>
              <w:right w:w="70" w:type="dxa"/>
            </w:tcMar>
            <w:vAlign w:val="center"/>
            <w:hideMark/>
          </w:tcPr>
          <w:p w14:paraId="32658E24" w14:textId="77777777" w:rsidR="00395345" w:rsidRPr="00E128B3" w:rsidRDefault="00395345" w:rsidP="00D508AC">
            <w:pPr>
              <w:keepNext/>
              <w:spacing w:line="259" w:lineRule="auto"/>
              <w:jc w:val="right"/>
              <w:rPr>
                <w:rFonts w:ascii="Calibri" w:eastAsia="Calibri" w:hAnsi="Calibri" w:cs="Calibri"/>
                <w:sz w:val="16"/>
                <w:szCs w:val="16"/>
                <w:highlight w:val="yellow"/>
                <w:lang w:val="en-GB"/>
              </w:rPr>
            </w:pPr>
            <w:r w:rsidRPr="00E128B3">
              <w:rPr>
                <w:rFonts w:ascii="Calibri" w:eastAsia="Calibri" w:hAnsi="Calibri" w:cs="Calibri"/>
                <w:sz w:val="16"/>
                <w:szCs w:val="16"/>
                <w:lang w:val="en-GB" w:bidi="en-GB"/>
              </w:rPr>
              <w:t>880,396</w:t>
            </w:r>
          </w:p>
        </w:tc>
      </w:tr>
      <w:tr w:rsidR="00B9337F" w:rsidRPr="00E128B3" w14:paraId="1FC51999" w14:textId="77777777" w:rsidTr="00395345">
        <w:trPr>
          <w:trHeight w:val="121"/>
        </w:trPr>
        <w:tc>
          <w:tcPr>
            <w:tcW w:w="404" w:type="pct"/>
            <w:vMerge/>
            <w:vAlign w:val="center"/>
            <w:hideMark/>
          </w:tcPr>
          <w:p w14:paraId="21388855" w14:textId="77777777" w:rsidR="00395345" w:rsidRPr="00E128B3" w:rsidRDefault="00395345" w:rsidP="00D508AC">
            <w:pPr>
              <w:keepNext/>
              <w:spacing w:line="259" w:lineRule="auto"/>
              <w:rPr>
                <w:rFonts w:ascii="Calibri" w:eastAsia="Calibri" w:hAnsi="Calibri" w:cs="Calibri"/>
                <w:sz w:val="16"/>
                <w:szCs w:val="16"/>
                <w:lang w:val="en-GB"/>
              </w:rPr>
            </w:pPr>
          </w:p>
        </w:tc>
        <w:tc>
          <w:tcPr>
            <w:tcW w:w="958" w:type="pct"/>
            <w:noWrap/>
            <w:tcMar>
              <w:top w:w="0" w:type="dxa"/>
              <w:left w:w="70" w:type="dxa"/>
              <w:bottom w:w="0" w:type="dxa"/>
              <w:right w:w="70" w:type="dxa"/>
            </w:tcMar>
            <w:vAlign w:val="center"/>
            <w:hideMark/>
          </w:tcPr>
          <w:p w14:paraId="10D2F189" w14:textId="77777777" w:rsidR="00395345" w:rsidRPr="00E128B3" w:rsidRDefault="00395345" w:rsidP="00D508AC">
            <w:pPr>
              <w:keepNext/>
              <w:spacing w:line="259" w:lineRule="auto"/>
              <w:rPr>
                <w:rFonts w:ascii="Calibri" w:eastAsia="Calibri" w:hAnsi="Calibri" w:cs="Calibri"/>
                <w:sz w:val="16"/>
                <w:szCs w:val="16"/>
                <w:lang w:val="en-GB"/>
              </w:rPr>
            </w:pPr>
            <w:r w:rsidRPr="00E128B3">
              <w:rPr>
                <w:rFonts w:ascii="Calibri" w:eastAsia="Calibri" w:hAnsi="Calibri" w:cs="Calibri"/>
                <w:sz w:val="16"/>
                <w:szCs w:val="16"/>
                <w:lang w:val="en-GB" w:bidi="en-GB"/>
              </w:rPr>
              <w:t>MoE_Call 98, rolling</w:t>
            </w:r>
          </w:p>
        </w:tc>
        <w:tc>
          <w:tcPr>
            <w:tcW w:w="575" w:type="pct"/>
            <w:noWrap/>
            <w:tcMar>
              <w:top w:w="0" w:type="dxa"/>
              <w:left w:w="70" w:type="dxa"/>
              <w:bottom w:w="0" w:type="dxa"/>
              <w:right w:w="70" w:type="dxa"/>
            </w:tcMar>
            <w:vAlign w:val="center"/>
            <w:hideMark/>
          </w:tcPr>
          <w:p w14:paraId="0788C148" w14:textId="230F84C1" w:rsidR="00395345" w:rsidRPr="00E128B3" w:rsidRDefault="00395345" w:rsidP="00D508AC">
            <w:pPr>
              <w:keepNext/>
              <w:spacing w:line="259" w:lineRule="auto"/>
              <w:jc w:val="right"/>
              <w:rPr>
                <w:rFonts w:ascii="Calibri" w:eastAsia="Calibri" w:hAnsi="Calibri" w:cs="Calibri"/>
                <w:sz w:val="16"/>
                <w:szCs w:val="16"/>
                <w:highlight w:val="yellow"/>
                <w:lang w:val="en-GB"/>
              </w:rPr>
            </w:pPr>
            <w:r w:rsidRPr="00E128B3">
              <w:rPr>
                <w:rFonts w:ascii="Calibri" w:eastAsia="Calibri" w:hAnsi="Calibri" w:cs="Calibri"/>
                <w:sz w:val="16"/>
                <w:szCs w:val="16"/>
                <w:lang w:val="en-GB" w:bidi="en-GB"/>
              </w:rPr>
              <w:t>20 December 2018</w:t>
            </w:r>
          </w:p>
        </w:tc>
        <w:tc>
          <w:tcPr>
            <w:tcW w:w="657" w:type="pct"/>
            <w:noWrap/>
            <w:tcMar>
              <w:top w:w="0" w:type="dxa"/>
              <w:left w:w="70" w:type="dxa"/>
              <w:bottom w:w="0" w:type="dxa"/>
              <w:right w:w="70" w:type="dxa"/>
            </w:tcMar>
            <w:vAlign w:val="center"/>
            <w:hideMark/>
          </w:tcPr>
          <w:p w14:paraId="246B9696"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100,000,000</w:t>
            </w:r>
          </w:p>
        </w:tc>
        <w:tc>
          <w:tcPr>
            <w:tcW w:w="268" w:type="pct"/>
            <w:noWrap/>
            <w:tcMar>
              <w:top w:w="0" w:type="dxa"/>
              <w:left w:w="70" w:type="dxa"/>
              <w:bottom w:w="0" w:type="dxa"/>
              <w:right w:w="70" w:type="dxa"/>
            </w:tcMar>
            <w:vAlign w:val="center"/>
            <w:hideMark/>
          </w:tcPr>
          <w:p w14:paraId="4E7CD182"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8</w:t>
            </w:r>
          </w:p>
        </w:tc>
        <w:tc>
          <w:tcPr>
            <w:tcW w:w="629" w:type="pct"/>
            <w:noWrap/>
            <w:tcMar>
              <w:top w:w="0" w:type="dxa"/>
              <w:left w:w="70" w:type="dxa"/>
              <w:bottom w:w="0" w:type="dxa"/>
              <w:right w:w="70" w:type="dxa"/>
            </w:tcMar>
            <w:vAlign w:val="center"/>
            <w:hideMark/>
          </w:tcPr>
          <w:p w14:paraId="257E39FA" w14:textId="77777777"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113,763,544</w:t>
            </w:r>
          </w:p>
        </w:tc>
        <w:tc>
          <w:tcPr>
            <w:tcW w:w="261" w:type="pct"/>
            <w:noWrap/>
            <w:tcMar>
              <w:top w:w="0" w:type="dxa"/>
              <w:left w:w="70" w:type="dxa"/>
              <w:bottom w:w="0" w:type="dxa"/>
              <w:right w:w="70" w:type="dxa"/>
            </w:tcMar>
            <w:vAlign w:val="center"/>
            <w:hideMark/>
          </w:tcPr>
          <w:p w14:paraId="7682E5D0" w14:textId="77777777" w:rsidR="00395345" w:rsidRPr="00E128B3" w:rsidRDefault="00395345" w:rsidP="00D508AC">
            <w:pPr>
              <w:keepNext/>
              <w:spacing w:line="259" w:lineRule="auto"/>
              <w:jc w:val="right"/>
              <w:rPr>
                <w:rFonts w:ascii="Calibri" w:eastAsia="Calibri" w:hAnsi="Calibri" w:cs="Calibri"/>
                <w:sz w:val="16"/>
                <w:szCs w:val="16"/>
                <w:highlight w:val="yellow"/>
                <w:lang w:val="en-GB"/>
              </w:rPr>
            </w:pPr>
            <w:r w:rsidRPr="00E128B3">
              <w:rPr>
                <w:rFonts w:ascii="Calibri" w:eastAsia="Calibri" w:hAnsi="Calibri" w:cs="Calibri"/>
                <w:sz w:val="16"/>
                <w:szCs w:val="16"/>
                <w:lang w:val="en-GB" w:bidi="en-GB"/>
              </w:rPr>
              <w:t>3</w:t>
            </w:r>
          </w:p>
        </w:tc>
        <w:tc>
          <w:tcPr>
            <w:tcW w:w="666" w:type="pct"/>
            <w:vAlign w:val="center"/>
          </w:tcPr>
          <w:p w14:paraId="16B74D08" w14:textId="072EF3BD" w:rsidR="00395345" w:rsidRPr="00E128B3" w:rsidRDefault="00395345" w:rsidP="00D508AC">
            <w:pPr>
              <w:keepNext/>
              <w:spacing w:line="259" w:lineRule="auto"/>
              <w:jc w:val="right"/>
              <w:rPr>
                <w:rFonts w:ascii="Calibri" w:eastAsia="Calibri" w:hAnsi="Calibri" w:cs="Calibri"/>
                <w:sz w:val="16"/>
                <w:szCs w:val="16"/>
                <w:lang w:val="en-GB"/>
              </w:rPr>
            </w:pPr>
            <w:r w:rsidRPr="00E128B3">
              <w:rPr>
                <w:rFonts w:ascii="Calibri" w:eastAsia="Calibri" w:hAnsi="Calibri" w:cs="Calibri"/>
                <w:sz w:val="16"/>
                <w:szCs w:val="16"/>
                <w:lang w:val="en-GB" w:bidi="en-GB"/>
              </w:rPr>
              <w:t>50,612,176</w:t>
            </w:r>
            <w:r w:rsidR="00E128B3" w:rsidRPr="00E128B3">
              <w:rPr>
                <w:rFonts w:ascii="Calibri" w:eastAsia="Calibri" w:hAnsi="Calibri" w:cs="Calibri"/>
                <w:sz w:val="16"/>
                <w:szCs w:val="16"/>
                <w:lang w:val="en-GB" w:bidi="en-GB"/>
              </w:rPr>
              <w:t xml:space="preserve"> </w:t>
            </w:r>
          </w:p>
        </w:tc>
        <w:tc>
          <w:tcPr>
            <w:tcW w:w="582" w:type="pct"/>
            <w:vAlign w:val="center"/>
          </w:tcPr>
          <w:p w14:paraId="1112F81D" w14:textId="77777777" w:rsidR="00395345" w:rsidRPr="00E128B3" w:rsidRDefault="00395345" w:rsidP="00D508AC">
            <w:pPr>
              <w:keepNext/>
              <w:spacing w:line="259" w:lineRule="auto"/>
              <w:jc w:val="right"/>
              <w:rPr>
                <w:rFonts w:ascii="Calibri" w:eastAsia="Calibri" w:hAnsi="Calibri" w:cs="Calibri"/>
                <w:sz w:val="16"/>
                <w:szCs w:val="16"/>
                <w:highlight w:val="yellow"/>
                <w:lang w:val="en-GB"/>
              </w:rPr>
            </w:pPr>
            <w:r w:rsidRPr="00E128B3">
              <w:rPr>
                <w:rFonts w:ascii="Calibri" w:eastAsia="Calibri" w:hAnsi="Calibri" w:cs="Calibri"/>
                <w:sz w:val="16"/>
                <w:szCs w:val="16"/>
                <w:lang w:val="en-GB" w:bidi="en-GB"/>
              </w:rPr>
              <w:t>0</w:t>
            </w:r>
          </w:p>
        </w:tc>
      </w:tr>
      <w:tr w:rsidR="00B9337F" w:rsidRPr="00E128B3" w14:paraId="7EABE074" w14:textId="77777777" w:rsidTr="00395345">
        <w:trPr>
          <w:trHeight w:val="121"/>
        </w:trPr>
        <w:tc>
          <w:tcPr>
            <w:tcW w:w="404" w:type="pct"/>
            <w:noWrap/>
            <w:tcMar>
              <w:top w:w="0" w:type="dxa"/>
              <w:left w:w="70" w:type="dxa"/>
              <w:bottom w:w="0" w:type="dxa"/>
              <w:right w:w="70" w:type="dxa"/>
            </w:tcMar>
            <w:vAlign w:val="center"/>
            <w:hideMark/>
          </w:tcPr>
          <w:p w14:paraId="6773CABC" w14:textId="77777777" w:rsidR="00395345" w:rsidRPr="00E128B3" w:rsidRDefault="00395345" w:rsidP="00D508AC">
            <w:pPr>
              <w:keepNext/>
              <w:spacing w:line="259" w:lineRule="auto"/>
              <w:rPr>
                <w:rFonts w:ascii="Calibri" w:eastAsia="Calibri" w:hAnsi="Calibri" w:cs="Calibri"/>
                <w:b/>
                <w:bCs/>
                <w:sz w:val="16"/>
                <w:szCs w:val="16"/>
                <w:lang w:val="en-GB"/>
              </w:rPr>
            </w:pPr>
            <w:r w:rsidRPr="00E128B3">
              <w:rPr>
                <w:rFonts w:ascii="Calibri" w:eastAsia="Calibri" w:hAnsi="Calibri" w:cs="Calibri"/>
                <w:b/>
                <w:sz w:val="16"/>
                <w:szCs w:val="16"/>
                <w:lang w:val="en-GB" w:bidi="en-GB"/>
              </w:rPr>
              <w:t>Total</w:t>
            </w:r>
          </w:p>
        </w:tc>
        <w:tc>
          <w:tcPr>
            <w:tcW w:w="958" w:type="pct"/>
            <w:noWrap/>
            <w:tcMar>
              <w:top w:w="0" w:type="dxa"/>
              <w:left w:w="70" w:type="dxa"/>
              <w:bottom w:w="0" w:type="dxa"/>
              <w:right w:w="70" w:type="dxa"/>
            </w:tcMar>
            <w:vAlign w:val="center"/>
            <w:hideMark/>
          </w:tcPr>
          <w:p w14:paraId="60358B6D" w14:textId="77777777" w:rsidR="00395345" w:rsidRPr="00E128B3" w:rsidRDefault="00395345" w:rsidP="00D508AC">
            <w:pPr>
              <w:keepNext/>
              <w:spacing w:line="259" w:lineRule="auto"/>
              <w:rPr>
                <w:rFonts w:ascii="Calibri" w:eastAsia="Calibri" w:hAnsi="Calibri" w:cs="Calibri"/>
                <w:b/>
                <w:bCs/>
                <w:sz w:val="16"/>
                <w:szCs w:val="16"/>
                <w:lang w:val="en-GB"/>
              </w:rPr>
            </w:pPr>
            <w:r w:rsidRPr="00E128B3">
              <w:rPr>
                <w:rFonts w:ascii="Calibri" w:eastAsia="Calibri" w:hAnsi="Calibri" w:cs="Calibri"/>
                <w:b/>
                <w:sz w:val="16"/>
                <w:szCs w:val="16"/>
                <w:lang w:val="en-GB" w:bidi="en-GB"/>
              </w:rPr>
              <w:t>SO 2.3</w:t>
            </w:r>
          </w:p>
        </w:tc>
        <w:tc>
          <w:tcPr>
            <w:tcW w:w="575" w:type="pct"/>
            <w:noWrap/>
            <w:tcMar>
              <w:top w:w="0" w:type="dxa"/>
              <w:left w:w="70" w:type="dxa"/>
              <w:bottom w:w="0" w:type="dxa"/>
              <w:right w:w="70" w:type="dxa"/>
            </w:tcMar>
            <w:vAlign w:val="center"/>
            <w:hideMark/>
          </w:tcPr>
          <w:p w14:paraId="0132BB7A" w14:textId="77777777" w:rsidR="00395345" w:rsidRPr="00E128B3" w:rsidRDefault="00395345" w:rsidP="00D508AC">
            <w:pPr>
              <w:keepNext/>
              <w:spacing w:line="259" w:lineRule="auto"/>
              <w:rPr>
                <w:rFonts w:ascii="Calibri" w:eastAsia="Calibri" w:hAnsi="Calibri" w:cs="Calibri"/>
                <w:sz w:val="16"/>
                <w:szCs w:val="16"/>
                <w:lang w:val="en-GB"/>
              </w:rPr>
            </w:pPr>
            <w:r w:rsidRPr="00E128B3">
              <w:rPr>
                <w:rFonts w:ascii="Calibri" w:eastAsia="Calibri" w:hAnsi="Calibri" w:cs="Calibri"/>
                <w:sz w:val="16"/>
                <w:szCs w:val="16"/>
                <w:lang w:val="en-GB" w:bidi="en-GB"/>
              </w:rPr>
              <w:t> </w:t>
            </w:r>
          </w:p>
        </w:tc>
        <w:tc>
          <w:tcPr>
            <w:tcW w:w="657" w:type="pct"/>
            <w:noWrap/>
            <w:tcMar>
              <w:top w:w="0" w:type="dxa"/>
              <w:left w:w="70" w:type="dxa"/>
              <w:bottom w:w="0" w:type="dxa"/>
              <w:right w:w="70" w:type="dxa"/>
            </w:tcMar>
            <w:vAlign w:val="center"/>
            <w:hideMark/>
          </w:tcPr>
          <w:p w14:paraId="124EF9DC"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500,000,000</w:t>
            </w:r>
          </w:p>
        </w:tc>
        <w:tc>
          <w:tcPr>
            <w:tcW w:w="268" w:type="pct"/>
            <w:noWrap/>
            <w:tcMar>
              <w:top w:w="0" w:type="dxa"/>
              <w:left w:w="70" w:type="dxa"/>
              <w:bottom w:w="0" w:type="dxa"/>
              <w:right w:w="70" w:type="dxa"/>
            </w:tcMar>
            <w:vAlign w:val="center"/>
            <w:hideMark/>
          </w:tcPr>
          <w:p w14:paraId="7AD42BC9" w14:textId="77777777" w:rsidR="00395345" w:rsidRPr="00E128B3" w:rsidRDefault="00395345" w:rsidP="00D508AC">
            <w:pPr>
              <w:keepNext/>
              <w:spacing w:line="259" w:lineRule="auto"/>
              <w:jc w:val="right"/>
              <w:rPr>
                <w:rFonts w:ascii="Calibri" w:eastAsia="Calibri" w:hAnsi="Calibri" w:cs="Calibri"/>
                <w:b/>
                <w:bCs/>
                <w:sz w:val="16"/>
                <w:szCs w:val="16"/>
                <w:lang w:val="en-GB"/>
              </w:rPr>
            </w:pPr>
            <w:r w:rsidRPr="00E128B3">
              <w:rPr>
                <w:rFonts w:ascii="Calibri" w:eastAsia="Calibri" w:hAnsi="Calibri" w:cs="Calibri"/>
                <w:b/>
                <w:sz w:val="16"/>
                <w:szCs w:val="16"/>
                <w:lang w:val="en-GB" w:bidi="en-GB"/>
              </w:rPr>
              <w:t>37</w:t>
            </w:r>
          </w:p>
        </w:tc>
        <w:tc>
          <w:tcPr>
            <w:tcW w:w="629" w:type="pct"/>
            <w:noWrap/>
            <w:tcMar>
              <w:top w:w="0" w:type="dxa"/>
              <w:left w:w="70" w:type="dxa"/>
              <w:bottom w:w="0" w:type="dxa"/>
              <w:right w:w="70" w:type="dxa"/>
            </w:tcMar>
            <w:vAlign w:val="center"/>
            <w:hideMark/>
          </w:tcPr>
          <w:p w14:paraId="38A0B292" w14:textId="77777777" w:rsidR="00395345" w:rsidRPr="00E128B3" w:rsidRDefault="00395345" w:rsidP="00D508AC">
            <w:pPr>
              <w:keepNext/>
              <w:spacing w:line="259" w:lineRule="auto"/>
              <w:jc w:val="right"/>
              <w:rPr>
                <w:rFonts w:ascii="Calibri" w:eastAsia="Calibri" w:hAnsi="Calibri" w:cs="Calibri"/>
                <w:b/>
                <w:bCs/>
                <w:sz w:val="16"/>
                <w:szCs w:val="16"/>
                <w:highlight w:val="yellow"/>
                <w:lang w:val="en-GB"/>
              </w:rPr>
            </w:pPr>
            <w:r w:rsidRPr="00E128B3">
              <w:rPr>
                <w:rFonts w:ascii="Calibri" w:eastAsia="Calibri" w:hAnsi="Calibri" w:cs="Calibri"/>
                <w:b/>
                <w:sz w:val="16"/>
                <w:szCs w:val="16"/>
                <w:lang w:val="en-GB" w:bidi="en-GB"/>
              </w:rPr>
              <w:t>517,452,088</w:t>
            </w:r>
          </w:p>
        </w:tc>
        <w:tc>
          <w:tcPr>
            <w:tcW w:w="261" w:type="pct"/>
            <w:noWrap/>
            <w:tcMar>
              <w:top w:w="0" w:type="dxa"/>
              <w:left w:w="70" w:type="dxa"/>
              <w:bottom w:w="0" w:type="dxa"/>
              <w:right w:w="70" w:type="dxa"/>
            </w:tcMar>
            <w:vAlign w:val="center"/>
            <w:hideMark/>
          </w:tcPr>
          <w:p w14:paraId="07EF6688" w14:textId="77777777" w:rsidR="00395345" w:rsidRPr="00E128B3" w:rsidRDefault="00395345" w:rsidP="00D508AC">
            <w:pPr>
              <w:keepNext/>
              <w:spacing w:line="259" w:lineRule="auto"/>
              <w:jc w:val="right"/>
              <w:rPr>
                <w:rFonts w:ascii="Calibri" w:eastAsia="Calibri" w:hAnsi="Calibri" w:cs="Calibri"/>
                <w:b/>
                <w:bCs/>
                <w:sz w:val="16"/>
                <w:szCs w:val="16"/>
                <w:highlight w:val="yellow"/>
                <w:lang w:val="en-GB"/>
              </w:rPr>
            </w:pPr>
            <w:r w:rsidRPr="00E128B3">
              <w:rPr>
                <w:rFonts w:ascii="Calibri" w:eastAsia="Calibri" w:hAnsi="Calibri" w:cs="Calibri"/>
                <w:b/>
                <w:sz w:val="16"/>
                <w:szCs w:val="16"/>
                <w:lang w:val="en-GB" w:bidi="en-GB"/>
              </w:rPr>
              <w:t>26</w:t>
            </w:r>
          </w:p>
        </w:tc>
        <w:tc>
          <w:tcPr>
            <w:tcW w:w="666" w:type="pct"/>
            <w:noWrap/>
            <w:tcMar>
              <w:top w:w="0" w:type="dxa"/>
              <w:left w:w="70" w:type="dxa"/>
              <w:bottom w:w="0" w:type="dxa"/>
              <w:right w:w="70" w:type="dxa"/>
            </w:tcMar>
            <w:vAlign w:val="center"/>
            <w:hideMark/>
          </w:tcPr>
          <w:p w14:paraId="063D1A92" w14:textId="77777777" w:rsidR="00395345" w:rsidRPr="00E128B3" w:rsidRDefault="00395345" w:rsidP="00D508AC">
            <w:pPr>
              <w:keepNext/>
              <w:spacing w:line="259" w:lineRule="auto"/>
              <w:jc w:val="right"/>
              <w:rPr>
                <w:rFonts w:ascii="Calibri" w:eastAsia="Calibri" w:hAnsi="Calibri" w:cs="Calibri"/>
                <w:b/>
                <w:bCs/>
                <w:sz w:val="16"/>
                <w:szCs w:val="16"/>
                <w:highlight w:val="yellow"/>
                <w:lang w:val="en-GB"/>
              </w:rPr>
            </w:pPr>
            <w:r w:rsidRPr="00E128B3">
              <w:rPr>
                <w:rFonts w:ascii="Calibri" w:eastAsia="Calibri" w:hAnsi="Calibri" w:cs="Calibri"/>
                <w:b/>
                <w:sz w:val="16"/>
                <w:szCs w:val="16"/>
                <w:lang w:val="en-GB" w:bidi="en-GB"/>
              </w:rPr>
              <w:t>396,959,256</w:t>
            </w:r>
          </w:p>
        </w:tc>
        <w:tc>
          <w:tcPr>
            <w:tcW w:w="582" w:type="pct"/>
            <w:noWrap/>
            <w:tcMar>
              <w:top w:w="0" w:type="dxa"/>
              <w:left w:w="70" w:type="dxa"/>
              <w:bottom w:w="0" w:type="dxa"/>
              <w:right w:w="70" w:type="dxa"/>
            </w:tcMar>
            <w:vAlign w:val="center"/>
            <w:hideMark/>
          </w:tcPr>
          <w:p w14:paraId="7130F820" w14:textId="77777777" w:rsidR="00395345" w:rsidRPr="00E128B3" w:rsidRDefault="00395345" w:rsidP="00D508AC">
            <w:pPr>
              <w:keepNext/>
              <w:spacing w:line="259" w:lineRule="auto"/>
              <w:jc w:val="right"/>
              <w:rPr>
                <w:rFonts w:ascii="Calibri" w:eastAsia="Calibri" w:hAnsi="Calibri" w:cs="Calibri"/>
                <w:b/>
                <w:bCs/>
                <w:sz w:val="16"/>
                <w:szCs w:val="16"/>
                <w:highlight w:val="yellow"/>
                <w:lang w:val="en-GB"/>
              </w:rPr>
            </w:pPr>
            <w:r w:rsidRPr="00E128B3">
              <w:rPr>
                <w:rFonts w:ascii="Calibri" w:eastAsia="Calibri" w:hAnsi="Calibri" w:cs="Calibri"/>
                <w:b/>
                <w:sz w:val="16"/>
                <w:szCs w:val="16"/>
                <w:lang w:val="en-GB" w:bidi="en-GB"/>
              </w:rPr>
              <w:t>117,575,814</w:t>
            </w:r>
          </w:p>
        </w:tc>
      </w:tr>
    </w:tbl>
    <w:p w14:paraId="22CEB3A9" w14:textId="36A661DC" w:rsidR="00395345" w:rsidRPr="00E128B3" w:rsidRDefault="00395345" w:rsidP="00FB356D">
      <w:pPr>
        <w:pStyle w:val="Zdrojapozn"/>
        <w:spacing w:before="40"/>
        <w:rPr>
          <w:rFonts w:eastAsia="Calibri"/>
          <w:lang w:val="en-GB"/>
        </w:rPr>
      </w:pPr>
      <w:r w:rsidRPr="00E128B3">
        <w:rPr>
          <w:rFonts w:eastAsia="Calibri"/>
          <w:b/>
          <w:lang w:val="en-GB" w:bidi="en-GB"/>
        </w:rPr>
        <w:t xml:space="preserve">Sources: </w:t>
      </w:r>
      <w:r w:rsidRPr="00E128B3">
        <w:rPr>
          <w:rFonts w:eastAsia="Calibri"/>
          <w:lang w:val="en-GB" w:bidi="en-GB"/>
        </w:rPr>
        <w:t>Prepared by the SAO on the basis of data from the MoE.</w:t>
      </w:r>
    </w:p>
    <w:p w14:paraId="6ECF1510" w14:textId="77777777" w:rsidR="00395345" w:rsidRPr="00E128B3" w:rsidRDefault="00395345" w:rsidP="00FB356D">
      <w:pPr>
        <w:pStyle w:val="Text"/>
        <w:keepNext/>
        <w:spacing w:after="120" w:line="264" w:lineRule="auto"/>
        <w:rPr>
          <w:i/>
          <w:lang w:val="en-GB"/>
        </w:rPr>
      </w:pPr>
      <w:r w:rsidRPr="00E128B3">
        <w:rPr>
          <w:i/>
          <w:lang w:val="en-GB" w:bidi="en-GB"/>
        </w:rPr>
        <w:t>Specific objective 2.1 Reduce emissions from local household heating</w:t>
      </w:r>
    </w:p>
    <w:p w14:paraId="1967E945" w14:textId="7D3BF058" w:rsidR="00395345" w:rsidRPr="00E128B3" w:rsidRDefault="00395345" w:rsidP="00FB356D">
      <w:pPr>
        <w:pStyle w:val="Text"/>
        <w:spacing w:after="120" w:line="264" w:lineRule="auto"/>
        <w:rPr>
          <w:lang w:val="en-GB"/>
        </w:rPr>
      </w:pPr>
      <w:r w:rsidRPr="00E128B3">
        <w:rPr>
          <w:lang w:val="en-GB" w:bidi="en-GB"/>
        </w:rPr>
        <w:t xml:space="preserve">The OPE places priority emphasis of </w:t>
      </w:r>
      <w:r w:rsidR="007A1CDE">
        <w:rPr>
          <w:lang w:val="en-GB" w:bidi="en-GB"/>
        </w:rPr>
        <w:t>r</w:t>
      </w:r>
      <w:r w:rsidRPr="00E128B3">
        <w:rPr>
          <w:lang w:val="en-GB" w:bidi="en-GB"/>
        </w:rPr>
        <w:t>educing emissions from private furnaces, which, at the time of the formulation of the OPE,</w:t>
      </w:r>
      <w:r w:rsidRPr="00E128B3">
        <w:rPr>
          <w:rStyle w:val="Znakapoznpodarou"/>
          <w:lang w:val="en-GB" w:bidi="en-GB"/>
        </w:rPr>
        <w:footnoteReference w:id="18"/>
      </w:r>
      <w:r w:rsidRPr="00E128B3">
        <w:rPr>
          <w:lang w:val="en-GB" w:bidi="en-GB"/>
        </w:rPr>
        <w:t xml:space="preserve"> accounted for about 41% of all the PM</w:t>
      </w:r>
      <w:r w:rsidRPr="00E128B3">
        <w:rPr>
          <w:vertAlign w:val="subscript"/>
          <w:lang w:val="en-GB" w:bidi="en-GB"/>
        </w:rPr>
        <w:t>10</w:t>
      </w:r>
      <w:r w:rsidRPr="00E128B3">
        <w:rPr>
          <w:lang w:val="en-GB" w:bidi="en-GB"/>
        </w:rPr>
        <w:t xml:space="preserve"> emissions, over 59% of PM</w:t>
      </w:r>
      <w:r w:rsidRPr="00E128B3">
        <w:rPr>
          <w:vertAlign w:val="subscript"/>
          <w:lang w:val="en-GB" w:bidi="en-GB"/>
        </w:rPr>
        <w:t>2.5</w:t>
      </w:r>
      <w:r w:rsidRPr="00E128B3">
        <w:rPr>
          <w:lang w:val="en-GB" w:bidi="en-GB"/>
        </w:rPr>
        <w:t xml:space="preserve"> emissions, and nearly 90% of BaP emissions in the respiratory zone, which is most significant in terms</w:t>
      </w:r>
      <w:r w:rsidR="007A1CDE">
        <w:rPr>
          <w:lang w:val="en-GB" w:bidi="en-GB"/>
        </w:rPr>
        <w:t xml:space="preserve"> of</w:t>
      </w:r>
      <w:r w:rsidRPr="00E128B3">
        <w:rPr>
          <w:lang w:val="en-GB" w:bidi="en-GB"/>
        </w:rPr>
        <w:t xml:space="preserve"> the impact of air pollution on human health. 75% of the funds allocated to the PA2 was thus intended for SO 2.1, which addresses reducing emissions from households. The resources were distributed among the regions under the individual calls according to the assumed number of non-compliant boilers, taking into account air quality in each region.</w:t>
      </w:r>
    </w:p>
    <w:p w14:paraId="426CC99E" w14:textId="58A1E9E4" w:rsidR="00395345" w:rsidRPr="00E128B3" w:rsidRDefault="00395345" w:rsidP="00FB356D">
      <w:pPr>
        <w:pStyle w:val="Text"/>
        <w:spacing w:after="120" w:line="264" w:lineRule="auto"/>
        <w:rPr>
          <w:lang w:val="en-GB"/>
        </w:rPr>
      </w:pPr>
      <w:r w:rsidRPr="00E128B3">
        <w:rPr>
          <w:lang w:val="en-GB" w:bidi="en-GB"/>
        </w:rPr>
        <w:t xml:space="preserve">The goal of the MoE is to replace 80 thousand old boilers with manual stoking, which significantly pollute the air in the Czech Republic, with new, low-emission heating sources. The subsidies are intended for the replacement of the old emission class 1 and 2 environmentally unfriendly boilers with new, low-emission boilers firing biomass, coal or a combination thereof, a heat pump, gas boiler, or solar system. Data from the </w:t>
      </w:r>
      <w:r w:rsidRPr="00E128B3">
        <w:rPr>
          <w:i/>
          <w:lang w:val="en-GB" w:bidi="en-GB"/>
        </w:rPr>
        <w:t xml:space="preserve">2011 Population and Housing Census </w:t>
      </w:r>
      <w:r w:rsidRPr="00E128B3">
        <w:rPr>
          <w:lang w:val="en-GB" w:bidi="en-GB"/>
        </w:rPr>
        <w:t>indicate that there were 587 thousand private homes using boilers firing solid fuels with an output of less than 50 kW that are classified as emission classes 1 or 2 according to ČNS EN 305-1.. The above-mentioned facts mean that the objective of the MoE is t</w:t>
      </w:r>
      <w:r w:rsidR="007A1CDE">
        <w:rPr>
          <w:lang w:val="en-GB" w:bidi="en-GB"/>
        </w:rPr>
        <w:t>o</w:t>
      </w:r>
      <w:r w:rsidRPr="00E128B3">
        <w:rPr>
          <w:lang w:val="en-GB" w:bidi="en-GB"/>
        </w:rPr>
        <w:t xml:space="preserve"> replace about 14% of the non-compliant obsolete boilers.</w:t>
      </w:r>
    </w:p>
    <w:p w14:paraId="627F8C29" w14:textId="745DF62C" w:rsidR="00395345" w:rsidRPr="00E128B3" w:rsidRDefault="00395345" w:rsidP="00FB356D">
      <w:pPr>
        <w:pStyle w:val="Text"/>
        <w:spacing w:after="120" w:line="264" w:lineRule="auto"/>
        <w:rPr>
          <w:lang w:val="en-GB"/>
        </w:rPr>
      </w:pPr>
      <w:r w:rsidRPr="00E128B3">
        <w:rPr>
          <w:lang w:val="en-GB" w:bidi="en-GB"/>
        </w:rPr>
        <w:t>As at conclusion of this audit, the first two calls of the so-called “boiler subsidies” (Nos. 16 and 67) had been announced and under implementation, with the specified minimum number of implemented project of 57,225. The interim evaluation of 26,080 projects had been performed as at the end of 2017. The highest numbers of boilers were replaced in the Central Bohemian Region (4,652) and the Moravian-Silesian Region (4,330). The interim evaluation data regarding the boiler subsidies as monitored by the SEF suggest the following composition of the new boilers: 33% - combined coals and biomass boilers; 25% - heat pumps; 18% - biomass boilers; 14% - gas boilers; and 10% - coal-firing boilers.</w:t>
      </w:r>
    </w:p>
    <w:p w14:paraId="5230F1F6" w14:textId="07511EB4" w:rsidR="00395345" w:rsidRPr="00E128B3" w:rsidRDefault="00395345" w:rsidP="00FB356D">
      <w:pPr>
        <w:pStyle w:val="Text"/>
        <w:spacing w:after="120" w:line="264" w:lineRule="auto"/>
        <w:rPr>
          <w:lang w:val="en-GB"/>
        </w:rPr>
      </w:pPr>
      <w:r w:rsidRPr="00E128B3">
        <w:rPr>
          <w:lang w:val="en-GB" w:bidi="en-GB"/>
        </w:rPr>
        <w:t>The use of the funds under Call 16 (1st round of the boiler subsidies) will be completed on 31 December 2018; under Call 67 (2nd round of the boiler subsidies) the funds will be used by the final beneficiaries until 31 December 2019. Because of the incomplete implementation of the projects submitted under the 1st round of the boiler subsidy scheme, it is impossible to evaluate the overall contribution of the funds provided for reducing the emissions generated by local household heating. Even though this contribution cannot be evaluated at present, it is possible to state that the focus of PA2 on the replacement of old boilers with boilers with lower emissions of pollutants is positive and leads to reducing the level of air pollution and thus to air quality improvements. The current fulfilment of the indicators and objectives of the programme suggests that these objectives and indicators will be significantly exceeded after all the projects under SO 2.1 are completed.</w:t>
      </w:r>
      <w:r w:rsidR="00E128B3" w:rsidRPr="00E128B3">
        <w:rPr>
          <w:lang w:val="en-GB" w:bidi="en-GB"/>
        </w:rPr>
        <w:t xml:space="preserve"> </w:t>
      </w:r>
    </w:p>
    <w:p w14:paraId="3ABF47E1" w14:textId="77777777" w:rsidR="00395345" w:rsidRPr="00E128B3" w:rsidRDefault="00395345" w:rsidP="00FB356D">
      <w:pPr>
        <w:pStyle w:val="Text"/>
        <w:spacing w:after="120" w:line="264" w:lineRule="auto"/>
        <w:rPr>
          <w:i/>
          <w:lang w:val="en-GB"/>
        </w:rPr>
      </w:pPr>
      <w:r w:rsidRPr="00E128B3">
        <w:rPr>
          <w:i/>
          <w:lang w:val="en-GB" w:bidi="en-GB"/>
        </w:rPr>
        <w:t>Specific objective 2.2: Reduce emissions from stationary sources</w:t>
      </w:r>
      <w:r w:rsidR="00D076BB" w:rsidRPr="00E128B3">
        <w:rPr>
          <w:rStyle w:val="Znakapoznpodarou"/>
          <w:lang w:val="en-GB" w:bidi="en-GB"/>
        </w:rPr>
        <w:footnoteReference w:id="19"/>
      </w:r>
    </w:p>
    <w:p w14:paraId="57355096" w14:textId="2327EDA1" w:rsidR="00395345" w:rsidRPr="00E128B3" w:rsidRDefault="00395345" w:rsidP="00FB356D">
      <w:pPr>
        <w:pStyle w:val="Text"/>
        <w:spacing w:after="120" w:line="264" w:lineRule="auto"/>
        <w:rPr>
          <w:lang w:val="en-GB"/>
        </w:rPr>
      </w:pPr>
      <w:r w:rsidRPr="00E128B3">
        <w:rPr>
          <w:lang w:val="en-GB" w:bidi="en-GB"/>
        </w:rPr>
        <w:t>PA2 is used to support, for example, the implementation of measures to reduce resuspension</w:t>
      </w:r>
      <w:r w:rsidR="00B904E2" w:rsidRPr="00E128B3">
        <w:rPr>
          <w:rStyle w:val="Znakapoznpodarou"/>
          <w:lang w:val="en-GB" w:bidi="en-GB"/>
        </w:rPr>
        <w:footnoteReference w:id="20"/>
      </w:r>
      <w:r w:rsidRPr="00E128B3">
        <w:rPr>
          <w:lang w:val="en-GB" w:bidi="en-GB"/>
        </w:rPr>
        <w:t xml:space="preserve"> and the emissions of pollutants from stationary sources, which are a significant contributor to the high level of air pollution. The most typical projects concern the full or partial replacement or reconstruction of the existing stationary pollution sources, or the acquisition of additional technologies to reduce the emissions of pollutants or to reduce the level of pollution.</w:t>
      </w:r>
    </w:p>
    <w:p w14:paraId="33618021" w14:textId="5744C53F" w:rsidR="00395345" w:rsidRPr="00E128B3" w:rsidRDefault="00395345" w:rsidP="00FB356D">
      <w:pPr>
        <w:pStyle w:val="TextKP"/>
        <w:spacing w:after="120" w:line="264" w:lineRule="auto"/>
        <w:rPr>
          <w:lang w:val="en-GB"/>
        </w:rPr>
      </w:pPr>
      <w:r w:rsidRPr="00E128B3">
        <w:rPr>
          <w:lang w:val="en-GB" w:bidi="en-GB"/>
        </w:rPr>
        <w:t>The audit of the administration of the selected projects by the intermediate body found that the SEF did not require the submission of supporting documents by the beneficiaries within the specified deadlines for the final evaluation of the projects. In doing so, the SEF failed to proceed in accordance with Section 25(1) of Act No. 320/2001 Coll.</w:t>
      </w:r>
      <w:r w:rsidR="00B34540" w:rsidRPr="00E128B3">
        <w:rPr>
          <w:rStyle w:val="Znakapoznpodarou"/>
          <w:lang w:val="en-GB" w:bidi="en-GB"/>
        </w:rPr>
        <w:footnoteReference w:id="21"/>
      </w:r>
      <w:r w:rsidRPr="00E128B3">
        <w:rPr>
          <w:lang w:val="en-GB" w:bidi="en-GB"/>
        </w:rPr>
        <w:t xml:space="preserve"> in that it failed to introduce and maintain an internal control system to enable the timely notification of any failure by the beneficiaries to comply with their obligations.</w:t>
      </w:r>
    </w:p>
    <w:p w14:paraId="3E7D5292" w14:textId="77777777" w:rsidR="00395345" w:rsidRPr="00E128B3" w:rsidRDefault="00395345" w:rsidP="00FB356D">
      <w:pPr>
        <w:pStyle w:val="TextKP"/>
        <w:spacing w:after="120" w:line="264" w:lineRule="auto"/>
        <w:rPr>
          <w:i/>
          <w:lang w:val="en-GB"/>
        </w:rPr>
      </w:pPr>
      <w:r w:rsidRPr="00E128B3">
        <w:rPr>
          <w:i/>
          <w:lang w:val="en-GB" w:bidi="en-GB"/>
        </w:rPr>
        <w:t>Specific objective 2.3: Improve the system of monitoring, evaluation and forecasting of the air quality trends and of the related weather aspects</w:t>
      </w:r>
    </w:p>
    <w:p w14:paraId="68D58A0C" w14:textId="77777777" w:rsidR="00395345" w:rsidRPr="00E128B3" w:rsidRDefault="00395345" w:rsidP="00FB356D">
      <w:pPr>
        <w:pStyle w:val="TextKP"/>
        <w:spacing w:after="120" w:line="264" w:lineRule="auto"/>
        <w:rPr>
          <w:lang w:val="en-GB"/>
        </w:rPr>
      </w:pPr>
      <w:r w:rsidRPr="00E128B3">
        <w:rPr>
          <w:lang w:val="en-GB" w:bidi="en-GB"/>
        </w:rPr>
        <w:t>The third area of support under PA2 concerns projects aimed at improving the system of monitoring, evaluation and forecasting of the air quality and weather trends, which is also used to evaluate the current situation, forecast the future development in the short term as well as the long term, and evaluate the air quality improvement measures. In terms of the volume of funding, the Czech Hydrometeorological Institute is the most significant beneficiary within the framework of this specific objective.</w:t>
      </w:r>
    </w:p>
    <w:p w14:paraId="631DD47C" w14:textId="69024AE0" w:rsidR="00395345" w:rsidRPr="00E128B3" w:rsidRDefault="00395345" w:rsidP="00FB356D">
      <w:pPr>
        <w:pStyle w:val="TextKP"/>
        <w:spacing w:after="120" w:line="264" w:lineRule="auto"/>
        <w:rPr>
          <w:lang w:val="en-GB"/>
        </w:rPr>
      </w:pPr>
      <w:r w:rsidRPr="00E128B3">
        <w:rPr>
          <w:lang w:val="en-GB" w:bidi="en-GB"/>
        </w:rPr>
        <w:t>During the period under review, Calls Nos. 17, 79 and 98 were issued under SO 2.3 (see Table 1). Under Call No. 17, a total of 14 projects were supported with the EU contribution of CZK 208 million. The CHMI was the applicant for five projects with the EU contribution of CZK 135 million. Under Call No. 79, a total of 9 projects were supported with the EU contribution of CZK 138 million. The CHMI was the applicant for two projects with the EU contribution of CZK 67 million. The amount of support allocated to the CHMI under Calls Nos. 17 and 79 represents 58% of the total allocation of these Calls, in the amount of CZK 346 million.</w:t>
      </w:r>
    </w:p>
    <w:p w14:paraId="0A6D88FE" w14:textId="418966A2" w:rsidR="00395345" w:rsidRPr="00E128B3" w:rsidRDefault="00395345" w:rsidP="00FB356D">
      <w:pPr>
        <w:pStyle w:val="TextKP"/>
        <w:spacing w:after="120" w:line="264" w:lineRule="auto"/>
        <w:rPr>
          <w:lang w:val="en-GB"/>
        </w:rPr>
      </w:pPr>
      <w:r w:rsidRPr="00E128B3">
        <w:rPr>
          <w:lang w:val="en-GB" w:bidi="en-GB"/>
        </w:rPr>
        <w:t>Call No. 98, with the submission deadline of 20 December 2018, was issued on 8 March 2018. It is the last call regarding the resources available under SO 2.3. As of 21 August 2018, there were 8 applications submitted, requesting an EU contribution of CZK 114 million. The CHMI was the applicant for six projects involving the EU contribution of CZK 110 million.</w:t>
      </w:r>
    </w:p>
    <w:p w14:paraId="272D39FD" w14:textId="1B009FBA" w:rsidR="00395345" w:rsidRPr="00E128B3" w:rsidRDefault="00395345" w:rsidP="00FB356D">
      <w:pPr>
        <w:pStyle w:val="TextKP"/>
        <w:spacing w:after="120" w:line="264" w:lineRule="auto"/>
        <w:rPr>
          <w:lang w:val="en-GB"/>
        </w:rPr>
      </w:pPr>
      <w:r w:rsidRPr="00E128B3">
        <w:rPr>
          <w:lang w:val="en-GB" w:bidi="en-GB"/>
        </w:rPr>
        <w:t>The CHMI thus uses aid from PA2 of the OPE to implement 13 projects involving the total EU contribution of CZK 312 million. However, the audit found that seven of these projects, accounting for an EU contribution of CZK 147 million (46% of the total EU contribution to the CHMI), primarily focused on the related weather aspects rather than on air quality monitoring and evaluation; this, nevertheless, is permitted under specific objective 2.3.</w:t>
      </w:r>
    </w:p>
    <w:p w14:paraId="0D165DDA" w14:textId="01FC53E1" w:rsidR="00395345" w:rsidRPr="00E128B3" w:rsidRDefault="00395345" w:rsidP="00FB356D">
      <w:pPr>
        <w:pStyle w:val="TextKP"/>
        <w:spacing w:after="120" w:line="264" w:lineRule="auto"/>
        <w:rPr>
          <w:lang w:val="en-GB"/>
        </w:rPr>
      </w:pPr>
      <w:r w:rsidRPr="00E128B3">
        <w:rPr>
          <w:lang w:val="en-GB" w:bidi="en-GB"/>
        </w:rPr>
        <w:t>The facts which have been established by the audit and which identify the risk of failure to meet the specific programme indicator for SO 2.3 are discussed in detail in Part B (5) of this Audit Conclusion.</w:t>
      </w:r>
    </w:p>
    <w:p w14:paraId="2E1B3DDA" w14:textId="77777777" w:rsidR="00395345" w:rsidRPr="00E128B3" w:rsidRDefault="00395345" w:rsidP="00FB356D">
      <w:pPr>
        <w:pStyle w:val="Text"/>
        <w:numPr>
          <w:ilvl w:val="0"/>
          <w:numId w:val="36"/>
        </w:numPr>
        <w:spacing w:after="120" w:line="264" w:lineRule="auto"/>
        <w:ind w:left="284" w:hanging="284"/>
        <w:rPr>
          <w:b/>
          <w:i/>
          <w:lang w:val="en-GB"/>
        </w:rPr>
      </w:pPr>
      <w:r w:rsidRPr="00E128B3">
        <w:rPr>
          <w:b/>
          <w:i/>
          <w:lang w:val="en-GB" w:bidi="en-GB"/>
        </w:rPr>
        <w:t>National Programme Environment</w:t>
      </w:r>
    </w:p>
    <w:p w14:paraId="66209CE0" w14:textId="635B268C" w:rsidR="00395345" w:rsidRPr="00E128B3" w:rsidRDefault="00395345" w:rsidP="00FB356D">
      <w:pPr>
        <w:pStyle w:val="Text"/>
        <w:spacing w:after="120" w:line="264" w:lineRule="auto"/>
        <w:rPr>
          <w:lang w:val="en-GB" w:eastAsia="cs-CZ"/>
        </w:rPr>
      </w:pPr>
      <w:r w:rsidRPr="00E128B3">
        <w:rPr>
          <w:lang w:val="en-GB" w:bidi="en-GB"/>
        </w:rPr>
        <w:t xml:space="preserve">The NPE is a programme of the MoE, with the SEF acting as the intermediate body, with the resources (in particular, income from environmental fees) being provided through the NPE as project funding. The NPE is a complementary programme for projects which are not supported under other subsidy frameworks such as the OPE or the </w:t>
      </w:r>
      <w:r w:rsidRPr="00E128B3">
        <w:rPr>
          <w:i/>
          <w:lang w:val="en-GB" w:bidi="en-GB"/>
        </w:rPr>
        <w:t>New Green Savings</w:t>
      </w:r>
      <w:r w:rsidRPr="00E128B3">
        <w:rPr>
          <w:lang w:val="en-GB" w:bidi="en-GB"/>
        </w:rPr>
        <w:t xml:space="preserve"> programme.</w:t>
      </w:r>
    </w:p>
    <w:p w14:paraId="0C2F1E8F" w14:textId="1F934AF6" w:rsidR="00395345" w:rsidRPr="00E128B3" w:rsidRDefault="00395345" w:rsidP="00FB356D">
      <w:pPr>
        <w:pStyle w:val="Text"/>
        <w:spacing w:after="120" w:line="264" w:lineRule="auto"/>
        <w:rPr>
          <w:lang w:val="en-GB"/>
        </w:rPr>
      </w:pPr>
      <w:r w:rsidRPr="00E128B3">
        <w:rPr>
          <w:lang w:val="en-GB" w:bidi="en-GB"/>
        </w:rPr>
        <w:t>Since 2015, funds from the SEF are provided through the NPE on the basis of MoE Directive No. 4/2015</w:t>
      </w:r>
      <w:r w:rsidRPr="00E128B3">
        <w:rPr>
          <w:rStyle w:val="Znakapoznpodarou"/>
          <w:lang w:val="en-GB" w:bidi="en-GB"/>
        </w:rPr>
        <w:footnoteReference w:id="22"/>
      </w:r>
      <w:r w:rsidRPr="00E128B3">
        <w:rPr>
          <w:lang w:val="en-GB" w:bidi="en-GB"/>
        </w:rPr>
        <w:t>. The aid from the NPE is provided in the form of a subsidy, a loan, or a combination thereof. The form and purpose of aid are set in the individual calls for proposals.</w:t>
      </w:r>
    </w:p>
    <w:p w14:paraId="06B41DFB" w14:textId="464C9FE7" w:rsidR="00395345" w:rsidRPr="00E128B3" w:rsidRDefault="00395345" w:rsidP="00FB356D">
      <w:pPr>
        <w:pStyle w:val="Text"/>
        <w:spacing w:after="120" w:line="264" w:lineRule="auto"/>
        <w:rPr>
          <w:lang w:val="en-GB"/>
        </w:rPr>
      </w:pPr>
      <w:r w:rsidRPr="00E128B3">
        <w:rPr>
          <w:lang w:val="en-GB" w:bidi="en-GB"/>
        </w:rPr>
        <w:t xml:space="preserve">The area of air protection and air quality improvement is mainly addressed by priority area 2: </w:t>
      </w:r>
      <w:r w:rsidRPr="00E128B3">
        <w:rPr>
          <w:i/>
          <w:lang w:val="en-GB" w:bidi="en-GB"/>
        </w:rPr>
        <w:t>Air</w:t>
      </w:r>
      <w:r w:rsidRPr="00E128B3">
        <w:rPr>
          <w:lang w:val="en-GB" w:bidi="en-GB"/>
        </w:rPr>
        <w:t xml:space="preserve">. In addition, air protection and quality improvement projects are also supported in priority area 5: </w:t>
      </w:r>
      <w:r w:rsidRPr="00E128B3">
        <w:rPr>
          <w:i/>
          <w:lang w:val="en-GB" w:bidi="en-GB"/>
        </w:rPr>
        <w:t>Environment in municipalities.</w:t>
      </w:r>
      <w:r w:rsidRPr="00E128B3">
        <w:rPr>
          <w:lang w:val="en-GB" w:bidi="en-GB"/>
        </w:rPr>
        <w:t xml:space="preserve"> Air quality improvement projects are also marginally supported in priority area 6: </w:t>
      </w:r>
      <w:r w:rsidRPr="00E128B3">
        <w:rPr>
          <w:i/>
          <w:lang w:val="en-GB" w:bidi="en-GB"/>
        </w:rPr>
        <w:t xml:space="preserve">Environmental prevention </w:t>
      </w:r>
      <w:r w:rsidRPr="00E128B3">
        <w:rPr>
          <w:lang w:val="en-GB" w:bidi="en-GB"/>
        </w:rPr>
        <w:t>and 7: </w:t>
      </w:r>
      <w:r w:rsidRPr="00E128B3">
        <w:rPr>
          <w:i/>
          <w:lang w:val="en-GB" w:bidi="en-GB"/>
        </w:rPr>
        <w:t>Innovative and demonstration projects</w:t>
      </w:r>
      <w:r w:rsidRPr="00E128B3">
        <w:rPr>
          <w:lang w:val="en-GB" w:bidi="en-GB"/>
        </w:rPr>
        <w:t>).</w:t>
      </w:r>
    </w:p>
    <w:p w14:paraId="46EEEB58" w14:textId="0074A056" w:rsidR="00395345" w:rsidRPr="00E128B3" w:rsidRDefault="00395345" w:rsidP="00FB356D">
      <w:pPr>
        <w:pStyle w:val="Text"/>
        <w:spacing w:after="120" w:line="264" w:lineRule="auto"/>
        <w:rPr>
          <w:lang w:val="en-GB"/>
        </w:rPr>
      </w:pPr>
      <w:r w:rsidRPr="00E128B3">
        <w:rPr>
          <w:lang w:val="en-GB" w:bidi="en-GB"/>
        </w:rPr>
        <w:t>In 2015–2017 the MoE issued 12 calls involving a total allocation of CZK 526 million aimed at air protection and emission control. As of 31 December 2017, a total of 191 effective Decisions of the Minister concerning a subsidy of CZK 137 million were issued; the aid paid as of that date amounted to CZK 17 million.</w:t>
      </w:r>
    </w:p>
    <w:p w14:paraId="56C75B8B" w14:textId="6AEBBE2A" w:rsidR="00395345" w:rsidRPr="00E128B3" w:rsidRDefault="00395345" w:rsidP="00FB356D">
      <w:pPr>
        <w:pStyle w:val="Text"/>
        <w:spacing w:after="120" w:line="264" w:lineRule="auto"/>
        <w:rPr>
          <w:lang w:val="en-GB"/>
        </w:rPr>
      </w:pPr>
      <w:r w:rsidRPr="00E128B3">
        <w:rPr>
          <w:lang w:val="en-GB" w:bidi="en-GB"/>
        </w:rPr>
        <w:t>The audit found that the SEF did not monitor and evaluate the economy, efficiency and effectiveness of the funds used from the NPE for supporting air quality improvements. The details regarding this deficiency are provided in Part B (6) of this Audit Conclusion.</w:t>
      </w:r>
    </w:p>
    <w:p w14:paraId="390FD5C3" w14:textId="77777777" w:rsidR="00395345" w:rsidRPr="00E128B3" w:rsidRDefault="00395345" w:rsidP="00FB356D">
      <w:pPr>
        <w:pStyle w:val="Text"/>
        <w:numPr>
          <w:ilvl w:val="0"/>
          <w:numId w:val="36"/>
        </w:numPr>
        <w:spacing w:after="120" w:line="264" w:lineRule="auto"/>
        <w:ind w:left="284" w:hanging="284"/>
        <w:rPr>
          <w:b/>
          <w:lang w:val="en-GB"/>
        </w:rPr>
      </w:pPr>
      <w:r w:rsidRPr="00E128B3">
        <w:rPr>
          <w:b/>
          <w:lang w:val="en-GB" w:bidi="en-GB"/>
        </w:rPr>
        <w:t xml:space="preserve">The </w:t>
      </w:r>
      <w:r w:rsidRPr="00E128B3">
        <w:rPr>
          <w:b/>
          <w:i/>
          <w:lang w:val="en-GB" w:bidi="en-GB"/>
        </w:rPr>
        <w:t>LIFE</w:t>
      </w:r>
      <w:r w:rsidRPr="00E128B3">
        <w:rPr>
          <w:b/>
          <w:lang w:val="en-GB" w:bidi="en-GB"/>
        </w:rPr>
        <w:t xml:space="preserve"> Programme</w:t>
      </w:r>
    </w:p>
    <w:p w14:paraId="2F8873C1" w14:textId="70EB43F8" w:rsidR="00395345" w:rsidRPr="00E128B3" w:rsidRDefault="00395345" w:rsidP="00FB356D">
      <w:pPr>
        <w:pStyle w:val="Text"/>
        <w:spacing w:after="120" w:line="264" w:lineRule="auto"/>
        <w:rPr>
          <w:lang w:val="en-GB"/>
        </w:rPr>
      </w:pPr>
      <w:r w:rsidRPr="00E128B3">
        <w:rPr>
          <w:lang w:val="en-GB" w:bidi="en-GB"/>
        </w:rPr>
        <w:t xml:space="preserve">The </w:t>
      </w:r>
      <w:r w:rsidRPr="00E128B3">
        <w:rPr>
          <w:i/>
          <w:lang w:val="en-GB" w:bidi="en-GB"/>
        </w:rPr>
        <w:t>LIFE Programme</w:t>
      </w:r>
      <w:r w:rsidRPr="00E128B3">
        <w:rPr>
          <w:lang w:val="en-GB" w:bidi="en-GB"/>
        </w:rPr>
        <w:t xml:space="preserve"> is a Community instrument for the environment and climate action for the period from 1 January 2014 to 31 December 2020, established by Regulation (EC) No 1293/2013</w:t>
      </w:r>
      <w:r w:rsidRPr="00E128B3">
        <w:rPr>
          <w:rStyle w:val="Znakapoznpodarou"/>
          <w:lang w:val="en-GB" w:bidi="en-GB"/>
        </w:rPr>
        <w:footnoteReference w:id="23"/>
      </w:r>
      <w:r w:rsidRPr="00E128B3">
        <w:rPr>
          <w:lang w:val="en-GB" w:bidi="en-GB"/>
        </w:rPr>
        <w:t xml:space="preserve">. The project objectives include contributing to the shift towards a low-carbon economy and supporting better environmental and climate governance. The total amount of EUR 3,456,655,000 euros was allocated to the implementation of the LIFE Programme for the period 2014–2020, of which the financial envelope set for the period 2014–2017 was set at 1,796,242,000 euros. The priority types of projects to be supported in the period from 2014 to 2017 were also set for the thematic priority of </w:t>
      </w:r>
      <w:r w:rsidRPr="00E128B3">
        <w:rPr>
          <w:i/>
          <w:lang w:val="en-GB" w:bidi="en-GB"/>
        </w:rPr>
        <w:t>Air quality and emissions</w:t>
      </w:r>
      <w:r w:rsidRPr="00E128B3">
        <w:rPr>
          <w:lang w:val="en-GB" w:bidi="en-GB"/>
        </w:rPr>
        <w:t>.</w:t>
      </w:r>
    </w:p>
    <w:p w14:paraId="20CD8BC1" w14:textId="58D6B2FD" w:rsidR="00395345" w:rsidRPr="00E128B3" w:rsidRDefault="00395345" w:rsidP="00FB356D">
      <w:pPr>
        <w:pStyle w:val="TextKP"/>
        <w:spacing w:after="120" w:line="264" w:lineRule="auto"/>
        <w:rPr>
          <w:lang w:val="en-GB"/>
        </w:rPr>
      </w:pPr>
      <w:r w:rsidRPr="00E128B3">
        <w:rPr>
          <w:lang w:val="en-GB" w:bidi="en-GB"/>
        </w:rPr>
        <w:t xml:space="preserve">In 2015 and 2017 the MoE issued the national call for requests for national co-financing from the </w:t>
      </w:r>
      <w:r w:rsidRPr="00E128B3">
        <w:rPr>
          <w:i/>
          <w:lang w:val="en-GB" w:bidi="en-GB"/>
        </w:rPr>
        <w:t>LIFE Programme</w:t>
      </w:r>
      <w:r w:rsidRPr="00E128B3">
        <w:rPr>
          <w:lang w:val="en-GB" w:bidi="en-GB"/>
        </w:rPr>
        <w:t xml:space="preserve">; since 2016 it also includes the call for the requests for support for the preparation of project documents to motivate Czech applicants to submit project proposals and to increase the use of the </w:t>
      </w:r>
      <w:r w:rsidRPr="00E128B3">
        <w:rPr>
          <w:i/>
          <w:lang w:val="en-GB" w:bidi="en-GB"/>
        </w:rPr>
        <w:t xml:space="preserve">LIFE Programme </w:t>
      </w:r>
      <w:r w:rsidRPr="00E128B3">
        <w:rPr>
          <w:lang w:val="en-GB" w:bidi="en-GB"/>
        </w:rPr>
        <w:t xml:space="preserve">by beneficiaries from the Czech Republic. The applicants that succeed in the national </w:t>
      </w:r>
      <w:r w:rsidRPr="00E128B3">
        <w:rPr>
          <w:i/>
          <w:lang w:val="en-GB" w:bidi="en-GB"/>
        </w:rPr>
        <w:t>LIFE</w:t>
      </w:r>
      <w:r w:rsidRPr="00E128B3">
        <w:rPr>
          <w:lang w:val="en-GB" w:bidi="en-GB"/>
        </w:rPr>
        <w:t xml:space="preserve"> call may obtain a contribution from the MoE equal to 15% of the total budget, with the maximum being CZK 10 million. The national resources for the co-financing of the projects supported from the </w:t>
      </w:r>
      <w:r w:rsidRPr="00E128B3">
        <w:rPr>
          <w:i/>
          <w:lang w:val="en-GB" w:bidi="en-GB"/>
        </w:rPr>
        <w:t>LIFE Programme</w:t>
      </w:r>
      <w:r w:rsidRPr="00E128B3">
        <w:rPr>
          <w:lang w:val="en-GB" w:bidi="en-GB"/>
        </w:rPr>
        <w:t xml:space="preserve"> are provided under MoE Directive No. 4/2016.</w:t>
      </w:r>
      <w:r w:rsidRPr="00E128B3">
        <w:rPr>
          <w:rStyle w:val="Znakapoznpodarou"/>
          <w:lang w:val="en-GB" w:bidi="en-GB"/>
        </w:rPr>
        <w:footnoteReference w:id="24"/>
      </w:r>
      <w:r w:rsidRPr="00E128B3">
        <w:rPr>
          <w:lang w:val="en-GB" w:bidi="en-GB"/>
        </w:rPr>
        <w:t xml:space="preserve"> The details regarding the established facts are provided in Part B (7) of this Audit Conclusion.</w:t>
      </w:r>
    </w:p>
    <w:p w14:paraId="08774063" w14:textId="77777777" w:rsidR="00395345" w:rsidRPr="00E128B3" w:rsidRDefault="00395345" w:rsidP="00FB356D">
      <w:pPr>
        <w:pStyle w:val="Nadpis2"/>
        <w:numPr>
          <w:ilvl w:val="0"/>
          <w:numId w:val="0"/>
        </w:numPr>
        <w:spacing w:line="264" w:lineRule="auto"/>
        <w:ind w:left="576" w:hanging="576"/>
        <w:rPr>
          <w:i/>
          <w:lang w:val="en-GB"/>
        </w:rPr>
      </w:pPr>
      <w:r w:rsidRPr="00E128B3">
        <w:rPr>
          <w:lang w:val="en-GB" w:bidi="en-GB"/>
        </w:rPr>
        <w:t>B. Risk of the failure to meet air quality objectives even by 2020</w:t>
      </w:r>
    </w:p>
    <w:p w14:paraId="61EDBE33" w14:textId="77777777" w:rsidR="00395345" w:rsidRPr="00E128B3" w:rsidRDefault="00395345" w:rsidP="00FB356D">
      <w:pPr>
        <w:pStyle w:val="Nadpis3"/>
        <w:numPr>
          <w:ilvl w:val="0"/>
          <w:numId w:val="46"/>
        </w:numPr>
        <w:spacing w:line="264" w:lineRule="auto"/>
        <w:ind w:left="284" w:hanging="284"/>
        <w:rPr>
          <w:lang w:val="en-GB" w:eastAsia="cs-CZ"/>
        </w:rPr>
      </w:pPr>
      <w:r w:rsidRPr="00E128B3">
        <w:rPr>
          <w:lang w:val="en-GB" w:bidi="en-GB"/>
        </w:rPr>
        <w:t>The strict national unexceedable emission limits of 2020 will be difficult to meet.</w:t>
      </w:r>
    </w:p>
    <w:p w14:paraId="78A6991E" w14:textId="14D5F871" w:rsidR="00395345" w:rsidRPr="00E128B3" w:rsidRDefault="00395345" w:rsidP="00FB356D">
      <w:pPr>
        <w:pStyle w:val="Text"/>
        <w:spacing w:after="120" w:line="264" w:lineRule="auto"/>
        <w:rPr>
          <w:lang w:val="en-GB"/>
        </w:rPr>
      </w:pPr>
      <w:r w:rsidRPr="00E128B3">
        <w:rPr>
          <w:lang w:val="en-GB" w:bidi="en-GB"/>
        </w:rPr>
        <w:t>In order to progressively reduce air pollution by reducing emissions, to protect human health and the environment, Directive EU 2016/2284</w:t>
      </w:r>
      <w:r w:rsidR="00627966" w:rsidRPr="00E128B3">
        <w:rPr>
          <w:rStyle w:val="Znakapoznpodarou"/>
          <w:lang w:val="en-GB" w:bidi="en-GB"/>
        </w:rPr>
        <w:footnoteReference w:id="25"/>
      </w:r>
      <w:r w:rsidRPr="00E128B3">
        <w:rPr>
          <w:lang w:val="en-GB" w:bidi="en-GB"/>
        </w:rPr>
        <w:t xml:space="preserve"> was adopted, laying down new commitments for Member States, which commitments are identical with those set out in the revised </w:t>
      </w:r>
      <w:r w:rsidRPr="00E128B3">
        <w:rPr>
          <w:i/>
          <w:lang w:val="en-GB" w:bidi="en-GB"/>
        </w:rPr>
        <w:t>Gothenburg Protocol</w:t>
      </w:r>
      <w:r w:rsidR="0011199F" w:rsidRPr="00E128B3">
        <w:rPr>
          <w:rStyle w:val="Znakapoznpodarou"/>
          <w:lang w:val="en-GB" w:bidi="en-GB"/>
        </w:rPr>
        <w:footnoteReference w:id="26"/>
      </w:r>
      <w:r w:rsidRPr="00E128B3">
        <w:rPr>
          <w:lang w:val="en-GB" w:bidi="en-GB"/>
        </w:rPr>
        <w:t>. The commitments to reduce SO</w:t>
      </w:r>
      <w:r w:rsidRPr="00E128B3">
        <w:rPr>
          <w:vertAlign w:val="subscript"/>
          <w:lang w:val="en-GB" w:bidi="en-GB"/>
        </w:rPr>
        <w:t>2</w:t>
      </w:r>
      <w:r w:rsidRPr="00E128B3">
        <w:rPr>
          <w:lang w:val="en-GB" w:bidi="en-GB"/>
        </w:rPr>
        <w:t>, NO</w:t>
      </w:r>
      <w:r w:rsidRPr="00E128B3">
        <w:rPr>
          <w:vertAlign w:val="subscript"/>
          <w:lang w:val="en-GB" w:bidi="en-GB"/>
        </w:rPr>
        <w:t>X</w:t>
      </w:r>
      <w:r w:rsidRPr="00E128B3">
        <w:rPr>
          <w:lang w:val="en-GB" w:bidi="en-GB"/>
        </w:rPr>
        <w:t>, NMVOC, NH</w:t>
      </w:r>
      <w:r w:rsidRPr="00E128B3">
        <w:rPr>
          <w:vertAlign w:val="subscript"/>
          <w:lang w:val="en-GB" w:bidi="en-GB"/>
        </w:rPr>
        <w:t>3</w:t>
      </w:r>
      <w:r w:rsidRPr="00E128B3">
        <w:rPr>
          <w:lang w:val="en-GB" w:bidi="en-GB"/>
        </w:rPr>
        <w:t xml:space="preserve"> and PM</w:t>
      </w:r>
      <w:r w:rsidRPr="00E128B3">
        <w:rPr>
          <w:vertAlign w:val="subscript"/>
          <w:lang w:val="en-GB" w:bidi="en-GB"/>
        </w:rPr>
        <w:t>2.5</w:t>
      </w:r>
      <w:r w:rsidRPr="00E128B3">
        <w:rPr>
          <w:lang w:val="en-GB" w:bidi="en-GB"/>
        </w:rPr>
        <w:t xml:space="preserve"> emissions are set out for the period from 2020 onwards, taking the year 2005 as a base year (the “international emission reduction commitment”).</w:t>
      </w:r>
    </w:p>
    <w:p w14:paraId="2A4D1800" w14:textId="640EFFB8" w:rsidR="00395345" w:rsidRPr="00E128B3" w:rsidRDefault="00395345" w:rsidP="00FB356D">
      <w:pPr>
        <w:pStyle w:val="Text"/>
        <w:spacing w:after="120" w:line="264" w:lineRule="auto"/>
        <w:rPr>
          <w:lang w:val="en-GB"/>
        </w:rPr>
      </w:pPr>
      <w:r w:rsidRPr="00E128B3">
        <w:rPr>
          <w:lang w:val="en-GB" w:bidi="en-GB"/>
        </w:rPr>
        <w:t xml:space="preserve">At the same time, the Czech Republic used the NERP to set its own, more ambitious emission reduction objectives, the so-called </w:t>
      </w:r>
      <w:r w:rsidRPr="00E128B3">
        <w:rPr>
          <w:i/>
          <w:lang w:val="en-GB" w:bidi="en-GB"/>
        </w:rPr>
        <w:t>unexceedable national emission values of 2020</w:t>
      </w:r>
      <w:r w:rsidRPr="00E128B3">
        <w:rPr>
          <w:lang w:val="en-GB" w:bidi="en-GB"/>
        </w:rPr>
        <w:t xml:space="preserve">, which are stricter than the international commitments applicable in 2020, and the </w:t>
      </w:r>
      <w:r w:rsidRPr="00E128B3">
        <w:rPr>
          <w:i/>
          <w:lang w:val="en-GB" w:bidi="en-GB"/>
        </w:rPr>
        <w:t>emission ceilings for the individual groups of stationary and mobile sources</w:t>
      </w:r>
      <w:r w:rsidRPr="00E128B3">
        <w:rPr>
          <w:lang w:val="en-GB" w:bidi="en-GB"/>
        </w:rPr>
        <w:t>. The MoE set all the emission reduction objectives (commitments) as absolute values, which makes them difficult to evaluate because of the changes in the calculation of the emission balance. The MoE chose a different method of setting out the commitments for 2020 in comparison with the international commitments, expressing the emission reduction requirement as a fixed percentage decrease compared to the total emissions in 2005. The commitments set out for the Czech Republic according to Directive EU 2016/2284 or the Gothenburg Protocol and the unexceedable national emission values for 2020 as set out in the NERP and their percentage with regard to the total national emissions from 2005 are provided in the table below.</w:t>
      </w:r>
    </w:p>
    <w:p w14:paraId="6A9E7477" w14:textId="05CE4E22" w:rsidR="00395345" w:rsidRPr="00E128B3" w:rsidRDefault="00395345" w:rsidP="00C66F33">
      <w:pPr>
        <w:pStyle w:val="Titulek"/>
        <w:keepNext/>
        <w:spacing w:after="40"/>
        <w:rPr>
          <w:b/>
          <w:lang w:val="en-GB"/>
        </w:rPr>
      </w:pPr>
      <w:r w:rsidRPr="00E128B3">
        <w:rPr>
          <w:b/>
          <w:lang w:val="en-GB" w:bidi="en-GB"/>
        </w:rPr>
        <w:t xml:space="preserve">Table </w:t>
      </w:r>
      <w:r w:rsidR="00A36661" w:rsidRPr="00E128B3">
        <w:rPr>
          <w:b/>
          <w:lang w:val="en-GB" w:bidi="en-GB"/>
        </w:rPr>
        <w:fldChar w:fldCharType="begin"/>
      </w:r>
      <w:r w:rsidR="00A36661" w:rsidRPr="00E128B3">
        <w:rPr>
          <w:b/>
          <w:lang w:val="en-GB" w:bidi="en-GB"/>
        </w:rPr>
        <w:instrText xml:space="preserve"> SEQ Tabulka_č. \* ARABIC </w:instrText>
      </w:r>
      <w:r w:rsidR="00A36661" w:rsidRPr="00E128B3">
        <w:rPr>
          <w:b/>
          <w:lang w:val="en-GB" w:bidi="en-GB"/>
        </w:rPr>
        <w:fldChar w:fldCharType="separate"/>
      </w:r>
      <w:r w:rsidR="00136D57">
        <w:rPr>
          <w:b/>
          <w:noProof/>
          <w:lang w:val="en-GB" w:bidi="en-GB"/>
        </w:rPr>
        <w:t>2</w:t>
      </w:r>
      <w:r w:rsidR="00A36661" w:rsidRPr="00E128B3">
        <w:rPr>
          <w:b/>
          <w:noProof/>
          <w:lang w:val="en-GB" w:bidi="en-GB"/>
        </w:rPr>
        <w:fldChar w:fldCharType="end"/>
      </w:r>
      <w:r w:rsidRPr="00E128B3">
        <w:rPr>
          <w:b/>
          <w:lang w:val="en-GB" w:bidi="en-GB"/>
        </w:rPr>
        <w:t>: Czech Republic’s emission reduction commitments</w:t>
      </w:r>
    </w:p>
    <w:tbl>
      <w:tblPr>
        <w:tblW w:w="5000" w:type="pct"/>
        <w:tblCellMar>
          <w:left w:w="70" w:type="dxa"/>
          <w:right w:w="70" w:type="dxa"/>
        </w:tblCellMar>
        <w:tblLook w:val="04A0" w:firstRow="1" w:lastRow="0" w:firstColumn="1" w:lastColumn="0" w:noHBand="0" w:noVBand="1"/>
      </w:tblPr>
      <w:tblGrid>
        <w:gridCol w:w="510"/>
        <w:gridCol w:w="5507"/>
        <w:gridCol w:w="527"/>
        <w:gridCol w:w="661"/>
        <w:gridCol w:w="806"/>
        <w:gridCol w:w="540"/>
        <w:gridCol w:w="661"/>
      </w:tblGrid>
      <w:tr w:rsidR="00B9337F" w:rsidRPr="00E128B3" w14:paraId="355103E4" w14:textId="77777777" w:rsidTr="00B34DA2">
        <w:trPr>
          <w:trHeight w:val="285"/>
        </w:trPr>
        <w:tc>
          <w:tcPr>
            <w:tcW w:w="154" w:type="pct"/>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5BE6E979" w14:textId="77777777" w:rsidR="00395345" w:rsidRPr="00E128B3" w:rsidRDefault="00395345" w:rsidP="00C66F33">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Row</w:t>
            </w:r>
          </w:p>
        </w:tc>
        <w:tc>
          <w:tcPr>
            <w:tcW w:w="2965" w:type="pct"/>
            <w:tcBorders>
              <w:top w:val="single" w:sz="4" w:space="0" w:color="auto"/>
              <w:left w:val="nil"/>
              <w:bottom w:val="single" w:sz="4" w:space="0" w:color="auto"/>
              <w:right w:val="single" w:sz="4" w:space="0" w:color="auto"/>
            </w:tcBorders>
            <w:shd w:val="clear" w:color="000000" w:fill="E5F1FF"/>
            <w:noWrap/>
            <w:vAlign w:val="center"/>
            <w:hideMark/>
          </w:tcPr>
          <w:p w14:paraId="4497A48B" w14:textId="5DA50A33" w:rsidR="00395345" w:rsidRPr="00E128B3" w:rsidRDefault="00395345" w:rsidP="00C66F33">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Emissions/commitments</w:t>
            </w:r>
          </w:p>
        </w:tc>
        <w:tc>
          <w:tcPr>
            <w:tcW w:w="316" w:type="pct"/>
            <w:tcBorders>
              <w:top w:val="single" w:sz="4" w:space="0" w:color="auto"/>
              <w:left w:val="nil"/>
              <w:bottom w:val="single" w:sz="4" w:space="0" w:color="auto"/>
              <w:right w:val="single" w:sz="4" w:space="0" w:color="auto"/>
            </w:tcBorders>
            <w:shd w:val="clear" w:color="000000" w:fill="E5F1FF"/>
            <w:noWrap/>
            <w:vAlign w:val="center"/>
            <w:hideMark/>
          </w:tcPr>
          <w:p w14:paraId="08903D52" w14:textId="77777777" w:rsidR="00395345" w:rsidRPr="00E128B3" w:rsidRDefault="00395345" w:rsidP="00C66F33">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SO</w:t>
            </w:r>
            <w:r w:rsidRPr="00E128B3">
              <w:rPr>
                <w:rFonts w:ascii="Calibri" w:eastAsia="Times New Roman" w:hAnsi="Calibri" w:cs="Calibri"/>
                <w:b/>
                <w:color w:val="000000"/>
                <w:sz w:val="20"/>
                <w:szCs w:val="20"/>
                <w:vertAlign w:val="subscript"/>
                <w:lang w:val="en-GB" w:bidi="en-GB"/>
              </w:rPr>
              <w:t>2</w:t>
            </w:r>
          </w:p>
        </w:tc>
        <w:tc>
          <w:tcPr>
            <w:tcW w:w="388" w:type="pct"/>
            <w:tcBorders>
              <w:top w:val="single" w:sz="4" w:space="0" w:color="auto"/>
              <w:left w:val="nil"/>
              <w:bottom w:val="single" w:sz="4" w:space="0" w:color="auto"/>
              <w:right w:val="single" w:sz="4" w:space="0" w:color="auto"/>
            </w:tcBorders>
            <w:shd w:val="clear" w:color="000000" w:fill="E5F1FF"/>
            <w:noWrap/>
            <w:vAlign w:val="center"/>
            <w:hideMark/>
          </w:tcPr>
          <w:p w14:paraId="208D1795" w14:textId="77777777" w:rsidR="00395345" w:rsidRPr="00E128B3" w:rsidRDefault="00395345" w:rsidP="00C66F33">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NO</w:t>
            </w:r>
            <w:r w:rsidRPr="00E128B3">
              <w:rPr>
                <w:rFonts w:ascii="Calibri" w:eastAsia="Times New Roman" w:hAnsi="Calibri" w:cs="Calibri"/>
                <w:b/>
                <w:color w:val="000000"/>
                <w:sz w:val="20"/>
                <w:szCs w:val="20"/>
                <w:vertAlign w:val="subscript"/>
                <w:lang w:val="en-GB" w:bidi="en-GB"/>
              </w:rPr>
              <w:t>X</w:t>
            </w:r>
          </w:p>
        </w:tc>
        <w:tc>
          <w:tcPr>
            <w:tcW w:w="445" w:type="pct"/>
            <w:tcBorders>
              <w:top w:val="single" w:sz="4" w:space="0" w:color="auto"/>
              <w:left w:val="nil"/>
              <w:bottom w:val="single" w:sz="4" w:space="0" w:color="auto"/>
              <w:right w:val="single" w:sz="4" w:space="0" w:color="auto"/>
            </w:tcBorders>
            <w:shd w:val="clear" w:color="000000" w:fill="E5F1FF"/>
            <w:noWrap/>
            <w:vAlign w:val="center"/>
            <w:hideMark/>
          </w:tcPr>
          <w:p w14:paraId="5FCE69B9" w14:textId="77777777" w:rsidR="00395345" w:rsidRPr="00E128B3" w:rsidRDefault="00395345" w:rsidP="00C66F33">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NMVOC</w:t>
            </w:r>
          </w:p>
        </w:tc>
        <w:tc>
          <w:tcPr>
            <w:tcW w:w="344" w:type="pct"/>
            <w:tcBorders>
              <w:top w:val="single" w:sz="4" w:space="0" w:color="auto"/>
              <w:left w:val="nil"/>
              <w:bottom w:val="single" w:sz="4" w:space="0" w:color="auto"/>
              <w:right w:val="single" w:sz="4" w:space="0" w:color="auto"/>
            </w:tcBorders>
            <w:shd w:val="clear" w:color="000000" w:fill="E5F1FF"/>
            <w:noWrap/>
            <w:vAlign w:val="center"/>
            <w:hideMark/>
          </w:tcPr>
          <w:p w14:paraId="0CBAB9B3" w14:textId="77777777" w:rsidR="00395345" w:rsidRPr="00E128B3" w:rsidRDefault="00395345" w:rsidP="00C66F33">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NH</w:t>
            </w:r>
            <w:r w:rsidRPr="00E128B3">
              <w:rPr>
                <w:rFonts w:ascii="Calibri" w:eastAsia="Times New Roman" w:hAnsi="Calibri" w:cs="Calibri"/>
                <w:b/>
                <w:color w:val="000000"/>
                <w:sz w:val="20"/>
                <w:szCs w:val="20"/>
                <w:vertAlign w:val="subscript"/>
                <w:lang w:val="en-GB" w:bidi="en-GB"/>
              </w:rPr>
              <w:t>3</w:t>
            </w:r>
          </w:p>
        </w:tc>
        <w:tc>
          <w:tcPr>
            <w:tcW w:w="388" w:type="pct"/>
            <w:tcBorders>
              <w:top w:val="single" w:sz="4" w:space="0" w:color="auto"/>
              <w:left w:val="nil"/>
              <w:bottom w:val="single" w:sz="4" w:space="0" w:color="auto"/>
              <w:right w:val="single" w:sz="4" w:space="0" w:color="auto"/>
            </w:tcBorders>
            <w:shd w:val="clear" w:color="000000" w:fill="E5F1FF"/>
            <w:noWrap/>
            <w:vAlign w:val="center"/>
            <w:hideMark/>
          </w:tcPr>
          <w:p w14:paraId="7272B32F" w14:textId="77777777" w:rsidR="00395345" w:rsidRPr="00E128B3" w:rsidRDefault="00395345" w:rsidP="00C66F33">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PM</w:t>
            </w:r>
            <w:r w:rsidRPr="00E128B3">
              <w:rPr>
                <w:rFonts w:ascii="Calibri" w:eastAsia="Times New Roman" w:hAnsi="Calibri" w:cs="Calibri"/>
                <w:b/>
                <w:color w:val="000000"/>
                <w:sz w:val="20"/>
                <w:szCs w:val="20"/>
                <w:vertAlign w:val="subscript"/>
                <w:lang w:val="en-GB" w:bidi="en-GB"/>
              </w:rPr>
              <w:t>2.5</w:t>
            </w:r>
          </w:p>
        </w:tc>
      </w:tr>
      <w:tr w:rsidR="00B9337F" w:rsidRPr="00E128B3" w14:paraId="0CDE9BFA" w14:textId="77777777" w:rsidTr="00B34DA2">
        <w:trPr>
          <w:trHeight w:val="255"/>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000F1860" w14:textId="77777777" w:rsidR="00395345" w:rsidRPr="00E128B3" w:rsidRDefault="00395345" w:rsidP="00C66F33">
            <w:pPr>
              <w:keepNext/>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w:t>
            </w:r>
          </w:p>
        </w:tc>
        <w:tc>
          <w:tcPr>
            <w:tcW w:w="2965" w:type="pct"/>
            <w:tcBorders>
              <w:top w:val="nil"/>
              <w:left w:val="nil"/>
              <w:bottom w:val="single" w:sz="4" w:space="0" w:color="auto"/>
              <w:right w:val="single" w:sz="4" w:space="0" w:color="auto"/>
            </w:tcBorders>
            <w:shd w:val="clear" w:color="auto" w:fill="auto"/>
            <w:vAlign w:val="center"/>
            <w:hideMark/>
          </w:tcPr>
          <w:p w14:paraId="5E26C67B" w14:textId="1F852D55" w:rsidR="00395345" w:rsidRPr="00E128B3" w:rsidRDefault="00395345" w:rsidP="00FB588E">
            <w:pPr>
              <w:keepNex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Emissions in 2005 - emission balance used for the preparation of the NERP (in kilotons per year)</w:t>
            </w:r>
          </w:p>
        </w:tc>
        <w:tc>
          <w:tcPr>
            <w:tcW w:w="316" w:type="pct"/>
            <w:tcBorders>
              <w:top w:val="nil"/>
              <w:left w:val="nil"/>
              <w:bottom w:val="single" w:sz="4" w:space="0" w:color="auto"/>
              <w:right w:val="single" w:sz="4" w:space="0" w:color="auto"/>
            </w:tcBorders>
            <w:shd w:val="clear" w:color="auto" w:fill="auto"/>
            <w:noWrap/>
            <w:vAlign w:val="center"/>
            <w:hideMark/>
          </w:tcPr>
          <w:p w14:paraId="109951F3" w14:textId="77777777" w:rsidR="00395345" w:rsidRPr="00E128B3" w:rsidRDefault="00395345"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211</w:t>
            </w:r>
          </w:p>
        </w:tc>
        <w:tc>
          <w:tcPr>
            <w:tcW w:w="388" w:type="pct"/>
            <w:tcBorders>
              <w:top w:val="nil"/>
              <w:left w:val="nil"/>
              <w:bottom w:val="single" w:sz="4" w:space="0" w:color="auto"/>
              <w:right w:val="single" w:sz="4" w:space="0" w:color="auto"/>
            </w:tcBorders>
            <w:shd w:val="clear" w:color="auto" w:fill="auto"/>
            <w:noWrap/>
            <w:vAlign w:val="center"/>
            <w:hideMark/>
          </w:tcPr>
          <w:p w14:paraId="64E9A2A7" w14:textId="77777777" w:rsidR="00395345" w:rsidRPr="00E128B3" w:rsidRDefault="00395345"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281</w:t>
            </w:r>
          </w:p>
        </w:tc>
        <w:tc>
          <w:tcPr>
            <w:tcW w:w="445" w:type="pct"/>
            <w:tcBorders>
              <w:top w:val="nil"/>
              <w:left w:val="nil"/>
              <w:bottom w:val="single" w:sz="4" w:space="0" w:color="auto"/>
              <w:right w:val="single" w:sz="4" w:space="0" w:color="auto"/>
            </w:tcBorders>
            <w:shd w:val="clear" w:color="auto" w:fill="auto"/>
            <w:noWrap/>
            <w:vAlign w:val="center"/>
            <w:hideMark/>
          </w:tcPr>
          <w:p w14:paraId="7211D687" w14:textId="77777777" w:rsidR="00395345" w:rsidRPr="00E128B3" w:rsidRDefault="00395345"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203</w:t>
            </w:r>
          </w:p>
        </w:tc>
        <w:tc>
          <w:tcPr>
            <w:tcW w:w="344" w:type="pct"/>
            <w:tcBorders>
              <w:top w:val="nil"/>
              <w:left w:val="nil"/>
              <w:bottom w:val="single" w:sz="4" w:space="0" w:color="auto"/>
              <w:right w:val="single" w:sz="4" w:space="0" w:color="auto"/>
            </w:tcBorders>
            <w:shd w:val="clear" w:color="auto" w:fill="auto"/>
            <w:noWrap/>
            <w:vAlign w:val="center"/>
            <w:hideMark/>
          </w:tcPr>
          <w:p w14:paraId="315FEE88" w14:textId="77777777" w:rsidR="00395345" w:rsidRPr="00E128B3" w:rsidRDefault="00395345"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82</w:t>
            </w:r>
          </w:p>
        </w:tc>
        <w:tc>
          <w:tcPr>
            <w:tcW w:w="388" w:type="pct"/>
            <w:tcBorders>
              <w:top w:val="nil"/>
              <w:left w:val="nil"/>
              <w:bottom w:val="single" w:sz="4" w:space="0" w:color="auto"/>
              <w:right w:val="single" w:sz="4" w:space="0" w:color="auto"/>
            </w:tcBorders>
            <w:shd w:val="clear" w:color="auto" w:fill="auto"/>
            <w:noWrap/>
            <w:vAlign w:val="center"/>
            <w:hideMark/>
          </w:tcPr>
          <w:p w14:paraId="484EAA0D" w14:textId="77777777" w:rsidR="00395345" w:rsidRPr="00E128B3" w:rsidRDefault="00395345"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37</w:t>
            </w:r>
          </w:p>
        </w:tc>
      </w:tr>
      <w:tr w:rsidR="00B9337F" w:rsidRPr="00E128B3" w14:paraId="6A263874" w14:textId="77777777" w:rsidTr="00B34DA2">
        <w:trPr>
          <w:trHeight w:val="255"/>
        </w:trPr>
        <w:tc>
          <w:tcPr>
            <w:tcW w:w="3119" w:type="pct"/>
            <w:gridSpan w:val="2"/>
            <w:tcBorders>
              <w:top w:val="single" w:sz="4" w:space="0" w:color="auto"/>
              <w:left w:val="single" w:sz="4" w:space="0" w:color="auto"/>
              <w:bottom w:val="single" w:sz="4" w:space="0" w:color="auto"/>
              <w:right w:val="single" w:sz="4" w:space="0" w:color="000000"/>
            </w:tcBorders>
            <w:shd w:val="clear" w:color="000000" w:fill="E5F1FF"/>
            <w:noWrap/>
            <w:vAlign w:val="center"/>
            <w:hideMark/>
          </w:tcPr>
          <w:p w14:paraId="531284D6" w14:textId="77777777" w:rsidR="00395345" w:rsidRPr="00E128B3" w:rsidRDefault="00395345" w:rsidP="00C66F33">
            <w:pPr>
              <w:keepNex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Directive (EU) 2016/2284 (Gothenburg Protocol)</w:t>
            </w:r>
          </w:p>
        </w:tc>
        <w:tc>
          <w:tcPr>
            <w:tcW w:w="316" w:type="pct"/>
            <w:tcBorders>
              <w:top w:val="nil"/>
              <w:left w:val="nil"/>
              <w:bottom w:val="single" w:sz="4" w:space="0" w:color="auto"/>
              <w:right w:val="single" w:sz="4" w:space="0" w:color="auto"/>
            </w:tcBorders>
            <w:shd w:val="clear" w:color="000000" w:fill="E5F1FF"/>
            <w:noWrap/>
            <w:vAlign w:val="center"/>
            <w:hideMark/>
          </w:tcPr>
          <w:p w14:paraId="087ED65E" w14:textId="77777777" w:rsidR="00395345" w:rsidRPr="00E128B3" w:rsidRDefault="00395345" w:rsidP="0085489E">
            <w:pPr>
              <w:keepNext/>
              <w:jc w:val="right"/>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c>
          <w:tcPr>
            <w:tcW w:w="388" w:type="pct"/>
            <w:tcBorders>
              <w:top w:val="nil"/>
              <w:left w:val="nil"/>
              <w:bottom w:val="single" w:sz="4" w:space="0" w:color="auto"/>
              <w:right w:val="single" w:sz="4" w:space="0" w:color="auto"/>
            </w:tcBorders>
            <w:shd w:val="clear" w:color="000000" w:fill="E5F1FF"/>
            <w:noWrap/>
            <w:vAlign w:val="center"/>
            <w:hideMark/>
          </w:tcPr>
          <w:p w14:paraId="04F298B6" w14:textId="77777777" w:rsidR="00395345" w:rsidRPr="00E128B3" w:rsidRDefault="00395345" w:rsidP="0085489E">
            <w:pPr>
              <w:keepNext/>
              <w:jc w:val="right"/>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c>
          <w:tcPr>
            <w:tcW w:w="445" w:type="pct"/>
            <w:tcBorders>
              <w:top w:val="nil"/>
              <w:left w:val="nil"/>
              <w:bottom w:val="single" w:sz="4" w:space="0" w:color="auto"/>
              <w:right w:val="single" w:sz="4" w:space="0" w:color="auto"/>
            </w:tcBorders>
            <w:shd w:val="clear" w:color="000000" w:fill="E5F1FF"/>
            <w:noWrap/>
            <w:vAlign w:val="center"/>
            <w:hideMark/>
          </w:tcPr>
          <w:p w14:paraId="69D9394F" w14:textId="77777777" w:rsidR="00395345" w:rsidRPr="00E128B3" w:rsidRDefault="00395345" w:rsidP="0085489E">
            <w:pPr>
              <w:keepNext/>
              <w:jc w:val="right"/>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c>
          <w:tcPr>
            <w:tcW w:w="344" w:type="pct"/>
            <w:tcBorders>
              <w:top w:val="nil"/>
              <w:left w:val="nil"/>
              <w:bottom w:val="single" w:sz="4" w:space="0" w:color="auto"/>
              <w:right w:val="single" w:sz="4" w:space="0" w:color="auto"/>
            </w:tcBorders>
            <w:shd w:val="clear" w:color="000000" w:fill="E5F1FF"/>
            <w:noWrap/>
            <w:vAlign w:val="center"/>
            <w:hideMark/>
          </w:tcPr>
          <w:p w14:paraId="4D787892" w14:textId="77777777" w:rsidR="00395345" w:rsidRPr="00E128B3" w:rsidRDefault="00395345" w:rsidP="0085489E">
            <w:pPr>
              <w:keepNext/>
              <w:jc w:val="right"/>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c>
          <w:tcPr>
            <w:tcW w:w="388" w:type="pct"/>
            <w:tcBorders>
              <w:top w:val="nil"/>
              <w:left w:val="nil"/>
              <w:bottom w:val="single" w:sz="4" w:space="0" w:color="auto"/>
              <w:right w:val="single" w:sz="4" w:space="0" w:color="auto"/>
            </w:tcBorders>
            <w:shd w:val="clear" w:color="000000" w:fill="E5F1FF"/>
            <w:noWrap/>
            <w:vAlign w:val="center"/>
            <w:hideMark/>
          </w:tcPr>
          <w:p w14:paraId="21B64FF5" w14:textId="77777777" w:rsidR="00395345" w:rsidRPr="00E128B3" w:rsidRDefault="00395345" w:rsidP="0085489E">
            <w:pPr>
              <w:keepNext/>
              <w:jc w:val="right"/>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r w:rsidR="00B9337F" w:rsidRPr="00E128B3" w14:paraId="40493E00" w14:textId="77777777" w:rsidTr="00B34DA2">
        <w:trPr>
          <w:trHeight w:val="255"/>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57509ACC" w14:textId="77777777" w:rsidR="00395345" w:rsidRPr="00E128B3" w:rsidRDefault="00395345" w:rsidP="00C66F33">
            <w:pPr>
              <w:keepNext/>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w:t>
            </w:r>
          </w:p>
        </w:tc>
        <w:tc>
          <w:tcPr>
            <w:tcW w:w="2965" w:type="pct"/>
            <w:tcBorders>
              <w:top w:val="nil"/>
              <w:left w:val="nil"/>
              <w:bottom w:val="single" w:sz="4" w:space="0" w:color="auto"/>
              <w:right w:val="single" w:sz="4" w:space="0" w:color="auto"/>
            </w:tcBorders>
            <w:shd w:val="clear" w:color="auto" w:fill="auto"/>
            <w:vAlign w:val="center"/>
            <w:hideMark/>
          </w:tcPr>
          <w:p w14:paraId="4A4F6A16" w14:textId="5328D172" w:rsidR="00395345" w:rsidRPr="00E128B3" w:rsidRDefault="00395345" w:rsidP="00FB588E">
            <w:pPr>
              <w:keepNex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Commitment to reduce emissions by 2020 (as a percentage of the 2005 value)</w:t>
            </w:r>
          </w:p>
        </w:tc>
        <w:tc>
          <w:tcPr>
            <w:tcW w:w="316" w:type="pct"/>
            <w:tcBorders>
              <w:top w:val="nil"/>
              <w:left w:val="nil"/>
              <w:bottom w:val="single" w:sz="4" w:space="0" w:color="auto"/>
              <w:right w:val="single" w:sz="4" w:space="0" w:color="auto"/>
            </w:tcBorders>
            <w:shd w:val="clear" w:color="auto" w:fill="auto"/>
            <w:noWrap/>
            <w:vAlign w:val="center"/>
            <w:hideMark/>
          </w:tcPr>
          <w:p w14:paraId="63A5AFFF"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45</w:t>
            </w:r>
          </w:p>
        </w:tc>
        <w:tc>
          <w:tcPr>
            <w:tcW w:w="388" w:type="pct"/>
            <w:tcBorders>
              <w:top w:val="nil"/>
              <w:left w:val="nil"/>
              <w:bottom w:val="single" w:sz="4" w:space="0" w:color="auto"/>
              <w:right w:val="single" w:sz="4" w:space="0" w:color="auto"/>
            </w:tcBorders>
            <w:shd w:val="clear" w:color="auto" w:fill="auto"/>
            <w:noWrap/>
            <w:vAlign w:val="center"/>
            <w:hideMark/>
          </w:tcPr>
          <w:p w14:paraId="665DB9F4"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35</w:t>
            </w:r>
          </w:p>
        </w:tc>
        <w:tc>
          <w:tcPr>
            <w:tcW w:w="445" w:type="pct"/>
            <w:tcBorders>
              <w:top w:val="nil"/>
              <w:left w:val="nil"/>
              <w:bottom w:val="single" w:sz="4" w:space="0" w:color="auto"/>
              <w:right w:val="single" w:sz="4" w:space="0" w:color="auto"/>
            </w:tcBorders>
            <w:shd w:val="clear" w:color="auto" w:fill="auto"/>
            <w:noWrap/>
            <w:vAlign w:val="center"/>
            <w:hideMark/>
          </w:tcPr>
          <w:p w14:paraId="34B3AA32"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18</w:t>
            </w:r>
          </w:p>
        </w:tc>
        <w:tc>
          <w:tcPr>
            <w:tcW w:w="344" w:type="pct"/>
            <w:tcBorders>
              <w:top w:val="nil"/>
              <w:left w:val="nil"/>
              <w:bottom w:val="single" w:sz="4" w:space="0" w:color="auto"/>
              <w:right w:val="single" w:sz="4" w:space="0" w:color="auto"/>
            </w:tcBorders>
            <w:shd w:val="clear" w:color="auto" w:fill="auto"/>
            <w:noWrap/>
            <w:vAlign w:val="center"/>
            <w:hideMark/>
          </w:tcPr>
          <w:p w14:paraId="6B9510DC"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7</w:t>
            </w:r>
          </w:p>
        </w:tc>
        <w:tc>
          <w:tcPr>
            <w:tcW w:w="388" w:type="pct"/>
            <w:tcBorders>
              <w:top w:val="nil"/>
              <w:left w:val="nil"/>
              <w:bottom w:val="single" w:sz="4" w:space="0" w:color="auto"/>
              <w:right w:val="single" w:sz="4" w:space="0" w:color="auto"/>
            </w:tcBorders>
            <w:shd w:val="clear" w:color="auto" w:fill="auto"/>
            <w:noWrap/>
            <w:vAlign w:val="center"/>
            <w:hideMark/>
          </w:tcPr>
          <w:p w14:paraId="50B4B9D0"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17</w:t>
            </w:r>
          </w:p>
        </w:tc>
      </w:tr>
      <w:tr w:rsidR="00B9337F" w:rsidRPr="00E128B3" w14:paraId="5A26516D" w14:textId="77777777" w:rsidTr="00B34DA2">
        <w:trPr>
          <w:trHeight w:val="255"/>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54DC4CE2" w14:textId="77777777" w:rsidR="00395345" w:rsidRPr="00E128B3" w:rsidRDefault="00395345" w:rsidP="00C66F33">
            <w:pPr>
              <w:keepNext/>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w:t>
            </w:r>
          </w:p>
        </w:tc>
        <w:tc>
          <w:tcPr>
            <w:tcW w:w="2965" w:type="pct"/>
            <w:tcBorders>
              <w:top w:val="nil"/>
              <w:left w:val="nil"/>
              <w:bottom w:val="single" w:sz="4" w:space="0" w:color="auto"/>
              <w:right w:val="single" w:sz="4" w:space="0" w:color="auto"/>
            </w:tcBorders>
            <w:shd w:val="clear" w:color="auto" w:fill="auto"/>
            <w:vAlign w:val="center"/>
            <w:hideMark/>
          </w:tcPr>
          <w:p w14:paraId="227E4D80" w14:textId="451C8084" w:rsidR="00395345" w:rsidRPr="00E128B3" w:rsidRDefault="00395345" w:rsidP="00FB588E">
            <w:pPr>
              <w:keepNex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Commitment to reduce emissions by 2030 (as a percentage of the 2005 value)</w:t>
            </w:r>
          </w:p>
        </w:tc>
        <w:tc>
          <w:tcPr>
            <w:tcW w:w="316" w:type="pct"/>
            <w:tcBorders>
              <w:top w:val="nil"/>
              <w:left w:val="nil"/>
              <w:bottom w:val="single" w:sz="4" w:space="0" w:color="auto"/>
              <w:right w:val="single" w:sz="4" w:space="0" w:color="auto"/>
            </w:tcBorders>
            <w:shd w:val="clear" w:color="auto" w:fill="auto"/>
            <w:noWrap/>
            <w:vAlign w:val="center"/>
            <w:hideMark/>
          </w:tcPr>
          <w:p w14:paraId="626FE158"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66</w:t>
            </w:r>
          </w:p>
        </w:tc>
        <w:tc>
          <w:tcPr>
            <w:tcW w:w="388" w:type="pct"/>
            <w:tcBorders>
              <w:top w:val="nil"/>
              <w:left w:val="nil"/>
              <w:bottom w:val="single" w:sz="4" w:space="0" w:color="auto"/>
              <w:right w:val="single" w:sz="4" w:space="0" w:color="auto"/>
            </w:tcBorders>
            <w:shd w:val="clear" w:color="auto" w:fill="auto"/>
            <w:noWrap/>
            <w:vAlign w:val="center"/>
            <w:hideMark/>
          </w:tcPr>
          <w:p w14:paraId="7924CF7F"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64</w:t>
            </w:r>
          </w:p>
        </w:tc>
        <w:tc>
          <w:tcPr>
            <w:tcW w:w="445" w:type="pct"/>
            <w:tcBorders>
              <w:top w:val="nil"/>
              <w:left w:val="nil"/>
              <w:bottom w:val="single" w:sz="4" w:space="0" w:color="auto"/>
              <w:right w:val="single" w:sz="4" w:space="0" w:color="auto"/>
            </w:tcBorders>
            <w:shd w:val="clear" w:color="auto" w:fill="auto"/>
            <w:noWrap/>
            <w:vAlign w:val="center"/>
            <w:hideMark/>
          </w:tcPr>
          <w:p w14:paraId="143935DF"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50</w:t>
            </w:r>
          </w:p>
        </w:tc>
        <w:tc>
          <w:tcPr>
            <w:tcW w:w="344" w:type="pct"/>
            <w:tcBorders>
              <w:top w:val="nil"/>
              <w:left w:val="nil"/>
              <w:bottom w:val="single" w:sz="4" w:space="0" w:color="auto"/>
              <w:right w:val="single" w:sz="4" w:space="0" w:color="auto"/>
            </w:tcBorders>
            <w:shd w:val="clear" w:color="auto" w:fill="auto"/>
            <w:noWrap/>
            <w:vAlign w:val="center"/>
            <w:hideMark/>
          </w:tcPr>
          <w:p w14:paraId="71D473DE"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22</w:t>
            </w:r>
          </w:p>
        </w:tc>
        <w:tc>
          <w:tcPr>
            <w:tcW w:w="388" w:type="pct"/>
            <w:tcBorders>
              <w:top w:val="nil"/>
              <w:left w:val="nil"/>
              <w:bottom w:val="single" w:sz="4" w:space="0" w:color="auto"/>
              <w:right w:val="single" w:sz="4" w:space="0" w:color="auto"/>
            </w:tcBorders>
            <w:shd w:val="clear" w:color="auto" w:fill="auto"/>
            <w:noWrap/>
            <w:vAlign w:val="center"/>
            <w:hideMark/>
          </w:tcPr>
          <w:p w14:paraId="7E6DECE7"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60</w:t>
            </w:r>
          </w:p>
        </w:tc>
      </w:tr>
      <w:tr w:rsidR="00B9337F" w:rsidRPr="00E128B3" w14:paraId="4EB616C4" w14:textId="77777777" w:rsidTr="00395345">
        <w:trPr>
          <w:trHeight w:val="255"/>
        </w:trPr>
        <w:tc>
          <w:tcPr>
            <w:tcW w:w="5000" w:type="pct"/>
            <w:gridSpan w:val="7"/>
            <w:tcBorders>
              <w:top w:val="single" w:sz="4" w:space="0" w:color="auto"/>
              <w:left w:val="single" w:sz="4" w:space="0" w:color="auto"/>
              <w:bottom w:val="single" w:sz="4" w:space="0" w:color="auto"/>
              <w:right w:val="single" w:sz="4" w:space="0" w:color="000000"/>
            </w:tcBorders>
            <w:shd w:val="clear" w:color="000000" w:fill="E5F1FF"/>
            <w:noWrap/>
            <w:vAlign w:val="center"/>
            <w:hideMark/>
          </w:tcPr>
          <w:p w14:paraId="0B0EB804" w14:textId="77777777" w:rsidR="00395345" w:rsidRPr="00E128B3" w:rsidRDefault="00395345" w:rsidP="00C66F33">
            <w:pPr>
              <w:keepNex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Unexceedable national emission values in 2020</w:t>
            </w:r>
          </w:p>
        </w:tc>
      </w:tr>
      <w:tr w:rsidR="00B9337F" w:rsidRPr="00E128B3" w14:paraId="49E92650" w14:textId="77777777" w:rsidTr="00B34DA2">
        <w:trPr>
          <w:trHeight w:val="255"/>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14:paraId="3A944893" w14:textId="77777777" w:rsidR="00395345" w:rsidRPr="00E128B3" w:rsidRDefault="00395345" w:rsidP="00C66F33">
            <w:pPr>
              <w:keepNext/>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4</w:t>
            </w:r>
          </w:p>
        </w:tc>
        <w:tc>
          <w:tcPr>
            <w:tcW w:w="2965" w:type="pct"/>
            <w:tcBorders>
              <w:top w:val="nil"/>
              <w:left w:val="nil"/>
              <w:bottom w:val="single" w:sz="4" w:space="0" w:color="auto"/>
              <w:right w:val="single" w:sz="4" w:space="0" w:color="auto"/>
            </w:tcBorders>
            <w:shd w:val="clear" w:color="auto" w:fill="auto"/>
            <w:noWrap/>
            <w:vAlign w:val="center"/>
            <w:hideMark/>
          </w:tcPr>
          <w:p w14:paraId="65B11467" w14:textId="717B1846" w:rsidR="00395345" w:rsidRPr="00E128B3" w:rsidRDefault="00395345" w:rsidP="00FB588E">
            <w:pPr>
              <w:keepNex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Unexceedable national emission values in 2020 (kilotons per year)</w:t>
            </w:r>
          </w:p>
        </w:tc>
        <w:tc>
          <w:tcPr>
            <w:tcW w:w="316" w:type="pct"/>
            <w:tcBorders>
              <w:top w:val="nil"/>
              <w:left w:val="nil"/>
              <w:bottom w:val="single" w:sz="4" w:space="0" w:color="auto"/>
              <w:right w:val="single" w:sz="4" w:space="0" w:color="auto"/>
            </w:tcBorders>
            <w:shd w:val="clear" w:color="auto" w:fill="auto"/>
            <w:noWrap/>
            <w:vAlign w:val="center"/>
            <w:hideMark/>
          </w:tcPr>
          <w:p w14:paraId="5568ADED" w14:textId="77777777" w:rsidR="00395345" w:rsidRPr="00E128B3" w:rsidRDefault="00395345"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92</w:t>
            </w:r>
          </w:p>
        </w:tc>
        <w:tc>
          <w:tcPr>
            <w:tcW w:w="388" w:type="pct"/>
            <w:tcBorders>
              <w:top w:val="nil"/>
              <w:left w:val="nil"/>
              <w:bottom w:val="single" w:sz="4" w:space="0" w:color="auto"/>
              <w:right w:val="single" w:sz="4" w:space="0" w:color="auto"/>
            </w:tcBorders>
            <w:shd w:val="clear" w:color="auto" w:fill="auto"/>
            <w:noWrap/>
            <w:vAlign w:val="center"/>
            <w:hideMark/>
          </w:tcPr>
          <w:p w14:paraId="2BE53644" w14:textId="77777777" w:rsidR="00395345" w:rsidRPr="00E128B3" w:rsidRDefault="00395345"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143</w:t>
            </w:r>
          </w:p>
        </w:tc>
        <w:tc>
          <w:tcPr>
            <w:tcW w:w="445" w:type="pct"/>
            <w:tcBorders>
              <w:top w:val="nil"/>
              <w:left w:val="nil"/>
              <w:bottom w:val="single" w:sz="4" w:space="0" w:color="auto"/>
              <w:right w:val="single" w:sz="4" w:space="0" w:color="auto"/>
            </w:tcBorders>
            <w:shd w:val="clear" w:color="auto" w:fill="auto"/>
            <w:noWrap/>
            <w:vAlign w:val="center"/>
            <w:hideMark/>
          </w:tcPr>
          <w:p w14:paraId="135F8807" w14:textId="77777777" w:rsidR="00395345" w:rsidRPr="00E128B3" w:rsidRDefault="00395345"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129</w:t>
            </w:r>
          </w:p>
        </w:tc>
        <w:tc>
          <w:tcPr>
            <w:tcW w:w="344" w:type="pct"/>
            <w:tcBorders>
              <w:top w:val="nil"/>
              <w:left w:val="nil"/>
              <w:bottom w:val="single" w:sz="4" w:space="0" w:color="auto"/>
              <w:right w:val="single" w:sz="4" w:space="0" w:color="auto"/>
            </w:tcBorders>
            <w:shd w:val="clear" w:color="auto" w:fill="auto"/>
            <w:noWrap/>
            <w:vAlign w:val="center"/>
            <w:hideMark/>
          </w:tcPr>
          <w:p w14:paraId="52F2264B" w14:textId="77777777" w:rsidR="00395345" w:rsidRPr="00E128B3" w:rsidRDefault="00395345"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64</w:t>
            </w:r>
          </w:p>
        </w:tc>
        <w:tc>
          <w:tcPr>
            <w:tcW w:w="388" w:type="pct"/>
            <w:tcBorders>
              <w:top w:val="nil"/>
              <w:left w:val="nil"/>
              <w:bottom w:val="single" w:sz="4" w:space="0" w:color="auto"/>
              <w:right w:val="single" w:sz="4" w:space="0" w:color="auto"/>
            </w:tcBorders>
            <w:shd w:val="clear" w:color="auto" w:fill="auto"/>
            <w:noWrap/>
            <w:vAlign w:val="center"/>
            <w:hideMark/>
          </w:tcPr>
          <w:p w14:paraId="2EB3FC77" w14:textId="77777777" w:rsidR="00395345" w:rsidRPr="00E128B3" w:rsidRDefault="00395345"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19</w:t>
            </w:r>
          </w:p>
        </w:tc>
      </w:tr>
      <w:tr w:rsidR="00B9337F" w:rsidRPr="00E128B3" w14:paraId="14EBD4E5" w14:textId="77777777" w:rsidTr="00B34DA2">
        <w:trPr>
          <w:trHeight w:val="255"/>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14:paraId="106FB70A" w14:textId="77777777" w:rsidR="00395345" w:rsidRPr="00E128B3" w:rsidRDefault="00395345" w:rsidP="00C66F33">
            <w:pPr>
              <w:keepNext/>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5</w:t>
            </w:r>
          </w:p>
        </w:tc>
        <w:tc>
          <w:tcPr>
            <w:tcW w:w="2965" w:type="pct"/>
            <w:tcBorders>
              <w:top w:val="nil"/>
              <w:left w:val="nil"/>
              <w:bottom w:val="single" w:sz="4" w:space="0" w:color="auto"/>
              <w:right w:val="single" w:sz="4" w:space="0" w:color="auto"/>
            </w:tcBorders>
            <w:shd w:val="clear" w:color="auto" w:fill="auto"/>
            <w:noWrap/>
            <w:vAlign w:val="center"/>
            <w:hideMark/>
          </w:tcPr>
          <w:p w14:paraId="28CDA44B" w14:textId="39ED70B6" w:rsidR="00395345" w:rsidRPr="00E128B3" w:rsidRDefault="00395345" w:rsidP="00FB588E">
            <w:pPr>
              <w:keepNex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 xml:space="preserve">Maximum emissions – commitment expressed </w:t>
            </w:r>
            <w:r w:rsidRPr="00E128B3">
              <w:rPr>
                <w:rFonts w:ascii="Calibri" w:eastAsia="Times New Roman" w:hAnsi="Calibri" w:cs="Calibri"/>
                <w:color w:val="000000"/>
                <w:sz w:val="20"/>
                <w:szCs w:val="20"/>
                <w:vertAlign w:val="superscript"/>
                <w:lang w:val="en-GB" w:bidi="en-GB"/>
              </w:rPr>
              <w:t>*</w:t>
            </w:r>
            <w:r w:rsidRPr="00E128B3">
              <w:rPr>
                <w:rFonts w:ascii="Calibri" w:eastAsia="Times New Roman" w:hAnsi="Calibri" w:cs="Calibri"/>
                <w:color w:val="000000"/>
                <w:sz w:val="20"/>
                <w:szCs w:val="20"/>
                <w:lang w:val="en-GB" w:bidi="en-GB"/>
              </w:rPr>
              <w:t xml:space="preserve"> (%)</w:t>
            </w:r>
          </w:p>
        </w:tc>
        <w:tc>
          <w:tcPr>
            <w:tcW w:w="316" w:type="pct"/>
            <w:tcBorders>
              <w:top w:val="nil"/>
              <w:left w:val="nil"/>
              <w:bottom w:val="single" w:sz="4" w:space="0" w:color="auto"/>
              <w:right w:val="single" w:sz="4" w:space="0" w:color="auto"/>
            </w:tcBorders>
            <w:shd w:val="clear" w:color="auto" w:fill="auto"/>
            <w:noWrap/>
            <w:vAlign w:val="center"/>
            <w:hideMark/>
          </w:tcPr>
          <w:p w14:paraId="7424AAC8"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56</w:t>
            </w:r>
          </w:p>
        </w:tc>
        <w:tc>
          <w:tcPr>
            <w:tcW w:w="388" w:type="pct"/>
            <w:tcBorders>
              <w:top w:val="nil"/>
              <w:left w:val="nil"/>
              <w:bottom w:val="single" w:sz="4" w:space="0" w:color="auto"/>
              <w:right w:val="single" w:sz="4" w:space="0" w:color="auto"/>
            </w:tcBorders>
            <w:shd w:val="clear" w:color="auto" w:fill="auto"/>
            <w:noWrap/>
            <w:vAlign w:val="center"/>
            <w:hideMark/>
          </w:tcPr>
          <w:p w14:paraId="3DB8BD2F"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49</w:t>
            </w:r>
          </w:p>
        </w:tc>
        <w:tc>
          <w:tcPr>
            <w:tcW w:w="445" w:type="pct"/>
            <w:tcBorders>
              <w:top w:val="nil"/>
              <w:left w:val="nil"/>
              <w:bottom w:val="single" w:sz="4" w:space="0" w:color="auto"/>
              <w:right w:val="single" w:sz="4" w:space="0" w:color="auto"/>
            </w:tcBorders>
            <w:shd w:val="clear" w:color="auto" w:fill="auto"/>
            <w:noWrap/>
            <w:vAlign w:val="center"/>
            <w:hideMark/>
          </w:tcPr>
          <w:p w14:paraId="733E77BB"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36</w:t>
            </w:r>
          </w:p>
        </w:tc>
        <w:tc>
          <w:tcPr>
            <w:tcW w:w="344" w:type="pct"/>
            <w:tcBorders>
              <w:top w:val="nil"/>
              <w:left w:val="nil"/>
              <w:bottom w:val="single" w:sz="4" w:space="0" w:color="auto"/>
              <w:right w:val="single" w:sz="4" w:space="0" w:color="auto"/>
            </w:tcBorders>
            <w:shd w:val="clear" w:color="auto" w:fill="auto"/>
            <w:noWrap/>
            <w:vAlign w:val="center"/>
            <w:hideMark/>
          </w:tcPr>
          <w:p w14:paraId="3E8441F6"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22</w:t>
            </w:r>
          </w:p>
        </w:tc>
        <w:tc>
          <w:tcPr>
            <w:tcW w:w="388" w:type="pct"/>
            <w:tcBorders>
              <w:top w:val="nil"/>
              <w:left w:val="nil"/>
              <w:bottom w:val="single" w:sz="4" w:space="0" w:color="auto"/>
              <w:right w:val="single" w:sz="4" w:space="0" w:color="auto"/>
            </w:tcBorders>
            <w:shd w:val="clear" w:color="auto" w:fill="auto"/>
            <w:noWrap/>
            <w:vAlign w:val="center"/>
            <w:hideMark/>
          </w:tcPr>
          <w:p w14:paraId="72E34C1C" w14:textId="77777777" w:rsidR="00395345" w:rsidRPr="00E128B3" w:rsidRDefault="009E4173" w:rsidP="0085489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49</w:t>
            </w:r>
          </w:p>
        </w:tc>
      </w:tr>
    </w:tbl>
    <w:p w14:paraId="36531F72" w14:textId="2A6B497C" w:rsidR="00395345" w:rsidRPr="00E128B3" w:rsidRDefault="00395345" w:rsidP="00C66F33">
      <w:pPr>
        <w:pStyle w:val="Zdrojeapozn"/>
        <w:rPr>
          <w:lang w:val="en-GB"/>
        </w:rPr>
      </w:pPr>
      <w:r w:rsidRPr="00E128B3">
        <w:rPr>
          <w:b/>
          <w:lang w:val="en-GB" w:bidi="en-GB"/>
        </w:rPr>
        <w:t xml:space="preserve">Source: </w:t>
      </w:r>
      <w:r w:rsidRPr="00E128B3">
        <w:rPr>
          <w:lang w:val="en-GB" w:bidi="en-GB"/>
        </w:rPr>
        <w:t xml:space="preserve">Prepared by the SAO according to Directive (EU) 2016/2284 and the </w:t>
      </w:r>
      <w:r w:rsidRPr="00E128B3">
        <w:rPr>
          <w:i/>
          <w:lang w:val="en-GB" w:bidi="en-GB"/>
        </w:rPr>
        <w:t>National Emission Reduction Programme of the Czech Republic</w:t>
      </w:r>
      <w:r w:rsidRPr="00E128B3">
        <w:rPr>
          <w:lang w:val="en-GB" w:bidi="en-GB"/>
        </w:rPr>
        <w:t>.</w:t>
      </w:r>
    </w:p>
    <w:p w14:paraId="2DEA327B" w14:textId="1629AA04" w:rsidR="00395345" w:rsidRPr="00E128B3" w:rsidRDefault="0036324B" w:rsidP="00395345">
      <w:pPr>
        <w:pStyle w:val="Zdrojapozn"/>
        <w:ind w:left="142" w:hanging="142"/>
        <w:rPr>
          <w:lang w:val="en-GB"/>
        </w:rPr>
      </w:pPr>
      <w:r w:rsidRPr="00E128B3">
        <w:rPr>
          <w:lang w:val="en-GB" w:bidi="en-GB"/>
        </w:rPr>
        <w:t>* A percentage difference between the values of the emissions of 2005 (row 1) and the unexceedable national emission values for 2020 (row 4).</w:t>
      </w:r>
    </w:p>
    <w:p w14:paraId="0C9F58E7" w14:textId="77777777" w:rsidR="00395345" w:rsidRPr="00E128B3" w:rsidRDefault="00395345" w:rsidP="00FB356D">
      <w:pPr>
        <w:pStyle w:val="Text"/>
        <w:spacing w:after="120" w:line="264" w:lineRule="auto"/>
        <w:rPr>
          <w:lang w:val="en-GB"/>
        </w:rPr>
      </w:pPr>
      <w:r w:rsidRPr="00E128B3">
        <w:rPr>
          <w:lang w:val="en-GB" w:bidi="en-GB"/>
        </w:rPr>
        <w:t>The conversion of the unexceedable national emission values into a percentage representation of the commitment to reduce the emissions of 2005 shows that the unexceedable national emission values for 2020 set by the MoE are stricter than the international commitment by the Czech Republic.</w:t>
      </w:r>
    </w:p>
    <w:p w14:paraId="58223C94" w14:textId="576C191E" w:rsidR="00395345" w:rsidRPr="00E128B3" w:rsidRDefault="00395345" w:rsidP="00FB356D">
      <w:pPr>
        <w:pStyle w:val="Text"/>
        <w:spacing w:after="120" w:line="264" w:lineRule="auto"/>
        <w:rPr>
          <w:lang w:val="en-GB"/>
        </w:rPr>
      </w:pPr>
      <w:r w:rsidRPr="00E128B3">
        <w:rPr>
          <w:lang w:val="en-GB" w:bidi="en-GB"/>
        </w:rPr>
        <w:t>The emission balance guidelines may be updated, the emission calculations are subject to modifications and refinement. On the basis of these changes in the calculation methodology, the emission balance values are recalculated in order to keep them comparable within a time series (the follow-up retrospective conversion of the emission time series). For example, a major change in the emission calculation method took place in the local heating sector in 2015 and an in-depth revision of the emission inventory with a view to its alignment with the requirements of Directive (EU) 2016/2284 was performed in 2017. The following table shows the current status of compliance with the emission reduction commitments of the Czech Republic for 2020 on the basis of the latest available emission balance reported in 2018 for the year 2016</w:t>
      </w:r>
      <w:r w:rsidRPr="00E128B3">
        <w:rPr>
          <w:rStyle w:val="Znakapoznpodarou"/>
          <w:lang w:val="en-GB" w:bidi="en-GB"/>
        </w:rPr>
        <w:footnoteReference w:id="27"/>
      </w:r>
      <w:r w:rsidRPr="00E128B3">
        <w:rPr>
          <w:lang w:val="en-GB" w:bidi="en-GB"/>
        </w:rPr>
        <w:t>.</w:t>
      </w:r>
    </w:p>
    <w:p w14:paraId="347AEF7B" w14:textId="6889873A" w:rsidR="00F12620" w:rsidRPr="00E128B3" w:rsidRDefault="00F12620" w:rsidP="00FB588E">
      <w:pPr>
        <w:pStyle w:val="Titulek"/>
        <w:keepNext/>
        <w:tabs>
          <w:tab w:val="clear" w:pos="7938"/>
          <w:tab w:val="left" w:pos="8222"/>
        </w:tabs>
        <w:rPr>
          <w:b/>
          <w:lang w:val="en-GB" w:eastAsia="cs-CZ"/>
        </w:rPr>
      </w:pPr>
      <w:r w:rsidRPr="00E128B3">
        <w:rPr>
          <w:b/>
          <w:lang w:val="en-GB" w:bidi="en-GB"/>
        </w:rPr>
        <w:t xml:space="preserve">Table </w:t>
      </w:r>
      <w:r w:rsidR="00A36661" w:rsidRPr="00E128B3">
        <w:rPr>
          <w:b/>
          <w:lang w:val="en-GB" w:bidi="en-GB"/>
        </w:rPr>
        <w:fldChar w:fldCharType="begin"/>
      </w:r>
      <w:r w:rsidR="00A36661" w:rsidRPr="00E128B3">
        <w:rPr>
          <w:b/>
          <w:lang w:val="en-GB" w:bidi="en-GB"/>
        </w:rPr>
        <w:instrText xml:space="preserve"> SEQ Tabulka_č. \* ARABIC </w:instrText>
      </w:r>
      <w:r w:rsidR="00A36661" w:rsidRPr="00E128B3">
        <w:rPr>
          <w:b/>
          <w:lang w:val="en-GB" w:bidi="en-GB"/>
        </w:rPr>
        <w:fldChar w:fldCharType="separate"/>
      </w:r>
      <w:r w:rsidR="00136D57">
        <w:rPr>
          <w:b/>
          <w:noProof/>
          <w:lang w:val="en-GB" w:bidi="en-GB"/>
        </w:rPr>
        <w:t>3</w:t>
      </w:r>
      <w:r w:rsidR="00A36661" w:rsidRPr="00E128B3">
        <w:rPr>
          <w:b/>
          <w:noProof/>
          <w:lang w:val="en-GB" w:bidi="en-GB"/>
        </w:rPr>
        <w:fldChar w:fldCharType="end"/>
      </w:r>
      <w:r w:rsidRPr="00E128B3">
        <w:rPr>
          <w:b/>
          <w:lang w:val="en-GB" w:bidi="en-GB"/>
        </w:rPr>
        <w:t>: Compliance with the emission commitments for 2020</w:t>
      </w:r>
      <w:r w:rsidRPr="00E128B3">
        <w:rPr>
          <w:rStyle w:val="Znakapoznpodarou"/>
          <w:b/>
          <w:lang w:val="en-GB" w:bidi="en-GB"/>
        </w:rPr>
        <w:footnoteReference w:id="28"/>
      </w:r>
    </w:p>
    <w:tbl>
      <w:tblPr>
        <w:tblW w:w="5000" w:type="pct"/>
        <w:tblLayout w:type="fixed"/>
        <w:tblCellMar>
          <w:left w:w="70" w:type="dxa"/>
          <w:right w:w="70" w:type="dxa"/>
        </w:tblCellMar>
        <w:tblLook w:val="04A0" w:firstRow="1" w:lastRow="0" w:firstColumn="1" w:lastColumn="0" w:noHBand="0" w:noVBand="1"/>
      </w:tblPr>
      <w:tblGrid>
        <w:gridCol w:w="427"/>
        <w:gridCol w:w="5619"/>
        <w:gridCol w:w="575"/>
        <w:gridCol w:w="575"/>
        <w:gridCol w:w="864"/>
        <w:gridCol w:w="575"/>
        <w:gridCol w:w="577"/>
      </w:tblGrid>
      <w:tr w:rsidR="0032360A" w:rsidRPr="00E128B3" w14:paraId="17219059" w14:textId="77777777" w:rsidTr="0032360A">
        <w:trPr>
          <w:trHeight w:val="78"/>
        </w:trPr>
        <w:tc>
          <w:tcPr>
            <w:tcW w:w="232" w:type="pct"/>
            <w:tcBorders>
              <w:top w:val="single" w:sz="4" w:space="0" w:color="auto"/>
              <w:left w:val="single" w:sz="4" w:space="0" w:color="auto"/>
              <w:bottom w:val="single" w:sz="4" w:space="0" w:color="auto"/>
              <w:right w:val="single" w:sz="4" w:space="0" w:color="auto"/>
            </w:tcBorders>
            <w:shd w:val="clear" w:color="000000" w:fill="E5F1FF"/>
            <w:vAlign w:val="center"/>
            <w:hideMark/>
          </w:tcPr>
          <w:p w14:paraId="6B4202DE" w14:textId="77777777" w:rsidR="00F12620" w:rsidRPr="00E128B3" w:rsidRDefault="00487360" w:rsidP="00FB588E">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Row</w:t>
            </w:r>
          </w:p>
        </w:tc>
        <w:tc>
          <w:tcPr>
            <w:tcW w:w="3050" w:type="pct"/>
            <w:tcBorders>
              <w:top w:val="single" w:sz="4" w:space="0" w:color="auto"/>
              <w:left w:val="nil"/>
              <w:bottom w:val="single" w:sz="4" w:space="0" w:color="auto"/>
              <w:right w:val="single" w:sz="4" w:space="0" w:color="auto"/>
            </w:tcBorders>
            <w:shd w:val="clear" w:color="000000" w:fill="E5F1FF"/>
            <w:noWrap/>
            <w:vAlign w:val="center"/>
            <w:hideMark/>
          </w:tcPr>
          <w:p w14:paraId="5E74FFE6" w14:textId="635443E7" w:rsidR="00F12620" w:rsidRPr="00E128B3" w:rsidRDefault="00F12620" w:rsidP="00FB588E">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Emissions/Czech commitments</w:t>
            </w:r>
          </w:p>
        </w:tc>
        <w:tc>
          <w:tcPr>
            <w:tcW w:w="312" w:type="pct"/>
            <w:tcBorders>
              <w:top w:val="single" w:sz="4" w:space="0" w:color="auto"/>
              <w:left w:val="nil"/>
              <w:bottom w:val="single" w:sz="4" w:space="0" w:color="auto"/>
              <w:right w:val="single" w:sz="4" w:space="0" w:color="auto"/>
            </w:tcBorders>
            <w:shd w:val="clear" w:color="000000" w:fill="E5F1FF"/>
            <w:noWrap/>
            <w:vAlign w:val="center"/>
            <w:hideMark/>
          </w:tcPr>
          <w:p w14:paraId="498A0122" w14:textId="77777777" w:rsidR="00F12620" w:rsidRPr="00E128B3" w:rsidRDefault="00F12620" w:rsidP="00FB588E">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SO</w:t>
            </w:r>
            <w:r w:rsidRPr="00E128B3">
              <w:rPr>
                <w:rFonts w:ascii="Calibri" w:eastAsia="Times New Roman" w:hAnsi="Calibri" w:cs="Calibri"/>
                <w:b/>
                <w:color w:val="000000"/>
                <w:sz w:val="20"/>
                <w:szCs w:val="20"/>
                <w:vertAlign w:val="subscript"/>
                <w:lang w:val="en-GB" w:bidi="en-GB"/>
              </w:rPr>
              <w:t>2</w:t>
            </w:r>
          </w:p>
        </w:tc>
        <w:tc>
          <w:tcPr>
            <w:tcW w:w="312" w:type="pct"/>
            <w:tcBorders>
              <w:top w:val="single" w:sz="4" w:space="0" w:color="auto"/>
              <w:left w:val="nil"/>
              <w:bottom w:val="single" w:sz="4" w:space="0" w:color="auto"/>
              <w:right w:val="single" w:sz="4" w:space="0" w:color="auto"/>
            </w:tcBorders>
            <w:shd w:val="clear" w:color="000000" w:fill="E5F1FF"/>
            <w:noWrap/>
            <w:vAlign w:val="center"/>
            <w:hideMark/>
          </w:tcPr>
          <w:p w14:paraId="4E5A4261" w14:textId="77777777" w:rsidR="00F12620" w:rsidRPr="00E128B3" w:rsidRDefault="00F12620" w:rsidP="00FB588E">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NO</w:t>
            </w:r>
            <w:r w:rsidRPr="00E128B3">
              <w:rPr>
                <w:rFonts w:ascii="Calibri" w:eastAsia="Times New Roman" w:hAnsi="Calibri" w:cs="Calibri"/>
                <w:b/>
                <w:color w:val="000000"/>
                <w:sz w:val="20"/>
                <w:szCs w:val="20"/>
                <w:vertAlign w:val="subscript"/>
                <w:lang w:val="en-GB" w:bidi="en-GB"/>
              </w:rPr>
              <w:t>X</w:t>
            </w:r>
          </w:p>
        </w:tc>
        <w:tc>
          <w:tcPr>
            <w:tcW w:w="469" w:type="pct"/>
            <w:tcBorders>
              <w:top w:val="single" w:sz="4" w:space="0" w:color="auto"/>
              <w:left w:val="nil"/>
              <w:bottom w:val="single" w:sz="4" w:space="0" w:color="auto"/>
              <w:right w:val="single" w:sz="4" w:space="0" w:color="auto"/>
            </w:tcBorders>
            <w:shd w:val="clear" w:color="000000" w:fill="E5F1FF"/>
            <w:noWrap/>
            <w:vAlign w:val="center"/>
            <w:hideMark/>
          </w:tcPr>
          <w:p w14:paraId="77B15296" w14:textId="77777777" w:rsidR="00F12620" w:rsidRPr="00E128B3" w:rsidRDefault="00F12620" w:rsidP="00FB588E">
            <w:pPr>
              <w:keepNext/>
              <w:ind w:left="-75"/>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NMVOC</w:t>
            </w:r>
          </w:p>
        </w:tc>
        <w:tc>
          <w:tcPr>
            <w:tcW w:w="312" w:type="pct"/>
            <w:tcBorders>
              <w:top w:val="single" w:sz="4" w:space="0" w:color="auto"/>
              <w:left w:val="nil"/>
              <w:bottom w:val="single" w:sz="4" w:space="0" w:color="auto"/>
              <w:right w:val="single" w:sz="4" w:space="0" w:color="auto"/>
            </w:tcBorders>
            <w:shd w:val="clear" w:color="000000" w:fill="E5F1FF"/>
            <w:noWrap/>
            <w:vAlign w:val="center"/>
            <w:hideMark/>
          </w:tcPr>
          <w:p w14:paraId="68BA2C0A" w14:textId="77777777" w:rsidR="00F12620" w:rsidRPr="00E128B3" w:rsidRDefault="00F12620" w:rsidP="00FB588E">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NH</w:t>
            </w:r>
            <w:r w:rsidRPr="00E128B3">
              <w:rPr>
                <w:rFonts w:ascii="Calibri" w:eastAsia="Times New Roman" w:hAnsi="Calibri" w:cs="Calibri"/>
                <w:b/>
                <w:color w:val="000000"/>
                <w:sz w:val="20"/>
                <w:szCs w:val="20"/>
                <w:vertAlign w:val="subscript"/>
                <w:lang w:val="en-GB" w:bidi="en-GB"/>
              </w:rPr>
              <w:t>3</w:t>
            </w:r>
          </w:p>
        </w:tc>
        <w:tc>
          <w:tcPr>
            <w:tcW w:w="313" w:type="pct"/>
            <w:tcBorders>
              <w:top w:val="single" w:sz="4" w:space="0" w:color="auto"/>
              <w:left w:val="nil"/>
              <w:bottom w:val="single" w:sz="4" w:space="0" w:color="auto"/>
              <w:right w:val="single" w:sz="4" w:space="0" w:color="auto"/>
            </w:tcBorders>
            <w:shd w:val="clear" w:color="000000" w:fill="E5F1FF"/>
            <w:noWrap/>
            <w:vAlign w:val="center"/>
            <w:hideMark/>
          </w:tcPr>
          <w:p w14:paraId="49387D09" w14:textId="77777777" w:rsidR="00F12620" w:rsidRPr="00E128B3" w:rsidRDefault="00F12620" w:rsidP="00FB588E">
            <w:pPr>
              <w:keepNext/>
              <w:ind w:left="-69" w:right="-75"/>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PM</w:t>
            </w:r>
            <w:r w:rsidRPr="00E128B3">
              <w:rPr>
                <w:rFonts w:ascii="Calibri" w:eastAsia="Times New Roman" w:hAnsi="Calibri" w:cs="Calibri"/>
                <w:b/>
                <w:color w:val="000000"/>
                <w:sz w:val="20"/>
                <w:szCs w:val="20"/>
                <w:vertAlign w:val="subscript"/>
                <w:lang w:val="en-GB" w:bidi="en-GB"/>
              </w:rPr>
              <w:t>2.5</w:t>
            </w:r>
          </w:p>
        </w:tc>
      </w:tr>
      <w:tr w:rsidR="0032360A" w:rsidRPr="00E128B3" w14:paraId="2DDFB20F"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DAB6425" w14:textId="77777777" w:rsidR="00F12620" w:rsidRPr="00E128B3" w:rsidRDefault="00F12620" w:rsidP="00FB588E">
            <w:pPr>
              <w:keepNext/>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w:t>
            </w:r>
          </w:p>
        </w:tc>
        <w:tc>
          <w:tcPr>
            <w:tcW w:w="3050" w:type="pct"/>
            <w:tcBorders>
              <w:top w:val="nil"/>
              <w:left w:val="nil"/>
              <w:bottom w:val="single" w:sz="4" w:space="0" w:color="auto"/>
              <w:right w:val="single" w:sz="4" w:space="0" w:color="auto"/>
            </w:tcBorders>
            <w:shd w:val="clear" w:color="auto" w:fill="auto"/>
            <w:noWrap/>
            <w:vAlign w:val="center"/>
            <w:hideMark/>
          </w:tcPr>
          <w:p w14:paraId="332DDA06" w14:textId="2DA811D4" w:rsidR="00F12620" w:rsidRPr="00E128B3" w:rsidRDefault="00F12620" w:rsidP="00FB588E">
            <w:pPr>
              <w:keepNex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Emissions in 2005 - latest emission balance</w:t>
            </w:r>
            <w:r w:rsidRPr="00E128B3">
              <w:rPr>
                <w:rFonts w:ascii="Calibri" w:eastAsia="Times New Roman" w:hAnsi="Calibri" w:cs="Calibri"/>
                <w:color w:val="000000"/>
                <w:sz w:val="20"/>
                <w:szCs w:val="20"/>
                <w:vertAlign w:val="superscript"/>
                <w:lang w:val="en-GB" w:bidi="en-GB"/>
              </w:rPr>
              <w:t>*</w:t>
            </w:r>
            <w:r w:rsidRPr="00E128B3">
              <w:rPr>
                <w:rFonts w:ascii="Calibri" w:eastAsia="Times New Roman" w:hAnsi="Calibri" w:cs="Calibri"/>
                <w:color w:val="000000"/>
                <w:sz w:val="20"/>
                <w:szCs w:val="20"/>
                <w:lang w:val="en-GB" w:bidi="en-GB"/>
              </w:rPr>
              <w:t xml:space="preserve"> (kilotons per year)</w:t>
            </w:r>
          </w:p>
        </w:tc>
        <w:tc>
          <w:tcPr>
            <w:tcW w:w="312" w:type="pct"/>
            <w:tcBorders>
              <w:top w:val="nil"/>
              <w:left w:val="nil"/>
              <w:bottom w:val="single" w:sz="4" w:space="0" w:color="auto"/>
              <w:right w:val="single" w:sz="4" w:space="0" w:color="auto"/>
            </w:tcBorders>
            <w:shd w:val="clear" w:color="auto" w:fill="auto"/>
            <w:vAlign w:val="center"/>
            <w:hideMark/>
          </w:tcPr>
          <w:p w14:paraId="0111F851" w14:textId="77777777" w:rsidR="00F12620" w:rsidRPr="00E128B3" w:rsidRDefault="00F12620" w:rsidP="00FB588E">
            <w:pPr>
              <w:keepNext/>
              <w:jc w:val="right"/>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208</w:t>
            </w:r>
          </w:p>
        </w:tc>
        <w:tc>
          <w:tcPr>
            <w:tcW w:w="312" w:type="pct"/>
            <w:tcBorders>
              <w:top w:val="nil"/>
              <w:left w:val="nil"/>
              <w:bottom w:val="single" w:sz="4" w:space="0" w:color="auto"/>
              <w:right w:val="single" w:sz="4" w:space="0" w:color="auto"/>
            </w:tcBorders>
            <w:shd w:val="clear" w:color="auto" w:fill="auto"/>
            <w:vAlign w:val="center"/>
            <w:hideMark/>
          </w:tcPr>
          <w:p w14:paraId="296FF0A0" w14:textId="77777777" w:rsidR="00F12620" w:rsidRPr="00E128B3" w:rsidRDefault="00F12620" w:rsidP="00FB588E">
            <w:pPr>
              <w:keepNext/>
              <w:jc w:val="right"/>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281</w:t>
            </w:r>
          </w:p>
        </w:tc>
        <w:tc>
          <w:tcPr>
            <w:tcW w:w="469" w:type="pct"/>
            <w:tcBorders>
              <w:top w:val="nil"/>
              <w:left w:val="nil"/>
              <w:bottom w:val="single" w:sz="4" w:space="0" w:color="auto"/>
              <w:right w:val="single" w:sz="4" w:space="0" w:color="auto"/>
            </w:tcBorders>
            <w:shd w:val="clear" w:color="auto" w:fill="auto"/>
            <w:vAlign w:val="center"/>
            <w:hideMark/>
          </w:tcPr>
          <w:p w14:paraId="466F029E" w14:textId="77777777" w:rsidR="00F12620" w:rsidRPr="00E128B3" w:rsidRDefault="00F12620" w:rsidP="00FB588E">
            <w:pPr>
              <w:keepNext/>
              <w:jc w:val="right"/>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267</w:t>
            </w:r>
          </w:p>
        </w:tc>
        <w:tc>
          <w:tcPr>
            <w:tcW w:w="312" w:type="pct"/>
            <w:tcBorders>
              <w:top w:val="nil"/>
              <w:left w:val="nil"/>
              <w:bottom w:val="single" w:sz="4" w:space="0" w:color="auto"/>
              <w:right w:val="single" w:sz="4" w:space="0" w:color="auto"/>
            </w:tcBorders>
            <w:shd w:val="clear" w:color="auto" w:fill="auto"/>
            <w:vAlign w:val="center"/>
            <w:hideMark/>
          </w:tcPr>
          <w:p w14:paraId="2BC43A3C" w14:textId="77777777" w:rsidR="00F12620" w:rsidRPr="00E128B3" w:rsidRDefault="00F12620" w:rsidP="00FB588E">
            <w:pPr>
              <w:keepNext/>
              <w:jc w:val="right"/>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78</w:t>
            </w:r>
          </w:p>
        </w:tc>
        <w:tc>
          <w:tcPr>
            <w:tcW w:w="313" w:type="pct"/>
            <w:tcBorders>
              <w:top w:val="nil"/>
              <w:left w:val="nil"/>
              <w:bottom w:val="single" w:sz="4" w:space="0" w:color="auto"/>
              <w:right w:val="single" w:sz="4" w:space="0" w:color="auto"/>
            </w:tcBorders>
            <w:shd w:val="clear" w:color="auto" w:fill="auto"/>
            <w:vAlign w:val="center"/>
            <w:hideMark/>
          </w:tcPr>
          <w:p w14:paraId="21FACEE3" w14:textId="77777777" w:rsidR="00F12620" w:rsidRPr="00E128B3" w:rsidRDefault="00F12620" w:rsidP="00FB588E">
            <w:pPr>
              <w:keepNext/>
              <w:jc w:val="right"/>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45</w:t>
            </w:r>
          </w:p>
        </w:tc>
      </w:tr>
      <w:tr w:rsidR="0032360A" w:rsidRPr="00E128B3" w14:paraId="167E4E74"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9BEA9E2" w14:textId="77777777" w:rsidR="00F12620" w:rsidRPr="00E128B3" w:rsidRDefault="00F12620" w:rsidP="00FB588E">
            <w:pPr>
              <w:keepNext/>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w:t>
            </w:r>
          </w:p>
        </w:tc>
        <w:tc>
          <w:tcPr>
            <w:tcW w:w="3050" w:type="pct"/>
            <w:tcBorders>
              <w:top w:val="nil"/>
              <w:left w:val="nil"/>
              <w:bottom w:val="single" w:sz="4" w:space="0" w:color="auto"/>
              <w:right w:val="single" w:sz="4" w:space="0" w:color="auto"/>
            </w:tcBorders>
            <w:shd w:val="clear" w:color="auto" w:fill="auto"/>
            <w:noWrap/>
            <w:vAlign w:val="center"/>
            <w:hideMark/>
          </w:tcPr>
          <w:p w14:paraId="22884B66" w14:textId="09B10C9D" w:rsidR="00F12620" w:rsidRPr="00E128B3" w:rsidRDefault="00F12620" w:rsidP="00FB588E">
            <w:pPr>
              <w:keepNext/>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Emissions in 2016 - latest emission balance</w:t>
            </w:r>
            <w:r w:rsidRPr="00E128B3">
              <w:rPr>
                <w:rFonts w:ascii="Calibri" w:eastAsia="Times New Roman" w:hAnsi="Calibri" w:cs="Calibri"/>
                <w:sz w:val="20"/>
                <w:szCs w:val="20"/>
                <w:vertAlign w:val="superscript"/>
                <w:lang w:val="en-GB" w:bidi="en-GB"/>
              </w:rPr>
              <w:t>*</w:t>
            </w:r>
            <w:r w:rsidR="00487360" w:rsidRPr="00E128B3">
              <w:rPr>
                <w:rFonts w:ascii="Calibri" w:eastAsia="Times New Roman" w:hAnsi="Calibri" w:cs="Calibri"/>
                <w:color w:val="000000"/>
                <w:sz w:val="20"/>
                <w:szCs w:val="20"/>
                <w:lang w:val="en-GB" w:bidi="en-GB"/>
              </w:rPr>
              <w:t xml:space="preserve"> (kilotons per year)</w:t>
            </w:r>
          </w:p>
        </w:tc>
        <w:tc>
          <w:tcPr>
            <w:tcW w:w="312" w:type="pct"/>
            <w:tcBorders>
              <w:top w:val="nil"/>
              <w:left w:val="nil"/>
              <w:bottom w:val="single" w:sz="4" w:space="0" w:color="auto"/>
              <w:right w:val="single" w:sz="4" w:space="0" w:color="auto"/>
            </w:tcBorders>
            <w:shd w:val="clear" w:color="auto" w:fill="auto"/>
            <w:vAlign w:val="center"/>
            <w:hideMark/>
          </w:tcPr>
          <w:p w14:paraId="61C14B1D" w14:textId="77777777" w:rsidR="00F12620" w:rsidRPr="00E128B3" w:rsidRDefault="00F12620" w:rsidP="00FB588E">
            <w:pPr>
              <w:keepNext/>
              <w:jc w:val="right"/>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115</w:t>
            </w:r>
          </w:p>
        </w:tc>
        <w:tc>
          <w:tcPr>
            <w:tcW w:w="312" w:type="pct"/>
            <w:tcBorders>
              <w:top w:val="nil"/>
              <w:left w:val="nil"/>
              <w:bottom w:val="single" w:sz="4" w:space="0" w:color="auto"/>
              <w:right w:val="single" w:sz="4" w:space="0" w:color="auto"/>
            </w:tcBorders>
            <w:shd w:val="clear" w:color="auto" w:fill="auto"/>
            <w:vAlign w:val="center"/>
            <w:hideMark/>
          </w:tcPr>
          <w:p w14:paraId="4F6B872D" w14:textId="77777777" w:rsidR="00F12620" w:rsidRPr="00E128B3" w:rsidRDefault="00F12620" w:rsidP="00FB588E">
            <w:pPr>
              <w:keepNext/>
              <w:jc w:val="right"/>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165</w:t>
            </w:r>
          </w:p>
        </w:tc>
        <w:tc>
          <w:tcPr>
            <w:tcW w:w="469" w:type="pct"/>
            <w:tcBorders>
              <w:top w:val="nil"/>
              <w:left w:val="nil"/>
              <w:bottom w:val="single" w:sz="4" w:space="0" w:color="auto"/>
              <w:right w:val="single" w:sz="4" w:space="0" w:color="auto"/>
            </w:tcBorders>
            <w:shd w:val="clear" w:color="auto" w:fill="auto"/>
            <w:vAlign w:val="center"/>
            <w:hideMark/>
          </w:tcPr>
          <w:p w14:paraId="6B2DBBE9" w14:textId="77777777" w:rsidR="00F12620" w:rsidRPr="00E128B3" w:rsidRDefault="00F12620" w:rsidP="00FB588E">
            <w:pPr>
              <w:keepNext/>
              <w:jc w:val="right"/>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213</w:t>
            </w:r>
          </w:p>
        </w:tc>
        <w:tc>
          <w:tcPr>
            <w:tcW w:w="312" w:type="pct"/>
            <w:tcBorders>
              <w:top w:val="nil"/>
              <w:left w:val="nil"/>
              <w:bottom w:val="single" w:sz="4" w:space="0" w:color="auto"/>
              <w:right w:val="single" w:sz="4" w:space="0" w:color="auto"/>
            </w:tcBorders>
            <w:shd w:val="clear" w:color="auto" w:fill="auto"/>
            <w:vAlign w:val="center"/>
            <w:hideMark/>
          </w:tcPr>
          <w:p w14:paraId="548ECF6E" w14:textId="77777777" w:rsidR="00F12620" w:rsidRPr="00E128B3" w:rsidRDefault="00F12620" w:rsidP="00FB588E">
            <w:pPr>
              <w:keepNext/>
              <w:jc w:val="right"/>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73</w:t>
            </w:r>
          </w:p>
        </w:tc>
        <w:tc>
          <w:tcPr>
            <w:tcW w:w="313" w:type="pct"/>
            <w:tcBorders>
              <w:top w:val="nil"/>
              <w:left w:val="nil"/>
              <w:bottom w:val="single" w:sz="4" w:space="0" w:color="auto"/>
              <w:right w:val="single" w:sz="4" w:space="0" w:color="auto"/>
            </w:tcBorders>
            <w:shd w:val="clear" w:color="auto" w:fill="auto"/>
            <w:vAlign w:val="center"/>
            <w:hideMark/>
          </w:tcPr>
          <w:p w14:paraId="05B89D7C" w14:textId="77777777" w:rsidR="00F12620" w:rsidRPr="00E128B3" w:rsidRDefault="00F12620" w:rsidP="00FB588E">
            <w:pPr>
              <w:keepNext/>
              <w:jc w:val="right"/>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39</w:t>
            </w:r>
          </w:p>
        </w:tc>
      </w:tr>
      <w:tr w:rsidR="0032360A" w:rsidRPr="00E128B3" w14:paraId="52FA4C10"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69478A8" w14:textId="77777777" w:rsidR="00F12620" w:rsidRPr="00E128B3" w:rsidRDefault="00F12620" w:rsidP="00FB588E">
            <w:pPr>
              <w:keepNext/>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w:t>
            </w:r>
          </w:p>
        </w:tc>
        <w:tc>
          <w:tcPr>
            <w:tcW w:w="3050" w:type="pct"/>
            <w:tcBorders>
              <w:top w:val="nil"/>
              <w:left w:val="nil"/>
              <w:bottom w:val="single" w:sz="4" w:space="0" w:color="auto"/>
              <w:right w:val="single" w:sz="4" w:space="0" w:color="auto"/>
            </w:tcBorders>
            <w:shd w:val="clear" w:color="auto" w:fill="auto"/>
            <w:noWrap/>
            <w:vAlign w:val="center"/>
            <w:hideMark/>
          </w:tcPr>
          <w:p w14:paraId="08E58792" w14:textId="7F60BF06" w:rsidR="00F12620" w:rsidRPr="00E128B3" w:rsidRDefault="00F12620" w:rsidP="00FB588E">
            <w:pPr>
              <w:keepNex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Emission reduction between 2005 and 2016</w:t>
            </w:r>
            <w:r w:rsidR="00E128B3" w:rsidRPr="00E128B3">
              <w:rPr>
                <w:rFonts w:ascii="Calibri" w:eastAsia="Times New Roman" w:hAnsi="Calibri" w:cs="Calibri"/>
                <w:color w:val="000000"/>
                <w:sz w:val="20"/>
                <w:szCs w:val="20"/>
                <w:lang w:val="en-GB" w:bidi="en-GB"/>
              </w:rPr>
              <w:t xml:space="preserve"> </w:t>
            </w:r>
            <w:r w:rsidRPr="00E128B3">
              <w:rPr>
                <w:rFonts w:ascii="Calibri" w:eastAsia="Times New Roman" w:hAnsi="Calibri" w:cs="Calibri"/>
                <w:color w:val="000000"/>
                <w:sz w:val="20"/>
                <w:szCs w:val="20"/>
                <w:lang w:val="en-GB" w:bidi="en-GB"/>
              </w:rPr>
              <w:t>(%)</w:t>
            </w:r>
          </w:p>
        </w:tc>
        <w:tc>
          <w:tcPr>
            <w:tcW w:w="312" w:type="pct"/>
            <w:tcBorders>
              <w:top w:val="nil"/>
              <w:left w:val="nil"/>
              <w:bottom w:val="single" w:sz="4" w:space="0" w:color="auto"/>
              <w:right w:val="single" w:sz="4" w:space="0" w:color="auto"/>
            </w:tcBorders>
            <w:shd w:val="clear" w:color="auto" w:fill="auto"/>
            <w:noWrap/>
            <w:vAlign w:val="center"/>
            <w:hideMark/>
          </w:tcPr>
          <w:p w14:paraId="688EAAE7"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45</w:t>
            </w:r>
          </w:p>
        </w:tc>
        <w:tc>
          <w:tcPr>
            <w:tcW w:w="312" w:type="pct"/>
            <w:tcBorders>
              <w:top w:val="nil"/>
              <w:left w:val="nil"/>
              <w:bottom w:val="single" w:sz="4" w:space="0" w:color="auto"/>
              <w:right w:val="single" w:sz="4" w:space="0" w:color="auto"/>
            </w:tcBorders>
            <w:shd w:val="clear" w:color="auto" w:fill="auto"/>
            <w:noWrap/>
            <w:vAlign w:val="center"/>
            <w:hideMark/>
          </w:tcPr>
          <w:p w14:paraId="443F48F8"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41</w:t>
            </w:r>
          </w:p>
        </w:tc>
        <w:tc>
          <w:tcPr>
            <w:tcW w:w="469" w:type="pct"/>
            <w:tcBorders>
              <w:top w:val="nil"/>
              <w:left w:val="nil"/>
              <w:bottom w:val="single" w:sz="4" w:space="0" w:color="auto"/>
              <w:right w:val="single" w:sz="4" w:space="0" w:color="auto"/>
            </w:tcBorders>
            <w:shd w:val="clear" w:color="auto" w:fill="auto"/>
            <w:noWrap/>
            <w:vAlign w:val="center"/>
            <w:hideMark/>
          </w:tcPr>
          <w:p w14:paraId="4ADF1EE5"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20</w:t>
            </w:r>
          </w:p>
        </w:tc>
        <w:tc>
          <w:tcPr>
            <w:tcW w:w="312" w:type="pct"/>
            <w:tcBorders>
              <w:top w:val="nil"/>
              <w:left w:val="nil"/>
              <w:bottom w:val="single" w:sz="4" w:space="0" w:color="auto"/>
              <w:right w:val="single" w:sz="4" w:space="0" w:color="auto"/>
            </w:tcBorders>
            <w:shd w:val="clear" w:color="auto" w:fill="auto"/>
            <w:noWrap/>
            <w:vAlign w:val="center"/>
            <w:hideMark/>
          </w:tcPr>
          <w:p w14:paraId="6CB117FF"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7</w:t>
            </w:r>
          </w:p>
        </w:tc>
        <w:tc>
          <w:tcPr>
            <w:tcW w:w="313" w:type="pct"/>
            <w:tcBorders>
              <w:top w:val="nil"/>
              <w:left w:val="nil"/>
              <w:bottom w:val="single" w:sz="4" w:space="0" w:color="auto"/>
              <w:right w:val="single" w:sz="4" w:space="0" w:color="auto"/>
            </w:tcBorders>
            <w:shd w:val="clear" w:color="auto" w:fill="auto"/>
            <w:noWrap/>
            <w:vAlign w:val="center"/>
            <w:hideMark/>
          </w:tcPr>
          <w:p w14:paraId="60F2858D"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12</w:t>
            </w:r>
          </w:p>
        </w:tc>
      </w:tr>
      <w:tr w:rsidR="00F12620" w:rsidRPr="00E128B3" w14:paraId="6C37C49B" w14:textId="77777777" w:rsidTr="0032360A">
        <w:trPr>
          <w:trHeight w:val="53"/>
        </w:trPr>
        <w:tc>
          <w:tcPr>
            <w:tcW w:w="3282" w:type="pct"/>
            <w:gridSpan w:val="2"/>
            <w:tcBorders>
              <w:top w:val="single" w:sz="4" w:space="0" w:color="auto"/>
              <w:left w:val="single" w:sz="4" w:space="0" w:color="auto"/>
              <w:bottom w:val="single" w:sz="4" w:space="0" w:color="auto"/>
              <w:right w:val="single" w:sz="4" w:space="0" w:color="000000"/>
            </w:tcBorders>
            <w:shd w:val="clear" w:color="000000" w:fill="E5F1FF"/>
            <w:noWrap/>
            <w:vAlign w:val="center"/>
            <w:hideMark/>
          </w:tcPr>
          <w:p w14:paraId="6744D37B" w14:textId="77777777" w:rsidR="00F12620" w:rsidRPr="00E128B3" w:rsidRDefault="00F12620" w:rsidP="00FB588E">
            <w:pPr>
              <w:keepNex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Directive (EU) 2016/2284 (Gothenburg Protocol)</w:t>
            </w:r>
          </w:p>
        </w:tc>
        <w:tc>
          <w:tcPr>
            <w:tcW w:w="312" w:type="pct"/>
            <w:tcBorders>
              <w:top w:val="nil"/>
              <w:left w:val="nil"/>
              <w:bottom w:val="single" w:sz="4" w:space="0" w:color="auto"/>
              <w:right w:val="single" w:sz="4" w:space="0" w:color="auto"/>
            </w:tcBorders>
            <w:shd w:val="clear" w:color="000000" w:fill="E5F1FF"/>
            <w:noWrap/>
            <w:vAlign w:val="center"/>
            <w:hideMark/>
          </w:tcPr>
          <w:p w14:paraId="5672156F" w14:textId="77777777" w:rsidR="00F12620" w:rsidRPr="00E128B3" w:rsidRDefault="00F12620" w:rsidP="00FB588E">
            <w:pPr>
              <w:keepNext/>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c>
          <w:tcPr>
            <w:tcW w:w="312" w:type="pct"/>
            <w:tcBorders>
              <w:top w:val="nil"/>
              <w:left w:val="nil"/>
              <w:bottom w:val="single" w:sz="4" w:space="0" w:color="auto"/>
              <w:right w:val="single" w:sz="4" w:space="0" w:color="auto"/>
            </w:tcBorders>
            <w:shd w:val="clear" w:color="000000" w:fill="E5F1FF"/>
            <w:noWrap/>
            <w:vAlign w:val="center"/>
            <w:hideMark/>
          </w:tcPr>
          <w:p w14:paraId="71AD37E9" w14:textId="77777777" w:rsidR="00F12620" w:rsidRPr="00E128B3" w:rsidRDefault="00F12620" w:rsidP="00FB588E">
            <w:pPr>
              <w:keepNext/>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c>
          <w:tcPr>
            <w:tcW w:w="469" w:type="pct"/>
            <w:tcBorders>
              <w:top w:val="nil"/>
              <w:left w:val="nil"/>
              <w:bottom w:val="single" w:sz="4" w:space="0" w:color="auto"/>
              <w:right w:val="single" w:sz="4" w:space="0" w:color="auto"/>
            </w:tcBorders>
            <w:shd w:val="clear" w:color="000000" w:fill="E5F1FF"/>
            <w:noWrap/>
            <w:vAlign w:val="center"/>
            <w:hideMark/>
          </w:tcPr>
          <w:p w14:paraId="1D46D7C3" w14:textId="77777777" w:rsidR="00F12620" w:rsidRPr="00E128B3" w:rsidRDefault="00F12620" w:rsidP="00FB588E">
            <w:pPr>
              <w:keepNext/>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c>
          <w:tcPr>
            <w:tcW w:w="312" w:type="pct"/>
            <w:tcBorders>
              <w:top w:val="nil"/>
              <w:left w:val="nil"/>
              <w:bottom w:val="single" w:sz="4" w:space="0" w:color="auto"/>
              <w:right w:val="single" w:sz="4" w:space="0" w:color="auto"/>
            </w:tcBorders>
            <w:shd w:val="clear" w:color="000000" w:fill="E5F1FF"/>
            <w:noWrap/>
            <w:vAlign w:val="center"/>
            <w:hideMark/>
          </w:tcPr>
          <w:p w14:paraId="41D01FE4" w14:textId="77777777" w:rsidR="00F12620" w:rsidRPr="00E128B3" w:rsidRDefault="00F12620" w:rsidP="00FB588E">
            <w:pPr>
              <w:keepNext/>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c>
          <w:tcPr>
            <w:tcW w:w="313" w:type="pct"/>
            <w:tcBorders>
              <w:top w:val="nil"/>
              <w:left w:val="nil"/>
              <w:bottom w:val="single" w:sz="4" w:space="0" w:color="auto"/>
              <w:right w:val="single" w:sz="4" w:space="0" w:color="auto"/>
            </w:tcBorders>
            <w:shd w:val="clear" w:color="000000" w:fill="E5F1FF"/>
            <w:noWrap/>
            <w:vAlign w:val="center"/>
            <w:hideMark/>
          </w:tcPr>
          <w:p w14:paraId="686455AD" w14:textId="77777777" w:rsidR="00F12620" w:rsidRPr="00E128B3" w:rsidRDefault="00F12620" w:rsidP="00FB588E">
            <w:pPr>
              <w:keepNext/>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r w:rsidR="0032360A" w:rsidRPr="00E128B3" w14:paraId="4ACA3813"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27E6AB1" w14:textId="77777777" w:rsidR="00F12620" w:rsidRPr="00E128B3" w:rsidRDefault="00F12620" w:rsidP="00FB588E">
            <w:pPr>
              <w:keepNext/>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4</w:t>
            </w:r>
          </w:p>
        </w:tc>
        <w:tc>
          <w:tcPr>
            <w:tcW w:w="3050" w:type="pct"/>
            <w:tcBorders>
              <w:top w:val="nil"/>
              <w:left w:val="nil"/>
              <w:bottom w:val="single" w:sz="4" w:space="0" w:color="auto"/>
              <w:right w:val="single" w:sz="4" w:space="0" w:color="auto"/>
            </w:tcBorders>
            <w:shd w:val="clear" w:color="auto" w:fill="auto"/>
            <w:noWrap/>
            <w:vAlign w:val="center"/>
            <w:hideMark/>
          </w:tcPr>
          <w:p w14:paraId="36CFCFDC" w14:textId="7176F8E5" w:rsidR="00F12620" w:rsidRPr="00E128B3" w:rsidRDefault="00F12620" w:rsidP="00FB588E">
            <w:pPr>
              <w:keepNex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Emission reduction commitment (as a percentage of the 2005 value)</w:t>
            </w:r>
          </w:p>
        </w:tc>
        <w:tc>
          <w:tcPr>
            <w:tcW w:w="312" w:type="pct"/>
            <w:tcBorders>
              <w:top w:val="nil"/>
              <w:left w:val="nil"/>
              <w:bottom w:val="single" w:sz="4" w:space="0" w:color="auto"/>
              <w:right w:val="single" w:sz="4" w:space="0" w:color="auto"/>
            </w:tcBorders>
            <w:shd w:val="clear" w:color="auto" w:fill="auto"/>
            <w:noWrap/>
            <w:vAlign w:val="center"/>
            <w:hideMark/>
          </w:tcPr>
          <w:p w14:paraId="5D65F04E"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45</w:t>
            </w:r>
          </w:p>
        </w:tc>
        <w:tc>
          <w:tcPr>
            <w:tcW w:w="312" w:type="pct"/>
            <w:tcBorders>
              <w:top w:val="nil"/>
              <w:left w:val="nil"/>
              <w:bottom w:val="single" w:sz="4" w:space="0" w:color="auto"/>
              <w:right w:val="single" w:sz="4" w:space="0" w:color="auto"/>
            </w:tcBorders>
            <w:shd w:val="clear" w:color="auto" w:fill="auto"/>
            <w:noWrap/>
            <w:vAlign w:val="center"/>
            <w:hideMark/>
          </w:tcPr>
          <w:p w14:paraId="2AC0C1D2"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35</w:t>
            </w:r>
          </w:p>
        </w:tc>
        <w:tc>
          <w:tcPr>
            <w:tcW w:w="469" w:type="pct"/>
            <w:tcBorders>
              <w:top w:val="nil"/>
              <w:left w:val="nil"/>
              <w:bottom w:val="single" w:sz="4" w:space="0" w:color="auto"/>
              <w:right w:val="single" w:sz="4" w:space="0" w:color="auto"/>
            </w:tcBorders>
            <w:shd w:val="clear" w:color="auto" w:fill="auto"/>
            <w:noWrap/>
            <w:vAlign w:val="center"/>
            <w:hideMark/>
          </w:tcPr>
          <w:p w14:paraId="3FD854D4"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18</w:t>
            </w:r>
          </w:p>
        </w:tc>
        <w:tc>
          <w:tcPr>
            <w:tcW w:w="312" w:type="pct"/>
            <w:tcBorders>
              <w:top w:val="nil"/>
              <w:left w:val="nil"/>
              <w:bottom w:val="single" w:sz="4" w:space="0" w:color="auto"/>
              <w:right w:val="single" w:sz="4" w:space="0" w:color="auto"/>
            </w:tcBorders>
            <w:shd w:val="clear" w:color="auto" w:fill="auto"/>
            <w:noWrap/>
            <w:vAlign w:val="center"/>
            <w:hideMark/>
          </w:tcPr>
          <w:p w14:paraId="693B240D"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7</w:t>
            </w:r>
          </w:p>
        </w:tc>
        <w:tc>
          <w:tcPr>
            <w:tcW w:w="313" w:type="pct"/>
            <w:tcBorders>
              <w:top w:val="nil"/>
              <w:left w:val="nil"/>
              <w:bottom w:val="single" w:sz="4" w:space="0" w:color="auto"/>
              <w:right w:val="single" w:sz="4" w:space="0" w:color="auto"/>
            </w:tcBorders>
            <w:shd w:val="clear" w:color="auto" w:fill="auto"/>
            <w:noWrap/>
            <w:vAlign w:val="center"/>
            <w:hideMark/>
          </w:tcPr>
          <w:p w14:paraId="1CE2FB2A"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17</w:t>
            </w:r>
          </w:p>
        </w:tc>
      </w:tr>
      <w:tr w:rsidR="0032360A" w:rsidRPr="00E128B3" w14:paraId="5A3AE7A1"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AD6051F" w14:textId="77777777" w:rsidR="00F12620" w:rsidRPr="00E128B3" w:rsidRDefault="00F12620" w:rsidP="00FB588E">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5</w:t>
            </w:r>
          </w:p>
        </w:tc>
        <w:tc>
          <w:tcPr>
            <w:tcW w:w="3050" w:type="pct"/>
            <w:tcBorders>
              <w:top w:val="nil"/>
              <w:left w:val="nil"/>
              <w:bottom w:val="single" w:sz="4" w:space="0" w:color="auto"/>
              <w:right w:val="single" w:sz="4" w:space="0" w:color="auto"/>
            </w:tcBorders>
            <w:shd w:val="clear" w:color="auto" w:fill="auto"/>
            <w:noWrap/>
            <w:vAlign w:val="center"/>
            <w:hideMark/>
          </w:tcPr>
          <w:p w14:paraId="0F8F5666" w14:textId="5BCF11ED" w:rsidR="00F12620" w:rsidRPr="00E128B3" w:rsidRDefault="00F12620" w:rsidP="00FB588E">
            <w:pPr>
              <w:keepNex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 xml:space="preserve">2020 emission ceiling for 2020 calculated from current data </w:t>
            </w:r>
            <w:r w:rsidRPr="00E128B3">
              <w:rPr>
                <w:rFonts w:ascii="Calibri" w:eastAsia="Times New Roman" w:hAnsi="Calibri" w:cs="Calibri"/>
                <w:color w:val="000000"/>
                <w:sz w:val="20"/>
                <w:szCs w:val="20"/>
                <w:lang w:val="en-GB" w:bidi="en-GB"/>
              </w:rPr>
              <w:t>(kilotons per year)</w:t>
            </w:r>
          </w:p>
        </w:tc>
        <w:tc>
          <w:tcPr>
            <w:tcW w:w="312" w:type="pct"/>
            <w:tcBorders>
              <w:top w:val="nil"/>
              <w:left w:val="nil"/>
              <w:bottom w:val="single" w:sz="4" w:space="0" w:color="auto"/>
              <w:right w:val="single" w:sz="4" w:space="0" w:color="auto"/>
            </w:tcBorders>
            <w:shd w:val="clear" w:color="000000" w:fill="C6EFCE"/>
            <w:noWrap/>
            <w:vAlign w:val="center"/>
            <w:hideMark/>
          </w:tcPr>
          <w:p w14:paraId="08F23C42" w14:textId="77777777" w:rsidR="00F12620" w:rsidRPr="00E128B3" w:rsidRDefault="00F12620" w:rsidP="00FB588E">
            <w:pPr>
              <w:keepNext/>
              <w:jc w:val="right"/>
              <w:rPr>
                <w:rFonts w:ascii="Calibri" w:eastAsia="Times New Roman" w:hAnsi="Calibri" w:cs="Calibri"/>
                <w:b/>
                <w:bCs/>
                <w:color w:val="006100"/>
                <w:sz w:val="20"/>
                <w:szCs w:val="20"/>
                <w:lang w:val="en-GB" w:eastAsia="cs-CZ"/>
              </w:rPr>
            </w:pPr>
            <w:r w:rsidRPr="00E128B3">
              <w:rPr>
                <w:rFonts w:ascii="Calibri" w:eastAsia="Times New Roman" w:hAnsi="Calibri" w:cs="Calibri"/>
                <w:b/>
                <w:color w:val="006100"/>
                <w:sz w:val="20"/>
                <w:szCs w:val="20"/>
                <w:lang w:val="en-GB" w:bidi="en-GB"/>
              </w:rPr>
              <w:t>115</w:t>
            </w:r>
          </w:p>
        </w:tc>
        <w:tc>
          <w:tcPr>
            <w:tcW w:w="312" w:type="pct"/>
            <w:tcBorders>
              <w:top w:val="nil"/>
              <w:left w:val="nil"/>
              <w:bottom w:val="single" w:sz="4" w:space="0" w:color="auto"/>
              <w:right w:val="single" w:sz="4" w:space="0" w:color="auto"/>
            </w:tcBorders>
            <w:shd w:val="clear" w:color="000000" w:fill="C6EFCE"/>
            <w:noWrap/>
            <w:vAlign w:val="center"/>
            <w:hideMark/>
          </w:tcPr>
          <w:p w14:paraId="4FFE621A" w14:textId="77777777" w:rsidR="00F12620" w:rsidRPr="00E128B3" w:rsidRDefault="00F12620" w:rsidP="00FB588E">
            <w:pPr>
              <w:keepNext/>
              <w:jc w:val="right"/>
              <w:rPr>
                <w:rFonts w:ascii="Calibri" w:eastAsia="Times New Roman" w:hAnsi="Calibri" w:cs="Calibri"/>
                <w:b/>
                <w:bCs/>
                <w:color w:val="006100"/>
                <w:sz w:val="20"/>
                <w:szCs w:val="20"/>
                <w:lang w:val="en-GB" w:eastAsia="cs-CZ"/>
              </w:rPr>
            </w:pPr>
            <w:r w:rsidRPr="00E128B3">
              <w:rPr>
                <w:rFonts w:ascii="Calibri" w:eastAsia="Times New Roman" w:hAnsi="Calibri" w:cs="Calibri"/>
                <w:b/>
                <w:color w:val="006100"/>
                <w:sz w:val="20"/>
                <w:szCs w:val="20"/>
                <w:lang w:val="en-GB" w:bidi="en-GB"/>
              </w:rPr>
              <w:t>183</w:t>
            </w:r>
          </w:p>
        </w:tc>
        <w:tc>
          <w:tcPr>
            <w:tcW w:w="469" w:type="pct"/>
            <w:tcBorders>
              <w:top w:val="nil"/>
              <w:left w:val="nil"/>
              <w:bottom w:val="single" w:sz="4" w:space="0" w:color="auto"/>
              <w:right w:val="single" w:sz="4" w:space="0" w:color="auto"/>
            </w:tcBorders>
            <w:shd w:val="clear" w:color="000000" w:fill="C6EFCE"/>
            <w:noWrap/>
            <w:vAlign w:val="center"/>
            <w:hideMark/>
          </w:tcPr>
          <w:p w14:paraId="6D066D23" w14:textId="77777777" w:rsidR="00F12620" w:rsidRPr="00E128B3" w:rsidRDefault="00F12620" w:rsidP="00FB588E">
            <w:pPr>
              <w:keepNext/>
              <w:jc w:val="right"/>
              <w:rPr>
                <w:rFonts w:ascii="Calibri" w:eastAsia="Times New Roman" w:hAnsi="Calibri" w:cs="Calibri"/>
                <w:b/>
                <w:bCs/>
                <w:color w:val="006100"/>
                <w:sz w:val="20"/>
                <w:szCs w:val="20"/>
                <w:lang w:val="en-GB" w:eastAsia="cs-CZ"/>
              </w:rPr>
            </w:pPr>
            <w:r w:rsidRPr="00E128B3">
              <w:rPr>
                <w:rFonts w:ascii="Calibri" w:eastAsia="Times New Roman" w:hAnsi="Calibri" w:cs="Calibri"/>
                <w:b/>
                <w:color w:val="006100"/>
                <w:sz w:val="20"/>
                <w:szCs w:val="20"/>
                <w:lang w:val="en-GB" w:bidi="en-GB"/>
              </w:rPr>
              <w:t>219</w:t>
            </w:r>
          </w:p>
        </w:tc>
        <w:tc>
          <w:tcPr>
            <w:tcW w:w="312" w:type="pct"/>
            <w:tcBorders>
              <w:top w:val="nil"/>
              <w:left w:val="nil"/>
              <w:bottom w:val="single" w:sz="4" w:space="0" w:color="auto"/>
              <w:right w:val="single" w:sz="4" w:space="0" w:color="auto"/>
            </w:tcBorders>
            <w:shd w:val="clear" w:color="000000" w:fill="C6EFCE"/>
            <w:noWrap/>
            <w:vAlign w:val="center"/>
            <w:hideMark/>
          </w:tcPr>
          <w:p w14:paraId="2A95D4EC" w14:textId="77777777" w:rsidR="00F12620" w:rsidRPr="00E128B3" w:rsidRDefault="00F12620" w:rsidP="00FB588E">
            <w:pPr>
              <w:keepNext/>
              <w:jc w:val="right"/>
              <w:rPr>
                <w:rFonts w:ascii="Calibri" w:eastAsia="Times New Roman" w:hAnsi="Calibri" w:cs="Calibri"/>
                <w:b/>
                <w:bCs/>
                <w:color w:val="006100"/>
                <w:sz w:val="20"/>
                <w:szCs w:val="20"/>
                <w:lang w:val="en-GB" w:eastAsia="cs-CZ"/>
              </w:rPr>
            </w:pPr>
            <w:r w:rsidRPr="00E128B3">
              <w:rPr>
                <w:rFonts w:ascii="Calibri" w:eastAsia="Times New Roman" w:hAnsi="Calibri" w:cs="Calibri"/>
                <w:b/>
                <w:color w:val="006100"/>
                <w:sz w:val="20"/>
                <w:szCs w:val="20"/>
                <w:lang w:val="en-GB" w:bidi="en-GB"/>
              </w:rPr>
              <w:t>73</w:t>
            </w:r>
          </w:p>
        </w:tc>
        <w:tc>
          <w:tcPr>
            <w:tcW w:w="313" w:type="pct"/>
            <w:tcBorders>
              <w:top w:val="nil"/>
              <w:left w:val="nil"/>
              <w:bottom w:val="single" w:sz="4" w:space="0" w:color="auto"/>
              <w:right w:val="single" w:sz="4" w:space="0" w:color="auto"/>
            </w:tcBorders>
            <w:shd w:val="clear" w:color="000000" w:fill="FFC7CE"/>
            <w:noWrap/>
            <w:vAlign w:val="center"/>
            <w:hideMark/>
          </w:tcPr>
          <w:p w14:paraId="5116294A" w14:textId="77777777" w:rsidR="00F12620" w:rsidRPr="00E128B3" w:rsidRDefault="00F12620" w:rsidP="00FB588E">
            <w:pPr>
              <w:keepNext/>
              <w:jc w:val="right"/>
              <w:rPr>
                <w:rFonts w:ascii="Calibri" w:eastAsia="Times New Roman" w:hAnsi="Calibri" w:cs="Calibri"/>
                <w:b/>
                <w:bCs/>
                <w:color w:val="9C0006"/>
                <w:sz w:val="20"/>
                <w:szCs w:val="20"/>
                <w:lang w:val="en-GB" w:eastAsia="cs-CZ"/>
              </w:rPr>
            </w:pPr>
            <w:r w:rsidRPr="00E128B3">
              <w:rPr>
                <w:rFonts w:ascii="Calibri" w:eastAsia="Times New Roman" w:hAnsi="Calibri" w:cs="Calibri"/>
                <w:b/>
                <w:color w:val="9C0006"/>
                <w:sz w:val="20"/>
                <w:szCs w:val="20"/>
                <w:lang w:val="en-GB" w:bidi="en-GB"/>
              </w:rPr>
              <w:t>37</w:t>
            </w:r>
          </w:p>
        </w:tc>
      </w:tr>
      <w:tr w:rsidR="00F12620" w:rsidRPr="00E128B3" w14:paraId="2393CC00" w14:textId="77777777" w:rsidTr="0032360A">
        <w:trPr>
          <w:trHeight w:val="53"/>
        </w:trPr>
        <w:tc>
          <w:tcPr>
            <w:tcW w:w="5000" w:type="pct"/>
            <w:gridSpan w:val="7"/>
            <w:tcBorders>
              <w:top w:val="single" w:sz="4" w:space="0" w:color="auto"/>
              <w:left w:val="single" w:sz="4" w:space="0" w:color="auto"/>
              <w:bottom w:val="single" w:sz="4" w:space="0" w:color="auto"/>
              <w:right w:val="single" w:sz="4" w:space="0" w:color="000000"/>
            </w:tcBorders>
            <w:shd w:val="clear" w:color="000000" w:fill="E5F1FF"/>
            <w:noWrap/>
            <w:vAlign w:val="center"/>
            <w:hideMark/>
          </w:tcPr>
          <w:p w14:paraId="20D4ECF9" w14:textId="77777777" w:rsidR="00F12620" w:rsidRPr="00E128B3" w:rsidRDefault="00F12620" w:rsidP="00FB588E">
            <w:pPr>
              <w:keepNex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Unexceedable national emission values in 2020</w:t>
            </w:r>
          </w:p>
        </w:tc>
      </w:tr>
      <w:tr w:rsidR="00F12620" w:rsidRPr="00E128B3" w14:paraId="0CD0CD68"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805D0AC" w14:textId="77777777" w:rsidR="00F12620" w:rsidRPr="00E128B3" w:rsidRDefault="00F12620" w:rsidP="00FB588E">
            <w:pPr>
              <w:keepNext/>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6</w:t>
            </w:r>
          </w:p>
        </w:tc>
        <w:tc>
          <w:tcPr>
            <w:tcW w:w="3050" w:type="pct"/>
            <w:tcBorders>
              <w:top w:val="nil"/>
              <w:left w:val="nil"/>
              <w:bottom w:val="single" w:sz="4" w:space="0" w:color="auto"/>
              <w:right w:val="single" w:sz="4" w:space="0" w:color="auto"/>
            </w:tcBorders>
            <w:shd w:val="clear" w:color="auto" w:fill="auto"/>
            <w:noWrap/>
            <w:vAlign w:val="center"/>
            <w:hideMark/>
          </w:tcPr>
          <w:p w14:paraId="12234AED" w14:textId="2300E46E" w:rsidR="00F12620" w:rsidRPr="00E128B3" w:rsidRDefault="00F12620" w:rsidP="00FB588E">
            <w:pPr>
              <w:keepNex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Emission reduction commitment</w:t>
            </w:r>
            <w:r w:rsidRPr="00E128B3">
              <w:rPr>
                <w:rFonts w:ascii="Calibri" w:eastAsia="Times New Roman" w:hAnsi="Calibri" w:cs="Calibri"/>
                <w:color w:val="000000"/>
                <w:sz w:val="20"/>
                <w:szCs w:val="20"/>
                <w:vertAlign w:val="superscript"/>
                <w:lang w:val="en-GB" w:bidi="en-GB"/>
              </w:rPr>
              <w:t>**</w:t>
            </w:r>
            <w:r w:rsidRPr="00E128B3">
              <w:rPr>
                <w:rFonts w:ascii="Calibri" w:eastAsia="Times New Roman" w:hAnsi="Calibri" w:cs="Calibri"/>
                <w:color w:val="000000"/>
                <w:sz w:val="20"/>
                <w:szCs w:val="20"/>
                <w:lang w:val="en-GB" w:bidi="en-GB"/>
              </w:rPr>
              <w:t xml:space="preserve"> (as a percentage of the 2005 value)</w:t>
            </w:r>
          </w:p>
        </w:tc>
        <w:tc>
          <w:tcPr>
            <w:tcW w:w="312" w:type="pct"/>
            <w:tcBorders>
              <w:top w:val="nil"/>
              <w:left w:val="nil"/>
              <w:bottom w:val="single" w:sz="4" w:space="0" w:color="auto"/>
              <w:right w:val="single" w:sz="4" w:space="0" w:color="auto"/>
            </w:tcBorders>
            <w:shd w:val="clear" w:color="auto" w:fill="auto"/>
            <w:noWrap/>
            <w:vAlign w:val="center"/>
            <w:hideMark/>
          </w:tcPr>
          <w:p w14:paraId="6EFE2410" w14:textId="77777777" w:rsidR="00F12620" w:rsidRPr="00E128B3" w:rsidRDefault="00F1262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56</w:t>
            </w:r>
          </w:p>
        </w:tc>
        <w:tc>
          <w:tcPr>
            <w:tcW w:w="312" w:type="pct"/>
            <w:tcBorders>
              <w:top w:val="nil"/>
              <w:left w:val="nil"/>
              <w:bottom w:val="single" w:sz="4" w:space="0" w:color="auto"/>
              <w:right w:val="single" w:sz="4" w:space="0" w:color="auto"/>
            </w:tcBorders>
            <w:shd w:val="clear" w:color="auto" w:fill="auto"/>
            <w:noWrap/>
            <w:vAlign w:val="center"/>
            <w:hideMark/>
          </w:tcPr>
          <w:p w14:paraId="26BA5BF8"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49</w:t>
            </w:r>
          </w:p>
        </w:tc>
        <w:tc>
          <w:tcPr>
            <w:tcW w:w="469" w:type="pct"/>
            <w:tcBorders>
              <w:top w:val="nil"/>
              <w:left w:val="nil"/>
              <w:bottom w:val="single" w:sz="4" w:space="0" w:color="auto"/>
              <w:right w:val="single" w:sz="4" w:space="0" w:color="auto"/>
            </w:tcBorders>
            <w:shd w:val="clear" w:color="auto" w:fill="auto"/>
            <w:noWrap/>
            <w:vAlign w:val="center"/>
            <w:hideMark/>
          </w:tcPr>
          <w:p w14:paraId="56671122"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36</w:t>
            </w:r>
          </w:p>
        </w:tc>
        <w:tc>
          <w:tcPr>
            <w:tcW w:w="312" w:type="pct"/>
            <w:tcBorders>
              <w:top w:val="nil"/>
              <w:left w:val="nil"/>
              <w:bottom w:val="single" w:sz="4" w:space="0" w:color="auto"/>
              <w:right w:val="single" w:sz="4" w:space="0" w:color="auto"/>
            </w:tcBorders>
            <w:shd w:val="clear" w:color="auto" w:fill="auto"/>
            <w:noWrap/>
            <w:vAlign w:val="center"/>
            <w:hideMark/>
          </w:tcPr>
          <w:p w14:paraId="4B092F99"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22</w:t>
            </w:r>
          </w:p>
        </w:tc>
        <w:tc>
          <w:tcPr>
            <w:tcW w:w="313" w:type="pct"/>
            <w:tcBorders>
              <w:top w:val="nil"/>
              <w:left w:val="nil"/>
              <w:bottom w:val="single" w:sz="4" w:space="0" w:color="auto"/>
              <w:right w:val="single" w:sz="4" w:space="0" w:color="auto"/>
            </w:tcBorders>
            <w:shd w:val="clear" w:color="auto" w:fill="auto"/>
            <w:noWrap/>
            <w:vAlign w:val="center"/>
            <w:hideMark/>
          </w:tcPr>
          <w:p w14:paraId="3A73F027" w14:textId="77777777" w:rsidR="00F12620" w:rsidRPr="00E128B3" w:rsidRDefault="00487360" w:rsidP="00FB588E">
            <w:pPr>
              <w:keepNext/>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49</w:t>
            </w:r>
          </w:p>
        </w:tc>
      </w:tr>
      <w:tr w:rsidR="00F12620" w:rsidRPr="00E128B3" w14:paraId="4F4B071D"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164BBF7" w14:textId="77777777" w:rsidR="00F12620" w:rsidRPr="00E128B3" w:rsidRDefault="00F12620" w:rsidP="00FB588E">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7</w:t>
            </w:r>
          </w:p>
        </w:tc>
        <w:tc>
          <w:tcPr>
            <w:tcW w:w="3050" w:type="pct"/>
            <w:tcBorders>
              <w:top w:val="nil"/>
              <w:left w:val="nil"/>
              <w:bottom w:val="single" w:sz="4" w:space="0" w:color="auto"/>
              <w:right w:val="single" w:sz="4" w:space="0" w:color="auto"/>
            </w:tcBorders>
            <w:shd w:val="clear" w:color="auto" w:fill="auto"/>
            <w:noWrap/>
            <w:vAlign w:val="center"/>
            <w:hideMark/>
          </w:tcPr>
          <w:p w14:paraId="508BBA83" w14:textId="1B45A0D7" w:rsidR="00F12620" w:rsidRPr="00E128B3" w:rsidRDefault="00F12620" w:rsidP="00FB588E">
            <w:pPr>
              <w:keepNext/>
              <w:ind w:right="-72"/>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2020 emission ceiling for 2020 calculated from current data</w:t>
            </w:r>
            <w:r w:rsidRPr="00E128B3">
              <w:rPr>
                <w:rFonts w:ascii="Calibri" w:eastAsia="Times New Roman" w:hAnsi="Calibri" w:cs="Calibri"/>
                <w:b/>
                <w:color w:val="000000"/>
                <w:sz w:val="20"/>
                <w:szCs w:val="20"/>
                <w:vertAlign w:val="superscript"/>
                <w:lang w:val="en-GB" w:bidi="en-GB"/>
              </w:rPr>
              <w:t>***</w:t>
            </w:r>
            <w:r w:rsidRPr="00E128B3">
              <w:rPr>
                <w:rFonts w:ascii="Calibri" w:eastAsia="Times New Roman" w:hAnsi="Calibri" w:cs="Calibri"/>
                <w:b/>
                <w:color w:val="000000"/>
                <w:sz w:val="20"/>
                <w:szCs w:val="20"/>
                <w:lang w:val="en-GB" w:bidi="en-GB"/>
              </w:rPr>
              <w:t xml:space="preserve"> </w:t>
            </w:r>
            <w:r w:rsidRPr="00E128B3">
              <w:rPr>
                <w:rFonts w:ascii="Calibri" w:eastAsia="Times New Roman" w:hAnsi="Calibri" w:cs="Calibri"/>
                <w:color w:val="000000"/>
                <w:sz w:val="20"/>
                <w:szCs w:val="20"/>
                <w:lang w:val="en-GB" w:bidi="en-GB"/>
              </w:rPr>
              <w:t>(kilotons per year)</w:t>
            </w:r>
          </w:p>
        </w:tc>
        <w:tc>
          <w:tcPr>
            <w:tcW w:w="312" w:type="pct"/>
            <w:tcBorders>
              <w:top w:val="nil"/>
              <w:left w:val="nil"/>
              <w:bottom w:val="single" w:sz="4" w:space="0" w:color="auto"/>
              <w:right w:val="single" w:sz="4" w:space="0" w:color="auto"/>
            </w:tcBorders>
            <w:shd w:val="clear" w:color="000000" w:fill="FFC7CE"/>
            <w:noWrap/>
            <w:vAlign w:val="center"/>
            <w:hideMark/>
          </w:tcPr>
          <w:p w14:paraId="1B7F0DE2" w14:textId="77777777" w:rsidR="00F12620" w:rsidRPr="00E128B3" w:rsidRDefault="00F12620" w:rsidP="00FB588E">
            <w:pPr>
              <w:keepNext/>
              <w:jc w:val="right"/>
              <w:rPr>
                <w:rFonts w:ascii="Calibri" w:eastAsia="Times New Roman" w:hAnsi="Calibri" w:cs="Calibri"/>
                <w:b/>
                <w:bCs/>
                <w:color w:val="9C0006"/>
                <w:sz w:val="20"/>
                <w:szCs w:val="20"/>
                <w:lang w:val="en-GB" w:eastAsia="cs-CZ"/>
              </w:rPr>
            </w:pPr>
            <w:r w:rsidRPr="00E128B3">
              <w:rPr>
                <w:rFonts w:ascii="Calibri" w:eastAsia="Times New Roman" w:hAnsi="Calibri" w:cs="Calibri"/>
                <w:b/>
                <w:color w:val="9C0006"/>
                <w:sz w:val="20"/>
                <w:szCs w:val="20"/>
                <w:lang w:val="en-GB" w:bidi="en-GB"/>
              </w:rPr>
              <w:t>91</w:t>
            </w:r>
          </w:p>
        </w:tc>
        <w:tc>
          <w:tcPr>
            <w:tcW w:w="312" w:type="pct"/>
            <w:tcBorders>
              <w:top w:val="nil"/>
              <w:left w:val="nil"/>
              <w:bottom w:val="single" w:sz="4" w:space="0" w:color="auto"/>
              <w:right w:val="single" w:sz="4" w:space="0" w:color="auto"/>
            </w:tcBorders>
            <w:shd w:val="clear" w:color="000000" w:fill="FFC7CE"/>
            <w:noWrap/>
            <w:vAlign w:val="center"/>
            <w:hideMark/>
          </w:tcPr>
          <w:p w14:paraId="744445DB" w14:textId="77777777" w:rsidR="00F12620" w:rsidRPr="00E128B3" w:rsidRDefault="00F12620" w:rsidP="00FB588E">
            <w:pPr>
              <w:keepNext/>
              <w:jc w:val="right"/>
              <w:rPr>
                <w:rFonts w:ascii="Calibri" w:eastAsia="Times New Roman" w:hAnsi="Calibri" w:cs="Calibri"/>
                <w:b/>
                <w:bCs/>
                <w:color w:val="9C0006"/>
                <w:sz w:val="20"/>
                <w:szCs w:val="20"/>
                <w:lang w:val="en-GB" w:eastAsia="cs-CZ"/>
              </w:rPr>
            </w:pPr>
            <w:r w:rsidRPr="00E128B3">
              <w:rPr>
                <w:rFonts w:ascii="Calibri" w:eastAsia="Times New Roman" w:hAnsi="Calibri" w:cs="Calibri"/>
                <w:b/>
                <w:color w:val="9C0006"/>
                <w:sz w:val="20"/>
                <w:szCs w:val="20"/>
                <w:lang w:val="en-GB" w:bidi="en-GB"/>
              </w:rPr>
              <w:t>143</w:t>
            </w:r>
          </w:p>
        </w:tc>
        <w:tc>
          <w:tcPr>
            <w:tcW w:w="469" w:type="pct"/>
            <w:tcBorders>
              <w:top w:val="nil"/>
              <w:left w:val="nil"/>
              <w:bottom w:val="single" w:sz="4" w:space="0" w:color="auto"/>
              <w:right w:val="single" w:sz="4" w:space="0" w:color="auto"/>
            </w:tcBorders>
            <w:shd w:val="clear" w:color="000000" w:fill="FFC7CE"/>
            <w:noWrap/>
            <w:vAlign w:val="center"/>
            <w:hideMark/>
          </w:tcPr>
          <w:p w14:paraId="7A38C995" w14:textId="77777777" w:rsidR="00F12620" w:rsidRPr="00E128B3" w:rsidRDefault="00F12620" w:rsidP="00FB588E">
            <w:pPr>
              <w:keepNext/>
              <w:jc w:val="right"/>
              <w:rPr>
                <w:rFonts w:ascii="Calibri" w:eastAsia="Times New Roman" w:hAnsi="Calibri" w:cs="Calibri"/>
                <w:b/>
                <w:bCs/>
                <w:color w:val="9C0006"/>
                <w:sz w:val="20"/>
                <w:szCs w:val="20"/>
                <w:lang w:val="en-GB" w:eastAsia="cs-CZ"/>
              </w:rPr>
            </w:pPr>
            <w:r w:rsidRPr="00E128B3">
              <w:rPr>
                <w:rFonts w:ascii="Calibri" w:eastAsia="Times New Roman" w:hAnsi="Calibri" w:cs="Calibri"/>
                <w:b/>
                <w:color w:val="9C0006"/>
                <w:sz w:val="20"/>
                <w:szCs w:val="20"/>
                <w:lang w:val="en-GB" w:bidi="en-GB"/>
              </w:rPr>
              <w:t>170</w:t>
            </w:r>
          </w:p>
        </w:tc>
        <w:tc>
          <w:tcPr>
            <w:tcW w:w="312" w:type="pct"/>
            <w:tcBorders>
              <w:top w:val="nil"/>
              <w:left w:val="nil"/>
              <w:bottom w:val="single" w:sz="4" w:space="0" w:color="auto"/>
              <w:right w:val="single" w:sz="4" w:space="0" w:color="auto"/>
            </w:tcBorders>
            <w:shd w:val="clear" w:color="000000" w:fill="FFC7CE"/>
            <w:noWrap/>
            <w:vAlign w:val="center"/>
            <w:hideMark/>
          </w:tcPr>
          <w:p w14:paraId="6F9A500A" w14:textId="77777777" w:rsidR="00F12620" w:rsidRPr="00E128B3" w:rsidRDefault="00F12620" w:rsidP="00FB588E">
            <w:pPr>
              <w:keepNext/>
              <w:jc w:val="right"/>
              <w:rPr>
                <w:rFonts w:ascii="Calibri" w:eastAsia="Times New Roman" w:hAnsi="Calibri" w:cs="Calibri"/>
                <w:b/>
                <w:bCs/>
                <w:color w:val="9C0006"/>
                <w:sz w:val="20"/>
                <w:szCs w:val="20"/>
                <w:lang w:val="en-GB" w:eastAsia="cs-CZ"/>
              </w:rPr>
            </w:pPr>
            <w:r w:rsidRPr="00E128B3">
              <w:rPr>
                <w:rFonts w:ascii="Calibri" w:eastAsia="Times New Roman" w:hAnsi="Calibri" w:cs="Calibri"/>
                <w:b/>
                <w:color w:val="9C0006"/>
                <w:sz w:val="20"/>
                <w:szCs w:val="20"/>
                <w:lang w:val="en-GB" w:bidi="en-GB"/>
              </w:rPr>
              <w:t>61</w:t>
            </w:r>
          </w:p>
        </w:tc>
        <w:tc>
          <w:tcPr>
            <w:tcW w:w="313" w:type="pct"/>
            <w:tcBorders>
              <w:top w:val="nil"/>
              <w:left w:val="nil"/>
              <w:bottom w:val="single" w:sz="4" w:space="0" w:color="auto"/>
              <w:right w:val="single" w:sz="4" w:space="0" w:color="auto"/>
            </w:tcBorders>
            <w:shd w:val="clear" w:color="000000" w:fill="FFC7CE"/>
            <w:noWrap/>
            <w:vAlign w:val="center"/>
            <w:hideMark/>
          </w:tcPr>
          <w:p w14:paraId="0DFD73AA" w14:textId="77777777" w:rsidR="00F12620" w:rsidRPr="00E128B3" w:rsidRDefault="00F12620" w:rsidP="00FB588E">
            <w:pPr>
              <w:keepNext/>
              <w:jc w:val="right"/>
              <w:rPr>
                <w:rFonts w:ascii="Calibri" w:eastAsia="Times New Roman" w:hAnsi="Calibri" w:cs="Calibri"/>
                <w:b/>
                <w:bCs/>
                <w:color w:val="9C0006"/>
                <w:sz w:val="20"/>
                <w:szCs w:val="20"/>
                <w:lang w:val="en-GB" w:eastAsia="cs-CZ"/>
              </w:rPr>
            </w:pPr>
            <w:r w:rsidRPr="00E128B3">
              <w:rPr>
                <w:rFonts w:ascii="Calibri" w:eastAsia="Times New Roman" w:hAnsi="Calibri" w:cs="Calibri"/>
                <w:b/>
                <w:color w:val="9C0006"/>
                <w:sz w:val="20"/>
                <w:szCs w:val="20"/>
                <w:lang w:val="en-GB" w:bidi="en-GB"/>
              </w:rPr>
              <w:t>23</w:t>
            </w:r>
          </w:p>
        </w:tc>
      </w:tr>
      <w:tr w:rsidR="00F12620" w:rsidRPr="00E128B3" w14:paraId="328F3336"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C5CD2E2" w14:textId="77777777" w:rsidR="00F12620" w:rsidRPr="00E128B3" w:rsidRDefault="00F12620" w:rsidP="00FB588E">
            <w:pPr>
              <w:keepNext/>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8</w:t>
            </w:r>
          </w:p>
        </w:tc>
        <w:tc>
          <w:tcPr>
            <w:tcW w:w="3050" w:type="pct"/>
            <w:tcBorders>
              <w:top w:val="nil"/>
              <w:left w:val="nil"/>
              <w:bottom w:val="single" w:sz="4" w:space="0" w:color="auto"/>
              <w:right w:val="single" w:sz="4" w:space="0" w:color="auto"/>
            </w:tcBorders>
            <w:shd w:val="clear" w:color="auto" w:fill="auto"/>
            <w:noWrap/>
            <w:vAlign w:val="center"/>
            <w:hideMark/>
          </w:tcPr>
          <w:p w14:paraId="6012D86E" w14:textId="560745F7" w:rsidR="00F12620" w:rsidRPr="00E128B3" w:rsidRDefault="00F12620" w:rsidP="00FB588E">
            <w:pPr>
              <w:keepNex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 xml:space="preserve">Emission reduction required by 2020 </w:t>
            </w:r>
            <w:r w:rsidRPr="00E128B3">
              <w:rPr>
                <w:rFonts w:ascii="Calibri" w:eastAsia="Times New Roman" w:hAnsi="Calibri" w:cs="Calibri"/>
                <w:color w:val="000000"/>
                <w:sz w:val="20"/>
                <w:szCs w:val="20"/>
                <w:lang w:val="en-GB" w:bidi="en-GB"/>
              </w:rPr>
              <w:t>(as a percentage of the 2016 value)</w:t>
            </w:r>
          </w:p>
        </w:tc>
        <w:tc>
          <w:tcPr>
            <w:tcW w:w="312" w:type="pct"/>
            <w:tcBorders>
              <w:top w:val="nil"/>
              <w:left w:val="nil"/>
              <w:bottom w:val="single" w:sz="4" w:space="0" w:color="auto"/>
              <w:right w:val="single" w:sz="4" w:space="0" w:color="auto"/>
            </w:tcBorders>
            <w:shd w:val="clear" w:color="auto" w:fill="auto"/>
            <w:noWrap/>
            <w:vAlign w:val="center"/>
            <w:hideMark/>
          </w:tcPr>
          <w:p w14:paraId="4E05D3DE" w14:textId="77777777" w:rsidR="00F12620" w:rsidRPr="00E128B3" w:rsidRDefault="00487360" w:rsidP="00FB588E">
            <w:pPr>
              <w:keepNext/>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21</w:t>
            </w:r>
          </w:p>
        </w:tc>
        <w:tc>
          <w:tcPr>
            <w:tcW w:w="312" w:type="pct"/>
            <w:tcBorders>
              <w:top w:val="nil"/>
              <w:left w:val="nil"/>
              <w:bottom w:val="single" w:sz="4" w:space="0" w:color="auto"/>
              <w:right w:val="single" w:sz="4" w:space="0" w:color="auto"/>
            </w:tcBorders>
            <w:shd w:val="clear" w:color="auto" w:fill="auto"/>
            <w:noWrap/>
            <w:vAlign w:val="center"/>
            <w:hideMark/>
          </w:tcPr>
          <w:p w14:paraId="509DD8AB" w14:textId="77777777" w:rsidR="00F12620" w:rsidRPr="00E128B3" w:rsidRDefault="00487360" w:rsidP="00FB588E">
            <w:pPr>
              <w:keepNext/>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13</w:t>
            </w:r>
          </w:p>
        </w:tc>
        <w:tc>
          <w:tcPr>
            <w:tcW w:w="469" w:type="pct"/>
            <w:tcBorders>
              <w:top w:val="nil"/>
              <w:left w:val="nil"/>
              <w:bottom w:val="single" w:sz="4" w:space="0" w:color="auto"/>
              <w:right w:val="single" w:sz="4" w:space="0" w:color="auto"/>
            </w:tcBorders>
            <w:shd w:val="clear" w:color="auto" w:fill="auto"/>
            <w:noWrap/>
            <w:vAlign w:val="center"/>
            <w:hideMark/>
          </w:tcPr>
          <w:p w14:paraId="528DFCF9" w14:textId="77777777" w:rsidR="00F12620" w:rsidRPr="00E128B3" w:rsidRDefault="00487360" w:rsidP="00FB588E">
            <w:pPr>
              <w:keepNext/>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20</w:t>
            </w:r>
          </w:p>
        </w:tc>
        <w:tc>
          <w:tcPr>
            <w:tcW w:w="312" w:type="pct"/>
            <w:tcBorders>
              <w:top w:val="nil"/>
              <w:left w:val="nil"/>
              <w:bottom w:val="single" w:sz="4" w:space="0" w:color="auto"/>
              <w:right w:val="single" w:sz="4" w:space="0" w:color="auto"/>
            </w:tcBorders>
            <w:shd w:val="clear" w:color="auto" w:fill="auto"/>
            <w:noWrap/>
            <w:vAlign w:val="center"/>
            <w:hideMark/>
          </w:tcPr>
          <w:p w14:paraId="2C2EC908" w14:textId="77777777" w:rsidR="00F12620" w:rsidRPr="00E128B3" w:rsidRDefault="00487360" w:rsidP="00FB588E">
            <w:pPr>
              <w:keepNext/>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16</w:t>
            </w:r>
          </w:p>
        </w:tc>
        <w:tc>
          <w:tcPr>
            <w:tcW w:w="313" w:type="pct"/>
            <w:tcBorders>
              <w:top w:val="nil"/>
              <w:left w:val="nil"/>
              <w:bottom w:val="single" w:sz="4" w:space="0" w:color="auto"/>
              <w:right w:val="single" w:sz="4" w:space="0" w:color="auto"/>
            </w:tcBorders>
            <w:shd w:val="clear" w:color="auto" w:fill="auto"/>
            <w:noWrap/>
            <w:vAlign w:val="center"/>
            <w:hideMark/>
          </w:tcPr>
          <w:p w14:paraId="19E2F2F4" w14:textId="77777777" w:rsidR="00F12620" w:rsidRPr="00E128B3" w:rsidRDefault="00487360" w:rsidP="00FB588E">
            <w:pPr>
              <w:keepNext/>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42</w:t>
            </w:r>
          </w:p>
        </w:tc>
      </w:tr>
    </w:tbl>
    <w:p w14:paraId="3AAC7DC7" w14:textId="47720BAF" w:rsidR="00F12620" w:rsidRPr="00E128B3" w:rsidRDefault="00F12620" w:rsidP="00FB588E">
      <w:pPr>
        <w:pStyle w:val="Zdrojapozn"/>
        <w:keepNext/>
        <w:spacing w:before="40"/>
        <w:rPr>
          <w:lang w:val="en-GB"/>
        </w:rPr>
      </w:pPr>
      <w:r w:rsidRPr="00E128B3">
        <w:rPr>
          <w:b/>
          <w:lang w:val="en-GB" w:bidi="en-GB"/>
        </w:rPr>
        <w:t xml:space="preserve">Zdroj: </w:t>
      </w:r>
      <w:r w:rsidRPr="00E128B3">
        <w:rPr>
          <w:lang w:val="en-GB" w:bidi="en-GB"/>
        </w:rPr>
        <w:t>Prepared by the SAO based on the NERP, emission balance (Reporting_2018_v_1-2_1990-2016).</w:t>
      </w:r>
    </w:p>
    <w:p w14:paraId="066208FF" w14:textId="498FBE1A" w:rsidR="00F12620" w:rsidRPr="00E128B3" w:rsidRDefault="00FB588E" w:rsidP="00A92C84">
      <w:pPr>
        <w:pStyle w:val="Zdrojapozn"/>
        <w:keepNext/>
        <w:ind w:left="284" w:hanging="284"/>
        <w:rPr>
          <w:lang w:val="en-GB"/>
        </w:rPr>
      </w:pPr>
      <w:r w:rsidRPr="00E128B3">
        <w:rPr>
          <w:vertAlign w:val="superscript"/>
          <w:lang w:val="en-GB" w:bidi="en-GB"/>
        </w:rPr>
        <w:t>*</w:t>
      </w:r>
      <w:r w:rsidRPr="00E128B3">
        <w:rPr>
          <w:lang w:val="en-GB" w:bidi="en-GB"/>
        </w:rPr>
        <w:t xml:space="preserve"> </w:t>
      </w:r>
      <w:r w:rsidRPr="00E128B3">
        <w:rPr>
          <w:lang w:val="en-GB" w:bidi="en-GB"/>
        </w:rPr>
        <w:tab/>
        <w:t>The latest available emission balance is from 2018 for the year 2016 (including recalculation of the time series from 1990).</w:t>
      </w:r>
    </w:p>
    <w:p w14:paraId="79FFDFF9" w14:textId="6B48718C" w:rsidR="00F12620" w:rsidRPr="00E128B3" w:rsidRDefault="00FB588E" w:rsidP="00A92C84">
      <w:pPr>
        <w:pStyle w:val="Zdrojapozn"/>
        <w:keepNext/>
        <w:ind w:left="284" w:hanging="284"/>
        <w:rPr>
          <w:lang w:val="en-GB"/>
        </w:rPr>
      </w:pPr>
      <w:r w:rsidRPr="00E128B3">
        <w:rPr>
          <w:vertAlign w:val="superscript"/>
          <w:lang w:val="en-GB" w:bidi="en-GB"/>
        </w:rPr>
        <w:t>**</w:t>
      </w:r>
      <w:r w:rsidRPr="00E128B3">
        <w:rPr>
          <w:lang w:val="en-GB" w:bidi="en-GB"/>
        </w:rPr>
        <w:t xml:space="preserve"> </w:t>
      </w:r>
      <w:r w:rsidRPr="00E128B3">
        <w:rPr>
          <w:lang w:val="en-GB" w:bidi="en-GB"/>
        </w:rPr>
        <w:tab/>
        <w:t>The commitment expressed as a percentage of the 2005 value was calculated from the national emission values for 2005 used for the prepar</w:t>
      </w:r>
      <w:r w:rsidR="00CF7030">
        <w:rPr>
          <w:lang w:val="en-GB" w:bidi="en-GB"/>
        </w:rPr>
        <w:t>ation</w:t>
      </w:r>
      <w:r w:rsidRPr="00E128B3">
        <w:rPr>
          <w:lang w:val="en-GB" w:bidi="en-GB"/>
        </w:rPr>
        <w:t xml:space="preserve"> of the NERP and from the unexceedable national emission values set out in the NERP. </w:t>
      </w:r>
    </w:p>
    <w:p w14:paraId="68403C48" w14:textId="66184F24" w:rsidR="00F12620" w:rsidRPr="00E128B3" w:rsidRDefault="00FB588E" w:rsidP="00A92C84">
      <w:pPr>
        <w:pStyle w:val="Zdrojapozn"/>
        <w:ind w:left="284" w:hanging="284"/>
        <w:rPr>
          <w:lang w:val="en-GB"/>
        </w:rPr>
      </w:pPr>
      <w:r w:rsidRPr="00E128B3">
        <w:rPr>
          <w:vertAlign w:val="superscript"/>
          <w:lang w:val="en-GB" w:bidi="en-GB"/>
        </w:rPr>
        <w:t>***</w:t>
      </w:r>
      <w:r w:rsidRPr="00E128B3">
        <w:rPr>
          <w:lang w:val="en-GB" w:bidi="en-GB"/>
        </w:rPr>
        <w:t xml:space="preserve"> </w:t>
      </w:r>
      <w:r w:rsidRPr="00E128B3">
        <w:rPr>
          <w:lang w:val="en-GB" w:bidi="en-GB"/>
        </w:rPr>
        <w:tab/>
        <w:t>Unexceedable national emission values recalculated by the SAO to reflect the changes in the calculation of the emission balance.</w:t>
      </w:r>
    </w:p>
    <w:p w14:paraId="0355747F" w14:textId="77777777" w:rsidR="00395345" w:rsidRPr="00E128B3" w:rsidRDefault="00395345" w:rsidP="00FB356D">
      <w:pPr>
        <w:pStyle w:val="Text"/>
        <w:spacing w:after="120" w:line="264" w:lineRule="auto"/>
        <w:rPr>
          <w:lang w:val="en-GB"/>
        </w:rPr>
      </w:pPr>
      <w:r w:rsidRPr="00E128B3">
        <w:rPr>
          <w:lang w:val="en-GB" w:bidi="en-GB"/>
        </w:rPr>
        <w:t>As early as 2016 the Czech Republic met the international emission reduction commitment for 2020 for SO</w:t>
      </w:r>
      <w:r w:rsidRPr="00E128B3">
        <w:rPr>
          <w:vertAlign w:val="subscript"/>
          <w:lang w:val="en-GB" w:bidi="en-GB"/>
        </w:rPr>
        <w:t>2</w:t>
      </w:r>
      <w:r w:rsidRPr="00E128B3">
        <w:rPr>
          <w:lang w:val="en-GB" w:bidi="en-GB"/>
        </w:rPr>
        <w:t>, NO</w:t>
      </w:r>
      <w:r w:rsidRPr="00E128B3">
        <w:rPr>
          <w:vertAlign w:val="subscript"/>
          <w:lang w:val="en-GB" w:bidi="en-GB"/>
        </w:rPr>
        <w:t>X</w:t>
      </w:r>
      <w:r w:rsidRPr="00E128B3">
        <w:rPr>
          <w:lang w:val="en-GB" w:bidi="en-GB"/>
        </w:rPr>
        <w:t>, NMVOC, and NH</w:t>
      </w:r>
      <w:r w:rsidRPr="00E128B3">
        <w:rPr>
          <w:vertAlign w:val="subscript"/>
          <w:lang w:val="en-GB" w:bidi="en-GB"/>
        </w:rPr>
        <w:t>3</w:t>
      </w:r>
      <w:r w:rsidRPr="00E128B3">
        <w:rPr>
          <w:lang w:val="en-GB" w:bidi="en-GB"/>
        </w:rPr>
        <w:t>. As regards the PM</w:t>
      </w:r>
      <w:r w:rsidRPr="00E128B3">
        <w:rPr>
          <w:vertAlign w:val="subscript"/>
          <w:lang w:val="en-GB" w:bidi="en-GB"/>
        </w:rPr>
        <w:t xml:space="preserve">2.5 </w:t>
      </w:r>
      <w:r w:rsidRPr="00E128B3">
        <w:rPr>
          <w:lang w:val="en-GB" w:bidi="en-GB"/>
        </w:rPr>
        <w:t>fraction of suspended particulate matter, the Czech Republic is approaching its international commitment. As regards compliance with the unexceedable national emission values for 2020, the attainment of which is the common objective of the SEP, the Strategy, and the NERP, the situation is quite to the contrary and no emission ceiling for 2020 has been met.</w:t>
      </w:r>
    </w:p>
    <w:p w14:paraId="0062D38E" w14:textId="3F73BBA6" w:rsidR="00395345" w:rsidRPr="00E128B3" w:rsidRDefault="00395345" w:rsidP="00FB356D">
      <w:pPr>
        <w:pStyle w:val="TextKP"/>
        <w:spacing w:after="120" w:line="264" w:lineRule="auto"/>
        <w:rPr>
          <w:lang w:val="en-GB"/>
        </w:rPr>
      </w:pPr>
      <w:r w:rsidRPr="00E128B3">
        <w:rPr>
          <w:lang w:val="en-GB" w:bidi="en-GB"/>
        </w:rPr>
        <w:t>The MoE set highly ambitious targets for 2020. Considering that the total emissions values for 2020 will only be available in the first quarter of 2022, the attainment of the target unexceedable value of PM</w:t>
      </w:r>
      <w:r w:rsidRPr="00E128B3">
        <w:rPr>
          <w:vertAlign w:val="subscript"/>
          <w:lang w:val="en-GB" w:bidi="en-GB"/>
        </w:rPr>
        <w:t xml:space="preserve">2.5 </w:t>
      </w:r>
      <w:r w:rsidRPr="00E128B3">
        <w:rPr>
          <w:lang w:val="en-GB" w:bidi="en-GB"/>
        </w:rPr>
        <w:t>emissions for 2020 appears unrealistic as a result of the changes in the calculation methodology of the national emissions and the analysis of the performance of the individual measures of the NERP. Between 2005 and 2016, i.e. over a period of 11 years, the PM</w:t>
      </w:r>
      <w:r w:rsidRPr="00E128B3">
        <w:rPr>
          <w:vertAlign w:val="subscript"/>
          <w:lang w:val="en-GB" w:bidi="en-GB"/>
        </w:rPr>
        <w:t>2.5</w:t>
      </w:r>
      <w:r w:rsidRPr="00E128B3">
        <w:rPr>
          <w:lang w:val="en-GB" w:bidi="en-GB"/>
        </w:rPr>
        <w:t xml:space="preserve"> emissions decreased by 12%. In order to meet the national target, there would have to be a further decrease in the PM</w:t>
      </w:r>
      <w:r w:rsidRPr="00E128B3">
        <w:rPr>
          <w:vertAlign w:val="subscript"/>
          <w:lang w:val="en-GB" w:bidi="en-GB"/>
        </w:rPr>
        <w:t>2.5</w:t>
      </w:r>
      <w:r w:rsidRPr="00E128B3">
        <w:rPr>
          <w:lang w:val="en-GB" w:bidi="en-GB"/>
        </w:rPr>
        <w:t xml:space="preserve"> emissions by 42% between 2016 and 2020, i.e. over a period of 4 years.</w:t>
      </w:r>
    </w:p>
    <w:p w14:paraId="6A5A9087" w14:textId="77777777" w:rsidR="00395345" w:rsidRPr="00E128B3" w:rsidRDefault="00395345" w:rsidP="00FB356D">
      <w:pPr>
        <w:pStyle w:val="Text"/>
        <w:spacing w:after="120" w:line="264" w:lineRule="auto"/>
        <w:rPr>
          <w:lang w:val="en-GB"/>
        </w:rPr>
      </w:pPr>
      <w:r w:rsidRPr="00E128B3">
        <w:rPr>
          <w:lang w:val="en-GB" w:bidi="en-GB"/>
        </w:rPr>
        <w:t>As a result of changes in the calculation methodologies of the national emissions and given the current performance status of the individual measures of the NERP, there is also the risk of the failure to meet the target values for other pollutants for which the unexceedable emission values were set in the NERP, i.e. SO</w:t>
      </w:r>
      <w:r w:rsidRPr="00E128B3">
        <w:rPr>
          <w:vertAlign w:val="subscript"/>
          <w:lang w:val="en-GB" w:bidi="en-GB"/>
        </w:rPr>
        <w:t>2</w:t>
      </w:r>
      <w:r w:rsidRPr="00E128B3">
        <w:rPr>
          <w:lang w:val="en-GB" w:bidi="en-GB"/>
        </w:rPr>
        <w:t>, NO</w:t>
      </w:r>
      <w:r w:rsidRPr="00E128B3">
        <w:rPr>
          <w:vertAlign w:val="subscript"/>
          <w:lang w:val="en-GB" w:bidi="en-GB"/>
        </w:rPr>
        <w:t>X</w:t>
      </w:r>
      <w:r w:rsidRPr="00E128B3">
        <w:rPr>
          <w:lang w:val="en-GB" w:bidi="en-GB"/>
        </w:rPr>
        <w:t>, NMVOC and NH</w:t>
      </w:r>
      <w:r w:rsidRPr="00E128B3">
        <w:rPr>
          <w:vertAlign w:val="subscript"/>
          <w:lang w:val="en-GB" w:bidi="en-GB"/>
        </w:rPr>
        <w:t>3</w:t>
      </w:r>
      <w:r w:rsidRPr="00E128B3">
        <w:rPr>
          <w:lang w:val="en-GB" w:bidi="en-GB"/>
        </w:rPr>
        <w:t>. Between 2005 and 2016 there was a decrease in the emissions of SO</w:t>
      </w:r>
      <w:r w:rsidRPr="00E128B3">
        <w:rPr>
          <w:vertAlign w:val="subscript"/>
          <w:lang w:val="en-GB" w:bidi="en-GB"/>
        </w:rPr>
        <w:t>2</w:t>
      </w:r>
      <w:r w:rsidRPr="00E128B3">
        <w:rPr>
          <w:lang w:val="en-GB" w:bidi="en-GB"/>
        </w:rPr>
        <w:t xml:space="preserve"> by 45%, of NO</w:t>
      </w:r>
      <w:r w:rsidRPr="00E128B3">
        <w:rPr>
          <w:vertAlign w:val="subscript"/>
          <w:lang w:val="en-GB" w:bidi="en-GB"/>
        </w:rPr>
        <w:t>X</w:t>
      </w:r>
      <w:r w:rsidRPr="00E128B3">
        <w:rPr>
          <w:lang w:val="en-GB" w:bidi="en-GB"/>
        </w:rPr>
        <w:t xml:space="preserve"> by 41%, of NMVOC by 20%, and of NH</w:t>
      </w:r>
      <w:r w:rsidRPr="00E128B3">
        <w:rPr>
          <w:vertAlign w:val="subscript"/>
          <w:lang w:val="en-GB" w:bidi="en-GB"/>
        </w:rPr>
        <w:t>3</w:t>
      </w:r>
      <w:r w:rsidRPr="00E128B3">
        <w:rPr>
          <w:lang w:val="en-GB" w:bidi="en-GB"/>
        </w:rPr>
        <w:t xml:space="preserve"> by 7%. In order to meet the national target, there would have to be a further emission decrease by 21% for SO</w:t>
      </w:r>
      <w:r w:rsidRPr="00E128B3">
        <w:rPr>
          <w:vertAlign w:val="subscript"/>
          <w:lang w:val="en-GB" w:bidi="en-GB"/>
        </w:rPr>
        <w:t>2</w:t>
      </w:r>
      <w:r w:rsidRPr="00E128B3">
        <w:rPr>
          <w:lang w:val="en-GB" w:bidi="en-GB"/>
        </w:rPr>
        <w:t>, by 13% for NO</w:t>
      </w:r>
      <w:r w:rsidRPr="00E128B3">
        <w:rPr>
          <w:vertAlign w:val="subscript"/>
          <w:lang w:val="en-GB" w:bidi="en-GB"/>
        </w:rPr>
        <w:t>X</w:t>
      </w:r>
      <w:r w:rsidRPr="00E128B3">
        <w:rPr>
          <w:lang w:val="en-GB" w:bidi="en-GB"/>
        </w:rPr>
        <w:t>, by 20% for NMVOC, and by 16% for NH</w:t>
      </w:r>
      <w:r w:rsidRPr="00E128B3">
        <w:rPr>
          <w:vertAlign w:val="subscript"/>
          <w:lang w:val="en-GB" w:bidi="en-GB"/>
        </w:rPr>
        <w:t xml:space="preserve">3 </w:t>
      </w:r>
      <w:r w:rsidRPr="00E128B3">
        <w:rPr>
          <w:lang w:val="en-GB" w:bidi="en-GB"/>
        </w:rPr>
        <w:t>from 2016 to 2020.</w:t>
      </w:r>
    </w:p>
    <w:p w14:paraId="2F676FC0" w14:textId="44D42085" w:rsidR="00395345" w:rsidRPr="00E128B3" w:rsidRDefault="00395345" w:rsidP="00FB356D">
      <w:pPr>
        <w:pStyle w:val="Text"/>
        <w:spacing w:after="120" w:line="264" w:lineRule="auto"/>
        <w:rPr>
          <w:lang w:val="en-GB"/>
        </w:rPr>
      </w:pPr>
      <w:r w:rsidRPr="00E128B3">
        <w:rPr>
          <w:lang w:val="en-GB" w:bidi="en-GB"/>
        </w:rPr>
        <w:t xml:space="preserve">The MoE should evaluate approaching the national emission values for 2020 annually in the regular report on the environment (“Environment Report”), which is submitted to the Czech government for approval. The “distance to target”, i.e. the difference between the current national emission in the given year and the target value for 2020, should be evaluated. However, in its </w:t>
      </w:r>
      <w:r w:rsidRPr="00E128B3">
        <w:rPr>
          <w:i/>
          <w:lang w:val="en-GB" w:bidi="en-GB"/>
        </w:rPr>
        <w:t>Report on the Environment 2016</w:t>
      </w:r>
      <w:r w:rsidRPr="00E128B3">
        <w:rPr>
          <w:lang w:val="en-GB" w:bidi="en-GB"/>
        </w:rPr>
        <w:t>, the MoE did not evaluate the “distance to target” for the PM</w:t>
      </w:r>
      <w:r w:rsidRPr="00E128B3">
        <w:rPr>
          <w:vertAlign w:val="subscript"/>
          <w:lang w:val="en-GB" w:bidi="en-GB"/>
        </w:rPr>
        <w:t xml:space="preserve">2.5 </w:t>
      </w:r>
      <w:r w:rsidRPr="00E128B3">
        <w:rPr>
          <w:lang w:val="en-GB" w:bidi="en-GB"/>
        </w:rPr>
        <w:t>fraction of suspended particulate matter even though the attainment of the unexceedable national emission value for PM</w:t>
      </w:r>
      <w:r w:rsidRPr="00E128B3">
        <w:rPr>
          <w:vertAlign w:val="subscript"/>
          <w:lang w:val="en-GB" w:bidi="en-GB"/>
        </w:rPr>
        <w:t>2.5</w:t>
      </w:r>
      <w:r w:rsidRPr="00E128B3">
        <w:rPr>
          <w:lang w:val="en-GB" w:bidi="en-GB"/>
        </w:rPr>
        <w:t xml:space="preserve"> for 2020 carries the highest risk of failure. In addition, Directive (EU) 2016/2284 sets a very strict PM</w:t>
      </w:r>
      <w:r w:rsidRPr="00E128B3">
        <w:rPr>
          <w:vertAlign w:val="subscript"/>
          <w:lang w:val="en-GB" w:bidi="en-GB"/>
        </w:rPr>
        <w:t>2.5</w:t>
      </w:r>
      <w:r w:rsidRPr="00E128B3">
        <w:rPr>
          <w:lang w:val="en-GB" w:bidi="en-GB"/>
        </w:rPr>
        <w:t xml:space="preserve"> emission reduction commitment for the Czech Republic for 2030, i.e. a decrease in the PM</w:t>
      </w:r>
      <w:r w:rsidRPr="00E128B3">
        <w:rPr>
          <w:vertAlign w:val="subscript"/>
          <w:lang w:val="en-GB" w:bidi="en-GB"/>
        </w:rPr>
        <w:t>2.5</w:t>
      </w:r>
      <w:r w:rsidRPr="00E128B3">
        <w:rPr>
          <w:lang w:val="en-GB" w:bidi="en-GB"/>
        </w:rPr>
        <w:t xml:space="preserve"> emissions by 60% compared to 2005.</w:t>
      </w:r>
    </w:p>
    <w:p w14:paraId="2E36DF69" w14:textId="77777777" w:rsidR="00395345" w:rsidRPr="00E128B3" w:rsidRDefault="00395345" w:rsidP="00FB356D">
      <w:pPr>
        <w:pStyle w:val="Nadpis3"/>
        <w:numPr>
          <w:ilvl w:val="0"/>
          <w:numId w:val="46"/>
        </w:numPr>
        <w:spacing w:line="264" w:lineRule="auto"/>
        <w:ind w:left="284" w:hanging="284"/>
        <w:rPr>
          <w:lang w:val="en-GB" w:eastAsia="cs-CZ"/>
        </w:rPr>
      </w:pPr>
      <w:r w:rsidRPr="00E128B3">
        <w:rPr>
          <w:lang w:val="en-GB" w:bidi="en-GB"/>
        </w:rPr>
        <w:t>The measures set for air quality improvement are not performed sufficiently and in time:</w:t>
      </w:r>
    </w:p>
    <w:p w14:paraId="0A257DA3" w14:textId="77777777" w:rsidR="00395345" w:rsidRPr="00E128B3" w:rsidRDefault="00395345" w:rsidP="00FB356D">
      <w:pPr>
        <w:pStyle w:val="TextKP"/>
        <w:spacing w:after="120" w:line="264" w:lineRule="auto"/>
        <w:rPr>
          <w:rFonts w:eastAsia="Calibri"/>
          <w:i/>
          <w:lang w:val="en-GB"/>
        </w:rPr>
      </w:pPr>
      <w:r w:rsidRPr="00E128B3">
        <w:rPr>
          <w:rFonts w:eastAsia="Calibri"/>
          <w:i/>
          <w:lang w:val="en-GB" w:bidi="en-GB"/>
        </w:rPr>
        <w:t>Performance status of the priority measures of the NERP</w:t>
      </w:r>
    </w:p>
    <w:p w14:paraId="5B519C6C" w14:textId="0C75B386" w:rsidR="00395345" w:rsidRPr="00E128B3" w:rsidRDefault="00395345" w:rsidP="00FB356D">
      <w:pPr>
        <w:pStyle w:val="TextKP"/>
        <w:spacing w:after="120" w:line="264" w:lineRule="auto"/>
        <w:rPr>
          <w:lang w:val="en-GB"/>
        </w:rPr>
      </w:pPr>
      <w:r w:rsidRPr="00E128B3">
        <w:rPr>
          <w:rFonts w:eastAsia="Calibri"/>
          <w:lang w:val="en-GB" w:bidi="en-GB"/>
        </w:rPr>
        <w:t xml:space="preserve">The new scenario NERP-WAM includes 23 priority measures. </w:t>
      </w:r>
      <w:r w:rsidRPr="00E128B3">
        <w:rPr>
          <w:lang w:val="en-GB" w:bidi="en-GB"/>
        </w:rPr>
        <w:t xml:space="preserve">The implementation is to be evaluated annually on the basis of specified indicators and the outcome of the evaluation is submitted to the government by the MoE as a part of the regular Report on the Environment. The audit examined the performance status and the evaluation of the implementation by the MoE. </w:t>
      </w:r>
      <w:r w:rsidRPr="00E128B3">
        <w:rPr>
          <w:rFonts w:eastAsia="Calibri"/>
          <w:lang w:val="en-GB" w:bidi="en-GB"/>
        </w:rPr>
        <w:t>The list of all the priority measures, including the comparison of the evaluation of the implementation by the MoE and the evaluation of the performance status of the priority actions by the SAO, is provided in Annex 4 to this Audit Conclusion.</w:t>
      </w:r>
    </w:p>
    <w:p w14:paraId="64EABCA4" w14:textId="2711414F" w:rsidR="00395345" w:rsidRPr="00E128B3" w:rsidRDefault="00395345" w:rsidP="00FB356D">
      <w:pPr>
        <w:pStyle w:val="Text"/>
        <w:spacing w:after="120" w:line="264" w:lineRule="auto"/>
        <w:rPr>
          <w:lang w:val="en-GB" w:eastAsia="cs-CZ"/>
        </w:rPr>
      </w:pPr>
      <w:r w:rsidRPr="00E128B3">
        <w:rPr>
          <w:lang w:val="en-GB" w:bidi="en-GB"/>
        </w:rPr>
        <w:t>The performance analysis of the priority measures shows differences in comparison with the evaluation conducted by the MoE. While the differences do result from the different points in time of the evaluation, the main cause lies in the fact that the evaluation by the MoE fails to consider the result achieved or the level of fulfilment of the individual measures with regard to their desired target</w:t>
      </w:r>
      <w:r w:rsidRPr="00E128B3">
        <w:rPr>
          <w:rStyle w:val="Znakapoznpodarou"/>
          <w:lang w:val="en-GB" w:bidi="en-GB"/>
        </w:rPr>
        <w:footnoteReference w:id="29"/>
      </w:r>
      <w:r w:rsidRPr="00E128B3">
        <w:rPr>
          <w:lang w:val="en-GB" w:bidi="en-GB"/>
        </w:rPr>
        <w:t xml:space="preserve">. The indicators listed in the </w:t>
      </w:r>
      <w:r w:rsidRPr="00E128B3">
        <w:rPr>
          <w:i/>
          <w:lang w:val="en-GB" w:bidi="en-GB"/>
        </w:rPr>
        <w:t>Statistical Environmental Yearbook for 2016</w:t>
      </w:r>
      <w:r w:rsidRPr="00E128B3">
        <w:rPr>
          <w:lang w:val="en-GB" w:bidi="en-GB"/>
        </w:rPr>
        <w:t xml:space="preserve"> are incomplete and no detailed verbal evaluation is provided. The evaluation by the MoE does not allow for an objective assessment of whether or not the NERP is consistently being fulfilled even though it is one of the most important air quality improvement instruments at the national level.</w:t>
      </w:r>
    </w:p>
    <w:p w14:paraId="1C53BE84" w14:textId="211F9C80" w:rsidR="00395345" w:rsidRPr="00E128B3" w:rsidRDefault="00395345" w:rsidP="00FB356D">
      <w:pPr>
        <w:pStyle w:val="Text"/>
        <w:spacing w:after="120" w:line="264" w:lineRule="auto"/>
        <w:rPr>
          <w:lang w:val="en-GB" w:eastAsia="cs-CZ"/>
        </w:rPr>
      </w:pPr>
      <w:r w:rsidRPr="00E128B3">
        <w:rPr>
          <w:lang w:val="en-GB" w:bidi="en-GB"/>
        </w:rPr>
        <w:t>The audit found that seven out of the 23 priority measures of the NERP failed to be completed within the required deadline or even before the completion of this audit. They include, for example, measures to promote the acceleration of the replacement of passenger vehicles (responsibility of the MoE) and to stimulate the use of alternative fuel vehicles in road freight transport by reducing the road tax rate or by reducing the share of solid fossil fuels in stationary combustion sources that do not fall under the EU ETS system (e.g. local household heating). Another six of the 23 priority measures of the NERP are being fulfilled on a continuous basis but there are significant risks of the failure to implement these measures in time and to the required extent. They are, for example, the shift of freight transport from roads to railways, the implementation of measures to reduce energy consumption and increase energy efficiency, the construction of the backbone network of high-capacity routes for motor transport, or the priority construction of bypass roads around towns and municipalities and the associated possibility of introducing low-emission zones in urban areas.</w:t>
      </w:r>
    </w:p>
    <w:p w14:paraId="53C086BF" w14:textId="54C39B2A" w:rsidR="00395345" w:rsidRPr="00E128B3" w:rsidRDefault="00395345" w:rsidP="00FB356D">
      <w:pPr>
        <w:pStyle w:val="TextKP"/>
        <w:spacing w:after="120" w:line="264" w:lineRule="auto"/>
        <w:rPr>
          <w:lang w:val="en-GB"/>
        </w:rPr>
      </w:pPr>
      <w:r w:rsidRPr="00E128B3">
        <w:rPr>
          <w:lang w:val="en-GB" w:bidi="en-GB"/>
        </w:rPr>
        <w:t>The audit also established that neither MoE, being the proposer of the NERP, nor the other parties responsible for the measures proceeded in accordance with the approval of the draft policy, having failed to prioritise the measure aimed at promoting and accelerating the renewal of the passenger vehicle fleet (AA3), the measure aimed at stimulating the use of alternative fuel vehicles in road freight transport (AA5), and the measure to ensure the shift of freight transport from roads to railways (AB23). Measures AA3 and AA5 have not yet been fulfilled. While measure AB23 is implemented on a continuous basis, the indicators monitored suggest a high risk of failure to meet the set objective.</w:t>
      </w:r>
    </w:p>
    <w:p w14:paraId="1BFE4174" w14:textId="77777777" w:rsidR="00395345" w:rsidRPr="00E128B3" w:rsidRDefault="00395345" w:rsidP="00FB356D">
      <w:pPr>
        <w:pStyle w:val="Text"/>
        <w:spacing w:after="120" w:line="264" w:lineRule="auto"/>
        <w:rPr>
          <w:i/>
          <w:lang w:val="en-GB" w:eastAsia="cs-CZ"/>
        </w:rPr>
      </w:pPr>
      <w:r w:rsidRPr="00E128B3">
        <w:rPr>
          <w:i/>
          <w:lang w:val="en-GB" w:bidi="en-GB"/>
        </w:rPr>
        <w:t>Evaluation of AQIP implementation</w:t>
      </w:r>
    </w:p>
    <w:p w14:paraId="0421C07B" w14:textId="631F64EB" w:rsidR="00137B4A" w:rsidRPr="00E128B3" w:rsidRDefault="00137B4A" w:rsidP="00FB356D">
      <w:pPr>
        <w:pStyle w:val="Text"/>
        <w:spacing w:after="120" w:line="264" w:lineRule="auto"/>
        <w:rPr>
          <w:lang w:val="en-GB" w:eastAsia="cs-CZ"/>
        </w:rPr>
      </w:pPr>
      <w:r w:rsidRPr="00E128B3">
        <w:rPr>
          <w:lang w:val="en-GB" w:bidi="en-GB"/>
        </w:rPr>
        <w:t xml:space="preserve">The current </w:t>
      </w:r>
      <w:r w:rsidRPr="00E128B3">
        <w:rPr>
          <w:i/>
          <w:lang w:val="en-GB" w:bidi="en-GB"/>
        </w:rPr>
        <w:t>Air Quality Improvement Programmes</w:t>
      </w:r>
      <w:r w:rsidRPr="00E128B3">
        <w:rPr>
          <w:lang w:val="en-GB" w:bidi="en-GB"/>
        </w:rPr>
        <w:t>, being the regional air quality management strategies prepared for the individual zones and agglomerations, were approved in the course of 2016 and were issued by the MoE in the form of generally applicable measure.</w:t>
      </w:r>
    </w:p>
    <w:p w14:paraId="1DE1F126" w14:textId="65C09F26" w:rsidR="00395345" w:rsidRPr="00E128B3" w:rsidRDefault="00395345" w:rsidP="00FB356D">
      <w:pPr>
        <w:pStyle w:val="Text"/>
        <w:spacing w:after="120" w:line="264" w:lineRule="auto"/>
        <w:rPr>
          <w:lang w:val="en-GB" w:eastAsia="cs-CZ"/>
        </w:rPr>
      </w:pPr>
      <w:r w:rsidRPr="00E128B3">
        <w:rPr>
          <w:lang w:val="en-GB" w:bidi="en-GB"/>
        </w:rPr>
        <w:t>The MoE presented the initial interim evaluations of the AQIPs for all the zones and agglomerations for 2016. The evaluation was performed in late 2017 and early 2018 and the individual evaluations were published at the end of the first quarter of 2018. The first evaluations do not provide any conclusive data regarding the impact of the current AQIPs on environmental components because the indicators monitored include mainly air quality data from before the AQIPs were issued and, as such, they are not very informative in terms of the evaluation of their impact.</w:t>
      </w:r>
    </w:p>
    <w:p w14:paraId="7FECF6B3" w14:textId="212A66E0" w:rsidR="00395345" w:rsidRPr="00E128B3" w:rsidRDefault="00395345" w:rsidP="00FB356D">
      <w:pPr>
        <w:pStyle w:val="Text"/>
        <w:spacing w:after="120" w:line="264" w:lineRule="auto"/>
        <w:rPr>
          <w:lang w:val="en-GB" w:eastAsia="cs-CZ"/>
        </w:rPr>
      </w:pPr>
      <w:r w:rsidRPr="00E128B3">
        <w:rPr>
          <w:lang w:val="en-GB" w:bidi="en-GB"/>
        </w:rPr>
        <w:t xml:space="preserve">The AQIP evaluation method suggests that the MoE has no effective system in place for the timely collection of data and information in the required quality from the individual sponsors of the measures, i.e. the municipalities and the regions. The data and information collected are suboptimal, incomplete and incomparable. Therefore, the MoE cannot conduct a satisfactory and conclusive </w:t>
      </w:r>
      <w:r w:rsidRPr="00E128B3">
        <w:rPr>
          <w:spacing w:val="-4"/>
          <w:lang w:val="en-GB" w:bidi="en-GB"/>
        </w:rPr>
        <w:t xml:space="preserve">evaluation of the implementation of the measures set out in the AQIPs. </w:t>
      </w:r>
      <w:r w:rsidRPr="00E128B3">
        <w:rPr>
          <w:lang w:val="en-GB" w:bidi="en-GB"/>
        </w:rPr>
        <w:t xml:space="preserve">The fulfilment of the measures is thus impossible to evaluate because the AQIPs lack any quantification </w:t>
      </w:r>
      <w:r w:rsidRPr="00E128B3">
        <w:rPr>
          <w:spacing w:val="-4"/>
          <w:lang w:val="en-GB" w:bidi="en-GB"/>
        </w:rPr>
        <w:t>of the expected contribution of the individual measures to air quality improvements and the schedule of the implementation of the individual measures.</w:t>
      </w:r>
    </w:p>
    <w:p w14:paraId="40C11E33" w14:textId="77777777" w:rsidR="00395345" w:rsidRPr="00E128B3" w:rsidRDefault="00395345" w:rsidP="00FB356D">
      <w:pPr>
        <w:pStyle w:val="Nadpis3"/>
        <w:numPr>
          <w:ilvl w:val="0"/>
          <w:numId w:val="46"/>
        </w:numPr>
        <w:spacing w:line="264" w:lineRule="auto"/>
        <w:ind w:left="284" w:hanging="284"/>
        <w:rPr>
          <w:lang w:val="en-GB" w:eastAsia="cs-CZ"/>
        </w:rPr>
      </w:pPr>
      <w:r w:rsidRPr="00E128B3">
        <w:rPr>
          <w:lang w:val="en-GB" w:bidi="en-GB"/>
        </w:rPr>
        <w:t>The deficiencies in the AQIPs found by the courts will not be rectified before 2020.</w:t>
      </w:r>
    </w:p>
    <w:p w14:paraId="4BB05707" w14:textId="7ECA954C" w:rsidR="009E0D3B" w:rsidRPr="00E128B3" w:rsidRDefault="00395345" w:rsidP="00FB356D">
      <w:pPr>
        <w:pStyle w:val="Text"/>
        <w:spacing w:after="120" w:line="264" w:lineRule="auto"/>
        <w:rPr>
          <w:lang w:val="en-GB"/>
        </w:rPr>
      </w:pPr>
      <w:r w:rsidRPr="00E128B3">
        <w:rPr>
          <w:lang w:val="en-GB" w:bidi="en-GB"/>
        </w:rPr>
        <w:t>As regards the AQIPs issued by the MoE for the agglomerations of Prague, Brno, and Ostrava/Karviná/Frýdek-Místek and for the Northwest zone, petitioners filed motions for the cancellation of the generally applicable measures with the competent Czech courts. The Supreme Administrative Court and the Municipal Court in Prague proceeded to rebuke the MoE for the absence of specific schedules for the individual measures in the AQIPs and for the fact that the AQIPs failed to quantify the contribution of the measures to air quality improvement, which makes it impossible to focus on the measures having the strongest impact in case of time or financial constraints. The courts also noted that it was currently impossible to impose upon any self-government bodies any measures and to enforce the same because the competences of such bodies might only be regulated by the law. These deficiencies established by the courts represent a risk for the fulfilment of the objectives of the AQIPs for 2020. While the courts did not cancel the contested generally applicable measure in full, they did, in particular, cancel the provisions regarding the emission ceilings for road transport and those listing the individual measures aimed at air quality improvements.</w:t>
      </w:r>
    </w:p>
    <w:p w14:paraId="470792D7" w14:textId="58292423" w:rsidR="00395345" w:rsidRPr="00E128B3" w:rsidRDefault="00395345" w:rsidP="00FB356D">
      <w:pPr>
        <w:pStyle w:val="Text"/>
        <w:spacing w:after="120" w:line="264" w:lineRule="auto"/>
        <w:rPr>
          <w:lang w:val="en-GB"/>
        </w:rPr>
      </w:pPr>
      <w:r w:rsidRPr="00E128B3">
        <w:rPr>
          <w:lang w:val="en-GB" w:bidi="en-GB"/>
        </w:rPr>
        <w:t>Act No. 172/2018 Coll.</w:t>
      </w:r>
      <w:r w:rsidR="00C57EA6" w:rsidRPr="00E128B3">
        <w:rPr>
          <w:rStyle w:val="Znakapoznpodarou"/>
          <w:lang w:val="en-GB" w:bidi="en-GB"/>
        </w:rPr>
        <w:footnoteReference w:id="30"/>
      </w:r>
      <w:r w:rsidRPr="00E128B3">
        <w:rPr>
          <w:lang w:val="en-GB" w:bidi="en-GB"/>
        </w:rPr>
        <w:t xml:space="preserve">, effective from 1 September 2018, sets out the obligation of municipalities and regions to draw up the implementation schedules for the measures imposed upon them by the AQIPs. The MoE intends to announce new or updated AQIPs in the course of 2019. Thereafter, the municipalities and regions implementing the measures will be required to draw up their own implementation schedule (within 12 months of the publication of the relevant AQIP in the </w:t>
      </w:r>
      <w:r w:rsidRPr="00E128B3">
        <w:rPr>
          <w:i/>
          <w:lang w:val="en-GB" w:bidi="en-GB"/>
        </w:rPr>
        <w:t>MoE Bulletin</w:t>
      </w:r>
      <w:r w:rsidRPr="00E128B3">
        <w:rPr>
          <w:lang w:val="en-GB" w:bidi="en-GB"/>
        </w:rPr>
        <w:t>). The first detailed AQIP implementation schedules will thus have no impact on the fulfilment of the strategic milestone of 2020.</w:t>
      </w:r>
    </w:p>
    <w:p w14:paraId="08992025" w14:textId="77777777" w:rsidR="00395345" w:rsidRPr="00E128B3" w:rsidRDefault="00395345" w:rsidP="00FB356D">
      <w:pPr>
        <w:pStyle w:val="Nadpis3"/>
        <w:numPr>
          <w:ilvl w:val="0"/>
          <w:numId w:val="46"/>
        </w:numPr>
        <w:spacing w:line="264" w:lineRule="auto"/>
        <w:ind w:left="284" w:hanging="284"/>
        <w:rPr>
          <w:lang w:val="en-GB" w:eastAsia="cs-CZ"/>
        </w:rPr>
      </w:pPr>
      <w:r w:rsidRPr="00E128B3">
        <w:rPr>
          <w:lang w:val="en-GB" w:bidi="en-GB"/>
        </w:rPr>
        <w:t>There is a risk of the Czech Republic failing to meet the goal of reducing exposure for fine particulate matter (PM</w:t>
      </w:r>
      <w:r w:rsidRPr="00E128B3">
        <w:rPr>
          <w:vertAlign w:val="subscript"/>
          <w:lang w:val="en-GB" w:bidi="en-GB"/>
        </w:rPr>
        <w:t>2.5</w:t>
      </w:r>
      <w:r w:rsidRPr="00E128B3">
        <w:rPr>
          <w:lang w:val="en-GB" w:bidi="en-GB"/>
        </w:rPr>
        <w:t>)</w:t>
      </w:r>
    </w:p>
    <w:p w14:paraId="7572DD57" w14:textId="179FC1F1" w:rsidR="00395345" w:rsidRPr="00E128B3" w:rsidRDefault="00395345" w:rsidP="00FB356D">
      <w:pPr>
        <w:pStyle w:val="Text"/>
        <w:spacing w:after="120" w:line="264" w:lineRule="auto"/>
        <w:rPr>
          <w:lang w:val="en-GB"/>
        </w:rPr>
      </w:pPr>
      <w:r w:rsidRPr="00E128B3">
        <w:rPr>
          <w:lang w:val="en-GB" w:bidi="en-GB"/>
        </w:rPr>
        <w:t>One of the objectives of the NERP was to meet the national exposure reduction target for the PM</w:t>
      </w:r>
      <w:r w:rsidRPr="00E128B3">
        <w:rPr>
          <w:vertAlign w:val="subscript"/>
          <w:lang w:val="en-GB" w:bidi="en-GB"/>
        </w:rPr>
        <w:t xml:space="preserve">2.5 </w:t>
      </w:r>
      <w:r w:rsidRPr="00E128B3">
        <w:rPr>
          <w:lang w:val="en-GB" w:bidi="en-GB"/>
        </w:rPr>
        <w:t>fraction of suspended particulate matter as set for the Czech Republic by Directive 2008/50/EC</w:t>
      </w:r>
      <w:r w:rsidR="00C07AD2" w:rsidRPr="00E128B3">
        <w:rPr>
          <w:rStyle w:val="Znakapoznpodarou"/>
          <w:lang w:val="en-GB" w:bidi="en-GB"/>
        </w:rPr>
        <w:footnoteReference w:id="31"/>
      </w:r>
      <w:r w:rsidRPr="00E128B3">
        <w:rPr>
          <w:lang w:val="en-GB" w:bidi="en-GB"/>
        </w:rPr>
        <w:t>. The fulfilment of this objective is monitored using the “Average Exposure Indicator” for the PM</w:t>
      </w:r>
      <w:r w:rsidRPr="00E128B3">
        <w:rPr>
          <w:vertAlign w:val="subscript"/>
          <w:lang w:val="en-GB" w:bidi="en-GB"/>
        </w:rPr>
        <w:t xml:space="preserve">2.5 </w:t>
      </w:r>
      <w:r w:rsidRPr="00E128B3">
        <w:rPr>
          <w:lang w:val="en-GB" w:bidi="en-GB"/>
        </w:rPr>
        <w:t>fraction of suspended particulate matter, which is drawn up on the basis of measurements at urban background locations. The urban background locations should be placed so that the pollution level at the site is influenced by the integrated contribution from all pollution sources</w:t>
      </w:r>
      <w:r w:rsidR="0092787E">
        <w:rPr>
          <w:lang w:val="en-GB" w:bidi="en-GB"/>
        </w:rPr>
        <w:t>.</w:t>
      </w:r>
      <w:r w:rsidRPr="00E128B3">
        <w:rPr>
          <w:lang w:val="en-GB" w:bidi="en-GB"/>
        </w:rPr>
        <w:t xml:space="preserve"> The Average Exposure Indicator for the given year (y) is calculated as the three-year running average concentration calculated from all the sampling points for the years y, y-1 and y-2. As of 2015 the same objective of 20 µg/m</w:t>
      </w:r>
      <w:r w:rsidRPr="00E128B3">
        <w:rPr>
          <w:vertAlign w:val="superscript"/>
          <w:lang w:val="en-GB" w:bidi="en-GB"/>
        </w:rPr>
        <w:t>3</w:t>
      </w:r>
      <w:r w:rsidRPr="00E128B3">
        <w:rPr>
          <w:lang w:val="en-GB" w:bidi="en-GB"/>
        </w:rPr>
        <w:t xml:space="preserve"> was set for all the Member States of the EU. The national exposure reduction target to be achieved by 2020 was set at 18 µg/m</w:t>
      </w:r>
      <w:r w:rsidRPr="00E128B3">
        <w:rPr>
          <w:vertAlign w:val="superscript"/>
          <w:lang w:val="en-GB" w:bidi="en-GB"/>
        </w:rPr>
        <w:t xml:space="preserve">3 </w:t>
      </w:r>
      <w:r w:rsidRPr="00E128B3">
        <w:rPr>
          <w:lang w:val="en-GB" w:bidi="en-GB"/>
        </w:rPr>
        <w:t>for the Czech Republic.</w:t>
      </w:r>
    </w:p>
    <w:p w14:paraId="52A251C2" w14:textId="726A0E7F" w:rsidR="00395345" w:rsidRPr="00E128B3" w:rsidRDefault="00395345" w:rsidP="00FB356D">
      <w:pPr>
        <w:pStyle w:val="Text"/>
        <w:spacing w:after="120" w:line="264" w:lineRule="auto"/>
        <w:rPr>
          <w:lang w:val="en-GB"/>
        </w:rPr>
      </w:pPr>
      <w:r w:rsidRPr="00E128B3">
        <w:rPr>
          <w:lang w:val="en-GB" w:bidi="en-GB"/>
        </w:rPr>
        <w:t>The wording of the EU directive is not clear as to whether the calculation should include all the urban background stations measuring PM</w:t>
      </w:r>
      <w:r w:rsidRPr="00E128B3">
        <w:rPr>
          <w:vertAlign w:val="subscript"/>
          <w:lang w:val="en-GB" w:bidi="en-GB"/>
        </w:rPr>
        <w:t>2.5</w:t>
      </w:r>
      <w:r w:rsidRPr="00E128B3">
        <w:rPr>
          <w:lang w:val="en-GB" w:bidi="en-GB"/>
        </w:rPr>
        <w:t xml:space="preserve"> concentrations or whether the indicator is constructed using only the values obtained from agglomerations and other urban areas with a population of over 100 thousand (in the Czech Republic in 2015: Prague, Brno, Ostrava, Pilsen, and Liberec). In the construction of this indicator, the MoE originally relied on the interpretation that the indicator is to include </w:t>
      </w:r>
      <w:r w:rsidR="00B8794F">
        <w:rPr>
          <w:lang w:val="en-GB" w:bidi="en-GB"/>
        </w:rPr>
        <w:t>o</w:t>
      </w:r>
      <w:r w:rsidRPr="00E128B3">
        <w:rPr>
          <w:lang w:val="en-GB" w:bidi="en-GB"/>
        </w:rPr>
        <w:t>nly the urban background stations located in agglomerations or urban areas with a population of over 100,000. It is for these values and for these locations that the Czech Republic’s target for 2020, as specified in the Strategy and the NERP, was set.</w:t>
      </w:r>
    </w:p>
    <w:p w14:paraId="382762C2" w14:textId="77777777" w:rsidR="00635EBF" w:rsidRPr="00E128B3" w:rsidRDefault="00395345" w:rsidP="00FB356D">
      <w:pPr>
        <w:pStyle w:val="Text"/>
        <w:spacing w:after="120" w:line="264" w:lineRule="auto"/>
        <w:rPr>
          <w:lang w:val="en-GB"/>
        </w:rPr>
      </w:pPr>
      <w:r w:rsidRPr="00E128B3">
        <w:rPr>
          <w:lang w:val="en-GB" w:bidi="en-GB"/>
        </w:rPr>
        <w:t>The audit examined whether the Czech Republic had met the target for 2015. The SAO audit found that the Average Exposure Indicator for PM</w:t>
      </w:r>
      <w:r w:rsidRPr="00E128B3">
        <w:rPr>
          <w:vertAlign w:val="subscript"/>
          <w:lang w:val="en-GB" w:bidi="en-GB"/>
        </w:rPr>
        <w:t>2.5</w:t>
      </w:r>
      <w:r w:rsidRPr="00E128B3">
        <w:rPr>
          <w:lang w:val="en-GB" w:bidi="en-GB"/>
        </w:rPr>
        <w:t xml:space="preserve"> had not been reported for the Czech Republic for 2015</w:t>
      </w:r>
      <w:r w:rsidRPr="00E128B3">
        <w:rPr>
          <w:rStyle w:val="Znakapoznpodarou"/>
          <w:lang w:val="en-GB" w:bidi="en-GB"/>
        </w:rPr>
        <w:footnoteReference w:id="32"/>
      </w:r>
      <w:r w:rsidRPr="00E128B3">
        <w:rPr>
          <w:lang w:val="en-GB" w:bidi="en-GB"/>
        </w:rPr>
        <w:t>. The MoE presented its own evaluation of the PM</w:t>
      </w:r>
      <w:r w:rsidRPr="00E128B3">
        <w:rPr>
          <w:vertAlign w:val="subscript"/>
          <w:lang w:val="en-GB" w:bidi="en-GB"/>
        </w:rPr>
        <w:t>2.5</w:t>
      </w:r>
      <w:r w:rsidRPr="00E128B3">
        <w:rPr>
          <w:lang w:val="en-GB" w:bidi="en-GB"/>
        </w:rPr>
        <w:t xml:space="preserve"> Average Exposure Indicator for 2015, in which the indicator had been calculated using also the urban areas with a population of under 100 thousand and, in fact, using all the urban background stations where PM</w:t>
      </w:r>
      <w:r w:rsidRPr="00E128B3">
        <w:rPr>
          <w:vertAlign w:val="subscript"/>
          <w:lang w:val="en-GB" w:bidi="en-GB"/>
        </w:rPr>
        <w:t>2.5</w:t>
      </w:r>
      <w:r w:rsidRPr="00E128B3">
        <w:rPr>
          <w:lang w:val="en-GB" w:bidi="en-GB"/>
        </w:rPr>
        <w:t xml:space="preserve"> concentration had been measured between 2013 and 2015. The following table shows the comparison of the two Average Exposure Indicator calculation methods.</w:t>
      </w:r>
    </w:p>
    <w:p w14:paraId="5A0479CD" w14:textId="471D7198" w:rsidR="00395345" w:rsidRPr="00E128B3" w:rsidRDefault="00395345" w:rsidP="007C4167">
      <w:pPr>
        <w:pStyle w:val="Text"/>
        <w:keepNext/>
        <w:tabs>
          <w:tab w:val="right" w:pos="9072"/>
        </w:tabs>
        <w:spacing w:after="40"/>
        <w:rPr>
          <w:rFonts w:eastAsia="Calibri" w:cs="Calibri"/>
          <w:b/>
          <w:i/>
          <w:lang w:val="en-GB"/>
        </w:rPr>
      </w:pPr>
      <w:r w:rsidRPr="00E128B3">
        <w:rPr>
          <w:b/>
          <w:lang w:val="en-GB" w:bidi="en-GB"/>
        </w:rPr>
        <w:t xml:space="preserve">Table </w:t>
      </w:r>
      <w:r w:rsidR="00A36661" w:rsidRPr="00E128B3">
        <w:rPr>
          <w:b/>
          <w:lang w:val="en-GB" w:bidi="en-GB"/>
        </w:rPr>
        <w:fldChar w:fldCharType="begin"/>
      </w:r>
      <w:r w:rsidR="00A36661" w:rsidRPr="00E128B3">
        <w:rPr>
          <w:b/>
          <w:lang w:val="en-GB" w:bidi="en-GB"/>
        </w:rPr>
        <w:instrText xml:space="preserve"> SEQ Tabulka_č. \* ARABIC </w:instrText>
      </w:r>
      <w:r w:rsidR="00A36661" w:rsidRPr="00E128B3">
        <w:rPr>
          <w:b/>
          <w:lang w:val="en-GB" w:bidi="en-GB"/>
        </w:rPr>
        <w:fldChar w:fldCharType="separate"/>
      </w:r>
      <w:r w:rsidR="00136D57">
        <w:rPr>
          <w:b/>
          <w:noProof/>
          <w:lang w:val="en-GB" w:bidi="en-GB"/>
        </w:rPr>
        <w:t>4</w:t>
      </w:r>
      <w:r w:rsidR="00A36661" w:rsidRPr="00E128B3">
        <w:rPr>
          <w:b/>
          <w:noProof/>
          <w:lang w:val="en-GB" w:bidi="en-GB"/>
        </w:rPr>
        <w:fldChar w:fldCharType="end"/>
      </w:r>
      <w:r w:rsidRPr="00E128B3">
        <w:rPr>
          <w:b/>
          <w:lang w:val="en-GB" w:bidi="en-GB"/>
        </w:rPr>
        <w:t xml:space="preserve">: Comparison </w:t>
      </w:r>
      <w:r w:rsidRPr="00E128B3">
        <w:rPr>
          <w:rFonts w:eastAsia="Calibri"/>
          <w:b/>
          <w:lang w:val="en-GB" w:bidi="en-GB"/>
        </w:rPr>
        <w:t>of the PM</w:t>
      </w:r>
      <w:r w:rsidRPr="00E128B3">
        <w:rPr>
          <w:rFonts w:eastAsia="Calibri"/>
          <w:b/>
          <w:vertAlign w:val="subscript"/>
          <w:lang w:val="en-GB" w:bidi="en-GB"/>
        </w:rPr>
        <w:t>2.5</w:t>
      </w:r>
      <w:r w:rsidRPr="00E128B3">
        <w:rPr>
          <w:rFonts w:eastAsia="Calibri"/>
          <w:b/>
          <w:lang w:val="en-GB" w:bidi="en-GB"/>
        </w:rPr>
        <w:t xml:space="preserve"> Average Exposure Indicator </w:t>
      </w:r>
      <w:r w:rsidRPr="00E128B3">
        <w:rPr>
          <w:b/>
          <w:lang w:val="en-GB" w:bidi="en-GB"/>
        </w:rPr>
        <w:t>calculation methods</w:t>
      </w:r>
      <w:r w:rsidRPr="00E128B3">
        <w:rPr>
          <w:rFonts w:eastAsia="Calibri"/>
          <w:b/>
          <w:lang w:val="en-GB" w:bidi="en-GB"/>
        </w:rPr>
        <w:tab/>
        <w:t>(µg/m</w:t>
      </w:r>
      <w:r w:rsidRPr="00E128B3">
        <w:rPr>
          <w:rFonts w:eastAsia="Calibri"/>
          <w:b/>
          <w:vertAlign w:val="superscript"/>
          <w:lang w:val="en-GB" w:bidi="en-GB"/>
        </w:rPr>
        <w:t>3</w:t>
      </w:r>
      <w:r w:rsidRPr="00E128B3">
        <w:rPr>
          <w:rFonts w:eastAsia="Calibri"/>
          <w:b/>
          <w:lang w:val="en-GB" w:bidi="en-GB"/>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25"/>
        <w:gridCol w:w="2882"/>
        <w:gridCol w:w="2882"/>
        <w:gridCol w:w="1729"/>
      </w:tblGrid>
      <w:tr w:rsidR="00B9337F" w:rsidRPr="00E128B3" w14:paraId="0414F88D" w14:textId="77777777" w:rsidTr="00395345">
        <w:trPr>
          <w:trHeight w:val="147"/>
        </w:trPr>
        <w:tc>
          <w:tcPr>
            <w:tcW w:w="936" w:type="pct"/>
            <w:shd w:val="clear" w:color="auto" w:fill="E5F1FF"/>
            <w:vAlign w:val="center"/>
            <w:hideMark/>
          </w:tcPr>
          <w:p w14:paraId="78C198B1" w14:textId="2CE3DFA2" w:rsidR="00395345" w:rsidRPr="00E128B3" w:rsidRDefault="00395345" w:rsidP="00FB356D">
            <w:pPr>
              <w:keepNext/>
              <w:jc w:val="center"/>
              <w:rPr>
                <w:rFonts w:ascii="Calibri" w:hAnsi="Calibri" w:cs="Calibri"/>
                <w:b/>
                <w:bCs/>
                <w:color w:val="000000"/>
                <w:sz w:val="20"/>
                <w:szCs w:val="20"/>
                <w:lang w:val="en-GB" w:eastAsia="cs-CZ"/>
              </w:rPr>
            </w:pPr>
            <w:r w:rsidRPr="00E128B3">
              <w:rPr>
                <w:rFonts w:ascii="Calibri" w:eastAsia="Calibri" w:hAnsi="Calibri" w:cs="Calibri"/>
                <w:b/>
                <w:color w:val="000000"/>
                <w:sz w:val="20"/>
                <w:szCs w:val="20"/>
                <w:lang w:val="en-GB" w:bidi="en-GB"/>
              </w:rPr>
              <w:t>Exposure Indicator for PM</w:t>
            </w:r>
            <w:r w:rsidRPr="00E128B3">
              <w:rPr>
                <w:rFonts w:ascii="Calibri" w:eastAsia="Calibri" w:hAnsi="Calibri" w:cs="Calibri"/>
                <w:b/>
                <w:color w:val="000000"/>
                <w:sz w:val="20"/>
                <w:szCs w:val="20"/>
                <w:vertAlign w:val="subscript"/>
                <w:lang w:val="en-GB" w:bidi="en-GB"/>
              </w:rPr>
              <w:t>2.5</w:t>
            </w:r>
          </w:p>
        </w:tc>
        <w:tc>
          <w:tcPr>
            <w:tcW w:w="1563" w:type="pct"/>
            <w:shd w:val="clear" w:color="auto" w:fill="E5F1FF"/>
            <w:noWrap/>
            <w:vAlign w:val="center"/>
            <w:hideMark/>
          </w:tcPr>
          <w:p w14:paraId="360BBBBB" w14:textId="0202AFFB" w:rsidR="00395345" w:rsidRPr="00E128B3" w:rsidRDefault="00395345" w:rsidP="007C4167">
            <w:pPr>
              <w:keepNext/>
              <w:jc w:val="center"/>
              <w:rPr>
                <w:rFonts w:ascii="Calibri" w:hAnsi="Calibri" w:cs="Calibri"/>
                <w:b/>
                <w:bCs/>
                <w:color w:val="000000"/>
                <w:sz w:val="20"/>
                <w:szCs w:val="20"/>
                <w:lang w:val="en-GB" w:eastAsia="cs-CZ"/>
              </w:rPr>
            </w:pPr>
            <w:r w:rsidRPr="00E128B3">
              <w:rPr>
                <w:rFonts w:ascii="Calibri" w:eastAsia="Calibri" w:hAnsi="Calibri" w:cs="Calibri"/>
                <w:b/>
                <w:color w:val="000000"/>
                <w:sz w:val="20"/>
                <w:szCs w:val="20"/>
                <w:lang w:val="en-GB" w:bidi="en-GB"/>
              </w:rPr>
              <w:t>All urban</w:t>
            </w:r>
            <w:r w:rsidRPr="00E128B3">
              <w:rPr>
                <w:rFonts w:ascii="Calibri" w:eastAsia="Calibri" w:hAnsi="Calibri" w:cs="Calibri"/>
                <w:b/>
                <w:color w:val="000000"/>
                <w:sz w:val="20"/>
                <w:szCs w:val="20"/>
                <w:lang w:val="en-GB" w:bidi="en-GB"/>
              </w:rPr>
              <w:br/>
              <w:t>background stations*</w:t>
            </w:r>
          </w:p>
        </w:tc>
        <w:tc>
          <w:tcPr>
            <w:tcW w:w="1563" w:type="pct"/>
            <w:shd w:val="clear" w:color="auto" w:fill="E5F1FF"/>
            <w:noWrap/>
            <w:vAlign w:val="center"/>
            <w:hideMark/>
          </w:tcPr>
          <w:p w14:paraId="7B2DD177" w14:textId="3C25D114" w:rsidR="00395345" w:rsidRPr="00E128B3" w:rsidRDefault="00395345" w:rsidP="007C4167">
            <w:pPr>
              <w:keepNext/>
              <w:jc w:val="center"/>
              <w:rPr>
                <w:rFonts w:ascii="Calibri" w:hAnsi="Calibri" w:cs="Calibri"/>
                <w:b/>
                <w:bCs/>
                <w:color w:val="000000"/>
                <w:sz w:val="20"/>
                <w:szCs w:val="20"/>
                <w:lang w:val="en-GB" w:eastAsia="cs-CZ"/>
              </w:rPr>
            </w:pPr>
            <w:r w:rsidRPr="00E128B3">
              <w:rPr>
                <w:rFonts w:ascii="Calibri" w:eastAsia="Calibri" w:hAnsi="Calibri" w:cs="Calibri"/>
                <w:b/>
                <w:color w:val="000000"/>
                <w:sz w:val="20"/>
                <w:szCs w:val="20"/>
                <w:lang w:val="en-GB" w:bidi="en-GB"/>
              </w:rPr>
              <w:t>Urban background stations:</w:t>
            </w:r>
            <w:r w:rsidRPr="00E128B3">
              <w:rPr>
                <w:rFonts w:ascii="Calibri" w:eastAsia="Calibri" w:hAnsi="Calibri" w:cs="Calibri"/>
                <w:b/>
                <w:color w:val="000000"/>
                <w:sz w:val="20"/>
                <w:szCs w:val="20"/>
                <w:lang w:val="en-GB" w:bidi="en-GB"/>
              </w:rPr>
              <w:br/>
              <w:t>cities with population &gt; 100 thousand**</w:t>
            </w:r>
          </w:p>
        </w:tc>
        <w:tc>
          <w:tcPr>
            <w:tcW w:w="938" w:type="pct"/>
            <w:shd w:val="clear" w:color="auto" w:fill="E5F1FF"/>
            <w:vAlign w:val="center"/>
            <w:hideMark/>
          </w:tcPr>
          <w:p w14:paraId="27C9CEF3" w14:textId="77777777" w:rsidR="00395345" w:rsidRPr="00E128B3" w:rsidRDefault="00395345" w:rsidP="00FB356D">
            <w:pPr>
              <w:keepNext/>
              <w:jc w:val="center"/>
              <w:rPr>
                <w:rFonts w:ascii="Calibri" w:hAnsi="Calibri" w:cs="Calibri"/>
                <w:b/>
                <w:bCs/>
                <w:color w:val="000000"/>
                <w:sz w:val="20"/>
                <w:szCs w:val="20"/>
                <w:lang w:val="en-GB" w:eastAsia="cs-CZ"/>
              </w:rPr>
            </w:pPr>
            <w:r w:rsidRPr="00E128B3">
              <w:rPr>
                <w:rFonts w:ascii="Calibri" w:eastAsia="Calibri" w:hAnsi="Calibri" w:cs="Calibri"/>
                <w:b/>
                <w:color w:val="000000"/>
                <w:sz w:val="20"/>
                <w:szCs w:val="20"/>
                <w:lang w:val="en-GB" w:bidi="en-GB"/>
              </w:rPr>
              <w:t>Target</w:t>
            </w:r>
          </w:p>
        </w:tc>
      </w:tr>
      <w:tr w:rsidR="00B9337F" w:rsidRPr="00E128B3" w14:paraId="4F8214B1" w14:textId="77777777" w:rsidTr="00395345">
        <w:trPr>
          <w:trHeight w:val="255"/>
        </w:trPr>
        <w:tc>
          <w:tcPr>
            <w:tcW w:w="936" w:type="pct"/>
            <w:shd w:val="clear" w:color="auto" w:fill="auto"/>
            <w:noWrap/>
            <w:vAlign w:val="center"/>
            <w:hideMark/>
          </w:tcPr>
          <w:p w14:paraId="338FFC82" w14:textId="77777777" w:rsidR="00395345" w:rsidRPr="00E128B3" w:rsidRDefault="00395345" w:rsidP="00FB356D">
            <w:pPr>
              <w:keepNext/>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2015</w:t>
            </w:r>
          </w:p>
        </w:tc>
        <w:tc>
          <w:tcPr>
            <w:tcW w:w="1563" w:type="pct"/>
            <w:shd w:val="clear" w:color="auto" w:fill="C5E0B3"/>
            <w:noWrap/>
            <w:vAlign w:val="center"/>
            <w:hideMark/>
          </w:tcPr>
          <w:p w14:paraId="35D6E56A" w14:textId="77777777" w:rsidR="00395345" w:rsidRPr="00E128B3" w:rsidRDefault="00395345" w:rsidP="00FB356D">
            <w:pPr>
              <w:keepNext/>
              <w:jc w:val="center"/>
              <w:rPr>
                <w:rFonts w:ascii="Calibri" w:hAnsi="Calibri" w:cs="Calibri"/>
                <w:b/>
                <w:color w:val="006100"/>
                <w:sz w:val="20"/>
                <w:szCs w:val="20"/>
                <w:lang w:val="en-GB" w:eastAsia="cs-CZ"/>
              </w:rPr>
            </w:pPr>
            <w:r w:rsidRPr="00E128B3">
              <w:rPr>
                <w:rFonts w:ascii="Calibri" w:eastAsia="Calibri" w:hAnsi="Calibri" w:cs="Calibri"/>
                <w:b/>
                <w:color w:val="006100"/>
                <w:sz w:val="20"/>
                <w:szCs w:val="20"/>
                <w:lang w:val="en-GB" w:bidi="en-GB"/>
              </w:rPr>
              <w:t>19.64</w:t>
            </w:r>
          </w:p>
        </w:tc>
        <w:tc>
          <w:tcPr>
            <w:tcW w:w="1563" w:type="pct"/>
            <w:shd w:val="clear" w:color="auto" w:fill="F59FB1"/>
            <w:noWrap/>
            <w:vAlign w:val="center"/>
            <w:hideMark/>
          </w:tcPr>
          <w:p w14:paraId="102BD35A" w14:textId="77777777" w:rsidR="00395345" w:rsidRPr="00E128B3" w:rsidRDefault="00395345" w:rsidP="00FB356D">
            <w:pPr>
              <w:keepNext/>
              <w:jc w:val="center"/>
              <w:rPr>
                <w:rFonts w:ascii="Calibri" w:hAnsi="Calibri" w:cs="Calibri"/>
                <w:b/>
                <w:color w:val="9C0006"/>
                <w:sz w:val="20"/>
                <w:szCs w:val="20"/>
                <w:lang w:val="en-GB" w:eastAsia="cs-CZ"/>
              </w:rPr>
            </w:pPr>
            <w:r w:rsidRPr="00E128B3">
              <w:rPr>
                <w:rFonts w:ascii="Calibri" w:eastAsia="Calibri" w:hAnsi="Calibri" w:cs="Calibri"/>
                <w:b/>
                <w:color w:val="9C0006"/>
                <w:sz w:val="20"/>
                <w:szCs w:val="20"/>
                <w:lang w:val="en-GB" w:bidi="en-GB"/>
              </w:rPr>
              <w:t>20.14</w:t>
            </w:r>
          </w:p>
        </w:tc>
        <w:tc>
          <w:tcPr>
            <w:tcW w:w="938" w:type="pct"/>
            <w:shd w:val="clear" w:color="auto" w:fill="auto"/>
            <w:noWrap/>
            <w:vAlign w:val="center"/>
            <w:hideMark/>
          </w:tcPr>
          <w:p w14:paraId="7C57CDE0" w14:textId="77777777" w:rsidR="00395345" w:rsidRPr="00E128B3" w:rsidRDefault="00395345" w:rsidP="00FB356D">
            <w:pPr>
              <w:keepNext/>
              <w:jc w:val="center"/>
              <w:rPr>
                <w:rFonts w:ascii="Calibri" w:hAnsi="Calibri" w:cs="Calibri"/>
                <w:b/>
                <w:bCs/>
                <w:color w:val="000000"/>
                <w:sz w:val="20"/>
                <w:szCs w:val="20"/>
                <w:lang w:val="en-GB" w:eastAsia="cs-CZ"/>
              </w:rPr>
            </w:pPr>
            <w:r w:rsidRPr="00E128B3">
              <w:rPr>
                <w:rFonts w:ascii="Calibri" w:eastAsia="Calibri" w:hAnsi="Calibri" w:cs="Calibri"/>
                <w:b/>
                <w:color w:val="000000"/>
                <w:sz w:val="20"/>
                <w:szCs w:val="20"/>
                <w:lang w:val="en-GB" w:bidi="en-GB"/>
              </w:rPr>
              <w:t>20</w:t>
            </w:r>
          </w:p>
        </w:tc>
      </w:tr>
    </w:tbl>
    <w:p w14:paraId="4C60B021" w14:textId="7BFCB3F0" w:rsidR="00395345" w:rsidRPr="00E128B3" w:rsidRDefault="00395345" w:rsidP="00FB356D">
      <w:pPr>
        <w:pStyle w:val="Zdrojapozn"/>
        <w:keepNext/>
        <w:spacing w:before="40"/>
        <w:rPr>
          <w:rFonts w:eastAsia="Calibri"/>
          <w:lang w:val="en-GB"/>
        </w:rPr>
      </w:pPr>
      <w:r w:rsidRPr="00E128B3">
        <w:rPr>
          <w:rFonts w:eastAsia="Calibri"/>
          <w:b/>
          <w:lang w:val="en-GB" w:bidi="en-GB"/>
        </w:rPr>
        <w:t>Source:</w:t>
      </w:r>
      <w:r w:rsidRPr="00E128B3">
        <w:rPr>
          <w:rFonts w:eastAsia="Calibri"/>
          <w:lang w:val="en-GB" w:bidi="en-GB"/>
        </w:rPr>
        <w:t xml:space="preserve"> Data provided by MoE and CHMI; processed internally.</w:t>
      </w:r>
      <w:r w:rsidR="00E128B3" w:rsidRPr="00E128B3">
        <w:rPr>
          <w:rFonts w:eastAsia="Calibri"/>
          <w:lang w:val="en-GB" w:bidi="en-GB"/>
        </w:rPr>
        <w:t xml:space="preserve"> </w:t>
      </w:r>
    </w:p>
    <w:p w14:paraId="3DC22FA5" w14:textId="57CF6C45" w:rsidR="00395345" w:rsidRPr="00E128B3" w:rsidRDefault="007C4167" w:rsidP="00C90478">
      <w:pPr>
        <w:pStyle w:val="Zdrojapozn"/>
        <w:keepNext/>
        <w:ind w:left="284" w:hanging="284"/>
        <w:rPr>
          <w:rFonts w:eastAsia="Calibri"/>
          <w:lang w:val="en-GB"/>
        </w:rPr>
      </w:pPr>
      <w:r w:rsidRPr="00E128B3">
        <w:rPr>
          <w:rFonts w:eastAsia="Calibri"/>
          <w:lang w:val="en-GB" w:bidi="en-GB"/>
        </w:rPr>
        <w:t xml:space="preserve">* </w:t>
      </w:r>
      <w:r w:rsidRPr="00E128B3">
        <w:rPr>
          <w:rFonts w:eastAsia="Calibri"/>
          <w:lang w:val="en-GB" w:bidi="en-GB"/>
        </w:rPr>
        <w:tab/>
        <w:t>“All urban background stations” – includes all the urban background stations where concentrations of the PM</w:t>
      </w:r>
      <w:r w:rsidRPr="00E128B3">
        <w:rPr>
          <w:rFonts w:eastAsia="Calibri"/>
          <w:vertAlign w:val="subscript"/>
          <w:lang w:val="en-GB" w:bidi="en-GB"/>
        </w:rPr>
        <w:t xml:space="preserve">2.5 </w:t>
      </w:r>
      <w:r w:rsidRPr="00E128B3">
        <w:rPr>
          <w:rFonts w:eastAsia="Calibri"/>
          <w:lang w:val="en-GB" w:bidi="en-GB"/>
        </w:rPr>
        <w:t>fraction of suspended particulate matter were measured in the given years.</w:t>
      </w:r>
    </w:p>
    <w:p w14:paraId="5DAAB0BF" w14:textId="2C42A187" w:rsidR="00395345" w:rsidRPr="00E128B3" w:rsidRDefault="007C4167" w:rsidP="00C90478">
      <w:pPr>
        <w:pStyle w:val="Zdrojapozn"/>
        <w:ind w:left="284" w:hanging="284"/>
        <w:rPr>
          <w:lang w:val="en-GB"/>
        </w:rPr>
      </w:pPr>
      <w:r w:rsidRPr="00E128B3">
        <w:rPr>
          <w:rFonts w:eastAsia="Calibri"/>
          <w:lang w:val="en-GB" w:bidi="en-GB"/>
        </w:rPr>
        <w:t xml:space="preserve">** </w:t>
      </w:r>
      <w:r w:rsidRPr="00E128B3">
        <w:rPr>
          <w:rFonts w:eastAsia="Calibri"/>
          <w:lang w:val="en-GB" w:bidi="en-GB"/>
        </w:rPr>
        <w:tab/>
        <w:t>“Urban background stations: cities with population &gt; 100 thousand” includes the values from all the urban background stations where concentrations of the PM</w:t>
      </w:r>
      <w:r w:rsidRPr="00E128B3">
        <w:rPr>
          <w:rFonts w:eastAsia="Calibri"/>
          <w:vertAlign w:val="subscript"/>
          <w:lang w:val="en-GB" w:bidi="en-GB"/>
        </w:rPr>
        <w:t xml:space="preserve">2.5 </w:t>
      </w:r>
      <w:r w:rsidRPr="00E128B3">
        <w:rPr>
          <w:rFonts w:eastAsia="Calibri"/>
          <w:lang w:val="en-GB" w:bidi="en-GB"/>
        </w:rPr>
        <w:t>fraction of suspended particulate matter were measured in the given years only from cities with a population of over 100 thousand (Prague, Brno, Ostrava, Pilsen, Liberec).</w:t>
      </w:r>
    </w:p>
    <w:p w14:paraId="784B6720" w14:textId="07AAA9AD" w:rsidR="00395345" w:rsidRPr="00E128B3" w:rsidRDefault="00395345" w:rsidP="00FB356D">
      <w:pPr>
        <w:pStyle w:val="TextKP"/>
        <w:spacing w:after="120" w:line="264" w:lineRule="auto"/>
        <w:rPr>
          <w:lang w:val="en-GB"/>
        </w:rPr>
      </w:pPr>
      <w:r w:rsidRPr="00E128B3">
        <w:rPr>
          <w:lang w:val="en-GB" w:bidi="en-GB"/>
        </w:rPr>
        <w:t>The selected methodology thus affects the resulting value of the Average Exposure Indicator for PM</w:t>
      </w:r>
      <w:r w:rsidRPr="00E128B3">
        <w:rPr>
          <w:vertAlign w:val="subscript"/>
          <w:lang w:val="en-GB" w:bidi="en-GB"/>
        </w:rPr>
        <w:t>2.5</w:t>
      </w:r>
      <w:r w:rsidRPr="00E128B3">
        <w:rPr>
          <w:lang w:val="en-GB" w:bidi="en-GB"/>
        </w:rPr>
        <w:t xml:space="preserve"> for the Czech Republic in the individual years, including the target year 2015. If the construction of the indicator included only cities with a population of over 100 thousand, the Czech Republic would not have to meet the exposure concentration obligation set by Section C of Annex XIV to Directive 2008/50/EC. However, it will only be possible to say whether or not the Czech Republic met this target after the European Commission evaluates compliance with the requirements of Directive 2008/50/EC by the Member States.</w:t>
      </w:r>
    </w:p>
    <w:p w14:paraId="7FC02B5C" w14:textId="30335A89" w:rsidR="00395345" w:rsidRPr="00E128B3" w:rsidRDefault="00443953" w:rsidP="00FB356D">
      <w:pPr>
        <w:pStyle w:val="TextKP"/>
        <w:spacing w:after="120" w:line="264" w:lineRule="auto"/>
        <w:rPr>
          <w:lang w:val="en-GB"/>
        </w:rPr>
      </w:pPr>
      <w:r w:rsidRPr="00E128B3">
        <w:rPr>
          <w:lang w:val="en-GB" w:bidi="en-GB"/>
        </w:rPr>
        <w:t>The selected methodology both affects the fulfilment of the target value and changes the interpretation of the indicator. In its original design, the indicator takes into account the exposure of the population to the PM</w:t>
      </w:r>
      <w:r w:rsidRPr="00E128B3">
        <w:rPr>
          <w:vertAlign w:val="subscript"/>
          <w:lang w:val="en-GB" w:bidi="en-GB"/>
        </w:rPr>
        <w:t>2.5</w:t>
      </w:r>
      <w:r w:rsidRPr="00E128B3">
        <w:rPr>
          <w:lang w:val="en-GB" w:bidi="en-GB"/>
        </w:rPr>
        <w:t xml:space="preserve"> fraction of particulate matter in densely populated areas, where the concentration of multiple pollution sources can be expected. In the other case, the aspect of covering the entire territory of the Member State prevails, without defining the minimum population of the urban area, which, in the extreme case, may reduce the weight of areas with higher PM</w:t>
      </w:r>
      <w:r w:rsidRPr="00E128B3">
        <w:rPr>
          <w:vertAlign w:val="subscript"/>
          <w:lang w:val="en-GB" w:bidi="en-GB"/>
        </w:rPr>
        <w:t>2.5</w:t>
      </w:r>
      <w:r w:rsidRPr="00E128B3">
        <w:rPr>
          <w:lang w:val="en-GB" w:bidi="en-GB"/>
        </w:rPr>
        <w:t xml:space="preserve"> exposure values in the indicator.</w:t>
      </w:r>
    </w:p>
    <w:p w14:paraId="0A4C68A1" w14:textId="3D2500CD" w:rsidR="00395345" w:rsidRPr="00E128B3" w:rsidRDefault="00395345" w:rsidP="00FB356D">
      <w:pPr>
        <w:pStyle w:val="Text"/>
        <w:spacing w:after="120" w:line="264" w:lineRule="auto"/>
        <w:rPr>
          <w:lang w:val="en-GB"/>
        </w:rPr>
      </w:pPr>
      <w:r w:rsidRPr="00E128B3">
        <w:rPr>
          <w:lang w:val="en-GB" w:bidi="en-GB"/>
        </w:rPr>
        <w:t>Only an opinion of an EEA representative, obtained in the course of the audit, is currently available. The opinion leans towards selecting locations in agglomerations or urban areas with a population of over 100 thousand. Before changing the construction of the indicator, the MoE had not prepared an analysis or opinion regarding the interpretation of Directive 2008/50/EC.</w:t>
      </w:r>
    </w:p>
    <w:p w14:paraId="305693E0" w14:textId="77777777" w:rsidR="00395345" w:rsidRPr="00E128B3" w:rsidRDefault="00395345" w:rsidP="00FB356D">
      <w:pPr>
        <w:pStyle w:val="Nadpis3"/>
        <w:numPr>
          <w:ilvl w:val="0"/>
          <w:numId w:val="46"/>
        </w:numPr>
        <w:spacing w:line="264" w:lineRule="auto"/>
        <w:ind w:left="284" w:hanging="284"/>
        <w:rPr>
          <w:lang w:val="en-GB"/>
        </w:rPr>
      </w:pPr>
      <w:r w:rsidRPr="00E128B3">
        <w:rPr>
          <w:lang w:val="en-GB" w:bidi="en-GB"/>
        </w:rPr>
        <w:t>The CHMI has no current policy for the establishment and location of the monitoring stations</w:t>
      </w:r>
    </w:p>
    <w:p w14:paraId="0473B260" w14:textId="4F9C99CE" w:rsidR="00395345" w:rsidRPr="00E128B3" w:rsidRDefault="00395345" w:rsidP="00FB356D">
      <w:pPr>
        <w:pStyle w:val="Text"/>
        <w:spacing w:after="120" w:line="264" w:lineRule="auto"/>
        <w:rPr>
          <w:lang w:val="en-GB"/>
        </w:rPr>
      </w:pPr>
      <w:r w:rsidRPr="00E128B3">
        <w:rPr>
          <w:lang w:val="en-GB" w:bidi="en-GB"/>
        </w:rPr>
        <w:t>The state network for air pollution monitoring includes both automated and manual air pollution monitoring. The establishment and distribution of the monitoring stations is governed by Decree No. 330/2012 Coll</w:t>
      </w:r>
      <w:r w:rsidR="00E43BA3" w:rsidRPr="00E128B3">
        <w:rPr>
          <w:rStyle w:val="Znakapoznpodarou"/>
          <w:lang w:val="en-GB" w:bidi="en-GB"/>
        </w:rPr>
        <w:footnoteReference w:id="33"/>
      </w:r>
      <w:r w:rsidRPr="00E128B3">
        <w:rPr>
          <w:lang w:val="en-GB" w:bidi="en-GB"/>
        </w:rPr>
        <w:t>. The results of the assessment and evaluation of the pollution levels are kept by the CHMI in the air quality information system (“AQIS”). The monitoring network operated by the CHMI consists of the backbone network of monitoring stations aided by monitoring stations which are owned or operated by other organisations and which must meet the data quality requirements specified for the AQIS. According to MoE Measure No. 17/17</w:t>
      </w:r>
      <w:r w:rsidR="00C57EA6" w:rsidRPr="00E128B3">
        <w:rPr>
          <w:rStyle w:val="Znakapoznpodarou"/>
          <w:lang w:val="en-GB" w:bidi="en-GB"/>
        </w:rPr>
        <w:footnoteReference w:id="34"/>
      </w:r>
      <w:r w:rsidRPr="00E128B3">
        <w:rPr>
          <w:lang w:val="en-GB" w:bidi="en-GB"/>
        </w:rPr>
        <w:t xml:space="preserve"> and Decree No. 330/2012 Coll., the CHMI should have a policy in place regarding the distribution of the monitoring stations.</w:t>
      </w:r>
    </w:p>
    <w:p w14:paraId="658EB09D" w14:textId="5849EB70" w:rsidR="00395345" w:rsidRPr="00E128B3" w:rsidRDefault="00395345" w:rsidP="00FB356D">
      <w:pPr>
        <w:pStyle w:val="Text"/>
        <w:spacing w:after="120" w:line="264" w:lineRule="auto"/>
        <w:rPr>
          <w:lang w:val="en-GB"/>
        </w:rPr>
      </w:pPr>
      <w:r w:rsidRPr="00E128B3">
        <w:rPr>
          <w:lang w:val="en-GB" w:bidi="en-GB"/>
        </w:rPr>
        <w:t>The CHMI currently has no policy in place regarding the establishment and modifications of the state network for air pollution monitoring. While the network does currently meet the requirements for the number of measuring stations in accordance with the European and national legislation, the non-systematic approach to the development of the state network for pollution monitoring brings about the risk of failure to meet the specific programme indicator of the OPE 2014–2020, i.e. reducing the “</w:t>
      </w:r>
      <w:r w:rsidRPr="00E128B3">
        <w:rPr>
          <w:i/>
          <w:lang w:val="en-GB" w:bidi="en-GB"/>
        </w:rPr>
        <w:t>level of uncertainty of spatial interpretation of pollution data</w:t>
      </w:r>
      <w:r w:rsidRPr="00E128B3">
        <w:rPr>
          <w:lang w:val="en-GB" w:bidi="en-GB"/>
        </w:rPr>
        <w:t>” from 35% in 2011 to 30% in 2023.</w:t>
      </w:r>
    </w:p>
    <w:p w14:paraId="2E1A6987" w14:textId="00A96182" w:rsidR="00395345" w:rsidRPr="00E128B3" w:rsidRDefault="00395345" w:rsidP="00FB356D">
      <w:pPr>
        <w:pStyle w:val="Text"/>
        <w:spacing w:after="120" w:line="264" w:lineRule="auto"/>
        <w:rPr>
          <w:lang w:val="en-GB"/>
        </w:rPr>
      </w:pPr>
      <w:r w:rsidRPr="00E128B3">
        <w:rPr>
          <w:lang w:val="en-GB" w:bidi="en-GB"/>
        </w:rPr>
        <w:t xml:space="preserve">The level of uncertainty of the spatial interpretation of the air pollution data is calculated using the arithmetic mean of the spatial interpretation uncertainties calculated by the CHMI separately for the individual pollutants monitored with a view to protecting the health of the population. In the selected calculation method, a higher weight is assigned to pollutants for which the spatial interpretation uncertainty is high (e.g. benzo[a]pyrene; in 2014 to 2016 it was an identical 60%) or extremely high (e.g. cadmium with up to 92% in 2015). </w:t>
      </w:r>
    </w:p>
    <w:p w14:paraId="464F2880" w14:textId="5B5A9573" w:rsidR="00395345" w:rsidRPr="00E128B3" w:rsidRDefault="00395345" w:rsidP="00FB356D">
      <w:pPr>
        <w:pStyle w:val="Text"/>
        <w:spacing w:after="120" w:line="264" w:lineRule="auto"/>
        <w:rPr>
          <w:lang w:val="en-GB"/>
        </w:rPr>
      </w:pPr>
      <w:r w:rsidRPr="00E128B3">
        <w:rPr>
          <w:lang w:val="en-GB" w:bidi="en-GB"/>
        </w:rPr>
        <w:t>Even though the air pollution monitoring network was renewed and complemented between 2011 and 2016, which, to a certain degree, improved the information for spatial interpolation, the territorial coverage by the air pollution monitoring stations remains the lowest for benzo[a]pyrene as one of the priority pollutants, and its interpolation is still subject to the highest degree of uncertainty. In addition, the benzo[a]pyrene content in PM</w:t>
      </w:r>
      <w:r w:rsidRPr="00E128B3">
        <w:rPr>
          <w:vertAlign w:val="subscript"/>
          <w:lang w:val="en-GB" w:bidi="en-GB"/>
        </w:rPr>
        <w:t>10</w:t>
      </w:r>
      <w:r w:rsidRPr="00E128B3">
        <w:rPr>
          <w:lang w:val="en-GB" w:bidi="en-GB"/>
        </w:rPr>
        <w:t xml:space="preserve"> particulate matter needs to be analysed manually in laboratories. From 2014 to 2017 there was no significant extension of the network to include new, in particular, rural stations measuring benzo[a]pyrene. The number of measuring stations owned by the CHMI and providing valid data increase by three, from 22 to 25. The spatial interpretation uncertainty did not improve and was always at 60% from 2014 to 2016 (the indicator value for 2017 has not yet been published by the CHMI).</w:t>
      </w:r>
    </w:p>
    <w:p w14:paraId="65D182C6" w14:textId="43CFE4B9" w:rsidR="00395345" w:rsidRPr="00E128B3" w:rsidRDefault="00395345" w:rsidP="00FB356D">
      <w:pPr>
        <w:pStyle w:val="Text"/>
        <w:spacing w:after="120" w:line="264" w:lineRule="auto"/>
        <w:rPr>
          <w:lang w:val="en-GB"/>
        </w:rPr>
      </w:pPr>
      <w:r w:rsidRPr="00E128B3">
        <w:rPr>
          <w:lang w:val="en-GB" w:bidi="en-GB"/>
        </w:rPr>
        <w:t>The CHMI is not considering a further increase in the number of measuring stations benzo[a]pyrene, which does not comply with the support objective of the NERP (PA3). According to the CHMI, a further increase in the number</w:t>
      </w:r>
      <w:r w:rsidR="00A802B1">
        <w:rPr>
          <w:lang w:val="en-GB" w:bidi="en-GB"/>
        </w:rPr>
        <w:t xml:space="preserve"> of</w:t>
      </w:r>
      <w:r w:rsidRPr="00E128B3">
        <w:rPr>
          <w:lang w:val="en-GB" w:bidi="en-GB"/>
        </w:rPr>
        <w:t xml:space="preserve"> stations may only occur after 2020 after the capacity of the laboratories increase in terms of manual analyses. These findings confirm the need for a long-term policy, which is not available at present.</w:t>
      </w:r>
    </w:p>
    <w:p w14:paraId="3192E2B0" w14:textId="77777777" w:rsidR="00395345" w:rsidRPr="00E128B3" w:rsidRDefault="00395345" w:rsidP="00FB356D">
      <w:pPr>
        <w:pStyle w:val="Nadpis3"/>
        <w:numPr>
          <w:ilvl w:val="0"/>
          <w:numId w:val="46"/>
        </w:numPr>
        <w:spacing w:line="264" w:lineRule="auto"/>
        <w:ind w:left="284" w:hanging="284"/>
        <w:rPr>
          <w:lang w:val="en-GB"/>
        </w:rPr>
      </w:pPr>
      <w:r w:rsidRPr="00E128B3">
        <w:rPr>
          <w:lang w:val="en-GB" w:bidi="en-GB"/>
        </w:rPr>
        <w:t>The SEF does not monitor and evaluate the economy, efficiency and effectiveness of the funds used from the NPE for supporting air quality improvements</w:t>
      </w:r>
    </w:p>
    <w:p w14:paraId="6B0F3DF8" w14:textId="77777777" w:rsidR="00395345" w:rsidRPr="00E128B3" w:rsidRDefault="00395345" w:rsidP="00FB356D">
      <w:pPr>
        <w:pStyle w:val="Text"/>
        <w:spacing w:after="120" w:line="264" w:lineRule="auto"/>
        <w:rPr>
          <w:lang w:val="en-GB"/>
        </w:rPr>
      </w:pPr>
      <w:r w:rsidRPr="00E128B3">
        <w:rPr>
          <w:lang w:val="en-GB" w:bidi="en-GB"/>
        </w:rPr>
        <w:t xml:space="preserve">In the basic documents of the NPE, the SEF, in cooperation with the MoE, failed to specify the quantifiable and measurable objectives of the </w:t>
      </w:r>
      <w:r w:rsidRPr="00E128B3">
        <w:rPr>
          <w:i/>
          <w:lang w:val="en-GB" w:bidi="en-GB"/>
        </w:rPr>
        <w:t>National Programme Environment</w:t>
      </w:r>
      <w:r w:rsidRPr="00E128B3">
        <w:rPr>
          <w:lang w:val="en-GB" w:bidi="en-GB"/>
        </w:rPr>
        <w:t xml:space="preserve">, which would be the basic prerequisite for the evaluation of the projects implemented and of the </w:t>
      </w:r>
      <w:r w:rsidRPr="00E128B3">
        <w:rPr>
          <w:i/>
          <w:lang w:val="en-GB" w:bidi="en-GB"/>
        </w:rPr>
        <w:t xml:space="preserve">National Programme Environment </w:t>
      </w:r>
      <w:r w:rsidRPr="00E128B3">
        <w:rPr>
          <w:lang w:val="en-GB" w:bidi="en-GB"/>
        </w:rPr>
        <w:t>as a whole. Programme objectives must be defined clearly; they should rely on measurable indicators, showing the initial figure and the realistically expected target so as to enable the evaluation of the contributions of the NPE.</w:t>
      </w:r>
    </w:p>
    <w:p w14:paraId="42C95099" w14:textId="41D59E1F" w:rsidR="00395345" w:rsidRPr="00E128B3" w:rsidRDefault="00395345" w:rsidP="00FB356D">
      <w:pPr>
        <w:pStyle w:val="Text"/>
        <w:spacing w:after="120" w:line="264" w:lineRule="auto"/>
        <w:rPr>
          <w:lang w:val="en-GB"/>
        </w:rPr>
      </w:pPr>
      <w:r w:rsidRPr="00E128B3">
        <w:rPr>
          <w:lang w:val="en-GB" w:bidi="en-GB"/>
        </w:rPr>
        <w:t xml:space="preserve">The SEF failed to proceed in accordance with Article 2(8) of MoE Directive 4/2015, on the provision of financial resources from the State Environmental Fund of the Czech Republic through the </w:t>
      </w:r>
      <w:r w:rsidRPr="00E128B3">
        <w:rPr>
          <w:i/>
          <w:lang w:val="en-GB" w:bidi="en-GB"/>
        </w:rPr>
        <w:t>National Programme Environment</w:t>
      </w:r>
      <w:r w:rsidRPr="00E128B3">
        <w:rPr>
          <w:lang w:val="en-GB" w:bidi="en-GB"/>
        </w:rPr>
        <w:t xml:space="preserve"> because it did not evaluate the programme using monitoring reports between 2015 and 2017.</w:t>
      </w:r>
    </w:p>
    <w:p w14:paraId="4025E103" w14:textId="21325DF0" w:rsidR="00395345" w:rsidRPr="00E128B3" w:rsidRDefault="00395345" w:rsidP="00FB356D">
      <w:pPr>
        <w:pStyle w:val="Text"/>
        <w:spacing w:after="120" w:line="264" w:lineRule="auto"/>
        <w:rPr>
          <w:lang w:val="en-GB"/>
        </w:rPr>
      </w:pPr>
      <w:r w:rsidRPr="00E128B3">
        <w:rPr>
          <w:lang w:val="en-GB" w:bidi="en-GB"/>
        </w:rPr>
        <w:t xml:space="preserve">The audit found that the SEF had performed no evaluation of the actual benefits, impacts and results of the individual priority areas of the </w:t>
      </w:r>
      <w:r w:rsidRPr="00E128B3">
        <w:rPr>
          <w:i/>
          <w:lang w:val="en-GB" w:bidi="en-GB"/>
        </w:rPr>
        <w:t>NPE</w:t>
      </w:r>
      <w:r w:rsidRPr="00E128B3">
        <w:rPr>
          <w:lang w:val="en-GB" w:bidi="en-GB"/>
        </w:rPr>
        <w:t xml:space="preserve"> or of the individual calls announced in the area of air quality improvement in the Czech Republic. The objectives of the priority areas, subareas and calls were set only in the form of a general description, which does not enable the evaluation of the economy, effectiveness and efficiency of the funds spent under the NPE or the evaluation of their impact on the degree of air quality improvement in the Czech Republic.</w:t>
      </w:r>
    </w:p>
    <w:p w14:paraId="08360B5B" w14:textId="3B1FE1BB" w:rsidR="00395345" w:rsidRPr="00E128B3" w:rsidRDefault="00395345" w:rsidP="00FB356D">
      <w:pPr>
        <w:pStyle w:val="Text"/>
        <w:spacing w:after="120" w:line="264" w:lineRule="auto"/>
        <w:rPr>
          <w:lang w:val="en-GB"/>
        </w:rPr>
      </w:pPr>
      <w:r w:rsidRPr="00E128B3">
        <w:rPr>
          <w:lang w:val="en-GB" w:bidi="en-GB"/>
        </w:rPr>
        <w:t>Even though the MoE set the allocations for the calls under the NPE on the basis of its own expert estimated following consultations with the SEF, less than 40% of the allocation was used in 5 out of the 9 calls.</w:t>
      </w:r>
    </w:p>
    <w:p w14:paraId="1C5E5EAE" w14:textId="51238DF0" w:rsidR="00395345" w:rsidRPr="00E128B3" w:rsidRDefault="00395345" w:rsidP="00FB356D">
      <w:pPr>
        <w:pStyle w:val="Text"/>
        <w:spacing w:after="120" w:line="264" w:lineRule="auto"/>
        <w:rPr>
          <w:lang w:val="en-GB"/>
        </w:rPr>
      </w:pPr>
      <w:r w:rsidRPr="00E128B3">
        <w:rPr>
          <w:lang w:val="en-GB" w:bidi="en-GB"/>
        </w:rPr>
        <w:t>Among others, the audit examined the award of four public contracts to selected beneficiaries, in the total amount of CZK 11.5 million excl. VAT. In one case, the contracting authority was found to have breached Section 6(1) of Act No. 134/2016 Coll.</w:t>
      </w:r>
      <w:r w:rsidRPr="00E128B3">
        <w:rPr>
          <w:rStyle w:val="Znakapoznpodarou"/>
          <w:lang w:val="en-GB" w:bidi="en-GB"/>
        </w:rPr>
        <w:footnoteReference w:id="35"/>
      </w:r>
      <w:r w:rsidRPr="00E128B3">
        <w:rPr>
          <w:lang w:val="en-GB" w:bidi="en-GB"/>
        </w:rPr>
        <w:t xml:space="preserve"> by failing to observe the transparency principle because the call for proposals and the procurement documents had not been published in accordance with the law. In another case, the contracting authority was found to have breached Section 6(1) of Act No. 134/2016 Coll. by failing to observe the transparency and non-discrimination principle, having selected a contractor who should have been excluded from the procurement procedure because it failed to meet the requirements of the public contract. In yet another case, the contracting authority failed to meet the statutory deadline for the publication of the result of the procurement procedure by publishing it only 7 months after contracting even though the statutory deadline is 30 days.</w:t>
      </w:r>
    </w:p>
    <w:p w14:paraId="6B62EAA9" w14:textId="3E11D7EF" w:rsidR="006F6BF4" w:rsidRPr="00E128B3" w:rsidRDefault="00395345" w:rsidP="00FB356D">
      <w:pPr>
        <w:pStyle w:val="Text"/>
        <w:spacing w:after="120" w:line="264" w:lineRule="auto"/>
        <w:rPr>
          <w:lang w:val="en-GB"/>
        </w:rPr>
      </w:pPr>
      <w:r w:rsidRPr="00E128B3">
        <w:rPr>
          <w:lang w:val="en-GB" w:bidi="en-GB"/>
        </w:rPr>
        <w:t>Two of the four audited beneficiaries failed to submit to the SEF the monitoring reports on the progress of the implementation of the project for every 3 months for the entire project implementation period, thus breaching the terms and conditions of the call and of the contract concerning aid from the SEF.</w:t>
      </w:r>
    </w:p>
    <w:p w14:paraId="4CD1511A" w14:textId="5C090335" w:rsidR="0087199C" w:rsidRPr="00E128B3" w:rsidRDefault="0087199C" w:rsidP="00FB356D">
      <w:pPr>
        <w:pStyle w:val="Nadpis3"/>
        <w:numPr>
          <w:ilvl w:val="0"/>
          <w:numId w:val="46"/>
        </w:numPr>
        <w:spacing w:line="264" w:lineRule="auto"/>
        <w:ind w:left="284" w:hanging="284"/>
        <w:rPr>
          <w:lang w:val="en-GB"/>
        </w:rPr>
      </w:pPr>
      <w:r w:rsidRPr="00E128B3">
        <w:rPr>
          <w:lang w:val="en-GB" w:bidi="en-GB"/>
        </w:rPr>
        <w:t xml:space="preserve">Between 2014 and 2016, no Czech Entity submitted a project application for assistance under the </w:t>
      </w:r>
      <w:r w:rsidRPr="00E128B3">
        <w:rPr>
          <w:i/>
          <w:lang w:val="en-GB" w:bidi="en-GB"/>
        </w:rPr>
        <w:t>LIFE Programme</w:t>
      </w:r>
      <w:r w:rsidRPr="00E128B3">
        <w:rPr>
          <w:lang w:val="en-GB" w:bidi="en-GB"/>
        </w:rPr>
        <w:t>, which is coordinated by the European Commission, with a focus on air quality and emissions</w:t>
      </w:r>
    </w:p>
    <w:p w14:paraId="15212817" w14:textId="0F00D235" w:rsidR="00395345" w:rsidRPr="00E128B3" w:rsidRDefault="00395345" w:rsidP="00FB356D">
      <w:pPr>
        <w:pStyle w:val="TextKP"/>
        <w:spacing w:after="120" w:line="264" w:lineRule="auto"/>
        <w:rPr>
          <w:lang w:val="en-GB"/>
        </w:rPr>
      </w:pPr>
      <w:r w:rsidRPr="00E128B3">
        <w:rPr>
          <w:lang w:val="en-GB" w:bidi="en-GB"/>
        </w:rPr>
        <w:t xml:space="preserve">The </w:t>
      </w:r>
      <w:r w:rsidRPr="00E128B3">
        <w:rPr>
          <w:i/>
          <w:lang w:val="en-GB" w:bidi="en-GB"/>
        </w:rPr>
        <w:t xml:space="preserve">LIFE Programme </w:t>
      </w:r>
      <w:r w:rsidRPr="00E128B3">
        <w:rPr>
          <w:lang w:val="en-GB" w:bidi="en-GB"/>
        </w:rPr>
        <w:t xml:space="preserve">enables the implementation of the so-called “integrated’ projects promoting the implementation and monitoring of local and regional air quality plans with a view to contributing to the air pollution reduction programmes at the national level. Working with six regions, eight cities and five other partners, the MoE was preparing the </w:t>
      </w:r>
      <w:r w:rsidRPr="00E128B3">
        <w:rPr>
          <w:i/>
          <w:lang w:val="en-GB" w:bidi="en-GB"/>
        </w:rPr>
        <w:t>AirCzechia</w:t>
      </w:r>
      <w:r w:rsidRPr="00E128B3">
        <w:rPr>
          <w:lang w:val="en-GB" w:bidi="en-GB"/>
        </w:rPr>
        <w:t xml:space="preserve"> project, aimed at the implementation of the measures of the AQIPs. Although the project was successfully submitted in the first round of the call under the </w:t>
      </w:r>
      <w:r w:rsidRPr="00E128B3">
        <w:rPr>
          <w:i/>
          <w:lang w:val="en-GB" w:bidi="en-GB"/>
        </w:rPr>
        <w:t>LIFE Programme</w:t>
      </w:r>
      <w:r w:rsidRPr="00E128B3">
        <w:rPr>
          <w:lang w:val="en-GB" w:bidi="en-GB"/>
        </w:rPr>
        <w:t xml:space="preserve"> in 2017, the MoE discontinued the project early in the course of the preparation fo</w:t>
      </w:r>
      <w:r w:rsidR="00E128B3">
        <w:rPr>
          <w:lang w:val="en-GB" w:bidi="en-GB"/>
        </w:rPr>
        <w:t>r</w:t>
      </w:r>
      <w:r w:rsidRPr="00E128B3">
        <w:rPr>
          <w:lang w:val="en-GB" w:bidi="en-GB"/>
        </w:rPr>
        <w:t xml:space="preserve"> the full project proposal in March 2018. According to the MoE, the main reason for the early discontinuation of the project was the fact that even though the MoE, being the main project partner, had full financial and factual responsibility for the project, prohibitive risks were identified in connection with the reluctance of the partners to offer adequate staffing for the project, their inability to perform the key activities using themselves as well as their preference of complementary measures with only a low impact on the overall implementation of the AQIPs, e.g. above-the-threshold road cleaning.</w:t>
      </w:r>
    </w:p>
    <w:p w14:paraId="340BC56F" w14:textId="3D654085" w:rsidR="00395345" w:rsidRPr="00E128B3" w:rsidRDefault="00395345" w:rsidP="00FB356D">
      <w:pPr>
        <w:pStyle w:val="TextKP"/>
        <w:spacing w:after="120" w:line="264" w:lineRule="auto"/>
        <w:rPr>
          <w:rFonts w:eastAsiaTheme="majorEastAsia"/>
          <w:lang w:val="en-GB"/>
        </w:rPr>
      </w:pPr>
      <w:r w:rsidRPr="00E128B3">
        <w:rPr>
          <w:lang w:val="en-GB" w:bidi="en-GB"/>
        </w:rPr>
        <w:t>In</w:t>
      </w:r>
      <w:r w:rsidRPr="00E128B3">
        <w:rPr>
          <w:rFonts w:eastAsiaTheme="majorEastAsia"/>
          <w:lang w:val="en-GB" w:bidi="en-GB"/>
        </w:rPr>
        <w:t> the period 2014–2016</w:t>
      </w:r>
      <w:r w:rsidRPr="00E128B3">
        <w:rPr>
          <w:rStyle w:val="Znakapoznpodarou"/>
          <w:rFonts w:eastAsiaTheme="majorEastAsia"/>
          <w:lang w:val="en-GB" w:bidi="en-GB"/>
        </w:rPr>
        <w:footnoteReference w:id="36"/>
      </w:r>
      <w:r w:rsidRPr="00E128B3">
        <w:rPr>
          <w:rFonts w:eastAsiaTheme="majorEastAsia"/>
          <w:lang w:val="en-GB" w:bidi="en-GB"/>
        </w:rPr>
        <w:t xml:space="preserve">, no project was submitted under the </w:t>
      </w:r>
      <w:r w:rsidR="002A7A29" w:rsidRPr="00E128B3">
        <w:rPr>
          <w:rFonts w:eastAsiaTheme="majorEastAsia"/>
          <w:i/>
          <w:lang w:val="en-GB" w:bidi="en-GB"/>
        </w:rPr>
        <w:t xml:space="preserve">LIFE Programme </w:t>
      </w:r>
      <w:r w:rsidRPr="00E128B3">
        <w:rPr>
          <w:rFonts w:eastAsiaTheme="majorEastAsia"/>
          <w:lang w:val="en-GB" w:bidi="en-GB"/>
        </w:rPr>
        <w:t xml:space="preserve">with the thematic priority of </w:t>
      </w:r>
      <w:r w:rsidRPr="00E128B3">
        <w:rPr>
          <w:rFonts w:eastAsiaTheme="majorEastAsia"/>
          <w:i/>
          <w:lang w:val="en-GB" w:bidi="en-GB"/>
        </w:rPr>
        <w:t>Air quality and emissions</w:t>
      </w:r>
      <w:r w:rsidRPr="00E128B3">
        <w:rPr>
          <w:rFonts w:eastAsiaTheme="majorEastAsia"/>
          <w:lang w:val="en-GB" w:bidi="en-GB"/>
        </w:rPr>
        <w:t xml:space="preserve">, including urban environment, with an entity from the Czech Republic being the coordinating beneficiary even though the programme focus and conditions enabled that. The information from the project database and the information published by the Commission also shows that the </w:t>
      </w:r>
      <w:r w:rsidR="002A7A29" w:rsidRPr="00E128B3">
        <w:rPr>
          <w:rFonts w:eastAsiaTheme="majorEastAsia"/>
          <w:i/>
          <w:lang w:val="en-GB" w:bidi="en-GB"/>
        </w:rPr>
        <w:t>LIFE Programme</w:t>
      </w:r>
      <w:r w:rsidRPr="00E128B3">
        <w:rPr>
          <w:rFonts w:eastAsiaTheme="majorEastAsia"/>
          <w:lang w:val="en-GB" w:bidi="en-GB"/>
        </w:rPr>
        <w:t xml:space="preserve"> was used between 2014 and 2016 to support: </w:t>
      </w:r>
    </w:p>
    <w:p w14:paraId="42A20D50" w14:textId="77777777" w:rsidR="00395345" w:rsidRPr="00E128B3" w:rsidRDefault="00395345" w:rsidP="007D02E4">
      <w:pPr>
        <w:pStyle w:val="Text"/>
        <w:numPr>
          <w:ilvl w:val="0"/>
          <w:numId w:val="43"/>
        </w:numPr>
        <w:spacing w:before="0" w:line="264" w:lineRule="auto"/>
        <w:ind w:left="284" w:hanging="284"/>
        <w:rPr>
          <w:lang w:val="en-GB"/>
        </w:rPr>
      </w:pPr>
      <w:r w:rsidRPr="00E128B3">
        <w:rPr>
          <w:lang w:val="en-GB" w:bidi="en-GB"/>
        </w:rPr>
        <w:t xml:space="preserve">a total of 10 projects where the coordinating beneficiary was an entity in the Czech Republic (no project focused on the thematic priority of </w:t>
      </w:r>
      <w:r w:rsidRPr="00E128B3">
        <w:rPr>
          <w:i/>
          <w:lang w:val="en-GB" w:bidi="en-GB"/>
        </w:rPr>
        <w:t>Air quality and emission</w:t>
      </w:r>
      <w:r w:rsidRPr="00E128B3">
        <w:rPr>
          <w:lang w:val="en-GB" w:bidi="en-GB"/>
        </w:rPr>
        <w:t>);</w:t>
      </w:r>
    </w:p>
    <w:p w14:paraId="5DE595AB" w14:textId="5E522012" w:rsidR="00BB7916" w:rsidRPr="00E128B3" w:rsidRDefault="00395345" w:rsidP="007D02E4">
      <w:pPr>
        <w:pStyle w:val="Text"/>
        <w:numPr>
          <w:ilvl w:val="0"/>
          <w:numId w:val="43"/>
        </w:numPr>
        <w:spacing w:before="0" w:line="264" w:lineRule="auto"/>
        <w:ind w:left="284" w:hanging="284"/>
        <w:rPr>
          <w:lang w:val="en-GB"/>
        </w:rPr>
      </w:pPr>
      <w:r w:rsidRPr="00E128B3">
        <w:rPr>
          <w:lang w:val="en-GB" w:bidi="en-GB"/>
        </w:rPr>
        <w:t xml:space="preserve">25 integrated projects from 14 Member States. The highest number of integrated projects (3) were </w:t>
      </w:r>
      <w:r w:rsidR="00EB4E8D">
        <w:rPr>
          <w:lang w:val="en-GB" w:bidi="en-GB"/>
        </w:rPr>
        <w:t>allotted to</w:t>
      </w:r>
      <w:r w:rsidRPr="00E128B3">
        <w:rPr>
          <w:lang w:val="en-GB" w:bidi="en-GB"/>
        </w:rPr>
        <w:t xml:space="preserve"> Germany, Belgium and Spain. No integrated project was assigned to the Czech Republic in the period 2014–2016. The territory of the Czech Republic was concerned with one integrated project - that dealing with the AQIP implementation in the Lesser Poland Voivodeship</w:t>
      </w:r>
      <w:r w:rsidRPr="00E128B3">
        <w:rPr>
          <w:rStyle w:val="Znakapoznpodarou"/>
          <w:lang w:val="en-GB" w:bidi="en-GB"/>
        </w:rPr>
        <w:footnoteReference w:id="37"/>
      </w:r>
      <w:r w:rsidRPr="00E128B3">
        <w:rPr>
          <w:lang w:val="en-GB" w:bidi="en-GB"/>
        </w:rPr>
        <w:t>.</w:t>
      </w:r>
    </w:p>
    <w:p w14:paraId="4BABB8A2" w14:textId="1283AAF6" w:rsidR="00BB7916" w:rsidRPr="00E128B3" w:rsidRDefault="00BB7916" w:rsidP="00FB356D">
      <w:pPr>
        <w:spacing w:before="120" w:after="120" w:line="264" w:lineRule="auto"/>
        <w:jc w:val="both"/>
        <w:rPr>
          <w:lang w:val="en-GB"/>
        </w:rPr>
      </w:pPr>
      <w:r w:rsidRPr="00E128B3">
        <w:rPr>
          <w:b/>
          <w:lang w:val="en-GB" w:bidi="en-GB"/>
        </w:rPr>
        <w:t xml:space="preserve">With regard to the significant impact of cross-border transmission on the level of air pollution in the Czech Republic and in Poland, the MoE should hold transboundary consultations with Poland in the preparation of the national air pollution control programme. </w:t>
      </w:r>
    </w:p>
    <w:p w14:paraId="15D6EDD4" w14:textId="668A7075" w:rsidR="00BB7916" w:rsidRPr="00E128B3" w:rsidRDefault="00BB7916" w:rsidP="00FB356D">
      <w:pPr>
        <w:spacing w:before="120" w:after="120" w:line="264" w:lineRule="auto"/>
        <w:jc w:val="both"/>
        <w:rPr>
          <w:lang w:val="en-GB"/>
        </w:rPr>
      </w:pPr>
      <w:r w:rsidRPr="00E128B3">
        <w:rPr>
          <w:lang w:val="en-GB" w:bidi="en-GB"/>
        </w:rPr>
        <w:t xml:space="preserve">The analyses carried out by the MoE in connection with the preparation of the Strategy, the NERP and the AQIPs as well as the analysis performed under the </w:t>
      </w:r>
      <w:r w:rsidRPr="00E128B3">
        <w:rPr>
          <w:i/>
          <w:lang w:val="en-GB" w:bidi="en-GB"/>
        </w:rPr>
        <w:t>Air Silesia</w:t>
      </w:r>
      <w:r w:rsidRPr="00E128B3">
        <w:rPr>
          <w:lang w:val="en-GB" w:bidi="en-GB"/>
        </w:rPr>
        <w:t xml:space="preserve"> project (2010–2013) confirm a significant impact of cross-border transmission on the level of air pollution in the Czech Republic, in particular, in the Moravian-Silesian Region. The conclusions of the </w:t>
      </w:r>
      <w:r w:rsidRPr="00E128B3">
        <w:rPr>
          <w:i/>
          <w:lang w:val="en-GB" w:bidi="en-GB"/>
        </w:rPr>
        <w:t>Air Silesia</w:t>
      </w:r>
      <w:r w:rsidRPr="00E128B3">
        <w:rPr>
          <w:lang w:val="en-GB" w:bidi="en-GB"/>
        </w:rPr>
        <w:t xml:space="preserve"> project read, for example:</w:t>
      </w:r>
    </w:p>
    <w:p w14:paraId="716EA2B9" w14:textId="01686BF2" w:rsidR="00BB7916" w:rsidRPr="00E128B3" w:rsidRDefault="00EB6C2A" w:rsidP="00FB356D">
      <w:pPr>
        <w:pStyle w:val="Odstavecseseznamem"/>
        <w:numPr>
          <w:ilvl w:val="0"/>
          <w:numId w:val="47"/>
        </w:numPr>
        <w:spacing w:line="264" w:lineRule="auto"/>
        <w:ind w:left="284" w:hanging="284"/>
        <w:contextualSpacing w:val="0"/>
        <w:jc w:val="both"/>
        <w:rPr>
          <w:lang w:val="en-GB"/>
        </w:rPr>
      </w:pPr>
      <w:r w:rsidRPr="00E128B3">
        <w:rPr>
          <w:lang w:val="en-GB" w:bidi="en-GB"/>
        </w:rPr>
        <w:t>The level of air pollution by sulphur dioxide (SO</w:t>
      </w:r>
      <w:r w:rsidRPr="00E128B3">
        <w:rPr>
          <w:vertAlign w:val="subscript"/>
          <w:lang w:val="en-GB" w:bidi="en-GB"/>
        </w:rPr>
        <w:t>2</w:t>
      </w:r>
      <w:r w:rsidRPr="00E128B3">
        <w:rPr>
          <w:lang w:val="en-GB" w:bidi="en-GB"/>
        </w:rPr>
        <w:t>) is about double in the Silesian Voivodeship compared to the Moravian-Silesian Region; at the same time, the analyses of the samples taken during the project point to higher concentrations of PM</w:t>
      </w:r>
      <w:r w:rsidRPr="00E128B3">
        <w:rPr>
          <w:vertAlign w:val="subscript"/>
          <w:lang w:val="en-GB" w:bidi="en-GB"/>
        </w:rPr>
        <w:t xml:space="preserve">10 </w:t>
      </w:r>
      <w:r w:rsidRPr="00E128B3">
        <w:rPr>
          <w:lang w:val="en-GB" w:bidi="en-GB"/>
        </w:rPr>
        <w:t xml:space="preserve">and benzo[a]pyrene on the Polish side of the border. </w:t>
      </w:r>
    </w:p>
    <w:p w14:paraId="3C6582B3" w14:textId="42FB5BAF" w:rsidR="00BB7916" w:rsidRPr="00E128B3" w:rsidRDefault="00EB6C2A" w:rsidP="00FB356D">
      <w:pPr>
        <w:pStyle w:val="Odstavecseseznamem"/>
        <w:numPr>
          <w:ilvl w:val="0"/>
          <w:numId w:val="47"/>
        </w:numPr>
        <w:spacing w:line="264" w:lineRule="auto"/>
        <w:ind w:left="284" w:hanging="284"/>
        <w:contextualSpacing w:val="0"/>
        <w:jc w:val="both"/>
        <w:rPr>
          <w:lang w:val="en-GB"/>
        </w:rPr>
      </w:pPr>
      <w:r w:rsidRPr="00E128B3">
        <w:rPr>
          <w:lang w:val="en-GB" w:bidi="en-GB"/>
        </w:rPr>
        <w:t>The largest area with the highest air pollution levels in the entire region is located roughly between the Czech-Polish border and the surroundings of Rybnik; the pollution that originates from this area also significantly influences the border region of the Czech Republic.</w:t>
      </w:r>
    </w:p>
    <w:p w14:paraId="1D53F1A9" w14:textId="06DB2DB6" w:rsidR="00BB7916" w:rsidRPr="00E128B3" w:rsidRDefault="00EB6C2A" w:rsidP="00FB356D">
      <w:pPr>
        <w:pStyle w:val="Odstavecseseznamem"/>
        <w:numPr>
          <w:ilvl w:val="0"/>
          <w:numId w:val="47"/>
        </w:numPr>
        <w:spacing w:line="264" w:lineRule="auto"/>
        <w:ind w:left="284" w:hanging="284"/>
        <w:contextualSpacing w:val="0"/>
        <w:jc w:val="both"/>
        <w:rPr>
          <w:lang w:val="en-GB"/>
        </w:rPr>
      </w:pPr>
      <w:r w:rsidRPr="00E128B3">
        <w:rPr>
          <w:lang w:val="en-GB" w:bidi="en-GB"/>
        </w:rPr>
        <w:t>More frequently than not the winds blow from the Czech Republic into Poland; however, the Polish sources produce more PM</w:t>
      </w:r>
      <w:r w:rsidRPr="00E128B3">
        <w:rPr>
          <w:vertAlign w:val="subscript"/>
          <w:lang w:val="en-GB" w:bidi="en-GB"/>
        </w:rPr>
        <w:t>10</w:t>
      </w:r>
      <w:r w:rsidRPr="00E128B3">
        <w:rPr>
          <w:lang w:val="en-GB" w:bidi="en-GB"/>
        </w:rPr>
        <w:t xml:space="preserve"> emissions, large concentrations of which are transmitted into the Czech Republic under adverse dispersion conditions.</w:t>
      </w:r>
    </w:p>
    <w:p w14:paraId="386A91B3" w14:textId="2F164A10" w:rsidR="00395345" w:rsidRPr="00E128B3" w:rsidRDefault="00BB7916" w:rsidP="00FB356D">
      <w:pPr>
        <w:pStyle w:val="Text"/>
        <w:spacing w:after="120" w:line="264" w:lineRule="auto"/>
        <w:rPr>
          <w:lang w:val="en-GB"/>
        </w:rPr>
      </w:pPr>
      <w:r w:rsidRPr="00E128B3">
        <w:rPr>
          <w:lang w:val="en-GB" w:bidi="en-GB"/>
        </w:rPr>
        <w:t>The national air pollution control programmes are currently being updated in the EU Member States in accordance with Directive (EU) 2016/2284, which, in Article 6(2), sets out that, when drawing up, adopting and implementing these programmes, Member States shall assess to what extent national emission sources are likely to have an impact on air quality in their territories and neighbouring Member States and, where appropriate, the Member States shall conduct transboundary consultations.</w:t>
      </w:r>
    </w:p>
    <w:p w14:paraId="2BEE6C1F" w14:textId="126ADA8C" w:rsidR="005B476B" w:rsidRPr="00E128B3" w:rsidRDefault="005B476B" w:rsidP="00A92C84">
      <w:pPr>
        <w:rPr>
          <w:rFonts w:cstheme="minorHAnsi"/>
          <w:lang w:val="en-GB"/>
        </w:rPr>
      </w:pPr>
      <w:r w:rsidRPr="00E128B3">
        <w:rPr>
          <w:lang w:val="en-GB" w:bidi="en-GB"/>
        </w:rPr>
        <w:br w:type="page"/>
      </w:r>
    </w:p>
    <w:p w14:paraId="01154B23" w14:textId="77777777" w:rsidR="00395345" w:rsidRPr="00E128B3" w:rsidRDefault="00395345" w:rsidP="00A36661">
      <w:pPr>
        <w:pStyle w:val="Nadpis1"/>
        <w:numPr>
          <w:ilvl w:val="0"/>
          <w:numId w:val="0"/>
        </w:numPr>
        <w:spacing w:before="0" w:after="0"/>
        <w:rPr>
          <w:lang w:val="en-GB"/>
        </w:rPr>
      </w:pPr>
      <w:r w:rsidRPr="00E128B3">
        <w:rPr>
          <w:lang w:val="en-GB" w:bidi="en-GB"/>
        </w:rPr>
        <w:t>List of abbreviations and terms</w:t>
      </w:r>
    </w:p>
    <w:p w14:paraId="28F04114" w14:textId="77777777" w:rsidR="00A36661" w:rsidRPr="00E128B3" w:rsidRDefault="00A36661" w:rsidP="00A36661">
      <w:pPr>
        <w:pStyle w:val="Text"/>
        <w:tabs>
          <w:tab w:val="left" w:pos="1134"/>
        </w:tabs>
        <w:spacing w:before="0"/>
        <w:rPr>
          <w:lang w:val="en-GB"/>
        </w:rPr>
      </w:pPr>
    </w:p>
    <w:p w14:paraId="23FD5B0F" w14:textId="5282BF80" w:rsidR="003D30F6" w:rsidRPr="00E128B3" w:rsidRDefault="00815722" w:rsidP="001B1D79">
      <w:pPr>
        <w:pStyle w:val="Text"/>
        <w:tabs>
          <w:tab w:val="left" w:pos="1276"/>
        </w:tabs>
        <w:spacing w:before="0" w:after="80"/>
        <w:ind w:left="1276" w:hanging="1276"/>
        <w:jc w:val="left"/>
        <w:rPr>
          <w:lang w:val="en-GB"/>
        </w:rPr>
      </w:pPr>
      <w:r w:rsidRPr="00E128B3">
        <w:rPr>
          <w:lang w:val="en-GB" w:bidi="en-GB"/>
        </w:rPr>
        <w:t>kT</w:t>
      </w:r>
      <w:r w:rsidRPr="00E128B3">
        <w:rPr>
          <w:lang w:val="en-GB" w:bidi="en-GB"/>
        </w:rPr>
        <w:tab/>
        <w:t>kiloton</w:t>
      </w:r>
    </w:p>
    <w:p w14:paraId="499B15AB" w14:textId="07A339C4" w:rsidR="00644D5C" w:rsidRPr="00E128B3" w:rsidRDefault="00644D5C" w:rsidP="001B1D79">
      <w:pPr>
        <w:pStyle w:val="Text"/>
        <w:tabs>
          <w:tab w:val="left" w:pos="1276"/>
        </w:tabs>
        <w:spacing w:before="0" w:after="80"/>
        <w:ind w:left="1276" w:hanging="1276"/>
        <w:jc w:val="left"/>
        <w:rPr>
          <w:lang w:val="en-GB"/>
        </w:rPr>
      </w:pPr>
      <w:r w:rsidRPr="00E128B3">
        <w:rPr>
          <w:lang w:val="en-GB" w:bidi="en-GB"/>
        </w:rPr>
        <w:t>µg/m</w:t>
      </w:r>
      <w:r w:rsidRPr="00E128B3">
        <w:rPr>
          <w:vertAlign w:val="superscript"/>
          <w:lang w:val="en-GB" w:bidi="en-GB"/>
        </w:rPr>
        <w:t>3</w:t>
      </w:r>
      <w:r w:rsidRPr="00E128B3">
        <w:rPr>
          <w:lang w:val="en-GB" w:bidi="en-GB"/>
        </w:rPr>
        <w:tab/>
        <w:t>microgram per cubic metre (the unit of measure of the concentration of air pollutants in the air)</w:t>
      </w:r>
    </w:p>
    <w:p w14:paraId="5D9B20B1" w14:textId="1BEBB6E6" w:rsidR="00B254CC" w:rsidRPr="00E128B3" w:rsidRDefault="00644D5C" w:rsidP="001B1D79">
      <w:pPr>
        <w:pStyle w:val="Text"/>
        <w:tabs>
          <w:tab w:val="left" w:pos="1276"/>
        </w:tabs>
        <w:spacing w:before="0" w:after="80"/>
        <w:ind w:left="1276" w:hanging="1276"/>
        <w:jc w:val="left"/>
        <w:rPr>
          <w:lang w:val="en-GB"/>
        </w:rPr>
      </w:pPr>
      <w:r w:rsidRPr="00E128B3">
        <w:rPr>
          <w:lang w:val="en-GB" w:bidi="en-GB"/>
        </w:rPr>
        <w:t>µm</w:t>
      </w:r>
      <w:r w:rsidRPr="00E128B3">
        <w:rPr>
          <w:lang w:val="en-GB" w:bidi="en-GB"/>
        </w:rPr>
        <w:tab/>
        <w:t>micrometre</w:t>
      </w:r>
    </w:p>
    <w:p w14:paraId="2342071C" w14:textId="6F6BE494" w:rsidR="00644D5C" w:rsidRPr="00E128B3" w:rsidRDefault="00815722" w:rsidP="001B1D79">
      <w:pPr>
        <w:pStyle w:val="Text"/>
        <w:tabs>
          <w:tab w:val="left" w:pos="1276"/>
        </w:tabs>
        <w:spacing w:before="0" w:after="80"/>
        <w:ind w:left="1276" w:hanging="1276"/>
        <w:jc w:val="left"/>
        <w:rPr>
          <w:lang w:val="en-GB"/>
        </w:rPr>
      </w:pPr>
      <w:r w:rsidRPr="00E128B3">
        <w:rPr>
          <w:lang w:val="en-GB" w:bidi="en-GB"/>
        </w:rPr>
        <w:t>Ng/m</w:t>
      </w:r>
      <w:r w:rsidRPr="00E128B3">
        <w:rPr>
          <w:vertAlign w:val="superscript"/>
          <w:lang w:val="en-GB" w:bidi="en-GB"/>
        </w:rPr>
        <w:t>3</w:t>
      </w:r>
      <w:r w:rsidRPr="00E128B3">
        <w:rPr>
          <w:lang w:val="en-GB" w:bidi="en-GB"/>
        </w:rPr>
        <w:tab/>
        <w:t xml:space="preserve">nanogram per cubic metre (the unit of measure of the concentration of an air pollutant in the air) </w:t>
      </w:r>
    </w:p>
    <w:p w14:paraId="37178AB9" w14:textId="6A110E1F" w:rsidR="00395345" w:rsidRPr="00E128B3" w:rsidRDefault="00AE2306" w:rsidP="001B1D79">
      <w:pPr>
        <w:pStyle w:val="Text"/>
        <w:tabs>
          <w:tab w:val="left" w:pos="1276"/>
        </w:tabs>
        <w:spacing w:before="0" w:after="80"/>
        <w:ind w:left="1276" w:hanging="1276"/>
        <w:jc w:val="left"/>
        <w:rPr>
          <w:lang w:val="en-GB"/>
        </w:rPr>
      </w:pPr>
      <w:r w:rsidRPr="00E128B3">
        <w:rPr>
          <w:lang w:val="en-GB" w:bidi="en-GB"/>
        </w:rPr>
        <w:t>BaP</w:t>
      </w:r>
      <w:r w:rsidRPr="00E128B3">
        <w:rPr>
          <w:lang w:val="en-GB" w:bidi="en-GB"/>
        </w:rPr>
        <w:tab/>
        <w:t>benzo[a]pyrene</w:t>
      </w:r>
    </w:p>
    <w:p w14:paraId="1D31B4F9" w14:textId="2B57A583"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CLRTAP</w:t>
      </w:r>
      <w:r w:rsidRPr="00E128B3">
        <w:rPr>
          <w:lang w:val="en-GB" w:bidi="en-GB"/>
        </w:rPr>
        <w:tab/>
      </w:r>
      <w:r w:rsidRPr="00E128B3">
        <w:rPr>
          <w:i/>
          <w:lang w:val="en-GB" w:bidi="en-GB"/>
        </w:rPr>
        <w:t>The Convention on Long-Range Transboundary Air Pollution</w:t>
      </w:r>
    </w:p>
    <w:p w14:paraId="16F87F2A"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 xml:space="preserve">EEA </w:t>
      </w:r>
      <w:r w:rsidRPr="00E128B3">
        <w:rPr>
          <w:lang w:val="en-GB" w:bidi="en-GB"/>
        </w:rPr>
        <w:tab/>
        <w:t>European Environment Agency</w:t>
      </w:r>
    </w:p>
    <w:p w14:paraId="56332567"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EC</w:t>
      </w:r>
      <w:r w:rsidRPr="00E128B3">
        <w:rPr>
          <w:lang w:val="en-GB" w:bidi="en-GB"/>
        </w:rPr>
        <w:tab/>
        <w:t>European Commission</w:t>
      </w:r>
    </w:p>
    <w:p w14:paraId="032ED4A3"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EMEP</w:t>
      </w:r>
      <w:r w:rsidRPr="00E128B3">
        <w:rPr>
          <w:lang w:val="en-GB" w:bidi="en-GB"/>
        </w:rPr>
        <w:tab/>
        <w:t>A cooperation programme regarding the monitoring and evaluation of long-range transmission of pollutants in Europe (</w:t>
      </w:r>
      <w:r w:rsidRPr="00E128B3">
        <w:rPr>
          <w:i/>
          <w:lang w:val="en-GB" w:bidi="en-GB"/>
        </w:rPr>
        <w:t>the European Monitoring and Evaluation Programme</w:t>
      </w:r>
      <w:r w:rsidRPr="00E128B3">
        <w:rPr>
          <w:lang w:val="en-GB" w:bidi="en-GB"/>
        </w:rPr>
        <w:t>)</w:t>
      </w:r>
    </w:p>
    <w:p w14:paraId="36A01A20" w14:textId="5C755BCB" w:rsidR="000848F6" w:rsidRPr="00E128B3" w:rsidRDefault="000848F6" w:rsidP="001B1D79">
      <w:pPr>
        <w:pStyle w:val="Text"/>
        <w:tabs>
          <w:tab w:val="left" w:pos="1276"/>
        </w:tabs>
        <w:spacing w:before="0" w:after="80"/>
        <w:ind w:left="1276" w:hanging="1276"/>
        <w:jc w:val="left"/>
        <w:rPr>
          <w:lang w:val="en-GB"/>
        </w:rPr>
      </w:pPr>
      <w:r w:rsidRPr="00E128B3">
        <w:rPr>
          <w:lang w:val="en-GB" w:bidi="en-GB"/>
        </w:rPr>
        <w:t>EU ETS</w:t>
      </w:r>
      <w:r w:rsidRPr="00E128B3">
        <w:rPr>
          <w:lang w:val="en-GB" w:bidi="en-GB"/>
        </w:rPr>
        <w:tab/>
        <w:t>EU Emissions Trading System (trade in emission allowances within the EU)</w:t>
      </w:r>
    </w:p>
    <w:p w14:paraId="37171E36"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NH</w:t>
      </w:r>
      <w:r w:rsidRPr="00E128B3">
        <w:rPr>
          <w:vertAlign w:val="subscript"/>
          <w:lang w:val="en-GB" w:bidi="en-GB"/>
        </w:rPr>
        <w:t>3</w:t>
      </w:r>
      <w:r w:rsidRPr="00E128B3">
        <w:rPr>
          <w:lang w:val="en-GB" w:bidi="en-GB"/>
        </w:rPr>
        <w:tab/>
        <w:t>ammonia</w:t>
      </w:r>
    </w:p>
    <w:p w14:paraId="0CEECD45" w14:textId="1D4F6658"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NMVOC</w:t>
      </w:r>
      <w:r w:rsidRPr="00E128B3">
        <w:rPr>
          <w:lang w:val="en-GB" w:bidi="en-GB"/>
        </w:rPr>
        <w:tab/>
        <w:t>non-methane volatile organic compounds</w:t>
      </w:r>
    </w:p>
    <w:p w14:paraId="404586C4" w14:textId="77777777" w:rsidR="00395345" w:rsidRPr="00770287" w:rsidRDefault="00395345" w:rsidP="001B1D79">
      <w:pPr>
        <w:pStyle w:val="Text"/>
        <w:tabs>
          <w:tab w:val="left" w:pos="1276"/>
        </w:tabs>
        <w:spacing w:before="0" w:after="80"/>
        <w:ind w:left="1276" w:hanging="1276"/>
        <w:jc w:val="left"/>
        <w:rPr>
          <w:lang w:val="de-DE"/>
        </w:rPr>
      </w:pPr>
      <w:r w:rsidRPr="00770287">
        <w:rPr>
          <w:lang w:val="de-DE" w:bidi="en-GB"/>
        </w:rPr>
        <w:t>NO</w:t>
      </w:r>
      <w:r w:rsidRPr="00770287">
        <w:rPr>
          <w:vertAlign w:val="subscript"/>
          <w:lang w:val="de-DE" w:bidi="en-GB"/>
        </w:rPr>
        <w:t>2</w:t>
      </w:r>
      <w:r w:rsidRPr="00770287">
        <w:rPr>
          <w:lang w:val="de-DE" w:bidi="en-GB"/>
        </w:rPr>
        <w:tab/>
        <w:t>nitrogen dioxide</w:t>
      </w:r>
    </w:p>
    <w:p w14:paraId="464FD79B" w14:textId="77777777" w:rsidR="00395345" w:rsidRPr="00770287" w:rsidRDefault="00395345" w:rsidP="001B1D79">
      <w:pPr>
        <w:pStyle w:val="Text"/>
        <w:tabs>
          <w:tab w:val="left" w:pos="1276"/>
        </w:tabs>
        <w:spacing w:before="0" w:after="80"/>
        <w:ind w:left="1276" w:hanging="1276"/>
        <w:jc w:val="left"/>
        <w:rPr>
          <w:lang w:val="de-DE"/>
        </w:rPr>
      </w:pPr>
      <w:r w:rsidRPr="00770287">
        <w:rPr>
          <w:lang w:val="de-DE" w:bidi="en-GB"/>
        </w:rPr>
        <w:t>NO</w:t>
      </w:r>
      <w:r w:rsidRPr="00770287">
        <w:rPr>
          <w:vertAlign w:val="subscript"/>
          <w:lang w:val="de-DE" w:bidi="en-GB"/>
        </w:rPr>
        <w:t>X</w:t>
      </w:r>
      <w:r w:rsidRPr="00770287">
        <w:rPr>
          <w:lang w:val="de-DE" w:bidi="en-GB"/>
        </w:rPr>
        <w:tab/>
        <w:t>nitrogen oxides</w:t>
      </w:r>
    </w:p>
    <w:p w14:paraId="000F3D50"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NERP</w:t>
      </w:r>
      <w:r w:rsidRPr="00E128B3">
        <w:rPr>
          <w:lang w:val="en-GB" w:bidi="en-GB"/>
        </w:rPr>
        <w:tab/>
      </w:r>
      <w:r w:rsidRPr="00E128B3">
        <w:rPr>
          <w:i/>
          <w:lang w:val="en-GB" w:bidi="en-GB"/>
        </w:rPr>
        <w:t>National Emission Reduction Programme of the Czech Republic</w:t>
      </w:r>
    </w:p>
    <w:p w14:paraId="63AFDE08"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NERP-WAM</w:t>
      </w:r>
      <w:r w:rsidRPr="00E128B3">
        <w:rPr>
          <w:lang w:val="en-GB" w:bidi="en-GB"/>
        </w:rPr>
        <w:tab/>
        <w:t xml:space="preserve">a newly formulated scenario </w:t>
      </w:r>
      <w:r w:rsidRPr="00E128B3">
        <w:rPr>
          <w:i/>
          <w:lang w:val="en-GB" w:bidi="en-GB"/>
        </w:rPr>
        <w:t>with additional measures</w:t>
      </w:r>
    </w:p>
    <w:p w14:paraId="6CE5CD0B"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NPE</w:t>
      </w:r>
      <w:r w:rsidRPr="00E128B3">
        <w:rPr>
          <w:lang w:val="en-GB" w:bidi="en-GB"/>
        </w:rPr>
        <w:tab/>
      </w:r>
      <w:r w:rsidRPr="00E128B3">
        <w:rPr>
          <w:i/>
          <w:lang w:val="en-GB" w:bidi="en-GB"/>
        </w:rPr>
        <w:t>National Programme Environment</w:t>
      </w:r>
    </w:p>
    <w:p w14:paraId="46F81B4D" w14:textId="1D1CD095"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OPT</w:t>
      </w:r>
      <w:r w:rsidRPr="00E128B3">
        <w:rPr>
          <w:lang w:val="en-GB" w:bidi="en-GB"/>
        </w:rPr>
        <w:tab/>
        <w:t xml:space="preserve">Operational </w:t>
      </w:r>
      <w:r w:rsidR="00EB4E8D">
        <w:rPr>
          <w:lang w:val="en-GB" w:bidi="en-GB"/>
        </w:rPr>
        <w:t>P</w:t>
      </w:r>
      <w:r w:rsidRPr="00E128B3">
        <w:rPr>
          <w:lang w:val="en-GB" w:bidi="en-GB"/>
        </w:rPr>
        <w:t xml:space="preserve">rogramme </w:t>
      </w:r>
      <w:r w:rsidRPr="00E128B3">
        <w:rPr>
          <w:i/>
          <w:lang w:val="en-GB" w:bidi="en-GB"/>
        </w:rPr>
        <w:t>Transport</w:t>
      </w:r>
    </w:p>
    <w:p w14:paraId="373C4000" w14:textId="0BAABCBD"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OPEIC</w:t>
      </w:r>
      <w:r w:rsidRPr="00E128B3">
        <w:rPr>
          <w:lang w:val="en-GB" w:bidi="en-GB"/>
        </w:rPr>
        <w:tab/>
        <w:t xml:space="preserve">Operational Programme </w:t>
      </w:r>
      <w:r w:rsidRPr="00E128B3">
        <w:rPr>
          <w:i/>
          <w:lang w:val="en-GB" w:bidi="en-GB"/>
        </w:rPr>
        <w:t>Enterprise and Innovation for Competitiveness</w:t>
      </w:r>
    </w:p>
    <w:p w14:paraId="1D70107A" w14:textId="30175296"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OPE</w:t>
      </w:r>
      <w:r w:rsidRPr="00E128B3">
        <w:rPr>
          <w:lang w:val="en-GB" w:bidi="en-GB"/>
        </w:rPr>
        <w:tab/>
        <w:t xml:space="preserve">Operational Programme </w:t>
      </w:r>
      <w:r w:rsidRPr="00E128B3">
        <w:rPr>
          <w:i/>
          <w:lang w:val="en-GB" w:bidi="en-GB"/>
        </w:rPr>
        <w:t>Environment</w:t>
      </w:r>
    </w:p>
    <w:p w14:paraId="6F34CEF1"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PA</w:t>
      </w:r>
      <w:r w:rsidRPr="00E128B3">
        <w:rPr>
          <w:lang w:val="en-GB" w:bidi="en-GB"/>
        </w:rPr>
        <w:tab/>
        <w:t>priority axis/area</w:t>
      </w:r>
    </w:p>
    <w:p w14:paraId="57F3DD59"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RDP</w:t>
      </w:r>
      <w:r w:rsidRPr="00E128B3">
        <w:rPr>
          <w:lang w:val="en-GB" w:bidi="en-GB"/>
        </w:rPr>
        <w:tab/>
        <w:t>Rural Development Programme</w:t>
      </w:r>
    </w:p>
    <w:p w14:paraId="417F8B74"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AQIP(s)</w:t>
      </w:r>
      <w:r w:rsidRPr="00E128B3">
        <w:rPr>
          <w:lang w:val="en-GB" w:bidi="en-GB"/>
        </w:rPr>
        <w:tab/>
        <w:t>Air Quality Improvement Programme(s)</w:t>
      </w:r>
    </w:p>
    <w:p w14:paraId="5515BF1A" w14:textId="77777777" w:rsidR="00C12E5A" w:rsidRPr="00E128B3" w:rsidRDefault="00C12E5A" w:rsidP="001B1D79">
      <w:pPr>
        <w:pStyle w:val="Text"/>
        <w:tabs>
          <w:tab w:val="left" w:pos="1276"/>
        </w:tabs>
        <w:spacing w:before="0" w:after="80"/>
        <w:ind w:left="1276" w:hanging="1276"/>
        <w:jc w:val="left"/>
        <w:rPr>
          <w:lang w:val="en-GB"/>
        </w:rPr>
      </w:pPr>
      <w:r w:rsidRPr="00E128B3">
        <w:rPr>
          <w:lang w:val="en-GB" w:bidi="en-GB"/>
        </w:rPr>
        <w:t>RoPD (Czech acronym)</w:t>
      </w:r>
      <w:r w:rsidRPr="00E128B3">
        <w:rPr>
          <w:lang w:val="en-GB" w:bidi="en-GB"/>
        </w:rPr>
        <w:tab/>
        <w:t>decision to provide subsidy (funding)</w:t>
      </w:r>
    </w:p>
    <w:p w14:paraId="3E5119BE"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ŘSD</w:t>
      </w:r>
      <w:r w:rsidRPr="00E128B3">
        <w:rPr>
          <w:lang w:val="en-GB" w:bidi="en-GB"/>
        </w:rPr>
        <w:tab/>
        <w:t>Road and Motorway Directorate of the Czech Republic (Ředitelství silnic a dálnic ČR)</w:t>
      </w:r>
    </w:p>
    <w:p w14:paraId="48556AEF"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SO</w:t>
      </w:r>
      <w:r w:rsidRPr="00E128B3">
        <w:rPr>
          <w:lang w:val="en-GB" w:bidi="en-GB"/>
        </w:rPr>
        <w:tab/>
        <w:t>specific objective (in the OPE)</w:t>
      </w:r>
    </w:p>
    <w:p w14:paraId="0FF435A8"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SO</w:t>
      </w:r>
      <w:r w:rsidRPr="00E128B3">
        <w:rPr>
          <w:vertAlign w:val="subscript"/>
          <w:lang w:val="en-GB" w:bidi="en-GB"/>
        </w:rPr>
        <w:t>2</w:t>
      </w:r>
      <w:r w:rsidRPr="00E128B3">
        <w:rPr>
          <w:lang w:val="en-GB" w:bidi="en-GB"/>
        </w:rPr>
        <w:tab/>
        <w:t>sulphur dioxide</w:t>
      </w:r>
    </w:p>
    <w:p w14:paraId="26BB37EA" w14:textId="09C8199D"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SEP</w:t>
      </w:r>
      <w:r w:rsidRPr="00E128B3">
        <w:rPr>
          <w:lang w:val="en-GB" w:bidi="en-GB"/>
        </w:rPr>
        <w:tab/>
      </w:r>
      <w:r w:rsidRPr="00E128B3">
        <w:rPr>
          <w:i/>
          <w:lang w:val="en-GB" w:bidi="en-GB"/>
        </w:rPr>
        <w:t>State Environmental Policy of the Czech Republic 2012–2020</w:t>
      </w:r>
    </w:p>
    <w:p w14:paraId="775CC33A" w14:textId="77777777" w:rsidR="000848F6" w:rsidRPr="00E128B3" w:rsidRDefault="000848F6" w:rsidP="001B1D79">
      <w:pPr>
        <w:pStyle w:val="Text"/>
        <w:tabs>
          <w:tab w:val="left" w:pos="1276"/>
        </w:tabs>
        <w:spacing w:before="0" w:after="80"/>
        <w:ind w:left="1276" w:hanging="1276"/>
        <w:jc w:val="left"/>
        <w:rPr>
          <w:lang w:val="en-GB"/>
        </w:rPr>
      </w:pPr>
      <w:r w:rsidRPr="00E128B3">
        <w:rPr>
          <w:lang w:val="en-GB" w:bidi="en-GB"/>
        </w:rPr>
        <w:t>SSIM (Czech acronym)</w:t>
      </w:r>
      <w:r w:rsidRPr="00E128B3">
        <w:rPr>
          <w:lang w:val="en-GB" w:bidi="en-GB"/>
        </w:rPr>
        <w:tab/>
        <w:t>state network for air pollution monitoring</w:t>
      </w:r>
    </w:p>
    <w:p w14:paraId="3CBA8341" w14:textId="77777777" w:rsidR="00395345" w:rsidRPr="00E128B3" w:rsidRDefault="00395345" w:rsidP="001B1D79">
      <w:pPr>
        <w:pStyle w:val="Text"/>
        <w:tabs>
          <w:tab w:val="left" w:pos="1276"/>
        </w:tabs>
        <w:spacing w:before="0" w:after="80"/>
        <w:ind w:left="1276" w:hanging="1276"/>
        <w:jc w:val="left"/>
        <w:rPr>
          <w:lang w:val="en-GB"/>
        </w:rPr>
      </w:pPr>
      <w:r w:rsidRPr="00E128B3">
        <w:rPr>
          <w:lang w:val="en-GB" w:bidi="en-GB"/>
        </w:rPr>
        <w:t>Strategy</w:t>
      </w:r>
      <w:r w:rsidRPr="00E128B3">
        <w:rPr>
          <w:lang w:val="en-GB" w:bidi="en-GB"/>
        </w:rPr>
        <w:tab/>
      </w:r>
      <w:r w:rsidRPr="00E128B3">
        <w:rPr>
          <w:i/>
          <w:lang w:val="en-GB" w:bidi="en-GB"/>
        </w:rPr>
        <w:t>Medium-term Air Quality Improvement Strategy of the Czech Republic (until 2020)</w:t>
      </w:r>
    </w:p>
    <w:p w14:paraId="5A4A1FC4" w14:textId="19FED278" w:rsidR="00395345" w:rsidRPr="00E128B3" w:rsidRDefault="006F6BF4" w:rsidP="001B1D79">
      <w:pPr>
        <w:pStyle w:val="Text"/>
        <w:tabs>
          <w:tab w:val="left" w:pos="1276"/>
        </w:tabs>
        <w:spacing w:before="0" w:after="80"/>
        <w:ind w:left="1276" w:hanging="1276"/>
        <w:jc w:val="left"/>
        <w:rPr>
          <w:lang w:val="en-GB"/>
        </w:rPr>
      </w:pPr>
      <w:r w:rsidRPr="00E128B3">
        <w:rPr>
          <w:lang w:val="en-GB" w:bidi="en-GB"/>
        </w:rPr>
        <w:t>Environment Report</w:t>
      </w:r>
      <w:r w:rsidRPr="00E128B3">
        <w:rPr>
          <w:lang w:val="en-GB" w:bidi="en-GB"/>
        </w:rPr>
        <w:tab/>
        <w:t>Report on the Environment of the Czech Republic</w:t>
      </w:r>
      <w:r w:rsidR="00395345" w:rsidRPr="00E128B3">
        <w:rPr>
          <w:lang w:val="en-GB" w:bidi="en-GB"/>
        </w:rPr>
        <w:br w:type="page"/>
      </w:r>
    </w:p>
    <w:p w14:paraId="68B18328" w14:textId="77777777" w:rsidR="00395345" w:rsidRPr="00E128B3" w:rsidRDefault="00395345" w:rsidP="001B1D79">
      <w:pPr>
        <w:pStyle w:val="Nadpis1"/>
        <w:numPr>
          <w:ilvl w:val="0"/>
          <w:numId w:val="0"/>
        </w:numPr>
        <w:spacing w:before="120" w:after="120" w:line="264" w:lineRule="auto"/>
        <w:ind w:left="431" w:hanging="431"/>
        <w:rPr>
          <w:sz w:val="24"/>
          <w:lang w:val="en-GB" w:eastAsia="cs-CZ"/>
        </w:rPr>
      </w:pPr>
      <w:r w:rsidRPr="00E128B3">
        <w:rPr>
          <w:sz w:val="24"/>
          <w:lang w:val="en-GB" w:bidi="en-GB"/>
        </w:rPr>
        <w:t>Annex 1</w:t>
      </w:r>
    </w:p>
    <w:p w14:paraId="7D019761" w14:textId="77777777" w:rsidR="00395345" w:rsidRPr="00E128B3" w:rsidRDefault="00395345" w:rsidP="001B1D79">
      <w:pPr>
        <w:pStyle w:val="TextKP"/>
        <w:spacing w:after="120" w:line="264" w:lineRule="auto"/>
        <w:rPr>
          <w:lang w:val="en-GB" w:eastAsia="cs-CZ"/>
        </w:rPr>
      </w:pPr>
      <w:r w:rsidRPr="00E128B3">
        <w:rPr>
          <w:b/>
          <w:lang w:val="en-GB" w:bidi="en-GB"/>
        </w:rPr>
        <w:t>Selected air pollution limits according to Act No. 201/2012 Coll. and Decree No. 330/2012 Coll.</w:t>
      </w:r>
    </w:p>
    <w:p w14:paraId="04C58DEE" w14:textId="77777777" w:rsidR="002350E3" w:rsidRPr="00E128B3" w:rsidRDefault="002350E3" w:rsidP="00141703">
      <w:pPr>
        <w:pStyle w:val="Titulek"/>
        <w:spacing w:after="40"/>
        <w:rPr>
          <w:b/>
          <w:lang w:val="en-GB"/>
        </w:rPr>
      </w:pPr>
    </w:p>
    <w:p w14:paraId="41195C20" w14:textId="6F1AF577" w:rsidR="00395345" w:rsidRPr="00E128B3" w:rsidRDefault="00395345" w:rsidP="00470F6E">
      <w:pPr>
        <w:pStyle w:val="Titulek"/>
        <w:spacing w:after="40"/>
        <w:ind w:left="851" w:hanging="851"/>
        <w:jc w:val="left"/>
        <w:rPr>
          <w:b/>
          <w:lang w:val="en-GB" w:eastAsia="cs-CZ"/>
        </w:rPr>
      </w:pPr>
      <w:r w:rsidRPr="00E128B3">
        <w:rPr>
          <w:b/>
          <w:lang w:val="en-GB" w:bidi="en-GB"/>
        </w:rPr>
        <w:t xml:space="preserve">Table </w:t>
      </w:r>
      <w:r w:rsidR="00A36661" w:rsidRPr="00E128B3">
        <w:rPr>
          <w:b/>
          <w:lang w:val="en-GB" w:bidi="en-GB"/>
        </w:rPr>
        <w:fldChar w:fldCharType="begin"/>
      </w:r>
      <w:r w:rsidR="00A36661" w:rsidRPr="00E128B3">
        <w:rPr>
          <w:b/>
          <w:lang w:val="en-GB" w:bidi="en-GB"/>
        </w:rPr>
        <w:instrText xml:space="preserve"> SEQ Tabulka_č. \* ARABIC </w:instrText>
      </w:r>
      <w:r w:rsidR="00A36661" w:rsidRPr="00E128B3">
        <w:rPr>
          <w:b/>
          <w:lang w:val="en-GB" w:bidi="en-GB"/>
        </w:rPr>
        <w:fldChar w:fldCharType="separate"/>
      </w:r>
      <w:r w:rsidR="00136D57">
        <w:rPr>
          <w:b/>
          <w:noProof/>
          <w:lang w:val="en-GB" w:bidi="en-GB"/>
        </w:rPr>
        <w:t>5</w:t>
      </w:r>
      <w:r w:rsidR="00A36661" w:rsidRPr="00E128B3">
        <w:rPr>
          <w:b/>
          <w:noProof/>
          <w:lang w:val="en-GB" w:bidi="en-GB"/>
        </w:rPr>
        <w:fldChar w:fldCharType="end"/>
      </w:r>
      <w:r w:rsidRPr="00E128B3">
        <w:rPr>
          <w:b/>
          <w:lang w:val="en-GB" w:bidi="en-GB"/>
        </w:rPr>
        <w:t xml:space="preserve">: </w:t>
      </w:r>
      <w:r w:rsidR="00470F6E">
        <w:rPr>
          <w:b/>
          <w:lang w:val="en-GB" w:bidi="en-GB"/>
        </w:rPr>
        <w:tab/>
      </w:r>
      <w:r w:rsidRPr="00E128B3">
        <w:rPr>
          <w:b/>
          <w:lang w:val="en-GB" w:bidi="en-GB"/>
        </w:rPr>
        <w:t>Air pollution limits for health protection and the maximum number of exceedances</w:t>
      </w:r>
    </w:p>
    <w:tbl>
      <w:tblPr>
        <w:tblW w:w="5000" w:type="pct"/>
        <w:tblCellMar>
          <w:left w:w="70" w:type="dxa"/>
          <w:right w:w="70" w:type="dxa"/>
        </w:tblCellMar>
        <w:tblLook w:val="04A0" w:firstRow="1" w:lastRow="0" w:firstColumn="1" w:lastColumn="0" w:noHBand="0" w:noVBand="1"/>
      </w:tblPr>
      <w:tblGrid>
        <w:gridCol w:w="1651"/>
        <w:gridCol w:w="2432"/>
        <w:gridCol w:w="1610"/>
        <w:gridCol w:w="1610"/>
        <w:gridCol w:w="1909"/>
      </w:tblGrid>
      <w:tr w:rsidR="00B9337F" w:rsidRPr="00E128B3" w14:paraId="5917EB00" w14:textId="77777777" w:rsidTr="002350E3">
        <w:trPr>
          <w:trHeight w:val="283"/>
        </w:trPr>
        <w:tc>
          <w:tcPr>
            <w:tcW w:w="896"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04F00315" w14:textId="77777777" w:rsidR="00395345" w:rsidRPr="00E128B3" w:rsidRDefault="00395345" w:rsidP="00395345">
            <w:pPr>
              <w:jc w:val="center"/>
              <w:rPr>
                <w:rFonts w:ascii="Calibri" w:hAnsi="Calibri" w:cs="Calibri"/>
                <w:b/>
                <w:bCs/>
                <w:sz w:val="20"/>
                <w:szCs w:val="20"/>
                <w:lang w:val="en-GB" w:eastAsia="cs-CZ"/>
              </w:rPr>
            </w:pPr>
            <w:r w:rsidRPr="00E128B3">
              <w:rPr>
                <w:rFonts w:ascii="Calibri" w:eastAsia="Calibri" w:hAnsi="Calibri" w:cs="Calibri"/>
                <w:b/>
                <w:sz w:val="20"/>
                <w:szCs w:val="20"/>
                <w:lang w:val="en-GB" w:bidi="en-GB"/>
              </w:rPr>
              <w:t>Pollutant</w:t>
            </w:r>
          </w:p>
        </w:tc>
        <w:tc>
          <w:tcPr>
            <w:tcW w:w="1320"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06B2ECBD" w14:textId="77777777" w:rsidR="00395345" w:rsidRPr="00E128B3" w:rsidRDefault="00395345" w:rsidP="00395345">
            <w:pPr>
              <w:jc w:val="center"/>
              <w:rPr>
                <w:rFonts w:ascii="Calibri" w:hAnsi="Calibri" w:cs="Calibri"/>
                <w:b/>
                <w:bCs/>
                <w:sz w:val="20"/>
                <w:szCs w:val="20"/>
                <w:lang w:val="en-GB" w:eastAsia="cs-CZ"/>
              </w:rPr>
            </w:pPr>
            <w:r w:rsidRPr="00E128B3">
              <w:rPr>
                <w:rFonts w:ascii="Calibri" w:eastAsia="Calibri" w:hAnsi="Calibri" w:cs="Calibri"/>
                <w:b/>
                <w:sz w:val="20"/>
                <w:szCs w:val="20"/>
                <w:lang w:val="en-GB" w:bidi="en-GB"/>
              </w:rPr>
              <w:t>Averaging period</w:t>
            </w:r>
          </w:p>
        </w:tc>
        <w:tc>
          <w:tcPr>
            <w:tcW w:w="1748" w:type="pct"/>
            <w:gridSpan w:val="2"/>
            <w:tcBorders>
              <w:top w:val="single" w:sz="4" w:space="0" w:color="auto"/>
              <w:left w:val="nil"/>
              <w:bottom w:val="single" w:sz="4" w:space="0" w:color="auto"/>
              <w:right w:val="single" w:sz="4" w:space="0" w:color="auto"/>
            </w:tcBorders>
            <w:shd w:val="clear" w:color="000000" w:fill="E5F1FF"/>
            <w:vAlign w:val="center"/>
            <w:hideMark/>
          </w:tcPr>
          <w:p w14:paraId="1930B34E" w14:textId="69700F80" w:rsidR="00395345" w:rsidRPr="00E128B3" w:rsidRDefault="00644D5C" w:rsidP="00815722">
            <w:pPr>
              <w:jc w:val="center"/>
              <w:rPr>
                <w:rFonts w:ascii="Calibri" w:hAnsi="Calibri" w:cs="Calibri"/>
                <w:b/>
                <w:bCs/>
                <w:sz w:val="20"/>
                <w:szCs w:val="20"/>
                <w:lang w:val="en-GB" w:eastAsia="cs-CZ"/>
              </w:rPr>
            </w:pPr>
            <w:r w:rsidRPr="00E128B3">
              <w:rPr>
                <w:rFonts w:ascii="Calibri" w:eastAsia="Calibri" w:hAnsi="Calibri" w:cs="Calibri"/>
                <w:b/>
                <w:sz w:val="20"/>
                <w:szCs w:val="20"/>
                <w:lang w:val="en-GB" w:bidi="en-GB"/>
              </w:rPr>
              <w:t>Assessment threshold (µg/m</w:t>
            </w:r>
            <w:r w:rsidRPr="00E128B3">
              <w:rPr>
                <w:rFonts w:ascii="Calibri" w:eastAsia="Calibri" w:hAnsi="Calibri" w:cs="Calibri"/>
                <w:b/>
                <w:sz w:val="20"/>
                <w:szCs w:val="20"/>
                <w:vertAlign w:val="superscript"/>
                <w:lang w:val="en-GB" w:bidi="en-GB"/>
              </w:rPr>
              <w:t>3</w:t>
            </w:r>
            <w:r w:rsidRPr="00E128B3">
              <w:rPr>
                <w:rFonts w:ascii="Calibri" w:eastAsia="Calibri" w:hAnsi="Calibri" w:cs="Calibri"/>
                <w:b/>
                <w:sz w:val="20"/>
                <w:szCs w:val="20"/>
                <w:lang w:val="en-GB" w:bidi="en-GB"/>
              </w:rPr>
              <w:t>)</w:t>
            </w:r>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7C5B63FD" w14:textId="6C7444D8" w:rsidR="00395345" w:rsidRPr="00E128B3" w:rsidRDefault="00635EBF" w:rsidP="00815722">
            <w:pPr>
              <w:jc w:val="center"/>
              <w:rPr>
                <w:rFonts w:ascii="Calibri" w:hAnsi="Calibri" w:cs="Calibri"/>
                <w:b/>
                <w:bCs/>
                <w:sz w:val="20"/>
                <w:szCs w:val="20"/>
                <w:lang w:val="en-GB" w:eastAsia="cs-CZ"/>
              </w:rPr>
            </w:pPr>
            <w:r w:rsidRPr="00E128B3">
              <w:rPr>
                <w:rFonts w:ascii="Calibri" w:eastAsia="Calibri" w:hAnsi="Calibri" w:cs="Calibri"/>
                <w:b/>
                <w:sz w:val="20"/>
                <w:szCs w:val="20"/>
                <w:lang w:val="en-GB" w:bidi="en-GB"/>
              </w:rPr>
              <w:t>Air pollution limit (µg/m</w:t>
            </w:r>
            <w:r w:rsidRPr="00E128B3">
              <w:rPr>
                <w:rFonts w:ascii="Calibri" w:eastAsia="Calibri" w:hAnsi="Calibri" w:cs="Calibri"/>
                <w:b/>
                <w:sz w:val="20"/>
                <w:szCs w:val="20"/>
                <w:vertAlign w:val="superscript"/>
                <w:lang w:val="en-GB" w:bidi="en-GB"/>
              </w:rPr>
              <w:t>3</w:t>
            </w:r>
            <w:r w:rsidRPr="00E128B3">
              <w:rPr>
                <w:rFonts w:ascii="Calibri" w:eastAsia="Calibri" w:hAnsi="Calibri" w:cs="Calibri"/>
                <w:b/>
                <w:sz w:val="20"/>
                <w:szCs w:val="20"/>
                <w:lang w:val="en-GB" w:bidi="en-GB"/>
              </w:rPr>
              <w:t>)</w:t>
            </w:r>
          </w:p>
        </w:tc>
      </w:tr>
      <w:tr w:rsidR="00B9337F" w:rsidRPr="00E128B3" w14:paraId="1539EB60" w14:textId="77777777" w:rsidTr="002350E3">
        <w:trPr>
          <w:trHeight w:val="283"/>
        </w:trPr>
        <w:tc>
          <w:tcPr>
            <w:tcW w:w="896" w:type="pct"/>
            <w:vMerge/>
            <w:tcBorders>
              <w:top w:val="single" w:sz="4" w:space="0" w:color="auto"/>
              <w:left w:val="single" w:sz="4" w:space="0" w:color="auto"/>
              <w:bottom w:val="single" w:sz="4" w:space="0" w:color="auto"/>
              <w:right w:val="single" w:sz="4" w:space="0" w:color="auto"/>
            </w:tcBorders>
            <w:vAlign w:val="center"/>
            <w:hideMark/>
          </w:tcPr>
          <w:p w14:paraId="059F5637" w14:textId="77777777" w:rsidR="00395345" w:rsidRPr="00E128B3" w:rsidRDefault="00395345" w:rsidP="00395345">
            <w:pPr>
              <w:rPr>
                <w:rFonts w:ascii="Calibri" w:hAnsi="Calibri" w:cs="Calibri"/>
                <w:b/>
                <w:bCs/>
                <w:sz w:val="20"/>
                <w:szCs w:val="20"/>
                <w:lang w:val="en-GB" w:eastAsia="cs-CZ"/>
              </w:rPr>
            </w:pPr>
          </w:p>
        </w:tc>
        <w:tc>
          <w:tcPr>
            <w:tcW w:w="1320" w:type="pct"/>
            <w:vMerge/>
            <w:tcBorders>
              <w:top w:val="single" w:sz="4" w:space="0" w:color="auto"/>
              <w:left w:val="single" w:sz="4" w:space="0" w:color="auto"/>
              <w:bottom w:val="single" w:sz="4" w:space="0" w:color="auto"/>
              <w:right w:val="single" w:sz="4" w:space="0" w:color="auto"/>
            </w:tcBorders>
            <w:vAlign w:val="center"/>
            <w:hideMark/>
          </w:tcPr>
          <w:p w14:paraId="4CBB2F15" w14:textId="77777777" w:rsidR="00395345" w:rsidRPr="00E128B3" w:rsidRDefault="00395345" w:rsidP="00395345">
            <w:pPr>
              <w:rPr>
                <w:rFonts w:ascii="Calibri" w:hAnsi="Calibri" w:cs="Calibri"/>
                <w:b/>
                <w:bCs/>
                <w:sz w:val="20"/>
                <w:szCs w:val="20"/>
                <w:lang w:val="en-GB" w:eastAsia="cs-CZ"/>
              </w:rPr>
            </w:pPr>
          </w:p>
        </w:tc>
        <w:tc>
          <w:tcPr>
            <w:tcW w:w="874" w:type="pct"/>
            <w:tcBorders>
              <w:top w:val="nil"/>
              <w:left w:val="nil"/>
              <w:bottom w:val="single" w:sz="4" w:space="0" w:color="auto"/>
              <w:right w:val="single" w:sz="4" w:space="0" w:color="auto"/>
            </w:tcBorders>
            <w:shd w:val="clear" w:color="000000" w:fill="E5F1FF"/>
            <w:noWrap/>
            <w:vAlign w:val="center"/>
            <w:hideMark/>
          </w:tcPr>
          <w:p w14:paraId="440A0DD3" w14:textId="77777777" w:rsidR="00395345" w:rsidRPr="00E128B3" w:rsidRDefault="00395345" w:rsidP="00395345">
            <w:pPr>
              <w:jc w:val="center"/>
              <w:rPr>
                <w:rFonts w:ascii="Calibri" w:hAnsi="Calibri" w:cs="Calibri"/>
                <w:b/>
                <w:bCs/>
                <w:sz w:val="20"/>
                <w:szCs w:val="20"/>
                <w:lang w:val="en-GB" w:eastAsia="cs-CZ"/>
              </w:rPr>
            </w:pPr>
            <w:r w:rsidRPr="00E128B3">
              <w:rPr>
                <w:rFonts w:ascii="Calibri" w:eastAsia="Calibri" w:hAnsi="Calibri" w:cs="Calibri"/>
                <w:b/>
                <w:sz w:val="20"/>
                <w:szCs w:val="20"/>
                <w:lang w:val="en-GB" w:bidi="en-GB"/>
              </w:rPr>
              <w:t>LAT</w:t>
            </w:r>
          </w:p>
        </w:tc>
        <w:tc>
          <w:tcPr>
            <w:tcW w:w="874" w:type="pct"/>
            <w:tcBorders>
              <w:top w:val="nil"/>
              <w:left w:val="nil"/>
              <w:bottom w:val="single" w:sz="4" w:space="0" w:color="auto"/>
              <w:right w:val="single" w:sz="4" w:space="0" w:color="auto"/>
            </w:tcBorders>
            <w:shd w:val="clear" w:color="000000" w:fill="E5F1FF"/>
            <w:noWrap/>
            <w:vAlign w:val="center"/>
            <w:hideMark/>
          </w:tcPr>
          <w:p w14:paraId="50C11F48" w14:textId="77777777" w:rsidR="00395345" w:rsidRPr="00E128B3" w:rsidRDefault="00395345" w:rsidP="00395345">
            <w:pPr>
              <w:jc w:val="center"/>
              <w:rPr>
                <w:rFonts w:ascii="Calibri" w:hAnsi="Calibri" w:cs="Calibri"/>
                <w:b/>
                <w:bCs/>
                <w:sz w:val="20"/>
                <w:szCs w:val="20"/>
                <w:lang w:val="en-GB" w:eastAsia="cs-CZ"/>
              </w:rPr>
            </w:pPr>
            <w:r w:rsidRPr="00E128B3">
              <w:rPr>
                <w:rFonts w:ascii="Calibri" w:eastAsia="Calibri" w:hAnsi="Calibri" w:cs="Calibri"/>
                <w:b/>
                <w:sz w:val="20"/>
                <w:szCs w:val="20"/>
                <w:lang w:val="en-GB" w:bidi="en-GB"/>
              </w:rPr>
              <w:t>UAT</w:t>
            </w: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BD9FFE0" w14:textId="77777777" w:rsidR="00395345" w:rsidRPr="00E128B3" w:rsidRDefault="00395345" w:rsidP="00395345">
            <w:pPr>
              <w:rPr>
                <w:rFonts w:ascii="Calibri" w:hAnsi="Calibri" w:cs="Calibri"/>
                <w:b/>
                <w:bCs/>
                <w:sz w:val="20"/>
                <w:szCs w:val="20"/>
                <w:lang w:val="en-GB" w:eastAsia="cs-CZ"/>
              </w:rPr>
            </w:pPr>
          </w:p>
        </w:tc>
      </w:tr>
      <w:tr w:rsidR="00B9337F" w:rsidRPr="00E128B3" w14:paraId="0FED13CC" w14:textId="77777777" w:rsidTr="002350E3">
        <w:trPr>
          <w:trHeight w:val="283"/>
        </w:trPr>
        <w:tc>
          <w:tcPr>
            <w:tcW w:w="8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A0781C9"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SO</w:t>
            </w:r>
            <w:r w:rsidRPr="00E128B3">
              <w:rPr>
                <w:rFonts w:ascii="Calibri" w:eastAsia="Calibri" w:hAnsi="Calibri" w:cs="Calibri"/>
                <w:color w:val="000000"/>
                <w:sz w:val="20"/>
                <w:szCs w:val="20"/>
                <w:vertAlign w:val="subscript"/>
                <w:lang w:val="en-GB" w:bidi="en-GB"/>
              </w:rPr>
              <w:t>2</w:t>
            </w:r>
          </w:p>
        </w:tc>
        <w:tc>
          <w:tcPr>
            <w:tcW w:w="1320" w:type="pct"/>
            <w:tcBorders>
              <w:top w:val="nil"/>
              <w:left w:val="nil"/>
              <w:bottom w:val="single" w:sz="4" w:space="0" w:color="auto"/>
              <w:right w:val="single" w:sz="4" w:space="0" w:color="auto"/>
            </w:tcBorders>
            <w:shd w:val="clear" w:color="auto" w:fill="auto"/>
            <w:noWrap/>
            <w:vAlign w:val="center"/>
            <w:hideMark/>
          </w:tcPr>
          <w:p w14:paraId="3D0AF9E6" w14:textId="77777777" w:rsidR="00395345" w:rsidRPr="00E128B3" w:rsidRDefault="00395345" w:rsidP="00395345">
            <w:pP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1 hour</w:t>
            </w:r>
          </w:p>
        </w:tc>
        <w:tc>
          <w:tcPr>
            <w:tcW w:w="874" w:type="pct"/>
            <w:tcBorders>
              <w:top w:val="nil"/>
              <w:left w:val="nil"/>
              <w:bottom w:val="single" w:sz="4" w:space="0" w:color="auto"/>
              <w:right w:val="single" w:sz="4" w:space="0" w:color="auto"/>
            </w:tcBorders>
            <w:shd w:val="clear" w:color="auto" w:fill="auto"/>
            <w:vAlign w:val="center"/>
            <w:hideMark/>
          </w:tcPr>
          <w:p w14:paraId="6921CC63"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w:t>
            </w:r>
          </w:p>
        </w:tc>
        <w:tc>
          <w:tcPr>
            <w:tcW w:w="874" w:type="pct"/>
            <w:tcBorders>
              <w:top w:val="nil"/>
              <w:left w:val="nil"/>
              <w:bottom w:val="single" w:sz="4" w:space="0" w:color="auto"/>
              <w:right w:val="single" w:sz="4" w:space="0" w:color="auto"/>
            </w:tcBorders>
            <w:shd w:val="clear" w:color="auto" w:fill="auto"/>
            <w:vAlign w:val="center"/>
            <w:hideMark/>
          </w:tcPr>
          <w:p w14:paraId="50AAD804"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w:t>
            </w:r>
          </w:p>
        </w:tc>
        <w:tc>
          <w:tcPr>
            <w:tcW w:w="1036" w:type="pct"/>
            <w:tcBorders>
              <w:top w:val="nil"/>
              <w:left w:val="nil"/>
              <w:bottom w:val="single" w:sz="4" w:space="0" w:color="auto"/>
              <w:right w:val="single" w:sz="4" w:space="0" w:color="auto"/>
            </w:tcBorders>
            <w:shd w:val="clear" w:color="auto" w:fill="auto"/>
            <w:vAlign w:val="center"/>
            <w:hideMark/>
          </w:tcPr>
          <w:p w14:paraId="452DFA6D"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350</w:t>
            </w:r>
            <w:r w:rsidRPr="00E128B3">
              <w:rPr>
                <w:rFonts w:ascii="Calibri" w:eastAsia="Calibri" w:hAnsi="Calibri" w:cs="Calibri"/>
                <w:color w:val="000000"/>
                <w:sz w:val="20"/>
                <w:szCs w:val="20"/>
                <w:lang w:val="en-GB" w:bidi="en-GB"/>
              </w:rPr>
              <w:br/>
              <w:t>max. 24 times per year</w:t>
            </w:r>
          </w:p>
        </w:tc>
      </w:tr>
      <w:tr w:rsidR="00B9337F" w:rsidRPr="00E128B3" w14:paraId="152F1207" w14:textId="77777777" w:rsidTr="002350E3">
        <w:trPr>
          <w:trHeight w:val="283"/>
        </w:trPr>
        <w:tc>
          <w:tcPr>
            <w:tcW w:w="896" w:type="pct"/>
            <w:vMerge/>
            <w:tcBorders>
              <w:top w:val="nil"/>
              <w:left w:val="single" w:sz="4" w:space="0" w:color="auto"/>
              <w:bottom w:val="single" w:sz="4" w:space="0" w:color="auto"/>
              <w:right w:val="single" w:sz="4" w:space="0" w:color="auto"/>
            </w:tcBorders>
            <w:vAlign w:val="center"/>
            <w:hideMark/>
          </w:tcPr>
          <w:p w14:paraId="151D37AD" w14:textId="77777777" w:rsidR="00395345" w:rsidRPr="00E128B3" w:rsidRDefault="00395345" w:rsidP="00395345">
            <w:pPr>
              <w:rPr>
                <w:rFonts w:ascii="Calibri" w:hAnsi="Calibri" w:cs="Calibri"/>
                <w:color w:val="000000"/>
                <w:sz w:val="20"/>
                <w:szCs w:val="20"/>
                <w:lang w:val="en-GB" w:eastAsia="cs-CZ"/>
              </w:rPr>
            </w:pPr>
          </w:p>
        </w:tc>
        <w:tc>
          <w:tcPr>
            <w:tcW w:w="1320" w:type="pct"/>
            <w:tcBorders>
              <w:top w:val="nil"/>
              <w:left w:val="nil"/>
              <w:bottom w:val="single" w:sz="4" w:space="0" w:color="auto"/>
              <w:right w:val="single" w:sz="4" w:space="0" w:color="auto"/>
            </w:tcBorders>
            <w:shd w:val="clear" w:color="auto" w:fill="auto"/>
            <w:noWrap/>
            <w:vAlign w:val="center"/>
            <w:hideMark/>
          </w:tcPr>
          <w:p w14:paraId="1CEDB507" w14:textId="77777777" w:rsidR="00395345" w:rsidRPr="00E128B3" w:rsidRDefault="00395345" w:rsidP="00395345">
            <w:pP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24 hours</w:t>
            </w:r>
          </w:p>
        </w:tc>
        <w:tc>
          <w:tcPr>
            <w:tcW w:w="874" w:type="pct"/>
            <w:tcBorders>
              <w:top w:val="nil"/>
              <w:left w:val="nil"/>
              <w:bottom w:val="single" w:sz="4" w:space="0" w:color="auto"/>
              <w:right w:val="single" w:sz="4" w:space="0" w:color="auto"/>
            </w:tcBorders>
            <w:shd w:val="clear" w:color="auto" w:fill="auto"/>
            <w:vAlign w:val="center"/>
            <w:hideMark/>
          </w:tcPr>
          <w:p w14:paraId="66468477"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50</w:t>
            </w:r>
            <w:r w:rsidRPr="00E128B3">
              <w:rPr>
                <w:rFonts w:ascii="Calibri" w:eastAsia="Calibri" w:hAnsi="Calibri" w:cs="Calibri"/>
                <w:color w:val="000000"/>
                <w:sz w:val="20"/>
                <w:szCs w:val="20"/>
                <w:lang w:val="en-GB" w:bidi="en-GB"/>
              </w:rPr>
              <w:br/>
              <w:t>max. 3 times per year</w:t>
            </w:r>
          </w:p>
        </w:tc>
        <w:tc>
          <w:tcPr>
            <w:tcW w:w="874" w:type="pct"/>
            <w:tcBorders>
              <w:top w:val="nil"/>
              <w:left w:val="nil"/>
              <w:bottom w:val="single" w:sz="4" w:space="0" w:color="auto"/>
              <w:right w:val="single" w:sz="4" w:space="0" w:color="auto"/>
            </w:tcBorders>
            <w:shd w:val="clear" w:color="auto" w:fill="auto"/>
            <w:vAlign w:val="center"/>
            <w:hideMark/>
          </w:tcPr>
          <w:p w14:paraId="3A54A88A"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75</w:t>
            </w:r>
            <w:r w:rsidRPr="00E128B3">
              <w:rPr>
                <w:rFonts w:ascii="Calibri" w:eastAsia="Calibri" w:hAnsi="Calibri" w:cs="Calibri"/>
                <w:color w:val="000000"/>
                <w:sz w:val="20"/>
                <w:szCs w:val="20"/>
                <w:lang w:val="en-GB" w:bidi="en-GB"/>
              </w:rPr>
              <w:br/>
              <w:t>max. 3 times per year</w:t>
            </w:r>
          </w:p>
        </w:tc>
        <w:tc>
          <w:tcPr>
            <w:tcW w:w="1036" w:type="pct"/>
            <w:tcBorders>
              <w:top w:val="nil"/>
              <w:left w:val="nil"/>
              <w:bottom w:val="single" w:sz="4" w:space="0" w:color="auto"/>
              <w:right w:val="single" w:sz="4" w:space="0" w:color="auto"/>
            </w:tcBorders>
            <w:shd w:val="clear" w:color="auto" w:fill="auto"/>
            <w:vAlign w:val="center"/>
            <w:hideMark/>
          </w:tcPr>
          <w:p w14:paraId="5CD291C5"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125</w:t>
            </w:r>
            <w:r w:rsidRPr="00E128B3">
              <w:rPr>
                <w:rFonts w:ascii="Calibri" w:eastAsia="Calibri" w:hAnsi="Calibri" w:cs="Calibri"/>
                <w:color w:val="000000"/>
                <w:sz w:val="20"/>
                <w:szCs w:val="20"/>
                <w:lang w:val="en-GB" w:bidi="en-GB"/>
              </w:rPr>
              <w:br/>
              <w:t xml:space="preserve">max. 3 times per year </w:t>
            </w:r>
          </w:p>
        </w:tc>
      </w:tr>
      <w:tr w:rsidR="00B9337F" w:rsidRPr="00E128B3" w14:paraId="589C09FC" w14:textId="77777777" w:rsidTr="002350E3">
        <w:trPr>
          <w:trHeight w:val="283"/>
        </w:trPr>
        <w:tc>
          <w:tcPr>
            <w:tcW w:w="8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D359C1"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NO</w:t>
            </w:r>
            <w:r w:rsidRPr="00E128B3">
              <w:rPr>
                <w:rFonts w:ascii="Calibri" w:eastAsia="Calibri" w:hAnsi="Calibri" w:cs="Calibri"/>
                <w:color w:val="000000"/>
                <w:sz w:val="20"/>
                <w:szCs w:val="20"/>
                <w:vertAlign w:val="subscript"/>
                <w:lang w:val="en-GB" w:bidi="en-GB"/>
              </w:rPr>
              <w:t>2</w:t>
            </w:r>
          </w:p>
        </w:tc>
        <w:tc>
          <w:tcPr>
            <w:tcW w:w="1320" w:type="pct"/>
            <w:tcBorders>
              <w:top w:val="nil"/>
              <w:left w:val="nil"/>
              <w:bottom w:val="single" w:sz="4" w:space="0" w:color="auto"/>
              <w:right w:val="single" w:sz="4" w:space="0" w:color="auto"/>
            </w:tcBorders>
            <w:shd w:val="clear" w:color="auto" w:fill="auto"/>
            <w:noWrap/>
            <w:vAlign w:val="center"/>
            <w:hideMark/>
          </w:tcPr>
          <w:p w14:paraId="4C271854" w14:textId="77777777" w:rsidR="00395345" w:rsidRPr="00E128B3" w:rsidRDefault="00395345" w:rsidP="00395345">
            <w:pP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1 hour</w:t>
            </w:r>
          </w:p>
        </w:tc>
        <w:tc>
          <w:tcPr>
            <w:tcW w:w="874" w:type="pct"/>
            <w:tcBorders>
              <w:top w:val="nil"/>
              <w:left w:val="nil"/>
              <w:bottom w:val="single" w:sz="4" w:space="0" w:color="auto"/>
              <w:right w:val="single" w:sz="4" w:space="0" w:color="auto"/>
            </w:tcBorders>
            <w:shd w:val="clear" w:color="auto" w:fill="auto"/>
            <w:vAlign w:val="center"/>
            <w:hideMark/>
          </w:tcPr>
          <w:p w14:paraId="12DD38D8"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100</w:t>
            </w:r>
            <w:r w:rsidRPr="00E128B3">
              <w:rPr>
                <w:rFonts w:ascii="Calibri" w:eastAsia="Calibri" w:hAnsi="Calibri" w:cs="Calibri"/>
                <w:color w:val="000000"/>
                <w:sz w:val="20"/>
                <w:szCs w:val="20"/>
                <w:lang w:val="en-GB" w:bidi="en-GB"/>
              </w:rPr>
              <w:br/>
              <w:t>max. 18 times per year</w:t>
            </w:r>
          </w:p>
        </w:tc>
        <w:tc>
          <w:tcPr>
            <w:tcW w:w="874" w:type="pct"/>
            <w:tcBorders>
              <w:top w:val="nil"/>
              <w:left w:val="nil"/>
              <w:bottom w:val="single" w:sz="4" w:space="0" w:color="auto"/>
              <w:right w:val="single" w:sz="4" w:space="0" w:color="auto"/>
            </w:tcBorders>
            <w:shd w:val="clear" w:color="auto" w:fill="auto"/>
            <w:vAlign w:val="center"/>
            <w:hideMark/>
          </w:tcPr>
          <w:p w14:paraId="4BDA6047"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140</w:t>
            </w:r>
            <w:r w:rsidRPr="00E128B3">
              <w:rPr>
                <w:rFonts w:ascii="Calibri" w:eastAsia="Calibri" w:hAnsi="Calibri" w:cs="Calibri"/>
                <w:color w:val="000000"/>
                <w:sz w:val="20"/>
                <w:szCs w:val="20"/>
                <w:lang w:val="en-GB" w:bidi="en-GB"/>
              </w:rPr>
              <w:br/>
              <w:t>max. 18 times per year</w:t>
            </w:r>
          </w:p>
        </w:tc>
        <w:tc>
          <w:tcPr>
            <w:tcW w:w="1036" w:type="pct"/>
            <w:tcBorders>
              <w:top w:val="nil"/>
              <w:left w:val="nil"/>
              <w:bottom w:val="single" w:sz="4" w:space="0" w:color="auto"/>
              <w:right w:val="single" w:sz="4" w:space="0" w:color="auto"/>
            </w:tcBorders>
            <w:shd w:val="clear" w:color="auto" w:fill="auto"/>
            <w:vAlign w:val="center"/>
            <w:hideMark/>
          </w:tcPr>
          <w:p w14:paraId="13AC6B46"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200</w:t>
            </w:r>
            <w:r w:rsidRPr="00E128B3">
              <w:rPr>
                <w:rFonts w:ascii="Calibri" w:eastAsia="Calibri" w:hAnsi="Calibri" w:cs="Calibri"/>
                <w:color w:val="000000"/>
                <w:sz w:val="20"/>
                <w:szCs w:val="20"/>
                <w:lang w:val="en-GB" w:bidi="en-GB"/>
              </w:rPr>
              <w:br/>
              <w:t>max. 18 times per year</w:t>
            </w:r>
          </w:p>
        </w:tc>
      </w:tr>
      <w:tr w:rsidR="00B9337F" w:rsidRPr="00E128B3" w14:paraId="3CFFB3DE" w14:textId="77777777" w:rsidTr="002350E3">
        <w:trPr>
          <w:trHeight w:val="283"/>
        </w:trPr>
        <w:tc>
          <w:tcPr>
            <w:tcW w:w="896" w:type="pct"/>
            <w:vMerge/>
            <w:tcBorders>
              <w:top w:val="nil"/>
              <w:left w:val="single" w:sz="4" w:space="0" w:color="auto"/>
              <w:bottom w:val="single" w:sz="4" w:space="0" w:color="auto"/>
              <w:right w:val="single" w:sz="4" w:space="0" w:color="auto"/>
            </w:tcBorders>
            <w:vAlign w:val="center"/>
            <w:hideMark/>
          </w:tcPr>
          <w:p w14:paraId="7537F32B" w14:textId="77777777" w:rsidR="00395345" w:rsidRPr="00E128B3" w:rsidRDefault="00395345" w:rsidP="00395345">
            <w:pPr>
              <w:rPr>
                <w:rFonts w:ascii="Calibri" w:hAnsi="Calibri" w:cs="Calibri"/>
                <w:color w:val="000000"/>
                <w:sz w:val="20"/>
                <w:szCs w:val="20"/>
                <w:lang w:val="en-GB" w:eastAsia="cs-CZ"/>
              </w:rPr>
            </w:pPr>
          </w:p>
        </w:tc>
        <w:tc>
          <w:tcPr>
            <w:tcW w:w="1320" w:type="pct"/>
            <w:tcBorders>
              <w:top w:val="nil"/>
              <w:left w:val="nil"/>
              <w:bottom w:val="single" w:sz="4" w:space="0" w:color="auto"/>
              <w:right w:val="single" w:sz="4" w:space="0" w:color="auto"/>
            </w:tcBorders>
            <w:shd w:val="clear" w:color="auto" w:fill="auto"/>
            <w:noWrap/>
            <w:vAlign w:val="center"/>
            <w:hideMark/>
          </w:tcPr>
          <w:p w14:paraId="7E78A4AA" w14:textId="77777777" w:rsidR="00395345" w:rsidRPr="00E128B3" w:rsidRDefault="00395345" w:rsidP="00395345">
            <w:pP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calendar year</w:t>
            </w:r>
          </w:p>
        </w:tc>
        <w:tc>
          <w:tcPr>
            <w:tcW w:w="874" w:type="pct"/>
            <w:tcBorders>
              <w:top w:val="nil"/>
              <w:left w:val="nil"/>
              <w:bottom w:val="single" w:sz="4" w:space="0" w:color="auto"/>
              <w:right w:val="single" w:sz="4" w:space="0" w:color="auto"/>
            </w:tcBorders>
            <w:shd w:val="clear" w:color="auto" w:fill="auto"/>
            <w:vAlign w:val="center"/>
            <w:hideMark/>
          </w:tcPr>
          <w:p w14:paraId="75520B43"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26</w:t>
            </w:r>
          </w:p>
        </w:tc>
        <w:tc>
          <w:tcPr>
            <w:tcW w:w="874" w:type="pct"/>
            <w:tcBorders>
              <w:top w:val="nil"/>
              <w:left w:val="nil"/>
              <w:bottom w:val="single" w:sz="4" w:space="0" w:color="auto"/>
              <w:right w:val="single" w:sz="4" w:space="0" w:color="auto"/>
            </w:tcBorders>
            <w:shd w:val="clear" w:color="auto" w:fill="auto"/>
            <w:vAlign w:val="center"/>
            <w:hideMark/>
          </w:tcPr>
          <w:p w14:paraId="6786ECC5"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32</w:t>
            </w:r>
          </w:p>
        </w:tc>
        <w:tc>
          <w:tcPr>
            <w:tcW w:w="1036" w:type="pct"/>
            <w:tcBorders>
              <w:top w:val="nil"/>
              <w:left w:val="nil"/>
              <w:bottom w:val="single" w:sz="4" w:space="0" w:color="auto"/>
              <w:right w:val="single" w:sz="4" w:space="0" w:color="auto"/>
            </w:tcBorders>
            <w:shd w:val="clear" w:color="auto" w:fill="auto"/>
            <w:vAlign w:val="center"/>
            <w:hideMark/>
          </w:tcPr>
          <w:p w14:paraId="3E361CE8"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40</w:t>
            </w:r>
          </w:p>
        </w:tc>
      </w:tr>
      <w:tr w:rsidR="00B9337F" w:rsidRPr="00E128B3" w14:paraId="600F0766" w14:textId="77777777" w:rsidTr="002350E3">
        <w:trPr>
          <w:trHeight w:val="283"/>
        </w:trPr>
        <w:tc>
          <w:tcPr>
            <w:tcW w:w="8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8A41F58"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PM</w:t>
            </w:r>
            <w:r w:rsidRPr="00E128B3">
              <w:rPr>
                <w:rFonts w:ascii="Calibri" w:eastAsia="Calibri" w:hAnsi="Calibri" w:cs="Calibri"/>
                <w:color w:val="000000"/>
                <w:sz w:val="20"/>
                <w:szCs w:val="20"/>
                <w:vertAlign w:val="subscript"/>
                <w:lang w:val="en-GB" w:bidi="en-GB"/>
              </w:rPr>
              <w:t>10</w:t>
            </w:r>
          </w:p>
        </w:tc>
        <w:tc>
          <w:tcPr>
            <w:tcW w:w="1320" w:type="pct"/>
            <w:tcBorders>
              <w:top w:val="nil"/>
              <w:left w:val="nil"/>
              <w:bottom w:val="single" w:sz="4" w:space="0" w:color="auto"/>
              <w:right w:val="single" w:sz="4" w:space="0" w:color="auto"/>
            </w:tcBorders>
            <w:shd w:val="clear" w:color="auto" w:fill="auto"/>
            <w:noWrap/>
            <w:vAlign w:val="center"/>
            <w:hideMark/>
          </w:tcPr>
          <w:p w14:paraId="0B5348B1" w14:textId="77777777" w:rsidR="00395345" w:rsidRPr="00E128B3" w:rsidRDefault="00395345" w:rsidP="00395345">
            <w:pP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24 hours</w:t>
            </w:r>
          </w:p>
        </w:tc>
        <w:tc>
          <w:tcPr>
            <w:tcW w:w="874" w:type="pct"/>
            <w:tcBorders>
              <w:top w:val="nil"/>
              <w:left w:val="nil"/>
              <w:bottom w:val="single" w:sz="4" w:space="0" w:color="auto"/>
              <w:right w:val="single" w:sz="4" w:space="0" w:color="auto"/>
            </w:tcBorders>
            <w:shd w:val="clear" w:color="auto" w:fill="auto"/>
            <w:vAlign w:val="center"/>
            <w:hideMark/>
          </w:tcPr>
          <w:p w14:paraId="151859FD"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25</w:t>
            </w:r>
            <w:r w:rsidRPr="00E128B3">
              <w:rPr>
                <w:rFonts w:ascii="Calibri" w:eastAsia="Calibri" w:hAnsi="Calibri" w:cs="Calibri"/>
                <w:color w:val="000000"/>
                <w:sz w:val="20"/>
                <w:szCs w:val="20"/>
                <w:lang w:val="en-GB" w:bidi="en-GB"/>
              </w:rPr>
              <w:br/>
              <w:t>max. 35 times per year</w:t>
            </w:r>
          </w:p>
        </w:tc>
        <w:tc>
          <w:tcPr>
            <w:tcW w:w="874" w:type="pct"/>
            <w:tcBorders>
              <w:top w:val="nil"/>
              <w:left w:val="nil"/>
              <w:bottom w:val="single" w:sz="4" w:space="0" w:color="auto"/>
              <w:right w:val="single" w:sz="4" w:space="0" w:color="auto"/>
            </w:tcBorders>
            <w:shd w:val="clear" w:color="auto" w:fill="auto"/>
            <w:vAlign w:val="center"/>
            <w:hideMark/>
          </w:tcPr>
          <w:p w14:paraId="6240EE6A"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35</w:t>
            </w:r>
            <w:r w:rsidRPr="00E128B3">
              <w:rPr>
                <w:rFonts w:ascii="Calibri" w:eastAsia="Calibri" w:hAnsi="Calibri" w:cs="Calibri"/>
                <w:color w:val="000000"/>
                <w:sz w:val="20"/>
                <w:szCs w:val="20"/>
                <w:lang w:val="en-GB" w:bidi="en-GB"/>
              </w:rPr>
              <w:br/>
              <w:t>max. 35 times per year</w:t>
            </w:r>
          </w:p>
        </w:tc>
        <w:tc>
          <w:tcPr>
            <w:tcW w:w="1036" w:type="pct"/>
            <w:tcBorders>
              <w:top w:val="nil"/>
              <w:left w:val="nil"/>
              <w:bottom w:val="single" w:sz="4" w:space="0" w:color="auto"/>
              <w:right w:val="single" w:sz="4" w:space="0" w:color="auto"/>
            </w:tcBorders>
            <w:shd w:val="clear" w:color="auto" w:fill="auto"/>
            <w:vAlign w:val="center"/>
            <w:hideMark/>
          </w:tcPr>
          <w:p w14:paraId="7007387D"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50</w:t>
            </w:r>
            <w:r w:rsidRPr="00E128B3">
              <w:rPr>
                <w:rFonts w:ascii="Calibri" w:eastAsia="Calibri" w:hAnsi="Calibri" w:cs="Calibri"/>
                <w:color w:val="000000"/>
                <w:sz w:val="20"/>
                <w:szCs w:val="20"/>
                <w:lang w:val="en-GB" w:bidi="en-GB"/>
              </w:rPr>
              <w:br/>
              <w:t>max. 35 times per year</w:t>
            </w:r>
          </w:p>
        </w:tc>
      </w:tr>
      <w:tr w:rsidR="00B9337F" w:rsidRPr="00E128B3" w14:paraId="3B962967" w14:textId="77777777" w:rsidTr="002350E3">
        <w:trPr>
          <w:trHeight w:val="283"/>
        </w:trPr>
        <w:tc>
          <w:tcPr>
            <w:tcW w:w="896" w:type="pct"/>
            <w:vMerge/>
            <w:tcBorders>
              <w:top w:val="nil"/>
              <w:left w:val="single" w:sz="4" w:space="0" w:color="auto"/>
              <w:bottom w:val="single" w:sz="4" w:space="0" w:color="auto"/>
              <w:right w:val="single" w:sz="4" w:space="0" w:color="auto"/>
            </w:tcBorders>
            <w:vAlign w:val="center"/>
            <w:hideMark/>
          </w:tcPr>
          <w:p w14:paraId="3B9BB4CA" w14:textId="77777777" w:rsidR="00395345" w:rsidRPr="00E128B3" w:rsidRDefault="00395345" w:rsidP="00395345">
            <w:pPr>
              <w:rPr>
                <w:rFonts w:ascii="Calibri" w:hAnsi="Calibri" w:cs="Calibri"/>
                <w:color w:val="000000"/>
                <w:sz w:val="20"/>
                <w:szCs w:val="20"/>
                <w:lang w:val="en-GB" w:eastAsia="cs-CZ"/>
              </w:rPr>
            </w:pPr>
          </w:p>
        </w:tc>
        <w:tc>
          <w:tcPr>
            <w:tcW w:w="1320" w:type="pct"/>
            <w:tcBorders>
              <w:top w:val="nil"/>
              <w:left w:val="nil"/>
              <w:bottom w:val="single" w:sz="4" w:space="0" w:color="auto"/>
              <w:right w:val="single" w:sz="4" w:space="0" w:color="auto"/>
            </w:tcBorders>
            <w:shd w:val="clear" w:color="auto" w:fill="auto"/>
            <w:noWrap/>
            <w:vAlign w:val="center"/>
            <w:hideMark/>
          </w:tcPr>
          <w:p w14:paraId="5F736FF7" w14:textId="77777777" w:rsidR="00395345" w:rsidRPr="00E128B3" w:rsidRDefault="00395345" w:rsidP="00395345">
            <w:pP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calendar year</w:t>
            </w:r>
          </w:p>
        </w:tc>
        <w:tc>
          <w:tcPr>
            <w:tcW w:w="874" w:type="pct"/>
            <w:tcBorders>
              <w:top w:val="nil"/>
              <w:left w:val="nil"/>
              <w:bottom w:val="single" w:sz="4" w:space="0" w:color="auto"/>
              <w:right w:val="single" w:sz="4" w:space="0" w:color="auto"/>
            </w:tcBorders>
            <w:shd w:val="clear" w:color="auto" w:fill="auto"/>
            <w:vAlign w:val="center"/>
            <w:hideMark/>
          </w:tcPr>
          <w:p w14:paraId="6A9B349D"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20</w:t>
            </w:r>
          </w:p>
        </w:tc>
        <w:tc>
          <w:tcPr>
            <w:tcW w:w="874" w:type="pct"/>
            <w:tcBorders>
              <w:top w:val="nil"/>
              <w:left w:val="nil"/>
              <w:bottom w:val="single" w:sz="4" w:space="0" w:color="auto"/>
              <w:right w:val="single" w:sz="4" w:space="0" w:color="auto"/>
            </w:tcBorders>
            <w:shd w:val="clear" w:color="auto" w:fill="auto"/>
            <w:vAlign w:val="center"/>
            <w:hideMark/>
          </w:tcPr>
          <w:p w14:paraId="5F3E5BBA"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28</w:t>
            </w:r>
          </w:p>
        </w:tc>
        <w:tc>
          <w:tcPr>
            <w:tcW w:w="1036" w:type="pct"/>
            <w:tcBorders>
              <w:top w:val="nil"/>
              <w:left w:val="nil"/>
              <w:bottom w:val="single" w:sz="4" w:space="0" w:color="auto"/>
              <w:right w:val="single" w:sz="4" w:space="0" w:color="auto"/>
            </w:tcBorders>
            <w:shd w:val="clear" w:color="auto" w:fill="auto"/>
            <w:vAlign w:val="center"/>
            <w:hideMark/>
          </w:tcPr>
          <w:p w14:paraId="7651CF99"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40</w:t>
            </w:r>
          </w:p>
        </w:tc>
      </w:tr>
      <w:tr w:rsidR="00B9337F" w:rsidRPr="00E128B3" w14:paraId="07AB6374" w14:textId="77777777" w:rsidTr="002350E3">
        <w:trPr>
          <w:trHeight w:val="283"/>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0ABF21F9"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PM</w:t>
            </w:r>
            <w:r w:rsidRPr="00E128B3">
              <w:rPr>
                <w:rFonts w:ascii="Calibri" w:eastAsia="Calibri" w:hAnsi="Calibri" w:cs="Calibri"/>
                <w:color w:val="000000"/>
                <w:sz w:val="20"/>
                <w:szCs w:val="20"/>
                <w:vertAlign w:val="subscript"/>
                <w:lang w:val="en-GB" w:bidi="en-GB"/>
              </w:rPr>
              <w:t>2.5</w:t>
            </w:r>
          </w:p>
        </w:tc>
        <w:tc>
          <w:tcPr>
            <w:tcW w:w="1320" w:type="pct"/>
            <w:tcBorders>
              <w:top w:val="nil"/>
              <w:left w:val="nil"/>
              <w:bottom w:val="single" w:sz="4" w:space="0" w:color="auto"/>
              <w:right w:val="single" w:sz="4" w:space="0" w:color="auto"/>
            </w:tcBorders>
            <w:shd w:val="clear" w:color="auto" w:fill="auto"/>
            <w:noWrap/>
            <w:vAlign w:val="center"/>
            <w:hideMark/>
          </w:tcPr>
          <w:p w14:paraId="618700DB" w14:textId="77777777" w:rsidR="00395345" w:rsidRPr="00E128B3" w:rsidRDefault="00395345" w:rsidP="00395345">
            <w:pP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calendar year</w:t>
            </w:r>
          </w:p>
        </w:tc>
        <w:tc>
          <w:tcPr>
            <w:tcW w:w="874" w:type="pct"/>
            <w:tcBorders>
              <w:top w:val="nil"/>
              <w:left w:val="nil"/>
              <w:bottom w:val="single" w:sz="4" w:space="0" w:color="auto"/>
              <w:right w:val="single" w:sz="4" w:space="0" w:color="auto"/>
            </w:tcBorders>
            <w:shd w:val="clear" w:color="auto" w:fill="auto"/>
            <w:vAlign w:val="center"/>
            <w:hideMark/>
          </w:tcPr>
          <w:p w14:paraId="1338C2A1"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12</w:t>
            </w:r>
          </w:p>
        </w:tc>
        <w:tc>
          <w:tcPr>
            <w:tcW w:w="874" w:type="pct"/>
            <w:tcBorders>
              <w:top w:val="nil"/>
              <w:left w:val="nil"/>
              <w:bottom w:val="single" w:sz="4" w:space="0" w:color="auto"/>
              <w:right w:val="single" w:sz="4" w:space="0" w:color="auto"/>
            </w:tcBorders>
            <w:shd w:val="clear" w:color="auto" w:fill="auto"/>
            <w:vAlign w:val="center"/>
            <w:hideMark/>
          </w:tcPr>
          <w:p w14:paraId="038F51A4"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17</w:t>
            </w:r>
          </w:p>
        </w:tc>
        <w:tc>
          <w:tcPr>
            <w:tcW w:w="1036" w:type="pct"/>
            <w:tcBorders>
              <w:top w:val="nil"/>
              <w:left w:val="nil"/>
              <w:bottom w:val="single" w:sz="4" w:space="0" w:color="auto"/>
              <w:right w:val="single" w:sz="4" w:space="0" w:color="auto"/>
            </w:tcBorders>
            <w:shd w:val="clear" w:color="auto" w:fill="auto"/>
            <w:vAlign w:val="center"/>
            <w:hideMark/>
          </w:tcPr>
          <w:p w14:paraId="2C3BA811"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25</w:t>
            </w:r>
          </w:p>
        </w:tc>
      </w:tr>
    </w:tbl>
    <w:p w14:paraId="5513135C" w14:textId="6D10C4E3" w:rsidR="00395345" w:rsidRPr="00E128B3" w:rsidRDefault="00395345" w:rsidP="00141703">
      <w:pPr>
        <w:pStyle w:val="Zdrojapozn"/>
        <w:spacing w:before="40"/>
        <w:rPr>
          <w:lang w:val="en-GB"/>
        </w:rPr>
      </w:pPr>
      <w:r w:rsidRPr="00E128B3">
        <w:rPr>
          <w:b/>
          <w:lang w:val="en-GB" w:bidi="en-GB"/>
        </w:rPr>
        <w:t xml:space="preserve">Source: </w:t>
      </w:r>
      <w:r w:rsidRPr="00E128B3">
        <w:rPr>
          <w:lang w:val="en-GB" w:bidi="en-GB"/>
        </w:rPr>
        <w:t>Act No. 201/2012 Coll., Decree No. 330/2012 Coll.</w:t>
      </w:r>
    </w:p>
    <w:p w14:paraId="4F4E9FDC" w14:textId="77777777" w:rsidR="002350E3" w:rsidRPr="00E128B3" w:rsidRDefault="002350E3" w:rsidP="00141703">
      <w:pPr>
        <w:pStyle w:val="Titulek"/>
        <w:spacing w:after="40"/>
        <w:rPr>
          <w:b/>
          <w:lang w:val="en-GB"/>
        </w:rPr>
      </w:pPr>
    </w:p>
    <w:p w14:paraId="57DA8F6E" w14:textId="29893D04" w:rsidR="00395345" w:rsidRPr="00E128B3" w:rsidRDefault="00395345" w:rsidP="00141703">
      <w:pPr>
        <w:pStyle w:val="Titulek"/>
        <w:spacing w:after="40"/>
        <w:rPr>
          <w:b/>
          <w:lang w:val="en-GB" w:eastAsia="cs-CZ"/>
        </w:rPr>
      </w:pPr>
      <w:r w:rsidRPr="00E128B3">
        <w:rPr>
          <w:b/>
          <w:lang w:val="en-GB" w:bidi="en-GB"/>
        </w:rPr>
        <w:t xml:space="preserve">Table </w:t>
      </w:r>
      <w:r w:rsidR="00A36661" w:rsidRPr="00E128B3">
        <w:rPr>
          <w:b/>
          <w:lang w:val="en-GB" w:bidi="en-GB"/>
        </w:rPr>
        <w:fldChar w:fldCharType="begin"/>
      </w:r>
      <w:r w:rsidR="00A36661" w:rsidRPr="00E128B3">
        <w:rPr>
          <w:b/>
          <w:lang w:val="en-GB" w:bidi="en-GB"/>
        </w:rPr>
        <w:instrText xml:space="preserve"> SEQ Tabulka_č. \* ARABIC </w:instrText>
      </w:r>
      <w:r w:rsidR="00A36661" w:rsidRPr="00E128B3">
        <w:rPr>
          <w:b/>
          <w:lang w:val="en-GB" w:bidi="en-GB"/>
        </w:rPr>
        <w:fldChar w:fldCharType="separate"/>
      </w:r>
      <w:r w:rsidR="00136D57">
        <w:rPr>
          <w:b/>
          <w:noProof/>
          <w:lang w:val="en-GB" w:bidi="en-GB"/>
        </w:rPr>
        <w:t>6</w:t>
      </w:r>
      <w:r w:rsidR="00A36661" w:rsidRPr="00E128B3">
        <w:rPr>
          <w:b/>
          <w:noProof/>
          <w:lang w:val="en-GB" w:bidi="en-GB"/>
        </w:rPr>
        <w:fldChar w:fldCharType="end"/>
      </w:r>
      <w:r w:rsidRPr="00E128B3">
        <w:rPr>
          <w:b/>
          <w:lang w:val="en-GB" w:bidi="en-GB"/>
        </w:rPr>
        <w:t>: Air pollution limits for health protection – total content in PM</w:t>
      </w:r>
      <w:r w:rsidRPr="00E128B3">
        <w:rPr>
          <w:b/>
          <w:vertAlign w:val="subscript"/>
          <w:lang w:val="en-GB" w:bidi="en-GB"/>
        </w:rPr>
        <w:t>10</w:t>
      </w:r>
      <w:r w:rsidRPr="00E128B3">
        <w:rPr>
          <w:b/>
          <w:lang w:val="en-GB" w:bidi="en-GB"/>
        </w:rPr>
        <w:t xml:space="preserve"> particulate matter</w:t>
      </w:r>
    </w:p>
    <w:tbl>
      <w:tblPr>
        <w:tblW w:w="5000" w:type="pct"/>
        <w:tblCellMar>
          <w:left w:w="70" w:type="dxa"/>
          <w:right w:w="70" w:type="dxa"/>
        </w:tblCellMar>
        <w:tblLook w:val="04A0" w:firstRow="1" w:lastRow="0" w:firstColumn="1" w:lastColumn="0" w:noHBand="0" w:noVBand="1"/>
      </w:tblPr>
      <w:tblGrid>
        <w:gridCol w:w="1651"/>
        <w:gridCol w:w="2091"/>
        <w:gridCol w:w="1730"/>
        <w:gridCol w:w="1728"/>
        <w:gridCol w:w="2012"/>
      </w:tblGrid>
      <w:tr w:rsidR="00B9337F" w:rsidRPr="00E128B3" w14:paraId="0CDE055C" w14:textId="77777777" w:rsidTr="002350E3">
        <w:trPr>
          <w:trHeight w:val="283"/>
        </w:trPr>
        <w:tc>
          <w:tcPr>
            <w:tcW w:w="896"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76BD5516" w14:textId="77777777" w:rsidR="00395345" w:rsidRPr="00E128B3" w:rsidRDefault="00395345" w:rsidP="00395345">
            <w:pPr>
              <w:jc w:val="center"/>
              <w:rPr>
                <w:rFonts w:ascii="Calibri" w:hAnsi="Calibri" w:cs="Calibri"/>
                <w:b/>
                <w:bCs/>
                <w:color w:val="000000"/>
                <w:sz w:val="20"/>
                <w:szCs w:val="20"/>
                <w:lang w:val="en-GB" w:eastAsia="cs-CZ"/>
              </w:rPr>
            </w:pPr>
            <w:r w:rsidRPr="00E128B3">
              <w:rPr>
                <w:rFonts w:ascii="Calibri" w:eastAsia="Calibri" w:hAnsi="Calibri" w:cs="Calibri"/>
                <w:b/>
                <w:color w:val="000000"/>
                <w:sz w:val="20"/>
                <w:szCs w:val="20"/>
                <w:lang w:val="en-GB" w:bidi="en-GB"/>
              </w:rPr>
              <w:t>Pollutant</w:t>
            </w:r>
          </w:p>
        </w:tc>
        <w:tc>
          <w:tcPr>
            <w:tcW w:w="1135"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58761CEF" w14:textId="77777777" w:rsidR="00395345" w:rsidRPr="00E128B3" w:rsidRDefault="00395345" w:rsidP="00395345">
            <w:pPr>
              <w:jc w:val="center"/>
              <w:rPr>
                <w:rFonts w:ascii="Calibri" w:hAnsi="Calibri" w:cs="Calibri"/>
                <w:b/>
                <w:bCs/>
                <w:color w:val="000000"/>
                <w:sz w:val="20"/>
                <w:szCs w:val="20"/>
                <w:lang w:val="en-GB" w:eastAsia="cs-CZ"/>
              </w:rPr>
            </w:pPr>
            <w:r w:rsidRPr="00E128B3">
              <w:rPr>
                <w:rFonts w:ascii="Calibri" w:eastAsia="Calibri" w:hAnsi="Calibri" w:cs="Calibri"/>
                <w:b/>
                <w:color w:val="000000"/>
                <w:sz w:val="20"/>
                <w:szCs w:val="20"/>
                <w:lang w:val="en-GB" w:bidi="en-GB"/>
              </w:rPr>
              <w:t>Averaging period</w:t>
            </w:r>
          </w:p>
        </w:tc>
        <w:tc>
          <w:tcPr>
            <w:tcW w:w="1877" w:type="pct"/>
            <w:gridSpan w:val="2"/>
            <w:tcBorders>
              <w:top w:val="single" w:sz="4" w:space="0" w:color="auto"/>
              <w:left w:val="nil"/>
              <w:bottom w:val="single" w:sz="4" w:space="0" w:color="auto"/>
              <w:right w:val="single" w:sz="4" w:space="0" w:color="auto"/>
            </w:tcBorders>
            <w:shd w:val="clear" w:color="000000" w:fill="E5F1FF"/>
            <w:vAlign w:val="center"/>
            <w:hideMark/>
          </w:tcPr>
          <w:p w14:paraId="4640E50D" w14:textId="71795A2C" w:rsidR="00395345" w:rsidRPr="00E128B3" w:rsidRDefault="00395345" w:rsidP="000A0D9D">
            <w:pPr>
              <w:jc w:val="center"/>
              <w:rPr>
                <w:rFonts w:ascii="Calibri" w:hAnsi="Calibri" w:cs="Calibri"/>
                <w:b/>
                <w:bCs/>
                <w:color w:val="000000"/>
                <w:sz w:val="20"/>
                <w:szCs w:val="20"/>
                <w:lang w:val="en-GB" w:eastAsia="cs-CZ"/>
              </w:rPr>
            </w:pPr>
            <w:r w:rsidRPr="00E128B3">
              <w:rPr>
                <w:rFonts w:ascii="Calibri" w:eastAsia="Calibri" w:hAnsi="Calibri" w:cs="Calibri"/>
                <w:b/>
                <w:color w:val="000000"/>
                <w:sz w:val="20"/>
                <w:szCs w:val="20"/>
                <w:lang w:val="en-GB" w:bidi="en-GB"/>
              </w:rPr>
              <w:t>Assessment threshold (ng/m</w:t>
            </w:r>
            <w:r w:rsidRPr="00E128B3">
              <w:rPr>
                <w:rFonts w:ascii="Calibri" w:eastAsia="Calibri" w:hAnsi="Calibri" w:cs="Calibri"/>
                <w:b/>
                <w:color w:val="000000"/>
                <w:sz w:val="20"/>
                <w:szCs w:val="20"/>
                <w:vertAlign w:val="superscript"/>
                <w:lang w:val="en-GB" w:bidi="en-GB"/>
              </w:rPr>
              <w:t>3</w:t>
            </w:r>
            <w:r w:rsidRPr="00E128B3">
              <w:rPr>
                <w:rFonts w:ascii="Calibri" w:eastAsia="Calibri" w:hAnsi="Calibri" w:cs="Calibri"/>
                <w:b/>
                <w:color w:val="000000"/>
                <w:sz w:val="20"/>
                <w:szCs w:val="20"/>
                <w:lang w:val="en-GB" w:bidi="en-GB"/>
              </w:rPr>
              <w:t>)</w:t>
            </w:r>
          </w:p>
        </w:tc>
        <w:tc>
          <w:tcPr>
            <w:tcW w:w="1092"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429FF099" w14:textId="2B545509" w:rsidR="00395345" w:rsidRPr="00E128B3" w:rsidRDefault="00635EBF" w:rsidP="000A0D9D">
            <w:pPr>
              <w:jc w:val="center"/>
              <w:rPr>
                <w:rFonts w:ascii="Calibri" w:hAnsi="Calibri" w:cs="Calibri"/>
                <w:b/>
                <w:bCs/>
                <w:color w:val="000000"/>
                <w:sz w:val="20"/>
                <w:szCs w:val="20"/>
                <w:lang w:val="en-GB" w:eastAsia="cs-CZ"/>
              </w:rPr>
            </w:pPr>
            <w:r w:rsidRPr="00E128B3">
              <w:rPr>
                <w:rFonts w:ascii="Calibri" w:eastAsia="Calibri" w:hAnsi="Calibri" w:cs="Calibri"/>
                <w:b/>
                <w:color w:val="000000"/>
                <w:sz w:val="20"/>
                <w:szCs w:val="20"/>
                <w:lang w:val="en-GB" w:bidi="en-GB"/>
              </w:rPr>
              <w:t>Air pollution limit (ng/m</w:t>
            </w:r>
            <w:r w:rsidRPr="00E128B3">
              <w:rPr>
                <w:rFonts w:ascii="Calibri" w:eastAsia="Calibri" w:hAnsi="Calibri" w:cs="Calibri"/>
                <w:b/>
                <w:color w:val="000000"/>
                <w:sz w:val="20"/>
                <w:szCs w:val="20"/>
                <w:vertAlign w:val="superscript"/>
                <w:lang w:val="en-GB" w:bidi="en-GB"/>
              </w:rPr>
              <w:t>3</w:t>
            </w:r>
            <w:r w:rsidRPr="00E128B3">
              <w:rPr>
                <w:rFonts w:ascii="Calibri" w:eastAsia="Calibri" w:hAnsi="Calibri" w:cs="Calibri"/>
                <w:b/>
                <w:color w:val="000000"/>
                <w:sz w:val="20"/>
                <w:szCs w:val="20"/>
                <w:lang w:val="en-GB" w:bidi="en-GB"/>
              </w:rPr>
              <w:t>)</w:t>
            </w:r>
          </w:p>
        </w:tc>
      </w:tr>
      <w:tr w:rsidR="00B9337F" w:rsidRPr="00E128B3" w14:paraId="4EB78E85" w14:textId="77777777" w:rsidTr="002350E3">
        <w:trPr>
          <w:trHeight w:val="283"/>
        </w:trPr>
        <w:tc>
          <w:tcPr>
            <w:tcW w:w="896" w:type="pct"/>
            <w:vMerge/>
            <w:tcBorders>
              <w:top w:val="single" w:sz="4" w:space="0" w:color="auto"/>
              <w:left w:val="single" w:sz="4" w:space="0" w:color="auto"/>
              <w:bottom w:val="single" w:sz="4" w:space="0" w:color="auto"/>
              <w:right w:val="single" w:sz="4" w:space="0" w:color="auto"/>
            </w:tcBorders>
            <w:vAlign w:val="center"/>
            <w:hideMark/>
          </w:tcPr>
          <w:p w14:paraId="3C8063DA" w14:textId="77777777" w:rsidR="00395345" w:rsidRPr="00E128B3" w:rsidRDefault="00395345" w:rsidP="00395345">
            <w:pPr>
              <w:rPr>
                <w:rFonts w:ascii="Calibri" w:hAnsi="Calibri" w:cs="Calibri"/>
                <w:b/>
                <w:bCs/>
                <w:color w:val="000000"/>
                <w:sz w:val="20"/>
                <w:szCs w:val="20"/>
                <w:lang w:val="en-GB" w:eastAsia="cs-CZ"/>
              </w:rPr>
            </w:pPr>
          </w:p>
        </w:tc>
        <w:tc>
          <w:tcPr>
            <w:tcW w:w="1135" w:type="pct"/>
            <w:vMerge/>
            <w:tcBorders>
              <w:top w:val="single" w:sz="4" w:space="0" w:color="auto"/>
              <w:left w:val="single" w:sz="4" w:space="0" w:color="auto"/>
              <w:bottom w:val="single" w:sz="4" w:space="0" w:color="auto"/>
              <w:right w:val="single" w:sz="4" w:space="0" w:color="auto"/>
            </w:tcBorders>
            <w:vAlign w:val="center"/>
            <w:hideMark/>
          </w:tcPr>
          <w:p w14:paraId="24837C56" w14:textId="77777777" w:rsidR="00395345" w:rsidRPr="00E128B3" w:rsidRDefault="00395345" w:rsidP="00395345">
            <w:pPr>
              <w:rPr>
                <w:rFonts w:ascii="Calibri" w:hAnsi="Calibri" w:cs="Calibri"/>
                <w:b/>
                <w:bCs/>
                <w:color w:val="000000"/>
                <w:sz w:val="20"/>
                <w:szCs w:val="20"/>
                <w:lang w:val="en-GB" w:eastAsia="cs-CZ"/>
              </w:rPr>
            </w:pPr>
          </w:p>
        </w:tc>
        <w:tc>
          <w:tcPr>
            <w:tcW w:w="939" w:type="pct"/>
            <w:tcBorders>
              <w:top w:val="nil"/>
              <w:left w:val="nil"/>
              <w:bottom w:val="single" w:sz="4" w:space="0" w:color="auto"/>
              <w:right w:val="single" w:sz="4" w:space="0" w:color="auto"/>
            </w:tcBorders>
            <w:shd w:val="clear" w:color="000000" w:fill="E5F1FF"/>
            <w:noWrap/>
            <w:vAlign w:val="center"/>
            <w:hideMark/>
          </w:tcPr>
          <w:p w14:paraId="6345B66C" w14:textId="77777777" w:rsidR="00395345" w:rsidRPr="00E128B3" w:rsidRDefault="00395345" w:rsidP="00395345">
            <w:pPr>
              <w:jc w:val="center"/>
              <w:rPr>
                <w:rFonts w:ascii="Calibri" w:hAnsi="Calibri" w:cs="Calibri"/>
                <w:b/>
                <w:bCs/>
                <w:color w:val="000000"/>
                <w:sz w:val="20"/>
                <w:szCs w:val="20"/>
                <w:lang w:val="en-GB" w:eastAsia="cs-CZ"/>
              </w:rPr>
            </w:pPr>
            <w:r w:rsidRPr="00E128B3">
              <w:rPr>
                <w:rFonts w:ascii="Calibri" w:eastAsia="Calibri" w:hAnsi="Calibri" w:cs="Calibri"/>
                <w:b/>
                <w:color w:val="000000"/>
                <w:sz w:val="20"/>
                <w:szCs w:val="20"/>
                <w:lang w:val="en-GB" w:bidi="en-GB"/>
              </w:rPr>
              <w:t>LAT</w:t>
            </w:r>
          </w:p>
        </w:tc>
        <w:tc>
          <w:tcPr>
            <w:tcW w:w="938" w:type="pct"/>
            <w:tcBorders>
              <w:top w:val="nil"/>
              <w:left w:val="nil"/>
              <w:bottom w:val="single" w:sz="4" w:space="0" w:color="auto"/>
              <w:right w:val="single" w:sz="4" w:space="0" w:color="auto"/>
            </w:tcBorders>
            <w:shd w:val="clear" w:color="000000" w:fill="E5F1FF"/>
            <w:noWrap/>
            <w:vAlign w:val="center"/>
            <w:hideMark/>
          </w:tcPr>
          <w:p w14:paraId="04743C82" w14:textId="77777777" w:rsidR="00395345" w:rsidRPr="00E128B3" w:rsidRDefault="00395345" w:rsidP="00395345">
            <w:pPr>
              <w:jc w:val="center"/>
              <w:rPr>
                <w:rFonts w:ascii="Calibri" w:hAnsi="Calibri" w:cs="Calibri"/>
                <w:b/>
                <w:bCs/>
                <w:color w:val="000000"/>
                <w:sz w:val="20"/>
                <w:szCs w:val="20"/>
                <w:lang w:val="en-GB" w:eastAsia="cs-CZ"/>
              </w:rPr>
            </w:pPr>
            <w:r w:rsidRPr="00E128B3">
              <w:rPr>
                <w:rFonts w:ascii="Calibri" w:eastAsia="Calibri" w:hAnsi="Calibri" w:cs="Calibri"/>
                <w:b/>
                <w:color w:val="000000"/>
                <w:sz w:val="20"/>
                <w:szCs w:val="20"/>
                <w:lang w:val="en-GB" w:bidi="en-GB"/>
              </w:rPr>
              <w:t>UAT</w:t>
            </w:r>
          </w:p>
        </w:tc>
        <w:tc>
          <w:tcPr>
            <w:tcW w:w="1092" w:type="pct"/>
            <w:vMerge/>
            <w:tcBorders>
              <w:top w:val="single" w:sz="4" w:space="0" w:color="auto"/>
              <w:left w:val="single" w:sz="4" w:space="0" w:color="auto"/>
              <w:bottom w:val="single" w:sz="4" w:space="0" w:color="auto"/>
              <w:right w:val="single" w:sz="4" w:space="0" w:color="auto"/>
            </w:tcBorders>
            <w:vAlign w:val="center"/>
            <w:hideMark/>
          </w:tcPr>
          <w:p w14:paraId="7A41F095" w14:textId="77777777" w:rsidR="00395345" w:rsidRPr="00E128B3" w:rsidRDefault="00395345" w:rsidP="00395345">
            <w:pPr>
              <w:rPr>
                <w:rFonts w:ascii="Calibri" w:hAnsi="Calibri" w:cs="Calibri"/>
                <w:b/>
                <w:bCs/>
                <w:color w:val="000000"/>
                <w:sz w:val="20"/>
                <w:szCs w:val="20"/>
                <w:lang w:val="en-GB" w:eastAsia="cs-CZ"/>
              </w:rPr>
            </w:pPr>
          </w:p>
        </w:tc>
      </w:tr>
      <w:tr w:rsidR="00B9337F" w:rsidRPr="00E128B3" w14:paraId="2577BCAF" w14:textId="77777777" w:rsidTr="002350E3">
        <w:trPr>
          <w:trHeight w:val="283"/>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72E37109" w14:textId="3D47AD68" w:rsidR="00395345" w:rsidRPr="00E128B3" w:rsidRDefault="00395345" w:rsidP="00565F57">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benzo[a]pyrene</w:t>
            </w:r>
          </w:p>
        </w:tc>
        <w:tc>
          <w:tcPr>
            <w:tcW w:w="1135" w:type="pct"/>
            <w:tcBorders>
              <w:top w:val="nil"/>
              <w:left w:val="nil"/>
              <w:bottom w:val="single" w:sz="4" w:space="0" w:color="auto"/>
              <w:right w:val="single" w:sz="4" w:space="0" w:color="auto"/>
            </w:tcBorders>
            <w:shd w:val="clear" w:color="auto" w:fill="auto"/>
            <w:noWrap/>
            <w:vAlign w:val="center"/>
            <w:hideMark/>
          </w:tcPr>
          <w:p w14:paraId="1A74559E" w14:textId="77777777" w:rsidR="00395345" w:rsidRPr="00E128B3" w:rsidRDefault="00395345" w:rsidP="00395345">
            <w:pP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calendar year</w:t>
            </w:r>
          </w:p>
        </w:tc>
        <w:tc>
          <w:tcPr>
            <w:tcW w:w="939" w:type="pct"/>
            <w:tcBorders>
              <w:top w:val="nil"/>
              <w:left w:val="nil"/>
              <w:bottom w:val="single" w:sz="4" w:space="0" w:color="auto"/>
              <w:right w:val="single" w:sz="4" w:space="0" w:color="auto"/>
            </w:tcBorders>
            <w:shd w:val="clear" w:color="auto" w:fill="auto"/>
            <w:vAlign w:val="center"/>
            <w:hideMark/>
          </w:tcPr>
          <w:p w14:paraId="7C053EE0"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0.4</w:t>
            </w:r>
          </w:p>
        </w:tc>
        <w:tc>
          <w:tcPr>
            <w:tcW w:w="938" w:type="pct"/>
            <w:tcBorders>
              <w:top w:val="nil"/>
              <w:left w:val="nil"/>
              <w:bottom w:val="single" w:sz="4" w:space="0" w:color="auto"/>
              <w:right w:val="single" w:sz="4" w:space="0" w:color="auto"/>
            </w:tcBorders>
            <w:shd w:val="clear" w:color="auto" w:fill="auto"/>
            <w:vAlign w:val="center"/>
            <w:hideMark/>
          </w:tcPr>
          <w:p w14:paraId="704A0538"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0.6</w:t>
            </w:r>
          </w:p>
        </w:tc>
        <w:tc>
          <w:tcPr>
            <w:tcW w:w="1092" w:type="pct"/>
            <w:tcBorders>
              <w:top w:val="nil"/>
              <w:left w:val="nil"/>
              <w:bottom w:val="single" w:sz="4" w:space="0" w:color="auto"/>
              <w:right w:val="single" w:sz="4" w:space="0" w:color="auto"/>
            </w:tcBorders>
            <w:shd w:val="clear" w:color="auto" w:fill="auto"/>
            <w:vAlign w:val="center"/>
            <w:hideMark/>
          </w:tcPr>
          <w:p w14:paraId="62B71A45" w14:textId="77777777" w:rsidR="00395345" w:rsidRPr="00E128B3" w:rsidRDefault="00395345" w:rsidP="00395345">
            <w:pPr>
              <w:jc w:val="center"/>
              <w:rPr>
                <w:rFonts w:ascii="Calibri" w:hAnsi="Calibri" w:cs="Calibri"/>
                <w:color w:val="000000"/>
                <w:sz w:val="20"/>
                <w:szCs w:val="20"/>
                <w:lang w:val="en-GB" w:eastAsia="cs-CZ"/>
              </w:rPr>
            </w:pPr>
            <w:r w:rsidRPr="00E128B3">
              <w:rPr>
                <w:rFonts w:ascii="Calibri" w:eastAsia="Calibri" w:hAnsi="Calibri" w:cs="Calibri"/>
                <w:color w:val="000000"/>
                <w:sz w:val="20"/>
                <w:szCs w:val="20"/>
                <w:lang w:val="en-GB" w:bidi="en-GB"/>
              </w:rPr>
              <w:t>1</w:t>
            </w:r>
          </w:p>
        </w:tc>
      </w:tr>
    </w:tbl>
    <w:p w14:paraId="7D8E4376" w14:textId="45B1076E" w:rsidR="00395345" w:rsidRPr="00E128B3" w:rsidRDefault="00395345" w:rsidP="00141703">
      <w:pPr>
        <w:pStyle w:val="Zdrojapozn"/>
        <w:spacing w:before="40"/>
        <w:rPr>
          <w:lang w:val="en-GB"/>
        </w:rPr>
      </w:pPr>
      <w:r w:rsidRPr="00E128B3">
        <w:rPr>
          <w:b/>
          <w:lang w:val="en-GB" w:bidi="en-GB"/>
        </w:rPr>
        <w:t xml:space="preserve">Source: </w:t>
      </w:r>
      <w:r w:rsidRPr="00E128B3">
        <w:rPr>
          <w:lang w:val="en-GB" w:bidi="en-GB"/>
        </w:rPr>
        <w:t>Act No. 201/2012 Coll., Decree No. 330/2012 Coll.</w:t>
      </w:r>
    </w:p>
    <w:p w14:paraId="4EB75D8D" w14:textId="77777777" w:rsidR="002350E3" w:rsidRPr="00E128B3" w:rsidRDefault="002350E3" w:rsidP="002350E3">
      <w:pPr>
        <w:pStyle w:val="Text"/>
        <w:spacing w:after="120" w:line="276" w:lineRule="auto"/>
        <w:rPr>
          <w:lang w:val="en-GB" w:eastAsia="cs-CZ"/>
        </w:rPr>
      </w:pPr>
    </w:p>
    <w:p w14:paraId="55BF076B" w14:textId="0429B2A7" w:rsidR="00AE2306" w:rsidRPr="00E128B3" w:rsidRDefault="00AE2306" w:rsidP="002350E3">
      <w:pPr>
        <w:pStyle w:val="Text"/>
        <w:spacing w:after="120" w:line="276" w:lineRule="auto"/>
        <w:rPr>
          <w:lang w:val="en-GB" w:eastAsia="cs-CZ"/>
        </w:rPr>
      </w:pPr>
      <w:r w:rsidRPr="00E128B3">
        <w:rPr>
          <w:lang w:val="en-GB" w:bidi="en-GB"/>
        </w:rPr>
        <w:t>At the end of 2015, the Czech Republic has again set for itself the goal of achieving compliance with the air pollution limits set by the Act, this time by 2020</w:t>
      </w:r>
      <w:r w:rsidRPr="00E128B3">
        <w:rPr>
          <w:rStyle w:val="Znakapoznpodarou"/>
          <w:lang w:val="en-GB" w:bidi="en-GB"/>
        </w:rPr>
        <w:footnoteReference w:id="38"/>
      </w:r>
      <w:r w:rsidRPr="00E128B3">
        <w:rPr>
          <w:lang w:val="en-GB" w:bidi="en-GB"/>
        </w:rPr>
        <w:t xml:space="preserve">, through measures set at the national level in the </w:t>
      </w:r>
      <w:r w:rsidRPr="00E128B3">
        <w:rPr>
          <w:i/>
          <w:lang w:val="en-GB" w:bidi="en-GB"/>
        </w:rPr>
        <w:t xml:space="preserve">National Emission Reduction Programme of the Czech Republic </w:t>
      </w:r>
      <w:r w:rsidRPr="00E128B3">
        <w:rPr>
          <w:lang w:val="en-GB" w:bidi="en-GB"/>
        </w:rPr>
        <w:t xml:space="preserve">(“NERP”) and at the regional in the Air Quality Improvement Programmes, which were prepared in connection with the </w:t>
      </w:r>
      <w:r w:rsidRPr="00E128B3">
        <w:rPr>
          <w:i/>
          <w:lang w:val="en-GB" w:bidi="en-GB"/>
        </w:rPr>
        <w:t>Medium-term Air Quality Improvement Strategy of the Czech Republic (until 2020)</w:t>
      </w:r>
      <w:r w:rsidRPr="00E128B3">
        <w:rPr>
          <w:lang w:val="en-GB" w:bidi="en-GB"/>
        </w:rPr>
        <w:t>.</w:t>
      </w:r>
    </w:p>
    <w:p w14:paraId="1C8C6FF6" w14:textId="77777777" w:rsidR="00395345" w:rsidRPr="00E128B3" w:rsidRDefault="00395345" w:rsidP="002350E3">
      <w:pPr>
        <w:pStyle w:val="Text"/>
        <w:spacing w:after="120" w:line="276" w:lineRule="auto"/>
        <w:rPr>
          <w:b/>
          <w:lang w:val="en-GB"/>
        </w:rPr>
      </w:pPr>
      <w:r w:rsidRPr="00E128B3">
        <w:rPr>
          <w:b/>
          <w:lang w:val="en-GB" w:bidi="en-GB"/>
        </w:rPr>
        <w:t>Air quality in the Czech Republic</w:t>
      </w:r>
    </w:p>
    <w:p w14:paraId="52AFECE9" w14:textId="3B1D1E14" w:rsidR="00395345" w:rsidRPr="00E128B3" w:rsidRDefault="00395345" w:rsidP="002350E3">
      <w:pPr>
        <w:pStyle w:val="Text"/>
        <w:spacing w:after="120" w:line="276" w:lineRule="auto"/>
        <w:rPr>
          <w:lang w:val="en-GB" w:eastAsia="cs-CZ"/>
        </w:rPr>
      </w:pPr>
      <w:r w:rsidRPr="00E128B3">
        <w:rPr>
          <w:lang w:val="en-GB" w:bidi="en-GB"/>
        </w:rPr>
        <w:t>The air pollution limits for certain pollutants (PM</w:t>
      </w:r>
      <w:r w:rsidRPr="00E128B3">
        <w:rPr>
          <w:vertAlign w:val="subscript"/>
          <w:lang w:val="en-GB" w:bidi="en-GB"/>
        </w:rPr>
        <w:t>10</w:t>
      </w:r>
      <w:r w:rsidRPr="00E128B3">
        <w:rPr>
          <w:lang w:val="en-GB" w:bidi="en-GB"/>
        </w:rPr>
        <w:t>, PM</w:t>
      </w:r>
      <w:r w:rsidRPr="00E128B3">
        <w:rPr>
          <w:vertAlign w:val="subscript"/>
          <w:lang w:val="en-GB" w:bidi="en-GB"/>
        </w:rPr>
        <w:t>2.5</w:t>
      </w:r>
      <w:r w:rsidRPr="00E128B3">
        <w:rPr>
          <w:lang w:val="en-GB" w:bidi="en-GB"/>
        </w:rPr>
        <w:t>, BaP a NO</w:t>
      </w:r>
      <w:r w:rsidRPr="00E128B3">
        <w:rPr>
          <w:vertAlign w:val="subscript"/>
          <w:lang w:val="en-GB" w:bidi="en-GB"/>
        </w:rPr>
        <w:t>2</w:t>
      </w:r>
      <w:r w:rsidRPr="00E128B3">
        <w:rPr>
          <w:lang w:val="en-GB" w:bidi="en-GB"/>
        </w:rPr>
        <w:t>) were repeatedly exceeded in the period from 2015 to 2017. The tables below show the number of stations where the air pollution limits were exceeded and the share of the population exposed to above-the-threshold concentrations of pollutants from 2015 to 2017.</w:t>
      </w:r>
    </w:p>
    <w:p w14:paraId="4220777E" w14:textId="74443618" w:rsidR="00395345" w:rsidRPr="00E128B3" w:rsidRDefault="00395345" w:rsidP="001B1D79">
      <w:pPr>
        <w:pStyle w:val="Titulek"/>
        <w:keepNext/>
        <w:spacing w:after="40"/>
        <w:rPr>
          <w:b/>
          <w:lang w:val="en-GB" w:eastAsia="cs-CZ"/>
        </w:rPr>
      </w:pPr>
      <w:r w:rsidRPr="00E128B3">
        <w:rPr>
          <w:b/>
          <w:lang w:val="en-GB" w:bidi="en-GB"/>
        </w:rPr>
        <w:t xml:space="preserve">Table </w:t>
      </w:r>
      <w:r w:rsidR="00A36661" w:rsidRPr="00E128B3">
        <w:rPr>
          <w:b/>
          <w:lang w:val="en-GB" w:bidi="en-GB"/>
        </w:rPr>
        <w:fldChar w:fldCharType="begin"/>
      </w:r>
      <w:r w:rsidR="00A36661" w:rsidRPr="00E128B3">
        <w:rPr>
          <w:b/>
          <w:lang w:val="en-GB" w:bidi="en-GB"/>
        </w:rPr>
        <w:instrText xml:space="preserve"> SEQ Tabulka_č. \* ARABIC </w:instrText>
      </w:r>
      <w:r w:rsidR="00A36661" w:rsidRPr="00E128B3">
        <w:rPr>
          <w:b/>
          <w:lang w:val="en-GB" w:bidi="en-GB"/>
        </w:rPr>
        <w:fldChar w:fldCharType="separate"/>
      </w:r>
      <w:r w:rsidR="00136D57">
        <w:rPr>
          <w:b/>
          <w:noProof/>
          <w:lang w:val="en-GB" w:bidi="en-GB"/>
        </w:rPr>
        <w:t>7</w:t>
      </w:r>
      <w:r w:rsidR="00A36661" w:rsidRPr="00E128B3">
        <w:rPr>
          <w:b/>
          <w:noProof/>
          <w:lang w:val="en-GB" w:bidi="en-GB"/>
        </w:rPr>
        <w:fldChar w:fldCharType="end"/>
      </w:r>
      <w:r w:rsidRPr="00E128B3">
        <w:rPr>
          <w:b/>
          <w:lang w:val="en-GB" w:bidi="en-GB"/>
        </w:rPr>
        <w:t>: Number of stations where the limit was exceeded from 2015 to 2017</w:t>
      </w:r>
    </w:p>
    <w:tbl>
      <w:tblPr>
        <w:tblW w:w="5000" w:type="pct"/>
        <w:tblCellMar>
          <w:left w:w="0" w:type="dxa"/>
          <w:right w:w="0" w:type="dxa"/>
        </w:tblCellMar>
        <w:tblLook w:val="04A0" w:firstRow="1" w:lastRow="0" w:firstColumn="1" w:lastColumn="0" w:noHBand="0" w:noVBand="1"/>
      </w:tblPr>
      <w:tblGrid>
        <w:gridCol w:w="3051"/>
        <w:gridCol w:w="983"/>
        <w:gridCol w:w="1125"/>
        <w:gridCol w:w="1567"/>
        <w:gridCol w:w="1187"/>
        <w:gridCol w:w="1189"/>
      </w:tblGrid>
      <w:tr w:rsidR="00B9337F" w:rsidRPr="00E128B3" w14:paraId="2F9F05C4" w14:textId="77777777" w:rsidTr="002350E3">
        <w:trPr>
          <w:trHeight w:val="283"/>
        </w:trPr>
        <w:tc>
          <w:tcPr>
            <w:tcW w:w="1676" w:type="pct"/>
            <w:vMerge w:val="restart"/>
            <w:tcBorders>
              <w:top w:val="single" w:sz="4" w:space="0" w:color="auto"/>
              <w:left w:val="single" w:sz="4" w:space="0" w:color="auto"/>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7294F63C" w14:textId="77777777" w:rsidR="00395345" w:rsidRPr="00E128B3" w:rsidRDefault="00395345" w:rsidP="001B1D79">
            <w:pPr>
              <w:keepNext/>
              <w:jc w:val="center"/>
              <w:rPr>
                <w:rFonts w:ascii="Calibri" w:hAnsi="Calibri" w:cs="Calibri"/>
                <w:b/>
                <w:bCs/>
                <w:color w:val="000000"/>
                <w:sz w:val="22"/>
                <w:szCs w:val="22"/>
                <w:lang w:val="en-GB"/>
              </w:rPr>
            </w:pPr>
            <w:r w:rsidRPr="00E128B3">
              <w:rPr>
                <w:rFonts w:ascii="Calibri" w:eastAsia="Calibri" w:hAnsi="Calibri" w:cs="Calibri"/>
                <w:b/>
                <w:color w:val="000000"/>
                <w:sz w:val="22"/>
                <w:szCs w:val="22"/>
                <w:lang w:val="en-GB" w:bidi="en-GB"/>
              </w:rPr>
              <w:t>Year</w:t>
            </w:r>
          </w:p>
        </w:tc>
        <w:tc>
          <w:tcPr>
            <w:tcW w:w="3324" w:type="pct"/>
            <w:gridSpan w:val="5"/>
            <w:tcBorders>
              <w:top w:val="single" w:sz="4" w:space="0" w:color="auto"/>
              <w:left w:val="nil"/>
              <w:bottom w:val="single" w:sz="4" w:space="0" w:color="auto"/>
              <w:right w:val="single" w:sz="4" w:space="0" w:color="auto"/>
            </w:tcBorders>
            <w:shd w:val="clear" w:color="000000" w:fill="E5F1FF"/>
            <w:tcMar>
              <w:top w:w="15" w:type="dxa"/>
              <w:left w:w="15" w:type="dxa"/>
              <w:bottom w:w="0" w:type="dxa"/>
              <w:right w:w="15" w:type="dxa"/>
            </w:tcMar>
            <w:vAlign w:val="center"/>
            <w:hideMark/>
          </w:tcPr>
          <w:p w14:paraId="57B7575A" w14:textId="13E8ED8C" w:rsidR="00395345" w:rsidRPr="00E128B3" w:rsidRDefault="00E915C8" w:rsidP="000A0D9D">
            <w:pPr>
              <w:keepNext/>
              <w:jc w:val="center"/>
              <w:rPr>
                <w:rFonts w:ascii="Calibri" w:hAnsi="Calibri" w:cs="Calibri"/>
                <w:b/>
                <w:bCs/>
                <w:color w:val="000000"/>
                <w:sz w:val="20"/>
                <w:szCs w:val="20"/>
                <w:lang w:val="en-GB"/>
              </w:rPr>
            </w:pPr>
            <w:r w:rsidRPr="00E128B3">
              <w:rPr>
                <w:rFonts w:ascii="Calibri" w:eastAsia="Calibri" w:hAnsi="Calibri" w:cs="Calibri"/>
                <w:b/>
                <w:color w:val="000000"/>
                <w:sz w:val="20"/>
                <w:szCs w:val="20"/>
                <w:lang w:val="en-GB" w:bidi="en-GB"/>
              </w:rPr>
              <w:t>Number of stations where the limit was exceeded*</w:t>
            </w:r>
          </w:p>
        </w:tc>
      </w:tr>
      <w:tr w:rsidR="00B9337F" w:rsidRPr="00E128B3" w14:paraId="230FD423" w14:textId="77777777" w:rsidTr="002350E3">
        <w:trPr>
          <w:trHeight w:val="283"/>
        </w:trPr>
        <w:tc>
          <w:tcPr>
            <w:tcW w:w="1676" w:type="pct"/>
            <w:vMerge/>
            <w:tcBorders>
              <w:top w:val="single" w:sz="4" w:space="0" w:color="auto"/>
              <w:left w:val="single" w:sz="4" w:space="0" w:color="auto"/>
              <w:bottom w:val="single" w:sz="4" w:space="0" w:color="auto"/>
              <w:right w:val="single" w:sz="4" w:space="0" w:color="auto"/>
            </w:tcBorders>
            <w:vAlign w:val="center"/>
            <w:hideMark/>
          </w:tcPr>
          <w:p w14:paraId="02AD0387" w14:textId="77777777" w:rsidR="00395345" w:rsidRPr="00E128B3" w:rsidRDefault="00395345" w:rsidP="001B1D79">
            <w:pPr>
              <w:keepNext/>
              <w:rPr>
                <w:rFonts w:ascii="Calibri" w:hAnsi="Calibri" w:cs="Calibri"/>
                <w:b/>
                <w:bCs/>
                <w:color w:val="000000"/>
                <w:sz w:val="22"/>
                <w:szCs w:val="22"/>
                <w:lang w:val="en-GB"/>
              </w:rPr>
            </w:pPr>
          </w:p>
        </w:tc>
        <w:tc>
          <w:tcPr>
            <w:tcW w:w="540" w:type="pct"/>
            <w:tcBorders>
              <w:top w:val="nil"/>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426D04EB" w14:textId="77777777" w:rsidR="00395345" w:rsidRPr="00E128B3" w:rsidRDefault="00395345" w:rsidP="001B1D79">
            <w:pPr>
              <w:keepNext/>
              <w:jc w:val="center"/>
              <w:rPr>
                <w:rFonts w:ascii="Calibri" w:hAnsi="Calibri" w:cs="Calibri"/>
                <w:b/>
                <w:bCs/>
                <w:color w:val="000000"/>
                <w:sz w:val="22"/>
                <w:szCs w:val="22"/>
                <w:lang w:val="en-GB"/>
              </w:rPr>
            </w:pPr>
            <w:r w:rsidRPr="00E128B3">
              <w:rPr>
                <w:rFonts w:ascii="Calibri" w:eastAsia="Calibri" w:hAnsi="Calibri" w:cs="Calibri"/>
                <w:b/>
                <w:color w:val="000000"/>
                <w:sz w:val="22"/>
                <w:szCs w:val="22"/>
                <w:lang w:val="en-GB" w:bidi="en-GB"/>
              </w:rPr>
              <w:t>NO</w:t>
            </w:r>
            <w:r w:rsidRPr="00E128B3">
              <w:rPr>
                <w:rFonts w:ascii="Calibri" w:eastAsia="Calibri" w:hAnsi="Calibri" w:cs="Calibri"/>
                <w:b/>
                <w:color w:val="000000"/>
                <w:sz w:val="22"/>
                <w:szCs w:val="22"/>
                <w:vertAlign w:val="subscript"/>
                <w:lang w:val="en-GB" w:bidi="en-GB"/>
              </w:rPr>
              <w:t>2_aa</w:t>
            </w:r>
          </w:p>
        </w:tc>
        <w:tc>
          <w:tcPr>
            <w:tcW w:w="618" w:type="pct"/>
            <w:tcBorders>
              <w:top w:val="nil"/>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6B629206" w14:textId="77777777" w:rsidR="00395345" w:rsidRPr="00E128B3" w:rsidRDefault="00395345" w:rsidP="001B1D79">
            <w:pPr>
              <w:keepNext/>
              <w:jc w:val="center"/>
              <w:rPr>
                <w:rFonts w:ascii="Calibri" w:hAnsi="Calibri" w:cs="Calibri"/>
                <w:b/>
                <w:bCs/>
                <w:color w:val="000000"/>
                <w:sz w:val="22"/>
                <w:szCs w:val="22"/>
                <w:lang w:val="en-GB"/>
              </w:rPr>
            </w:pPr>
            <w:r w:rsidRPr="00E128B3">
              <w:rPr>
                <w:rFonts w:ascii="Calibri" w:eastAsia="Calibri" w:hAnsi="Calibri" w:cs="Calibri"/>
                <w:b/>
                <w:color w:val="000000"/>
                <w:sz w:val="22"/>
                <w:szCs w:val="22"/>
                <w:lang w:val="en-GB" w:bidi="en-GB"/>
              </w:rPr>
              <w:t>PM</w:t>
            </w:r>
            <w:r w:rsidRPr="00E128B3">
              <w:rPr>
                <w:rFonts w:ascii="Calibri" w:eastAsia="Calibri" w:hAnsi="Calibri" w:cs="Calibri"/>
                <w:b/>
                <w:color w:val="000000"/>
                <w:sz w:val="22"/>
                <w:szCs w:val="22"/>
                <w:vertAlign w:val="subscript"/>
                <w:lang w:val="en-GB" w:bidi="en-GB"/>
              </w:rPr>
              <w:t>10_aa</w:t>
            </w:r>
          </w:p>
        </w:tc>
        <w:tc>
          <w:tcPr>
            <w:tcW w:w="861" w:type="pct"/>
            <w:tcBorders>
              <w:top w:val="nil"/>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3F88DB2D" w14:textId="77777777" w:rsidR="00395345" w:rsidRPr="00E128B3" w:rsidRDefault="00395345" w:rsidP="001B1D79">
            <w:pPr>
              <w:keepNext/>
              <w:jc w:val="center"/>
              <w:rPr>
                <w:rFonts w:ascii="Calibri" w:hAnsi="Calibri" w:cs="Calibri"/>
                <w:b/>
                <w:bCs/>
                <w:color w:val="000000"/>
                <w:sz w:val="22"/>
                <w:szCs w:val="22"/>
                <w:lang w:val="en-GB"/>
              </w:rPr>
            </w:pPr>
            <w:r w:rsidRPr="00E128B3">
              <w:rPr>
                <w:rFonts w:ascii="Calibri" w:eastAsia="Calibri" w:hAnsi="Calibri" w:cs="Calibri"/>
                <w:b/>
                <w:color w:val="000000"/>
                <w:sz w:val="22"/>
                <w:szCs w:val="22"/>
                <w:lang w:val="en-GB" w:bidi="en-GB"/>
              </w:rPr>
              <w:t>PM</w:t>
            </w:r>
            <w:r w:rsidRPr="00E128B3">
              <w:rPr>
                <w:rFonts w:ascii="Calibri" w:eastAsia="Calibri" w:hAnsi="Calibri" w:cs="Calibri"/>
                <w:b/>
                <w:color w:val="000000"/>
                <w:sz w:val="22"/>
                <w:szCs w:val="22"/>
                <w:vertAlign w:val="subscript"/>
                <w:lang w:val="en-GB" w:bidi="en-GB"/>
              </w:rPr>
              <w:t>10_da</w:t>
            </w:r>
          </w:p>
        </w:tc>
        <w:tc>
          <w:tcPr>
            <w:tcW w:w="652" w:type="pct"/>
            <w:tcBorders>
              <w:top w:val="nil"/>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004D35E0" w14:textId="77777777" w:rsidR="00395345" w:rsidRPr="00E128B3" w:rsidRDefault="00395345" w:rsidP="001B1D79">
            <w:pPr>
              <w:keepNext/>
              <w:jc w:val="center"/>
              <w:rPr>
                <w:rFonts w:ascii="Calibri" w:hAnsi="Calibri" w:cs="Calibri"/>
                <w:b/>
                <w:bCs/>
                <w:color w:val="000000"/>
                <w:sz w:val="22"/>
                <w:szCs w:val="22"/>
                <w:lang w:val="en-GB"/>
              </w:rPr>
            </w:pPr>
            <w:r w:rsidRPr="00E128B3">
              <w:rPr>
                <w:rFonts w:ascii="Calibri" w:eastAsia="Calibri" w:hAnsi="Calibri" w:cs="Calibri"/>
                <w:b/>
                <w:color w:val="000000"/>
                <w:sz w:val="22"/>
                <w:szCs w:val="22"/>
                <w:lang w:val="en-GB" w:bidi="en-GB"/>
              </w:rPr>
              <w:t>PM</w:t>
            </w:r>
            <w:r w:rsidRPr="00E128B3">
              <w:rPr>
                <w:rFonts w:ascii="Calibri" w:eastAsia="Calibri" w:hAnsi="Calibri" w:cs="Calibri"/>
                <w:b/>
                <w:color w:val="000000"/>
                <w:sz w:val="22"/>
                <w:szCs w:val="22"/>
                <w:vertAlign w:val="subscript"/>
                <w:lang w:val="en-GB" w:bidi="en-GB"/>
              </w:rPr>
              <w:t>2.5_aa</w:t>
            </w:r>
          </w:p>
        </w:tc>
        <w:tc>
          <w:tcPr>
            <w:tcW w:w="651" w:type="pct"/>
            <w:tcBorders>
              <w:top w:val="nil"/>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2D1894C3" w14:textId="69EDC11D" w:rsidR="00395345" w:rsidRPr="00E128B3" w:rsidRDefault="00AE2306" w:rsidP="001B1D79">
            <w:pPr>
              <w:keepNext/>
              <w:jc w:val="center"/>
              <w:rPr>
                <w:rFonts w:ascii="Calibri" w:hAnsi="Calibri" w:cs="Calibri"/>
                <w:b/>
                <w:bCs/>
                <w:color w:val="000000"/>
                <w:sz w:val="22"/>
                <w:szCs w:val="22"/>
                <w:lang w:val="en-GB"/>
              </w:rPr>
            </w:pPr>
            <w:r w:rsidRPr="00E128B3">
              <w:rPr>
                <w:rFonts w:ascii="Calibri" w:eastAsia="Calibri" w:hAnsi="Calibri" w:cs="Calibri"/>
                <w:b/>
                <w:color w:val="000000"/>
                <w:sz w:val="22"/>
                <w:szCs w:val="22"/>
                <w:lang w:val="en-GB" w:bidi="en-GB"/>
              </w:rPr>
              <w:t>BaP</w:t>
            </w:r>
            <w:r w:rsidRPr="00E128B3">
              <w:rPr>
                <w:rFonts w:ascii="Calibri" w:eastAsia="Calibri" w:hAnsi="Calibri" w:cs="Calibri"/>
                <w:b/>
                <w:color w:val="000000"/>
                <w:sz w:val="22"/>
                <w:szCs w:val="22"/>
                <w:vertAlign w:val="subscript"/>
                <w:lang w:val="en-GB" w:bidi="en-GB"/>
              </w:rPr>
              <w:t>aa</w:t>
            </w:r>
          </w:p>
        </w:tc>
      </w:tr>
      <w:tr w:rsidR="00B9337F" w:rsidRPr="00E128B3" w14:paraId="3090425B"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49F5AB"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2015</w:t>
            </w:r>
          </w:p>
        </w:tc>
        <w:tc>
          <w:tcPr>
            <w:tcW w:w="5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626860"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2 (93)</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B211D"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3 (131)</w:t>
            </w:r>
          </w:p>
        </w:tc>
        <w:tc>
          <w:tcPr>
            <w:tcW w:w="8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42214A"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29 (131)</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03DFDC"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6 (49)</w:t>
            </w:r>
          </w:p>
        </w:tc>
        <w:tc>
          <w:tcPr>
            <w:tcW w:w="6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AFDBCD"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21 (34)</w:t>
            </w:r>
          </w:p>
        </w:tc>
      </w:tr>
      <w:tr w:rsidR="00B9337F" w:rsidRPr="00E128B3" w14:paraId="160B8786"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4E72B4"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2016</w:t>
            </w:r>
          </w:p>
        </w:tc>
        <w:tc>
          <w:tcPr>
            <w:tcW w:w="5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932E78"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4 (96)</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6A8B95"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1 (152)</w:t>
            </w:r>
          </w:p>
        </w:tc>
        <w:tc>
          <w:tcPr>
            <w:tcW w:w="8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79B2BE"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23 (152)</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CACDCE"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10 (81)</w:t>
            </w:r>
          </w:p>
        </w:tc>
        <w:tc>
          <w:tcPr>
            <w:tcW w:w="6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464D2D"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31 (44)</w:t>
            </w:r>
          </w:p>
        </w:tc>
      </w:tr>
      <w:tr w:rsidR="00B9337F" w:rsidRPr="00E128B3" w14:paraId="2FCAC344"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AE0CB"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2017</w:t>
            </w:r>
          </w:p>
        </w:tc>
        <w:tc>
          <w:tcPr>
            <w:tcW w:w="5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6E9FAA"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4 (93)</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F02762"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2 (148)</w:t>
            </w:r>
          </w:p>
        </w:tc>
        <w:tc>
          <w:tcPr>
            <w:tcW w:w="8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23A049"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50 (148)</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C8E783"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10 (79)</w:t>
            </w:r>
          </w:p>
        </w:tc>
        <w:tc>
          <w:tcPr>
            <w:tcW w:w="6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666202" w14:textId="77777777" w:rsidR="00395345" w:rsidRPr="00E128B3" w:rsidRDefault="00395345" w:rsidP="001B1D79">
            <w:pPr>
              <w:keepNext/>
              <w:jc w:val="center"/>
              <w:rPr>
                <w:rFonts w:ascii="Calibri" w:hAnsi="Calibri" w:cs="Calibri"/>
                <w:color w:val="000000"/>
                <w:sz w:val="20"/>
                <w:szCs w:val="20"/>
                <w:lang w:val="en-GB"/>
              </w:rPr>
            </w:pPr>
            <w:r w:rsidRPr="00E128B3">
              <w:rPr>
                <w:rFonts w:ascii="Calibri" w:eastAsia="Calibri" w:hAnsi="Calibri" w:cs="Calibri"/>
                <w:color w:val="000000"/>
                <w:sz w:val="20"/>
                <w:szCs w:val="20"/>
                <w:lang w:val="en-GB" w:bidi="en-GB"/>
              </w:rPr>
              <w:t>31 (47)</w:t>
            </w:r>
          </w:p>
        </w:tc>
      </w:tr>
    </w:tbl>
    <w:p w14:paraId="10B1C7B2" w14:textId="77777777" w:rsidR="00395345" w:rsidRPr="00E128B3" w:rsidRDefault="00395345" w:rsidP="001B1D79">
      <w:pPr>
        <w:pStyle w:val="Zdrojapozn"/>
        <w:keepNext/>
        <w:spacing w:before="40"/>
        <w:rPr>
          <w:lang w:val="en-GB"/>
        </w:rPr>
      </w:pPr>
      <w:r w:rsidRPr="00E128B3">
        <w:rPr>
          <w:b/>
          <w:lang w:val="en-GB" w:bidi="en-GB"/>
        </w:rPr>
        <w:t>Source:</w:t>
      </w:r>
      <w:r w:rsidRPr="00E128B3">
        <w:rPr>
          <w:lang w:val="en-GB" w:bidi="en-GB"/>
        </w:rPr>
        <w:t xml:space="preserve"> CHMI, processed by the SAO</w:t>
      </w:r>
    </w:p>
    <w:p w14:paraId="55683975" w14:textId="61166AA5" w:rsidR="000A0D9D" w:rsidRPr="00E128B3" w:rsidRDefault="000A0D9D" w:rsidP="00E915C8">
      <w:pPr>
        <w:pStyle w:val="Zdrojapozn"/>
        <w:rPr>
          <w:lang w:val="en-GB"/>
        </w:rPr>
      </w:pPr>
      <w:r w:rsidRPr="00E128B3">
        <w:rPr>
          <w:b/>
          <w:lang w:val="en-GB" w:bidi="en-GB"/>
        </w:rPr>
        <w:t xml:space="preserve">Explanatory notes: </w:t>
      </w:r>
    </w:p>
    <w:p w14:paraId="0F46AFCA" w14:textId="51E138ED" w:rsidR="00E915C8" w:rsidRPr="00E128B3" w:rsidRDefault="000A0D9D" w:rsidP="00E915C8">
      <w:pPr>
        <w:pStyle w:val="Zdrojapozn"/>
        <w:rPr>
          <w:lang w:val="en-GB"/>
        </w:rPr>
      </w:pPr>
      <w:r w:rsidRPr="00E128B3">
        <w:rPr>
          <w:lang w:val="en-GB" w:bidi="en-GB"/>
        </w:rPr>
        <w:t>aa = average annual concentration; da = average daily (24-hour) concentration</w:t>
      </w:r>
    </w:p>
    <w:p w14:paraId="25D28DBC" w14:textId="662CF663" w:rsidR="00E915C8" w:rsidRPr="00E128B3" w:rsidRDefault="000A0D9D" w:rsidP="000A0D9D">
      <w:pPr>
        <w:pStyle w:val="Zdrojapozn"/>
        <w:ind w:left="142" w:hanging="142"/>
        <w:rPr>
          <w:lang w:val="en-GB"/>
        </w:rPr>
      </w:pPr>
      <w:r w:rsidRPr="00E128B3">
        <w:rPr>
          <w:lang w:val="en-GB" w:bidi="en-GB"/>
        </w:rPr>
        <w:t>*</w:t>
      </w:r>
      <w:r w:rsidRPr="00E128B3">
        <w:rPr>
          <w:lang w:val="en-GB" w:bidi="en-GB"/>
        </w:rPr>
        <w:tab/>
        <w:t>The brackets specify the total number of stations with a sufficient amount of data for annual evaluation in accordance with the applicable legislation.</w:t>
      </w:r>
    </w:p>
    <w:p w14:paraId="0F129DC4" w14:textId="77777777" w:rsidR="002350E3" w:rsidRPr="00E128B3" w:rsidRDefault="002350E3" w:rsidP="000A0D9D">
      <w:pPr>
        <w:pStyle w:val="Titulek"/>
        <w:spacing w:after="40"/>
        <w:ind w:left="1418" w:hanging="1418"/>
        <w:rPr>
          <w:b/>
          <w:lang w:val="en-GB"/>
        </w:rPr>
      </w:pPr>
    </w:p>
    <w:p w14:paraId="1994255D" w14:textId="581FE0D1" w:rsidR="00395345" w:rsidRPr="00E128B3" w:rsidRDefault="00395345" w:rsidP="00470F6E">
      <w:pPr>
        <w:pStyle w:val="Titulek"/>
        <w:spacing w:after="40"/>
        <w:ind w:left="851" w:hanging="851"/>
        <w:jc w:val="left"/>
        <w:rPr>
          <w:b/>
          <w:lang w:val="en-GB"/>
        </w:rPr>
      </w:pPr>
      <w:r w:rsidRPr="00E128B3">
        <w:rPr>
          <w:b/>
          <w:lang w:val="en-GB" w:bidi="en-GB"/>
        </w:rPr>
        <w:t xml:space="preserve">Table </w:t>
      </w:r>
      <w:r w:rsidR="00A36661" w:rsidRPr="00E128B3">
        <w:rPr>
          <w:b/>
          <w:lang w:val="en-GB" w:bidi="en-GB"/>
        </w:rPr>
        <w:fldChar w:fldCharType="begin"/>
      </w:r>
      <w:r w:rsidR="00A36661" w:rsidRPr="00E128B3">
        <w:rPr>
          <w:b/>
          <w:lang w:val="en-GB" w:bidi="en-GB"/>
        </w:rPr>
        <w:instrText xml:space="preserve"> SEQ Tabulka_č. \* ARABIC </w:instrText>
      </w:r>
      <w:r w:rsidR="00A36661" w:rsidRPr="00E128B3">
        <w:rPr>
          <w:b/>
          <w:lang w:val="en-GB" w:bidi="en-GB"/>
        </w:rPr>
        <w:fldChar w:fldCharType="separate"/>
      </w:r>
      <w:r w:rsidR="00136D57">
        <w:rPr>
          <w:b/>
          <w:noProof/>
          <w:lang w:val="en-GB" w:bidi="en-GB"/>
        </w:rPr>
        <w:t>8</w:t>
      </w:r>
      <w:r w:rsidR="00A36661" w:rsidRPr="00E128B3">
        <w:rPr>
          <w:b/>
          <w:noProof/>
          <w:lang w:val="en-GB" w:bidi="en-GB"/>
        </w:rPr>
        <w:fldChar w:fldCharType="end"/>
      </w:r>
      <w:r w:rsidRPr="00E128B3">
        <w:rPr>
          <w:b/>
          <w:lang w:val="en-GB" w:bidi="en-GB"/>
        </w:rPr>
        <w:t xml:space="preserve">: </w:t>
      </w:r>
      <w:r w:rsidRPr="00E128B3">
        <w:rPr>
          <w:b/>
          <w:lang w:val="en-GB" w:bidi="en-GB"/>
        </w:rPr>
        <w:tab/>
        <w:t xml:space="preserve">Share of the population exposed to the concentration of pollutants </w:t>
      </w:r>
      <w:r w:rsidR="00470F6E">
        <w:rPr>
          <w:b/>
          <w:lang w:val="en-GB" w:bidi="en-GB"/>
        </w:rPr>
        <w:br/>
      </w:r>
      <w:r w:rsidRPr="00E128B3">
        <w:rPr>
          <w:b/>
          <w:lang w:val="en-GB" w:bidi="en-GB"/>
        </w:rPr>
        <w:t>from 2015 to 2017</w:t>
      </w:r>
    </w:p>
    <w:tbl>
      <w:tblPr>
        <w:tblW w:w="5000" w:type="pct"/>
        <w:tblCellMar>
          <w:left w:w="70" w:type="dxa"/>
          <w:right w:w="70" w:type="dxa"/>
        </w:tblCellMar>
        <w:tblLook w:val="04A0" w:firstRow="1" w:lastRow="0" w:firstColumn="1" w:lastColumn="0" w:noHBand="0" w:noVBand="1"/>
      </w:tblPr>
      <w:tblGrid>
        <w:gridCol w:w="3088"/>
        <w:gridCol w:w="995"/>
        <w:gridCol w:w="1139"/>
        <w:gridCol w:w="1586"/>
        <w:gridCol w:w="1201"/>
        <w:gridCol w:w="1203"/>
      </w:tblGrid>
      <w:tr w:rsidR="00B9337F" w:rsidRPr="00E128B3" w14:paraId="66B30988" w14:textId="77777777" w:rsidTr="002350E3">
        <w:trPr>
          <w:trHeight w:val="283"/>
        </w:trPr>
        <w:tc>
          <w:tcPr>
            <w:tcW w:w="1676" w:type="pct"/>
            <w:vMerge w:val="restart"/>
            <w:tcBorders>
              <w:top w:val="single" w:sz="4" w:space="0" w:color="auto"/>
              <w:left w:val="single" w:sz="4" w:space="0" w:color="auto"/>
              <w:bottom w:val="single" w:sz="4" w:space="0" w:color="000000"/>
              <w:right w:val="single" w:sz="4" w:space="0" w:color="auto"/>
            </w:tcBorders>
            <w:shd w:val="clear" w:color="000000" w:fill="E5F1FF"/>
            <w:noWrap/>
            <w:vAlign w:val="center"/>
            <w:hideMark/>
          </w:tcPr>
          <w:p w14:paraId="636A1FDF" w14:textId="77777777" w:rsidR="00395345" w:rsidRPr="00E128B3" w:rsidRDefault="00395345" w:rsidP="00395345">
            <w:pPr>
              <w:jc w:val="center"/>
              <w:rPr>
                <w:rFonts w:ascii="Calibri" w:eastAsia="Times New Roman" w:hAnsi="Calibri" w:cs="Calibri"/>
                <w:b/>
                <w:bCs/>
                <w:color w:val="000000"/>
                <w:sz w:val="22"/>
                <w:szCs w:val="22"/>
                <w:lang w:val="en-GB" w:eastAsia="cs-CZ"/>
              </w:rPr>
            </w:pPr>
            <w:r w:rsidRPr="00E128B3">
              <w:rPr>
                <w:rFonts w:ascii="Calibri" w:eastAsia="Times New Roman" w:hAnsi="Calibri" w:cs="Calibri"/>
                <w:b/>
                <w:color w:val="000000"/>
                <w:sz w:val="22"/>
                <w:szCs w:val="22"/>
                <w:lang w:val="en-GB" w:bidi="en-GB"/>
              </w:rPr>
              <w:t>Year</w:t>
            </w:r>
          </w:p>
        </w:tc>
        <w:tc>
          <w:tcPr>
            <w:tcW w:w="3324" w:type="pct"/>
            <w:gridSpan w:val="5"/>
            <w:tcBorders>
              <w:top w:val="single" w:sz="4" w:space="0" w:color="auto"/>
              <w:left w:val="nil"/>
              <w:bottom w:val="single" w:sz="4" w:space="0" w:color="auto"/>
              <w:right w:val="single" w:sz="4" w:space="0" w:color="000000"/>
            </w:tcBorders>
            <w:shd w:val="clear" w:color="000000" w:fill="E5F1FF"/>
            <w:vAlign w:val="center"/>
            <w:hideMark/>
          </w:tcPr>
          <w:p w14:paraId="7955ABF7" w14:textId="4A5DB380" w:rsidR="00395345" w:rsidRPr="00E128B3" w:rsidRDefault="00395345" w:rsidP="00815943">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Population affected (%)</w:t>
            </w:r>
          </w:p>
        </w:tc>
      </w:tr>
      <w:tr w:rsidR="00B9337F" w:rsidRPr="00E128B3" w14:paraId="65FC4EE9" w14:textId="77777777" w:rsidTr="002350E3">
        <w:trPr>
          <w:trHeight w:val="283"/>
        </w:trPr>
        <w:tc>
          <w:tcPr>
            <w:tcW w:w="1676" w:type="pct"/>
            <w:vMerge/>
            <w:tcBorders>
              <w:top w:val="single" w:sz="4" w:space="0" w:color="auto"/>
              <w:left w:val="single" w:sz="4" w:space="0" w:color="auto"/>
              <w:bottom w:val="single" w:sz="4" w:space="0" w:color="000000"/>
              <w:right w:val="single" w:sz="4" w:space="0" w:color="auto"/>
            </w:tcBorders>
            <w:vAlign w:val="center"/>
            <w:hideMark/>
          </w:tcPr>
          <w:p w14:paraId="7D818856" w14:textId="77777777" w:rsidR="00395345" w:rsidRPr="00E128B3" w:rsidRDefault="00395345" w:rsidP="00395345">
            <w:pPr>
              <w:rPr>
                <w:rFonts w:ascii="Calibri" w:eastAsia="Times New Roman" w:hAnsi="Calibri" w:cs="Calibri"/>
                <w:b/>
                <w:bCs/>
                <w:color w:val="000000"/>
                <w:sz w:val="22"/>
                <w:szCs w:val="22"/>
                <w:lang w:val="en-GB" w:eastAsia="cs-CZ"/>
              </w:rPr>
            </w:pPr>
          </w:p>
        </w:tc>
        <w:tc>
          <w:tcPr>
            <w:tcW w:w="540" w:type="pct"/>
            <w:tcBorders>
              <w:top w:val="nil"/>
              <w:left w:val="nil"/>
              <w:bottom w:val="single" w:sz="4" w:space="0" w:color="auto"/>
              <w:right w:val="single" w:sz="4" w:space="0" w:color="auto"/>
            </w:tcBorders>
            <w:shd w:val="clear" w:color="000000" w:fill="E5F1FF"/>
            <w:noWrap/>
            <w:vAlign w:val="center"/>
            <w:hideMark/>
          </w:tcPr>
          <w:p w14:paraId="6D583497" w14:textId="77777777" w:rsidR="00395345" w:rsidRPr="00E128B3" w:rsidRDefault="00395345" w:rsidP="00395345">
            <w:pPr>
              <w:jc w:val="center"/>
              <w:rPr>
                <w:rFonts w:ascii="Calibri" w:eastAsia="Times New Roman" w:hAnsi="Calibri" w:cs="Calibri"/>
                <w:b/>
                <w:bCs/>
                <w:color w:val="000000"/>
                <w:sz w:val="22"/>
                <w:szCs w:val="22"/>
                <w:lang w:val="en-GB" w:eastAsia="cs-CZ"/>
              </w:rPr>
            </w:pPr>
            <w:r w:rsidRPr="00E128B3">
              <w:rPr>
                <w:rFonts w:ascii="Calibri" w:eastAsia="Times New Roman" w:hAnsi="Calibri" w:cs="Calibri"/>
                <w:b/>
                <w:color w:val="000000"/>
                <w:sz w:val="22"/>
                <w:szCs w:val="22"/>
                <w:lang w:val="en-GB" w:bidi="en-GB"/>
              </w:rPr>
              <w:t>NO</w:t>
            </w:r>
            <w:r w:rsidRPr="00E128B3">
              <w:rPr>
                <w:rFonts w:ascii="Calibri" w:eastAsia="Times New Roman" w:hAnsi="Calibri" w:cs="Calibri"/>
                <w:b/>
                <w:color w:val="000000"/>
                <w:sz w:val="22"/>
                <w:szCs w:val="22"/>
                <w:vertAlign w:val="subscript"/>
                <w:lang w:val="en-GB" w:bidi="en-GB"/>
              </w:rPr>
              <w:t>2_aa</w:t>
            </w:r>
          </w:p>
        </w:tc>
        <w:tc>
          <w:tcPr>
            <w:tcW w:w="618" w:type="pct"/>
            <w:tcBorders>
              <w:top w:val="nil"/>
              <w:left w:val="nil"/>
              <w:bottom w:val="single" w:sz="4" w:space="0" w:color="auto"/>
              <w:right w:val="single" w:sz="4" w:space="0" w:color="auto"/>
            </w:tcBorders>
            <w:shd w:val="clear" w:color="000000" w:fill="E5F1FF"/>
            <w:noWrap/>
            <w:vAlign w:val="center"/>
            <w:hideMark/>
          </w:tcPr>
          <w:p w14:paraId="6BE66DAE" w14:textId="77777777" w:rsidR="00395345" w:rsidRPr="00E128B3" w:rsidRDefault="00395345" w:rsidP="00395345">
            <w:pPr>
              <w:jc w:val="center"/>
              <w:rPr>
                <w:rFonts w:ascii="Calibri" w:eastAsia="Times New Roman" w:hAnsi="Calibri" w:cs="Calibri"/>
                <w:b/>
                <w:bCs/>
                <w:color w:val="000000"/>
                <w:sz w:val="22"/>
                <w:szCs w:val="22"/>
                <w:lang w:val="en-GB" w:eastAsia="cs-CZ"/>
              </w:rPr>
            </w:pPr>
            <w:r w:rsidRPr="00E128B3">
              <w:rPr>
                <w:rFonts w:ascii="Calibri" w:eastAsia="Times New Roman" w:hAnsi="Calibri" w:cs="Calibri"/>
                <w:b/>
                <w:color w:val="000000"/>
                <w:sz w:val="22"/>
                <w:szCs w:val="22"/>
                <w:lang w:val="en-GB" w:bidi="en-GB"/>
              </w:rPr>
              <w:t>PM</w:t>
            </w:r>
            <w:r w:rsidRPr="00E128B3">
              <w:rPr>
                <w:rFonts w:ascii="Calibri" w:eastAsia="Times New Roman" w:hAnsi="Calibri" w:cs="Calibri"/>
                <w:b/>
                <w:color w:val="000000"/>
                <w:sz w:val="22"/>
                <w:szCs w:val="22"/>
                <w:vertAlign w:val="subscript"/>
                <w:lang w:val="en-GB" w:bidi="en-GB"/>
              </w:rPr>
              <w:t>10_aa</w:t>
            </w:r>
          </w:p>
        </w:tc>
        <w:tc>
          <w:tcPr>
            <w:tcW w:w="861" w:type="pct"/>
            <w:tcBorders>
              <w:top w:val="nil"/>
              <w:left w:val="nil"/>
              <w:bottom w:val="single" w:sz="4" w:space="0" w:color="auto"/>
              <w:right w:val="single" w:sz="4" w:space="0" w:color="auto"/>
            </w:tcBorders>
            <w:shd w:val="clear" w:color="000000" w:fill="E5F1FF"/>
            <w:noWrap/>
            <w:vAlign w:val="center"/>
            <w:hideMark/>
          </w:tcPr>
          <w:p w14:paraId="020A8A8D" w14:textId="77777777" w:rsidR="00395345" w:rsidRPr="00E128B3" w:rsidRDefault="00395345" w:rsidP="00395345">
            <w:pPr>
              <w:jc w:val="center"/>
              <w:rPr>
                <w:rFonts w:ascii="Calibri" w:eastAsia="Times New Roman" w:hAnsi="Calibri" w:cs="Calibri"/>
                <w:b/>
                <w:bCs/>
                <w:color w:val="000000"/>
                <w:sz w:val="22"/>
                <w:szCs w:val="22"/>
                <w:lang w:val="en-GB" w:eastAsia="cs-CZ"/>
              </w:rPr>
            </w:pPr>
            <w:r w:rsidRPr="00E128B3">
              <w:rPr>
                <w:rFonts w:ascii="Calibri" w:eastAsia="Times New Roman" w:hAnsi="Calibri" w:cs="Calibri"/>
                <w:b/>
                <w:color w:val="000000"/>
                <w:sz w:val="22"/>
                <w:szCs w:val="22"/>
                <w:lang w:val="en-GB" w:bidi="en-GB"/>
              </w:rPr>
              <w:t>PM</w:t>
            </w:r>
            <w:r w:rsidRPr="00E128B3">
              <w:rPr>
                <w:rFonts w:ascii="Calibri" w:eastAsia="Times New Roman" w:hAnsi="Calibri" w:cs="Calibri"/>
                <w:b/>
                <w:color w:val="000000"/>
                <w:sz w:val="22"/>
                <w:szCs w:val="22"/>
                <w:vertAlign w:val="subscript"/>
                <w:lang w:val="en-GB" w:bidi="en-GB"/>
              </w:rPr>
              <w:t>10_da</w:t>
            </w:r>
          </w:p>
        </w:tc>
        <w:tc>
          <w:tcPr>
            <w:tcW w:w="652" w:type="pct"/>
            <w:tcBorders>
              <w:top w:val="nil"/>
              <w:left w:val="nil"/>
              <w:bottom w:val="single" w:sz="4" w:space="0" w:color="auto"/>
              <w:right w:val="single" w:sz="4" w:space="0" w:color="auto"/>
            </w:tcBorders>
            <w:shd w:val="clear" w:color="000000" w:fill="E5F1FF"/>
            <w:noWrap/>
            <w:vAlign w:val="center"/>
            <w:hideMark/>
          </w:tcPr>
          <w:p w14:paraId="6971EAB5" w14:textId="77777777" w:rsidR="00395345" w:rsidRPr="00E128B3" w:rsidRDefault="00395345" w:rsidP="00395345">
            <w:pPr>
              <w:jc w:val="center"/>
              <w:rPr>
                <w:rFonts w:ascii="Calibri" w:eastAsia="Times New Roman" w:hAnsi="Calibri" w:cs="Calibri"/>
                <w:b/>
                <w:bCs/>
                <w:color w:val="000000"/>
                <w:sz w:val="22"/>
                <w:szCs w:val="22"/>
                <w:lang w:val="en-GB" w:eastAsia="cs-CZ"/>
              </w:rPr>
            </w:pPr>
            <w:r w:rsidRPr="00E128B3">
              <w:rPr>
                <w:rFonts w:ascii="Calibri" w:eastAsia="Times New Roman" w:hAnsi="Calibri" w:cs="Calibri"/>
                <w:b/>
                <w:color w:val="000000"/>
                <w:sz w:val="22"/>
                <w:szCs w:val="22"/>
                <w:lang w:val="en-GB" w:bidi="en-GB"/>
              </w:rPr>
              <w:t>PM</w:t>
            </w:r>
            <w:r w:rsidRPr="00E128B3">
              <w:rPr>
                <w:rFonts w:ascii="Calibri" w:eastAsia="Times New Roman" w:hAnsi="Calibri" w:cs="Calibri"/>
                <w:b/>
                <w:color w:val="000000"/>
                <w:sz w:val="22"/>
                <w:szCs w:val="22"/>
                <w:vertAlign w:val="subscript"/>
                <w:lang w:val="en-GB" w:bidi="en-GB"/>
              </w:rPr>
              <w:t>2.5_aa</w:t>
            </w:r>
          </w:p>
        </w:tc>
        <w:tc>
          <w:tcPr>
            <w:tcW w:w="653" w:type="pct"/>
            <w:tcBorders>
              <w:top w:val="nil"/>
              <w:left w:val="nil"/>
              <w:bottom w:val="single" w:sz="4" w:space="0" w:color="auto"/>
              <w:right w:val="single" w:sz="4" w:space="0" w:color="auto"/>
            </w:tcBorders>
            <w:shd w:val="clear" w:color="000000" w:fill="E5F1FF"/>
            <w:noWrap/>
            <w:vAlign w:val="center"/>
            <w:hideMark/>
          </w:tcPr>
          <w:p w14:paraId="52461765" w14:textId="77777777" w:rsidR="00395345" w:rsidRPr="00E128B3" w:rsidRDefault="00AE2306" w:rsidP="00395345">
            <w:pPr>
              <w:jc w:val="center"/>
              <w:rPr>
                <w:rFonts w:ascii="Calibri" w:eastAsia="Times New Roman" w:hAnsi="Calibri" w:cs="Calibri"/>
                <w:b/>
                <w:bCs/>
                <w:color w:val="000000"/>
                <w:sz w:val="22"/>
                <w:szCs w:val="22"/>
                <w:lang w:val="en-GB" w:eastAsia="cs-CZ"/>
              </w:rPr>
            </w:pPr>
            <w:r w:rsidRPr="00E128B3">
              <w:rPr>
                <w:rFonts w:ascii="Calibri" w:eastAsia="Times New Roman" w:hAnsi="Calibri" w:cs="Calibri"/>
                <w:b/>
                <w:color w:val="000000"/>
                <w:sz w:val="22"/>
                <w:szCs w:val="22"/>
                <w:lang w:val="en-GB" w:bidi="en-GB"/>
              </w:rPr>
              <w:t>BaP</w:t>
            </w:r>
            <w:r w:rsidRPr="00E128B3">
              <w:rPr>
                <w:rFonts w:ascii="Calibri" w:eastAsia="Times New Roman" w:hAnsi="Calibri" w:cs="Calibri"/>
                <w:b/>
                <w:color w:val="000000"/>
                <w:sz w:val="22"/>
                <w:szCs w:val="22"/>
                <w:vertAlign w:val="subscript"/>
                <w:lang w:val="en-GB" w:bidi="en-GB"/>
              </w:rPr>
              <w:t>_aa</w:t>
            </w:r>
          </w:p>
        </w:tc>
      </w:tr>
      <w:tr w:rsidR="00B9337F" w:rsidRPr="00E128B3" w14:paraId="6E0E1DB3"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vAlign w:val="center"/>
            <w:hideMark/>
          </w:tcPr>
          <w:p w14:paraId="1B6C3CF4"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2015</w:t>
            </w:r>
          </w:p>
        </w:tc>
        <w:tc>
          <w:tcPr>
            <w:tcW w:w="540" w:type="pct"/>
            <w:tcBorders>
              <w:top w:val="nil"/>
              <w:left w:val="nil"/>
              <w:bottom w:val="single" w:sz="4" w:space="0" w:color="auto"/>
              <w:right w:val="single" w:sz="4" w:space="0" w:color="auto"/>
            </w:tcBorders>
            <w:shd w:val="clear" w:color="auto" w:fill="auto"/>
            <w:noWrap/>
            <w:vAlign w:val="bottom"/>
            <w:hideMark/>
          </w:tcPr>
          <w:p w14:paraId="226B1D3B"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w:t>
            </w:r>
          </w:p>
        </w:tc>
        <w:tc>
          <w:tcPr>
            <w:tcW w:w="618" w:type="pct"/>
            <w:tcBorders>
              <w:top w:val="nil"/>
              <w:left w:val="nil"/>
              <w:bottom w:val="single" w:sz="4" w:space="0" w:color="auto"/>
              <w:right w:val="single" w:sz="4" w:space="0" w:color="auto"/>
            </w:tcBorders>
            <w:shd w:val="clear" w:color="auto" w:fill="auto"/>
            <w:noWrap/>
            <w:vAlign w:val="bottom"/>
            <w:hideMark/>
          </w:tcPr>
          <w:p w14:paraId="024D29F1"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0.01</w:t>
            </w:r>
          </w:p>
        </w:tc>
        <w:tc>
          <w:tcPr>
            <w:tcW w:w="861" w:type="pct"/>
            <w:tcBorders>
              <w:top w:val="nil"/>
              <w:left w:val="nil"/>
              <w:bottom w:val="single" w:sz="4" w:space="0" w:color="auto"/>
              <w:right w:val="single" w:sz="4" w:space="0" w:color="auto"/>
            </w:tcBorders>
            <w:shd w:val="clear" w:color="auto" w:fill="auto"/>
            <w:noWrap/>
            <w:vAlign w:val="bottom"/>
            <w:hideMark/>
          </w:tcPr>
          <w:p w14:paraId="654EBD4B"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10</w:t>
            </w:r>
          </w:p>
        </w:tc>
        <w:tc>
          <w:tcPr>
            <w:tcW w:w="652" w:type="pct"/>
            <w:tcBorders>
              <w:top w:val="nil"/>
              <w:left w:val="nil"/>
              <w:bottom w:val="single" w:sz="4" w:space="0" w:color="auto"/>
              <w:right w:val="single" w:sz="4" w:space="0" w:color="auto"/>
            </w:tcBorders>
            <w:shd w:val="clear" w:color="auto" w:fill="auto"/>
            <w:noWrap/>
            <w:vAlign w:val="bottom"/>
            <w:hideMark/>
          </w:tcPr>
          <w:p w14:paraId="18C0CFAD"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5</w:t>
            </w:r>
          </w:p>
        </w:tc>
        <w:tc>
          <w:tcPr>
            <w:tcW w:w="653" w:type="pct"/>
            <w:tcBorders>
              <w:top w:val="nil"/>
              <w:left w:val="nil"/>
              <w:bottom w:val="single" w:sz="4" w:space="0" w:color="auto"/>
              <w:right w:val="single" w:sz="4" w:space="0" w:color="auto"/>
            </w:tcBorders>
            <w:shd w:val="clear" w:color="auto" w:fill="auto"/>
            <w:noWrap/>
            <w:vAlign w:val="bottom"/>
            <w:hideMark/>
          </w:tcPr>
          <w:p w14:paraId="37EBD9C5"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51</w:t>
            </w:r>
          </w:p>
        </w:tc>
      </w:tr>
      <w:tr w:rsidR="00B9337F" w:rsidRPr="00E128B3" w14:paraId="101F2925"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vAlign w:val="center"/>
            <w:hideMark/>
          </w:tcPr>
          <w:p w14:paraId="2E9652A4"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2016</w:t>
            </w:r>
          </w:p>
        </w:tc>
        <w:tc>
          <w:tcPr>
            <w:tcW w:w="540" w:type="pct"/>
            <w:tcBorders>
              <w:top w:val="nil"/>
              <w:left w:val="nil"/>
              <w:bottom w:val="single" w:sz="4" w:space="0" w:color="auto"/>
              <w:right w:val="single" w:sz="4" w:space="0" w:color="auto"/>
            </w:tcBorders>
            <w:shd w:val="clear" w:color="auto" w:fill="auto"/>
            <w:noWrap/>
            <w:vAlign w:val="bottom"/>
            <w:hideMark/>
          </w:tcPr>
          <w:p w14:paraId="57ED25BC"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0.3</w:t>
            </w:r>
          </w:p>
        </w:tc>
        <w:tc>
          <w:tcPr>
            <w:tcW w:w="618" w:type="pct"/>
            <w:tcBorders>
              <w:top w:val="nil"/>
              <w:left w:val="nil"/>
              <w:bottom w:val="single" w:sz="4" w:space="0" w:color="auto"/>
              <w:right w:val="single" w:sz="4" w:space="0" w:color="auto"/>
            </w:tcBorders>
            <w:shd w:val="clear" w:color="auto" w:fill="auto"/>
            <w:noWrap/>
            <w:vAlign w:val="bottom"/>
            <w:hideMark/>
          </w:tcPr>
          <w:p w14:paraId="3FCD7410"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w:t>
            </w:r>
          </w:p>
        </w:tc>
        <w:tc>
          <w:tcPr>
            <w:tcW w:w="861" w:type="pct"/>
            <w:tcBorders>
              <w:top w:val="nil"/>
              <w:left w:val="nil"/>
              <w:bottom w:val="single" w:sz="4" w:space="0" w:color="auto"/>
              <w:right w:val="single" w:sz="4" w:space="0" w:color="auto"/>
            </w:tcBorders>
            <w:shd w:val="clear" w:color="auto" w:fill="auto"/>
            <w:noWrap/>
            <w:vAlign w:val="bottom"/>
            <w:hideMark/>
          </w:tcPr>
          <w:p w14:paraId="47EA70B0"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7</w:t>
            </w:r>
          </w:p>
        </w:tc>
        <w:tc>
          <w:tcPr>
            <w:tcW w:w="652" w:type="pct"/>
            <w:tcBorders>
              <w:top w:val="nil"/>
              <w:left w:val="nil"/>
              <w:bottom w:val="single" w:sz="4" w:space="0" w:color="auto"/>
              <w:right w:val="single" w:sz="4" w:space="0" w:color="auto"/>
            </w:tcBorders>
            <w:shd w:val="clear" w:color="auto" w:fill="auto"/>
            <w:noWrap/>
            <w:vAlign w:val="bottom"/>
            <w:hideMark/>
          </w:tcPr>
          <w:p w14:paraId="07F1F8D7"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w:t>
            </w:r>
          </w:p>
        </w:tc>
        <w:tc>
          <w:tcPr>
            <w:tcW w:w="653" w:type="pct"/>
            <w:tcBorders>
              <w:top w:val="nil"/>
              <w:left w:val="nil"/>
              <w:bottom w:val="single" w:sz="4" w:space="0" w:color="auto"/>
              <w:right w:val="single" w:sz="4" w:space="0" w:color="auto"/>
            </w:tcBorders>
            <w:shd w:val="clear" w:color="auto" w:fill="auto"/>
            <w:noWrap/>
            <w:vAlign w:val="bottom"/>
            <w:hideMark/>
          </w:tcPr>
          <w:p w14:paraId="68E40EF8"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56</w:t>
            </w:r>
          </w:p>
        </w:tc>
      </w:tr>
      <w:tr w:rsidR="00B9337F" w:rsidRPr="00E128B3" w14:paraId="096C2E68"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vAlign w:val="center"/>
            <w:hideMark/>
          </w:tcPr>
          <w:p w14:paraId="167A3D3F"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2017</w:t>
            </w:r>
          </w:p>
        </w:tc>
        <w:tc>
          <w:tcPr>
            <w:tcW w:w="540" w:type="pct"/>
            <w:tcBorders>
              <w:top w:val="nil"/>
              <w:left w:val="nil"/>
              <w:bottom w:val="single" w:sz="4" w:space="0" w:color="auto"/>
              <w:right w:val="single" w:sz="4" w:space="0" w:color="auto"/>
            </w:tcBorders>
            <w:shd w:val="clear" w:color="auto" w:fill="auto"/>
            <w:noWrap/>
            <w:vAlign w:val="bottom"/>
            <w:hideMark/>
          </w:tcPr>
          <w:p w14:paraId="6A8C5454"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w:t>
            </w:r>
          </w:p>
        </w:tc>
        <w:tc>
          <w:tcPr>
            <w:tcW w:w="618" w:type="pct"/>
            <w:tcBorders>
              <w:top w:val="nil"/>
              <w:left w:val="nil"/>
              <w:bottom w:val="single" w:sz="4" w:space="0" w:color="auto"/>
              <w:right w:val="single" w:sz="4" w:space="0" w:color="auto"/>
            </w:tcBorders>
            <w:shd w:val="clear" w:color="auto" w:fill="auto"/>
            <w:noWrap/>
            <w:vAlign w:val="bottom"/>
            <w:hideMark/>
          </w:tcPr>
          <w:p w14:paraId="248C0E6F"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0.01</w:t>
            </w:r>
          </w:p>
        </w:tc>
        <w:tc>
          <w:tcPr>
            <w:tcW w:w="861" w:type="pct"/>
            <w:tcBorders>
              <w:top w:val="nil"/>
              <w:left w:val="nil"/>
              <w:bottom w:val="single" w:sz="4" w:space="0" w:color="auto"/>
              <w:right w:val="single" w:sz="4" w:space="0" w:color="auto"/>
            </w:tcBorders>
            <w:shd w:val="clear" w:color="auto" w:fill="auto"/>
            <w:noWrap/>
            <w:vAlign w:val="bottom"/>
            <w:hideMark/>
          </w:tcPr>
          <w:p w14:paraId="2C126BBA"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23</w:t>
            </w:r>
          </w:p>
        </w:tc>
        <w:tc>
          <w:tcPr>
            <w:tcW w:w="652" w:type="pct"/>
            <w:tcBorders>
              <w:top w:val="nil"/>
              <w:left w:val="nil"/>
              <w:bottom w:val="single" w:sz="4" w:space="0" w:color="auto"/>
              <w:right w:val="single" w:sz="4" w:space="0" w:color="auto"/>
            </w:tcBorders>
            <w:shd w:val="clear" w:color="auto" w:fill="auto"/>
            <w:noWrap/>
            <w:vAlign w:val="bottom"/>
            <w:hideMark/>
          </w:tcPr>
          <w:p w14:paraId="59BB8946"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5</w:t>
            </w:r>
          </w:p>
        </w:tc>
        <w:tc>
          <w:tcPr>
            <w:tcW w:w="653" w:type="pct"/>
            <w:tcBorders>
              <w:top w:val="nil"/>
              <w:left w:val="nil"/>
              <w:bottom w:val="single" w:sz="4" w:space="0" w:color="auto"/>
              <w:right w:val="single" w:sz="4" w:space="0" w:color="auto"/>
            </w:tcBorders>
            <w:shd w:val="clear" w:color="auto" w:fill="auto"/>
            <w:noWrap/>
            <w:vAlign w:val="bottom"/>
            <w:hideMark/>
          </w:tcPr>
          <w:p w14:paraId="0A8E1FF2" w14:textId="77777777" w:rsidR="00395345" w:rsidRPr="00E128B3" w:rsidRDefault="00395345" w:rsidP="00395345">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62</w:t>
            </w:r>
          </w:p>
        </w:tc>
      </w:tr>
      <w:tr w:rsidR="00B9337F" w:rsidRPr="00E128B3" w14:paraId="5209BFE9"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vAlign w:val="center"/>
            <w:hideMark/>
          </w:tcPr>
          <w:p w14:paraId="163CF4B2" w14:textId="65F512D2" w:rsidR="00395345" w:rsidRPr="00E128B3" w:rsidRDefault="00395345" w:rsidP="000A0D9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Average for 2013–2017</w:t>
            </w:r>
          </w:p>
        </w:tc>
        <w:tc>
          <w:tcPr>
            <w:tcW w:w="540" w:type="pct"/>
            <w:tcBorders>
              <w:top w:val="nil"/>
              <w:left w:val="nil"/>
              <w:bottom w:val="single" w:sz="4" w:space="0" w:color="auto"/>
              <w:right w:val="single" w:sz="4" w:space="0" w:color="auto"/>
            </w:tcBorders>
            <w:shd w:val="clear" w:color="auto" w:fill="auto"/>
            <w:noWrap/>
            <w:vAlign w:val="bottom"/>
            <w:hideMark/>
          </w:tcPr>
          <w:p w14:paraId="3B840AE2" w14:textId="77777777" w:rsidR="00395345" w:rsidRPr="00E128B3" w:rsidRDefault="00395345" w:rsidP="00395345">
            <w:pPr>
              <w:jc w:val="center"/>
              <w:rPr>
                <w:rFonts w:ascii="Calibri" w:eastAsia="Times New Roman" w:hAnsi="Calibri" w:cs="Calibri"/>
                <w:color w:val="000000"/>
                <w:sz w:val="22"/>
                <w:szCs w:val="22"/>
                <w:lang w:val="en-GB" w:eastAsia="cs-CZ"/>
              </w:rPr>
            </w:pPr>
            <w:r w:rsidRPr="00E128B3">
              <w:rPr>
                <w:rFonts w:ascii="Calibri" w:eastAsia="Times New Roman" w:hAnsi="Calibri" w:cs="Calibri"/>
                <w:color w:val="000000"/>
                <w:sz w:val="22"/>
                <w:szCs w:val="22"/>
                <w:lang w:val="en-GB" w:bidi="en-GB"/>
              </w:rPr>
              <w:t>0</w:t>
            </w:r>
          </w:p>
        </w:tc>
        <w:tc>
          <w:tcPr>
            <w:tcW w:w="618" w:type="pct"/>
            <w:tcBorders>
              <w:top w:val="nil"/>
              <w:left w:val="nil"/>
              <w:bottom w:val="single" w:sz="4" w:space="0" w:color="auto"/>
              <w:right w:val="single" w:sz="4" w:space="0" w:color="auto"/>
            </w:tcBorders>
            <w:shd w:val="clear" w:color="auto" w:fill="auto"/>
            <w:noWrap/>
            <w:vAlign w:val="bottom"/>
            <w:hideMark/>
          </w:tcPr>
          <w:p w14:paraId="53A25F1C" w14:textId="77777777" w:rsidR="00395345" w:rsidRPr="00E128B3" w:rsidRDefault="00395345" w:rsidP="00395345">
            <w:pPr>
              <w:jc w:val="center"/>
              <w:rPr>
                <w:rFonts w:ascii="Calibri" w:eastAsia="Times New Roman" w:hAnsi="Calibri" w:cs="Calibri"/>
                <w:color w:val="000000"/>
                <w:sz w:val="22"/>
                <w:szCs w:val="22"/>
                <w:lang w:val="en-GB" w:eastAsia="cs-CZ"/>
              </w:rPr>
            </w:pPr>
            <w:r w:rsidRPr="00E128B3">
              <w:rPr>
                <w:rFonts w:ascii="Calibri" w:eastAsia="Times New Roman" w:hAnsi="Calibri" w:cs="Calibri"/>
                <w:color w:val="000000"/>
                <w:sz w:val="22"/>
                <w:szCs w:val="22"/>
                <w:lang w:val="en-GB" w:bidi="en-GB"/>
              </w:rPr>
              <w:t>0.2</w:t>
            </w:r>
          </w:p>
        </w:tc>
        <w:tc>
          <w:tcPr>
            <w:tcW w:w="861" w:type="pct"/>
            <w:tcBorders>
              <w:top w:val="nil"/>
              <w:left w:val="nil"/>
              <w:bottom w:val="single" w:sz="4" w:space="0" w:color="auto"/>
              <w:right w:val="single" w:sz="4" w:space="0" w:color="auto"/>
            </w:tcBorders>
            <w:shd w:val="clear" w:color="auto" w:fill="auto"/>
            <w:noWrap/>
            <w:vAlign w:val="bottom"/>
            <w:hideMark/>
          </w:tcPr>
          <w:p w14:paraId="17279B4D" w14:textId="77777777" w:rsidR="00395345" w:rsidRPr="00E128B3" w:rsidRDefault="00395345" w:rsidP="00395345">
            <w:pPr>
              <w:jc w:val="center"/>
              <w:rPr>
                <w:rFonts w:ascii="Calibri" w:eastAsia="Times New Roman" w:hAnsi="Calibri" w:cs="Calibri"/>
                <w:color w:val="000000"/>
                <w:sz w:val="22"/>
                <w:szCs w:val="22"/>
                <w:lang w:val="en-GB" w:eastAsia="cs-CZ"/>
              </w:rPr>
            </w:pPr>
            <w:r w:rsidRPr="00E128B3">
              <w:rPr>
                <w:rFonts w:ascii="Calibri" w:eastAsia="Times New Roman" w:hAnsi="Calibri" w:cs="Calibri"/>
                <w:color w:val="000000"/>
                <w:sz w:val="22"/>
                <w:szCs w:val="22"/>
                <w:lang w:val="en-GB" w:bidi="en-GB"/>
              </w:rPr>
              <w:t>15</w:t>
            </w:r>
          </w:p>
        </w:tc>
        <w:tc>
          <w:tcPr>
            <w:tcW w:w="652" w:type="pct"/>
            <w:tcBorders>
              <w:top w:val="nil"/>
              <w:left w:val="nil"/>
              <w:bottom w:val="single" w:sz="4" w:space="0" w:color="auto"/>
              <w:right w:val="single" w:sz="4" w:space="0" w:color="auto"/>
            </w:tcBorders>
            <w:shd w:val="clear" w:color="auto" w:fill="auto"/>
            <w:noWrap/>
            <w:vAlign w:val="bottom"/>
            <w:hideMark/>
          </w:tcPr>
          <w:p w14:paraId="657DA28D" w14:textId="77777777" w:rsidR="00395345" w:rsidRPr="00E128B3" w:rsidRDefault="00395345" w:rsidP="00395345">
            <w:pPr>
              <w:jc w:val="center"/>
              <w:rPr>
                <w:rFonts w:ascii="Calibri" w:eastAsia="Times New Roman" w:hAnsi="Calibri" w:cs="Calibri"/>
                <w:color w:val="000000"/>
                <w:sz w:val="22"/>
                <w:szCs w:val="22"/>
                <w:lang w:val="en-GB" w:eastAsia="cs-CZ"/>
              </w:rPr>
            </w:pPr>
            <w:r w:rsidRPr="00E128B3">
              <w:rPr>
                <w:rFonts w:ascii="Calibri" w:eastAsia="Times New Roman" w:hAnsi="Calibri" w:cs="Calibri"/>
                <w:color w:val="000000"/>
                <w:sz w:val="22"/>
                <w:szCs w:val="22"/>
                <w:lang w:val="en-GB" w:bidi="en-GB"/>
              </w:rPr>
              <w:t>7</w:t>
            </w:r>
          </w:p>
        </w:tc>
        <w:tc>
          <w:tcPr>
            <w:tcW w:w="653" w:type="pct"/>
            <w:tcBorders>
              <w:top w:val="nil"/>
              <w:left w:val="nil"/>
              <w:bottom w:val="single" w:sz="4" w:space="0" w:color="auto"/>
              <w:right w:val="single" w:sz="4" w:space="0" w:color="auto"/>
            </w:tcBorders>
            <w:shd w:val="clear" w:color="auto" w:fill="auto"/>
            <w:noWrap/>
            <w:vAlign w:val="bottom"/>
            <w:hideMark/>
          </w:tcPr>
          <w:p w14:paraId="1FD1E34D" w14:textId="77777777" w:rsidR="00395345" w:rsidRPr="00E128B3" w:rsidRDefault="00395345" w:rsidP="00395345">
            <w:pPr>
              <w:jc w:val="center"/>
              <w:rPr>
                <w:rFonts w:ascii="Calibri" w:eastAsia="Times New Roman" w:hAnsi="Calibri" w:cs="Calibri"/>
                <w:color w:val="000000"/>
                <w:sz w:val="22"/>
                <w:szCs w:val="22"/>
                <w:lang w:val="en-GB" w:eastAsia="cs-CZ"/>
              </w:rPr>
            </w:pPr>
            <w:r w:rsidRPr="00E128B3">
              <w:rPr>
                <w:rFonts w:ascii="Calibri" w:eastAsia="Times New Roman" w:hAnsi="Calibri" w:cs="Calibri"/>
                <w:color w:val="000000"/>
                <w:sz w:val="22"/>
                <w:szCs w:val="22"/>
                <w:lang w:val="en-GB" w:bidi="en-GB"/>
              </w:rPr>
              <w:t>51</w:t>
            </w:r>
          </w:p>
        </w:tc>
      </w:tr>
    </w:tbl>
    <w:p w14:paraId="5B143DA9" w14:textId="05E000D9" w:rsidR="00395345" w:rsidRPr="00E128B3" w:rsidRDefault="00395345" w:rsidP="00141703">
      <w:pPr>
        <w:pStyle w:val="Zdrojapozn"/>
        <w:spacing w:before="40"/>
        <w:rPr>
          <w:lang w:val="en-GB"/>
        </w:rPr>
      </w:pPr>
      <w:r w:rsidRPr="00E128B3">
        <w:rPr>
          <w:b/>
          <w:lang w:val="en-GB" w:bidi="en-GB"/>
        </w:rPr>
        <w:t xml:space="preserve">Sources: </w:t>
      </w:r>
      <w:r w:rsidRPr="00E128B3">
        <w:rPr>
          <w:lang w:val="en-GB" w:bidi="en-GB"/>
        </w:rPr>
        <w:t>Prepared by the SAO on the basis of CHMI data.</w:t>
      </w:r>
    </w:p>
    <w:p w14:paraId="53AEDC97" w14:textId="473C23C2" w:rsidR="000A0D9D" w:rsidRPr="00E128B3" w:rsidRDefault="000A0D9D" w:rsidP="00000362">
      <w:pPr>
        <w:pStyle w:val="Zdrojapozn"/>
        <w:rPr>
          <w:lang w:val="en-GB"/>
        </w:rPr>
      </w:pPr>
      <w:r w:rsidRPr="00E128B3">
        <w:rPr>
          <w:b/>
          <w:lang w:val="en-GB" w:bidi="en-GB"/>
        </w:rPr>
        <w:t xml:space="preserve">Explanatory notes: </w:t>
      </w:r>
    </w:p>
    <w:p w14:paraId="328E6B70" w14:textId="5EEB37E5" w:rsidR="00000362" w:rsidRPr="00E128B3" w:rsidRDefault="000A0D9D" w:rsidP="00000362">
      <w:pPr>
        <w:pStyle w:val="Zdrojapozn"/>
        <w:rPr>
          <w:lang w:val="en-GB"/>
        </w:rPr>
      </w:pPr>
      <w:r w:rsidRPr="00E128B3">
        <w:rPr>
          <w:lang w:val="en-GB" w:bidi="en-GB"/>
        </w:rPr>
        <w:t>aa = average annual concentration; da = average daily (24-hour) concentration</w:t>
      </w:r>
    </w:p>
    <w:p w14:paraId="39D776C8" w14:textId="77777777" w:rsidR="002350E3" w:rsidRPr="00E128B3" w:rsidRDefault="002350E3" w:rsidP="002350E3">
      <w:pPr>
        <w:pStyle w:val="TextKP"/>
        <w:spacing w:after="120" w:line="276" w:lineRule="auto"/>
        <w:rPr>
          <w:lang w:val="en-GB" w:eastAsia="cs-CZ"/>
        </w:rPr>
      </w:pPr>
    </w:p>
    <w:p w14:paraId="1CBC88DF" w14:textId="131F7BA7" w:rsidR="00395345" w:rsidRPr="00E128B3" w:rsidRDefault="00395345" w:rsidP="002350E3">
      <w:pPr>
        <w:pStyle w:val="TextKP"/>
        <w:spacing w:after="120" w:line="276" w:lineRule="auto"/>
        <w:rPr>
          <w:lang w:val="en-GB" w:eastAsia="cs-CZ"/>
        </w:rPr>
      </w:pPr>
      <w:r w:rsidRPr="00E128B3">
        <w:rPr>
          <w:lang w:val="en-GB" w:bidi="en-GB"/>
        </w:rPr>
        <w:t>In 2017 the air pollution limit for the average daily concentration of PM</w:t>
      </w:r>
      <w:r w:rsidRPr="00E128B3">
        <w:rPr>
          <w:vertAlign w:val="subscript"/>
          <w:lang w:val="en-GB" w:bidi="en-GB"/>
        </w:rPr>
        <w:t>10</w:t>
      </w:r>
      <w:r w:rsidRPr="00E128B3">
        <w:rPr>
          <w:lang w:val="en-GB" w:bidi="en-GB"/>
        </w:rPr>
        <w:t xml:space="preserve"> was exceeded at 50 measuring stations, i.e. about </w:t>
      </w:r>
      <w:r w:rsidRPr="00E128B3">
        <w:rPr>
          <w:vertAlign w:val="superscript"/>
          <w:lang w:val="en-GB" w:bidi="en-GB"/>
        </w:rPr>
        <w:t>1</w:t>
      </w:r>
      <w:r w:rsidRPr="00E128B3">
        <w:rPr>
          <w:lang w:val="en-GB" w:bidi="en-GB"/>
        </w:rPr>
        <w:t>/</w:t>
      </w:r>
      <w:r w:rsidRPr="00E128B3">
        <w:rPr>
          <w:vertAlign w:val="subscript"/>
          <w:lang w:val="en-GB" w:bidi="en-GB"/>
        </w:rPr>
        <w:t>3</w:t>
      </w:r>
      <w:r w:rsidRPr="00E128B3">
        <w:rPr>
          <w:lang w:val="en-GB" w:bidi="en-GB"/>
        </w:rPr>
        <w:t xml:space="preserve"> of all the measuring stations (compared to 23 stations in 2016 and 29 stations in 2015); 23% of the population of the Czech Republic was exposed to above-the-threshold concentrations in 2017 (compared to 7% of the population in 2016 and 10% in 2015). Because of the high concentration of PM</w:t>
      </w:r>
      <w:r w:rsidRPr="00E128B3">
        <w:rPr>
          <w:vertAlign w:val="subscript"/>
          <w:lang w:val="en-GB" w:bidi="en-GB"/>
        </w:rPr>
        <w:t>10</w:t>
      </w:r>
      <w:r w:rsidRPr="00E128B3">
        <w:rPr>
          <w:lang w:val="en-GB" w:bidi="en-GB"/>
        </w:rPr>
        <w:t xml:space="preserve"> fraction of suspended particulate measure, a total of 39 smog situations lasting 3,757 in total were declared in 2017.</w:t>
      </w:r>
    </w:p>
    <w:p w14:paraId="07DB9D0B" w14:textId="5A276751" w:rsidR="00466E6F" w:rsidRPr="00E128B3" w:rsidRDefault="00395345" w:rsidP="002350E3">
      <w:pPr>
        <w:pStyle w:val="Text"/>
        <w:spacing w:after="120" w:line="276" w:lineRule="auto"/>
        <w:rPr>
          <w:lang w:val="en-GB" w:eastAsia="cs-CZ"/>
        </w:rPr>
      </w:pPr>
      <w:r w:rsidRPr="00E128B3">
        <w:rPr>
          <w:lang w:val="en-GB" w:bidi="en-GB"/>
        </w:rPr>
        <w:t>In 2017 the air pollution limit for the average annual concentration of BaP, measured as the total content in the PM</w:t>
      </w:r>
      <w:r w:rsidRPr="00E128B3">
        <w:rPr>
          <w:vertAlign w:val="subscript"/>
          <w:lang w:val="en-GB" w:bidi="en-GB"/>
        </w:rPr>
        <w:t>10</w:t>
      </w:r>
      <w:r w:rsidRPr="00E128B3">
        <w:rPr>
          <w:lang w:val="en-GB" w:bidi="en-GB"/>
        </w:rPr>
        <w:t xml:space="preserve"> fraction of particulate matter, was exceeded at 31 measuring stations, i.e. nearly </w:t>
      </w:r>
      <w:r w:rsidRPr="00E128B3">
        <w:rPr>
          <w:vertAlign w:val="superscript"/>
          <w:lang w:val="en-GB" w:bidi="en-GB"/>
        </w:rPr>
        <w:t>2</w:t>
      </w:r>
      <w:r w:rsidRPr="00E128B3">
        <w:rPr>
          <w:lang w:val="en-GB" w:bidi="en-GB"/>
        </w:rPr>
        <w:t>/</w:t>
      </w:r>
      <w:r w:rsidRPr="00E128B3">
        <w:rPr>
          <w:vertAlign w:val="subscript"/>
          <w:lang w:val="en-GB" w:bidi="en-GB"/>
        </w:rPr>
        <w:t>3</w:t>
      </w:r>
      <w:r w:rsidRPr="00E128B3">
        <w:rPr>
          <w:lang w:val="en-GB" w:bidi="en-GB"/>
        </w:rPr>
        <w:t xml:space="preserve"> of the measuring stations (compared to 31 in 2016 and 21 in 2015); 62% of the population of the Czech Republic was exposed to above-the-threshold concentrations in 2017 (compared to 56% of the population in 2016 and 51% in 2015)</w:t>
      </w:r>
      <w:r w:rsidRPr="00E128B3">
        <w:rPr>
          <w:rStyle w:val="Znakapoznpodarou"/>
          <w:lang w:val="en-GB" w:bidi="en-GB"/>
        </w:rPr>
        <w:footnoteReference w:id="39"/>
      </w:r>
      <w:r w:rsidRPr="00E128B3">
        <w:rPr>
          <w:lang w:val="en-GB" w:bidi="en-GB"/>
        </w:rPr>
        <w:t>, the five-year average for the period from 2013 to 2015 is 51%.</w:t>
      </w:r>
    </w:p>
    <w:p w14:paraId="0F247429" w14:textId="77777777" w:rsidR="00466E6F" w:rsidRPr="00E128B3" w:rsidRDefault="00466E6F" w:rsidP="00395345">
      <w:pPr>
        <w:pStyle w:val="Text"/>
        <w:rPr>
          <w:lang w:val="en-GB" w:eastAsia="cs-CZ"/>
        </w:rPr>
      </w:pPr>
      <w:r w:rsidRPr="00E128B3">
        <w:rPr>
          <w:lang w:val="en-GB" w:bidi="en-GB"/>
        </w:rPr>
        <w:br w:type="page"/>
      </w:r>
    </w:p>
    <w:p w14:paraId="0488EF1D" w14:textId="77777777" w:rsidR="00466E6F" w:rsidRPr="00E128B3" w:rsidRDefault="00466E6F" w:rsidP="001757EC">
      <w:pPr>
        <w:pStyle w:val="Nadpis1"/>
        <w:numPr>
          <w:ilvl w:val="0"/>
          <w:numId w:val="0"/>
        </w:numPr>
        <w:spacing w:before="120" w:after="120"/>
        <w:ind w:left="431" w:hanging="431"/>
        <w:rPr>
          <w:sz w:val="24"/>
          <w:lang w:val="en-GB"/>
        </w:rPr>
      </w:pPr>
      <w:r w:rsidRPr="00E128B3">
        <w:rPr>
          <w:sz w:val="24"/>
          <w:lang w:val="en-GB" w:bidi="en-GB"/>
        </w:rPr>
        <w:t>Annex 2</w:t>
      </w:r>
    </w:p>
    <w:p w14:paraId="1449D114" w14:textId="77777777" w:rsidR="00466E6F" w:rsidRPr="00E128B3" w:rsidRDefault="00466E6F" w:rsidP="001757EC">
      <w:pPr>
        <w:pStyle w:val="Text"/>
        <w:spacing w:after="120"/>
        <w:rPr>
          <w:b/>
          <w:lang w:val="en-GB"/>
        </w:rPr>
      </w:pPr>
      <w:r w:rsidRPr="00E128B3">
        <w:rPr>
          <w:b/>
          <w:lang w:val="en-GB" w:bidi="en-GB"/>
        </w:rPr>
        <w:t>Evaluation of the pollution level</w:t>
      </w:r>
    </w:p>
    <w:p w14:paraId="6EE69FD0" w14:textId="77777777" w:rsidR="00466E6F" w:rsidRPr="00E128B3" w:rsidRDefault="00466E6F" w:rsidP="001757EC">
      <w:pPr>
        <w:pStyle w:val="Text"/>
        <w:spacing w:after="120"/>
        <w:rPr>
          <w:lang w:val="en-GB"/>
        </w:rPr>
      </w:pPr>
      <w:r w:rsidRPr="00E128B3">
        <w:rPr>
          <w:lang w:val="en-GB" w:bidi="en-GB"/>
        </w:rPr>
        <w:t>The level of air pollution by pollutants of anthropogenic origin and greenhouse gases is evaluated by the CHMI under the authority of the MoE. It fundamentally relies on the so-called emission inventories, which are based on an approach combining direct collection of data reported by the operators of pollution sources with data obtained through model calculations based on the data reported by pollution source operators or established by statistical surveys, which are mainly conducted by the CZSO. The results of the emission inventories are presented in the form of emission balances, which are prepared for various territories and sectors. The sectoral classification of pollution sources arising from the Nomenclature for Reporting Codes (NFR) used for the international reporting of the aggregate emission data. The reporting includes the emissions of the main pollutants as well as the emission of particulate matter PM</w:t>
      </w:r>
      <w:r w:rsidRPr="00E128B3">
        <w:rPr>
          <w:vertAlign w:val="subscript"/>
          <w:lang w:val="en-GB" w:bidi="en-GB"/>
        </w:rPr>
        <w:t>10</w:t>
      </w:r>
      <w:r w:rsidRPr="00E128B3">
        <w:rPr>
          <w:lang w:val="en-GB" w:bidi="en-GB"/>
        </w:rPr>
        <w:t xml:space="preserve"> and PM</w:t>
      </w:r>
      <w:r w:rsidRPr="00E128B3">
        <w:rPr>
          <w:vertAlign w:val="subscript"/>
          <w:lang w:val="en-GB" w:bidi="en-GB"/>
        </w:rPr>
        <w:t>2.5</w:t>
      </w:r>
      <w:r w:rsidRPr="00E128B3">
        <w:rPr>
          <w:lang w:val="en-GB" w:bidi="en-GB"/>
        </w:rPr>
        <w:t xml:space="preserve"> and heavy metals.</w:t>
      </w:r>
      <w:r w:rsidRPr="00E128B3">
        <w:rPr>
          <w:rStyle w:val="Znakapoznpodarou"/>
          <w:lang w:val="en-GB" w:bidi="en-GB"/>
        </w:rPr>
        <w:footnoteReference w:id="40"/>
      </w:r>
    </w:p>
    <w:p w14:paraId="208DED91" w14:textId="77777777" w:rsidR="00466E6F" w:rsidRPr="00E128B3" w:rsidRDefault="00466E6F" w:rsidP="001757EC">
      <w:pPr>
        <w:pStyle w:val="Text"/>
        <w:spacing w:after="120"/>
        <w:rPr>
          <w:b/>
          <w:lang w:val="en-GB"/>
        </w:rPr>
      </w:pPr>
      <w:r w:rsidRPr="00E128B3">
        <w:rPr>
          <w:b/>
          <w:lang w:val="en-GB" w:bidi="en-GB"/>
        </w:rPr>
        <w:t>Development of national emissions</w:t>
      </w:r>
    </w:p>
    <w:p w14:paraId="7FDFA904" w14:textId="77777777" w:rsidR="00466E6F" w:rsidRPr="00E128B3" w:rsidRDefault="00466E6F" w:rsidP="001757EC">
      <w:pPr>
        <w:pStyle w:val="Text"/>
        <w:spacing w:after="120"/>
        <w:rPr>
          <w:lang w:val="en-GB" w:eastAsia="cs-CZ"/>
        </w:rPr>
      </w:pPr>
      <w:r w:rsidRPr="00E128B3">
        <w:rPr>
          <w:lang w:val="en-GB" w:bidi="en-GB"/>
        </w:rPr>
        <w:t>The table below shows the development of the emissions of selected pollutants from 1990 to 2016.</w:t>
      </w:r>
    </w:p>
    <w:p w14:paraId="7F5C486C" w14:textId="78DFA6AF" w:rsidR="00470F6E" w:rsidRDefault="00466E6F" w:rsidP="00470F6E">
      <w:pPr>
        <w:pStyle w:val="Titulek"/>
        <w:tabs>
          <w:tab w:val="clear" w:pos="7938"/>
          <w:tab w:val="left" w:pos="7655"/>
        </w:tabs>
        <w:jc w:val="left"/>
        <w:rPr>
          <w:b/>
          <w:lang w:val="en-GB" w:bidi="en-GB"/>
        </w:rPr>
      </w:pPr>
      <w:r w:rsidRPr="00E128B3">
        <w:rPr>
          <w:b/>
          <w:lang w:val="en-GB" w:bidi="en-GB"/>
        </w:rPr>
        <w:t xml:space="preserve">Table </w:t>
      </w:r>
      <w:r w:rsidR="00A36661" w:rsidRPr="00E128B3">
        <w:rPr>
          <w:b/>
          <w:lang w:val="en-GB" w:bidi="en-GB"/>
        </w:rPr>
        <w:fldChar w:fldCharType="begin"/>
      </w:r>
      <w:r w:rsidR="00A36661" w:rsidRPr="00E128B3">
        <w:rPr>
          <w:b/>
          <w:lang w:val="en-GB" w:bidi="en-GB"/>
        </w:rPr>
        <w:instrText xml:space="preserve"> SEQ Tabulka_č. \* ARABIC </w:instrText>
      </w:r>
      <w:r w:rsidR="00A36661" w:rsidRPr="00E128B3">
        <w:rPr>
          <w:b/>
          <w:lang w:val="en-GB" w:bidi="en-GB"/>
        </w:rPr>
        <w:fldChar w:fldCharType="separate"/>
      </w:r>
      <w:r w:rsidR="00136D57">
        <w:rPr>
          <w:b/>
          <w:noProof/>
          <w:lang w:val="en-GB" w:bidi="en-GB"/>
        </w:rPr>
        <w:t>9</w:t>
      </w:r>
      <w:r w:rsidR="00A36661" w:rsidRPr="00E128B3">
        <w:rPr>
          <w:b/>
          <w:noProof/>
          <w:lang w:val="en-GB" w:bidi="en-GB"/>
        </w:rPr>
        <w:fldChar w:fldCharType="end"/>
      </w:r>
      <w:r w:rsidRPr="00E128B3">
        <w:rPr>
          <w:b/>
          <w:lang w:val="en-GB" w:bidi="en-GB"/>
        </w:rPr>
        <w:t>: Development of the emissions of selected pollutants from 1990 to 2016</w:t>
      </w:r>
      <w:r w:rsidR="00470F6E">
        <w:rPr>
          <w:b/>
          <w:lang w:val="en-GB" w:bidi="en-GB"/>
        </w:rPr>
        <w:t xml:space="preserve"> </w:t>
      </w:r>
    </w:p>
    <w:p w14:paraId="4263FA62" w14:textId="6ED1BD69" w:rsidR="00466E6F" w:rsidRPr="00E128B3" w:rsidRDefault="00466E6F" w:rsidP="00470F6E">
      <w:pPr>
        <w:pStyle w:val="Titulek"/>
        <w:tabs>
          <w:tab w:val="clear" w:pos="7938"/>
          <w:tab w:val="left" w:pos="7655"/>
        </w:tabs>
        <w:spacing w:before="0" w:after="40"/>
        <w:jc w:val="right"/>
        <w:rPr>
          <w:b/>
          <w:lang w:val="en-GB"/>
        </w:rPr>
      </w:pPr>
      <w:r w:rsidRPr="00E128B3">
        <w:rPr>
          <w:b/>
          <w:lang w:val="en-GB" w:bidi="en-GB"/>
        </w:rPr>
        <w:t>(kt; BaP in t)</w:t>
      </w:r>
    </w:p>
    <w:tbl>
      <w:tblPr>
        <w:tblW w:w="5000" w:type="pct"/>
        <w:tblCellMar>
          <w:left w:w="70" w:type="dxa"/>
          <w:right w:w="70" w:type="dxa"/>
        </w:tblCellMar>
        <w:tblLook w:val="04A0" w:firstRow="1" w:lastRow="0" w:firstColumn="1" w:lastColumn="0" w:noHBand="0" w:noVBand="1"/>
      </w:tblPr>
      <w:tblGrid>
        <w:gridCol w:w="4078"/>
        <w:gridCol w:w="752"/>
        <w:gridCol w:w="831"/>
        <w:gridCol w:w="806"/>
        <w:gridCol w:w="595"/>
        <w:gridCol w:w="639"/>
        <w:gridCol w:w="640"/>
        <w:gridCol w:w="871"/>
      </w:tblGrid>
      <w:tr w:rsidR="00466E6F" w:rsidRPr="00E128B3" w14:paraId="654F6160" w14:textId="77777777" w:rsidTr="001757EC">
        <w:trPr>
          <w:trHeight w:val="227"/>
        </w:trPr>
        <w:tc>
          <w:tcPr>
            <w:tcW w:w="1945" w:type="pct"/>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10896C3A"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Year</w:t>
            </w:r>
          </w:p>
        </w:tc>
        <w:tc>
          <w:tcPr>
            <w:tcW w:w="451" w:type="pct"/>
            <w:tcBorders>
              <w:top w:val="single" w:sz="4" w:space="0" w:color="auto"/>
              <w:left w:val="nil"/>
              <w:bottom w:val="single" w:sz="4" w:space="0" w:color="auto"/>
              <w:right w:val="single" w:sz="4" w:space="0" w:color="auto"/>
            </w:tcBorders>
            <w:shd w:val="clear" w:color="000000" w:fill="E5F1FF"/>
            <w:vAlign w:val="center"/>
            <w:hideMark/>
          </w:tcPr>
          <w:p w14:paraId="0309B2C2" w14:textId="34B3759A" w:rsidR="00466E6F" w:rsidRPr="00E128B3" w:rsidRDefault="00466E6F" w:rsidP="001757EC">
            <w:pPr>
              <w:jc w:val="center"/>
              <w:rPr>
                <w:rFonts w:ascii="Calibri" w:eastAsia="Times New Roman" w:hAnsi="Calibri" w:cs="Calibri"/>
                <w:b/>
                <w:bCs/>
                <w:sz w:val="20"/>
                <w:szCs w:val="20"/>
                <w:lang w:val="en-GB" w:eastAsia="cs-CZ"/>
              </w:rPr>
            </w:pPr>
            <w:r w:rsidRPr="00E128B3">
              <w:rPr>
                <w:rFonts w:ascii="Calibri" w:eastAsia="Times New Roman" w:hAnsi="Calibri" w:cs="Calibri"/>
                <w:b/>
                <w:sz w:val="20"/>
                <w:szCs w:val="20"/>
                <w:lang w:val="en-GB" w:bidi="en-GB"/>
              </w:rPr>
              <w:t xml:space="preserve">SOx </w:t>
            </w:r>
            <w:r w:rsidRPr="00E128B3">
              <w:rPr>
                <w:rFonts w:ascii="Calibri" w:eastAsia="Times New Roman" w:hAnsi="Calibri" w:cs="Calibri"/>
                <w:b/>
                <w:sz w:val="20"/>
                <w:szCs w:val="20"/>
                <w:lang w:val="en-GB" w:bidi="en-GB"/>
              </w:rPr>
              <w:br/>
              <w:t>(SO</w:t>
            </w:r>
            <w:r w:rsidRPr="00E128B3">
              <w:rPr>
                <w:rFonts w:ascii="Calibri" w:eastAsia="Times New Roman" w:hAnsi="Calibri" w:cs="Calibri"/>
                <w:b/>
                <w:sz w:val="20"/>
                <w:szCs w:val="20"/>
                <w:vertAlign w:val="subscript"/>
                <w:lang w:val="en-GB" w:bidi="en-GB"/>
              </w:rPr>
              <w:t>2</w:t>
            </w:r>
            <w:r w:rsidRPr="00E128B3">
              <w:rPr>
                <w:rFonts w:ascii="Calibri" w:eastAsia="Times New Roman" w:hAnsi="Calibri" w:cs="Calibri"/>
                <w:b/>
                <w:sz w:val="20"/>
                <w:szCs w:val="20"/>
                <w:lang w:val="en-GB" w:bidi="en-GB"/>
              </w:rPr>
              <w:t>)</w:t>
            </w:r>
          </w:p>
        </w:tc>
        <w:tc>
          <w:tcPr>
            <w:tcW w:w="494" w:type="pct"/>
            <w:tcBorders>
              <w:top w:val="single" w:sz="4" w:space="0" w:color="auto"/>
              <w:left w:val="nil"/>
              <w:bottom w:val="single" w:sz="4" w:space="0" w:color="auto"/>
              <w:right w:val="single" w:sz="4" w:space="0" w:color="auto"/>
            </w:tcBorders>
            <w:shd w:val="clear" w:color="000000" w:fill="E5F1FF"/>
            <w:vAlign w:val="center"/>
            <w:hideMark/>
          </w:tcPr>
          <w:p w14:paraId="261B6D1B" w14:textId="2B88B045" w:rsidR="00466E6F" w:rsidRPr="00E128B3" w:rsidRDefault="00466E6F" w:rsidP="00815943">
            <w:pPr>
              <w:jc w:val="center"/>
              <w:rPr>
                <w:rFonts w:ascii="Calibri" w:eastAsia="Times New Roman" w:hAnsi="Calibri" w:cs="Calibri"/>
                <w:b/>
                <w:bCs/>
                <w:sz w:val="20"/>
                <w:szCs w:val="20"/>
                <w:lang w:val="en-GB" w:eastAsia="cs-CZ"/>
              </w:rPr>
            </w:pPr>
            <w:r w:rsidRPr="00E128B3">
              <w:rPr>
                <w:rFonts w:ascii="Calibri" w:eastAsia="Times New Roman" w:hAnsi="Calibri" w:cs="Calibri"/>
                <w:b/>
                <w:sz w:val="20"/>
                <w:szCs w:val="20"/>
                <w:lang w:val="en-GB" w:bidi="en-GB"/>
              </w:rPr>
              <w:t>NOx</w:t>
            </w:r>
            <w:r w:rsidRPr="00E128B3">
              <w:rPr>
                <w:rFonts w:ascii="Calibri" w:eastAsia="Times New Roman" w:hAnsi="Calibri" w:cs="Calibri"/>
                <w:b/>
                <w:sz w:val="20"/>
                <w:szCs w:val="20"/>
                <w:lang w:val="en-GB" w:bidi="en-GB"/>
              </w:rPr>
              <w:br/>
              <w:t xml:space="preserve"> (NO</w:t>
            </w:r>
            <w:r w:rsidRPr="00E128B3">
              <w:rPr>
                <w:rFonts w:ascii="Calibri" w:eastAsia="Times New Roman" w:hAnsi="Calibri" w:cs="Calibri"/>
                <w:b/>
                <w:sz w:val="20"/>
                <w:szCs w:val="20"/>
                <w:vertAlign w:val="subscript"/>
                <w:lang w:val="en-GB" w:bidi="en-GB"/>
              </w:rPr>
              <w:t>2</w:t>
            </w:r>
            <w:r w:rsidRPr="00E128B3">
              <w:rPr>
                <w:rFonts w:ascii="Calibri" w:eastAsia="Times New Roman" w:hAnsi="Calibri" w:cs="Calibri"/>
                <w:b/>
                <w:sz w:val="20"/>
                <w:szCs w:val="20"/>
                <w:lang w:val="en-GB" w:bidi="en-GB"/>
              </w:rPr>
              <w:t>)</w:t>
            </w:r>
          </w:p>
        </w:tc>
        <w:tc>
          <w:tcPr>
            <w:tcW w:w="457" w:type="pct"/>
            <w:tcBorders>
              <w:top w:val="single" w:sz="4" w:space="0" w:color="auto"/>
              <w:left w:val="nil"/>
              <w:bottom w:val="single" w:sz="4" w:space="0" w:color="auto"/>
              <w:right w:val="single" w:sz="4" w:space="0" w:color="auto"/>
            </w:tcBorders>
            <w:shd w:val="clear" w:color="000000" w:fill="E5F1FF"/>
            <w:vAlign w:val="center"/>
            <w:hideMark/>
          </w:tcPr>
          <w:p w14:paraId="05357A3C" w14:textId="77777777" w:rsidR="00466E6F" w:rsidRPr="00E128B3" w:rsidRDefault="00466E6F" w:rsidP="001757EC">
            <w:pPr>
              <w:jc w:val="center"/>
              <w:rPr>
                <w:rFonts w:ascii="Calibri" w:eastAsia="Times New Roman" w:hAnsi="Calibri" w:cs="Calibri"/>
                <w:b/>
                <w:bCs/>
                <w:sz w:val="20"/>
                <w:szCs w:val="20"/>
                <w:lang w:val="en-GB" w:eastAsia="cs-CZ"/>
              </w:rPr>
            </w:pPr>
            <w:r w:rsidRPr="00E128B3">
              <w:rPr>
                <w:rFonts w:ascii="Calibri" w:eastAsia="Times New Roman" w:hAnsi="Calibri" w:cs="Calibri"/>
                <w:b/>
                <w:sz w:val="20"/>
                <w:szCs w:val="20"/>
                <w:lang w:val="en-GB" w:bidi="en-GB"/>
              </w:rPr>
              <w:t>NMVOC</w:t>
            </w:r>
          </w:p>
        </w:tc>
        <w:tc>
          <w:tcPr>
            <w:tcW w:w="385" w:type="pct"/>
            <w:tcBorders>
              <w:top w:val="single" w:sz="4" w:space="0" w:color="auto"/>
              <w:left w:val="nil"/>
              <w:bottom w:val="single" w:sz="4" w:space="0" w:color="auto"/>
              <w:right w:val="single" w:sz="4" w:space="0" w:color="auto"/>
            </w:tcBorders>
            <w:shd w:val="clear" w:color="000000" w:fill="E5F1FF"/>
            <w:vAlign w:val="center"/>
            <w:hideMark/>
          </w:tcPr>
          <w:p w14:paraId="6F9EF69B" w14:textId="77777777" w:rsidR="00466E6F" w:rsidRPr="00E128B3" w:rsidRDefault="00466E6F" w:rsidP="001757EC">
            <w:pPr>
              <w:jc w:val="center"/>
              <w:rPr>
                <w:rFonts w:ascii="Calibri" w:eastAsia="Times New Roman" w:hAnsi="Calibri" w:cs="Calibri"/>
                <w:b/>
                <w:bCs/>
                <w:sz w:val="20"/>
                <w:szCs w:val="20"/>
                <w:lang w:val="en-GB" w:eastAsia="cs-CZ"/>
              </w:rPr>
            </w:pPr>
            <w:r w:rsidRPr="00E128B3">
              <w:rPr>
                <w:rFonts w:ascii="Calibri" w:eastAsia="Times New Roman" w:hAnsi="Calibri" w:cs="Calibri"/>
                <w:b/>
                <w:sz w:val="20"/>
                <w:szCs w:val="20"/>
                <w:lang w:val="en-GB" w:bidi="en-GB"/>
              </w:rPr>
              <w:t>NH</w:t>
            </w:r>
            <w:r w:rsidRPr="00E128B3">
              <w:rPr>
                <w:rFonts w:ascii="Calibri" w:eastAsia="Times New Roman" w:hAnsi="Calibri" w:cs="Calibri"/>
                <w:b/>
                <w:sz w:val="20"/>
                <w:szCs w:val="20"/>
                <w:vertAlign w:val="subscript"/>
                <w:lang w:val="en-GB" w:bidi="en-GB"/>
              </w:rPr>
              <w:t>3</w:t>
            </w:r>
          </w:p>
        </w:tc>
        <w:tc>
          <w:tcPr>
            <w:tcW w:w="389" w:type="pct"/>
            <w:tcBorders>
              <w:top w:val="single" w:sz="4" w:space="0" w:color="auto"/>
              <w:left w:val="nil"/>
              <w:bottom w:val="single" w:sz="4" w:space="0" w:color="auto"/>
              <w:right w:val="single" w:sz="4" w:space="0" w:color="auto"/>
            </w:tcBorders>
            <w:shd w:val="clear" w:color="000000" w:fill="E5F1FF"/>
            <w:vAlign w:val="center"/>
            <w:hideMark/>
          </w:tcPr>
          <w:p w14:paraId="40679BF5" w14:textId="4E3D1349" w:rsidR="00466E6F" w:rsidRPr="00E128B3" w:rsidRDefault="00466E6F" w:rsidP="00815943">
            <w:pPr>
              <w:jc w:val="center"/>
              <w:rPr>
                <w:rFonts w:ascii="Calibri" w:eastAsia="Times New Roman" w:hAnsi="Calibri" w:cs="Calibri"/>
                <w:b/>
                <w:bCs/>
                <w:sz w:val="20"/>
                <w:szCs w:val="20"/>
                <w:lang w:val="en-GB" w:eastAsia="cs-CZ"/>
              </w:rPr>
            </w:pPr>
            <w:r w:rsidRPr="00E128B3">
              <w:rPr>
                <w:rFonts w:ascii="Calibri" w:eastAsia="Times New Roman" w:hAnsi="Calibri" w:cs="Calibri"/>
                <w:b/>
                <w:sz w:val="20"/>
                <w:szCs w:val="20"/>
                <w:lang w:val="en-GB" w:bidi="en-GB"/>
              </w:rPr>
              <w:t>PM</w:t>
            </w:r>
            <w:r w:rsidRPr="00E128B3">
              <w:rPr>
                <w:rFonts w:ascii="Calibri" w:eastAsia="Times New Roman" w:hAnsi="Calibri" w:cs="Calibri"/>
                <w:b/>
                <w:sz w:val="20"/>
                <w:szCs w:val="20"/>
                <w:vertAlign w:val="subscript"/>
                <w:lang w:val="en-GB" w:bidi="en-GB"/>
              </w:rPr>
              <w:t>2.5</w:t>
            </w:r>
          </w:p>
        </w:tc>
        <w:tc>
          <w:tcPr>
            <w:tcW w:w="389" w:type="pct"/>
            <w:tcBorders>
              <w:top w:val="single" w:sz="4" w:space="0" w:color="auto"/>
              <w:left w:val="nil"/>
              <w:bottom w:val="single" w:sz="4" w:space="0" w:color="auto"/>
              <w:right w:val="single" w:sz="4" w:space="0" w:color="auto"/>
            </w:tcBorders>
            <w:shd w:val="clear" w:color="000000" w:fill="E5F1FF"/>
            <w:noWrap/>
            <w:vAlign w:val="center"/>
            <w:hideMark/>
          </w:tcPr>
          <w:p w14:paraId="61D6E563" w14:textId="77777777" w:rsidR="00466E6F" w:rsidRPr="00E128B3" w:rsidRDefault="00466E6F" w:rsidP="001757EC">
            <w:pPr>
              <w:jc w:val="center"/>
              <w:rPr>
                <w:rFonts w:ascii="Calibri" w:eastAsia="Times New Roman" w:hAnsi="Calibri" w:cs="Calibri"/>
                <w:b/>
                <w:bCs/>
                <w:sz w:val="20"/>
                <w:szCs w:val="20"/>
                <w:lang w:val="en-GB" w:eastAsia="cs-CZ"/>
              </w:rPr>
            </w:pPr>
            <w:r w:rsidRPr="00E128B3">
              <w:rPr>
                <w:rFonts w:ascii="Calibri" w:eastAsia="Times New Roman" w:hAnsi="Calibri" w:cs="Calibri"/>
                <w:b/>
                <w:sz w:val="20"/>
                <w:szCs w:val="20"/>
                <w:lang w:val="en-GB" w:bidi="en-GB"/>
              </w:rPr>
              <w:t>PM</w:t>
            </w:r>
            <w:r w:rsidRPr="00E128B3">
              <w:rPr>
                <w:rFonts w:ascii="Calibri" w:eastAsia="Times New Roman" w:hAnsi="Calibri" w:cs="Calibri"/>
                <w:b/>
                <w:sz w:val="20"/>
                <w:szCs w:val="20"/>
                <w:vertAlign w:val="subscript"/>
                <w:lang w:val="en-GB" w:bidi="en-GB"/>
              </w:rPr>
              <w:t>10</w:t>
            </w:r>
          </w:p>
        </w:tc>
        <w:tc>
          <w:tcPr>
            <w:tcW w:w="491" w:type="pct"/>
            <w:tcBorders>
              <w:top w:val="single" w:sz="4" w:space="0" w:color="auto"/>
              <w:left w:val="nil"/>
              <w:bottom w:val="single" w:sz="4" w:space="0" w:color="auto"/>
              <w:right w:val="single" w:sz="4" w:space="0" w:color="auto"/>
            </w:tcBorders>
            <w:shd w:val="clear" w:color="000000" w:fill="E5F1FF"/>
            <w:vAlign w:val="center"/>
            <w:hideMark/>
          </w:tcPr>
          <w:p w14:paraId="0C2AE993" w14:textId="723F2905" w:rsidR="00466E6F" w:rsidRPr="00E128B3" w:rsidRDefault="00466E6F" w:rsidP="001757EC">
            <w:pPr>
              <w:jc w:val="center"/>
              <w:rPr>
                <w:rFonts w:ascii="Calibri" w:eastAsia="Times New Roman" w:hAnsi="Calibri" w:cs="Calibri"/>
                <w:b/>
                <w:bCs/>
                <w:sz w:val="20"/>
                <w:szCs w:val="20"/>
                <w:lang w:val="en-GB" w:eastAsia="cs-CZ"/>
              </w:rPr>
            </w:pPr>
            <w:r w:rsidRPr="00E128B3">
              <w:rPr>
                <w:rFonts w:ascii="Calibri" w:eastAsia="Times New Roman" w:hAnsi="Calibri" w:cs="Calibri"/>
                <w:b/>
                <w:sz w:val="20"/>
                <w:szCs w:val="20"/>
                <w:lang w:val="en-GB" w:bidi="en-GB"/>
              </w:rPr>
              <w:t xml:space="preserve">benzo[a] pyrene </w:t>
            </w:r>
          </w:p>
        </w:tc>
      </w:tr>
      <w:tr w:rsidR="00466E6F" w:rsidRPr="00E128B3" w14:paraId="3464B720" w14:textId="77777777" w:rsidTr="001757EC">
        <w:trPr>
          <w:trHeight w:val="227"/>
        </w:trPr>
        <w:tc>
          <w:tcPr>
            <w:tcW w:w="1945" w:type="pct"/>
            <w:tcBorders>
              <w:top w:val="nil"/>
              <w:left w:val="single" w:sz="4" w:space="0" w:color="auto"/>
              <w:bottom w:val="single" w:sz="4" w:space="0" w:color="auto"/>
              <w:right w:val="single" w:sz="4" w:space="0" w:color="auto"/>
            </w:tcBorders>
            <w:shd w:val="clear" w:color="auto" w:fill="auto"/>
            <w:noWrap/>
            <w:vAlign w:val="center"/>
            <w:hideMark/>
          </w:tcPr>
          <w:p w14:paraId="315789D3" w14:textId="77777777" w:rsidR="00466E6F" w:rsidRPr="00E128B3" w:rsidRDefault="00466E6F" w:rsidP="001757EC">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1990</w:t>
            </w:r>
          </w:p>
        </w:tc>
        <w:tc>
          <w:tcPr>
            <w:tcW w:w="451" w:type="pct"/>
            <w:tcBorders>
              <w:top w:val="nil"/>
              <w:left w:val="nil"/>
              <w:bottom w:val="single" w:sz="4" w:space="0" w:color="auto"/>
              <w:right w:val="single" w:sz="4" w:space="0" w:color="auto"/>
            </w:tcBorders>
            <w:shd w:val="clear" w:color="auto" w:fill="auto"/>
            <w:noWrap/>
            <w:vAlign w:val="center"/>
            <w:hideMark/>
          </w:tcPr>
          <w:p w14:paraId="064F375A"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1,755</w:t>
            </w:r>
          </w:p>
        </w:tc>
        <w:tc>
          <w:tcPr>
            <w:tcW w:w="494" w:type="pct"/>
            <w:tcBorders>
              <w:top w:val="nil"/>
              <w:left w:val="nil"/>
              <w:bottom w:val="single" w:sz="4" w:space="0" w:color="auto"/>
              <w:right w:val="single" w:sz="4" w:space="0" w:color="auto"/>
            </w:tcBorders>
            <w:shd w:val="clear" w:color="auto" w:fill="auto"/>
            <w:noWrap/>
            <w:vAlign w:val="center"/>
            <w:hideMark/>
          </w:tcPr>
          <w:p w14:paraId="280B270D"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812</w:t>
            </w:r>
          </w:p>
        </w:tc>
        <w:tc>
          <w:tcPr>
            <w:tcW w:w="457" w:type="pct"/>
            <w:tcBorders>
              <w:top w:val="nil"/>
              <w:left w:val="nil"/>
              <w:bottom w:val="single" w:sz="4" w:space="0" w:color="auto"/>
              <w:right w:val="single" w:sz="4" w:space="0" w:color="auto"/>
            </w:tcBorders>
            <w:shd w:val="clear" w:color="auto" w:fill="auto"/>
            <w:noWrap/>
            <w:vAlign w:val="center"/>
            <w:hideMark/>
          </w:tcPr>
          <w:p w14:paraId="4EE5EFC5"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571</w:t>
            </w:r>
          </w:p>
        </w:tc>
        <w:tc>
          <w:tcPr>
            <w:tcW w:w="385" w:type="pct"/>
            <w:tcBorders>
              <w:top w:val="nil"/>
              <w:left w:val="nil"/>
              <w:bottom w:val="single" w:sz="4" w:space="0" w:color="auto"/>
              <w:right w:val="single" w:sz="4" w:space="0" w:color="auto"/>
            </w:tcBorders>
            <w:shd w:val="clear" w:color="auto" w:fill="auto"/>
            <w:noWrap/>
            <w:vAlign w:val="center"/>
            <w:hideMark/>
          </w:tcPr>
          <w:p w14:paraId="662C2E6F"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190</w:t>
            </w:r>
          </w:p>
        </w:tc>
        <w:tc>
          <w:tcPr>
            <w:tcW w:w="389" w:type="pct"/>
            <w:tcBorders>
              <w:top w:val="nil"/>
              <w:left w:val="nil"/>
              <w:bottom w:val="single" w:sz="4" w:space="0" w:color="auto"/>
              <w:right w:val="single" w:sz="4" w:space="0" w:color="auto"/>
            </w:tcBorders>
            <w:shd w:val="clear" w:color="auto" w:fill="auto"/>
            <w:noWrap/>
            <w:vAlign w:val="center"/>
            <w:hideMark/>
          </w:tcPr>
          <w:p w14:paraId="47FE384F"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322</w:t>
            </w:r>
          </w:p>
        </w:tc>
        <w:tc>
          <w:tcPr>
            <w:tcW w:w="389" w:type="pct"/>
            <w:tcBorders>
              <w:top w:val="nil"/>
              <w:left w:val="nil"/>
              <w:bottom w:val="single" w:sz="4" w:space="0" w:color="auto"/>
              <w:right w:val="single" w:sz="4" w:space="0" w:color="auto"/>
            </w:tcBorders>
            <w:shd w:val="clear" w:color="auto" w:fill="auto"/>
            <w:noWrap/>
            <w:vAlign w:val="center"/>
            <w:hideMark/>
          </w:tcPr>
          <w:p w14:paraId="7EC2FC52"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452</w:t>
            </w:r>
          </w:p>
        </w:tc>
        <w:tc>
          <w:tcPr>
            <w:tcW w:w="491" w:type="pct"/>
            <w:tcBorders>
              <w:top w:val="nil"/>
              <w:left w:val="nil"/>
              <w:bottom w:val="single" w:sz="4" w:space="0" w:color="auto"/>
              <w:right w:val="single" w:sz="4" w:space="0" w:color="auto"/>
            </w:tcBorders>
            <w:shd w:val="clear" w:color="auto" w:fill="auto"/>
            <w:vAlign w:val="center"/>
            <w:hideMark/>
          </w:tcPr>
          <w:p w14:paraId="1956DCE3"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91</w:t>
            </w:r>
          </w:p>
        </w:tc>
      </w:tr>
      <w:tr w:rsidR="00466E6F" w:rsidRPr="00E128B3" w14:paraId="0980F30F" w14:textId="77777777" w:rsidTr="001757EC">
        <w:trPr>
          <w:trHeight w:val="227"/>
        </w:trPr>
        <w:tc>
          <w:tcPr>
            <w:tcW w:w="1945" w:type="pct"/>
            <w:tcBorders>
              <w:top w:val="nil"/>
              <w:left w:val="single" w:sz="4" w:space="0" w:color="auto"/>
              <w:bottom w:val="single" w:sz="4" w:space="0" w:color="auto"/>
              <w:right w:val="single" w:sz="4" w:space="0" w:color="auto"/>
            </w:tcBorders>
            <w:shd w:val="clear" w:color="auto" w:fill="auto"/>
            <w:noWrap/>
            <w:vAlign w:val="center"/>
            <w:hideMark/>
          </w:tcPr>
          <w:p w14:paraId="16D2051E" w14:textId="77777777" w:rsidR="00466E6F" w:rsidRPr="00E128B3" w:rsidRDefault="00466E6F" w:rsidP="001757EC">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2000</w:t>
            </w:r>
          </w:p>
        </w:tc>
        <w:tc>
          <w:tcPr>
            <w:tcW w:w="451" w:type="pct"/>
            <w:tcBorders>
              <w:top w:val="nil"/>
              <w:left w:val="nil"/>
              <w:bottom w:val="single" w:sz="4" w:space="0" w:color="auto"/>
              <w:right w:val="single" w:sz="4" w:space="0" w:color="auto"/>
            </w:tcBorders>
            <w:shd w:val="clear" w:color="auto" w:fill="auto"/>
            <w:noWrap/>
            <w:vAlign w:val="center"/>
            <w:hideMark/>
          </w:tcPr>
          <w:p w14:paraId="121B161C"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233</w:t>
            </w:r>
          </w:p>
        </w:tc>
        <w:tc>
          <w:tcPr>
            <w:tcW w:w="494" w:type="pct"/>
            <w:tcBorders>
              <w:top w:val="nil"/>
              <w:left w:val="nil"/>
              <w:bottom w:val="single" w:sz="4" w:space="0" w:color="auto"/>
              <w:right w:val="single" w:sz="4" w:space="0" w:color="auto"/>
            </w:tcBorders>
            <w:shd w:val="clear" w:color="auto" w:fill="auto"/>
            <w:noWrap/>
            <w:vAlign w:val="center"/>
            <w:hideMark/>
          </w:tcPr>
          <w:p w14:paraId="342BEB37"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295</w:t>
            </w:r>
          </w:p>
        </w:tc>
        <w:tc>
          <w:tcPr>
            <w:tcW w:w="457" w:type="pct"/>
            <w:tcBorders>
              <w:top w:val="nil"/>
              <w:left w:val="nil"/>
              <w:bottom w:val="single" w:sz="4" w:space="0" w:color="auto"/>
              <w:right w:val="single" w:sz="4" w:space="0" w:color="auto"/>
            </w:tcBorders>
            <w:shd w:val="clear" w:color="auto" w:fill="auto"/>
            <w:noWrap/>
            <w:vAlign w:val="center"/>
            <w:hideMark/>
          </w:tcPr>
          <w:p w14:paraId="13EB7BEB"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302</w:t>
            </w:r>
          </w:p>
        </w:tc>
        <w:tc>
          <w:tcPr>
            <w:tcW w:w="385" w:type="pct"/>
            <w:tcBorders>
              <w:top w:val="nil"/>
              <w:left w:val="nil"/>
              <w:bottom w:val="single" w:sz="4" w:space="0" w:color="auto"/>
              <w:right w:val="single" w:sz="4" w:space="0" w:color="auto"/>
            </w:tcBorders>
            <w:shd w:val="clear" w:color="auto" w:fill="auto"/>
            <w:noWrap/>
            <w:vAlign w:val="center"/>
            <w:hideMark/>
          </w:tcPr>
          <w:p w14:paraId="4BFD9F2B"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87</w:t>
            </w:r>
          </w:p>
        </w:tc>
        <w:tc>
          <w:tcPr>
            <w:tcW w:w="389" w:type="pct"/>
            <w:tcBorders>
              <w:top w:val="nil"/>
              <w:left w:val="nil"/>
              <w:bottom w:val="single" w:sz="4" w:space="0" w:color="auto"/>
              <w:right w:val="single" w:sz="4" w:space="0" w:color="auto"/>
            </w:tcBorders>
            <w:shd w:val="clear" w:color="auto" w:fill="auto"/>
            <w:noWrap/>
            <w:vAlign w:val="center"/>
            <w:hideMark/>
          </w:tcPr>
          <w:p w14:paraId="5BD00252"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51</w:t>
            </w:r>
          </w:p>
        </w:tc>
        <w:tc>
          <w:tcPr>
            <w:tcW w:w="389" w:type="pct"/>
            <w:tcBorders>
              <w:top w:val="nil"/>
              <w:left w:val="nil"/>
              <w:bottom w:val="single" w:sz="4" w:space="0" w:color="auto"/>
              <w:right w:val="single" w:sz="4" w:space="0" w:color="auto"/>
            </w:tcBorders>
            <w:shd w:val="clear" w:color="auto" w:fill="auto"/>
            <w:noWrap/>
            <w:vAlign w:val="center"/>
            <w:hideMark/>
          </w:tcPr>
          <w:p w14:paraId="55F5EB7D"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70</w:t>
            </w:r>
          </w:p>
        </w:tc>
        <w:tc>
          <w:tcPr>
            <w:tcW w:w="491" w:type="pct"/>
            <w:tcBorders>
              <w:top w:val="nil"/>
              <w:left w:val="nil"/>
              <w:bottom w:val="single" w:sz="4" w:space="0" w:color="auto"/>
              <w:right w:val="single" w:sz="4" w:space="0" w:color="auto"/>
            </w:tcBorders>
            <w:shd w:val="clear" w:color="auto" w:fill="auto"/>
            <w:vAlign w:val="center"/>
            <w:hideMark/>
          </w:tcPr>
          <w:p w14:paraId="5658033C"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17</w:t>
            </w:r>
          </w:p>
        </w:tc>
      </w:tr>
      <w:tr w:rsidR="00466E6F" w:rsidRPr="00E128B3" w14:paraId="29ACC251" w14:textId="77777777" w:rsidTr="001757EC">
        <w:trPr>
          <w:trHeight w:val="227"/>
        </w:trPr>
        <w:tc>
          <w:tcPr>
            <w:tcW w:w="1945" w:type="pct"/>
            <w:tcBorders>
              <w:top w:val="nil"/>
              <w:left w:val="single" w:sz="4" w:space="0" w:color="auto"/>
              <w:bottom w:val="single" w:sz="4" w:space="0" w:color="auto"/>
              <w:right w:val="single" w:sz="4" w:space="0" w:color="auto"/>
            </w:tcBorders>
            <w:shd w:val="clear" w:color="auto" w:fill="auto"/>
            <w:noWrap/>
            <w:vAlign w:val="center"/>
            <w:hideMark/>
          </w:tcPr>
          <w:p w14:paraId="32F94D42" w14:textId="77777777" w:rsidR="00466E6F" w:rsidRPr="00E128B3" w:rsidRDefault="00466E6F" w:rsidP="001757EC">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2005</w:t>
            </w:r>
          </w:p>
        </w:tc>
        <w:tc>
          <w:tcPr>
            <w:tcW w:w="451" w:type="pct"/>
            <w:tcBorders>
              <w:top w:val="nil"/>
              <w:left w:val="nil"/>
              <w:bottom w:val="single" w:sz="4" w:space="0" w:color="auto"/>
              <w:right w:val="single" w:sz="4" w:space="0" w:color="auto"/>
            </w:tcBorders>
            <w:shd w:val="clear" w:color="auto" w:fill="auto"/>
            <w:vAlign w:val="center"/>
            <w:hideMark/>
          </w:tcPr>
          <w:p w14:paraId="2115A968"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208</w:t>
            </w:r>
          </w:p>
        </w:tc>
        <w:tc>
          <w:tcPr>
            <w:tcW w:w="494" w:type="pct"/>
            <w:tcBorders>
              <w:top w:val="nil"/>
              <w:left w:val="nil"/>
              <w:bottom w:val="single" w:sz="4" w:space="0" w:color="auto"/>
              <w:right w:val="single" w:sz="4" w:space="0" w:color="auto"/>
            </w:tcBorders>
            <w:shd w:val="clear" w:color="auto" w:fill="auto"/>
            <w:vAlign w:val="center"/>
            <w:hideMark/>
          </w:tcPr>
          <w:p w14:paraId="5710B8BF"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281</w:t>
            </w:r>
          </w:p>
        </w:tc>
        <w:tc>
          <w:tcPr>
            <w:tcW w:w="457" w:type="pct"/>
            <w:tcBorders>
              <w:top w:val="nil"/>
              <w:left w:val="nil"/>
              <w:bottom w:val="single" w:sz="4" w:space="0" w:color="auto"/>
              <w:right w:val="single" w:sz="4" w:space="0" w:color="auto"/>
            </w:tcBorders>
            <w:shd w:val="clear" w:color="auto" w:fill="auto"/>
            <w:vAlign w:val="center"/>
            <w:hideMark/>
          </w:tcPr>
          <w:p w14:paraId="378C598B"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267</w:t>
            </w:r>
          </w:p>
        </w:tc>
        <w:tc>
          <w:tcPr>
            <w:tcW w:w="385" w:type="pct"/>
            <w:tcBorders>
              <w:top w:val="nil"/>
              <w:left w:val="nil"/>
              <w:bottom w:val="single" w:sz="4" w:space="0" w:color="auto"/>
              <w:right w:val="single" w:sz="4" w:space="0" w:color="auto"/>
            </w:tcBorders>
            <w:shd w:val="clear" w:color="auto" w:fill="auto"/>
            <w:vAlign w:val="center"/>
            <w:hideMark/>
          </w:tcPr>
          <w:p w14:paraId="1E540164"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78</w:t>
            </w:r>
          </w:p>
        </w:tc>
        <w:tc>
          <w:tcPr>
            <w:tcW w:w="389" w:type="pct"/>
            <w:tcBorders>
              <w:top w:val="nil"/>
              <w:left w:val="nil"/>
              <w:bottom w:val="single" w:sz="4" w:space="0" w:color="auto"/>
              <w:right w:val="single" w:sz="4" w:space="0" w:color="auto"/>
            </w:tcBorders>
            <w:shd w:val="clear" w:color="auto" w:fill="auto"/>
            <w:vAlign w:val="center"/>
            <w:hideMark/>
          </w:tcPr>
          <w:p w14:paraId="17C60F47"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45</w:t>
            </w:r>
          </w:p>
        </w:tc>
        <w:tc>
          <w:tcPr>
            <w:tcW w:w="389" w:type="pct"/>
            <w:tcBorders>
              <w:top w:val="nil"/>
              <w:left w:val="nil"/>
              <w:bottom w:val="single" w:sz="4" w:space="0" w:color="auto"/>
              <w:right w:val="single" w:sz="4" w:space="0" w:color="auto"/>
            </w:tcBorders>
            <w:shd w:val="clear" w:color="auto" w:fill="auto"/>
            <w:vAlign w:val="center"/>
            <w:hideMark/>
          </w:tcPr>
          <w:p w14:paraId="2444E83E"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61</w:t>
            </w:r>
          </w:p>
        </w:tc>
        <w:tc>
          <w:tcPr>
            <w:tcW w:w="491" w:type="pct"/>
            <w:tcBorders>
              <w:top w:val="nil"/>
              <w:left w:val="nil"/>
              <w:bottom w:val="single" w:sz="4" w:space="0" w:color="auto"/>
              <w:right w:val="single" w:sz="4" w:space="0" w:color="auto"/>
            </w:tcBorders>
            <w:shd w:val="clear" w:color="auto" w:fill="auto"/>
            <w:vAlign w:val="center"/>
            <w:hideMark/>
          </w:tcPr>
          <w:p w14:paraId="028E5703"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14</w:t>
            </w:r>
          </w:p>
        </w:tc>
      </w:tr>
      <w:tr w:rsidR="00466E6F" w:rsidRPr="00E128B3" w14:paraId="28540047" w14:textId="77777777" w:rsidTr="001757EC">
        <w:trPr>
          <w:trHeight w:val="227"/>
        </w:trPr>
        <w:tc>
          <w:tcPr>
            <w:tcW w:w="1945" w:type="pct"/>
            <w:tcBorders>
              <w:top w:val="nil"/>
              <w:left w:val="single" w:sz="4" w:space="0" w:color="auto"/>
              <w:bottom w:val="single" w:sz="4" w:space="0" w:color="auto"/>
              <w:right w:val="single" w:sz="4" w:space="0" w:color="auto"/>
            </w:tcBorders>
            <w:shd w:val="clear" w:color="auto" w:fill="auto"/>
            <w:noWrap/>
            <w:vAlign w:val="center"/>
            <w:hideMark/>
          </w:tcPr>
          <w:p w14:paraId="63A7680E" w14:textId="77777777" w:rsidR="00466E6F" w:rsidRPr="00E128B3" w:rsidRDefault="00466E6F" w:rsidP="001757EC">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2010</w:t>
            </w:r>
          </w:p>
        </w:tc>
        <w:tc>
          <w:tcPr>
            <w:tcW w:w="451" w:type="pct"/>
            <w:tcBorders>
              <w:top w:val="nil"/>
              <w:left w:val="nil"/>
              <w:bottom w:val="single" w:sz="4" w:space="0" w:color="auto"/>
              <w:right w:val="single" w:sz="4" w:space="0" w:color="auto"/>
            </w:tcBorders>
            <w:shd w:val="clear" w:color="auto" w:fill="auto"/>
            <w:vAlign w:val="center"/>
            <w:hideMark/>
          </w:tcPr>
          <w:p w14:paraId="284FCEA2"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164</w:t>
            </w:r>
          </w:p>
        </w:tc>
        <w:tc>
          <w:tcPr>
            <w:tcW w:w="494" w:type="pct"/>
            <w:tcBorders>
              <w:top w:val="nil"/>
              <w:left w:val="nil"/>
              <w:bottom w:val="single" w:sz="4" w:space="0" w:color="auto"/>
              <w:right w:val="single" w:sz="4" w:space="0" w:color="auto"/>
            </w:tcBorders>
            <w:shd w:val="clear" w:color="auto" w:fill="auto"/>
            <w:vAlign w:val="center"/>
            <w:hideMark/>
          </w:tcPr>
          <w:p w14:paraId="18B6E5C2"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226</w:t>
            </w:r>
          </w:p>
        </w:tc>
        <w:tc>
          <w:tcPr>
            <w:tcW w:w="457" w:type="pct"/>
            <w:tcBorders>
              <w:top w:val="nil"/>
              <w:left w:val="nil"/>
              <w:bottom w:val="single" w:sz="4" w:space="0" w:color="auto"/>
              <w:right w:val="single" w:sz="4" w:space="0" w:color="auto"/>
            </w:tcBorders>
            <w:shd w:val="clear" w:color="auto" w:fill="auto"/>
            <w:vAlign w:val="center"/>
            <w:hideMark/>
          </w:tcPr>
          <w:p w14:paraId="3B991333"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242</w:t>
            </w:r>
          </w:p>
        </w:tc>
        <w:tc>
          <w:tcPr>
            <w:tcW w:w="385" w:type="pct"/>
            <w:tcBorders>
              <w:top w:val="nil"/>
              <w:left w:val="nil"/>
              <w:bottom w:val="single" w:sz="4" w:space="0" w:color="auto"/>
              <w:right w:val="single" w:sz="4" w:space="0" w:color="auto"/>
            </w:tcBorders>
            <w:shd w:val="clear" w:color="auto" w:fill="auto"/>
            <w:vAlign w:val="center"/>
            <w:hideMark/>
          </w:tcPr>
          <w:p w14:paraId="7A826F8E"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72</w:t>
            </w:r>
          </w:p>
        </w:tc>
        <w:tc>
          <w:tcPr>
            <w:tcW w:w="389" w:type="pct"/>
            <w:tcBorders>
              <w:top w:val="nil"/>
              <w:left w:val="nil"/>
              <w:bottom w:val="single" w:sz="4" w:space="0" w:color="auto"/>
              <w:right w:val="single" w:sz="4" w:space="0" w:color="auto"/>
            </w:tcBorders>
            <w:shd w:val="clear" w:color="auto" w:fill="auto"/>
            <w:vAlign w:val="center"/>
            <w:hideMark/>
          </w:tcPr>
          <w:p w14:paraId="78FE873B"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45</w:t>
            </w:r>
          </w:p>
        </w:tc>
        <w:tc>
          <w:tcPr>
            <w:tcW w:w="389" w:type="pct"/>
            <w:tcBorders>
              <w:top w:val="nil"/>
              <w:left w:val="nil"/>
              <w:bottom w:val="single" w:sz="4" w:space="0" w:color="auto"/>
              <w:right w:val="single" w:sz="4" w:space="0" w:color="auto"/>
            </w:tcBorders>
            <w:shd w:val="clear" w:color="auto" w:fill="auto"/>
            <w:vAlign w:val="center"/>
            <w:hideMark/>
          </w:tcPr>
          <w:p w14:paraId="5796CAF5"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59</w:t>
            </w:r>
          </w:p>
        </w:tc>
        <w:tc>
          <w:tcPr>
            <w:tcW w:w="491" w:type="pct"/>
            <w:tcBorders>
              <w:top w:val="nil"/>
              <w:left w:val="nil"/>
              <w:bottom w:val="single" w:sz="4" w:space="0" w:color="auto"/>
              <w:right w:val="single" w:sz="4" w:space="0" w:color="auto"/>
            </w:tcBorders>
            <w:shd w:val="clear" w:color="auto" w:fill="auto"/>
            <w:vAlign w:val="center"/>
            <w:hideMark/>
          </w:tcPr>
          <w:p w14:paraId="4EF501D4"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17</w:t>
            </w:r>
          </w:p>
        </w:tc>
      </w:tr>
      <w:tr w:rsidR="00466E6F" w:rsidRPr="00E128B3" w14:paraId="79FB76A8" w14:textId="77777777" w:rsidTr="001757EC">
        <w:trPr>
          <w:trHeight w:val="227"/>
        </w:trPr>
        <w:tc>
          <w:tcPr>
            <w:tcW w:w="1945" w:type="pct"/>
            <w:tcBorders>
              <w:top w:val="nil"/>
              <w:left w:val="single" w:sz="4" w:space="0" w:color="auto"/>
              <w:bottom w:val="single" w:sz="4" w:space="0" w:color="auto"/>
              <w:right w:val="single" w:sz="4" w:space="0" w:color="auto"/>
            </w:tcBorders>
            <w:shd w:val="clear" w:color="auto" w:fill="auto"/>
            <w:noWrap/>
            <w:vAlign w:val="center"/>
            <w:hideMark/>
          </w:tcPr>
          <w:p w14:paraId="399B6A9A" w14:textId="77777777" w:rsidR="00466E6F" w:rsidRPr="00E128B3" w:rsidRDefault="00466E6F" w:rsidP="001757EC">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2015</w:t>
            </w:r>
          </w:p>
        </w:tc>
        <w:tc>
          <w:tcPr>
            <w:tcW w:w="451" w:type="pct"/>
            <w:tcBorders>
              <w:top w:val="nil"/>
              <w:left w:val="nil"/>
              <w:bottom w:val="single" w:sz="4" w:space="0" w:color="auto"/>
              <w:right w:val="single" w:sz="4" w:space="0" w:color="auto"/>
            </w:tcBorders>
            <w:shd w:val="clear" w:color="auto" w:fill="auto"/>
            <w:vAlign w:val="center"/>
            <w:hideMark/>
          </w:tcPr>
          <w:p w14:paraId="1A556260"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133</w:t>
            </w:r>
          </w:p>
        </w:tc>
        <w:tc>
          <w:tcPr>
            <w:tcW w:w="494" w:type="pct"/>
            <w:tcBorders>
              <w:top w:val="nil"/>
              <w:left w:val="nil"/>
              <w:bottom w:val="single" w:sz="4" w:space="0" w:color="auto"/>
              <w:right w:val="single" w:sz="4" w:space="0" w:color="auto"/>
            </w:tcBorders>
            <w:shd w:val="clear" w:color="auto" w:fill="auto"/>
            <w:vAlign w:val="center"/>
            <w:hideMark/>
          </w:tcPr>
          <w:p w14:paraId="58ABBAD7"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174</w:t>
            </w:r>
          </w:p>
        </w:tc>
        <w:tc>
          <w:tcPr>
            <w:tcW w:w="457" w:type="pct"/>
            <w:tcBorders>
              <w:top w:val="nil"/>
              <w:left w:val="nil"/>
              <w:bottom w:val="single" w:sz="4" w:space="0" w:color="auto"/>
              <w:right w:val="single" w:sz="4" w:space="0" w:color="auto"/>
            </w:tcBorders>
            <w:shd w:val="clear" w:color="auto" w:fill="auto"/>
            <w:vAlign w:val="center"/>
            <w:hideMark/>
          </w:tcPr>
          <w:p w14:paraId="4F2BAC43"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216</w:t>
            </w:r>
          </w:p>
        </w:tc>
        <w:tc>
          <w:tcPr>
            <w:tcW w:w="385" w:type="pct"/>
            <w:tcBorders>
              <w:top w:val="nil"/>
              <w:left w:val="nil"/>
              <w:bottom w:val="single" w:sz="4" w:space="0" w:color="auto"/>
              <w:right w:val="single" w:sz="4" w:space="0" w:color="auto"/>
            </w:tcBorders>
            <w:shd w:val="clear" w:color="auto" w:fill="auto"/>
            <w:vAlign w:val="center"/>
            <w:hideMark/>
          </w:tcPr>
          <w:p w14:paraId="597C5E3B"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73</w:t>
            </w:r>
          </w:p>
        </w:tc>
        <w:tc>
          <w:tcPr>
            <w:tcW w:w="389" w:type="pct"/>
            <w:tcBorders>
              <w:top w:val="nil"/>
              <w:left w:val="nil"/>
              <w:bottom w:val="single" w:sz="4" w:space="0" w:color="auto"/>
              <w:right w:val="single" w:sz="4" w:space="0" w:color="auto"/>
            </w:tcBorders>
            <w:shd w:val="clear" w:color="auto" w:fill="auto"/>
            <w:vAlign w:val="center"/>
            <w:hideMark/>
          </w:tcPr>
          <w:p w14:paraId="1337D9C0"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40</w:t>
            </w:r>
          </w:p>
        </w:tc>
        <w:tc>
          <w:tcPr>
            <w:tcW w:w="389" w:type="pct"/>
            <w:tcBorders>
              <w:top w:val="nil"/>
              <w:left w:val="nil"/>
              <w:bottom w:val="single" w:sz="4" w:space="0" w:color="auto"/>
              <w:right w:val="single" w:sz="4" w:space="0" w:color="auto"/>
            </w:tcBorders>
            <w:shd w:val="clear" w:color="auto" w:fill="auto"/>
            <w:vAlign w:val="center"/>
            <w:hideMark/>
          </w:tcPr>
          <w:p w14:paraId="60A945D5"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53</w:t>
            </w:r>
          </w:p>
        </w:tc>
        <w:tc>
          <w:tcPr>
            <w:tcW w:w="491" w:type="pct"/>
            <w:tcBorders>
              <w:top w:val="nil"/>
              <w:left w:val="nil"/>
              <w:bottom w:val="single" w:sz="4" w:space="0" w:color="auto"/>
              <w:right w:val="single" w:sz="4" w:space="0" w:color="auto"/>
            </w:tcBorders>
            <w:shd w:val="clear" w:color="auto" w:fill="auto"/>
            <w:vAlign w:val="center"/>
            <w:hideMark/>
          </w:tcPr>
          <w:p w14:paraId="58E8E73A"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16</w:t>
            </w:r>
          </w:p>
        </w:tc>
      </w:tr>
      <w:tr w:rsidR="00466E6F" w:rsidRPr="00E128B3" w14:paraId="53423C33" w14:textId="77777777" w:rsidTr="001757EC">
        <w:trPr>
          <w:trHeight w:val="227"/>
        </w:trPr>
        <w:tc>
          <w:tcPr>
            <w:tcW w:w="1945" w:type="pct"/>
            <w:tcBorders>
              <w:top w:val="nil"/>
              <w:left w:val="single" w:sz="4" w:space="0" w:color="auto"/>
              <w:bottom w:val="single" w:sz="4" w:space="0" w:color="auto"/>
              <w:right w:val="single" w:sz="4" w:space="0" w:color="auto"/>
            </w:tcBorders>
            <w:shd w:val="clear" w:color="auto" w:fill="auto"/>
            <w:noWrap/>
            <w:vAlign w:val="center"/>
            <w:hideMark/>
          </w:tcPr>
          <w:p w14:paraId="3F03FC06" w14:textId="77777777" w:rsidR="00466E6F" w:rsidRPr="00E128B3" w:rsidRDefault="00466E6F" w:rsidP="001757EC">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2016</w:t>
            </w:r>
          </w:p>
        </w:tc>
        <w:tc>
          <w:tcPr>
            <w:tcW w:w="451" w:type="pct"/>
            <w:tcBorders>
              <w:top w:val="nil"/>
              <w:left w:val="nil"/>
              <w:bottom w:val="single" w:sz="4" w:space="0" w:color="auto"/>
              <w:right w:val="single" w:sz="4" w:space="0" w:color="auto"/>
            </w:tcBorders>
            <w:shd w:val="clear" w:color="auto" w:fill="auto"/>
            <w:vAlign w:val="center"/>
            <w:hideMark/>
          </w:tcPr>
          <w:p w14:paraId="16E848BA"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115</w:t>
            </w:r>
          </w:p>
        </w:tc>
        <w:tc>
          <w:tcPr>
            <w:tcW w:w="494" w:type="pct"/>
            <w:tcBorders>
              <w:top w:val="nil"/>
              <w:left w:val="nil"/>
              <w:bottom w:val="single" w:sz="4" w:space="0" w:color="auto"/>
              <w:right w:val="single" w:sz="4" w:space="0" w:color="auto"/>
            </w:tcBorders>
            <w:shd w:val="clear" w:color="auto" w:fill="auto"/>
            <w:vAlign w:val="center"/>
            <w:hideMark/>
          </w:tcPr>
          <w:p w14:paraId="683AB32D"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165</w:t>
            </w:r>
          </w:p>
        </w:tc>
        <w:tc>
          <w:tcPr>
            <w:tcW w:w="457" w:type="pct"/>
            <w:tcBorders>
              <w:top w:val="nil"/>
              <w:left w:val="nil"/>
              <w:bottom w:val="single" w:sz="4" w:space="0" w:color="auto"/>
              <w:right w:val="single" w:sz="4" w:space="0" w:color="auto"/>
            </w:tcBorders>
            <w:shd w:val="clear" w:color="auto" w:fill="auto"/>
            <w:vAlign w:val="center"/>
            <w:hideMark/>
          </w:tcPr>
          <w:p w14:paraId="2EF8BA9D"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213</w:t>
            </w:r>
          </w:p>
        </w:tc>
        <w:tc>
          <w:tcPr>
            <w:tcW w:w="385" w:type="pct"/>
            <w:tcBorders>
              <w:top w:val="nil"/>
              <w:left w:val="nil"/>
              <w:bottom w:val="single" w:sz="4" w:space="0" w:color="auto"/>
              <w:right w:val="single" w:sz="4" w:space="0" w:color="auto"/>
            </w:tcBorders>
            <w:shd w:val="clear" w:color="auto" w:fill="auto"/>
            <w:vAlign w:val="center"/>
            <w:hideMark/>
          </w:tcPr>
          <w:p w14:paraId="171BD6C7"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73</w:t>
            </w:r>
          </w:p>
        </w:tc>
        <w:tc>
          <w:tcPr>
            <w:tcW w:w="389" w:type="pct"/>
            <w:tcBorders>
              <w:top w:val="nil"/>
              <w:left w:val="nil"/>
              <w:bottom w:val="single" w:sz="4" w:space="0" w:color="auto"/>
              <w:right w:val="single" w:sz="4" w:space="0" w:color="auto"/>
            </w:tcBorders>
            <w:shd w:val="clear" w:color="auto" w:fill="auto"/>
            <w:vAlign w:val="center"/>
            <w:hideMark/>
          </w:tcPr>
          <w:p w14:paraId="220B5D8C"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39</w:t>
            </w:r>
          </w:p>
        </w:tc>
        <w:tc>
          <w:tcPr>
            <w:tcW w:w="389" w:type="pct"/>
            <w:tcBorders>
              <w:top w:val="nil"/>
              <w:left w:val="nil"/>
              <w:bottom w:val="single" w:sz="4" w:space="0" w:color="auto"/>
              <w:right w:val="single" w:sz="4" w:space="0" w:color="auto"/>
            </w:tcBorders>
            <w:shd w:val="clear" w:color="auto" w:fill="auto"/>
            <w:vAlign w:val="center"/>
            <w:hideMark/>
          </w:tcPr>
          <w:p w14:paraId="291081C0"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52</w:t>
            </w:r>
          </w:p>
        </w:tc>
        <w:tc>
          <w:tcPr>
            <w:tcW w:w="491" w:type="pct"/>
            <w:tcBorders>
              <w:top w:val="nil"/>
              <w:left w:val="nil"/>
              <w:bottom w:val="single" w:sz="4" w:space="0" w:color="auto"/>
              <w:right w:val="single" w:sz="4" w:space="0" w:color="auto"/>
            </w:tcBorders>
            <w:shd w:val="clear" w:color="auto" w:fill="auto"/>
            <w:vAlign w:val="center"/>
            <w:hideMark/>
          </w:tcPr>
          <w:p w14:paraId="794E7DEF" w14:textId="77777777" w:rsidR="00466E6F" w:rsidRPr="00E128B3" w:rsidRDefault="00466E6F" w:rsidP="001757EC">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16</w:t>
            </w:r>
          </w:p>
        </w:tc>
      </w:tr>
      <w:tr w:rsidR="00466E6F" w:rsidRPr="00E128B3" w14:paraId="3BEEB5FA" w14:textId="77777777" w:rsidTr="001757EC">
        <w:trPr>
          <w:trHeight w:val="227"/>
        </w:trPr>
        <w:tc>
          <w:tcPr>
            <w:tcW w:w="1945" w:type="pct"/>
            <w:tcBorders>
              <w:top w:val="nil"/>
              <w:left w:val="single" w:sz="4" w:space="0" w:color="auto"/>
              <w:bottom w:val="single" w:sz="4" w:space="0" w:color="auto"/>
              <w:right w:val="single" w:sz="4" w:space="0" w:color="auto"/>
            </w:tcBorders>
            <w:shd w:val="clear" w:color="000000" w:fill="D9D9D9"/>
            <w:noWrap/>
            <w:vAlign w:val="center"/>
            <w:hideMark/>
          </w:tcPr>
          <w:p w14:paraId="2F0C4C77" w14:textId="77777777" w:rsidR="00466E6F" w:rsidRPr="00E128B3" w:rsidRDefault="00466E6F" w:rsidP="001757EC">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Emission reduction between 1990 and 2010 (%)</w:t>
            </w:r>
          </w:p>
        </w:tc>
        <w:tc>
          <w:tcPr>
            <w:tcW w:w="451" w:type="pct"/>
            <w:tcBorders>
              <w:top w:val="nil"/>
              <w:left w:val="nil"/>
              <w:bottom w:val="single" w:sz="4" w:space="0" w:color="auto"/>
              <w:right w:val="single" w:sz="4" w:space="0" w:color="auto"/>
            </w:tcBorders>
            <w:shd w:val="clear" w:color="000000" w:fill="D9D9D9"/>
            <w:noWrap/>
            <w:vAlign w:val="center"/>
            <w:hideMark/>
          </w:tcPr>
          <w:p w14:paraId="05DE4634"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91</w:t>
            </w:r>
          </w:p>
        </w:tc>
        <w:tc>
          <w:tcPr>
            <w:tcW w:w="494" w:type="pct"/>
            <w:tcBorders>
              <w:top w:val="nil"/>
              <w:left w:val="nil"/>
              <w:bottom w:val="single" w:sz="4" w:space="0" w:color="auto"/>
              <w:right w:val="single" w:sz="4" w:space="0" w:color="auto"/>
            </w:tcBorders>
            <w:shd w:val="clear" w:color="000000" w:fill="D9D9D9"/>
            <w:noWrap/>
            <w:vAlign w:val="center"/>
            <w:hideMark/>
          </w:tcPr>
          <w:p w14:paraId="3B37EB9E"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72</w:t>
            </w:r>
          </w:p>
        </w:tc>
        <w:tc>
          <w:tcPr>
            <w:tcW w:w="457" w:type="pct"/>
            <w:tcBorders>
              <w:top w:val="nil"/>
              <w:left w:val="nil"/>
              <w:bottom w:val="single" w:sz="4" w:space="0" w:color="auto"/>
              <w:right w:val="single" w:sz="4" w:space="0" w:color="auto"/>
            </w:tcBorders>
            <w:shd w:val="clear" w:color="000000" w:fill="D9D9D9"/>
            <w:noWrap/>
            <w:vAlign w:val="center"/>
            <w:hideMark/>
          </w:tcPr>
          <w:p w14:paraId="6B56E51C"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58</w:t>
            </w:r>
          </w:p>
        </w:tc>
        <w:tc>
          <w:tcPr>
            <w:tcW w:w="385" w:type="pct"/>
            <w:tcBorders>
              <w:top w:val="nil"/>
              <w:left w:val="nil"/>
              <w:bottom w:val="single" w:sz="4" w:space="0" w:color="auto"/>
              <w:right w:val="single" w:sz="4" w:space="0" w:color="auto"/>
            </w:tcBorders>
            <w:shd w:val="clear" w:color="000000" w:fill="D9D9D9"/>
            <w:noWrap/>
            <w:vAlign w:val="center"/>
            <w:hideMark/>
          </w:tcPr>
          <w:p w14:paraId="7FA065C5"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62</w:t>
            </w:r>
          </w:p>
        </w:tc>
        <w:tc>
          <w:tcPr>
            <w:tcW w:w="389" w:type="pct"/>
            <w:tcBorders>
              <w:top w:val="nil"/>
              <w:left w:val="nil"/>
              <w:bottom w:val="single" w:sz="4" w:space="0" w:color="auto"/>
              <w:right w:val="single" w:sz="4" w:space="0" w:color="auto"/>
            </w:tcBorders>
            <w:shd w:val="clear" w:color="000000" w:fill="D9D9D9"/>
            <w:noWrap/>
            <w:vAlign w:val="center"/>
            <w:hideMark/>
          </w:tcPr>
          <w:p w14:paraId="476D277C"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86</w:t>
            </w:r>
          </w:p>
        </w:tc>
        <w:tc>
          <w:tcPr>
            <w:tcW w:w="389" w:type="pct"/>
            <w:tcBorders>
              <w:top w:val="nil"/>
              <w:left w:val="nil"/>
              <w:bottom w:val="single" w:sz="4" w:space="0" w:color="auto"/>
              <w:right w:val="single" w:sz="4" w:space="0" w:color="auto"/>
            </w:tcBorders>
            <w:shd w:val="clear" w:color="000000" w:fill="D9D9D9"/>
            <w:noWrap/>
            <w:vAlign w:val="center"/>
            <w:hideMark/>
          </w:tcPr>
          <w:p w14:paraId="41908FB2"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87</w:t>
            </w:r>
          </w:p>
        </w:tc>
        <w:tc>
          <w:tcPr>
            <w:tcW w:w="491" w:type="pct"/>
            <w:tcBorders>
              <w:top w:val="nil"/>
              <w:left w:val="nil"/>
              <w:bottom w:val="single" w:sz="4" w:space="0" w:color="auto"/>
              <w:right w:val="single" w:sz="4" w:space="0" w:color="auto"/>
            </w:tcBorders>
            <w:shd w:val="clear" w:color="000000" w:fill="D9D9D9"/>
            <w:noWrap/>
            <w:vAlign w:val="center"/>
            <w:hideMark/>
          </w:tcPr>
          <w:p w14:paraId="61E57CB9"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82</w:t>
            </w:r>
          </w:p>
        </w:tc>
      </w:tr>
      <w:tr w:rsidR="00466E6F" w:rsidRPr="00E128B3" w14:paraId="474F8703" w14:textId="77777777" w:rsidTr="001757EC">
        <w:trPr>
          <w:trHeight w:val="227"/>
        </w:trPr>
        <w:tc>
          <w:tcPr>
            <w:tcW w:w="1945" w:type="pct"/>
            <w:tcBorders>
              <w:top w:val="nil"/>
              <w:left w:val="single" w:sz="4" w:space="0" w:color="auto"/>
              <w:bottom w:val="single" w:sz="4" w:space="0" w:color="auto"/>
              <w:right w:val="single" w:sz="4" w:space="0" w:color="auto"/>
            </w:tcBorders>
            <w:shd w:val="clear" w:color="000000" w:fill="D9D9D9"/>
            <w:noWrap/>
            <w:vAlign w:val="center"/>
            <w:hideMark/>
          </w:tcPr>
          <w:p w14:paraId="4FC7F975" w14:textId="77777777" w:rsidR="00466E6F" w:rsidRPr="00E128B3" w:rsidRDefault="00466E6F" w:rsidP="001757EC">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Emission reduction between 1990 and 2016 (%)</w:t>
            </w:r>
          </w:p>
        </w:tc>
        <w:tc>
          <w:tcPr>
            <w:tcW w:w="451" w:type="pct"/>
            <w:tcBorders>
              <w:top w:val="nil"/>
              <w:left w:val="nil"/>
              <w:bottom w:val="single" w:sz="4" w:space="0" w:color="auto"/>
              <w:right w:val="single" w:sz="4" w:space="0" w:color="auto"/>
            </w:tcBorders>
            <w:shd w:val="clear" w:color="000000" w:fill="D9D9D9"/>
            <w:noWrap/>
            <w:vAlign w:val="center"/>
            <w:hideMark/>
          </w:tcPr>
          <w:p w14:paraId="45B9DBD7"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93</w:t>
            </w:r>
          </w:p>
        </w:tc>
        <w:tc>
          <w:tcPr>
            <w:tcW w:w="494" w:type="pct"/>
            <w:tcBorders>
              <w:top w:val="nil"/>
              <w:left w:val="nil"/>
              <w:bottom w:val="single" w:sz="4" w:space="0" w:color="auto"/>
              <w:right w:val="single" w:sz="4" w:space="0" w:color="auto"/>
            </w:tcBorders>
            <w:shd w:val="clear" w:color="000000" w:fill="D9D9D9"/>
            <w:noWrap/>
            <w:vAlign w:val="center"/>
            <w:hideMark/>
          </w:tcPr>
          <w:p w14:paraId="063394E3"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80</w:t>
            </w:r>
          </w:p>
        </w:tc>
        <w:tc>
          <w:tcPr>
            <w:tcW w:w="457" w:type="pct"/>
            <w:tcBorders>
              <w:top w:val="nil"/>
              <w:left w:val="nil"/>
              <w:bottom w:val="single" w:sz="4" w:space="0" w:color="auto"/>
              <w:right w:val="single" w:sz="4" w:space="0" w:color="auto"/>
            </w:tcBorders>
            <w:shd w:val="clear" w:color="000000" w:fill="D9D9D9"/>
            <w:noWrap/>
            <w:vAlign w:val="center"/>
            <w:hideMark/>
          </w:tcPr>
          <w:p w14:paraId="03E36A69"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63</w:t>
            </w:r>
          </w:p>
        </w:tc>
        <w:tc>
          <w:tcPr>
            <w:tcW w:w="385" w:type="pct"/>
            <w:tcBorders>
              <w:top w:val="nil"/>
              <w:left w:val="nil"/>
              <w:bottom w:val="single" w:sz="4" w:space="0" w:color="auto"/>
              <w:right w:val="single" w:sz="4" w:space="0" w:color="auto"/>
            </w:tcBorders>
            <w:shd w:val="clear" w:color="000000" w:fill="D9D9D9"/>
            <w:noWrap/>
            <w:vAlign w:val="center"/>
            <w:hideMark/>
          </w:tcPr>
          <w:p w14:paraId="4675FC7C"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62</w:t>
            </w:r>
          </w:p>
        </w:tc>
        <w:tc>
          <w:tcPr>
            <w:tcW w:w="389" w:type="pct"/>
            <w:tcBorders>
              <w:top w:val="nil"/>
              <w:left w:val="nil"/>
              <w:bottom w:val="single" w:sz="4" w:space="0" w:color="auto"/>
              <w:right w:val="single" w:sz="4" w:space="0" w:color="auto"/>
            </w:tcBorders>
            <w:shd w:val="clear" w:color="000000" w:fill="D9D9D9"/>
            <w:noWrap/>
            <w:vAlign w:val="center"/>
            <w:hideMark/>
          </w:tcPr>
          <w:p w14:paraId="3763FFAF"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88</w:t>
            </w:r>
          </w:p>
        </w:tc>
        <w:tc>
          <w:tcPr>
            <w:tcW w:w="389" w:type="pct"/>
            <w:tcBorders>
              <w:top w:val="nil"/>
              <w:left w:val="nil"/>
              <w:bottom w:val="single" w:sz="4" w:space="0" w:color="auto"/>
              <w:right w:val="single" w:sz="4" w:space="0" w:color="auto"/>
            </w:tcBorders>
            <w:shd w:val="clear" w:color="000000" w:fill="D9D9D9"/>
            <w:noWrap/>
            <w:vAlign w:val="center"/>
            <w:hideMark/>
          </w:tcPr>
          <w:p w14:paraId="12549FDD"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89</w:t>
            </w:r>
          </w:p>
        </w:tc>
        <w:tc>
          <w:tcPr>
            <w:tcW w:w="491" w:type="pct"/>
            <w:tcBorders>
              <w:top w:val="nil"/>
              <w:left w:val="nil"/>
              <w:bottom w:val="single" w:sz="4" w:space="0" w:color="auto"/>
              <w:right w:val="single" w:sz="4" w:space="0" w:color="auto"/>
            </w:tcBorders>
            <w:shd w:val="clear" w:color="000000" w:fill="D9D9D9"/>
            <w:noWrap/>
            <w:vAlign w:val="center"/>
            <w:hideMark/>
          </w:tcPr>
          <w:p w14:paraId="5385991B" w14:textId="77777777" w:rsidR="00466E6F" w:rsidRPr="00E128B3" w:rsidRDefault="00466E6F" w:rsidP="001757EC">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83</w:t>
            </w:r>
          </w:p>
        </w:tc>
      </w:tr>
    </w:tbl>
    <w:p w14:paraId="50FB4EA3" w14:textId="757FEEDA" w:rsidR="00466E6F" w:rsidRPr="00E128B3" w:rsidRDefault="00C778DE" w:rsidP="001757EC">
      <w:pPr>
        <w:pStyle w:val="Zdrojeapozn"/>
        <w:rPr>
          <w:lang w:val="en-GB"/>
        </w:rPr>
      </w:pPr>
      <w:r>
        <w:rPr>
          <w:b/>
          <w:lang w:val="en-GB" w:bidi="en-GB"/>
        </w:rPr>
        <w:t>Source</w:t>
      </w:r>
      <w:r w:rsidR="00466E6F" w:rsidRPr="00E128B3">
        <w:rPr>
          <w:b/>
          <w:lang w:val="en-GB" w:bidi="en-GB"/>
        </w:rPr>
        <w:t xml:space="preserve">: </w:t>
      </w:r>
      <w:r w:rsidR="00466E6F" w:rsidRPr="00E128B3">
        <w:rPr>
          <w:lang w:val="en-GB" w:bidi="en-GB"/>
        </w:rPr>
        <w:t>Prepared by the SAO based on emission balance data (Reporting_2018_v_1-2_1990-2016).</w:t>
      </w:r>
    </w:p>
    <w:p w14:paraId="518E024C" w14:textId="4E853F65" w:rsidR="00141703" w:rsidRPr="00E128B3" w:rsidRDefault="00466E6F" w:rsidP="001757EC">
      <w:pPr>
        <w:pStyle w:val="TextKP"/>
        <w:spacing w:after="120"/>
        <w:rPr>
          <w:b/>
          <w:lang w:val="en-GB"/>
        </w:rPr>
      </w:pPr>
      <w:r w:rsidRPr="00E128B3">
        <w:rPr>
          <w:lang w:val="en-GB" w:bidi="en-GB"/>
        </w:rPr>
        <w:t>Directive 2001/81/EC</w:t>
      </w:r>
      <w:r w:rsidRPr="00E128B3">
        <w:rPr>
          <w:rStyle w:val="Znakapoznpodarou"/>
          <w:lang w:val="en-GB" w:bidi="en-GB"/>
        </w:rPr>
        <w:footnoteReference w:id="41"/>
      </w:r>
      <w:r w:rsidRPr="00E128B3">
        <w:rPr>
          <w:lang w:val="en-GB" w:bidi="en-GB"/>
        </w:rPr>
        <w:t>, which set out the ceilings for the total annual emissions</w:t>
      </w:r>
      <w:r w:rsidRPr="00E128B3">
        <w:rPr>
          <w:rStyle w:val="Znakapoznpodarou"/>
          <w:lang w:val="en-GB" w:bidi="en-GB"/>
        </w:rPr>
        <w:footnoteReference w:id="42"/>
      </w:r>
      <w:r w:rsidRPr="00E128B3">
        <w:rPr>
          <w:lang w:val="en-GB" w:bidi="en-GB"/>
        </w:rPr>
        <w:t xml:space="preserve"> of sulphur dioxide (SO</w:t>
      </w:r>
      <w:r w:rsidRPr="00E128B3">
        <w:rPr>
          <w:vertAlign w:val="subscript"/>
          <w:lang w:val="en-GB" w:bidi="en-GB"/>
        </w:rPr>
        <w:t>2</w:t>
      </w:r>
      <w:r w:rsidRPr="00E128B3">
        <w:rPr>
          <w:lang w:val="en-GB" w:bidi="en-GB"/>
        </w:rPr>
        <w:t>), nitrogen oxides (NO</w:t>
      </w:r>
      <w:r w:rsidRPr="00E128B3">
        <w:rPr>
          <w:vertAlign w:val="subscript"/>
          <w:lang w:val="en-GB" w:bidi="en-GB"/>
        </w:rPr>
        <w:t>X</w:t>
      </w:r>
      <w:r w:rsidRPr="00E128B3">
        <w:rPr>
          <w:lang w:val="en-GB" w:bidi="en-GB"/>
        </w:rPr>
        <w:t>), non-methane volatile organic compounds (NMVOC) and ammonia (NH</w:t>
      </w:r>
      <w:r w:rsidRPr="00E128B3">
        <w:rPr>
          <w:vertAlign w:val="subscript"/>
          <w:lang w:val="en-GB" w:bidi="en-GB"/>
        </w:rPr>
        <w:t>3</w:t>
      </w:r>
      <w:r w:rsidRPr="00E128B3">
        <w:rPr>
          <w:lang w:val="en-GB" w:bidi="en-GB"/>
        </w:rPr>
        <w:t>) for the Member States from 2010 onwards had a fundamental impact on the reduction of anthropogenic emissions into the air. Between 1990 and 2016, the sulphur dioxide emissions decreased by 93%, nitrogen oxide emissions by 80%, non-methane volatile organic compound emissions by 63%, and ammonia emissions by 62% in the Czech Republic. Although Czech Republic met and continues to comply with the emission ceilings</w:t>
      </w:r>
      <w:r w:rsidRPr="00E128B3">
        <w:rPr>
          <w:rStyle w:val="Znakapoznpodarou"/>
          <w:lang w:val="en-GB" w:bidi="en-GB"/>
        </w:rPr>
        <w:footnoteReference w:id="43"/>
      </w:r>
      <w:r w:rsidRPr="00E128B3">
        <w:rPr>
          <w:lang w:val="en-GB" w:bidi="en-GB"/>
        </w:rPr>
        <w:t>, significant adverse impacts on, and risks to, human health and the environment persist in connection with air quality in the Czech Republic.</w:t>
      </w:r>
      <w:r w:rsidR="00141703" w:rsidRPr="00E128B3">
        <w:rPr>
          <w:lang w:val="en-GB" w:bidi="en-GB"/>
        </w:rPr>
        <w:br w:type="page"/>
      </w:r>
    </w:p>
    <w:p w14:paraId="4FFB0A1B" w14:textId="77777777" w:rsidR="00395345" w:rsidRPr="00E128B3" w:rsidRDefault="00395345" w:rsidP="00395345">
      <w:pPr>
        <w:pStyle w:val="Nadpis1"/>
        <w:numPr>
          <w:ilvl w:val="0"/>
          <w:numId w:val="0"/>
        </w:numPr>
        <w:spacing w:before="0" w:after="0"/>
        <w:ind w:left="431" w:hanging="431"/>
        <w:rPr>
          <w:sz w:val="24"/>
          <w:lang w:val="en-GB"/>
        </w:rPr>
      </w:pPr>
      <w:r w:rsidRPr="00E128B3">
        <w:rPr>
          <w:sz w:val="24"/>
          <w:lang w:val="en-GB" w:bidi="en-GB"/>
        </w:rPr>
        <w:t>Annex 3</w:t>
      </w:r>
    </w:p>
    <w:p w14:paraId="6CBF883F" w14:textId="77777777" w:rsidR="00395345" w:rsidRPr="00E128B3" w:rsidRDefault="00395345" w:rsidP="006D33D2">
      <w:pPr>
        <w:pStyle w:val="Text"/>
        <w:spacing w:before="0"/>
        <w:rPr>
          <w:lang w:val="en-GB"/>
        </w:rPr>
      </w:pPr>
      <w:r w:rsidRPr="00E128B3">
        <w:rPr>
          <w:noProof/>
          <w:lang w:val="cs-CZ" w:eastAsia="cs-CZ"/>
        </w:rPr>
        <mc:AlternateContent>
          <mc:Choice Requires="wps">
            <w:drawing>
              <wp:anchor distT="45720" distB="45720" distL="114300" distR="114300" simplePos="0" relativeHeight="251637760" behindDoc="0" locked="0" layoutInCell="1" allowOverlap="1" wp14:anchorId="4D56DD63" wp14:editId="54E7F55D">
                <wp:simplePos x="0" y="0"/>
                <wp:positionH relativeFrom="margin">
                  <wp:posOffset>0</wp:posOffset>
                </wp:positionH>
                <wp:positionV relativeFrom="paragraph">
                  <wp:posOffset>251142</wp:posOffset>
                </wp:positionV>
                <wp:extent cx="5742305" cy="2955925"/>
                <wp:effectExtent l="0" t="0" r="10795" b="15875"/>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955925"/>
                        </a:xfrm>
                        <a:prstGeom prst="rect">
                          <a:avLst/>
                        </a:prstGeom>
                        <a:solidFill>
                          <a:srgbClr val="E5F1FF"/>
                        </a:solidFill>
                        <a:ln w="6350">
                          <a:solidFill>
                            <a:schemeClr val="tx1"/>
                          </a:solidFill>
                          <a:miter lim="800000"/>
                          <a:headEnd/>
                          <a:tailEnd/>
                        </a:ln>
                      </wps:spPr>
                      <wps:txbx>
                        <w:txbxContent>
                          <w:p w14:paraId="74F748BA" w14:textId="48D103C4" w:rsidR="00D74E6C" w:rsidRPr="003742A5" w:rsidRDefault="00D74E6C" w:rsidP="00395345">
                            <w:pPr>
                              <w:spacing w:before="60"/>
                              <w:jc w:val="both"/>
                              <w:rPr>
                                <w:b/>
                                <w:sz w:val="18"/>
                              </w:rPr>
                            </w:pPr>
                            <w:r w:rsidRPr="0012500F">
                              <w:rPr>
                                <w:b/>
                                <w:sz w:val="18"/>
                                <w:szCs w:val="18"/>
                                <w:lang w:val="en-GB" w:bidi="en-GB"/>
                              </w:rPr>
                              <w:t>Suspended particulate matter</w:t>
                            </w:r>
                            <w:r w:rsidRPr="0012500F">
                              <w:rPr>
                                <w:sz w:val="18"/>
                                <w:szCs w:val="18"/>
                                <w:lang w:val="en-GB" w:bidi="en-GB"/>
                              </w:rPr>
                              <w:t xml:space="preserve"> is a diverse mixture of organic and inorganic liquid and solid particles of various sizes, composition and origins. Airborne particulate matter represents a major risk factor with multiple effects on human health. Unlike gaseous substances, it does not have a specific composition (the size and composition of the particulate matter is influenced by its source) and, instead, they are a mixture</w:t>
                            </w:r>
                            <w:r>
                              <w:rPr>
                                <w:sz w:val="18"/>
                                <w:szCs w:val="18"/>
                                <w:lang w:val="en-GB" w:bidi="en-GB"/>
                              </w:rPr>
                              <w:t xml:space="preserve"> of</w:t>
                            </w:r>
                            <w:r w:rsidRPr="0012500F">
                              <w:rPr>
                                <w:sz w:val="18"/>
                                <w:szCs w:val="18"/>
                                <w:lang w:val="en-GB" w:bidi="en-GB"/>
                              </w:rPr>
                              <w:t xml:space="preserve"> substances with various effects. At the same time, it acts as a vector for gaseous harmful pollutants. Suspended particulate matter is divided into primary and secondary particulate matter. Primary particulate matter is emitted directly from the sources and can be further divided into particulate matter originated from anthropogenic sources (fossil fuel burning, transport, technological processes, anthropogenic activities) and that coming from natural sources (sea salt aerosol, volcanic activity, space fallout…). </w:t>
                            </w:r>
                          </w:p>
                          <w:p w14:paraId="4DAE0A78" w14:textId="00E3451F" w:rsidR="00D74E6C" w:rsidRPr="0012500F" w:rsidRDefault="00D74E6C" w:rsidP="00395345">
                            <w:pPr>
                              <w:spacing w:before="60"/>
                              <w:jc w:val="both"/>
                              <w:rPr>
                                <w:sz w:val="18"/>
                              </w:rPr>
                            </w:pPr>
                            <w:r w:rsidRPr="0012500F">
                              <w:rPr>
                                <w:sz w:val="18"/>
                                <w:szCs w:val="18"/>
                                <w:lang w:val="en-GB" w:bidi="en-GB"/>
                              </w:rPr>
                              <w:t xml:space="preserve">Secondary particulates are those that are generated in the atmosphere by the ongoing chemical (chemical reactions) and physical (nucleation, condensation) processes and those that re-suspended (raised into atmosphere) as a result of human activity (transport) or weather factors (wind). </w:t>
                            </w:r>
                          </w:p>
                          <w:p w14:paraId="28D48406" w14:textId="0456DA9E" w:rsidR="00D74E6C" w:rsidRPr="0012500F" w:rsidRDefault="00D74E6C" w:rsidP="00395345">
                            <w:pPr>
                              <w:spacing w:before="60"/>
                              <w:jc w:val="both"/>
                              <w:rPr>
                                <w:sz w:val="18"/>
                              </w:rPr>
                            </w:pPr>
                            <w:r w:rsidRPr="0012500F">
                              <w:rPr>
                                <w:sz w:val="18"/>
                                <w:szCs w:val="18"/>
                                <w:lang w:val="en-GB" w:bidi="en-GB"/>
                              </w:rPr>
                              <w:t>Fine particulates tend to coagulate and condense an</w:t>
                            </w:r>
                            <w:r>
                              <w:rPr>
                                <w:sz w:val="18"/>
                                <w:szCs w:val="18"/>
                                <w:lang w:val="en-GB" w:bidi="en-GB"/>
                              </w:rPr>
                              <w:t>d</w:t>
                            </w:r>
                            <w:r w:rsidRPr="0012500F">
                              <w:rPr>
                                <w:sz w:val="18"/>
                                <w:szCs w:val="18"/>
                                <w:lang w:val="en-GB" w:bidi="en-GB"/>
                              </w:rPr>
                              <w:t xml:space="preserve"> grow in size but their final size rarely exceeds 2 µm. These particulates remain in the air relatively long, usually between 7 and 30 days. On the contrary, particulates resulting from mechanical dispersion tend to be larger in size than 2 µm and have a shorter life in the atmosphere. </w:t>
                            </w:r>
                          </w:p>
                          <w:p w14:paraId="7BD99944" w14:textId="38F67EDE" w:rsidR="00D74E6C" w:rsidRDefault="00D74E6C" w:rsidP="00395345">
                            <w:pPr>
                              <w:spacing w:before="60"/>
                              <w:rPr>
                                <w:sz w:val="18"/>
                              </w:rPr>
                            </w:pPr>
                            <w:r w:rsidRPr="0012500F">
                              <w:rPr>
                                <w:sz w:val="18"/>
                                <w:szCs w:val="18"/>
                                <w:lang w:val="en-GB" w:bidi="en-GB"/>
                              </w:rPr>
                              <w:t>The fine particulate matter in the fraction of under 2.5µm and the larger fraction differ significantly in terms of origin, composition, and behaviour.</w:t>
                            </w:r>
                            <w:r>
                              <w:rPr>
                                <w:sz w:val="18"/>
                                <w:szCs w:val="18"/>
                                <w:lang w:val="en-GB" w:bidi="en-GB"/>
                              </w:rPr>
                              <w:t xml:space="preserve"> </w:t>
                            </w:r>
                          </w:p>
                          <w:p w14:paraId="65D9C3A8" w14:textId="4285A254" w:rsidR="00D74E6C" w:rsidRDefault="00D74E6C" w:rsidP="00141703">
                            <w:pPr>
                              <w:spacing w:before="60"/>
                              <w:jc w:val="both"/>
                              <w:rPr>
                                <w:sz w:val="18"/>
                              </w:rPr>
                            </w:pPr>
                            <w:r w:rsidRPr="0012500F">
                              <w:rPr>
                                <w:sz w:val="18"/>
                                <w:szCs w:val="18"/>
                                <w:lang w:val="en-GB" w:bidi="en-GB"/>
                              </w:rPr>
                              <w:t xml:space="preserve">The effect of the suspended particulates depends on their size, shape and chemical composition. The size of the particle is crucial for the entry into and deposition in the respiratory tract. Suspended particulates in the </w:t>
                            </w:r>
                            <w:r w:rsidRPr="0012500F">
                              <w:rPr>
                                <w:b/>
                                <w:sz w:val="18"/>
                                <w:szCs w:val="18"/>
                                <w:lang w:val="en-GB" w:bidi="en-GB"/>
                              </w:rPr>
                              <w:t>PM</w:t>
                            </w:r>
                            <w:r w:rsidRPr="0012500F">
                              <w:rPr>
                                <w:b/>
                                <w:sz w:val="18"/>
                                <w:szCs w:val="18"/>
                                <w:vertAlign w:val="subscript"/>
                                <w:lang w:val="en-GB" w:bidi="en-GB"/>
                              </w:rPr>
                              <w:t>2.5</w:t>
                            </w:r>
                            <w:r w:rsidRPr="0012500F">
                              <w:rPr>
                                <w:sz w:val="18"/>
                                <w:szCs w:val="18"/>
                                <w:lang w:val="en-GB" w:bidi="en-GB"/>
                              </w:rPr>
                              <w:t xml:space="preserve"> fraction represent a significantly higher health risk because of their ability to penetrate deeper into the human organism (alveoli) and to carry both heavy metals and persistent organic pollutants, in comparison with the </w:t>
                            </w:r>
                            <w:r w:rsidRPr="0012500F">
                              <w:rPr>
                                <w:b/>
                                <w:sz w:val="18"/>
                                <w:szCs w:val="18"/>
                                <w:lang w:val="en-GB" w:bidi="en-GB"/>
                              </w:rPr>
                              <w:t>PM</w:t>
                            </w:r>
                            <w:r w:rsidRPr="0012500F">
                              <w:rPr>
                                <w:b/>
                                <w:sz w:val="18"/>
                                <w:szCs w:val="18"/>
                                <w:vertAlign w:val="subscript"/>
                                <w:lang w:val="en-GB" w:bidi="en-GB"/>
                              </w:rPr>
                              <w:t>10</w:t>
                            </w:r>
                            <w:r w:rsidRPr="0012500F">
                              <w:rPr>
                                <w:sz w:val="18"/>
                                <w:szCs w:val="18"/>
                                <w:lang w:val="en-GB" w:bidi="en-GB"/>
                              </w:rPr>
                              <w:t xml:space="preserve"> fraction of suspended particulate matter, which have a higher tendency to sediment because of their weight.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D56DD63" id="_x0000_t202" coordsize="21600,21600" o:spt="202" path="m,l,21600r21600,l21600,xe">
                <v:stroke joinstyle="miter"/>
                <v:path gradientshapeok="t" o:connecttype="rect"/>
              </v:shapetype>
              <v:shape id="Textové pole 2" o:spid="_x0000_s1028" type="#_x0000_t202" style="position:absolute;left:0;text-align:left;margin-left:0;margin-top:19.75pt;width:452.15pt;height:232.7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" fillcolor="#e5f1ff" strokecolor="black [3213]" strokeweight=".5pt">
                <v:textbox>
                  <w:txbxContent>
                    <w:p w14:paraId="74F748BA" w14:textId="48D103C4" w:rsidR="00D74E6C" w:rsidRPr="003742A5" w:rsidRDefault="00D74E6C" w:rsidP="00395345">
                      <w:pPr>
                        <w:spacing w:before="60"/>
                        <w:jc w:val="both"/>
                        <w:rPr>
                          <w:b/>
                          <w:sz w:val="18"/>
                        </w:rPr>
                      </w:pPr>
                      <w:r w:rsidRPr="0012500F">
                        <w:rPr>
                          <w:b/>
                          <w:sz w:val="18"/>
                          <w:szCs w:val="18"/>
                          <w:lang w:val="en-GB" w:bidi="en-GB"/>
                        </w:rPr>
                        <w:t>Suspended particulate matter</w:t>
                      </w:r>
                      <w:r w:rsidRPr="0012500F">
                        <w:rPr>
                          <w:sz w:val="18"/>
                          <w:szCs w:val="18"/>
                          <w:lang w:val="en-GB" w:bidi="en-GB"/>
                        </w:rPr>
                        <w:t xml:space="preserve"> is a diverse mixture of organic and inorganic liquid and solid particles of various sizes, composition and origins. Airborne particulate matter represents a major risk factor with multiple effects on human health. Unlike gaseous substances, it does not have a specific composition (the size and composition of the particulate matter is influenced by its source) and, instead, they are a mixture</w:t>
                      </w:r>
                      <w:r>
                        <w:rPr>
                          <w:sz w:val="18"/>
                          <w:szCs w:val="18"/>
                          <w:lang w:val="en-GB" w:bidi="en-GB"/>
                        </w:rPr>
                        <w:t xml:space="preserve"> of</w:t>
                      </w:r>
                      <w:r w:rsidRPr="0012500F">
                        <w:rPr>
                          <w:sz w:val="18"/>
                          <w:szCs w:val="18"/>
                          <w:lang w:val="en-GB" w:bidi="en-GB"/>
                        </w:rPr>
                        <w:t xml:space="preserve"> substances with various effects. At the same time, it acts as a vector for gaseous harmful pollutants. Suspended particulate matter is divided into primary and secondary particulate matter. Primary particulate matter is emitted directly from the sources and can be further divided into particulate matter originated from anthropogenic sources (fossil fuel burning, transport, technological processes, anthropogenic activities) and that coming from natural sources (sea salt aerosol, volcanic activity, space fallout…). </w:t>
                      </w:r>
                    </w:p>
                    <w:p w14:paraId="4DAE0A78" w14:textId="00E3451F" w:rsidR="00D74E6C" w:rsidRPr="0012500F" w:rsidRDefault="00D74E6C" w:rsidP="00395345">
                      <w:pPr>
                        <w:spacing w:before="60"/>
                        <w:jc w:val="both"/>
                        <w:rPr>
                          <w:sz w:val="18"/>
                        </w:rPr>
                      </w:pPr>
                      <w:r w:rsidRPr="0012500F">
                        <w:rPr>
                          <w:sz w:val="18"/>
                          <w:szCs w:val="18"/>
                          <w:lang w:val="en-GB" w:bidi="en-GB"/>
                        </w:rPr>
                        <w:t xml:space="preserve">Secondary particulates are those that are generated in the atmosphere by the ongoing chemical (chemical reactions) and physical (nucleation, condensation) processes and those that re-suspended (raised into atmosphere) as a result of human activity (transport) or weather factors (wind). </w:t>
                      </w:r>
                    </w:p>
                    <w:p w14:paraId="28D48406" w14:textId="0456DA9E" w:rsidR="00D74E6C" w:rsidRPr="0012500F" w:rsidRDefault="00D74E6C" w:rsidP="00395345">
                      <w:pPr>
                        <w:spacing w:before="60"/>
                        <w:jc w:val="both"/>
                        <w:rPr>
                          <w:sz w:val="18"/>
                        </w:rPr>
                      </w:pPr>
                      <w:r w:rsidRPr="0012500F">
                        <w:rPr>
                          <w:sz w:val="18"/>
                          <w:szCs w:val="18"/>
                          <w:lang w:val="en-GB" w:bidi="en-GB"/>
                        </w:rPr>
                        <w:t>Fine particulates tend to coagulate and condense an</w:t>
                      </w:r>
                      <w:r>
                        <w:rPr>
                          <w:sz w:val="18"/>
                          <w:szCs w:val="18"/>
                          <w:lang w:val="en-GB" w:bidi="en-GB"/>
                        </w:rPr>
                        <w:t>d</w:t>
                      </w:r>
                      <w:r w:rsidRPr="0012500F">
                        <w:rPr>
                          <w:sz w:val="18"/>
                          <w:szCs w:val="18"/>
                          <w:lang w:val="en-GB" w:bidi="en-GB"/>
                        </w:rPr>
                        <w:t xml:space="preserve"> grow in size but their final size rarely exceeds 2 µm. These particulates remain in the air relatively long, usually between 7 and 30 days. On the contrary, particulates resulting from mechanical dispersion tend to be larger in size than 2 µm and have a shorter life in the atmosphere. </w:t>
                      </w:r>
                    </w:p>
                    <w:p w14:paraId="7BD99944" w14:textId="38F67EDE" w:rsidR="00D74E6C" w:rsidRDefault="00D74E6C" w:rsidP="00395345">
                      <w:pPr>
                        <w:spacing w:before="60"/>
                        <w:rPr>
                          <w:sz w:val="18"/>
                        </w:rPr>
                      </w:pPr>
                      <w:r w:rsidRPr="0012500F">
                        <w:rPr>
                          <w:sz w:val="18"/>
                          <w:szCs w:val="18"/>
                          <w:lang w:val="en-GB" w:bidi="en-GB"/>
                        </w:rPr>
                        <w:t>The fine particulate matter in the fraction of under 2.5µm and the larger fraction differ significantly in terms of origin, composition, and behaviour.</w:t>
                      </w:r>
                      <w:r>
                        <w:rPr>
                          <w:sz w:val="18"/>
                          <w:szCs w:val="18"/>
                          <w:lang w:val="en-GB" w:bidi="en-GB"/>
                        </w:rPr>
                        <w:t xml:space="preserve"> </w:t>
                      </w:r>
                    </w:p>
                    <w:p w14:paraId="65D9C3A8" w14:textId="4285A254" w:rsidR="00D74E6C" w:rsidRDefault="00D74E6C" w:rsidP="00141703">
                      <w:pPr>
                        <w:spacing w:before="60"/>
                        <w:jc w:val="both"/>
                        <w:rPr>
                          <w:sz w:val="18"/>
                        </w:rPr>
                      </w:pPr>
                      <w:r w:rsidRPr="0012500F">
                        <w:rPr>
                          <w:sz w:val="18"/>
                          <w:szCs w:val="18"/>
                          <w:lang w:val="en-GB" w:bidi="en-GB"/>
                        </w:rPr>
                        <w:t xml:space="preserve">The effect of the suspended particulates depends on their size, shape and chemical composition. The size of the particle is crucial for the entry into and deposition in the respiratory tract. Suspended particulates in the </w:t>
                      </w:r>
                      <w:r w:rsidRPr="0012500F">
                        <w:rPr>
                          <w:b/>
                          <w:sz w:val="18"/>
                          <w:szCs w:val="18"/>
                          <w:lang w:val="en-GB" w:bidi="en-GB"/>
                        </w:rPr>
                        <w:t>PM</w:t>
                      </w:r>
                      <w:r w:rsidRPr="0012500F">
                        <w:rPr>
                          <w:b/>
                          <w:sz w:val="18"/>
                          <w:szCs w:val="18"/>
                          <w:vertAlign w:val="subscript"/>
                          <w:lang w:val="en-GB" w:bidi="en-GB"/>
                        </w:rPr>
                        <w:t>2.5</w:t>
                      </w:r>
                      <w:r w:rsidRPr="0012500F">
                        <w:rPr>
                          <w:sz w:val="18"/>
                          <w:szCs w:val="18"/>
                          <w:lang w:val="en-GB" w:bidi="en-GB"/>
                        </w:rPr>
                        <w:t xml:space="preserve"> fraction represent a significantly higher health risk because of their ability to penetrate deeper into the human organism (alveoli) and to carry both heavy metals and persistent organic pollutants, in comparison with the </w:t>
                      </w:r>
                      <w:r w:rsidRPr="0012500F">
                        <w:rPr>
                          <w:b/>
                          <w:sz w:val="18"/>
                          <w:szCs w:val="18"/>
                          <w:lang w:val="en-GB" w:bidi="en-GB"/>
                        </w:rPr>
                        <w:t>PM</w:t>
                      </w:r>
                      <w:r w:rsidRPr="0012500F">
                        <w:rPr>
                          <w:b/>
                          <w:sz w:val="18"/>
                          <w:szCs w:val="18"/>
                          <w:vertAlign w:val="subscript"/>
                          <w:lang w:val="en-GB" w:bidi="en-GB"/>
                        </w:rPr>
                        <w:t>10</w:t>
                      </w:r>
                      <w:r w:rsidRPr="0012500F">
                        <w:rPr>
                          <w:sz w:val="18"/>
                          <w:szCs w:val="18"/>
                          <w:lang w:val="en-GB" w:bidi="en-GB"/>
                        </w:rPr>
                        <w:t xml:space="preserve"> fraction of suspended particulate matter, which have a higher tendency to sediment because of their weight.</w:t>
                      </w:r>
                    </w:p>
                  </w:txbxContent>
                </v:textbox>
                <w10:wrap type="topAndBottom" anchorx="margin"/>
              </v:shape>
            </w:pict>
          </mc:Fallback>
        </mc:AlternateContent>
      </w:r>
      <w:r w:rsidRPr="00E128B3">
        <w:rPr>
          <w:b/>
          <w:lang w:val="en-GB" w:bidi="en-GB"/>
        </w:rPr>
        <w:t>Main pollutants</w:t>
      </w:r>
    </w:p>
    <w:p w14:paraId="0ADABBF2" w14:textId="7DC82B37" w:rsidR="00395345" w:rsidRPr="00E128B3" w:rsidRDefault="00395345" w:rsidP="006D33D2">
      <w:pPr>
        <w:pStyle w:val="Zdrojapozn"/>
        <w:rPr>
          <w:lang w:val="en-GB"/>
        </w:rPr>
      </w:pPr>
      <w:r w:rsidRPr="00E128B3">
        <w:rPr>
          <w:b/>
          <w:lang w:val="en-GB" w:bidi="en-GB"/>
        </w:rPr>
        <w:t>Source:</w:t>
      </w:r>
      <w:r w:rsidRPr="00E128B3">
        <w:rPr>
          <w:lang w:val="en-GB" w:bidi="en-GB"/>
        </w:rPr>
        <w:t xml:space="preserve"> CHMI and NERP, see </w:t>
      </w:r>
    </w:p>
    <w:p w14:paraId="0468EB7D" w14:textId="55543353" w:rsidR="00395345" w:rsidRPr="00E128B3" w:rsidRDefault="00D74E6C" w:rsidP="00B60221">
      <w:pPr>
        <w:pStyle w:val="Zdrojapozn"/>
        <w:ind w:left="567"/>
        <w:rPr>
          <w:rStyle w:val="Hypertextovodkaz"/>
          <w:color w:val="000000" w:themeColor="text1"/>
          <w:sz w:val="18"/>
          <w:u w:val="none"/>
          <w:lang w:val="en-GB"/>
        </w:rPr>
      </w:pPr>
      <w:hyperlink r:id="rId10" w:history="1">
        <w:r w:rsidR="00395345" w:rsidRPr="00E128B3">
          <w:rPr>
            <w:rStyle w:val="Hypertextovodkaz"/>
            <w:sz w:val="18"/>
            <w:szCs w:val="18"/>
            <w:lang w:val="en-GB" w:bidi="en-GB"/>
          </w:rPr>
          <w:t>http://portal.chmi.cz/files/portal/docs/meteo/om/weather_links/Pocasi/Navody/Znecisteni/susp_castice.pdf</w:t>
        </w:r>
      </w:hyperlink>
      <w:r w:rsidR="0009686B" w:rsidRPr="00E128B3">
        <w:rPr>
          <w:rStyle w:val="Hypertextovodkaz"/>
          <w:color w:val="000000" w:themeColor="text1"/>
          <w:sz w:val="18"/>
          <w:szCs w:val="18"/>
          <w:u w:val="none"/>
          <w:lang w:val="en-GB" w:bidi="en-GB"/>
        </w:rPr>
        <w:t>.</w:t>
      </w:r>
    </w:p>
    <w:p w14:paraId="481ED335" w14:textId="77777777" w:rsidR="006D33D2" w:rsidRPr="00E128B3" w:rsidRDefault="006D33D2" w:rsidP="006D33D2">
      <w:pPr>
        <w:pStyle w:val="Text"/>
        <w:spacing w:before="0"/>
        <w:rPr>
          <w:lang w:val="en-GB" w:eastAsia="cs-CZ"/>
        </w:rPr>
      </w:pPr>
    </w:p>
    <w:p w14:paraId="619965F4" w14:textId="5DE8E809" w:rsidR="00395345" w:rsidRPr="00E128B3" w:rsidRDefault="00395345" w:rsidP="006D33D2">
      <w:pPr>
        <w:pStyle w:val="Text"/>
        <w:spacing w:before="0"/>
        <w:rPr>
          <w:lang w:val="en-GB"/>
        </w:rPr>
      </w:pPr>
      <w:r w:rsidRPr="00E128B3">
        <w:rPr>
          <w:noProof/>
          <w:sz w:val="20"/>
          <w:szCs w:val="20"/>
          <w:lang w:val="cs-CZ" w:eastAsia="cs-CZ"/>
        </w:rPr>
        <mc:AlternateContent>
          <mc:Choice Requires="wps">
            <w:drawing>
              <wp:anchor distT="45720" distB="45720" distL="114300" distR="114300" simplePos="0" relativeHeight="251646976" behindDoc="0" locked="0" layoutInCell="1" allowOverlap="1" wp14:anchorId="4CF58F7E" wp14:editId="61BCC4A1">
                <wp:simplePos x="0" y="0"/>
                <wp:positionH relativeFrom="margin">
                  <wp:align>left</wp:align>
                </wp:positionH>
                <wp:positionV relativeFrom="paragraph">
                  <wp:posOffset>80497</wp:posOffset>
                </wp:positionV>
                <wp:extent cx="5742305" cy="1576358"/>
                <wp:effectExtent l="0" t="0" r="10795" b="24130"/>
                <wp:wrapTopAndBottom/>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576358"/>
                        </a:xfrm>
                        <a:prstGeom prst="rect">
                          <a:avLst/>
                        </a:prstGeom>
                        <a:solidFill>
                          <a:srgbClr val="E5F1FF"/>
                        </a:solidFill>
                        <a:ln w="9525">
                          <a:solidFill>
                            <a:srgbClr val="000000"/>
                          </a:solidFill>
                          <a:miter lim="800000"/>
                          <a:headEnd/>
                          <a:tailEnd/>
                        </a:ln>
                      </wps:spPr>
                      <wps:txbx>
                        <w:txbxContent>
                          <w:p w14:paraId="58C7AF2E" w14:textId="1BB13F6B" w:rsidR="00D74E6C" w:rsidRPr="0012500F" w:rsidRDefault="00D74E6C" w:rsidP="00395345">
                            <w:pPr>
                              <w:spacing w:before="60"/>
                              <w:jc w:val="both"/>
                              <w:rPr>
                                <w:b/>
                                <w:sz w:val="18"/>
                              </w:rPr>
                            </w:pPr>
                            <w:r w:rsidRPr="0012500F">
                              <w:rPr>
                                <w:b/>
                                <w:sz w:val="18"/>
                                <w:szCs w:val="18"/>
                                <w:lang w:val="en-GB" w:bidi="en-GB"/>
                              </w:rPr>
                              <w:t>Polycyclic aromatic hydrocarbons (PAHs) – benzo[a]pyrene (BaP)</w:t>
                            </w:r>
                          </w:p>
                          <w:p w14:paraId="7F985CEF" w14:textId="55D4BAE6" w:rsidR="00D74E6C" w:rsidRPr="0012500F" w:rsidRDefault="00D74E6C" w:rsidP="00141703">
                            <w:pPr>
                              <w:spacing w:before="60"/>
                              <w:jc w:val="both"/>
                              <w:rPr>
                                <w:sz w:val="18"/>
                              </w:rPr>
                            </w:pPr>
                            <w:r w:rsidRPr="0012500F">
                              <w:rPr>
                                <w:sz w:val="18"/>
                                <w:szCs w:val="18"/>
                                <w:lang w:val="en-GB" w:bidi="en-GB"/>
                              </w:rPr>
                              <w:t>PAHs have the ability to persist in the environment, accumulate in its components and living organisms, are lipophilic, and a number of them have toxic, mutagenic or carcinogenic properties. They are endocrine disruptors and affect birth weight and fetal growth. The</w:t>
                            </w:r>
                            <w:r>
                              <w:rPr>
                                <w:sz w:val="18"/>
                                <w:szCs w:val="18"/>
                                <w:lang w:val="en-GB" w:bidi="en-GB"/>
                              </w:rPr>
                              <w:t>y</w:t>
                            </w:r>
                            <w:r w:rsidRPr="0012500F">
                              <w:rPr>
                                <w:sz w:val="18"/>
                                <w:szCs w:val="18"/>
                                <w:lang w:val="en-GB" w:bidi="en-GB"/>
                              </w:rPr>
                              <w:t xml:space="preserve"> have immunosuppressive effects by reducing immunoglobulin G and immunoglobulin A levels. They may be irritant in high concentrations (exceeding the concentration both in the outside environment and in the working environment). PAHs are indirect genotoxic compounds. The biotransformation system of the organism gradually produces metabolites with carcinogenic and mutagenic effects. The electrophilic metabolites covalently binding with the DNA then represent the basis for the carcinogenic potential of the PAHs. Benzo[a]pyrene (BaP) is the PAH that is most commonly used for carcinogenicity assessment in practice. In terms of carcinogenicity classification, BaP was listed as a Group 1 carcinogen by IARC in 2010.</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CF58F7E" id="_x0000_s1029" type="#_x0000_t202" style="position:absolute;left:0;text-align:left;margin-left:0;margin-top:6.35pt;width:452.15pt;height:124.1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" fillcolor="#e5f1ff">
                <v:textbox>
                  <w:txbxContent>
                    <w:p w14:paraId="58C7AF2E" w14:textId="1BB13F6B" w:rsidR="00D74E6C" w:rsidRPr="0012500F" w:rsidRDefault="00D74E6C" w:rsidP="00395345">
                      <w:pPr>
                        <w:spacing w:before="60"/>
                        <w:jc w:val="both"/>
                        <w:rPr>
                          <w:b/>
                          <w:sz w:val="18"/>
                        </w:rPr>
                      </w:pPr>
                      <w:r w:rsidRPr="0012500F">
                        <w:rPr>
                          <w:b/>
                          <w:sz w:val="18"/>
                          <w:szCs w:val="18"/>
                          <w:lang w:val="en-GB" w:bidi="en-GB"/>
                        </w:rPr>
                        <w:t>Polycyclic aromatic hydrocarbons (PAHs) – benzo[a]pyrene (BaP)</w:t>
                      </w:r>
                    </w:p>
                    <w:p w14:paraId="7F985CEF" w14:textId="55D4BAE6" w:rsidR="00D74E6C" w:rsidRPr="0012500F" w:rsidRDefault="00D74E6C" w:rsidP="00141703">
                      <w:pPr>
                        <w:spacing w:before="60"/>
                        <w:jc w:val="both"/>
                        <w:rPr>
                          <w:sz w:val="18"/>
                        </w:rPr>
                      </w:pPr>
                      <w:r w:rsidRPr="0012500F">
                        <w:rPr>
                          <w:sz w:val="18"/>
                          <w:szCs w:val="18"/>
                          <w:lang w:val="en-GB" w:bidi="en-GB"/>
                        </w:rPr>
                        <w:t>PAHs have the ability to persist in the environment, accumulate in its components and living organisms, are lipophilic, and a number of them have toxic, mutagenic or carcinogenic properties. They are endocrine disruptors and affect birth weight and fetal growth. The</w:t>
                      </w:r>
                      <w:r>
                        <w:rPr>
                          <w:sz w:val="18"/>
                          <w:szCs w:val="18"/>
                          <w:lang w:val="en-GB" w:bidi="en-GB"/>
                        </w:rPr>
                        <w:t>y</w:t>
                      </w:r>
                      <w:r w:rsidRPr="0012500F">
                        <w:rPr>
                          <w:sz w:val="18"/>
                          <w:szCs w:val="18"/>
                          <w:lang w:val="en-GB" w:bidi="en-GB"/>
                        </w:rPr>
                        <w:t xml:space="preserve"> have immunosuppressive effects by reducing immunoglobulin G and immunoglobulin A levels. They may be irritant in high concentrations (exceeding the concentration both in the outside environment and in the working environment). PAHs are indirect genotoxic compounds. The biotransformation system of the organism gradually produces metabolites with carcinogenic and mutagenic effects. The electrophilic metabolites covalently binding with the DNA then represent the basis for the carcinogenic potential of the PAHs. Benzo[a]pyrene (BaP) is the PAH that is most commonly used for carcinogenicity assessment in practice. In terms of carcinogenicity classification, BaP was listed as a Group 1 carcinogen by IARC in 2010.</w:t>
                      </w:r>
                    </w:p>
                  </w:txbxContent>
                </v:textbox>
                <w10:wrap type="topAndBottom" anchorx="margin"/>
              </v:shape>
            </w:pict>
          </mc:Fallback>
        </mc:AlternateContent>
      </w:r>
      <w:r w:rsidRPr="00E128B3">
        <w:rPr>
          <w:b/>
          <w:sz w:val="20"/>
          <w:szCs w:val="20"/>
          <w:lang w:val="en-GB" w:bidi="en-GB"/>
        </w:rPr>
        <w:t>Source:</w:t>
      </w:r>
      <w:r w:rsidRPr="00E128B3">
        <w:rPr>
          <w:sz w:val="20"/>
          <w:szCs w:val="20"/>
          <w:lang w:val="en-GB" w:bidi="en-GB"/>
        </w:rPr>
        <w:t xml:space="preserve"> MoE – information about the health risks associated with air quality in 2016, see </w:t>
      </w:r>
    </w:p>
    <w:p w14:paraId="54E92957" w14:textId="692C932B" w:rsidR="00395345" w:rsidRPr="00E128B3" w:rsidRDefault="00D74E6C" w:rsidP="00B60221">
      <w:pPr>
        <w:pStyle w:val="Text"/>
        <w:spacing w:before="0"/>
        <w:ind w:left="567"/>
        <w:rPr>
          <w:rStyle w:val="Hypertextovodkaz"/>
          <w:sz w:val="18"/>
          <w:lang w:val="en-GB"/>
        </w:rPr>
      </w:pPr>
      <w:hyperlink r:id="rId11" w:history="1">
        <w:r w:rsidR="00395345" w:rsidRPr="00E128B3">
          <w:rPr>
            <w:rStyle w:val="Hypertextovodkaz"/>
            <w:sz w:val="18"/>
            <w:szCs w:val="18"/>
            <w:lang w:val="en-GB" w:bidi="en-GB"/>
          </w:rPr>
          <w:t>https://www.mzp.cz/cz/zdravotni_dusledky_znecisteni_ovzdusi</w:t>
        </w:r>
      </w:hyperlink>
      <w:r w:rsidR="0009686B" w:rsidRPr="00E128B3">
        <w:rPr>
          <w:rStyle w:val="Hypertextovodkaz"/>
          <w:color w:val="000000" w:themeColor="text1"/>
          <w:sz w:val="18"/>
          <w:szCs w:val="18"/>
          <w:u w:val="none"/>
          <w:lang w:val="en-GB" w:bidi="en-GB"/>
        </w:rPr>
        <w:t>.</w:t>
      </w:r>
    </w:p>
    <w:p w14:paraId="0FE3D76F" w14:textId="77777777" w:rsidR="006D33D2" w:rsidRPr="00E128B3" w:rsidRDefault="006D33D2" w:rsidP="006D33D2">
      <w:pPr>
        <w:pStyle w:val="Text"/>
        <w:spacing w:before="0"/>
        <w:rPr>
          <w:lang w:val="en-GB" w:eastAsia="cs-CZ"/>
        </w:rPr>
      </w:pPr>
    </w:p>
    <w:p w14:paraId="32CC7539" w14:textId="48696B56" w:rsidR="00395345" w:rsidRPr="00E128B3" w:rsidRDefault="00395345" w:rsidP="006D33D2">
      <w:pPr>
        <w:pStyle w:val="Text"/>
        <w:spacing w:before="0"/>
        <w:rPr>
          <w:lang w:val="en-GB"/>
        </w:rPr>
      </w:pPr>
      <w:r w:rsidRPr="00E128B3">
        <w:rPr>
          <w:noProof/>
          <w:sz w:val="20"/>
          <w:szCs w:val="20"/>
          <w:lang w:val="cs-CZ" w:eastAsia="cs-CZ"/>
        </w:rPr>
        <mc:AlternateContent>
          <mc:Choice Requires="wps">
            <w:drawing>
              <wp:anchor distT="45720" distB="45720" distL="114300" distR="114300" simplePos="0" relativeHeight="251659264" behindDoc="0" locked="0" layoutInCell="1" allowOverlap="1" wp14:anchorId="12971CAD" wp14:editId="21D03825">
                <wp:simplePos x="0" y="0"/>
                <wp:positionH relativeFrom="margin">
                  <wp:align>left</wp:align>
                </wp:positionH>
                <wp:positionV relativeFrom="paragraph">
                  <wp:posOffset>76368</wp:posOffset>
                </wp:positionV>
                <wp:extent cx="5742305" cy="1974655"/>
                <wp:effectExtent l="0" t="0" r="10795" b="26035"/>
                <wp:wrapTopAndBottom/>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974655"/>
                        </a:xfrm>
                        <a:prstGeom prst="rect">
                          <a:avLst/>
                        </a:prstGeom>
                        <a:solidFill>
                          <a:srgbClr val="E5F1FF"/>
                        </a:solidFill>
                        <a:ln w="9525">
                          <a:solidFill>
                            <a:srgbClr val="000000"/>
                          </a:solidFill>
                          <a:miter lim="800000"/>
                          <a:headEnd/>
                          <a:tailEnd/>
                        </a:ln>
                      </wps:spPr>
                      <wps:txbx>
                        <w:txbxContent>
                          <w:p w14:paraId="0BA38D1D" w14:textId="77777777" w:rsidR="00D74E6C" w:rsidRPr="0012500F" w:rsidRDefault="00D74E6C" w:rsidP="00395345">
                            <w:pPr>
                              <w:spacing w:before="60"/>
                              <w:jc w:val="both"/>
                              <w:rPr>
                                <w:b/>
                                <w:sz w:val="18"/>
                              </w:rPr>
                            </w:pPr>
                            <w:r>
                              <w:rPr>
                                <w:b/>
                                <w:sz w:val="18"/>
                                <w:szCs w:val="18"/>
                                <w:lang w:val="en-GB" w:bidi="en-GB"/>
                              </w:rPr>
                              <w:t>Sulphur dioxide (SO</w:t>
                            </w:r>
                            <w:r>
                              <w:rPr>
                                <w:b/>
                                <w:sz w:val="18"/>
                                <w:szCs w:val="18"/>
                                <w:vertAlign w:val="subscript"/>
                                <w:lang w:val="en-GB" w:bidi="en-GB"/>
                              </w:rPr>
                              <w:t>2</w:t>
                            </w:r>
                            <w:r>
                              <w:rPr>
                                <w:b/>
                                <w:sz w:val="18"/>
                                <w:szCs w:val="18"/>
                                <w:lang w:val="en-GB" w:bidi="en-GB"/>
                              </w:rPr>
                              <w:t>)</w:t>
                            </w:r>
                          </w:p>
                          <w:p w14:paraId="1C6959EB" w14:textId="77777777" w:rsidR="00D74E6C" w:rsidRPr="0012500F" w:rsidRDefault="00D74E6C" w:rsidP="00395345">
                            <w:pPr>
                              <w:spacing w:before="60"/>
                              <w:jc w:val="both"/>
                              <w:rPr>
                                <w:sz w:val="18"/>
                              </w:rPr>
                            </w:pPr>
                            <w:r w:rsidRPr="000F0BBD">
                              <w:rPr>
                                <w:sz w:val="18"/>
                                <w:szCs w:val="18"/>
                                <w:lang w:val="en-GB" w:bidi="en-GB"/>
                              </w:rPr>
                              <w:t>It mainly enters the air as a product of combustion of fuels containing sulphur and is emitted from a number of processes. Volcanic activity is a major natural source. During a certain time in the atmosphere, sulphur dioxide is turned into sulphur trioxide by a photochemical or catalytic reaction, which is then hydrated by atmospheric moisture into a sulphuric acid aerosol. The oxidation rate depends on the weather conditions, the temperature, sunshine, presence of catalyst particles, etc. Between 0.1% to 2% of the present SO</w:t>
                            </w:r>
                            <w:r w:rsidRPr="000F0BBD">
                              <w:rPr>
                                <w:sz w:val="18"/>
                                <w:szCs w:val="18"/>
                                <w:vertAlign w:val="subscript"/>
                                <w:lang w:val="en-GB" w:bidi="en-GB"/>
                              </w:rPr>
                              <w:t xml:space="preserve">2 </w:t>
                            </w:r>
                            <w:r w:rsidRPr="000F0BBD">
                              <w:rPr>
                                <w:sz w:val="18"/>
                                <w:szCs w:val="18"/>
                                <w:lang w:val="en-GB" w:bidi="en-GB"/>
                              </w:rPr>
                              <w:t>is usually eliminated within one hour. The resulting sulphuric acid may react with the alkaline particles of the dust aerosol, resulting in the production of sulphates and the consequent increase in the concentrations of suspended particulate matter. Sulphates settle on the ground surface gradually or are washed away from the air by rain. In the absence of alkaline particulates in the air, the rain water is acidified to a pH of &lt; 4. In this way, the so-called acid rain is formed by sulphur oxides and nitrogen oxides. Acid rain causes extensive damage to forests and industrial crops by releasing metal ions from the soil, damaging microorganisms, reducing water quality and even causing fish death. Significant damage to historical buildings and works of art has also been observed as acid rain dissolves certain types of masonry and cause rock weathering.</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2971CAD" id="_x0000_s1030" type="#_x0000_t202" style="position:absolute;left:0;text-align:left;margin-left:0;margin-top:6pt;width:452.15pt;height:15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" fillcolor="#e5f1ff">
                <v:textbox>
                  <w:txbxContent>
                    <w:p w14:paraId="0BA38D1D" w14:textId="77777777" w:rsidR="00D74E6C" w:rsidRPr="0012500F" w:rsidRDefault="00D74E6C" w:rsidP="00395345">
                      <w:pPr>
                        <w:spacing w:before="60"/>
                        <w:jc w:val="both"/>
                        <w:rPr>
                          <w:b/>
                          <w:sz w:val="18"/>
                        </w:rPr>
                      </w:pPr>
                      <w:r>
                        <w:rPr>
                          <w:b/>
                          <w:sz w:val="18"/>
                          <w:szCs w:val="18"/>
                          <w:lang w:val="en-GB" w:bidi="en-GB"/>
                        </w:rPr>
                        <w:t>Sulphur dioxide (SO</w:t>
                      </w:r>
                      <w:r>
                        <w:rPr>
                          <w:b/>
                          <w:sz w:val="18"/>
                          <w:szCs w:val="18"/>
                          <w:vertAlign w:val="subscript"/>
                          <w:lang w:val="en-GB" w:bidi="en-GB"/>
                        </w:rPr>
                        <w:t>2</w:t>
                      </w:r>
                      <w:r>
                        <w:rPr>
                          <w:b/>
                          <w:sz w:val="18"/>
                          <w:szCs w:val="18"/>
                          <w:lang w:val="en-GB" w:bidi="en-GB"/>
                        </w:rPr>
                        <w:t>)</w:t>
                      </w:r>
                    </w:p>
                    <w:p w14:paraId="1C6959EB" w14:textId="77777777" w:rsidR="00D74E6C" w:rsidRPr="0012500F" w:rsidRDefault="00D74E6C" w:rsidP="00395345">
                      <w:pPr>
                        <w:spacing w:before="60"/>
                        <w:jc w:val="both"/>
                        <w:rPr>
                          <w:sz w:val="18"/>
                        </w:rPr>
                      </w:pPr>
                      <w:r w:rsidRPr="000F0BBD">
                        <w:rPr>
                          <w:sz w:val="18"/>
                          <w:szCs w:val="18"/>
                          <w:lang w:val="en-GB" w:bidi="en-GB"/>
                        </w:rPr>
                        <w:t>It mainly enters the air as a product of combustion of fuels containing sulphur and is emitted from a number of processes. Volcanic activity is a major natural source. During a certain time in the atmosphere, sulphur dioxide is turned into sulphur trioxide by a photochemical or catalytic reaction, which is then hydrated by atmospheric moisture into a sulphuric acid aerosol. The oxidation rate depends on the weather conditions, the temperature, sunshine, presence of catalyst particles, etc. Between 0.1% to 2% of the present SO</w:t>
                      </w:r>
                      <w:r w:rsidRPr="000F0BBD">
                        <w:rPr>
                          <w:sz w:val="18"/>
                          <w:szCs w:val="18"/>
                          <w:vertAlign w:val="subscript"/>
                          <w:lang w:val="en-GB" w:bidi="en-GB"/>
                        </w:rPr>
                        <w:t xml:space="preserve">2 </w:t>
                      </w:r>
                      <w:r w:rsidRPr="000F0BBD">
                        <w:rPr>
                          <w:sz w:val="18"/>
                          <w:szCs w:val="18"/>
                          <w:lang w:val="en-GB" w:bidi="en-GB"/>
                        </w:rPr>
                        <w:t>is usually eliminated within one hour. The resulting sulphuric acid may react with the alkaline particles of the dust aerosol, resulting in the production of sulphates and the consequent increase in the concentrations of suspended particulate matter. Sulphates settle on the ground surface gradually or are washed away from the air by rain. In the absence of alkaline particulates in the air, the rain water is acidified to a pH of &lt; 4. In this way, the so-called acid rain is formed by sulphur oxides and nitrogen oxides. Acid rain causes extensive damage to forests and industrial crops by releasing metal ions from the soil, damaging microorganisms, reducing water quality and even causing fish death. Significant damage to historical buildings and works of art has also been observed as acid rain dissolves certain types of masonry and cause rock weathering.</w:t>
                      </w:r>
                    </w:p>
                  </w:txbxContent>
                </v:textbox>
                <w10:wrap type="topAndBottom" anchorx="margin"/>
              </v:shape>
            </w:pict>
          </mc:Fallback>
        </mc:AlternateContent>
      </w:r>
      <w:r w:rsidRPr="00E128B3">
        <w:rPr>
          <w:b/>
          <w:sz w:val="20"/>
          <w:szCs w:val="20"/>
          <w:lang w:val="en-GB" w:bidi="en-GB"/>
        </w:rPr>
        <w:t>Source:</w:t>
      </w:r>
      <w:r w:rsidRPr="00E128B3">
        <w:rPr>
          <w:sz w:val="20"/>
          <w:szCs w:val="20"/>
          <w:lang w:val="en-GB" w:bidi="en-GB"/>
        </w:rPr>
        <w:t xml:space="preserve"> MoE – </w:t>
      </w:r>
      <w:r w:rsidRPr="00E128B3">
        <w:rPr>
          <w:i/>
          <w:sz w:val="20"/>
          <w:szCs w:val="20"/>
          <w:lang w:val="en-GB" w:bidi="en-GB"/>
        </w:rPr>
        <w:t>Air Quality Protection Manual</w:t>
      </w:r>
      <w:r w:rsidRPr="00E128B3">
        <w:rPr>
          <w:sz w:val="20"/>
          <w:szCs w:val="20"/>
          <w:lang w:val="en-GB" w:bidi="en-GB"/>
        </w:rPr>
        <w:t xml:space="preserve">, see </w:t>
      </w:r>
    </w:p>
    <w:p w14:paraId="68B9D283" w14:textId="5E17444F" w:rsidR="00395345" w:rsidRPr="00E128B3" w:rsidRDefault="00D74E6C" w:rsidP="00B60221">
      <w:pPr>
        <w:pStyle w:val="Zdrojapozn"/>
        <w:ind w:left="567"/>
        <w:rPr>
          <w:rStyle w:val="Hypertextovodkaz"/>
          <w:lang w:val="en-GB"/>
        </w:rPr>
      </w:pPr>
      <w:hyperlink r:id="rId12" w:history="1">
        <w:r w:rsidR="00395345" w:rsidRPr="00E128B3">
          <w:rPr>
            <w:rStyle w:val="Hypertextovodkaz"/>
            <w:lang w:val="en-GB" w:bidi="en-GB"/>
          </w:rPr>
          <w:t>https://www.mzp.cz/C1257458002F0DC7/cz/prirucka_ochrany_kvality_ovzdusi/$FILE/OOO-prirucka_OPLZZ_komplet-20140408.pdf</w:t>
        </w:r>
      </w:hyperlink>
      <w:r w:rsidR="0009686B" w:rsidRPr="00E128B3">
        <w:rPr>
          <w:rStyle w:val="Hypertextovodkaz"/>
          <w:color w:val="000000" w:themeColor="text1"/>
          <w:sz w:val="18"/>
          <w:szCs w:val="18"/>
          <w:u w:val="none"/>
          <w:lang w:val="en-GB" w:bidi="en-GB"/>
        </w:rPr>
        <w:t>.</w:t>
      </w:r>
    </w:p>
    <w:p w14:paraId="3BCDDE61" w14:textId="77777777" w:rsidR="006D33D2" w:rsidRPr="00E128B3" w:rsidRDefault="00AE7F44" w:rsidP="006D33D2">
      <w:pPr>
        <w:pStyle w:val="Text"/>
        <w:rPr>
          <w:lang w:val="en-GB" w:eastAsia="cs-CZ"/>
        </w:rPr>
      </w:pPr>
      <w:r w:rsidRPr="00E128B3">
        <w:rPr>
          <w:noProof/>
          <w:sz w:val="20"/>
          <w:szCs w:val="20"/>
          <w:lang w:val="cs-CZ" w:eastAsia="cs-CZ"/>
        </w:rPr>
        <mc:AlternateContent>
          <mc:Choice Requires="wps">
            <w:drawing>
              <wp:anchor distT="45720" distB="45720" distL="114300" distR="114300" simplePos="0" relativeHeight="251668480" behindDoc="0" locked="0" layoutInCell="1" allowOverlap="1" wp14:anchorId="43314257" wp14:editId="4C06AD3F">
                <wp:simplePos x="0" y="0"/>
                <wp:positionH relativeFrom="margin">
                  <wp:posOffset>-4445</wp:posOffset>
                </wp:positionH>
                <wp:positionV relativeFrom="paragraph">
                  <wp:posOffset>270827</wp:posOffset>
                </wp:positionV>
                <wp:extent cx="5742305" cy="1593850"/>
                <wp:effectExtent l="0" t="0" r="10795" b="25400"/>
                <wp:wrapTopAndBottom/>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593850"/>
                        </a:xfrm>
                        <a:prstGeom prst="rect">
                          <a:avLst/>
                        </a:prstGeom>
                        <a:solidFill>
                          <a:srgbClr val="E5F1FF"/>
                        </a:solidFill>
                        <a:ln w="9525">
                          <a:solidFill>
                            <a:srgbClr val="000000"/>
                          </a:solidFill>
                          <a:miter lim="800000"/>
                          <a:headEnd/>
                          <a:tailEnd/>
                        </a:ln>
                      </wps:spPr>
                      <wps:txbx>
                        <w:txbxContent>
                          <w:p w14:paraId="17695ABA" w14:textId="77777777" w:rsidR="00D74E6C" w:rsidRPr="0012500F" w:rsidRDefault="00D74E6C" w:rsidP="00395345">
                            <w:pPr>
                              <w:spacing w:before="60"/>
                              <w:jc w:val="both"/>
                              <w:rPr>
                                <w:b/>
                                <w:sz w:val="18"/>
                              </w:rPr>
                            </w:pPr>
                            <w:r>
                              <w:rPr>
                                <w:b/>
                                <w:sz w:val="18"/>
                                <w:szCs w:val="18"/>
                                <w:lang w:val="en-GB" w:bidi="en-GB"/>
                              </w:rPr>
                              <w:t>Nitrogen oxides (NO</w:t>
                            </w:r>
                            <w:r>
                              <w:rPr>
                                <w:b/>
                                <w:sz w:val="18"/>
                                <w:szCs w:val="18"/>
                                <w:vertAlign w:val="subscript"/>
                                <w:lang w:val="en-GB" w:bidi="en-GB"/>
                              </w:rPr>
                              <w:t>X</w:t>
                            </w:r>
                            <w:r>
                              <w:rPr>
                                <w:b/>
                                <w:sz w:val="18"/>
                                <w:szCs w:val="18"/>
                                <w:lang w:val="en-GB" w:bidi="en-GB"/>
                              </w:rPr>
                              <w:t>)</w:t>
                            </w:r>
                          </w:p>
                          <w:p w14:paraId="3FCA553B" w14:textId="77777777" w:rsidR="00D74E6C" w:rsidRPr="0012500F" w:rsidRDefault="00D74E6C" w:rsidP="00395345">
                            <w:pPr>
                              <w:spacing w:before="60"/>
                              <w:jc w:val="both"/>
                              <w:rPr>
                                <w:sz w:val="18"/>
                              </w:rPr>
                            </w:pPr>
                            <w:r w:rsidRPr="0003764F">
                              <w:rPr>
                                <w:sz w:val="18"/>
                                <w:szCs w:val="18"/>
                                <w:lang w:val="en-GB" w:bidi="en-GB"/>
                              </w:rPr>
                              <w:t>Nitrogen oxides include nitrous oxide, nitric oxide, nitrogen dioxide, and dinitrogen pentoxide, jointly referred to NO</w:t>
                            </w:r>
                            <w:r w:rsidRPr="0003764F">
                              <w:rPr>
                                <w:sz w:val="18"/>
                                <w:szCs w:val="18"/>
                                <w:vertAlign w:val="subscript"/>
                                <w:lang w:val="en-GB" w:bidi="en-GB"/>
                              </w:rPr>
                              <w:t>X</w:t>
                            </w:r>
                            <w:r w:rsidRPr="0003764F">
                              <w:rPr>
                                <w:sz w:val="18"/>
                                <w:szCs w:val="18"/>
                                <w:lang w:val="en-GB" w:bidi="en-GB"/>
                              </w:rPr>
                              <w:t>. The main anthropogenic sources of nitrogen oxides include emissions from transport and from combustion processes, mainly from large sources. In the atmosphere, nitrogen oxides are gradually turned into nitric acid, which reacts with dust particles as well as magnesium and calcium oxides or ammonia to form solid particles. These particles are removed from the atmosphere by sedimentation and by rain. While the nitrate ions that enter the soil and water through this mechanism may have a positive effect on plant growth, higher concentration may result in fish deaths and excessive aquatic plant growth (water eutrophication). Nitrogen dioxide (NO</w:t>
                            </w:r>
                            <w:r w:rsidRPr="0003764F">
                              <w:rPr>
                                <w:sz w:val="18"/>
                                <w:szCs w:val="18"/>
                                <w:vertAlign w:val="subscript"/>
                                <w:lang w:val="en-GB" w:bidi="en-GB"/>
                              </w:rPr>
                              <w:t>2</w:t>
                            </w:r>
                            <w:r w:rsidRPr="0003764F">
                              <w:rPr>
                                <w:sz w:val="18"/>
                                <w:szCs w:val="18"/>
                                <w:lang w:val="en-GB" w:bidi="en-GB"/>
                              </w:rPr>
                              <w:t>) combined with oxygen and volatile organic compounds (NMVOC) and supported by ultraviolet light contributes to the formation of ground-level ozone and the so-called photochemical smog. High concentrations of ground-level ozone are harmful for plants including many farm crops.</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3314257" id="_x0000_s1031" type="#_x0000_t202" style="position:absolute;left:0;text-align:left;margin-left:-.35pt;margin-top:21.3pt;width:452.15pt;height:125.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" fillcolor="#e5f1ff">
                <v:textbox>
                  <w:txbxContent>
                    <w:p w14:paraId="17695ABA" w14:textId="77777777" w:rsidR="00D74E6C" w:rsidRPr="0012500F" w:rsidRDefault="00D74E6C" w:rsidP="00395345">
                      <w:pPr>
                        <w:spacing w:before="60"/>
                        <w:jc w:val="both"/>
                        <w:rPr>
                          <w:b/>
                          <w:sz w:val="18"/>
                        </w:rPr>
                      </w:pPr>
                      <w:r>
                        <w:rPr>
                          <w:b/>
                          <w:sz w:val="18"/>
                          <w:szCs w:val="18"/>
                          <w:lang w:val="en-GB" w:bidi="en-GB"/>
                        </w:rPr>
                        <w:t>Nitrogen oxides (NO</w:t>
                      </w:r>
                      <w:r>
                        <w:rPr>
                          <w:b/>
                          <w:sz w:val="18"/>
                          <w:szCs w:val="18"/>
                          <w:vertAlign w:val="subscript"/>
                          <w:lang w:val="en-GB" w:bidi="en-GB"/>
                        </w:rPr>
                        <w:t>X</w:t>
                      </w:r>
                      <w:r>
                        <w:rPr>
                          <w:b/>
                          <w:sz w:val="18"/>
                          <w:szCs w:val="18"/>
                          <w:lang w:val="en-GB" w:bidi="en-GB"/>
                        </w:rPr>
                        <w:t>)</w:t>
                      </w:r>
                    </w:p>
                    <w:p w14:paraId="3FCA553B" w14:textId="77777777" w:rsidR="00D74E6C" w:rsidRPr="0012500F" w:rsidRDefault="00D74E6C" w:rsidP="00395345">
                      <w:pPr>
                        <w:spacing w:before="60"/>
                        <w:jc w:val="both"/>
                        <w:rPr>
                          <w:sz w:val="18"/>
                        </w:rPr>
                      </w:pPr>
                      <w:r w:rsidRPr="0003764F">
                        <w:rPr>
                          <w:sz w:val="18"/>
                          <w:szCs w:val="18"/>
                          <w:lang w:val="en-GB" w:bidi="en-GB"/>
                        </w:rPr>
                        <w:t>Nitrogen oxides include nitrous oxide, nitric oxide, nitrogen dioxide, and dinitrogen pentoxide, jointly referred to NO</w:t>
                      </w:r>
                      <w:r w:rsidRPr="0003764F">
                        <w:rPr>
                          <w:sz w:val="18"/>
                          <w:szCs w:val="18"/>
                          <w:vertAlign w:val="subscript"/>
                          <w:lang w:val="en-GB" w:bidi="en-GB"/>
                        </w:rPr>
                        <w:t>X</w:t>
                      </w:r>
                      <w:r w:rsidRPr="0003764F">
                        <w:rPr>
                          <w:sz w:val="18"/>
                          <w:szCs w:val="18"/>
                          <w:lang w:val="en-GB" w:bidi="en-GB"/>
                        </w:rPr>
                        <w:t>. The main anthropogenic sources of nitrogen oxides include emissions from transport and from combustion processes, mainly from large sources. In the atmosphere, nitrogen oxides are gradually turned into nitric acid, which reacts with dust particles as well as magnesium and calcium oxides or ammonia to form solid particles. These particles are removed from the atmosphere by sedimentation and by rain. While the nitrate ions that enter the soil and water through this mechanism may have a positive effect on plant growth, higher concentration may result in fish deaths and excessive aquatic plant growth (water eutrophication). Nitrogen dioxide (NO</w:t>
                      </w:r>
                      <w:r w:rsidRPr="0003764F">
                        <w:rPr>
                          <w:sz w:val="18"/>
                          <w:szCs w:val="18"/>
                          <w:vertAlign w:val="subscript"/>
                          <w:lang w:val="en-GB" w:bidi="en-GB"/>
                        </w:rPr>
                        <w:t>2</w:t>
                      </w:r>
                      <w:r w:rsidRPr="0003764F">
                        <w:rPr>
                          <w:sz w:val="18"/>
                          <w:szCs w:val="18"/>
                          <w:lang w:val="en-GB" w:bidi="en-GB"/>
                        </w:rPr>
                        <w:t>) combined with oxygen and volatile organic compounds (NMVOC) and supported by ultraviolet light contributes to the formation of ground-level ozone and the so-called photochemical smog. High concentrations of ground-level ozone are harmful for plants including many farm crops.</w:t>
                      </w:r>
                    </w:p>
                  </w:txbxContent>
                </v:textbox>
                <w10:wrap type="topAndBottom" anchorx="margin"/>
              </v:shape>
            </w:pict>
          </mc:Fallback>
        </mc:AlternateContent>
      </w:r>
    </w:p>
    <w:p w14:paraId="63D91391" w14:textId="443ED94D" w:rsidR="00395345" w:rsidRPr="00E128B3" w:rsidRDefault="00395345" w:rsidP="001A523D">
      <w:pPr>
        <w:pStyle w:val="Text"/>
        <w:rPr>
          <w:lang w:val="en-GB"/>
        </w:rPr>
      </w:pPr>
      <w:r w:rsidRPr="00E128B3">
        <w:rPr>
          <w:b/>
          <w:sz w:val="20"/>
          <w:szCs w:val="20"/>
          <w:lang w:val="en-GB" w:bidi="en-GB"/>
        </w:rPr>
        <w:t>Source:</w:t>
      </w:r>
      <w:r w:rsidRPr="00E128B3">
        <w:rPr>
          <w:sz w:val="20"/>
          <w:szCs w:val="20"/>
          <w:lang w:val="en-GB" w:bidi="en-GB"/>
        </w:rPr>
        <w:t xml:space="preserve"> MoE – </w:t>
      </w:r>
      <w:r w:rsidRPr="00E128B3">
        <w:rPr>
          <w:i/>
          <w:sz w:val="20"/>
          <w:szCs w:val="20"/>
          <w:lang w:val="en-GB" w:bidi="en-GB"/>
        </w:rPr>
        <w:t>Air Quality Protection Manual</w:t>
      </w:r>
      <w:r w:rsidRPr="00E128B3">
        <w:rPr>
          <w:sz w:val="20"/>
          <w:szCs w:val="20"/>
          <w:lang w:val="en-GB" w:bidi="en-GB"/>
        </w:rPr>
        <w:t xml:space="preserve">, see </w:t>
      </w:r>
    </w:p>
    <w:p w14:paraId="19D083D6" w14:textId="4C438818" w:rsidR="00395345" w:rsidRPr="00E128B3" w:rsidRDefault="00D74E6C" w:rsidP="00B60221">
      <w:pPr>
        <w:pStyle w:val="Zdrojapozn"/>
        <w:ind w:left="567"/>
        <w:rPr>
          <w:rStyle w:val="Hypertextovodkaz"/>
          <w:lang w:val="en-GB"/>
        </w:rPr>
      </w:pPr>
      <w:hyperlink r:id="rId13" w:history="1">
        <w:r w:rsidR="00395345" w:rsidRPr="00E128B3">
          <w:rPr>
            <w:rStyle w:val="Hypertextovodkaz"/>
            <w:lang w:val="en-GB" w:bidi="en-GB"/>
          </w:rPr>
          <w:t>https://www.mzp.cz/C1257458002F0DC7/cz/prirucka_ochrany_kvality_ovzdusi/$FILE/OOO-prirucka_OPLZZ_komplet-20140408.pdf</w:t>
        </w:r>
      </w:hyperlink>
      <w:r w:rsidR="0009686B" w:rsidRPr="00E128B3">
        <w:rPr>
          <w:rStyle w:val="Hypertextovodkaz"/>
          <w:color w:val="000000" w:themeColor="text1"/>
          <w:sz w:val="18"/>
          <w:szCs w:val="18"/>
          <w:u w:val="none"/>
          <w:lang w:val="en-GB" w:bidi="en-GB"/>
        </w:rPr>
        <w:t>.</w:t>
      </w:r>
    </w:p>
    <w:p w14:paraId="6F5E5A44" w14:textId="77777777" w:rsidR="00AE7F44" w:rsidRPr="00E128B3" w:rsidRDefault="00AE7F44" w:rsidP="00AE7F44">
      <w:pPr>
        <w:pStyle w:val="Text"/>
        <w:rPr>
          <w:lang w:val="en-GB" w:eastAsia="cs-CZ"/>
        </w:rPr>
      </w:pPr>
    </w:p>
    <w:p w14:paraId="11B9E562" w14:textId="7F14FDA2" w:rsidR="00395345" w:rsidRPr="00E128B3" w:rsidRDefault="00395345" w:rsidP="001A523D">
      <w:pPr>
        <w:pStyle w:val="Text"/>
        <w:rPr>
          <w:lang w:val="en-GB"/>
        </w:rPr>
      </w:pPr>
      <w:r w:rsidRPr="00E128B3">
        <w:rPr>
          <w:noProof/>
          <w:sz w:val="20"/>
          <w:szCs w:val="20"/>
          <w:lang w:val="cs-CZ" w:eastAsia="cs-CZ"/>
        </w:rPr>
        <mc:AlternateContent>
          <mc:Choice Requires="wps">
            <w:drawing>
              <wp:anchor distT="45720" distB="45720" distL="114300" distR="114300" simplePos="0" relativeHeight="251677696" behindDoc="0" locked="0" layoutInCell="1" allowOverlap="1" wp14:anchorId="7140AE74" wp14:editId="37312081">
                <wp:simplePos x="0" y="0"/>
                <wp:positionH relativeFrom="margin">
                  <wp:align>left</wp:align>
                </wp:positionH>
                <wp:positionV relativeFrom="paragraph">
                  <wp:posOffset>149518</wp:posOffset>
                </wp:positionV>
                <wp:extent cx="5742305" cy="1357952"/>
                <wp:effectExtent l="0" t="0" r="10795" b="13970"/>
                <wp:wrapTopAndBottom/>
                <wp:docPr id="1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357952"/>
                        </a:xfrm>
                        <a:prstGeom prst="rect">
                          <a:avLst/>
                        </a:prstGeom>
                        <a:solidFill>
                          <a:srgbClr val="E5F1FF"/>
                        </a:solidFill>
                        <a:ln w="9525">
                          <a:solidFill>
                            <a:srgbClr val="000000"/>
                          </a:solidFill>
                          <a:miter lim="800000"/>
                          <a:headEnd/>
                          <a:tailEnd/>
                        </a:ln>
                      </wps:spPr>
                      <wps:txbx>
                        <w:txbxContent>
                          <w:p w14:paraId="0BFBF7AF" w14:textId="77777777" w:rsidR="00D74E6C" w:rsidRPr="0012500F" w:rsidRDefault="00D74E6C" w:rsidP="00395345">
                            <w:pPr>
                              <w:spacing w:before="60"/>
                              <w:jc w:val="both"/>
                              <w:rPr>
                                <w:b/>
                                <w:sz w:val="18"/>
                              </w:rPr>
                            </w:pPr>
                            <w:r>
                              <w:rPr>
                                <w:b/>
                                <w:sz w:val="18"/>
                                <w:szCs w:val="18"/>
                                <w:lang w:val="en-GB" w:bidi="en-GB"/>
                              </w:rPr>
                              <w:t>Volatile organic compounds (NMVOC)</w:t>
                            </w:r>
                          </w:p>
                          <w:p w14:paraId="5C59A0A1" w14:textId="77777777" w:rsidR="00D74E6C" w:rsidRPr="00397C76" w:rsidRDefault="00D74E6C" w:rsidP="00395345">
                            <w:pPr>
                              <w:spacing w:before="60"/>
                              <w:jc w:val="both"/>
                              <w:rPr>
                                <w:sz w:val="18"/>
                              </w:rPr>
                            </w:pPr>
                            <w:r w:rsidRPr="00397C76">
                              <w:rPr>
                                <w:sz w:val="18"/>
                                <w:szCs w:val="18"/>
                                <w:lang w:val="en-GB" w:bidi="en-GB"/>
                              </w:rPr>
                              <w:t>Non-methane volatile organic compounds (NMVOC) represent organic compounds or mixtures thereof, other than methane, with vapour pressure of 0.01kPa or more at 20˚C or of corresponding volatility under the specific conditions of their use.</w:t>
                            </w:r>
                          </w:p>
                          <w:p w14:paraId="75743932" w14:textId="77777777" w:rsidR="00D74E6C" w:rsidRPr="00397C76" w:rsidRDefault="00D74E6C" w:rsidP="00395345">
                            <w:pPr>
                              <w:spacing w:before="60"/>
                              <w:jc w:val="both"/>
                              <w:rPr>
                                <w:sz w:val="18"/>
                              </w:rPr>
                            </w:pPr>
                            <w:r w:rsidRPr="00397C76">
                              <w:rPr>
                                <w:sz w:val="18"/>
                                <w:szCs w:val="18"/>
                                <w:lang w:val="en-GB" w:bidi="en-GB"/>
                              </w:rPr>
                              <w:t>The organic solvent sector is the most significant source of NMVOC emissions. It mainly includes the paint applications, degreasing, the printing industry, and the manufacture and processing of chemical products.</w:t>
                            </w:r>
                          </w:p>
                          <w:p w14:paraId="06C324E9" w14:textId="77777777" w:rsidR="00D74E6C" w:rsidRDefault="00D74E6C" w:rsidP="00395345">
                            <w:pPr>
                              <w:spacing w:before="60"/>
                              <w:jc w:val="both"/>
                            </w:pPr>
                            <w:r w:rsidRPr="00397C76">
                              <w:rPr>
                                <w:sz w:val="18"/>
                                <w:szCs w:val="18"/>
                                <w:lang w:val="en-GB" w:bidi="en-GB"/>
                              </w:rPr>
                              <w:t>NMVOC emissions are also generated from the imperfect combustion of fossil fuels. This mainly concerns the combustion of fuels in transport. Other NMVOC emission sources include private household heating and public power and heat generation.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140AE74" id="_x0000_s1032" type="#_x0000_t202" style="position:absolute;left:0;text-align:left;margin-left:0;margin-top:11.75pt;width:452.15pt;height:106.9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" fillcolor="#e5f1ff">
                <v:textbox>
                  <w:txbxContent>
                    <w:p w14:paraId="0BFBF7AF" w14:textId="77777777" w:rsidR="00D74E6C" w:rsidRPr="0012500F" w:rsidRDefault="00D74E6C" w:rsidP="00395345">
                      <w:pPr>
                        <w:spacing w:before="60"/>
                        <w:jc w:val="both"/>
                        <w:rPr>
                          <w:b/>
                          <w:sz w:val="18"/>
                        </w:rPr>
                      </w:pPr>
                      <w:r>
                        <w:rPr>
                          <w:b/>
                          <w:sz w:val="18"/>
                          <w:szCs w:val="18"/>
                          <w:lang w:val="en-GB" w:bidi="en-GB"/>
                        </w:rPr>
                        <w:t>Volatile organic compounds (NMVOC)</w:t>
                      </w:r>
                    </w:p>
                    <w:p w14:paraId="5C59A0A1" w14:textId="77777777" w:rsidR="00D74E6C" w:rsidRPr="00397C76" w:rsidRDefault="00D74E6C" w:rsidP="00395345">
                      <w:pPr>
                        <w:spacing w:before="60"/>
                        <w:jc w:val="both"/>
                        <w:rPr>
                          <w:sz w:val="18"/>
                        </w:rPr>
                      </w:pPr>
                      <w:r w:rsidRPr="00397C76">
                        <w:rPr>
                          <w:sz w:val="18"/>
                          <w:szCs w:val="18"/>
                          <w:lang w:val="en-GB" w:bidi="en-GB"/>
                        </w:rPr>
                        <w:t>Non-methane volatile organic compounds (NMVOC) represent organic compounds or mixtures thereof, other than methane, with vapour pressure of 0.01kPa or more at 20˚C or of corresponding volatility under the specific conditions of their use.</w:t>
                      </w:r>
                    </w:p>
                    <w:p w14:paraId="75743932" w14:textId="77777777" w:rsidR="00D74E6C" w:rsidRPr="00397C76" w:rsidRDefault="00D74E6C" w:rsidP="00395345">
                      <w:pPr>
                        <w:spacing w:before="60"/>
                        <w:jc w:val="both"/>
                        <w:rPr>
                          <w:sz w:val="18"/>
                        </w:rPr>
                      </w:pPr>
                      <w:r w:rsidRPr="00397C76">
                        <w:rPr>
                          <w:sz w:val="18"/>
                          <w:szCs w:val="18"/>
                          <w:lang w:val="en-GB" w:bidi="en-GB"/>
                        </w:rPr>
                        <w:t>The organic solvent sector is the most significant source of NMVOC emissions. It mainly includes the paint applications, degreasing, the printing industry, and the manufacture and processing of chemical products.</w:t>
                      </w:r>
                    </w:p>
                    <w:p w14:paraId="06C324E9" w14:textId="77777777" w:rsidR="00D74E6C" w:rsidRDefault="00D74E6C" w:rsidP="00395345">
                      <w:pPr>
                        <w:spacing w:before="60"/>
                        <w:jc w:val="both"/>
                      </w:pPr>
                      <w:r w:rsidRPr="00397C76">
                        <w:rPr>
                          <w:sz w:val="18"/>
                          <w:szCs w:val="18"/>
                          <w:lang w:val="en-GB" w:bidi="en-GB"/>
                        </w:rPr>
                        <w:t>NMVOC emissions are also generated from the imperfect combustion of fossil fuels. This mainly concerns the combustion of fuels in transport. Other NMVOC emission sources include private household heating and public power and heat generation.</w:t>
                      </w:r>
                    </w:p>
                  </w:txbxContent>
                </v:textbox>
                <w10:wrap type="topAndBottom" anchorx="margin"/>
              </v:shape>
            </w:pict>
          </mc:Fallback>
        </mc:AlternateContent>
      </w:r>
      <w:r w:rsidRPr="00E128B3">
        <w:rPr>
          <w:b/>
          <w:sz w:val="20"/>
          <w:szCs w:val="20"/>
          <w:lang w:val="en-GB" w:bidi="en-GB"/>
        </w:rPr>
        <w:t>Source:</w:t>
      </w:r>
      <w:r w:rsidRPr="00E128B3">
        <w:rPr>
          <w:sz w:val="20"/>
          <w:szCs w:val="20"/>
          <w:lang w:val="en-GB" w:bidi="en-GB"/>
        </w:rPr>
        <w:t xml:space="preserve"> MoE – </w:t>
      </w:r>
      <w:r w:rsidRPr="00E128B3">
        <w:rPr>
          <w:i/>
          <w:sz w:val="20"/>
          <w:szCs w:val="20"/>
          <w:lang w:val="en-GB" w:bidi="en-GB"/>
        </w:rPr>
        <w:t>Air Quality Protection Manual</w:t>
      </w:r>
      <w:r w:rsidRPr="00E128B3">
        <w:rPr>
          <w:sz w:val="20"/>
          <w:szCs w:val="20"/>
          <w:lang w:val="en-GB" w:bidi="en-GB"/>
        </w:rPr>
        <w:t xml:space="preserve">, see </w:t>
      </w:r>
    </w:p>
    <w:p w14:paraId="23A18BB0" w14:textId="4BAE77A4" w:rsidR="00395345" w:rsidRPr="00E128B3" w:rsidRDefault="00D74E6C" w:rsidP="00B60221">
      <w:pPr>
        <w:pStyle w:val="Zdrojapozn"/>
        <w:ind w:left="567"/>
        <w:rPr>
          <w:lang w:val="en-GB"/>
        </w:rPr>
      </w:pPr>
      <w:hyperlink r:id="rId14" w:history="1">
        <w:r w:rsidR="00395345" w:rsidRPr="00E128B3">
          <w:rPr>
            <w:rStyle w:val="Hypertextovodkaz"/>
            <w:lang w:val="en-GB" w:bidi="en-GB"/>
          </w:rPr>
          <w:t>https://www.mzp.cz/C1257458002F0DC7/cz/prirucka_ochrany_kvality_ovzdusi/$FILE/OOO-prirucka_OPLZZ_komplet-20140408.pdf</w:t>
        </w:r>
      </w:hyperlink>
      <w:r w:rsidR="0009686B" w:rsidRPr="00E128B3">
        <w:rPr>
          <w:rStyle w:val="Hypertextovodkaz"/>
          <w:color w:val="000000" w:themeColor="text1"/>
          <w:u w:val="none"/>
          <w:lang w:val="en-GB" w:bidi="en-GB"/>
        </w:rPr>
        <w:t>.</w:t>
      </w:r>
    </w:p>
    <w:p w14:paraId="0778A36D" w14:textId="77777777" w:rsidR="00395345" w:rsidRPr="00E128B3" w:rsidRDefault="00395345" w:rsidP="00395345">
      <w:pPr>
        <w:pStyle w:val="Zdrojapozn"/>
        <w:rPr>
          <w:lang w:val="en-GB"/>
        </w:rPr>
      </w:pPr>
    </w:p>
    <w:p w14:paraId="3A2240D3" w14:textId="77777777" w:rsidR="00395345" w:rsidRPr="00E128B3" w:rsidRDefault="00395345" w:rsidP="00395345">
      <w:pPr>
        <w:pStyle w:val="Text"/>
        <w:rPr>
          <w:lang w:val="en-GB"/>
        </w:rPr>
      </w:pPr>
      <w:r w:rsidRPr="00E128B3">
        <w:rPr>
          <w:lang w:val="en-GB" w:bidi="en-GB"/>
        </w:rPr>
        <w:br w:type="page"/>
      </w:r>
    </w:p>
    <w:p w14:paraId="4F1DA948" w14:textId="77777777" w:rsidR="00395345" w:rsidRPr="00E128B3" w:rsidRDefault="00395345" w:rsidP="007734B4">
      <w:pPr>
        <w:pStyle w:val="Nadpis1"/>
        <w:numPr>
          <w:ilvl w:val="0"/>
          <w:numId w:val="0"/>
        </w:numPr>
        <w:spacing w:before="0" w:after="0"/>
        <w:ind w:left="-227"/>
        <w:rPr>
          <w:sz w:val="24"/>
          <w:lang w:val="en-GB"/>
        </w:rPr>
      </w:pPr>
      <w:r w:rsidRPr="00E128B3">
        <w:rPr>
          <w:sz w:val="24"/>
          <w:lang w:val="en-GB" w:bidi="en-GB"/>
        </w:rPr>
        <w:t>Annex 4</w:t>
      </w:r>
    </w:p>
    <w:p w14:paraId="3FF405B3" w14:textId="63F64E12" w:rsidR="00395345" w:rsidRPr="00E128B3" w:rsidRDefault="00723B6D" w:rsidP="00470F6E">
      <w:pPr>
        <w:pStyle w:val="Titulek"/>
        <w:spacing w:after="40"/>
        <w:ind w:left="851" w:hanging="1078"/>
        <w:jc w:val="left"/>
        <w:rPr>
          <w:b/>
          <w:lang w:val="en-GB"/>
        </w:rPr>
      </w:pPr>
      <w:r w:rsidRPr="00E128B3">
        <w:rPr>
          <w:b/>
          <w:lang w:val="en-GB" w:bidi="en-GB"/>
        </w:rPr>
        <w:t xml:space="preserve">Table </w:t>
      </w:r>
      <w:r w:rsidR="00A36661" w:rsidRPr="00E128B3">
        <w:rPr>
          <w:b/>
          <w:lang w:val="en-GB" w:bidi="en-GB"/>
        </w:rPr>
        <w:fldChar w:fldCharType="begin"/>
      </w:r>
      <w:r w:rsidR="00A36661" w:rsidRPr="00E128B3">
        <w:rPr>
          <w:b/>
          <w:lang w:val="en-GB" w:bidi="en-GB"/>
        </w:rPr>
        <w:instrText xml:space="preserve"> SEQ Tabulka_č. \* ARABIC </w:instrText>
      </w:r>
      <w:r w:rsidR="00A36661" w:rsidRPr="00E128B3">
        <w:rPr>
          <w:b/>
          <w:lang w:val="en-GB" w:bidi="en-GB"/>
        </w:rPr>
        <w:fldChar w:fldCharType="separate"/>
      </w:r>
      <w:r w:rsidR="00136D57">
        <w:rPr>
          <w:b/>
          <w:noProof/>
          <w:lang w:val="en-GB" w:bidi="en-GB"/>
        </w:rPr>
        <w:t>10</w:t>
      </w:r>
      <w:r w:rsidR="00A36661" w:rsidRPr="00E128B3">
        <w:rPr>
          <w:b/>
          <w:noProof/>
          <w:lang w:val="en-GB" w:bidi="en-GB"/>
        </w:rPr>
        <w:fldChar w:fldCharType="end"/>
      </w:r>
      <w:r w:rsidRPr="00E128B3">
        <w:rPr>
          <w:b/>
          <w:lang w:val="en-GB" w:bidi="en-GB"/>
        </w:rPr>
        <w:t xml:space="preserve">: </w:t>
      </w:r>
      <w:r w:rsidR="00470F6E">
        <w:rPr>
          <w:b/>
          <w:lang w:val="en-GB" w:bidi="en-GB"/>
        </w:rPr>
        <w:tab/>
      </w:r>
      <w:r w:rsidRPr="00E128B3">
        <w:rPr>
          <w:b/>
          <w:lang w:val="en-GB" w:bidi="en-GB"/>
        </w:rPr>
        <w:t xml:space="preserve">NERP implementation status – comparison of the evaluations by the MoE </w:t>
      </w:r>
      <w:r w:rsidR="00470F6E">
        <w:rPr>
          <w:b/>
          <w:lang w:val="en-GB" w:bidi="en-GB"/>
        </w:rPr>
        <w:br/>
      </w:r>
      <w:r w:rsidRPr="00E128B3">
        <w:rPr>
          <w:b/>
          <w:lang w:val="en-GB" w:bidi="en-GB"/>
        </w:rPr>
        <w:t>and the SAO</w:t>
      </w:r>
    </w:p>
    <w:tbl>
      <w:tblPr>
        <w:tblW w:w="5448"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70" w:type="dxa"/>
          <w:right w:w="70" w:type="dxa"/>
        </w:tblCellMar>
        <w:tblLook w:val="04A0" w:firstRow="1" w:lastRow="0" w:firstColumn="1" w:lastColumn="0" w:noHBand="0" w:noVBand="1"/>
      </w:tblPr>
      <w:tblGrid>
        <w:gridCol w:w="576"/>
        <w:gridCol w:w="3336"/>
        <w:gridCol w:w="1582"/>
        <w:gridCol w:w="4543"/>
      </w:tblGrid>
      <w:tr w:rsidR="007734B4" w:rsidRPr="00E128B3" w14:paraId="33A20D32" w14:textId="77777777" w:rsidTr="00470F6E">
        <w:trPr>
          <w:trHeight w:val="227"/>
          <w:jc w:val="center"/>
        </w:trPr>
        <w:tc>
          <w:tcPr>
            <w:tcW w:w="287" w:type="pct"/>
            <w:shd w:val="clear" w:color="000000" w:fill="E5F1FF"/>
            <w:noWrap/>
            <w:vAlign w:val="center"/>
            <w:hideMark/>
          </w:tcPr>
          <w:p w14:paraId="0F8B7601" w14:textId="77777777" w:rsidR="00395345" w:rsidRPr="00E128B3" w:rsidRDefault="00395345" w:rsidP="007734B4">
            <w:pPr>
              <w:ind w:right="-57"/>
              <w:jc w:val="center"/>
              <w:rPr>
                <w:rFonts w:ascii="Calibri" w:hAnsi="Calibri" w:cs="Calibri"/>
                <w:sz w:val="20"/>
                <w:szCs w:val="20"/>
                <w:lang w:val="en-GB" w:eastAsia="cs-CZ"/>
              </w:rPr>
            </w:pPr>
            <w:r w:rsidRPr="00E128B3">
              <w:rPr>
                <w:rFonts w:ascii="Calibri" w:eastAsia="Calibri" w:hAnsi="Calibri" w:cs="Calibri"/>
                <w:b/>
                <w:sz w:val="20"/>
                <w:szCs w:val="20"/>
                <w:lang w:val="en-GB" w:bidi="en-GB"/>
              </w:rPr>
              <w:t>Code</w:t>
            </w:r>
          </w:p>
        </w:tc>
        <w:tc>
          <w:tcPr>
            <w:tcW w:w="1662" w:type="pct"/>
            <w:shd w:val="clear" w:color="000000" w:fill="E5F1FF"/>
            <w:noWrap/>
            <w:vAlign w:val="center"/>
            <w:hideMark/>
          </w:tcPr>
          <w:p w14:paraId="743AACE6" w14:textId="77777777" w:rsidR="00395345" w:rsidRPr="00E128B3" w:rsidRDefault="00395345" w:rsidP="00395345">
            <w:pPr>
              <w:jc w:val="center"/>
              <w:rPr>
                <w:rFonts w:ascii="Calibri" w:hAnsi="Calibri" w:cs="Calibri"/>
                <w:sz w:val="20"/>
                <w:szCs w:val="20"/>
                <w:lang w:val="en-GB" w:eastAsia="cs-CZ"/>
              </w:rPr>
            </w:pPr>
            <w:r w:rsidRPr="00E128B3">
              <w:rPr>
                <w:rFonts w:ascii="Calibri" w:eastAsia="Calibri" w:hAnsi="Calibri" w:cs="Calibri"/>
                <w:b/>
                <w:sz w:val="20"/>
                <w:szCs w:val="20"/>
                <w:lang w:val="en-GB" w:bidi="en-GB"/>
              </w:rPr>
              <w:t>Priority measure</w:t>
            </w:r>
          </w:p>
        </w:tc>
        <w:tc>
          <w:tcPr>
            <w:tcW w:w="788" w:type="pct"/>
            <w:shd w:val="clear" w:color="000000" w:fill="E5F1FF"/>
            <w:vAlign w:val="center"/>
            <w:hideMark/>
          </w:tcPr>
          <w:p w14:paraId="0A07D7AA" w14:textId="492E7C88" w:rsidR="00395345" w:rsidRPr="00E128B3" w:rsidRDefault="00395345" w:rsidP="00395345">
            <w:pPr>
              <w:jc w:val="center"/>
              <w:rPr>
                <w:rFonts w:ascii="Calibri" w:hAnsi="Calibri" w:cs="Calibri"/>
                <w:b/>
                <w:bCs/>
                <w:sz w:val="20"/>
                <w:szCs w:val="20"/>
                <w:lang w:val="en-GB" w:eastAsia="cs-CZ"/>
              </w:rPr>
            </w:pPr>
            <w:r w:rsidRPr="00E128B3">
              <w:rPr>
                <w:rFonts w:ascii="Calibri" w:eastAsia="Calibri" w:hAnsi="Calibri" w:cs="Calibri"/>
                <w:b/>
                <w:sz w:val="20"/>
                <w:szCs w:val="20"/>
                <w:lang w:val="en-GB" w:bidi="en-GB"/>
              </w:rPr>
              <w:t xml:space="preserve">Implementation status </w:t>
            </w:r>
            <w:r w:rsidRPr="00E128B3">
              <w:rPr>
                <w:rFonts w:ascii="Calibri" w:eastAsia="Calibri" w:hAnsi="Calibri" w:cs="Calibri"/>
                <w:b/>
                <w:sz w:val="20"/>
                <w:szCs w:val="20"/>
                <w:lang w:val="en-GB" w:bidi="en-GB"/>
              </w:rPr>
              <w:br/>
              <w:t>Environment Report 2016</w:t>
            </w:r>
          </w:p>
        </w:tc>
        <w:tc>
          <w:tcPr>
            <w:tcW w:w="2263" w:type="pct"/>
            <w:shd w:val="clear" w:color="000000" w:fill="E5F1FF"/>
            <w:vAlign w:val="center"/>
            <w:hideMark/>
          </w:tcPr>
          <w:p w14:paraId="69E93BA5" w14:textId="77777777" w:rsidR="00395345" w:rsidRPr="00E128B3" w:rsidRDefault="00395345" w:rsidP="00395345">
            <w:pPr>
              <w:jc w:val="center"/>
              <w:rPr>
                <w:rFonts w:ascii="Calibri" w:hAnsi="Calibri" w:cs="Calibri"/>
                <w:b/>
                <w:bCs/>
                <w:sz w:val="20"/>
                <w:szCs w:val="20"/>
                <w:lang w:val="en-GB" w:eastAsia="cs-CZ"/>
              </w:rPr>
            </w:pPr>
            <w:r w:rsidRPr="00E128B3">
              <w:rPr>
                <w:rFonts w:ascii="Calibri" w:eastAsia="Calibri" w:hAnsi="Calibri" w:cs="Calibri"/>
                <w:b/>
                <w:sz w:val="20"/>
                <w:szCs w:val="20"/>
                <w:lang w:val="en-GB" w:bidi="en-GB"/>
              </w:rPr>
              <w:t>Implementation status – SAO analysis</w:t>
            </w:r>
          </w:p>
        </w:tc>
      </w:tr>
      <w:tr w:rsidR="007734B4" w:rsidRPr="00E128B3" w14:paraId="1FD9BC29" w14:textId="77777777" w:rsidTr="00470F6E">
        <w:trPr>
          <w:trHeight w:val="227"/>
          <w:jc w:val="center"/>
        </w:trPr>
        <w:tc>
          <w:tcPr>
            <w:tcW w:w="287" w:type="pct"/>
            <w:shd w:val="clear" w:color="auto" w:fill="auto"/>
            <w:noWrap/>
            <w:vAlign w:val="center"/>
            <w:hideMark/>
          </w:tcPr>
          <w:p w14:paraId="6AE11259"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AA3</w:t>
            </w:r>
          </w:p>
        </w:tc>
        <w:tc>
          <w:tcPr>
            <w:tcW w:w="1662" w:type="pct"/>
            <w:shd w:val="clear" w:color="auto" w:fill="auto"/>
            <w:vAlign w:val="center"/>
            <w:hideMark/>
          </w:tcPr>
          <w:p w14:paraId="5789E2B5"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Promote the accelerated renewal of the passenger vehicle fleet</w:t>
            </w:r>
          </w:p>
        </w:tc>
        <w:tc>
          <w:tcPr>
            <w:tcW w:w="788" w:type="pct"/>
            <w:shd w:val="clear" w:color="000000" w:fill="FFC7CE"/>
            <w:vAlign w:val="center"/>
            <w:hideMark/>
          </w:tcPr>
          <w:p w14:paraId="5FCB15B0" w14:textId="77777777" w:rsidR="00395345" w:rsidRPr="00E128B3" w:rsidRDefault="00395345" w:rsidP="00395345">
            <w:pPr>
              <w:jc w:val="center"/>
              <w:rPr>
                <w:rFonts w:ascii="Calibri" w:hAnsi="Calibri" w:cs="Calibri"/>
                <w:b/>
                <w:bCs/>
                <w:color w:val="9C0006"/>
                <w:sz w:val="20"/>
                <w:szCs w:val="20"/>
                <w:lang w:val="en-GB" w:eastAsia="cs-CZ"/>
              </w:rPr>
            </w:pPr>
            <w:r w:rsidRPr="00E128B3">
              <w:rPr>
                <w:rFonts w:ascii="Calibri" w:eastAsia="Calibri" w:hAnsi="Calibri" w:cs="Calibri"/>
                <w:b/>
                <w:color w:val="9C0006"/>
                <w:sz w:val="20"/>
                <w:szCs w:val="20"/>
                <w:lang w:val="en-GB" w:bidi="en-GB"/>
              </w:rPr>
              <w:t>Not implemented</w:t>
            </w:r>
          </w:p>
        </w:tc>
        <w:tc>
          <w:tcPr>
            <w:tcW w:w="2263" w:type="pct"/>
            <w:shd w:val="clear" w:color="000000" w:fill="FFC7CE"/>
            <w:vAlign w:val="center"/>
            <w:hideMark/>
          </w:tcPr>
          <w:p w14:paraId="0D0BFC46" w14:textId="77777777" w:rsidR="00395345" w:rsidRPr="00E128B3" w:rsidRDefault="00395345" w:rsidP="00395345">
            <w:pPr>
              <w:jc w:val="center"/>
              <w:rPr>
                <w:rFonts w:ascii="Calibri" w:hAnsi="Calibri" w:cs="Calibri"/>
                <w:b/>
                <w:bCs/>
                <w:color w:val="9C0006"/>
                <w:sz w:val="20"/>
                <w:szCs w:val="20"/>
                <w:lang w:val="en-GB" w:eastAsia="cs-CZ"/>
              </w:rPr>
            </w:pPr>
            <w:r w:rsidRPr="00E128B3">
              <w:rPr>
                <w:rFonts w:ascii="Calibri" w:eastAsia="Calibri" w:hAnsi="Calibri" w:cs="Calibri"/>
                <w:b/>
                <w:color w:val="9C0006"/>
                <w:sz w:val="20"/>
                <w:szCs w:val="20"/>
                <w:lang w:val="en-GB" w:bidi="en-GB"/>
              </w:rPr>
              <w:t>Not implemented</w:t>
            </w:r>
          </w:p>
        </w:tc>
      </w:tr>
      <w:tr w:rsidR="007734B4" w:rsidRPr="00E128B3" w14:paraId="28A2049E" w14:textId="77777777" w:rsidTr="00470F6E">
        <w:trPr>
          <w:trHeight w:val="227"/>
          <w:jc w:val="center"/>
        </w:trPr>
        <w:tc>
          <w:tcPr>
            <w:tcW w:w="287" w:type="pct"/>
            <w:shd w:val="clear" w:color="auto" w:fill="auto"/>
            <w:noWrap/>
            <w:vAlign w:val="center"/>
            <w:hideMark/>
          </w:tcPr>
          <w:p w14:paraId="7F14233E"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AA5</w:t>
            </w:r>
          </w:p>
        </w:tc>
        <w:tc>
          <w:tcPr>
            <w:tcW w:w="1662" w:type="pct"/>
            <w:shd w:val="clear" w:color="auto" w:fill="auto"/>
            <w:vAlign w:val="center"/>
            <w:hideMark/>
          </w:tcPr>
          <w:p w14:paraId="42990420" w14:textId="54C20CFC" w:rsidR="00395345" w:rsidRPr="00E128B3" w:rsidRDefault="00395345" w:rsidP="00701CF4">
            <w:pPr>
              <w:rPr>
                <w:rFonts w:ascii="Calibri" w:hAnsi="Calibri" w:cs="Calibri"/>
                <w:sz w:val="20"/>
                <w:szCs w:val="20"/>
                <w:lang w:val="en-GB" w:eastAsia="cs-CZ"/>
              </w:rPr>
            </w:pPr>
            <w:r w:rsidRPr="00E128B3">
              <w:rPr>
                <w:rFonts w:ascii="Calibri" w:eastAsia="Calibri" w:hAnsi="Calibri" w:cs="Calibri"/>
                <w:sz w:val="20"/>
                <w:szCs w:val="20"/>
                <w:lang w:val="en-GB" w:bidi="en-GB"/>
              </w:rPr>
              <w:t>Stimulate the use of alternative fuel vehicles in road freight transport by reducing the road tax rate</w:t>
            </w:r>
          </w:p>
        </w:tc>
        <w:tc>
          <w:tcPr>
            <w:tcW w:w="788" w:type="pct"/>
            <w:shd w:val="clear" w:color="000000" w:fill="FFEB9C"/>
            <w:vAlign w:val="center"/>
            <w:hideMark/>
          </w:tcPr>
          <w:p w14:paraId="03400A2F" w14:textId="77777777" w:rsidR="00395345" w:rsidRPr="00E128B3" w:rsidRDefault="00395345" w:rsidP="00395345">
            <w:pPr>
              <w:jc w:val="center"/>
              <w:rPr>
                <w:rFonts w:ascii="Calibri" w:hAnsi="Calibri" w:cs="Calibri"/>
                <w:color w:val="9C6500"/>
                <w:sz w:val="20"/>
                <w:szCs w:val="20"/>
                <w:lang w:val="en-GB" w:eastAsia="cs-CZ"/>
              </w:rPr>
            </w:pPr>
            <w:r w:rsidRPr="00E128B3">
              <w:rPr>
                <w:rFonts w:ascii="Calibri" w:eastAsia="Calibri" w:hAnsi="Calibri" w:cs="Calibri"/>
                <w:color w:val="9C6500"/>
                <w:sz w:val="20"/>
                <w:szCs w:val="20"/>
                <w:lang w:val="en-GB" w:bidi="en-GB"/>
              </w:rPr>
              <w:t xml:space="preserve">The issue is addressed in the NAP </w:t>
            </w:r>
            <w:r w:rsidRPr="00E128B3">
              <w:rPr>
                <w:rFonts w:ascii="Calibri" w:eastAsia="Calibri" w:hAnsi="Calibri" w:cs="Calibri"/>
                <w:i/>
                <w:color w:val="9C6500"/>
                <w:sz w:val="20"/>
                <w:szCs w:val="20"/>
                <w:lang w:val="en-GB" w:bidi="en-GB"/>
              </w:rPr>
              <w:t>Clean Mobility</w:t>
            </w:r>
            <w:r w:rsidRPr="00E128B3">
              <w:rPr>
                <w:rFonts w:ascii="Calibri" w:eastAsia="Calibri" w:hAnsi="Calibri" w:cs="Calibri"/>
                <w:color w:val="9C6500"/>
                <w:sz w:val="20"/>
                <w:szCs w:val="20"/>
                <w:lang w:val="en-GB" w:bidi="en-GB"/>
              </w:rPr>
              <w:t>.</w:t>
            </w:r>
          </w:p>
        </w:tc>
        <w:tc>
          <w:tcPr>
            <w:tcW w:w="2263" w:type="pct"/>
            <w:shd w:val="clear" w:color="000000" w:fill="FFC7CE"/>
            <w:vAlign w:val="center"/>
            <w:hideMark/>
          </w:tcPr>
          <w:p w14:paraId="4AD35649" w14:textId="77777777" w:rsidR="00395345" w:rsidRPr="00E128B3" w:rsidRDefault="00395345" w:rsidP="00395345">
            <w:pPr>
              <w:jc w:val="center"/>
              <w:rPr>
                <w:rFonts w:ascii="Calibri" w:hAnsi="Calibri" w:cs="Calibri"/>
                <w:b/>
                <w:bCs/>
                <w:color w:val="9C0006"/>
                <w:sz w:val="20"/>
                <w:szCs w:val="20"/>
                <w:lang w:val="en-GB" w:eastAsia="cs-CZ"/>
              </w:rPr>
            </w:pPr>
            <w:r w:rsidRPr="00E128B3">
              <w:rPr>
                <w:rFonts w:ascii="Calibri" w:eastAsia="Calibri" w:hAnsi="Calibri" w:cs="Calibri"/>
                <w:b/>
                <w:color w:val="9C0006"/>
                <w:sz w:val="20"/>
                <w:szCs w:val="20"/>
                <w:lang w:val="en-GB" w:bidi="en-GB"/>
              </w:rPr>
              <w:t>Not implemented</w:t>
            </w:r>
          </w:p>
        </w:tc>
      </w:tr>
      <w:tr w:rsidR="007734B4" w:rsidRPr="00E128B3" w14:paraId="52F27723" w14:textId="77777777" w:rsidTr="00470F6E">
        <w:trPr>
          <w:trHeight w:val="227"/>
          <w:jc w:val="center"/>
        </w:trPr>
        <w:tc>
          <w:tcPr>
            <w:tcW w:w="287" w:type="pct"/>
            <w:shd w:val="clear" w:color="auto" w:fill="auto"/>
            <w:noWrap/>
            <w:vAlign w:val="center"/>
            <w:hideMark/>
          </w:tcPr>
          <w:p w14:paraId="6A97E090"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AA6</w:t>
            </w:r>
          </w:p>
        </w:tc>
        <w:tc>
          <w:tcPr>
            <w:tcW w:w="1662" w:type="pct"/>
            <w:shd w:val="clear" w:color="auto" w:fill="auto"/>
            <w:vAlign w:val="center"/>
            <w:hideMark/>
          </w:tcPr>
          <w:p w14:paraId="5F8ED2DF" w14:textId="0D5AC22B" w:rsidR="00395345" w:rsidRPr="00E128B3" w:rsidRDefault="009B2D08"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Support the procurement of alternative fuel vehicles for public transport</w:t>
            </w:r>
          </w:p>
        </w:tc>
        <w:tc>
          <w:tcPr>
            <w:tcW w:w="788" w:type="pct"/>
            <w:shd w:val="clear" w:color="000000" w:fill="C6EFCE"/>
            <w:vAlign w:val="center"/>
            <w:hideMark/>
          </w:tcPr>
          <w:p w14:paraId="053C97B2"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Implemented on a continuous basis</w:t>
            </w:r>
          </w:p>
        </w:tc>
        <w:tc>
          <w:tcPr>
            <w:tcW w:w="2263" w:type="pct"/>
            <w:shd w:val="clear" w:color="000000" w:fill="FFEB9C"/>
            <w:vAlign w:val="center"/>
            <w:hideMark/>
          </w:tcPr>
          <w:p w14:paraId="0094439C" w14:textId="7718863D" w:rsidR="00395345" w:rsidRPr="00E128B3" w:rsidRDefault="00395345" w:rsidP="00395345">
            <w:pPr>
              <w:jc w:val="center"/>
              <w:rPr>
                <w:rFonts w:ascii="Calibri" w:hAnsi="Calibri" w:cs="Calibri"/>
                <w:color w:val="9C6500"/>
                <w:sz w:val="20"/>
                <w:szCs w:val="20"/>
                <w:lang w:val="en-GB" w:eastAsia="cs-CZ"/>
              </w:rPr>
            </w:pPr>
            <w:r w:rsidRPr="00E128B3">
              <w:rPr>
                <w:rFonts w:ascii="Calibri" w:eastAsia="Calibri" w:hAnsi="Calibri" w:cs="Calibri"/>
                <w:color w:val="9C6500"/>
                <w:sz w:val="20"/>
                <w:szCs w:val="20"/>
                <w:lang w:val="en-GB" w:bidi="en-GB"/>
              </w:rPr>
              <w:t>The measure was not the subject of audit by the SAO.</w:t>
            </w:r>
            <w:r w:rsidRPr="00E128B3">
              <w:rPr>
                <w:rFonts w:ascii="Calibri" w:eastAsia="Calibri" w:hAnsi="Calibri" w:cs="Calibri"/>
                <w:color w:val="9C6500"/>
                <w:sz w:val="20"/>
                <w:szCs w:val="20"/>
                <w:lang w:val="en-GB" w:bidi="en-GB"/>
              </w:rPr>
              <w:br/>
            </w:r>
            <w:r w:rsidRPr="00E128B3">
              <w:rPr>
                <w:rFonts w:ascii="Calibri" w:eastAsia="Calibri" w:hAnsi="Calibri" w:cs="Calibri"/>
                <w:b/>
                <w:color w:val="9C6500"/>
                <w:sz w:val="20"/>
                <w:szCs w:val="20"/>
                <w:lang w:val="en-GB" w:bidi="en-GB"/>
              </w:rPr>
              <w:t xml:space="preserve">Implemented on a continuous basis </w:t>
            </w:r>
            <w:r w:rsidRPr="00E128B3">
              <w:rPr>
                <w:rFonts w:ascii="Calibri" w:eastAsia="Calibri" w:hAnsi="Calibri" w:cs="Calibri"/>
                <w:color w:val="9C6500"/>
                <w:sz w:val="20"/>
                <w:szCs w:val="20"/>
                <w:lang w:val="en-GB" w:bidi="en-GB"/>
              </w:rPr>
              <w:t>under support from the IROP.</w:t>
            </w:r>
          </w:p>
        </w:tc>
      </w:tr>
      <w:tr w:rsidR="007734B4" w:rsidRPr="00E128B3" w14:paraId="60D2CF3D" w14:textId="77777777" w:rsidTr="00470F6E">
        <w:trPr>
          <w:trHeight w:val="227"/>
          <w:jc w:val="center"/>
        </w:trPr>
        <w:tc>
          <w:tcPr>
            <w:tcW w:w="287" w:type="pct"/>
            <w:shd w:val="clear" w:color="auto" w:fill="auto"/>
            <w:noWrap/>
            <w:vAlign w:val="center"/>
            <w:hideMark/>
          </w:tcPr>
          <w:p w14:paraId="3AD14DC9"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AA7</w:t>
            </w:r>
          </w:p>
        </w:tc>
        <w:tc>
          <w:tcPr>
            <w:tcW w:w="1662" w:type="pct"/>
            <w:shd w:val="clear" w:color="auto" w:fill="auto"/>
            <w:vAlign w:val="center"/>
            <w:hideMark/>
          </w:tcPr>
          <w:p w14:paraId="0AA1F5AF"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Promote the construction of the refuelling and charging infrastructure for alternative fuel vehicles in transport</w:t>
            </w:r>
          </w:p>
        </w:tc>
        <w:tc>
          <w:tcPr>
            <w:tcW w:w="788" w:type="pct"/>
            <w:shd w:val="clear" w:color="000000" w:fill="C6EFCE"/>
            <w:vAlign w:val="center"/>
            <w:hideMark/>
          </w:tcPr>
          <w:p w14:paraId="025AF001"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Implemented on a continuous basis</w:t>
            </w:r>
          </w:p>
        </w:tc>
        <w:tc>
          <w:tcPr>
            <w:tcW w:w="2263" w:type="pct"/>
            <w:shd w:val="clear" w:color="000000" w:fill="FFEB9C"/>
            <w:vAlign w:val="center"/>
            <w:hideMark/>
          </w:tcPr>
          <w:p w14:paraId="75B5F707" w14:textId="2F2A6429" w:rsidR="00395345" w:rsidRPr="00E128B3" w:rsidRDefault="00395345" w:rsidP="00395345">
            <w:pPr>
              <w:jc w:val="center"/>
              <w:rPr>
                <w:rFonts w:ascii="Calibri" w:hAnsi="Calibri" w:cs="Calibri"/>
                <w:color w:val="9C6500"/>
                <w:sz w:val="20"/>
                <w:szCs w:val="20"/>
                <w:lang w:val="en-GB" w:eastAsia="cs-CZ"/>
              </w:rPr>
            </w:pPr>
            <w:r w:rsidRPr="00E128B3">
              <w:rPr>
                <w:rFonts w:ascii="Calibri" w:eastAsia="Calibri" w:hAnsi="Calibri" w:cs="Calibri"/>
                <w:color w:val="9C6500"/>
                <w:sz w:val="20"/>
                <w:szCs w:val="20"/>
                <w:lang w:val="en-GB" w:bidi="en-GB"/>
              </w:rPr>
              <w:t>The measure was not the subject of audit by the SAO.</w:t>
            </w:r>
            <w:r w:rsidRPr="00E128B3">
              <w:rPr>
                <w:rFonts w:ascii="Calibri" w:eastAsia="Calibri" w:hAnsi="Calibri" w:cs="Calibri"/>
                <w:color w:val="9C6500"/>
                <w:sz w:val="20"/>
                <w:szCs w:val="20"/>
                <w:lang w:val="en-GB" w:bidi="en-GB"/>
              </w:rPr>
              <w:br/>
            </w:r>
            <w:r w:rsidRPr="00E128B3">
              <w:rPr>
                <w:rFonts w:ascii="Calibri" w:eastAsia="Calibri" w:hAnsi="Calibri" w:cs="Calibri"/>
                <w:b/>
                <w:color w:val="9C6500"/>
                <w:sz w:val="20"/>
                <w:szCs w:val="20"/>
                <w:lang w:val="en-GB" w:bidi="en-GB"/>
              </w:rPr>
              <w:t xml:space="preserve">Implemented on a continuous basis </w:t>
            </w:r>
            <w:r w:rsidRPr="00E128B3">
              <w:rPr>
                <w:rFonts w:ascii="Calibri" w:eastAsia="Calibri" w:hAnsi="Calibri" w:cs="Calibri"/>
                <w:color w:val="9C6500"/>
                <w:sz w:val="20"/>
                <w:szCs w:val="20"/>
                <w:lang w:val="en-GB" w:bidi="en-GB"/>
              </w:rPr>
              <w:t>under support from the OPT.</w:t>
            </w:r>
          </w:p>
        </w:tc>
      </w:tr>
      <w:tr w:rsidR="007734B4" w:rsidRPr="00E128B3" w14:paraId="48D58DC1" w14:textId="77777777" w:rsidTr="00470F6E">
        <w:trPr>
          <w:trHeight w:val="227"/>
          <w:jc w:val="center"/>
        </w:trPr>
        <w:tc>
          <w:tcPr>
            <w:tcW w:w="287" w:type="pct"/>
            <w:shd w:val="clear" w:color="auto" w:fill="auto"/>
            <w:noWrap/>
            <w:vAlign w:val="center"/>
            <w:hideMark/>
          </w:tcPr>
          <w:p w14:paraId="12654622"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AA8</w:t>
            </w:r>
          </w:p>
        </w:tc>
        <w:tc>
          <w:tcPr>
            <w:tcW w:w="1662" w:type="pct"/>
            <w:shd w:val="clear" w:color="auto" w:fill="auto"/>
            <w:vAlign w:val="center"/>
            <w:hideMark/>
          </w:tcPr>
          <w:p w14:paraId="52403A33"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Support the procurement of environmentally friendly passenger vehicles</w:t>
            </w:r>
          </w:p>
        </w:tc>
        <w:tc>
          <w:tcPr>
            <w:tcW w:w="788" w:type="pct"/>
            <w:shd w:val="clear" w:color="000000" w:fill="C6EFCE"/>
            <w:vAlign w:val="center"/>
            <w:hideMark/>
          </w:tcPr>
          <w:p w14:paraId="0505AB0B"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Completed</w:t>
            </w:r>
          </w:p>
        </w:tc>
        <w:tc>
          <w:tcPr>
            <w:tcW w:w="2263" w:type="pct"/>
            <w:shd w:val="clear" w:color="000000" w:fill="FFC7CE"/>
            <w:vAlign w:val="center"/>
            <w:hideMark/>
          </w:tcPr>
          <w:p w14:paraId="457F89C8" w14:textId="77777777" w:rsidR="00395345" w:rsidRPr="00E128B3" w:rsidRDefault="00395345" w:rsidP="00395345">
            <w:pPr>
              <w:jc w:val="center"/>
              <w:rPr>
                <w:rFonts w:ascii="Calibri" w:hAnsi="Calibri" w:cs="Calibri"/>
                <w:b/>
                <w:bCs/>
                <w:color w:val="9C0006"/>
                <w:sz w:val="20"/>
                <w:szCs w:val="20"/>
                <w:lang w:val="en-GB" w:eastAsia="cs-CZ"/>
              </w:rPr>
            </w:pPr>
            <w:r w:rsidRPr="00E128B3">
              <w:rPr>
                <w:rFonts w:ascii="Calibri" w:eastAsia="Calibri" w:hAnsi="Calibri" w:cs="Calibri"/>
                <w:b/>
                <w:color w:val="9C0006"/>
                <w:sz w:val="20"/>
                <w:szCs w:val="20"/>
                <w:lang w:val="en-GB" w:bidi="en-GB"/>
              </w:rPr>
              <w:t>Not implemented</w:t>
            </w:r>
          </w:p>
        </w:tc>
      </w:tr>
      <w:tr w:rsidR="007734B4" w:rsidRPr="00E128B3" w14:paraId="19BE7FBF" w14:textId="77777777" w:rsidTr="00470F6E">
        <w:trPr>
          <w:trHeight w:val="227"/>
          <w:jc w:val="center"/>
        </w:trPr>
        <w:tc>
          <w:tcPr>
            <w:tcW w:w="287" w:type="pct"/>
            <w:shd w:val="clear" w:color="auto" w:fill="auto"/>
            <w:noWrap/>
            <w:vAlign w:val="center"/>
            <w:hideMark/>
          </w:tcPr>
          <w:p w14:paraId="43AC059F"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AA9</w:t>
            </w:r>
          </w:p>
        </w:tc>
        <w:tc>
          <w:tcPr>
            <w:tcW w:w="1662" w:type="pct"/>
            <w:shd w:val="clear" w:color="auto" w:fill="auto"/>
            <w:vAlign w:val="center"/>
            <w:hideMark/>
          </w:tcPr>
          <w:p w14:paraId="39607CCE" w14:textId="77777777" w:rsidR="00395345" w:rsidRPr="00E128B3" w:rsidRDefault="00395345" w:rsidP="007734B4">
            <w:pPr>
              <w:rPr>
                <w:rFonts w:ascii="Calibri" w:hAnsi="Calibri" w:cs="Calibri"/>
                <w:sz w:val="20"/>
                <w:szCs w:val="20"/>
                <w:lang w:val="en-GB" w:eastAsia="cs-CZ"/>
              </w:rPr>
            </w:pPr>
            <w:r w:rsidRPr="00E128B3">
              <w:rPr>
                <w:rFonts w:ascii="Calibri" w:eastAsia="Calibri" w:hAnsi="Calibri" w:cs="Calibri"/>
                <w:sz w:val="20"/>
                <w:szCs w:val="20"/>
                <w:lang w:val="en-GB" w:bidi="en-GB"/>
              </w:rPr>
              <w:t>Increase the maximum fee for permitting motor vehicles to enter selected locations and parts of towns</w:t>
            </w:r>
          </w:p>
        </w:tc>
        <w:tc>
          <w:tcPr>
            <w:tcW w:w="788" w:type="pct"/>
            <w:shd w:val="clear" w:color="000000" w:fill="C6EFCE"/>
            <w:vAlign w:val="center"/>
            <w:hideMark/>
          </w:tcPr>
          <w:p w14:paraId="45A0AEB9"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Completed</w:t>
            </w:r>
          </w:p>
        </w:tc>
        <w:tc>
          <w:tcPr>
            <w:tcW w:w="2263" w:type="pct"/>
            <w:shd w:val="clear" w:color="000000" w:fill="C6EFCE"/>
            <w:vAlign w:val="center"/>
            <w:hideMark/>
          </w:tcPr>
          <w:p w14:paraId="405BB86A"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Completed</w:t>
            </w:r>
          </w:p>
        </w:tc>
      </w:tr>
      <w:tr w:rsidR="007734B4" w:rsidRPr="00E128B3" w14:paraId="4F60C821" w14:textId="77777777" w:rsidTr="00470F6E">
        <w:trPr>
          <w:trHeight w:val="227"/>
          <w:jc w:val="center"/>
        </w:trPr>
        <w:tc>
          <w:tcPr>
            <w:tcW w:w="287" w:type="pct"/>
            <w:shd w:val="clear" w:color="auto" w:fill="auto"/>
            <w:noWrap/>
            <w:vAlign w:val="center"/>
            <w:hideMark/>
          </w:tcPr>
          <w:p w14:paraId="3C376F92"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AA10</w:t>
            </w:r>
          </w:p>
        </w:tc>
        <w:tc>
          <w:tcPr>
            <w:tcW w:w="1662" w:type="pct"/>
            <w:shd w:val="clear" w:color="auto" w:fill="auto"/>
            <w:noWrap/>
            <w:vAlign w:val="center"/>
            <w:hideMark/>
          </w:tcPr>
          <w:p w14:paraId="35BFFBD2"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Promote the introduction of low-emission zones</w:t>
            </w:r>
          </w:p>
        </w:tc>
        <w:tc>
          <w:tcPr>
            <w:tcW w:w="788" w:type="pct"/>
            <w:shd w:val="clear" w:color="000000" w:fill="C6EFCE"/>
            <w:vAlign w:val="center"/>
            <w:hideMark/>
          </w:tcPr>
          <w:p w14:paraId="212C8194"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Implemented on a continuous basis</w:t>
            </w:r>
          </w:p>
        </w:tc>
        <w:tc>
          <w:tcPr>
            <w:tcW w:w="2263" w:type="pct"/>
            <w:shd w:val="clear" w:color="auto" w:fill="C6EFCE"/>
            <w:vAlign w:val="center"/>
            <w:hideMark/>
          </w:tcPr>
          <w:p w14:paraId="4373DFE2" w14:textId="586198B9" w:rsidR="00395345" w:rsidRPr="00E128B3" w:rsidRDefault="00395345" w:rsidP="002D71E3">
            <w:pPr>
              <w:jc w:val="center"/>
              <w:rPr>
                <w:rFonts w:ascii="Calibri" w:hAnsi="Calibri" w:cs="Calibri"/>
                <w:color w:val="9C0006"/>
                <w:sz w:val="20"/>
                <w:szCs w:val="20"/>
                <w:lang w:val="en-GB" w:eastAsia="cs-CZ"/>
              </w:rPr>
            </w:pPr>
            <w:r w:rsidRPr="00E128B3">
              <w:rPr>
                <w:rFonts w:ascii="Calibri" w:eastAsia="Calibri" w:hAnsi="Calibri" w:cs="Calibri"/>
                <w:b/>
                <w:color w:val="FF0000"/>
                <w:sz w:val="20"/>
                <w:szCs w:val="20"/>
                <w:lang w:val="en-GB" w:bidi="en-GB"/>
              </w:rPr>
              <w:t>Implemented on a continuous basis</w:t>
            </w:r>
            <w:r w:rsidRPr="00E128B3">
              <w:rPr>
                <w:rFonts w:ascii="Calibri" w:eastAsia="Calibri" w:hAnsi="Calibri" w:cs="Calibri"/>
                <w:color w:val="FF0000"/>
                <w:sz w:val="20"/>
                <w:szCs w:val="20"/>
                <w:lang w:val="en-GB" w:bidi="en-GB"/>
              </w:rPr>
              <w:br/>
              <w:t xml:space="preserve">(However, </w:t>
            </w:r>
            <w:r w:rsidR="002D71E3">
              <w:rPr>
                <w:rFonts w:ascii="Calibri" w:eastAsia="Calibri" w:hAnsi="Calibri" w:cs="Calibri"/>
                <w:color w:val="FF0000"/>
                <w:sz w:val="20"/>
                <w:szCs w:val="20"/>
                <w:lang w:val="en-GB" w:bidi="en-GB"/>
              </w:rPr>
              <w:t>no</w:t>
            </w:r>
            <w:r w:rsidRPr="00E128B3">
              <w:rPr>
                <w:rFonts w:ascii="Calibri" w:eastAsia="Calibri" w:hAnsi="Calibri" w:cs="Calibri"/>
                <w:color w:val="FF0000"/>
                <w:sz w:val="20"/>
                <w:szCs w:val="20"/>
                <w:lang w:val="en-GB" w:bidi="en-GB"/>
              </w:rPr>
              <w:t xml:space="preserve"> low-emission zone </w:t>
            </w:r>
            <w:r w:rsidR="002D71E3">
              <w:rPr>
                <w:rFonts w:ascii="Calibri" w:eastAsia="Calibri" w:hAnsi="Calibri" w:cs="Calibri"/>
                <w:color w:val="FF0000"/>
                <w:sz w:val="20"/>
                <w:szCs w:val="20"/>
                <w:lang w:val="en-GB" w:bidi="en-GB"/>
              </w:rPr>
              <w:t>has been</w:t>
            </w:r>
            <w:r w:rsidRPr="00E128B3">
              <w:rPr>
                <w:rFonts w:ascii="Calibri" w:eastAsia="Calibri" w:hAnsi="Calibri" w:cs="Calibri"/>
                <w:color w:val="FF0000"/>
                <w:sz w:val="20"/>
                <w:szCs w:val="20"/>
                <w:lang w:val="en-GB" w:bidi="en-GB"/>
              </w:rPr>
              <w:t xml:space="preserve"> introduced</w:t>
            </w:r>
            <w:r w:rsidR="002D71E3">
              <w:rPr>
                <w:rFonts w:ascii="Calibri" w:eastAsia="Calibri" w:hAnsi="Calibri" w:cs="Calibri"/>
                <w:color w:val="FF0000"/>
                <w:sz w:val="20"/>
                <w:szCs w:val="20"/>
                <w:lang w:val="en-GB" w:bidi="en-GB"/>
              </w:rPr>
              <w:t xml:space="preserve"> yet</w:t>
            </w:r>
            <w:r w:rsidRPr="00E128B3">
              <w:rPr>
                <w:rFonts w:ascii="Calibri" w:eastAsia="Calibri" w:hAnsi="Calibri" w:cs="Calibri"/>
                <w:color w:val="FF0000"/>
                <w:sz w:val="20"/>
                <w:szCs w:val="20"/>
                <w:lang w:val="en-GB" w:bidi="en-GB"/>
              </w:rPr>
              <w:t>)</w:t>
            </w:r>
          </w:p>
        </w:tc>
      </w:tr>
      <w:tr w:rsidR="007734B4" w:rsidRPr="00E128B3" w14:paraId="6A4E01A6" w14:textId="77777777" w:rsidTr="00470F6E">
        <w:trPr>
          <w:trHeight w:val="227"/>
          <w:jc w:val="center"/>
        </w:trPr>
        <w:tc>
          <w:tcPr>
            <w:tcW w:w="287" w:type="pct"/>
            <w:shd w:val="clear" w:color="auto" w:fill="auto"/>
            <w:noWrap/>
            <w:vAlign w:val="center"/>
            <w:hideMark/>
          </w:tcPr>
          <w:p w14:paraId="4EEA6A76"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AA11</w:t>
            </w:r>
          </w:p>
        </w:tc>
        <w:tc>
          <w:tcPr>
            <w:tcW w:w="1662" w:type="pct"/>
            <w:shd w:val="clear" w:color="auto" w:fill="auto"/>
            <w:vAlign w:val="center"/>
            <w:hideMark/>
          </w:tcPr>
          <w:p w14:paraId="12030DDB" w14:textId="606FB7A6" w:rsidR="00395345" w:rsidRPr="00E128B3" w:rsidRDefault="00395345" w:rsidP="009B2D08">
            <w:pPr>
              <w:rPr>
                <w:rFonts w:ascii="Calibri" w:hAnsi="Calibri" w:cs="Calibri"/>
                <w:sz w:val="20"/>
                <w:szCs w:val="20"/>
                <w:lang w:val="en-GB" w:eastAsia="cs-CZ"/>
              </w:rPr>
            </w:pPr>
            <w:r w:rsidRPr="00E128B3">
              <w:rPr>
                <w:rFonts w:ascii="Calibri" w:eastAsia="Calibri" w:hAnsi="Calibri" w:cs="Calibri"/>
                <w:sz w:val="20"/>
                <w:szCs w:val="20"/>
                <w:lang w:val="en-GB" w:bidi="en-GB"/>
              </w:rPr>
              <w:t>Rationalise the road charges with a view to the impact of transport on air quality at the relevant location</w:t>
            </w:r>
          </w:p>
        </w:tc>
        <w:tc>
          <w:tcPr>
            <w:tcW w:w="788" w:type="pct"/>
            <w:shd w:val="clear" w:color="000000" w:fill="C6EFCE"/>
            <w:vAlign w:val="center"/>
            <w:hideMark/>
          </w:tcPr>
          <w:p w14:paraId="1A374DFF"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Completed</w:t>
            </w:r>
          </w:p>
        </w:tc>
        <w:tc>
          <w:tcPr>
            <w:tcW w:w="2263" w:type="pct"/>
            <w:shd w:val="clear" w:color="000000" w:fill="C6EFCE"/>
            <w:vAlign w:val="center"/>
            <w:hideMark/>
          </w:tcPr>
          <w:p w14:paraId="56B7F565"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Completed</w:t>
            </w:r>
          </w:p>
        </w:tc>
      </w:tr>
      <w:tr w:rsidR="007734B4" w:rsidRPr="00470F6E" w14:paraId="7627EBC3" w14:textId="77777777" w:rsidTr="00470F6E">
        <w:trPr>
          <w:trHeight w:val="227"/>
          <w:jc w:val="center"/>
        </w:trPr>
        <w:tc>
          <w:tcPr>
            <w:tcW w:w="287" w:type="pct"/>
            <w:shd w:val="clear" w:color="auto" w:fill="auto"/>
            <w:vAlign w:val="center"/>
            <w:hideMark/>
          </w:tcPr>
          <w:p w14:paraId="4DA234F7"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BA1 CA1</w:t>
            </w:r>
          </w:p>
        </w:tc>
        <w:tc>
          <w:tcPr>
            <w:tcW w:w="1662" w:type="pct"/>
            <w:shd w:val="clear" w:color="auto" w:fill="auto"/>
            <w:vAlign w:val="center"/>
            <w:hideMark/>
          </w:tcPr>
          <w:p w14:paraId="62D6C4A4" w14:textId="313C5ECF" w:rsidR="00395345" w:rsidRPr="00E128B3" w:rsidRDefault="00395345" w:rsidP="009B2D08">
            <w:pPr>
              <w:rPr>
                <w:rFonts w:ascii="Calibri" w:hAnsi="Calibri" w:cs="Calibri"/>
                <w:sz w:val="20"/>
                <w:szCs w:val="20"/>
                <w:lang w:val="en-GB" w:eastAsia="cs-CZ"/>
              </w:rPr>
            </w:pPr>
            <w:r w:rsidRPr="00E128B3">
              <w:rPr>
                <w:rFonts w:ascii="Calibri" w:eastAsia="Calibri" w:hAnsi="Calibri" w:cs="Calibri"/>
                <w:sz w:val="20"/>
                <w:szCs w:val="20"/>
                <w:lang w:val="en-GB" w:bidi="en-GB"/>
              </w:rPr>
              <w:t>Promote the prioritised implementation of measures to reduce emissions from stationary sources in energy, industrial and agricultural sectors</w:t>
            </w:r>
          </w:p>
        </w:tc>
        <w:tc>
          <w:tcPr>
            <w:tcW w:w="788" w:type="pct"/>
            <w:shd w:val="clear" w:color="000000" w:fill="C6EFCE"/>
            <w:vAlign w:val="center"/>
            <w:hideMark/>
          </w:tcPr>
          <w:p w14:paraId="6442AA68"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Implemented on a continuous basis</w:t>
            </w:r>
          </w:p>
        </w:tc>
        <w:tc>
          <w:tcPr>
            <w:tcW w:w="2263" w:type="pct"/>
            <w:shd w:val="clear" w:color="000000" w:fill="C6EFCE"/>
            <w:vAlign w:val="center"/>
            <w:hideMark/>
          </w:tcPr>
          <w:p w14:paraId="6C904805"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Implemented on a continuous basis</w:t>
            </w:r>
          </w:p>
        </w:tc>
      </w:tr>
      <w:tr w:rsidR="007734B4" w:rsidRPr="00E128B3" w14:paraId="2344106C" w14:textId="77777777" w:rsidTr="00470F6E">
        <w:trPr>
          <w:trHeight w:val="227"/>
          <w:jc w:val="center"/>
        </w:trPr>
        <w:tc>
          <w:tcPr>
            <w:tcW w:w="287" w:type="pct"/>
            <w:shd w:val="clear" w:color="auto" w:fill="auto"/>
            <w:noWrap/>
            <w:vAlign w:val="center"/>
            <w:hideMark/>
          </w:tcPr>
          <w:p w14:paraId="748C9318"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BA2</w:t>
            </w:r>
          </w:p>
        </w:tc>
        <w:tc>
          <w:tcPr>
            <w:tcW w:w="1662" w:type="pct"/>
            <w:shd w:val="clear" w:color="auto" w:fill="auto"/>
            <w:vAlign w:val="center"/>
            <w:hideMark/>
          </w:tcPr>
          <w:p w14:paraId="4FF3F847"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Promote the implementation of measure to reduce energy consumption and increase energy efficiency</w:t>
            </w:r>
          </w:p>
        </w:tc>
        <w:tc>
          <w:tcPr>
            <w:tcW w:w="788" w:type="pct"/>
            <w:shd w:val="clear" w:color="000000" w:fill="C6EFCE"/>
            <w:vAlign w:val="center"/>
            <w:hideMark/>
          </w:tcPr>
          <w:p w14:paraId="5D889FAC"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Implemented on a continuous basis</w:t>
            </w:r>
          </w:p>
        </w:tc>
        <w:tc>
          <w:tcPr>
            <w:tcW w:w="2263" w:type="pct"/>
            <w:shd w:val="clear" w:color="000000" w:fill="C6EFCE"/>
            <w:vAlign w:val="center"/>
            <w:hideMark/>
          </w:tcPr>
          <w:p w14:paraId="5D626831" w14:textId="102ACDBB" w:rsidR="00395345" w:rsidRPr="00E128B3" w:rsidRDefault="00395345" w:rsidP="009B2D08">
            <w:pPr>
              <w:jc w:val="center"/>
              <w:rPr>
                <w:rFonts w:ascii="Calibri" w:hAnsi="Calibri" w:cs="Calibri"/>
                <w:color w:val="FF0000"/>
                <w:sz w:val="20"/>
                <w:szCs w:val="20"/>
                <w:lang w:val="en-GB" w:eastAsia="cs-CZ"/>
              </w:rPr>
            </w:pPr>
            <w:r w:rsidRPr="00E128B3">
              <w:rPr>
                <w:rFonts w:ascii="Calibri" w:eastAsia="Calibri" w:hAnsi="Calibri" w:cs="Calibri"/>
                <w:b/>
                <w:color w:val="FF0000"/>
                <w:sz w:val="20"/>
                <w:szCs w:val="20"/>
                <w:lang w:val="en-GB" w:bidi="en-GB"/>
              </w:rPr>
              <w:t>Implemented on a continuous basis</w:t>
            </w:r>
            <w:r w:rsidRPr="00E128B3">
              <w:rPr>
                <w:rFonts w:ascii="Calibri" w:eastAsia="Calibri" w:hAnsi="Calibri" w:cs="Calibri"/>
                <w:color w:val="FF0000"/>
                <w:sz w:val="20"/>
                <w:szCs w:val="20"/>
                <w:lang w:val="en-GB" w:bidi="en-GB"/>
              </w:rPr>
              <w:br/>
              <w:t xml:space="preserve">supported, for example, from PA5 of the OPE and from PA3 of the OPEIC, with </w:t>
            </w:r>
            <w:r w:rsidRPr="00E128B3">
              <w:rPr>
                <w:rFonts w:ascii="Calibri" w:eastAsia="Calibri" w:hAnsi="Calibri" w:cs="Calibri"/>
                <w:b/>
                <w:color w:val="FF0000"/>
                <w:sz w:val="20"/>
                <w:szCs w:val="20"/>
                <w:lang w:val="en-GB" w:bidi="en-GB"/>
              </w:rPr>
              <w:t>significant risks regarding the utilisation of the funding.</w:t>
            </w:r>
          </w:p>
        </w:tc>
      </w:tr>
      <w:tr w:rsidR="007734B4" w:rsidRPr="00E128B3" w14:paraId="3985F577" w14:textId="77777777" w:rsidTr="00470F6E">
        <w:trPr>
          <w:trHeight w:val="227"/>
          <w:jc w:val="center"/>
        </w:trPr>
        <w:tc>
          <w:tcPr>
            <w:tcW w:w="287" w:type="pct"/>
            <w:shd w:val="clear" w:color="auto" w:fill="auto"/>
            <w:noWrap/>
            <w:vAlign w:val="center"/>
            <w:hideMark/>
          </w:tcPr>
          <w:p w14:paraId="0536B2F0"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BA3</w:t>
            </w:r>
          </w:p>
        </w:tc>
        <w:tc>
          <w:tcPr>
            <w:tcW w:w="1662" w:type="pct"/>
            <w:shd w:val="clear" w:color="auto" w:fill="auto"/>
            <w:vAlign w:val="center"/>
            <w:hideMark/>
          </w:tcPr>
          <w:p w14:paraId="1E7B6167"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Reduce the share of fossil fuels in stationary combustion sources not covered by the EU ETS</w:t>
            </w:r>
          </w:p>
        </w:tc>
        <w:tc>
          <w:tcPr>
            <w:tcW w:w="788" w:type="pct"/>
            <w:shd w:val="clear" w:color="000000" w:fill="C6EFCE"/>
            <w:vAlign w:val="center"/>
            <w:hideMark/>
          </w:tcPr>
          <w:p w14:paraId="7E547971"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Implemented partially</w:t>
            </w:r>
          </w:p>
        </w:tc>
        <w:tc>
          <w:tcPr>
            <w:tcW w:w="2263" w:type="pct"/>
            <w:shd w:val="clear" w:color="000000" w:fill="FFC7CE"/>
            <w:vAlign w:val="center"/>
            <w:hideMark/>
          </w:tcPr>
          <w:p w14:paraId="09C3D9C4" w14:textId="77777777" w:rsidR="00395345" w:rsidRPr="00E128B3" w:rsidRDefault="00395345" w:rsidP="00395345">
            <w:pPr>
              <w:jc w:val="center"/>
              <w:rPr>
                <w:rFonts w:ascii="Calibri" w:hAnsi="Calibri" w:cs="Calibri"/>
                <w:color w:val="9C0006"/>
                <w:sz w:val="20"/>
                <w:szCs w:val="20"/>
                <w:lang w:val="en-GB" w:eastAsia="cs-CZ"/>
              </w:rPr>
            </w:pPr>
            <w:r w:rsidRPr="00E128B3">
              <w:rPr>
                <w:rFonts w:ascii="Calibri" w:eastAsia="Calibri" w:hAnsi="Calibri" w:cs="Calibri"/>
                <w:b/>
                <w:color w:val="9C0006"/>
                <w:sz w:val="20"/>
                <w:szCs w:val="20"/>
                <w:lang w:val="en-GB" w:bidi="en-GB"/>
              </w:rPr>
              <w:t>Not implemented</w:t>
            </w:r>
            <w:r w:rsidRPr="00E128B3">
              <w:rPr>
                <w:rFonts w:ascii="Calibri" w:eastAsia="Calibri" w:hAnsi="Calibri" w:cs="Calibri"/>
                <w:color w:val="9C0006"/>
                <w:sz w:val="20"/>
                <w:szCs w:val="20"/>
                <w:lang w:val="en-GB" w:bidi="en-GB"/>
              </w:rPr>
              <w:br/>
              <w:t>(a more detailed analysis to be prepared by 31 December 2018, with the implementation timeline unknown)</w:t>
            </w:r>
          </w:p>
        </w:tc>
      </w:tr>
      <w:tr w:rsidR="007734B4" w:rsidRPr="00E128B3" w14:paraId="243B4FE1" w14:textId="77777777" w:rsidTr="00470F6E">
        <w:trPr>
          <w:trHeight w:val="227"/>
          <w:jc w:val="center"/>
        </w:trPr>
        <w:tc>
          <w:tcPr>
            <w:tcW w:w="287" w:type="pct"/>
            <w:shd w:val="clear" w:color="auto" w:fill="auto"/>
            <w:noWrap/>
            <w:vAlign w:val="center"/>
            <w:hideMark/>
          </w:tcPr>
          <w:p w14:paraId="6326B816"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DA1</w:t>
            </w:r>
          </w:p>
        </w:tc>
        <w:tc>
          <w:tcPr>
            <w:tcW w:w="1662" w:type="pct"/>
            <w:shd w:val="clear" w:color="auto" w:fill="auto"/>
            <w:vAlign w:val="center"/>
            <w:hideMark/>
          </w:tcPr>
          <w:p w14:paraId="5F71065F" w14:textId="77777777" w:rsidR="00395345" w:rsidRPr="00E128B3" w:rsidRDefault="00395345" w:rsidP="007734B4">
            <w:pPr>
              <w:rPr>
                <w:rFonts w:ascii="Calibri" w:hAnsi="Calibri" w:cs="Calibri"/>
                <w:sz w:val="20"/>
                <w:szCs w:val="20"/>
                <w:lang w:val="en-GB" w:eastAsia="cs-CZ"/>
              </w:rPr>
            </w:pPr>
            <w:r w:rsidRPr="00E128B3">
              <w:rPr>
                <w:rFonts w:ascii="Calibri" w:eastAsia="Calibri" w:hAnsi="Calibri" w:cs="Calibri"/>
                <w:sz w:val="20"/>
                <w:szCs w:val="20"/>
                <w:lang w:val="en-GB" w:bidi="en-GB"/>
              </w:rPr>
              <w:t>Promote the accelerated replacement of heat sources in the sector of local heating in households</w:t>
            </w:r>
          </w:p>
        </w:tc>
        <w:tc>
          <w:tcPr>
            <w:tcW w:w="788" w:type="pct"/>
            <w:shd w:val="clear" w:color="000000" w:fill="C6EFCE"/>
            <w:vAlign w:val="center"/>
            <w:hideMark/>
          </w:tcPr>
          <w:p w14:paraId="0E0E5750"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Implemented on a continuous basis</w:t>
            </w:r>
          </w:p>
        </w:tc>
        <w:tc>
          <w:tcPr>
            <w:tcW w:w="2263" w:type="pct"/>
            <w:shd w:val="clear" w:color="000000" w:fill="C6EFCE"/>
            <w:vAlign w:val="center"/>
            <w:hideMark/>
          </w:tcPr>
          <w:p w14:paraId="573841A6"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Implemented on a continuous basis</w:t>
            </w:r>
          </w:p>
        </w:tc>
      </w:tr>
      <w:tr w:rsidR="007734B4" w:rsidRPr="00E128B3" w14:paraId="2DB17456" w14:textId="77777777" w:rsidTr="00470F6E">
        <w:trPr>
          <w:trHeight w:val="227"/>
          <w:jc w:val="center"/>
        </w:trPr>
        <w:tc>
          <w:tcPr>
            <w:tcW w:w="287" w:type="pct"/>
            <w:shd w:val="clear" w:color="auto" w:fill="auto"/>
            <w:noWrap/>
            <w:vAlign w:val="center"/>
            <w:hideMark/>
          </w:tcPr>
          <w:p w14:paraId="127424A9"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AB1</w:t>
            </w:r>
          </w:p>
        </w:tc>
        <w:tc>
          <w:tcPr>
            <w:tcW w:w="1662" w:type="pct"/>
            <w:shd w:val="clear" w:color="auto" w:fill="auto"/>
            <w:vAlign w:val="center"/>
            <w:hideMark/>
          </w:tcPr>
          <w:p w14:paraId="0CAF2A89"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Build a backbone network of high-capacity roads for motor transport</w:t>
            </w:r>
          </w:p>
        </w:tc>
        <w:tc>
          <w:tcPr>
            <w:tcW w:w="788" w:type="pct"/>
            <w:vMerge w:val="restart"/>
            <w:shd w:val="clear" w:color="000000" w:fill="C6EFCE"/>
            <w:vAlign w:val="center"/>
            <w:hideMark/>
          </w:tcPr>
          <w:p w14:paraId="36FF73A8"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Implemented on a continuous basis</w:t>
            </w:r>
          </w:p>
        </w:tc>
        <w:tc>
          <w:tcPr>
            <w:tcW w:w="2263" w:type="pct"/>
            <w:vMerge w:val="restart"/>
            <w:shd w:val="clear" w:color="000000" w:fill="C6EFCE"/>
            <w:vAlign w:val="center"/>
            <w:hideMark/>
          </w:tcPr>
          <w:p w14:paraId="0104BC1E" w14:textId="238C87E6" w:rsidR="00395345" w:rsidRPr="00E128B3" w:rsidRDefault="00395345" w:rsidP="009B2D08">
            <w:pPr>
              <w:jc w:val="center"/>
              <w:rPr>
                <w:rFonts w:ascii="Calibri" w:hAnsi="Calibri" w:cs="Calibri"/>
                <w:color w:val="FF0000"/>
                <w:sz w:val="20"/>
                <w:szCs w:val="20"/>
                <w:lang w:val="en-GB" w:eastAsia="cs-CZ"/>
              </w:rPr>
            </w:pPr>
            <w:r w:rsidRPr="00E128B3">
              <w:rPr>
                <w:rFonts w:ascii="Calibri" w:eastAsia="Calibri" w:hAnsi="Calibri" w:cs="Calibri"/>
                <w:b/>
                <w:color w:val="FF0000"/>
                <w:sz w:val="20"/>
                <w:szCs w:val="20"/>
                <w:lang w:val="en-GB" w:bidi="en-GB"/>
              </w:rPr>
              <w:t>Implemented on a continuous basis.</w:t>
            </w:r>
            <w:r w:rsidRPr="00E128B3">
              <w:rPr>
                <w:rFonts w:ascii="Calibri" w:eastAsia="Calibri" w:hAnsi="Calibri" w:cs="Calibri"/>
                <w:color w:val="FF0000"/>
                <w:sz w:val="20"/>
                <w:szCs w:val="20"/>
                <w:lang w:val="en-GB" w:bidi="en-GB"/>
              </w:rPr>
              <w:br/>
              <w:t xml:space="preserve">A single priority scheme has been put into operation; several priority schemes are under construction, but most of them only exist in the ŘSD plans, with the implementation expected to start in the period </w:t>
            </w:r>
            <w:r w:rsidR="00470F6E">
              <w:rPr>
                <w:rFonts w:ascii="Calibri" w:eastAsia="Calibri" w:hAnsi="Calibri" w:cs="Calibri"/>
                <w:color w:val="FF0000"/>
                <w:sz w:val="20"/>
                <w:szCs w:val="20"/>
                <w:lang w:val="en-GB" w:bidi="en-GB"/>
              </w:rPr>
              <w:br/>
            </w:r>
            <w:r w:rsidRPr="00E128B3">
              <w:rPr>
                <w:rFonts w:ascii="Calibri" w:eastAsia="Calibri" w:hAnsi="Calibri" w:cs="Calibri"/>
                <w:color w:val="FF0000"/>
                <w:sz w:val="20"/>
                <w:szCs w:val="20"/>
                <w:lang w:val="en-GB" w:bidi="en-GB"/>
              </w:rPr>
              <w:t>2018–2020; one priority scheme is in the project preparation stage.</w:t>
            </w:r>
          </w:p>
        </w:tc>
      </w:tr>
      <w:tr w:rsidR="007734B4" w:rsidRPr="00E128B3" w14:paraId="1D778595" w14:textId="77777777" w:rsidTr="00470F6E">
        <w:trPr>
          <w:trHeight w:val="227"/>
          <w:jc w:val="center"/>
        </w:trPr>
        <w:tc>
          <w:tcPr>
            <w:tcW w:w="287" w:type="pct"/>
            <w:shd w:val="clear" w:color="auto" w:fill="auto"/>
            <w:noWrap/>
            <w:vAlign w:val="center"/>
            <w:hideMark/>
          </w:tcPr>
          <w:p w14:paraId="0BC8CBE2"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AB2</w:t>
            </w:r>
          </w:p>
        </w:tc>
        <w:tc>
          <w:tcPr>
            <w:tcW w:w="1662" w:type="pct"/>
            <w:shd w:val="clear" w:color="auto" w:fill="auto"/>
            <w:noWrap/>
            <w:vAlign w:val="center"/>
            <w:hideMark/>
          </w:tcPr>
          <w:p w14:paraId="31424467"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Priority construction of city and municipality bypass roads</w:t>
            </w:r>
          </w:p>
        </w:tc>
        <w:tc>
          <w:tcPr>
            <w:tcW w:w="788" w:type="pct"/>
            <w:vMerge/>
            <w:vAlign w:val="center"/>
            <w:hideMark/>
          </w:tcPr>
          <w:p w14:paraId="5646F474" w14:textId="77777777" w:rsidR="00395345" w:rsidRPr="00E128B3" w:rsidRDefault="00395345" w:rsidP="00395345">
            <w:pPr>
              <w:jc w:val="center"/>
              <w:rPr>
                <w:rFonts w:ascii="Calibri" w:hAnsi="Calibri" w:cs="Calibri"/>
                <w:b/>
                <w:bCs/>
                <w:color w:val="006100"/>
                <w:sz w:val="20"/>
                <w:szCs w:val="20"/>
                <w:lang w:val="en-GB" w:eastAsia="cs-CZ"/>
              </w:rPr>
            </w:pPr>
          </w:p>
        </w:tc>
        <w:tc>
          <w:tcPr>
            <w:tcW w:w="2263" w:type="pct"/>
            <w:vMerge/>
            <w:vAlign w:val="center"/>
            <w:hideMark/>
          </w:tcPr>
          <w:p w14:paraId="7B1CDDD7" w14:textId="77777777" w:rsidR="00395345" w:rsidRPr="00E128B3" w:rsidRDefault="00395345" w:rsidP="00395345">
            <w:pPr>
              <w:jc w:val="center"/>
              <w:rPr>
                <w:rFonts w:ascii="Calibri" w:hAnsi="Calibri" w:cs="Calibri"/>
                <w:color w:val="FF0000"/>
                <w:sz w:val="20"/>
                <w:szCs w:val="20"/>
                <w:lang w:val="en-GB" w:eastAsia="cs-CZ"/>
              </w:rPr>
            </w:pPr>
          </w:p>
        </w:tc>
      </w:tr>
      <w:tr w:rsidR="007734B4" w:rsidRPr="00E128B3" w14:paraId="796B94CE" w14:textId="77777777" w:rsidTr="00470F6E">
        <w:trPr>
          <w:trHeight w:val="227"/>
          <w:jc w:val="center"/>
        </w:trPr>
        <w:tc>
          <w:tcPr>
            <w:tcW w:w="287" w:type="pct"/>
            <w:shd w:val="clear" w:color="auto" w:fill="auto"/>
            <w:noWrap/>
            <w:vAlign w:val="center"/>
            <w:hideMark/>
          </w:tcPr>
          <w:p w14:paraId="0D4C5E01"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AB21</w:t>
            </w:r>
          </w:p>
        </w:tc>
        <w:tc>
          <w:tcPr>
            <w:tcW w:w="1662" w:type="pct"/>
            <w:shd w:val="clear" w:color="auto" w:fill="auto"/>
            <w:vAlign w:val="center"/>
            <w:hideMark/>
          </w:tcPr>
          <w:p w14:paraId="45BEFAAB"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Renew the fleet in public administration with alternative fuel vehicles</w:t>
            </w:r>
          </w:p>
        </w:tc>
        <w:tc>
          <w:tcPr>
            <w:tcW w:w="788" w:type="pct"/>
            <w:shd w:val="clear" w:color="000000" w:fill="C6EFCE"/>
            <w:vAlign w:val="center"/>
            <w:hideMark/>
          </w:tcPr>
          <w:p w14:paraId="4AA355B3"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Implemented on a continuous basis</w:t>
            </w:r>
          </w:p>
        </w:tc>
        <w:tc>
          <w:tcPr>
            <w:tcW w:w="2263" w:type="pct"/>
            <w:shd w:val="clear" w:color="000000" w:fill="FFC7CE"/>
            <w:vAlign w:val="center"/>
            <w:hideMark/>
          </w:tcPr>
          <w:p w14:paraId="771B9D39" w14:textId="77777777" w:rsidR="00395345" w:rsidRPr="00E128B3" w:rsidRDefault="00395345" w:rsidP="00395345">
            <w:pPr>
              <w:jc w:val="center"/>
              <w:rPr>
                <w:rFonts w:ascii="Calibri" w:hAnsi="Calibri" w:cs="Calibri"/>
                <w:b/>
                <w:bCs/>
                <w:color w:val="9C0006"/>
                <w:sz w:val="20"/>
                <w:szCs w:val="20"/>
                <w:lang w:val="en-GB" w:eastAsia="cs-CZ"/>
              </w:rPr>
            </w:pPr>
            <w:r w:rsidRPr="00E128B3">
              <w:rPr>
                <w:rFonts w:ascii="Calibri" w:eastAsia="Calibri" w:hAnsi="Calibri" w:cs="Calibri"/>
                <w:b/>
                <w:color w:val="9C0006"/>
                <w:sz w:val="20"/>
                <w:szCs w:val="20"/>
                <w:lang w:val="en-GB" w:bidi="en-GB"/>
              </w:rPr>
              <w:t>Not implemented</w:t>
            </w:r>
          </w:p>
        </w:tc>
      </w:tr>
      <w:tr w:rsidR="007734B4" w:rsidRPr="00E128B3" w14:paraId="66A94A29" w14:textId="77777777" w:rsidTr="00470F6E">
        <w:trPr>
          <w:trHeight w:val="227"/>
          <w:jc w:val="center"/>
        </w:trPr>
        <w:tc>
          <w:tcPr>
            <w:tcW w:w="287" w:type="pct"/>
            <w:shd w:val="clear" w:color="auto" w:fill="auto"/>
            <w:noWrap/>
            <w:vAlign w:val="center"/>
            <w:hideMark/>
          </w:tcPr>
          <w:p w14:paraId="2F38A1D7"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AB22</w:t>
            </w:r>
          </w:p>
        </w:tc>
        <w:tc>
          <w:tcPr>
            <w:tcW w:w="1662" w:type="pct"/>
            <w:shd w:val="clear" w:color="auto" w:fill="auto"/>
            <w:vAlign w:val="center"/>
            <w:hideMark/>
          </w:tcPr>
          <w:p w14:paraId="2AA58A73"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Improve the functionality of the system of regular vehicle inspections</w:t>
            </w:r>
          </w:p>
        </w:tc>
        <w:tc>
          <w:tcPr>
            <w:tcW w:w="788" w:type="pct"/>
            <w:shd w:val="clear" w:color="000000" w:fill="C6EFCE"/>
            <w:vAlign w:val="center"/>
            <w:hideMark/>
          </w:tcPr>
          <w:p w14:paraId="2BBD3359" w14:textId="77777777" w:rsidR="00395345" w:rsidRPr="00E128B3" w:rsidRDefault="00395345" w:rsidP="00395345">
            <w:pPr>
              <w:jc w:val="center"/>
              <w:rPr>
                <w:rFonts w:ascii="Calibri" w:hAnsi="Calibri" w:cs="Calibri"/>
                <w:color w:val="006100"/>
                <w:sz w:val="20"/>
                <w:szCs w:val="20"/>
                <w:lang w:val="en-GB" w:eastAsia="cs-CZ"/>
              </w:rPr>
            </w:pPr>
            <w:r w:rsidRPr="00E128B3">
              <w:rPr>
                <w:rFonts w:ascii="Calibri" w:eastAsia="Calibri" w:hAnsi="Calibri" w:cs="Calibri"/>
                <w:color w:val="006100"/>
                <w:sz w:val="20"/>
                <w:szCs w:val="20"/>
                <w:lang w:val="en-GB" w:bidi="en-GB"/>
              </w:rPr>
              <w:t>Completed</w:t>
            </w:r>
          </w:p>
        </w:tc>
        <w:tc>
          <w:tcPr>
            <w:tcW w:w="2263" w:type="pct"/>
            <w:shd w:val="clear" w:color="000000" w:fill="C6EFCE"/>
            <w:vAlign w:val="center"/>
            <w:hideMark/>
          </w:tcPr>
          <w:p w14:paraId="1467A172" w14:textId="58B946A1" w:rsidR="00395345" w:rsidRPr="00E128B3" w:rsidRDefault="00395345" w:rsidP="00395345">
            <w:pPr>
              <w:jc w:val="center"/>
              <w:rPr>
                <w:rFonts w:ascii="Calibri" w:hAnsi="Calibri" w:cs="Calibri"/>
                <w:color w:val="006100"/>
                <w:sz w:val="20"/>
                <w:szCs w:val="20"/>
                <w:lang w:val="en-GB" w:eastAsia="cs-CZ"/>
              </w:rPr>
            </w:pPr>
            <w:r w:rsidRPr="00E128B3">
              <w:rPr>
                <w:rFonts w:ascii="Calibri" w:eastAsia="Calibri" w:hAnsi="Calibri" w:cs="Calibri"/>
                <w:b/>
                <w:color w:val="FF0000"/>
                <w:sz w:val="20"/>
                <w:szCs w:val="20"/>
                <w:lang w:val="en-GB" w:bidi="en-GB"/>
              </w:rPr>
              <w:t>Implemented on a continuous basis.</w:t>
            </w:r>
            <w:r w:rsidRPr="00E128B3">
              <w:rPr>
                <w:rFonts w:ascii="Calibri" w:eastAsia="Calibri" w:hAnsi="Calibri" w:cs="Calibri"/>
                <w:b/>
                <w:color w:val="FF0000"/>
                <w:sz w:val="20"/>
                <w:szCs w:val="20"/>
                <w:lang w:val="en-GB" w:bidi="en-GB"/>
              </w:rPr>
              <w:br/>
            </w:r>
            <w:r w:rsidRPr="00E128B3">
              <w:rPr>
                <w:rFonts w:ascii="Calibri" w:eastAsia="Calibri" w:hAnsi="Calibri" w:cs="Calibri"/>
                <w:color w:val="FF0000"/>
                <w:sz w:val="20"/>
                <w:szCs w:val="20"/>
                <w:lang w:val="en-GB" w:bidi="en-GB"/>
              </w:rPr>
              <w:t>The latest research recommends more extensive modifications of the legislation.</w:t>
            </w:r>
          </w:p>
        </w:tc>
      </w:tr>
      <w:tr w:rsidR="007734B4" w:rsidRPr="00E128B3" w14:paraId="3B21FEC0" w14:textId="77777777" w:rsidTr="00470F6E">
        <w:trPr>
          <w:trHeight w:val="227"/>
          <w:jc w:val="center"/>
        </w:trPr>
        <w:tc>
          <w:tcPr>
            <w:tcW w:w="287" w:type="pct"/>
            <w:shd w:val="clear" w:color="auto" w:fill="auto"/>
            <w:noWrap/>
            <w:vAlign w:val="center"/>
            <w:hideMark/>
          </w:tcPr>
          <w:p w14:paraId="078EE622" w14:textId="77777777" w:rsidR="00395345" w:rsidRPr="00E128B3" w:rsidRDefault="00395345" w:rsidP="001757EC">
            <w:pPr>
              <w:keepLines/>
              <w:ind w:right="-57"/>
              <w:rPr>
                <w:rFonts w:ascii="Calibri" w:hAnsi="Calibri" w:cs="Calibri"/>
                <w:sz w:val="20"/>
                <w:szCs w:val="20"/>
                <w:lang w:val="en-GB" w:eastAsia="cs-CZ"/>
              </w:rPr>
            </w:pPr>
            <w:r w:rsidRPr="00E128B3">
              <w:rPr>
                <w:rFonts w:ascii="Calibri" w:eastAsia="Calibri" w:hAnsi="Calibri" w:cs="Calibri"/>
                <w:sz w:val="20"/>
                <w:szCs w:val="20"/>
                <w:lang w:val="en-GB" w:bidi="en-GB"/>
              </w:rPr>
              <w:t>AB23</w:t>
            </w:r>
          </w:p>
        </w:tc>
        <w:tc>
          <w:tcPr>
            <w:tcW w:w="1662" w:type="pct"/>
            <w:shd w:val="clear" w:color="auto" w:fill="auto"/>
            <w:vAlign w:val="center"/>
            <w:hideMark/>
          </w:tcPr>
          <w:p w14:paraId="101F54A9" w14:textId="77777777" w:rsidR="00395345" w:rsidRPr="00E128B3" w:rsidRDefault="00395345" w:rsidP="001757EC">
            <w:pPr>
              <w:keepLines/>
              <w:rPr>
                <w:rFonts w:ascii="Calibri" w:hAnsi="Calibri" w:cs="Calibri"/>
                <w:sz w:val="20"/>
                <w:szCs w:val="20"/>
                <w:lang w:val="en-GB" w:eastAsia="cs-CZ"/>
              </w:rPr>
            </w:pPr>
            <w:r w:rsidRPr="00E128B3">
              <w:rPr>
                <w:rFonts w:ascii="Calibri" w:eastAsia="Calibri" w:hAnsi="Calibri" w:cs="Calibri"/>
                <w:sz w:val="20"/>
                <w:szCs w:val="20"/>
                <w:lang w:val="en-GB" w:bidi="en-GB"/>
              </w:rPr>
              <w:t>Shift freight from roads to railways</w:t>
            </w:r>
          </w:p>
        </w:tc>
        <w:tc>
          <w:tcPr>
            <w:tcW w:w="788" w:type="pct"/>
            <w:shd w:val="clear" w:color="000000" w:fill="C6EFCE"/>
            <w:vAlign w:val="center"/>
            <w:hideMark/>
          </w:tcPr>
          <w:p w14:paraId="1CFF949D" w14:textId="77777777" w:rsidR="00395345" w:rsidRPr="00E128B3" w:rsidRDefault="00395345" w:rsidP="001757EC">
            <w:pPr>
              <w:keepLines/>
              <w:jc w:val="center"/>
              <w:rPr>
                <w:rFonts w:ascii="Calibri" w:hAnsi="Calibri" w:cs="Calibri"/>
                <w:color w:val="006100"/>
                <w:sz w:val="20"/>
                <w:szCs w:val="20"/>
                <w:lang w:val="en-GB" w:eastAsia="cs-CZ"/>
              </w:rPr>
            </w:pPr>
            <w:r w:rsidRPr="00E128B3">
              <w:rPr>
                <w:rFonts w:ascii="Calibri" w:eastAsia="Calibri" w:hAnsi="Calibri" w:cs="Calibri"/>
                <w:color w:val="006100"/>
                <w:sz w:val="20"/>
                <w:szCs w:val="20"/>
                <w:lang w:val="en-GB" w:bidi="en-GB"/>
              </w:rPr>
              <w:t>Implemented partially</w:t>
            </w:r>
          </w:p>
        </w:tc>
        <w:tc>
          <w:tcPr>
            <w:tcW w:w="2263" w:type="pct"/>
            <w:shd w:val="clear" w:color="000000" w:fill="C6EFCE"/>
            <w:vAlign w:val="center"/>
            <w:hideMark/>
          </w:tcPr>
          <w:p w14:paraId="13F50DE0" w14:textId="77777777" w:rsidR="00395345" w:rsidRPr="00E128B3" w:rsidRDefault="00395345" w:rsidP="001757EC">
            <w:pPr>
              <w:keepLines/>
              <w:jc w:val="center"/>
              <w:rPr>
                <w:rFonts w:ascii="Calibri" w:hAnsi="Calibri" w:cs="Calibri"/>
                <w:b/>
                <w:bCs/>
                <w:color w:val="FF0000"/>
                <w:sz w:val="20"/>
                <w:szCs w:val="20"/>
                <w:lang w:val="en-GB" w:eastAsia="cs-CZ"/>
              </w:rPr>
            </w:pPr>
            <w:r w:rsidRPr="00E128B3">
              <w:rPr>
                <w:rFonts w:ascii="Calibri" w:eastAsia="Calibri" w:hAnsi="Calibri" w:cs="Calibri"/>
                <w:b/>
                <w:color w:val="FF0000"/>
                <w:sz w:val="20"/>
                <w:szCs w:val="20"/>
                <w:lang w:val="en-GB" w:bidi="en-GB"/>
              </w:rPr>
              <w:t>Implemented on a continuous basis</w:t>
            </w:r>
            <w:r w:rsidRPr="00E128B3">
              <w:rPr>
                <w:rFonts w:ascii="Calibri" w:eastAsia="Calibri" w:hAnsi="Calibri" w:cs="Calibri"/>
                <w:b/>
                <w:color w:val="FF0000"/>
                <w:sz w:val="20"/>
                <w:szCs w:val="20"/>
                <w:lang w:val="en-GB" w:bidi="en-GB"/>
              </w:rPr>
              <w:br/>
            </w:r>
            <w:r w:rsidRPr="00E128B3">
              <w:rPr>
                <w:rFonts w:ascii="Calibri" w:eastAsia="Calibri" w:hAnsi="Calibri" w:cs="Calibri"/>
                <w:color w:val="FF0000"/>
                <w:sz w:val="20"/>
                <w:szCs w:val="20"/>
                <w:lang w:val="en-GB" w:bidi="en-GB"/>
              </w:rPr>
              <w:t>With regard to the nature of the measure, the fulfilment of this indicator by PA1 of the OPT, and the results of an analysis, there are significant risks of the failure to implement the measure in full and in time.</w:t>
            </w:r>
          </w:p>
        </w:tc>
      </w:tr>
      <w:tr w:rsidR="007734B4" w:rsidRPr="00E128B3" w14:paraId="5B3732B3" w14:textId="77777777" w:rsidTr="00470F6E">
        <w:trPr>
          <w:trHeight w:val="227"/>
          <w:jc w:val="center"/>
        </w:trPr>
        <w:tc>
          <w:tcPr>
            <w:tcW w:w="287" w:type="pct"/>
            <w:shd w:val="clear" w:color="auto" w:fill="auto"/>
            <w:noWrap/>
            <w:vAlign w:val="center"/>
            <w:hideMark/>
          </w:tcPr>
          <w:p w14:paraId="2236E451"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AB24</w:t>
            </w:r>
          </w:p>
        </w:tc>
        <w:tc>
          <w:tcPr>
            <w:tcW w:w="1662" w:type="pct"/>
            <w:shd w:val="clear" w:color="auto" w:fill="auto"/>
            <w:noWrap/>
            <w:vAlign w:val="center"/>
            <w:hideMark/>
          </w:tcPr>
          <w:p w14:paraId="2EE1C5BA"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Lay down the conditions for the operation of construction machinery</w:t>
            </w:r>
          </w:p>
        </w:tc>
        <w:tc>
          <w:tcPr>
            <w:tcW w:w="788" w:type="pct"/>
            <w:shd w:val="clear" w:color="000000" w:fill="FFC7CE"/>
            <w:vAlign w:val="center"/>
            <w:hideMark/>
          </w:tcPr>
          <w:p w14:paraId="266B434B" w14:textId="77777777" w:rsidR="00395345" w:rsidRPr="00E128B3" w:rsidRDefault="00395345" w:rsidP="001A523D">
            <w:pPr>
              <w:jc w:val="center"/>
              <w:rPr>
                <w:rFonts w:ascii="Calibri" w:hAnsi="Calibri" w:cs="Calibri"/>
                <w:color w:val="9C0006"/>
                <w:sz w:val="20"/>
                <w:szCs w:val="20"/>
                <w:lang w:val="en-GB" w:eastAsia="cs-CZ"/>
              </w:rPr>
            </w:pPr>
            <w:r w:rsidRPr="00E128B3">
              <w:rPr>
                <w:rFonts w:ascii="Calibri" w:eastAsia="Calibri" w:hAnsi="Calibri" w:cs="Calibri"/>
                <w:b/>
                <w:color w:val="9C0006"/>
                <w:sz w:val="20"/>
                <w:szCs w:val="20"/>
                <w:lang w:val="en-GB" w:bidi="en-GB"/>
              </w:rPr>
              <w:t>Deadline missed</w:t>
            </w:r>
            <w:r w:rsidRPr="00E128B3">
              <w:rPr>
                <w:rFonts w:ascii="Calibri" w:eastAsia="Calibri" w:hAnsi="Calibri" w:cs="Calibri"/>
                <w:color w:val="9C0006"/>
                <w:sz w:val="20"/>
                <w:szCs w:val="20"/>
                <w:lang w:val="en-GB" w:bidi="en-GB"/>
              </w:rPr>
              <w:t>; expected to be completed by the end of 2017.</w:t>
            </w:r>
          </w:p>
        </w:tc>
        <w:tc>
          <w:tcPr>
            <w:tcW w:w="2263" w:type="pct"/>
            <w:shd w:val="clear" w:color="000000" w:fill="FFC7CE"/>
            <w:vAlign w:val="center"/>
            <w:hideMark/>
          </w:tcPr>
          <w:p w14:paraId="7C015C19" w14:textId="77777777" w:rsidR="00395345" w:rsidRPr="00E128B3" w:rsidRDefault="00395345" w:rsidP="00395345">
            <w:pPr>
              <w:jc w:val="center"/>
              <w:rPr>
                <w:rFonts w:ascii="Calibri" w:hAnsi="Calibri" w:cs="Calibri"/>
                <w:color w:val="9C0006"/>
                <w:sz w:val="20"/>
                <w:szCs w:val="20"/>
                <w:lang w:val="en-GB" w:eastAsia="cs-CZ"/>
              </w:rPr>
            </w:pPr>
            <w:r w:rsidRPr="00E128B3">
              <w:rPr>
                <w:rFonts w:ascii="Calibri" w:eastAsia="Calibri" w:hAnsi="Calibri" w:cs="Calibri"/>
                <w:b/>
                <w:color w:val="9C0006"/>
                <w:sz w:val="20"/>
                <w:szCs w:val="20"/>
                <w:lang w:val="en-GB" w:bidi="en-GB"/>
              </w:rPr>
              <w:t>Deadline missed</w:t>
            </w:r>
            <w:r w:rsidRPr="00E128B3">
              <w:rPr>
                <w:rFonts w:ascii="Calibri" w:eastAsia="Calibri" w:hAnsi="Calibri" w:cs="Calibri"/>
                <w:b/>
                <w:color w:val="9C0006"/>
                <w:sz w:val="20"/>
                <w:szCs w:val="20"/>
                <w:lang w:val="en-GB" w:bidi="en-GB"/>
              </w:rPr>
              <w:br/>
              <w:t>(repeatedly)</w:t>
            </w:r>
            <w:r w:rsidRPr="00E128B3">
              <w:rPr>
                <w:rFonts w:ascii="Calibri" w:eastAsia="Calibri" w:hAnsi="Calibri" w:cs="Calibri"/>
                <w:color w:val="9C0006"/>
                <w:sz w:val="20"/>
                <w:szCs w:val="20"/>
                <w:lang w:val="en-GB" w:bidi="en-GB"/>
              </w:rPr>
              <w:br/>
              <w:t>expected to be completed by the end of 2018</w:t>
            </w:r>
          </w:p>
        </w:tc>
      </w:tr>
      <w:tr w:rsidR="007734B4" w:rsidRPr="00E128B3" w14:paraId="313105FF" w14:textId="77777777" w:rsidTr="00470F6E">
        <w:trPr>
          <w:trHeight w:val="227"/>
          <w:jc w:val="center"/>
        </w:trPr>
        <w:tc>
          <w:tcPr>
            <w:tcW w:w="287" w:type="pct"/>
            <w:shd w:val="clear" w:color="auto" w:fill="auto"/>
            <w:noWrap/>
            <w:vAlign w:val="center"/>
            <w:hideMark/>
          </w:tcPr>
          <w:p w14:paraId="6FA0F489"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AB25</w:t>
            </w:r>
          </w:p>
        </w:tc>
        <w:tc>
          <w:tcPr>
            <w:tcW w:w="1662" w:type="pct"/>
            <w:shd w:val="clear" w:color="auto" w:fill="auto"/>
            <w:vAlign w:val="center"/>
            <w:hideMark/>
          </w:tcPr>
          <w:p w14:paraId="0CD2211C"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Authorise municipalities to issue a decree governing the conditions for the transport of bulk materials by commercial vehicles</w:t>
            </w:r>
          </w:p>
        </w:tc>
        <w:tc>
          <w:tcPr>
            <w:tcW w:w="788" w:type="pct"/>
            <w:shd w:val="clear" w:color="000000" w:fill="FFEB9C"/>
            <w:vAlign w:val="center"/>
            <w:hideMark/>
          </w:tcPr>
          <w:p w14:paraId="744CF407" w14:textId="77777777" w:rsidR="00395345" w:rsidRPr="00E128B3" w:rsidRDefault="00395345" w:rsidP="001A523D">
            <w:pPr>
              <w:jc w:val="center"/>
              <w:rPr>
                <w:rFonts w:ascii="Calibri" w:hAnsi="Calibri" w:cs="Calibri"/>
                <w:color w:val="FF0000"/>
                <w:sz w:val="20"/>
                <w:szCs w:val="20"/>
                <w:lang w:val="en-GB" w:eastAsia="cs-CZ"/>
              </w:rPr>
            </w:pPr>
            <w:r w:rsidRPr="00E128B3">
              <w:rPr>
                <w:rFonts w:ascii="Calibri" w:eastAsia="Calibri" w:hAnsi="Calibri" w:cs="Calibri"/>
                <w:b/>
                <w:color w:val="FF0000"/>
                <w:sz w:val="20"/>
                <w:szCs w:val="20"/>
                <w:lang w:val="en-GB" w:bidi="en-GB"/>
              </w:rPr>
              <w:t xml:space="preserve">Cannot be implemented </w:t>
            </w:r>
            <w:r w:rsidRPr="00E128B3">
              <w:rPr>
                <w:rFonts w:ascii="Calibri" w:eastAsia="Calibri" w:hAnsi="Calibri" w:cs="Calibri"/>
                <w:b/>
                <w:color w:val="FF0000"/>
                <w:sz w:val="20"/>
                <w:szCs w:val="20"/>
                <w:lang w:val="en-GB" w:bidi="en-GB"/>
              </w:rPr>
              <w:br/>
            </w:r>
            <w:r w:rsidRPr="00E128B3">
              <w:rPr>
                <w:rFonts w:ascii="Calibri" w:eastAsia="Calibri" w:hAnsi="Calibri" w:cs="Calibri"/>
                <w:color w:val="FF0000"/>
                <w:sz w:val="20"/>
                <w:szCs w:val="20"/>
                <w:lang w:val="en-GB" w:bidi="en-GB"/>
              </w:rPr>
              <w:t>as per the ruling of the Constitutional Court</w:t>
            </w:r>
          </w:p>
        </w:tc>
        <w:tc>
          <w:tcPr>
            <w:tcW w:w="2263" w:type="pct"/>
            <w:shd w:val="clear" w:color="000000" w:fill="FFC7CE"/>
            <w:vAlign w:val="center"/>
            <w:hideMark/>
          </w:tcPr>
          <w:p w14:paraId="473AADF9" w14:textId="77777777" w:rsidR="00395345" w:rsidRPr="00E128B3" w:rsidRDefault="00395345" w:rsidP="00395345">
            <w:pPr>
              <w:jc w:val="center"/>
              <w:rPr>
                <w:rFonts w:ascii="Calibri" w:hAnsi="Calibri" w:cs="Calibri"/>
                <w:color w:val="9C0006"/>
                <w:sz w:val="20"/>
                <w:szCs w:val="20"/>
                <w:lang w:val="en-GB" w:eastAsia="cs-CZ"/>
              </w:rPr>
            </w:pPr>
            <w:r w:rsidRPr="00E128B3">
              <w:rPr>
                <w:rFonts w:ascii="Calibri" w:eastAsia="Calibri" w:hAnsi="Calibri" w:cs="Calibri"/>
                <w:b/>
                <w:color w:val="9C0006"/>
                <w:sz w:val="20"/>
                <w:szCs w:val="20"/>
                <w:lang w:val="en-GB" w:bidi="en-GB"/>
              </w:rPr>
              <w:t>Not implemented</w:t>
            </w:r>
            <w:r w:rsidRPr="00E128B3">
              <w:rPr>
                <w:rFonts w:ascii="Calibri" w:eastAsia="Calibri" w:hAnsi="Calibri" w:cs="Calibri"/>
                <w:color w:val="9C0006"/>
                <w:sz w:val="20"/>
                <w:szCs w:val="20"/>
                <w:lang w:val="en-GB" w:bidi="en-GB"/>
              </w:rPr>
              <w:br/>
              <w:t>cannot be implemented, as per the ruling of the Constitutional Court</w:t>
            </w:r>
          </w:p>
        </w:tc>
      </w:tr>
      <w:tr w:rsidR="007734B4" w:rsidRPr="00E128B3" w14:paraId="1E313B00" w14:textId="77777777" w:rsidTr="00470F6E">
        <w:trPr>
          <w:trHeight w:val="227"/>
          <w:jc w:val="center"/>
        </w:trPr>
        <w:tc>
          <w:tcPr>
            <w:tcW w:w="287" w:type="pct"/>
            <w:shd w:val="clear" w:color="auto" w:fill="auto"/>
            <w:noWrap/>
            <w:vAlign w:val="center"/>
            <w:hideMark/>
          </w:tcPr>
          <w:p w14:paraId="40BFC7A0"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CB1</w:t>
            </w:r>
          </w:p>
        </w:tc>
        <w:tc>
          <w:tcPr>
            <w:tcW w:w="1662" w:type="pct"/>
            <w:shd w:val="clear" w:color="auto" w:fill="auto"/>
            <w:vAlign w:val="center"/>
            <w:hideMark/>
          </w:tcPr>
          <w:p w14:paraId="185A239D"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Reduce ammonia emissions from the application of fertilisers to arable land and from livestock production beyond the minimum requirements of the Good Agricultural Practice.</w:t>
            </w:r>
          </w:p>
        </w:tc>
        <w:tc>
          <w:tcPr>
            <w:tcW w:w="788" w:type="pct"/>
            <w:shd w:val="clear" w:color="000000" w:fill="C6EFCE"/>
            <w:vAlign w:val="center"/>
            <w:hideMark/>
          </w:tcPr>
          <w:p w14:paraId="5514F362"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Implemented on a continuous basis</w:t>
            </w:r>
          </w:p>
        </w:tc>
        <w:tc>
          <w:tcPr>
            <w:tcW w:w="2263" w:type="pct"/>
            <w:shd w:val="clear" w:color="000000" w:fill="C6EFCE"/>
            <w:vAlign w:val="center"/>
            <w:hideMark/>
          </w:tcPr>
          <w:p w14:paraId="1FC9DD08" w14:textId="6E69B998" w:rsidR="00395345" w:rsidRPr="00E128B3" w:rsidRDefault="00395345" w:rsidP="00395345">
            <w:pPr>
              <w:jc w:val="center"/>
              <w:rPr>
                <w:rFonts w:ascii="Calibri" w:hAnsi="Calibri" w:cs="Calibri"/>
                <w:color w:val="006100"/>
                <w:sz w:val="20"/>
                <w:szCs w:val="20"/>
                <w:lang w:val="en-GB" w:eastAsia="cs-CZ"/>
              </w:rPr>
            </w:pPr>
            <w:r w:rsidRPr="00E128B3">
              <w:rPr>
                <w:rFonts w:ascii="Calibri" w:eastAsia="Calibri" w:hAnsi="Calibri" w:cs="Calibri"/>
                <w:b/>
                <w:color w:val="006100"/>
                <w:sz w:val="20"/>
                <w:szCs w:val="20"/>
                <w:lang w:val="en-GB" w:bidi="en-GB"/>
              </w:rPr>
              <w:t>Implemented on a continuous basis.</w:t>
            </w:r>
            <w:r w:rsidRPr="00E128B3">
              <w:rPr>
                <w:rFonts w:ascii="Calibri" w:eastAsia="Calibri" w:hAnsi="Calibri" w:cs="Calibri"/>
                <w:color w:val="006100"/>
                <w:sz w:val="20"/>
                <w:szCs w:val="20"/>
                <w:lang w:val="en-GB" w:bidi="en-GB"/>
              </w:rPr>
              <w:br/>
              <w:t xml:space="preserve">The measure was supported under SO 2.2. in PA2 </w:t>
            </w:r>
            <w:r w:rsidR="00470F6E">
              <w:rPr>
                <w:rFonts w:ascii="Calibri" w:eastAsia="Calibri" w:hAnsi="Calibri" w:cs="Calibri"/>
                <w:color w:val="006100"/>
                <w:sz w:val="20"/>
                <w:szCs w:val="20"/>
                <w:lang w:val="en-GB" w:bidi="en-GB"/>
              </w:rPr>
              <w:br/>
            </w:r>
            <w:r w:rsidRPr="00E128B3">
              <w:rPr>
                <w:rFonts w:ascii="Calibri" w:eastAsia="Calibri" w:hAnsi="Calibri" w:cs="Calibri"/>
                <w:color w:val="006100"/>
                <w:sz w:val="20"/>
                <w:szCs w:val="20"/>
                <w:lang w:val="en-GB" w:bidi="en-GB"/>
              </w:rPr>
              <w:t>of the OPE.</w:t>
            </w:r>
            <w:r w:rsidRPr="00E128B3">
              <w:rPr>
                <w:rFonts w:ascii="Calibri" w:eastAsia="Calibri" w:hAnsi="Calibri" w:cs="Calibri"/>
                <w:color w:val="006100"/>
                <w:sz w:val="20"/>
                <w:szCs w:val="20"/>
                <w:lang w:val="en-GB" w:bidi="en-GB"/>
              </w:rPr>
              <w:br/>
            </w:r>
            <w:r w:rsidRPr="00E128B3">
              <w:rPr>
                <w:rFonts w:ascii="Calibri" w:eastAsia="Calibri" w:hAnsi="Calibri" w:cs="Calibri"/>
                <w:color w:val="9C6500"/>
                <w:sz w:val="20"/>
                <w:szCs w:val="20"/>
                <w:lang w:val="en-GB" w:bidi="en-GB"/>
              </w:rPr>
              <w:t>In addition, it is supported from the RDP, which was not included in the audit.</w:t>
            </w:r>
          </w:p>
        </w:tc>
      </w:tr>
      <w:tr w:rsidR="007734B4" w:rsidRPr="00E128B3" w14:paraId="5C374D61" w14:textId="77777777" w:rsidTr="00470F6E">
        <w:trPr>
          <w:trHeight w:val="227"/>
          <w:jc w:val="center"/>
        </w:trPr>
        <w:tc>
          <w:tcPr>
            <w:tcW w:w="287" w:type="pct"/>
            <w:shd w:val="clear" w:color="auto" w:fill="auto"/>
            <w:noWrap/>
            <w:vAlign w:val="center"/>
            <w:hideMark/>
          </w:tcPr>
          <w:p w14:paraId="61B1203A"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CB7</w:t>
            </w:r>
          </w:p>
        </w:tc>
        <w:tc>
          <w:tcPr>
            <w:tcW w:w="1662" w:type="pct"/>
            <w:shd w:val="clear" w:color="auto" w:fill="auto"/>
            <w:noWrap/>
            <w:vAlign w:val="center"/>
            <w:hideMark/>
          </w:tcPr>
          <w:p w14:paraId="632E37DF" w14:textId="77777777" w:rsidR="00395345" w:rsidRPr="00E128B3" w:rsidRDefault="00395345" w:rsidP="00395345">
            <w:pPr>
              <w:rPr>
                <w:rFonts w:ascii="Calibri" w:hAnsi="Calibri" w:cs="Calibri"/>
                <w:sz w:val="20"/>
                <w:szCs w:val="20"/>
                <w:lang w:val="en-GB" w:eastAsia="cs-CZ"/>
              </w:rPr>
            </w:pPr>
            <w:r w:rsidRPr="00E128B3">
              <w:rPr>
                <w:rFonts w:ascii="Calibri" w:eastAsia="Calibri" w:hAnsi="Calibri" w:cs="Calibri"/>
                <w:sz w:val="20"/>
                <w:szCs w:val="20"/>
                <w:lang w:val="en-GB" w:bidi="en-GB"/>
              </w:rPr>
              <w:t>Reduce ammonia emissions from the application of mineral fertilisers</w:t>
            </w:r>
          </w:p>
        </w:tc>
        <w:tc>
          <w:tcPr>
            <w:tcW w:w="788" w:type="pct"/>
            <w:shd w:val="clear" w:color="000000" w:fill="C6EFCE"/>
            <w:vAlign w:val="center"/>
            <w:hideMark/>
          </w:tcPr>
          <w:p w14:paraId="7F2247F1" w14:textId="77777777" w:rsidR="00395345" w:rsidRPr="00E128B3" w:rsidRDefault="00395345" w:rsidP="007734B4">
            <w:pPr>
              <w:jc w:val="center"/>
              <w:rPr>
                <w:rFonts w:ascii="Calibri" w:hAnsi="Calibri" w:cs="Calibri"/>
                <w:color w:val="006100"/>
                <w:sz w:val="20"/>
                <w:szCs w:val="20"/>
                <w:lang w:val="en-GB" w:eastAsia="cs-CZ"/>
              </w:rPr>
            </w:pPr>
            <w:r w:rsidRPr="00E128B3">
              <w:rPr>
                <w:rFonts w:ascii="Calibri" w:eastAsia="Calibri" w:hAnsi="Calibri" w:cs="Calibri"/>
                <w:b/>
                <w:color w:val="006100"/>
                <w:sz w:val="20"/>
                <w:szCs w:val="20"/>
                <w:lang w:val="en-GB" w:bidi="en-GB"/>
              </w:rPr>
              <w:t xml:space="preserve">Will be implemented </w:t>
            </w:r>
            <w:r w:rsidRPr="00E128B3">
              <w:rPr>
                <w:rFonts w:ascii="Calibri" w:eastAsia="Calibri" w:hAnsi="Calibri" w:cs="Calibri"/>
                <w:b/>
                <w:color w:val="006100"/>
                <w:sz w:val="20"/>
                <w:szCs w:val="20"/>
                <w:lang w:val="en-GB" w:bidi="en-GB"/>
              </w:rPr>
              <w:br/>
            </w:r>
            <w:r w:rsidRPr="00E128B3">
              <w:rPr>
                <w:rFonts w:ascii="Calibri" w:eastAsia="Calibri" w:hAnsi="Calibri" w:cs="Calibri"/>
                <w:color w:val="006100"/>
                <w:sz w:val="20"/>
                <w:szCs w:val="20"/>
                <w:lang w:val="en-GB" w:bidi="en-GB"/>
              </w:rPr>
              <w:t>by an amendment to Decree No. 377/2013</w:t>
            </w:r>
          </w:p>
        </w:tc>
        <w:tc>
          <w:tcPr>
            <w:tcW w:w="2263" w:type="pct"/>
            <w:shd w:val="clear" w:color="000000" w:fill="C6EFCE"/>
            <w:vAlign w:val="center"/>
            <w:hideMark/>
          </w:tcPr>
          <w:p w14:paraId="612ED1E6" w14:textId="0BF937D5" w:rsidR="00395345" w:rsidRPr="00E128B3" w:rsidRDefault="00395345" w:rsidP="00395345">
            <w:pPr>
              <w:jc w:val="center"/>
              <w:rPr>
                <w:rFonts w:ascii="Calibri" w:hAnsi="Calibri" w:cs="Calibri"/>
                <w:color w:val="006100"/>
                <w:sz w:val="20"/>
                <w:szCs w:val="20"/>
                <w:lang w:val="en-GB" w:eastAsia="cs-CZ"/>
              </w:rPr>
            </w:pPr>
            <w:r w:rsidRPr="00E128B3">
              <w:rPr>
                <w:rFonts w:ascii="Calibri" w:eastAsia="Calibri" w:hAnsi="Calibri" w:cs="Calibri"/>
                <w:b/>
                <w:color w:val="006100"/>
                <w:sz w:val="20"/>
                <w:szCs w:val="20"/>
                <w:lang w:val="en-GB" w:bidi="en-GB"/>
              </w:rPr>
              <w:t>Will be implemented</w:t>
            </w:r>
            <w:r w:rsidRPr="00E128B3">
              <w:rPr>
                <w:rFonts w:ascii="Calibri" w:eastAsia="Calibri" w:hAnsi="Calibri" w:cs="Calibri"/>
                <w:color w:val="006100"/>
                <w:sz w:val="20"/>
                <w:szCs w:val="20"/>
                <w:lang w:val="en-GB" w:bidi="en-GB"/>
              </w:rPr>
              <w:br/>
              <w:t>by an amendment to Decree No. 377/2013.</w:t>
            </w:r>
            <w:r w:rsidRPr="00E128B3">
              <w:rPr>
                <w:rFonts w:ascii="Calibri" w:eastAsia="Calibri" w:hAnsi="Calibri" w:cs="Calibri"/>
                <w:color w:val="006100"/>
                <w:sz w:val="20"/>
                <w:szCs w:val="20"/>
                <w:lang w:val="en-GB" w:bidi="en-GB"/>
              </w:rPr>
              <w:br/>
            </w:r>
            <w:r w:rsidR="00CB584B" w:rsidRPr="00E128B3">
              <w:rPr>
                <w:rFonts w:ascii="Calibri" w:eastAsia="Calibri" w:hAnsi="Calibri" w:cs="Calibri"/>
                <w:color w:val="FF0000"/>
                <w:sz w:val="20"/>
                <w:szCs w:val="20"/>
                <w:lang w:val="en-GB" w:bidi="en-GB"/>
              </w:rPr>
              <w:t>The amendment had not been passed before the conclusion of the SAO audit.</w:t>
            </w:r>
          </w:p>
        </w:tc>
      </w:tr>
      <w:tr w:rsidR="007734B4" w:rsidRPr="00E128B3" w14:paraId="6BDD29CB" w14:textId="77777777" w:rsidTr="00470F6E">
        <w:trPr>
          <w:trHeight w:val="227"/>
          <w:jc w:val="center"/>
        </w:trPr>
        <w:tc>
          <w:tcPr>
            <w:tcW w:w="287" w:type="pct"/>
            <w:shd w:val="clear" w:color="auto" w:fill="auto"/>
            <w:noWrap/>
            <w:vAlign w:val="center"/>
            <w:hideMark/>
          </w:tcPr>
          <w:p w14:paraId="50A0607F"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DB9</w:t>
            </w:r>
          </w:p>
        </w:tc>
        <w:tc>
          <w:tcPr>
            <w:tcW w:w="1662" w:type="pct"/>
            <w:shd w:val="clear" w:color="auto" w:fill="auto"/>
            <w:vAlign w:val="center"/>
            <w:hideMark/>
          </w:tcPr>
          <w:p w14:paraId="33A2D54F" w14:textId="503FB825" w:rsidR="00395345" w:rsidRPr="00E128B3" w:rsidRDefault="00395345" w:rsidP="009B2D08">
            <w:pPr>
              <w:rPr>
                <w:rFonts w:ascii="Calibri" w:hAnsi="Calibri" w:cs="Calibri"/>
                <w:sz w:val="20"/>
                <w:szCs w:val="20"/>
                <w:lang w:val="en-GB" w:eastAsia="cs-CZ"/>
              </w:rPr>
            </w:pPr>
            <w:r w:rsidRPr="00E128B3">
              <w:rPr>
                <w:rFonts w:ascii="Calibri" w:eastAsia="Calibri" w:hAnsi="Calibri" w:cs="Calibri"/>
                <w:sz w:val="20"/>
                <w:szCs w:val="20"/>
                <w:lang w:val="en-GB" w:bidi="en-GB"/>
              </w:rPr>
              <w:t>Accelerate the entry into force and, if required, apply stricter efficiency and emission parameters regarding the heating equipment specified in the implementing regulation for Directive 2009/125/EC on ecodesign</w:t>
            </w:r>
          </w:p>
        </w:tc>
        <w:tc>
          <w:tcPr>
            <w:tcW w:w="788" w:type="pct"/>
            <w:shd w:val="clear" w:color="000000" w:fill="C6EFCE"/>
            <w:vAlign w:val="center"/>
            <w:hideMark/>
          </w:tcPr>
          <w:p w14:paraId="08DE0421"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Completed</w:t>
            </w:r>
          </w:p>
        </w:tc>
        <w:tc>
          <w:tcPr>
            <w:tcW w:w="2263" w:type="pct"/>
            <w:shd w:val="clear" w:color="000000" w:fill="C6EFCE"/>
            <w:vAlign w:val="center"/>
            <w:hideMark/>
          </w:tcPr>
          <w:p w14:paraId="485123F4" w14:textId="77777777" w:rsidR="00395345" w:rsidRPr="00E128B3" w:rsidRDefault="00395345" w:rsidP="00395345">
            <w:pPr>
              <w:jc w:val="center"/>
              <w:rPr>
                <w:rFonts w:ascii="Calibri" w:hAnsi="Calibri" w:cs="Calibri"/>
                <w:b/>
                <w:bCs/>
                <w:color w:val="006100"/>
                <w:sz w:val="20"/>
                <w:szCs w:val="20"/>
                <w:lang w:val="en-GB" w:eastAsia="cs-CZ"/>
              </w:rPr>
            </w:pPr>
            <w:r w:rsidRPr="00E128B3">
              <w:rPr>
                <w:rFonts w:ascii="Calibri" w:eastAsia="Calibri" w:hAnsi="Calibri" w:cs="Calibri"/>
                <w:b/>
                <w:color w:val="006100"/>
                <w:sz w:val="20"/>
                <w:szCs w:val="20"/>
                <w:lang w:val="en-GB" w:bidi="en-GB"/>
              </w:rPr>
              <w:t>Completed</w:t>
            </w:r>
          </w:p>
        </w:tc>
      </w:tr>
      <w:tr w:rsidR="007734B4" w:rsidRPr="00E128B3" w14:paraId="01E79AC6" w14:textId="77777777" w:rsidTr="00470F6E">
        <w:trPr>
          <w:trHeight w:val="227"/>
          <w:jc w:val="center"/>
        </w:trPr>
        <w:tc>
          <w:tcPr>
            <w:tcW w:w="287" w:type="pct"/>
            <w:shd w:val="clear" w:color="auto" w:fill="auto"/>
            <w:noWrap/>
            <w:vAlign w:val="center"/>
            <w:hideMark/>
          </w:tcPr>
          <w:p w14:paraId="1E994F01" w14:textId="77777777" w:rsidR="00395345" w:rsidRPr="00E128B3" w:rsidRDefault="00395345" w:rsidP="007734B4">
            <w:pPr>
              <w:ind w:right="-57"/>
              <w:rPr>
                <w:rFonts w:ascii="Calibri" w:hAnsi="Calibri" w:cs="Calibri"/>
                <w:sz w:val="20"/>
                <w:szCs w:val="20"/>
                <w:lang w:val="en-GB" w:eastAsia="cs-CZ"/>
              </w:rPr>
            </w:pPr>
            <w:r w:rsidRPr="00E128B3">
              <w:rPr>
                <w:rFonts w:ascii="Calibri" w:eastAsia="Calibri" w:hAnsi="Calibri" w:cs="Calibri"/>
                <w:sz w:val="20"/>
                <w:szCs w:val="20"/>
                <w:lang w:val="en-GB" w:bidi="en-GB"/>
              </w:rPr>
              <w:t>DB10</w:t>
            </w:r>
          </w:p>
        </w:tc>
        <w:tc>
          <w:tcPr>
            <w:tcW w:w="1662" w:type="pct"/>
            <w:shd w:val="clear" w:color="auto" w:fill="auto"/>
            <w:vAlign w:val="center"/>
            <w:hideMark/>
          </w:tcPr>
          <w:p w14:paraId="7A788F62" w14:textId="3378F617" w:rsidR="00395345" w:rsidRPr="00E128B3" w:rsidRDefault="00395345" w:rsidP="00701CF4">
            <w:pPr>
              <w:rPr>
                <w:rFonts w:ascii="Calibri" w:hAnsi="Calibri" w:cs="Calibri"/>
                <w:sz w:val="20"/>
                <w:szCs w:val="20"/>
                <w:lang w:val="en-GB" w:eastAsia="cs-CZ"/>
              </w:rPr>
            </w:pPr>
            <w:r w:rsidRPr="00E128B3">
              <w:rPr>
                <w:rFonts w:ascii="Calibri" w:eastAsia="Calibri" w:hAnsi="Calibri" w:cs="Calibri"/>
                <w:sz w:val="20"/>
                <w:szCs w:val="20"/>
                <w:lang w:val="en-GB" w:bidi="en-GB"/>
              </w:rPr>
              <w:t>Restrict the availability of stationary combustion sources with a rated heat input of under 300kW designed for coal combustion</w:t>
            </w:r>
          </w:p>
        </w:tc>
        <w:tc>
          <w:tcPr>
            <w:tcW w:w="788" w:type="pct"/>
            <w:shd w:val="clear" w:color="000000" w:fill="FFEB9C"/>
            <w:vAlign w:val="center"/>
            <w:hideMark/>
          </w:tcPr>
          <w:p w14:paraId="7E21A160" w14:textId="77777777" w:rsidR="00395345" w:rsidRPr="00E128B3" w:rsidRDefault="00395345" w:rsidP="00395345">
            <w:pPr>
              <w:jc w:val="center"/>
              <w:rPr>
                <w:rFonts w:ascii="Calibri" w:hAnsi="Calibri" w:cs="Calibri"/>
                <w:b/>
                <w:bCs/>
                <w:color w:val="9C6500"/>
                <w:sz w:val="20"/>
                <w:szCs w:val="20"/>
                <w:lang w:val="en-GB" w:eastAsia="cs-CZ"/>
              </w:rPr>
            </w:pPr>
            <w:r w:rsidRPr="00E128B3">
              <w:rPr>
                <w:rFonts w:ascii="Calibri" w:eastAsia="Calibri" w:hAnsi="Calibri" w:cs="Calibri"/>
                <w:b/>
                <w:color w:val="9C6500"/>
                <w:sz w:val="20"/>
                <w:szCs w:val="20"/>
                <w:lang w:val="en-GB" w:bidi="en-GB"/>
              </w:rPr>
              <w:t>Under preparation</w:t>
            </w:r>
          </w:p>
        </w:tc>
        <w:tc>
          <w:tcPr>
            <w:tcW w:w="2263" w:type="pct"/>
            <w:shd w:val="clear" w:color="000000" w:fill="FFEB9C"/>
            <w:vAlign w:val="center"/>
            <w:hideMark/>
          </w:tcPr>
          <w:p w14:paraId="6B38ECF6" w14:textId="77777777" w:rsidR="00395345" w:rsidRPr="00E128B3" w:rsidRDefault="00395345" w:rsidP="00395345">
            <w:pPr>
              <w:jc w:val="center"/>
              <w:rPr>
                <w:rFonts w:ascii="Calibri" w:hAnsi="Calibri" w:cs="Calibri"/>
                <w:b/>
                <w:bCs/>
                <w:color w:val="9C6500"/>
                <w:sz w:val="20"/>
                <w:szCs w:val="20"/>
                <w:lang w:val="en-GB" w:eastAsia="cs-CZ"/>
              </w:rPr>
            </w:pPr>
            <w:r w:rsidRPr="00E128B3">
              <w:rPr>
                <w:rFonts w:ascii="Calibri" w:eastAsia="Calibri" w:hAnsi="Calibri" w:cs="Calibri"/>
                <w:b/>
                <w:color w:val="9C6500"/>
                <w:sz w:val="20"/>
                <w:szCs w:val="20"/>
                <w:lang w:val="en-GB" w:bidi="en-GB"/>
              </w:rPr>
              <w:t>Under preparation</w:t>
            </w:r>
          </w:p>
        </w:tc>
      </w:tr>
    </w:tbl>
    <w:p w14:paraId="2D2945B8" w14:textId="51761867" w:rsidR="00723B6D" w:rsidRPr="00E128B3" w:rsidRDefault="00395345" w:rsidP="007734B4">
      <w:pPr>
        <w:pStyle w:val="Zdrojapozn"/>
        <w:spacing w:before="40"/>
        <w:ind w:left="-227"/>
        <w:rPr>
          <w:lang w:val="en-GB"/>
        </w:rPr>
      </w:pPr>
      <w:r w:rsidRPr="00E128B3">
        <w:rPr>
          <w:b/>
          <w:lang w:val="en-GB" w:bidi="en-GB"/>
        </w:rPr>
        <w:t xml:space="preserve">Source: </w:t>
      </w:r>
      <w:r w:rsidRPr="00E128B3">
        <w:rPr>
          <w:lang w:val="en-GB" w:bidi="en-GB"/>
        </w:rPr>
        <w:t>Prepared by the SAO on the basis of the Report on the Environment of the Czech Republic 2016.</w:t>
      </w:r>
      <w:r w:rsidR="00723B6D" w:rsidRPr="00E128B3">
        <w:rPr>
          <w:lang w:val="en-GB" w:bidi="en-GB"/>
        </w:rPr>
        <w:br w:type="page"/>
      </w:r>
    </w:p>
    <w:p w14:paraId="236468A2" w14:textId="77777777" w:rsidR="00723B6D" w:rsidRPr="00E128B3" w:rsidRDefault="00723B6D" w:rsidP="00723B6D">
      <w:pPr>
        <w:pStyle w:val="Nadpis1"/>
        <w:numPr>
          <w:ilvl w:val="0"/>
          <w:numId w:val="0"/>
        </w:numPr>
        <w:spacing w:before="0" w:after="0"/>
        <w:ind w:left="431" w:hanging="431"/>
        <w:rPr>
          <w:sz w:val="24"/>
          <w:lang w:val="en-GB"/>
        </w:rPr>
      </w:pPr>
      <w:r w:rsidRPr="00E128B3">
        <w:rPr>
          <w:sz w:val="24"/>
          <w:lang w:val="en-GB" w:bidi="en-GB"/>
        </w:rPr>
        <w:t>Annex 5</w:t>
      </w:r>
    </w:p>
    <w:p w14:paraId="5E0ECF97" w14:textId="1A8F0C37" w:rsidR="00723B6D" w:rsidRPr="00E128B3" w:rsidRDefault="00723B6D" w:rsidP="00805103">
      <w:pPr>
        <w:pStyle w:val="Titulek"/>
        <w:tabs>
          <w:tab w:val="clear" w:pos="7938"/>
          <w:tab w:val="right" w:pos="9072"/>
        </w:tabs>
        <w:spacing w:after="40"/>
        <w:rPr>
          <w:b/>
          <w:lang w:val="en-GB"/>
        </w:rPr>
      </w:pPr>
      <w:r w:rsidRPr="00E128B3">
        <w:rPr>
          <w:b/>
          <w:lang w:val="en-GB" w:bidi="en-GB"/>
        </w:rPr>
        <w:t xml:space="preserve">Table </w:t>
      </w:r>
      <w:r w:rsidR="00A36661" w:rsidRPr="00E128B3">
        <w:rPr>
          <w:b/>
          <w:lang w:val="en-GB" w:bidi="en-GB"/>
        </w:rPr>
        <w:fldChar w:fldCharType="begin"/>
      </w:r>
      <w:r w:rsidR="00A36661" w:rsidRPr="00E128B3">
        <w:rPr>
          <w:b/>
          <w:lang w:val="en-GB" w:bidi="en-GB"/>
        </w:rPr>
        <w:instrText xml:space="preserve"> SEQ Tabulka_č. \* ARABIC </w:instrText>
      </w:r>
      <w:r w:rsidR="00A36661" w:rsidRPr="00E128B3">
        <w:rPr>
          <w:b/>
          <w:lang w:val="en-GB" w:bidi="en-GB"/>
        </w:rPr>
        <w:fldChar w:fldCharType="separate"/>
      </w:r>
      <w:r w:rsidR="00136D57">
        <w:rPr>
          <w:b/>
          <w:noProof/>
          <w:lang w:val="en-GB" w:bidi="en-GB"/>
        </w:rPr>
        <w:t>11</w:t>
      </w:r>
      <w:r w:rsidR="00A36661" w:rsidRPr="00E128B3">
        <w:rPr>
          <w:b/>
          <w:noProof/>
          <w:lang w:val="en-GB" w:bidi="en-GB"/>
        </w:rPr>
        <w:fldChar w:fldCharType="end"/>
      </w:r>
      <w:r w:rsidRPr="00E128B3">
        <w:rPr>
          <w:b/>
          <w:lang w:val="en-GB" w:bidi="en-GB"/>
        </w:rPr>
        <w:t>: Projects audited under PA2 of the OPE</w:t>
      </w:r>
      <w:r w:rsidRPr="00E128B3">
        <w:rPr>
          <w:b/>
          <w:lang w:val="en-GB" w:bidi="en-GB"/>
        </w:rPr>
        <w:tab/>
        <w:t>(in CZK)</w:t>
      </w:r>
    </w:p>
    <w:tbl>
      <w:tblPr>
        <w:tblW w:w="5000" w:type="pct"/>
        <w:tblCellMar>
          <w:left w:w="70" w:type="dxa"/>
          <w:right w:w="70" w:type="dxa"/>
        </w:tblCellMar>
        <w:tblLook w:val="04A0" w:firstRow="1" w:lastRow="0" w:firstColumn="1" w:lastColumn="0" w:noHBand="0" w:noVBand="1"/>
      </w:tblPr>
      <w:tblGrid>
        <w:gridCol w:w="1522"/>
        <w:gridCol w:w="394"/>
        <w:gridCol w:w="3131"/>
        <w:gridCol w:w="1565"/>
        <w:gridCol w:w="2600"/>
      </w:tblGrid>
      <w:tr w:rsidR="00723B6D" w:rsidRPr="00E128B3" w14:paraId="4D042815" w14:textId="77777777" w:rsidTr="00AA4206">
        <w:trPr>
          <w:trHeight w:val="227"/>
        </w:trPr>
        <w:tc>
          <w:tcPr>
            <w:tcW w:w="1335" w:type="pct"/>
            <w:tcBorders>
              <w:top w:val="single" w:sz="4" w:space="0" w:color="auto"/>
              <w:left w:val="single" w:sz="8" w:space="0" w:color="auto"/>
              <w:bottom w:val="single" w:sz="4" w:space="0" w:color="auto"/>
              <w:right w:val="single" w:sz="4" w:space="0" w:color="auto"/>
            </w:tcBorders>
            <w:shd w:val="clear" w:color="000000" w:fill="E5F1FF"/>
            <w:vAlign w:val="center"/>
            <w:hideMark/>
          </w:tcPr>
          <w:p w14:paraId="793EAB4B" w14:textId="77777777" w:rsidR="00723B6D" w:rsidRPr="00E128B3" w:rsidRDefault="00723B6D" w:rsidP="00723B6D">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Audited entity</w:t>
            </w:r>
          </w:p>
        </w:tc>
        <w:tc>
          <w:tcPr>
            <w:tcW w:w="218" w:type="pct"/>
            <w:tcBorders>
              <w:top w:val="single" w:sz="4" w:space="0" w:color="auto"/>
              <w:left w:val="nil"/>
              <w:bottom w:val="single" w:sz="4" w:space="0" w:color="auto"/>
              <w:right w:val="single" w:sz="4" w:space="0" w:color="auto"/>
            </w:tcBorders>
            <w:shd w:val="clear" w:color="000000" w:fill="E5F1FF"/>
            <w:vAlign w:val="center"/>
            <w:hideMark/>
          </w:tcPr>
          <w:p w14:paraId="743E5B79" w14:textId="77777777" w:rsidR="00723B6D" w:rsidRPr="00E128B3" w:rsidRDefault="00723B6D" w:rsidP="00723B6D">
            <w:pPr>
              <w:jc w:val="center"/>
              <w:rPr>
                <w:rFonts w:ascii="Calibri" w:eastAsia="Times New Roman" w:hAnsi="Calibri" w:cs="Calibri"/>
                <w:b/>
                <w:bCs/>
                <w:sz w:val="20"/>
                <w:szCs w:val="20"/>
                <w:lang w:val="en-GB" w:eastAsia="cs-CZ"/>
              </w:rPr>
            </w:pPr>
            <w:r w:rsidRPr="00E128B3">
              <w:rPr>
                <w:rFonts w:ascii="Calibri" w:eastAsia="Times New Roman" w:hAnsi="Calibri" w:cs="Calibri"/>
                <w:b/>
                <w:sz w:val="20"/>
                <w:szCs w:val="20"/>
                <w:lang w:val="en-GB" w:bidi="en-GB"/>
              </w:rPr>
              <w:t>SO</w:t>
            </w:r>
          </w:p>
        </w:tc>
        <w:tc>
          <w:tcPr>
            <w:tcW w:w="1729" w:type="pct"/>
            <w:tcBorders>
              <w:top w:val="single" w:sz="4" w:space="0" w:color="auto"/>
              <w:left w:val="nil"/>
              <w:bottom w:val="single" w:sz="4" w:space="0" w:color="auto"/>
              <w:right w:val="single" w:sz="4" w:space="0" w:color="auto"/>
            </w:tcBorders>
            <w:shd w:val="clear" w:color="000000" w:fill="E5F1FF"/>
            <w:vAlign w:val="center"/>
            <w:hideMark/>
          </w:tcPr>
          <w:p w14:paraId="17481B48" w14:textId="3A93188F" w:rsidR="00723B6D" w:rsidRPr="00E128B3" w:rsidRDefault="00723B6D" w:rsidP="00D25553">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Project – number</w:t>
            </w:r>
          </w:p>
        </w:tc>
        <w:tc>
          <w:tcPr>
            <w:tcW w:w="853" w:type="pct"/>
            <w:tcBorders>
              <w:top w:val="single" w:sz="4" w:space="0" w:color="auto"/>
              <w:left w:val="nil"/>
              <w:bottom w:val="single" w:sz="4" w:space="0" w:color="auto"/>
              <w:right w:val="single" w:sz="4" w:space="0" w:color="auto"/>
            </w:tcBorders>
            <w:shd w:val="clear" w:color="000000" w:fill="E5F1FF"/>
            <w:vAlign w:val="center"/>
            <w:hideMark/>
          </w:tcPr>
          <w:p w14:paraId="444B6968" w14:textId="77777777" w:rsidR="00723B6D" w:rsidRPr="00E128B3" w:rsidRDefault="00723B6D" w:rsidP="00723B6D">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Subsidy (as per the subsidy decision)</w:t>
            </w:r>
          </w:p>
        </w:tc>
        <w:tc>
          <w:tcPr>
            <w:tcW w:w="866" w:type="pct"/>
            <w:tcBorders>
              <w:top w:val="single" w:sz="4" w:space="0" w:color="auto"/>
              <w:left w:val="nil"/>
              <w:bottom w:val="single" w:sz="4" w:space="0" w:color="auto"/>
              <w:right w:val="single" w:sz="8" w:space="0" w:color="auto"/>
            </w:tcBorders>
            <w:shd w:val="clear" w:color="000000" w:fill="E5F1FF"/>
            <w:vAlign w:val="center"/>
            <w:hideMark/>
          </w:tcPr>
          <w:p w14:paraId="1C1782DD" w14:textId="77777777" w:rsidR="00723B6D" w:rsidRPr="00E128B3" w:rsidRDefault="00C12E5A" w:rsidP="00723B6D">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Project indicator fulfilment</w:t>
            </w:r>
          </w:p>
        </w:tc>
      </w:tr>
      <w:tr w:rsidR="007A26DE" w:rsidRPr="00E128B3" w14:paraId="34261AA7" w14:textId="77777777" w:rsidTr="00AA4206">
        <w:trPr>
          <w:trHeight w:val="227"/>
        </w:trPr>
        <w:tc>
          <w:tcPr>
            <w:tcW w:w="5000" w:type="pct"/>
            <w:gridSpan w:val="5"/>
            <w:tcBorders>
              <w:top w:val="nil"/>
              <w:left w:val="single" w:sz="8" w:space="0" w:color="auto"/>
              <w:bottom w:val="single" w:sz="4" w:space="0" w:color="auto"/>
              <w:right w:val="single" w:sz="8" w:space="0" w:color="auto"/>
            </w:tcBorders>
            <w:shd w:val="clear" w:color="auto" w:fill="E5F1FF"/>
            <w:vAlign w:val="center"/>
          </w:tcPr>
          <w:p w14:paraId="338298A1" w14:textId="77777777" w:rsidR="007A26DE" w:rsidRPr="00E128B3" w:rsidRDefault="007A26DE" w:rsidP="007A26DE">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LOCAL HEATING SECTOR (HOUSEHOLDS)</w:t>
            </w:r>
          </w:p>
        </w:tc>
      </w:tr>
      <w:tr w:rsidR="00723B6D" w:rsidRPr="00E128B3" w14:paraId="747901A3"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34D93B0E"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Ústí Region</w:t>
            </w:r>
          </w:p>
        </w:tc>
        <w:tc>
          <w:tcPr>
            <w:tcW w:w="218" w:type="pct"/>
            <w:tcBorders>
              <w:top w:val="nil"/>
              <w:left w:val="nil"/>
              <w:bottom w:val="single" w:sz="4" w:space="0" w:color="auto"/>
              <w:right w:val="single" w:sz="4" w:space="0" w:color="auto"/>
            </w:tcBorders>
            <w:shd w:val="clear" w:color="auto" w:fill="auto"/>
            <w:noWrap/>
            <w:vAlign w:val="center"/>
            <w:hideMark/>
          </w:tcPr>
          <w:p w14:paraId="0CBB5F61"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1729" w:type="pct"/>
            <w:tcBorders>
              <w:top w:val="nil"/>
              <w:left w:val="nil"/>
              <w:bottom w:val="single" w:sz="4" w:space="0" w:color="auto"/>
              <w:right w:val="single" w:sz="4" w:space="0" w:color="auto"/>
            </w:tcBorders>
            <w:shd w:val="clear" w:color="auto" w:fill="auto"/>
            <w:vAlign w:val="center"/>
            <w:hideMark/>
          </w:tcPr>
          <w:p w14:paraId="0B46D72C"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CZ.05.2.32/0.0/0.0/15_016/0000006</w:t>
            </w:r>
          </w:p>
        </w:tc>
        <w:tc>
          <w:tcPr>
            <w:tcW w:w="853" w:type="pct"/>
            <w:tcBorders>
              <w:top w:val="nil"/>
              <w:left w:val="nil"/>
              <w:bottom w:val="single" w:sz="4" w:space="0" w:color="auto"/>
              <w:right w:val="single" w:sz="4" w:space="0" w:color="auto"/>
            </w:tcBorders>
            <w:shd w:val="clear" w:color="auto" w:fill="auto"/>
            <w:vAlign w:val="center"/>
            <w:hideMark/>
          </w:tcPr>
          <w:p w14:paraId="37B958AD"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178,200,000.00</w:t>
            </w:r>
          </w:p>
        </w:tc>
        <w:tc>
          <w:tcPr>
            <w:tcW w:w="866" w:type="pct"/>
            <w:tcBorders>
              <w:top w:val="nil"/>
              <w:left w:val="nil"/>
              <w:bottom w:val="single" w:sz="4" w:space="0" w:color="auto"/>
              <w:right w:val="single" w:sz="8" w:space="0" w:color="auto"/>
            </w:tcBorders>
            <w:shd w:val="clear" w:color="auto" w:fill="auto"/>
            <w:noWrap/>
            <w:vAlign w:val="center"/>
            <w:hideMark/>
          </w:tcPr>
          <w:p w14:paraId="5C8BA655"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On a continuous basis</w:t>
            </w:r>
          </w:p>
        </w:tc>
      </w:tr>
      <w:tr w:rsidR="00723B6D" w:rsidRPr="00E128B3" w14:paraId="4E5899D6"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6140C698"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Ústí Region</w:t>
            </w:r>
          </w:p>
        </w:tc>
        <w:tc>
          <w:tcPr>
            <w:tcW w:w="218" w:type="pct"/>
            <w:tcBorders>
              <w:top w:val="nil"/>
              <w:left w:val="nil"/>
              <w:bottom w:val="single" w:sz="4" w:space="0" w:color="auto"/>
              <w:right w:val="single" w:sz="4" w:space="0" w:color="auto"/>
            </w:tcBorders>
            <w:shd w:val="clear" w:color="auto" w:fill="auto"/>
            <w:noWrap/>
            <w:vAlign w:val="center"/>
            <w:hideMark/>
          </w:tcPr>
          <w:p w14:paraId="0D0FA324"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1729" w:type="pct"/>
            <w:tcBorders>
              <w:top w:val="nil"/>
              <w:left w:val="nil"/>
              <w:bottom w:val="single" w:sz="4" w:space="0" w:color="auto"/>
              <w:right w:val="single" w:sz="4" w:space="0" w:color="auto"/>
            </w:tcBorders>
            <w:shd w:val="clear" w:color="auto" w:fill="auto"/>
            <w:vAlign w:val="center"/>
            <w:hideMark/>
          </w:tcPr>
          <w:p w14:paraId="2BF26177"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CZ.05.2.32/0.0/0.0/17_067/0005159</w:t>
            </w:r>
          </w:p>
        </w:tc>
        <w:tc>
          <w:tcPr>
            <w:tcW w:w="853" w:type="pct"/>
            <w:tcBorders>
              <w:top w:val="nil"/>
              <w:left w:val="nil"/>
              <w:bottom w:val="single" w:sz="4" w:space="0" w:color="auto"/>
              <w:right w:val="single" w:sz="4" w:space="0" w:color="auto"/>
            </w:tcBorders>
            <w:shd w:val="clear" w:color="auto" w:fill="auto"/>
            <w:vAlign w:val="center"/>
            <w:hideMark/>
          </w:tcPr>
          <w:p w14:paraId="0C91CD5A"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161,700,000.00</w:t>
            </w:r>
          </w:p>
        </w:tc>
        <w:tc>
          <w:tcPr>
            <w:tcW w:w="866" w:type="pct"/>
            <w:tcBorders>
              <w:top w:val="nil"/>
              <w:left w:val="nil"/>
              <w:bottom w:val="single" w:sz="4" w:space="0" w:color="auto"/>
              <w:right w:val="single" w:sz="8" w:space="0" w:color="auto"/>
            </w:tcBorders>
            <w:shd w:val="clear" w:color="auto" w:fill="auto"/>
            <w:noWrap/>
            <w:vAlign w:val="center"/>
            <w:hideMark/>
          </w:tcPr>
          <w:p w14:paraId="507FB53C"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On a continuous basis</w:t>
            </w:r>
          </w:p>
        </w:tc>
      </w:tr>
      <w:tr w:rsidR="00723B6D" w:rsidRPr="00E128B3" w14:paraId="307962A3"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381274D1"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Central Bohemian Region</w:t>
            </w:r>
          </w:p>
        </w:tc>
        <w:tc>
          <w:tcPr>
            <w:tcW w:w="218" w:type="pct"/>
            <w:tcBorders>
              <w:top w:val="nil"/>
              <w:left w:val="nil"/>
              <w:bottom w:val="single" w:sz="4" w:space="0" w:color="auto"/>
              <w:right w:val="single" w:sz="4" w:space="0" w:color="auto"/>
            </w:tcBorders>
            <w:shd w:val="clear" w:color="auto" w:fill="auto"/>
            <w:noWrap/>
            <w:vAlign w:val="center"/>
            <w:hideMark/>
          </w:tcPr>
          <w:p w14:paraId="37185A1B"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1729" w:type="pct"/>
            <w:tcBorders>
              <w:top w:val="nil"/>
              <w:left w:val="nil"/>
              <w:bottom w:val="single" w:sz="4" w:space="0" w:color="auto"/>
              <w:right w:val="single" w:sz="4" w:space="0" w:color="auto"/>
            </w:tcBorders>
            <w:shd w:val="clear" w:color="auto" w:fill="auto"/>
            <w:vAlign w:val="center"/>
            <w:hideMark/>
          </w:tcPr>
          <w:p w14:paraId="3C459207"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CZ.05.2.32/0.0/0.0/15_016/0000013</w:t>
            </w:r>
          </w:p>
        </w:tc>
        <w:tc>
          <w:tcPr>
            <w:tcW w:w="853" w:type="pct"/>
            <w:tcBorders>
              <w:top w:val="nil"/>
              <w:left w:val="nil"/>
              <w:bottom w:val="single" w:sz="4" w:space="0" w:color="auto"/>
              <w:right w:val="single" w:sz="4" w:space="0" w:color="auto"/>
            </w:tcBorders>
            <w:shd w:val="clear" w:color="auto" w:fill="auto"/>
            <w:vAlign w:val="center"/>
            <w:hideMark/>
          </w:tcPr>
          <w:p w14:paraId="53FFF6AD"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569,580,000.00</w:t>
            </w:r>
          </w:p>
        </w:tc>
        <w:tc>
          <w:tcPr>
            <w:tcW w:w="866" w:type="pct"/>
            <w:tcBorders>
              <w:top w:val="nil"/>
              <w:left w:val="nil"/>
              <w:bottom w:val="single" w:sz="4" w:space="0" w:color="auto"/>
              <w:right w:val="single" w:sz="8" w:space="0" w:color="auto"/>
            </w:tcBorders>
            <w:shd w:val="clear" w:color="auto" w:fill="auto"/>
            <w:noWrap/>
            <w:vAlign w:val="center"/>
            <w:hideMark/>
          </w:tcPr>
          <w:p w14:paraId="1DA7266A"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On a continuous basis</w:t>
            </w:r>
          </w:p>
        </w:tc>
      </w:tr>
      <w:tr w:rsidR="00723B6D" w:rsidRPr="00E128B3" w14:paraId="23610914"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3BC9CE8C"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Central Bohemian Region</w:t>
            </w:r>
          </w:p>
        </w:tc>
        <w:tc>
          <w:tcPr>
            <w:tcW w:w="218" w:type="pct"/>
            <w:tcBorders>
              <w:top w:val="nil"/>
              <w:left w:val="nil"/>
              <w:bottom w:val="single" w:sz="4" w:space="0" w:color="auto"/>
              <w:right w:val="single" w:sz="4" w:space="0" w:color="auto"/>
            </w:tcBorders>
            <w:shd w:val="clear" w:color="auto" w:fill="auto"/>
            <w:noWrap/>
            <w:vAlign w:val="center"/>
            <w:hideMark/>
          </w:tcPr>
          <w:p w14:paraId="4805A7B3"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1729" w:type="pct"/>
            <w:tcBorders>
              <w:top w:val="nil"/>
              <w:left w:val="nil"/>
              <w:bottom w:val="single" w:sz="4" w:space="0" w:color="auto"/>
              <w:right w:val="single" w:sz="4" w:space="0" w:color="auto"/>
            </w:tcBorders>
            <w:shd w:val="clear" w:color="auto" w:fill="auto"/>
            <w:vAlign w:val="center"/>
            <w:hideMark/>
          </w:tcPr>
          <w:p w14:paraId="1BFF6BE0"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CZ.05.2.32/0.0/0.0/17_067/0005165</w:t>
            </w:r>
          </w:p>
        </w:tc>
        <w:tc>
          <w:tcPr>
            <w:tcW w:w="853" w:type="pct"/>
            <w:tcBorders>
              <w:top w:val="nil"/>
              <w:left w:val="nil"/>
              <w:bottom w:val="single" w:sz="4" w:space="0" w:color="auto"/>
              <w:right w:val="single" w:sz="4" w:space="0" w:color="auto"/>
            </w:tcBorders>
            <w:shd w:val="clear" w:color="auto" w:fill="auto"/>
            <w:noWrap/>
            <w:vAlign w:val="center"/>
            <w:hideMark/>
          </w:tcPr>
          <w:p w14:paraId="30DA2ECB"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517,800,000.00</w:t>
            </w:r>
          </w:p>
        </w:tc>
        <w:tc>
          <w:tcPr>
            <w:tcW w:w="866" w:type="pct"/>
            <w:tcBorders>
              <w:top w:val="nil"/>
              <w:left w:val="nil"/>
              <w:bottom w:val="single" w:sz="4" w:space="0" w:color="auto"/>
              <w:right w:val="single" w:sz="8" w:space="0" w:color="auto"/>
            </w:tcBorders>
            <w:shd w:val="clear" w:color="auto" w:fill="auto"/>
            <w:noWrap/>
            <w:vAlign w:val="center"/>
            <w:hideMark/>
          </w:tcPr>
          <w:p w14:paraId="3D41E0FC"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On a continuous basis</w:t>
            </w:r>
          </w:p>
        </w:tc>
      </w:tr>
      <w:tr w:rsidR="00723B6D" w:rsidRPr="00E128B3" w14:paraId="77404F01"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5CA5FC76"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Moravian-Silesian Region</w:t>
            </w:r>
          </w:p>
        </w:tc>
        <w:tc>
          <w:tcPr>
            <w:tcW w:w="218" w:type="pct"/>
            <w:tcBorders>
              <w:top w:val="nil"/>
              <w:left w:val="nil"/>
              <w:bottom w:val="single" w:sz="4" w:space="0" w:color="auto"/>
              <w:right w:val="single" w:sz="4" w:space="0" w:color="auto"/>
            </w:tcBorders>
            <w:shd w:val="clear" w:color="auto" w:fill="auto"/>
            <w:noWrap/>
            <w:vAlign w:val="center"/>
            <w:hideMark/>
          </w:tcPr>
          <w:p w14:paraId="66D31D8C"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1729" w:type="pct"/>
            <w:tcBorders>
              <w:top w:val="nil"/>
              <w:left w:val="nil"/>
              <w:bottom w:val="single" w:sz="4" w:space="0" w:color="auto"/>
              <w:right w:val="single" w:sz="4" w:space="0" w:color="auto"/>
            </w:tcBorders>
            <w:shd w:val="clear" w:color="auto" w:fill="auto"/>
            <w:vAlign w:val="center"/>
            <w:hideMark/>
          </w:tcPr>
          <w:p w14:paraId="4C21662A"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CZ.05.2.32/0.0/0.0/15_016/0000010</w:t>
            </w:r>
          </w:p>
        </w:tc>
        <w:tc>
          <w:tcPr>
            <w:tcW w:w="853" w:type="pct"/>
            <w:tcBorders>
              <w:top w:val="nil"/>
              <w:left w:val="nil"/>
              <w:bottom w:val="single" w:sz="4" w:space="0" w:color="auto"/>
              <w:right w:val="single" w:sz="4" w:space="0" w:color="auto"/>
            </w:tcBorders>
            <w:shd w:val="clear" w:color="auto" w:fill="auto"/>
            <w:noWrap/>
            <w:vAlign w:val="center"/>
            <w:hideMark/>
          </w:tcPr>
          <w:p w14:paraId="38593F16"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516,120,000.00</w:t>
            </w:r>
          </w:p>
        </w:tc>
        <w:tc>
          <w:tcPr>
            <w:tcW w:w="866" w:type="pct"/>
            <w:tcBorders>
              <w:top w:val="nil"/>
              <w:left w:val="nil"/>
              <w:bottom w:val="single" w:sz="4" w:space="0" w:color="auto"/>
              <w:right w:val="single" w:sz="8" w:space="0" w:color="auto"/>
            </w:tcBorders>
            <w:shd w:val="clear" w:color="auto" w:fill="auto"/>
            <w:noWrap/>
            <w:vAlign w:val="center"/>
            <w:hideMark/>
          </w:tcPr>
          <w:p w14:paraId="52D60310"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On a continuous basis</w:t>
            </w:r>
          </w:p>
        </w:tc>
      </w:tr>
      <w:tr w:rsidR="00723B6D" w:rsidRPr="00E128B3" w14:paraId="179458E5"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7923E387"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Moravian-Silesian Region</w:t>
            </w:r>
          </w:p>
        </w:tc>
        <w:tc>
          <w:tcPr>
            <w:tcW w:w="218" w:type="pct"/>
            <w:tcBorders>
              <w:top w:val="nil"/>
              <w:left w:val="nil"/>
              <w:bottom w:val="single" w:sz="4" w:space="0" w:color="auto"/>
              <w:right w:val="single" w:sz="4" w:space="0" w:color="auto"/>
            </w:tcBorders>
            <w:shd w:val="clear" w:color="auto" w:fill="auto"/>
            <w:noWrap/>
            <w:vAlign w:val="center"/>
            <w:hideMark/>
          </w:tcPr>
          <w:p w14:paraId="70DCB025"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1729" w:type="pct"/>
            <w:tcBorders>
              <w:top w:val="nil"/>
              <w:left w:val="nil"/>
              <w:bottom w:val="single" w:sz="4" w:space="0" w:color="auto"/>
              <w:right w:val="single" w:sz="4" w:space="0" w:color="auto"/>
            </w:tcBorders>
            <w:shd w:val="clear" w:color="auto" w:fill="auto"/>
            <w:vAlign w:val="center"/>
            <w:hideMark/>
          </w:tcPr>
          <w:p w14:paraId="5D5E7041"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CZ.05.2.32/0.0/0.0/17_067/0005161</w:t>
            </w:r>
          </w:p>
        </w:tc>
        <w:tc>
          <w:tcPr>
            <w:tcW w:w="853" w:type="pct"/>
            <w:tcBorders>
              <w:top w:val="nil"/>
              <w:left w:val="nil"/>
              <w:bottom w:val="single" w:sz="4" w:space="0" w:color="auto"/>
              <w:right w:val="single" w:sz="4" w:space="0" w:color="auto"/>
            </w:tcBorders>
            <w:shd w:val="clear" w:color="auto" w:fill="auto"/>
            <w:noWrap/>
            <w:vAlign w:val="center"/>
            <w:hideMark/>
          </w:tcPr>
          <w:p w14:paraId="0B054E59"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891,480,000.00</w:t>
            </w:r>
          </w:p>
        </w:tc>
        <w:tc>
          <w:tcPr>
            <w:tcW w:w="866" w:type="pct"/>
            <w:tcBorders>
              <w:top w:val="nil"/>
              <w:left w:val="nil"/>
              <w:bottom w:val="single" w:sz="4" w:space="0" w:color="auto"/>
              <w:right w:val="single" w:sz="8" w:space="0" w:color="auto"/>
            </w:tcBorders>
            <w:shd w:val="clear" w:color="auto" w:fill="auto"/>
            <w:noWrap/>
            <w:vAlign w:val="center"/>
            <w:hideMark/>
          </w:tcPr>
          <w:p w14:paraId="659B72EA"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On a continuous basis</w:t>
            </w:r>
          </w:p>
        </w:tc>
      </w:tr>
      <w:tr w:rsidR="00723B6D" w:rsidRPr="00E128B3" w14:paraId="756009A5"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31231386"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South Bohemian Region</w:t>
            </w:r>
          </w:p>
        </w:tc>
        <w:tc>
          <w:tcPr>
            <w:tcW w:w="218" w:type="pct"/>
            <w:tcBorders>
              <w:top w:val="nil"/>
              <w:left w:val="nil"/>
              <w:bottom w:val="single" w:sz="4" w:space="0" w:color="auto"/>
              <w:right w:val="single" w:sz="4" w:space="0" w:color="auto"/>
            </w:tcBorders>
            <w:shd w:val="clear" w:color="auto" w:fill="auto"/>
            <w:noWrap/>
            <w:vAlign w:val="center"/>
            <w:hideMark/>
          </w:tcPr>
          <w:p w14:paraId="29B0B65A"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1729" w:type="pct"/>
            <w:tcBorders>
              <w:top w:val="nil"/>
              <w:left w:val="nil"/>
              <w:bottom w:val="single" w:sz="4" w:space="0" w:color="auto"/>
              <w:right w:val="single" w:sz="4" w:space="0" w:color="auto"/>
            </w:tcBorders>
            <w:shd w:val="clear" w:color="auto" w:fill="auto"/>
            <w:vAlign w:val="center"/>
            <w:hideMark/>
          </w:tcPr>
          <w:p w14:paraId="7B5056C9"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CZ.05.2.32/0.0/0.0/15_016/0000003</w:t>
            </w:r>
          </w:p>
        </w:tc>
        <w:tc>
          <w:tcPr>
            <w:tcW w:w="853" w:type="pct"/>
            <w:tcBorders>
              <w:top w:val="nil"/>
              <w:left w:val="nil"/>
              <w:bottom w:val="single" w:sz="4" w:space="0" w:color="auto"/>
              <w:right w:val="single" w:sz="4" w:space="0" w:color="auto"/>
            </w:tcBorders>
            <w:shd w:val="clear" w:color="auto" w:fill="auto"/>
            <w:noWrap/>
            <w:vAlign w:val="center"/>
            <w:hideMark/>
          </w:tcPr>
          <w:p w14:paraId="541E50C8"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320,000,000.00</w:t>
            </w:r>
          </w:p>
        </w:tc>
        <w:tc>
          <w:tcPr>
            <w:tcW w:w="866" w:type="pct"/>
            <w:tcBorders>
              <w:top w:val="nil"/>
              <w:left w:val="nil"/>
              <w:bottom w:val="single" w:sz="4" w:space="0" w:color="auto"/>
              <w:right w:val="single" w:sz="8" w:space="0" w:color="auto"/>
            </w:tcBorders>
            <w:shd w:val="clear" w:color="auto" w:fill="auto"/>
            <w:noWrap/>
            <w:vAlign w:val="center"/>
            <w:hideMark/>
          </w:tcPr>
          <w:p w14:paraId="2A0DFAEC"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On a continuous basis</w:t>
            </w:r>
          </w:p>
        </w:tc>
      </w:tr>
      <w:tr w:rsidR="00723B6D" w:rsidRPr="00E128B3" w14:paraId="7DE24A00"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005EFDF3"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South Bohemian Region</w:t>
            </w:r>
          </w:p>
        </w:tc>
        <w:tc>
          <w:tcPr>
            <w:tcW w:w="218" w:type="pct"/>
            <w:tcBorders>
              <w:top w:val="nil"/>
              <w:left w:val="nil"/>
              <w:bottom w:val="single" w:sz="4" w:space="0" w:color="auto"/>
              <w:right w:val="single" w:sz="4" w:space="0" w:color="auto"/>
            </w:tcBorders>
            <w:shd w:val="clear" w:color="auto" w:fill="auto"/>
            <w:noWrap/>
            <w:vAlign w:val="center"/>
            <w:hideMark/>
          </w:tcPr>
          <w:p w14:paraId="57410242"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1729" w:type="pct"/>
            <w:tcBorders>
              <w:top w:val="nil"/>
              <w:left w:val="nil"/>
              <w:bottom w:val="single" w:sz="4" w:space="0" w:color="auto"/>
              <w:right w:val="single" w:sz="4" w:space="0" w:color="auto"/>
            </w:tcBorders>
            <w:shd w:val="clear" w:color="auto" w:fill="auto"/>
            <w:vAlign w:val="center"/>
            <w:hideMark/>
          </w:tcPr>
          <w:p w14:paraId="7400738B"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CZ.05.2.32/0.0/0.0/17_067/0005153</w:t>
            </w:r>
          </w:p>
        </w:tc>
        <w:tc>
          <w:tcPr>
            <w:tcW w:w="853" w:type="pct"/>
            <w:tcBorders>
              <w:top w:val="nil"/>
              <w:left w:val="nil"/>
              <w:bottom w:val="single" w:sz="4" w:space="0" w:color="auto"/>
              <w:right w:val="single" w:sz="4" w:space="0" w:color="auto"/>
            </w:tcBorders>
            <w:shd w:val="clear" w:color="auto" w:fill="auto"/>
            <w:noWrap/>
            <w:vAlign w:val="center"/>
            <w:hideMark/>
          </w:tcPr>
          <w:p w14:paraId="505D945B"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303,000,000.00</w:t>
            </w:r>
          </w:p>
        </w:tc>
        <w:tc>
          <w:tcPr>
            <w:tcW w:w="866" w:type="pct"/>
            <w:tcBorders>
              <w:top w:val="nil"/>
              <w:left w:val="nil"/>
              <w:bottom w:val="single" w:sz="4" w:space="0" w:color="auto"/>
              <w:right w:val="single" w:sz="8" w:space="0" w:color="auto"/>
            </w:tcBorders>
            <w:shd w:val="clear" w:color="auto" w:fill="auto"/>
            <w:noWrap/>
            <w:vAlign w:val="center"/>
            <w:hideMark/>
          </w:tcPr>
          <w:p w14:paraId="31114073"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On a continuous basis</w:t>
            </w:r>
          </w:p>
        </w:tc>
      </w:tr>
      <w:tr w:rsidR="00723B6D" w:rsidRPr="00E128B3" w14:paraId="3435AA55"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auto"/>
            <w:vAlign w:val="center"/>
            <w:hideMark/>
          </w:tcPr>
          <w:p w14:paraId="6D3DD41D" w14:textId="77777777" w:rsidR="00723B6D" w:rsidRPr="00E128B3" w:rsidRDefault="00723B6D" w:rsidP="00723B6D">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SO 2.1 total for regions</w:t>
            </w:r>
          </w:p>
        </w:tc>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77FF4EF3" w14:textId="77777777" w:rsidR="00723B6D" w:rsidRPr="00E128B3" w:rsidRDefault="00723B6D" w:rsidP="00723B6D">
            <w:pPr>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3,457,880,000.00</w:t>
            </w:r>
          </w:p>
        </w:tc>
        <w:tc>
          <w:tcPr>
            <w:tcW w:w="866" w:type="pct"/>
            <w:tcBorders>
              <w:top w:val="nil"/>
              <w:left w:val="nil"/>
              <w:bottom w:val="single" w:sz="4" w:space="0" w:color="auto"/>
              <w:right w:val="single" w:sz="8" w:space="0" w:color="auto"/>
            </w:tcBorders>
            <w:shd w:val="clear" w:color="auto" w:fill="auto"/>
            <w:noWrap/>
            <w:vAlign w:val="center"/>
            <w:hideMark/>
          </w:tcPr>
          <w:p w14:paraId="1884A835" w14:textId="77777777" w:rsidR="00723B6D" w:rsidRPr="00E128B3" w:rsidRDefault="00723B6D" w:rsidP="00723B6D">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r w:rsidR="00723B6D" w:rsidRPr="00E128B3" w14:paraId="3FF7E890"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09D457BF"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218" w:type="pct"/>
            <w:tcBorders>
              <w:top w:val="nil"/>
              <w:left w:val="nil"/>
              <w:bottom w:val="single" w:sz="4" w:space="0" w:color="auto"/>
              <w:right w:val="single" w:sz="4" w:space="0" w:color="auto"/>
            </w:tcBorders>
            <w:shd w:val="clear" w:color="auto" w:fill="auto"/>
            <w:vAlign w:val="center"/>
            <w:hideMark/>
          </w:tcPr>
          <w:p w14:paraId="3236FE33"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1729" w:type="pct"/>
            <w:tcBorders>
              <w:top w:val="nil"/>
              <w:left w:val="nil"/>
              <w:bottom w:val="single" w:sz="4" w:space="0" w:color="auto"/>
              <w:right w:val="single" w:sz="4" w:space="0" w:color="auto"/>
            </w:tcBorders>
            <w:shd w:val="clear" w:color="auto" w:fill="auto"/>
            <w:vAlign w:val="center"/>
            <w:hideMark/>
          </w:tcPr>
          <w:p w14:paraId="02C2ACC5"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CZ.05.2.32/0.0/0.0/15_016/0000219</w:t>
            </w:r>
          </w:p>
        </w:tc>
        <w:tc>
          <w:tcPr>
            <w:tcW w:w="853" w:type="pct"/>
            <w:tcBorders>
              <w:top w:val="nil"/>
              <w:left w:val="nil"/>
              <w:bottom w:val="single" w:sz="4" w:space="0" w:color="auto"/>
              <w:right w:val="single" w:sz="4" w:space="0" w:color="auto"/>
            </w:tcBorders>
            <w:shd w:val="clear" w:color="auto" w:fill="auto"/>
            <w:vAlign w:val="center"/>
            <w:hideMark/>
          </w:tcPr>
          <w:p w14:paraId="016AA490"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23,700,000.00</w:t>
            </w:r>
          </w:p>
        </w:tc>
        <w:tc>
          <w:tcPr>
            <w:tcW w:w="866" w:type="pct"/>
            <w:tcBorders>
              <w:top w:val="nil"/>
              <w:left w:val="nil"/>
              <w:bottom w:val="single" w:sz="4" w:space="0" w:color="auto"/>
              <w:right w:val="single" w:sz="8" w:space="0" w:color="auto"/>
            </w:tcBorders>
            <w:shd w:val="clear" w:color="auto" w:fill="auto"/>
            <w:noWrap/>
            <w:vAlign w:val="center"/>
            <w:hideMark/>
          </w:tcPr>
          <w:p w14:paraId="7337D51F"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On a continuous basis</w:t>
            </w:r>
          </w:p>
        </w:tc>
      </w:tr>
      <w:tr w:rsidR="00723B6D" w:rsidRPr="00E128B3" w14:paraId="28CBA9E8"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24A1AF1C"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218" w:type="pct"/>
            <w:tcBorders>
              <w:top w:val="nil"/>
              <w:left w:val="nil"/>
              <w:bottom w:val="single" w:sz="4" w:space="0" w:color="auto"/>
              <w:right w:val="single" w:sz="4" w:space="0" w:color="auto"/>
            </w:tcBorders>
            <w:shd w:val="clear" w:color="auto" w:fill="auto"/>
            <w:vAlign w:val="center"/>
            <w:hideMark/>
          </w:tcPr>
          <w:p w14:paraId="69C793FF"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1729" w:type="pct"/>
            <w:tcBorders>
              <w:top w:val="nil"/>
              <w:left w:val="nil"/>
              <w:bottom w:val="single" w:sz="4" w:space="0" w:color="auto"/>
              <w:right w:val="single" w:sz="4" w:space="0" w:color="auto"/>
            </w:tcBorders>
            <w:shd w:val="clear" w:color="auto" w:fill="auto"/>
            <w:vAlign w:val="center"/>
            <w:hideMark/>
          </w:tcPr>
          <w:p w14:paraId="28857AC6"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CZ.05.2.32/0.0/0.0/17_067/0005160</w:t>
            </w:r>
          </w:p>
        </w:tc>
        <w:tc>
          <w:tcPr>
            <w:tcW w:w="853" w:type="pct"/>
            <w:tcBorders>
              <w:top w:val="nil"/>
              <w:left w:val="nil"/>
              <w:bottom w:val="single" w:sz="4" w:space="0" w:color="auto"/>
              <w:right w:val="single" w:sz="4" w:space="0" w:color="auto"/>
            </w:tcBorders>
            <w:shd w:val="clear" w:color="auto" w:fill="auto"/>
            <w:vAlign w:val="center"/>
            <w:hideMark/>
          </w:tcPr>
          <w:p w14:paraId="23C3CF4E"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23,700,000.00</w:t>
            </w:r>
          </w:p>
        </w:tc>
        <w:tc>
          <w:tcPr>
            <w:tcW w:w="866" w:type="pct"/>
            <w:tcBorders>
              <w:top w:val="nil"/>
              <w:left w:val="nil"/>
              <w:bottom w:val="single" w:sz="4" w:space="0" w:color="auto"/>
              <w:right w:val="single" w:sz="8" w:space="0" w:color="auto"/>
            </w:tcBorders>
            <w:shd w:val="clear" w:color="auto" w:fill="auto"/>
            <w:noWrap/>
            <w:vAlign w:val="center"/>
            <w:hideMark/>
          </w:tcPr>
          <w:p w14:paraId="29F4A0DB"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On a continuous basis</w:t>
            </w:r>
          </w:p>
        </w:tc>
      </w:tr>
      <w:tr w:rsidR="00723B6D" w:rsidRPr="00E128B3" w14:paraId="47BF402A"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2841F389"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218" w:type="pct"/>
            <w:tcBorders>
              <w:top w:val="nil"/>
              <w:left w:val="nil"/>
              <w:bottom w:val="single" w:sz="4" w:space="0" w:color="auto"/>
              <w:right w:val="single" w:sz="4" w:space="0" w:color="auto"/>
            </w:tcBorders>
            <w:shd w:val="clear" w:color="auto" w:fill="auto"/>
            <w:vAlign w:val="center"/>
            <w:hideMark/>
          </w:tcPr>
          <w:p w14:paraId="0528A8D6"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1729" w:type="pct"/>
            <w:tcBorders>
              <w:top w:val="nil"/>
              <w:left w:val="nil"/>
              <w:bottom w:val="single" w:sz="4" w:space="0" w:color="auto"/>
              <w:right w:val="single" w:sz="4" w:space="0" w:color="auto"/>
            </w:tcBorders>
            <w:shd w:val="clear" w:color="auto" w:fill="auto"/>
            <w:vAlign w:val="center"/>
            <w:hideMark/>
          </w:tcPr>
          <w:p w14:paraId="03E1D9F6"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CZ.05.2.32/0.0/0.0/15_016/0000007</w:t>
            </w:r>
          </w:p>
        </w:tc>
        <w:tc>
          <w:tcPr>
            <w:tcW w:w="853" w:type="pct"/>
            <w:tcBorders>
              <w:top w:val="nil"/>
              <w:left w:val="nil"/>
              <w:bottom w:val="single" w:sz="4" w:space="0" w:color="auto"/>
              <w:right w:val="single" w:sz="4" w:space="0" w:color="auto"/>
            </w:tcBorders>
            <w:shd w:val="clear" w:color="auto" w:fill="auto"/>
            <w:vAlign w:val="center"/>
            <w:hideMark/>
          </w:tcPr>
          <w:p w14:paraId="0A735909"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195,800,000.00</w:t>
            </w:r>
          </w:p>
        </w:tc>
        <w:tc>
          <w:tcPr>
            <w:tcW w:w="866" w:type="pct"/>
            <w:tcBorders>
              <w:top w:val="nil"/>
              <w:left w:val="nil"/>
              <w:bottom w:val="single" w:sz="4" w:space="0" w:color="auto"/>
              <w:right w:val="single" w:sz="8" w:space="0" w:color="auto"/>
            </w:tcBorders>
            <w:shd w:val="clear" w:color="auto" w:fill="auto"/>
            <w:noWrap/>
            <w:vAlign w:val="center"/>
            <w:hideMark/>
          </w:tcPr>
          <w:p w14:paraId="062B5742"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On a continuous basis</w:t>
            </w:r>
          </w:p>
        </w:tc>
      </w:tr>
      <w:tr w:rsidR="00723B6D" w:rsidRPr="00E128B3" w14:paraId="289C5195"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0F0D6626"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218" w:type="pct"/>
            <w:tcBorders>
              <w:top w:val="nil"/>
              <w:left w:val="nil"/>
              <w:bottom w:val="single" w:sz="4" w:space="0" w:color="auto"/>
              <w:right w:val="single" w:sz="4" w:space="0" w:color="auto"/>
            </w:tcBorders>
            <w:shd w:val="clear" w:color="auto" w:fill="auto"/>
            <w:vAlign w:val="center"/>
            <w:hideMark/>
          </w:tcPr>
          <w:p w14:paraId="10147FF2"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1729" w:type="pct"/>
            <w:tcBorders>
              <w:top w:val="nil"/>
              <w:left w:val="nil"/>
              <w:bottom w:val="single" w:sz="4" w:space="0" w:color="auto"/>
              <w:right w:val="single" w:sz="4" w:space="0" w:color="auto"/>
            </w:tcBorders>
            <w:shd w:val="clear" w:color="auto" w:fill="auto"/>
            <w:vAlign w:val="center"/>
            <w:hideMark/>
          </w:tcPr>
          <w:p w14:paraId="7D7D2CF8"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CZ.05.2.32/0.0/0.0/17_067/0005155</w:t>
            </w:r>
          </w:p>
        </w:tc>
        <w:tc>
          <w:tcPr>
            <w:tcW w:w="853" w:type="pct"/>
            <w:tcBorders>
              <w:top w:val="nil"/>
              <w:left w:val="nil"/>
              <w:bottom w:val="single" w:sz="4" w:space="0" w:color="auto"/>
              <w:right w:val="single" w:sz="4" w:space="0" w:color="auto"/>
            </w:tcBorders>
            <w:shd w:val="clear" w:color="auto" w:fill="auto"/>
            <w:vAlign w:val="center"/>
            <w:hideMark/>
          </w:tcPr>
          <w:p w14:paraId="46331FED"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177,900,000.00</w:t>
            </w:r>
          </w:p>
        </w:tc>
        <w:tc>
          <w:tcPr>
            <w:tcW w:w="866" w:type="pct"/>
            <w:tcBorders>
              <w:top w:val="nil"/>
              <w:left w:val="nil"/>
              <w:bottom w:val="single" w:sz="4" w:space="0" w:color="auto"/>
              <w:right w:val="single" w:sz="8" w:space="0" w:color="auto"/>
            </w:tcBorders>
            <w:shd w:val="clear" w:color="auto" w:fill="auto"/>
            <w:noWrap/>
            <w:vAlign w:val="center"/>
            <w:hideMark/>
          </w:tcPr>
          <w:p w14:paraId="325CAE6D"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On a continuous basis</w:t>
            </w:r>
          </w:p>
        </w:tc>
      </w:tr>
      <w:tr w:rsidR="00723B6D" w:rsidRPr="00E128B3" w14:paraId="3E543E5A"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auto"/>
            <w:vAlign w:val="center"/>
            <w:hideMark/>
          </w:tcPr>
          <w:p w14:paraId="0FF28DA2" w14:textId="77777777" w:rsidR="00723B6D" w:rsidRPr="00E128B3" w:rsidRDefault="00723B6D" w:rsidP="00723B6D">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SO 2.1 total for the SEF</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673044C9" w14:textId="77777777" w:rsidR="00723B6D" w:rsidRPr="00E128B3" w:rsidRDefault="00723B6D" w:rsidP="00723B6D">
            <w:pPr>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421,100,000.00</w:t>
            </w:r>
          </w:p>
        </w:tc>
        <w:tc>
          <w:tcPr>
            <w:tcW w:w="866" w:type="pct"/>
            <w:tcBorders>
              <w:top w:val="nil"/>
              <w:left w:val="nil"/>
              <w:bottom w:val="single" w:sz="4" w:space="0" w:color="auto"/>
              <w:right w:val="single" w:sz="8" w:space="0" w:color="auto"/>
            </w:tcBorders>
            <w:shd w:val="clear" w:color="auto" w:fill="auto"/>
            <w:noWrap/>
            <w:vAlign w:val="center"/>
            <w:hideMark/>
          </w:tcPr>
          <w:p w14:paraId="41CBB10E" w14:textId="77777777" w:rsidR="00723B6D" w:rsidRPr="00E128B3" w:rsidRDefault="00723B6D" w:rsidP="00723B6D">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r w:rsidR="00723B6D" w:rsidRPr="00E128B3" w14:paraId="09C32F71"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D9D9D9"/>
            <w:vAlign w:val="center"/>
            <w:hideMark/>
          </w:tcPr>
          <w:p w14:paraId="40E8DB7C" w14:textId="77777777" w:rsidR="00723B6D" w:rsidRPr="00E128B3" w:rsidRDefault="00723B6D" w:rsidP="00723B6D">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SO 2.1 total</w:t>
            </w:r>
          </w:p>
        </w:tc>
        <w:tc>
          <w:tcPr>
            <w:tcW w:w="853" w:type="pct"/>
            <w:tcBorders>
              <w:top w:val="nil"/>
              <w:left w:val="single" w:sz="4" w:space="0" w:color="auto"/>
              <w:bottom w:val="single" w:sz="4" w:space="0" w:color="auto"/>
              <w:right w:val="single" w:sz="4" w:space="0" w:color="auto"/>
            </w:tcBorders>
            <w:shd w:val="clear" w:color="auto" w:fill="D9D9D9"/>
            <w:vAlign w:val="center"/>
            <w:hideMark/>
          </w:tcPr>
          <w:p w14:paraId="40390741" w14:textId="77777777" w:rsidR="00723B6D" w:rsidRPr="00E128B3" w:rsidRDefault="00723B6D" w:rsidP="00723B6D">
            <w:pPr>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3,878,980,000.00</w:t>
            </w:r>
          </w:p>
        </w:tc>
        <w:tc>
          <w:tcPr>
            <w:tcW w:w="866" w:type="pct"/>
            <w:tcBorders>
              <w:top w:val="nil"/>
              <w:left w:val="nil"/>
              <w:bottom w:val="single" w:sz="4" w:space="0" w:color="auto"/>
              <w:right w:val="single" w:sz="8" w:space="0" w:color="auto"/>
            </w:tcBorders>
            <w:shd w:val="clear" w:color="auto" w:fill="D9D9D9"/>
            <w:noWrap/>
            <w:vAlign w:val="center"/>
            <w:hideMark/>
          </w:tcPr>
          <w:p w14:paraId="66D80EF8" w14:textId="77777777" w:rsidR="00723B6D" w:rsidRPr="00E128B3" w:rsidRDefault="00723B6D" w:rsidP="00723B6D">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r w:rsidR="007A26DE" w:rsidRPr="00E128B3" w14:paraId="2F6B1326" w14:textId="77777777" w:rsidTr="00AA4206">
        <w:trPr>
          <w:trHeight w:val="227"/>
        </w:trPr>
        <w:tc>
          <w:tcPr>
            <w:tcW w:w="5000" w:type="pct"/>
            <w:gridSpan w:val="5"/>
            <w:tcBorders>
              <w:top w:val="nil"/>
              <w:left w:val="single" w:sz="8" w:space="0" w:color="auto"/>
              <w:bottom w:val="single" w:sz="4" w:space="0" w:color="auto"/>
              <w:right w:val="single" w:sz="8" w:space="0" w:color="auto"/>
            </w:tcBorders>
            <w:shd w:val="clear" w:color="auto" w:fill="E5F1FF"/>
            <w:vAlign w:val="center"/>
          </w:tcPr>
          <w:p w14:paraId="1FFFB262" w14:textId="77777777" w:rsidR="007A26DE" w:rsidRPr="00E128B3" w:rsidRDefault="007A26DE"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INDUSTRY</w:t>
            </w:r>
          </w:p>
        </w:tc>
      </w:tr>
      <w:tr w:rsidR="00723B6D" w:rsidRPr="00E128B3" w14:paraId="74DC5BB5"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39CA5F76"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Cement Hranice, akciová společnost</w:t>
            </w:r>
          </w:p>
        </w:tc>
        <w:tc>
          <w:tcPr>
            <w:tcW w:w="218" w:type="pct"/>
            <w:tcBorders>
              <w:top w:val="nil"/>
              <w:left w:val="nil"/>
              <w:bottom w:val="single" w:sz="4" w:space="0" w:color="auto"/>
              <w:right w:val="single" w:sz="4" w:space="0" w:color="auto"/>
            </w:tcBorders>
            <w:shd w:val="clear" w:color="auto" w:fill="auto"/>
            <w:noWrap/>
            <w:vAlign w:val="center"/>
            <w:hideMark/>
          </w:tcPr>
          <w:p w14:paraId="23BD16B9"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2.2</w:t>
            </w:r>
          </w:p>
        </w:tc>
        <w:tc>
          <w:tcPr>
            <w:tcW w:w="1729" w:type="pct"/>
            <w:tcBorders>
              <w:top w:val="nil"/>
              <w:left w:val="nil"/>
              <w:bottom w:val="single" w:sz="4" w:space="0" w:color="auto"/>
              <w:right w:val="single" w:sz="4" w:space="0" w:color="auto"/>
            </w:tcBorders>
            <w:shd w:val="clear" w:color="auto" w:fill="auto"/>
            <w:vAlign w:val="center"/>
            <w:hideMark/>
          </w:tcPr>
          <w:p w14:paraId="281D7D6B"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CZ.05.2.32/0.0/0.0/15_008/0000710</w:t>
            </w:r>
          </w:p>
        </w:tc>
        <w:tc>
          <w:tcPr>
            <w:tcW w:w="853" w:type="pct"/>
            <w:tcBorders>
              <w:top w:val="nil"/>
              <w:left w:val="nil"/>
              <w:bottom w:val="single" w:sz="4" w:space="0" w:color="auto"/>
              <w:right w:val="single" w:sz="4" w:space="0" w:color="auto"/>
            </w:tcBorders>
            <w:shd w:val="clear" w:color="auto" w:fill="auto"/>
            <w:vAlign w:val="center"/>
            <w:hideMark/>
          </w:tcPr>
          <w:p w14:paraId="0E612CEB"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39,581,275.80</w:t>
            </w:r>
          </w:p>
        </w:tc>
        <w:tc>
          <w:tcPr>
            <w:tcW w:w="866" w:type="pct"/>
            <w:tcBorders>
              <w:top w:val="nil"/>
              <w:left w:val="nil"/>
              <w:bottom w:val="single" w:sz="4" w:space="0" w:color="auto"/>
              <w:right w:val="single" w:sz="8" w:space="0" w:color="auto"/>
            </w:tcBorders>
            <w:shd w:val="clear" w:color="auto" w:fill="auto"/>
            <w:noWrap/>
            <w:vAlign w:val="center"/>
            <w:hideMark/>
          </w:tcPr>
          <w:p w14:paraId="4104EBF1"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Completed</w:t>
            </w:r>
          </w:p>
        </w:tc>
      </w:tr>
      <w:tr w:rsidR="00723B6D" w:rsidRPr="00E128B3" w14:paraId="56DEDA58"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44B722D1"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METAZ Týnec a.s.</w:t>
            </w:r>
          </w:p>
        </w:tc>
        <w:tc>
          <w:tcPr>
            <w:tcW w:w="218" w:type="pct"/>
            <w:tcBorders>
              <w:top w:val="nil"/>
              <w:left w:val="nil"/>
              <w:bottom w:val="single" w:sz="4" w:space="0" w:color="auto"/>
              <w:right w:val="single" w:sz="4" w:space="0" w:color="auto"/>
            </w:tcBorders>
            <w:shd w:val="clear" w:color="auto" w:fill="auto"/>
            <w:noWrap/>
            <w:vAlign w:val="center"/>
            <w:hideMark/>
          </w:tcPr>
          <w:p w14:paraId="40BF93B4"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2.2</w:t>
            </w:r>
          </w:p>
        </w:tc>
        <w:tc>
          <w:tcPr>
            <w:tcW w:w="1729" w:type="pct"/>
            <w:tcBorders>
              <w:top w:val="nil"/>
              <w:left w:val="nil"/>
              <w:bottom w:val="single" w:sz="4" w:space="0" w:color="auto"/>
              <w:right w:val="single" w:sz="4" w:space="0" w:color="auto"/>
            </w:tcBorders>
            <w:shd w:val="clear" w:color="auto" w:fill="auto"/>
            <w:vAlign w:val="center"/>
            <w:hideMark/>
          </w:tcPr>
          <w:p w14:paraId="109229D3"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CZ.05.2.32/0.0/0.0/15_008/0001064</w:t>
            </w:r>
          </w:p>
        </w:tc>
        <w:tc>
          <w:tcPr>
            <w:tcW w:w="853" w:type="pct"/>
            <w:tcBorders>
              <w:top w:val="nil"/>
              <w:left w:val="nil"/>
              <w:bottom w:val="single" w:sz="4" w:space="0" w:color="auto"/>
              <w:right w:val="single" w:sz="4" w:space="0" w:color="auto"/>
            </w:tcBorders>
            <w:shd w:val="clear" w:color="auto" w:fill="auto"/>
            <w:vAlign w:val="center"/>
            <w:hideMark/>
          </w:tcPr>
          <w:p w14:paraId="525B376D"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95,856,227.35</w:t>
            </w:r>
          </w:p>
        </w:tc>
        <w:tc>
          <w:tcPr>
            <w:tcW w:w="866" w:type="pct"/>
            <w:tcBorders>
              <w:top w:val="nil"/>
              <w:left w:val="nil"/>
              <w:bottom w:val="single" w:sz="4" w:space="0" w:color="auto"/>
              <w:right w:val="single" w:sz="8" w:space="0" w:color="auto"/>
            </w:tcBorders>
            <w:shd w:val="clear" w:color="auto" w:fill="auto"/>
            <w:noWrap/>
            <w:vAlign w:val="center"/>
            <w:hideMark/>
          </w:tcPr>
          <w:p w14:paraId="106A3E25"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Completed</w:t>
            </w:r>
          </w:p>
        </w:tc>
      </w:tr>
      <w:tr w:rsidR="00723B6D" w:rsidRPr="00E128B3" w14:paraId="3AD8DF5F"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3E6B580E"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Severočeské doly a.s.</w:t>
            </w:r>
          </w:p>
        </w:tc>
        <w:tc>
          <w:tcPr>
            <w:tcW w:w="218" w:type="pct"/>
            <w:tcBorders>
              <w:top w:val="nil"/>
              <w:left w:val="nil"/>
              <w:bottom w:val="single" w:sz="4" w:space="0" w:color="auto"/>
              <w:right w:val="single" w:sz="4" w:space="0" w:color="auto"/>
            </w:tcBorders>
            <w:shd w:val="clear" w:color="auto" w:fill="auto"/>
            <w:noWrap/>
            <w:vAlign w:val="center"/>
            <w:hideMark/>
          </w:tcPr>
          <w:p w14:paraId="371DF51E"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2.2</w:t>
            </w:r>
          </w:p>
        </w:tc>
        <w:tc>
          <w:tcPr>
            <w:tcW w:w="1729" w:type="pct"/>
            <w:tcBorders>
              <w:top w:val="nil"/>
              <w:left w:val="nil"/>
              <w:bottom w:val="single" w:sz="4" w:space="0" w:color="auto"/>
              <w:right w:val="single" w:sz="4" w:space="0" w:color="auto"/>
            </w:tcBorders>
            <w:shd w:val="clear" w:color="auto" w:fill="auto"/>
            <w:vAlign w:val="center"/>
            <w:hideMark/>
          </w:tcPr>
          <w:p w14:paraId="1351462F"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CZ.05.2.32/0.0/0.0/15_008/0001045</w:t>
            </w:r>
          </w:p>
        </w:tc>
        <w:tc>
          <w:tcPr>
            <w:tcW w:w="853" w:type="pct"/>
            <w:tcBorders>
              <w:top w:val="nil"/>
              <w:left w:val="nil"/>
              <w:bottom w:val="single" w:sz="4" w:space="0" w:color="auto"/>
              <w:right w:val="single" w:sz="4" w:space="0" w:color="auto"/>
            </w:tcBorders>
            <w:shd w:val="clear" w:color="auto" w:fill="auto"/>
            <w:vAlign w:val="center"/>
            <w:hideMark/>
          </w:tcPr>
          <w:p w14:paraId="2FFE3B16"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11,323,874.65</w:t>
            </w:r>
          </w:p>
        </w:tc>
        <w:tc>
          <w:tcPr>
            <w:tcW w:w="866" w:type="pct"/>
            <w:tcBorders>
              <w:top w:val="nil"/>
              <w:left w:val="nil"/>
              <w:bottom w:val="single" w:sz="4" w:space="0" w:color="auto"/>
              <w:right w:val="single" w:sz="8" w:space="0" w:color="auto"/>
            </w:tcBorders>
            <w:shd w:val="clear" w:color="auto" w:fill="auto"/>
            <w:noWrap/>
            <w:vAlign w:val="center"/>
            <w:hideMark/>
          </w:tcPr>
          <w:p w14:paraId="472D95CE"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Project under implementation</w:t>
            </w:r>
          </w:p>
        </w:tc>
      </w:tr>
      <w:tr w:rsidR="00723B6D" w:rsidRPr="00E128B3" w14:paraId="18E6E5E2"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2CFE09B1"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Wotan Forest, a.s.</w:t>
            </w:r>
          </w:p>
        </w:tc>
        <w:tc>
          <w:tcPr>
            <w:tcW w:w="218" w:type="pct"/>
            <w:tcBorders>
              <w:top w:val="nil"/>
              <w:left w:val="nil"/>
              <w:bottom w:val="single" w:sz="4" w:space="0" w:color="auto"/>
              <w:right w:val="single" w:sz="4" w:space="0" w:color="auto"/>
            </w:tcBorders>
            <w:shd w:val="clear" w:color="auto" w:fill="auto"/>
            <w:noWrap/>
            <w:vAlign w:val="center"/>
            <w:hideMark/>
          </w:tcPr>
          <w:p w14:paraId="28C69E66"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2.2</w:t>
            </w:r>
          </w:p>
        </w:tc>
        <w:tc>
          <w:tcPr>
            <w:tcW w:w="1729" w:type="pct"/>
            <w:tcBorders>
              <w:top w:val="nil"/>
              <w:left w:val="nil"/>
              <w:bottom w:val="single" w:sz="4" w:space="0" w:color="auto"/>
              <w:right w:val="single" w:sz="4" w:space="0" w:color="auto"/>
            </w:tcBorders>
            <w:shd w:val="clear" w:color="auto" w:fill="auto"/>
            <w:vAlign w:val="center"/>
            <w:hideMark/>
          </w:tcPr>
          <w:p w14:paraId="66B77363"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CZ.05.2.32/0.0/0.0/15_008/0001081</w:t>
            </w:r>
          </w:p>
        </w:tc>
        <w:tc>
          <w:tcPr>
            <w:tcW w:w="853" w:type="pct"/>
            <w:tcBorders>
              <w:top w:val="nil"/>
              <w:left w:val="nil"/>
              <w:bottom w:val="single" w:sz="4" w:space="0" w:color="auto"/>
              <w:right w:val="single" w:sz="4" w:space="0" w:color="auto"/>
            </w:tcBorders>
            <w:shd w:val="clear" w:color="auto" w:fill="auto"/>
            <w:vAlign w:val="center"/>
            <w:hideMark/>
          </w:tcPr>
          <w:p w14:paraId="26D28FFB"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61,358,162.80</w:t>
            </w:r>
          </w:p>
        </w:tc>
        <w:tc>
          <w:tcPr>
            <w:tcW w:w="866" w:type="pct"/>
            <w:tcBorders>
              <w:top w:val="nil"/>
              <w:left w:val="nil"/>
              <w:bottom w:val="single" w:sz="4" w:space="0" w:color="auto"/>
              <w:right w:val="single" w:sz="8" w:space="0" w:color="auto"/>
            </w:tcBorders>
            <w:shd w:val="clear" w:color="auto" w:fill="auto"/>
            <w:vAlign w:val="center"/>
            <w:hideMark/>
          </w:tcPr>
          <w:p w14:paraId="76EA630D"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Project under implementation</w:t>
            </w:r>
          </w:p>
        </w:tc>
      </w:tr>
      <w:tr w:rsidR="00723B6D" w:rsidRPr="00E128B3" w14:paraId="66768676"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auto"/>
            <w:vAlign w:val="center"/>
            <w:hideMark/>
          </w:tcPr>
          <w:p w14:paraId="6D0DC1D3" w14:textId="77777777" w:rsidR="00723B6D" w:rsidRPr="00E128B3" w:rsidRDefault="00723B6D" w:rsidP="00723B6D">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SO 2.2 total for final beneficiaries</w:t>
            </w:r>
          </w:p>
        </w:tc>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43D1BABB" w14:textId="77777777" w:rsidR="00723B6D" w:rsidRPr="00E128B3" w:rsidRDefault="00723B6D" w:rsidP="00723B6D">
            <w:pPr>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208,119,540,60</w:t>
            </w:r>
          </w:p>
        </w:tc>
        <w:tc>
          <w:tcPr>
            <w:tcW w:w="866" w:type="pct"/>
            <w:tcBorders>
              <w:top w:val="nil"/>
              <w:left w:val="nil"/>
              <w:bottom w:val="single" w:sz="4" w:space="0" w:color="auto"/>
              <w:right w:val="single" w:sz="8" w:space="0" w:color="auto"/>
            </w:tcBorders>
            <w:shd w:val="clear" w:color="auto" w:fill="auto"/>
            <w:noWrap/>
            <w:vAlign w:val="center"/>
            <w:hideMark/>
          </w:tcPr>
          <w:p w14:paraId="5FF5742B" w14:textId="77777777" w:rsidR="00723B6D" w:rsidRPr="00E128B3" w:rsidRDefault="00723B6D" w:rsidP="00723B6D">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r w:rsidR="00723B6D" w:rsidRPr="00E128B3" w14:paraId="606AA414"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noWrap/>
            <w:vAlign w:val="center"/>
            <w:hideMark/>
          </w:tcPr>
          <w:p w14:paraId="6C114BD5"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218" w:type="pct"/>
            <w:tcBorders>
              <w:top w:val="nil"/>
              <w:left w:val="nil"/>
              <w:bottom w:val="single" w:sz="4" w:space="0" w:color="auto"/>
              <w:right w:val="single" w:sz="4" w:space="0" w:color="auto"/>
            </w:tcBorders>
            <w:shd w:val="clear" w:color="auto" w:fill="auto"/>
            <w:vAlign w:val="center"/>
            <w:hideMark/>
          </w:tcPr>
          <w:p w14:paraId="6E972AF4"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2.2</w:t>
            </w:r>
          </w:p>
        </w:tc>
        <w:tc>
          <w:tcPr>
            <w:tcW w:w="1729" w:type="pct"/>
            <w:tcBorders>
              <w:top w:val="nil"/>
              <w:left w:val="nil"/>
              <w:bottom w:val="single" w:sz="4" w:space="0" w:color="auto"/>
              <w:right w:val="single" w:sz="4" w:space="0" w:color="auto"/>
            </w:tcBorders>
            <w:shd w:val="clear" w:color="auto" w:fill="auto"/>
            <w:vAlign w:val="center"/>
            <w:hideMark/>
          </w:tcPr>
          <w:p w14:paraId="3857C728"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CZ.05.2.32/0.0/0.0/15_008/0000001</w:t>
            </w:r>
          </w:p>
        </w:tc>
        <w:tc>
          <w:tcPr>
            <w:tcW w:w="853" w:type="pct"/>
            <w:tcBorders>
              <w:top w:val="nil"/>
              <w:left w:val="nil"/>
              <w:bottom w:val="single" w:sz="4" w:space="0" w:color="auto"/>
              <w:right w:val="single" w:sz="4" w:space="0" w:color="auto"/>
            </w:tcBorders>
            <w:shd w:val="clear" w:color="auto" w:fill="auto"/>
            <w:vAlign w:val="center"/>
            <w:hideMark/>
          </w:tcPr>
          <w:p w14:paraId="1A800E65"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19,255,679.00</w:t>
            </w:r>
          </w:p>
        </w:tc>
        <w:tc>
          <w:tcPr>
            <w:tcW w:w="866" w:type="pct"/>
            <w:tcBorders>
              <w:top w:val="nil"/>
              <w:left w:val="nil"/>
              <w:bottom w:val="single" w:sz="4" w:space="0" w:color="auto"/>
              <w:right w:val="single" w:sz="8" w:space="0" w:color="auto"/>
            </w:tcBorders>
            <w:shd w:val="clear" w:color="auto" w:fill="auto"/>
            <w:noWrap/>
            <w:vAlign w:val="center"/>
            <w:hideMark/>
          </w:tcPr>
          <w:p w14:paraId="3DB4E965"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Completed</w:t>
            </w:r>
          </w:p>
        </w:tc>
      </w:tr>
      <w:tr w:rsidR="00723B6D" w:rsidRPr="00E128B3" w14:paraId="6136E3B9"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noWrap/>
            <w:vAlign w:val="center"/>
            <w:hideMark/>
          </w:tcPr>
          <w:p w14:paraId="76256BAE"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218" w:type="pct"/>
            <w:tcBorders>
              <w:top w:val="nil"/>
              <w:left w:val="nil"/>
              <w:bottom w:val="single" w:sz="4" w:space="0" w:color="auto"/>
              <w:right w:val="single" w:sz="4" w:space="0" w:color="auto"/>
            </w:tcBorders>
            <w:shd w:val="clear" w:color="auto" w:fill="auto"/>
            <w:vAlign w:val="center"/>
            <w:hideMark/>
          </w:tcPr>
          <w:p w14:paraId="14A0D8F1"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2.2</w:t>
            </w:r>
          </w:p>
        </w:tc>
        <w:tc>
          <w:tcPr>
            <w:tcW w:w="1729" w:type="pct"/>
            <w:tcBorders>
              <w:top w:val="nil"/>
              <w:left w:val="nil"/>
              <w:bottom w:val="single" w:sz="4" w:space="0" w:color="auto"/>
              <w:right w:val="single" w:sz="4" w:space="0" w:color="auto"/>
            </w:tcBorders>
            <w:shd w:val="clear" w:color="auto" w:fill="auto"/>
            <w:vAlign w:val="center"/>
            <w:hideMark/>
          </w:tcPr>
          <w:p w14:paraId="79AF4A39"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CZ.05.2.32/0.0/0.0/15_008/0000227</w:t>
            </w:r>
          </w:p>
        </w:tc>
        <w:tc>
          <w:tcPr>
            <w:tcW w:w="853" w:type="pct"/>
            <w:tcBorders>
              <w:top w:val="nil"/>
              <w:left w:val="nil"/>
              <w:bottom w:val="single" w:sz="4" w:space="0" w:color="auto"/>
              <w:right w:val="single" w:sz="4" w:space="0" w:color="auto"/>
            </w:tcBorders>
            <w:shd w:val="clear" w:color="auto" w:fill="auto"/>
            <w:vAlign w:val="center"/>
            <w:hideMark/>
          </w:tcPr>
          <w:p w14:paraId="54BF6125"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6,074,750.00</w:t>
            </w:r>
          </w:p>
        </w:tc>
        <w:tc>
          <w:tcPr>
            <w:tcW w:w="866" w:type="pct"/>
            <w:tcBorders>
              <w:top w:val="nil"/>
              <w:left w:val="nil"/>
              <w:bottom w:val="single" w:sz="4" w:space="0" w:color="auto"/>
              <w:right w:val="single" w:sz="8" w:space="0" w:color="auto"/>
            </w:tcBorders>
            <w:shd w:val="clear" w:color="auto" w:fill="auto"/>
            <w:noWrap/>
            <w:vAlign w:val="center"/>
            <w:hideMark/>
          </w:tcPr>
          <w:p w14:paraId="4CFEACC5"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Project under implementation</w:t>
            </w:r>
          </w:p>
        </w:tc>
      </w:tr>
      <w:tr w:rsidR="00723B6D" w:rsidRPr="00E128B3" w14:paraId="777A468B"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noWrap/>
            <w:vAlign w:val="center"/>
            <w:hideMark/>
          </w:tcPr>
          <w:p w14:paraId="11CB081A"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218" w:type="pct"/>
            <w:tcBorders>
              <w:top w:val="nil"/>
              <w:left w:val="nil"/>
              <w:bottom w:val="single" w:sz="4" w:space="0" w:color="auto"/>
              <w:right w:val="single" w:sz="4" w:space="0" w:color="auto"/>
            </w:tcBorders>
            <w:shd w:val="clear" w:color="auto" w:fill="auto"/>
            <w:vAlign w:val="center"/>
            <w:hideMark/>
          </w:tcPr>
          <w:p w14:paraId="35028365"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2.2</w:t>
            </w:r>
          </w:p>
        </w:tc>
        <w:tc>
          <w:tcPr>
            <w:tcW w:w="1729" w:type="pct"/>
            <w:tcBorders>
              <w:top w:val="nil"/>
              <w:left w:val="nil"/>
              <w:bottom w:val="single" w:sz="4" w:space="0" w:color="auto"/>
              <w:right w:val="single" w:sz="4" w:space="0" w:color="auto"/>
            </w:tcBorders>
            <w:shd w:val="clear" w:color="auto" w:fill="auto"/>
            <w:vAlign w:val="center"/>
            <w:hideMark/>
          </w:tcPr>
          <w:p w14:paraId="3C778B24"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CZ.05.2.32/0.0/0.0/15_008/0000970</w:t>
            </w:r>
          </w:p>
        </w:tc>
        <w:tc>
          <w:tcPr>
            <w:tcW w:w="853" w:type="pct"/>
            <w:tcBorders>
              <w:top w:val="nil"/>
              <w:left w:val="nil"/>
              <w:bottom w:val="single" w:sz="4" w:space="0" w:color="auto"/>
              <w:right w:val="single" w:sz="4" w:space="0" w:color="auto"/>
            </w:tcBorders>
            <w:shd w:val="clear" w:color="auto" w:fill="auto"/>
            <w:vAlign w:val="center"/>
            <w:hideMark/>
          </w:tcPr>
          <w:p w14:paraId="5121A890"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30,624,750.00</w:t>
            </w:r>
          </w:p>
        </w:tc>
        <w:tc>
          <w:tcPr>
            <w:tcW w:w="866" w:type="pct"/>
            <w:tcBorders>
              <w:top w:val="nil"/>
              <w:left w:val="nil"/>
              <w:bottom w:val="single" w:sz="4" w:space="0" w:color="auto"/>
              <w:right w:val="single" w:sz="8" w:space="0" w:color="auto"/>
            </w:tcBorders>
            <w:shd w:val="clear" w:color="auto" w:fill="auto"/>
            <w:noWrap/>
            <w:vAlign w:val="center"/>
            <w:hideMark/>
          </w:tcPr>
          <w:p w14:paraId="134C76E7"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Completed</w:t>
            </w:r>
          </w:p>
        </w:tc>
      </w:tr>
      <w:tr w:rsidR="00723B6D" w:rsidRPr="00E128B3" w14:paraId="59B10210"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auto"/>
            <w:vAlign w:val="center"/>
            <w:hideMark/>
          </w:tcPr>
          <w:p w14:paraId="28F13F67" w14:textId="77777777" w:rsidR="00723B6D" w:rsidRPr="00E128B3" w:rsidRDefault="00723B6D" w:rsidP="00723B6D">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SO 2.2 total for the SEF</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4A1A2477" w14:textId="77777777" w:rsidR="00723B6D" w:rsidRPr="00E128B3" w:rsidRDefault="00723B6D" w:rsidP="00723B6D">
            <w:pPr>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55,955,179.00</w:t>
            </w:r>
          </w:p>
        </w:tc>
        <w:tc>
          <w:tcPr>
            <w:tcW w:w="866" w:type="pct"/>
            <w:tcBorders>
              <w:top w:val="nil"/>
              <w:left w:val="nil"/>
              <w:bottom w:val="single" w:sz="4" w:space="0" w:color="auto"/>
              <w:right w:val="single" w:sz="8" w:space="0" w:color="auto"/>
            </w:tcBorders>
            <w:shd w:val="clear" w:color="auto" w:fill="auto"/>
            <w:noWrap/>
            <w:vAlign w:val="center"/>
            <w:hideMark/>
          </w:tcPr>
          <w:p w14:paraId="67F5BF19" w14:textId="77777777" w:rsidR="00723B6D" w:rsidRPr="00E128B3" w:rsidRDefault="00723B6D" w:rsidP="00723B6D">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r w:rsidR="00723B6D" w:rsidRPr="00E128B3" w14:paraId="4235CA80"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D9D9D9"/>
            <w:vAlign w:val="center"/>
            <w:hideMark/>
          </w:tcPr>
          <w:p w14:paraId="76A913CC" w14:textId="77777777" w:rsidR="00723B6D" w:rsidRPr="00E128B3" w:rsidRDefault="00723B6D" w:rsidP="00723B6D">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SO 2.2 TOTAL</w:t>
            </w:r>
          </w:p>
        </w:tc>
        <w:tc>
          <w:tcPr>
            <w:tcW w:w="853" w:type="pct"/>
            <w:tcBorders>
              <w:top w:val="nil"/>
              <w:left w:val="single" w:sz="4" w:space="0" w:color="auto"/>
              <w:bottom w:val="single" w:sz="4" w:space="0" w:color="auto"/>
              <w:right w:val="single" w:sz="4" w:space="0" w:color="auto"/>
            </w:tcBorders>
            <w:shd w:val="clear" w:color="auto" w:fill="D9D9D9"/>
            <w:vAlign w:val="center"/>
            <w:hideMark/>
          </w:tcPr>
          <w:p w14:paraId="4F698034" w14:textId="77777777" w:rsidR="00723B6D" w:rsidRPr="00E128B3" w:rsidRDefault="00723B6D" w:rsidP="00723B6D">
            <w:pPr>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264,074,719.60</w:t>
            </w:r>
          </w:p>
        </w:tc>
        <w:tc>
          <w:tcPr>
            <w:tcW w:w="866" w:type="pct"/>
            <w:tcBorders>
              <w:top w:val="nil"/>
              <w:left w:val="nil"/>
              <w:bottom w:val="single" w:sz="4" w:space="0" w:color="auto"/>
              <w:right w:val="single" w:sz="8" w:space="0" w:color="auto"/>
            </w:tcBorders>
            <w:shd w:val="clear" w:color="auto" w:fill="D9D9D9"/>
            <w:noWrap/>
            <w:vAlign w:val="center"/>
            <w:hideMark/>
          </w:tcPr>
          <w:p w14:paraId="1D6837EA" w14:textId="77777777" w:rsidR="00723B6D" w:rsidRPr="00E128B3" w:rsidRDefault="00723B6D" w:rsidP="00723B6D">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r w:rsidR="007A26DE" w:rsidRPr="00E128B3" w14:paraId="1C593F2A" w14:textId="77777777" w:rsidTr="00AA4206">
        <w:trPr>
          <w:trHeight w:val="227"/>
        </w:trPr>
        <w:tc>
          <w:tcPr>
            <w:tcW w:w="1" w:type="pct"/>
            <w:gridSpan w:val="5"/>
            <w:tcBorders>
              <w:top w:val="nil"/>
              <w:left w:val="single" w:sz="8" w:space="0" w:color="auto"/>
              <w:bottom w:val="single" w:sz="4" w:space="0" w:color="auto"/>
              <w:right w:val="single" w:sz="8" w:space="0" w:color="auto"/>
            </w:tcBorders>
            <w:shd w:val="clear" w:color="auto" w:fill="E5F1FF"/>
            <w:vAlign w:val="center"/>
          </w:tcPr>
          <w:p w14:paraId="24A656B6" w14:textId="77777777" w:rsidR="007A26DE" w:rsidRPr="00E128B3" w:rsidRDefault="007A26DE"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MONITORING</w:t>
            </w:r>
          </w:p>
        </w:tc>
      </w:tr>
      <w:tr w:rsidR="00723B6D" w:rsidRPr="00E128B3" w14:paraId="7EDCC5B0"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26D8E6D5"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CHMI</w:t>
            </w:r>
          </w:p>
        </w:tc>
        <w:tc>
          <w:tcPr>
            <w:tcW w:w="218" w:type="pct"/>
            <w:tcBorders>
              <w:top w:val="nil"/>
              <w:left w:val="nil"/>
              <w:bottom w:val="single" w:sz="4" w:space="0" w:color="auto"/>
              <w:right w:val="single" w:sz="4" w:space="0" w:color="auto"/>
            </w:tcBorders>
            <w:shd w:val="clear" w:color="auto" w:fill="auto"/>
            <w:noWrap/>
            <w:vAlign w:val="center"/>
            <w:hideMark/>
          </w:tcPr>
          <w:p w14:paraId="6A1C322C"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2.3</w:t>
            </w:r>
          </w:p>
        </w:tc>
        <w:tc>
          <w:tcPr>
            <w:tcW w:w="1729" w:type="pct"/>
            <w:tcBorders>
              <w:top w:val="nil"/>
              <w:left w:val="nil"/>
              <w:bottom w:val="single" w:sz="4" w:space="0" w:color="auto"/>
              <w:right w:val="single" w:sz="4" w:space="0" w:color="auto"/>
            </w:tcBorders>
            <w:shd w:val="clear" w:color="auto" w:fill="auto"/>
            <w:vAlign w:val="center"/>
            <w:hideMark/>
          </w:tcPr>
          <w:p w14:paraId="56BDB60C"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CZ.05.2.32/0.0/0.0/15_017/0002594</w:t>
            </w:r>
          </w:p>
        </w:tc>
        <w:tc>
          <w:tcPr>
            <w:tcW w:w="853" w:type="pct"/>
            <w:tcBorders>
              <w:top w:val="nil"/>
              <w:left w:val="nil"/>
              <w:bottom w:val="single" w:sz="4" w:space="0" w:color="auto"/>
              <w:right w:val="single" w:sz="4" w:space="0" w:color="auto"/>
            </w:tcBorders>
            <w:shd w:val="clear" w:color="auto" w:fill="auto"/>
            <w:vAlign w:val="center"/>
            <w:hideMark/>
          </w:tcPr>
          <w:p w14:paraId="46FDD20F"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55,101,620.09</w:t>
            </w:r>
          </w:p>
        </w:tc>
        <w:tc>
          <w:tcPr>
            <w:tcW w:w="866" w:type="pct"/>
            <w:tcBorders>
              <w:top w:val="nil"/>
              <w:left w:val="nil"/>
              <w:bottom w:val="single" w:sz="4" w:space="0" w:color="auto"/>
              <w:right w:val="single" w:sz="8" w:space="0" w:color="auto"/>
            </w:tcBorders>
            <w:shd w:val="clear" w:color="auto" w:fill="auto"/>
            <w:vAlign w:val="center"/>
            <w:hideMark/>
          </w:tcPr>
          <w:p w14:paraId="12707247"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Completed</w:t>
            </w:r>
          </w:p>
        </w:tc>
      </w:tr>
      <w:tr w:rsidR="00723B6D" w:rsidRPr="00E128B3" w14:paraId="38F868AB"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7698DE1B"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CHMI</w:t>
            </w:r>
          </w:p>
        </w:tc>
        <w:tc>
          <w:tcPr>
            <w:tcW w:w="218" w:type="pct"/>
            <w:tcBorders>
              <w:top w:val="nil"/>
              <w:left w:val="nil"/>
              <w:bottom w:val="single" w:sz="4" w:space="0" w:color="auto"/>
              <w:right w:val="single" w:sz="4" w:space="0" w:color="auto"/>
            </w:tcBorders>
            <w:shd w:val="clear" w:color="auto" w:fill="auto"/>
            <w:noWrap/>
            <w:vAlign w:val="center"/>
            <w:hideMark/>
          </w:tcPr>
          <w:p w14:paraId="618DA4AC"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2.3</w:t>
            </w:r>
          </w:p>
        </w:tc>
        <w:tc>
          <w:tcPr>
            <w:tcW w:w="1729" w:type="pct"/>
            <w:tcBorders>
              <w:top w:val="nil"/>
              <w:left w:val="nil"/>
              <w:bottom w:val="single" w:sz="4" w:space="0" w:color="auto"/>
              <w:right w:val="single" w:sz="4" w:space="0" w:color="auto"/>
            </w:tcBorders>
            <w:shd w:val="clear" w:color="auto" w:fill="auto"/>
            <w:vAlign w:val="center"/>
            <w:hideMark/>
          </w:tcPr>
          <w:p w14:paraId="11F345DC"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CZ.05.2.32/0.0/0.0/15_017/0002616</w:t>
            </w:r>
          </w:p>
        </w:tc>
        <w:tc>
          <w:tcPr>
            <w:tcW w:w="853" w:type="pct"/>
            <w:tcBorders>
              <w:top w:val="nil"/>
              <w:left w:val="nil"/>
              <w:bottom w:val="single" w:sz="4" w:space="0" w:color="auto"/>
              <w:right w:val="single" w:sz="4" w:space="0" w:color="auto"/>
            </w:tcBorders>
            <w:shd w:val="clear" w:color="auto" w:fill="auto"/>
            <w:vAlign w:val="center"/>
            <w:hideMark/>
          </w:tcPr>
          <w:p w14:paraId="3CCBC790"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21,480,754.23</w:t>
            </w:r>
          </w:p>
        </w:tc>
        <w:tc>
          <w:tcPr>
            <w:tcW w:w="866" w:type="pct"/>
            <w:tcBorders>
              <w:top w:val="nil"/>
              <w:left w:val="nil"/>
              <w:bottom w:val="single" w:sz="4" w:space="0" w:color="auto"/>
              <w:right w:val="single" w:sz="8" w:space="0" w:color="auto"/>
            </w:tcBorders>
            <w:shd w:val="clear" w:color="auto" w:fill="auto"/>
            <w:vAlign w:val="center"/>
            <w:hideMark/>
          </w:tcPr>
          <w:p w14:paraId="70B3B374"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Project under implementation</w:t>
            </w:r>
          </w:p>
        </w:tc>
      </w:tr>
      <w:tr w:rsidR="00723B6D" w:rsidRPr="00E128B3" w14:paraId="29769657"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2CD447F5"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CHMI</w:t>
            </w:r>
          </w:p>
        </w:tc>
        <w:tc>
          <w:tcPr>
            <w:tcW w:w="218" w:type="pct"/>
            <w:tcBorders>
              <w:top w:val="nil"/>
              <w:left w:val="nil"/>
              <w:bottom w:val="single" w:sz="4" w:space="0" w:color="auto"/>
              <w:right w:val="single" w:sz="4" w:space="0" w:color="auto"/>
            </w:tcBorders>
            <w:shd w:val="clear" w:color="auto" w:fill="auto"/>
            <w:noWrap/>
            <w:vAlign w:val="center"/>
            <w:hideMark/>
          </w:tcPr>
          <w:p w14:paraId="66D941B1"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2.3</w:t>
            </w:r>
          </w:p>
        </w:tc>
        <w:tc>
          <w:tcPr>
            <w:tcW w:w="1729" w:type="pct"/>
            <w:tcBorders>
              <w:top w:val="nil"/>
              <w:left w:val="nil"/>
              <w:bottom w:val="single" w:sz="4" w:space="0" w:color="auto"/>
              <w:right w:val="single" w:sz="4" w:space="0" w:color="auto"/>
            </w:tcBorders>
            <w:shd w:val="clear" w:color="auto" w:fill="auto"/>
            <w:vAlign w:val="center"/>
            <w:hideMark/>
          </w:tcPr>
          <w:p w14:paraId="37BA0C47"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CZ.05.2.32/0.0/0.0/15_017/0002640</w:t>
            </w:r>
          </w:p>
        </w:tc>
        <w:tc>
          <w:tcPr>
            <w:tcW w:w="853" w:type="pct"/>
            <w:tcBorders>
              <w:top w:val="nil"/>
              <w:left w:val="nil"/>
              <w:bottom w:val="single" w:sz="4" w:space="0" w:color="auto"/>
              <w:right w:val="single" w:sz="4" w:space="0" w:color="auto"/>
            </w:tcBorders>
            <w:shd w:val="clear" w:color="auto" w:fill="auto"/>
            <w:vAlign w:val="center"/>
            <w:hideMark/>
          </w:tcPr>
          <w:p w14:paraId="7775C5A0"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16,573,952.59</w:t>
            </w:r>
          </w:p>
        </w:tc>
        <w:tc>
          <w:tcPr>
            <w:tcW w:w="866" w:type="pct"/>
            <w:tcBorders>
              <w:top w:val="nil"/>
              <w:left w:val="nil"/>
              <w:bottom w:val="single" w:sz="4" w:space="0" w:color="auto"/>
              <w:right w:val="single" w:sz="8" w:space="0" w:color="auto"/>
            </w:tcBorders>
            <w:shd w:val="clear" w:color="auto" w:fill="auto"/>
            <w:vAlign w:val="center"/>
            <w:hideMark/>
          </w:tcPr>
          <w:p w14:paraId="7C2B700D"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Project under implementation</w:t>
            </w:r>
          </w:p>
        </w:tc>
      </w:tr>
      <w:tr w:rsidR="00723B6D" w:rsidRPr="00E128B3" w14:paraId="20B2AA6D"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45724592"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CHMI</w:t>
            </w:r>
          </w:p>
        </w:tc>
        <w:tc>
          <w:tcPr>
            <w:tcW w:w="218" w:type="pct"/>
            <w:tcBorders>
              <w:top w:val="nil"/>
              <w:left w:val="nil"/>
              <w:bottom w:val="single" w:sz="4" w:space="0" w:color="auto"/>
              <w:right w:val="single" w:sz="4" w:space="0" w:color="auto"/>
            </w:tcBorders>
            <w:shd w:val="clear" w:color="auto" w:fill="auto"/>
            <w:noWrap/>
            <w:vAlign w:val="center"/>
            <w:hideMark/>
          </w:tcPr>
          <w:p w14:paraId="4BE3D432"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2.3</w:t>
            </w:r>
          </w:p>
        </w:tc>
        <w:tc>
          <w:tcPr>
            <w:tcW w:w="1729" w:type="pct"/>
            <w:tcBorders>
              <w:top w:val="nil"/>
              <w:left w:val="nil"/>
              <w:bottom w:val="single" w:sz="4" w:space="0" w:color="auto"/>
              <w:right w:val="single" w:sz="4" w:space="0" w:color="auto"/>
            </w:tcBorders>
            <w:shd w:val="clear" w:color="auto" w:fill="auto"/>
            <w:vAlign w:val="center"/>
            <w:hideMark/>
          </w:tcPr>
          <w:p w14:paraId="7E505A0D"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CZ.05.2.32/0.0/0.0/15_017/0002641</w:t>
            </w:r>
          </w:p>
        </w:tc>
        <w:tc>
          <w:tcPr>
            <w:tcW w:w="853" w:type="pct"/>
            <w:tcBorders>
              <w:top w:val="nil"/>
              <w:left w:val="nil"/>
              <w:bottom w:val="single" w:sz="4" w:space="0" w:color="auto"/>
              <w:right w:val="single" w:sz="4" w:space="0" w:color="auto"/>
            </w:tcBorders>
            <w:shd w:val="clear" w:color="auto" w:fill="auto"/>
            <w:vAlign w:val="center"/>
            <w:hideMark/>
          </w:tcPr>
          <w:p w14:paraId="6B9BA765"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31,648,604.97</w:t>
            </w:r>
          </w:p>
        </w:tc>
        <w:tc>
          <w:tcPr>
            <w:tcW w:w="866" w:type="pct"/>
            <w:tcBorders>
              <w:top w:val="nil"/>
              <w:left w:val="nil"/>
              <w:bottom w:val="single" w:sz="4" w:space="0" w:color="auto"/>
              <w:right w:val="single" w:sz="8" w:space="0" w:color="auto"/>
            </w:tcBorders>
            <w:shd w:val="clear" w:color="auto" w:fill="auto"/>
            <w:vAlign w:val="center"/>
            <w:hideMark/>
          </w:tcPr>
          <w:p w14:paraId="4D71C580"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Project under implementation</w:t>
            </w:r>
          </w:p>
        </w:tc>
      </w:tr>
      <w:tr w:rsidR="00723B6D" w:rsidRPr="00E128B3" w14:paraId="35C2C31C"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0140D2CC"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CHMI</w:t>
            </w:r>
          </w:p>
        </w:tc>
        <w:tc>
          <w:tcPr>
            <w:tcW w:w="218" w:type="pct"/>
            <w:tcBorders>
              <w:top w:val="nil"/>
              <w:left w:val="nil"/>
              <w:bottom w:val="single" w:sz="4" w:space="0" w:color="auto"/>
              <w:right w:val="single" w:sz="4" w:space="0" w:color="auto"/>
            </w:tcBorders>
            <w:shd w:val="clear" w:color="auto" w:fill="auto"/>
            <w:noWrap/>
            <w:vAlign w:val="center"/>
            <w:hideMark/>
          </w:tcPr>
          <w:p w14:paraId="2EE37C41"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2.3</w:t>
            </w:r>
          </w:p>
        </w:tc>
        <w:tc>
          <w:tcPr>
            <w:tcW w:w="1729" w:type="pct"/>
            <w:tcBorders>
              <w:top w:val="nil"/>
              <w:left w:val="nil"/>
              <w:bottom w:val="single" w:sz="4" w:space="0" w:color="auto"/>
              <w:right w:val="single" w:sz="4" w:space="0" w:color="auto"/>
            </w:tcBorders>
            <w:shd w:val="clear" w:color="auto" w:fill="auto"/>
            <w:vAlign w:val="center"/>
            <w:hideMark/>
          </w:tcPr>
          <w:p w14:paraId="6822A087"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CZ.05.2.32/0.0/0.0/15_017/0002642</w:t>
            </w:r>
          </w:p>
        </w:tc>
        <w:tc>
          <w:tcPr>
            <w:tcW w:w="853" w:type="pct"/>
            <w:tcBorders>
              <w:top w:val="nil"/>
              <w:left w:val="nil"/>
              <w:bottom w:val="single" w:sz="4" w:space="0" w:color="auto"/>
              <w:right w:val="single" w:sz="4" w:space="0" w:color="auto"/>
            </w:tcBorders>
            <w:shd w:val="clear" w:color="auto" w:fill="auto"/>
            <w:vAlign w:val="center"/>
            <w:hideMark/>
          </w:tcPr>
          <w:p w14:paraId="13755B5C"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10,260,697.65.</w:t>
            </w:r>
          </w:p>
        </w:tc>
        <w:tc>
          <w:tcPr>
            <w:tcW w:w="866" w:type="pct"/>
            <w:tcBorders>
              <w:top w:val="nil"/>
              <w:left w:val="nil"/>
              <w:bottom w:val="single" w:sz="4" w:space="0" w:color="auto"/>
              <w:right w:val="single" w:sz="8" w:space="0" w:color="auto"/>
            </w:tcBorders>
            <w:shd w:val="clear" w:color="auto" w:fill="auto"/>
            <w:vAlign w:val="center"/>
            <w:hideMark/>
          </w:tcPr>
          <w:p w14:paraId="183EA168"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Project under implementation</w:t>
            </w:r>
          </w:p>
        </w:tc>
      </w:tr>
      <w:tr w:rsidR="00723B6D" w:rsidRPr="00E128B3" w14:paraId="64F9633B"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auto"/>
            <w:vAlign w:val="center"/>
            <w:hideMark/>
          </w:tcPr>
          <w:p w14:paraId="0BC3E915" w14:textId="77777777" w:rsidR="00723B6D" w:rsidRPr="00E128B3" w:rsidRDefault="00C12E5A" w:rsidP="00723B6D">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SO 2.3 total for the CHMI</w:t>
            </w:r>
          </w:p>
        </w:tc>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75D19149" w14:textId="77777777" w:rsidR="00723B6D" w:rsidRPr="00E128B3" w:rsidRDefault="00723B6D" w:rsidP="00723B6D">
            <w:pPr>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135,065,629.53</w:t>
            </w:r>
          </w:p>
        </w:tc>
        <w:tc>
          <w:tcPr>
            <w:tcW w:w="866" w:type="pct"/>
            <w:tcBorders>
              <w:top w:val="nil"/>
              <w:left w:val="nil"/>
              <w:bottom w:val="single" w:sz="4" w:space="0" w:color="auto"/>
              <w:right w:val="single" w:sz="8" w:space="0" w:color="auto"/>
            </w:tcBorders>
            <w:shd w:val="clear" w:color="auto" w:fill="auto"/>
            <w:noWrap/>
            <w:vAlign w:val="center"/>
            <w:hideMark/>
          </w:tcPr>
          <w:p w14:paraId="03BF8261" w14:textId="77777777" w:rsidR="00723B6D" w:rsidRPr="00E128B3" w:rsidRDefault="00723B6D" w:rsidP="00723B6D">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r w:rsidR="00723B6D" w:rsidRPr="00E128B3" w14:paraId="38A427F5"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noWrap/>
            <w:vAlign w:val="center"/>
            <w:hideMark/>
          </w:tcPr>
          <w:p w14:paraId="4E60BDC7"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218" w:type="pct"/>
            <w:tcBorders>
              <w:top w:val="nil"/>
              <w:left w:val="nil"/>
              <w:bottom w:val="single" w:sz="4" w:space="0" w:color="auto"/>
              <w:right w:val="single" w:sz="4" w:space="0" w:color="auto"/>
            </w:tcBorders>
            <w:shd w:val="clear" w:color="auto" w:fill="auto"/>
            <w:vAlign w:val="center"/>
            <w:hideMark/>
          </w:tcPr>
          <w:p w14:paraId="705D51FB"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2.3</w:t>
            </w:r>
          </w:p>
        </w:tc>
        <w:tc>
          <w:tcPr>
            <w:tcW w:w="1729" w:type="pct"/>
            <w:tcBorders>
              <w:top w:val="nil"/>
              <w:left w:val="nil"/>
              <w:bottom w:val="single" w:sz="4" w:space="0" w:color="auto"/>
              <w:right w:val="single" w:sz="4" w:space="0" w:color="auto"/>
            </w:tcBorders>
            <w:shd w:val="clear" w:color="auto" w:fill="auto"/>
            <w:vAlign w:val="center"/>
            <w:hideMark/>
          </w:tcPr>
          <w:p w14:paraId="471F1074"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CZ.05.2.32/0.0/0.0/15_017/0001433</w:t>
            </w:r>
          </w:p>
        </w:tc>
        <w:tc>
          <w:tcPr>
            <w:tcW w:w="853" w:type="pct"/>
            <w:tcBorders>
              <w:top w:val="nil"/>
              <w:left w:val="nil"/>
              <w:bottom w:val="single" w:sz="4" w:space="0" w:color="auto"/>
              <w:right w:val="single" w:sz="4" w:space="0" w:color="auto"/>
            </w:tcBorders>
            <w:shd w:val="clear" w:color="auto" w:fill="auto"/>
            <w:vAlign w:val="center"/>
            <w:hideMark/>
          </w:tcPr>
          <w:p w14:paraId="0DC71F2A"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5,877,878.00</w:t>
            </w:r>
          </w:p>
        </w:tc>
        <w:tc>
          <w:tcPr>
            <w:tcW w:w="866" w:type="pct"/>
            <w:tcBorders>
              <w:top w:val="nil"/>
              <w:left w:val="nil"/>
              <w:bottom w:val="single" w:sz="4" w:space="0" w:color="auto"/>
              <w:right w:val="single" w:sz="8" w:space="0" w:color="auto"/>
            </w:tcBorders>
            <w:shd w:val="clear" w:color="auto" w:fill="auto"/>
            <w:noWrap/>
            <w:vAlign w:val="center"/>
            <w:hideMark/>
          </w:tcPr>
          <w:p w14:paraId="2B034CC0"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Project under implementation</w:t>
            </w:r>
          </w:p>
        </w:tc>
      </w:tr>
      <w:tr w:rsidR="00723B6D" w:rsidRPr="00E128B3" w14:paraId="767DE185"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noWrap/>
            <w:vAlign w:val="center"/>
            <w:hideMark/>
          </w:tcPr>
          <w:p w14:paraId="0C9DC36A"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218" w:type="pct"/>
            <w:tcBorders>
              <w:top w:val="nil"/>
              <w:left w:val="nil"/>
              <w:bottom w:val="single" w:sz="4" w:space="0" w:color="auto"/>
              <w:right w:val="single" w:sz="4" w:space="0" w:color="auto"/>
            </w:tcBorders>
            <w:shd w:val="clear" w:color="auto" w:fill="auto"/>
            <w:vAlign w:val="center"/>
            <w:hideMark/>
          </w:tcPr>
          <w:p w14:paraId="1B5E7215"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2.3</w:t>
            </w:r>
          </w:p>
        </w:tc>
        <w:tc>
          <w:tcPr>
            <w:tcW w:w="1729" w:type="pct"/>
            <w:tcBorders>
              <w:top w:val="nil"/>
              <w:left w:val="nil"/>
              <w:bottom w:val="single" w:sz="4" w:space="0" w:color="auto"/>
              <w:right w:val="single" w:sz="4" w:space="0" w:color="auto"/>
            </w:tcBorders>
            <w:shd w:val="clear" w:color="auto" w:fill="auto"/>
            <w:vAlign w:val="center"/>
            <w:hideMark/>
          </w:tcPr>
          <w:p w14:paraId="114B486D"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CZ.05.2.32/0.0/0.0/15_017/0002123</w:t>
            </w:r>
          </w:p>
        </w:tc>
        <w:tc>
          <w:tcPr>
            <w:tcW w:w="853" w:type="pct"/>
            <w:tcBorders>
              <w:top w:val="nil"/>
              <w:left w:val="nil"/>
              <w:bottom w:val="single" w:sz="4" w:space="0" w:color="auto"/>
              <w:right w:val="single" w:sz="4" w:space="0" w:color="auto"/>
            </w:tcBorders>
            <w:shd w:val="clear" w:color="auto" w:fill="auto"/>
            <w:vAlign w:val="center"/>
            <w:hideMark/>
          </w:tcPr>
          <w:p w14:paraId="10264B4D"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1,769,323.00</w:t>
            </w:r>
          </w:p>
        </w:tc>
        <w:tc>
          <w:tcPr>
            <w:tcW w:w="866" w:type="pct"/>
            <w:tcBorders>
              <w:top w:val="nil"/>
              <w:left w:val="nil"/>
              <w:bottom w:val="single" w:sz="4" w:space="0" w:color="auto"/>
              <w:right w:val="single" w:sz="8" w:space="0" w:color="auto"/>
            </w:tcBorders>
            <w:shd w:val="clear" w:color="auto" w:fill="auto"/>
            <w:noWrap/>
            <w:vAlign w:val="center"/>
            <w:hideMark/>
          </w:tcPr>
          <w:p w14:paraId="28238A50"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Completed</w:t>
            </w:r>
          </w:p>
        </w:tc>
      </w:tr>
      <w:tr w:rsidR="00723B6D" w:rsidRPr="00E128B3" w14:paraId="0856855B"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noWrap/>
            <w:vAlign w:val="center"/>
            <w:hideMark/>
          </w:tcPr>
          <w:p w14:paraId="5641AFF0"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218" w:type="pct"/>
            <w:tcBorders>
              <w:top w:val="nil"/>
              <w:left w:val="nil"/>
              <w:bottom w:val="single" w:sz="4" w:space="0" w:color="auto"/>
              <w:right w:val="single" w:sz="4" w:space="0" w:color="auto"/>
            </w:tcBorders>
            <w:shd w:val="clear" w:color="auto" w:fill="auto"/>
            <w:vAlign w:val="center"/>
            <w:hideMark/>
          </w:tcPr>
          <w:p w14:paraId="31077782" w14:textId="77777777" w:rsidR="00723B6D" w:rsidRPr="00E128B3" w:rsidRDefault="00723B6D" w:rsidP="00723B6D">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2.3</w:t>
            </w:r>
          </w:p>
        </w:tc>
        <w:tc>
          <w:tcPr>
            <w:tcW w:w="1729" w:type="pct"/>
            <w:tcBorders>
              <w:top w:val="nil"/>
              <w:left w:val="nil"/>
              <w:bottom w:val="single" w:sz="4" w:space="0" w:color="auto"/>
              <w:right w:val="single" w:sz="4" w:space="0" w:color="auto"/>
            </w:tcBorders>
            <w:shd w:val="clear" w:color="auto" w:fill="auto"/>
            <w:vAlign w:val="center"/>
            <w:hideMark/>
          </w:tcPr>
          <w:p w14:paraId="06809098" w14:textId="77777777" w:rsidR="00723B6D" w:rsidRPr="00E128B3" w:rsidRDefault="00723B6D" w:rsidP="00723B6D">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CZ.05.2.32/0.0/0.0/15_017/0002542</w:t>
            </w:r>
          </w:p>
        </w:tc>
        <w:tc>
          <w:tcPr>
            <w:tcW w:w="853" w:type="pct"/>
            <w:tcBorders>
              <w:top w:val="nil"/>
              <w:left w:val="nil"/>
              <w:bottom w:val="single" w:sz="4" w:space="0" w:color="auto"/>
              <w:right w:val="single" w:sz="4" w:space="0" w:color="auto"/>
            </w:tcBorders>
            <w:shd w:val="clear" w:color="auto" w:fill="auto"/>
            <w:vAlign w:val="center"/>
            <w:hideMark/>
          </w:tcPr>
          <w:p w14:paraId="0D37CCF2" w14:textId="77777777" w:rsidR="00723B6D" w:rsidRPr="00E128B3" w:rsidRDefault="00723B6D" w:rsidP="00723B6D">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2,532,340.00</w:t>
            </w:r>
          </w:p>
        </w:tc>
        <w:tc>
          <w:tcPr>
            <w:tcW w:w="866" w:type="pct"/>
            <w:tcBorders>
              <w:top w:val="nil"/>
              <w:left w:val="nil"/>
              <w:bottom w:val="single" w:sz="4" w:space="0" w:color="auto"/>
              <w:right w:val="single" w:sz="8" w:space="0" w:color="auto"/>
            </w:tcBorders>
            <w:shd w:val="clear" w:color="auto" w:fill="auto"/>
            <w:noWrap/>
            <w:vAlign w:val="center"/>
            <w:hideMark/>
          </w:tcPr>
          <w:p w14:paraId="30BE1C75" w14:textId="77777777" w:rsidR="00723B6D" w:rsidRPr="00E128B3" w:rsidRDefault="00723B6D" w:rsidP="00723B6D">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Completed</w:t>
            </w:r>
          </w:p>
        </w:tc>
      </w:tr>
      <w:tr w:rsidR="00723B6D" w:rsidRPr="00E128B3" w14:paraId="5DE1D822"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auto"/>
            <w:vAlign w:val="center"/>
            <w:hideMark/>
          </w:tcPr>
          <w:p w14:paraId="7A46A728" w14:textId="77777777" w:rsidR="00723B6D" w:rsidRPr="00E128B3" w:rsidRDefault="00C12E5A" w:rsidP="00723B6D">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SO 2.3 total for the SEF</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0387A518" w14:textId="77777777" w:rsidR="00723B6D" w:rsidRPr="00E128B3" w:rsidRDefault="00723B6D" w:rsidP="00723B6D">
            <w:pPr>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10,179,541.00</w:t>
            </w:r>
          </w:p>
        </w:tc>
        <w:tc>
          <w:tcPr>
            <w:tcW w:w="866" w:type="pct"/>
            <w:tcBorders>
              <w:top w:val="nil"/>
              <w:left w:val="nil"/>
              <w:bottom w:val="single" w:sz="4" w:space="0" w:color="auto"/>
              <w:right w:val="single" w:sz="8" w:space="0" w:color="auto"/>
            </w:tcBorders>
            <w:shd w:val="clear" w:color="auto" w:fill="auto"/>
            <w:noWrap/>
            <w:vAlign w:val="center"/>
            <w:hideMark/>
          </w:tcPr>
          <w:p w14:paraId="05D52B11" w14:textId="77777777" w:rsidR="00723B6D" w:rsidRPr="00E128B3" w:rsidRDefault="00723B6D" w:rsidP="00723B6D">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r w:rsidR="00723B6D" w:rsidRPr="00E128B3" w14:paraId="360714F0"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D9D9D9"/>
            <w:vAlign w:val="center"/>
            <w:hideMark/>
          </w:tcPr>
          <w:p w14:paraId="3C2D6997" w14:textId="77777777" w:rsidR="00723B6D" w:rsidRPr="00E128B3" w:rsidRDefault="00723B6D" w:rsidP="00723B6D">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SO 2.3 TOTAL</w:t>
            </w:r>
          </w:p>
        </w:tc>
        <w:tc>
          <w:tcPr>
            <w:tcW w:w="853" w:type="pct"/>
            <w:tcBorders>
              <w:top w:val="nil"/>
              <w:left w:val="single" w:sz="4" w:space="0" w:color="auto"/>
              <w:bottom w:val="single" w:sz="4" w:space="0" w:color="auto"/>
              <w:right w:val="single" w:sz="4" w:space="0" w:color="auto"/>
            </w:tcBorders>
            <w:shd w:val="clear" w:color="auto" w:fill="D9D9D9"/>
            <w:noWrap/>
            <w:vAlign w:val="center"/>
            <w:hideMark/>
          </w:tcPr>
          <w:p w14:paraId="3538AC82" w14:textId="77777777" w:rsidR="00723B6D" w:rsidRPr="00E128B3" w:rsidRDefault="00723B6D" w:rsidP="00723B6D">
            <w:pPr>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145,245,170.53</w:t>
            </w:r>
          </w:p>
        </w:tc>
        <w:tc>
          <w:tcPr>
            <w:tcW w:w="866" w:type="pct"/>
            <w:tcBorders>
              <w:top w:val="nil"/>
              <w:left w:val="nil"/>
              <w:bottom w:val="single" w:sz="4" w:space="0" w:color="auto"/>
              <w:right w:val="single" w:sz="8" w:space="0" w:color="auto"/>
            </w:tcBorders>
            <w:shd w:val="clear" w:color="auto" w:fill="D9D9D9"/>
            <w:noWrap/>
            <w:vAlign w:val="center"/>
            <w:hideMark/>
          </w:tcPr>
          <w:p w14:paraId="5A3ECB38" w14:textId="77777777" w:rsidR="00723B6D" w:rsidRPr="00E128B3" w:rsidRDefault="00723B6D" w:rsidP="00723B6D">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r w:rsidR="00723B6D" w:rsidRPr="00E128B3" w14:paraId="66719B0A" w14:textId="77777777" w:rsidTr="00AA4206">
        <w:trPr>
          <w:trHeight w:val="227"/>
        </w:trPr>
        <w:tc>
          <w:tcPr>
            <w:tcW w:w="3282" w:type="pct"/>
            <w:gridSpan w:val="3"/>
            <w:tcBorders>
              <w:top w:val="single" w:sz="4" w:space="0" w:color="auto"/>
              <w:left w:val="single" w:sz="8" w:space="0" w:color="auto"/>
              <w:bottom w:val="single" w:sz="8" w:space="0" w:color="auto"/>
              <w:right w:val="nil"/>
            </w:tcBorders>
            <w:shd w:val="clear" w:color="auto" w:fill="F2C6C9"/>
            <w:vAlign w:val="center"/>
            <w:hideMark/>
          </w:tcPr>
          <w:p w14:paraId="48BAFCC0" w14:textId="77777777" w:rsidR="00723B6D" w:rsidRPr="00E128B3" w:rsidRDefault="00723B6D" w:rsidP="00723B6D">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OPE TOTAL</w:t>
            </w:r>
          </w:p>
        </w:tc>
        <w:tc>
          <w:tcPr>
            <w:tcW w:w="853" w:type="pct"/>
            <w:tcBorders>
              <w:top w:val="nil"/>
              <w:left w:val="single" w:sz="4" w:space="0" w:color="auto"/>
              <w:bottom w:val="single" w:sz="8" w:space="0" w:color="auto"/>
              <w:right w:val="single" w:sz="4" w:space="0" w:color="auto"/>
            </w:tcBorders>
            <w:shd w:val="clear" w:color="auto" w:fill="F2C6C9"/>
            <w:noWrap/>
            <w:vAlign w:val="center"/>
            <w:hideMark/>
          </w:tcPr>
          <w:p w14:paraId="487F291E" w14:textId="77777777" w:rsidR="00723B6D" w:rsidRPr="00E128B3" w:rsidRDefault="00723B6D" w:rsidP="00723B6D">
            <w:pPr>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4,288,299,890,13</w:t>
            </w:r>
          </w:p>
        </w:tc>
        <w:tc>
          <w:tcPr>
            <w:tcW w:w="866" w:type="pct"/>
            <w:tcBorders>
              <w:top w:val="nil"/>
              <w:left w:val="nil"/>
              <w:bottom w:val="single" w:sz="8" w:space="0" w:color="auto"/>
              <w:right w:val="single" w:sz="8" w:space="0" w:color="auto"/>
            </w:tcBorders>
            <w:shd w:val="clear" w:color="auto" w:fill="F2C6C9"/>
            <w:noWrap/>
            <w:vAlign w:val="center"/>
            <w:hideMark/>
          </w:tcPr>
          <w:p w14:paraId="515935CB" w14:textId="77777777" w:rsidR="00723B6D" w:rsidRPr="00E128B3" w:rsidRDefault="00723B6D" w:rsidP="00723B6D">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bl>
    <w:p w14:paraId="2F55B6DC" w14:textId="38220A6E" w:rsidR="00395345" w:rsidRPr="00E128B3" w:rsidRDefault="00D24707" w:rsidP="00805103">
      <w:pPr>
        <w:pStyle w:val="Zdrojapozn"/>
        <w:spacing w:before="40"/>
        <w:rPr>
          <w:lang w:val="en-GB"/>
        </w:rPr>
      </w:pPr>
      <w:r w:rsidRPr="00E128B3">
        <w:rPr>
          <w:b/>
          <w:lang w:val="en-GB" w:bidi="en-GB"/>
        </w:rPr>
        <w:t xml:space="preserve">Source: </w:t>
      </w:r>
      <w:r w:rsidRPr="00E128B3">
        <w:rPr>
          <w:lang w:val="en-GB" w:bidi="en-GB"/>
        </w:rPr>
        <w:t>Prepared by the SAO on the basis of project documents.</w:t>
      </w:r>
    </w:p>
    <w:p w14:paraId="3F823BFF" w14:textId="0CF6E7B2" w:rsidR="00D25553" w:rsidRPr="00E128B3" w:rsidRDefault="00D25553" w:rsidP="00D25553">
      <w:pPr>
        <w:pStyle w:val="Zdrojapozn"/>
        <w:rPr>
          <w:lang w:val="en-GB"/>
        </w:rPr>
      </w:pPr>
      <w:r w:rsidRPr="00E128B3">
        <w:rPr>
          <w:b/>
          <w:lang w:val="en-GB" w:bidi="en-GB"/>
        </w:rPr>
        <w:t xml:space="preserve">Explanatory notes: </w:t>
      </w:r>
    </w:p>
    <w:p w14:paraId="0654E2CD" w14:textId="1AB8F779" w:rsidR="003940F4" w:rsidRPr="00E128B3" w:rsidRDefault="00D25553" w:rsidP="00D25553">
      <w:pPr>
        <w:pStyle w:val="Zdrojapozn"/>
        <w:rPr>
          <w:lang w:val="en-GB"/>
        </w:rPr>
      </w:pPr>
      <w:r w:rsidRPr="00E128B3">
        <w:rPr>
          <w:lang w:val="en-GB" w:bidi="en-GB"/>
        </w:rPr>
        <w:t>“COMPLETED” – the project declares that the indicators have been fulfilled.</w:t>
      </w:r>
    </w:p>
    <w:p w14:paraId="018D93E4" w14:textId="71DE1E71" w:rsidR="003940F4" w:rsidRPr="00E128B3" w:rsidRDefault="00D25553" w:rsidP="00D25553">
      <w:pPr>
        <w:pStyle w:val="Zdrojapozn"/>
        <w:rPr>
          <w:lang w:val="en-GB"/>
        </w:rPr>
      </w:pPr>
      <w:r w:rsidRPr="00E128B3">
        <w:rPr>
          <w:lang w:val="en-GB" w:bidi="en-GB"/>
        </w:rPr>
        <w:t>“IMPLEMENTED ON A CONTINUOUS BASIS” – the available interim evaluations of the project suggest that the indicators will be achieved after the completion of the project.</w:t>
      </w:r>
    </w:p>
    <w:p w14:paraId="2F6F34E5" w14:textId="1EF2404A" w:rsidR="00C12E5A" w:rsidRPr="00E128B3" w:rsidRDefault="00D25553" w:rsidP="00D25553">
      <w:pPr>
        <w:pStyle w:val="Zdrojapozn"/>
        <w:rPr>
          <w:lang w:val="en-GB"/>
        </w:rPr>
      </w:pPr>
      <w:r w:rsidRPr="00E128B3">
        <w:rPr>
          <w:lang w:val="en-GB" w:bidi="en-GB"/>
        </w:rPr>
        <w:t>“PROJECT UNDER IMPLEMENTATION” – as of the completion of the audit, the stage of the project did not enable the evaluation of the level of fulfilment of the indicator.</w:t>
      </w:r>
      <w:r w:rsidR="00C12E5A" w:rsidRPr="00E128B3">
        <w:rPr>
          <w:lang w:val="en-GB" w:bidi="en-GB"/>
        </w:rPr>
        <w:br w:type="page"/>
      </w:r>
    </w:p>
    <w:p w14:paraId="584D0F55" w14:textId="4E60B2F1" w:rsidR="00C12E5A" w:rsidRPr="00E128B3" w:rsidRDefault="00C12E5A" w:rsidP="00805103">
      <w:pPr>
        <w:pStyle w:val="Titulek"/>
        <w:tabs>
          <w:tab w:val="clear" w:pos="7938"/>
          <w:tab w:val="right" w:pos="9072"/>
        </w:tabs>
        <w:spacing w:after="40"/>
        <w:rPr>
          <w:b/>
          <w:lang w:val="en-GB"/>
        </w:rPr>
      </w:pPr>
      <w:r w:rsidRPr="00E128B3">
        <w:rPr>
          <w:b/>
          <w:lang w:val="en-GB" w:bidi="en-GB"/>
        </w:rPr>
        <w:t xml:space="preserve">Table </w:t>
      </w:r>
      <w:r w:rsidR="00A36661" w:rsidRPr="00E128B3">
        <w:rPr>
          <w:b/>
          <w:lang w:val="en-GB" w:bidi="en-GB"/>
        </w:rPr>
        <w:fldChar w:fldCharType="begin"/>
      </w:r>
      <w:r w:rsidR="00A36661" w:rsidRPr="00E128B3">
        <w:rPr>
          <w:b/>
          <w:lang w:val="en-GB" w:bidi="en-GB"/>
        </w:rPr>
        <w:instrText xml:space="preserve"> SEQ Tabulka_č. \* ARABIC </w:instrText>
      </w:r>
      <w:r w:rsidR="00A36661" w:rsidRPr="00E128B3">
        <w:rPr>
          <w:b/>
          <w:lang w:val="en-GB" w:bidi="en-GB"/>
        </w:rPr>
        <w:fldChar w:fldCharType="separate"/>
      </w:r>
      <w:r w:rsidR="00136D57">
        <w:rPr>
          <w:b/>
          <w:noProof/>
          <w:lang w:val="en-GB" w:bidi="en-GB"/>
        </w:rPr>
        <w:t>12</w:t>
      </w:r>
      <w:r w:rsidR="00A36661" w:rsidRPr="00E128B3">
        <w:rPr>
          <w:b/>
          <w:noProof/>
          <w:lang w:val="en-GB" w:bidi="en-GB"/>
        </w:rPr>
        <w:fldChar w:fldCharType="end"/>
      </w:r>
      <w:r w:rsidRPr="00E128B3">
        <w:rPr>
          <w:b/>
          <w:lang w:val="en-GB" w:bidi="en-GB"/>
        </w:rPr>
        <w:t>: Projects audited under the NPE</w:t>
      </w:r>
      <w:r w:rsidRPr="00E128B3">
        <w:rPr>
          <w:b/>
          <w:lang w:val="en-GB" w:bidi="en-GB"/>
        </w:rPr>
        <w:tab/>
        <w:t>(in CZK)</w:t>
      </w:r>
    </w:p>
    <w:tbl>
      <w:tblPr>
        <w:tblW w:w="5000" w:type="pct"/>
        <w:tblCellMar>
          <w:left w:w="70" w:type="dxa"/>
          <w:right w:w="70" w:type="dxa"/>
        </w:tblCellMar>
        <w:tblLook w:val="04A0" w:firstRow="1" w:lastRow="0" w:firstColumn="1" w:lastColumn="0" w:noHBand="0" w:noVBand="1"/>
      </w:tblPr>
      <w:tblGrid>
        <w:gridCol w:w="2619"/>
        <w:gridCol w:w="1487"/>
        <w:gridCol w:w="1195"/>
        <w:gridCol w:w="1311"/>
        <w:gridCol w:w="2600"/>
      </w:tblGrid>
      <w:tr w:rsidR="00C12E5A" w:rsidRPr="00E128B3" w14:paraId="690BB32C" w14:textId="77777777" w:rsidTr="00AA4206">
        <w:trPr>
          <w:trHeight w:val="227"/>
        </w:trPr>
        <w:tc>
          <w:tcPr>
            <w:tcW w:w="1558" w:type="pct"/>
            <w:tcBorders>
              <w:top w:val="single" w:sz="4" w:space="0" w:color="auto"/>
              <w:left w:val="single" w:sz="8" w:space="0" w:color="auto"/>
              <w:bottom w:val="single" w:sz="4" w:space="0" w:color="auto"/>
              <w:right w:val="single" w:sz="4" w:space="0" w:color="auto"/>
            </w:tcBorders>
            <w:shd w:val="clear" w:color="000000" w:fill="E5F1FF"/>
            <w:noWrap/>
            <w:vAlign w:val="center"/>
            <w:hideMark/>
          </w:tcPr>
          <w:p w14:paraId="1F520291" w14:textId="77777777" w:rsidR="00C12E5A" w:rsidRPr="00E128B3" w:rsidRDefault="00C12E5A" w:rsidP="00C12E5A">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Audited entity</w:t>
            </w:r>
          </w:p>
        </w:tc>
        <w:tc>
          <w:tcPr>
            <w:tcW w:w="942" w:type="pct"/>
            <w:tcBorders>
              <w:top w:val="single" w:sz="4" w:space="0" w:color="auto"/>
              <w:left w:val="nil"/>
              <w:bottom w:val="single" w:sz="4" w:space="0" w:color="auto"/>
              <w:right w:val="single" w:sz="4" w:space="0" w:color="auto"/>
            </w:tcBorders>
            <w:shd w:val="clear" w:color="000000" w:fill="E5F1FF"/>
            <w:vAlign w:val="center"/>
            <w:hideMark/>
          </w:tcPr>
          <w:p w14:paraId="283925D5" w14:textId="77777777" w:rsidR="00C12E5A" w:rsidRPr="00E128B3" w:rsidRDefault="00C12E5A" w:rsidP="00C12E5A">
            <w:pPr>
              <w:jc w:val="center"/>
              <w:rPr>
                <w:rFonts w:ascii="Calibri" w:eastAsia="Times New Roman" w:hAnsi="Calibri" w:cs="Calibri"/>
                <w:b/>
                <w:bCs/>
                <w:sz w:val="20"/>
                <w:szCs w:val="20"/>
                <w:lang w:val="en-GB" w:eastAsia="cs-CZ"/>
              </w:rPr>
            </w:pPr>
            <w:r w:rsidRPr="00E128B3">
              <w:rPr>
                <w:rFonts w:ascii="Calibri" w:eastAsia="Times New Roman" w:hAnsi="Calibri" w:cs="Calibri"/>
                <w:b/>
                <w:sz w:val="20"/>
                <w:szCs w:val="20"/>
                <w:lang w:val="en-GB" w:bidi="en-GB"/>
              </w:rPr>
              <w:t>Priority subarea</w:t>
            </w:r>
          </w:p>
        </w:tc>
        <w:tc>
          <w:tcPr>
            <w:tcW w:w="784" w:type="pct"/>
            <w:tcBorders>
              <w:top w:val="single" w:sz="4" w:space="0" w:color="auto"/>
              <w:left w:val="nil"/>
              <w:bottom w:val="single" w:sz="4" w:space="0" w:color="auto"/>
              <w:right w:val="single" w:sz="4" w:space="0" w:color="auto"/>
            </w:tcBorders>
            <w:shd w:val="clear" w:color="000000" w:fill="E5F1FF"/>
            <w:vAlign w:val="center"/>
            <w:hideMark/>
          </w:tcPr>
          <w:p w14:paraId="336D15DA" w14:textId="4E991CDE" w:rsidR="00C12E5A" w:rsidRPr="00E128B3" w:rsidRDefault="00C12E5A" w:rsidP="00D25553">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Project – number</w:t>
            </w:r>
          </w:p>
        </w:tc>
        <w:tc>
          <w:tcPr>
            <w:tcW w:w="783" w:type="pct"/>
            <w:tcBorders>
              <w:top w:val="single" w:sz="4" w:space="0" w:color="auto"/>
              <w:left w:val="nil"/>
              <w:bottom w:val="single" w:sz="4" w:space="0" w:color="auto"/>
              <w:right w:val="single" w:sz="4" w:space="0" w:color="auto"/>
            </w:tcBorders>
            <w:shd w:val="clear" w:color="000000" w:fill="E5F1FF"/>
            <w:vAlign w:val="center"/>
            <w:hideMark/>
          </w:tcPr>
          <w:p w14:paraId="7AEC0BE2" w14:textId="77777777" w:rsidR="00C12E5A" w:rsidRPr="00E128B3" w:rsidRDefault="00C12E5A" w:rsidP="00C12E5A">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Subsidy (as per the subsidy decision)</w:t>
            </w:r>
          </w:p>
        </w:tc>
        <w:tc>
          <w:tcPr>
            <w:tcW w:w="934" w:type="pct"/>
            <w:tcBorders>
              <w:top w:val="single" w:sz="4" w:space="0" w:color="auto"/>
              <w:left w:val="nil"/>
              <w:bottom w:val="single" w:sz="4" w:space="0" w:color="auto"/>
              <w:right w:val="single" w:sz="8" w:space="0" w:color="auto"/>
            </w:tcBorders>
            <w:shd w:val="clear" w:color="000000" w:fill="E5F1FF"/>
            <w:vAlign w:val="center"/>
            <w:hideMark/>
          </w:tcPr>
          <w:p w14:paraId="4C90C613" w14:textId="77777777" w:rsidR="00C12E5A" w:rsidRPr="00E128B3" w:rsidRDefault="00C12E5A" w:rsidP="00C12E5A">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Project indicator fulfilment</w:t>
            </w:r>
          </w:p>
        </w:tc>
      </w:tr>
      <w:tr w:rsidR="007A26DE" w:rsidRPr="00E128B3" w14:paraId="010DC929" w14:textId="77777777" w:rsidTr="00AA4206">
        <w:trPr>
          <w:trHeight w:val="227"/>
        </w:trPr>
        <w:tc>
          <w:tcPr>
            <w:tcW w:w="5000" w:type="pct"/>
            <w:gridSpan w:val="5"/>
            <w:tcBorders>
              <w:top w:val="nil"/>
              <w:left w:val="single" w:sz="8" w:space="0" w:color="auto"/>
              <w:bottom w:val="single" w:sz="4" w:space="0" w:color="auto"/>
              <w:right w:val="single" w:sz="8" w:space="0" w:color="auto"/>
            </w:tcBorders>
            <w:shd w:val="clear" w:color="auto" w:fill="E5F1FF"/>
            <w:vAlign w:val="center"/>
          </w:tcPr>
          <w:p w14:paraId="00E58AE3" w14:textId="77777777" w:rsidR="007A26DE" w:rsidRPr="00E128B3" w:rsidRDefault="007A26DE" w:rsidP="00C12E5A">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INDUSTRY</w:t>
            </w:r>
          </w:p>
        </w:tc>
      </w:tr>
      <w:tr w:rsidR="00C12E5A" w:rsidRPr="00E128B3" w14:paraId="62DBAFDC"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08EAE132"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ADM Olomouc s.r.o.</w:t>
            </w:r>
          </w:p>
        </w:tc>
        <w:tc>
          <w:tcPr>
            <w:tcW w:w="942" w:type="pct"/>
            <w:tcBorders>
              <w:top w:val="nil"/>
              <w:left w:val="nil"/>
              <w:bottom w:val="single" w:sz="4" w:space="0" w:color="auto"/>
              <w:right w:val="single" w:sz="4" w:space="0" w:color="auto"/>
            </w:tcBorders>
            <w:shd w:val="clear" w:color="auto" w:fill="auto"/>
            <w:noWrap/>
            <w:vAlign w:val="center"/>
            <w:hideMark/>
          </w:tcPr>
          <w:p w14:paraId="35CDFC17" w14:textId="77777777" w:rsidR="00C12E5A" w:rsidRPr="00E128B3" w:rsidRDefault="00C12E5A" w:rsidP="00C12E5A">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784" w:type="pct"/>
            <w:tcBorders>
              <w:top w:val="nil"/>
              <w:left w:val="nil"/>
              <w:bottom w:val="single" w:sz="4" w:space="0" w:color="auto"/>
              <w:right w:val="single" w:sz="4" w:space="0" w:color="auto"/>
            </w:tcBorders>
            <w:shd w:val="clear" w:color="auto" w:fill="auto"/>
            <w:vAlign w:val="center"/>
            <w:hideMark/>
          </w:tcPr>
          <w:p w14:paraId="3A4CBD0B"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01591621</w:t>
            </w:r>
          </w:p>
        </w:tc>
        <w:tc>
          <w:tcPr>
            <w:tcW w:w="783" w:type="pct"/>
            <w:tcBorders>
              <w:top w:val="nil"/>
              <w:left w:val="nil"/>
              <w:bottom w:val="single" w:sz="4" w:space="0" w:color="auto"/>
              <w:right w:val="single" w:sz="4" w:space="0" w:color="auto"/>
            </w:tcBorders>
            <w:shd w:val="clear" w:color="auto" w:fill="auto"/>
            <w:vAlign w:val="center"/>
            <w:hideMark/>
          </w:tcPr>
          <w:p w14:paraId="2CFD22B1" w14:textId="77777777" w:rsidR="00C12E5A" w:rsidRPr="00E128B3" w:rsidRDefault="00C12E5A" w:rsidP="00C12E5A">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2,249,854.00</w:t>
            </w:r>
          </w:p>
        </w:tc>
        <w:tc>
          <w:tcPr>
            <w:tcW w:w="934" w:type="pct"/>
            <w:tcBorders>
              <w:top w:val="nil"/>
              <w:left w:val="nil"/>
              <w:bottom w:val="single" w:sz="4" w:space="0" w:color="auto"/>
              <w:right w:val="single" w:sz="8" w:space="0" w:color="auto"/>
            </w:tcBorders>
            <w:shd w:val="clear" w:color="auto" w:fill="auto"/>
            <w:noWrap/>
            <w:vAlign w:val="center"/>
            <w:hideMark/>
          </w:tcPr>
          <w:p w14:paraId="0628B606" w14:textId="77777777" w:rsidR="00C12E5A" w:rsidRPr="00E128B3" w:rsidRDefault="00C12E5A" w:rsidP="00C12E5A">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Project under implementation</w:t>
            </w:r>
          </w:p>
        </w:tc>
      </w:tr>
      <w:tr w:rsidR="00C12E5A" w:rsidRPr="00E128B3" w14:paraId="225A6797"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20F68728"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BPS Pacov s.r.o.</w:t>
            </w:r>
          </w:p>
        </w:tc>
        <w:tc>
          <w:tcPr>
            <w:tcW w:w="942" w:type="pct"/>
            <w:tcBorders>
              <w:top w:val="nil"/>
              <w:left w:val="nil"/>
              <w:bottom w:val="single" w:sz="4" w:space="0" w:color="auto"/>
              <w:right w:val="single" w:sz="4" w:space="0" w:color="auto"/>
            </w:tcBorders>
            <w:shd w:val="clear" w:color="auto" w:fill="auto"/>
            <w:noWrap/>
            <w:vAlign w:val="center"/>
            <w:hideMark/>
          </w:tcPr>
          <w:p w14:paraId="2CABC327" w14:textId="77777777" w:rsidR="00C12E5A" w:rsidRPr="00E128B3" w:rsidRDefault="00C12E5A" w:rsidP="00C12E5A">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784" w:type="pct"/>
            <w:tcBorders>
              <w:top w:val="nil"/>
              <w:left w:val="nil"/>
              <w:bottom w:val="single" w:sz="4" w:space="0" w:color="auto"/>
              <w:right w:val="single" w:sz="4" w:space="0" w:color="auto"/>
            </w:tcBorders>
            <w:shd w:val="clear" w:color="auto" w:fill="auto"/>
            <w:vAlign w:val="center"/>
            <w:hideMark/>
          </w:tcPr>
          <w:p w14:paraId="546A7CCB"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01491621</w:t>
            </w:r>
          </w:p>
        </w:tc>
        <w:tc>
          <w:tcPr>
            <w:tcW w:w="783" w:type="pct"/>
            <w:tcBorders>
              <w:top w:val="nil"/>
              <w:left w:val="nil"/>
              <w:bottom w:val="single" w:sz="4" w:space="0" w:color="auto"/>
              <w:right w:val="single" w:sz="4" w:space="0" w:color="auto"/>
            </w:tcBorders>
            <w:shd w:val="clear" w:color="auto" w:fill="auto"/>
            <w:vAlign w:val="center"/>
            <w:hideMark/>
          </w:tcPr>
          <w:p w14:paraId="1442587B" w14:textId="77777777" w:rsidR="00C12E5A" w:rsidRPr="00E128B3" w:rsidRDefault="00C12E5A" w:rsidP="00C12E5A">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1,530,600.00</w:t>
            </w:r>
          </w:p>
        </w:tc>
        <w:tc>
          <w:tcPr>
            <w:tcW w:w="934" w:type="pct"/>
            <w:tcBorders>
              <w:top w:val="nil"/>
              <w:left w:val="nil"/>
              <w:bottom w:val="single" w:sz="4" w:space="0" w:color="auto"/>
              <w:right w:val="single" w:sz="8" w:space="0" w:color="auto"/>
            </w:tcBorders>
            <w:shd w:val="clear" w:color="auto" w:fill="auto"/>
            <w:noWrap/>
            <w:vAlign w:val="center"/>
            <w:hideMark/>
          </w:tcPr>
          <w:p w14:paraId="50492D44" w14:textId="77777777" w:rsidR="00C12E5A" w:rsidRPr="00E128B3" w:rsidRDefault="00C12E5A" w:rsidP="00C12E5A">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Project under implementation</w:t>
            </w:r>
          </w:p>
        </w:tc>
      </w:tr>
      <w:tr w:rsidR="00C12E5A" w:rsidRPr="00E128B3" w14:paraId="5134826E"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0144D630"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Elektrárny Opatovice, a.s.</w:t>
            </w:r>
          </w:p>
        </w:tc>
        <w:tc>
          <w:tcPr>
            <w:tcW w:w="942" w:type="pct"/>
            <w:tcBorders>
              <w:top w:val="nil"/>
              <w:left w:val="nil"/>
              <w:bottom w:val="single" w:sz="4" w:space="0" w:color="auto"/>
              <w:right w:val="single" w:sz="4" w:space="0" w:color="auto"/>
            </w:tcBorders>
            <w:shd w:val="clear" w:color="auto" w:fill="auto"/>
            <w:noWrap/>
            <w:vAlign w:val="center"/>
            <w:hideMark/>
          </w:tcPr>
          <w:p w14:paraId="48D9AA1B" w14:textId="77777777" w:rsidR="00C12E5A" w:rsidRPr="00E128B3" w:rsidRDefault="00C12E5A" w:rsidP="00C12E5A">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784" w:type="pct"/>
            <w:tcBorders>
              <w:top w:val="nil"/>
              <w:left w:val="nil"/>
              <w:bottom w:val="single" w:sz="4" w:space="0" w:color="auto"/>
              <w:right w:val="single" w:sz="4" w:space="0" w:color="auto"/>
            </w:tcBorders>
            <w:shd w:val="clear" w:color="auto" w:fill="auto"/>
            <w:vAlign w:val="center"/>
            <w:hideMark/>
          </w:tcPr>
          <w:p w14:paraId="615FB044"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01521621</w:t>
            </w:r>
          </w:p>
        </w:tc>
        <w:tc>
          <w:tcPr>
            <w:tcW w:w="783" w:type="pct"/>
            <w:tcBorders>
              <w:top w:val="nil"/>
              <w:left w:val="nil"/>
              <w:bottom w:val="single" w:sz="4" w:space="0" w:color="auto"/>
              <w:right w:val="single" w:sz="4" w:space="0" w:color="auto"/>
            </w:tcBorders>
            <w:shd w:val="clear" w:color="auto" w:fill="auto"/>
            <w:vAlign w:val="center"/>
            <w:hideMark/>
          </w:tcPr>
          <w:p w14:paraId="2EF9F992" w14:textId="77777777" w:rsidR="00C12E5A" w:rsidRPr="00E128B3" w:rsidRDefault="00C12E5A" w:rsidP="00C12E5A">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10,000,000.00</w:t>
            </w:r>
          </w:p>
        </w:tc>
        <w:tc>
          <w:tcPr>
            <w:tcW w:w="934" w:type="pct"/>
            <w:tcBorders>
              <w:top w:val="nil"/>
              <w:left w:val="nil"/>
              <w:bottom w:val="single" w:sz="4" w:space="0" w:color="auto"/>
              <w:right w:val="single" w:sz="8" w:space="0" w:color="auto"/>
            </w:tcBorders>
            <w:shd w:val="clear" w:color="auto" w:fill="auto"/>
            <w:noWrap/>
            <w:vAlign w:val="center"/>
            <w:hideMark/>
          </w:tcPr>
          <w:p w14:paraId="46E819D9" w14:textId="77777777" w:rsidR="00C12E5A" w:rsidRPr="00E128B3" w:rsidRDefault="00C12E5A" w:rsidP="00C12E5A">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Project under implementation</w:t>
            </w:r>
          </w:p>
        </w:tc>
      </w:tr>
      <w:tr w:rsidR="00C12E5A" w:rsidRPr="00E128B3" w14:paraId="1741F279"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667CA5AD"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PRECIOSA ORNELA, a.s.</w:t>
            </w:r>
          </w:p>
        </w:tc>
        <w:tc>
          <w:tcPr>
            <w:tcW w:w="942" w:type="pct"/>
            <w:tcBorders>
              <w:top w:val="nil"/>
              <w:left w:val="nil"/>
              <w:bottom w:val="single" w:sz="4" w:space="0" w:color="auto"/>
              <w:right w:val="single" w:sz="4" w:space="0" w:color="auto"/>
            </w:tcBorders>
            <w:shd w:val="clear" w:color="auto" w:fill="auto"/>
            <w:noWrap/>
            <w:vAlign w:val="center"/>
            <w:hideMark/>
          </w:tcPr>
          <w:p w14:paraId="56ECD761" w14:textId="77777777" w:rsidR="00C12E5A" w:rsidRPr="00E128B3" w:rsidRDefault="00C12E5A" w:rsidP="00C12E5A">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784" w:type="pct"/>
            <w:tcBorders>
              <w:top w:val="nil"/>
              <w:left w:val="nil"/>
              <w:bottom w:val="single" w:sz="4" w:space="0" w:color="auto"/>
              <w:right w:val="single" w:sz="4" w:space="0" w:color="auto"/>
            </w:tcBorders>
            <w:shd w:val="clear" w:color="auto" w:fill="auto"/>
            <w:vAlign w:val="center"/>
            <w:hideMark/>
          </w:tcPr>
          <w:p w14:paraId="570F95E7"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01571621</w:t>
            </w:r>
          </w:p>
        </w:tc>
        <w:tc>
          <w:tcPr>
            <w:tcW w:w="783" w:type="pct"/>
            <w:tcBorders>
              <w:top w:val="nil"/>
              <w:left w:val="nil"/>
              <w:bottom w:val="single" w:sz="4" w:space="0" w:color="auto"/>
              <w:right w:val="single" w:sz="4" w:space="0" w:color="auto"/>
            </w:tcBorders>
            <w:shd w:val="clear" w:color="auto" w:fill="auto"/>
            <w:vAlign w:val="center"/>
            <w:hideMark/>
          </w:tcPr>
          <w:p w14:paraId="0BF6ADD1" w14:textId="77777777" w:rsidR="00C12E5A" w:rsidRPr="00E128B3" w:rsidRDefault="00C12E5A" w:rsidP="00C12E5A">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2,414,563.00</w:t>
            </w:r>
          </w:p>
        </w:tc>
        <w:tc>
          <w:tcPr>
            <w:tcW w:w="934" w:type="pct"/>
            <w:tcBorders>
              <w:top w:val="nil"/>
              <w:left w:val="nil"/>
              <w:bottom w:val="single" w:sz="4" w:space="0" w:color="auto"/>
              <w:right w:val="single" w:sz="8" w:space="0" w:color="auto"/>
            </w:tcBorders>
            <w:shd w:val="clear" w:color="auto" w:fill="auto"/>
            <w:noWrap/>
            <w:vAlign w:val="center"/>
            <w:hideMark/>
          </w:tcPr>
          <w:p w14:paraId="1176D7D0" w14:textId="77777777" w:rsidR="00C12E5A" w:rsidRPr="00E128B3" w:rsidRDefault="00C12E5A" w:rsidP="00C12E5A">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Project under implementation</w:t>
            </w:r>
          </w:p>
        </w:tc>
      </w:tr>
      <w:tr w:rsidR="00C12E5A" w:rsidRPr="00E128B3" w14:paraId="41967E98" w14:textId="77777777" w:rsidTr="00AA4206">
        <w:trPr>
          <w:trHeight w:val="227"/>
        </w:trPr>
        <w:tc>
          <w:tcPr>
            <w:tcW w:w="3283" w:type="pct"/>
            <w:gridSpan w:val="3"/>
            <w:tcBorders>
              <w:top w:val="single" w:sz="4" w:space="0" w:color="auto"/>
              <w:left w:val="single" w:sz="8" w:space="0" w:color="auto"/>
              <w:bottom w:val="single" w:sz="4" w:space="0" w:color="auto"/>
              <w:right w:val="single" w:sz="4" w:space="0" w:color="000000"/>
            </w:tcBorders>
            <w:shd w:val="clear" w:color="auto" w:fill="D9D9D9"/>
            <w:vAlign w:val="center"/>
            <w:hideMark/>
          </w:tcPr>
          <w:p w14:paraId="57FFD05E" w14:textId="77777777" w:rsidR="00C12E5A" w:rsidRPr="00E128B3" w:rsidRDefault="00C12E5A" w:rsidP="00C12E5A">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NPE total for final beneficiaries</w:t>
            </w:r>
          </w:p>
        </w:tc>
        <w:tc>
          <w:tcPr>
            <w:tcW w:w="783" w:type="pct"/>
            <w:tcBorders>
              <w:top w:val="nil"/>
              <w:left w:val="nil"/>
              <w:bottom w:val="single" w:sz="4" w:space="0" w:color="auto"/>
              <w:right w:val="single" w:sz="4" w:space="0" w:color="auto"/>
            </w:tcBorders>
            <w:shd w:val="clear" w:color="auto" w:fill="D9D9D9"/>
            <w:noWrap/>
            <w:vAlign w:val="center"/>
            <w:hideMark/>
          </w:tcPr>
          <w:p w14:paraId="0BE979C6" w14:textId="77777777" w:rsidR="00C12E5A" w:rsidRPr="00E128B3" w:rsidRDefault="00C12E5A" w:rsidP="00C12E5A">
            <w:pPr>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16,195,017.00</w:t>
            </w:r>
          </w:p>
        </w:tc>
        <w:tc>
          <w:tcPr>
            <w:tcW w:w="934" w:type="pct"/>
            <w:tcBorders>
              <w:top w:val="nil"/>
              <w:left w:val="nil"/>
              <w:bottom w:val="single" w:sz="4" w:space="0" w:color="auto"/>
              <w:right w:val="single" w:sz="8" w:space="0" w:color="auto"/>
            </w:tcBorders>
            <w:shd w:val="clear" w:color="auto" w:fill="D9D9D9"/>
            <w:noWrap/>
            <w:vAlign w:val="center"/>
            <w:hideMark/>
          </w:tcPr>
          <w:p w14:paraId="16F14952" w14:textId="77777777" w:rsidR="00C12E5A" w:rsidRPr="00E128B3" w:rsidRDefault="00C12E5A" w:rsidP="00C12E5A">
            <w:pPr>
              <w:jc w:val="center"/>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r w:rsidR="00C12E5A" w:rsidRPr="00E128B3" w14:paraId="2BB83952"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458362B6"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942" w:type="pct"/>
            <w:tcBorders>
              <w:top w:val="nil"/>
              <w:left w:val="nil"/>
              <w:bottom w:val="single" w:sz="4" w:space="0" w:color="auto"/>
              <w:right w:val="single" w:sz="4" w:space="0" w:color="auto"/>
            </w:tcBorders>
            <w:shd w:val="clear" w:color="auto" w:fill="auto"/>
            <w:vAlign w:val="center"/>
            <w:hideMark/>
          </w:tcPr>
          <w:p w14:paraId="5C6EC39F" w14:textId="77777777" w:rsidR="00C12E5A" w:rsidRPr="00E128B3" w:rsidRDefault="00C12E5A" w:rsidP="00C12E5A">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2.2</w:t>
            </w:r>
          </w:p>
        </w:tc>
        <w:tc>
          <w:tcPr>
            <w:tcW w:w="784" w:type="pct"/>
            <w:tcBorders>
              <w:top w:val="nil"/>
              <w:left w:val="nil"/>
              <w:bottom w:val="single" w:sz="4" w:space="0" w:color="auto"/>
              <w:right w:val="single" w:sz="4" w:space="0" w:color="auto"/>
            </w:tcBorders>
            <w:shd w:val="clear" w:color="auto" w:fill="auto"/>
            <w:vAlign w:val="center"/>
            <w:hideMark/>
          </w:tcPr>
          <w:p w14:paraId="20538CFF"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08561522</w:t>
            </w:r>
          </w:p>
        </w:tc>
        <w:tc>
          <w:tcPr>
            <w:tcW w:w="783" w:type="pct"/>
            <w:tcBorders>
              <w:top w:val="nil"/>
              <w:left w:val="nil"/>
              <w:bottom w:val="single" w:sz="4" w:space="0" w:color="auto"/>
              <w:right w:val="single" w:sz="4" w:space="0" w:color="auto"/>
            </w:tcBorders>
            <w:shd w:val="clear" w:color="auto" w:fill="auto"/>
            <w:vAlign w:val="center"/>
            <w:hideMark/>
          </w:tcPr>
          <w:p w14:paraId="4054CB22" w14:textId="77777777" w:rsidR="00C12E5A" w:rsidRPr="00E128B3" w:rsidRDefault="00C12E5A" w:rsidP="00C12E5A">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180,000.00</w:t>
            </w:r>
          </w:p>
        </w:tc>
        <w:tc>
          <w:tcPr>
            <w:tcW w:w="934" w:type="pct"/>
            <w:tcBorders>
              <w:top w:val="nil"/>
              <w:left w:val="nil"/>
              <w:bottom w:val="single" w:sz="4" w:space="0" w:color="auto"/>
              <w:right w:val="single" w:sz="8" w:space="0" w:color="auto"/>
            </w:tcBorders>
            <w:shd w:val="clear" w:color="auto" w:fill="auto"/>
            <w:noWrap/>
            <w:vAlign w:val="center"/>
            <w:hideMark/>
          </w:tcPr>
          <w:p w14:paraId="1001AF8C" w14:textId="77777777" w:rsidR="00C12E5A" w:rsidRPr="00E128B3" w:rsidRDefault="00C12E5A" w:rsidP="00C12E5A">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Completed</w:t>
            </w:r>
          </w:p>
        </w:tc>
      </w:tr>
      <w:tr w:rsidR="00C12E5A" w:rsidRPr="00E128B3" w14:paraId="2DE8F91E"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557BBFC0"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942" w:type="pct"/>
            <w:tcBorders>
              <w:top w:val="nil"/>
              <w:left w:val="nil"/>
              <w:bottom w:val="single" w:sz="4" w:space="0" w:color="auto"/>
              <w:right w:val="single" w:sz="4" w:space="0" w:color="auto"/>
            </w:tcBorders>
            <w:shd w:val="clear" w:color="auto" w:fill="auto"/>
            <w:vAlign w:val="center"/>
            <w:hideMark/>
          </w:tcPr>
          <w:p w14:paraId="0778151A" w14:textId="77777777" w:rsidR="00C12E5A" w:rsidRPr="00E128B3" w:rsidRDefault="00C12E5A" w:rsidP="00C12E5A">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2.2</w:t>
            </w:r>
          </w:p>
        </w:tc>
        <w:tc>
          <w:tcPr>
            <w:tcW w:w="784" w:type="pct"/>
            <w:tcBorders>
              <w:top w:val="nil"/>
              <w:left w:val="nil"/>
              <w:bottom w:val="single" w:sz="4" w:space="0" w:color="auto"/>
              <w:right w:val="single" w:sz="4" w:space="0" w:color="auto"/>
            </w:tcBorders>
            <w:shd w:val="clear" w:color="auto" w:fill="auto"/>
            <w:vAlign w:val="center"/>
            <w:hideMark/>
          </w:tcPr>
          <w:p w14:paraId="24CE2C96"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08571521</w:t>
            </w:r>
          </w:p>
        </w:tc>
        <w:tc>
          <w:tcPr>
            <w:tcW w:w="783" w:type="pct"/>
            <w:tcBorders>
              <w:top w:val="nil"/>
              <w:left w:val="nil"/>
              <w:bottom w:val="single" w:sz="4" w:space="0" w:color="auto"/>
              <w:right w:val="single" w:sz="4" w:space="0" w:color="auto"/>
            </w:tcBorders>
            <w:shd w:val="clear" w:color="auto" w:fill="auto"/>
            <w:vAlign w:val="center"/>
            <w:hideMark/>
          </w:tcPr>
          <w:p w14:paraId="14913B6E" w14:textId="77777777" w:rsidR="00C12E5A" w:rsidRPr="00E128B3" w:rsidRDefault="00C12E5A" w:rsidP="00C12E5A">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317,628.00</w:t>
            </w:r>
          </w:p>
        </w:tc>
        <w:tc>
          <w:tcPr>
            <w:tcW w:w="934" w:type="pct"/>
            <w:tcBorders>
              <w:top w:val="nil"/>
              <w:left w:val="nil"/>
              <w:bottom w:val="single" w:sz="4" w:space="0" w:color="auto"/>
              <w:right w:val="single" w:sz="8" w:space="0" w:color="auto"/>
            </w:tcBorders>
            <w:shd w:val="clear" w:color="auto" w:fill="auto"/>
            <w:noWrap/>
            <w:vAlign w:val="center"/>
            <w:hideMark/>
          </w:tcPr>
          <w:p w14:paraId="22A1A2A3" w14:textId="77777777" w:rsidR="00C12E5A" w:rsidRPr="00E128B3" w:rsidRDefault="00C12E5A" w:rsidP="00C12E5A">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Project under implementation</w:t>
            </w:r>
          </w:p>
        </w:tc>
      </w:tr>
      <w:tr w:rsidR="00C12E5A" w:rsidRPr="00E128B3" w14:paraId="2484904A"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5DA9CCB0"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942" w:type="pct"/>
            <w:tcBorders>
              <w:top w:val="nil"/>
              <w:left w:val="nil"/>
              <w:bottom w:val="single" w:sz="4" w:space="0" w:color="auto"/>
              <w:right w:val="single" w:sz="4" w:space="0" w:color="auto"/>
            </w:tcBorders>
            <w:shd w:val="clear" w:color="auto" w:fill="auto"/>
            <w:vAlign w:val="center"/>
            <w:hideMark/>
          </w:tcPr>
          <w:p w14:paraId="561E5F24" w14:textId="77777777" w:rsidR="00C12E5A" w:rsidRPr="00E128B3" w:rsidRDefault="00C12E5A" w:rsidP="00C12E5A">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2.1</w:t>
            </w:r>
          </w:p>
        </w:tc>
        <w:tc>
          <w:tcPr>
            <w:tcW w:w="784" w:type="pct"/>
            <w:tcBorders>
              <w:top w:val="nil"/>
              <w:left w:val="nil"/>
              <w:bottom w:val="single" w:sz="4" w:space="0" w:color="auto"/>
              <w:right w:val="single" w:sz="4" w:space="0" w:color="auto"/>
            </w:tcBorders>
            <w:shd w:val="clear" w:color="auto" w:fill="auto"/>
            <w:vAlign w:val="center"/>
            <w:hideMark/>
          </w:tcPr>
          <w:p w14:paraId="6634D4CC"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00511628</w:t>
            </w:r>
          </w:p>
        </w:tc>
        <w:tc>
          <w:tcPr>
            <w:tcW w:w="783" w:type="pct"/>
            <w:tcBorders>
              <w:top w:val="nil"/>
              <w:left w:val="nil"/>
              <w:bottom w:val="single" w:sz="4" w:space="0" w:color="auto"/>
              <w:right w:val="single" w:sz="4" w:space="0" w:color="auto"/>
            </w:tcBorders>
            <w:shd w:val="clear" w:color="auto" w:fill="auto"/>
            <w:vAlign w:val="center"/>
            <w:hideMark/>
          </w:tcPr>
          <w:p w14:paraId="13D48575" w14:textId="77777777" w:rsidR="00C12E5A" w:rsidRPr="00E128B3" w:rsidRDefault="00C12E5A" w:rsidP="00C12E5A">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8,415,000.00</w:t>
            </w:r>
          </w:p>
        </w:tc>
        <w:tc>
          <w:tcPr>
            <w:tcW w:w="934" w:type="pct"/>
            <w:tcBorders>
              <w:top w:val="nil"/>
              <w:left w:val="nil"/>
              <w:bottom w:val="single" w:sz="4" w:space="0" w:color="auto"/>
              <w:right w:val="single" w:sz="8" w:space="0" w:color="auto"/>
            </w:tcBorders>
            <w:shd w:val="clear" w:color="auto" w:fill="auto"/>
            <w:noWrap/>
            <w:vAlign w:val="center"/>
            <w:hideMark/>
          </w:tcPr>
          <w:p w14:paraId="5B1089D5" w14:textId="77777777" w:rsidR="00C12E5A" w:rsidRPr="00E128B3" w:rsidRDefault="00C12E5A" w:rsidP="00C12E5A">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Project under implementation</w:t>
            </w:r>
          </w:p>
        </w:tc>
      </w:tr>
      <w:tr w:rsidR="00C12E5A" w:rsidRPr="00E128B3" w14:paraId="3C013E1E"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0CA02D8B"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SEF</w:t>
            </w:r>
          </w:p>
        </w:tc>
        <w:tc>
          <w:tcPr>
            <w:tcW w:w="942" w:type="pct"/>
            <w:tcBorders>
              <w:top w:val="nil"/>
              <w:left w:val="nil"/>
              <w:bottom w:val="single" w:sz="4" w:space="0" w:color="auto"/>
              <w:right w:val="single" w:sz="4" w:space="0" w:color="auto"/>
            </w:tcBorders>
            <w:shd w:val="clear" w:color="auto" w:fill="auto"/>
            <w:vAlign w:val="center"/>
            <w:hideMark/>
          </w:tcPr>
          <w:p w14:paraId="77FFEBFC" w14:textId="77777777" w:rsidR="00C12E5A" w:rsidRPr="00E128B3" w:rsidRDefault="00C12E5A" w:rsidP="00C12E5A">
            <w:pPr>
              <w:jc w:val="center"/>
              <w:rPr>
                <w:rFonts w:ascii="Calibri" w:eastAsia="Times New Roman" w:hAnsi="Calibri" w:cs="Calibri"/>
                <w:sz w:val="20"/>
                <w:szCs w:val="20"/>
                <w:lang w:val="en-GB" w:eastAsia="cs-CZ"/>
              </w:rPr>
            </w:pPr>
            <w:r w:rsidRPr="00E128B3">
              <w:rPr>
                <w:rFonts w:ascii="Calibri" w:eastAsia="Times New Roman" w:hAnsi="Calibri" w:cs="Calibri"/>
                <w:sz w:val="20"/>
                <w:szCs w:val="20"/>
                <w:lang w:val="en-GB" w:bidi="en-GB"/>
              </w:rPr>
              <w:t>5.2</w:t>
            </w:r>
          </w:p>
        </w:tc>
        <w:tc>
          <w:tcPr>
            <w:tcW w:w="784" w:type="pct"/>
            <w:tcBorders>
              <w:top w:val="nil"/>
              <w:left w:val="nil"/>
              <w:bottom w:val="single" w:sz="4" w:space="0" w:color="auto"/>
              <w:right w:val="single" w:sz="4" w:space="0" w:color="auto"/>
            </w:tcBorders>
            <w:shd w:val="clear" w:color="auto" w:fill="auto"/>
            <w:vAlign w:val="center"/>
            <w:hideMark/>
          </w:tcPr>
          <w:p w14:paraId="300D0F1F"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00111721</w:t>
            </w:r>
          </w:p>
        </w:tc>
        <w:tc>
          <w:tcPr>
            <w:tcW w:w="783" w:type="pct"/>
            <w:tcBorders>
              <w:top w:val="nil"/>
              <w:left w:val="nil"/>
              <w:bottom w:val="single" w:sz="4" w:space="0" w:color="auto"/>
              <w:right w:val="single" w:sz="4" w:space="0" w:color="auto"/>
            </w:tcBorders>
            <w:shd w:val="clear" w:color="auto" w:fill="auto"/>
            <w:vAlign w:val="center"/>
            <w:hideMark/>
          </w:tcPr>
          <w:p w14:paraId="0009D362" w14:textId="77777777" w:rsidR="00C12E5A" w:rsidRPr="00E128B3" w:rsidRDefault="00C12E5A" w:rsidP="00C12E5A">
            <w:pPr>
              <w:jc w:val="right"/>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418,000.00</w:t>
            </w:r>
          </w:p>
        </w:tc>
        <w:tc>
          <w:tcPr>
            <w:tcW w:w="934" w:type="pct"/>
            <w:tcBorders>
              <w:top w:val="nil"/>
              <w:left w:val="nil"/>
              <w:bottom w:val="single" w:sz="4" w:space="0" w:color="auto"/>
              <w:right w:val="single" w:sz="8" w:space="0" w:color="auto"/>
            </w:tcBorders>
            <w:shd w:val="clear" w:color="auto" w:fill="auto"/>
            <w:noWrap/>
            <w:vAlign w:val="center"/>
            <w:hideMark/>
          </w:tcPr>
          <w:p w14:paraId="13FF1625" w14:textId="77777777" w:rsidR="00C12E5A" w:rsidRPr="00E128B3" w:rsidRDefault="00C12E5A" w:rsidP="00C12E5A">
            <w:pPr>
              <w:jc w:val="cente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Completed</w:t>
            </w:r>
          </w:p>
        </w:tc>
      </w:tr>
      <w:tr w:rsidR="00C12E5A" w:rsidRPr="00E128B3" w14:paraId="7F498BEF" w14:textId="77777777" w:rsidTr="00AA4206">
        <w:trPr>
          <w:trHeight w:val="227"/>
        </w:trPr>
        <w:tc>
          <w:tcPr>
            <w:tcW w:w="3283" w:type="pct"/>
            <w:gridSpan w:val="3"/>
            <w:tcBorders>
              <w:top w:val="single" w:sz="4" w:space="0" w:color="auto"/>
              <w:left w:val="single" w:sz="8" w:space="0" w:color="auto"/>
              <w:bottom w:val="single" w:sz="4" w:space="0" w:color="auto"/>
              <w:right w:val="nil"/>
            </w:tcBorders>
            <w:shd w:val="clear" w:color="auto" w:fill="D9D9D9"/>
            <w:vAlign w:val="center"/>
            <w:hideMark/>
          </w:tcPr>
          <w:p w14:paraId="16B8E0A2" w14:textId="77777777" w:rsidR="00C12E5A" w:rsidRPr="00E128B3" w:rsidRDefault="00C12E5A" w:rsidP="00C12E5A">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NPE total for the SEF</w:t>
            </w:r>
          </w:p>
        </w:tc>
        <w:tc>
          <w:tcPr>
            <w:tcW w:w="783" w:type="pct"/>
            <w:tcBorders>
              <w:top w:val="nil"/>
              <w:left w:val="single" w:sz="4" w:space="0" w:color="auto"/>
              <w:bottom w:val="single" w:sz="4" w:space="0" w:color="auto"/>
              <w:right w:val="single" w:sz="4" w:space="0" w:color="auto"/>
            </w:tcBorders>
            <w:shd w:val="clear" w:color="auto" w:fill="D9D9D9"/>
            <w:vAlign w:val="center"/>
            <w:hideMark/>
          </w:tcPr>
          <w:p w14:paraId="4D8E5F0C" w14:textId="77777777" w:rsidR="00C12E5A" w:rsidRPr="00E128B3" w:rsidRDefault="00C12E5A" w:rsidP="00C12E5A">
            <w:pPr>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9,330,628.00</w:t>
            </w:r>
          </w:p>
        </w:tc>
        <w:tc>
          <w:tcPr>
            <w:tcW w:w="934" w:type="pct"/>
            <w:tcBorders>
              <w:top w:val="nil"/>
              <w:left w:val="nil"/>
              <w:bottom w:val="single" w:sz="4" w:space="0" w:color="auto"/>
              <w:right w:val="single" w:sz="8" w:space="0" w:color="auto"/>
            </w:tcBorders>
            <w:shd w:val="clear" w:color="auto" w:fill="D9D9D9"/>
            <w:noWrap/>
            <w:vAlign w:val="center"/>
            <w:hideMark/>
          </w:tcPr>
          <w:p w14:paraId="69E1320A" w14:textId="77777777" w:rsidR="00C12E5A" w:rsidRPr="00E128B3" w:rsidRDefault="00C12E5A" w:rsidP="00C12E5A">
            <w:pPr>
              <w:rPr>
                <w:rFonts w:ascii="Calibri" w:eastAsia="Times New Roman" w:hAnsi="Calibri" w:cs="Calibri"/>
                <w:color w:val="000000"/>
                <w:sz w:val="20"/>
                <w:szCs w:val="20"/>
                <w:lang w:val="en-GB" w:eastAsia="cs-CZ"/>
              </w:rPr>
            </w:pPr>
            <w:r w:rsidRPr="00E128B3">
              <w:rPr>
                <w:rFonts w:ascii="Calibri" w:eastAsia="Times New Roman" w:hAnsi="Calibri" w:cs="Calibri"/>
                <w:color w:val="000000"/>
                <w:sz w:val="20"/>
                <w:szCs w:val="20"/>
                <w:lang w:val="en-GB" w:bidi="en-GB"/>
              </w:rPr>
              <w:t> </w:t>
            </w:r>
          </w:p>
        </w:tc>
      </w:tr>
      <w:tr w:rsidR="00C12E5A" w:rsidRPr="00E128B3" w14:paraId="7E23CE11" w14:textId="77777777" w:rsidTr="00AA4206">
        <w:trPr>
          <w:trHeight w:val="227"/>
        </w:trPr>
        <w:tc>
          <w:tcPr>
            <w:tcW w:w="3283" w:type="pct"/>
            <w:gridSpan w:val="3"/>
            <w:tcBorders>
              <w:top w:val="single" w:sz="4" w:space="0" w:color="auto"/>
              <w:left w:val="single" w:sz="8" w:space="0" w:color="auto"/>
              <w:bottom w:val="single" w:sz="8" w:space="0" w:color="auto"/>
              <w:right w:val="nil"/>
            </w:tcBorders>
            <w:shd w:val="clear" w:color="auto" w:fill="F2C6C9"/>
            <w:vAlign w:val="center"/>
            <w:hideMark/>
          </w:tcPr>
          <w:p w14:paraId="438A5C04" w14:textId="77777777" w:rsidR="00C12E5A" w:rsidRPr="00E128B3" w:rsidRDefault="00C12E5A" w:rsidP="00C12E5A">
            <w:pPr>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NPE TOTAL</w:t>
            </w:r>
          </w:p>
        </w:tc>
        <w:tc>
          <w:tcPr>
            <w:tcW w:w="783" w:type="pct"/>
            <w:tcBorders>
              <w:top w:val="nil"/>
              <w:left w:val="single" w:sz="4" w:space="0" w:color="auto"/>
              <w:bottom w:val="single" w:sz="8" w:space="0" w:color="auto"/>
              <w:right w:val="single" w:sz="4" w:space="0" w:color="auto"/>
            </w:tcBorders>
            <w:shd w:val="clear" w:color="auto" w:fill="F2C6C9"/>
            <w:noWrap/>
            <w:vAlign w:val="center"/>
            <w:hideMark/>
          </w:tcPr>
          <w:p w14:paraId="2DF8D999" w14:textId="77777777" w:rsidR="00C12E5A" w:rsidRPr="00E128B3" w:rsidRDefault="00C12E5A" w:rsidP="00C12E5A">
            <w:pPr>
              <w:jc w:val="right"/>
              <w:rPr>
                <w:rFonts w:ascii="Calibri" w:eastAsia="Times New Roman" w:hAnsi="Calibri" w:cs="Calibri"/>
                <w:b/>
                <w:bCs/>
                <w:color w:val="000000"/>
                <w:sz w:val="20"/>
                <w:szCs w:val="20"/>
                <w:lang w:val="en-GB" w:eastAsia="cs-CZ"/>
              </w:rPr>
            </w:pPr>
            <w:r w:rsidRPr="00E128B3">
              <w:rPr>
                <w:rFonts w:ascii="Calibri" w:eastAsia="Times New Roman" w:hAnsi="Calibri" w:cs="Calibri"/>
                <w:b/>
                <w:color w:val="000000"/>
                <w:sz w:val="20"/>
                <w:szCs w:val="20"/>
                <w:lang w:val="en-GB" w:bidi="en-GB"/>
              </w:rPr>
              <w:t>25,525,645.00</w:t>
            </w:r>
          </w:p>
        </w:tc>
        <w:tc>
          <w:tcPr>
            <w:tcW w:w="934" w:type="pct"/>
            <w:tcBorders>
              <w:top w:val="nil"/>
              <w:left w:val="nil"/>
              <w:bottom w:val="single" w:sz="8" w:space="0" w:color="auto"/>
              <w:right w:val="single" w:sz="8" w:space="0" w:color="auto"/>
            </w:tcBorders>
            <w:shd w:val="clear" w:color="auto" w:fill="F2C6C9"/>
            <w:noWrap/>
            <w:vAlign w:val="center"/>
            <w:hideMark/>
          </w:tcPr>
          <w:p w14:paraId="3EC09BBF" w14:textId="77777777" w:rsidR="00C12E5A" w:rsidRPr="00E128B3" w:rsidRDefault="00C12E5A" w:rsidP="00C12E5A">
            <w:pPr>
              <w:rPr>
                <w:rFonts w:ascii="Calibri" w:eastAsia="Times New Roman" w:hAnsi="Calibri" w:cs="Calibri"/>
                <w:b/>
                <w:bCs/>
                <w:color w:val="000000"/>
                <w:sz w:val="20"/>
                <w:szCs w:val="20"/>
                <w:lang w:val="en-GB" w:eastAsia="cs-CZ"/>
              </w:rPr>
            </w:pPr>
            <w:r w:rsidRPr="00E128B3">
              <w:rPr>
                <w:rFonts w:ascii="Calibri" w:eastAsia="Times New Roman" w:hAnsi="Calibri" w:cs="Calibri"/>
                <w:color w:val="000000"/>
                <w:sz w:val="20"/>
                <w:szCs w:val="20"/>
                <w:lang w:val="en-GB" w:bidi="en-GB"/>
              </w:rPr>
              <w:t> </w:t>
            </w:r>
          </w:p>
        </w:tc>
      </w:tr>
    </w:tbl>
    <w:p w14:paraId="3EA560A8" w14:textId="7537C619" w:rsidR="00D24707" w:rsidRPr="00E128B3" w:rsidRDefault="00D24707" w:rsidP="00805103">
      <w:pPr>
        <w:pStyle w:val="Zdrojapozn"/>
        <w:spacing w:before="40"/>
        <w:rPr>
          <w:lang w:val="en-GB"/>
        </w:rPr>
      </w:pPr>
      <w:r w:rsidRPr="00E128B3">
        <w:rPr>
          <w:b/>
          <w:lang w:val="en-GB" w:bidi="en-GB"/>
        </w:rPr>
        <w:t xml:space="preserve">Source: </w:t>
      </w:r>
      <w:r w:rsidRPr="00E128B3">
        <w:rPr>
          <w:lang w:val="en-GB" w:bidi="en-GB"/>
        </w:rPr>
        <w:t>Prepared by the SAO on the basis of project documents.</w:t>
      </w:r>
    </w:p>
    <w:p w14:paraId="6940AB1A" w14:textId="77B7B17A" w:rsidR="00D25553" w:rsidRPr="00E128B3" w:rsidRDefault="00D25553" w:rsidP="00C12E5A">
      <w:pPr>
        <w:pStyle w:val="Zdrojapozn"/>
        <w:rPr>
          <w:lang w:val="en-GB"/>
        </w:rPr>
      </w:pPr>
      <w:r w:rsidRPr="00E128B3">
        <w:rPr>
          <w:b/>
          <w:lang w:val="en-GB" w:bidi="en-GB"/>
        </w:rPr>
        <w:t xml:space="preserve">Explanatory notes: </w:t>
      </w:r>
    </w:p>
    <w:p w14:paraId="6979D7E2" w14:textId="4E62FD0D" w:rsidR="003940F4" w:rsidRPr="00E128B3" w:rsidRDefault="00D25553" w:rsidP="00C12E5A">
      <w:pPr>
        <w:pStyle w:val="Zdrojapozn"/>
        <w:rPr>
          <w:lang w:val="en-GB"/>
        </w:rPr>
      </w:pPr>
      <w:r w:rsidRPr="00E128B3">
        <w:rPr>
          <w:lang w:val="en-GB" w:bidi="en-GB"/>
        </w:rPr>
        <w:t>“COMPLETED” – the project declares that the indicators have been fulfilled.</w:t>
      </w:r>
    </w:p>
    <w:p w14:paraId="025BE48E" w14:textId="5EE3C226" w:rsidR="00C12E5A" w:rsidRPr="00E128B3" w:rsidRDefault="00D25553" w:rsidP="00C12E5A">
      <w:pPr>
        <w:pStyle w:val="Zdrojapozn"/>
        <w:rPr>
          <w:lang w:val="en-GB"/>
        </w:rPr>
      </w:pPr>
      <w:r w:rsidRPr="00E128B3">
        <w:rPr>
          <w:lang w:val="en-GB" w:bidi="en-GB"/>
        </w:rPr>
        <w:t>“PROJECT UNDER IMPLEMENTATION” – as of the completion of the audit, the stage of the project did not enable the evaluation of the level of fulfilment of the indicator.</w:t>
      </w:r>
    </w:p>
    <w:sectPr w:rsidR="00C12E5A" w:rsidRPr="00E128B3" w:rsidSect="00BF5DAF">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71E63" w14:textId="77777777" w:rsidR="00D74E6C" w:rsidRDefault="00D74E6C">
      <w:r>
        <w:separator/>
      </w:r>
    </w:p>
  </w:endnote>
  <w:endnote w:type="continuationSeparator" w:id="0">
    <w:p w14:paraId="49F288DC" w14:textId="77777777" w:rsidR="00D74E6C" w:rsidRDefault="00D74E6C">
      <w:r>
        <w:continuationSeparator/>
      </w:r>
    </w:p>
  </w:endnote>
  <w:endnote w:type="continuationNotice" w:id="1">
    <w:p w14:paraId="5D7601D7" w14:textId="77777777" w:rsidR="00D74E6C" w:rsidRDefault="00D74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417663"/>
      <w:docPartObj>
        <w:docPartGallery w:val="Page Numbers (Bottom of Page)"/>
        <w:docPartUnique/>
      </w:docPartObj>
    </w:sdtPr>
    <w:sdtContent>
      <w:p w14:paraId="170C415C" w14:textId="3E63FB43" w:rsidR="00D74E6C" w:rsidRDefault="00D74E6C" w:rsidP="006E3B89">
        <w:pPr>
          <w:pStyle w:val="Zpat"/>
          <w:jc w:val="center"/>
        </w:pPr>
        <w:r>
          <w:rPr>
            <w:lang w:val="en-GB" w:bidi="en-GB"/>
          </w:rPr>
          <w:fldChar w:fldCharType="begin"/>
        </w:r>
        <w:r>
          <w:rPr>
            <w:lang w:val="en-GB" w:bidi="en-GB"/>
          </w:rPr>
          <w:instrText>PAGE   \* MERGEFORMAT</w:instrText>
        </w:r>
        <w:r>
          <w:rPr>
            <w:lang w:val="en-GB" w:bidi="en-GB"/>
          </w:rPr>
          <w:fldChar w:fldCharType="separate"/>
        </w:r>
        <w:r w:rsidR="00136D57">
          <w:rPr>
            <w:noProof/>
            <w:lang w:val="en-GB" w:bidi="en-GB"/>
          </w:rPr>
          <w:t>2</w:t>
        </w:r>
        <w:r>
          <w:rPr>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FA00A" w14:textId="77777777" w:rsidR="00D74E6C" w:rsidRDefault="00D74E6C" w:rsidP="00395345">
      <w:r>
        <w:separator/>
      </w:r>
    </w:p>
  </w:footnote>
  <w:footnote w:type="continuationSeparator" w:id="0">
    <w:p w14:paraId="44555DA7" w14:textId="77777777" w:rsidR="00D74E6C" w:rsidRDefault="00D74E6C" w:rsidP="00395345">
      <w:r>
        <w:continuationSeparator/>
      </w:r>
    </w:p>
  </w:footnote>
  <w:footnote w:type="continuationNotice" w:id="1">
    <w:p w14:paraId="26FFAFD5" w14:textId="77777777" w:rsidR="00D74E6C" w:rsidRDefault="00D74E6C"/>
  </w:footnote>
  <w:footnote w:id="2">
    <w:p w14:paraId="10151362" w14:textId="506DCBB0" w:rsidR="00D74E6C" w:rsidRPr="003742A5" w:rsidRDefault="00D74E6C" w:rsidP="00572D07">
      <w:pPr>
        <w:pStyle w:val="Textpoznpodarou"/>
        <w:ind w:left="284" w:hanging="284"/>
        <w:jc w:val="both"/>
      </w:pPr>
      <w:r w:rsidRPr="003742A5">
        <w:rPr>
          <w:rStyle w:val="Znakapoznpodarou"/>
          <w:lang w:val="en-GB" w:bidi="en-GB"/>
        </w:rPr>
        <w:footnoteRef/>
      </w:r>
      <w:r w:rsidRPr="003742A5">
        <w:rPr>
          <w:lang w:val="en-GB" w:bidi="en-GB"/>
        </w:rPr>
        <w:t xml:space="preserve"> </w:t>
      </w:r>
      <w:r w:rsidRPr="003742A5">
        <w:rPr>
          <w:lang w:val="en-GB" w:bidi="en-GB"/>
        </w:rPr>
        <w:tab/>
        <w:t>This concerns, in particular, suspended particles PM</w:t>
      </w:r>
      <w:r>
        <w:rPr>
          <w:lang w:val="en-GB" w:bidi="en-GB"/>
        </w:rPr>
        <w:t xml:space="preserve"> (</w:t>
      </w:r>
      <w:r w:rsidRPr="003742A5">
        <w:rPr>
          <w:lang w:val="en-GB" w:bidi="en-GB"/>
        </w:rPr>
        <w:t>depending on particle size, PM is divided into gross particulate matter (PM</w:t>
      </w:r>
      <w:r w:rsidRPr="003742A5">
        <w:rPr>
          <w:vertAlign w:val="subscript"/>
          <w:lang w:val="en-GB" w:bidi="en-GB"/>
        </w:rPr>
        <w:t>10</w:t>
      </w:r>
      <w:r w:rsidRPr="003742A5">
        <w:rPr>
          <w:lang w:val="en-GB" w:bidi="en-GB"/>
        </w:rPr>
        <w:t>) and fine particulate matter (PM</w:t>
      </w:r>
      <w:r w:rsidRPr="003742A5">
        <w:rPr>
          <w:vertAlign w:val="subscript"/>
          <w:lang w:val="en-GB" w:bidi="en-GB"/>
        </w:rPr>
        <w:t>2.5</w:t>
      </w:r>
      <w:r w:rsidRPr="003742A5">
        <w:rPr>
          <w:lang w:val="en-GB" w:bidi="en-GB"/>
        </w:rPr>
        <w:t>)); benzo(a)pyrene (BaP), and nitrogen dioxide (NO</w:t>
      </w:r>
      <w:r w:rsidRPr="003742A5">
        <w:rPr>
          <w:vertAlign w:val="subscript"/>
          <w:lang w:val="en-GB" w:bidi="en-GB"/>
        </w:rPr>
        <w:t>2</w:t>
      </w:r>
      <w:r w:rsidRPr="003742A5">
        <w:rPr>
          <w:lang w:val="en-GB" w:bidi="en-GB"/>
        </w:rPr>
        <w:t>). The overview of the main pollutants is provided in Annex 3 to this Audit Conclusion.</w:t>
      </w:r>
    </w:p>
  </w:footnote>
  <w:footnote w:id="3">
    <w:p w14:paraId="62C321DD" w14:textId="77777777" w:rsidR="00D74E6C" w:rsidRPr="003742A5" w:rsidRDefault="00D74E6C" w:rsidP="00572D07">
      <w:pPr>
        <w:pStyle w:val="Textpoznpodarou"/>
        <w:ind w:left="284" w:hanging="284"/>
        <w:jc w:val="both"/>
      </w:pPr>
      <w:r w:rsidRPr="003742A5">
        <w:rPr>
          <w:rStyle w:val="Znakapoznpodarou"/>
          <w:lang w:val="en-GB" w:bidi="en-GB"/>
        </w:rPr>
        <w:footnoteRef/>
      </w:r>
      <w:r w:rsidRPr="003742A5">
        <w:rPr>
          <w:lang w:val="en-GB" w:bidi="en-GB"/>
        </w:rPr>
        <w:t xml:space="preserve"> </w:t>
      </w:r>
      <w:r w:rsidRPr="003742A5">
        <w:rPr>
          <w:lang w:val="en-GB" w:bidi="en-GB"/>
        </w:rPr>
        <w:tab/>
        <w:t>The air pollution limit (ambient air quality standard) is the highest permissible air pollution level, expressed in mass concentration units. The selected applicable air pollution limits are specified in Annex 1 to this Audit Conclusion.</w:t>
      </w:r>
    </w:p>
  </w:footnote>
  <w:footnote w:id="4">
    <w:p w14:paraId="139553F9" w14:textId="77777777" w:rsidR="00D74E6C" w:rsidRPr="003742A5" w:rsidRDefault="00D74E6C" w:rsidP="00572D07">
      <w:pPr>
        <w:pStyle w:val="Textpoznpodarou"/>
        <w:ind w:left="284" w:hanging="284"/>
        <w:jc w:val="both"/>
      </w:pPr>
      <w:r w:rsidRPr="003742A5">
        <w:rPr>
          <w:rStyle w:val="Znakapoznpodarou"/>
          <w:lang w:val="en-GB" w:bidi="en-GB"/>
        </w:rPr>
        <w:footnoteRef/>
      </w:r>
      <w:r w:rsidRPr="003742A5">
        <w:rPr>
          <w:lang w:val="en-GB" w:bidi="en-GB"/>
        </w:rPr>
        <w:t xml:space="preserve"> </w:t>
      </w:r>
      <w:r w:rsidRPr="003742A5">
        <w:rPr>
          <w:lang w:val="en-GB" w:bidi="en-GB"/>
        </w:rPr>
        <w:tab/>
        <w:t>Act No. 201/2012 Coll. on air protection (hereinafter also referred to as the “Act”).</w:t>
      </w:r>
    </w:p>
  </w:footnote>
  <w:footnote w:id="5">
    <w:p w14:paraId="72F71424" w14:textId="171596AB" w:rsidR="00D74E6C" w:rsidRPr="003742A5" w:rsidRDefault="00D74E6C" w:rsidP="00572D07">
      <w:pPr>
        <w:pStyle w:val="Textpoznpodarou"/>
        <w:ind w:left="284" w:hanging="284"/>
        <w:jc w:val="both"/>
      </w:pPr>
      <w:r w:rsidRPr="003742A5">
        <w:rPr>
          <w:rStyle w:val="Znakapoznpodarou"/>
          <w:lang w:val="en-GB" w:bidi="en-GB"/>
        </w:rPr>
        <w:footnoteRef/>
      </w:r>
      <w:r w:rsidRPr="003742A5">
        <w:rPr>
          <w:lang w:val="en-GB" w:bidi="en-GB"/>
        </w:rPr>
        <w:t xml:space="preserve"> </w:t>
      </w:r>
      <w:r w:rsidRPr="003742A5">
        <w:rPr>
          <w:lang w:val="en-GB" w:bidi="en-GB"/>
        </w:rPr>
        <w:tab/>
        <w:t>Emission means the introduction of substances into the ambient air, expressed in units of mass. The development of national emissions is specified in Annex 2 to this Audit Conclusion.</w:t>
      </w:r>
    </w:p>
  </w:footnote>
  <w:footnote w:id="6">
    <w:p w14:paraId="0BCCA8C2" w14:textId="77777777" w:rsidR="00D74E6C" w:rsidRPr="003742A5" w:rsidRDefault="00D74E6C" w:rsidP="00572D07">
      <w:pPr>
        <w:pStyle w:val="Textpoznpodarou"/>
        <w:ind w:left="284" w:hanging="284"/>
        <w:jc w:val="both"/>
      </w:pPr>
      <w:r w:rsidRPr="003742A5">
        <w:rPr>
          <w:rStyle w:val="Znakapoznpodarou"/>
          <w:lang w:val="en-GB" w:bidi="en-GB"/>
        </w:rPr>
        <w:footnoteRef/>
      </w:r>
      <w:r w:rsidRPr="003742A5">
        <w:rPr>
          <w:lang w:val="en-GB" w:bidi="en-GB"/>
        </w:rPr>
        <w:t xml:space="preserve"> </w:t>
      </w:r>
      <w:r w:rsidRPr="003742A5">
        <w:rPr>
          <w:lang w:val="en-GB" w:bidi="en-GB"/>
        </w:rPr>
        <w:tab/>
        <w:t>Emission class 1 and 2 boilers according to ČSN EN 305-1, which will be illegal to operate after 1 September 2022 in the Czech Republic in accordance with Act No. 201/2012 Coll.</w:t>
      </w:r>
    </w:p>
  </w:footnote>
  <w:footnote w:id="7">
    <w:p w14:paraId="4572E1BC" w14:textId="77777777" w:rsidR="00D74E6C" w:rsidRDefault="00D74E6C" w:rsidP="00572D07">
      <w:pPr>
        <w:pStyle w:val="Textpoznpodarou"/>
        <w:ind w:left="284" w:hanging="284"/>
        <w:jc w:val="both"/>
      </w:pPr>
      <w:r>
        <w:rPr>
          <w:rStyle w:val="Znakapoznpodarou"/>
          <w:lang w:val="en-GB" w:bidi="en-GB"/>
        </w:rPr>
        <w:footnoteRef/>
      </w:r>
      <w:r>
        <w:rPr>
          <w:lang w:val="en-GB" w:bidi="en-GB"/>
        </w:rPr>
        <w:t xml:space="preserve"> </w:t>
      </w:r>
      <w:r>
        <w:rPr>
          <w:lang w:val="en-GB" w:bidi="en-GB"/>
        </w:rPr>
        <w:tab/>
        <w:t>Annex 5 to this Audit Conclusion lists all the audited projects aimed at reducing the emissions from local heating and from the industry as supported from PA2 of the OPE or from the NPE.</w:t>
      </w:r>
    </w:p>
  </w:footnote>
  <w:footnote w:id="8">
    <w:p w14:paraId="634AB92B" w14:textId="3241D365" w:rsidR="00D74E6C" w:rsidRPr="003742A5" w:rsidRDefault="00D74E6C" w:rsidP="00572D07">
      <w:pPr>
        <w:pStyle w:val="Textpoznpodarou"/>
        <w:ind w:left="284" w:hanging="284"/>
        <w:jc w:val="both"/>
      </w:pPr>
      <w:r w:rsidRPr="003742A5">
        <w:rPr>
          <w:rStyle w:val="Znakapoznpodarou"/>
          <w:lang w:val="en-GB" w:bidi="en-GB"/>
        </w:rPr>
        <w:footnoteRef/>
      </w:r>
      <w:r w:rsidRPr="003742A5">
        <w:rPr>
          <w:lang w:val="en-GB" w:bidi="en-GB"/>
        </w:rPr>
        <w:t xml:space="preserve"> </w:t>
      </w:r>
      <w:r w:rsidRPr="003742A5">
        <w:rPr>
          <w:lang w:val="en-GB" w:bidi="en-GB"/>
        </w:rPr>
        <w:tab/>
        <w:t xml:space="preserve">The Czech Republic has repeatedly set for itself the goal of achieving compliance with the air pollution limits set by the Act, this time by 2020, through measures set at the national level in the </w:t>
      </w:r>
      <w:r w:rsidRPr="003742A5">
        <w:rPr>
          <w:i/>
          <w:lang w:val="en-GB" w:bidi="en-GB"/>
        </w:rPr>
        <w:t xml:space="preserve">National Emission Reduction Programme of the Czech Republic </w:t>
      </w:r>
      <w:r w:rsidRPr="003742A5">
        <w:rPr>
          <w:lang w:val="en-GB" w:bidi="en-GB"/>
        </w:rPr>
        <w:t>(“NERP”), approved at the end of 2015, and, at the regional level, in the Air Quality Improvement Programmes (“AQIPs”) issued by the MoE in the first half of 2016.</w:t>
      </w:r>
    </w:p>
  </w:footnote>
  <w:footnote w:id="9">
    <w:p w14:paraId="44AE9896" w14:textId="77777777" w:rsidR="00D74E6C" w:rsidRDefault="00D74E6C" w:rsidP="00572D07">
      <w:pPr>
        <w:pStyle w:val="Textpoznpodarou"/>
        <w:ind w:left="284" w:hanging="284"/>
        <w:jc w:val="both"/>
      </w:pPr>
      <w:r>
        <w:rPr>
          <w:rStyle w:val="Znakapoznpodarou"/>
          <w:lang w:val="en-GB" w:bidi="en-GB"/>
        </w:rPr>
        <w:footnoteRef/>
      </w:r>
      <w:r>
        <w:rPr>
          <w:lang w:val="en-GB" w:bidi="en-GB"/>
        </w:rPr>
        <w:t xml:space="preserve"> </w:t>
      </w:r>
      <w:r>
        <w:rPr>
          <w:lang w:val="en-GB" w:bidi="en-GB"/>
        </w:rPr>
        <w:tab/>
        <w:t>They include, for example, measures to promote the acceleration of the replacement of passenger vehicles (responsibility of the MoE) and to stimulate the use of alternative fuel vehicles in road freight transport by reducing the road tax rate or by reducing the share of solid fossil fuels in stationary combustion sources that do not fall under the EU ETS system (e.g. household heating).</w:t>
      </w:r>
    </w:p>
  </w:footnote>
  <w:footnote w:id="10">
    <w:p w14:paraId="792096E5" w14:textId="79786074" w:rsidR="00D74E6C" w:rsidRDefault="00D74E6C" w:rsidP="00572D07">
      <w:pPr>
        <w:pStyle w:val="Textpoznpodarou"/>
        <w:ind w:left="284" w:hanging="284"/>
        <w:jc w:val="both"/>
      </w:pPr>
      <w:r>
        <w:rPr>
          <w:rStyle w:val="Znakapoznpodarou"/>
          <w:lang w:val="en-GB" w:bidi="en-GB"/>
        </w:rPr>
        <w:footnoteRef/>
      </w:r>
      <w:r>
        <w:rPr>
          <w:lang w:val="en-GB" w:bidi="en-GB"/>
        </w:rPr>
        <w:t xml:space="preserve"> </w:t>
      </w:r>
      <w:r>
        <w:rPr>
          <w:lang w:val="en-GB" w:bidi="en-GB"/>
        </w:rPr>
        <w:tab/>
        <w:t>They are, for example, the shift of freight transport from roads to railways, the implementation of measures to reduce energy consumption and increase energy efficiency, the construction of the backbone network of high-capacity routes for motor transport, or the priority construction of bypass roads around towns and municipalities and the associated possibility of introducing low-emission zones in urban areas.</w:t>
      </w:r>
    </w:p>
  </w:footnote>
  <w:footnote w:id="11">
    <w:p w14:paraId="7249B850" w14:textId="77777777" w:rsidR="00D74E6C" w:rsidRDefault="00D74E6C" w:rsidP="00572D07">
      <w:pPr>
        <w:pStyle w:val="Textpoznpodarou"/>
        <w:ind w:left="284" w:hanging="284"/>
        <w:jc w:val="both"/>
      </w:pPr>
      <w:r>
        <w:rPr>
          <w:rStyle w:val="Znakapoznpodarou"/>
          <w:lang w:val="en-GB" w:bidi="en-GB"/>
        </w:rPr>
        <w:footnoteRef/>
      </w:r>
      <w:r w:rsidRPr="00D6284E">
        <w:rPr>
          <w:lang w:val="en-GB" w:bidi="en-GB"/>
        </w:rPr>
        <w:t xml:space="preserve"> </w:t>
      </w:r>
      <w:r w:rsidRPr="00D6284E">
        <w:rPr>
          <w:lang w:val="en-GB" w:bidi="en-GB"/>
        </w:rPr>
        <w:tab/>
        <w:t>In 2018 the MoE presented the first interim evaluation of AQIPs for 2016.</w:t>
      </w:r>
    </w:p>
  </w:footnote>
  <w:footnote w:id="12">
    <w:p w14:paraId="1130CF46" w14:textId="52CBA17A" w:rsidR="00D74E6C" w:rsidRDefault="00D74E6C" w:rsidP="00572D07">
      <w:pPr>
        <w:pStyle w:val="Textpoznpodarou"/>
        <w:ind w:left="284" w:hanging="284"/>
        <w:jc w:val="both"/>
      </w:pPr>
      <w:r>
        <w:rPr>
          <w:rStyle w:val="Znakapoznpodarou"/>
          <w:lang w:val="en-GB" w:bidi="en-GB"/>
        </w:rPr>
        <w:footnoteRef/>
      </w:r>
      <w:r>
        <w:rPr>
          <w:lang w:val="en-GB" w:bidi="en-GB"/>
        </w:rPr>
        <w:t xml:space="preserve"> </w:t>
      </w:r>
      <w:r>
        <w:rPr>
          <w:lang w:val="en-GB" w:bidi="en-GB"/>
        </w:rPr>
        <w:tab/>
        <w:t>At the end of 2017 and in the first half of 2018 the Supreme Administrative Court and the Municipal Court in Prague ruled on four contested AQIPs; see Judgments of the Supreme Administrative Court Ref. Nos.: 6 As 288/2016-146, 4 As 250/2016-156, 9 As 17/2017-98, and Judgment of the Municipal Court in Prague Ref. No.: 10A 173/2016-119.</w:t>
      </w:r>
    </w:p>
  </w:footnote>
  <w:footnote w:id="13">
    <w:p w14:paraId="188C6DCC" w14:textId="77777777" w:rsidR="00D74E6C" w:rsidRDefault="00D74E6C" w:rsidP="00572D07">
      <w:pPr>
        <w:pStyle w:val="Textpoznpodarou"/>
        <w:ind w:left="284" w:hanging="284"/>
        <w:jc w:val="both"/>
      </w:pPr>
      <w:r>
        <w:rPr>
          <w:rStyle w:val="Znakapoznpodarou"/>
          <w:lang w:val="en-GB" w:bidi="en-GB"/>
        </w:rPr>
        <w:footnoteRef/>
      </w:r>
      <w:r>
        <w:rPr>
          <w:lang w:val="en-GB" w:bidi="en-GB"/>
        </w:rPr>
        <w:t xml:space="preserve"> </w:t>
      </w:r>
      <w:r>
        <w:rPr>
          <w:lang w:val="en-GB" w:bidi="en-GB"/>
        </w:rPr>
        <w:tab/>
        <w:t>PM</w:t>
      </w:r>
      <w:r>
        <w:rPr>
          <w:vertAlign w:val="subscript"/>
          <w:lang w:val="en-GB" w:bidi="en-GB"/>
        </w:rPr>
        <w:t>2.5</w:t>
      </w:r>
      <w:r>
        <w:rPr>
          <w:lang w:val="en-GB" w:bidi="en-GB"/>
        </w:rPr>
        <w:t xml:space="preserve"> particles. As of 2015 the same objective of 20 µg/m</w:t>
      </w:r>
      <w:r>
        <w:rPr>
          <w:vertAlign w:val="superscript"/>
          <w:lang w:val="en-GB" w:bidi="en-GB"/>
        </w:rPr>
        <w:t>3</w:t>
      </w:r>
      <w:r>
        <w:rPr>
          <w:lang w:val="en-GB" w:bidi="en-GB"/>
        </w:rPr>
        <w:t xml:space="preserve"> was set for all the Member States.</w:t>
      </w:r>
    </w:p>
  </w:footnote>
  <w:footnote w:id="14">
    <w:p w14:paraId="5E5CFBE1" w14:textId="77777777" w:rsidR="00D74E6C" w:rsidRDefault="00D74E6C" w:rsidP="00572D07">
      <w:pPr>
        <w:pStyle w:val="Textpoznpodarou"/>
        <w:ind w:left="284" w:hanging="284"/>
        <w:jc w:val="both"/>
      </w:pPr>
      <w:r>
        <w:rPr>
          <w:rStyle w:val="Znakapoznpodarou"/>
          <w:lang w:val="en-GB" w:bidi="en-GB"/>
        </w:rPr>
        <w:footnoteRef/>
      </w:r>
      <w:r w:rsidRPr="00E84804">
        <w:rPr>
          <w:lang w:val="en-GB" w:bidi="en-GB"/>
        </w:rPr>
        <w:t xml:space="preserve"> </w:t>
      </w:r>
      <w:r w:rsidRPr="00E84804">
        <w:rPr>
          <w:lang w:val="en-GB" w:bidi="en-GB"/>
        </w:rPr>
        <w:tab/>
        <w:t>Urban background stations are placed in urban areas, where the levels are representative of the exposure of the urban population in general. The urban background stations should be placed so that their pollution level is influenced by the integrated contribution from all sources upwind of the station.</w:t>
      </w:r>
    </w:p>
  </w:footnote>
  <w:footnote w:id="15">
    <w:p w14:paraId="3037DF99" w14:textId="2DD47868" w:rsidR="00D74E6C" w:rsidRPr="00BB7916" w:rsidRDefault="00D74E6C" w:rsidP="00572D07">
      <w:pPr>
        <w:pStyle w:val="Textpoznpodarou"/>
        <w:ind w:left="284" w:hanging="284"/>
        <w:jc w:val="both"/>
      </w:pPr>
      <w:r>
        <w:rPr>
          <w:rStyle w:val="Znakapoznpodarou"/>
          <w:lang w:val="en-GB" w:bidi="en-GB"/>
        </w:rPr>
        <w:footnoteRef/>
      </w:r>
      <w:r>
        <w:rPr>
          <w:lang w:val="en-GB" w:bidi="en-GB"/>
        </w:rPr>
        <w:t xml:space="preserve"> </w:t>
      </w:r>
      <w:r>
        <w:rPr>
          <w:lang w:val="en-GB" w:bidi="en-GB"/>
        </w:rPr>
        <w:tab/>
        <w:t xml:space="preserve">A significant impact of cross-border transmission on air pollution between the Czech Republic and Poland was confirmed, among others, by the Air Silesia (2010–2013) project entitled </w:t>
      </w:r>
      <w:r>
        <w:rPr>
          <w:i/>
          <w:lang w:val="en-GB" w:bidi="en-GB"/>
        </w:rPr>
        <w:t>Information System for Air Quality in the Silesian and Moravian-Silesian Region along the Czech-Polish Border (CZ.3.22/1.2.00/09.01610)</w:t>
      </w:r>
      <w:r>
        <w:rPr>
          <w:lang w:val="en-GB" w:bidi="en-GB"/>
        </w:rPr>
        <w:t xml:space="preserve">, conducted from 1 July 2010 to 30 June 2013. The full results of the projects are available at </w:t>
      </w:r>
      <w:hyperlink r:id="rId1" w:history="1">
        <w:r>
          <w:rPr>
            <w:rStyle w:val="Hypertextovodkaz"/>
            <w:lang w:val="en-GB" w:bidi="en-GB"/>
          </w:rPr>
          <w:t>www.air-silesia.eu</w:t>
        </w:r>
      </w:hyperlink>
      <w:r>
        <w:rPr>
          <w:lang w:val="en-GB" w:bidi="en-GB"/>
        </w:rPr>
        <w:t>.</w:t>
      </w:r>
    </w:p>
  </w:footnote>
  <w:footnote w:id="16">
    <w:p w14:paraId="6A89C9E5" w14:textId="77777777" w:rsidR="00D74E6C" w:rsidRDefault="00D74E6C" w:rsidP="00572D07">
      <w:pPr>
        <w:pStyle w:val="Textpoznpodarou"/>
        <w:ind w:left="284" w:hanging="284"/>
        <w:jc w:val="both"/>
      </w:pPr>
      <w:r>
        <w:rPr>
          <w:rStyle w:val="Znakapoznpodarou"/>
          <w:lang w:val="en-GB" w:bidi="en-GB"/>
        </w:rPr>
        <w:footnoteRef/>
      </w:r>
      <w:r>
        <w:rPr>
          <w:lang w:val="en-GB" w:bidi="en-GB"/>
        </w:rPr>
        <w:t xml:space="preserve"> </w:t>
      </w:r>
      <w:r>
        <w:rPr>
          <w:lang w:val="en-GB" w:bidi="en-GB"/>
        </w:rPr>
        <w:tab/>
        <w:t>According to Article 6 (2) of EU Directive No 2016/2284, when drawing up, adopting and implementing the national air pollution control programmes, Member States shall assess to what extent national emission sources are likely to have an impact on air quality in their territories and neighbouring Member States and, where appropriate, transboundary consultations shall be conducted.</w:t>
      </w:r>
    </w:p>
  </w:footnote>
  <w:footnote w:id="17">
    <w:p w14:paraId="431343D0" w14:textId="77777777" w:rsidR="00D74E6C" w:rsidRDefault="00D74E6C" w:rsidP="00613D37">
      <w:pPr>
        <w:pStyle w:val="Textpoznpodarou"/>
        <w:ind w:left="284" w:hanging="284"/>
        <w:jc w:val="both"/>
      </w:pPr>
      <w:r>
        <w:rPr>
          <w:rStyle w:val="Znakapoznpodarou"/>
          <w:lang w:val="en-GB" w:bidi="en-GB"/>
        </w:rPr>
        <w:footnoteRef/>
      </w:r>
      <w:r w:rsidRPr="00D03627">
        <w:rPr>
          <w:spacing w:val="-3"/>
          <w:lang w:val="en-GB" w:bidi="en-GB"/>
        </w:rPr>
        <w:tab/>
        <w:t>The sources identified under the ESIF included the OPE, the Operational Programme Transport (“OPT”), Operational Programme Enterprise and Innovation for Competitiveness (“OPEIC”), Integrated Regional Programme (“IROP”), Operational Programme Prague - Growth Pole of the Czech Republic, and Rural Development Programme (“RDP”).</w:t>
      </w:r>
    </w:p>
  </w:footnote>
  <w:footnote w:id="18">
    <w:p w14:paraId="551D526F" w14:textId="77777777" w:rsidR="00D74E6C" w:rsidRDefault="00D74E6C" w:rsidP="00613D37">
      <w:pPr>
        <w:pStyle w:val="Textpoznpodarou"/>
        <w:ind w:left="284" w:hanging="284"/>
      </w:pPr>
      <w:r>
        <w:rPr>
          <w:rStyle w:val="Znakapoznpodarou"/>
          <w:lang w:val="en-GB" w:bidi="en-GB"/>
        </w:rPr>
        <w:footnoteRef/>
      </w:r>
      <w:r>
        <w:rPr>
          <w:lang w:val="en-GB" w:bidi="en-GB"/>
        </w:rPr>
        <w:t xml:space="preserve"> </w:t>
      </w:r>
      <w:r>
        <w:rPr>
          <w:lang w:val="en-GB" w:bidi="en-GB"/>
        </w:rPr>
        <w:tab/>
        <w:t>Data for 2012.</w:t>
      </w:r>
    </w:p>
  </w:footnote>
  <w:footnote w:id="19">
    <w:p w14:paraId="60F05E4A" w14:textId="4B1BF004" w:rsidR="00D74E6C" w:rsidRDefault="00D74E6C" w:rsidP="00613D37">
      <w:pPr>
        <w:pStyle w:val="Textpoznpodarou"/>
        <w:ind w:left="284" w:hanging="284"/>
        <w:jc w:val="both"/>
      </w:pPr>
      <w:r>
        <w:rPr>
          <w:rStyle w:val="Znakapoznpodarou"/>
          <w:lang w:val="en-GB" w:bidi="en-GB"/>
        </w:rPr>
        <w:footnoteRef/>
      </w:r>
      <w:r>
        <w:rPr>
          <w:lang w:val="en-GB" w:bidi="en-GB"/>
        </w:rPr>
        <w:t xml:space="preserve"> </w:t>
      </w:r>
      <w:r>
        <w:rPr>
          <w:lang w:val="en-GB" w:bidi="en-GB"/>
        </w:rPr>
        <w:tab/>
        <w:t xml:space="preserve">The support is aimed at reducing the emissions of pollutants from the industry or from agriculture. </w:t>
      </w:r>
    </w:p>
  </w:footnote>
  <w:footnote w:id="20">
    <w:p w14:paraId="005E214A" w14:textId="77777777" w:rsidR="00D74E6C" w:rsidRDefault="00D74E6C" w:rsidP="00613D37">
      <w:pPr>
        <w:pStyle w:val="Textpoznpodarou"/>
        <w:ind w:left="284" w:hanging="284"/>
        <w:jc w:val="both"/>
      </w:pPr>
      <w:r>
        <w:rPr>
          <w:rStyle w:val="Znakapoznpodarou"/>
          <w:lang w:val="en-GB" w:bidi="en-GB"/>
        </w:rPr>
        <w:footnoteRef/>
      </w:r>
      <w:r>
        <w:rPr>
          <w:lang w:val="en-GB" w:bidi="en-GB"/>
        </w:rPr>
        <w:t xml:space="preserve"> </w:t>
      </w:r>
      <w:r>
        <w:rPr>
          <w:lang w:val="en-GB" w:bidi="en-GB"/>
        </w:rPr>
        <w:tab/>
        <w:t>The primary particles are emitted into the air directly from the sources; the secondary particles may also enter the air by resuspension, i.e. when raised by human activity (transport) or by weather factors (wind).</w:t>
      </w:r>
    </w:p>
  </w:footnote>
  <w:footnote w:id="21">
    <w:p w14:paraId="362FD6A5" w14:textId="77777777" w:rsidR="00D74E6C" w:rsidRDefault="00D74E6C" w:rsidP="00613D37">
      <w:pPr>
        <w:pStyle w:val="Textpoznpodarou"/>
        <w:ind w:left="284" w:hanging="284"/>
        <w:jc w:val="both"/>
      </w:pPr>
      <w:r>
        <w:rPr>
          <w:rStyle w:val="Znakapoznpodarou"/>
          <w:lang w:val="en-GB" w:bidi="en-GB"/>
        </w:rPr>
        <w:footnoteRef/>
      </w:r>
      <w:r>
        <w:rPr>
          <w:lang w:val="en-GB" w:bidi="en-GB"/>
        </w:rPr>
        <w:t xml:space="preserve"> </w:t>
      </w:r>
      <w:r>
        <w:rPr>
          <w:lang w:val="en-GB" w:bidi="en-GB"/>
        </w:rPr>
        <w:tab/>
        <w:t>Act No. 320/2001 Coll., on financial control in public administration and on amendments to certain acts (Financial Control Act).</w:t>
      </w:r>
    </w:p>
  </w:footnote>
  <w:footnote w:id="22">
    <w:p w14:paraId="644A4BB6" w14:textId="6ECACDF7" w:rsidR="00D74E6C" w:rsidRDefault="00D74E6C" w:rsidP="00613D37">
      <w:pPr>
        <w:pStyle w:val="Textpoznpodarou"/>
        <w:ind w:left="284" w:hanging="284"/>
        <w:jc w:val="both"/>
      </w:pPr>
      <w:r>
        <w:rPr>
          <w:rStyle w:val="Znakapoznpodarou"/>
          <w:lang w:val="en-GB" w:bidi="en-GB"/>
        </w:rPr>
        <w:footnoteRef/>
      </w:r>
      <w:r w:rsidRPr="00D022E5">
        <w:rPr>
          <w:lang w:val="en-GB" w:bidi="en-GB"/>
        </w:rPr>
        <w:t xml:space="preserve"> </w:t>
      </w:r>
      <w:r w:rsidRPr="00D022E5">
        <w:rPr>
          <w:lang w:val="en-GB" w:bidi="en-GB"/>
        </w:rPr>
        <w:tab/>
        <w:t xml:space="preserve">MoE Directive No. 4/2015 </w:t>
      </w:r>
      <w:r w:rsidRPr="00D022E5">
        <w:rPr>
          <w:i/>
          <w:lang w:val="en-GB" w:bidi="en-GB"/>
        </w:rPr>
        <w:t>on the provision of financial resources from the State Environmental Fund of the Czech Republic through the National Programme Environment</w:t>
      </w:r>
      <w:r w:rsidRPr="00D022E5">
        <w:rPr>
          <w:lang w:val="en-GB" w:bidi="en-GB"/>
        </w:rPr>
        <w:t>.</w:t>
      </w:r>
    </w:p>
  </w:footnote>
  <w:footnote w:id="23">
    <w:p w14:paraId="11477031" w14:textId="454A2475" w:rsidR="00D74E6C" w:rsidRDefault="00D74E6C" w:rsidP="00613D37">
      <w:pPr>
        <w:pStyle w:val="Textpoznpodarou"/>
        <w:ind w:left="284" w:hanging="284"/>
        <w:jc w:val="both"/>
      </w:pPr>
      <w:r>
        <w:rPr>
          <w:rStyle w:val="Znakapoznpodarou"/>
          <w:lang w:val="en-GB" w:bidi="en-GB"/>
        </w:rPr>
        <w:footnoteRef/>
      </w:r>
      <w:r w:rsidRPr="00D73A0A">
        <w:rPr>
          <w:lang w:val="en-GB" w:bidi="en-GB"/>
        </w:rPr>
        <w:t xml:space="preserve"> </w:t>
      </w:r>
      <w:r w:rsidRPr="00D73A0A">
        <w:rPr>
          <w:lang w:val="en-GB" w:bidi="en-GB"/>
        </w:rPr>
        <w:tab/>
        <w:t xml:space="preserve">Regulation (EU) No 1293/2013 of 11 December 2013 </w:t>
      </w:r>
      <w:r w:rsidRPr="00D73A0A">
        <w:rPr>
          <w:i/>
          <w:lang w:val="en-GB" w:bidi="en-GB"/>
        </w:rPr>
        <w:t>on the establishment of a Programme for the Environment and Climate Action (LIFE) and repealing Regulation (EC) No 614/2007</w:t>
      </w:r>
      <w:r w:rsidRPr="00D73A0A">
        <w:rPr>
          <w:lang w:val="en-GB" w:bidi="en-GB"/>
        </w:rPr>
        <w:t>.</w:t>
      </w:r>
    </w:p>
  </w:footnote>
  <w:footnote w:id="24">
    <w:p w14:paraId="7CA7D0ED" w14:textId="1A73A028" w:rsidR="00D74E6C" w:rsidRDefault="00D74E6C" w:rsidP="00613D37">
      <w:pPr>
        <w:pStyle w:val="Textpoznpodarou"/>
        <w:ind w:left="284" w:hanging="284"/>
        <w:jc w:val="both"/>
      </w:pPr>
      <w:r>
        <w:rPr>
          <w:rStyle w:val="Znakapoznpodarou"/>
          <w:lang w:val="en-GB" w:bidi="en-GB"/>
        </w:rPr>
        <w:footnoteRef/>
      </w:r>
      <w:r>
        <w:rPr>
          <w:lang w:val="en-GB" w:bidi="en-GB"/>
        </w:rPr>
        <w:t xml:space="preserve"> </w:t>
      </w:r>
      <w:r>
        <w:rPr>
          <w:lang w:val="en-GB" w:bidi="en-GB"/>
        </w:rPr>
        <w:tab/>
        <w:t xml:space="preserve">MoE Directive No. 4/2016 </w:t>
      </w:r>
      <w:r>
        <w:rPr>
          <w:i/>
          <w:lang w:val="en-GB" w:bidi="en-GB"/>
        </w:rPr>
        <w:t>on the provision of funding from the MoE Budget Chapter 315 in support of projects implemented within the framework of the LIFE Community Programme in the period 2014–2020</w:t>
      </w:r>
      <w:r>
        <w:rPr>
          <w:lang w:val="en-GB" w:bidi="en-GB"/>
        </w:rPr>
        <w:t>.</w:t>
      </w:r>
    </w:p>
  </w:footnote>
  <w:footnote w:id="25">
    <w:p w14:paraId="4D071F17" w14:textId="0486F18B" w:rsidR="00D74E6C" w:rsidRDefault="00D74E6C" w:rsidP="00613D37">
      <w:pPr>
        <w:pStyle w:val="Textpoznpodarou"/>
        <w:ind w:left="284" w:hanging="284"/>
        <w:jc w:val="both"/>
      </w:pPr>
      <w:r>
        <w:rPr>
          <w:rStyle w:val="Znakapoznpodarou"/>
          <w:lang w:val="en-GB" w:bidi="en-GB"/>
        </w:rPr>
        <w:footnoteRef/>
      </w:r>
      <w:r>
        <w:rPr>
          <w:lang w:val="en-GB" w:bidi="en-GB"/>
        </w:rPr>
        <w:t xml:space="preserve"> </w:t>
      </w:r>
      <w:r>
        <w:rPr>
          <w:lang w:val="en-GB" w:bidi="en-GB"/>
        </w:rPr>
        <w:tab/>
        <w:t xml:space="preserve">Directive (EU) 2016/2284 of 14 December 2016 </w:t>
      </w:r>
      <w:r>
        <w:rPr>
          <w:i/>
          <w:lang w:val="en-GB" w:bidi="en-GB"/>
        </w:rPr>
        <w:t>on the reduction of national emissions of certain atmospheric pollutants, amending Directive 2003/35/EC and repealing Directive 2001/81/EC</w:t>
      </w:r>
      <w:r>
        <w:rPr>
          <w:lang w:val="en-GB" w:bidi="en-GB"/>
        </w:rPr>
        <w:t>.</w:t>
      </w:r>
    </w:p>
  </w:footnote>
  <w:footnote w:id="26">
    <w:p w14:paraId="67B9299F" w14:textId="2316F60E" w:rsidR="00D74E6C" w:rsidRDefault="00D74E6C" w:rsidP="0011199F">
      <w:pPr>
        <w:pStyle w:val="Textpoznpodarou"/>
        <w:ind w:left="284" w:hanging="284"/>
      </w:pPr>
      <w:r>
        <w:rPr>
          <w:rStyle w:val="Znakapoznpodarou"/>
          <w:lang w:val="en-GB" w:bidi="en-GB"/>
        </w:rPr>
        <w:footnoteRef/>
      </w:r>
      <w:r>
        <w:rPr>
          <w:lang w:val="en-GB" w:bidi="en-GB"/>
        </w:rPr>
        <w:tab/>
        <w:t>Gothenburg Protocol = Protocol to Abate Acidification, Eutrophication and Ground-level Ozone of 1999, further revised in 2012.</w:t>
      </w:r>
    </w:p>
  </w:footnote>
  <w:footnote w:id="27">
    <w:p w14:paraId="25408D19" w14:textId="638F4C02" w:rsidR="00D74E6C" w:rsidRPr="00CD5C6B" w:rsidRDefault="00D74E6C" w:rsidP="00613D37">
      <w:pPr>
        <w:pStyle w:val="Textpoznpodarou"/>
        <w:ind w:left="284" w:hanging="284"/>
      </w:pPr>
      <w:r>
        <w:rPr>
          <w:rStyle w:val="Znakapoznpodarou"/>
          <w:lang w:val="en-GB" w:bidi="en-GB"/>
        </w:rPr>
        <w:footnoteRef/>
      </w:r>
      <w:r w:rsidRPr="00CD5C6B">
        <w:rPr>
          <w:lang w:val="en-GB" w:bidi="en-GB"/>
        </w:rPr>
        <w:t xml:space="preserve"> </w:t>
      </w:r>
      <w:r w:rsidRPr="00CD5C6B">
        <w:rPr>
          <w:lang w:val="en-GB" w:bidi="en-GB"/>
        </w:rPr>
        <w:tab/>
        <w:t xml:space="preserve">Reporting_2018_v_1-2_1990-2016 (the reporting is available at: </w:t>
      </w:r>
      <w:hyperlink r:id="rId2" w:history="1">
        <w:r w:rsidRPr="007B6B70">
          <w:rPr>
            <w:rStyle w:val="Hypertextovodkaz"/>
            <w:lang w:val="en-GB" w:bidi="en-GB"/>
          </w:rPr>
          <w:t>http://webdab1.umweltbundesamt.at/download/submissions2018/CZ_NFR2018.zip?cgiproxy_skip=1</w:t>
        </w:r>
      </w:hyperlink>
      <w:r w:rsidRPr="00B1650A">
        <w:rPr>
          <w:rStyle w:val="Hypertextovodkaz"/>
          <w:color w:val="000000" w:themeColor="text1"/>
          <w:u w:val="none"/>
          <w:lang w:val="en-GB" w:bidi="en-GB"/>
        </w:rPr>
        <w:t>.</w:t>
      </w:r>
    </w:p>
  </w:footnote>
  <w:footnote w:id="28">
    <w:p w14:paraId="3871C675" w14:textId="77777777" w:rsidR="00D74E6C" w:rsidRDefault="00D74E6C" w:rsidP="00613D37">
      <w:pPr>
        <w:pStyle w:val="Textpoznpodarou"/>
        <w:ind w:left="284" w:hanging="284"/>
        <w:jc w:val="both"/>
      </w:pPr>
      <w:r>
        <w:rPr>
          <w:rStyle w:val="Znakapoznpodarou"/>
          <w:lang w:val="en-GB" w:bidi="en-GB"/>
        </w:rPr>
        <w:footnoteRef/>
      </w:r>
      <w:r w:rsidRPr="0076291B">
        <w:rPr>
          <w:lang w:val="en-GB" w:bidi="en-GB"/>
        </w:rPr>
        <w:t xml:space="preserve"> </w:t>
      </w:r>
      <w:r w:rsidRPr="0076291B">
        <w:rPr>
          <w:lang w:val="en-GB" w:bidi="en-GB"/>
        </w:rPr>
        <w:tab/>
        <w:t>Rows 1 and 2 in the table show the total national emissions of pollutants for which the commitments for 2020, the base year 2005, and the latest available year 2016 are specified. Using the current data for 2005, the emission ceilings for 2020 are calculated in rows 5 and 7 on the basis of the percentage representation of the emission reduction commitments compared to 2005 (as shown in rows 4 and 6). The emission ceilings which have not yet been achieved are shown in red. Row 8 shows the need for an additional reduction in emissions in order to meet the unexceedable national emission values for 2020 when compared to 2016.</w:t>
      </w:r>
    </w:p>
  </w:footnote>
  <w:footnote w:id="29">
    <w:p w14:paraId="7FD75031" w14:textId="169D7397" w:rsidR="00D74E6C" w:rsidRDefault="00D74E6C" w:rsidP="00613D37">
      <w:pPr>
        <w:pStyle w:val="Textpoznpodarou"/>
        <w:ind w:left="284" w:hanging="284"/>
        <w:jc w:val="both"/>
      </w:pPr>
      <w:r>
        <w:rPr>
          <w:rStyle w:val="Znakapoznpodarou"/>
          <w:lang w:val="en-GB" w:bidi="en-GB"/>
        </w:rPr>
        <w:footnoteRef/>
      </w:r>
      <w:r w:rsidRPr="00DA424B">
        <w:rPr>
          <w:lang w:val="en-GB" w:bidi="en-GB"/>
        </w:rPr>
        <w:t xml:space="preserve"> </w:t>
      </w:r>
      <w:r w:rsidRPr="00DA424B">
        <w:rPr>
          <w:lang w:val="en-GB" w:bidi="en-GB"/>
        </w:rPr>
        <w:tab/>
        <w:t xml:space="preserve">This can be exemplified by transport measure AB2, focusing on the priority construction of city and municipality bypasses (AB2), which includes 427 investment schemes. The monitoring of the construction of city and municipality bypasses is limited to municipalities with a population of over 10 thousand. Published in the </w:t>
      </w:r>
      <w:r w:rsidRPr="00DA424B">
        <w:rPr>
          <w:i/>
          <w:lang w:val="en-GB" w:bidi="en-GB"/>
        </w:rPr>
        <w:t>Statistical Environmental Yearbook for 2016</w:t>
      </w:r>
      <w:r w:rsidRPr="00DA424B">
        <w:rPr>
          <w:lang w:val="en-GB" w:bidi="en-GB"/>
        </w:rPr>
        <w:t>, this indicator shows the same number (3) for 2015 and 2016. However, the MoE still sees this performance positively because it is “fulfilled on a continuous basis”. The MoE evaluates the fulfilment status of certain measures funded from the ESIF similarly even though there are risks associated with the use of the funds, which implies the risks of the failure to fulfil the indicator and of a delayed implementation of these measures.</w:t>
      </w:r>
    </w:p>
  </w:footnote>
  <w:footnote w:id="30">
    <w:p w14:paraId="022C51E7" w14:textId="77777777" w:rsidR="00D74E6C" w:rsidRDefault="00D74E6C" w:rsidP="00AD74E7">
      <w:pPr>
        <w:pStyle w:val="Textpoznpodarou"/>
        <w:ind w:left="284" w:hanging="284"/>
        <w:jc w:val="both"/>
      </w:pPr>
      <w:r>
        <w:rPr>
          <w:rStyle w:val="Znakapoznpodarou"/>
          <w:lang w:val="en-GB" w:bidi="en-GB"/>
        </w:rPr>
        <w:footnoteRef/>
      </w:r>
      <w:r>
        <w:rPr>
          <w:lang w:val="en-GB" w:bidi="en-GB"/>
        </w:rPr>
        <w:t xml:space="preserve"> </w:t>
      </w:r>
      <w:r>
        <w:rPr>
          <w:lang w:val="en-GB" w:bidi="en-GB"/>
        </w:rPr>
        <w:tab/>
        <w:t>Act No. 172/2018 Coll. amending Act No. 201/2012 Coll. on air protection, as amended, effective from 1 September 2018.</w:t>
      </w:r>
    </w:p>
  </w:footnote>
  <w:footnote w:id="31">
    <w:p w14:paraId="794EC62F" w14:textId="732573AC" w:rsidR="00D74E6C" w:rsidRDefault="00D74E6C" w:rsidP="00AD74E7">
      <w:pPr>
        <w:pStyle w:val="Textpoznpodarou"/>
        <w:ind w:left="284" w:hanging="284"/>
        <w:jc w:val="both"/>
      </w:pPr>
      <w:r>
        <w:rPr>
          <w:rStyle w:val="Znakapoznpodarou"/>
          <w:lang w:val="en-GB" w:bidi="en-GB"/>
        </w:rPr>
        <w:footnoteRef/>
      </w:r>
      <w:r w:rsidRPr="00C07AD2">
        <w:rPr>
          <w:lang w:val="en-GB" w:bidi="en-GB"/>
        </w:rPr>
        <w:t xml:space="preserve"> </w:t>
      </w:r>
      <w:r w:rsidRPr="00C07AD2">
        <w:rPr>
          <w:lang w:val="en-GB" w:bidi="en-GB"/>
        </w:rPr>
        <w:tab/>
        <w:t xml:space="preserve">Directive 2008/50/EC of the European Parliament and of the Council of 21 May 2008 </w:t>
      </w:r>
      <w:r w:rsidRPr="00C07AD2">
        <w:rPr>
          <w:i/>
          <w:lang w:val="en-GB" w:bidi="en-GB"/>
        </w:rPr>
        <w:t>on ambient air quality and cleaner air for Europe</w:t>
      </w:r>
      <w:r w:rsidRPr="00C07AD2">
        <w:rPr>
          <w:lang w:val="en-GB" w:bidi="en-GB"/>
        </w:rPr>
        <w:t>.</w:t>
      </w:r>
    </w:p>
  </w:footnote>
  <w:footnote w:id="32">
    <w:p w14:paraId="5E15ECEA" w14:textId="7ED3861E" w:rsidR="00D74E6C" w:rsidRDefault="00D74E6C" w:rsidP="00AD74E7">
      <w:pPr>
        <w:pStyle w:val="Textpoznpodarou"/>
        <w:ind w:left="284" w:hanging="284"/>
        <w:jc w:val="both"/>
      </w:pPr>
      <w:r>
        <w:rPr>
          <w:rStyle w:val="Znakapoznpodarou"/>
          <w:lang w:val="en-GB" w:bidi="en-GB"/>
        </w:rPr>
        <w:footnoteRef/>
      </w:r>
      <w:r w:rsidRPr="007E3EBA">
        <w:rPr>
          <w:lang w:val="en-GB" w:bidi="en-GB"/>
        </w:rPr>
        <w:t xml:space="preserve"> </w:t>
      </w:r>
      <w:r w:rsidRPr="007E3EBA">
        <w:rPr>
          <w:lang w:val="en-GB" w:bidi="en-GB"/>
        </w:rPr>
        <w:tab/>
        <w:t>The data are reported through the European Environment Agency (“EEA”); according to the statement of the CHMI, there was a technical error when uploading the data for this indicator and the item was not defined as a required item in the system, which allowed the dataset to be uploaded without this item.</w:t>
      </w:r>
    </w:p>
  </w:footnote>
  <w:footnote w:id="33">
    <w:p w14:paraId="0A2EB6E3" w14:textId="77777777" w:rsidR="00D74E6C" w:rsidRDefault="00D74E6C" w:rsidP="00AD74E7">
      <w:pPr>
        <w:pStyle w:val="Textpoznpodarou"/>
        <w:ind w:left="284" w:hanging="284"/>
        <w:jc w:val="both"/>
      </w:pPr>
      <w:r>
        <w:rPr>
          <w:rStyle w:val="Znakapoznpodarou"/>
          <w:lang w:val="en-GB" w:bidi="en-GB"/>
        </w:rPr>
        <w:footnoteRef/>
      </w:r>
      <w:r>
        <w:rPr>
          <w:lang w:val="en-GB" w:bidi="en-GB"/>
        </w:rPr>
        <w:t> </w:t>
      </w:r>
      <w:r>
        <w:rPr>
          <w:lang w:val="en-GB" w:bidi="en-GB"/>
        </w:rPr>
        <w:tab/>
        <w:t>Decree No. 330/2012 Coll. on the method of assessment and evaluation of the pollution level, the extent of informing the public about the pollution level and in smog situations.</w:t>
      </w:r>
    </w:p>
  </w:footnote>
  <w:footnote w:id="34">
    <w:p w14:paraId="3D2AC8D4" w14:textId="143EB111" w:rsidR="00D74E6C" w:rsidRDefault="00D74E6C" w:rsidP="00AD74E7">
      <w:pPr>
        <w:pStyle w:val="Textpoznpodarou"/>
        <w:ind w:left="284" w:hanging="284"/>
        <w:jc w:val="both"/>
      </w:pPr>
      <w:r>
        <w:rPr>
          <w:rStyle w:val="Znakapoznpodarou"/>
          <w:lang w:val="en-GB" w:bidi="en-GB"/>
        </w:rPr>
        <w:footnoteRef/>
      </w:r>
      <w:r w:rsidRPr="00C57EA6">
        <w:rPr>
          <w:lang w:val="en-GB" w:bidi="en-GB"/>
        </w:rPr>
        <w:t xml:space="preserve"> </w:t>
      </w:r>
      <w:r w:rsidRPr="00C57EA6">
        <w:rPr>
          <w:lang w:val="en-GB" w:bidi="en-GB"/>
        </w:rPr>
        <w:tab/>
        <w:t>Measure No. 17/17 of the Ministry of the Environment on the publication of the full text of the charter of the Czech Hydrometeorological Institute, a public-benefit corporation.</w:t>
      </w:r>
    </w:p>
  </w:footnote>
  <w:footnote w:id="35">
    <w:p w14:paraId="2D6746DB" w14:textId="77777777" w:rsidR="00D74E6C" w:rsidRDefault="00D74E6C" w:rsidP="00AD74E7">
      <w:pPr>
        <w:pStyle w:val="Textpoznpodarou"/>
        <w:ind w:left="284" w:hanging="284"/>
        <w:jc w:val="both"/>
      </w:pPr>
      <w:r>
        <w:rPr>
          <w:rStyle w:val="Znakapoznpodarou"/>
          <w:lang w:val="en-GB" w:bidi="en-GB"/>
        </w:rPr>
        <w:footnoteRef/>
      </w:r>
      <w:r>
        <w:rPr>
          <w:lang w:val="en-GB" w:bidi="en-GB"/>
        </w:rPr>
        <w:t xml:space="preserve"> </w:t>
      </w:r>
      <w:r>
        <w:rPr>
          <w:lang w:val="en-GB" w:bidi="en-GB"/>
        </w:rPr>
        <w:tab/>
        <w:t>Act No. 134/2016 Coll. on public procurement.</w:t>
      </w:r>
    </w:p>
  </w:footnote>
  <w:footnote w:id="36">
    <w:p w14:paraId="6E16113A" w14:textId="3E17B4EC" w:rsidR="00D74E6C" w:rsidRDefault="00D74E6C" w:rsidP="00AD74E7">
      <w:pPr>
        <w:pStyle w:val="Textpoznpodarou"/>
        <w:ind w:left="284" w:hanging="284"/>
        <w:jc w:val="both"/>
      </w:pPr>
      <w:r>
        <w:rPr>
          <w:rStyle w:val="Znakapoznpodarou"/>
          <w:lang w:val="en-GB" w:bidi="en-GB"/>
        </w:rPr>
        <w:footnoteRef/>
      </w:r>
      <w:r>
        <w:rPr>
          <w:lang w:val="en-GB" w:bidi="en-GB"/>
        </w:rPr>
        <w:t xml:space="preserve"> </w:t>
      </w:r>
      <w:r>
        <w:rPr>
          <w:lang w:val="en-GB" w:bidi="en-GB"/>
        </w:rPr>
        <w:tab/>
        <w:t>A multi-annual work programme was set for the period 2014–2017 with an allocation of EUR 1,796,242,000. The data for 2017 were not available as of the conclusion of the audit.</w:t>
      </w:r>
    </w:p>
  </w:footnote>
  <w:footnote w:id="37">
    <w:p w14:paraId="5F9FDDD2" w14:textId="2E76DD6A" w:rsidR="00D74E6C" w:rsidRDefault="00D74E6C" w:rsidP="00AD74E7">
      <w:pPr>
        <w:pStyle w:val="Textpoznpodarou"/>
        <w:ind w:left="284" w:hanging="284"/>
        <w:jc w:val="both"/>
      </w:pPr>
      <w:r>
        <w:rPr>
          <w:rStyle w:val="Znakapoznpodarou"/>
          <w:lang w:val="en-GB" w:bidi="en-GB"/>
        </w:rPr>
        <w:footnoteRef/>
      </w:r>
      <w:r w:rsidRPr="009778B2">
        <w:rPr>
          <w:lang w:val="en-GB" w:bidi="en-GB"/>
        </w:rPr>
        <w:t xml:space="preserve"> </w:t>
      </w:r>
      <w:r w:rsidRPr="009778B2">
        <w:rPr>
          <w:lang w:val="en-GB" w:bidi="en-GB"/>
        </w:rPr>
        <w:tab/>
        <w:t>One of the project objectives was to build a single Czech, Polish and Slovak emission and air pollution database. The MoE appears as a partner in the project by preparing the air quality model for the project area. According to the project proposal, the MoE budget was 50,367 euros, of which the Commission contribution accounted for 20,109 euros.</w:t>
      </w:r>
    </w:p>
  </w:footnote>
  <w:footnote w:id="38">
    <w:p w14:paraId="130DB5F5" w14:textId="77777777" w:rsidR="00D74E6C" w:rsidRDefault="00D74E6C" w:rsidP="006D33D2">
      <w:pPr>
        <w:pStyle w:val="Text"/>
        <w:spacing w:before="0"/>
        <w:ind w:left="284" w:hanging="284"/>
      </w:pPr>
      <w:r w:rsidRPr="00AE2306">
        <w:rPr>
          <w:rStyle w:val="Znakapoznpodarou"/>
          <w:sz w:val="20"/>
          <w:szCs w:val="20"/>
          <w:lang w:val="en-GB" w:bidi="en-GB"/>
        </w:rPr>
        <w:footnoteRef/>
      </w:r>
      <w:r>
        <w:rPr>
          <w:lang w:val="en-GB" w:bidi="en-GB"/>
        </w:rPr>
        <w:t xml:space="preserve"> </w:t>
      </w:r>
      <w:r>
        <w:rPr>
          <w:lang w:val="en-GB" w:bidi="en-GB"/>
        </w:rPr>
        <w:tab/>
      </w:r>
      <w:r w:rsidRPr="00AE2306">
        <w:rPr>
          <w:sz w:val="20"/>
          <w:szCs w:val="20"/>
          <w:lang w:val="en-GB" w:bidi="en-GB"/>
        </w:rPr>
        <w:t>The air pollution limits for PM</w:t>
      </w:r>
      <w:r w:rsidRPr="00AE2306">
        <w:rPr>
          <w:sz w:val="20"/>
          <w:szCs w:val="20"/>
          <w:vertAlign w:val="subscript"/>
          <w:lang w:val="en-GB" w:bidi="en-GB"/>
        </w:rPr>
        <w:t>10</w:t>
      </w:r>
      <w:r w:rsidRPr="00AE2306">
        <w:rPr>
          <w:sz w:val="20"/>
          <w:szCs w:val="20"/>
          <w:lang w:val="en-GB" w:bidi="en-GB"/>
        </w:rPr>
        <w:t xml:space="preserve"> are effective from 1 January 2005. The air pollution limit NO</w:t>
      </w:r>
      <w:r w:rsidRPr="00AE2306">
        <w:rPr>
          <w:sz w:val="20"/>
          <w:szCs w:val="20"/>
          <w:vertAlign w:val="subscript"/>
          <w:lang w:val="en-GB" w:bidi="en-GB"/>
        </w:rPr>
        <w:t>2</w:t>
      </w:r>
      <w:r w:rsidRPr="00AE2306">
        <w:rPr>
          <w:sz w:val="20"/>
          <w:szCs w:val="20"/>
          <w:lang w:val="en-GB" w:bidi="en-GB"/>
        </w:rPr>
        <w:t xml:space="preserve"> was supposed to be achieved by 1 January 2010. In 2009 and 2011 the Czech Republic applied to the EU institutions for exemptions from the obligation to achieve the limits values for PM</w:t>
      </w:r>
      <w:r w:rsidRPr="00AE2306">
        <w:rPr>
          <w:sz w:val="20"/>
          <w:szCs w:val="20"/>
          <w:vertAlign w:val="subscript"/>
          <w:lang w:val="en-GB" w:bidi="en-GB"/>
        </w:rPr>
        <w:t>10</w:t>
      </w:r>
      <w:r w:rsidRPr="00AE2306">
        <w:rPr>
          <w:sz w:val="20"/>
          <w:szCs w:val="20"/>
          <w:lang w:val="en-GB" w:bidi="en-GB"/>
        </w:rPr>
        <w:t xml:space="preserve"> and NO</w:t>
      </w:r>
      <w:r w:rsidRPr="00AE2306">
        <w:rPr>
          <w:sz w:val="20"/>
          <w:szCs w:val="20"/>
          <w:vertAlign w:val="subscript"/>
          <w:lang w:val="en-GB" w:bidi="en-GB"/>
        </w:rPr>
        <w:t>2</w:t>
      </w:r>
      <w:r w:rsidRPr="00AE2306">
        <w:rPr>
          <w:sz w:val="20"/>
          <w:szCs w:val="20"/>
          <w:lang w:val="en-GB" w:bidi="en-GB"/>
        </w:rPr>
        <w:t>, arguing that they could not be achieved within the required timeframe due to the specific dispersion characteristics in the Czech Republic and the adverse influence of climatic conditions. The exceedances of the limit values are currently the subject of infringement proceedings. The proceedings are still ongoing.</w:t>
      </w:r>
    </w:p>
  </w:footnote>
  <w:footnote w:id="39">
    <w:p w14:paraId="100A245D" w14:textId="77777777" w:rsidR="00D74E6C" w:rsidRDefault="00D74E6C" w:rsidP="00AD74E7">
      <w:pPr>
        <w:pStyle w:val="Textpoznpodarou"/>
        <w:ind w:left="284" w:hanging="284"/>
        <w:jc w:val="both"/>
      </w:pPr>
      <w:r>
        <w:rPr>
          <w:rStyle w:val="Znakapoznpodarou"/>
          <w:lang w:val="en-GB" w:bidi="en-GB"/>
        </w:rPr>
        <w:footnoteRef/>
      </w:r>
      <w:r>
        <w:rPr>
          <w:lang w:val="en-GB" w:bidi="en-GB"/>
        </w:rPr>
        <w:t xml:space="preserve"> </w:t>
      </w:r>
      <w:r>
        <w:rPr>
          <w:lang w:val="en-GB" w:bidi="en-GB"/>
        </w:rPr>
        <w:tab/>
        <w:t>The low density of the monitoring network must be taken into consideration when interpolating the BaP data. The estimated average annual concentrations of BaP carry a significantly higher uncertainty than the other substances monitored. The insufficient number of measurements does not allow for a more accurate determination of the BaP concentrations in smaller-sized settlements; however, the composition of the emission sources and the results of certain studies suggest that the concentrations are above the threshold there, too.</w:t>
      </w:r>
    </w:p>
  </w:footnote>
  <w:footnote w:id="40">
    <w:p w14:paraId="7021CBA4" w14:textId="3760D088" w:rsidR="00D74E6C" w:rsidRPr="001757EC" w:rsidRDefault="00D74E6C" w:rsidP="00AD74E7">
      <w:pPr>
        <w:pStyle w:val="Textpoznpodarou"/>
        <w:ind w:left="284" w:hanging="284"/>
        <w:jc w:val="both"/>
        <w:rPr>
          <w:spacing w:val="-4"/>
        </w:rPr>
      </w:pPr>
      <w:r w:rsidRPr="001757EC">
        <w:rPr>
          <w:rStyle w:val="Znakapoznpodarou"/>
          <w:spacing w:val="-4"/>
          <w:lang w:val="en-GB" w:bidi="en-GB"/>
        </w:rPr>
        <w:footnoteRef/>
      </w:r>
      <w:r w:rsidRPr="001757EC">
        <w:rPr>
          <w:spacing w:val="-4"/>
          <w:lang w:val="en-GB" w:bidi="en-GB"/>
        </w:rPr>
        <w:t xml:space="preserve"> </w:t>
      </w:r>
      <w:r w:rsidRPr="001757EC">
        <w:rPr>
          <w:spacing w:val="-4"/>
          <w:lang w:val="en-GB" w:bidi="en-GB"/>
        </w:rPr>
        <w:tab/>
        <w:t xml:space="preserve">The CHMI is responsible for the preparation and reporting of emission inventories according to Directive (EU) 2016/2284. The emissions are reported according to methodologies laid down in the </w:t>
      </w:r>
      <w:r w:rsidRPr="001757EC">
        <w:rPr>
          <w:i/>
          <w:spacing w:val="-4"/>
          <w:lang w:val="en-GB" w:bidi="en-GB"/>
        </w:rPr>
        <w:t xml:space="preserve">Convention on Long-Range Transboundary Air Pollution </w:t>
      </w:r>
      <w:r w:rsidRPr="001757EC">
        <w:rPr>
          <w:spacing w:val="-4"/>
          <w:lang w:val="en-GB" w:bidi="en-GB"/>
        </w:rPr>
        <w:t>(CLRTAP) and the EMEP/EEA emission inventory guidebook. Emission inventories are reported by 15 February for the year Y-2 and are available at the website of the Centre on Emission Inventories and Projections (www.ceip.at).</w:t>
      </w:r>
    </w:p>
  </w:footnote>
  <w:footnote w:id="41">
    <w:p w14:paraId="5B8E33D5" w14:textId="35BAC1B7" w:rsidR="00D74E6C" w:rsidRPr="001757EC" w:rsidRDefault="00D74E6C" w:rsidP="00AD74E7">
      <w:pPr>
        <w:pStyle w:val="Textpoznpodarou"/>
        <w:ind w:left="284" w:hanging="284"/>
        <w:jc w:val="both"/>
        <w:rPr>
          <w:spacing w:val="-4"/>
        </w:rPr>
      </w:pPr>
      <w:r w:rsidRPr="001757EC">
        <w:rPr>
          <w:rStyle w:val="Znakapoznpodarou"/>
          <w:spacing w:val="-4"/>
          <w:lang w:val="en-GB" w:bidi="en-GB"/>
        </w:rPr>
        <w:footnoteRef/>
      </w:r>
      <w:r w:rsidRPr="001757EC">
        <w:rPr>
          <w:spacing w:val="-4"/>
          <w:lang w:val="en-GB" w:bidi="en-GB"/>
        </w:rPr>
        <w:t xml:space="preserve"> </w:t>
      </w:r>
      <w:r w:rsidRPr="001757EC">
        <w:rPr>
          <w:spacing w:val="-4"/>
          <w:lang w:val="en-GB" w:bidi="en-GB"/>
        </w:rPr>
        <w:tab/>
        <w:t>Directive 2001/81/EC of the European Parliament and of the Council of 23 October 2001 on national emission ceilings for certain atmospheric pollutants</w:t>
      </w:r>
    </w:p>
  </w:footnote>
  <w:footnote w:id="42">
    <w:p w14:paraId="796769E3" w14:textId="41EF873B" w:rsidR="00D74E6C" w:rsidRPr="001757EC" w:rsidRDefault="00D74E6C" w:rsidP="00AD74E7">
      <w:pPr>
        <w:pStyle w:val="Textpoznpodarou"/>
        <w:ind w:left="284" w:hanging="284"/>
        <w:jc w:val="both"/>
        <w:rPr>
          <w:spacing w:val="-4"/>
        </w:rPr>
      </w:pPr>
      <w:r w:rsidRPr="001757EC">
        <w:rPr>
          <w:rStyle w:val="Znakapoznpodarou"/>
          <w:spacing w:val="-4"/>
          <w:lang w:val="en-GB" w:bidi="en-GB"/>
        </w:rPr>
        <w:footnoteRef/>
      </w:r>
      <w:r w:rsidRPr="001757EC">
        <w:rPr>
          <w:spacing w:val="-4"/>
          <w:lang w:val="en-GB" w:bidi="en-GB"/>
        </w:rPr>
        <w:t xml:space="preserve"> </w:t>
      </w:r>
      <w:r w:rsidRPr="001757EC">
        <w:rPr>
          <w:spacing w:val="-4"/>
          <w:lang w:val="en-GB" w:bidi="en-GB"/>
        </w:rPr>
        <w:tab/>
        <w:t xml:space="preserve">The national emission ceilings applicable from 2010 are based on the </w:t>
      </w:r>
      <w:r w:rsidRPr="001757EC">
        <w:rPr>
          <w:i/>
          <w:spacing w:val="-4"/>
          <w:lang w:val="en-GB" w:bidi="en-GB"/>
        </w:rPr>
        <w:t xml:space="preserve">Convention on Long-Range Transboundary Air Pollution </w:t>
      </w:r>
      <w:r w:rsidRPr="001757EC">
        <w:rPr>
          <w:spacing w:val="-4"/>
          <w:lang w:val="en-GB" w:bidi="en-GB"/>
        </w:rPr>
        <w:t xml:space="preserve">(CLRTAP) of 1979, which is the main international co-operation and action framework to limit, gradually reduce and prevent air pollution, including its extension by the </w:t>
      </w:r>
      <w:r w:rsidRPr="001757EC">
        <w:rPr>
          <w:i/>
          <w:spacing w:val="-4"/>
          <w:lang w:val="en-GB" w:bidi="en-GB"/>
        </w:rPr>
        <w:t>Protocol to Abate Acidification, Eutrophication and Ground-level Ozone</w:t>
      </w:r>
      <w:r w:rsidRPr="001757EC">
        <w:rPr>
          <w:spacing w:val="-4"/>
          <w:lang w:val="en-GB" w:bidi="en-GB"/>
        </w:rPr>
        <w:t xml:space="preserve"> of 1999, which was further revised in 2012 (“Gothenburg Protocol”).</w:t>
      </w:r>
    </w:p>
  </w:footnote>
  <w:footnote w:id="43">
    <w:p w14:paraId="0F561ECE" w14:textId="21A32BDC" w:rsidR="00D74E6C" w:rsidRDefault="00D74E6C" w:rsidP="00AD74E7">
      <w:pPr>
        <w:pStyle w:val="Textpoznpodarou"/>
        <w:ind w:left="284" w:hanging="284"/>
        <w:jc w:val="both"/>
      </w:pPr>
      <w:r>
        <w:rPr>
          <w:rStyle w:val="Znakapoznpodarou"/>
          <w:lang w:val="en-GB" w:bidi="en-GB"/>
        </w:rPr>
        <w:footnoteRef/>
      </w:r>
      <w:r>
        <w:rPr>
          <w:lang w:val="en-GB" w:bidi="en-GB"/>
        </w:rPr>
        <w:tab/>
        <w:t>Directive 2001/81/EC set a commitment for the Czech Republic in the form of national emission ceilings for SO</w:t>
      </w:r>
      <w:r>
        <w:rPr>
          <w:vertAlign w:val="subscript"/>
          <w:lang w:val="en-GB" w:bidi="en-GB"/>
        </w:rPr>
        <w:t>2</w:t>
      </w:r>
      <w:r>
        <w:rPr>
          <w:lang w:val="en-GB" w:bidi="en-GB"/>
        </w:rPr>
        <w:t xml:space="preserve"> (265 kt), NO</w:t>
      </w:r>
      <w:r>
        <w:rPr>
          <w:vertAlign w:val="subscript"/>
          <w:lang w:val="en-GB" w:bidi="en-GB"/>
        </w:rPr>
        <w:t>X</w:t>
      </w:r>
      <w:r>
        <w:rPr>
          <w:lang w:val="en-GB" w:bidi="en-GB"/>
        </w:rPr>
        <w:t xml:space="preserve"> (286 kt), NMVOC (220 kt) and NH</w:t>
      </w:r>
      <w:r>
        <w:rPr>
          <w:vertAlign w:val="subscript"/>
          <w:lang w:val="en-GB" w:bidi="en-GB"/>
        </w:rPr>
        <w:t>3</w:t>
      </w:r>
      <w:r>
        <w:rPr>
          <w:lang w:val="en-GB" w:bidi="en-GB"/>
        </w:rPr>
        <w:t xml:space="preserve"> (80 kt), which were to be achieved by 2010, including the commitment to not exceeding these emission ceilings in any subsequent 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62C8F" w14:textId="77777777" w:rsidR="00D74E6C" w:rsidRDefault="00D74E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50"/>
    <w:multiLevelType w:val="hybridMultilevel"/>
    <w:tmpl w:val="B022BF98"/>
    <w:lvl w:ilvl="0" w:tplc="0FE4DD8C">
      <w:start w:val="1"/>
      <w:numFmt w:val="decimal"/>
      <w:lvlText w:val="%1)"/>
      <w:lvlJc w:val="left"/>
      <w:pPr>
        <w:ind w:left="720" w:hanging="360"/>
      </w:pPr>
      <w:rPr>
        <w:rFonts w:hint="default"/>
      </w:rPr>
    </w:lvl>
    <w:lvl w:ilvl="1" w:tplc="CF14BE80" w:tentative="1">
      <w:start w:val="1"/>
      <w:numFmt w:val="lowerLetter"/>
      <w:lvlText w:val="%2."/>
      <w:lvlJc w:val="left"/>
      <w:pPr>
        <w:ind w:left="1440" w:hanging="360"/>
      </w:pPr>
    </w:lvl>
    <w:lvl w:ilvl="2" w:tplc="C728DA56" w:tentative="1">
      <w:start w:val="1"/>
      <w:numFmt w:val="lowerRoman"/>
      <w:lvlText w:val="%3."/>
      <w:lvlJc w:val="right"/>
      <w:pPr>
        <w:ind w:left="2160" w:hanging="180"/>
      </w:pPr>
    </w:lvl>
    <w:lvl w:ilvl="3" w:tplc="9E42EEB2" w:tentative="1">
      <w:start w:val="1"/>
      <w:numFmt w:val="decimal"/>
      <w:lvlText w:val="%4."/>
      <w:lvlJc w:val="left"/>
      <w:pPr>
        <w:ind w:left="2880" w:hanging="360"/>
      </w:pPr>
    </w:lvl>
    <w:lvl w:ilvl="4" w:tplc="B98E049C" w:tentative="1">
      <w:start w:val="1"/>
      <w:numFmt w:val="lowerLetter"/>
      <w:lvlText w:val="%5."/>
      <w:lvlJc w:val="left"/>
      <w:pPr>
        <w:ind w:left="3600" w:hanging="360"/>
      </w:pPr>
    </w:lvl>
    <w:lvl w:ilvl="5" w:tplc="0DD02E6C" w:tentative="1">
      <w:start w:val="1"/>
      <w:numFmt w:val="lowerRoman"/>
      <w:lvlText w:val="%6."/>
      <w:lvlJc w:val="right"/>
      <w:pPr>
        <w:ind w:left="4320" w:hanging="180"/>
      </w:pPr>
    </w:lvl>
    <w:lvl w:ilvl="6" w:tplc="5EF07130" w:tentative="1">
      <w:start w:val="1"/>
      <w:numFmt w:val="decimal"/>
      <w:lvlText w:val="%7."/>
      <w:lvlJc w:val="left"/>
      <w:pPr>
        <w:ind w:left="5040" w:hanging="360"/>
      </w:pPr>
    </w:lvl>
    <w:lvl w:ilvl="7" w:tplc="C4940A3A" w:tentative="1">
      <w:start w:val="1"/>
      <w:numFmt w:val="lowerLetter"/>
      <w:lvlText w:val="%8."/>
      <w:lvlJc w:val="left"/>
      <w:pPr>
        <w:ind w:left="5760" w:hanging="360"/>
      </w:pPr>
    </w:lvl>
    <w:lvl w:ilvl="8" w:tplc="BB7632E0" w:tentative="1">
      <w:start w:val="1"/>
      <w:numFmt w:val="lowerRoman"/>
      <w:lvlText w:val="%9."/>
      <w:lvlJc w:val="right"/>
      <w:pPr>
        <w:ind w:left="6480" w:hanging="180"/>
      </w:pPr>
    </w:lvl>
  </w:abstractNum>
  <w:abstractNum w:abstractNumId="1" w15:restartNumberingAfterBreak="0">
    <w:nsid w:val="01D16193"/>
    <w:multiLevelType w:val="hybridMultilevel"/>
    <w:tmpl w:val="2730E17E"/>
    <w:lvl w:ilvl="0" w:tplc="161EE4E8">
      <w:start w:val="1"/>
      <w:numFmt w:val="bullet"/>
      <w:lvlText w:val=""/>
      <w:lvlJc w:val="left"/>
      <w:pPr>
        <w:ind w:left="720" w:hanging="360"/>
      </w:pPr>
      <w:rPr>
        <w:rFonts w:ascii="Symbol" w:hAnsi="Symbol" w:hint="default"/>
      </w:rPr>
    </w:lvl>
    <w:lvl w:ilvl="1" w:tplc="2E5A92AC" w:tentative="1">
      <w:start w:val="1"/>
      <w:numFmt w:val="bullet"/>
      <w:lvlText w:val="o"/>
      <w:lvlJc w:val="left"/>
      <w:pPr>
        <w:ind w:left="1440" w:hanging="360"/>
      </w:pPr>
      <w:rPr>
        <w:rFonts w:ascii="Courier New" w:hAnsi="Courier New" w:cs="Courier New" w:hint="default"/>
      </w:rPr>
    </w:lvl>
    <w:lvl w:ilvl="2" w:tplc="4D1CBCAC" w:tentative="1">
      <w:start w:val="1"/>
      <w:numFmt w:val="bullet"/>
      <w:lvlText w:val=""/>
      <w:lvlJc w:val="left"/>
      <w:pPr>
        <w:ind w:left="2160" w:hanging="360"/>
      </w:pPr>
      <w:rPr>
        <w:rFonts w:ascii="Wingdings" w:hAnsi="Wingdings" w:hint="default"/>
      </w:rPr>
    </w:lvl>
    <w:lvl w:ilvl="3" w:tplc="9EA83CC6" w:tentative="1">
      <w:start w:val="1"/>
      <w:numFmt w:val="bullet"/>
      <w:lvlText w:val=""/>
      <w:lvlJc w:val="left"/>
      <w:pPr>
        <w:ind w:left="2880" w:hanging="360"/>
      </w:pPr>
      <w:rPr>
        <w:rFonts w:ascii="Symbol" w:hAnsi="Symbol" w:hint="default"/>
      </w:rPr>
    </w:lvl>
    <w:lvl w:ilvl="4" w:tplc="DBC0F660" w:tentative="1">
      <w:start w:val="1"/>
      <w:numFmt w:val="bullet"/>
      <w:lvlText w:val="o"/>
      <w:lvlJc w:val="left"/>
      <w:pPr>
        <w:ind w:left="3600" w:hanging="360"/>
      </w:pPr>
      <w:rPr>
        <w:rFonts w:ascii="Courier New" w:hAnsi="Courier New" w:cs="Courier New" w:hint="default"/>
      </w:rPr>
    </w:lvl>
    <w:lvl w:ilvl="5" w:tplc="5A46C5DE" w:tentative="1">
      <w:start w:val="1"/>
      <w:numFmt w:val="bullet"/>
      <w:lvlText w:val=""/>
      <w:lvlJc w:val="left"/>
      <w:pPr>
        <w:ind w:left="4320" w:hanging="360"/>
      </w:pPr>
      <w:rPr>
        <w:rFonts w:ascii="Wingdings" w:hAnsi="Wingdings" w:hint="default"/>
      </w:rPr>
    </w:lvl>
    <w:lvl w:ilvl="6" w:tplc="6F22E4E0" w:tentative="1">
      <w:start w:val="1"/>
      <w:numFmt w:val="bullet"/>
      <w:lvlText w:val=""/>
      <w:lvlJc w:val="left"/>
      <w:pPr>
        <w:ind w:left="5040" w:hanging="360"/>
      </w:pPr>
      <w:rPr>
        <w:rFonts w:ascii="Symbol" w:hAnsi="Symbol" w:hint="default"/>
      </w:rPr>
    </w:lvl>
    <w:lvl w:ilvl="7" w:tplc="EEAE5130" w:tentative="1">
      <w:start w:val="1"/>
      <w:numFmt w:val="bullet"/>
      <w:lvlText w:val="o"/>
      <w:lvlJc w:val="left"/>
      <w:pPr>
        <w:ind w:left="5760" w:hanging="360"/>
      </w:pPr>
      <w:rPr>
        <w:rFonts w:ascii="Courier New" w:hAnsi="Courier New" w:cs="Courier New" w:hint="default"/>
      </w:rPr>
    </w:lvl>
    <w:lvl w:ilvl="8" w:tplc="0316D50A" w:tentative="1">
      <w:start w:val="1"/>
      <w:numFmt w:val="bullet"/>
      <w:lvlText w:val=""/>
      <w:lvlJc w:val="left"/>
      <w:pPr>
        <w:ind w:left="6480" w:hanging="360"/>
      </w:pPr>
      <w:rPr>
        <w:rFonts w:ascii="Wingdings" w:hAnsi="Wingdings" w:hint="default"/>
      </w:rPr>
    </w:lvl>
  </w:abstractNum>
  <w:abstractNum w:abstractNumId="2" w15:restartNumberingAfterBreak="0">
    <w:nsid w:val="0BC77E75"/>
    <w:multiLevelType w:val="hybridMultilevel"/>
    <w:tmpl w:val="1018B4EE"/>
    <w:lvl w:ilvl="0" w:tplc="81C49B0E">
      <w:start w:val="1"/>
      <w:numFmt w:val="decimal"/>
      <w:lvlText w:val="%1."/>
      <w:lvlJc w:val="left"/>
      <w:pPr>
        <w:ind w:left="780" w:hanging="360"/>
      </w:pPr>
      <w:rPr>
        <w:rFonts w:hint="default"/>
      </w:rPr>
    </w:lvl>
    <w:lvl w:ilvl="1" w:tplc="1478A85C">
      <w:start w:val="1"/>
      <w:numFmt w:val="bullet"/>
      <w:lvlText w:val="o"/>
      <w:lvlJc w:val="left"/>
      <w:pPr>
        <w:ind w:left="1500" w:hanging="360"/>
      </w:pPr>
      <w:rPr>
        <w:rFonts w:ascii="Courier New" w:hAnsi="Courier New" w:cs="Courier New" w:hint="default"/>
      </w:rPr>
    </w:lvl>
    <w:lvl w:ilvl="2" w:tplc="56767040" w:tentative="1">
      <w:start w:val="1"/>
      <w:numFmt w:val="bullet"/>
      <w:lvlText w:val=""/>
      <w:lvlJc w:val="left"/>
      <w:pPr>
        <w:ind w:left="2220" w:hanging="360"/>
      </w:pPr>
      <w:rPr>
        <w:rFonts w:ascii="Wingdings" w:hAnsi="Wingdings" w:hint="default"/>
      </w:rPr>
    </w:lvl>
    <w:lvl w:ilvl="3" w:tplc="E0829E38" w:tentative="1">
      <w:start w:val="1"/>
      <w:numFmt w:val="bullet"/>
      <w:lvlText w:val=""/>
      <w:lvlJc w:val="left"/>
      <w:pPr>
        <w:ind w:left="2940" w:hanging="360"/>
      </w:pPr>
      <w:rPr>
        <w:rFonts w:ascii="Symbol" w:hAnsi="Symbol" w:hint="default"/>
      </w:rPr>
    </w:lvl>
    <w:lvl w:ilvl="4" w:tplc="38E62B86" w:tentative="1">
      <w:start w:val="1"/>
      <w:numFmt w:val="bullet"/>
      <w:lvlText w:val="o"/>
      <w:lvlJc w:val="left"/>
      <w:pPr>
        <w:ind w:left="3660" w:hanging="360"/>
      </w:pPr>
      <w:rPr>
        <w:rFonts w:ascii="Courier New" w:hAnsi="Courier New" w:cs="Courier New" w:hint="default"/>
      </w:rPr>
    </w:lvl>
    <w:lvl w:ilvl="5" w:tplc="341A45DE" w:tentative="1">
      <w:start w:val="1"/>
      <w:numFmt w:val="bullet"/>
      <w:lvlText w:val=""/>
      <w:lvlJc w:val="left"/>
      <w:pPr>
        <w:ind w:left="4380" w:hanging="360"/>
      </w:pPr>
      <w:rPr>
        <w:rFonts w:ascii="Wingdings" w:hAnsi="Wingdings" w:hint="default"/>
      </w:rPr>
    </w:lvl>
    <w:lvl w:ilvl="6" w:tplc="BCA6D1F2" w:tentative="1">
      <w:start w:val="1"/>
      <w:numFmt w:val="bullet"/>
      <w:lvlText w:val=""/>
      <w:lvlJc w:val="left"/>
      <w:pPr>
        <w:ind w:left="5100" w:hanging="360"/>
      </w:pPr>
      <w:rPr>
        <w:rFonts w:ascii="Symbol" w:hAnsi="Symbol" w:hint="default"/>
      </w:rPr>
    </w:lvl>
    <w:lvl w:ilvl="7" w:tplc="A824154E" w:tentative="1">
      <w:start w:val="1"/>
      <w:numFmt w:val="bullet"/>
      <w:lvlText w:val="o"/>
      <w:lvlJc w:val="left"/>
      <w:pPr>
        <w:ind w:left="5820" w:hanging="360"/>
      </w:pPr>
      <w:rPr>
        <w:rFonts w:ascii="Courier New" w:hAnsi="Courier New" w:cs="Courier New" w:hint="default"/>
      </w:rPr>
    </w:lvl>
    <w:lvl w:ilvl="8" w:tplc="B930FEA8" w:tentative="1">
      <w:start w:val="1"/>
      <w:numFmt w:val="bullet"/>
      <w:lvlText w:val=""/>
      <w:lvlJc w:val="left"/>
      <w:pPr>
        <w:ind w:left="6540" w:hanging="360"/>
      </w:pPr>
      <w:rPr>
        <w:rFonts w:ascii="Wingdings" w:hAnsi="Wingdings" w:hint="default"/>
      </w:rPr>
    </w:lvl>
  </w:abstractNum>
  <w:abstractNum w:abstractNumId="3" w15:restartNumberingAfterBreak="0">
    <w:nsid w:val="0E075578"/>
    <w:multiLevelType w:val="hybridMultilevel"/>
    <w:tmpl w:val="47EED878"/>
    <w:lvl w:ilvl="0" w:tplc="BCA6B402">
      <w:start w:val="1"/>
      <w:numFmt w:val="decimal"/>
      <w:lvlText w:val="%1."/>
      <w:lvlJc w:val="left"/>
      <w:pPr>
        <w:ind w:left="780" w:hanging="360"/>
      </w:pPr>
      <w:rPr>
        <w:rFonts w:hint="default"/>
      </w:rPr>
    </w:lvl>
    <w:lvl w:ilvl="1" w:tplc="444A39B2">
      <w:start w:val="1"/>
      <w:numFmt w:val="bullet"/>
      <w:lvlText w:val=""/>
      <w:lvlJc w:val="left"/>
      <w:pPr>
        <w:ind w:left="1500" w:hanging="360"/>
      </w:pPr>
      <w:rPr>
        <w:rFonts w:ascii="Wingdings" w:hAnsi="Wingdings" w:hint="default"/>
      </w:rPr>
    </w:lvl>
    <w:lvl w:ilvl="2" w:tplc="EE748DCC" w:tentative="1">
      <w:start w:val="1"/>
      <w:numFmt w:val="bullet"/>
      <w:lvlText w:val=""/>
      <w:lvlJc w:val="left"/>
      <w:pPr>
        <w:ind w:left="2220" w:hanging="360"/>
      </w:pPr>
      <w:rPr>
        <w:rFonts w:ascii="Wingdings" w:hAnsi="Wingdings" w:hint="default"/>
      </w:rPr>
    </w:lvl>
    <w:lvl w:ilvl="3" w:tplc="38C8C32A" w:tentative="1">
      <w:start w:val="1"/>
      <w:numFmt w:val="bullet"/>
      <w:lvlText w:val=""/>
      <w:lvlJc w:val="left"/>
      <w:pPr>
        <w:ind w:left="2940" w:hanging="360"/>
      </w:pPr>
      <w:rPr>
        <w:rFonts w:ascii="Symbol" w:hAnsi="Symbol" w:hint="default"/>
      </w:rPr>
    </w:lvl>
    <w:lvl w:ilvl="4" w:tplc="CB5E7EB2" w:tentative="1">
      <w:start w:val="1"/>
      <w:numFmt w:val="bullet"/>
      <w:lvlText w:val="o"/>
      <w:lvlJc w:val="left"/>
      <w:pPr>
        <w:ind w:left="3660" w:hanging="360"/>
      </w:pPr>
      <w:rPr>
        <w:rFonts w:ascii="Courier New" w:hAnsi="Courier New" w:cs="Courier New" w:hint="default"/>
      </w:rPr>
    </w:lvl>
    <w:lvl w:ilvl="5" w:tplc="D9C4BEE6" w:tentative="1">
      <w:start w:val="1"/>
      <w:numFmt w:val="bullet"/>
      <w:lvlText w:val=""/>
      <w:lvlJc w:val="left"/>
      <w:pPr>
        <w:ind w:left="4380" w:hanging="360"/>
      </w:pPr>
      <w:rPr>
        <w:rFonts w:ascii="Wingdings" w:hAnsi="Wingdings" w:hint="default"/>
      </w:rPr>
    </w:lvl>
    <w:lvl w:ilvl="6" w:tplc="01B24BA8" w:tentative="1">
      <w:start w:val="1"/>
      <w:numFmt w:val="bullet"/>
      <w:lvlText w:val=""/>
      <w:lvlJc w:val="left"/>
      <w:pPr>
        <w:ind w:left="5100" w:hanging="360"/>
      </w:pPr>
      <w:rPr>
        <w:rFonts w:ascii="Symbol" w:hAnsi="Symbol" w:hint="default"/>
      </w:rPr>
    </w:lvl>
    <w:lvl w:ilvl="7" w:tplc="E57EA95A" w:tentative="1">
      <w:start w:val="1"/>
      <w:numFmt w:val="bullet"/>
      <w:lvlText w:val="o"/>
      <w:lvlJc w:val="left"/>
      <w:pPr>
        <w:ind w:left="5820" w:hanging="360"/>
      </w:pPr>
      <w:rPr>
        <w:rFonts w:ascii="Courier New" w:hAnsi="Courier New" w:cs="Courier New" w:hint="default"/>
      </w:rPr>
    </w:lvl>
    <w:lvl w:ilvl="8" w:tplc="744C2960" w:tentative="1">
      <w:start w:val="1"/>
      <w:numFmt w:val="bullet"/>
      <w:lvlText w:val=""/>
      <w:lvlJc w:val="left"/>
      <w:pPr>
        <w:ind w:left="6540" w:hanging="360"/>
      </w:pPr>
      <w:rPr>
        <w:rFonts w:ascii="Wingdings" w:hAnsi="Wingdings" w:hint="default"/>
      </w:rPr>
    </w:lvl>
  </w:abstractNum>
  <w:abstractNum w:abstractNumId="4" w15:restartNumberingAfterBreak="0">
    <w:nsid w:val="0F875BAC"/>
    <w:multiLevelType w:val="hybridMultilevel"/>
    <w:tmpl w:val="1A464B4C"/>
    <w:lvl w:ilvl="0" w:tplc="E1DA0314">
      <w:start w:val="1"/>
      <w:numFmt w:val="decimal"/>
      <w:lvlText w:val="%1."/>
      <w:lvlJc w:val="left"/>
      <w:pPr>
        <w:ind w:left="1287" w:hanging="360"/>
      </w:pPr>
    </w:lvl>
    <w:lvl w:ilvl="1" w:tplc="99BA038E">
      <w:start w:val="1"/>
      <w:numFmt w:val="decimal"/>
      <w:lvlText w:val="%2."/>
      <w:lvlJc w:val="left"/>
      <w:pPr>
        <w:ind w:left="2007" w:hanging="360"/>
      </w:pPr>
    </w:lvl>
    <w:lvl w:ilvl="2" w:tplc="AC4A43F4" w:tentative="1">
      <w:start w:val="1"/>
      <w:numFmt w:val="lowerRoman"/>
      <w:lvlText w:val="%3."/>
      <w:lvlJc w:val="right"/>
      <w:pPr>
        <w:ind w:left="2727" w:hanging="180"/>
      </w:pPr>
    </w:lvl>
    <w:lvl w:ilvl="3" w:tplc="567E7CFC" w:tentative="1">
      <w:start w:val="1"/>
      <w:numFmt w:val="decimal"/>
      <w:lvlText w:val="%4."/>
      <w:lvlJc w:val="left"/>
      <w:pPr>
        <w:ind w:left="3447" w:hanging="360"/>
      </w:pPr>
    </w:lvl>
    <w:lvl w:ilvl="4" w:tplc="33EAEA10" w:tentative="1">
      <w:start w:val="1"/>
      <w:numFmt w:val="lowerLetter"/>
      <w:lvlText w:val="%5."/>
      <w:lvlJc w:val="left"/>
      <w:pPr>
        <w:ind w:left="4167" w:hanging="360"/>
      </w:pPr>
    </w:lvl>
    <w:lvl w:ilvl="5" w:tplc="2EE2F96A" w:tentative="1">
      <w:start w:val="1"/>
      <w:numFmt w:val="lowerRoman"/>
      <w:lvlText w:val="%6."/>
      <w:lvlJc w:val="right"/>
      <w:pPr>
        <w:ind w:left="4887" w:hanging="180"/>
      </w:pPr>
    </w:lvl>
    <w:lvl w:ilvl="6" w:tplc="D8F0038A" w:tentative="1">
      <w:start w:val="1"/>
      <w:numFmt w:val="decimal"/>
      <w:lvlText w:val="%7."/>
      <w:lvlJc w:val="left"/>
      <w:pPr>
        <w:ind w:left="5607" w:hanging="360"/>
      </w:pPr>
    </w:lvl>
    <w:lvl w:ilvl="7" w:tplc="2712247C" w:tentative="1">
      <w:start w:val="1"/>
      <w:numFmt w:val="lowerLetter"/>
      <w:lvlText w:val="%8."/>
      <w:lvlJc w:val="left"/>
      <w:pPr>
        <w:ind w:left="6327" w:hanging="360"/>
      </w:pPr>
    </w:lvl>
    <w:lvl w:ilvl="8" w:tplc="EC82CF9E" w:tentative="1">
      <w:start w:val="1"/>
      <w:numFmt w:val="lowerRoman"/>
      <w:lvlText w:val="%9."/>
      <w:lvlJc w:val="right"/>
      <w:pPr>
        <w:ind w:left="7047" w:hanging="180"/>
      </w:pPr>
    </w:lvl>
  </w:abstractNum>
  <w:abstractNum w:abstractNumId="5" w15:restartNumberingAfterBreak="0">
    <w:nsid w:val="1716499D"/>
    <w:multiLevelType w:val="hybridMultilevel"/>
    <w:tmpl w:val="4AA65450"/>
    <w:lvl w:ilvl="0" w:tplc="41B66232">
      <w:start w:val="1"/>
      <w:numFmt w:val="decimal"/>
      <w:lvlText w:val="%1."/>
      <w:lvlJc w:val="left"/>
      <w:pPr>
        <w:ind w:left="720" w:hanging="360"/>
      </w:pPr>
      <w:rPr>
        <w:rFonts w:hint="default"/>
      </w:rPr>
    </w:lvl>
    <w:lvl w:ilvl="1" w:tplc="8E528142" w:tentative="1">
      <w:start w:val="1"/>
      <w:numFmt w:val="lowerLetter"/>
      <w:lvlText w:val="%2."/>
      <w:lvlJc w:val="left"/>
      <w:pPr>
        <w:ind w:left="1440" w:hanging="360"/>
      </w:pPr>
    </w:lvl>
    <w:lvl w:ilvl="2" w:tplc="4E4C2CDE" w:tentative="1">
      <w:start w:val="1"/>
      <w:numFmt w:val="lowerRoman"/>
      <w:lvlText w:val="%3."/>
      <w:lvlJc w:val="right"/>
      <w:pPr>
        <w:ind w:left="2160" w:hanging="180"/>
      </w:pPr>
    </w:lvl>
    <w:lvl w:ilvl="3" w:tplc="91A036BE" w:tentative="1">
      <w:start w:val="1"/>
      <w:numFmt w:val="decimal"/>
      <w:lvlText w:val="%4."/>
      <w:lvlJc w:val="left"/>
      <w:pPr>
        <w:ind w:left="2880" w:hanging="360"/>
      </w:pPr>
    </w:lvl>
    <w:lvl w:ilvl="4" w:tplc="9DB00650" w:tentative="1">
      <w:start w:val="1"/>
      <w:numFmt w:val="lowerLetter"/>
      <w:lvlText w:val="%5."/>
      <w:lvlJc w:val="left"/>
      <w:pPr>
        <w:ind w:left="3600" w:hanging="360"/>
      </w:pPr>
    </w:lvl>
    <w:lvl w:ilvl="5" w:tplc="83C211A4" w:tentative="1">
      <w:start w:val="1"/>
      <w:numFmt w:val="lowerRoman"/>
      <w:lvlText w:val="%6."/>
      <w:lvlJc w:val="right"/>
      <w:pPr>
        <w:ind w:left="4320" w:hanging="180"/>
      </w:pPr>
    </w:lvl>
    <w:lvl w:ilvl="6" w:tplc="02863EF4" w:tentative="1">
      <w:start w:val="1"/>
      <w:numFmt w:val="decimal"/>
      <w:lvlText w:val="%7."/>
      <w:lvlJc w:val="left"/>
      <w:pPr>
        <w:ind w:left="5040" w:hanging="360"/>
      </w:pPr>
    </w:lvl>
    <w:lvl w:ilvl="7" w:tplc="6EE81388" w:tentative="1">
      <w:start w:val="1"/>
      <w:numFmt w:val="lowerLetter"/>
      <w:lvlText w:val="%8."/>
      <w:lvlJc w:val="left"/>
      <w:pPr>
        <w:ind w:left="5760" w:hanging="360"/>
      </w:pPr>
    </w:lvl>
    <w:lvl w:ilvl="8" w:tplc="ABBCBD38" w:tentative="1">
      <w:start w:val="1"/>
      <w:numFmt w:val="lowerRoman"/>
      <w:lvlText w:val="%9."/>
      <w:lvlJc w:val="right"/>
      <w:pPr>
        <w:ind w:left="6480" w:hanging="180"/>
      </w:pPr>
    </w:lvl>
  </w:abstractNum>
  <w:abstractNum w:abstractNumId="6" w15:restartNumberingAfterBreak="0">
    <w:nsid w:val="17D45173"/>
    <w:multiLevelType w:val="hybridMultilevel"/>
    <w:tmpl w:val="0804DD56"/>
    <w:lvl w:ilvl="0" w:tplc="AEFC9E20">
      <w:start w:val="1"/>
      <w:numFmt w:val="decimal"/>
      <w:lvlText w:val="%1)"/>
      <w:lvlJc w:val="left"/>
      <w:pPr>
        <w:ind w:left="360" w:hanging="360"/>
      </w:pPr>
    </w:lvl>
    <w:lvl w:ilvl="1" w:tplc="B4023AFC">
      <w:start w:val="1"/>
      <w:numFmt w:val="bullet"/>
      <w:lvlText w:val=""/>
      <w:lvlJc w:val="left"/>
      <w:pPr>
        <w:ind w:left="1440" w:hanging="360"/>
      </w:pPr>
      <w:rPr>
        <w:rFonts w:ascii="Symbol" w:hAnsi="Symbol" w:hint="default"/>
      </w:rPr>
    </w:lvl>
    <w:lvl w:ilvl="2" w:tplc="69BAA050" w:tentative="1">
      <w:start w:val="1"/>
      <w:numFmt w:val="lowerRoman"/>
      <w:lvlText w:val="%3."/>
      <w:lvlJc w:val="right"/>
      <w:pPr>
        <w:ind w:left="2160" w:hanging="180"/>
      </w:pPr>
    </w:lvl>
    <w:lvl w:ilvl="3" w:tplc="8DE8872E" w:tentative="1">
      <w:start w:val="1"/>
      <w:numFmt w:val="decimal"/>
      <w:lvlText w:val="%4."/>
      <w:lvlJc w:val="left"/>
      <w:pPr>
        <w:ind w:left="2880" w:hanging="360"/>
      </w:pPr>
    </w:lvl>
    <w:lvl w:ilvl="4" w:tplc="536024A2" w:tentative="1">
      <w:start w:val="1"/>
      <w:numFmt w:val="lowerLetter"/>
      <w:lvlText w:val="%5."/>
      <w:lvlJc w:val="left"/>
      <w:pPr>
        <w:ind w:left="3600" w:hanging="360"/>
      </w:pPr>
    </w:lvl>
    <w:lvl w:ilvl="5" w:tplc="C818CEF0" w:tentative="1">
      <w:start w:val="1"/>
      <w:numFmt w:val="lowerRoman"/>
      <w:lvlText w:val="%6."/>
      <w:lvlJc w:val="right"/>
      <w:pPr>
        <w:ind w:left="4320" w:hanging="180"/>
      </w:pPr>
    </w:lvl>
    <w:lvl w:ilvl="6" w:tplc="8436B1D4" w:tentative="1">
      <w:start w:val="1"/>
      <w:numFmt w:val="decimal"/>
      <w:lvlText w:val="%7."/>
      <w:lvlJc w:val="left"/>
      <w:pPr>
        <w:ind w:left="5040" w:hanging="360"/>
      </w:pPr>
    </w:lvl>
    <w:lvl w:ilvl="7" w:tplc="C22ED4CE" w:tentative="1">
      <w:start w:val="1"/>
      <w:numFmt w:val="lowerLetter"/>
      <w:lvlText w:val="%8."/>
      <w:lvlJc w:val="left"/>
      <w:pPr>
        <w:ind w:left="5760" w:hanging="360"/>
      </w:pPr>
    </w:lvl>
    <w:lvl w:ilvl="8" w:tplc="59F230A8" w:tentative="1">
      <w:start w:val="1"/>
      <w:numFmt w:val="lowerRoman"/>
      <w:lvlText w:val="%9."/>
      <w:lvlJc w:val="right"/>
      <w:pPr>
        <w:ind w:left="6480" w:hanging="180"/>
      </w:pPr>
    </w:lvl>
  </w:abstractNum>
  <w:abstractNum w:abstractNumId="7" w15:restartNumberingAfterBreak="0">
    <w:nsid w:val="186D5187"/>
    <w:multiLevelType w:val="hybridMultilevel"/>
    <w:tmpl w:val="EC16B36E"/>
    <w:lvl w:ilvl="0" w:tplc="76CE1E8E">
      <w:start w:val="1"/>
      <w:numFmt w:val="bullet"/>
      <w:lvlText w:val=""/>
      <w:lvlJc w:val="left"/>
      <w:pPr>
        <w:ind w:left="720" w:hanging="360"/>
      </w:pPr>
      <w:rPr>
        <w:rFonts w:ascii="Wingdings" w:hAnsi="Wingdings" w:hint="default"/>
      </w:rPr>
    </w:lvl>
    <w:lvl w:ilvl="1" w:tplc="87809BBC" w:tentative="1">
      <w:start w:val="1"/>
      <w:numFmt w:val="bullet"/>
      <w:lvlText w:val="o"/>
      <w:lvlJc w:val="left"/>
      <w:pPr>
        <w:ind w:left="1440" w:hanging="360"/>
      </w:pPr>
      <w:rPr>
        <w:rFonts w:ascii="Courier New" w:hAnsi="Courier New" w:cs="Courier New" w:hint="default"/>
      </w:rPr>
    </w:lvl>
    <w:lvl w:ilvl="2" w:tplc="13C862A2" w:tentative="1">
      <w:start w:val="1"/>
      <w:numFmt w:val="bullet"/>
      <w:lvlText w:val=""/>
      <w:lvlJc w:val="left"/>
      <w:pPr>
        <w:ind w:left="2160" w:hanging="360"/>
      </w:pPr>
      <w:rPr>
        <w:rFonts w:ascii="Wingdings" w:hAnsi="Wingdings" w:hint="default"/>
      </w:rPr>
    </w:lvl>
    <w:lvl w:ilvl="3" w:tplc="5448CC50" w:tentative="1">
      <w:start w:val="1"/>
      <w:numFmt w:val="bullet"/>
      <w:lvlText w:val=""/>
      <w:lvlJc w:val="left"/>
      <w:pPr>
        <w:ind w:left="2880" w:hanging="360"/>
      </w:pPr>
      <w:rPr>
        <w:rFonts w:ascii="Symbol" w:hAnsi="Symbol" w:hint="default"/>
      </w:rPr>
    </w:lvl>
    <w:lvl w:ilvl="4" w:tplc="9FFE64A4" w:tentative="1">
      <w:start w:val="1"/>
      <w:numFmt w:val="bullet"/>
      <w:lvlText w:val="o"/>
      <w:lvlJc w:val="left"/>
      <w:pPr>
        <w:ind w:left="3600" w:hanging="360"/>
      </w:pPr>
      <w:rPr>
        <w:rFonts w:ascii="Courier New" w:hAnsi="Courier New" w:cs="Courier New" w:hint="default"/>
      </w:rPr>
    </w:lvl>
    <w:lvl w:ilvl="5" w:tplc="806C4A28" w:tentative="1">
      <w:start w:val="1"/>
      <w:numFmt w:val="bullet"/>
      <w:lvlText w:val=""/>
      <w:lvlJc w:val="left"/>
      <w:pPr>
        <w:ind w:left="4320" w:hanging="360"/>
      </w:pPr>
      <w:rPr>
        <w:rFonts w:ascii="Wingdings" w:hAnsi="Wingdings" w:hint="default"/>
      </w:rPr>
    </w:lvl>
    <w:lvl w:ilvl="6" w:tplc="6C2C2E12" w:tentative="1">
      <w:start w:val="1"/>
      <w:numFmt w:val="bullet"/>
      <w:lvlText w:val=""/>
      <w:lvlJc w:val="left"/>
      <w:pPr>
        <w:ind w:left="5040" w:hanging="360"/>
      </w:pPr>
      <w:rPr>
        <w:rFonts w:ascii="Symbol" w:hAnsi="Symbol" w:hint="default"/>
      </w:rPr>
    </w:lvl>
    <w:lvl w:ilvl="7" w:tplc="B240AFE8" w:tentative="1">
      <w:start w:val="1"/>
      <w:numFmt w:val="bullet"/>
      <w:lvlText w:val="o"/>
      <w:lvlJc w:val="left"/>
      <w:pPr>
        <w:ind w:left="5760" w:hanging="360"/>
      </w:pPr>
      <w:rPr>
        <w:rFonts w:ascii="Courier New" w:hAnsi="Courier New" w:cs="Courier New" w:hint="default"/>
      </w:rPr>
    </w:lvl>
    <w:lvl w:ilvl="8" w:tplc="EAC4F9A6" w:tentative="1">
      <w:start w:val="1"/>
      <w:numFmt w:val="bullet"/>
      <w:lvlText w:val=""/>
      <w:lvlJc w:val="left"/>
      <w:pPr>
        <w:ind w:left="6480" w:hanging="360"/>
      </w:pPr>
      <w:rPr>
        <w:rFonts w:ascii="Wingdings" w:hAnsi="Wingdings" w:hint="default"/>
      </w:rPr>
    </w:lvl>
  </w:abstractNum>
  <w:abstractNum w:abstractNumId="8" w15:restartNumberingAfterBreak="0">
    <w:nsid w:val="1F6F1973"/>
    <w:multiLevelType w:val="hybridMultilevel"/>
    <w:tmpl w:val="4F922664"/>
    <w:lvl w:ilvl="0" w:tplc="0405000F">
      <w:start w:val="1"/>
      <w:numFmt w:val="decimal"/>
      <w:lvlText w:val="%1."/>
      <w:lvlJc w:val="left"/>
      <w:pPr>
        <w:ind w:left="720" w:hanging="360"/>
      </w:pPr>
      <w:rPr>
        <w:rFonts w:hint="default"/>
      </w:rPr>
    </w:lvl>
    <w:lvl w:ilvl="1" w:tplc="3CDC535E" w:tentative="1">
      <w:start w:val="1"/>
      <w:numFmt w:val="lowerLetter"/>
      <w:lvlText w:val="%2."/>
      <w:lvlJc w:val="left"/>
      <w:pPr>
        <w:ind w:left="1440" w:hanging="360"/>
      </w:pPr>
    </w:lvl>
    <w:lvl w:ilvl="2" w:tplc="8E48EE44" w:tentative="1">
      <w:start w:val="1"/>
      <w:numFmt w:val="lowerRoman"/>
      <w:lvlText w:val="%3."/>
      <w:lvlJc w:val="right"/>
      <w:pPr>
        <w:ind w:left="2160" w:hanging="180"/>
      </w:pPr>
    </w:lvl>
    <w:lvl w:ilvl="3" w:tplc="4B36E63C" w:tentative="1">
      <w:start w:val="1"/>
      <w:numFmt w:val="decimal"/>
      <w:lvlText w:val="%4."/>
      <w:lvlJc w:val="left"/>
      <w:pPr>
        <w:ind w:left="2880" w:hanging="360"/>
      </w:pPr>
    </w:lvl>
    <w:lvl w:ilvl="4" w:tplc="2834CABE" w:tentative="1">
      <w:start w:val="1"/>
      <w:numFmt w:val="lowerLetter"/>
      <w:lvlText w:val="%5."/>
      <w:lvlJc w:val="left"/>
      <w:pPr>
        <w:ind w:left="3600" w:hanging="360"/>
      </w:pPr>
    </w:lvl>
    <w:lvl w:ilvl="5" w:tplc="5262E2F6" w:tentative="1">
      <w:start w:val="1"/>
      <w:numFmt w:val="lowerRoman"/>
      <w:lvlText w:val="%6."/>
      <w:lvlJc w:val="right"/>
      <w:pPr>
        <w:ind w:left="4320" w:hanging="180"/>
      </w:pPr>
    </w:lvl>
    <w:lvl w:ilvl="6" w:tplc="94B6A2CC" w:tentative="1">
      <w:start w:val="1"/>
      <w:numFmt w:val="decimal"/>
      <w:lvlText w:val="%7."/>
      <w:lvlJc w:val="left"/>
      <w:pPr>
        <w:ind w:left="5040" w:hanging="360"/>
      </w:pPr>
    </w:lvl>
    <w:lvl w:ilvl="7" w:tplc="0180039A" w:tentative="1">
      <w:start w:val="1"/>
      <w:numFmt w:val="lowerLetter"/>
      <w:lvlText w:val="%8."/>
      <w:lvlJc w:val="left"/>
      <w:pPr>
        <w:ind w:left="5760" w:hanging="360"/>
      </w:pPr>
    </w:lvl>
    <w:lvl w:ilvl="8" w:tplc="9D8443FA" w:tentative="1">
      <w:start w:val="1"/>
      <w:numFmt w:val="lowerRoman"/>
      <w:lvlText w:val="%9."/>
      <w:lvlJc w:val="right"/>
      <w:pPr>
        <w:ind w:left="6480" w:hanging="180"/>
      </w:pPr>
    </w:lvl>
  </w:abstractNum>
  <w:abstractNum w:abstractNumId="9" w15:restartNumberingAfterBreak="0">
    <w:nsid w:val="204B1F1B"/>
    <w:multiLevelType w:val="hybridMultilevel"/>
    <w:tmpl w:val="1FB6037C"/>
    <w:lvl w:ilvl="0" w:tplc="C808858C">
      <w:start w:val="1"/>
      <w:numFmt w:val="decimal"/>
      <w:lvlText w:val="%1."/>
      <w:lvlJc w:val="left"/>
      <w:pPr>
        <w:ind w:left="720" w:hanging="360"/>
      </w:pPr>
    </w:lvl>
    <w:lvl w:ilvl="1" w:tplc="E0E8B4E4">
      <w:start w:val="1"/>
      <w:numFmt w:val="decimal"/>
      <w:lvlText w:val="%2."/>
      <w:lvlJc w:val="left"/>
      <w:pPr>
        <w:ind w:left="1440" w:hanging="360"/>
      </w:pPr>
    </w:lvl>
    <w:lvl w:ilvl="2" w:tplc="15EC48D6" w:tentative="1">
      <w:start w:val="1"/>
      <w:numFmt w:val="lowerRoman"/>
      <w:lvlText w:val="%3."/>
      <w:lvlJc w:val="right"/>
      <w:pPr>
        <w:ind w:left="2160" w:hanging="180"/>
      </w:pPr>
    </w:lvl>
    <w:lvl w:ilvl="3" w:tplc="AADEA53C" w:tentative="1">
      <w:start w:val="1"/>
      <w:numFmt w:val="decimal"/>
      <w:lvlText w:val="%4."/>
      <w:lvlJc w:val="left"/>
      <w:pPr>
        <w:ind w:left="2880" w:hanging="360"/>
      </w:pPr>
    </w:lvl>
    <w:lvl w:ilvl="4" w:tplc="7AA6963C" w:tentative="1">
      <w:start w:val="1"/>
      <w:numFmt w:val="lowerLetter"/>
      <w:lvlText w:val="%5."/>
      <w:lvlJc w:val="left"/>
      <w:pPr>
        <w:ind w:left="3600" w:hanging="360"/>
      </w:pPr>
    </w:lvl>
    <w:lvl w:ilvl="5" w:tplc="295E4D02" w:tentative="1">
      <w:start w:val="1"/>
      <w:numFmt w:val="lowerRoman"/>
      <w:lvlText w:val="%6."/>
      <w:lvlJc w:val="right"/>
      <w:pPr>
        <w:ind w:left="4320" w:hanging="180"/>
      </w:pPr>
    </w:lvl>
    <w:lvl w:ilvl="6" w:tplc="9438CFCE" w:tentative="1">
      <w:start w:val="1"/>
      <w:numFmt w:val="decimal"/>
      <w:lvlText w:val="%7."/>
      <w:lvlJc w:val="left"/>
      <w:pPr>
        <w:ind w:left="5040" w:hanging="360"/>
      </w:pPr>
    </w:lvl>
    <w:lvl w:ilvl="7" w:tplc="BB6A76B2" w:tentative="1">
      <w:start w:val="1"/>
      <w:numFmt w:val="lowerLetter"/>
      <w:lvlText w:val="%8."/>
      <w:lvlJc w:val="left"/>
      <w:pPr>
        <w:ind w:left="5760" w:hanging="360"/>
      </w:pPr>
    </w:lvl>
    <w:lvl w:ilvl="8" w:tplc="07E40F40" w:tentative="1">
      <w:start w:val="1"/>
      <w:numFmt w:val="lowerRoman"/>
      <w:lvlText w:val="%9."/>
      <w:lvlJc w:val="right"/>
      <w:pPr>
        <w:ind w:left="6480" w:hanging="180"/>
      </w:pPr>
    </w:lvl>
  </w:abstractNum>
  <w:abstractNum w:abstractNumId="10" w15:restartNumberingAfterBreak="0">
    <w:nsid w:val="22E96C0D"/>
    <w:multiLevelType w:val="hybridMultilevel"/>
    <w:tmpl w:val="0E8ECEF2"/>
    <w:lvl w:ilvl="0" w:tplc="283E2182">
      <w:start w:val="1"/>
      <w:numFmt w:val="bullet"/>
      <w:lvlText w:val=""/>
      <w:lvlJc w:val="left"/>
      <w:pPr>
        <w:ind w:left="720" w:hanging="360"/>
      </w:pPr>
      <w:rPr>
        <w:rFonts w:ascii="Symbol" w:hAnsi="Symbol" w:hint="default"/>
      </w:rPr>
    </w:lvl>
    <w:lvl w:ilvl="1" w:tplc="FA9E1398" w:tentative="1">
      <w:start w:val="1"/>
      <w:numFmt w:val="bullet"/>
      <w:lvlText w:val="o"/>
      <w:lvlJc w:val="left"/>
      <w:pPr>
        <w:ind w:left="1440" w:hanging="360"/>
      </w:pPr>
      <w:rPr>
        <w:rFonts w:ascii="Courier New" w:hAnsi="Courier New" w:cs="Courier New" w:hint="default"/>
      </w:rPr>
    </w:lvl>
    <w:lvl w:ilvl="2" w:tplc="2982C00C" w:tentative="1">
      <w:start w:val="1"/>
      <w:numFmt w:val="bullet"/>
      <w:lvlText w:val=""/>
      <w:lvlJc w:val="left"/>
      <w:pPr>
        <w:ind w:left="2160" w:hanging="360"/>
      </w:pPr>
      <w:rPr>
        <w:rFonts w:ascii="Wingdings" w:hAnsi="Wingdings" w:hint="default"/>
      </w:rPr>
    </w:lvl>
    <w:lvl w:ilvl="3" w:tplc="FCBEB6C4" w:tentative="1">
      <w:start w:val="1"/>
      <w:numFmt w:val="bullet"/>
      <w:lvlText w:val=""/>
      <w:lvlJc w:val="left"/>
      <w:pPr>
        <w:ind w:left="2880" w:hanging="360"/>
      </w:pPr>
      <w:rPr>
        <w:rFonts w:ascii="Symbol" w:hAnsi="Symbol" w:hint="default"/>
      </w:rPr>
    </w:lvl>
    <w:lvl w:ilvl="4" w:tplc="0C046FDA" w:tentative="1">
      <w:start w:val="1"/>
      <w:numFmt w:val="bullet"/>
      <w:lvlText w:val="o"/>
      <w:lvlJc w:val="left"/>
      <w:pPr>
        <w:ind w:left="3600" w:hanging="360"/>
      </w:pPr>
      <w:rPr>
        <w:rFonts w:ascii="Courier New" w:hAnsi="Courier New" w:cs="Courier New" w:hint="default"/>
      </w:rPr>
    </w:lvl>
    <w:lvl w:ilvl="5" w:tplc="9FAACCBA" w:tentative="1">
      <w:start w:val="1"/>
      <w:numFmt w:val="bullet"/>
      <w:lvlText w:val=""/>
      <w:lvlJc w:val="left"/>
      <w:pPr>
        <w:ind w:left="4320" w:hanging="360"/>
      </w:pPr>
      <w:rPr>
        <w:rFonts w:ascii="Wingdings" w:hAnsi="Wingdings" w:hint="default"/>
      </w:rPr>
    </w:lvl>
    <w:lvl w:ilvl="6" w:tplc="7D6E7402" w:tentative="1">
      <w:start w:val="1"/>
      <w:numFmt w:val="bullet"/>
      <w:lvlText w:val=""/>
      <w:lvlJc w:val="left"/>
      <w:pPr>
        <w:ind w:left="5040" w:hanging="360"/>
      </w:pPr>
      <w:rPr>
        <w:rFonts w:ascii="Symbol" w:hAnsi="Symbol" w:hint="default"/>
      </w:rPr>
    </w:lvl>
    <w:lvl w:ilvl="7" w:tplc="FDECE23E" w:tentative="1">
      <w:start w:val="1"/>
      <w:numFmt w:val="bullet"/>
      <w:lvlText w:val="o"/>
      <w:lvlJc w:val="left"/>
      <w:pPr>
        <w:ind w:left="5760" w:hanging="360"/>
      </w:pPr>
      <w:rPr>
        <w:rFonts w:ascii="Courier New" w:hAnsi="Courier New" w:cs="Courier New" w:hint="default"/>
      </w:rPr>
    </w:lvl>
    <w:lvl w:ilvl="8" w:tplc="F5984CBE" w:tentative="1">
      <w:start w:val="1"/>
      <w:numFmt w:val="bullet"/>
      <w:lvlText w:val=""/>
      <w:lvlJc w:val="left"/>
      <w:pPr>
        <w:ind w:left="6480" w:hanging="360"/>
      </w:pPr>
      <w:rPr>
        <w:rFonts w:ascii="Wingdings" w:hAnsi="Wingdings" w:hint="default"/>
      </w:rPr>
    </w:lvl>
  </w:abstractNum>
  <w:abstractNum w:abstractNumId="11" w15:restartNumberingAfterBreak="0">
    <w:nsid w:val="283404ED"/>
    <w:multiLevelType w:val="hybridMultilevel"/>
    <w:tmpl w:val="43F0CC5E"/>
    <w:lvl w:ilvl="0" w:tplc="6F323F2A">
      <w:start w:val="1"/>
      <w:numFmt w:val="bullet"/>
      <w:lvlText w:val=""/>
      <w:lvlJc w:val="left"/>
      <w:pPr>
        <w:ind w:left="720" w:hanging="360"/>
      </w:pPr>
      <w:rPr>
        <w:rFonts w:ascii="Symbol" w:hAnsi="Symbol" w:hint="default"/>
      </w:rPr>
    </w:lvl>
    <w:lvl w:ilvl="1" w:tplc="93107170" w:tentative="1">
      <w:start w:val="1"/>
      <w:numFmt w:val="bullet"/>
      <w:lvlText w:val="o"/>
      <w:lvlJc w:val="left"/>
      <w:pPr>
        <w:ind w:left="1440" w:hanging="360"/>
      </w:pPr>
      <w:rPr>
        <w:rFonts w:ascii="Courier New" w:hAnsi="Courier New" w:cs="Courier New" w:hint="default"/>
      </w:rPr>
    </w:lvl>
    <w:lvl w:ilvl="2" w:tplc="3BDA9D14" w:tentative="1">
      <w:start w:val="1"/>
      <w:numFmt w:val="bullet"/>
      <w:lvlText w:val=""/>
      <w:lvlJc w:val="left"/>
      <w:pPr>
        <w:ind w:left="2160" w:hanging="360"/>
      </w:pPr>
      <w:rPr>
        <w:rFonts w:ascii="Wingdings" w:hAnsi="Wingdings" w:hint="default"/>
      </w:rPr>
    </w:lvl>
    <w:lvl w:ilvl="3" w:tplc="7CB0EF0C" w:tentative="1">
      <w:start w:val="1"/>
      <w:numFmt w:val="bullet"/>
      <w:lvlText w:val=""/>
      <w:lvlJc w:val="left"/>
      <w:pPr>
        <w:ind w:left="2880" w:hanging="360"/>
      </w:pPr>
      <w:rPr>
        <w:rFonts w:ascii="Symbol" w:hAnsi="Symbol" w:hint="default"/>
      </w:rPr>
    </w:lvl>
    <w:lvl w:ilvl="4" w:tplc="516AEA60" w:tentative="1">
      <w:start w:val="1"/>
      <w:numFmt w:val="bullet"/>
      <w:lvlText w:val="o"/>
      <w:lvlJc w:val="left"/>
      <w:pPr>
        <w:ind w:left="3600" w:hanging="360"/>
      </w:pPr>
      <w:rPr>
        <w:rFonts w:ascii="Courier New" w:hAnsi="Courier New" w:cs="Courier New" w:hint="default"/>
      </w:rPr>
    </w:lvl>
    <w:lvl w:ilvl="5" w:tplc="0A92DCCC" w:tentative="1">
      <w:start w:val="1"/>
      <w:numFmt w:val="bullet"/>
      <w:lvlText w:val=""/>
      <w:lvlJc w:val="left"/>
      <w:pPr>
        <w:ind w:left="4320" w:hanging="360"/>
      </w:pPr>
      <w:rPr>
        <w:rFonts w:ascii="Wingdings" w:hAnsi="Wingdings" w:hint="default"/>
      </w:rPr>
    </w:lvl>
    <w:lvl w:ilvl="6" w:tplc="2C8C507E" w:tentative="1">
      <w:start w:val="1"/>
      <w:numFmt w:val="bullet"/>
      <w:lvlText w:val=""/>
      <w:lvlJc w:val="left"/>
      <w:pPr>
        <w:ind w:left="5040" w:hanging="360"/>
      </w:pPr>
      <w:rPr>
        <w:rFonts w:ascii="Symbol" w:hAnsi="Symbol" w:hint="default"/>
      </w:rPr>
    </w:lvl>
    <w:lvl w:ilvl="7" w:tplc="6F78B884" w:tentative="1">
      <w:start w:val="1"/>
      <w:numFmt w:val="bullet"/>
      <w:lvlText w:val="o"/>
      <w:lvlJc w:val="left"/>
      <w:pPr>
        <w:ind w:left="5760" w:hanging="360"/>
      </w:pPr>
      <w:rPr>
        <w:rFonts w:ascii="Courier New" w:hAnsi="Courier New" w:cs="Courier New" w:hint="default"/>
      </w:rPr>
    </w:lvl>
    <w:lvl w:ilvl="8" w:tplc="4D0AE14E" w:tentative="1">
      <w:start w:val="1"/>
      <w:numFmt w:val="bullet"/>
      <w:lvlText w:val=""/>
      <w:lvlJc w:val="left"/>
      <w:pPr>
        <w:ind w:left="6480" w:hanging="360"/>
      </w:pPr>
      <w:rPr>
        <w:rFonts w:ascii="Wingdings" w:hAnsi="Wingdings" w:hint="default"/>
      </w:rPr>
    </w:lvl>
  </w:abstractNum>
  <w:abstractNum w:abstractNumId="12" w15:restartNumberingAfterBreak="0">
    <w:nsid w:val="29987366"/>
    <w:multiLevelType w:val="hybridMultilevel"/>
    <w:tmpl w:val="AE22DFCE"/>
    <w:lvl w:ilvl="0" w:tplc="B64AD2C6">
      <w:start w:val="1"/>
      <w:numFmt w:val="bullet"/>
      <w:lvlText w:val=""/>
      <w:lvlJc w:val="left"/>
      <w:pPr>
        <w:ind w:left="360" w:hanging="360"/>
      </w:pPr>
      <w:rPr>
        <w:rFonts w:ascii="Wingdings" w:hAnsi="Wingdings" w:hint="default"/>
      </w:rPr>
    </w:lvl>
    <w:lvl w:ilvl="1" w:tplc="7F461B00">
      <w:start w:val="1"/>
      <w:numFmt w:val="bullet"/>
      <w:lvlText w:val="o"/>
      <w:lvlJc w:val="left"/>
      <w:pPr>
        <w:ind w:left="1080" w:hanging="360"/>
      </w:pPr>
      <w:rPr>
        <w:rFonts w:ascii="Courier New" w:hAnsi="Courier New" w:cs="Courier New" w:hint="default"/>
      </w:rPr>
    </w:lvl>
    <w:lvl w:ilvl="2" w:tplc="15CA3872">
      <w:start w:val="1"/>
      <w:numFmt w:val="bullet"/>
      <w:lvlText w:val=""/>
      <w:lvlJc w:val="left"/>
      <w:pPr>
        <w:ind w:left="1800" w:hanging="360"/>
      </w:pPr>
      <w:rPr>
        <w:rFonts w:ascii="Wingdings" w:hAnsi="Wingdings" w:hint="default"/>
      </w:rPr>
    </w:lvl>
    <w:lvl w:ilvl="3" w:tplc="D40ED458">
      <w:start w:val="1"/>
      <w:numFmt w:val="bullet"/>
      <w:lvlText w:val=""/>
      <w:lvlJc w:val="left"/>
      <w:pPr>
        <w:ind w:left="2520" w:hanging="360"/>
      </w:pPr>
      <w:rPr>
        <w:rFonts w:ascii="Symbol" w:hAnsi="Symbol" w:hint="default"/>
      </w:rPr>
    </w:lvl>
    <w:lvl w:ilvl="4" w:tplc="C7EC595A">
      <w:start w:val="1"/>
      <w:numFmt w:val="bullet"/>
      <w:lvlText w:val="o"/>
      <w:lvlJc w:val="left"/>
      <w:pPr>
        <w:ind w:left="3240" w:hanging="360"/>
      </w:pPr>
      <w:rPr>
        <w:rFonts w:ascii="Courier New" w:hAnsi="Courier New" w:cs="Courier New" w:hint="default"/>
      </w:rPr>
    </w:lvl>
    <w:lvl w:ilvl="5" w:tplc="22A6B94C">
      <w:start w:val="1"/>
      <w:numFmt w:val="bullet"/>
      <w:lvlText w:val=""/>
      <w:lvlJc w:val="left"/>
      <w:pPr>
        <w:ind w:left="3960" w:hanging="360"/>
      </w:pPr>
      <w:rPr>
        <w:rFonts w:ascii="Wingdings" w:hAnsi="Wingdings" w:hint="default"/>
      </w:rPr>
    </w:lvl>
    <w:lvl w:ilvl="6" w:tplc="36720F56">
      <w:start w:val="1"/>
      <w:numFmt w:val="bullet"/>
      <w:lvlText w:val=""/>
      <w:lvlJc w:val="left"/>
      <w:pPr>
        <w:ind w:left="4680" w:hanging="360"/>
      </w:pPr>
      <w:rPr>
        <w:rFonts w:ascii="Symbol" w:hAnsi="Symbol" w:hint="default"/>
      </w:rPr>
    </w:lvl>
    <w:lvl w:ilvl="7" w:tplc="A8D2FDA4">
      <w:start w:val="1"/>
      <w:numFmt w:val="bullet"/>
      <w:lvlText w:val="o"/>
      <w:lvlJc w:val="left"/>
      <w:pPr>
        <w:ind w:left="5400" w:hanging="360"/>
      </w:pPr>
      <w:rPr>
        <w:rFonts w:ascii="Courier New" w:hAnsi="Courier New" w:cs="Courier New" w:hint="default"/>
      </w:rPr>
    </w:lvl>
    <w:lvl w:ilvl="8" w:tplc="43101C28">
      <w:start w:val="1"/>
      <w:numFmt w:val="bullet"/>
      <w:lvlText w:val=""/>
      <w:lvlJc w:val="left"/>
      <w:pPr>
        <w:ind w:left="6120" w:hanging="360"/>
      </w:pPr>
      <w:rPr>
        <w:rFonts w:ascii="Wingdings" w:hAnsi="Wingdings" w:hint="default"/>
      </w:rPr>
    </w:lvl>
  </w:abstractNum>
  <w:abstractNum w:abstractNumId="13" w15:restartNumberingAfterBreak="0">
    <w:nsid w:val="2AA237A2"/>
    <w:multiLevelType w:val="hybridMultilevel"/>
    <w:tmpl w:val="FF6A4548"/>
    <w:lvl w:ilvl="0" w:tplc="E7C2949A">
      <w:start w:val="1"/>
      <w:numFmt w:val="bullet"/>
      <w:lvlText w:val=""/>
      <w:lvlJc w:val="left"/>
      <w:pPr>
        <w:ind w:left="720" w:hanging="360"/>
      </w:pPr>
      <w:rPr>
        <w:rFonts w:ascii="Symbol" w:hAnsi="Symbol" w:hint="default"/>
      </w:rPr>
    </w:lvl>
    <w:lvl w:ilvl="1" w:tplc="3F10C202" w:tentative="1">
      <w:start w:val="1"/>
      <w:numFmt w:val="bullet"/>
      <w:lvlText w:val="o"/>
      <w:lvlJc w:val="left"/>
      <w:pPr>
        <w:ind w:left="1440" w:hanging="360"/>
      </w:pPr>
      <w:rPr>
        <w:rFonts w:ascii="Courier New" w:hAnsi="Courier New" w:cs="Courier New" w:hint="default"/>
      </w:rPr>
    </w:lvl>
    <w:lvl w:ilvl="2" w:tplc="59908372" w:tentative="1">
      <w:start w:val="1"/>
      <w:numFmt w:val="bullet"/>
      <w:lvlText w:val=""/>
      <w:lvlJc w:val="left"/>
      <w:pPr>
        <w:ind w:left="2160" w:hanging="360"/>
      </w:pPr>
      <w:rPr>
        <w:rFonts w:ascii="Wingdings" w:hAnsi="Wingdings" w:hint="default"/>
      </w:rPr>
    </w:lvl>
    <w:lvl w:ilvl="3" w:tplc="0C9291A6" w:tentative="1">
      <w:start w:val="1"/>
      <w:numFmt w:val="bullet"/>
      <w:lvlText w:val=""/>
      <w:lvlJc w:val="left"/>
      <w:pPr>
        <w:ind w:left="2880" w:hanging="360"/>
      </w:pPr>
      <w:rPr>
        <w:rFonts w:ascii="Symbol" w:hAnsi="Symbol" w:hint="default"/>
      </w:rPr>
    </w:lvl>
    <w:lvl w:ilvl="4" w:tplc="2E549B3A" w:tentative="1">
      <w:start w:val="1"/>
      <w:numFmt w:val="bullet"/>
      <w:lvlText w:val="o"/>
      <w:lvlJc w:val="left"/>
      <w:pPr>
        <w:ind w:left="3600" w:hanging="360"/>
      </w:pPr>
      <w:rPr>
        <w:rFonts w:ascii="Courier New" w:hAnsi="Courier New" w:cs="Courier New" w:hint="default"/>
      </w:rPr>
    </w:lvl>
    <w:lvl w:ilvl="5" w:tplc="9CC257E8" w:tentative="1">
      <w:start w:val="1"/>
      <w:numFmt w:val="bullet"/>
      <w:lvlText w:val=""/>
      <w:lvlJc w:val="left"/>
      <w:pPr>
        <w:ind w:left="4320" w:hanging="360"/>
      </w:pPr>
      <w:rPr>
        <w:rFonts w:ascii="Wingdings" w:hAnsi="Wingdings" w:hint="default"/>
      </w:rPr>
    </w:lvl>
    <w:lvl w:ilvl="6" w:tplc="FBB4DBA8" w:tentative="1">
      <w:start w:val="1"/>
      <w:numFmt w:val="bullet"/>
      <w:lvlText w:val=""/>
      <w:lvlJc w:val="left"/>
      <w:pPr>
        <w:ind w:left="5040" w:hanging="360"/>
      </w:pPr>
      <w:rPr>
        <w:rFonts w:ascii="Symbol" w:hAnsi="Symbol" w:hint="default"/>
      </w:rPr>
    </w:lvl>
    <w:lvl w:ilvl="7" w:tplc="4D2868A4" w:tentative="1">
      <w:start w:val="1"/>
      <w:numFmt w:val="bullet"/>
      <w:lvlText w:val="o"/>
      <w:lvlJc w:val="left"/>
      <w:pPr>
        <w:ind w:left="5760" w:hanging="360"/>
      </w:pPr>
      <w:rPr>
        <w:rFonts w:ascii="Courier New" w:hAnsi="Courier New" w:cs="Courier New" w:hint="default"/>
      </w:rPr>
    </w:lvl>
    <w:lvl w:ilvl="8" w:tplc="EED4C390" w:tentative="1">
      <w:start w:val="1"/>
      <w:numFmt w:val="bullet"/>
      <w:lvlText w:val=""/>
      <w:lvlJc w:val="left"/>
      <w:pPr>
        <w:ind w:left="6480" w:hanging="360"/>
      </w:pPr>
      <w:rPr>
        <w:rFonts w:ascii="Wingdings" w:hAnsi="Wingdings" w:hint="default"/>
      </w:rPr>
    </w:lvl>
  </w:abstractNum>
  <w:abstractNum w:abstractNumId="14" w15:restartNumberingAfterBreak="0">
    <w:nsid w:val="2F190E16"/>
    <w:multiLevelType w:val="hybridMultilevel"/>
    <w:tmpl w:val="D804B30A"/>
    <w:lvl w:ilvl="0" w:tplc="AF1C41F4">
      <w:start w:val="1"/>
      <w:numFmt w:val="bullet"/>
      <w:lvlText w:val=""/>
      <w:lvlJc w:val="left"/>
      <w:pPr>
        <w:ind w:left="720" w:hanging="360"/>
      </w:pPr>
      <w:rPr>
        <w:rFonts w:ascii="Symbol" w:hAnsi="Symbol" w:hint="default"/>
      </w:rPr>
    </w:lvl>
    <w:lvl w:ilvl="1" w:tplc="A5FE6A9C" w:tentative="1">
      <w:start w:val="1"/>
      <w:numFmt w:val="bullet"/>
      <w:lvlText w:val="o"/>
      <w:lvlJc w:val="left"/>
      <w:pPr>
        <w:ind w:left="1440" w:hanging="360"/>
      </w:pPr>
      <w:rPr>
        <w:rFonts w:ascii="Courier New" w:hAnsi="Courier New" w:cs="Courier New" w:hint="default"/>
      </w:rPr>
    </w:lvl>
    <w:lvl w:ilvl="2" w:tplc="53D8E830" w:tentative="1">
      <w:start w:val="1"/>
      <w:numFmt w:val="bullet"/>
      <w:lvlText w:val=""/>
      <w:lvlJc w:val="left"/>
      <w:pPr>
        <w:ind w:left="2160" w:hanging="360"/>
      </w:pPr>
      <w:rPr>
        <w:rFonts w:ascii="Wingdings" w:hAnsi="Wingdings" w:hint="default"/>
      </w:rPr>
    </w:lvl>
    <w:lvl w:ilvl="3" w:tplc="3E1E577A" w:tentative="1">
      <w:start w:val="1"/>
      <w:numFmt w:val="bullet"/>
      <w:lvlText w:val=""/>
      <w:lvlJc w:val="left"/>
      <w:pPr>
        <w:ind w:left="2880" w:hanging="360"/>
      </w:pPr>
      <w:rPr>
        <w:rFonts w:ascii="Symbol" w:hAnsi="Symbol" w:hint="default"/>
      </w:rPr>
    </w:lvl>
    <w:lvl w:ilvl="4" w:tplc="57689DC6" w:tentative="1">
      <w:start w:val="1"/>
      <w:numFmt w:val="bullet"/>
      <w:lvlText w:val="o"/>
      <w:lvlJc w:val="left"/>
      <w:pPr>
        <w:ind w:left="3600" w:hanging="360"/>
      </w:pPr>
      <w:rPr>
        <w:rFonts w:ascii="Courier New" w:hAnsi="Courier New" w:cs="Courier New" w:hint="default"/>
      </w:rPr>
    </w:lvl>
    <w:lvl w:ilvl="5" w:tplc="21344EA0" w:tentative="1">
      <w:start w:val="1"/>
      <w:numFmt w:val="bullet"/>
      <w:lvlText w:val=""/>
      <w:lvlJc w:val="left"/>
      <w:pPr>
        <w:ind w:left="4320" w:hanging="360"/>
      </w:pPr>
      <w:rPr>
        <w:rFonts w:ascii="Wingdings" w:hAnsi="Wingdings" w:hint="default"/>
      </w:rPr>
    </w:lvl>
    <w:lvl w:ilvl="6" w:tplc="C9265536" w:tentative="1">
      <w:start w:val="1"/>
      <w:numFmt w:val="bullet"/>
      <w:lvlText w:val=""/>
      <w:lvlJc w:val="left"/>
      <w:pPr>
        <w:ind w:left="5040" w:hanging="360"/>
      </w:pPr>
      <w:rPr>
        <w:rFonts w:ascii="Symbol" w:hAnsi="Symbol" w:hint="default"/>
      </w:rPr>
    </w:lvl>
    <w:lvl w:ilvl="7" w:tplc="8FCE3AFA" w:tentative="1">
      <w:start w:val="1"/>
      <w:numFmt w:val="bullet"/>
      <w:lvlText w:val="o"/>
      <w:lvlJc w:val="left"/>
      <w:pPr>
        <w:ind w:left="5760" w:hanging="360"/>
      </w:pPr>
      <w:rPr>
        <w:rFonts w:ascii="Courier New" w:hAnsi="Courier New" w:cs="Courier New" w:hint="default"/>
      </w:rPr>
    </w:lvl>
    <w:lvl w:ilvl="8" w:tplc="16D41C40" w:tentative="1">
      <w:start w:val="1"/>
      <w:numFmt w:val="bullet"/>
      <w:lvlText w:val=""/>
      <w:lvlJc w:val="left"/>
      <w:pPr>
        <w:ind w:left="6480" w:hanging="360"/>
      </w:pPr>
      <w:rPr>
        <w:rFonts w:ascii="Wingdings" w:hAnsi="Wingdings" w:hint="default"/>
      </w:rPr>
    </w:lvl>
  </w:abstractNum>
  <w:abstractNum w:abstractNumId="15" w15:restartNumberingAfterBreak="0">
    <w:nsid w:val="33ED4D11"/>
    <w:multiLevelType w:val="hybridMultilevel"/>
    <w:tmpl w:val="BBCE72B0"/>
    <w:lvl w:ilvl="0" w:tplc="EF043678">
      <w:start w:val="1"/>
      <w:numFmt w:val="upperLetter"/>
      <w:lvlText w:val="%1)"/>
      <w:lvlJc w:val="left"/>
      <w:pPr>
        <w:ind w:left="720" w:hanging="360"/>
      </w:pPr>
      <w:rPr>
        <w:rFonts w:hint="default"/>
      </w:rPr>
    </w:lvl>
    <w:lvl w:ilvl="1" w:tplc="E556D8CC" w:tentative="1">
      <w:start w:val="1"/>
      <w:numFmt w:val="lowerLetter"/>
      <w:lvlText w:val="%2."/>
      <w:lvlJc w:val="left"/>
      <w:pPr>
        <w:ind w:left="1440" w:hanging="360"/>
      </w:pPr>
    </w:lvl>
    <w:lvl w:ilvl="2" w:tplc="8558214A" w:tentative="1">
      <w:start w:val="1"/>
      <w:numFmt w:val="lowerRoman"/>
      <w:lvlText w:val="%3."/>
      <w:lvlJc w:val="right"/>
      <w:pPr>
        <w:ind w:left="2160" w:hanging="180"/>
      </w:pPr>
    </w:lvl>
    <w:lvl w:ilvl="3" w:tplc="8E584464" w:tentative="1">
      <w:start w:val="1"/>
      <w:numFmt w:val="decimal"/>
      <w:lvlText w:val="%4."/>
      <w:lvlJc w:val="left"/>
      <w:pPr>
        <w:ind w:left="2880" w:hanging="360"/>
      </w:pPr>
    </w:lvl>
    <w:lvl w:ilvl="4" w:tplc="187212CA" w:tentative="1">
      <w:start w:val="1"/>
      <w:numFmt w:val="lowerLetter"/>
      <w:lvlText w:val="%5."/>
      <w:lvlJc w:val="left"/>
      <w:pPr>
        <w:ind w:left="3600" w:hanging="360"/>
      </w:pPr>
    </w:lvl>
    <w:lvl w:ilvl="5" w:tplc="1E341F72" w:tentative="1">
      <w:start w:val="1"/>
      <w:numFmt w:val="lowerRoman"/>
      <w:lvlText w:val="%6."/>
      <w:lvlJc w:val="right"/>
      <w:pPr>
        <w:ind w:left="4320" w:hanging="180"/>
      </w:pPr>
    </w:lvl>
    <w:lvl w:ilvl="6" w:tplc="D4FC82C8" w:tentative="1">
      <w:start w:val="1"/>
      <w:numFmt w:val="decimal"/>
      <w:lvlText w:val="%7."/>
      <w:lvlJc w:val="left"/>
      <w:pPr>
        <w:ind w:left="5040" w:hanging="360"/>
      </w:pPr>
    </w:lvl>
    <w:lvl w:ilvl="7" w:tplc="9046797E" w:tentative="1">
      <w:start w:val="1"/>
      <w:numFmt w:val="lowerLetter"/>
      <w:lvlText w:val="%8."/>
      <w:lvlJc w:val="left"/>
      <w:pPr>
        <w:ind w:left="5760" w:hanging="360"/>
      </w:pPr>
    </w:lvl>
    <w:lvl w:ilvl="8" w:tplc="59941F36" w:tentative="1">
      <w:start w:val="1"/>
      <w:numFmt w:val="lowerRoman"/>
      <w:lvlText w:val="%9."/>
      <w:lvlJc w:val="right"/>
      <w:pPr>
        <w:ind w:left="6480" w:hanging="180"/>
      </w:pPr>
    </w:lvl>
  </w:abstractNum>
  <w:abstractNum w:abstractNumId="16" w15:restartNumberingAfterBreak="0">
    <w:nsid w:val="340A2B7F"/>
    <w:multiLevelType w:val="multilevel"/>
    <w:tmpl w:val="65FE4E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50A7BA7"/>
    <w:multiLevelType w:val="hybridMultilevel"/>
    <w:tmpl w:val="0A5604CA"/>
    <w:lvl w:ilvl="0" w:tplc="28CECC30">
      <w:start w:val="1"/>
      <w:numFmt w:val="bullet"/>
      <w:lvlText w:val=""/>
      <w:lvlJc w:val="left"/>
      <w:pPr>
        <w:ind w:left="720" w:hanging="360"/>
      </w:pPr>
      <w:rPr>
        <w:rFonts w:ascii="Symbol" w:hAnsi="Symbol" w:hint="default"/>
      </w:rPr>
    </w:lvl>
    <w:lvl w:ilvl="1" w:tplc="ED3499CE" w:tentative="1">
      <w:start w:val="1"/>
      <w:numFmt w:val="bullet"/>
      <w:lvlText w:val="o"/>
      <w:lvlJc w:val="left"/>
      <w:pPr>
        <w:ind w:left="1440" w:hanging="360"/>
      </w:pPr>
      <w:rPr>
        <w:rFonts w:ascii="Courier New" w:hAnsi="Courier New" w:cs="Courier New" w:hint="default"/>
      </w:rPr>
    </w:lvl>
    <w:lvl w:ilvl="2" w:tplc="1F00AE84" w:tentative="1">
      <w:start w:val="1"/>
      <w:numFmt w:val="bullet"/>
      <w:lvlText w:val=""/>
      <w:lvlJc w:val="left"/>
      <w:pPr>
        <w:ind w:left="2160" w:hanging="360"/>
      </w:pPr>
      <w:rPr>
        <w:rFonts w:ascii="Wingdings" w:hAnsi="Wingdings" w:hint="default"/>
      </w:rPr>
    </w:lvl>
    <w:lvl w:ilvl="3" w:tplc="AE989AFA" w:tentative="1">
      <w:start w:val="1"/>
      <w:numFmt w:val="bullet"/>
      <w:lvlText w:val=""/>
      <w:lvlJc w:val="left"/>
      <w:pPr>
        <w:ind w:left="2880" w:hanging="360"/>
      </w:pPr>
      <w:rPr>
        <w:rFonts w:ascii="Symbol" w:hAnsi="Symbol" w:hint="default"/>
      </w:rPr>
    </w:lvl>
    <w:lvl w:ilvl="4" w:tplc="023ADA8E" w:tentative="1">
      <w:start w:val="1"/>
      <w:numFmt w:val="bullet"/>
      <w:lvlText w:val="o"/>
      <w:lvlJc w:val="left"/>
      <w:pPr>
        <w:ind w:left="3600" w:hanging="360"/>
      </w:pPr>
      <w:rPr>
        <w:rFonts w:ascii="Courier New" w:hAnsi="Courier New" w:cs="Courier New" w:hint="default"/>
      </w:rPr>
    </w:lvl>
    <w:lvl w:ilvl="5" w:tplc="0B66B6DA" w:tentative="1">
      <w:start w:val="1"/>
      <w:numFmt w:val="bullet"/>
      <w:lvlText w:val=""/>
      <w:lvlJc w:val="left"/>
      <w:pPr>
        <w:ind w:left="4320" w:hanging="360"/>
      </w:pPr>
      <w:rPr>
        <w:rFonts w:ascii="Wingdings" w:hAnsi="Wingdings" w:hint="default"/>
      </w:rPr>
    </w:lvl>
    <w:lvl w:ilvl="6" w:tplc="7FB26004" w:tentative="1">
      <w:start w:val="1"/>
      <w:numFmt w:val="bullet"/>
      <w:lvlText w:val=""/>
      <w:lvlJc w:val="left"/>
      <w:pPr>
        <w:ind w:left="5040" w:hanging="360"/>
      </w:pPr>
      <w:rPr>
        <w:rFonts w:ascii="Symbol" w:hAnsi="Symbol" w:hint="default"/>
      </w:rPr>
    </w:lvl>
    <w:lvl w:ilvl="7" w:tplc="D3F6FB5C" w:tentative="1">
      <w:start w:val="1"/>
      <w:numFmt w:val="bullet"/>
      <w:lvlText w:val="o"/>
      <w:lvlJc w:val="left"/>
      <w:pPr>
        <w:ind w:left="5760" w:hanging="360"/>
      </w:pPr>
      <w:rPr>
        <w:rFonts w:ascii="Courier New" w:hAnsi="Courier New" w:cs="Courier New" w:hint="default"/>
      </w:rPr>
    </w:lvl>
    <w:lvl w:ilvl="8" w:tplc="9924AAB6" w:tentative="1">
      <w:start w:val="1"/>
      <w:numFmt w:val="bullet"/>
      <w:lvlText w:val=""/>
      <w:lvlJc w:val="left"/>
      <w:pPr>
        <w:ind w:left="6480" w:hanging="360"/>
      </w:pPr>
      <w:rPr>
        <w:rFonts w:ascii="Wingdings" w:hAnsi="Wingdings" w:hint="default"/>
      </w:rPr>
    </w:lvl>
  </w:abstractNum>
  <w:abstractNum w:abstractNumId="18" w15:restartNumberingAfterBreak="0">
    <w:nsid w:val="365C2033"/>
    <w:multiLevelType w:val="hybridMultilevel"/>
    <w:tmpl w:val="05F6FD10"/>
    <w:lvl w:ilvl="0" w:tplc="5688FEF2">
      <w:start w:val="1"/>
      <w:numFmt w:val="bullet"/>
      <w:lvlText w:val=""/>
      <w:lvlJc w:val="left"/>
      <w:pPr>
        <w:ind w:left="720" w:hanging="360"/>
      </w:pPr>
      <w:rPr>
        <w:rFonts w:ascii="Symbol" w:hAnsi="Symbol" w:hint="default"/>
      </w:rPr>
    </w:lvl>
    <w:lvl w:ilvl="1" w:tplc="4C48FE52" w:tentative="1">
      <w:start w:val="1"/>
      <w:numFmt w:val="bullet"/>
      <w:lvlText w:val="o"/>
      <w:lvlJc w:val="left"/>
      <w:pPr>
        <w:ind w:left="1440" w:hanging="360"/>
      </w:pPr>
      <w:rPr>
        <w:rFonts w:ascii="Courier New" w:hAnsi="Courier New" w:cs="Courier New" w:hint="default"/>
      </w:rPr>
    </w:lvl>
    <w:lvl w:ilvl="2" w:tplc="13920B5A" w:tentative="1">
      <w:start w:val="1"/>
      <w:numFmt w:val="bullet"/>
      <w:lvlText w:val=""/>
      <w:lvlJc w:val="left"/>
      <w:pPr>
        <w:ind w:left="2160" w:hanging="360"/>
      </w:pPr>
      <w:rPr>
        <w:rFonts w:ascii="Wingdings" w:hAnsi="Wingdings" w:hint="default"/>
      </w:rPr>
    </w:lvl>
    <w:lvl w:ilvl="3" w:tplc="CE2A9600" w:tentative="1">
      <w:start w:val="1"/>
      <w:numFmt w:val="bullet"/>
      <w:lvlText w:val=""/>
      <w:lvlJc w:val="left"/>
      <w:pPr>
        <w:ind w:left="2880" w:hanging="360"/>
      </w:pPr>
      <w:rPr>
        <w:rFonts w:ascii="Symbol" w:hAnsi="Symbol" w:hint="default"/>
      </w:rPr>
    </w:lvl>
    <w:lvl w:ilvl="4" w:tplc="13341D28" w:tentative="1">
      <w:start w:val="1"/>
      <w:numFmt w:val="bullet"/>
      <w:lvlText w:val="o"/>
      <w:lvlJc w:val="left"/>
      <w:pPr>
        <w:ind w:left="3600" w:hanging="360"/>
      </w:pPr>
      <w:rPr>
        <w:rFonts w:ascii="Courier New" w:hAnsi="Courier New" w:cs="Courier New" w:hint="default"/>
      </w:rPr>
    </w:lvl>
    <w:lvl w:ilvl="5" w:tplc="F73A3564" w:tentative="1">
      <w:start w:val="1"/>
      <w:numFmt w:val="bullet"/>
      <w:lvlText w:val=""/>
      <w:lvlJc w:val="left"/>
      <w:pPr>
        <w:ind w:left="4320" w:hanging="360"/>
      </w:pPr>
      <w:rPr>
        <w:rFonts w:ascii="Wingdings" w:hAnsi="Wingdings" w:hint="default"/>
      </w:rPr>
    </w:lvl>
    <w:lvl w:ilvl="6" w:tplc="B798D260" w:tentative="1">
      <w:start w:val="1"/>
      <w:numFmt w:val="bullet"/>
      <w:lvlText w:val=""/>
      <w:lvlJc w:val="left"/>
      <w:pPr>
        <w:ind w:left="5040" w:hanging="360"/>
      </w:pPr>
      <w:rPr>
        <w:rFonts w:ascii="Symbol" w:hAnsi="Symbol" w:hint="default"/>
      </w:rPr>
    </w:lvl>
    <w:lvl w:ilvl="7" w:tplc="582E76CA" w:tentative="1">
      <w:start w:val="1"/>
      <w:numFmt w:val="bullet"/>
      <w:lvlText w:val="o"/>
      <w:lvlJc w:val="left"/>
      <w:pPr>
        <w:ind w:left="5760" w:hanging="360"/>
      </w:pPr>
      <w:rPr>
        <w:rFonts w:ascii="Courier New" w:hAnsi="Courier New" w:cs="Courier New" w:hint="default"/>
      </w:rPr>
    </w:lvl>
    <w:lvl w:ilvl="8" w:tplc="A4D28DA6" w:tentative="1">
      <w:start w:val="1"/>
      <w:numFmt w:val="bullet"/>
      <w:lvlText w:val=""/>
      <w:lvlJc w:val="left"/>
      <w:pPr>
        <w:ind w:left="6480" w:hanging="360"/>
      </w:pPr>
      <w:rPr>
        <w:rFonts w:ascii="Wingdings" w:hAnsi="Wingdings" w:hint="default"/>
      </w:rPr>
    </w:lvl>
  </w:abstractNum>
  <w:abstractNum w:abstractNumId="19" w15:restartNumberingAfterBreak="0">
    <w:nsid w:val="3B4C135B"/>
    <w:multiLevelType w:val="hybridMultilevel"/>
    <w:tmpl w:val="5A40E0F4"/>
    <w:lvl w:ilvl="0" w:tplc="B74A1C02">
      <w:start w:val="1"/>
      <w:numFmt w:val="bullet"/>
      <w:lvlText w:val=""/>
      <w:lvlJc w:val="left"/>
      <w:pPr>
        <w:ind w:left="720" w:hanging="360"/>
      </w:pPr>
      <w:rPr>
        <w:rFonts w:ascii="Symbol" w:hAnsi="Symbol" w:hint="default"/>
      </w:rPr>
    </w:lvl>
    <w:lvl w:ilvl="1" w:tplc="C5B4050C" w:tentative="1">
      <w:start w:val="1"/>
      <w:numFmt w:val="bullet"/>
      <w:lvlText w:val="o"/>
      <w:lvlJc w:val="left"/>
      <w:pPr>
        <w:ind w:left="1440" w:hanging="360"/>
      </w:pPr>
      <w:rPr>
        <w:rFonts w:ascii="Courier New" w:hAnsi="Courier New" w:cs="Courier New" w:hint="default"/>
      </w:rPr>
    </w:lvl>
    <w:lvl w:ilvl="2" w:tplc="EECC8BFE" w:tentative="1">
      <w:start w:val="1"/>
      <w:numFmt w:val="bullet"/>
      <w:lvlText w:val=""/>
      <w:lvlJc w:val="left"/>
      <w:pPr>
        <w:ind w:left="2160" w:hanging="360"/>
      </w:pPr>
      <w:rPr>
        <w:rFonts w:ascii="Wingdings" w:hAnsi="Wingdings" w:hint="default"/>
      </w:rPr>
    </w:lvl>
    <w:lvl w:ilvl="3" w:tplc="2D5C907A" w:tentative="1">
      <w:start w:val="1"/>
      <w:numFmt w:val="bullet"/>
      <w:lvlText w:val=""/>
      <w:lvlJc w:val="left"/>
      <w:pPr>
        <w:ind w:left="2880" w:hanging="360"/>
      </w:pPr>
      <w:rPr>
        <w:rFonts w:ascii="Symbol" w:hAnsi="Symbol" w:hint="default"/>
      </w:rPr>
    </w:lvl>
    <w:lvl w:ilvl="4" w:tplc="367C8194" w:tentative="1">
      <w:start w:val="1"/>
      <w:numFmt w:val="bullet"/>
      <w:lvlText w:val="o"/>
      <w:lvlJc w:val="left"/>
      <w:pPr>
        <w:ind w:left="3600" w:hanging="360"/>
      </w:pPr>
      <w:rPr>
        <w:rFonts w:ascii="Courier New" w:hAnsi="Courier New" w:cs="Courier New" w:hint="default"/>
      </w:rPr>
    </w:lvl>
    <w:lvl w:ilvl="5" w:tplc="6B7E3770" w:tentative="1">
      <w:start w:val="1"/>
      <w:numFmt w:val="bullet"/>
      <w:lvlText w:val=""/>
      <w:lvlJc w:val="left"/>
      <w:pPr>
        <w:ind w:left="4320" w:hanging="360"/>
      </w:pPr>
      <w:rPr>
        <w:rFonts w:ascii="Wingdings" w:hAnsi="Wingdings" w:hint="default"/>
      </w:rPr>
    </w:lvl>
    <w:lvl w:ilvl="6" w:tplc="2A1E45A8" w:tentative="1">
      <w:start w:val="1"/>
      <w:numFmt w:val="bullet"/>
      <w:lvlText w:val=""/>
      <w:lvlJc w:val="left"/>
      <w:pPr>
        <w:ind w:left="5040" w:hanging="360"/>
      </w:pPr>
      <w:rPr>
        <w:rFonts w:ascii="Symbol" w:hAnsi="Symbol" w:hint="default"/>
      </w:rPr>
    </w:lvl>
    <w:lvl w:ilvl="7" w:tplc="C778DFD4" w:tentative="1">
      <w:start w:val="1"/>
      <w:numFmt w:val="bullet"/>
      <w:lvlText w:val="o"/>
      <w:lvlJc w:val="left"/>
      <w:pPr>
        <w:ind w:left="5760" w:hanging="360"/>
      </w:pPr>
      <w:rPr>
        <w:rFonts w:ascii="Courier New" w:hAnsi="Courier New" w:cs="Courier New" w:hint="default"/>
      </w:rPr>
    </w:lvl>
    <w:lvl w:ilvl="8" w:tplc="597688DC" w:tentative="1">
      <w:start w:val="1"/>
      <w:numFmt w:val="bullet"/>
      <w:lvlText w:val=""/>
      <w:lvlJc w:val="left"/>
      <w:pPr>
        <w:ind w:left="6480" w:hanging="360"/>
      </w:pPr>
      <w:rPr>
        <w:rFonts w:ascii="Wingdings" w:hAnsi="Wingdings" w:hint="default"/>
      </w:rPr>
    </w:lvl>
  </w:abstractNum>
  <w:abstractNum w:abstractNumId="20" w15:restartNumberingAfterBreak="0">
    <w:nsid w:val="3E4C216E"/>
    <w:multiLevelType w:val="hybridMultilevel"/>
    <w:tmpl w:val="A1FA8FA2"/>
    <w:lvl w:ilvl="0" w:tplc="EB06D8F8">
      <w:start w:val="1"/>
      <w:numFmt w:val="bullet"/>
      <w:lvlText w:val=""/>
      <w:lvlJc w:val="left"/>
      <w:pPr>
        <w:ind w:left="720" w:hanging="360"/>
      </w:pPr>
      <w:rPr>
        <w:rFonts w:ascii="Wingdings" w:hAnsi="Wingdings" w:hint="default"/>
      </w:rPr>
    </w:lvl>
    <w:lvl w:ilvl="1" w:tplc="634CB506" w:tentative="1">
      <w:start w:val="1"/>
      <w:numFmt w:val="bullet"/>
      <w:lvlText w:val="o"/>
      <w:lvlJc w:val="left"/>
      <w:pPr>
        <w:ind w:left="1440" w:hanging="360"/>
      </w:pPr>
      <w:rPr>
        <w:rFonts w:ascii="Courier New" w:hAnsi="Courier New" w:cs="Courier New" w:hint="default"/>
      </w:rPr>
    </w:lvl>
    <w:lvl w:ilvl="2" w:tplc="4C7CC20E" w:tentative="1">
      <w:start w:val="1"/>
      <w:numFmt w:val="bullet"/>
      <w:lvlText w:val=""/>
      <w:lvlJc w:val="left"/>
      <w:pPr>
        <w:ind w:left="2160" w:hanging="360"/>
      </w:pPr>
      <w:rPr>
        <w:rFonts w:ascii="Wingdings" w:hAnsi="Wingdings" w:hint="default"/>
      </w:rPr>
    </w:lvl>
    <w:lvl w:ilvl="3" w:tplc="0C5A423A" w:tentative="1">
      <w:start w:val="1"/>
      <w:numFmt w:val="bullet"/>
      <w:lvlText w:val=""/>
      <w:lvlJc w:val="left"/>
      <w:pPr>
        <w:ind w:left="2880" w:hanging="360"/>
      </w:pPr>
      <w:rPr>
        <w:rFonts w:ascii="Symbol" w:hAnsi="Symbol" w:hint="default"/>
      </w:rPr>
    </w:lvl>
    <w:lvl w:ilvl="4" w:tplc="29FC1802" w:tentative="1">
      <w:start w:val="1"/>
      <w:numFmt w:val="bullet"/>
      <w:lvlText w:val="o"/>
      <w:lvlJc w:val="left"/>
      <w:pPr>
        <w:ind w:left="3600" w:hanging="360"/>
      </w:pPr>
      <w:rPr>
        <w:rFonts w:ascii="Courier New" w:hAnsi="Courier New" w:cs="Courier New" w:hint="default"/>
      </w:rPr>
    </w:lvl>
    <w:lvl w:ilvl="5" w:tplc="6E5071D0" w:tentative="1">
      <w:start w:val="1"/>
      <w:numFmt w:val="bullet"/>
      <w:lvlText w:val=""/>
      <w:lvlJc w:val="left"/>
      <w:pPr>
        <w:ind w:left="4320" w:hanging="360"/>
      </w:pPr>
      <w:rPr>
        <w:rFonts w:ascii="Wingdings" w:hAnsi="Wingdings" w:hint="default"/>
      </w:rPr>
    </w:lvl>
    <w:lvl w:ilvl="6" w:tplc="BEC896F4" w:tentative="1">
      <w:start w:val="1"/>
      <w:numFmt w:val="bullet"/>
      <w:lvlText w:val=""/>
      <w:lvlJc w:val="left"/>
      <w:pPr>
        <w:ind w:left="5040" w:hanging="360"/>
      </w:pPr>
      <w:rPr>
        <w:rFonts w:ascii="Symbol" w:hAnsi="Symbol" w:hint="default"/>
      </w:rPr>
    </w:lvl>
    <w:lvl w:ilvl="7" w:tplc="B3BCCF7E" w:tentative="1">
      <w:start w:val="1"/>
      <w:numFmt w:val="bullet"/>
      <w:lvlText w:val="o"/>
      <w:lvlJc w:val="left"/>
      <w:pPr>
        <w:ind w:left="5760" w:hanging="360"/>
      </w:pPr>
      <w:rPr>
        <w:rFonts w:ascii="Courier New" w:hAnsi="Courier New" w:cs="Courier New" w:hint="default"/>
      </w:rPr>
    </w:lvl>
    <w:lvl w:ilvl="8" w:tplc="95BA6668" w:tentative="1">
      <w:start w:val="1"/>
      <w:numFmt w:val="bullet"/>
      <w:lvlText w:val=""/>
      <w:lvlJc w:val="left"/>
      <w:pPr>
        <w:ind w:left="6480" w:hanging="360"/>
      </w:pPr>
      <w:rPr>
        <w:rFonts w:ascii="Wingdings" w:hAnsi="Wingdings" w:hint="default"/>
      </w:rPr>
    </w:lvl>
  </w:abstractNum>
  <w:abstractNum w:abstractNumId="21" w15:restartNumberingAfterBreak="0">
    <w:nsid w:val="403B46C0"/>
    <w:multiLevelType w:val="hybridMultilevel"/>
    <w:tmpl w:val="BC60498E"/>
    <w:lvl w:ilvl="0" w:tplc="4ADEB060">
      <w:start w:val="1"/>
      <w:numFmt w:val="decimal"/>
      <w:lvlText w:val="%1)"/>
      <w:lvlJc w:val="left"/>
      <w:pPr>
        <w:ind w:left="720" w:hanging="360"/>
      </w:pPr>
      <w:rPr>
        <w:rFonts w:hint="default"/>
      </w:rPr>
    </w:lvl>
    <w:lvl w:ilvl="1" w:tplc="FFCCDF20" w:tentative="1">
      <w:start w:val="1"/>
      <w:numFmt w:val="lowerLetter"/>
      <w:lvlText w:val="%2."/>
      <w:lvlJc w:val="left"/>
      <w:pPr>
        <w:ind w:left="1440" w:hanging="360"/>
      </w:pPr>
    </w:lvl>
    <w:lvl w:ilvl="2" w:tplc="588A035A" w:tentative="1">
      <w:start w:val="1"/>
      <w:numFmt w:val="lowerRoman"/>
      <w:lvlText w:val="%3."/>
      <w:lvlJc w:val="right"/>
      <w:pPr>
        <w:ind w:left="2160" w:hanging="180"/>
      </w:pPr>
    </w:lvl>
    <w:lvl w:ilvl="3" w:tplc="03C02614" w:tentative="1">
      <w:start w:val="1"/>
      <w:numFmt w:val="decimal"/>
      <w:lvlText w:val="%4."/>
      <w:lvlJc w:val="left"/>
      <w:pPr>
        <w:ind w:left="2880" w:hanging="360"/>
      </w:pPr>
    </w:lvl>
    <w:lvl w:ilvl="4" w:tplc="1FEA948A" w:tentative="1">
      <w:start w:val="1"/>
      <w:numFmt w:val="lowerLetter"/>
      <w:lvlText w:val="%5."/>
      <w:lvlJc w:val="left"/>
      <w:pPr>
        <w:ind w:left="3600" w:hanging="360"/>
      </w:pPr>
    </w:lvl>
    <w:lvl w:ilvl="5" w:tplc="1486E09E" w:tentative="1">
      <w:start w:val="1"/>
      <w:numFmt w:val="lowerRoman"/>
      <w:lvlText w:val="%6."/>
      <w:lvlJc w:val="right"/>
      <w:pPr>
        <w:ind w:left="4320" w:hanging="180"/>
      </w:pPr>
    </w:lvl>
    <w:lvl w:ilvl="6" w:tplc="9776FD30" w:tentative="1">
      <w:start w:val="1"/>
      <w:numFmt w:val="decimal"/>
      <w:lvlText w:val="%7."/>
      <w:lvlJc w:val="left"/>
      <w:pPr>
        <w:ind w:left="5040" w:hanging="360"/>
      </w:pPr>
    </w:lvl>
    <w:lvl w:ilvl="7" w:tplc="E738115E" w:tentative="1">
      <w:start w:val="1"/>
      <w:numFmt w:val="lowerLetter"/>
      <w:lvlText w:val="%8."/>
      <w:lvlJc w:val="left"/>
      <w:pPr>
        <w:ind w:left="5760" w:hanging="360"/>
      </w:pPr>
    </w:lvl>
    <w:lvl w:ilvl="8" w:tplc="91BA34B2" w:tentative="1">
      <w:start w:val="1"/>
      <w:numFmt w:val="lowerRoman"/>
      <w:lvlText w:val="%9."/>
      <w:lvlJc w:val="right"/>
      <w:pPr>
        <w:ind w:left="6480" w:hanging="180"/>
      </w:pPr>
    </w:lvl>
  </w:abstractNum>
  <w:abstractNum w:abstractNumId="22" w15:restartNumberingAfterBreak="0">
    <w:nsid w:val="42F90849"/>
    <w:multiLevelType w:val="hybridMultilevel"/>
    <w:tmpl w:val="E110BB46"/>
    <w:lvl w:ilvl="0" w:tplc="0F441D18">
      <w:start w:val="1"/>
      <w:numFmt w:val="upperRoman"/>
      <w:lvlText w:val="%1."/>
      <w:lvlJc w:val="left"/>
      <w:pPr>
        <w:ind w:left="1080" w:hanging="720"/>
      </w:pPr>
      <w:rPr>
        <w:rFonts w:hint="default"/>
      </w:rPr>
    </w:lvl>
    <w:lvl w:ilvl="1" w:tplc="9B164BFC" w:tentative="1">
      <w:start w:val="1"/>
      <w:numFmt w:val="lowerLetter"/>
      <w:lvlText w:val="%2."/>
      <w:lvlJc w:val="left"/>
      <w:pPr>
        <w:ind w:left="1440" w:hanging="360"/>
      </w:pPr>
    </w:lvl>
    <w:lvl w:ilvl="2" w:tplc="9126DEFA" w:tentative="1">
      <w:start w:val="1"/>
      <w:numFmt w:val="lowerRoman"/>
      <w:lvlText w:val="%3."/>
      <w:lvlJc w:val="right"/>
      <w:pPr>
        <w:ind w:left="2160" w:hanging="180"/>
      </w:pPr>
    </w:lvl>
    <w:lvl w:ilvl="3" w:tplc="D8E8E0A2" w:tentative="1">
      <w:start w:val="1"/>
      <w:numFmt w:val="decimal"/>
      <w:lvlText w:val="%4."/>
      <w:lvlJc w:val="left"/>
      <w:pPr>
        <w:ind w:left="2880" w:hanging="360"/>
      </w:pPr>
    </w:lvl>
    <w:lvl w:ilvl="4" w:tplc="24F63A72" w:tentative="1">
      <w:start w:val="1"/>
      <w:numFmt w:val="lowerLetter"/>
      <w:lvlText w:val="%5."/>
      <w:lvlJc w:val="left"/>
      <w:pPr>
        <w:ind w:left="3600" w:hanging="360"/>
      </w:pPr>
    </w:lvl>
    <w:lvl w:ilvl="5" w:tplc="923EFC78" w:tentative="1">
      <w:start w:val="1"/>
      <w:numFmt w:val="lowerRoman"/>
      <w:lvlText w:val="%6."/>
      <w:lvlJc w:val="right"/>
      <w:pPr>
        <w:ind w:left="4320" w:hanging="180"/>
      </w:pPr>
    </w:lvl>
    <w:lvl w:ilvl="6" w:tplc="2BBE5C34" w:tentative="1">
      <w:start w:val="1"/>
      <w:numFmt w:val="decimal"/>
      <w:lvlText w:val="%7."/>
      <w:lvlJc w:val="left"/>
      <w:pPr>
        <w:ind w:left="5040" w:hanging="360"/>
      </w:pPr>
    </w:lvl>
    <w:lvl w:ilvl="7" w:tplc="AA725938" w:tentative="1">
      <w:start w:val="1"/>
      <w:numFmt w:val="lowerLetter"/>
      <w:lvlText w:val="%8."/>
      <w:lvlJc w:val="left"/>
      <w:pPr>
        <w:ind w:left="5760" w:hanging="360"/>
      </w:pPr>
    </w:lvl>
    <w:lvl w:ilvl="8" w:tplc="31169B28" w:tentative="1">
      <w:start w:val="1"/>
      <w:numFmt w:val="lowerRoman"/>
      <w:lvlText w:val="%9."/>
      <w:lvlJc w:val="right"/>
      <w:pPr>
        <w:ind w:left="6480" w:hanging="180"/>
      </w:pPr>
    </w:lvl>
  </w:abstractNum>
  <w:abstractNum w:abstractNumId="23" w15:restartNumberingAfterBreak="0">
    <w:nsid w:val="44594255"/>
    <w:multiLevelType w:val="hybridMultilevel"/>
    <w:tmpl w:val="E94217B2"/>
    <w:lvl w:ilvl="0" w:tplc="F3885568">
      <w:start w:val="1"/>
      <w:numFmt w:val="decimal"/>
      <w:lvlText w:val="%1."/>
      <w:lvlJc w:val="left"/>
      <w:pPr>
        <w:ind w:left="1287" w:hanging="360"/>
      </w:pPr>
    </w:lvl>
    <w:lvl w:ilvl="1" w:tplc="CB3676CC">
      <w:start w:val="1"/>
      <w:numFmt w:val="decimal"/>
      <w:lvlText w:val="%2."/>
      <w:lvlJc w:val="left"/>
      <w:pPr>
        <w:ind w:left="2007" w:hanging="360"/>
      </w:pPr>
    </w:lvl>
    <w:lvl w:ilvl="2" w:tplc="12967304" w:tentative="1">
      <w:start w:val="1"/>
      <w:numFmt w:val="lowerRoman"/>
      <w:lvlText w:val="%3."/>
      <w:lvlJc w:val="right"/>
      <w:pPr>
        <w:ind w:left="2727" w:hanging="180"/>
      </w:pPr>
    </w:lvl>
    <w:lvl w:ilvl="3" w:tplc="C38C6E90" w:tentative="1">
      <w:start w:val="1"/>
      <w:numFmt w:val="decimal"/>
      <w:lvlText w:val="%4."/>
      <w:lvlJc w:val="left"/>
      <w:pPr>
        <w:ind w:left="3447" w:hanging="360"/>
      </w:pPr>
    </w:lvl>
    <w:lvl w:ilvl="4" w:tplc="23F83DB0" w:tentative="1">
      <w:start w:val="1"/>
      <w:numFmt w:val="lowerLetter"/>
      <w:lvlText w:val="%5."/>
      <w:lvlJc w:val="left"/>
      <w:pPr>
        <w:ind w:left="4167" w:hanging="360"/>
      </w:pPr>
    </w:lvl>
    <w:lvl w:ilvl="5" w:tplc="166233CC" w:tentative="1">
      <w:start w:val="1"/>
      <w:numFmt w:val="lowerRoman"/>
      <w:lvlText w:val="%6."/>
      <w:lvlJc w:val="right"/>
      <w:pPr>
        <w:ind w:left="4887" w:hanging="180"/>
      </w:pPr>
    </w:lvl>
    <w:lvl w:ilvl="6" w:tplc="83A492E2" w:tentative="1">
      <w:start w:val="1"/>
      <w:numFmt w:val="decimal"/>
      <w:lvlText w:val="%7."/>
      <w:lvlJc w:val="left"/>
      <w:pPr>
        <w:ind w:left="5607" w:hanging="360"/>
      </w:pPr>
    </w:lvl>
    <w:lvl w:ilvl="7" w:tplc="4A9CD820" w:tentative="1">
      <w:start w:val="1"/>
      <w:numFmt w:val="lowerLetter"/>
      <w:lvlText w:val="%8."/>
      <w:lvlJc w:val="left"/>
      <w:pPr>
        <w:ind w:left="6327" w:hanging="360"/>
      </w:pPr>
    </w:lvl>
    <w:lvl w:ilvl="8" w:tplc="BF92BEB4" w:tentative="1">
      <w:start w:val="1"/>
      <w:numFmt w:val="lowerRoman"/>
      <w:lvlText w:val="%9."/>
      <w:lvlJc w:val="right"/>
      <w:pPr>
        <w:ind w:left="7047" w:hanging="180"/>
      </w:pPr>
    </w:lvl>
  </w:abstractNum>
  <w:abstractNum w:abstractNumId="24" w15:restartNumberingAfterBreak="0">
    <w:nsid w:val="4820273F"/>
    <w:multiLevelType w:val="hybridMultilevel"/>
    <w:tmpl w:val="A6F6C694"/>
    <w:lvl w:ilvl="0" w:tplc="60286E3C">
      <w:numFmt w:val="bullet"/>
      <w:lvlText w:val="-"/>
      <w:lvlJc w:val="left"/>
      <w:pPr>
        <w:ind w:left="720" w:hanging="360"/>
      </w:pPr>
      <w:rPr>
        <w:rFonts w:ascii="Arial" w:eastAsia="Times New Roman" w:hAnsi="Arial" w:hint="default"/>
      </w:rPr>
    </w:lvl>
    <w:lvl w:ilvl="1" w:tplc="5B484D86" w:tentative="1">
      <w:start w:val="1"/>
      <w:numFmt w:val="bullet"/>
      <w:lvlText w:val="o"/>
      <w:lvlJc w:val="left"/>
      <w:pPr>
        <w:ind w:left="1440" w:hanging="360"/>
      </w:pPr>
      <w:rPr>
        <w:rFonts w:ascii="Courier New" w:hAnsi="Courier New" w:cs="Courier New" w:hint="default"/>
      </w:rPr>
    </w:lvl>
    <w:lvl w:ilvl="2" w:tplc="6F9065EE" w:tentative="1">
      <w:start w:val="1"/>
      <w:numFmt w:val="bullet"/>
      <w:lvlText w:val=""/>
      <w:lvlJc w:val="left"/>
      <w:pPr>
        <w:ind w:left="2160" w:hanging="360"/>
      </w:pPr>
      <w:rPr>
        <w:rFonts w:ascii="Wingdings" w:hAnsi="Wingdings" w:hint="default"/>
      </w:rPr>
    </w:lvl>
    <w:lvl w:ilvl="3" w:tplc="C1CC38C6" w:tentative="1">
      <w:start w:val="1"/>
      <w:numFmt w:val="bullet"/>
      <w:lvlText w:val=""/>
      <w:lvlJc w:val="left"/>
      <w:pPr>
        <w:ind w:left="2880" w:hanging="360"/>
      </w:pPr>
      <w:rPr>
        <w:rFonts w:ascii="Symbol" w:hAnsi="Symbol" w:hint="default"/>
      </w:rPr>
    </w:lvl>
    <w:lvl w:ilvl="4" w:tplc="520ABF2A" w:tentative="1">
      <w:start w:val="1"/>
      <w:numFmt w:val="bullet"/>
      <w:lvlText w:val="o"/>
      <w:lvlJc w:val="left"/>
      <w:pPr>
        <w:ind w:left="3600" w:hanging="360"/>
      </w:pPr>
      <w:rPr>
        <w:rFonts w:ascii="Courier New" w:hAnsi="Courier New" w:cs="Courier New" w:hint="default"/>
      </w:rPr>
    </w:lvl>
    <w:lvl w:ilvl="5" w:tplc="23D4DE8A" w:tentative="1">
      <w:start w:val="1"/>
      <w:numFmt w:val="bullet"/>
      <w:lvlText w:val=""/>
      <w:lvlJc w:val="left"/>
      <w:pPr>
        <w:ind w:left="4320" w:hanging="360"/>
      </w:pPr>
      <w:rPr>
        <w:rFonts w:ascii="Wingdings" w:hAnsi="Wingdings" w:hint="default"/>
      </w:rPr>
    </w:lvl>
    <w:lvl w:ilvl="6" w:tplc="D7241F8A" w:tentative="1">
      <w:start w:val="1"/>
      <w:numFmt w:val="bullet"/>
      <w:lvlText w:val=""/>
      <w:lvlJc w:val="left"/>
      <w:pPr>
        <w:ind w:left="5040" w:hanging="360"/>
      </w:pPr>
      <w:rPr>
        <w:rFonts w:ascii="Symbol" w:hAnsi="Symbol" w:hint="default"/>
      </w:rPr>
    </w:lvl>
    <w:lvl w:ilvl="7" w:tplc="5AAA9648" w:tentative="1">
      <w:start w:val="1"/>
      <w:numFmt w:val="bullet"/>
      <w:lvlText w:val="o"/>
      <w:lvlJc w:val="left"/>
      <w:pPr>
        <w:ind w:left="5760" w:hanging="360"/>
      </w:pPr>
      <w:rPr>
        <w:rFonts w:ascii="Courier New" w:hAnsi="Courier New" w:cs="Courier New" w:hint="default"/>
      </w:rPr>
    </w:lvl>
    <w:lvl w:ilvl="8" w:tplc="B4720328" w:tentative="1">
      <w:start w:val="1"/>
      <w:numFmt w:val="bullet"/>
      <w:lvlText w:val=""/>
      <w:lvlJc w:val="left"/>
      <w:pPr>
        <w:ind w:left="6480" w:hanging="360"/>
      </w:pPr>
      <w:rPr>
        <w:rFonts w:ascii="Wingdings" w:hAnsi="Wingdings" w:hint="default"/>
      </w:rPr>
    </w:lvl>
  </w:abstractNum>
  <w:abstractNum w:abstractNumId="25" w15:restartNumberingAfterBreak="0">
    <w:nsid w:val="497014F4"/>
    <w:multiLevelType w:val="hybridMultilevel"/>
    <w:tmpl w:val="682CFE42"/>
    <w:lvl w:ilvl="0" w:tplc="DEB2D128">
      <w:start w:val="1"/>
      <w:numFmt w:val="decimal"/>
      <w:lvlText w:val="%1."/>
      <w:lvlJc w:val="left"/>
      <w:pPr>
        <w:ind w:left="720" w:hanging="360"/>
      </w:pPr>
      <w:rPr>
        <w:rFonts w:hint="default"/>
        <w:i w:val="0"/>
      </w:rPr>
    </w:lvl>
    <w:lvl w:ilvl="1" w:tplc="AB1A9674" w:tentative="1">
      <w:start w:val="1"/>
      <w:numFmt w:val="lowerLetter"/>
      <w:lvlText w:val="%2."/>
      <w:lvlJc w:val="left"/>
      <w:pPr>
        <w:ind w:left="1440" w:hanging="360"/>
      </w:pPr>
    </w:lvl>
    <w:lvl w:ilvl="2" w:tplc="70E69E10" w:tentative="1">
      <w:start w:val="1"/>
      <w:numFmt w:val="lowerRoman"/>
      <w:lvlText w:val="%3."/>
      <w:lvlJc w:val="right"/>
      <w:pPr>
        <w:ind w:left="2160" w:hanging="180"/>
      </w:pPr>
    </w:lvl>
    <w:lvl w:ilvl="3" w:tplc="38B6193E" w:tentative="1">
      <w:start w:val="1"/>
      <w:numFmt w:val="decimal"/>
      <w:lvlText w:val="%4."/>
      <w:lvlJc w:val="left"/>
      <w:pPr>
        <w:ind w:left="2880" w:hanging="360"/>
      </w:pPr>
    </w:lvl>
    <w:lvl w:ilvl="4" w:tplc="C9B4B2E4" w:tentative="1">
      <w:start w:val="1"/>
      <w:numFmt w:val="lowerLetter"/>
      <w:lvlText w:val="%5."/>
      <w:lvlJc w:val="left"/>
      <w:pPr>
        <w:ind w:left="3600" w:hanging="360"/>
      </w:pPr>
    </w:lvl>
    <w:lvl w:ilvl="5" w:tplc="4720F380" w:tentative="1">
      <w:start w:val="1"/>
      <w:numFmt w:val="lowerRoman"/>
      <w:lvlText w:val="%6."/>
      <w:lvlJc w:val="right"/>
      <w:pPr>
        <w:ind w:left="4320" w:hanging="180"/>
      </w:pPr>
    </w:lvl>
    <w:lvl w:ilvl="6" w:tplc="07686E80" w:tentative="1">
      <w:start w:val="1"/>
      <w:numFmt w:val="decimal"/>
      <w:lvlText w:val="%7."/>
      <w:lvlJc w:val="left"/>
      <w:pPr>
        <w:ind w:left="5040" w:hanging="360"/>
      </w:pPr>
    </w:lvl>
    <w:lvl w:ilvl="7" w:tplc="A07AE02C" w:tentative="1">
      <w:start w:val="1"/>
      <w:numFmt w:val="lowerLetter"/>
      <w:lvlText w:val="%8."/>
      <w:lvlJc w:val="left"/>
      <w:pPr>
        <w:ind w:left="5760" w:hanging="360"/>
      </w:pPr>
    </w:lvl>
    <w:lvl w:ilvl="8" w:tplc="7778CB78" w:tentative="1">
      <w:start w:val="1"/>
      <w:numFmt w:val="lowerRoman"/>
      <w:lvlText w:val="%9."/>
      <w:lvlJc w:val="right"/>
      <w:pPr>
        <w:ind w:left="6480" w:hanging="180"/>
      </w:pPr>
    </w:lvl>
  </w:abstractNum>
  <w:abstractNum w:abstractNumId="26" w15:restartNumberingAfterBreak="0">
    <w:nsid w:val="563F0454"/>
    <w:multiLevelType w:val="hybridMultilevel"/>
    <w:tmpl w:val="55CE5B2E"/>
    <w:lvl w:ilvl="0" w:tplc="618C9206">
      <w:start w:val="1"/>
      <w:numFmt w:val="bullet"/>
      <w:lvlText w:val=""/>
      <w:lvlJc w:val="left"/>
      <w:pPr>
        <w:ind w:left="720" w:hanging="360"/>
      </w:pPr>
      <w:rPr>
        <w:rFonts w:ascii="Symbol" w:hAnsi="Symbol" w:hint="default"/>
      </w:rPr>
    </w:lvl>
    <w:lvl w:ilvl="1" w:tplc="99DE74E0" w:tentative="1">
      <w:start w:val="1"/>
      <w:numFmt w:val="bullet"/>
      <w:lvlText w:val="o"/>
      <w:lvlJc w:val="left"/>
      <w:pPr>
        <w:ind w:left="1440" w:hanging="360"/>
      </w:pPr>
      <w:rPr>
        <w:rFonts w:ascii="Courier New" w:hAnsi="Courier New" w:cs="Courier New" w:hint="default"/>
      </w:rPr>
    </w:lvl>
    <w:lvl w:ilvl="2" w:tplc="53FA322E" w:tentative="1">
      <w:start w:val="1"/>
      <w:numFmt w:val="bullet"/>
      <w:lvlText w:val=""/>
      <w:lvlJc w:val="left"/>
      <w:pPr>
        <w:ind w:left="2160" w:hanging="360"/>
      </w:pPr>
      <w:rPr>
        <w:rFonts w:ascii="Wingdings" w:hAnsi="Wingdings" w:hint="default"/>
      </w:rPr>
    </w:lvl>
    <w:lvl w:ilvl="3" w:tplc="67A6B6C6" w:tentative="1">
      <w:start w:val="1"/>
      <w:numFmt w:val="bullet"/>
      <w:lvlText w:val=""/>
      <w:lvlJc w:val="left"/>
      <w:pPr>
        <w:ind w:left="2880" w:hanging="360"/>
      </w:pPr>
      <w:rPr>
        <w:rFonts w:ascii="Symbol" w:hAnsi="Symbol" w:hint="default"/>
      </w:rPr>
    </w:lvl>
    <w:lvl w:ilvl="4" w:tplc="3F423036" w:tentative="1">
      <w:start w:val="1"/>
      <w:numFmt w:val="bullet"/>
      <w:lvlText w:val="o"/>
      <w:lvlJc w:val="left"/>
      <w:pPr>
        <w:ind w:left="3600" w:hanging="360"/>
      </w:pPr>
      <w:rPr>
        <w:rFonts w:ascii="Courier New" w:hAnsi="Courier New" w:cs="Courier New" w:hint="default"/>
      </w:rPr>
    </w:lvl>
    <w:lvl w:ilvl="5" w:tplc="D924B1E4" w:tentative="1">
      <w:start w:val="1"/>
      <w:numFmt w:val="bullet"/>
      <w:lvlText w:val=""/>
      <w:lvlJc w:val="left"/>
      <w:pPr>
        <w:ind w:left="4320" w:hanging="360"/>
      </w:pPr>
      <w:rPr>
        <w:rFonts w:ascii="Wingdings" w:hAnsi="Wingdings" w:hint="default"/>
      </w:rPr>
    </w:lvl>
    <w:lvl w:ilvl="6" w:tplc="FBDE3104" w:tentative="1">
      <w:start w:val="1"/>
      <w:numFmt w:val="bullet"/>
      <w:lvlText w:val=""/>
      <w:lvlJc w:val="left"/>
      <w:pPr>
        <w:ind w:left="5040" w:hanging="360"/>
      </w:pPr>
      <w:rPr>
        <w:rFonts w:ascii="Symbol" w:hAnsi="Symbol" w:hint="default"/>
      </w:rPr>
    </w:lvl>
    <w:lvl w:ilvl="7" w:tplc="D9345B84" w:tentative="1">
      <w:start w:val="1"/>
      <w:numFmt w:val="bullet"/>
      <w:lvlText w:val="o"/>
      <w:lvlJc w:val="left"/>
      <w:pPr>
        <w:ind w:left="5760" w:hanging="360"/>
      </w:pPr>
      <w:rPr>
        <w:rFonts w:ascii="Courier New" w:hAnsi="Courier New" w:cs="Courier New" w:hint="default"/>
      </w:rPr>
    </w:lvl>
    <w:lvl w:ilvl="8" w:tplc="69B0EE54" w:tentative="1">
      <w:start w:val="1"/>
      <w:numFmt w:val="bullet"/>
      <w:lvlText w:val=""/>
      <w:lvlJc w:val="left"/>
      <w:pPr>
        <w:ind w:left="6480" w:hanging="360"/>
      </w:pPr>
      <w:rPr>
        <w:rFonts w:ascii="Wingdings" w:hAnsi="Wingdings" w:hint="default"/>
      </w:rPr>
    </w:lvl>
  </w:abstractNum>
  <w:abstractNum w:abstractNumId="27" w15:restartNumberingAfterBreak="0">
    <w:nsid w:val="57C72E22"/>
    <w:multiLevelType w:val="hybridMultilevel"/>
    <w:tmpl w:val="174AF5C6"/>
    <w:lvl w:ilvl="0" w:tplc="61021324">
      <w:start w:val="1"/>
      <w:numFmt w:val="lowerLetter"/>
      <w:lvlText w:val="%1)"/>
      <w:lvlJc w:val="left"/>
      <w:pPr>
        <w:ind w:left="720" w:hanging="360"/>
      </w:pPr>
    </w:lvl>
    <w:lvl w:ilvl="1" w:tplc="9CC6DAC8" w:tentative="1">
      <w:start w:val="1"/>
      <w:numFmt w:val="lowerLetter"/>
      <w:lvlText w:val="%2."/>
      <w:lvlJc w:val="left"/>
      <w:pPr>
        <w:ind w:left="1440" w:hanging="360"/>
      </w:pPr>
    </w:lvl>
    <w:lvl w:ilvl="2" w:tplc="BE9855B4" w:tentative="1">
      <w:start w:val="1"/>
      <w:numFmt w:val="lowerRoman"/>
      <w:lvlText w:val="%3."/>
      <w:lvlJc w:val="right"/>
      <w:pPr>
        <w:ind w:left="2160" w:hanging="180"/>
      </w:pPr>
    </w:lvl>
    <w:lvl w:ilvl="3" w:tplc="6CEAEF82" w:tentative="1">
      <w:start w:val="1"/>
      <w:numFmt w:val="decimal"/>
      <w:lvlText w:val="%4."/>
      <w:lvlJc w:val="left"/>
      <w:pPr>
        <w:ind w:left="2880" w:hanging="360"/>
      </w:pPr>
    </w:lvl>
    <w:lvl w:ilvl="4" w:tplc="0C7A099C" w:tentative="1">
      <w:start w:val="1"/>
      <w:numFmt w:val="lowerLetter"/>
      <w:lvlText w:val="%5."/>
      <w:lvlJc w:val="left"/>
      <w:pPr>
        <w:ind w:left="3600" w:hanging="360"/>
      </w:pPr>
    </w:lvl>
    <w:lvl w:ilvl="5" w:tplc="0296A270" w:tentative="1">
      <w:start w:val="1"/>
      <w:numFmt w:val="lowerRoman"/>
      <w:lvlText w:val="%6."/>
      <w:lvlJc w:val="right"/>
      <w:pPr>
        <w:ind w:left="4320" w:hanging="180"/>
      </w:pPr>
    </w:lvl>
    <w:lvl w:ilvl="6" w:tplc="37AC3606" w:tentative="1">
      <w:start w:val="1"/>
      <w:numFmt w:val="decimal"/>
      <w:lvlText w:val="%7."/>
      <w:lvlJc w:val="left"/>
      <w:pPr>
        <w:ind w:left="5040" w:hanging="360"/>
      </w:pPr>
    </w:lvl>
    <w:lvl w:ilvl="7" w:tplc="DA1CEFFA" w:tentative="1">
      <w:start w:val="1"/>
      <w:numFmt w:val="lowerLetter"/>
      <w:lvlText w:val="%8."/>
      <w:lvlJc w:val="left"/>
      <w:pPr>
        <w:ind w:left="5760" w:hanging="360"/>
      </w:pPr>
    </w:lvl>
    <w:lvl w:ilvl="8" w:tplc="F174732C" w:tentative="1">
      <w:start w:val="1"/>
      <w:numFmt w:val="lowerRoman"/>
      <w:lvlText w:val="%9."/>
      <w:lvlJc w:val="right"/>
      <w:pPr>
        <w:ind w:left="6480" w:hanging="180"/>
      </w:pPr>
    </w:lvl>
  </w:abstractNum>
  <w:abstractNum w:abstractNumId="28" w15:restartNumberingAfterBreak="0">
    <w:nsid w:val="57DC4F62"/>
    <w:multiLevelType w:val="hybridMultilevel"/>
    <w:tmpl w:val="3B1AB040"/>
    <w:lvl w:ilvl="0" w:tplc="164A56AE">
      <w:start w:val="1"/>
      <w:numFmt w:val="decimal"/>
      <w:lvlText w:val="%1)"/>
      <w:lvlJc w:val="left"/>
      <w:pPr>
        <w:ind w:left="360" w:hanging="360"/>
      </w:pPr>
    </w:lvl>
    <w:lvl w:ilvl="1" w:tplc="C6A68A80">
      <w:start w:val="1"/>
      <w:numFmt w:val="bullet"/>
      <w:lvlText w:val=""/>
      <w:lvlJc w:val="left"/>
      <w:pPr>
        <w:ind w:left="1440" w:hanging="360"/>
      </w:pPr>
      <w:rPr>
        <w:rFonts w:ascii="Symbol" w:hAnsi="Symbol" w:hint="default"/>
      </w:rPr>
    </w:lvl>
    <w:lvl w:ilvl="2" w:tplc="F6024092" w:tentative="1">
      <w:start w:val="1"/>
      <w:numFmt w:val="lowerRoman"/>
      <w:lvlText w:val="%3."/>
      <w:lvlJc w:val="right"/>
      <w:pPr>
        <w:ind w:left="2160" w:hanging="180"/>
      </w:pPr>
    </w:lvl>
    <w:lvl w:ilvl="3" w:tplc="A5120C70" w:tentative="1">
      <w:start w:val="1"/>
      <w:numFmt w:val="decimal"/>
      <w:lvlText w:val="%4."/>
      <w:lvlJc w:val="left"/>
      <w:pPr>
        <w:ind w:left="2880" w:hanging="360"/>
      </w:pPr>
    </w:lvl>
    <w:lvl w:ilvl="4" w:tplc="8DF2E610" w:tentative="1">
      <w:start w:val="1"/>
      <w:numFmt w:val="lowerLetter"/>
      <w:lvlText w:val="%5."/>
      <w:lvlJc w:val="left"/>
      <w:pPr>
        <w:ind w:left="3600" w:hanging="360"/>
      </w:pPr>
    </w:lvl>
    <w:lvl w:ilvl="5" w:tplc="951836A8" w:tentative="1">
      <w:start w:val="1"/>
      <w:numFmt w:val="lowerRoman"/>
      <w:lvlText w:val="%6."/>
      <w:lvlJc w:val="right"/>
      <w:pPr>
        <w:ind w:left="4320" w:hanging="180"/>
      </w:pPr>
    </w:lvl>
    <w:lvl w:ilvl="6" w:tplc="2E62E80E" w:tentative="1">
      <w:start w:val="1"/>
      <w:numFmt w:val="decimal"/>
      <w:lvlText w:val="%7."/>
      <w:lvlJc w:val="left"/>
      <w:pPr>
        <w:ind w:left="5040" w:hanging="360"/>
      </w:pPr>
    </w:lvl>
    <w:lvl w:ilvl="7" w:tplc="0E82EFB6" w:tentative="1">
      <w:start w:val="1"/>
      <w:numFmt w:val="lowerLetter"/>
      <w:lvlText w:val="%8."/>
      <w:lvlJc w:val="left"/>
      <w:pPr>
        <w:ind w:left="5760" w:hanging="360"/>
      </w:pPr>
    </w:lvl>
    <w:lvl w:ilvl="8" w:tplc="9852F526" w:tentative="1">
      <w:start w:val="1"/>
      <w:numFmt w:val="lowerRoman"/>
      <w:lvlText w:val="%9."/>
      <w:lvlJc w:val="right"/>
      <w:pPr>
        <w:ind w:left="6480" w:hanging="180"/>
      </w:pPr>
    </w:lvl>
  </w:abstractNum>
  <w:abstractNum w:abstractNumId="29" w15:restartNumberingAfterBreak="0">
    <w:nsid w:val="58044E78"/>
    <w:multiLevelType w:val="hybridMultilevel"/>
    <w:tmpl w:val="215C4FEE"/>
    <w:lvl w:ilvl="0" w:tplc="A2D2E8F6">
      <w:start w:val="1"/>
      <w:numFmt w:val="bullet"/>
      <w:lvlText w:val=""/>
      <w:lvlJc w:val="left"/>
      <w:pPr>
        <w:ind w:left="720" w:hanging="360"/>
      </w:pPr>
      <w:rPr>
        <w:rFonts w:ascii="Wingdings" w:hAnsi="Wingdings" w:hint="default"/>
      </w:rPr>
    </w:lvl>
    <w:lvl w:ilvl="1" w:tplc="B366C7E0" w:tentative="1">
      <w:start w:val="1"/>
      <w:numFmt w:val="bullet"/>
      <w:lvlText w:val="o"/>
      <w:lvlJc w:val="left"/>
      <w:pPr>
        <w:ind w:left="1440" w:hanging="360"/>
      </w:pPr>
      <w:rPr>
        <w:rFonts w:ascii="Courier New" w:hAnsi="Courier New" w:cs="Courier New" w:hint="default"/>
      </w:rPr>
    </w:lvl>
    <w:lvl w:ilvl="2" w:tplc="59FC961E" w:tentative="1">
      <w:start w:val="1"/>
      <w:numFmt w:val="bullet"/>
      <w:lvlText w:val=""/>
      <w:lvlJc w:val="left"/>
      <w:pPr>
        <w:ind w:left="2160" w:hanging="360"/>
      </w:pPr>
      <w:rPr>
        <w:rFonts w:ascii="Wingdings" w:hAnsi="Wingdings" w:hint="default"/>
      </w:rPr>
    </w:lvl>
    <w:lvl w:ilvl="3" w:tplc="60A4F118" w:tentative="1">
      <w:start w:val="1"/>
      <w:numFmt w:val="bullet"/>
      <w:lvlText w:val=""/>
      <w:lvlJc w:val="left"/>
      <w:pPr>
        <w:ind w:left="2880" w:hanging="360"/>
      </w:pPr>
      <w:rPr>
        <w:rFonts w:ascii="Symbol" w:hAnsi="Symbol" w:hint="default"/>
      </w:rPr>
    </w:lvl>
    <w:lvl w:ilvl="4" w:tplc="B17C5A52" w:tentative="1">
      <w:start w:val="1"/>
      <w:numFmt w:val="bullet"/>
      <w:lvlText w:val="o"/>
      <w:lvlJc w:val="left"/>
      <w:pPr>
        <w:ind w:left="3600" w:hanging="360"/>
      </w:pPr>
      <w:rPr>
        <w:rFonts w:ascii="Courier New" w:hAnsi="Courier New" w:cs="Courier New" w:hint="default"/>
      </w:rPr>
    </w:lvl>
    <w:lvl w:ilvl="5" w:tplc="68726FFA" w:tentative="1">
      <w:start w:val="1"/>
      <w:numFmt w:val="bullet"/>
      <w:lvlText w:val=""/>
      <w:lvlJc w:val="left"/>
      <w:pPr>
        <w:ind w:left="4320" w:hanging="360"/>
      </w:pPr>
      <w:rPr>
        <w:rFonts w:ascii="Wingdings" w:hAnsi="Wingdings" w:hint="default"/>
      </w:rPr>
    </w:lvl>
    <w:lvl w:ilvl="6" w:tplc="28C8CCEE" w:tentative="1">
      <w:start w:val="1"/>
      <w:numFmt w:val="bullet"/>
      <w:lvlText w:val=""/>
      <w:lvlJc w:val="left"/>
      <w:pPr>
        <w:ind w:left="5040" w:hanging="360"/>
      </w:pPr>
      <w:rPr>
        <w:rFonts w:ascii="Symbol" w:hAnsi="Symbol" w:hint="default"/>
      </w:rPr>
    </w:lvl>
    <w:lvl w:ilvl="7" w:tplc="7234BEBE" w:tentative="1">
      <w:start w:val="1"/>
      <w:numFmt w:val="bullet"/>
      <w:lvlText w:val="o"/>
      <w:lvlJc w:val="left"/>
      <w:pPr>
        <w:ind w:left="5760" w:hanging="360"/>
      </w:pPr>
      <w:rPr>
        <w:rFonts w:ascii="Courier New" w:hAnsi="Courier New" w:cs="Courier New" w:hint="default"/>
      </w:rPr>
    </w:lvl>
    <w:lvl w:ilvl="8" w:tplc="F3BE7F04" w:tentative="1">
      <w:start w:val="1"/>
      <w:numFmt w:val="bullet"/>
      <w:lvlText w:val=""/>
      <w:lvlJc w:val="left"/>
      <w:pPr>
        <w:ind w:left="6480" w:hanging="360"/>
      </w:pPr>
      <w:rPr>
        <w:rFonts w:ascii="Wingdings" w:hAnsi="Wingdings" w:hint="default"/>
      </w:rPr>
    </w:lvl>
  </w:abstractNum>
  <w:abstractNum w:abstractNumId="30" w15:restartNumberingAfterBreak="0">
    <w:nsid w:val="5DB06E0D"/>
    <w:multiLevelType w:val="hybridMultilevel"/>
    <w:tmpl w:val="3776F62E"/>
    <w:lvl w:ilvl="0" w:tplc="11927E88">
      <w:start w:val="2"/>
      <w:numFmt w:val="bullet"/>
      <w:lvlText w:val="-"/>
      <w:lvlJc w:val="left"/>
      <w:pPr>
        <w:ind w:left="720" w:hanging="360"/>
      </w:pPr>
      <w:rPr>
        <w:rFonts w:ascii="Calibri" w:eastAsiaTheme="minorHAnsi" w:hAnsi="Calibri" w:cs="Calibri" w:hint="default"/>
      </w:rPr>
    </w:lvl>
    <w:lvl w:ilvl="1" w:tplc="A9C8C826" w:tentative="1">
      <w:start w:val="1"/>
      <w:numFmt w:val="bullet"/>
      <w:lvlText w:val="o"/>
      <w:lvlJc w:val="left"/>
      <w:pPr>
        <w:ind w:left="1440" w:hanging="360"/>
      </w:pPr>
      <w:rPr>
        <w:rFonts w:ascii="Courier New" w:hAnsi="Courier New" w:cs="Courier New" w:hint="default"/>
      </w:rPr>
    </w:lvl>
    <w:lvl w:ilvl="2" w:tplc="063432FE" w:tentative="1">
      <w:start w:val="1"/>
      <w:numFmt w:val="bullet"/>
      <w:lvlText w:val=""/>
      <w:lvlJc w:val="left"/>
      <w:pPr>
        <w:ind w:left="2160" w:hanging="360"/>
      </w:pPr>
      <w:rPr>
        <w:rFonts w:ascii="Wingdings" w:hAnsi="Wingdings" w:hint="default"/>
      </w:rPr>
    </w:lvl>
    <w:lvl w:ilvl="3" w:tplc="83B06DC4" w:tentative="1">
      <w:start w:val="1"/>
      <w:numFmt w:val="bullet"/>
      <w:lvlText w:val=""/>
      <w:lvlJc w:val="left"/>
      <w:pPr>
        <w:ind w:left="2880" w:hanging="360"/>
      </w:pPr>
      <w:rPr>
        <w:rFonts w:ascii="Symbol" w:hAnsi="Symbol" w:hint="default"/>
      </w:rPr>
    </w:lvl>
    <w:lvl w:ilvl="4" w:tplc="81A2894A" w:tentative="1">
      <w:start w:val="1"/>
      <w:numFmt w:val="bullet"/>
      <w:lvlText w:val="o"/>
      <w:lvlJc w:val="left"/>
      <w:pPr>
        <w:ind w:left="3600" w:hanging="360"/>
      </w:pPr>
      <w:rPr>
        <w:rFonts w:ascii="Courier New" w:hAnsi="Courier New" w:cs="Courier New" w:hint="default"/>
      </w:rPr>
    </w:lvl>
    <w:lvl w:ilvl="5" w:tplc="81C015B0" w:tentative="1">
      <w:start w:val="1"/>
      <w:numFmt w:val="bullet"/>
      <w:lvlText w:val=""/>
      <w:lvlJc w:val="left"/>
      <w:pPr>
        <w:ind w:left="4320" w:hanging="360"/>
      </w:pPr>
      <w:rPr>
        <w:rFonts w:ascii="Wingdings" w:hAnsi="Wingdings" w:hint="default"/>
      </w:rPr>
    </w:lvl>
    <w:lvl w:ilvl="6" w:tplc="4C8AD10E" w:tentative="1">
      <w:start w:val="1"/>
      <w:numFmt w:val="bullet"/>
      <w:lvlText w:val=""/>
      <w:lvlJc w:val="left"/>
      <w:pPr>
        <w:ind w:left="5040" w:hanging="360"/>
      </w:pPr>
      <w:rPr>
        <w:rFonts w:ascii="Symbol" w:hAnsi="Symbol" w:hint="default"/>
      </w:rPr>
    </w:lvl>
    <w:lvl w:ilvl="7" w:tplc="C0F29670" w:tentative="1">
      <w:start w:val="1"/>
      <w:numFmt w:val="bullet"/>
      <w:lvlText w:val="o"/>
      <w:lvlJc w:val="left"/>
      <w:pPr>
        <w:ind w:left="5760" w:hanging="360"/>
      </w:pPr>
      <w:rPr>
        <w:rFonts w:ascii="Courier New" w:hAnsi="Courier New" w:cs="Courier New" w:hint="default"/>
      </w:rPr>
    </w:lvl>
    <w:lvl w:ilvl="8" w:tplc="E2127A4E" w:tentative="1">
      <w:start w:val="1"/>
      <w:numFmt w:val="bullet"/>
      <w:lvlText w:val=""/>
      <w:lvlJc w:val="left"/>
      <w:pPr>
        <w:ind w:left="6480" w:hanging="360"/>
      </w:pPr>
      <w:rPr>
        <w:rFonts w:ascii="Wingdings" w:hAnsi="Wingdings" w:hint="default"/>
      </w:rPr>
    </w:lvl>
  </w:abstractNum>
  <w:abstractNum w:abstractNumId="31" w15:restartNumberingAfterBreak="0">
    <w:nsid w:val="5E8973CE"/>
    <w:multiLevelType w:val="hybridMultilevel"/>
    <w:tmpl w:val="CA9A0B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4111EFF"/>
    <w:multiLevelType w:val="hybridMultilevel"/>
    <w:tmpl w:val="CDAAB324"/>
    <w:lvl w:ilvl="0" w:tplc="0ACA5AF6">
      <w:start w:val="1"/>
      <w:numFmt w:val="bullet"/>
      <w:lvlText w:val=""/>
      <w:lvlJc w:val="left"/>
      <w:pPr>
        <w:ind w:left="720" w:hanging="360"/>
      </w:pPr>
      <w:rPr>
        <w:rFonts w:ascii="Wingdings" w:hAnsi="Wingdings" w:hint="default"/>
      </w:rPr>
    </w:lvl>
    <w:lvl w:ilvl="1" w:tplc="20723EAE" w:tentative="1">
      <w:start w:val="1"/>
      <w:numFmt w:val="bullet"/>
      <w:lvlText w:val="o"/>
      <w:lvlJc w:val="left"/>
      <w:pPr>
        <w:ind w:left="1440" w:hanging="360"/>
      </w:pPr>
      <w:rPr>
        <w:rFonts w:ascii="Courier New" w:hAnsi="Courier New" w:cs="Courier New" w:hint="default"/>
      </w:rPr>
    </w:lvl>
    <w:lvl w:ilvl="2" w:tplc="1E10BB26" w:tentative="1">
      <w:start w:val="1"/>
      <w:numFmt w:val="bullet"/>
      <w:lvlText w:val=""/>
      <w:lvlJc w:val="left"/>
      <w:pPr>
        <w:ind w:left="2160" w:hanging="360"/>
      </w:pPr>
      <w:rPr>
        <w:rFonts w:ascii="Wingdings" w:hAnsi="Wingdings" w:hint="default"/>
      </w:rPr>
    </w:lvl>
    <w:lvl w:ilvl="3" w:tplc="4D3C87C0" w:tentative="1">
      <w:start w:val="1"/>
      <w:numFmt w:val="bullet"/>
      <w:lvlText w:val=""/>
      <w:lvlJc w:val="left"/>
      <w:pPr>
        <w:ind w:left="2880" w:hanging="360"/>
      </w:pPr>
      <w:rPr>
        <w:rFonts w:ascii="Symbol" w:hAnsi="Symbol" w:hint="default"/>
      </w:rPr>
    </w:lvl>
    <w:lvl w:ilvl="4" w:tplc="38429A7E" w:tentative="1">
      <w:start w:val="1"/>
      <w:numFmt w:val="bullet"/>
      <w:lvlText w:val="o"/>
      <w:lvlJc w:val="left"/>
      <w:pPr>
        <w:ind w:left="3600" w:hanging="360"/>
      </w:pPr>
      <w:rPr>
        <w:rFonts w:ascii="Courier New" w:hAnsi="Courier New" w:cs="Courier New" w:hint="default"/>
      </w:rPr>
    </w:lvl>
    <w:lvl w:ilvl="5" w:tplc="6A7A5F9E" w:tentative="1">
      <w:start w:val="1"/>
      <w:numFmt w:val="bullet"/>
      <w:lvlText w:val=""/>
      <w:lvlJc w:val="left"/>
      <w:pPr>
        <w:ind w:left="4320" w:hanging="360"/>
      </w:pPr>
      <w:rPr>
        <w:rFonts w:ascii="Wingdings" w:hAnsi="Wingdings" w:hint="default"/>
      </w:rPr>
    </w:lvl>
    <w:lvl w:ilvl="6" w:tplc="B6383A36" w:tentative="1">
      <w:start w:val="1"/>
      <w:numFmt w:val="bullet"/>
      <w:lvlText w:val=""/>
      <w:lvlJc w:val="left"/>
      <w:pPr>
        <w:ind w:left="5040" w:hanging="360"/>
      </w:pPr>
      <w:rPr>
        <w:rFonts w:ascii="Symbol" w:hAnsi="Symbol" w:hint="default"/>
      </w:rPr>
    </w:lvl>
    <w:lvl w:ilvl="7" w:tplc="A3CC5948" w:tentative="1">
      <w:start w:val="1"/>
      <w:numFmt w:val="bullet"/>
      <w:lvlText w:val="o"/>
      <w:lvlJc w:val="left"/>
      <w:pPr>
        <w:ind w:left="5760" w:hanging="360"/>
      </w:pPr>
      <w:rPr>
        <w:rFonts w:ascii="Courier New" w:hAnsi="Courier New" w:cs="Courier New" w:hint="default"/>
      </w:rPr>
    </w:lvl>
    <w:lvl w:ilvl="8" w:tplc="B62E89F0" w:tentative="1">
      <w:start w:val="1"/>
      <w:numFmt w:val="bullet"/>
      <w:lvlText w:val=""/>
      <w:lvlJc w:val="left"/>
      <w:pPr>
        <w:ind w:left="6480" w:hanging="360"/>
      </w:pPr>
      <w:rPr>
        <w:rFonts w:ascii="Wingdings" w:hAnsi="Wingdings" w:hint="default"/>
      </w:rPr>
    </w:lvl>
  </w:abstractNum>
  <w:abstractNum w:abstractNumId="33" w15:restartNumberingAfterBreak="0">
    <w:nsid w:val="646F53AF"/>
    <w:multiLevelType w:val="hybridMultilevel"/>
    <w:tmpl w:val="6BC4C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8A76BB"/>
    <w:multiLevelType w:val="hybridMultilevel"/>
    <w:tmpl w:val="A05EC2B2"/>
    <w:lvl w:ilvl="0" w:tplc="06E02F28">
      <w:start w:val="1"/>
      <w:numFmt w:val="decimal"/>
      <w:lvlText w:val="%1."/>
      <w:lvlJc w:val="left"/>
      <w:pPr>
        <w:ind w:left="720" w:hanging="360"/>
      </w:pPr>
      <w:rPr>
        <w:rFonts w:hint="default"/>
      </w:rPr>
    </w:lvl>
    <w:lvl w:ilvl="1" w:tplc="9636012C" w:tentative="1">
      <w:start w:val="1"/>
      <w:numFmt w:val="lowerLetter"/>
      <w:lvlText w:val="%2."/>
      <w:lvlJc w:val="left"/>
      <w:pPr>
        <w:ind w:left="1440" w:hanging="360"/>
      </w:pPr>
    </w:lvl>
    <w:lvl w:ilvl="2" w:tplc="45E6DB66" w:tentative="1">
      <w:start w:val="1"/>
      <w:numFmt w:val="lowerRoman"/>
      <w:lvlText w:val="%3."/>
      <w:lvlJc w:val="right"/>
      <w:pPr>
        <w:ind w:left="2160" w:hanging="180"/>
      </w:pPr>
    </w:lvl>
    <w:lvl w:ilvl="3" w:tplc="6290C040" w:tentative="1">
      <w:start w:val="1"/>
      <w:numFmt w:val="decimal"/>
      <w:lvlText w:val="%4."/>
      <w:lvlJc w:val="left"/>
      <w:pPr>
        <w:ind w:left="2880" w:hanging="360"/>
      </w:pPr>
    </w:lvl>
    <w:lvl w:ilvl="4" w:tplc="10443DEE" w:tentative="1">
      <w:start w:val="1"/>
      <w:numFmt w:val="lowerLetter"/>
      <w:lvlText w:val="%5."/>
      <w:lvlJc w:val="left"/>
      <w:pPr>
        <w:ind w:left="3600" w:hanging="360"/>
      </w:pPr>
    </w:lvl>
    <w:lvl w:ilvl="5" w:tplc="5BF41AEA" w:tentative="1">
      <w:start w:val="1"/>
      <w:numFmt w:val="lowerRoman"/>
      <w:lvlText w:val="%6."/>
      <w:lvlJc w:val="right"/>
      <w:pPr>
        <w:ind w:left="4320" w:hanging="180"/>
      </w:pPr>
    </w:lvl>
    <w:lvl w:ilvl="6" w:tplc="E5FEF53A" w:tentative="1">
      <w:start w:val="1"/>
      <w:numFmt w:val="decimal"/>
      <w:lvlText w:val="%7."/>
      <w:lvlJc w:val="left"/>
      <w:pPr>
        <w:ind w:left="5040" w:hanging="360"/>
      </w:pPr>
    </w:lvl>
    <w:lvl w:ilvl="7" w:tplc="6020103A" w:tentative="1">
      <w:start w:val="1"/>
      <w:numFmt w:val="lowerLetter"/>
      <w:lvlText w:val="%8."/>
      <w:lvlJc w:val="left"/>
      <w:pPr>
        <w:ind w:left="5760" w:hanging="360"/>
      </w:pPr>
    </w:lvl>
    <w:lvl w:ilvl="8" w:tplc="FB0E017E" w:tentative="1">
      <w:start w:val="1"/>
      <w:numFmt w:val="lowerRoman"/>
      <w:lvlText w:val="%9."/>
      <w:lvlJc w:val="right"/>
      <w:pPr>
        <w:ind w:left="6480" w:hanging="180"/>
      </w:pPr>
    </w:lvl>
  </w:abstractNum>
  <w:abstractNum w:abstractNumId="35" w15:restartNumberingAfterBreak="0">
    <w:nsid w:val="67950F82"/>
    <w:multiLevelType w:val="multilevel"/>
    <w:tmpl w:val="2FFEA7E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9D73BCA"/>
    <w:multiLevelType w:val="hybridMultilevel"/>
    <w:tmpl w:val="CA3CDF92"/>
    <w:lvl w:ilvl="0" w:tplc="04050001">
      <w:start w:val="1"/>
      <w:numFmt w:val="bullet"/>
      <w:lvlText w:val=""/>
      <w:lvlJc w:val="left"/>
      <w:pPr>
        <w:ind w:left="720" w:hanging="360"/>
      </w:pPr>
      <w:rPr>
        <w:rFonts w:ascii="Symbol" w:hAnsi="Symbol" w:hint="default"/>
      </w:rPr>
    </w:lvl>
    <w:lvl w:ilvl="1" w:tplc="560C732E" w:tentative="1">
      <w:start w:val="1"/>
      <w:numFmt w:val="bullet"/>
      <w:lvlText w:val="o"/>
      <w:lvlJc w:val="left"/>
      <w:pPr>
        <w:ind w:left="1440" w:hanging="360"/>
      </w:pPr>
      <w:rPr>
        <w:rFonts w:ascii="Courier New" w:hAnsi="Courier New" w:cs="Courier New" w:hint="default"/>
      </w:rPr>
    </w:lvl>
    <w:lvl w:ilvl="2" w:tplc="1DFA509A" w:tentative="1">
      <w:start w:val="1"/>
      <w:numFmt w:val="bullet"/>
      <w:lvlText w:val=""/>
      <w:lvlJc w:val="left"/>
      <w:pPr>
        <w:ind w:left="2160" w:hanging="360"/>
      </w:pPr>
      <w:rPr>
        <w:rFonts w:ascii="Wingdings" w:hAnsi="Wingdings" w:hint="default"/>
      </w:rPr>
    </w:lvl>
    <w:lvl w:ilvl="3" w:tplc="A6942DEE" w:tentative="1">
      <w:start w:val="1"/>
      <w:numFmt w:val="bullet"/>
      <w:lvlText w:val=""/>
      <w:lvlJc w:val="left"/>
      <w:pPr>
        <w:ind w:left="2880" w:hanging="360"/>
      </w:pPr>
      <w:rPr>
        <w:rFonts w:ascii="Symbol" w:hAnsi="Symbol" w:hint="default"/>
      </w:rPr>
    </w:lvl>
    <w:lvl w:ilvl="4" w:tplc="675A463C" w:tentative="1">
      <w:start w:val="1"/>
      <w:numFmt w:val="bullet"/>
      <w:lvlText w:val="o"/>
      <w:lvlJc w:val="left"/>
      <w:pPr>
        <w:ind w:left="3600" w:hanging="360"/>
      </w:pPr>
      <w:rPr>
        <w:rFonts w:ascii="Courier New" w:hAnsi="Courier New" w:cs="Courier New" w:hint="default"/>
      </w:rPr>
    </w:lvl>
    <w:lvl w:ilvl="5" w:tplc="F01C1324" w:tentative="1">
      <w:start w:val="1"/>
      <w:numFmt w:val="bullet"/>
      <w:lvlText w:val=""/>
      <w:lvlJc w:val="left"/>
      <w:pPr>
        <w:ind w:left="4320" w:hanging="360"/>
      </w:pPr>
      <w:rPr>
        <w:rFonts w:ascii="Wingdings" w:hAnsi="Wingdings" w:hint="default"/>
      </w:rPr>
    </w:lvl>
    <w:lvl w:ilvl="6" w:tplc="D18ED230" w:tentative="1">
      <w:start w:val="1"/>
      <w:numFmt w:val="bullet"/>
      <w:lvlText w:val=""/>
      <w:lvlJc w:val="left"/>
      <w:pPr>
        <w:ind w:left="5040" w:hanging="360"/>
      </w:pPr>
      <w:rPr>
        <w:rFonts w:ascii="Symbol" w:hAnsi="Symbol" w:hint="default"/>
      </w:rPr>
    </w:lvl>
    <w:lvl w:ilvl="7" w:tplc="F84637C0" w:tentative="1">
      <w:start w:val="1"/>
      <w:numFmt w:val="bullet"/>
      <w:lvlText w:val="o"/>
      <w:lvlJc w:val="left"/>
      <w:pPr>
        <w:ind w:left="5760" w:hanging="360"/>
      </w:pPr>
      <w:rPr>
        <w:rFonts w:ascii="Courier New" w:hAnsi="Courier New" w:cs="Courier New" w:hint="default"/>
      </w:rPr>
    </w:lvl>
    <w:lvl w:ilvl="8" w:tplc="1E80662C" w:tentative="1">
      <w:start w:val="1"/>
      <w:numFmt w:val="bullet"/>
      <w:lvlText w:val=""/>
      <w:lvlJc w:val="left"/>
      <w:pPr>
        <w:ind w:left="6480" w:hanging="360"/>
      </w:pPr>
      <w:rPr>
        <w:rFonts w:ascii="Wingdings" w:hAnsi="Wingdings" w:hint="default"/>
      </w:rPr>
    </w:lvl>
  </w:abstractNum>
  <w:abstractNum w:abstractNumId="37" w15:restartNumberingAfterBreak="0">
    <w:nsid w:val="6B2956AB"/>
    <w:multiLevelType w:val="hybridMultilevel"/>
    <w:tmpl w:val="67E2BEA8"/>
    <w:lvl w:ilvl="0" w:tplc="98BE2450">
      <w:start w:val="1"/>
      <w:numFmt w:val="bullet"/>
      <w:lvlText w:val=""/>
      <w:lvlJc w:val="left"/>
      <w:pPr>
        <w:ind w:left="720" w:hanging="360"/>
      </w:pPr>
      <w:rPr>
        <w:rFonts w:ascii="Symbol" w:hAnsi="Symbol" w:hint="default"/>
      </w:rPr>
    </w:lvl>
    <w:lvl w:ilvl="1" w:tplc="781C317C" w:tentative="1">
      <w:start w:val="1"/>
      <w:numFmt w:val="bullet"/>
      <w:lvlText w:val="o"/>
      <w:lvlJc w:val="left"/>
      <w:pPr>
        <w:ind w:left="1440" w:hanging="360"/>
      </w:pPr>
      <w:rPr>
        <w:rFonts w:ascii="Courier New" w:hAnsi="Courier New" w:cs="Courier New" w:hint="default"/>
      </w:rPr>
    </w:lvl>
    <w:lvl w:ilvl="2" w:tplc="B6763D62" w:tentative="1">
      <w:start w:val="1"/>
      <w:numFmt w:val="bullet"/>
      <w:lvlText w:val=""/>
      <w:lvlJc w:val="left"/>
      <w:pPr>
        <w:ind w:left="2160" w:hanging="360"/>
      </w:pPr>
      <w:rPr>
        <w:rFonts w:ascii="Wingdings" w:hAnsi="Wingdings" w:hint="default"/>
      </w:rPr>
    </w:lvl>
    <w:lvl w:ilvl="3" w:tplc="303A67CC" w:tentative="1">
      <w:start w:val="1"/>
      <w:numFmt w:val="bullet"/>
      <w:lvlText w:val=""/>
      <w:lvlJc w:val="left"/>
      <w:pPr>
        <w:ind w:left="2880" w:hanging="360"/>
      </w:pPr>
      <w:rPr>
        <w:rFonts w:ascii="Symbol" w:hAnsi="Symbol" w:hint="default"/>
      </w:rPr>
    </w:lvl>
    <w:lvl w:ilvl="4" w:tplc="6C34796C" w:tentative="1">
      <w:start w:val="1"/>
      <w:numFmt w:val="bullet"/>
      <w:lvlText w:val="o"/>
      <w:lvlJc w:val="left"/>
      <w:pPr>
        <w:ind w:left="3600" w:hanging="360"/>
      </w:pPr>
      <w:rPr>
        <w:rFonts w:ascii="Courier New" w:hAnsi="Courier New" w:cs="Courier New" w:hint="default"/>
      </w:rPr>
    </w:lvl>
    <w:lvl w:ilvl="5" w:tplc="89B69578" w:tentative="1">
      <w:start w:val="1"/>
      <w:numFmt w:val="bullet"/>
      <w:lvlText w:val=""/>
      <w:lvlJc w:val="left"/>
      <w:pPr>
        <w:ind w:left="4320" w:hanging="360"/>
      </w:pPr>
      <w:rPr>
        <w:rFonts w:ascii="Wingdings" w:hAnsi="Wingdings" w:hint="default"/>
      </w:rPr>
    </w:lvl>
    <w:lvl w:ilvl="6" w:tplc="C83678F4" w:tentative="1">
      <w:start w:val="1"/>
      <w:numFmt w:val="bullet"/>
      <w:lvlText w:val=""/>
      <w:lvlJc w:val="left"/>
      <w:pPr>
        <w:ind w:left="5040" w:hanging="360"/>
      </w:pPr>
      <w:rPr>
        <w:rFonts w:ascii="Symbol" w:hAnsi="Symbol" w:hint="default"/>
      </w:rPr>
    </w:lvl>
    <w:lvl w:ilvl="7" w:tplc="BDCCB0E6" w:tentative="1">
      <w:start w:val="1"/>
      <w:numFmt w:val="bullet"/>
      <w:lvlText w:val="o"/>
      <w:lvlJc w:val="left"/>
      <w:pPr>
        <w:ind w:left="5760" w:hanging="360"/>
      </w:pPr>
      <w:rPr>
        <w:rFonts w:ascii="Courier New" w:hAnsi="Courier New" w:cs="Courier New" w:hint="default"/>
      </w:rPr>
    </w:lvl>
    <w:lvl w:ilvl="8" w:tplc="D6D08A28" w:tentative="1">
      <w:start w:val="1"/>
      <w:numFmt w:val="bullet"/>
      <w:lvlText w:val=""/>
      <w:lvlJc w:val="left"/>
      <w:pPr>
        <w:ind w:left="6480" w:hanging="360"/>
      </w:pPr>
      <w:rPr>
        <w:rFonts w:ascii="Wingdings" w:hAnsi="Wingdings" w:hint="default"/>
      </w:rPr>
    </w:lvl>
  </w:abstractNum>
  <w:abstractNum w:abstractNumId="38" w15:restartNumberingAfterBreak="0">
    <w:nsid w:val="6C5410F3"/>
    <w:multiLevelType w:val="hybridMultilevel"/>
    <w:tmpl w:val="380801B8"/>
    <w:lvl w:ilvl="0" w:tplc="42B0A6D2">
      <w:start w:val="1"/>
      <w:numFmt w:val="decimal"/>
      <w:lvlText w:val="%1."/>
      <w:lvlJc w:val="left"/>
      <w:pPr>
        <w:ind w:left="360" w:hanging="360"/>
      </w:pPr>
      <w:rPr>
        <w:rFonts w:hint="default"/>
        <w:b/>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EC3AD8"/>
    <w:multiLevelType w:val="hybridMultilevel"/>
    <w:tmpl w:val="4CCEE7EC"/>
    <w:lvl w:ilvl="0" w:tplc="E57099C0">
      <w:start w:val="1"/>
      <w:numFmt w:val="decimal"/>
      <w:lvlText w:val="%1."/>
      <w:lvlJc w:val="left"/>
      <w:pPr>
        <w:ind w:left="2007" w:hanging="360"/>
      </w:pPr>
    </w:lvl>
    <w:lvl w:ilvl="1" w:tplc="C97639BE" w:tentative="1">
      <w:start w:val="1"/>
      <w:numFmt w:val="lowerLetter"/>
      <w:lvlText w:val="%2."/>
      <w:lvlJc w:val="left"/>
      <w:pPr>
        <w:ind w:left="2727" w:hanging="360"/>
      </w:pPr>
    </w:lvl>
    <w:lvl w:ilvl="2" w:tplc="9E2217C8" w:tentative="1">
      <w:start w:val="1"/>
      <w:numFmt w:val="lowerRoman"/>
      <w:lvlText w:val="%3."/>
      <w:lvlJc w:val="right"/>
      <w:pPr>
        <w:ind w:left="3447" w:hanging="180"/>
      </w:pPr>
    </w:lvl>
    <w:lvl w:ilvl="3" w:tplc="92705496" w:tentative="1">
      <w:start w:val="1"/>
      <w:numFmt w:val="decimal"/>
      <w:lvlText w:val="%4."/>
      <w:lvlJc w:val="left"/>
      <w:pPr>
        <w:ind w:left="4167" w:hanging="360"/>
      </w:pPr>
    </w:lvl>
    <w:lvl w:ilvl="4" w:tplc="9A623E9C" w:tentative="1">
      <w:start w:val="1"/>
      <w:numFmt w:val="lowerLetter"/>
      <w:lvlText w:val="%5."/>
      <w:lvlJc w:val="left"/>
      <w:pPr>
        <w:ind w:left="4887" w:hanging="360"/>
      </w:pPr>
    </w:lvl>
    <w:lvl w:ilvl="5" w:tplc="6DB2E3E0" w:tentative="1">
      <w:start w:val="1"/>
      <w:numFmt w:val="lowerRoman"/>
      <w:lvlText w:val="%6."/>
      <w:lvlJc w:val="right"/>
      <w:pPr>
        <w:ind w:left="5607" w:hanging="180"/>
      </w:pPr>
    </w:lvl>
    <w:lvl w:ilvl="6" w:tplc="846450BC" w:tentative="1">
      <w:start w:val="1"/>
      <w:numFmt w:val="decimal"/>
      <w:lvlText w:val="%7."/>
      <w:lvlJc w:val="left"/>
      <w:pPr>
        <w:ind w:left="6327" w:hanging="360"/>
      </w:pPr>
    </w:lvl>
    <w:lvl w:ilvl="7" w:tplc="BD865FD0" w:tentative="1">
      <w:start w:val="1"/>
      <w:numFmt w:val="lowerLetter"/>
      <w:lvlText w:val="%8."/>
      <w:lvlJc w:val="left"/>
      <w:pPr>
        <w:ind w:left="7047" w:hanging="360"/>
      </w:pPr>
    </w:lvl>
    <w:lvl w:ilvl="8" w:tplc="0254A3F0" w:tentative="1">
      <w:start w:val="1"/>
      <w:numFmt w:val="lowerRoman"/>
      <w:lvlText w:val="%9."/>
      <w:lvlJc w:val="right"/>
      <w:pPr>
        <w:ind w:left="7767" w:hanging="180"/>
      </w:pPr>
    </w:lvl>
  </w:abstractNum>
  <w:abstractNum w:abstractNumId="40" w15:restartNumberingAfterBreak="0">
    <w:nsid w:val="7537207F"/>
    <w:multiLevelType w:val="hybridMultilevel"/>
    <w:tmpl w:val="D9A2CF74"/>
    <w:lvl w:ilvl="0" w:tplc="4BD0F9F4">
      <w:start w:val="1"/>
      <w:numFmt w:val="lowerLetter"/>
      <w:lvlText w:val="%1)"/>
      <w:lvlJc w:val="left"/>
      <w:pPr>
        <w:ind w:left="720" w:hanging="360"/>
      </w:pPr>
    </w:lvl>
    <w:lvl w:ilvl="1" w:tplc="A7EA543A" w:tentative="1">
      <w:start w:val="1"/>
      <w:numFmt w:val="lowerLetter"/>
      <w:lvlText w:val="%2."/>
      <w:lvlJc w:val="left"/>
      <w:pPr>
        <w:ind w:left="1440" w:hanging="360"/>
      </w:pPr>
    </w:lvl>
    <w:lvl w:ilvl="2" w:tplc="89DC4B0A" w:tentative="1">
      <w:start w:val="1"/>
      <w:numFmt w:val="lowerRoman"/>
      <w:lvlText w:val="%3."/>
      <w:lvlJc w:val="right"/>
      <w:pPr>
        <w:ind w:left="2160" w:hanging="180"/>
      </w:pPr>
    </w:lvl>
    <w:lvl w:ilvl="3" w:tplc="1ECCC950" w:tentative="1">
      <w:start w:val="1"/>
      <w:numFmt w:val="decimal"/>
      <w:lvlText w:val="%4."/>
      <w:lvlJc w:val="left"/>
      <w:pPr>
        <w:ind w:left="2880" w:hanging="360"/>
      </w:pPr>
    </w:lvl>
    <w:lvl w:ilvl="4" w:tplc="B464D6E8" w:tentative="1">
      <w:start w:val="1"/>
      <w:numFmt w:val="lowerLetter"/>
      <w:lvlText w:val="%5."/>
      <w:lvlJc w:val="left"/>
      <w:pPr>
        <w:ind w:left="3600" w:hanging="360"/>
      </w:pPr>
    </w:lvl>
    <w:lvl w:ilvl="5" w:tplc="17321638" w:tentative="1">
      <w:start w:val="1"/>
      <w:numFmt w:val="lowerRoman"/>
      <w:lvlText w:val="%6."/>
      <w:lvlJc w:val="right"/>
      <w:pPr>
        <w:ind w:left="4320" w:hanging="180"/>
      </w:pPr>
    </w:lvl>
    <w:lvl w:ilvl="6" w:tplc="CA7A481A" w:tentative="1">
      <w:start w:val="1"/>
      <w:numFmt w:val="decimal"/>
      <w:lvlText w:val="%7."/>
      <w:lvlJc w:val="left"/>
      <w:pPr>
        <w:ind w:left="5040" w:hanging="360"/>
      </w:pPr>
    </w:lvl>
    <w:lvl w:ilvl="7" w:tplc="73FE3A92" w:tentative="1">
      <w:start w:val="1"/>
      <w:numFmt w:val="lowerLetter"/>
      <w:lvlText w:val="%8."/>
      <w:lvlJc w:val="left"/>
      <w:pPr>
        <w:ind w:left="5760" w:hanging="360"/>
      </w:pPr>
    </w:lvl>
    <w:lvl w:ilvl="8" w:tplc="7B8AFCD0" w:tentative="1">
      <w:start w:val="1"/>
      <w:numFmt w:val="lowerRoman"/>
      <w:lvlText w:val="%9."/>
      <w:lvlJc w:val="right"/>
      <w:pPr>
        <w:ind w:left="6480" w:hanging="180"/>
      </w:pPr>
    </w:lvl>
  </w:abstractNum>
  <w:abstractNum w:abstractNumId="41" w15:restartNumberingAfterBreak="0">
    <w:nsid w:val="7AC23754"/>
    <w:multiLevelType w:val="hybridMultilevel"/>
    <w:tmpl w:val="AF4ED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190C0B"/>
    <w:multiLevelType w:val="hybridMultilevel"/>
    <w:tmpl w:val="D5D616A8"/>
    <w:lvl w:ilvl="0" w:tplc="9690952A">
      <w:start w:val="1"/>
      <w:numFmt w:val="lowerLetter"/>
      <w:lvlText w:val="%1)"/>
      <w:lvlJc w:val="left"/>
      <w:pPr>
        <w:ind w:left="720" w:hanging="360"/>
      </w:pPr>
      <w:rPr>
        <w:rFonts w:hint="default"/>
      </w:rPr>
    </w:lvl>
    <w:lvl w:ilvl="1" w:tplc="D8ACC1E6" w:tentative="1">
      <w:start w:val="1"/>
      <w:numFmt w:val="lowerLetter"/>
      <w:lvlText w:val="%2."/>
      <w:lvlJc w:val="left"/>
      <w:pPr>
        <w:ind w:left="1440" w:hanging="360"/>
      </w:pPr>
    </w:lvl>
    <w:lvl w:ilvl="2" w:tplc="17B2552C" w:tentative="1">
      <w:start w:val="1"/>
      <w:numFmt w:val="lowerRoman"/>
      <w:lvlText w:val="%3."/>
      <w:lvlJc w:val="right"/>
      <w:pPr>
        <w:ind w:left="2160" w:hanging="180"/>
      </w:pPr>
    </w:lvl>
    <w:lvl w:ilvl="3" w:tplc="FF5C0A18" w:tentative="1">
      <w:start w:val="1"/>
      <w:numFmt w:val="decimal"/>
      <w:lvlText w:val="%4."/>
      <w:lvlJc w:val="left"/>
      <w:pPr>
        <w:ind w:left="2880" w:hanging="360"/>
      </w:pPr>
    </w:lvl>
    <w:lvl w:ilvl="4" w:tplc="91E44578" w:tentative="1">
      <w:start w:val="1"/>
      <w:numFmt w:val="lowerLetter"/>
      <w:lvlText w:val="%5."/>
      <w:lvlJc w:val="left"/>
      <w:pPr>
        <w:ind w:left="3600" w:hanging="360"/>
      </w:pPr>
    </w:lvl>
    <w:lvl w:ilvl="5" w:tplc="7A5488EA" w:tentative="1">
      <w:start w:val="1"/>
      <w:numFmt w:val="lowerRoman"/>
      <w:lvlText w:val="%6."/>
      <w:lvlJc w:val="right"/>
      <w:pPr>
        <w:ind w:left="4320" w:hanging="180"/>
      </w:pPr>
    </w:lvl>
    <w:lvl w:ilvl="6" w:tplc="E1A89004" w:tentative="1">
      <w:start w:val="1"/>
      <w:numFmt w:val="decimal"/>
      <w:lvlText w:val="%7."/>
      <w:lvlJc w:val="left"/>
      <w:pPr>
        <w:ind w:left="5040" w:hanging="360"/>
      </w:pPr>
    </w:lvl>
    <w:lvl w:ilvl="7" w:tplc="65141BBA" w:tentative="1">
      <w:start w:val="1"/>
      <w:numFmt w:val="lowerLetter"/>
      <w:lvlText w:val="%8."/>
      <w:lvlJc w:val="left"/>
      <w:pPr>
        <w:ind w:left="5760" w:hanging="360"/>
      </w:pPr>
    </w:lvl>
    <w:lvl w:ilvl="8" w:tplc="FA28898A" w:tentative="1">
      <w:start w:val="1"/>
      <w:numFmt w:val="lowerRoman"/>
      <w:lvlText w:val="%9."/>
      <w:lvlJc w:val="right"/>
      <w:pPr>
        <w:ind w:left="6480" w:hanging="180"/>
      </w:pPr>
    </w:lvl>
  </w:abstractNum>
  <w:abstractNum w:abstractNumId="43" w15:restartNumberingAfterBreak="0">
    <w:nsid w:val="7E5F4E9A"/>
    <w:multiLevelType w:val="hybridMultilevel"/>
    <w:tmpl w:val="D5D616A8"/>
    <w:lvl w:ilvl="0" w:tplc="7554A3DC">
      <w:start w:val="1"/>
      <w:numFmt w:val="lowerLetter"/>
      <w:lvlText w:val="%1)"/>
      <w:lvlJc w:val="left"/>
      <w:pPr>
        <w:ind w:left="720" w:hanging="360"/>
      </w:pPr>
      <w:rPr>
        <w:rFonts w:hint="default"/>
      </w:rPr>
    </w:lvl>
    <w:lvl w:ilvl="1" w:tplc="D6DC3BC8" w:tentative="1">
      <w:start w:val="1"/>
      <w:numFmt w:val="lowerLetter"/>
      <w:lvlText w:val="%2."/>
      <w:lvlJc w:val="left"/>
      <w:pPr>
        <w:ind w:left="1440" w:hanging="360"/>
      </w:pPr>
    </w:lvl>
    <w:lvl w:ilvl="2" w:tplc="FB06D794" w:tentative="1">
      <w:start w:val="1"/>
      <w:numFmt w:val="lowerRoman"/>
      <w:lvlText w:val="%3."/>
      <w:lvlJc w:val="right"/>
      <w:pPr>
        <w:ind w:left="2160" w:hanging="180"/>
      </w:pPr>
    </w:lvl>
    <w:lvl w:ilvl="3" w:tplc="CD782152" w:tentative="1">
      <w:start w:val="1"/>
      <w:numFmt w:val="decimal"/>
      <w:lvlText w:val="%4."/>
      <w:lvlJc w:val="left"/>
      <w:pPr>
        <w:ind w:left="2880" w:hanging="360"/>
      </w:pPr>
    </w:lvl>
    <w:lvl w:ilvl="4" w:tplc="B3068D50" w:tentative="1">
      <w:start w:val="1"/>
      <w:numFmt w:val="lowerLetter"/>
      <w:lvlText w:val="%5."/>
      <w:lvlJc w:val="left"/>
      <w:pPr>
        <w:ind w:left="3600" w:hanging="360"/>
      </w:pPr>
    </w:lvl>
    <w:lvl w:ilvl="5" w:tplc="B39607F8" w:tentative="1">
      <w:start w:val="1"/>
      <w:numFmt w:val="lowerRoman"/>
      <w:lvlText w:val="%6."/>
      <w:lvlJc w:val="right"/>
      <w:pPr>
        <w:ind w:left="4320" w:hanging="180"/>
      </w:pPr>
    </w:lvl>
    <w:lvl w:ilvl="6" w:tplc="1B920B54" w:tentative="1">
      <w:start w:val="1"/>
      <w:numFmt w:val="decimal"/>
      <w:lvlText w:val="%7."/>
      <w:lvlJc w:val="left"/>
      <w:pPr>
        <w:ind w:left="5040" w:hanging="360"/>
      </w:pPr>
    </w:lvl>
    <w:lvl w:ilvl="7" w:tplc="1B4475BC" w:tentative="1">
      <w:start w:val="1"/>
      <w:numFmt w:val="lowerLetter"/>
      <w:lvlText w:val="%8."/>
      <w:lvlJc w:val="left"/>
      <w:pPr>
        <w:ind w:left="5760" w:hanging="360"/>
      </w:pPr>
    </w:lvl>
    <w:lvl w:ilvl="8" w:tplc="3238EC56" w:tentative="1">
      <w:start w:val="1"/>
      <w:numFmt w:val="lowerRoman"/>
      <w:lvlText w:val="%9."/>
      <w:lvlJc w:val="right"/>
      <w:pPr>
        <w:ind w:left="6480" w:hanging="180"/>
      </w:pPr>
    </w:lvl>
  </w:abstractNum>
  <w:abstractNum w:abstractNumId="44" w15:restartNumberingAfterBreak="0">
    <w:nsid w:val="7E7D616F"/>
    <w:multiLevelType w:val="hybridMultilevel"/>
    <w:tmpl w:val="3F4A4F92"/>
    <w:lvl w:ilvl="0" w:tplc="C87CF7FC">
      <w:start w:val="1"/>
      <w:numFmt w:val="lowerLetter"/>
      <w:lvlText w:val="%1)"/>
      <w:lvlJc w:val="left"/>
      <w:pPr>
        <w:ind w:left="720" w:hanging="360"/>
      </w:pPr>
    </w:lvl>
    <w:lvl w:ilvl="1" w:tplc="4252CC8C" w:tentative="1">
      <w:start w:val="1"/>
      <w:numFmt w:val="lowerLetter"/>
      <w:lvlText w:val="%2."/>
      <w:lvlJc w:val="left"/>
      <w:pPr>
        <w:ind w:left="1440" w:hanging="360"/>
      </w:pPr>
    </w:lvl>
    <w:lvl w:ilvl="2" w:tplc="944002CA" w:tentative="1">
      <w:start w:val="1"/>
      <w:numFmt w:val="lowerRoman"/>
      <w:lvlText w:val="%3."/>
      <w:lvlJc w:val="right"/>
      <w:pPr>
        <w:ind w:left="2160" w:hanging="180"/>
      </w:pPr>
    </w:lvl>
    <w:lvl w:ilvl="3" w:tplc="5A362C92" w:tentative="1">
      <w:start w:val="1"/>
      <w:numFmt w:val="decimal"/>
      <w:lvlText w:val="%4."/>
      <w:lvlJc w:val="left"/>
      <w:pPr>
        <w:ind w:left="2880" w:hanging="360"/>
      </w:pPr>
    </w:lvl>
    <w:lvl w:ilvl="4" w:tplc="3F3E9B5C" w:tentative="1">
      <w:start w:val="1"/>
      <w:numFmt w:val="lowerLetter"/>
      <w:lvlText w:val="%5."/>
      <w:lvlJc w:val="left"/>
      <w:pPr>
        <w:ind w:left="3600" w:hanging="360"/>
      </w:pPr>
    </w:lvl>
    <w:lvl w:ilvl="5" w:tplc="9F4CC4DC" w:tentative="1">
      <w:start w:val="1"/>
      <w:numFmt w:val="lowerRoman"/>
      <w:lvlText w:val="%6."/>
      <w:lvlJc w:val="right"/>
      <w:pPr>
        <w:ind w:left="4320" w:hanging="180"/>
      </w:pPr>
    </w:lvl>
    <w:lvl w:ilvl="6" w:tplc="CCC8C4F0" w:tentative="1">
      <w:start w:val="1"/>
      <w:numFmt w:val="decimal"/>
      <w:lvlText w:val="%7."/>
      <w:lvlJc w:val="left"/>
      <w:pPr>
        <w:ind w:left="5040" w:hanging="360"/>
      </w:pPr>
    </w:lvl>
    <w:lvl w:ilvl="7" w:tplc="A56E1EE6" w:tentative="1">
      <w:start w:val="1"/>
      <w:numFmt w:val="lowerLetter"/>
      <w:lvlText w:val="%8."/>
      <w:lvlJc w:val="left"/>
      <w:pPr>
        <w:ind w:left="5760" w:hanging="360"/>
      </w:pPr>
    </w:lvl>
    <w:lvl w:ilvl="8" w:tplc="A2B0A1BE" w:tentative="1">
      <w:start w:val="1"/>
      <w:numFmt w:val="lowerRoman"/>
      <w:lvlText w:val="%9."/>
      <w:lvlJc w:val="right"/>
      <w:pPr>
        <w:ind w:left="6480" w:hanging="180"/>
      </w:pPr>
    </w:lvl>
  </w:abstractNum>
  <w:num w:numId="1">
    <w:abstractNumId w:val="35"/>
  </w:num>
  <w:num w:numId="2">
    <w:abstractNumId w:val="35"/>
  </w:num>
  <w:num w:numId="3">
    <w:abstractNumId w:val="19"/>
  </w:num>
  <w:num w:numId="4">
    <w:abstractNumId w:val="28"/>
  </w:num>
  <w:num w:numId="5">
    <w:abstractNumId w:val="43"/>
  </w:num>
  <w:num w:numId="6">
    <w:abstractNumId w:val="42"/>
  </w:num>
  <w:num w:numId="7">
    <w:abstractNumId w:val="16"/>
  </w:num>
  <w:num w:numId="8">
    <w:abstractNumId w:val="14"/>
  </w:num>
  <w:num w:numId="9">
    <w:abstractNumId w:val="12"/>
  </w:num>
  <w:num w:numId="10">
    <w:abstractNumId w:val="28"/>
  </w:num>
  <w:num w:numId="11">
    <w:abstractNumId w:val="11"/>
  </w:num>
  <w:num w:numId="12">
    <w:abstractNumId w:val="2"/>
  </w:num>
  <w:num w:numId="13">
    <w:abstractNumId w:val="5"/>
  </w:num>
  <w:num w:numId="14">
    <w:abstractNumId w:val="25"/>
  </w:num>
  <w:num w:numId="15">
    <w:abstractNumId w:val="34"/>
  </w:num>
  <w:num w:numId="16">
    <w:abstractNumId w:val="3"/>
  </w:num>
  <w:num w:numId="17">
    <w:abstractNumId w:val="7"/>
  </w:num>
  <w:num w:numId="18">
    <w:abstractNumId w:val="0"/>
  </w:num>
  <w:num w:numId="19">
    <w:abstractNumId w:val="26"/>
  </w:num>
  <w:num w:numId="20">
    <w:abstractNumId w:val="17"/>
  </w:num>
  <w:num w:numId="21">
    <w:abstractNumId w:val="10"/>
  </w:num>
  <w:num w:numId="22">
    <w:abstractNumId w:val="13"/>
  </w:num>
  <w:num w:numId="23">
    <w:abstractNumId w:val="18"/>
  </w:num>
  <w:num w:numId="24">
    <w:abstractNumId w:val="21"/>
  </w:num>
  <w:num w:numId="25">
    <w:abstractNumId w:val="22"/>
  </w:num>
  <w:num w:numId="26">
    <w:abstractNumId w:val="44"/>
  </w:num>
  <w:num w:numId="27">
    <w:abstractNumId w:val="40"/>
  </w:num>
  <w:num w:numId="28">
    <w:abstractNumId w:val="20"/>
  </w:num>
  <w:num w:numId="29">
    <w:abstractNumId w:val="29"/>
  </w:num>
  <w:num w:numId="30">
    <w:abstractNumId w:val="32"/>
  </w:num>
  <w:num w:numId="31">
    <w:abstractNumId w:val="6"/>
  </w:num>
  <w:num w:numId="32">
    <w:abstractNumId w:val="1"/>
  </w:num>
  <w:num w:numId="33">
    <w:abstractNumId w:val="8"/>
  </w:num>
  <w:num w:numId="34">
    <w:abstractNumId w:val="9"/>
  </w:num>
  <w:num w:numId="35">
    <w:abstractNumId w:val="15"/>
  </w:num>
  <w:num w:numId="36">
    <w:abstractNumId w:val="27"/>
  </w:num>
  <w:num w:numId="37">
    <w:abstractNumId w:val="37"/>
  </w:num>
  <w:num w:numId="38">
    <w:abstractNumId w:val="4"/>
  </w:num>
  <w:num w:numId="39">
    <w:abstractNumId w:val="23"/>
  </w:num>
  <w:num w:numId="40">
    <w:abstractNumId w:val="39"/>
  </w:num>
  <w:num w:numId="41">
    <w:abstractNumId w:val="24"/>
  </w:num>
  <w:num w:numId="42">
    <w:abstractNumId w:val="30"/>
  </w:num>
  <w:num w:numId="43">
    <w:abstractNumId w:val="36"/>
  </w:num>
  <w:num w:numId="44">
    <w:abstractNumId w:val="33"/>
  </w:num>
  <w:num w:numId="45">
    <w:abstractNumId w:val="38"/>
  </w:num>
  <w:num w:numId="46">
    <w:abstractNumId w:val="41"/>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SortMethod w:val="0004"/>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7F"/>
    <w:rsid w:val="00000362"/>
    <w:rsid w:val="00016605"/>
    <w:rsid w:val="00046A13"/>
    <w:rsid w:val="000552AD"/>
    <w:rsid w:val="0006537B"/>
    <w:rsid w:val="00066536"/>
    <w:rsid w:val="000779E6"/>
    <w:rsid w:val="000848F6"/>
    <w:rsid w:val="00087C29"/>
    <w:rsid w:val="00087E22"/>
    <w:rsid w:val="0009686B"/>
    <w:rsid w:val="000A045B"/>
    <w:rsid w:val="000A0D9D"/>
    <w:rsid w:val="000B6929"/>
    <w:rsid w:val="000D4791"/>
    <w:rsid w:val="000D779D"/>
    <w:rsid w:val="000E198A"/>
    <w:rsid w:val="001048DA"/>
    <w:rsid w:val="00110E8E"/>
    <w:rsid w:val="0011199F"/>
    <w:rsid w:val="00136D57"/>
    <w:rsid w:val="00137B4A"/>
    <w:rsid w:val="00141703"/>
    <w:rsid w:val="00145E4E"/>
    <w:rsid w:val="00155568"/>
    <w:rsid w:val="001757EC"/>
    <w:rsid w:val="001A523D"/>
    <w:rsid w:val="001B1D79"/>
    <w:rsid w:val="001C6BCE"/>
    <w:rsid w:val="001D5B02"/>
    <w:rsid w:val="001E31CF"/>
    <w:rsid w:val="001E39E0"/>
    <w:rsid w:val="001F077A"/>
    <w:rsid w:val="001F16E9"/>
    <w:rsid w:val="002034AF"/>
    <w:rsid w:val="002038DB"/>
    <w:rsid w:val="00221508"/>
    <w:rsid w:val="00221B3C"/>
    <w:rsid w:val="00234C19"/>
    <w:rsid w:val="002350E3"/>
    <w:rsid w:val="00296E64"/>
    <w:rsid w:val="002A7A29"/>
    <w:rsid w:val="002C3810"/>
    <w:rsid w:val="002D08A2"/>
    <w:rsid w:val="002D71E3"/>
    <w:rsid w:val="002E15D7"/>
    <w:rsid w:val="002E1EB2"/>
    <w:rsid w:val="002E2343"/>
    <w:rsid w:val="002E76CD"/>
    <w:rsid w:val="002F798E"/>
    <w:rsid w:val="003022AD"/>
    <w:rsid w:val="00302D22"/>
    <w:rsid w:val="003109D4"/>
    <w:rsid w:val="003110DE"/>
    <w:rsid w:val="00311A2D"/>
    <w:rsid w:val="0032360A"/>
    <w:rsid w:val="0032772A"/>
    <w:rsid w:val="0034463B"/>
    <w:rsid w:val="0036324B"/>
    <w:rsid w:val="00365B48"/>
    <w:rsid w:val="003742A5"/>
    <w:rsid w:val="003940F4"/>
    <w:rsid w:val="00395345"/>
    <w:rsid w:val="003B271C"/>
    <w:rsid w:val="003C0294"/>
    <w:rsid w:val="003D30F6"/>
    <w:rsid w:val="003F437D"/>
    <w:rsid w:val="00415D84"/>
    <w:rsid w:val="004429BE"/>
    <w:rsid w:val="00443953"/>
    <w:rsid w:val="0045237C"/>
    <w:rsid w:val="0045411D"/>
    <w:rsid w:val="00466E6F"/>
    <w:rsid w:val="00470F6E"/>
    <w:rsid w:val="00487360"/>
    <w:rsid w:val="004A4835"/>
    <w:rsid w:val="004A5839"/>
    <w:rsid w:val="004D484D"/>
    <w:rsid w:val="004E0D4E"/>
    <w:rsid w:val="004E11D5"/>
    <w:rsid w:val="005060F2"/>
    <w:rsid w:val="0052454A"/>
    <w:rsid w:val="005414EB"/>
    <w:rsid w:val="00561982"/>
    <w:rsid w:val="005636DB"/>
    <w:rsid w:val="00564EEB"/>
    <w:rsid w:val="00565F57"/>
    <w:rsid w:val="00572D07"/>
    <w:rsid w:val="00573CE1"/>
    <w:rsid w:val="005852A3"/>
    <w:rsid w:val="005B476B"/>
    <w:rsid w:val="005C11A9"/>
    <w:rsid w:val="005D6AAA"/>
    <w:rsid w:val="005F4547"/>
    <w:rsid w:val="00607712"/>
    <w:rsid w:val="00613D37"/>
    <w:rsid w:val="00621F1A"/>
    <w:rsid w:val="00627966"/>
    <w:rsid w:val="00635EBF"/>
    <w:rsid w:val="00644D5C"/>
    <w:rsid w:val="0064563A"/>
    <w:rsid w:val="006475BE"/>
    <w:rsid w:val="00656270"/>
    <w:rsid w:val="0069722D"/>
    <w:rsid w:val="006A1161"/>
    <w:rsid w:val="006B7F18"/>
    <w:rsid w:val="006C0AEB"/>
    <w:rsid w:val="006D33D2"/>
    <w:rsid w:val="006E1464"/>
    <w:rsid w:val="006E3B89"/>
    <w:rsid w:val="006E6820"/>
    <w:rsid w:val="006F001C"/>
    <w:rsid w:val="006F68A3"/>
    <w:rsid w:val="006F6BF4"/>
    <w:rsid w:val="007014A4"/>
    <w:rsid w:val="00701CF4"/>
    <w:rsid w:val="00723B6D"/>
    <w:rsid w:val="00726270"/>
    <w:rsid w:val="00732F28"/>
    <w:rsid w:val="0074038D"/>
    <w:rsid w:val="00743EE7"/>
    <w:rsid w:val="007607BF"/>
    <w:rsid w:val="007665CC"/>
    <w:rsid w:val="00770287"/>
    <w:rsid w:val="007703D0"/>
    <w:rsid w:val="007734B4"/>
    <w:rsid w:val="00776704"/>
    <w:rsid w:val="00781C81"/>
    <w:rsid w:val="007A1CDE"/>
    <w:rsid w:val="007A26DE"/>
    <w:rsid w:val="007A4918"/>
    <w:rsid w:val="007C4167"/>
    <w:rsid w:val="007D017F"/>
    <w:rsid w:val="007D02E4"/>
    <w:rsid w:val="007E30DF"/>
    <w:rsid w:val="007E7FF7"/>
    <w:rsid w:val="007F28BD"/>
    <w:rsid w:val="0080029B"/>
    <w:rsid w:val="00800335"/>
    <w:rsid w:val="008005CC"/>
    <w:rsid w:val="00800ED3"/>
    <w:rsid w:val="00805103"/>
    <w:rsid w:val="00815722"/>
    <w:rsid w:val="00815943"/>
    <w:rsid w:val="00816E47"/>
    <w:rsid w:val="00822488"/>
    <w:rsid w:val="00823F7E"/>
    <w:rsid w:val="00836F8A"/>
    <w:rsid w:val="0084372E"/>
    <w:rsid w:val="0085489E"/>
    <w:rsid w:val="0087199C"/>
    <w:rsid w:val="00882DB4"/>
    <w:rsid w:val="00895EE7"/>
    <w:rsid w:val="008B1210"/>
    <w:rsid w:val="008B4716"/>
    <w:rsid w:val="00900B9C"/>
    <w:rsid w:val="00922075"/>
    <w:rsid w:val="00922F44"/>
    <w:rsid w:val="0092787E"/>
    <w:rsid w:val="00955153"/>
    <w:rsid w:val="00971B66"/>
    <w:rsid w:val="009B1979"/>
    <w:rsid w:val="009B2D08"/>
    <w:rsid w:val="009E0D3B"/>
    <w:rsid w:val="009E4173"/>
    <w:rsid w:val="009E6D32"/>
    <w:rsid w:val="009E708A"/>
    <w:rsid w:val="00A00569"/>
    <w:rsid w:val="00A06377"/>
    <w:rsid w:val="00A17E51"/>
    <w:rsid w:val="00A2786B"/>
    <w:rsid w:val="00A3505C"/>
    <w:rsid w:val="00A36661"/>
    <w:rsid w:val="00A41CA3"/>
    <w:rsid w:val="00A52326"/>
    <w:rsid w:val="00A5457C"/>
    <w:rsid w:val="00A54AA8"/>
    <w:rsid w:val="00A60F9B"/>
    <w:rsid w:val="00A802B1"/>
    <w:rsid w:val="00A92C84"/>
    <w:rsid w:val="00AA4206"/>
    <w:rsid w:val="00AB2F3E"/>
    <w:rsid w:val="00AC1044"/>
    <w:rsid w:val="00AD3EEA"/>
    <w:rsid w:val="00AD74E7"/>
    <w:rsid w:val="00AE2306"/>
    <w:rsid w:val="00AE32AC"/>
    <w:rsid w:val="00AE7F44"/>
    <w:rsid w:val="00B01B44"/>
    <w:rsid w:val="00B1650A"/>
    <w:rsid w:val="00B21231"/>
    <w:rsid w:val="00B254CC"/>
    <w:rsid w:val="00B34540"/>
    <w:rsid w:val="00B34DA2"/>
    <w:rsid w:val="00B35D0C"/>
    <w:rsid w:val="00B5263B"/>
    <w:rsid w:val="00B60221"/>
    <w:rsid w:val="00B745B7"/>
    <w:rsid w:val="00B74F9A"/>
    <w:rsid w:val="00B80F28"/>
    <w:rsid w:val="00B8794F"/>
    <w:rsid w:val="00B904E2"/>
    <w:rsid w:val="00B9337F"/>
    <w:rsid w:val="00BA3F51"/>
    <w:rsid w:val="00BB299F"/>
    <w:rsid w:val="00BB5242"/>
    <w:rsid w:val="00BB7916"/>
    <w:rsid w:val="00BC183C"/>
    <w:rsid w:val="00BD05DE"/>
    <w:rsid w:val="00BD5CDC"/>
    <w:rsid w:val="00BE3C95"/>
    <w:rsid w:val="00BE7193"/>
    <w:rsid w:val="00BF5DAF"/>
    <w:rsid w:val="00BF7A45"/>
    <w:rsid w:val="00C0018D"/>
    <w:rsid w:val="00C07AD2"/>
    <w:rsid w:val="00C11FA5"/>
    <w:rsid w:val="00C12E5A"/>
    <w:rsid w:val="00C260A7"/>
    <w:rsid w:val="00C31257"/>
    <w:rsid w:val="00C45A50"/>
    <w:rsid w:val="00C4673D"/>
    <w:rsid w:val="00C57EA6"/>
    <w:rsid w:val="00C66F33"/>
    <w:rsid w:val="00C673C7"/>
    <w:rsid w:val="00C778DE"/>
    <w:rsid w:val="00C84464"/>
    <w:rsid w:val="00C90478"/>
    <w:rsid w:val="00C9248B"/>
    <w:rsid w:val="00CB0642"/>
    <w:rsid w:val="00CB584B"/>
    <w:rsid w:val="00CC31F4"/>
    <w:rsid w:val="00CD6CBE"/>
    <w:rsid w:val="00CE0474"/>
    <w:rsid w:val="00CE31E8"/>
    <w:rsid w:val="00CF278B"/>
    <w:rsid w:val="00CF7030"/>
    <w:rsid w:val="00D076BB"/>
    <w:rsid w:val="00D202B5"/>
    <w:rsid w:val="00D24707"/>
    <w:rsid w:val="00D25553"/>
    <w:rsid w:val="00D42907"/>
    <w:rsid w:val="00D47B4E"/>
    <w:rsid w:val="00D508AC"/>
    <w:rsid w:val="00D53A42"/>
    <w:rsid w:val="00D6284E"/>
    <w:rsid w:val="00D74E6C"/>
    <w:rsid w:val="00D81FB6"/>
    <w:rsid w:val="00D85A42"/>
    <w:rsid w:val="00D86CB1"/>
    <w:rsid w:val="00DA7F2F"/>
    <w:rsid w:val="00DC1F8A"/>
    <w:rsid w:val="00DD08C1"/>
    <w:rsid w:val="00DF34EA"/>
    <w:rsid w:val="00DF66DC"/>
    <w:rsid w:val="00E128B3"/>
    <w:rsid w:val="00E23E3A"/>
    <w:rsid w:val="00E31F01"/>
    <w:rsid w:val="00E371CD"/>
    <w:rsid w:val="00E43BA3"/>
    <w:rsid w:val="00E5223D"/>
    <w:rsid w:val="00E54C0D"/>
    <w:rsid w:val="00E61862"/>
    <w:rsid w:val="00E64827"/>
    <w:rsid w:val="00E71881"/>
    <w:rsid w:val="00E84804"/>
    <w:rsid w:val="00E86B33"/>
    <w:rsid w:val="00E915C8"/>
    <w:rsid w:val="00EB4E8D"/>
    <w:rsid w:val="00EB6C2A"/>
    <w:rsid w:val="00EC2BE0"/>
    <w:rsid w:val="00ED2537"/>
    <w:rsid w:val="00EE41F9"/>
    <w:rsid w:val="00EF1697"/>
    <w:rsid w:val="00F03840"/>
    <w:rsid w:val="00F12620"/>
    <w:rsid w:val="00F249F4"/>
    <w:rsid w:val="00F270E8"/>
    <w:rsid w:val="00F2776A"/>
    <w:rsid w:val="00F317B6"/>
    <w:rsid w:val="00F40536"/>
    <w:rsid w:val="00F408CF"/>
    <w:rsid w:val="00F53FAC"/>
    <w:rsid w:val="00F655E9"/>
    <w:rsid w:val="00F679CD"/>
    <w:rsid w:val="00F8483D"/>
    <w:rsid w:val="00F86E64"/>
    <w:rsid w:val="00FB356D"/>
    <w:rsid w:val="00FB588E"/>
    <w:rsid w:val="00FC2AC8"/>
    <w:rsid w:val="00FF3F23"/>
  </w:rsids>
  <m:mathPr>
    <m:mathFont m:val="Cambria Math"/>
    <m:brkBin m:val="before"/>
    <m:brkBinSub m:val="--"/>
    <m:smallFrac m:val="0"/>
    <m:dispDef/>
    <m:lMargin m:val="0"/>
    <m:rMargin m:val="0"/>
    <m:defJc m:val="centerGroup"/>
    <m:wrapIndent m:val="1440"/>
    <m:intLim m:val="subSup"/>
    <m:naryLim m:val="undOvr"/>
  </m:mathPr>
  <w:themeFontLang w:val="cs-CZ" w:eastAsia="zh-CN" w:bidi="n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7767"/>
  <w15:docId w15:val="{16ACF49D-E914-44DC-B6AC-938F6B7D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3B89"/>
    <w:rPr>
      <w:rFonts w:asciiTheme="minorHAnsi" w:hAnsiTheme="minorHAnsi"/>
    </w:rPr>
  </w:style>
  <w:style w:type="paragraph" w:styleId="Nadpis1">
    <w:name w:val="heading 1"/>
    <w:basedOn w:val="Text"/>
    <w:next w:val="Text"/>
    <w:link w:val="Nadpis1Char"/>
    <w:uiPriority w:val="99"/>
    <w:qFormat/>
    <w:rsid w:val="009C5669"/>
    <w:pPr>
      <w:keepNext/>
      <w:keepLines/>
      <w:numPr>
        <w:numId w:val="2"/>
      </w:numPr>
      <w:spacing w:before="240" w:after="240"/>
      <w:outlineLvl w:val="0"/>
    </w:pPr>
    <w:rPr>
      <w:b/>
      <w:sz w:val="28"/>
    </w:rPr>
  </w:style>
  <w:style w:type="paragraph" w:styleId="Nadpis2">
    <w:name w:val="heading 2"/>
    <w:basedOn w:val="Text"/>
    <w:next w:val="Text"/>
    <w:link w:val="Nadpis2Char"/>
    <w:uiPriority w:val="99"/>
    <w:unhideWhenUsed/>
    <w:qFormat/>
    <w:rsid w:val="009C5669"/>
    <w:pPr>
      <w:keepNext/>
      <w:keepLines/>
      <w:numPr>
        <w:ilvl w:val="1"/>
        <w:numId w:val="2"/>
      </w:numPr>
      <w:spacing w:after="120"/>
      <w:outlineLvl w:val="1"/>
    </w:pPr>
    <w:rPr>
      <w:rFonts w:eastAsiaTheme="majorEastAsia" w:cstheme="majorBidi"/>
      <w:b/>
      <w:szCs w:val="26"/>
    </w:rPr>
  </w:style>
  <w:style w:type="paragraph" w:styleId="Nadpis3">
    <w:name w:val="heading 3"/>
    <w:basedOn w:val="Text"/>
    <w:next w:val="Text"/>
    <w:link w:val="Nadpis3Char"/>
    <w:uiPriority w:val="99"/>
    <w:unhideWhenUsed/>
    <w:qFormat/>
    <w:rsid w:val="007F7FC9"/>
    <w:pPr>
      <w:keepNext/>
      <w:keepLines/>
      <w:numPr>
        <w:ilvl w:val="2"/>
        <w:numId w:val="2"/>
      </w:numPr>
      <w:spacing w:after="120"/>
      <w:outlineLvl w:val="2"/>
    </w:pPr>
    <w:rPr>
      <w:rFonts w:eastAsiaTheme="majorEastAsia" w:cstheme="majorBidi"/>
      <w:b/>
    </w:rPr>
  </w:style>
  <w:style w:type="paragraph" w:styleId="Nadpis4">
    <w:name w:val="heading 4"/>
    <w:basedOn w:val="Text"/>
    <w:next w:val="Text"/>
    <w:link w:val="Nadpis4Char"/>
    <w:uiPriority w:val="99"/>
    <w:unhideWhenUsed/>
    <w:qFormat/>
    <w:rsid w:val="007F7FC9"/>
    <w:pPr>
      <w:keepNext/>
      <w:keepLines/>
      <w:numPr>
        <w:ilvl w:val="3"/>
        <w:numId w:val="1"/>
      </w:numPr>
      <w:spacing w:after="120"/>
      <w:ind w:left="851" w:hanging="851"/>
      <w:outlineLvl w:val="3"/>
    </w:pPr>
    <w:rPr>
      <w:rFonts w:eastAsiaTheme="majorEastAsia" w:cstheme="majorBidi"/>
      <w:b/>
      <w:bCs/>
      <w:iCs/>
    </w:rPr>
  </w:style>
  <w:style w:type="paragraph" w:styleId="Nadpis5">
    <w:name w:val="heading 5"/>
    <w:basedOn w:val="Normln"/>
    <w:next w:val="Normln"/>
    <w:link w:val="Nadpis5Char"/>
    <w:uiPriority w:val="99"/>
    <w:unhideWhenUsed/>
    <w:rsid w:val="00544471"/>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9"/>
    <w:unhideWhenUsed/>
    <w:rsid w:val="009C5669"/>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unhideWhenUsed/>
    <w:rsid w:val="009C5669"/>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unhideWhenUsed/>
    <w:rsid w:val="009C56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unhideWhenUsed/>
    <w:rsid w:val="009C56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basedOn w:val="Normln"/>
    <w:link w:val="TextnormlnChar"/>
    <w:rsid w:val="00544471"/>
  </w:style>
  <w:style w:type="character" w:customStyle="1" w:styleId="TextnormlnChar">
    <w:name w:val="Text normální Char"/>
    <w:basedOn w:val="Standardnpsmoodstavce"/>
    <w:link w:val="Textnormln"/>
    <w:rsid w:val="00544471"/>
  </w:style>
  <w:style w:type="character" w:customStyle="1" w:styleId="Nadpis4Char">
    <w:name w:val="Nadpis 4 Char"/>
    <w:basedOn w:val="Standardnpsmoodstavce"/>
    <w:link w:val="Nadpis4"/>
    <w:uiPriority w:val="99"/>
    <w:rsid w:val="007F7FC9"/>
    <w:rPr>
      <w:rFonts w:asciiTheme="minorHAnsi" w:eastAsiaTheme="majorEastAsia" w:hAnsiTheme="minorHAnsi" w:cstheme="majorBidi"/>
      <w:b/>
      <w:bCs/>
      <w:iCs/>
    </w:rPr>
  </w:style>
  <w:style w:type="character" w:customStyle="1" w:styleId="Nadpis1Char">
    <w:name w:val="Nadpis 1 Char"/>
    <w:basedOn w:val="Standardnpsmoodstavce"/>
    <w:link w:val="Nadpis1"/>
    <w:uiPriority w:val="99"/>
    <w:rsid w:val="009C5669"/>
    <w:rPr>
      <w:rFonts w:asciiTheme="minorHAnsi" w:hAnsiTheme="minorHAnsi" w:cstheme="minorHAnsi"/>
      <w:b/>
      <w:sz w:val="28"/>
    </w:rPr>
  </w:style>
  <w:style w:type="character" w:customStyle="1" w:styleId="Nadpis3Char">
    <w:name w:val="Nadpis 3 Char"/>
    <w:basedOn w:val="Standardnpsmoodstavce"/>
    <w:link w:val="Nadpis3"/>
    <w:uiPriority w:val="99"/>
    <w:rsid w:val="007F7FC9"/>
    <w:rPr>
      <w:rFonts w:asciiTheme="minorHAnsi" w:eastAsiaTheme="majorEastAsia" w:hAnsiTheme="minorHAnsi" w:cstheme="majorBidi"/>
      <w:b/>
    </w:rPr>
  </w:style>
  <w:style w:type="character" w:customStyle="1" w:styleId="Nadpis2Char">
    <w:name w:val="Nadpis 2 Char"/>
    <w:basedOn w:val="Standardnpsmoodstavce"/>
    <w:link w:val="Nadpis2"/>
    <w:uiPriority w:val="99"/>
    <w:rsid w:val="009C5669"/>
    <w:rPr>
      <w:rFonts w:asciiTheme="minorHAnsi" w:eastAsiaTheme="majorEastAsia" w:hAnsiTheme="minorHAnsi" w:cstheme="majorBidi"/>
      <w:b/>
      <w:szCs w:val="26"/>
    </w:rPr>
  </w:style>
  <w:style w:type="paragraph" w:customStyle="1" w:styleId="Zdrojeapozn">
    <w:name w:val="Zdroje a pozn."/>
    <w:basedOn w:val="Normln"/>
    <w:next w:val="Normln"/>
    <w:link w:val="ZdrojeapoznChar"/>
    <w:autoRedefine/>
    <w:rsid w:val="00C66F33"/>
    <w:pPr>
      <w:keepNext/>
      <w:spacing w:before="40"/>
      <w:jc w:val="both"/>
    </w:pPr>
    <w:rPr>
      <w:rFonts w:ascii="Calibri" w:hAnsi="Calibri"/>
      <w:sz w:val="20"/>
    </w:rPr>
  </w:style>
  <w:style w:type="character" w:customStyle="1" w:styleId="ZdrojeapoznChar">
    <w:name w:val="Zdroje a pozn. Char"/>
    <w:basedOn w:val="Standardnpsmoodstavce"/>
    <w:link w:val="Zdrojeapozn"/>
    <w:rsid w:val="00C66F33"/>
    <w:rPr>
      <w:sz w:val="20"/>
    </w:rPr>
  </w:style>
  <w:style w:type="paragraph" w:styleId="Citt">
    <w:name w:val="Quote"/>
    <w:basedOn w:val="Normln"/>
    <w:next w:val="Normln"/>
    <w:link w:val="CittChar"/>
    <w:uiPriority w:val="29"/>
    <w:rsid w:val="00544471"/>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544471"/>
    <w:rPr>
      <w:i/>
      <w:iCs/>
      <w:color w:val="404040" w:themeColor="text1" w:themeTint="BF"/>
    </w:rPr>
  </w:style>
  <w:style w:type="paragraph" w:styleId="Bezmezer">
    <w:name w:val="No Spacing"/>
    <w:link w:val="BezmezerChar"/>
    <w:uiPriority w:val="1"/>
    <w:rsid w:val="00544471"/>
    <w:pPr>
      <w:jc w:val="both"/>
    </w:pPr>
  </w:style>
  <w:style w:type="character" w:customStyle="1" w:styleId="Nadpis5Char">
    <w:name w:val="Nadpis 5 Char"/>
    <w:basedOn w:val="Standardnpsmoodstavce"/>
    <w:link w:val="Nadpis5"/>
    <w:uiPriority w:val="99"/>
    <w:rsid w:val="00544471"/>
    <w:rPr>
      <w:rFonts w:asciiTheme="majorHAnsi" w:eastAsiaTheme="majorEastAsia" w:hAnsiTheme="majorHAnsi" w:cstheme="majorBidi"/>
      <w:color w:val="2E74B5" w:themeColor="accent1" w:themeShade="BF"/>
    </w:rPr>
  </w:style>
  <w:style w:type="paragraph" w:styleId="Nzev">
    <w:name w:val="Title"/>
    <w:basedOn w:val="Normln"/>
    <w:next w:val="Normln"/>
    <w:link w:val="NzevChar"/>
    <w:uiPriority w:val="10"/>
    <w:rsid w:val="00544471"/>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4447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544471"/>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544471"/>
    <w:rPr>
      <w:rFonts w:asciiTheme="minorHAnsi" w:eastAsiaTheme="minorEastAsia" w:hAnsiTheme="minorHAnsi"/>
      <w:color w:val="5A5A5A" w:themeColor="text1" w:themeTint="A5"/>
      <w:spacing w:val="15"/>
      <w:sz w:val="22"/>
      <w:szCs w:val="22"/>
    </w:rPr>
  </w:style>
  <w:style w:type="character" w:styleId="Zdraznnjemn">
    <w:name w:val="Subtle Emphasis"/>
    <w:basedOn w:val="Standardnpsmoodstavce"/>
    <w:uiPriority w:val="19"/>
    <w:rsid w:val="00544471"/>
    <w:rPr>
      <w:i/>
      <w:iCs/>
      <w:color w:val="404040" w:themeColor="text1" w:themeTint="BF"/>
    </w:rPr>
  </w:style>
  <w:style w:type="character" w:styleId="Zdraznn">
    <w:name w:val="Emphasis"/>
    <w:basedOn w:val="Standardnpsmoodstavce"/>
    <w:uiPriority w:val="20"/>
    <w:rsid w:val="00544471"/>
    <w:rPr>
      <w:i/>
      <w:iCs/>
    </w:rPr>
  </w:style>
  <w:style w:type="character" w:styleId="Zdraznnintenzivn">
    <w:name w:val="Intense Emphasis"/>
    <w:basedOn w:val="Standardnpsmoodstavce"/>
    <w:uiPriority w:val="21"/>
    <w:rsid w:val="00544471"/>
    <w:rPr>
      <w:i/>
      <w:iCs/>
      <w:color w:val="5B9BD5" w:themeColor="accent1"/>
    </w:rPr>
  </w:style>
  <w:style w:type="character" w:styleId="Siln">
    <w:name w:val="Strong"/>
    <w:basedOn w:val="Standardnpsmoodstavce"/>
    <w:uiPriority w:val="22"/>
    <w:rsid w:val="00544471"/>
    <w:rPr>
      <w:b/>
      <w:bCs/>
    </w:rPr>
  </w:style>
  <w:style w:type="paragraph" w:styleId="Vrazncitt">
    <w:name w:val="Intense Quote"/>
    <w:basedOn w:val="Normln"/>
    <w:next w:val="Normln"/>
    <w:link w:val="VrazncittChar"/>
    <w:uiPriority w:val="30"/>
    <w:rsid w:val="0054447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544471"/>
    <w:rPr>
      <w:i/>
      <w:iCs/>
      <w:color w:val="5B9BD5" w:themeColor="accent1"/>
    </w:rPr>
  </w:style>
  <w:style w:type="character" w:styleId="Odkazjemn">
    <w:name w:val="Subtle Reference"/>
    <w:basedOn w:val="Standardnpsmoodstavce"/>
    <w:uiPriority w:val="31"/>
    <w:rsid w:val="00544471"/>
    <w:rPr>
      <w:smallCaps/>
      <w:color w:val="5A5A5A" w:themeColor="text1" w:themeTint="A5"/>
    </w:rPr>
  </w:style>
  <w:style w:type="character" w:styleId="Odkazintenzivn">
    <w:name w:val="Intense Reference"/>
    <w:basedOn w:val="Standardnpsmoodstavce"/>
    <w:uiPriority w:val="32"/>
    <w:rsid w:val="00544471"/>
    <w:rPr>
      <w:b/>
      <w:bCs/>
      <w:smallCaps/>
      <w:color w:val="5B9BD5" w:themeColor="accent1"/>
      <w:spacing w:val="5"/>
    </w:rPr>
  </w:style>
  <w:style w:type="character" w:styleId="Nzevknihy">
    <w:name w:val="Book Title"/>
    <w:basedOn w:val="Standardnpsmoodstavce"/>
    <w:uiPriority w:val="33"/>
    <w:rsid w:val="00544471"/>
    <w:rPr>
      <w:b/>
      <w:bCs/>
      <w:i/>
      <w:iCs/>
      <w:spacing w:val="5"/>
    </w:rPr>
  </w:style>
  <w:style w:type="paragraph" w:styleId="Odstavecseseznamem">
    <w:name w:val="List Paragraph"/>
    <w:aliases w:val="Nad,Nadpis pro KZ,Odstavec cíl se seznamem,Odstavec se seznamem1,Odstavec se seznamem2,Odstavec_muj,můj Nadpis 2,odrážky"/>
    <w:basedOn w:val="Normln"/>
    <w:link w:val="OdstavecseseznamemChar"/>
    <w:uiPriority w:val="34"/>
    <w:qFormat/>
    <w:rsid w:val="00544471"/>
    <w:pPr>
      <w:ind w:left="720"/>
      <w:contextualSpacing/>
    </w:pPr>
  </w:style>
  <w:style w:type="paragraph" w:customStyle="1" w:styleId="Text">
    <w:name w:val="Text"/>
    <w:basedOn w:val="Normln"/>
    <w:link w:val="TextChar"/>
    <w:qFormat/>
    <w:rsid w:val="009C5669"/>
    <w:pPr>
      <w:spacing w:before="120"/>
      <w:jc w:val="both"/>
    </w:pPr>
    <w:rPr>
      <w:rFonts w:cstheme="minorHAnsi"/>
    </w:rPr>
  </w:style>
  <w:style w:type="character" w:customStyle="1" w:styleId="TextChar">
    <w:name w:val="Text Char"/>
    <w:basedOn w:val="Standardnpsmoodstavce"/>
    <w:link w:val="Text"/>
    <w:rsid w:val="009C5669"/>
    <w:rPr>
      <w:rFonts w:asciiTheme="minorHAnsi" w:hAnsiTheme="minorHAnsi" w:cstheme="minorHAnsi"/>
    </w:rPr>
  </w:style>
  <w:style w:type="character" w:customStyle="1" w:styleId="Nadpis6Char">
    <w:name w:val="Nadpis 6 Char"/>
    <w:basedOn w:val="Standardnpsmoodstavce"/>
    <w:link w:val="Nadpis6"/>
    <w:uiPriority w:val="99"/>
    <w:rsid w:val="009C5669"/>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9"/>
    <w:rsid w:val="009C5669"/>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9"/>
    <w:rsid w:val="009C566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9"/>
    <w:rsid w:val="009C5669"/>
    <w:rPr>
      <w:rFonts w:asciiTheme="majorHAnsi" w:eastAsiaTheme="majorEastAsia" w:hAnsiTheme="majorHAnsi" w:cstheme="majorBidi"/>
      <w:i/>
      <w:iCs/>
      <w:color w:val="272727" w:themeColor="text1" w:themeTint="D8"/>
      <w:sz w:val="21"/>
      <w:szCs w:val="21"/>
    </w:rPr>
  </w:style>
  <w:style w:type="paragraph" w:styleId="Titulek">
    <w:name w:val="caption"/>
    <w:basedOn w:val="Text"/>
    <w:next w:val="Text"/>
    <w:uiPriority w:val="35"/>
    <w:unhideWhenUsed/>
    <w:qFormat/>
    <w:rsid w:val="00173FDA"/>
    <w:pPr>
      <w:tabs>
        <w:tab w:val="left" w:pos="7938"/>
      </w:tabs>
    </w:pPr>
    <w:rPr>
      <w:iCs/>
      <w:szCs w:val="18"/>
    </w:rPr>
  </w:style>
  <w:style w:type="paragraph" w:styleId="Nadpisobsahu">
    <w:name w:val="TOC Heading"/>
    <w:basedOn w:val="Nadpis1"/>
    <w:next w:val="Normln"/>
    <w:uiPriority w:val="39"/>
    <w:semiHidden/>
    <w:unhideWhenUsed/>
    <w:qFormat/>
    <w:rsid w:val="009C5669"/>
    <w:pPr>
      <w:numPr>
        <w:numId w:val="0"/>
      </w:numPr>
      <w:spacing w:after="0"/>
      <w:outlineLvl w:val="9"/>
    </w:pPr>
    <w:rPr>
      <w:rFonts w:asciiTheme="majorHAnsi" w:eastAsiaTheme="majorEastAsia" w:hAnsiTheme="majorHAnsi" w:cstheme="majorBidi"/>
      <w:b w:val="0"/>
      <w:color w:val="2E74B5" w:themeColor="accent1" w:themeShade="BF"/>
      <w:sz w:val="32"/>
      <w:szCs w:val="32"/>
    </w:rPr>
  </w:style>
  <w:style w:type="paragraph" w:styleId="Zhlav">
    <w:name w:val="header"/>
    <w:basedOn w:val="Normln"/>
    <w:link w:val="ZhlavChar"/>
    <w:uiPriority w:val="99"/>
    <w:unhideWhenUsed/>
    <w:rsid w:val="001D688A"/>
    <w:pPr>
      <w:tabs>
        <w:tab w:val="center" w:pos="4536"/>
        <w:tab w:val="right" w:pos="9072"/>
      </w:tabs>
    </w:pPr>
  </w:style>
  <w:style w:type="character" w:customStyle="1" w:styleId="ZhlavChar">
    <w:name w:val="Záhlaví Char"/>
    <w:basedOn w:val="Standardnpsmoodstavce"/>
    <w:link w:val="Zhlav"/>
    <w:uiPriority w:val="99"/>
    <w:rsid w:val="001D688A"/>
    <w:rPr>
      <w:rFonts w:asciiTheme="minorHAnsi" w:hAnsiTheme="minorHAnsi"/>
    </w:rPr>
  </w:style>
  <w:style w:type="paragraph" w:styleId="Zpat">
    <w:name w:val="footer"/>
    <w:basedOn w:val="Normln"/>
    <w:link w:val="ZpatChar"/>
    <w:uiPriority w:val="99"/>
    <w:unhideWhenUsed/>
    <w:rsid w:val="001D688A"/>
    <w:pPr>
      <w:tabs>
        <w:tab w:val="center" w:pos="4536"/>
        <w:tab w:val="right" w:pos="9072"/>
      </w:tabs>
    </w:pPr>
  </w:style>
  <w:style w:type="character" w:customStyle="1" w:styleId="ZpatChar">
    <w:name w:val="Zápatí Char"/>
    <w:basedOn w:val="Standardnpsmoodstavce"/>
    <w:link w:val="Zpat"/>
    <w:uiPriority w:val="99"/>
    <w:rsid w:val="001D688A"/>
    <w:rPr>
      <w:rFonts w:asciiTheme="minorHAnsi" w:hAnsiTheme="minorHAnsi"/>
    </w:rPr>
  </w:style>
  <w:style w:type="paragraph" w:styleId="Textpoznpodarou">
    <w:name w:val="footnote text"/>
    <w:aliases w:val="Boston 10,Char,Char Char Char1,Char1,Font: Geneva 9,Footnote,Footnote Text Char1,Fußnotentextf,Geneva 9,Schriftart: 10 pt,Schriftart: 8 pt,Schriftart: 9 pt,Text pozn. pod čarou1,Text poznámky pod čiarou 007,f,o,pozn. pod čarou"/>
    <w:basedOn w:val="Normln"/>
    <w:link w:val="TextpoznpodarouChar"/>
    <w:uiPriority w:val="99"/>
    <w:unhideWhenUsed/>
    <w:qFormat/>
    <w:rsid w:val="00AB1D14"/>
    <w:rPr>
      <w:rFonts w:ascii="Calibri" w:eastAsia="Times New Roman" w:hAnsi="Calibri" w:cs="Times New Roman"/>
      <w:sz w:val="20"/>
      <w:szCs w:val="20"/>
    </w:rPr>
  </w:style>
  <w:style w:type="character" w:customStyle="1" w:styleId="TextpoznpodarouChar">
    <w:name w:val="Text pozn. pod čarou Char"/>
    <w:aliases w:val="Boston 10 Char,Char Char,Char Char Char1 Char,Char1 Char,Font: Geneva 9 Char,Footnote Char,Footnote Text Char1 Char,Fußnotentextf Char,Geneva 9 Char,Schriftart: 10 pt Char,Schriftart: 8 pt Char,Schriftart: 9 pt Char,f Char"/>
    <w:basedOn w:val="Standardnpsmoodstavce"/>
    <w:link w:val="Textpoznpodarou"/>
    <w:uiPriority w:val="99"/>
    <w:rsid w:val="00AB1D14"/>
    <w:rPr>
      <w:rFonts w:eastAsia="Times New Roman" w:cs="Times New Roman"/>
      <w:sz w:val="20"/>
      <w:szCs w:val="20"/>
    </w:rPr>
  </w:style>
  <w:style w:type="character" w:styleId="Znakapoznpodarou">
    <w:name w:val="footnote reference"/>
    <w:aliases w:val="4_G,Appel note de bas de p,Appel note de bas de page,BVI fnr,Char Car Car Car Car,Footnote Reference Superscript,Footnote symbol,Légende,Légende.Char Car Car Car Car,PGI Fußnote Ziffer,Voetnootverwijzing"/>
    <w:basedOn w:val="Standardnpsmoodstavce"/>
    <w:uiPriority w:val="99"/>
    <w:unhideWhenUsed/>
    <w:rsid w:val="00AB1D14"/>
    <w:rPr>
      <w:vertAlign w:val="superscript"/>
    </w:rPr>
  </w:style>
  <w:style w:type="paragraph" w:customStyle="1" w:styleId="TextKP">
    <w:name w:val="Text KP"/>
    <w:basedOn w:val="Normln"/>
    <w:link w:val="TextKPChar"/>
    <w:qFormat/>
    <w:rsid w:val="003F5107"/>
    <w:pPr>
      <w:spacing w:before="120"/>
      <w:jc w:val="both"/>
    </w:pPr>
    <w:rPr>
      <w:rFonts w:eastAsia="Times New Roman" w:cstheme="minorHAnsi"/>
    </w:rPr>
  </w:style>
  <w:style w:type="character" w:customStyle="1" w:styleId="TextKPChar">
    <w:name w:val="Text KP Char"/>
    <w:basedOn w:val="Standardnpsmoodstavce"/>
    <w:link w:val="TextKP"/>
    <w:rsid w:val="003F5107"/>
    <w:rPr>
      <w:rFonts w:asciiTheme="minorHAnsi" w:eastAsia="Times New Roman" w:hAnsiTheme="minorHAnsi" w:cstheme="minorHAnsi"/>
    </w:rPr>
  </w:style>
  <w:style w:type="paragraph" w:customStyle="1" w:styleId="Zdrojapozn">
    <w:name w:val="Zdroj a pozn."/>
    <w:basedOn w:val="Normln"/>
    <w:next w:val="Text"/>
    <w:link w:val="ZdrojapoznChar"/>
    <w:qFormat/>
    <w:rsid w:val="00E80D7E"/>
    <w:pPr>
      <w:jc w:val="both"/>
    </w:pPr>
    <w:rPr>
      <w:rFonts w:ascii="Calibri" w:eastAsia="Times New Roman" w:hAnsi="Calibri" w:cs="Times New Roman"/>
      <w:sz w:val="20"/>
      <w:lang w:eastAsia="cs-CZ"/>
    </w:rPr>
  </w:style>
  <w:style w:type="character" w:customStyle="1" w:styleId="ZdrojapoznChar">
    <w:name w:val="Zdroj a pozn. Char"/>
    <w:basedOn w:val="Standardnpsmoodstavce"/>
    <w:link w:val="Zdrojapozn"/>
    <w:rsid w:val="00E80D7E"/>
    <w:rPr>
      <w:rFonts w:eastAsia="Times New Roman" w:cs="Times New Roman"/>
      <w:sz w:val="20"/>
      <w:lang w:eastAsia="cs-CZ"/>
    </w:rPr>
  </w:style>
  <w:style w:type="character" w:styleId="Hypertextovodkaz">
    <w:name w:val="Hyperlink"/>
    <w:basedOn w:val="Standardnpsmoodstavce"/>
    <w:uiPriority w:val="99"/>
    <w:rsid w:val="00487340"/>
    <w:rPr>
      <w:color w:val="0000FF"/>
      <w:u w:val="single"/>
    </w:rPr>
  </w:style>
  <w:style w:type="paragraph" w:customStyle="1" w:styleId="Zdrojapoznmka">
    <w:name w:val="Zdroj a poznámka"/>
    <w:basedOn w:val="Bezmezer"/>
    <w:link w:val="ZdrojapoznmkaChar"/>
    <w:rsid w:val="00D162AA"/>
    <w:rPr>
      <w:rFonts w:asciiTheme="minorHAnsi" w:eastAsia="Times New Roman" w:hAnsiTheme="minorHAnsi" w:cs="Times New Roman"/>
      <w:i/>
      <w:sz w:val="20"/>
      <w:szCs w:val="20"/>
    </w:rPr>
  </w:style>
  <w:style w:type="character" w:customStyle="1" w:styleId="ZdrojapoznmkaChar">
    <w:name w:val="Zdroj a poznámka Char"/>
    <w:basedOn w:val="Standardnpsmoodstavce"/>
    <w:link w:val="Zdrojapoznmka"/>
    <w:rsid w:val="00D162AA"/>
    <w:rPr>
      <w:rFonts w:asciiTheme="minorHAnsi" w:eastAsia="Times New Roman" w:hAnsiTheme="minorHAnsi" w:cs="Times New Roman"/>
      <w:i/>
      <w:sz w:val="20"/>
      <w:szCs w:val="20"/>
    </w:rPr>
  </w:style>
  <w:style w:type="character" w:customStyle="1" w:styleId="OdstavecseseznamemChar">
    <w:name w:val="Odstavec se seznamem Char"/>
    <w:aliases w:val="Nad Char,Nadpis pro KZ Char,Odstavec cíl se seznamem Char,Odstavec se seznamem1 Char,Odstavec se seznamem2 Char,Odstavec_muj Char,můj Nadpis 2 Char,odrážky Char"/>
    <w:link w:val="Odstavecseseznamem"/>
    <w:uiPriority w:val="34"/>
    <w:locked/>
    <w:rsid w:val="00D162AA"/>
    <w:rPr>
      <w:rFonts w:asciiTheme="minorHAnsi" w:hAnsiTheme="minorHAnsi"/>
    </w:rPr>
  </w:style>
  <w:style w:type="paragraph" w:styleId="Normlnweb">
    <w:name w:val="Normal (Web)"/>
    <w:basedOn w:val="Normln"/>
    <w:uiPriority w:val="99"/>
    <w:rsid w:val="00EC14DC"/>
    <w:rPr>
      <w:rFonts w:eastAsia="Times New Roman" w:cs="Times New Roman"/>
    </w:rPr>
  </w:style>
  <w:style w:type="character" w:styleId="slostrnky">
    <w:name w:val="page number"/>
    <w:basedOn w:val="Standardnpsmoodstavce"/>
    <w:semiHidden/>
    <w:rsid w:val="00EC14DC"/>
  </w:style>
  <w:style w:type="character" w:styleId="Sledovanodkaz">
    <w:name w:val="FollowedHyperlink"/>
    <w:basedOn w:val="Standardnpsmoodstavce"/>
    <w:semiHidden/>
    <w:rsid w:val="00EC14DC"/>
    <w:rPr>
      <w:color w:val="800080"/>
      <w:u w:val="single"/>
    </w:rPr>
  </w:style>
  <w:style w:type="paragraph" w:styleId="Zkladntext">
    <w:name w:val="Body Text"/>
    <w:basedOn w:val="Normln"/>
    <w:link w:val="ZkladntextChar"/>
    <w:semiHidden/>
    <w:rsid w:val="00EC14DC"/>
    <w:pPr>
      <w:jc w:val="both"/>
    </w:pPr>
    <w:rPr>
      <w:rFonts w:ascii="Arial" w:eastAsia="Times New Roman" w:hAnsi="Arial" w:cs="Arial"/>
      <w:i/>
      <w:sz w:val="22"/>
    </w:rPr>
  </w:style>
  <w:style w:type="character" w:customStyle="1" w:styleId="ZkladntextChar">
    <w:name w:val="Základní text Char"/>
    <w:basedOn w:val="Standardnpsmoodstavce"/>
    <w:link w:val="Zkladntext"/>
    <w:semiHidden/>
    <w:rsid w:val="00EC14DC"/>
    <w:rPr>
      <w:rFonts w:ascii="Arial" w:eastAsia="Times New Roman" w:hAnsi="Arial" w:cs="Arial"/>
      <w:i/>
      <w:sz w:val="22"/>
    </w:rPr>
  </w:style>
  <w:style w:type="paragraph" w:styleId="Textbubliny">
    <w:name w:val="Balloon Text"/>
    <w:basedOn w:val="Normln"/>
    <w:link w:val="TextbublinyChar"/>
    <w:uiPriority w:val="99"/>
    <w:semiHidden/>
    <w:unhideWhenUsed/>
    <w:rsid w:val="00EC14DC"/>
    <w:rPr>
      <w:rFonts w:ascii="Tahoma" w:eastAsia="Times New Roman" w:hAnsi="Tahoma" w:cs="Tahoma"/>
      <w:sz w:val="16"/>
      <w:szCs w:val="16"/>
    </w:rPr>
  </w:style>
  <w:style w:type="character" w:customStyle="1" w:styleId="TextbublinyChar">
    <w:name w:val="Text bubliny Char"/>
    <w:basedOn w:val="Standardnpsmoodstavce"/>
    <w:link w:val="Textbubliny"/>
    <w:uiPriority w:val="99"/>
    <w:semiHidden/>
    <w:rsid w:val="00EC14DC"/>
    <w:rPr>
      <w:rFonts w:ascii="Tahoma" w:eastAsia="Times New Roman" w:hAnsi="Tahoma" w:cs="Tahoma"/>
      <w:sz w:val="16"/>
      <w:szCs w:val="16"/>
    </w:rPr>
  </w:style>
  <w:style w:type="paragraph" w:styleId="Obsah1">
    <w:name w:val="toc 1"/>
    <w:basedOn w:val="Normln"/>
    <w:next w:val="Normln"/>
    <w:autoRedefine/>
    <w:uiPriority w:val="39"/>
    <w:unhideWhenUsed/>
    <w:rsid w:val="00EC14DC"/>
    <w:pPr>
      <w:tabs>
        <w:tab w:val="left" w:pos="480"/>
        <w:tab w:val="right" w:leader="dot" w:pos="9060"/>
      </w:tabs>
      <w:spacing w:before="60" w:after="60"/>
    </w:pPr>
    <w:rPr>
      <w:rFonts w:eastAsia="Times New Roman" w:cstheme="minorHAnsi"/>
      <w:b/>
      <w:bCs/>
      <w:caps/>
      <w:sz w:val="20"/>
      <w:szCs w:val="20"/>
    </w:rPr>
  </w:style>
  <w:style w:type="paragraph" w:styleId="Obsah2">
    <w:name w:val="toc 2"/>
    <w:basedOn w:val="Normln"/>
    <w:next w:val="Normln"/>
    <w:autoRedefine/>
    <w:uiPriority w:val="39"/>
    <w:unhideWhenUsed/>
    <w:rsid w:val="00EC14DC"/>
    <w:pPr>
      <w:ind w:left="240"/>
    </w:pPr>
    <w:rPr>
      <w:rFonts w:eastAsia="Times New Roman" w:cstheme="minorHAnsi"/>
      <w:smallCaps/>
      <w:sz w:val="20"/>
      <w:szCs w:val="20"/>
    </w:rPr>
  </w:style>
  <w:style w:type="paragraph" w:styleId="Obsah3">
    <w:name w:val="toc 3"/>
    <w:basedOn w:val="Normln"/>
    <w:next w:val="Normln"/>
    <w:autoRedefine/>
    <w:uiPriority w:val="39"/>
    <w:unhideWhenUsed/>
    <w:rsid w:val="00EC14DC"/>
    <w:pPr>
      <w:ind w:left="480"/>
    </w:pPr>
    <w:rPr>
      <w:rFonts w:eastAsia="Times New Roman" w:cstheme="minorHAnsi"/>
      <w:i/>
      <w:iCs/>
      <w:sz w:val="20"/>
      <w:szCs w:val="20"/>
    </w:rPr>
  </w:style>
  <w:style w:type="paragraph" w:styleId="Obsah4">
    <w:name w:val="toc 4"/>
    <w:basedOn w:val="Normln"/>
    <w:next w:val="Normln"/>
    <w:autoRedefine/>
    <w:uiPriority w:val="39"/>
    <w:unhideWhenUsed/>
    <w:rsid w:val="00EC14DC"/>
    <w:pPr>
      <w:ind w:left="720"/>
    </w:pPr>
    <w:rPr>
      <w:rFonts w:eastAsia="Times New Roman" w:cstheme="minorHAnsi"/>
      <w:sz w:val="18"/>
      <w:szCs w:val="18"/>
    </w:rPr>
  </w:style>
  <w:style w:type="paragraph" w:styleId="Obsah5">
    <w:name w:val="toc 5"/>
    <w:basedOn w:val="Normln"/>
    <w:next w:val="Normln"/>
    <w:autoRedefine/>
    <w:uiPriority w:val="39"/>
    <w:unhideWhenUsed/>
    <w:rsid w:val="00EC14DC"/>
    <w:pPr>
      <w:ind w:left="960"/>
    </w:pPr>
    <w:rPr>
      <w:rFonts w:eastAsia="Times New Roman" w:cstheme="minorHAnsi"/>
      <w:sz w:val="18"/>
      <w:szCs w:val="18"/>
    </w:rPr>
  </w:style>
  <w:style w:type="paragraph" w:styleId="Obsah6">
    <w:name w:val="toc 6"/>
    <w:basedOn w:val="Normln"/>
    <w:next w:val="Normln"/>
    <w:autoRedefine/>
    <w:uiPriority w:val="39"/>
    <w:unhideWhenUsed/>
    <w:rsid w:val="00EC14DC"/>
    <w:pPr>
      <w:ind w:left="1200"/>
    </w:pPr>
    <w:rPr>
      <w:rFonts w:eastAsia="Times New Roman" w:cstheme="minorHAnsi"/>
      <w:sz w:val="18"/>
      <w:szCs w:val="18"/>
    </w:rPr>
  </w:style>
  <w:style w:type="paragraph" w:styleId="Obsah7">
    <w:name w:val="toc 7"/>
    <w:basedOn w:val="Normln"/>
    <w:next w:val="Normln"/>
    <w:autoRedefine/>
    <w:uiPriority w:val="39"/>
    <w:unhideWhenUsed/>
    <w:rsid w:val="00EC14DC"/>
    <w:pPr>
      <w:ind w:left="1440"/>
    </w:pPr>
    <w:rPr>
      <w:rFonts w:eastAsia="Times New Roman" w:cstheme="minorHAnsi"/>
      <w:sz w:val="18"/>
      <w:szCs w:val="18"/>
    </w:rPr>
  </w:style>
  <w:style w:type="paragraph" w:styleId="Obsah8">
    <w:name w:val="toc 8"/>
    <w:basedOn w:val="Normln"/>
    <w:next w:val="Normln"/>
    <w:autoRedefine/>
    <w:uiPriority w:val="39"/>
    <w:unhideWhenUsed/>
    <w:rsid w:val="00EC14DC"/>
    <w:pPr>
      <w:ind w:left="1680"/>
    </w:pPr>
    <w:rPr>
      <w:rFonts w:eastAsia="Times New Roman" w:cstheme="minorHAnsi"/>
      <w:sz w:val="18"/>
      <w:szCs w:val="18"/>
    </w:rPr>
  </w:style>
  <w:style w:type="paragraph" w:styleId="Obsah9">
    <w:name w:val="toc 9"/>
    <w:basedOn w:val="Normln"/>
    <w:next w:val="Normln"/>
    <w:autoRedefine/>
    <w:uiPriority w:val="39"/>
    <w:unhideWhenUsed/>
    <w:rsid w:val="00EC14DC"/>
    <w:pPr>
      <w:ind w:left="1920"/>
    </w:pPr>
    <w:rPr>
      <w:rFonts w:eastAsia="Times New Roman" w:cstheme="minorHAnsi"/>
      <w:sz w:val="18"/>
      <w:szCs w:val="18"/>
    </w:rPr>
  </w:style>
  <w:style w:type="table" w:styleId="Mkatabulky">
    <w:name w:val="Table Grid"/>
    <w:basedOn w:val="Normlntabulka"/>
    <w:uiPriority w:val="39"/>
    <w:rsid w:val="00EC14DC"/>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EC14DC"/>
  </w:style>
  <w:style w:type="paragraph" w:customStyle="1" w:styleId="Kritria">
    <w:name w:val="Kritéria"/>
    <w:basedOn w:val="TextKP"/>
    <w:link w:val="KritriaChar"/>
    <w:rsid w:val="00EC14DC"/>
    <w:pPr>
      <w:spacing w:before="0"/>
    </w:pPr>
    <w:rPr>
      <w:i/>
    </w:rPr>
  </w:style>
  <w:style w:type="character" w:customStyle="1" w:styleId="KritriaChar">
    <w:name w:val="Kritéria Char"/>
    <w:basedOn w:val="TextKPChar"/>
    <w:link w:val="Kritria"/>
    <w:rsid w:val="00EC14DC"/>
    <w:rPr>
      <w:rFonts w:asciiTheme="minorHAnsi" w:eastAsia="Times New Roman" w:hAnsiTheme="minorHAnsi" w:cstheme="minorHAnsi"/>
      <w:i/>
    </w:rPr>
  </w:style>
  <w:style w:type="table" w:customStyle="1" w:styleId="Mkatabulky1">
    <w:name w:val="Mřížka tabulky1"/>
    <w:basedOn w:val="Normlntabulka"/>
    <w:next w:val="Mkatabulky"/>
    <w:uiPriority w:val="39"/>
    <w:rsid w:val="00EC14DC"/>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EC14DC"/>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kazy">
    <w:name w:val="_rozkazy"/>
    <w:basedOn w:val="Normln"/>
    <w:link w:val="rozkazyChar"/>
    <w:autoRedefine/>
    <w:rsid w:val="00EC14DC"/>
    <w:pPr>
      <w:keepNext/>
    </w:pPr>
    <w:rPr>
      <w:rFonts w:eastAsia="Times New Roman" w:cstheme="minorHAnsi"/>
      <w:i/>
      <w:snapToGrid w:val="0"/>
      <w:sz w:val="22"/>
      <w:szCs w:val="22"/>
      <w:lang w:eastAsia="cs-CZ"/>
    </w:rPr>
  </w:style>
  <w:style w:type="character" w:customStyle="1" w:styleId="rozkazyChar">
    <w:name w:val="_rozkazy Char"/>
    <w:basedOn w:val="Standardnpsmoodstavce"/>
    <w:link w:val="rozkazy"/>
    <w:rsid w:val="00EC14DC"/>
    <w:rPr>
      <w:rFonts w:asciiTheme="minorHAnsi" w:eastAsia="Times New Roman" w:hAnsiTheme="minorHAnsi" w:cstheme="minorHAnsi"/>
      <w:i/>
      <w:snapToGrid w:val="0"/>
      <w:sz w:val="22"/>
      <w:szCs w:val="22"/>
      <w:lang w:eastAsia="cs-CZ"/>
    </w:rPr>
  </w:style>
  <w:style w:type="character" w:styleId="Odkaznakoment">
    <w:name w:val="annotation reference"/>
    <w:basedOn w:val="Standardnpsmoodstavce"/>
    <w:uiPriority w:val="99"/>
    <w:semiHidden/>
    <w:unhideWhenUsed/>
    <w:rsid w:val="00EC14DC"/>
    <w:rPr>
      <w:sz w:val="16"/>
      <w:szCs w:val="16"/>
    </w:rPr>
  </w:style>
  <w:style w:type="paragraph" w:styleId="Textkomente">
    <w:name w:val="annotation text"/>
    <w:basedOn w:val="Normln"/>
    <w:link w:val="TextkomenteChar"/>
    <w:uiPriority w:val="99"/>
    <w:unhideWhenUsed/>
    <w:rsid w:val="00EC14DC"/>
    <w:rPr>
      <w:rFonts w:eastAsia="Times New Roman" w:cs="Times New Roman"/>
      <w:sz w:val="20"/>
      <w:szCs w:val="20"/>
    </w:rPr>
  </w:style>
  <w:style w:type="character" w:customStyle="1" w:styleId="TextkomenteChar">
    <w:name w:val="Text komentáře Char"/>
    <w:basedOn w:val="Standardnpsmoodstavce"/>
    <w:link w:val="Textkomente"/>
    <w:uiPriority w:val="99"/>
    <w:rsid w:val="00EC14DC"/>
    <w:rPr>
      <w:rFonts w:asciiTheme="minorHAnsi" w:eastAsia="Times New Roman" w:hAnsiTheme="minorHAnsi" w:cs="Times New Roman"/>
      <w:sz w:val="20"/>
      <w:szCs w:val="20"/>
    </w:rPr>
  </w:style>
  <w:style w:type="paragraph" w:styleId="Pedmtkomente">
    <w:name w:val="annotation subject"/>
    <w:basedOn w:val="Textkomente"/>
    <w:next w:val="Textkomente"/>
    <w:link w:val="PedmtkomenteChar"/>
    <w:uiPriority w:val="99"/>
    <w:semiHidden/>
    <w:unhideWhenUsed/>
    <w:rsid w:val="00EC14DC"/>
    <w:rPr>
      <w:b/>
      <w:bCs/>
    </w:rPr>
  </w:style>
  <w:style w:type="character" w:customStyle="1" w:styleId="PedmtkomenteChar">
    <w:name w:val="Předmět komentáře Char"/>
    <w:basedOn w:val="TextkomenteChar"/>
    <w:link w:val="Pedmtkomente"/>
    <w:uiPriority w:val="99"/>
    <w:semiHidden/>
    <w:rsid w:val="00EC14DC"/>
    <w:rPr>
      <w:rFonts w:asciiTheme="minorHAnsi" w:eastAsia="Times New Roman" w:hAnsiTheme="minorHAnsi" w:cs="Times New Roman"/>
      <w:b/>
      <w:bCs/>
      <w:sz w:val="20"/>
      <w:szCs w:val="20"/>
    </w:rPr>
  </w:style>
  <w:style w:type="character" w:customStyle="1" w:styleId="Role">
    <w:name w:val="Role"/>
    <w:basedOn w:val="Standardnpsmoodstavce"/>
    <w:rsid w:val="00EC14DC"/>
    <w:rPr>
      <w:rFonts w:ascii="Times New Roman" w:hAnsi="Times New Roman"/>
      <w:i/>
      <w:smallCaps/>
    </w:rPr>
  </w:style>
  <w:style w:type="paragraph" w:customStyle="1" w:styleId="Default">
    <w:name w:val="Default"/>
    <w:rsid w:val="00EC14DC"/>
    <w:pPr>
      <w:autoSpaceDE w:val="0"/>
      <w:autoSpaceDN w:val="0"/>
      <w:adjustRightInd w:val="0"/>
    </w:pPr>
    <w:rPr>
      <w:rFonts w:eastAsia="Times New Roman" w:cs="Calibri"/>
      <w:color w:val="000000"/>
      <w:lang w:eastAsia="cs-CZ"/>
    </w:rPr>
  </w:style>
  <w:style w:type="character" w:customStyle="1" w:styleId="apple-converted-space">
    <w:name w:val="apple-converted-space"/>
    <w:basedOn w:val="Standardnpsmoodstavce"/>
    <w:rsid w:val="00EC14DC"/>
  </w:style>
  <w:style w:type="numbering" w:customStyle="1" w:styleId="Bezseznamu1">
    <w:name w:val="Bez seznamu1"/>
    <w:next w:val="Bezseznamu"/>
    <w:uiPriority w:val="99"/>
    <w:semiHidden/>
    <w:unhideWhenUsed/>
    <w:rsid w:val="00EC14DC"/>
  </w:style>
  <w:style w:type="paragraph" w:styleId="Textvysvtlivek">
    <w:name w:val="endnote text"/>
    <w:basedOn w:val="Normln"/>
    <w:link w:val="TextvysvtlivekChar"/>
    <w:uiPriority w:val="99"/>
    <w:semiHidden/>
    <w:unhideWhenUsed/>
    <w:rsid w:val="00EC14DC"/>
    <w:rPr>
      <w:rFonts w:eastAsia="Times New Roman" w:cs="Times New Roman"/>
      <w:sz w:val="20"/>
      <w:szCs w:val="20"/>
    </w:rPr>
  </w:style>
  <w:style w:type="character" w:customStyle="1" w:styleId="TextvysvtlivekChar">
    <w:name w:val="Text vysvětlivek Char"/>
    <w:basedOn w:val="Standardnpsmoodstavce"/>
    <w:link w:val="Textvysvtlivek"/>
    <w:uiPriority w:val="99"/>
    <w:semiHidden/>
    <w:rsid w:val="00EC14DC"/>
    <w:rPr>
      <w:rFonts w:asciiTheme="minorHAnsi" w:eastAsia="Times New Roman" w:hAnsiTheme="minorHAnsi" w:cs="Times New Roman"/>
      <w:sz w:val="20"/>
      <w:szCs w:val="20"/>
    </w:rPr>
  </w:style>
  <w:style w:type="character" w:styleId="Odkaznavysvtlivky">
    <w:name w:val="endnote reference"/>
    <w:basedOn w:val="Standardnpsmoodstavce"/>
    <w:uiPriority w:val="99"/>
    <w:semiHidden/>
    <w:unhideWhenUsed/>
    <w:rsid w:val="00EC14DC"/>
    <w:rPr>
      <w:vertAlign w:val="superscript"/>
    </w:rPr>
  </w:style>
  <w:style w:type="paragraph" w:styleId="Seznamobrzk">
    <w:name w:val="table of figures"/>
    <w:basedOn w:val="Normln"/>
    <w:next w:val="Normln"/>
    <w:uiPriority w:val="99"/>
    <w:unhideWhenUsed/>
    <w:rsid w:val="00EC14DC"/>
    <w:pPr>
      <w:ind w:left="480" w:hanging="480"/>
    </w:pPr>
    <w:rPr>
      <w:rFonts w:eastAsia="Times New Roman" w:cs="Times New Roman"/>
      <w:b/>
      <w:bCs/>
      <w:sz w:val="20"/>
      <w:szCs w:val="20"/>
    </w:rPr>
  </w:style>
  <w:style w:type="paragraph" w:customStyle="1" w:styleId="statementtext">
    <w:name w:val="statement_text"/>
    <w:basedOn w:val="Normln"/>
    <w:rsid w:val="00EC14DC"/>
    <w:pPr>
      <w:spacing w:before="100" w:beforeAutospacing="1" w:after="100" w:afterAutospacing="1"/>
    </w:pPr>
    <w:rPr>
      <w:rFonts w:ascii="Times New Roman" w:eastAsia="Times New Roman" w:hAnsi="Times New Roman" w:cs="Times New Roman"/>
      <w:lang w:eastAsia="cs-CZ"/>
    </w:rPr>
  </w:style>
  <w:style w:type="paragraph" w:customStyle="1" w:styleId="CM1">
    <w:name w:val="CM1"/>
    <w:basedOn w:val="Default"/>
    <w:next w:val="Default"/>
    <w:uiPriority w:val="99"/>
    <w:rsid w:val="00EC14DC"/>
    <w:rPr>
      <w:rFonts w:ascii="EUAlbertina" w:eastAsiaTheme="minorHAnsi" w:hAnsi="EUAlbertina" w:cstheme="minorBidi"/>
      <w:color w:val="auto"/>
      <w:lang w:eastAsia="en-US"/>
    </w:rPr>
  </w:style>
  <w:style w:type="paragraph" w:customStyle="1" w:styleId="CM3">
    <w:name w:val="CM3"/>
    <w:basedOn w:val="Default"/>
    <w:next w:val="Default"/>
    <w:uiPriority w:val="99"/>
    <w:rsid w:val="00EC14DC"/>
    <w:rPr>
      <w:rFonts w:ascii="EUAlbertina" w:eastAsiaTheme="minorHAnsi" w:hAnsi="EUAlbertina" w:cstheme="minorBidi"/>
      <w:color w:val="auto"/>
      <w:lang w:eastAsia="en-US"/>
    </w:rPr>
  </w:style>
  <w:style w:type="paragraph" w:customStyle="1" w:styleId="OM-normln">
    <w:name w:val="OM - normální"/>
    <w:basedOn w:val="Normln"/>
    <w:uiPriority w:val="99"/>
    <w:rsid w:val="00EC14DC"/>
    <w:pPr>
      <w:spacing w:after="120"/>
      <w:jc w:val="both"/>
    </w:pPr>
    <w:rPr>
      <w:rFonts w:ascii="Arial" w:eastAsia="Times New Roman" w:hAnsi="Arial" w:cs="Arial"/>
      <w:sz w:val="20"/>
      <w:szCs w:val="20"/>
    </w:rPr>
  </w:style>
  <w:style w:type="paragraph" w:customStyle="1" w:styleId="CM4">
    <w:name w:val="CM4"/>
    <w:basedOn w:val="Normln"/>
    <w:next w:val="Normln"/>
    <w:uiPriority w:val="99"/>
    <w:rsid w:val="00EC14DC"/>
    <w:pPr>
      <w:autoSpaceDE w:val="0"/>
      <w:autoSpaceDN w:val="0"/>
      <w:adjustRightInd w:val="0"/>
    </w:pPr>
    <w:rPr>
      <w:rFonts w:ascii="EUAlbertina" w:hAnsi="EUAlbertina"/>
    </w:rPr>
  </w:style>
  <w:style w:type="character" w:styleId="PsacstrojHTML">
    <w:name w:val="HTML Typewriter"/>
    <w:basedOn w:val="Standardnpsmoodstavce"/>
    <w:uiPriority w:val="99"/>
    <w:semiHidden/>
    <w:unhideWhenUsed/>
    <w:rsid w:val="00EC14DC"/>
    <w:rPr>
      <w:rFonts w:ascii="Courier New" w:eastAsia="Times New Roman" w:hAnsi="Courier New" w:cs="Courier New"/>
      <w:sz w:val="20"/>
      <w:szCs w:val="20"/>
    </w:rPr>
  </w:style>
  <w:style w:type="numbering" w:customStyle="1" w:styleId="Bezseznamu2">
    <w:name w:val="Bez seznamu2"/>
    <w:next w:val="Bezseznamu"/>
    <w:uiPriority w:val="99"/>
    <w:semiHidden/>
    <w:unhideWhenUsed/>
    <w:rsid w:val="00EC14DC"/>
  </w:style>
  <w:style w:type="table" w:customStyle="1" w:styleId="Mkatabulky3">
    <w:name w:val="Mřížka tabulky3"/>
    <w:basedOn w:val="Normlntabulka"/>
    <w:next w:val="Mkatabulky"/>
    <w:uiPriority w:val="39"/>
    <w:rsid w:val="00EC14DC"/>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397C76"/>
    <w:pPr>
      <w:spacing w:line="221" w:lineRule="atLeast"/>
    </w:pPr>
    <w:rPr>
      <w:rFonts w:ascii="Times New Roman" w:eastAsiaTheme="minorHAnsi" w:hAnsi="Times New Roman" w:cs="Times New Roman"/>
      <w:color w:val="auto"/>
      <w:lang w:eastAsia="en-US"/>
    </w:rPr>
  </w:style>
  <w:style w:type="table" w:customStyle="1" w:styleId="Mkatabulky61">
    <w:name w:val="Mřížka tabulky61"/>
    <w:basedOn w:val="Normlntabulka"/>
    <w:next w:val="Mkatabulky"/>
    <w:rsid w:val="00D76178"/>
    <w:rPr>
      <w:rFonts w:eastAsia="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552A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972446">
      <w:bodyDiv w:val="1"/>
      <w:marLeft w:val="0"/>
      <w:marRight w:val="0"/>
      <w:marTop w:val="0"/>
      <w:marBottom w:val="0"/>
      <w:divBdr>
        <w:top w:val="none" w:sz="0" w:space="0" w:color="auto"/>
        <w:left w:val="none" w:sz="0" w:space="0" w:color="auto"/>
        <w:bottom w:val="none" w:sz="0" w:space="0" w:color="auto"/>
        <w:right w:val="none" w:sz="0" w:space="0" w:color="auto"/>
      </w:divBdr>
    </w:div>
    <w:div w:id="909846881">
      <w:bodyDiv w:val="1"/>
      <w:marLeft w:val="0"/>
      <w:marRight w:val="0"/>
      <w:marTop w:val="0"/>
      <w:marBottom w:val="0"/>
      <w:divBdr>
        <w:top w:val="none" w:sz="0" w:space="0" w:color="auto"/>
        <w:left w:val="none" w:sz="0" w:space="0" w:color="auto"/>
        <w:bottom w:val="none" w:sz="0" w:space="0" w:color="auto"/>
        <w:right w:val="none" w:sz="0" w:space="0" w:color="auto"/>
      </w:divBdr>
    </w:div>
    <w:div w:id="911547045">
      <w:bodyDiv w:val="1"/>
      <w:marLeft w:val="0"/>
      <w:marRight w:val="0"/>
      <w:marTop w:val="0"/>
      <w:marBottom w:val="0"/>
      <w:divBdr>
        <w:top w:val="none" w:sz="0" w:space="0" w:color="auto"/>
        <w:left w:val="none" w:sz="0" w:space="0" w:color="auto"/>
        <w:bottom w:val="none" w:sz="0" w:space="0" w:color="auto"/>
        <w:right w:val="none" w:sz="0" w:space="0" w:color="auto"/>
      </w:divBdr>
    </w:div>
    <w:div w:id="1025014960">
      <w:bodyDiv w:val="1"/>
      <w:marLeft w:val="0"/>
      <w:marRight w:val="0"/>
      <w:marTop w:val="0"/>
      <w:marBottom w:val="0"/>
      <w:divBdr>
        <w:top w:val="none" w:sz="0" w:space="0" w:color="auto"/>
        <w:left w:val="none" w:sz="0" w:space="0" w:color="auto"/>
        <w:bottom w:val="none" w:sz="0" w:space="0" w:color="auto"/>
        <w:right w:val="none" w:sz="0" w:space="0" w:color="auto"/>
      </w:divBdr>
    </w:div>
    <w:div w:id="1300189090">
      <w:bodyDiv w:val="1"/>
      <w:marLeft w:val="0"/>
      <w:marRight w:val="0"/>
      <w:marTop w:val="0"/>
      <w:marBottom w:val="0"/>
      <w:divBdr>
        <w:top w:val="none" w:sz="0" w:space="0" w:color="auto"/>
        <w:left w:val="none" w:sz="0" w:space="0" w:color="auto"/>
        <w:bottom w:val="none" w:sz="0" w:space="0" w:color="auto"/>
        <w:right w:val="none" w:sz="0" w:space="0" w:color="auto"/>
      </w:divBdr>
    </w:div>
    <w:div w:id="18067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zp.cz/C1257458002F0DC7/cz/prirucka_ochrany_kvality_ovzdusi/$FILE/OOO-prirucka_OPLZZ_komplet-2014040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zp.cz/C1257458002F0DC7/cz/prirucka_ochrany_kvality_ovzdusi/$FILE/OOO-prirucka_OPLZZ_komplet-2014040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zp.cz/cz/zdravotni_dusledky_znecisteni_ovzdu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ortal.chmi.cz/files/portal/docs/meteo/om/weather_links/Pocasi/Navody/Znecisteni/susp_castic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zp.cz/C1257458002F0DC7/cz/prirucka_ochrany_kvality_ovzdusi/$FILE/OOO-prirucka_OPLZZ_komplet-20140408.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ebdab1.umweltbundesamt.at/download/submissions2018/CZ_NFR2018.zip?cgiproxy_skip=1" TargetMode="External"/><Relationship Id="rId1" Type="http://schemas.openxmlformats.org/officeDocument/2006/relationships/hyperlink" Target="http://www.air-silesia.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E5FD3-D19D-49A9-992D-F707098D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7F911B25.dotm</Template>
  <TotalTime>0</TotalTime>
  <Pages>37</Pages>
  <Words>11933</Words>
  <Characters>70407</Characters>
  <Application>Microsoft Office Word</Application>
  <DocSecurity>0</DocSecurity>
  <Lines>586</Lines>
  <Paragraphs>164</Paragraphs>
  <ScaleCrop>false</ScaleCrop>
  <HeadingPairs>
    <vt:vector size="2" baseType="variant">
      <vt:variant>
        <vt:lpstr>Název</vt:lpstr>
      </vt:variant>
      <vt:variant>
        <vt:i4>1</vt:i4>
      </vt:variant>
    </vt:vector>
  </HeadingPairs>
  <TitlesOfParts>
    <vt:vector size="1" baseType="lpstr">
      <vt:lpstr>Audit Conclusion from Audit No 18/04 - Funds earmarked for supporting air quality improvements</vt:lpstr>
    </vt:vector>
  </TitlesOfParts>
  <Company>NKU</Company>
  <LinksUpToDate>false</LinksUpToDate>
  <CharactersWithSpaces>82176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Conclusion from Audit No 18/04 - Funds earmarked for supporting air quality improvements</dc:title>
  <dc:creator>Supreme Audit Office Czech Republic</dc:creator>
  <cp:lastModifiedBy>KOKRDA Daniel</cp:lastModifiedBy>
  <cp:revision>3</cp:revision>
  <cp:lastPrinted>2019-04-03T05:19:00Z</cp:lastPrinted>
  <dcterms:created xsi:type="dcterms:W3CDTF">2019-04-03T05:19:00Z</dcterms:created>
  <dcterms:modified xsi:type="dcterms:W3CDTF">2019-04-03T05:19:00Z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18/04-NKU30/1137/18</vt:lpwstr>
  </property>
  <property fmtid="{D5CDD505-2E9C-101B-9397-08002B2CF9AE}" pid="5" name="CJ_PostaDoruc_PisemnostOdpovedNa_Pisemnost">
    <vt:lpwstr>XXX-XXX-XXX</vt:lpwstr>
  </property>
  <property fmtid="{D5CDD505-2E9C-101B-9397-08002B2CF9AE}" pid="6" name="CJ_Spis_Pisemnost">
    <vt:lpwstr>840/70/18</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20.11.2018</vt:lpwstr>
  </property>
  <property fmtid="{D5CDD505-2E9C-101B-9397-08002B2CF9AE}" pid="11" name="DisplayName_SlozkaStupenUtajeniCollection_Slozka_Pisemnost">
    <vt:lpwstr/>
  </property>
  <property fmtid="{D5CDD505-2E9C-101B-9397-08002B2CF9AE}" pid="12" name="DisplayName_SpisovyUzel_PoziceZodpo_Pisemnost">
    <vt:lpwstr>Členové Úřadu</vt:lpwstr>
  </property>
  <property fmtid="{D5CDD505-2E9C-101B-9397-08002B2CF9AE}" pid="13" name="DisplayName_UserPoriz_Pisemnost">
    <vt:lpwstr>Bc. Jana Pokorná</vt:lpwstr>
  </property>
  <property fmtid="{D5CDD505-2E9C-101B-9397-08002B2CF9AE}" pid="14" name="DuvodZmeny_SlozkaStupenUtajeniCollection_Slozka_Pisemnost">
    <vt:lpwstr/>
  </property>
  <property fmtid="{D5CDD505-2E9C-101B-9397-08002B2CF9AE}" pid="15" name="EC_Pisemnost">
    <vt:lpwstr>18-14516/NKU</vt:lpwstr>
  </property>
  <property fmtid="{D5CDD505-2E9C-101B-9397-08002B2CF9AE}" pid="16" name="Key_BarCode_Pisemnost">
    <vt:lpwstr>*B000325073*</vt:lpwstr>
  </property>
  <property fmtid="{D5CDD505-2E9C-101B-9397-08002B2CF9AE}" pid="17" name="KRukam">
    <vt:lpwstr>{KRukam}</vt:lpwstr>
  </property>
  <property fmtid="{D5CDD505-2E9C-101B-9397-08002B2CF9AE}" pid="18" name="NameAddress_Contact_SpisovyUzel_PoziceZodpo_Pisemnost">
    <vt:lpwstr>ADRESÁT SU...</vt:lpwstr>
  </property>
  <property fmtid="{D5CDD505-2E9C-101B-9397-08002B2CF9AE}" pid="19" name="Odkaz">
    <vt:lpwstr>ODKAZ</vt:lpwstr>
  </property>
  <property fmtid="{D5CDD505-2E9C-101B-9397-08002B2CF9AE}" pid="20" name="Password_PisemnostTypZpristupneniInformaciZOSZ_Pisemnost">
    <vt:lpwstr>ZOSZ_Password</vt:lpwstr>
  </property>
  <property fmtid="{D5CDD505-2E9C-101B-9397-08002B2CF9AE}" pid="21" name="PocetListuDokumentu_Pisemnost">
    <vt:lpwstr>1</vt:lpwstr>
  </property>
  <property fmtid="{D5CDD505-2E9C-101B-9397-08002B2CF9AE}" pid="22" name="PocetListu_Pisemnost">
    <vt:lpwstr>1</vt:lpwstr>
  </property>
  <property fmtid="{D5CDD505-2E9C-101B-9397-08002B2CF9AE}" pid="23" name="PocetPriloh_Pisemnost">
    <vt:lpwstr>POČET PŘÍLOH</vt:lpwstr>
  </property>
  <property fmtid="{D5CDD505-2E9C-101B-9397-08002B2CF9AE}" pid="24" name="Podpis">
    <vt:lpwstr/>
  </property>
  <property fmtid="{D5CDD505-2E9C-101B-9397-08002B2CF9AE}" pid="25" name="PostalAddress_Contact_SpisovyUzel_PoziceZodpo_Pisemnost">
    <vt:lpwstr>ADRESA SU...</vt:lpwstr>
  </property>
  <property fmtid="{D5CDD505-2E9C-101B-9397-08002B2CF9AE}" pid="26" name="RC">
    <vt:lpwstr/>
  </property>
  <property fmtid="{D5CDD505-2E9C-101B-9397-08002B2CF9AE}" pid="27" name="SkartacniZnakLhuta_PisemnostZnak">
    <vt:lpwstr>?/?</vt:lpwstr>
  </property>
  <property fmtid="{D5CDD505-2E9C-101B-9397-08002B2CF9AE}" pid="28" name="SmlouvaCislo">
    <vt:lpwstr>ČÍSLO SMLOUVY</vt:lpwstr>
  </property>
  <property fmtid="{D5CDD505-2E9C-101B-9397-08002B2CF9AE}" pid="29" name="SZ_Spis_Pisemnost">
    <vt:lpwstr>18/04</vt:lpwstr>
  </property>
  <property fmtid="{D5CDD505-2E9C-101B-9397-08002B2CF9AE}" pid="30" name="TEST">
    <vt:lpwstr>testovací pole</vt:lpwstr>
  </property>
  <property fmtid="{D5CDD505-2E9C-101B-9397-08002B2CF9AE}" pid="31" name="TypPrilohy_Pisemnost">
    <vt:lpwstr>TYP PŘÍLOHY</vt:lpwstr>
  </property>
  <property fmtid="{D5CDD505-2E9C-101B-9397-08002B2CF9AE}" pid="32" name="UserName_PisemnostTypZpristupneniInformaciZOSZ_Pisemnost">
    <vt:lpwstr>ZOSZ_UserName</vt:lpwstr>
  </property>
  <property fmtid="{D5CDD505-2E9C-101B-9397-08002B2CF9AE}" pid="33" name="Vec_Pisemnost">
    <vt:lpwstr>Návrh kontrolního závěru 18/04 – do připomínek</vt:lpwstr>
  </property>
  <property fmtid="{D5CDD505-2E9C-101B-9397-08002B2CF9AE}" pid="34" name="Zkratka_SpisovyUzel_PoziceZodpo_Pisemnost">
    <vt:lpwstr>30</vt:lpwstr>
  </property>
</Properties>
</file>