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74A5F" w14:textId="77777777" w:rsidR="009E560F" w:rsidRPr="009E560F" w:rsidRDefault="009E560F" w:rsidP="009E560F">
      <w:pPr>
        <w:spacing w:before="0"/>
        <w:jc w:val="center"/>
      </w:pPr>
      <w:bookmarkStart w:id="0" w:name="_GoBack"/>
      <w:bookmarkEnd w:id="0"/>
      <w:r w:rsidRPr="009E560F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DC2E758" wp14:editId="5931DCE8">
            <wp:simplePos x="0" y="0"/>
            <wp:positionH relativeFrom="margin">
              <wp:posOffset>2520315</wp:posOffset>
            </wp:positionH>
            <wp:positionV relativeFrom="paragraph">
              <wp:posOffset>0</wp:posOffset>
            </wp:positionV>
            <wp:extent cx="764433" cy="54000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33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4CFC65" w14:textId="77777777" w:rsidR="009E560F" w:rsidRPr="009E560F" w:rsidRDefault="009E560F" w:rsidP="009E560F">
      <w:pPr>
        <w:spacing w:before="0"/>
        <w:jc w:val="center"/>
      </w:pPr>
    </w:p>
    <w:p w14:paraId="057B9F63" w14:textId="77777777" w:rsidR="004F24F4" w:rsidRPr="009E560F" w:rsidRDefault="004F24F4" w:rsidP="009E560F">
      <w:pPr>
        <w:spacing w:before="0"/>
        <w:jc w:val="center"/>
      </w:pPr>
    </w:p>
    <w:p w14:paraId="729E53A2" w14:textId="77777777" w:rsidR="004F24F4" w:rsidRPr="0010177B" w:rsidRDefault="00D91D0B" w:rsidP="009E560F">
      <w:pPr>
        <w:spacing w:before="0"/>
        <w:jc w:val="center"/>
        <w:rPr>
          <w:b/>
          <w:sz w:val="28"/>
          <w:szCs w:val="28"/>
        </w:rPr>
      </w:pPr>
      <w:r w:rsidRPr="0010177B">
        <w:rPr>
          <w:b/>
          <w:sz w:val="28"/>
          <w:szCs w:val="28"/>
        </w:rPr>
        <w:t>Kontrolní závěr z kontrolní akce</w:t>
      </w:r>
    </w:p>
    <w:p w14:paraId="3EFB504F" w14:textId="77777777" w:rsidR="009E560F" w:rsidRPr="009E560F" w:rsidRDefault="009E560F" w:rsidP="009E560F">
      <w:pPr>
        <w:spacing w:before="0"/>
        <w:jc w:val="center"/>
      </w:pPr>
    </w:p>
    <w:p w14:paraId="4A44B440" w14:textId="77777777" w:rsidR="004F24F4" w:rsidRDefault="00D91D0B" w:rsidP="009E560F">
      <w:pPr>
        <w:spacing w:before="0"/>
        <w:jc w:val="center"/>
        <w:rPr>
          <w:b/>
          <w:sz w:val="28"/>
          <w:szCs w:val="28"/>
        </w:rPr>
      </w:pPr>
      <w:r w:rsidRPr="0010177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7/26</w:t>
      </w:r>
    </w:p>
    <w:p w14:paraId="48C3D504" w14:textId="77777777" w:rsidR="009E560F" w:rsidRPr="009E560F" w:rsidRDefault="009E560F" w:rsidP="009E560F">
      <w:pPr>
        <w:spacing w:before="0"/>
        <w:jc w:val="center"/>
      </w:pPr>
    </w:p>
    <w:p w14:paraId="1BCFC529" w14:textId="77777777" w:rsidR="004F24F4" w:rsidRPr="00A8036F" w:rsidRDefault="00D91D0B" w:rsidP="009E560F">
      <w:pPr>
        <w:spacing w:before="0"/>
        <w:jc w:val="center"/>
        <w:rPr>
          <w:i/>
        </w:rPr>
      </w:pPr>
      <w:r w:rsidRPr="0010177B">
        <w:rPr>
          <w:b/>
          <w:sz w:val="28"/>
          <w:szCs w:val="28"/>
        </w:rPr>
        <w:t xml:space="preserve">Peněžní prostředky </w:t>
      </w:r>
      <w:r>
        <w:rPr>
          <w:b/>
          <w:sz w:val="28"/>
          <w:szCs w:val="28"/>
        </w:rPr>
        <w:t xml:space="preserve">určené na opatření </w:t>
      </w:r>
      <w:r w:rsidRPr="00A8036F">
        <w:rPr>
          <w:b/>
          <w:i/>
          <w:sz w:val="28"/>
          <w:szCs w:val="28"/>
        </w:rPr>
        <w:t>Spolupráce</w:t>
      </w:r>
      <w:r>
        <w:rPr>
          <w:b/>
          <w:sz w:val="28"/>
          <w:szCs w:val="28"/>
        </w:rPr>
        <w:t xml:space="preserve"> v rámci </w:t>
      </w:r>
      <w:r w:rsidRPr="00A8036F">
        <w:rPr>
          <w:b/>
          <w:i/>
          <w:sz w:val="28"/>
          <w:szCs w:val="28"/>
        </w:rPr>
        <w:t>Programu rozv</w:t>
      </w:r>
      <w:r>
        <w:rPr>
          <w:b/>
          <w:i/>
          <w:sz w:val="28"/>
          <w:szCs w:val="28"/>
        </w:rPr>
        <w:t>oje venkova ČR na období 2014–</w:t>
      </w:r>
      <w:r w:rsidRPr="00A8036F">
        <w:rPr>
          <w:b/>
          <w:i/>
          <w:sz w:val="28"/>
          <w:szCs w:val="28"/>
        </w:rPr>
        <w:t>2020</w:t>
      </w:r>
    </w:p>
    <w:p w14:paraId="0CCB6D0C" w14:textId="77777777" w:rsidR="009E560F" w:rsidRDefault="009E560F" w:rsidP="009E560F">
      <w:pPr>
        <w:spacing w:before="0"/>
      </w:pPr>
    </w:p>
    <w:p w14:paraId="73230CD8" w14:textId="77777777" w:rsidR="009E560F" w:rsidRPr="009E560F" w:rsidRDefault="009E560F" w:rsidP="009E560F">
      <w:pPr>
        <w:spacing w:before="0"/>
      </w:pPr>
    </w:p>
    <w:p w14:paraId="22B0B01C" w14:textId="77777777" w:rsidR="004F24F4" w:rsidRPr="00876251" w:rsidRDefault="00D91D0B" w:rsidP="00876251">
      <w:pPr>
        <w:spacing w:before="0"/>
        <w:rPr>
          <w:color w:val="000000" w:themeColor="text1"/>
        </w:rPr>
      </w:pPr>
      <w:r w:rsidRPr="00876251">
        <w:rPr>
          <w:color w:val="000000" w:themeColor="text1"/>
        </w:rPr>
        <w:t>Kontrolní akce byla zařazena do plánu kontrolní činnosti Nejvyššího kontrolního úřadu (dále jen „NKÚ“) na rok 2017 pod číslem 17/26. Kontrolní akci řídil a kontrolní závěr vypracoval člen NKÚ Ing. Pavel Hrnčíř.</w:t>
      </w:r>
    </w:p>
    <w:p w14:paraId="6F60DC8A" w14:textId="77777777" w:rsidR="00876251" w:rsidRDefault="00876251" w:rsidP="00876251">
      <w:pPr>
        <w:spacing w:before="0"/>
        <w:rPr>
          <w:color w:val="000000" w:themeColor="text1"/>
        </w:rPr>
      </w:pPr>
    </w:p>
    <w:p w14:paraId="71F98713" w14:textId="120B7DC1" w:rsidR="004F24F4" w:rsidRDefault="00D91D0B" w:rsidP="00876251">
      <w:pPr>
        <w:spacing w:before="0"/>
        <w:rPr>
          <w:color w:val="000000" w:themeColor="text1"/>
        </w:rPr>
      </w:pPr>
      <w:r w:rsidRPr="00876251">
        <w:rPr>
          <w:color w:val="000000" w:themeColor="text1"/>
        </w:rPr>
        <w:t xml:space="preserve">Cílem kontroly bylo prověřit, zda řídicí a kontrolní systém a podmínky nastavené pro poskytování peněžních prostředků EU a státního rozpočtu na opatření </w:t>
      </w:r>
      <w:r w:rsidRPr="00C77473">
        <w:rPr>
          <w:i/>
          <w:color w:val="000000" w:themeColor="text1"/>
        </w:rPr>
        <w:t>Spolupráce</w:t>
      </w:r>
      <w:r w:rsidRPr="00876251">
        <w:rPr>
          <w:color w:val="000000" w:themeColor="text1"/>
        </w:rPr>
        <w:t xml:space="preserve"> v rámci PRV</w:t>
      </w:r>
      <w:r w:rsidR="00AA301F">
        <w:rPr>
          <w:color w:val="000000" w:themeColor="text1"/>
        </w:rPr>
        <w:t> </w:t>
      </w:r>
      <w:r w:rsidRPr="00876251">
        <w:rPr>
          <w:color w:val="000000" w:themeColor="text1"/>
        </w:rPr>
        <w:t xml:space="preserve">2014–2020 mají schopnost zajistit účelné, hospodárné a efektivní vynakládání veřejných prostředků, a ověřit, zda jsou vybírány a financovány účelné a potřebné projekty přispívající k dosažení cílů opatření. </w:t>
      </w:r>
    </w:p>
    <w:p w14:paraId="0CBFE84E" w14:textId="77777777" w:rsidR="00876251" w:rsidRPr="00876251" w:rsidRDefault="00876251" w:rsidP="00876251">
      <w:pPr>
        <w:spacing w:before="0"/>
        <w:rPr>
          <w:color w:val="000000" w:themeColor="text1"/>
        </w:rPr>
      </w:pPr>
    </w:p>
    <w:p w14:paraId="393FAA50" w14:textId="77777777" w:rsidR="004F24F4" w:rsidRDefault="00D91D0B" w:rsidP="00876251">
      <w:pPr>
        <w:spacing w:before="0"/>
        <w:rPr>
          <w:color w:val="000000" w:themeColor="text1"/>
        </w:rPr>
      </w:pPr>
      <w:r w:rsidRPr="00876251">
        <w:rPr>
          <w:color w:val="000000" w:themeColor="text1"/>
        </w:rPr>
        <w:t xml:space="preserve">Kontrola byla prováděna u kontrolovaných osob v období od září 2017 do března 2018. </w:t>
      </w:r>
    </w:p>
    <w:p w14:paraId="5A759ED2" w14:textId="77777777" w:rsidR="00876251" w:rsidRPr="00876251" w:rsidRDefault="00876251" w:rsidP="00876251">
      <w:pPr>
        <w:spacing w:before="0"/>
        <w:rPr>
          <w:color w:val="000000" w:themeColor="text1"/>
        </w:rPr>
      </w:pPr>
    </w:p>
    <w:p w14:paraId="6D5ABD5F" w14:textId="77777777" w:rsidR="004F24F4" w:rsidRDefault="00D91D0B" w:rsidP="00876251">
      <w:pPr>
        <w:spacing w:before="0"/>
        <w:rPr>
          <w:color w:val="000000" w:themeColor="text1"/>
        </w:rPr>
      </w:pPr>
      <w:r w:rsidRPr="00876251">
        <w:rPr>
          <w:color w:val="000000" w:themeColor="text1"/>
        </w:rPr>
        <w:t>Kontrolovaným obdobím byly roky 2014 až 2017, v případě věcných souvislostí i období předcházející a následující.</w:t>
      </w:r>
    </w:p>
    <w:p w14:paraId="4D1FD29B" w14:textId="77777777" w:rsidR="00876251" w:rsidRPr="00876251" w:rsidRDefault="00876251" w:rsidP="00876251">
      <w:pPr>
        <w:spacing w:before="0"/>
        <w:rPr>
          <w:color w:val="000000" w:themeColor="text1"/>
        </w:rPr>
      </w:pPr>
    </w:p>
    <w:p w14:paraId="58DF7021" w14:textId="65B37DAB" w:rsidR="00C82631" w:rsidRDefault="00D91D0B" w:rsidP="00876251">
      <w:pPr>
        <w:spacing w:before="0"/>
        <w:rPr>
          <w:color w:val="000000" w:themeColor="text1"/>
        </w:rPr>
      </w:pPr>
      <w:r w:rsidRPr="00876251">
        <w:rPr>
          <w:b/>
          <w:color w:val="000000" w:themeColor="text1"/>
        </w:rPr>
        <w:t>Kontrolované osoby:</w:t>
      </w:r>
      <w:r w:rsidRPr="00876251">
        <w:rPr>
          <w:b/>
          <w:color w:val="000000" w:themeColor="text1"/>
        </w:rPr>
        <w:cr/>
      </w:r>
      <w:r w:rsidRPr="00876251">
        <w:rPr>
          <w:color w:val="000000" w:themeColor="text1"/>
        </w:rPr>
        <w:t xml:space="preserve">Ministerstvo zemědělství </w:t>
      </w:r>
      <w:r w:rsidRPr="00876251">
        <w:rPr>
          <w:bCs/>
          <w:iCs/>
          <w:color w:val="000000" w:themeColor="text1"/>
        </w:rPr>
        <w:t>(dále též „MZe“)</w:t>
      </w:r>
      <w:r w:rsidR="00C82631">
        <w:rPr>
          <w:bCs/>
          <w:iCs/>
          <w:color w:val="000000" w:themeColor="text1"/>
        </w:rPr>
        <w:t>;</w:t>
      </w:r>
      <w:r w:rsidRPr="00876251">
        <w:rPr>
          <w:color w:val="000000" w:themeColor="text1"/>
        </w:rPr>
        <w:t xml:space="preserve"> </w:t>
      </w:r>
    </w:p>
    <w:p w14:paraId="0EDD8A71" w14:textId="77777777" w:rsidR="004F24F4" w:rsidRPr="00876251" w:rsidRDefault="00D91D0B" w:rsidP="00876251">
      <w:pPr>
        <w:spacing w:before="0"/>
        <w:rPr>
          <w:rStyle w:val="Siln"/>
          <w:b w:val="0"/>
          <w:bCs w:val="0"/>
          <w:color w:val="000000" w:themeColor="text1"/>
        </w:rPr>
      </w:pPr>
      <w:r w:rsidRPr="00876251">
        <w:rPr>
          <w:color w:val="000000" w:themeColor="text1"/>
        </w:rPr>
        <w:t xml:space="preserve">Státní zemědělský intervenční fond, Praha </w:t>
      </w:r>
      <w:r w:rsidRPr="00876251">
        <w:rPr>
          <w:bCs/>
          <w:iCs/>
          <w:color w:val="000000" w:themeColor="text1"/>
        </w:rPr>
        <w:t>(dále též „SZIF“).</w:t>
      </w:r>
    </w:p>
    <w:p w14:paraId="6414CC78" w14:textId="77777777" w:rsidR="00876251" w:rsidRDefault="00876251" w:rsidP="00876251">
      <w:pPr>
        <w:spacing w:before="0"/>
        <w:rPr>
          <w:color w:val="000000" w:themeColor="text1"/>
        </w:rPr>
      </w:pPr>
    </w:p>
    <w:p w14:paraId="0CF4F302" w14:textId="77777777" w:rsidR="004F24F4" w:rsidRPr="00876251" w:rsidRDefault="00D91D0B" w:rsidP="00876251">
      <w:pPr>
        <w:spacing w:before="0"/>
        <w:rPr>
          <w:color w:val="000000" w:themeColor="text1"/>
        </w:rPr>
      </w:pPr>
      <w:r w:rsidRPr="00876251">
        <w:rPr>
          <w:color w:val="000000" w:themeColor="text1"/>
        </w:rPr>
        <w:t>Námitky proti kontrolnímu protokolu, které podalo Ministerstvo zemědělství a Státní zemědělský intervenční fond, byly vypořádány vedoucími skupin kontrolujících rozhodnutími o námitkách. Odvolání proti rozhodnutí o námitkách podalo Ministerstvo zemědělství a bylo vypořádáno usnesením Kolegia NKÚ č</w:t>
      </w:r>
      <w:r w:rsidRPr="00876251">
        <w:rPr>
          <w:color w:val="000000" w:themeColor="text1"/>
          <w:sz w:val="22"/>
          <w:szCs w:val="22"/>
        </w:rPr>
        <w:t xml:space="preserve">. </w:t>
      </w:r>
      <w:r w:rsidR="009B70CC" w:rsidRPr="00876251">
        <w:rPr>
          <w:color w:val="000000" w:themeColor="text1"/>
          <w:sz w:val="22"/>
          <w:szCs w:val="22"/>
        </w:rPr>
        <w:t>18</w:t>
      </w:r>
      <w:r w:rsidRPr="00876251">
        <w:rPr>
          <w:bCs/>
          <w:color w:val="000000" w:themeColor="text1"/>
          <w:sz w:val="22"/>
          <w:szCs w:val="22"/>
          <w:lang w:eastAsia="cs-CZ"/>
        </w:rPr>
        <w:t>/</w:t>
      </w:r>
      <w:r w:rsidR="009B70CC" w:rsidRPr="00876251">
        <w:rPr>
          <w:bCs/>
          <w:color w:val="000000" w:themeColor="text1"/>
          <w:sz w:val="22"/>
          <w:szCs w:val="22"/>
          <w:lang w:eastAsia="cs-CZ"/>
        </w:rPr>
        <w:t>V</w:t>
      </w:r>
      <w:r w:rsidRPr="00876251">
        <w:rPr>
          <w:bCs/>
          <w:color w:val="000000" w:themeColor="text1"/>
          <w:sz w:val="22"/>
          <w:szCs w:val="22"/>
          <w:lang w:eastAsia="cs-CZ"/>
        </w:rPr>
        <w:t>/2018</w:t>
      </w:r>
      <w:r w:rsidRPr="00876251">
        <w:rPr>
          <w:color w:val="000000" w:themeColor="text1"/>
        </w:rPr>
        <w:t xml:space="preserve"> ze dne 23. dubna 2018.</w:t>
      </w:r>
    </w:p>
    <w:p w14:paraId="2C1B5E48" w14:textId="77777777" w:rsidR="004F24F4" w:rsidRDefault="004F24F4" w:rsidP="00876251">
      <w:pPr>
        <w:spacing w:before="0"/>
        <w:rPr>
          <w:color w:val="000000" w:themeColor="text1"/>
        </w:rPr>
      </w:pPr>
    </w:p>
    <w:p w14:paraId="30FCBFBB" w14:textId="77777777" w:rsidR="00876251" w:rsidRPr="00876251" w:rsidRDefault="00876251" w:rsidP="00876251">
      <w:pPr>
        <w:spacing w:before="0"/>
        <w:rPr>
          <w:color w:val="000000" w:themeColor="text1"/>
        </w:rPr>
      </w:pPr>
    </w:p>
    <w:p w14:paraId="6B543F06" w14:textId="77777777" w:rsidR="004F24F4" w:rsidRPr="00876251" w:rsidRDefault="00D91D0B" w:rsidP="00876251">
      <w:pPr>
        <w:spacing w:before="0"/>
        <w:rPr>
          <w:color w:val="000000" w:themeColor="text1"/>
        </w:rPr>
      </w:pPr>
      <w:r w:rsidRPr="00876251">
        <w:rPr>
          <w:b/>
          <w:i/>
          <w:color w:val="000000" w:themeColor="text1"/>
          <w:spacing w:val="40"/>
        </w:rPr>
        <w:t>Kolegium</w:t>
      </w:r>
      <w:r w:rsidRPr="00876251">
        <w:rPr>
          <w:b/>
          <w:i/>
          <w:color w:val="000000" w:themeColor="text1"/>
        </w:rPr>
        <w:t xml:space="preserve">   </w:t>
      </w:r>
      <w:r w:rsidRPr="00876251">
        <w:rPr>
          <w:b/>
          <w:i/>
          <w:color w:val="000000" w:themeColor="text1"/>
          <w:spacing w:val="40"/>
        </w:rPr>
        <w:t>NKÚ</w:t>
      </w:r>
      <w:r w:rsidRPr="00876251">
        <w:rPr>
          <w:b/>
          <w:i/>
          <w:color w:val="000000" w:themeColor="text1"/>
        </w:rPr>
        <w:t xml:space="preserve">   </w:t>
      </w:r>
      <w:r w:rsidRPr="00876251">
        <w:rPr>
          <w:color w:val="000000" w:themeColor="text1"/>
        </w:rPr>
        <w:t xml:space="preserve">na svém </w:t>
      </w:r>
      <w:r w:rsidR="009C0AC2" w:rsidRPr="00876251">
        <w:rPr>
          <w:color w:val="000000" w:themeColor="text1"/>
        </w:rPr>
        <w:t>VI</w:t>
      </w:r>
      <w:r w:rsidRPr="00876251">
        <w:rPr>
          <w:color w:val="000000" w:themeColor="text1"/>
        </w:rPr>
        <w:t xml:space="preserve">. jednání, které se konalo dne </w:t>
      </w:r>
      <w:r w:rsidR="009C0AC2" w:rsidRPr="00876251">
        <w:rPr>
          <w:color w:val="000000" w:themeColor="text1"/>
        </w:rPr>
        <w:t>21. května</w:t>
      </w:r>
      <w:r w:rsidRPr="00876251">
        <w:rPr>
          <w:color w:val="000000" w:themeColor="text1"/>
        </w:rPr>
        <w:t xml:space="preserve"> 2018,</w:t>
      </w:r>
    </w:p>
    <w:p w14:paraId="1A02BE12" w14:textId="77777777" w:rsidR="004F24F4" w:rsidRPr="00876251" w:rsidRDefault="00D91D0B" w:rsidP="00876251">
      <w:pPr>
        <w:spacing w:before="0"/>
        <w:rPr>
          <w:color w:val="000000" w:themeColor="text1"/>
        </w:rPr>
      </w:pPr>
      <w:r w:rsidRPr="00876251">
        <w:rPr>
          <w:b/>
          <w:i/>
          <w:color w:val="000000" w:themeColor="text1"/>
          <w:spacing w:val="40"/>
        </w:rPr>
        <w:t>schválilo</w:t>
      </w:r>
      <w:r w:rsidRPr="00876251">
        <w:rPr>
          <w:b/>
          <w:i/>
          <w:color w:val="000000" w:themeColor="text1"/>
        </w:rPr>
        <w:t xml:space="preserve">   </w:t>
      </w:r>
      <w:r w:rsidRPr="00876251">
        <w:rPr>
          <w:color w:val="000000" w:themeColor="text1"/>
        </w:rPr>
        <w:t xml:space="preserve">usnesením č. </w:t>
      </w:r>
      <w:r w:rsidR="005F629C" w:rsidRPr="00876251">
        <w:rPr>
          <w:color w:val="000000" w:themeColor="text1"/>
        </w:rPr>
        <w:t>16</w:t>
      </w:r>
      <w:r w:rsidRPr="00876251">
        <w:rPr>
          <w:color w:val="000000" w:themeColor="text1"/>
        </w:rPr>
        <w:t>/</w:t>
      </w:r>
      <w:r w:rsidR="009C0AC2" w:rsidRPr="00876251">
        <w:rPr>
          <w:color w:val="000000" w:themeColor="text1"/>
        </w:rPr>
        <w:t>VI</w:t>
      </w:r>
      <w:r w:rsidRPr="00876251">
        <w:rPr>
          <w:color w:val="000000" w:themeColor="text1"/>
        </w:rPr>
        <w:t>/2018</w:t>
      </w:r>
    </w:p>
    <w:p w14:paraId="764279CC" w14:textId="77777777" w:rsidR="004F24F4" w:rsidRPr="00876251" w:rsidRDefault="00D91D0B" w:rsidP="00876251">
      <w:pPr>
        <w:spacing w:before="0"/>
        <w:rPr>
          <w:color w:val="000000" w:themeColor="text1"/>
        </w:rPr>
      </w:pPr>
      <w:r w:rsidRPr="00876251">
        <w:rPr>
          <w:color w:val="000000" w:themeColor="text1"/>
          <w:spacing w:val="40"/>
        </w:rPr>
        <w:t>kontrolní</w:t>
      </w:r>
      <w:r w:rsidRPr="00876251">
        <w:rPr>
          <w:color w:val="000000" w:themeColor="text1"/>
        </w:rPr>
        <w:t xml:space="preserve">   </w:t>
      </w:r>
      <w:r w:rsidRPr="00876251">
        <w:rPr>
          <w:color w:val="000000" w:themeColor="text1"/>
          <w:spacing w:val="40"/>
        </w:rPr>
        <w:t>závěr</w:t>
      </w:r>
      <w:r w:rsidRPr="00876251">
        <w:rPr>
          <w:color w:val="000000" w:themeColor="text1"/>
        </w:rPr>
        <w:t xml:space="preserve">   v tomto znění:</w:t>
      </w:r>
    </w:p>
    <w:p w14:paraId="6F478F54" w14:textId="77777777" w:rsidR="004F24F4" w:rsidRDefault="004F24F4" w:rsidP="004F24F4">
      <w:pPr>
        <w:spacing w:before="0"/>
      </w:pPr>
    </w:p>
    <w:p w14:paraId="27526C0C" w14:textId="77777777" w:rsidR="004F24F4" w:rsidRDefault="004F24F4" w:rsidP="004F24F4">
      <w:pPr>
        <w:spacing w:before="0"/>
      </w:pPr>
    </w:p>
    <w:p w14:paraId="2007DCCE" w14:textId="77777777" w:rsidR="009E560F" w:rsidRDefault="009E560F">
      <w:pPr>
        <w:spacing w:before="0"/>
        <w:jc w:val="left"/>
        <w:rPr>
          <w:b/>
        </w:rPr>
      </w:pPr>
      <w:r>
        <w:rPr>
          <w:b/>
        </w:rPr>
        <w:br w:type="page"/>
      </w:r>
    </w:p>
    <w:p w14:paraId="68AE9982" w14:textId="77777777" w:rsidR="004F24F4" w:rsidRPr="006016FF" w:rsidRDefault="00D91D0B" w:rsidP="004F24F4">
      <w:pPr>
        <w:jc w:val="center"/>
        <w:outlineLvl w:val="0"/>
        <w:rPr>
          <w:b/>
          <w:sz w:val="28"/>
        </w:rPr>
      </w:pPr>
      <w:r w:rsidRPr="006016FF">
        <w:rPr>
          <w:b/>
          <w:sz w:val="28"/>
        </w:rPr>
        <w:lastRenderedPageBreak/>
        <w:t>Klíčová fakta</w:t>
      </w:r>
    </w:p>
    <w:p w14:paraId="0D4405CB" w14:textId="77777777" w:rsidR="004F24F4" w:rsidRDefault="004F24F4" w:rsidP="004F24F4">
      <w:pPr>
        <w:spacing w:before="0"/>
        <w:jc w:val="center"/>
      </w:pPr>
    </w:p>
    <w:tbl>
      <w:tblPr>
        <w:tblW w:w="9267" w:type="dxa"/>
        <w:jc w:val="center"/>
        <w:tblLayout w:type="fixed"/>
        <w:tblCellMar>
          <w:bottom w:w="57" w:type="dxa"/>
        </w:tblCellMar>
        <w:tblLook w:val="0000" w:firstRow="0" w:lastRow="0" w:firstColumn="0" w:lastColumn="0" w:noHBand="0" w:noVBand="0"/>
      </w:tblPr>
      <w:tblGrid>
        <w:gridCol w:w="2286"/>
        <w:gridCol w:w="1560"/>
        <w:gridCol w:w="1783"/>
        <w:gridCol w:w="1784"/>
        <w:gridCol w:w="1854"/>
      </w:tblGrid>
      <w:tr w:rsidR="00B45BBC" w14:paraId="30756D0E" w14:textId="77777777" w:rsidTr="006016FF">
        <w:trPr>
          <w:trHeight w:val="601"/>
          <w:jc w:val="center"/>
        </w:trPr>
        <w:tc>
          <w:tcPr>
            <w:tcW w:w="2286" w:type="dxa"/>
            <w:tcBorders>
              <w:bottom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059EF000" w14:textId="77777777" w:rsidR="004F24F4" w:rsidRPr="002E4AE8" w:rsidRDefault="002235EC" w:rsidP="002235EC">
            <w:pPr>
              <w:pStyle w:val="Pa18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>
              <w:rPr>
                <w:b/>
                <w:sz w:val="52"/>
                <w:szCs w:val="28"/>
              </w:rPr>
              <w:t>3 837</w:t>
            </w:r>
            <w:r w:rsidR="00D91D0B" w:rsidRPr="002E4AE8">
              <w:rPr>
                <w:b/>
                <w:bCs/>
                <w:sz w:val="52"/>
                <w:szCs w:val="28"/>
              </w:rPr>
              <w:t xml:space="preserve"> </w:t>
            </w:r>
            <w:r w:rsidR="00D91D0B" w:rsidRPr="002E4AE8">
              <w:rPr>
                <w:b/>
                <w:bCs/>
                <w:szCs w:val="28"/>
              </w:rPr>
              <w:t xml:space="preserve">mil. </w:t>
            </w:r>
            <w:r>
              <w:rPr>
                <w:b/>
                <w:bCs/>
                <w:szCs w:val="28"/>
              </w:rPr>
              <w:t>Kč</w:t>
            </w:r>
            <w:r w:rsidR="00E72FD2">
              <w:rPr>
                <w:rStyle w:val="Znakapoznpodarou"/>
                <w:b/>
                <w:bCs/>
                <w:szCs w:val="28"/>
              </w:rPr>
              <w:footnoteReference w:id="1"/>
            </w:r>
          </w:p>
        </w:tc>
        <w:tc>
          <w:tcPr>
            <w:tcW w:w="1560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3D69ECC4" w14:textId="77777777" w:rsidR="004F24F4" w:rsidRPr="002E4AE8" w:rsidRDefault="00D91D0B" w:rsidP="004F24F4">
            <w:pPr>
              <w:pStyle w:val="Pa18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E4AE8">
              <w:rPr>
                <w:b/>
                <w:bCs/>
                <w:sz w:val="52"/>
                <w:szCs w:val="28"/>
              </w:rPr>
              <w:t>263</w:t>
            </w:r>
          </w:p>
        </w:tc>
        <w:tc>
          <w:tcPr>
            <w:tcW w:w="1783" w:type="dxa"/>
            <w:tcBorders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23AD00F5" w14:textId="77777777" w:rsidR="004F24F4" w:rsidRPr="002E4AE8" w:rsidRDefault="00D91D0B" w:rsidP="004F24F4">
            <w:pPr>
              <w:pStyle w:val="Pa18"/>
              <w:jc w:val="center"/>
              <w:rPr>
                <w:rStyle w:val="A14"/>
                <w:rFonts w:cs="Calibri"/>
                <w:bCs/>
                <w:sz w:val="28"/>
                <w:szCs w:val="28"/>
              </w:rPr>
            </w:pPr>
            <w:r w:rsidRPr="002E4AE8">
              <w:rPr>
                <w:b/>
                <w:bCs/>
                <w:sz w:val="52"/>
                <w:szCs w:val="28"/>
              </w:rPr>
              <w:t>85</w:t>
            </w:r>
          </w:p>
        </w:tc>
        <w:tc>
          <w:tcPr>
            <w:tcW w:w="1784" w:type="dxa"/>
            <w:tcBorders>
              <w:left w:val="single" w:sz="4" w:space="0" w:color="4F81BD"/>
              <w:bottom w:val="single" w:sz="4" w:space="0" w:color="4F81BD"/>
            </w:tcBorders>
            <w:shd w:val="clear" w:color="auto" w:fill="E5F1FF"/>
            <w:vAlign w:val="center"/>
          </w:tcPr>
          <w:p w14:paraId="3F0A841B" w14:textId="77777777" w:rsidR="004F24F4" w:rsidRPr="002E4AE8" w:rsidRDefault="00D91D0B" w:rsidP="004F24F4">
            <w:pPr>
              <w:pStyle w:val="Pa18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E4AE8">
              <w:rPr>
                <w:b/>
                <w:bCs/>
                <w:sz w:val="52"/>
                <w:szCs w:val="28"/>
              </w:rPr>
              <w:t>5</w:t>
            </w:r>
          </w:p>
        </w:tc>
        <w:tc>
          <w:tcPr>
            <w:tcW w:w="1854" w:type="dxa"/>
            <w:tcBorders>
              <w:left w:val="single" w:sz="4" w:space="0" w:color="4F81BD"/>
              <w:bottom w:val="single" w:sz="4" w:space="0" w:color="4F81BD"/>
            </w:tcBorders>
            <w:shd w:val="clear" w:color="auto" w:fill="E5F1FF"/>
            <w:vAlign w:val="center"/>
          </w:tcPr>
          <w:p w14:paraId="117AD621" w14:textId="77777777" w:rsidR="004F24F4" w:rsidRPr="002E4AE8" w:rsidRDefault="00D91D0B" w:rsidP="004F24F4">
            <w:pPr>
              <w:pStyle w:val="Pa18"/>
              <w:jc w:val="center"/>
              <w:rPr>
                <w:rFonts w:cs="Calibri"/>
                <w:color w:val="000000"/>
                <w:sz w:val="28"/>
                <w:szCs w:val="28"/>
              </w:rPr>
            </w:pPr>
            <w:r w:rsidRPr="002E4AE8">
              <w:rPr>
                <w:b/>
                <w:bCs/>
                <w:sz w:val="52"/>
                <w:szCs w:val="28"/>
              </w:rPr>
              <w:t xml:space="preserve">186 </w:t>
            </w:r>
            <w:r w:rsidRPr="002E4AE8">
              <w:rPr>
                <w:b/>
                <w:bCs/>
                <w:szCs w:val="28"/>
              </w:rPr>
              <w:t>mil. Kč</w:t>
            </w:r>
          </w:p>
        </w:tc>
      </w:tr>
      <w:tr w:rsidR="00B45BBC" w14:paraId="534D82A3" w14:textId="77777777" w:rsidTr="006016FF">
        <w:trPr>
          <w:trHeight w:val="1245"/>
          <w:jc w:val="center"/>
        </w:trPr>
        <w:tc>
          <w:tcPr>
            <w:tcW w:w="2286" w:type="dxa"/>
            <w:tcBorders>
              <w:top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23E58D5A" w14:textId="77777777" w:rsidR="004F24F4" w:rsidRPr="002E4AE8" w:rsidRDefault="00D91D0B" w:rsidP="004F24F4">
            <w:pPr>
              <w:pStyle w:val="Pa19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2E4AE8">
              <w:t>Prostředky přidělené na opatření M16</w:t>
            </w:r>
            <w:r w:rsidR="00E72FD2">
              <w:t xml:space="preserve"> </w:t>
            </w:r>
            <w:r w:rsidR="00E72FD2" w:rsidRPr="00BB5DEA">
              <w:rPr>
                <w:i/>
              </w:rPr>
              <w:t>Spolupráce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386C7250" w14:textId="77777777" w:rsidR="004F24F4" w:rsidRPr="002E4AE8" w:rsidRDefault="00D91D0B" w:rsidP="004F24F4">
            <w:pPr>
              <w:pStyle w:val="Pa19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2E4AE8">
              <w:t>Počet podaných projektů v</w:t>
            </w:r>
            <w:r>
              <w:t xml:space="preserve"> letech </w:t>
            </w:r>
            <w:r>
              <w:br/>
              <w:t>2015–</w:t>
            </w:r>
            <w:r w:rsidRPr="002E4AE8">
              <w:t>2017</w:t>
            </w:r>
          </w:p>
        </w:tc>
        <w:tc>
          <w:tcPr>
            <w:tcW w:w="1783" w:type="dxa"/>
            <w:tcBorders>
              <w:top w:val="single" w:sz="4" w:space="0" w:color="4F81BD"/>
              <w:left w:val="single" w:sz="4" w:space="0" w:color="4F81BD"/>
              <w:right w:val="single" w:sz="4" w:space="0" w:color="4F81BD"/>
            </w:tcBorders>
            <w:shd w:val="clear" w:color="auto" w:fill="E5F1FF"/>
            <w:vAlign w:val="center"/>
          </w:tcPr>
          <w:p w14:paraId="336A3EE1" w14:textId="77777777" w:rsidR="004F24F4" w:rsidRPr="002E4AE8" w:rsidRDefault="00D91D0B" w:rsidP="004F24F4">
            <w:pPr>
              <w:pStyle w:val="Pa19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2E4AE8">
              <w:t xml:space="preserve">Počet uzavřených </w:t>
            </w:r>
            <w:r>
              <w:t>dotačních dohod v letech 2015–</w:t>
            </w:r>
            <w:r w:rsidRPr="002E4AE8">
              <w:t>2017</w:t>
            </w:r>
          </w:p>
        </w:tc>
        <w:tc>
          <w:tcPr>
            <w:tcW w:w="1784" w:type="dxa"/>
            <w:tcBorders>
              <w:top w:val="single" w:sz="4" w:space="0" w:color="4F81BD"/>
              <w:left w:val="single" w:sz="4" w:space="0" w:color="4F81BD"/>
            </w:tcBorders>
            <w:shd w:val="clear" w:color="auto" w:fill="E5F1FF"/>
            <w:vAlign w:val="center"/>
          </w:tcPr>
          <w:p w14:paraId="0DFB1316" w14:textId="77777777" w:rsidR="004F24F4" w:rsidRPr="002E4AE8" w:rsidRDefault="00D91D0B" w:rsidP="004F24F4">
            <w:pPr>
              <w:pStyle w:val="Pa19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2E4AE8">
              <w:t>Počet propla</w:t>
            </w:r>
            <w:r>
              <w:t xml:space="preserve">cených projektů v letech </w:t>
            </w:r>
            <w:r>
              <w:br/>
              <w:t>2015–</w:t>
            </w:r>
            <w:r w:rsidRPr="002E4AE8">
              <w:t>2017</w:t>
            </w:r>
          </w:p>
        </w:tc>
        <w:tc>
          <w:tcPr>
            <w:tcW w:w="1854" w:type="dxa"/>
            <w:tcBorders>
              <w:top w:val="single" w:sz="4" w:space="0" w:color="4F81BD"/>
              <w:left w:val="single" w:sz="4" w:space="0" w:color="4F81BD"/>
            </w:tcBorders>
            <w:shd w:val="clear" w:color="auto" w:fill="E5F1FF"/>
            <w:vAlign w:val="center"/>
          </w:tcPr>
          <w:p w14:paraId="7417E232" w14:textId="77777777" w:rsidR="004F24F4" w:rsidRPr="002E4AE8" w:rsidRDefault="00D91D0B" w:rsidP="004F24F4">
            <w:pPr>
              <w:pStyle w:val="Pa19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t>Vyplacené prostředky</w:t>
            </w:r>
            <w:r w:rsidRPr="002E4AE8">
              <w:t xml:space="preserve"> v</w:t>
            </w:r>
            <w:r>
              <w:t> </w:t>
            </w:r>
            <w:r w:rsidRPr="002E4AE8">
              <w:t xml:space="preserve">letech </w:t>
            </w:r>
            <w:r>
              <w:br/>
            </w:r>
            <w:r w:rsidRPr="002E4AE8">
              <w:t>2015</w:t>
            </w:r>
            <w:r>
              <w:t>–</w:t>
            </w:r>
            <w:r w:rsidRPr="002E4AE8">
              <w:t>2017</w:t>
            </w:r>
          </w:p>
        </w:tc>
      </w:tr>
    </w:tbl>
    <w:p w14:paraId="5F998566" w14:textId="77777777" w:rsidR="004F24F4" w:rsidRDefault="004F24F4" w:rsidP="004F24F4"/>
    <w:p w14:paraId="1F9F8042" w14:textId="77777777" w:rsidR="004F24F4" w:rsidRDefault="00D91D0B" w:rsidP="00E6159B">
      <w:pPr>
        <w:spacing w:before="0"/>
        <w:ind w:left="2832" w:hanging="2832"/>
      </w:pPr>
      <w:r w:rsidRPr="009D5AFB">
        <w:rPr>
          <w:b/>
        </w:rPr>
        <w:t>Neúspěšné operace</w:t>
      </w:r>
      <w:r>
        <w:rPr>
          <w:b/>
        </w:rPr>
        <w:tab/>
      </w:r>
      <w:r w:rsidR="00E72FD2">
        <w:t xml:space="preserve">Tři ze šesti operací realizovaných MZe v rámci opatření M16 </w:t>
      </w:r>
      <w:r w:rsidR="003732E1" w:rsidRPr="00BB5DEA">
        <w:rPr>
          <w:i/>
        </w:rPr>
        <w:t>Spolupráce</w:t>
      </w:r>
      <w:r w:rsidR="003732E1">
        <w:t xml:space="preserve"> </w:t>
      </w:r>
      <w:r w:rsidR="00E72FD2">
        <w:t>jsou neúspěšné.</w:t>
      </w:r>
    </w:p>
    <w:p w14:paraId="45083486" w14:textId="77777777" w:rsidR="00E6159B" w:rsidRDefault="00E6159B" w:rsidP="00E6159B">
      <w:pPr>
        <w:spacing w:before="0"/>
        <w:ind w:left="2832" w:hanging="2832"/>
      </w:pPr>
    </w:p>
    <w:p w14:paraId="66D3DCA2" w14:textId="7DA836BC" w:rsidR="004F24F4" w:rsidRDefault="00D91D0B" w:rsidP="00E6159B">
      <w:pPr>
        <w:spacing w:before="0"/>
        <w:ind w:left="2832" w:hanging="2832"/>
      </w:pPr>
      <w:r w:rsidRPr="00726333">
        <w:rPr>
          <w:b/>
          <w:bCs/>
          <w:color w:val="auto"/>
          <w:lang w:eastAsia="cs-CZ"/>
        </w:rPr>
        <w:t>Složení žadatelů</w:t>
      </w:r>
      <w:r>
        <w:rPr>
          <w:b/>
          <w:bCs/>
          <w:color w:val="auto"/>
          <w:sz w:val="22"/>
          <w:szCs w:val="22"/>
          <w:lang w:eastAsia="cs-CZ"/>
        </w:rPr>
        <w:tab/>
      </w:r>
      <w:r w:rsidRPr="00726333">
        <w:t>Celé opatření</w:t>
      </w:r>
      <w:r w:rsidR="00D12A8A">
        <w:t xml:space="preserve"> M16 </w:t>
      </w:r>
      <w:r w:rsidR="00D12A8A" w:rsidRPr="00BB5DEA">
        <w:rPr>
          <w:i/>
        </w:rPr>
        <w:t>Spolupráce</w:t>
      </w:r>
      <w:r w:rsidRPr="00726333">
        <w:t xml:space="preserve"> je realizováno</w:t>
      </w:r>
      <w:r>
        <w:t xml:space="preserve"> převážně</w:t>
      </w:r>
      <w:r w:rsidRPr="00726333">
        <w:t xml:space="preserve"> prostřednictvím jed</w:t>
      </w:r>
      <w:r>
        <w:t xml:space="preserve">né operace </w:t>
      </w:r>
      <w:r w:rsidR="00C82631">
        <w:t>–</w:t>
      </w:r>
      <w:r>
        <w:t xml:space="preserve"> 16.2.2. V</w:t>
      </w:r>
      <w:r w:rsidRPr="00726333">
        <w:t>ětšinu schválených žadatelů v této operaci, tedy 70 %, tvoří velké potravinářské podniky.</w:t>
      </w:r>
    </w:p>
    <w:p w14:paraId="68C41887" w14:textId="77777777" w:rsidR="00E6159B" w:rsidRDefault="00E6159B" w:rsidP="00E6159B">
      <w:pPr>
        <w:spacing w:before="0"/>
        <w:ind w:left="2832" w:hanging="2832"/>
      </w:pPr>
    </w:p>
    <w:p w14:paraId="45EDDF8A" w14:textId="6E4799C2" w:rsidR="004F24F4" w:rsidRDefault="00D91D0B" w:rsidP="00E6159B">
      <w:pPr>
        <w:spacing w:before="0"/>
        <w:ind w:left="2829" w:hanging="2829"/>
        <w:rPr>
          <w:b/>
        </w:rPr>
      </w:pPr>
      <w:r w:rsidRPr="00726333">
        <w:rPr>
          <w:b/>
          <w:bCs/>
        </w:rPr>
        <w:t>Výdaje na spolupráci</w:t>
      </w:r>
      <w:r w:rsidRPr="00726333">
        <w:rPr>
          <w:b/>
        </w:rPr>
        <w:t xml:space="preserve"> </w:t>
      </w:r>
      <w:r w:rsidRPr="00726333">
        <w:rPr>
          <w:b/>
        </w:rPr>
        <w:tab/>
      </w:r>
      <w:r w:rsidRPr="00726333">
        <w:t>Částky vynakládané na spolu</w:t>
      </w:r>
      <w:r>
        <w:t>práci ve formě výdajů na vědu a </w:t>
      </w:r>
      <w:r w:rsidRPr="00726333">
        <w:t>výzkum, jako</w:t>
      </w:r>
      <w:r w:rsidR="00C82631">
        <w:t>žto</w:t>
      </w:r>
      <w:r w:rsidRPr="00726333">
        <w:t xml:space="preserve"> klíčový element opatření M16</w:t>
      </w:r>
      <w:r w:rsidR="002235EC">
        <w:t xml:space="preserve"> </w:t>
      </w:r>
      <w:r w:rsidR="002235EC" w:rsidRPr="00BB5DEA">
        <w:rPr>
          <w:i/>
        </w:rPr>
        <w:t>Spolupráce</w:t>
      </w:r>
      <w:r w:rsidRPr="00726333">
        <w:t>, jsou v operaci 16.2.2 zanedbatelné. Činí zhruba 1 % výdajů, ze kterých je stanovena dotace. Téměř veš</w:t>
      </w:r>
      <w:r w:rsidR="00FE100E">
        <w:t>keré výdaje jsou vynakládány na</w:t>
      </w:r>
      <w:r w:rsidR="00C82631">
        <w:t xml:space="preserve"> </w:t>
      </w:r>
      <w:r w:rsidRPr="00726333">
        <w:t>nákup strojů, technologií a stavební úpravy</w:t>
      </w:r>
      <w:r w:rsidRPr="00726333">
        <w:rPr>
          <w:b/>
        </w:rPr>
        <w:t>.</w:t>
      </w:r>
    </w:p>
    <w:p w14:paraId="51A58B92" w14:textId="77777777" w:rsidR="00E6159B" w:rsidRPr="00726333" w:rsidRDefault="00E6159B" w:rsidP="00E6159B">
      <w:pPr>
        <w:spacing w:before="0"/>
        <w:ind w:left="2829" w:hanging="2829"/>
        <w:rPr>
          <w:b/>
        </w:rPr>
      </w:pPr>
    </w:p>
    <w:p w14:paraId="56E84318" w14:textId="197F768D" w:rsidR="004F24F4" w:rsidRDefault="00D91D0B" w:rsidP="00E6159B">
      <w:pPr>
        <w:spacing w:before="0"/>
        <w:ind w:left="2832" w:hanging="2832"/>
      </w:pPr>
      <w:r w:rsidRPr="00CD6257">
        <w:rPr>
          <w:b/>
        </w:rPr>
        <w:t>Realizace opatření</w:t>
      </w:r>
      <w:r w:rsidRPr="00CD6257">
        <w:rPr>
          <w:b/>
        </w:rPr>
        <w:tab/>
      </w:r>
      <w:r w:rsidRPr="00CD6257">
        <w:t>Realizace PRV 2014</w:t>
      </w:r>
      <w:r w:rsidR="00C82631">
        <w:t>–</w:t>
      </w:r>
      <w:r w:rsidRPr="00CD6257">
        <w:t>2020 a tím i opatření M16</w:t>
      </w:r>
      <w:r w:rsidR="002235EC">
        <w:t xml:space="preserve"> </w:t>
      </w:r>
      <w:r w:rsidR="002235EC" w:rsidRPr="00BB5DEA">
        <w:rPr>
          <w:i/>
        </w:rPr>
        <w:t>Spolupráce</w:t>
      </w:r>
      <w:r w:rsidRPr="00CD6257">
        <w:t xml:space="preserve"> je provázena značným zpožděním. Do konce roku 2017 (poloviny programového období) bylo</w:t>
      </w:r>
      <w:r>
        <w:t xml:space="preserve"> z opatření M16</w:t>
      </w:r>
      <w:r w:rsidR="002235EC">
        <w:t xml:space="preserve"> </w:t>
      </w:r>
      <w:r w:rsidR="002235EC" w:rsidRPr="00BB5DEA">
        <w:rPr>
          <w:i/>
        </w:rPr>
        <w:t>Spolupráce</w:t>
      </w:r>
      <w:r w:rsidRPr="00CD6257">
        <w:t xml:space="preserve"> proplaceno pouze pět projektů.</w:t>
      </w:r>
      <w:r>
        <w:t xml:space="preserve"> </w:t>
      </w:r>
    </w:p>
    <w:p w14:paraId="2762CE81" w14:textId="77777777" w:rsidR="00E6159B" w:rsidRDefault="00E6159B" w:rsidP="00E6159B">
      <w:pPr>
        <w:spacing w:before="0"/>
        <w:ind w:left="2832" w:hanging="2832"/>
      </w:pPr>
    </w:p>
    <w:p w14:paraId="1498FC17" w14:textId="77777777" w:rsidR="004F24F4" w:rsidRDefault="00D91D0B" w:rsidP="00E6159B">
      <w:pPr>
        <w:spacing w:before="0"/>
        <w:ind w:left="2832" w:hanging="2832"/>
      </w:pPr>
      <w:r>
        <w:rPr>
          <w:b/>
        </w:rPr>
        <w:t>Přezkum výkonnosti</w:t>
      </w:r>
      <w:r>
        <w:rPr>
          <w:b/>
        </w:rPr>
        <w:tab/>
      </w:r>
      <w:r>
        <w:t>MZe neplní stanovený věcný milník, na němž závisí uvolnění výkonnostní rezervy.</w:t>
      </w:r>
    </w:p>
    <w:p w14:paraId="45EB79FD" w14:textId="77777777" w:rsidR="00F17863" w:rsidRDefault="00F17863" w:rsidP="00E6159B">
      <w:pPr>
        <w:spacing w:before="0"/>
        <w:ind w:left="2832" w:hanging="2832"/>
      </w:pPr>
    </w:p>
    <w:p w14:paraId="4C0BADEF" w14:textId="05D840F6" w:rsidR="00876251" w:rsidRPr="009D5AFB" w:rsidRDefault="00F17863" w:rsidP="00E6159B">
      <w:pPr>
        <w:spacing w:before="0"/>
        <w:ind w:left="2832" w:hanging="2832"/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E041AD" wp14:editId="2FCF33AB">
                <wp:simplePos x="0" y="0"/>
                <wp:positionH relativeFrom="column">
                  <wp:posOffset>1397000</wp:posOffset>
                </wp:positionH>
                <wp:positionV relativeFrom="paragraph">
                  <wp:posOffset>822960</wp:posOffset>
                </wp:positionV>
                <wp:extent cx="2965836" cy="333955"/>
                <wp:effectExtent l="0" t="0" r="6350" b="9525"/>
                <wp:wrapNone/>
                <wp:docPr id="19" name="Skupina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5836" cy="333955"/>
                          <a:chOff x="62818" y="0"/>
                          <a:chExt cx="3248576" cy="285750"/>
                        </a:xfrm>
                        <a:solidFill>
                          <a:srgbClr val="BD2A33"/>
                        </a:solidFill>
                      </wpg:grpSpPr>
                      <wps:wsp>
                        <wps:cNvPr id="20" name="Šipka doprava 20"/>
                        <wps:cNvSpPr/>
                        <wps:spPr>
                          <a:xfrm>
                            <a:off x="62818" y="0"/>
                            <a:ext cx="209550" cy="285750"/>
                          </a:xfrm>
                          <a:prstGeom prst="rightArrow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Šipka doprava 21"/>
                        <wps:cNvSpPr/>
                        <wps:spPr>
                          <a:xfrm>
                            <a:off x="1663305" y="0"/>
                            <a:ext cx="209550" cy="285750"/>
                          </a:xfrm>
                          <a:prstGeom prst="rightArrow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Šipka doprava 22"/>
                        <wps:cNvSpPr/>
                        <wps:spPr>
                          <a:xfrm>
                            <a:off x="3101844" y="0"/>
                            <a:ext cx="209550" cy="285750"/>
                          </a:xfrm>
                          <a:prstGeom prst="rightArrow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03EEFF" id="Skupina 19" o:spid="_x0000_s1026" style="position:absolute;margin-left:110pt;margin-top:64.8pt;width:233.55pt;height:26.3pt;z-index:251659264;mso-width-relative:margin;mso-height-relative:margin" coordorigin="628" coordsize="32485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ipka doprava 20" o:spid="_x0000_s1027" type="#_x0000_t13" style="position:absolute;left:628;width:209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" adj="10800" filled="f" stroked="f" strokeweight="2pt"/>
                <v:shape id="Šipka doprava 21" o:spid="_x0000_s1028" type="#_x0000_t13" style="position:absolute;left:16633;width:209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" adj="10800" filled="f" stroked="f" strokeweight="2pt"/>
                <v:shape id="Šipka doprava 22" o:spid="_x0000_s1029" type="#_x0000_t13" style="position:absolute;left:31018;width:209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" adj="10800" filled="f" stroked="f" strokeweight="2pt"/>
              </v:group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0974387A" wp14:editId="7C723F49">
            <wp:extent cx="5759450" cy="1903095"/>
            <wp:effectExtent l="0" t="0" r="0" b="2095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771C90C6" w14:textId="10180DDB" w:rsidR="00876251" w:rsidRDefault="00876251" w:rsidP="00876251">
      <w:pPr>
        <w:spacing w:before="0"/>
        <w:rPr>
          <w:b/>
        </w:rPr>
      </w:pPr>
      <w:r>
        <w:rPr>
          <w:b/>
        </w:rPr>
        <w:br w:type="page"/>
      </w:r>
    </w:p>
    <w:p w14:paraId="1DEAEBCD" w14:textId="77777777" w:rsidR="004F24F4" w:rsidRPr="00665C11" w:rsidRDefault="009E560F" w:rsidP="00665C11">
      <w:pPr>
        <w:spacing w:before="0"/>
        <w:ind w:left="357"/>
        <w:jc w:val="center"/>
        <w:outlineLvl w:val="0"/>
        <w:rPr>
          <w:b/>
          <w:sz w:val="28"/>
        </w:rPr>
      </w:pPr>
      <w:r w:rsidRPr="00665C11">
        <w:rPr>
          <w:b/>
          <w:sz w:val="28"/>
        </w:rPr>
        <w:lastRenderedPageBreak/>
        <w:t xml:space="preserve">I. </w:t>
      </w:r>
      <w:r w:rsidR="00D91D0B" w:rsidRPr="00665C11">
        <w:rPr>
          <w:b/>
          <w:sz w:val="28"/>
        </w:rPr>
        <w:t>Shrnutí a vyhodnocení</w:t>
      </w:r>
    </w:p>
    <w:p w14:paraId="5864D24A" w14:textId="77777777" w:rsidR="00665C11" w:rsidRPr="009E560F" w:rsidRDefault="00665C11" w:rsidP="00665C11">
      <w:pPr>
        <w:spacing w:before="0"/>
      </w:pPr>
    </w:p>
    <w:p w14:paraId="2EE45147" w14:textId="28D2D5FE" w:rsidR="00665C11" w:rsidRPr="009E560F" w:rsidRDefault="00D91D0B" w:rsidP="00665C11">
      <w:pPr>
        <w:spacing w:before="0"/>
      </w:pPr>
      <w:r w:rsidRPr="00E00E80">
        <w:t>NKÚ provedl kontrolu podmínek nastavených pro poskytová</w:t>
      </w:r>
      <w:r>
        <w:t>ní peněžních prostředků státu a </w:t>
      </w:r>
      <w:r w:rsidRPr="00E00E80">
        <w:t>E</w:t>
      </w:r>
      <w:r>
        <w:t>vropské unie (dále též „E</w:t>
      </w:r>
      <w:r w:rsidRPr="00E00E80">
        <w:t>U</w:t>
      </w:r>
      <w:r>
        <w:t>“)</w:t>
      </w:r>
      <w:r w:rsidRPr="00E00E80">
        <w:t xml:space="preserve"> na opatření M16 </w:t>
      </w:r>
      <w:r w:rsidRPr="00BB5DEA">
        <w:rPr>
          <w:i/>
        </w:rPr>
        <w:t>Spolupráce</w:t>
      </w:r>
      <w:r>
        <w:t xml:space="preserve"> </w:t>
      </w:r>
      <w:r w:rsidRPr="00E00E80">
        <w:t xml:space="preserve">v rámci </w:t>
      </w:r>
      <w:r w:rsidRPr="00BB5DEA">
        <w:rPr>
          <w:i/>
        </w:rPr>
        <w:t>Programu rozvoje venkova</w:t>
      </w:r>
      <w:r w:rsidR="007414E1" w:rsidRPr="00BB5DEA">
        <w:rPr>
          <w:i/>
        </w:rPr>
        <w:t xml:space="preserve"> ČR</w:t>
      </w:r>
      <w:r w:rsidR="007414E1">
        <w:rPr>
          <w:i/>
        </w:rPr>
        <w:t xml:space="preserve"> na období</w:t>
      </w:r>
      <w:r w:rsidRPr="00BB5DEA">
        <w:rPr>
          <w:i/>
        </w:rPr>
        <w:t xml:space="preserve"> 2014–2020</w:t>
      </w:r>
      <w:r>
        <w:t xml:space="preserve"> (dále též „PRV 2014–2020“)</w:t>
      </w:r>
      <w:r w:rsidRPr="00E00E80">
        <w:t>. Kontrolován byl rovněž řídicí a</w:t>
      </w:r>
      <w:r w:rsidR="00D53D7C">
        <w:t> </w:t>
      </w:r>
      <w:r w:rsidRPr="00E00E80">
        <w:t>kontrolní systém a výběr projektů.</w:t>
      </w:r>
      <w:r w:rsidR="00665C11" w:rsidRPr="00665C11">
        <w:t xml:space="preserve"> </w:t>
      </w:r>
    </w:p>
    <w:p w14:paraId="080ED5F5" w14:textId="77777777" w:rsidR="004F24F4" w:rsidRPr="003C22DD" w:rsidRDefault="004F24F4" w:rsidP="00665C11">
      <w:pPr>
        <w:spacing w:before="0"/>
      </w:pPr>
    </w:p>
    <w:p w14:paraId="3C32BE38" w14:textId="77777777" w:rsidR="004F24F4" w:rsidRDefault="00D91D0B" w:rsidP="00665C11">
      <w:pPr>
        <w:spacing w:before="0"/>
        <w:rPr>
          <w:b/>
        </w:rPr>
      </w:pPr>
      <w:r>
        <w:rPr>
          <w:b/>
        </w:rPr>
        <w:t>Celkové vyhodnocení</w:t>
      </w:r>
    </w:p>
    <w:p w14:paraId="01B83640" w14:textId="77777777" w:rsidR="00665C11" w:rsidRPr="009E560F" w:rsidRDefault="00665C11" w:rsidP="00665C11">
      <w:pPr>
        <w:spacing w:before="0"/>
      </w:pPr>
    </w:p>
    <w:p w14:paraId="1305E8CE" w14:textId="5BCE6AF2" w:rsidR="004F24F4" w:rsidRDefault="00D91D0B" w:rsidP="00665C11">
      <w:pPr>
        <w:spacing w:before="0"/>
      </w:pPr>
      <w:r>
        <w:rPr>
          <w:b/>
        </w:rPr>
        <w:t>Řídicí systém a nastavené podmínky pro poskytování peněžních prostředků EU a státního rozpočtu na opatření</w:t>
      </w:r>
      <w:r w:rsidR="00D12A8A">
        <w:rPr>
          <w:b/>
        </w:rPr>
        <w:t xml:space="preserve"> M16</w:t>
      </w:r>
      <w:r>
        <w:rPr>
          <w:b/>
        </w:rPr>
        <w:t xml:space="preserve"> </w:t>
      </w:r>
      <w:r w:rsidRPr="006A4606">
        <w:rPr>
          <w:b/>
          <w:i/>
        </w:rPr>
        <w:t>Spolupráce</w:t>
      </w:r>
      <w:r>
        <w:rPr>
          <w:b/>
        </w:rPr>
        <w:t xml:space="preserve"> v rámci PRV 2014–2020 vykazují řadu</w:t>
      </w:r>
      <w:r w:rsidR="00E72FD2">
        <w:rPr>
          <w:b/>
        </w:rPr>
        <w:t xml:space="preserve"> zásadních</w:t>
      </w:r>
      <w:r>
        <w:rPr>
          <w:b/>
        </w:rPr>
        <w:t xml:space="preserve"> nedostatků, které negativn</w:t>
      </w:r>
      <w:r w:rsidR="00F741D9">
        <w:rPr>
          <w:b/>
        </w:rPr>
        <w:t>ě</w:t>
      </w:r>
      <w:r>
        <w:rPr>
          <w:b/>
        </w:rPr>
        <w:t xml:space="preserve"> </w:t>
      </w:r>
      <w:r w:rsidR="00F741D9">
        <w:rPr>
          <w:b/>
        </w:rPr>
        <w:t>o</w:t>
      </w:r>
      <w:r>
        <w:rPr>
          <w:b/>
        </w:rPr>
        <w:t>vliv</w:t>
      </w:r>
      <w:r w:rsidR="00F741D9">
        <w:rPr>
          <w:b/>
        </w:rPr>
        <w:t>ňují</w:t>
      </w:r>
      <w:r>
        <w:rPr>
          <w:b/>
        </w:rPr>
        <w:t xml:space="preserve"> účelnost a hospodárnost vynakládání veřejných prostředků. Vzhledem k velmi nízkému objemu proplacených dotací zatím nelze posoudit, zda je vynakládání veřejných prostředků efektivní</w:t>
      </w:r>
      <w:r w:rsidR="00810D3F">
        <w:rPr>
          <w:b/>
        </w:rPr>
        <w:t xml:space="preserve"> a zda je kontrolní systém funkční. V </w:t>
      </w:r>
      <w:r>
        <w:rPr>
          <w:b/>
        </w:rPr>
        <w:t>oblasti výběru projektů NKÚ zjistil nedostatky, které</w:t>
      </w:r>
      <w:r w:rsidR="00E72FD2">
        <w:rPr>
          <w:b/>
        </w:rPr>
        <w:t xml:space="preserve"> významně</w:t>
      </w:r>
      <w:r w:rsidR="00810D3F">
        <w:rPr>
          <w:b/>
        </w:rPr>
        <w:t xml:space="preserve"> ohrožují</w:t>
      </w:r>
      <w:r w:rsidR="00F741D9">
        <w:rPr>
          <w:b/>
        </w:rPr>
        <w:t xml:space="preserve"> </w:t>
      </w:r>
      <w:r w:rsidR="00810D3F">
        <w:rPr>
          <w:b/>
        </w:rPr>
        <w:t>výběr účelných a </w:t>
      </w:r>
      <w:r>
        <w:rPr>
          <w:b/>
        </w:rPr>
        <w:t xml:space="preserve">potřebných projektů a rovněž dosahování cílů opatření M16 </w:t>
      </w:r>
      <w:r w:rsidRPr="006A4606">
        <w:rPr>
          <w:b/>
          <w:i/>
        </w:rPr>
        <w:t>Spolupráce</w:t>
      </w:r>
      <w:r w:rsidR="00EE2BDB">
        <w:rPr>
          <w:b/>
        </w:rPr>
        <w:t>.</w:t>
      </w:r>
      <w:r w:rsidR="00270079">
        <w:rPr>
          <w:b/>
        </w:rPr>
        <w:t xml:space="preserve"> M</w:t>
      </w:r>
      <w:r w:rsidR="00EE2BDB">
        <w:rPr>
          <w:b/>
        </w:rPr>
        <w:t>Z</w:t>
      </w:r>
      <w:r w:rsidR="00270079">
        <w:rPr>
          <w:b/>
        </w:rPr>
        <w:t xml:space="preserve">e </w:t>
      </w:r>
      <w:r w:rsidR="00EE2BDB">
        <w:rPr>
          <w:b/>
        </w:rPr>
        <w:t xml:space="preserve">podporu </w:t>
      </w:r>
      <w:r w:rsidR="00270079">
        <w:rPr>
          <w:b/>
        </w:rPr>
        <w:t>zaměřilo především na velk</w:t>
      </w:r>
      <w:r w:rsidR="00EE2BDB">
        <w:rPr>
          <w:b/>
        </w:rPr>
        <w:t>é</w:t>
      </w:r>
      <w:r w:rsidR="00270079">
        <w:rPr>
          <w:b/>
        </w:rPr>
        <w:t xml:space="preserve"> zpracovatelsk</w:t>
      </w:r>
      <w:r w:rsidR="00EE2BDB">
        <w:rPr>
          <w:b/>
        </w:rPr>
        <w:t>é</w:t>
      </w:r>
      <w:r w:rsidR="00270079">
        <w:rPr>
          <w:b/>
        </w:rPr>
        <w:t xml:space="preserve"> podnik</w:t>
      </w:r>
      <w:r w:rsidR="00EE2BDB">
        <w:rPr>
          <w:b/>
        </w:rPr>
        <w:t>y</w:t>
      </w:r>
      <w:r w:rsidR="00270079">
        <w:rPr>
          <w:b/>
        </w:rPr>
        <w:t xml:space="preserve">, které </w:t>
      </w:r>
      <w:r w:rsidR="00EE2BDB">
        <w:rPr>
          <w:b/>
        </w:rPr>
        <w:t xml:space="preserve">místo </w:t>
      </w:r>
      <w:r w:rsidR="008D6FE3">
        <w:rPr>
          <w:b/>
        </w:rPr>
        <w:t>výdajů na vědu</w:t>
      </w:r>
      <w:r w:rsidR="00EE2BDB">
        <w:rPr>
          <w:b/>
        </w:rPr>
        <w:t xml:space="preserve"> a výzkum </w:t>
      </w:r>
      <w:r w:rsidR="00524F9F">
        <w:rPr>
          <w:b/>
        </w:rPr>
        <w:t>vynakládají prostředky na</w:t>
      </w:r>
      <w:r w:rsidR="00F741D9">
        <w:rPr>
          <w:b/>
        </w:rPr>
        <w:t xml:space="preserve"> </w:t>
      </w:r>
      <w:r w:rsidR="008D6FE3">
        <w:rPr>
          <w:b/>
        </w:rPr>
        <w:t>pořízení</w:t>
      </w:r>
      <w:r w:rsidR="00EE2BDB">
        <w:rPr>
          <w:b/>
        </w:rPr>
        <w:t xml:space="preserve"> stroj</w:t>
      </w:r>
      <w:r w:rsidR="008D6FE3">
        <w:rPr>
          <w:b/>
        </w:rPr>
        <w:t>ů</w:t>
      </w:r>
      <w:r w:rsidR="00EE2BDB">
        <w:rPr>
          <w:b/>
        </w:rPr>
        <w:t xml:space="preserve"> a technologi</w:t>
      </w:r>
      <w:r w:rsidR="008D6FE3">
        <w:rPr>
          <w:b/>
        </w:rPr>
        <w:t>í</w:t>
      </w:r>
      <w:r w:rsidR="00EE2BDB">
        <w:rPr>
          <w:b/>
        </w:rPr>
        <w:t xml:space="preserve">. </w:t>
      </w:r>
      <w:r w:rsidR="008D6FE3">
        <w:rPr>
          <w:b/>
        </w:rPr>
        <w:t>K</w:t>
      </w:r>
      <w:r w:rsidR="00270079">
        <w:rPr>
          <w:b/>
        </w:rPr>
        <w:t> podpoře malých a</w:t>
      </w:r>
      <w:r w:rsidR="00F741D9">
        <w:rPr>
          <w:b/>
        </w:rPr>
        <w:t> </w:t>
      </w:r>
      <w:r w:rsidR="00270079">
        <w:rPr>
          <w:b/>
        </w:rPr>
        <w:t>středních podniků nedochází, jelikož realizace op</w:t>
      </w:r>
      <w:r w:rsidR="008D6FE3">
        <w:rPr>
          <w:b/>
        </w:rPr>
        <w:t>erací</w:t>
      </w:r>
      <w:r w:rsidR="00270079">
        <w:rPr>
          <w:b/>
        </w:rPr>
        <w:t xml:space="preserve"> zaměřených na jejich podporu je neúspěšná. </w:t>
      </w:r>
      <w:r>
        <w:rPr>
          <w:b/>
        </w:rPr>
        <w:t xml:space="preserve"> </w:t>
      </w:r>
    </w:p>
    <w:p w14:paraId="64C0D91D" w14:textId="77777777" w:rsidR="00645592" w:rsidRDefault="00645592" w:rsidP="00665C11">
      <w:pPr>
        <w:spacing w:before="0"/>
      </w:pPr>
    </w:p>
    <w:p w14:paraId="555619CE" w14:textId="77777777" w:rsidR="004F24F4" w:rsidRPr="00726333" w:rsidRDefault="00D12A8A" w:rsidP="00665C11">
      <w:pPr>
        <w:spacing w:before="0"/>
      </w:pPr>
      <w:r>
        <w:t>Celkové vyhodnocení vyplývá z těchto zjištěných nedostatků</w:t>
      </w:r>
      <w:r w:rsidR="00D91D0B" w:rsidRPr="00726333">
        <w:t>:</w:t>
      </w:r>
    </w:p>
    <w:p w14:paraId="6328DFBB" w14:textId="6C1497C4" w:rsidR="004F24F4" w:rsidRDefault="00D91D0B" w:rsidP="00645592">
      <w:pPr>
        <w:numPr>
          <w:ilvl w:val="0"/>
          <w:numId w:val="35"/>
        </w:numPr>
        <w:ind w:left="425" w:hanging="425"/>
      </w:pPr>
      <w:r>
        <w:t>Realizace PRV 2014–2020 je od počátku provázena značným zpožděním. V rámci opatření M16</w:t>
      </w:r>
      <w:r w:rsidR="002235EC">
        <w:t xml:space="preserve"> </w:t>
      </w:r>
      <w:r w:rsidR="002235EC" w:rsidRPr="006A4606">
        <w:rPr>
          <w:i/>
        </w:rPr>
        <w:t>Spolupráce</w:t>
      </w:r>
      <w:r>
        <w:t xml:space="preserve"> bylo k 31. 12. 2017, tj. na konci čtvrtého roku programového období, proplaceno pouze pět projektů v celkové částce </w:t>
      </w:r>
      <w:r w:rsidR="007C2E96">
        <w:t xml:space="preserve">přibližně </w:t>
      </w:r>
      <w:r>
        <w:t>186 mil. Kč. Vzhledem ke zpoždění realizace již MZe není schopn</w:t>
      </w:r>
      <w:r w:rsidR="00F741D9">
        <w:t>o</w:t>
      </w:r>
      <w:r>
        <w:t xml:space="preserve"> účinně reagovat na</w:t>
      </w:r>
      <w:r w:rsidR="007C2E96">
        <w:t xml:space="preserve"> některé</w:t>
      </w:r>
      <w:r>
        <w:t xml:space="preserve"> vzniklé problémy, např. nedostatečný počet předkládaných žádostí o dotaci.</w:t>
      </w:r>
    </w:p>
    <w:p w14:paraId="321BF85A" w14:textId="1B30A202" w:rsidR="004F24F4" w:rsidRDefault="00D91D0B" w:rsidP="00645592">
      <w:pPr>
        <w:numPr>
          <w:ilvl w:val="0"/>
          <w:numId w:val="35"/>
        </w:numPr>
        <w:ind w:left="425" w:hanging="425"/>
      </w:pPr>
      <w:r>
        <w:rPr>
          <w:bCs/>
          <w:lang w:eastAsia="cs-CZ"/>
        </w:rPr>
        <w:t>U tří ze šesti operací je realizace neúspěšná. U operace 16.3.1 je z důvodu složitého nastavení dotačních podmínek většina žadatelů neúspěšných a k 31. 12. 2017 byly uzavřeny pouze dvě dohody o poskytnutí dotace. O operace 16.4.1 a 16.6.1 nemají žadatelé zájem, k 31. 12. 2017</w:t>
      </w:r>
      <w:r w:rsidR="007C2E96">
        <w:rPr>
          <w:bCs/>
          <w:lang w:eastAsia="cs-CZ"/>
        </w:rPr>
        <w:t xml:space="preserve"> nebyly podány téměř žádné žádosti o dotace a</w:t>
      </w:r>
      <w:r w:rsidR="00FE100E">
        <w:rPr>
          <w:bCs/>
          <w:lang w:eastAsia="cs-CZ"/>
        </w:rPr>
        <w:t> ne</w:t>
      </w:r>
      <w:r w:rsidR="00F741D9">
        <w:rPr>
          <w:bCs/>
          <w:lang w:eastAsia="cs-CZ"/>
        </w:rPr>
        <w:t xml:space="preserve">byly </w:t>
      </w:r>
      <w:r>
        <w:rPr>
          <w:bCs/>
          <w:lang w:eastAsia="cs-CZ"/>
        </w:rPr>
        <w:t xml:space="preserve">uzavřeny žádné dohody o poskytnutí dotace. </w:t>
      </w:r>
    </w:p>
    <w:p w14:paraId="7613725A" w14:textId="76882845" w:rsidR="004F24F4" w:rsidRDefault="00D91D0B" w:rsidP="00645592">
      <w:pPr>
        <w:numPr>
          <w:ilvl w:val="0"/>
          <w:numId w:val="35"/>
        </w:numPr>
        <w:ind w:left="425" w:hanging="425"/>
      </w:pPr>
      <w:r w:rsidRPr="000C6E38">
        <w:t>Evropské předpisy umožňovaly realizovat 11 různých typů spolupráce</w:t>
      </w:r>
      <w:r>
        <w:t>, které odpovídaly potřebám rozvoje českého zemědělství a venkova</w:t>
      </w:r>
      <w:r w:rsidRPr="000C6E38">
        <w:t xml:space="preserve">. </w:t>
      </w:r>
      <w:r>
        <w:t>MZe</w:t>
      </w:r>
      <w:r w:rsidRPr="000C6E38">
        <w:t xml:space="preserve"> si</w:t>
      </w:r>
      <w:r>
        <w:t xml:space="preserve"> však vybralo 7 </w:t>
      </w:r>
      <w:r w:rsidRPr="000C6E38">
        <w:t>typů, které realizuje v 6 operacích.</w:t>
      </w:r>
      <w:r>
        <w:t xml:space="preserve"> </w:t>
      </w:r>
      <w:r w:rsidRPr="000C6E38">
        <w:t>Svůj výběr ne</w:t>
      </w:r>
      <w:r>
        <w:t>bylo MZe</w:t>
      </w:r>
      <w:r w:rsidRPr="000C6E38">
        <w:t xml:space="preserve"> schopn</w:t>
      </w:r>
      <w:r w:rsidR="00F741D9">
        <w:t>o</w:t>
      </w:r>
      <w:r w:rsidRPr="000C6E38">
        <w:t xml:space="preserve"> doložit a vysvětlit – nedisponuje žádnými dokumenty nad rámec programového dokumentu</w:t>
      </w:r>
      <w:r>
        <w:t xml:space="preserve"> PRV</w:t>
      </w:r>
      <w:r w:rsidR="009E560F">
        <w:t xml:space="preserve"> </w:t>
      </w:r>
      <w:r>
        <w:t>2014–2020</w:t>
      </w:r>
      <w:r w:rsidRPr="000C6E38">
        <w:t>, kte</w:t>
      </w:r>
      <w:r>
        <w:t xml:space="preserve">ré by toto rozhodnutí zdůvodnilo. </w:t>
      </w:r>
    </w:p>
    <w:p w14:paraId="6316E8D8" w14:textId="78415F49" w:rsidR="004F24F4" w:rsidRDefault="00D91D0B" w:rsidP="00645592">
      <w:pPr>
        <w:numPr>
          <w:ilvl w:val="0"/>
          <w:numId w:val="35"/>
        </w:numPr>
        <w:ind w:left="425" w:hanging="425"/>
      </w:pPr>
      <w:r>
        <w:t>V</w:t>
      </w:r>
      <w:r w:rsidRPr="00274BC8">
        <w:t>ětšina peněžních prostředků opatření M16</w:t>
      </w:r>
      <w:r w:rsidR="002235EC">
        <w:t xml:space="preserve"> </w:t>
      </w:r>
      <w:r w:rsidR="002235EC" w:rsidRPr="006A4606">
        <w:rPr>
          <w:i/>
        </w:rPr>
        <w:t>Spolupráce</w:t>
      </w:r>
      <w:r w:rsidRPr="006A4606">
        <w:rPr>
          <w:i/>
        </w:rPr>
        <w:t xml:space="preserve"> </w:t>
      </w:r>
      <w:r w:rsidRPr="00274BC8">
        <w:t>je přidělena</w:t>
      </w:r>
      <w:r w:rsidR="00F741D9">
        <w:t xml:space="preserve"> </w:t>
      </w:r>
      <w:r w:rsidRPr="00274BC8">
        <w:t>operaci 16.2.2 podporující v</w:t>
      </w:r>
      <w:r>
        <w:rPr>
          <w:bCs/>
          <w:lang w:eastAsia="cs-CZ"/>
        </w:rPr>
        <w:t>ývoj při zpracování zemědělských produktů</w:t>
      </w:r>
      <w:r w:rsidRPr="00274BC8">
        <w:t xml:space="preserve">. Výše alokovaných prostředků na tuto operaci je cca 111 mil. </w:t>
      </w:r>
      <w:r w:rsidR="00A54489">
        <w:t>€</w:t>
      </w:r>
      <w:r w:rsidRPr="00274BC8">
        <w:t>, což je 74 % alokace opatření M16</w:t>
      </w:r>
      <w:r w:rsidR="002235EC">
        <w:t xml:space="preserve"> </w:t>
      </w:r>
      <w:r w:rsidR="002235EC" w:rsidRPr="006A4606">
        <w:rPr>
          <w:i/>
        </w:rPr>
        <w:t>Spolupráce</w:t>
      </w:r>
      <w:r w:rsidR="00F741D9">
        <w:t>,</w:t>
      </w:r>
      <w:r w:rsidRPr="00A24481">
        <w:t xml:space="preserve"> a</w:t>
      </w:r>
      <w:r w:rsidR="00FE100E">
        <w:t> </w:t>
      </w:r>
      <w:r w:rsidRPr="00A24481">
        <w:t xml:space="preserve">celé opatření </w:t>
      </w:r>
      <w:r>
        <w:t>M16</w:t>
      </w:r>
      <w:r w:rsidR="002235EC">
        <w:t xml:space="preserve"> </w:t>
      </w:r>
      <w:r w:rsidR="002235EC" w:rsidRPr="006A4606">
        <w:rPr>
          <w:i/>
        </w:rPr>
        <w:t>Spolupráce</w:t>
      </w:r>
      <w:r>
        <w:t xml:space="preserve"> </w:t>
      </w:r>
      <w:r w:rsidRPr="00A24481">
        <w:t xml:space="preserve">je </w:t>
      </w:r>
      <w:r>
        <w:t xml:space="preserve">tedy </w:t>
      </w:r>
      <w:r w:rsidRPr="00A24481">
        <w:t>realizováno</w:t>
      </w:r>
      <w:r>
        <w:t xml:space="preserve"> převážně</w:t>
      </w:r>
      <w:r w:rsidRPr="00A24481">
        <w:t xml:space="preserve"> pomocí</w:t>
      </w:r>
      <w:r>
        <w:t xml:space="preserve"> této</w:t>
      </w:r>
      <w:r w:rsidRPr="00A24481">
        <w:t xml:space="preserve"> jedné operace.</w:t>
      </w:r>
      <w:r w:rsidR="0034547D">
        <w:t xml:space="preserve"> </w:t>
      </w:r>
      <w:r>
        <w:rPr>
          <w:bCs/>
          <w:lang w:eastAsia="cs-CZ"/>
        </w:rPr>
        <w:t xml:space="preserve">Zde čerpají dotace především velké potravinářské </w:t>
      </w:r>
      <w:r w:rsidR="00810D3F">
        <w:rPr>
          <w:bCs/>
          <w:lang w:eastAsia="cs-CZ"/>
        </w:rPr>
        <w:t>podniky</w:t>
      </w:r>
      <w:r>
        <w:rPr>
          <w:bCs/>
          <w:lang w:eastAsia="cs-CZ"/>
        </w:rPr>
        <w:t xml:space="preserve">, a to často opakovaně a bez </w:t>
      </w:r>
      <w:proofErr w:type="spellStart"/>
      <w:r>
        <w:rPr>
          <w:bCs/>
          <w:lang w:eastAsia="cs-CZ"/>
        </w:rPr>
        <w:t>zastropování</w:t>
      </w:r>
      <w:proofErr w:type="spellEnd"/>
      <w:r>
        <w:rPr>
          <w:bCs/>
          <w:lang w:eastAsia="cs-CZ"/>
        </w:rPr>
        <w:t xml:space="preserve"> výše dotace pro programové období. Částky vynakládané na spolupráci ve formě výdajů na vědu a výzkum, jako</w:t>
      </w:r>
      <w:r w:rsidR="00F741D9">
        <w:rPr>
          <w:bCs/>
          <w:lang w:eastAsia="cs-CZ"/>
        </w:rPr>
        <w:t>žto</w:t>
      </w:r>
      <w:r>
        <w:rPr>
          <w:bCs/>
          <w:lang w:eastAsia="cs-CZ"/>
        </w:rPr>
        <w:t xml:space="preserve"> klíčový element opatření M16</w:t>
      </w:r>
      <w:r w:rsidR="002235EC">
        <w:rPr>
          <w:bCs/>
          <w:lang w:eastAsia="cs-CZ"/>
        </w:rPr>
        <w:t xml:space="preserve"> </w:t>
      </w:r>
      <w:r w:rsidR="002235EC" w:rsidRPr="006A4606">
        <w:rPr>
          <w:bCs/>
          <w:i/>
          <w:lang w:eastAsia="cs-CZ"/>
        </w:rPr>
        <w:t>Spolupráce</w:t>
      </w:r>
      <w:r>
        <w:rPr>
          <w:bCs/>
          <w:lang w:eastAsia="cs-CZ"/>
        </w:rPr>
        <w:t xml:space="preserve">, jsou zde však zanedbatelné, převažují výdaje na nákup </w:t>
      </w:r>
      <w:r w:rsidRPr="00DF063E">
        <w:rPr>
          <w:bCs/>
          <w:lang w:eastAsia="cs-CZ"/>
        </w:rPr>
        <w:t>strojů,</w:t>
      </w:r>
      <w:r>
        <w:rPr>
          <w:bCs/>
          <w:lang w:eastAsia="cs-CZ"/>
        </w:rPr>
        <w:t xml:space="preserve"> technologií a stavební úpravy.</w:t>
      </w:r>
    </w:p>
    <w:p w14:paraId="00EF93F1" w14:textId="78302E06" w:rsidR="00540DE2" w:rsidRDefault="00540DE2" w:rsidP="00645592">
      <w:pPr>
        <w:numPr>
          <w:ilvl w:val="0"/>
          <w:numId w:val="35"/>
        </w:numPr>
        <w:ind w:left="425" w:hanging="425"/>
      </w:pPr>
      <w:r>
        <w:lastRenderedPageBreak/>
        <w:t>Plnění cílů</w:t>
      </w:r>
      <w:r w:rsidRPr="002C5829">
        <w:t xml:space="preserve"> </w:t>
      </w:r>
      <w:r>
        <w:t>bylo</w:t>
      </w:r>
      <w:r w:rsidRPr="002C5829">
        <w:t xml:space="preserve"> těžk</w:t>
      </w:r>
      <w:r w:rsidR="00A55042">
        <w:t>é</w:t>
      </w:r>
      <w:r w:rsidRPr="002C5829">
        <w:t xml:space="preserve"> vyhodnotit</w:t>
      </w:r>
      <w:r>
        <w:t>, neboť k 31. 12. 2017 bylo proplaceno jen pět projektů</w:t>
      </w:r>
      <w:r w:rsidR="00F741D9">
        <w:t>,</w:t>
      </w:r>
      <w:r>
        <w:t xml:space="preserve"> a to z operace 16.2.2</w:t>
      </w:r>
      <w:r w:rsidRPr="002C5829">
        <w:t xml:space="preserve">. </w:t>
      </w:r>
      <w:r>
        <w:t>P</w:t>
      </w:r>
      <w:r w:rsidRPr="002C5829">
        <w:t>řidělení většiny prostředků jedné operaci zvýhodňuje plnění</w:t>
      </w:r>
      <w:r>
        <w:t xml:space="preserve"> pouze</w:t>
      </w:r>
      <w:r w:rsidRPr="002C5829">
        <w:t xml:space="preserve"> jednoho cíle</w:t>
      </w:r>
      <w:r>
        <w:t xml:space="preserve">, a to </w:t>
      </w:r>
      <w:r w:rsidR="00A55042">
        <w:t>„p</w:t>
      </w:r>
      <w:r>
        <w:t>osílení výzkumu, technologického rozvoje a inovací</w:t>
      </w:r>
      <w:r w:rsidR="00A55042">
        <w:t>“</w:t>
      </w:r>
      <w:r>
        <w:t>. K plnění druhého cíle, tj. k podpoře malých a středních podniků</w:t>
      </w:r>
      <w:r w:rsidR="00A55042">
        <w:t>,</w:t>
      </w:r>
      <w:r>
        <w:t xml:space="preserve"> nedochází, jelikož operace zaměřené na jejich podporu se nedaří realizovat. </w:t>
      </w:r>
    </w:p>
    <w:p w14:paraId="020B467E" w14:textId="1B934309" w:rsidR="004F24F4" w:rsidRDefault="00D91D0B" w:rsidP="00645592">
      <w:pPr>
        <w:numPr>
          <w:ilvl w:val="0"/>
          <w:numId w:val="35"/>
        </w:numPr>
        <w:ind w:left="425" w:hanging="425"/>
      </w:pPr>
      <w:r>
        <w:t>MZe pro operaci 16.4.1 stanovilo pro účely přezkumu výkonnosti věcný milník (18 podpořených podniků). Plnění je však rovno nule a ne</w:t>
      </w:r>
      <w:r w:rsidR="00A55042">
        <w:t>lze</w:t>
      </w:r>
      <w:r>
        <w:t xml:space="preserve"> předpokl</w:t>
      </w:r>
      <w:r w:rsidR="00A55042">
        <w:t>ádat</w:t>
      </w:r>
      <w:r>
        <w:t xml:space="preserve">, že by </w:t>
      </w:r>
      <w:r w:rsidR="00A55042">
        <w:t>byl</w:t>
      </w:r>
      <w:r>
        <w:t xml:space="preserve"> milník do konce roku 2018 spln</w:t>
      </w:r>
      <w:r w:rsidR="00A55042">
        <w:t>ěn</w:t>
      </w:r>
      <w:r>
        <w:t>.</w:t>
      </w:r>
      <w:r w:rsidR="00540DE2">
        <w:t xml:space="preserve"> V případě neúspěšných jednání s</w:t>
      </w:r>
      <w:r w:rsidR="008D6FE3">
        <w:t> </w:t>
      </w:r>
      <w:r w:rsidR="00540DE2">
        <w:t>E</w:t>
      </w:r>
      <w:r w:rsidR="008D6FE3">
        <w:t>vropskou komisí (dále též „EK“)</w:t>
      </w:r>
      <w:r>
        <w:t xml:space="preserve"> </w:t>
      </w:r>
      <w:r w:rsidR="00540DE2">
        <w:t>h</w:t>
      </w:r>
      <w:r>
        <w:t>rozí riziko, že dotyčné prioritě nebude</w:t>
      </w:r>
      <w:r w:rsidR="00540DE2">
        <w:t xml:space="preserve"> ze strany EK</w:t>
      </w:r>
      <w:r>
        <w:t xml:space="preserve"> přidělena výkonnostní rezerva. Případné nenaplnění milníku tak může zablokovat uvolnění dodatečných prostředků pro velká investiční opatření</w:t>
      </w:r>
      <w:r w:rsidR="00A55042">
        <w:t>,</w:t>
      </w:r>
      <w:r>
        <w:t xml:space="preserve"> jako je například 16.2.2.</w:t>
      </w:r>
    </w:p>
    <w:p w14:paraId="059BFD43" w14:textId="3D1CB8CA" w:rsidR="004F24F4" w:rsidRDefault="00D91D0B" w:rsidP="00645592">
      <w:pPr>
        <w:numPr>
          <w:ilvl w:val="0"/>
          <w:numId w:val="35"/>
        </w:numPr>
        <w:ind w:left="425" w:hanging="425"/>
      </w:pPr>
      <w:r w:rsidRPr="00AD6761">
        <w:t>Pří</w:t>
      </w:r>
      <w:r w:rsidR="00B26FBD">
        <w:t>nosy</w:t>
      </w:r>
      <w:r w:rsidRPr="00AD6761">
        <w:t xml:space="preserve"> opatření M16</w:t>
      </w:r>
      <w:r w:rsidR="002235EC">
        <w:t xml:space="preserve"> </w:t>
      </w:r>
      <w:r w:rsidR="002235EC" w:rsidRPr="006A4606">
        <w:rPr>
          <w:i/>
        </w:rPr>
        <w:t>Spolupráce</w:t>
      </w:r>
      <w:r w:rsidRPr="00AD6761">
        <w:t xml:space="preserve"> k plnění </w:t>
      </w:r>
      <w:r w:rsidR="00A55042">
        <w:t>s</w:t>
      </w:r>
      <w:r w:rsidRPr="00AD6761">
        <w:t xml:space="preserve">trategie </w:t>
      </w:r>
      <w:r w:rsidRPr="006A4606">
        <w:rPr>
          <w:i/>
        </w:rPr>
        <w:t>Evropa 2020</w:t>
      </w:r>
      <w:r w:rsidRPr="00AD6761">
        <w:t xml:space="preserve"> je a bude obtížn</w:t>
      </w:r>
      <w:r w:rsidR="00A55042">
        <w:t>é</w:t>
      </w:r>
      <w:r w:rsidRPr="00AD6761">
        <w:t xml:space="preserve"> vyhodnotit, jelikož</w:t>
      </w:r>
      <w:r w:rsidR="00D12A8A">
        <w:t xml:space="preserve"> MZe</w:t>
      </w:r>
      <w:r>
        <w:t xml:space="preserve"> pro</w:t>
      </w:r>
      <w:r w:rsidRPr="00AD6761">
        <w:t xml:space="preserve"> PRV </w:t>
      </w:r>
      <w:r>
        <w:t xml:space="preserve">2014–2020 </w:t>
      </w:r>
      <w:r w:rsidRPr="00AD6761">
        <w:t xml:space="preserve">ani </w:t>
      </w:r>
      <w:r>
        <w:t xml:space="preserve">pro </w:t>
      </w:r>
      <w:r w:rsidRPr="00AD6761">
        <w:t>opatření M16</w:t>
      </w:r>
      <w:r w:rsidR="002235EC">
        <w:t xml:space="preserve"> </w:t>
      </w:r>
      <w:r w:rsidR="002235EC" w:rsidRPr="006A4606">
        <w:rPr>
          <w:i/>
        </w:rPr>
        <w:t>Spolupráce</w:t>
      </w:r>
      <w:r w:rsidRPr="00AD6761">
        <w:t xml:space="preserve"> nenastav</w:t>
      </w:r>
      <w:r w:rsidR="00D12A8A">
        <w:t>ilo</w:t>
      </w:r>
      <w:r w:rsidRPr="00AD6761">
        <w:t xml:space="preserve"> žádné výchozí a</w:t>
      </w:r>
      <w:r w:rsidR="00A55042">
        <w:t>ni</w:t>
      </w:r>
      <w:r w:rsidRPr="00AD6761">
        <w:t xml:space="preserve"> cílové hodnoty, </w:t>
      </w:r>
      <w:r w:rsidR="00A55042">
        <w:t xml:space="preserve">jejichž </w:t>
      </w:r>
      <w:r w:rsidRPr="00AD6761">
        <w:t xml:space="preserve">prostřednictvím by </w:t>
      </w:r>
      <w:r w:rsidR="00A55042">
        <w:t>bylo možné</w:t>
      </w:r>
      <w:r w:rsidRPr="00AD6761">
        <w:t xml:space="preserve"> měři</w:t>
      </w:r>
      <w:r w:rsidR="00A55042">
        <w:t>t</w:t>
      </w:r>
      <w:r w:rsidR="00E368FD">
        <w:t>, jak opatření</w:t>
      </w:r>
      <w:r w:rsidRPr="00AD6761">
        <w:t xml:space="preserve"> </w:t>
      </w:r>
      <w:r w:rsidR="00E368FD">
        <w:t>přispívá</w:t>
      </w:r>
      <w:r w:rsidRPr="00AD6761">
        <w:t xml:space="preserve"> k </w:t>
      </w:r>
      <w:r w:rsidR="00E368FD">
        <w:t xml:space="preserve">plnění </w:t>
      </w:r>
      <w:r w:rsidRPr="00AD6761">
        <w:t xml:space="preserve">cílů </w:t>
      </w:r>
      <w:r w:rsidR="00A55042">
        <w:t>s</w:t>
      </w:r>
      <w:r w:rsidRPr="00AD6761">
        <w:t xml:space="preserve">trategie </w:t>
      </w:r>
      <w:r w:rsidRPr="006A4606">
        <w:rPr>
          <w:i/>
        </w:rPr>
        <w:t>Evropa 2020</w:t>
      </w:r>
      <w:r w:rsidRPr="00AD6761">
        <w:t>. MZe průběžně nesleduje a</w:t>
      </w:r>
      <w:r w:rsidR="001D62F8">
        <w:t>ni</w:t>
      </w:r>
      <w:r w:rsidRPr="00AD6761">
        <w:t xml:space="preserve"> nehodnotí tyto přínosy.</w:t>
      </w:r>
    </w:p>
    <w:p w14:paraId="4C4F95C4" w14:textId="35F16C5E" w:rsidR="004F24F4" w:rsidRDefault="00D91D0B" w:rsidP="00645592">
      <w:pPr>
        <w:numPr>
          <w:ilvl w:val="0"/>
          <w:numId w:val="35"/>
        </w:numPr>
        <w:ind w:left="425" w:hanging="425"/>
      </w:pPr>
      <w:r w:rsidRPr="002C5829">
        <w:t>Pro posuzování inovativnosti a dalších odborných záležitostí</w:t>
      </w:r>
      <w:r>
        <w:t xml:space="preserve"> projektů</w:t>
      </w:r>
      <w:r w:rsidRPr="002C5829">
        <w:t xml:space="preserve"> vytvořilo </w:t>
      </w:r>
      <w:r>
        <w:t>MZe hodnotitelské komise a stanovilo pravidla pro jejich činnost</w:t>
      </w:r>
      <w:r w:rsidRPr="002C5829">
        <w:t xml:space="preserve">. </w:t>
      </w:r>
      <w:r>
        <w:t>Tato pravidla však nezaručují</w:t>
      </w:r>
      <w:r w:rsidRPr="002C5829">
        <w:t xml:space="preserve"> transp</w:t>
      </w:r>
      <w:r>
        <w:t>arentnost</w:t>
      </w:r>
      <w:r w:rsidRPr="002C5829">
        <w:t>. Při hodnocení není zachována dostatečná auditní stopa, aby bylo rozhodnutí komise přezkoumatelné. Další ne zcela transparentní částí hodnocení je posouzení efektivnosti.</w:t>
      </w:r>
    </w:p>
    <w:p w14:paraId="24316807" w14:textId="3FB7C1D6" w:rsidR="004F24F4" w:rsidRDefault="00D91D0B" w:rsidP="00645592">
      <w:pPr>
        <w:numPr>
          <w:ilvl w:val="0"/>
          <w:numId w:val="35"/>
        </w:numPr>
        <w:ind w:left="425" w:hanging="425"/>
        <w:rPr>
          <w:bCs/>
          <w:lang w:eastAsia="cs-CZ"/>
        </w:rPr>
      </w:pPr>
      <w:r>
        <w:t>V</w:t>
      </w:r>
      <w:r w:rsidRPr="00274BC8">
        <w:rPr>
          <w:lang w:eastAsia="cs-CZ"/>
        </w:rPr>
        <w:t xml:space="preserve"> případě odvolání </w:t>
      </w:r>
      <w:r>
        <w:rPr>
          <w:lang w:eastAsia="cs-CZ"/>
        </w:rPr>
        <w:t xml:space="preserve">proti rozhodnutí o ukončení administrace žádosti </w:t>
      </w:r>
      <w:r w:rsidRPr="00274BC8">
        <w:rPr>
          <w:lang w:eastAsia="cs-CZ"/>
        </w:rPr>
        <w:t>si</w:t>
      </w:r>
      <w:r w:rsidR="00E368FD">
        <w:rPr>
          <w:lang w:eastAsia="cs-CZ"/>
        </w:rPr>
        <w:t xml:space="preserve"> </w:t>
      </w:r>
      <w:r w:rsidRPr="00274BC8">
        <w:rPr>
          <w:lang w:eastAsia="cs-CZ"/>
        </w:rPr>
        <w:t>přezkumná komise vyž</w:t>
      </w:r>
      <w:r>
        <w:rPr>
          <w:lang w:eastAsia="cs-CZ"/>
        </w:rPr>
        <w:t>adovala</w:t>
      </w:r>
      <w:r w:rsidRPr="00274BC8">
        <w:rPr>
          <w:lang w:eastAsia="cs-CZ"/>
        </w:rPr>
        <w:t xml:space="preserve"> u některých projektů </w:t>
      </w:r>
      <w:r w:rsidR="007C2E96">
        <w:rPr>
          <w:lang w:eastAsia="cs-CZ"/>
        </w:rPr>
        <w:t xml:space="preserve">posouzení </w:t>
      </w:r>
      <w:r w:rsidRPr="00274BC8">
        <w:rPr>
          <w:lang w:eastAsia="cs-CZ"/>
        </w:rPr>
        <w:t>hodnotitelské komise. Složení této hodnotitelské komise, posuzující oprávněnost odvolání žadatele, bylo shodné s hodnotitelskou komisí, která již hodnotila projekt při podání žádosti o dotaci.</w:t>
      </w:r>
      <w:r w:rsidR="0038393C">
        <w:rPr>
          <w:lang w:eastAsia="cs-CZ"/>
        </w:rPr>
        <w:t xml:space="preserve"> </w:t>
      </w:r>
      <w:r w:rsidR="0038393C">
        <w:rPr>
          <w:bCs/>
          <w:lang w:eastAsia="cs-CZ"/>
        </w:rPr>
        <w:t>U </w:t>
      </w:r>
      <w:r w:rsidR="0038393C" w:rsidRPr="00030CCB">
        <w:rPr>
          <w:bCs/>
          <w:lang w:eastAsia="cs-CZ"/>
        </w:rPr>
        <w:t>žádného projektu opakovaně posuzovaného hodnotitelskou komisí nebylo odvolání vyhověno.</w:t>
      </w:r>
      <w:r w:rsidR="0038393C">
        <w:rPr>
          <w:bCs/>
          <w:lang w:eastAsia="cs-CZ"/>
        </w:rPr>
        <w:t xml:space="preserve"> Vzhledem k takto nastavenému systému zde</w:t>
      </w:r>
      <w:r w:rsidRPr="00274BC8">
        <w:rPr>
          <w:lang w:eastAsia="cs-CZ"/>
        </w:rPr>
        <w:t xml:space="preserve"> </w:t>
      </w:r>
      <w:r w:rsidR="0038393C">
        <w:rPr>
          <w:lang w:eastAsia="cs-CZ"/>
        </w:rPr>
        <w:t>e</w:t>
      </w:r>
      <w:r w:rsidR="00540DE2">
        <w:rPr>
          <w:lang w:eastAsia="cs-CZ"/>
        </w:rPr>
        <w:t>xistuje riziko, že p</w:t>
      </w:r>
      <w:r w:rsidR="00540DE2" w:rsidRPr="00274BC8">
        <w:rPr>
          <w:lang w:eastAsia="cs-CZ"/>
        </w:rPr>
        <w:t xml:space="preserve">roces </w:t>
      </w:r>
      <w:r w:rsidRPr="00274BC8">
        <w:rPr>
          <w:lang w:eastAsia="cs-CZ"/>
        </w:rPr>
        <w:t>rozhodování o</w:t>
      </w:r>
      <w:r w:rsidR="00665C11">
        <w:rPr>
          <w:lang w:eastAsia="cs-CZ"/>
        </w:rPr>
        <w:t> </w:t>
      </w:r>
      <w:r w:rsidRPr="00274BC8">
        <w:rPr>
          <w:lang w:eastAsia="cs-CZ"/>
        </w:rPr>
        <w:t>odvolání v rámci opat</w:t>
      </w:r>
      <w:r>
        <w:rPr>
          <w:lang w:eastAsia="cs-CZ"/>
        </w:rPr>
        <w:t>ření M16</w:t>
      </w:r>
      <w:r w:rsidR="002235EC">
        <w:rPr>
          <w:lang w:eastAsia="cs-CZ"/>
        </w:rPr>
        <w:t xml:space="preserve"> </w:t>
      </w:r>
      <w:r w:rsidR="002235EC" w:rsidRPr="006A4606">
        <w:rPr>
          <w:i/>
          <w:lang w:eastAsia="cs-CZ"/>
        </w:rPr>
        <w:t>Spolupráce</w:t>
      </w:r>
      <w:r>
        <w:rPr>
          <w:lang w:eastAsia="cs-CZ"/>
        </w:rPr>
        <w:t xml:space="preserve"> není zcela objektivní. </w:t>
      </w:r>
    </w:p>
    <w:p w14:paraId="16709D87" w14:textId="7B4DB454" w:rsidR="004F24F4" w:rsidRPr="00E42A81" w:rsidRDefault="00D91D0B" w:rsidP="00645592">
      <w:pPr>
        <w:numPr>
          <w:ilvl w:val="0"/>
          <w:numId w:val="35"/>
        </w:numPr>
        <w:ind w:left="425" w:hanging="425"/>
        <w:rPr>
          <w:bCs/>
          <w:lang w:eastAsia="cs-CZ"/>
        </w:rPr>
      </w:pPr>
      <w:r w:rsidRPr="00E42A81">
        <w:rPr>
          <w:bCs/>
          <w:lang w:eastAsia="cs-CZ"/>
        </w:rPr>
        <w:t xml:space="preserve">Řídicí činnost MZe vůči SZIF nebyla zcela účinná. MZe požadovalo po SZIF v roce 2016 </w:t>
      </w:r>
      <w:r>
        <w:rPr>
          <w:bCs/>
          <w:lang w:eastAsia="cs-CZ"/>
        </w:rPr>
        <w:t>doplnění</w:t>
      </w:r>
      <w:r w:rsidRPr="00E42A81">
        <w:rPr>
          <w:bCs/>
          <w:lang w:eastAsia="cs-CZ"/>
        </w:rPr>
        <w:t xml:space="preserve"> formuláře žádosti o dotaci </w:t>
      </w:r>
      <w:r>
        <w:rPr>
          <w:bCs/>
          <w:lang w:eastAsia="cs-CZ"/>
        </w:rPr>
        <w:t>mimo jiné o údaje pro</w:t>
      </w:r>
      <w:r w:rsidRPr="00E42A81">
        <w:rPr>
          <w:bCs/>
          <w:lang w:eastAsia="cs-CZ"/>
        </w:rPr>
        <w:t xml:space="preserve"> hodnocení efektivnosti projektu. SZIF tento požadavek řídícího orgánu ani do </w:t>
      </w:r>
      <w:r>
        <w:rPr>
          <w:bCs/>
          <w:lang w:eastAsia="cs-CZ"/>
        </w:rPr>
        <w:t>konce roku 2017</w:t>
      </w:r>
      <w:r w:rsidRPr="00E42A81">
        <w:rPr>
          <w:bCs/>
          <w:lang w:eastAsia="cs-CZ"/>
        </w:rPr>
        <w:t xml:space="preserve"> nezapracoval.</w:t>
      </w:r>
    </w:p>
    <w:p w14:paraId="7957F45E" w14:textId="77777777" w:rsidR="00524F9F" w:rsidRPr="009E560F" w:rsidRDefault="00D91D0B" w:rsidP="00645592">
      <w:pPr>
        <w:numPr>
          <w:ilvl w:val="0"/>
          <w:numId w:val="35"/>
        </w:numPr>
        <w:ind w:left="425" w:hanging="425"/>
        <w:rPr>
          <w:bCs/>
          <w:lang w:eastAsia="cs-CZ"/>
        </w:rPr>
      </w:pPr>
      <w:r>
        <w:rPr>
          <w:bCs/>
          <w:lang w:eastAsia="cs-CZ"/>
        </w:rPr>
        <w:t xml:space="preserve">MZe uplatňuje </w:t>
      </w:r>
      <w:r w:rsidR="007C2E96">
        <w:rPr>
          <w:bCs/>
          <w:lang w:eastAsia="cs-CZ"/>
        </w:rPr>
        <w:t xml:space="preserve">nerovný </w:t>
      </w:r>
      <w:r>
        <w:rPr>
          <w:bCs/>
          <w:lang w:eastAsia="cs-CZ"/>
        </w:rPr>
        <w:t>přístup k žadatelům v různých operacích. Žadatelé v rámci finančně nejvýznamnější operace 16.2.2 jsou zvýhodňováni oproti žadatelům v ostatních operacích, a to výší dotace, jednodušším formulářem žádosti o dotaci, předkládáním smluv o spolupráci až ve fázi žádosti o proplacení.</w:t>
      </w:r>
    </w:p>
    <w:p w14:paraId="3E46C06C" w14:textId="77777777" w:rsidR="009E560F" w:rsidRPr="009E560F" w:rsidRDefault="009E560F" w:rsidP="00645592">
      <w:pPr>
        <w:spacing w:before="0"/>
      </w:pPr>
    </w:p>
    <w:p w14:paraId="3B50B5E4" w14:textId="77777777" w:rsidR="004F24F4" w:rsidRPr="00653E37" w:rsidRDefault="00D91D0B" w:rsidP="00645592">
      <w:pPr>
        <w:spacing w:before="0" w:after="40"/>
        <w:rPr>
          <w:b/>
          <w:bCs/>
          <w:lang w:eastAsia="cs-CZ"/>
        </w:rPr>
      </w:pPr>
      <w:r w:rsidRPr="00653E37">
        <w:rPr>
          <w:b/>
          <w:bCs/>
          <w:lang w:eastAsia="cs-CZ"/>
        </w:rPr>
        <w:t>Tabulka č. 1: Vybrané ukazatele opatření M16</w:t>
      </w:r>
      <w:r w:rsidR="002235EC">
        <w:rPr>
          <w:b/>
          <w:bCs/>
          <w:lang w:eastAsia="cs-CZ"/>
        </w:rPr>
        <w:t xml:space="preserve"> </w:t>
      </w:r>
      <w:r w:rsidR="002235EC" w:rsidRPr="006A4606">
        <w:rPr>
          <w:b/>
          <w:bCs/>
          <w:i/>
          <w:lang w:eastAsia="cs-CZ"/>
        </w:rPr>
        <w:t>Spolupráce</w:t>
      </w:r>
    </w:p>
    <w:tbl>
      <w:tblPr>
        <w:tblW w:w="89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5"/>
        <w:gridCol w:w="794"/>
        <w:gridCol w:w="794"/>
        <w:gridCol w:w="794"/>
        <w:gridCol w:w="794"/>
        <w:gridCol w:w="794"/>
        <w:gridCol w:w="794"/>
      </w:tblGrid>
      <w:tr w:rsidR="00B45BBC" w:rsidRPr="00645592" w14:paraId="4082C555" w14:textId="77777777" w:rsidTr="00645592">
        <w:trPr>
          <w:trHeight w:val="227"/>
          <w:jc w:val="center"/>
        </w:trPr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225ED0AF" w14:textId="77777777" w:rsidR="004F24F4" w:rsidRPr="00645592" w:rsidRDefault="00D91D0B" w:rsidP="004F24F4">
            <w:pPr>
              <w:spacing w:before="0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A788FC9" w14:textId="77777777" w:rsidR="004F24F4" w:rsidRPr="00645592" w:rsidRDefault="00D91D0B" w:rsidP="004F24F4">
            <w:pPr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>16.1.1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E30CD0F" w14:textId="77777777" w:rsidR="004F24F4" w:rsidRPr="00645592" w:rsidRDefault="00D91D0B" w:rsidP="004F24F4">
            <w:pPr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>16.2.1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137BDBF" w14:textId="77777777" w:rsidR="004F24F4" w:rsidRPr="00645592" w:rsidRDefault="00D91D0B" w:rsidP="004F24F4">
            <w:pPr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>16.2.2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277279F" w14:textId="77777777" w:rsidR="004F24F4" w:rsidRPr="00645592" w:rsidRDefault="00D91D0B" w:rsidP="004F24F4">
            <w:pPr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>16.3.1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037D36F" w14:textId="77777777" w:rsidR="004F24F4" w:rsidRPr="00645592" w:rsidRDefault="00D91D0B" w:rsidP="004F24F4">
            <w:pPr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>16.4.1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8B7068B" w14:textId="77777777" w:rsidR="004F24F4" w:rsidRPr="00645592" w:rsidRDefault="00D91D0B" w:rsidP="004F24F4">
            <w:pPr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>16.6.1</w:t>
            </w:r>
          </w:p>
        </w:tc>
      </w:tr>
      <w:tr w:rsidR="00B45BBC" w:rsidRPr="00645592" w14:paraId="0C9CAC32" w14:textId="77777777" w:rsidTr="00645592">
        <w:trPr>
          <w:trHeight w:val="227"/>
          <w:jc w:val="center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9289D" w14:textId="096B9FA2" w:rsidR="004F24F4" w:rsidRPr="00645592" w:rsidRDefault="00D91D0B" w:rsidP="00A54489">
            <w:pPr>
              <w:spacing w:before="0"/>
              <w:jc w:val="left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>Alokace (</w:t>
            </w:r>
            <w:r w:rsidR="00E368FD">
              <w:rPr>
                <w:b/>
                <w:bCs/>
                <w:sz w:val="20"/>
                <w:szCs w:val="20"/>
                <w:lang w:eastAsia="cs-CZ"/>
              </w:rPr>
              <w:t>v </w:t>
            </w:r>
            <w:r w:rsidRPr="00645592">
              <w:rPr>
                <w:b/>
                <w:bCs/>
                <w:sz w:val="20"/>
                <w:szCs w:val="20"/>
                <w:lang w:eastAsia="cs-CZ"/>
              </w:rPr>
              <w:t xml:space="preserve">mil. </w:t>
            </w:r>
            <w:r w:rsidR="00A54489">
              <w:rPr>
                <w:b/>
                <w:bCs/>
                <w:sz w:val="20"/>
                <w:szCs w:val="20"/>
                <w:lang w:eastAsia="cs-CZ"/>
              </w:rPr>
              <w:t>€</w:t>
            </w:r>
            <w:r w:rsidRPr="00645592">
              <w:rPr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0DF6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9,7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8B2F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17,7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44472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110,9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28FFF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1E87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EE24F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1,5</w:t>
            </w:r>
          </w:p>
        </w:tc>
      </w:tr>
      <w:tr w:rsidR="00B45BBC" w:rsidRPr="00645592" w14:paraId="3C8D0918" w14:textId="77777777" w:rsidTr="00645592">
        <w:trPr>
          <w:trHeight w:val="227"/>
          <w:jc w:val="center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B62E" w14:textId="7D2452DD" w:rsidR="004F24F4" w:rsidRPr="00645592" w:rsidRDefault="00D91D0B" w:rsidP="004F24F4">
            <w:pPr>
              <w:spacing w:before="0"/>
              <w:jc w:val="left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>Podíl z celkové alokace M16</w:t>
            </w:r>
            <w:r w:rsidR="002235EC" w:rsidRPr="00645592">
              <w:rPr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2235EC" w:rsidRPr="00C77473">
              <w:rPr>
                <w:b/>
                <w:bCs/>
                <w:i/>
                <w:sz w:val="20"/>
                <w:szCs w:val="20"/>
                <w:lang w:eastAsia="cs-CZ"/>
              </w:rPr>
              <w:t>Spolupráce</w:t>
            </w:r>
            <w:r w:rsidRPr="00645592">
              <w:rPr>
                <w:b/>
                <w:bCs/>
                <w:sz w:val="20"/>
                <w:szCs w:val="20"/>
                <w:lang w:eastAsia="cs-CZ"/>
              </w:rPr>
              <w:t xml:space="preserve"> (</w:t>
            </w:r>
            <w:r w:rsidR="00E368FD">
              <w:rPr>
                <w:b/>
                <w:bCs/>
                <w:sz w:val="20"/>
                <w:szCs w:val="20"/>
                <w:lang w:eastAsia="cs-CZ"/>
              </w:rPr>
              <w:t>v </w:t>
            </w:r>
            <w:r w:rsidRPr="00645592">
              <w:rPr>
                <w:b/>
                <w:bCs/>
                <w:sz w:val="20"/>
                <w:szCs w:val="20"/>
                <w:lang w:eastAsia="cs-CZ"/>
              </w:rPr>
              <w:t>%)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7EF81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6,5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1E2D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11,8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76EC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73,8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4F5A7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4,3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0F12B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2,7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0CEDE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0,9</w:t>
            </w:r>
          </w:p>
        </w:tc>
      </w:tr>
      <w:tr w:rsidR="00B45BBC" w:rsidRPr="00645592" w14:paraId="3F39D984" w14:textId="77777777" w:rsidTr="00645592">
        <w:trPr>
          <w:trHeight w:val="227"/>
          <w:jc w:val="center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AD85" w14:textId="77777777" w:rsidR="004F24F4" w:rsidRPr="00645592" w:rsidRDefault="00D91D0B" w:rsidP="00645592">
            <w:pPr>
              <w:spacing w:before="0"/>
              <w:jc w:val="left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>Počet podaných žádostí (do 5. kola včetně)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78BF3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0D1CE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D8E38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F800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7E2ED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99084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0</w:t>
            </w:r>
          </w:p>
        </w:tc>
      </w:tr>
      <w:tr w:rsidR="00B45BBC" w:rsidRPr="00645592" w14:paraId="67CB96CC" w14:textId="77777777" w:rsidTr="00645592">
        <w:trPr>
          <w:trHeight w:val="227"/>
          <w:jc w:val="center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7452" w14:textId="77777777" w:rsidR="004F24F4" w:rsidRPr="00645592" w:rsidRDefault="00D91D0B" w:rsidP="00645592">
            <w:pPr>
              <w:spacing w:before="0"/>
              <w:jc w:val="left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>Počet uzavřených dohod o poskytnutí dotace (k</w:t>
            </w:r>
            <w:r w:rsidR="00645592">
              <w:rPr>
                <w:b/>
                <w:bCs/>
                <w:sz w:val="20"/>
                <w:szCs w:val="20"/>
                <w:lang w:eastAsia="cs-CZ"/>
              </w:rPr>
              <w:t> </w:t>
            </w:r>
            <w:r w:rsidRPr="00645592">
              <w:rPr>
                <w:b/>
                <w:bCs/>
                <w:sz w:val="20"/>
                <w:szCs w:val="20"/>
                <w:lang w:eastAsia="cs-CZ"/>
              </w:rPr>
              <w:t xml:space="preserve">31. 12. 2017)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3FB0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0ADE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CEDF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F3454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742E6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E36DD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0</w:t>
            </w:r>
          </w:p>
        </w:tc>
      </w:tr>
      <w:tr w:rsidR="00B45BBC" w:rsidRPr="00645592" w14:paraId="682342BA" w14:textId="77777777" w:rsidTr="00645592">
        <w:trPr>
          <w:trHeight w:val="227"/>
          <w:jc w:val="center"/>
        </w:trPr>
        <w:tc>
          <w:tcPr>
            <w:tcW w:w="4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FA23" w14:textId="77777777" w:rsidR="004F24F4" w:rsidRPr="00645592" w:rsidRDefault="00D91D0B" w:rsidP="00645592">
            <w:pPr>
              <w:spacing w:before="0"/>
              <w:jc w:val="left"/>
              <w:rPr>
                <w:b/>
                <w:bCs/>
                <w:sz w:val="20"/>
                <w:szCs w:val="20"/>
                <w:lang w:eastAsia="cs-CZ"/>
              </w:rPr>
            </w:pPr>
            <w:r w:rsidRPr="00645592">
              <w:rPr>
                <w:b/>
                <w:bCs/>
                <w:sz w:val="20"/>
                <w:szCs w:val="20"/>
                <w:lang w:eastAsia="cs-CZ"/>
              </w:rPr>
              <w:t xml:space="preserve">Počet proplacených žádostí (k 31. 12. 2017)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CC504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EFC0D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85125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CACA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72C4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7258" w14:textId="77777777" w:rsidR="004F24F4" w:rsidRPr="00645592" w:rsidRDefault="00D91D0B" w:rsidP="00645592">
            <w:pPr>
              <w:spacing w:before="0"/>
              <w:ind w:left="11" w:right="113" w:hanging="11"/>
              <w:jc w:val="right"/>
              <w:rPr>
                <w:sz w:val="20"/>
                <w:szCs w:val="20"/>
                <w:lang w:eastAsia="cs-CZ"/>
              </w:rPr>
            </w:pPr>
            <w:r w:rsidRPr="00645592">
              <w:rPr>
                <w:sz w:val="20"/>
                <w:szCs w:val="20"/>
                <w:lang w:eastAsia="cs-CZ"/>
              </w:rPr>
              <w:t>0</w:t>
            </w:r>
          </w:p>
        </w:tc>
      </w:tr>
    </w:tbl>
    <w:p w14:paraId="2BC3D295" w14:textId="2F689553" w:rsidR="004F24F4" w:rsidRDefault="00D91D0B" w:rsidP="004F24F4">
      <w:pPr>
        <w:spacing w:before="0"/>
        <w:rPr>
          <w:sz w:val="20"/>
          <w:szCs w:val="20"/>
        </w:rPr>
      </w:pPr>
      <w:r w:rsidRPr="00B41299">
        <w:rPr>
          <w:b/>
          <w:sz w:val="20"/>
          <w:szCs w:val="20"/>
        </w:rPr>
        <w:t>Zdroj:</w:t>
      </w:r>
      <w:r w:rsidRPr="00942A5F">
        <w:rPr>
          <w:sz w:val="20"/>
          <w:szCs w:val="20"/>
        </w:rPr>
        <w:t xml:space="preserve"> </w:t>
      </w:r>
      <w:r w:rsidR="00E368FD">
        <w:rPr>
          <w:sz w:val="20"/>
          <w:szCs w:val="20"/>
        </w:rPr>
        <w:t>p</w:t>
      </w:r>
      <w:r w:rsidRPr="00942A5F">
        <w:rPr>
          <w:sz w:val="20"/>
          <w:szCs w:val="20"/>
        </w:rPr>
        <w:t>rogramový dokument PRV 2014–2020 a IS SZIF</w:t>
      </w:r>
      <w:r>
        <w:rPr>
          <w:sz w:val="20"/>
          <w:szCs w:val="20"/>
        </w:rPr>
        <w:t>.</w:t>
      </w:r>
    </w:p>
    <w:p w14:paraId="12725F05" w14:textId="32F52FE4" w:rsidR="00E368FD" w:rsidRDefault="00E368FD">
      <w:pPr>
        <w:spacing w:before="0"/>
        <w:jc w:val="left"/>
      </w:pPr>
      <w:r>
        <w:br w:type="page"/>
      </w:r>
    </w:p>
    <w:p w14:paraId="3CB71901" w14:textId="77777777" w:rsidR="004F24F4" w:rsidRPr="00665C11" w:rsidRDefault="00D91D0B" w:rsidP="00645592">
      <w:pPr>
        <w:spacing w:before="0"/>
        <w:jc w:val="center"/>
        <w:outlineLvl w:val="0"/>
        <w:rPr>
          <w:b/>
          <w:sz w:val="28"/>
        </w:rPr>
      </w:pPr>
      <w:r w:rsidRPr="00665C11">
        <w:rPr>
          <w:b/>
          <w:sz w:val="28"/>
        </w:rPr>
        <w:lastRenderedPageBreak/>
        <w:t>II. Informace o kontrolované oblasti</w:t>
      </w:r>
    </w:p>
    <w:p w14:paraId="5746FFEC" w14:textId="77777777" w:rsidR="00665C11" w:rsidRPr="009E560F" w:rsidRDefault="00665C11" w:rsidP="00645592">
      <w:pPr>
        <w:tabs>
          <w:tab w:val="left" w:pos="1418"/>
        </w:tabs>
        <w:spacing w:before="0"/>
      </w:pPr>
    </w:p>
    <w:p w14:paraId="59D4E24A" w14:textId="5E7F3481" w:rsidR="004F24F4" w:rsidRPr="007B60C6" w:rsidRDefault="00D91D0B" w:rsidP="00645592">
      <w:pPr>
        <w:tabs>
          <w:tab w:val="left" w:pos="1418"/>
        </w:tabs>
        <w:spacing w:before="0"/>
        <w:outlineLvl w:val="1"/>
        <w:rPr>
          <w:b/>
        </w:rPr>
      </w:pPr>
      <w:r>
        <w:rPr>
          <w:b/>
        </w:rPr>
        <w:t xml:space="preserve">1. </w:t>
      </w:r>
      <w:r w:rsidRPr="007B60C6">
        <w:rPr>
          <w:b/>
        </w:rPr>
        <w:t>Program a opatření</w:t>
      </w:r>
    </w:p>
    <w:p w14:paraId="56FA1DC1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54544C07" w14:textId="39E510B3" w:rsidR="004F24F4" w:rsidRDefault="00D91D0B" w:rsidP="00665C11">
      <w:pPr>
        <w:tabs>
          <w:tab w:val="left" w:pos="1418"/>
        </w:tabs>
        <w:spacing w:before="0"/>
      </w:pPr>
      <w:r w:rsidRPr="007B60C6">
        <w:t xml:space="preserve">Kontrolované opatření je součástí </w:t>
      </w:r>
      <w:r w:rsidRPr="006A4606">
        <w:rPr>
          <w:i/>
        </w:rPr>
        <w:t>Programu rozvoje venkova Č</w:t>
      </w:r>
      <w:r w:rsidR="007414E1">
        <w:rPr>
          <w:i/>
        </w:rPr>
        <w:t>R</w:t>
      </w:r>
      <w:r w:rsidRPr="006A4606">
        <w:rPr>
          <w:i/>
        </w:rPr>
        <w:t xml:space="preserve"> na období</w:t>
      </w:r>
      <w:r w:rsidR="007414E1">
        <w:rPr>
          <w:i/>
        </w:rPr>
        <w:t xml:space="preserve"> </w:t>
      </w:r>
      <w:r w:rsidRPr="006A4606">
        <w:rPr>
          <w:i/>
        </w:rPr>
        <w:t>2014–2020</w:t>
      </w:r>
      <w:r>
        <w:t>,</w:t>
      </w:r>
      <w:r w:rsidRPr="007B60C6">
        <w:t xml:space="preserve"> </w:t>
      </w:r>
      <w:r w:rsidRPr="00274BC8">
        <w:t xml:space="preserve">který </w:t>
      </w:r>
      <w:r w:rsidRPr="00163815">
        <w:rPr>
          <w:bCs/>
          <w:iCs/>
        </w:rPr>
        <w:t>byl schválen 9. 7. 2014 vládou ČR</w:t>
      </w:r>
      <w:r w:rsidR="00A76C37">
        <w:rPr>
          <w:bCs/>
          <w:iCs/>
        </w:rPr>
        <w:t xml:space="preserve"> a 26. 5. 2015 Evropskou komisí</w:t>
      </w:r>
      <w:r w:rsidRPr="00274BC8">
        <w:t xml:space="preserve">. </w:t>
      </w:r>
    </w:p>
    <w:p w14:paraId="40F59D5B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29A28CB8" w14:textId="5F292A86" w:rsidR="004F24F4" w:rsidRDefault="00D91D0B" w:rsidP="00665C11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 w:cs="Calibri"/>
          <w:bCs/>
          <w:iCs/>
          <w:color w:val="auto"/>
        </w:rPr>
      </w:pPr>
      <w:r w:rsidRPr="00274BC8">
        <w:rPr>
          <w:rFonts w:ascii="Calibri" w:hAnsi="Calibri" w:cs="Calibri"/>
          <w:bCs/>
          <w:iCs/>
          <w:color w:val="auto"/>
        </w:rPr>
        <w:t>Opatření M16</w:t>
      </w:r>
      <w:r>
        <w:rPr>
          <w:rFonts w:ascii="Calibri" w:hAnsi="Calibri" w:cs="Calibri"/>
          <w:bCs/>
          <w:iCs/>
          <w:color w:val="auto"/>
        </w:rPr>
        <w:t xml:space="preserve"> </w:t>
      </w:r>
      <w:r w:rsidRPr="006A4606">
        <w:rPr>
          <w:rFonts w:ascii="Calibri" w:hAnsi="Calibri" w:cs="Calibri"/>
          <w:bCs/>
          <w:i/>
          <w:iCs/>
          <w:color w:val="auto"/>
        </w:rPr>
        <w:t>Spolupráce</w:t>
      </w:r>
      <w:r w:rsidRPr="00274BC8">
        <w:rPr>
          <w:rFonts w:ascii="Calibri" w:hAnsi="Calibri" w:cs="Calibri"/>
          <w:bCs/>
          <w:iCs/>
          <w:color w:val="auto"/>
        </w:rPr>
        <w:t xml:space="preserve"> je zaměřeno na posílení výz</w:t>
      </w:r>
      <w:r>
        <w:rPr>
          <w:rFonts w:ascii="Calibri" w:hAnsi="Calibri" w:cs="Calibri"/>
          <w:bCs/>
          <w:iCs/>
          <w:color w:val="auto"/>
        </w:rPr>
        <w:t>kumu, technologického rozvoje a </w:t>
      </w:r>
      <w:r w:rsidRPr="00274BC8">
        <w:rPr>
          <w:rFonts w:ascii="Calibri" w:hAnsi="Calibri" w:cs="Calibri"/>
          <w:bCs/>
          <w:iCs/>
          <w:color w:val="auto"/>
        </w:rPr>
        <w:t>inovací v</w:t>
      </w:r>
      <w:r w:rsidR="002C6BB9">
        <w:rPr>
          <w:rFonts w:ascii="Calibri" w:hAnsi="Calibri" w:cs="Calibri"/>
          <w:bCs/>
          <w:iCs/>
          <w:color w:val="auto"/>
        </w:rPr>
        <w:t> </w:t>
      </w:r>
      <w:r w:rsidRPr="00274BC8">
        <w:rPr>
          <w:rFonts w:ascii="Calibri" w:hAnsi="Calibri" w:cs="Calibri"/>
          <w:bCs/>
          <w:iCs/>
          <w:color w:val="auto"/>
        </w:rPr>
        <w:t>zemědělství. Jeho účelem je přispět k dosažení, příp. zvýšení konkurenceschopnosti malých a středních podniků</w:t>
      </w:r>
      <w:r w:rsidR="005F629C">
        <w:rPr>
          <w:rStyle w:val="Znakapoznpodarou"/>
          <w:rFonts w:ascii="Calibri" w:hAnsi="Calibri" w:cs="Calibri"/>
          <w:bCs/>
          <w:iCs/>
          <w:color w:val="auto"/>
        </w:rPr>
        <w:footnoteReference w:id="2"/>
      </w:r>
      <w:r w:rsidRPr="00274BC8">
        <w:rPr>
          <w:rFonts w:ascii="Calibri" w:hAnsi="Calibri" w:cs="Calibri"/>
          <w:bCs/>
          <w:iCs/>
          <w:color w:val="auto"/>
        </w:rPr>
        <w:t xml:space="preserve"> a přispět k dosažení udržitelného hospodaření s přírodními zdroji. Principem tohoto opatření je</w:t>
      </w:r>
      <w:r>
        <w:rPr>
          <w:rFonts w:ascii="Calibri" w:hAnsi="Calibri" w:cs="Calibri"/>
          <w:bCs/>
          <w:iCs/>
          <w:color w:val="auto"/>
        </w:rPr>
        <w:t>, že na realizaci projektů</w:t>
      </w:r>
      <w:r w:rsidRPr="00274BC8">
        <w:rPr>
          <w:rFonts w:ascii="Calibri" w:hAnsi="Calibri" w:cs="Calibri"/>
          <w:bCs/>
          <w:iCs/>
          <w:color w:val="auto"/>
        </w:rPr>
        <w:t xml:space="preserve"> </w:t>
      </w:r>
      <w:r w:rsidR="002C6BB9">
        <w:rPr>
          <w:rFonts w:ascii="Calibri" w:hAnsi="Calibri" w:cs="Calibri"/>
          <w:bCs/>
          <w:iCs/>
          <w:color w:val="auto"/>
        </w:rPr>
        <w:t xml:space="preserve">se </w:t>
      </w:r>
      <w:r w:rsidRPr="00274BC8">
        <w:rPr>
          <w:rFonts w:ascii="Calibri" w:hAnsi="Calibri" w:cs="Calibri"/>
          <w:bCs/>
          <w:iCs/>
          <w:color w:val="auto"/>
        </w:rPr>
        <w:t>podílejí minimálně dva subjekty, které v jednotlivých operací</w:t>
      </w:r>
      <w:r>
        <w:rPr>
          <w:rFonts w:ascii="Calibri" w:hAnsi="Calibri" w:cs="Calibri"/>
          <w:bCs/>
          <w:iCs/>
          <w:color w:val="auto"/>
        </w:rPr>
        <w:t>ch</w:t>
      </w:r>
      <w:r w:rsidRPr="00274BC8">
        <w:rPr>
          <w:rFonts w:ascii="Calibri" w:hAnsi="Calibri" w:cs="Calibri"/>
          <w:bCs/>
          <w:iCs/>
          <w:color w:val="auto"/>
        </w:rPr>
        <w:t xml:space="preserve"> spolupracují tak</w:t>
      </w:r>
      <w:r w:rsidR="002C6BB9">
        <w:rPr>
          <w:rFonts w:ascii="Calibri" w:hAnsi="Calibri" w:cs="Calibri"/>
          <w:bCs/>
          <w:iCs/>
          <w:color w:val="auto"/>
        </w:rPr>
        <w:t>,</w:t>
      </w:r>
      <w:r w:rsidRPr="00274BC8">
        <w:rPr>
          <w:rFonts w:ascii="Calibri" w:hAnsi="Calibri" w:cs="Calibri"/>
          <w:bCs/>
          <w:iCs/>
          <w:color w:val="auto"/>
        </w:rPr>
        <w:t xml:space="preserve"> aby společně naplnily stanovený cíl.</w:t>
      </w:r>
    </w:p>
    <w:p w14:paraId="5BFD2E75" w14:textId="77777777" w:rsidR="00665C11" w:rsidRPr="00274BC8" w:rsidRDefault="00665C11" w:rsidP="00665C11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 w:cs="Calibri"/>
          <w:bCs/>
          <w:iCs/>
          <w:color w:val="auto"/>
        </w:rPr>
      </w:pPr>
    </w:p>
    <w:p w14:paraId="1AEC2083" w14:textId="0E61D8B9" w:rsidR="004F24F4" w:rsidRDefault="00D91D0B" w:rsidP="00665C11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 w:cs="Calibri"/>
          <w:bCs/>
          <w:iCs/>
          <w:color w:val="auto"/>
        </w:rPr>
      </w:pPr>
      <w:r w:rsidRPr="00274BC8">
        <w:rPr>
          <w:rFonts w:ascii="Calibri" w:hAnsi="Calibri" w:cs="Calibri"/>
          <w:bCs/>
          <w:iCs/>
          <w:color w:val="auto"/>
        </w:rPr>
        <w:t>V rámci opatření M16</w:t>
      </w:r>
      <w:r w:rsidR="002235EC">
        <w:rPr>
          <w:rFonts w:ascii="Calibri" w:hAnsi="Calibri" w:cs="Calibri"/>
          <w:bCs/>
          <w:iCs/>
          <w:color w:val="auto"/>
        </w:rPr>
        <w:t xml:space="preserve"> </w:t>
      </w:r>
      <w:r w:rsidR="002235EC" w:rsidRPr="006A4606">
        <w:rPr>
          <w:rFonts w:ascii="Calibri" w:hAnsi="Calibri" w:cs="Calibri"/>
          <w:bCs/>
          <w:i/>
          <w:iCs/>
          <w:color w:val="auto"/>
        </w:rPr>
        <w:t>Spolupráce</w:t>
      </w:r>
      <w:r w:rsidRPr="00274BC8">
        <w:rPr>
          <w:rFonts w:ascii="Calibri" w:hAnsi="Calibri" w:cs="Calibri"/>
          <w:bCs/>
          <w:iCs/>
          <w:color w:val="auto"/>
        </w:rPr>
        <w:t xml:space="preserve"> je definováno celkem </w:t>
      </w:r>
      <w:r w:rsidRPr="00163815">
        <w:rPr>
          <w:rFonts w:ascii="Calibri" w:hAnsi="Calibri" w:cs="Calibri"/>
          <w:bCs/>
          <w:iCs/>
          <w:color w:val="auto"/>
        </w:rPr>
        <w:t xml:space="preserve">pět </w:t>
      </w:r>
      <w:proofErr w:type="spellStart"/>
      <w:r w:rsidRPr="00163815">
        <w:rPr>
          <w:rFonts w:ascii="Calibri" w:hAnsi="Calibri" w:cs="Calibri"/>
          <w:bCs/>
          <w:iCs/>
          <w:color w:val="auto"/>
        </w:rPr>
        <w:t>podopatření</w:t>
      </w:r>
      <w:proofErr w:type="spellEnd"/>
      <w:r>
        <w:rPr>
          <w:rFonts w:ascii="Calibri" w:hAnsi="Calibri" w:cs="Calibri"/>
          <w:bCs/>
          <w:iCs/>
          <w:color w:val="auto"/>
        </w:rPr>
        <w:t xml:space="preserve"> a v rámci těchto </w:t>
      </w:r>
      <w:proofErr w:type="spellStart"/>
      <w:r>
        <w:rPr>
          <w:rFonts w:ascii="Calibri" w:hAnsi="Calibri" w:cs="Calibri"/>
          <w:bCs/>
          <w:iCs/>
          <w:color w:val="auto"/>
        </w:rPr>
        <w:t>podopatření</w:t>
      </w:r>
      <w:proofErr w:type="spellEnd"/>
      <w:r w:rsidRPr="00163815">
        <w:rPr>
          <w:rFonts w:ascii="Calibri" w:hAnsi="Calibri" w:cs="Calibri"/>
          <w:bCs/>
          <w:iCs/>
          <w:color w:val="auto"/>
        </w:rPr>
        <w:t xml:space="preserve"> šest operací</w:t>
      </w:r>
      <w:r w:rsidRPr="00274BC8">
        <w:rPr>
          <w:rFonts w:ascii="Calibri" w:hAnsi="Calibri" w:cs="Calibri"/>
          <w:bCs/>
          <w:iCs/>
          <w:color w:val="auto"/>
        </w:rPr>
        <w:t>, v </w:t>
      </w:r>
      <w:r w:rsidR="002C6BB9">
        <w:rPr>
          <w:rFonts w:ascii="Calibri" w:hAnsi="Calibri" w:cs="Calibri"/>
          <w:bCs/>
          <w:iCs/>
          <w:color w:val="auto"/>
        </w:rPr>
        <w:t xml:space="preserve">jejichž </w:t>
      </w:r>
      <w:r w:rsidRPr="00274BC8">
        <w:rPr>
          <w:rFonts w:ascii="Calibri" w:hAnsi="Calibri" w:cs="Calibri"/>
          <w:bCs/>
          <w:iCs/>
          <w:color w:val="auto"/>
        </w:rPr>
        <w:t xml:space="preserve">rámci předkládají žadatelé své projekty. </w:t>
      </w:r>
      <w:r w:rsidRPr="00163815">
        <w:rPr>
          <w:rFonts w:ascii="Calibri" w:hAnsi="Calibri" w:cs="Calibri"/>
          <w:bCs/>
          <w:iCs/>
          <w:color w:val="auto"/>
        </w:rPr>
        <w:t xml:space="preserve">Finančně nejvýznamnější je </w:t>
      </w:r>
      <w:r>
        <w:rPr>
          <w:rFonts w:ascii="Calibri" w:hAnsi="Calibri" w:cs="Calibri"/>
          <w:bCs/>
          <w:iCs/>
          <w:color w:val="auto"/>
        </w:rPr>
        <w:t>operace</w:t>
      </w:r>
      <w:r w:rsidRPr="00163815">
        <w:rPr>
          <w:rFonts w:ascii="Calibri" w:hAnsi="Calibri" w:cs="Calibri"/>
          <w:bCs/>
          <w:iCs/>
          <w:color w:val="auto"/>
        </w:rPr>
        <w:t xml:space="preserve"> 16.2</w:t>
      </w:r>
      <w:r>
        <w:rPr>
          <w:rFonts w:ascii="Calibri" w:hAnsi="Calibri" w:cs="Calibri"/>
          <w:bCs/>
          <w:iCs/>
          <w:color w:val="auto"/>
        </w:rPr>
        <w:t>.2</w:t>
      </w:r>
      <w:r w:rsidRPr="00163815">
        <w:rPr>
          <w:rFonts w:ascii="Calibri" w:hAnsi="Calibri" w:cs="Calibri"/>
          <w:bCs/>
          <w:iCs/>
          <w:color w:val="auto"/>
        </w:rPr>
        <w:t xml:space="preserve">, kde je alokováno </w:t>
      </w:r>
      <w:r>
        <w:rPr>
          <w:rFonts w:ascii="Calibri" w:hAnsi="Calibri" w:cs="Calibri"/>
          <w:bCs/>
          <w:iCs/>
          <w:color w:val="auto"/>
        </w:rPr>
        <w:t>74</w:t>
      </w:r>
      <w:r w:rsidRPr="00163815">
        <w:rPr>
          <w:rFonts w:ascii="Calibri" w:hAnsi="Calibri" w:cs="Calibri"/>
          <w:bCs/>
          <w:iCs/>
          <w:color w:val="auto"/>
        </w:rPr>
        <w:t xml:space="preserve"> % celkového objemu přidělených prostředků na opatření M16</w:t>
      </w:r>
      <w:r w:rsidR="002235EC">
        <w:rPr>
          <w:rFonts w:ascii="Calibri" w:hAnsi="Calibri" w:cs="Calibri"/>
          <w:bCs/>
          <w:iCs/>
          <w:color w:val="auto"/>
        </w:rPr>
        <w:t xml:space="preserve"> </w:t>
      </w:r>
      <w:r w:rsidR="002235EC" w:rsidRPr="006A4606">
        <w:rPr>
          <w:rFonts w:ascii="Calibri" w:hAnsi="Calibri" w:cs="Calibri"/>
          <w:bCs/>
          <w:i/>
          <w:iCs/>
          <w:color w:val="auto"/>
        </w:rPr>
        <w:t>Spolupráce</w:t>
      </w:r>
      <w:r w:rsidRPr="00CD6257">
        <w:rPr>
          <w:rFonts w:ascii="Calibri" w:hAnsi="Calibri" w:cs="Calibri"/>
          <w:bCs/>
          <w:iCs/>
          <w:color w:val="auto"/>
        </w:rPr>
        <w:t>. Ostatní operace jsou finančně méně významné.</w:t>
      </w:r>
    </w:p>
    <w:p w14:paraId="6FA80B8B" w14:textId="77777777" w:rsidR="00665C11" w:rsidRDefault="00665C11" w:rsidP="00665C11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 w:cs="Calibri"/>
          <w:bCs/>
          <w:iCs/>
          <w:color w:val="auto"/>
        </w:rPr>
      </w:pPr>
    </w:p>
    <w:p w14:paraId="1CCFB80D" w14:textId="1158CAA8" w:rsidR="004F24F4" w:rsidRDefault="00D91D0B" w:rsidP="00665C11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 w:cs="Calibri"/>
          <w:bCs/>
          <w:iCs/>
          <w:color w:val="auto"/>
        </w:rPr>
      </w:pPr>
      <w:r w:rsidRPr="00163815">
        <w:rPr>
          <w:rFonts w:ascii="Calibri" w:hAnsi="Calibri" w:cs="Calibri"/>
          <w:bCs/>
          <w:iCs/>
          <w:color w:val="auto"/>
        </w:rPr>
        <w:t>V rámci jednotlivých operací vyhla</w:t>
      </w:r>
      <w:r>
        <w:rPr>
          <w:rFonts w:ascii="Calibri" w:hAnsi="Calibri" w:cs="Calibri"/>
          <w:bCs/>
          <w:iCs/>
          <w:color w:val="auto"/>
        </w:rPr>
        <w:t>šovalo Ministerstvo zemědělství</w:t>
      </w:r>
      <w:r w:rsidRPr="00163815">
        <w:rPr>
          <w:rFonts w:ascii="Calibri" w:hAnsi="Calibri" w:cs="Calibri"/>
          <w:bCs/>
          <w:iCs/>
          <w:color w:val="auto"/>
        </w:rPr>
        <w:t xml:space="preserve"> výzvy </w:t>
      </w:r>
      <w:r w:rsidR="002C6BB9">
        <w:rPr>
          <w:rFonts w:ascii="Calibri" w:hAnsi="Calibri" w:cs="Calibri"/>
          <w:bCs/>
          <w:iCs/>
          <w:color w:val="auto"/>
        </w:rPr>
        <w:t>k </w:t>
      </w:r>
      <w:r w:rsidRPr="00163815">
        <w:rPr>
          <w:rFonts w:ascii="Calibri" w:hAnsi="Calibri" w:cs="Calibri"/>
          <w:bCs/>
          <w:iCs/>
          <w:color w:val="auto"/>
        </w:rPr>
        <w:t>předkládání žádostí o dotaci. Do 31. 12. 2017 bylo vyhlášeno pět výzev s celkovou výší alokace pro opatření M16</w:t>
      </w:r>
      <w:r w:rsidR="002235EC">
        <w:rPr>
          <w:rFonts w:ascii="Calibri" w:hAnsi="Calibri" w:cs="Calibri"/>
          <w:bCs/>
          <w:iCs/>
          <w:color w:val="auto"/>
        </w:rPr>
        <w:t xml:space="preserve"> </w:t>
      </w:r>
      <w:r w:rsidR="002235EC" w:rsidRPr="006A4606">
        <w:rPr>
          <w:rFonts w:ascii="Calibri" w:hAnsi="Calibri" w:cs="Calibri"/>
          <w:bCs/>
          <w:i/>
          <w:iCs/>
          <w:color w:val="auto"/>
        </w:rPr>
        <w:t>Spolupráce</w:t>
      </w:r>
      <w:r w:rsidRPr="00163815">
        <w:rPr>
          <w:rFonts w:ascii="Calibri" w:hAnsi="Calibri" w:cs="Calibri"/>
          <w:bCs/>
          <w:iCs/>
          <w:color w:val="auto"/>
        </w:rPr>
        <w:t xml:space="preserve"> v částce 2 956 215 tis. Kč. Podáno bylo 263 žádostí o dotaci. Státní zemědělský intervenční fond</w:t>
      </w:r>
      <w:r>
        <w:rPr>
          <w:rFonts w:ascii="Calibri" w:hAnsi="Calibri" w:cs="Calibri"/>
          <w:bCs/>
          <w:iCs/>
          <w:color w:val="auto"/>
        </w:rPr>
        <w:t xml:space="preserve"> </w:t>
      </w:r>
      <w:r w:rsidRPr="00163815">
        <w:rPr>
          <w:rFonts w:ascii="Calibri" w:hAnsi="Calibri" w:cs="Calibri"/>
          <w:bCs/>
          <w:iCs/>
          <w:color w:val="auto"/>
        </w:rPr>
        <w:t>do konce roku 2017 uzavře</w:t>
      </w:r>
      <w:r w:rsidR="00133772">
        <w:rPr>
          <w:rFonts w:ascii="Calibri" w:hAnsi="Calibri" w:cs="Calibri"/>
          <w:bCs/>
          <w:iCs/>
          <w:color w:val="auto"/>
        </w:rPr>
        <w:t>l se žadateli celkem 85 dohod o </w:t>
      </w:r>
      <w:r w:rsidRPr="00163815">
        <w:rPr>
          <w:rFonts w:ascii="Calibri" w:hAnsi="Calibri" w:cs="Calibri"/>
          <w:bCs/>
          <w:iCs/>
          <w:color w:val="auto"/>
        </w:rPr>
        <w:t xml:space="preserve">poskytnutí dotace. </w:t>
      </w:r>
    </w:p>
    <w:p w14:paraId="67D49B91" w14:textId="77777777" w:rsidR="00665C11" w:rsidRPr="00274BC8" w:rsidRDefault="00665C11" w:rsidP="00665C11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 w:cs="Calibri"/>
          <w:bCs/>
          <w:iCs/>
          <w:color w:val="auto"/>
        </w:rPr>
      </w:pPr>
    </w:p>
    <w:p w14:paraId="62610980" w14:textId="55F23F07" w:rsidR="004F24F4" w:rsidRPr="00274BC8" w:rsidRDefault="00D91D0B" w:rsidP="00665C11">
      <w:pPr>
        <w:pStyle w:val="Default"/>
        <w:shd w:val="clear" w:color="auto" w:fill="FFFFFF"/>
        <w:tabs>
          <w:tab w:val="left" w:pos="1418"/>
        </w:tabs>
        <w:jc w:val="both"/>
        <w:outlineLvl w:val="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 Subjekty zapojené do realizace</w:t>
      </w:r>
    </w:p>
    <w:p w14:paraId="3FB66F0F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54CF5A14" w14:textId="77777777" w:rsidR="004F24F4" w:rsidRPr="006A4606" w:rsidRDefault="00D91D0B" w:rsidP="00665C11">
      <w:pPr>
        <w:pStyle w:val="KP-normlntext"/>
        <w:tabs>
          <w:tab w:val="left" w:pos="1418"/>
        </w:tabs>
        <w:spacing w:before="0" w:after="0"/>
        <w:ind w:firstLine="0"/>
        <w:jc w:val="left"/>
        <w:rPr>
          <w:rFonts w:ascii="Calibri" w:hAnsi="Calibri"/>
          <w:b/>
          <w:sz w:val="24"/>
          <w:szCs w:val="24"/>
        </w:rPr>
      </w:pPr>
      <w:r w:rsidRPr="006A4606">
        <w:rPr>
          <w:rFonts w:ascii="Calibri" w:hAnsi="Calibri"/>
          <w:b/>
          <w:sz w:val="24"/>
          <w:szCs w:val="24"/>
        </w:rPr>
        <w:t>Ministerstvo zemědělství</w:t>
      </w:r>
    </w:p>
    <w:p w14:paraId="31BFA3FB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2002B18C" w14:textId="32E07982" w:rsidR="00665C11" w:rsidRPr="00274BC8" w:rsidRDefault="00D91D0B" w:rsidP="00665C11">
      <w:pPr>
        <w:tabs>
          <w:tab w:val="left" w:pos="1418"/>
        </w:tabs>
        <w:spacing w:before="0"/>
      </w:pPr>
      <w:r w:rsidRPr="007B60C6">
        <w:t xml:space="preserve">MZe plní úkoly </w:t>
      </w:r>
      <w:r w:rsidR="00C91EF2">
        <w:t>ř</w:t>
      </w:r>
      <w:r w:rsidRPr="007B60C6">
        <w:t>ídicího orgánu PRV</w:t>
      </w:r>
      <w:r w:rsidR="00D12A8A">
        <w:t xml:space="preserve"> dle čl. </w:t>
      </w:r>
      <w:r w:rsidR="00043624">
        <w:t>66 odst. 1 nařízení Evropského parlamentu a </w:t>
      </w:r>
      <w:r w:rsidR="00043624" w:rsidRPr="007B60C6">
        <w:t>Rady č. 1305/2013</w:t>
      </w:r>
      <w:r w:rsidR="002C6BB9">
        <w:t>,</w:t>
      </w:r>
      <w:r w:rsidR="00043624" w:rsidRPr="00274BC8">
        <w:t xml:space="preserve"> o podpoře pro rozvoj venkova z Evropského zemědělského fondu pro rozvoj venkova (EZFRV) a o zrušení nařízení Rady (ES) č. 1698/2005</w:t>
      </w:r>
      <w:r w:rsidR="00717DE1">
        <w:t xml:space="preserve"> ze dne 17. prosince 2013</w:t>
      </w:r>
      <w:r w:rsidR="00043624">
        <w:t>. Ř</w:t>
      </w:r>
      <w:r w:rsidR="00043624" w:rsidRPr="00043624">
        <w:t>íd</w:t>
      </w:r>
      <w:r w:rsidR="00043624">
        <w:t>i</w:t>
      </w:r>
      <w:r w:rsidR="00043624" w:rsidRPr="00043624">
        <w:t>cí orgán odpovídá za účinné, účelné a správné řízení a provádění programu</w:t>
      </w:r>
      <w:r w:rsidR="00043624">
        <w:t>. MZe</w:t>
      </w:r>
      <w:r>
        <w:t xml:space="preserve"> </w:t>
      </w:r>
      <w:r w:rsidRPr="007B60C6">
        <w:t xml:space="preserve">pro realizaci opatření M16 </w:t>
      </w:r>
      <w:r w:rsidRPr="006A4606">
        <w:rPr>
          <w:i/>
        </w:rPr>
        <w:t>Spolupráce</w:t>
      </w:r>
      <w:r w:rsidRPr="007B60C6">
        <w:t xml:space="preserve"> vydává </w:t>
      </w:r>
      <w:r w:rsidR="00C91EF2">
        <w:t>p</w:t>
      </w:r>
      <w:r w:rsidRPr="006A4606">
        <w:t>ravidla, kterými se stanovují podmínky pro poskytování dotace na projekty PR</w:t>
      </w:r>
      <w:r w:rsidR="007414E1">
        <w:t>V 2014–2020</w:t>
      </w:r>
      <w:r w:rsidRPr="007B60C6">
        <w:rPr>
          <w:i/>
        </w:rPr>
        <w:t xml:space="preserve"> </w:t>
      </w:r>
      <w:r w:rsidRPr="007B60C6">
        <w:t>(dále též „Pravidla“). Pravidla jsou vydávána vždy k určité operaci a kolu příjmu žádostí.</w:t>
      </w:r>
      <w:r w:rsidR="00665C11" w:rsidRPr="00665C11">
        <w:t xml:space="preserve"> </w:t>
      </w:r>
    </w:p>
    <w:p w14:paraId="226207C6" w14:textId="77777777" w:rsidR="004F24F4" w:rsidRDefault="004F24F4" w:rsidP="00665C11">
      <w:pPr>
        <w:tabs>
          <w:tab w:val="left" w:pos="1418"/>
        </w:tabs>
        <w:spacing w:before="0"/>
      </w:pPr>
    </w:p>
    <w:p w14:paraId="25D10E73" w14:textId="77777777" w:rsidR="004F24F4" w:rsidRPr="006A4606" w:rsidRDefault="00D91D0B" w:rsidP="00665C11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 w:cs="Calibri"/>
          <w:b/>
        </w:rPr>
      </w:pPr>
      <w:r w:rsidRPr="006A4606">
        <w:rPr>
          <w:rFonts w:ascii="Calibri" w:hAnsi="Calibri" w:cs="Calibri"/>
          <w:b/>
        </w:rPr>
        <w:t>Státní zemědělský intervenční fond</w:t>
      </w:r>
    </w:p>
    <w:p w14:paraId="60240B3F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61D055F0" w14:textId="4D3D052E" w:rsidR="004F24F4" w:rsidRPr="00274BC8" w:rsidRDefault="00D91D0B" w:rsidP="00665C11">
      <w:pPr>
        <w:tabs>
          <w:tab w:val="left" w:pos="1418"/>
        </w:tabs>
        <w:spacing w:before="0"/>
      </w:pPr>
      <w:r w:rsidRPr="00274BC8">
        <w:t>SZIF</w:t>
      </w:r>
      <w:r>
        <w:t xml:space="preserve"> plní funkci </w:t>
      </w:r>
      <w:r w:rsidR="00C91EF2">
        <w:t>p</w:t>
      </w:r>
      <w:r>
        <w:t>latební agentury</w:t>
      </w:r>
      <w:r w:rsidRPr="00274BC8">
        <w:t xml:space="preserve"> dle čl. 65 odst. 2 písm. b)</w:t>
      </w:r>
      <w:r>
        <w:t xml:space="preserve"> nařízení Evropského parlamentu a </w:t>
      </w:r>
      <w:r w:rsidRPr="007B60C6">
        <w:t>Rady č. 1305/2013</w:t>
      </w:r>
      <w:r w:rsidRPr="00274BC8">
        <w:t xml:space="preserve">. SZIF provádí administraci a kontrolu žádostí o dotaci a dále zajišťuje provádění plateb příjemcům dotací v rámci PRV. </w:t>
      </w:r>
    </w:p>
    <w:p w14:paraId="107DC12A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43682E17" w14:textId="77777777" w:rsidR="00AD78F3" w:rsidRDefault="00AD78F3">
      <w:pPr>
        <w:spacing w:before="0"/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p w14:paraId="0EBD0D4A" w14:textId="330DDD7E" w:rsidR="004F24F4" w:rsidRPr="0085605B" w:rsidRDefault="00D91D0B" w:rsidP="00665C11">
      <w:pPr>
        <w:tabs>
          <w:tab w:val="left" w:pos="1418"/>
        </w:tabs>
        <w:spacing w:before="0"/>
        <w:outlineLvl w:val="1"/>
        <w:rPr>
          <w:rFonts w:cs="Arial"/>
          <w:b/>
        </w:rPr>
      </w:pPr>
      <w:r>
        <w:rPr>
          <w:rFonts w:cs="Arial"/>
          <w:b/>
        </w:rPr>
        <w:lastRenderedPageBreak/>
        <w:t xml:space="preserve">3. </w:t>
      </w:r>
      <w:r w:rsidRPr="0085605B">
        <w:rPr>
          <w:rFonts w:cs="Arial"/>
          <w:b/>
        </w:rPr>
        <w:t>Financování</w:t>
      </w:r>
    </w:p>
    <w:p w14:paraId="05B376B3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50DD67F3" w14:textId="4DC514F6" w:rsidR="004F24F4" w:rsidRDefault="00D91D0B" w:rsidP="00665C11">
      <w:pPr>
        <w:pStyle w:val="Default"/>
        <w:shd w:val="clear" w:color="auto" w:fill="FFFFFF"/>
        <w:tabs>
          <w:tab w:val="left" w:pos="1418"/>
        </w:tabs>
        <w:jc w:val="both"/>
        <w:rPr>
          <w:rFonts w:ascii="Calibri" w:hAnsi="Calibri" w:cs="Calibri"/>
          <w:b/>
        </w:rPr>
      </w:pPr>
      <w:r w:rsidRPr="00274BC8">
        <w:rPr>
          <w:rFonts w:ascii="Calibri" w:hAnsi="Calibri" w:cs="Calibri"/>
        </w:rPr>
        <w:t xml:space="preserve">Celková alokace </w:t>
      </w:r>
      <w:r>
        <w:rPr>
          <w:rFonts w:ascii="Calibri" w:hAnsi="Calibri" w:cs="Calibri"/>
        </w:rPr>
        <w:t>na opatření M16</w:t>
      </w:r>
      <w:r w:rsidR="002235EC">
        <w:rPr>
          <w:rFonts w:ascii="Calibri" w:hAnsi="Calibri" w:cs="Calibri"/>
        </w:rPr>
        <w:t xml:space="preserve"> </w:t>
      </w:r>
      <w:r w:rsidR="002235EC" w:rsidRPr="00D53AA8">
        <w:rPr>
          <w:rFonts w:ascii="Calibri" w:hAnsi="Calibri" w:cs="Calibri"/>
          <w:i/>
        </w:rPr>
        <w:t>Spolupráce</w:t>
      </w:r>
      <w:r>
        <w:rPr>
          <w:rFonts w:ascii="Calibri" w:hAnsi="Calibri" w:cs="Calibri"/>
        </w:rPr>
        <w:t xml:space="preserve"> pro období 2014–</w:t>
      </w:r>
      <w:r w:rsidRPr="00274BC8">
        <w:rPr>
          <w:rFonts w:ascii="Calibri" w:hAnsi="Calibri" w:cs="Calibri"/>
        </w:rPr>
        <w:t xml:space="preserve">2020 je </w:t>
      </w:r>
      <w:r w:rsidRPr="00274BC8">
        <w:rPr>
          <w:rFonts w:ascii="Calibri" w:hAnsi="Calibri" w:cs="Calibri"/>
          <w:b/>
        </w:rPr>
        <w:t xml:space="preserve">150 286 386,66 </w:t>
      </w:r>
      <w:r w:rsidR="00B26FBD">
        <w:rPr>
          <w:rFonts w:ascii="Calibri" w:hAnsi="Calibri" w:cs="Calibri"/>
          <w:b/>
        </w:rPr>
        <w:t>€</w:t>
      </w:r>
      <w:r w:rsidRPr="00274BC8">
        <w:rPr>
          <w:rFonts w:ascii="Calibri" w:hAnsi="Calibri" w:cs="Calibri"/>
          <w:b/>
        </w:rPr>
        <w:t>.</w:t>
      </w:r>
    </w:p>
    <w:p w14:paraId="58E9B496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18C1BA22" w14:textId="72E09D10" w:rsidR="004F24F4" w:rsidRPr="00274BC8" w:rsidRDefault="00A14D45" w:rsidP="00C91EF2">
      <w:pPr>
        <w:pStyle w:val="Default"/>
        <w:shd w:val="clear" w:color="auto" w:fill="FFFFFF"/>
        <w:tabs>
          <w:tab w:val="right" w:pos="9070"/>
        </w:tabs>
        <w:ind w:left="1134" w:hanging="1134"/>
        <w:jc w:val="both"/>
        <w:rPr>
          <w:rFonts w:ascii="Calibri" w:hAnsi="Calibri" w:cs="Calibri"/>
          <w:b/>
        </w:rPr>
      </w:pPr>
      <w:r w:rsidRPr="009E560F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A8790D8" wp14:editId="76F33CC5">
            <wp:simplePos x="0" y="0"/>
            <wp:positionH relativeFrom="column">
              <wp:posOffset>5715</wp:posOffset>
            </wp:positionH>
            <wp:positionV relativeFrom="paragraph">
              <wp:posOffset>302398</wp:posOffset>
            </wp:positionV>
            <wp:extent cx="5629275" cy="2313305"/>
            <wp:effectExtent l="0" t="0" r="0" b="0"/>
            <wp:wrapTopAndBottom/>
            <wp:docPr id="7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D0B">
        <w:rPr>
          <w:rFonts w:ascii="Calibri" w:hAnsi="Calibri" w:cs="Calibri"/>
          <w:b/>
        </w:rPr>
        <w:t xml:space="preserve">Graf č. 1: </w:t>
      </w:r>
      <w:r w:rsidR="00C91EF2">
        <w:rPr>
          <w:rFonts w:ascii="Calibri" w:hAnsi="Calibri" w:cs="Calibri"/>
          <w:b/>
        </w:rPr>
        <w:tab/>
      </w:r>
      <w:r w:rsidR="00D91D0B">
        <w:rPr>
          <w:rFonts w:ascii="Calibri" w:hAnsi="Calibri" w:cs="Calibri"/>
          <w:b/>
        </w:rPr>
        <w:t xml:space="preserve">Celkové veřejné výdaje </w:t>
      </w:r>
      <w:r w:rsidR="00D91D0B" w:rsidRPr="00815F90">
        <w:rPr>
          <w:rFonts w:ascii="Calibri" w:hAnsi="Calibri" w:cs="Calibri"/>
          <w:b/>
        </w:rPr>
        <w:t>na jednotlivé operace opatření M16</w:t>
      </w:r>
      <w:r w:rsidR="00C91EF2">
        <w:rPr>
          <w:rFonts w:ascii="Calibri" w:hAnsi="Calibri" w:cs="Calibri"/>
          <w:b/>
        </w:rPr>
        <w:t> </w:t>
      </w:r>
      <w:r w:rsidR="002235EC" w:rsidRPr="00D53AA8">
        <w:rPr>
          <w:rFonts w:ascii="Calibri" w:hAnsi="Calibri" w:cs="Calibri"/>
          <w:b/>
          <w:i/>
        </w:rPr>
        <w:t>Spolupráce</w:t>
      </w:r>
      <w:r w:rsidR="00C91EF2">
        <w:rPr>
          <w:rFonts w:ascii="Calibri" w:hAnsi="Calibri" w:cs="Calibri"/>
          <w:b/>
        </w:rPr>
        <w:tab/>
        <w:t>(v €)</w:t>
      </w:r>
    </w:p>
    <w:p w14:paraId="5B0E6372" w14:textId="42B69E38" w:rsidR="004F24F4" w:rsidRPr="00D53AA8" w:rsidRDefault="00D91D0B" w:rsidP="00665C11">
      <w:pPr>
        <w:pStyle w:val="Default"/>
        <w:shd w:val="clear" w:color="auto" w:fill="FFFFFF"/>
        <w:jc w:val="both"/>
        <w:rPr>
          <w:rFonts w:ascii="Calibri" w:hAnsi="Calibri" w:cs="Calibri"/>
          <w:b/>
          <w:bCs/>
        </w:rPr>
      </w:pPr>
      <w:r w:rsidRPr="00D53AA8">
        <w:rPr>
          <w:rFonts w:ascii="Calibri" w:hAnsi="Calibri" w:cs="Calibri"/>
          <w:b/>
          <w:bCs/>
        </w:rPr>
        <w:t>Výkonnostní rezerva</w:t>
      </w:r>
    </w:p>
    <w:p w14:paraId="632EC220" w14:textId="43779AAA" w:rsidR="004F24F4" w:rsidRDefault="00D91D0B" w:rsidP="00155AB2">
      <w:r w:rsidRPr="005308E2">
        <w:t>V roce 2019 Evropská komise provede přezkum výkonnosti</w:t>
      </w:r>
      <w:r w:rsidR="00C91EF2">
        <w:t>,</w:t>
      </w:r>
      <w:r>
        <w:t xml:space="preserve"> </w:t>
      </w:r>
      <w:r w:rsidRPr="005308E2">
        <w:t>na jeho</w:t>
      </w:r>
      <w:r w:rsidR="00C91EF2">
        <w:t>ž</w:t>
      </w:r>
      <w:r w:rsidRPr="005308E2">
        <w:t xml:space="preserve"> výsledku bude záviset uvolnění výkonnostní rezervy</w:t>
      </w:r>
      <w:r>
        <w:t xml:space="preserve"> (část prostředků ve výši 5 %, kter</w:t>
      </w:r>
      <w:r w:rsidR="00FE100E">
        <w:t xml:space="preserve">é </w:t>
      </w:r>
      <w:r w:rsidR="00C91EF2">
        <w:t>budou</w:t>
      </w:r>
      <w:r w:rsidR="00FE100E">
        <w:t xml:space="preserve"> uvolněny ze strany EK až</w:t>
      </w:r>
      <w:r w:rsidR="00C91EF2">
        <w:t xml:space="preserve"> </w:t>
      </w:r>
      <w:r>
        <w:t>při splnění stanovených podmínek)</w:t>
      </w:r>
      <w:r w:rsidRPr="005308E2">
        <w:t>. Výkonnostní rezerva j</w:t>
      </w:r>
      <w:r>
        <w:t>e přidělována pouze programům a </w:t>
      </w:r>
      <w:r w:rsidRPr="005308E2">
        <w:t xml:space="preserve">prioritám, </w:t>
      </w:r>
      <w:r w:rsidR="00C91EF2">
        <w:t>u nichž bylo dosaženo stanovených</w:t>
      </w:r>
      <w:r w:rsidRPr="005308E2">
        <w:t xml:space="preserve"> milníků.</w:t>
      </w:r>
      <w:r>
        <w:t xml:space="preserve"> </w:t>
      </w:r>
      <w:r w:rsidRPr="005308E2">
        <w:t>Hodnoty milníků si stanovil každý členský stát.</w:t>
      </w:r>
      <w:r>
        <w:t xml:space="preserve"> </w:t>
      </w:r>
    </w:p>
    <w:p w14:paraId="13DA2FF4" w14:textId="77777777" w:rsidR="00665C11" w:rsidRDefault="00665C11" w:rsidP="00665C11">
      <w:pPr>
        <w:spacing w:before="0"/>
        <w:rPr>
          <w:bCs/>
        </w:rPr>
      </w:pPr>
    </w:p>
    <w:p w14:paraId="346E4D74" w14:textId="5213263D" w:rsidR="00665C11" w:rsidRPr="00274BC8" w:rsidRDefault="00D91D0B" w:rsidP="00665C11">
      <w:pPr>
        <w:tabs>
          <w:tab w:val="left" w:pos="1418"/>
        </w:tabs>
        <w:spacing w:before="0"/>
      </w:pPr>
      <w:r w:rsidRPr="00537AFE">
        <w:rPr>
          <w:bCs/>
        </w:rPr>
        <w:t>V rámci opatření M16</w:t>
      </w:r>
      <w:r w:rsidR="002235EC">
        <w:rPr>
          <w:bCs/>
        </w:rPr>
        <w:t xml:space="preserve"> </w:t>
      </w:r>
      <w:r w:rsidR="002235EC" w:rsidRPr="00155AB2">
        <w:rPr>
          <w:bCs/>
          <w:i/>
        </w:rPr>
        <w:t>Spolupráce</w:t>
      </w:r>
      <w:r w:rsidRPr="00537AFE">
        <w:rPr>
          <w:bCs/>
        </w:rPr>
        <w:t xml:space="preserve"> MZe stanovilo pouze jeden věcný milník</w:t>
      </w:r>
      <w:r w:rsidR="00C91EF2">
        <w:rPr>
          <w:bCs/>
        </w:rPr>
        <w:t>,</w:t>
      </w:r>
      <w:r w:rsidRPr="00537AFE">
        <w:rPr>
          <w:bCs/>
        </w:rPr>
        <w:t xml:space="preserve"> a to pro operaci 16.4.1</w:t>
      </w:r>
      <w:r w:rsidR="007414E1">
        <w:rPr>
          <w:bCs/>
        </w:rPr>
        <w:t>, konkrétně</w:t>
      </w:r>
      <w:r w:rsidRPr="00537AFE">
        <w:rPr>
          <w:bCs/>
        </w:rPr>
        <w:t xml:space="preserve"> </w:t>
      </w:r>
      <w:r w:rsidRPr="007414E1">
        <w:rPr>
          <w:bCs/>
        </w:rPr>
        <w:t>„</w:t>
      </w:r>
      <w:r w:rsidRPr="00155AB2">
        <w:rPr>
          <w:bCs/>
        </w:rPr>
        <w:t>počet podpořených zemědělských podniků</w:t>
      </w:r>
      <w:r w:rsidRPr="007414E1">
        <w:rPr>
          <w:bCs/>
        </w:rPr>
        <w:t>“</w:t>
      </w:r>
      <w:r>
        <w:rPr>
          <w:bCs/>
        </w:rPr>
        <w:t xml:space="preserve"> ve výši 18 podpořených podniků do konce roku 2018.</w:t>
      </w:r>
      <w:r w:rsidR="00665C11" w:rsidRPr="00665C11">
        <w:t xml:space="preserve"> </w:t>
      </w:r>
    </w:p>
    <w:p w14:paraId="069E1C42" w14:textId="77777777" w:rsidR="004F24F4" w:rsidRDefault="004F24F4" w:rsidP="00665C11">
      <w:pPr>
        <w:spacing w:before="0"/>
        <w:rPr>
          <w:bCs/>
        </w:rPr>
      </w:pPr>
    </w:p>
    <w:p w14:paraId="7AAEBD88" w14:textId="02E50B87" w:rsidR="004F24F4" w:rsidRPr="0085605B" w:rsidRDefault="00D91D0B" w:rsidP="00665C11">
      <w:pPr>
        <w:spacing w:before="0"/>
        <w:outlineLvl w:val="1"/>
        <w:rPr>
          <w:b/>
          <w:bCs/>
        </w:rPr>
      </w:pPr>
      <w:r>
        <w:rPr>
          <w:b/>
          <w:bCs/>
        </w:rPr>
        <w:t xml:space="preserve">4. </w:t>
      </w:r>
      <w:r w:rsidRPr="0085605B">
        <w:rPr>
          <w:b/>
          <w:bCs/>
        </w:rPr>
        <w:t>Jednotlivé operace</w:t>
      </w:r>
    </w:p>
    <w:p w14:paraId="1CA9F508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3F29F9AA" w14:textId="77777777" w:rsidR="004F24F4" w:rsidRPr="00155AB2" w:rsidRDefault="00D91D0B" w:rsidP="00155AB2">
      <w:pPr>
        <w:spacing w:before="0"/>
        <w:jc w:val="left"/>
        <w:rPr>
          <w:b/>
          <w:bCs/>
        </w:rPr>
      </w:pPr>
      <w:r w:rsidRPr="00155AB2">
        <w:rPr>
          <w:b/>
          <w:bCs/>
        </w:rPr>
        <w:t xml:space="preserve">Operace 16.1.1 </w:t>
      </w:r>
      <w:r w:rsidRPr="00155AB2">
        <w:rPr>
          <w:b/>
          <w:bCs/>
          <w:i/>
        </w:rPr>
        <w:t>Podpora operačních skupin a projektů Evropského inovačního partnerství</w:t>
      </w:r>
    </w:p>
    <w:p w14:paraId="485BCCB8" w14:textId="77777777" w:rsidR="00552395" w:rsidRDefault="00552395" w:rsidP="00665C11">
      <w:pPr>
        <w:spacing w:before="0"/>
        <w:rPr>
          <w:bCs/>
        </w:rPr>
      </w:pPr>
    </w:p>
    <w:p w14:paraId="04C98025" w14:textId="18A2EDD1" w:rsidR="004F24F4" w:rsidRDefault="00D91D0B" w:rsidP="00665C11">
      <w:pPr>
        <w:spacing w:before="0"/>
      </w:pPr>
      <w:r w:rsidRPr="0061463A">
        <w:rPr>
          <w:bCs/>
        </w:rPr>
        <w:t xml:space="preserve">Jedná se o zcela novou formu podpory v rámci </w:t>
      </w:r>
      <w:r w:rsidRPr="00155AB2">
        <w:rPr>
          <w:bCs/>
          <w:i/>
        </w:rPr>
        <w:t>Programu rozvoje venkova</w:t>
      </w:r>
      <w:r w:rsidR="007414E1" w:rsidRPr="00155AB2">
        <w:rPr>
          <w:bCs/>
          <w:i/>
        </w:rPr>
        <w:t xml:space="preserve"> ČR</w:t>
      </w:r>
      <w:r w:rsidRPr="00155AB2">
        <w:rPr>
          <w:bCs/>
          <w:i/>
        </w:rPr>
        <w:t xml:space="preserve"> na období</w:t>
      </w:r>
      <w:r w:rsidRPr="00155AB2">
        <w:rPr>
          <w:bCs/>
          <w:i/>
        </w:rPr>
        <w:br/>
        <w:t>2014–</w:t>
      </w:r>
      <w:r w:rsidR="00810D3F" w:rsidRPr="00155AB2">
        <w:rPr>
          <w:bCs/>
          <w:i/>
        </w:rPr>
        <w:t>2020</w:t>
      </w:r>
      <w:r w:rsidRPr="0061463A">
        <w:rPr>
          <w:bCs/>
        </w:rPr>
        <w:t xml:space="preserve">. Podpora vychází z iniciativy Evropského inovačního partnerství </w:t>
      </w:r>
      <w:r w:rsidRPr="00155AB2">
        <w:rPr>
          <w:bCs/>
          <w:i/>
        </w:rPr>
        <w:t>Produktivita a udržitelnost zemědělství</w:t>
      </w:r>
      <w:r w:rsidRPr="0061463A">
        <w:rPr>
          <w:bCs/>
        </w:rPr>
        <w:t>. Cílem této iniciativy je podpořit fungování operačních skupin, které</w:t>
      </w:r>
      <w:r w:rsidRPr="0061463A">
        <w:t xml:space="preserve"> se zformují kolem konkrétního inovačního projektu. </w:t>
      </w:r>
    </w:p>
    <w:p w14:paraId="4145C1FD" w14:textId="77777777" w:rsidR="00665C11" w:rsidRPr="00274BC8" w:rsidRDefault="00665C11" w:rsidP="00665C11">
      <w:pPr>
        <w:tabs>
          <w:tab w:val="left" w:pos="1418"/>
        </w:tabs>
        <w:spacing w:before="0"/>
      </w:pPr>
      <w:bookmarkStart w:id="1" w:name="_Toc507659262"/>
    </w:p>
    <w:p w14:paraId="2C2FE9BE" w14:textId="77777777" w:rsidR="004F24F4" w:rsidRPr="00155AB2" w:rsidRDefault="00D91D0B" w:rsidP="00155AB2">
      <w:pPr>
        <w:spacing w:before="0"/>
        <w:jc w:val="left"/>
        <w:rPr>
          <w:b/>
        </w:rPr>
      </w:pPr>
      <w:r w:rsidRPr="00155AB2">
        <w:rPr>
          <w:b/>
        </w:rPr>
        <w:t xml:space="preserve">Operace 16.2.1 </w:t>
      </w:r>
      <w:r w:rsidRPr="00155AB2">
        <w:rPr>
          <w:b/>
          <w:bCs/>
          <w:i/>
        </w:rPr>
        <w:t>Podpora vývoje nových produktů, postupů a technologií v zemědělské prvovýrobě</w:t>
      </w:r>
      <w:bookmarkEnd w:id="1"/>
    </w:p>
    <w:p w14:paraId="4526E7E7" w14:textId="77777777" w:rsidR="00552395" w:rsidRDefault="00552395" w:rsidP="00665C11">
      <w:pPr>
        <w:spacing w:before="0"/>
      </w:pPr>
    </w:p>
    <w:p w14:paraId="009B6682" w14:textId="2E3E7507" w:rsidR="004F24F4" w:rsidRPr="0097392D" w:rsidRDefault="00D25CEA" w:rsidP="00665C11">
      <w:pPr>
        <w:spacing w:before="0"/>
        <w:rPr>
          <w:bCs/>
        </w:rPr>
      </w:pPr>
      <w:r>
        <w:t>Operace p</w:t>
      </w:r>
      <w:r w:rsidR="00D91D0B" w:rsidRPr="0061463A">
        <w:t>odpor</w:t>
      </w:r>
      <w:r>
        <w:t>uje</w:t>
      </w:r>
      <w:r w:rsidR="00D91D0B" w:rsidRPr="0061463A">
        <w:t xml:space="preserve"> </w:t>
      </w:r>
      <w:r w:rsidR="00D91D0B" w:rsidRPr="0061463A">
        <w:rPr>
          <w:bCs/>
        </w:rPr>
        <w:t>rozvoj inovací v zemědělské prvovýrobě. Jedná se o projekty, které zavádějí nové nebo významně zlepšené produkty, postupy nebo technologie, které musí být vyvinuty ve</w:t>
      </w:r>
      <w:r w:rsidR="007414E1">
        <w:rPr>
          <w:bCs/>
        </w:rPr>
        <w:t xml:space="preserve"> </w:t>
      </w:r>
      <w:r w:rsidR="00D91D0B" w:rsidRPr="0061463A">
        <w:rPr>
          <w:bCs/>
        </w:rPr>
        <w:t xml:space="preserve">spolupráci s výzkumným subjektem nebo žadatelem, který má k vývoji nového produktu, postupu nebo technologie prokazatelně dostatečné zdroje v podobě kvalifikovaného personálu a výrobních zdrojů. </w:t>
      </w:r>
    </w:p>
    <w:p w14:paraId="64B837AE" w14:textId="77777777" w:rsidR="00665C11" w:rsidRPr="00274BC8" w:rsidRDefault="00665C11" w:rsidP="00665C11">
      <w:pPr>
        <w:tabs>
          <w:tab w:val="left" w:pos="1418"/>
        </w:tabs>
        <w:spacing w:before="0"/>
      </w:pPr>
      <w:bookmarkStart w:id="2" w:name="_Toc507659263"/>
    </w:p>
    <w:p w14:paraId="0A3CFFBB" w14:textId="77777777" w:rsidR="004F24F4" w:rsidRPr="00155AB2" w:rsidRDefault="00D91D0B" w:rsidP="00155AB2">
      <w:pPr>
        <w:spacing w:before="0"/>
        <w:jc w:val="left"/>
        <w:rPr>
          <w:b/>
        </w:rPr>
      </w:pPr>
      <w:r w:rsidRPr="00155AB2">
        <w:rPr>
          <w:b/>
        </w:rPr>
        <w:lastRenderedPageBreak/>
        <w:t xml:space="preserve">Operace 16.2.2 </w:t>
      </w:r>
      <w:r w:rsidRPr="00155AB2">
        <w:rPr>
          <w:b/>
          <w:bCs/>
          <w:i/>
        </w:rPr>
        <w:t>Podpora vývoje nových produktů, postupů a technologií při zpracování zemědělských produktů a jejich uvádění na trh</w:t>
      </w:r>
      <w:bookmarkEnd w:id="2"/>
    </w:p>
    <w:p w14:paraId="612B6EFD" w14:textId="77777777" w:rsidR="00552395" w:rsidRDefault="00552395" w:rsidP="00665C11">
      <w:pPr>
        <w:spacing w:before="0"/>
      </w:pPr>
    </w:p>
    <w:p w14:paraId="5A4DD9BE" w14:textId="09B5A6FA" w:rsidR="004F24F4" w:rsidRPr="00274BC8" w:rsidRDefault="00D25CEA" w:rsidP="00665C11">
      <w:pPr>
        <w:spacing w:before="0"/>
        <w:rPr>
          <w:b/>
        </w:rPr>
      </w:pPr>
      <w:r>
        <w:t>Operace p</w:t>
      </w:r>
      <w:r w:rsidR="00D91D0B" w:rsidRPr="0061463A">
        <w:t>odpor</w:t>
      </w:r>
      <w:r>
        <w:t>uje</w:t>
      </w:r>
      <w:r w:rsidR="00D91D0B" w:rsidRPr="0061463A">
        <w:t xml:space="preserve"> </w:t>
      </w:r>
      <w:r w:rsidR="00D91D0B" w:rsidRPr="0061463A">
        <w:rPr>
          <w:bCs/>
        </w:rPr>
        <w:t xml:space="preserve">rozvoj inovací </w:t>
      </w:r>
      <w:r w:rsidR="00D91D0B" w:rsidRPr="0061463A">
        <w:t>při zpracování zemědělských produktů a jejich uvádění na trh. Jedná se o projekty, které zavádějí nové nebo významně zlepšené produkty, postupy nebo technologie, které musí být vyvinuty ve spolupráci s výzkumným subjektem nebo žadatelem, který má k vývoji nového produktu, postupu nebo technologie prokazatelně dostatečné zdroje v podobě kvalifikovaného personálu a výrobních zdrojů.</w:t>
      </w:r>
    </w:p>
    <w:p w14:paraId="77A73532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64B0C3EF" w14:textId="77777777" w:rsidR="004F24F4" w:rsidRPr="00946D07" w:rsidRDefault="00D91D0B" w:rsidP="00665C11">
      <w:pPr>
        <w:spacing w:before="0"/>
        <w:rPr>
          <w:b/>
        </w:rPr>
      </w:pPr>
      <w:r w:rsidRPr="00946D07">
        <w:rPr>
          <w:b/>
        </w:rPr>
        <w:t xml:space="preserve">Operace 16.3.1 </w:t>
      </w:r>
      <w:r w:rsidRPr="00946D07">
        <w:rPr>
          <w:b/>
          <w:i/>
        </w:rPr>
        <w:t>Sdílení zařízení a zdrojů</w:t>
      </w:r>
    </w:p>
    <w:p w14:paraId="6C59A2EE" w14:textId="77777777" w:rsidR="00552395" w:rsidRDefault="00552395" w:rsidP="00665C11">
      <w:pPr>
        <w:spacing w:before="0"/>
      </w:pPr>
    </w:p>
    <w:p w14:paraId="45CC6F02" w14:textId="314EB530" w:rsidR="004F24F4" w:rsidRPr="0061463A" w:rsidRDefault="00D25CEA" w:rsidP="00665C11">
      <w:pPr>
        <w:spacing w:before="0"/>
      </w:pPr>
      <w:r>
        <w:t>Operace p</w:t>
      </w:r>
      <w:r w:rsidR="00D91D0B" w:rsidRPr="0061463A">
        <w:t>odpor</w:t>
      </w:r>
      <w:r>
        <w:t>uje</w:t>
      </w:r>
      <w:r w:rsidR="00D91D0B" w:rsidRPr="0061463A">
        <w:t xml:space="preserve"> spoluprác</w:t>
      </w:r>
      <w:r>
        <w:t>i</w:t>
      </w:r>
      <w:r w:rsidR="00D91D0B" w:rsidRPr="0061463A">
        <w:t xml:space="preserve"> minimálně dvou subjektů při společném sdílení zařízení a</w:t>
      </w:r>
      <w:r w:rsidR="00C04D72">
        <w:t> </w:t>
      </w:r>
      <w:r w:rsidR="00D91D0B" w:rsidRPr="0061463A">
        <w:t>zdrojů v oblasti zemědělské prvovýroby nebo lesnictví. Při</w:t>
      </w:r>
      <w:r w:rsidR="00C04D72">
        <w:t xml:space="preserve"> </w:t>
      </w:r>
      <w:r w:rsidR="00D91D0B" w:rsidRPr="0061463A">
        <w:t xml:space="preserve">spolupráci by mělo dojít k zajištění efektivního využití zdrojů a dosažení úspor, kterých by při individuálním postupu nebylo dosaženo. </w:t>
      </w:r>
    </w:p>
    <w:p w14:paraId="4ECB84F4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70B86DB0" w14:textId="77777777" w:rsidR="004F24F4" w:rsidRPr="00946D07" w:rsidRDefault="00D91D0B" w:rsidP="00946D07">
      <w:pPr>
        <w:spacing w:before="0"/>
        <w:jc w:val="left"/>
        <w:rPr>
          <w:b/>
          <w:bCs/>
        </w:rPr>
      </w:pPr>
      <w:r w:rsidRPr="00946D07">
        <w:rPr>
          <w:b/>
        </w:rPr>
        <w:t xml:space="preserve">Operace 16.4.1 </w:t>
      </w:r>
      <w:r w:rsidRPr="00946D07">
        <w:rPr>
          <w:b/>
          <w:bCs/>
          <w:i/>
        </w:rPr>
        <w:t>Horizontální a vertikální spolupráce mezi účastníky krátkých dodavatelských řetězců a místních trhů</w:t>
      </w:r>
    </w:p>
    <w:p w14:paraId="6E54EC1A" w14:textId="77777777" w:rsidR="00552395" w:rsidRDefault="00552395" w:rsidP="00665C11">
      <w:pPr>
        <w:spacing w:before="0"/>
      </w:pPr>
    </w:p>
    <w:p w14:paraId="4AF28254" w14:textId="19FF7D82" w:rsidR="004F24F4" w:rsidRPr="0061463A" w:rsidRDefault="00D25CEA" w:rsidP="00665C11">
      <w:pPr>
        <w:spacing w:before="0"/>
      </w:pPr>
      <w:r>
        <w:t>Operace p</w:t>
      </w:r>
      <w:r w:rsidR="00D91D0B" w:rsidRPr="0061463A">
        <w:t>odpor</w:t>
      </w:r>
      <w:r>
        <w:t>uje</w:t>
      </w:r>
      <w:r w:rsidR="00D91D0B" w:rsidRPr="0061463A">
        <w:t xml:space="preserve"> spoluprác</w:t>
      </w:r>
      <w:r>
        <w:t>i</w:t>
      </w:r>
      <w:r w:rsidR="00D91D0B" w:rsidRPr="0061463A">
        <w:t xml:space="preserve"> minimálně dvou subjektů, která vede k vytváření a rozvoji k</w:t>
      </w:r>
      <w:r w:rsidR="00D91D0B">
        <w:t xml:space="preserve">rátkých dodavatelských řetězců </w:t>
      </w:r>
      <w:r w:rsidR="00D91D0B" w:rsidRPr="0061463A">
        <w:t>a místních trhů. Podpora by měla při</w:t>
      </w:r>
      <w:r w:rsidR="00FE100E">
        <w:t>spět k začlenění prvovýrobců do</w:t>
      </w:r>
      <w:r w:rsidR="00C04D72">
        <w:t xml:space="preserve"> </w:t>
      </w:r>
      <w:r w:rsidR="00D91D0B" w:rsidRPr="0061463A">
        <w:t xml:space="preserve">dodavatelských řetězců a posílení jejich konkurenceschopnosti. </w:t>
      </w:r>
    </w:p>
    <w:p w14:paraId="547EA51C" w14:textId="77777777" w:rsidR="00665C11" w:rsidRPr="00274BC8" w:rsidRDefault="00665C11" w:rsidP="00665C11">
      <w:pPr>
        <w:tabs>
          <w:tab w:val="left" w:pos="1418"/>
        </w:tabs>
        <w:spacing w:before="0"/>
      </w:pPr>
    </w:p>
    <w:p w14:paraId="1990FFC9" w14:textId="77777777" w:rsidR="004F24F4" w:rsidRPr="00946D07" w:rsidRDefault="00D91D0B" w:rsidP="00946D07">
      <w:pPr>
        <w:spacing w:before="0"/>
        <w:jc w:val="left"/>
        <w:rPr>
          <w:b/>
        </w:rPr>
      </w:pPr>
      <w:r w:rsidRPr="00946D07">
        <w:rPr>
          <w:b/>
        </w:rPr>
        <w:t xml:space="preserve">Operace 16.6.1 </w:t>
      </w:r>
      <w:r w:rsidRPr="00946D07">
        <w:rPr>
          <w:b/>
          <w:i/>
        </w:rPr>
        <w:t>Horizontální a vertikální spolupráce při udrž</w:t>
      </w:r>
      <w:r w:rsidR="00FE100E" w:rsidRPr="00946D07">
        <w:rPr>
          <w:b/>
          <w:i/>
        </w:rPr>
        <w:t>itelném zajišťování biomasy pro </w:t>
      </w:r>
      <w:r w:rsidRPr="00946D07">
        <w:rPr>
          <w:b/>
          <w:i/>
        </w:rPr>
        <w:t>výrobu energie, výrobu potravin a v průmyslových procesech</w:t>
      </w:r>
    </w:p>
    <w:p w14:paraId="6AB188F9" w14:textId="77777777" w:rsidR="00552395" w:rsidRDefault="00552395" w:rsidP="00665C11">
      <w:pPr>
        <w:spacing w:before="0"/>
      </w:pPr>
    </w:p>
    <w:p w14:paraId="37E0B92F" w14:textId="419E1E0B" w:rsidR="004F24F4" w:rsidRPr="0061463A" w:rsidRDefault="00D25CEA" w:rsidP="00665C11">
      <w:pPr>
        <w:spacing w:before="0"/>
      </w:pPr>
      <w:r>
        <w:t>Operace p</w:t>
      </w:r>
      <w:r w:rsidR="00D91D0B" w:rsidRPr="0061463A">
        <w:t>odpor</w:t>
      </w:r>
      <w:r>
        <w:t>uje</w:t>
      </w:r>
      <w:r w:rsidR="00D91D0B" w:rsidRPr="0061463A">
        <w:t xml:space="preserve"> </w:t>
      </w:r>
      <w:r>
        <w:t xml:space="preserve">spolupráci </w:t>
      </w:r>
      <w:r w:rsidR="00D91D0B" w:rsidRPr="0061463A">
        <w:t>minimálně dvou subjektů</w:t>
      </w:r>
      <w:r w:rsidR="00B26FBD">
        <w:t>, která je zaměřena</w:t>
      </w:r>
      <w:r w:rsidR="00D91D0B" w:rsidRPr="0061463A">
        <w:t xml:space="preserve"> na nastavení udržitelného zajišťování a využívání lokálních zdrojů biomasy v procesech výroby potravin, energie a</w:t>
      </w:r>
      <w:r w:rsidR="00C04D72">
        <w:t> </w:t>
      </w:r>
      <w:r w:rsidR="00D91D0B" w:rsidRPr="0061463A">
        <w:t>v průmyslových procesech.</w:t>
      </w:r>
    </w:p>
    <w:p w14:paraId="432D1C29" w14:textId="77777777" w:rsidR="004F24F4" w:rsidRDefault="004F24F4" w:rsidP="00665C11">
      <w:pPr>
        <w:spacing w:before="0"/>
      </w:pPr>
    </w:p>
    <w:p w14:paraId="349E33CD" w14:textId="77777777" w:rsidR="00A44D15" w:rsidRDefault="00A44D15" w:rsidP="00665C11">
      <w:pPr>
        <w:spacing w:before="0"/>
      </w:pPr>
    </w:p>
    <w:p w14:paraId="34361052" w14:textId="77777777" w:rsidR="004F24F4" w:rsidRPr="00AD78F3" w:rsidRDefault="00D91D0B" w:rsidP="00AD78F3">
      <w:pPr>
        <w:spacing w:before="0"/>
        <w:jc w:val="center"/>
        <w:outlineLvl w:val="0"/>
        <w:rPr>
          <w:b/>
          <w:sz w:val="28"/>
        </w:rPr>
      </w:pPr>
      <w:r w:rsidRPr="00AD78F3">
        <w:rPr>
          <w:b/>
          <w:sz w:val="28"/>
        </w:rPr>
        <w:t>III. Rozsah kontroly</w:t>
      </w:r>
    </w:p>
    <w:p w14:paraId="191CF342" w14:textId="77777777" w:rsidR="00AD78F3" w:rsidRDefault="00AD78F3" w:rsidP="00AD78F3">
      <w:pPr>
        <w:spacing w:before="0"/>
      </w:pPr>
    </w:p>
    <w:p w14:paraId="06ACD9D0" w14:textId="0458F8EE" w:rsidR="004F24F4" w:rsidRDefault="00D91D0B" w:rsidP="00AD78F3">
      <w:pPr>
        <w:spacing w:before="0"/>
      </w:pPr>
      <w:r>
        <w:t xml:space="preserve">Kontrola byla zaměřena především na nastavení opatření M16 </w:t>
      </w:r>
      <w:r w:rsidR="002235EC" w:rsidRPr="00946D07">
        <w:rPr>
          <w:i/>
        </w:rPr>
        <w:t>Spolupráce</w:t>
      </w:r>
      <w:r w:rsidR="00043624">
        <w:t xml:space="preserve"> z pohledu účelnosti, hospodárnosti a efektivity vynakládání veřejných prostředků</w:t>
      </w:r>
      <w:r w:rsidR="002235EC">
        <w:t xml:space="preserve"> </w:t>
      </w:r>
      <w:r>
        <w:t>a vyhodnocení stavu realizace v polovině programového období, kdy přidanou hodnotou takto realizované kontroly je zmapování slabých a rizikových míst a tím umožnění n</w:t>
      </w:r>
      <w:r w:rsidR="00FE100E">
        <w:t>ápravy zjištěných nedostatků ze</w:t>
      </w:r>
      <w:r w:rsidR="00C04D72">
        <w:t xml:space="preserve"> </w:t>
      </w:r>
      <w:r>
        <w:t>strany MZe ještě v průběhu programového období 2014–2020. Kontrolované období bylo období let 2014–2017.</w:t>
      </w:r>
    </w:p>
    <w:p w14:paraId="302CA1D5" w14:textId="77777777" w:rsidR="00AD78F3" w:rsidRDefault="00AD78F3" w:rsidP="00AD78F3">
      <w:pPr>
        <w:spacing w:before="0"/>
      </w:pPr>
    </w:p>
    <w:p w14:paraId="3B4934BB" w14:textId="77777777" w:rsidR="004F24F4" w:rsidRDefault="00D91D0B" w:rsidP="00AD78F3">
      <w:pPr>
        <w:spacing w:before="0"/>
      </w:pPr>
      <w:r>
        <w:t xml:space="preserve">V rámci kontrolní akce byla provedena kontrola u MZe a SZIF. </w:t>
      </w:r>
    </w:p>
    <w:p w14:paraId="0278C74C" w14:textId="77777777" w:rsidR="00AD78F3" w:rsidRDefault="00AD78F3" w:rsidP="00AD78F3">
      <w:pPr>
        <w:spacing w:before="0"/>
      </w:pPr>
    </w:p>
    <w:p w14:paraId="6E826E85" w14:textId="2E15C41C" w:rsidR="004F24F4" w:rsidRDefault="00D91D0B" w:rsidP="00AD78F3">
      <w:pPr>
        <w:spacing w:before="0"/>
      </w:pPr>
      <w:r>
        <w:t xml:space="preserve">Kontrola u </w:t>
      </w:r>
      <w:proofErr w:type="gramStart"/>
      <w:r>
        <w:t>MZe</w:t>
      </w:r>
      <w:proofErr w:type="gramEnd"/>
      <w:r>
        <w:t xml:space="preserve"> byla provedena na systémové úrovni </w:t>
      </w:r>
      <w:r w:rsidR="00C04D72">
        <w:t>a </w:t>
      </w:r>
      <w:r>
        <w:t>týka</w:t>
      </w:r>
      <w:r w:rsidR="00C04D72">
        <w:t>la</w:t>
      </w:r>
      <w:r>
        <w:t xml:space="preserve"> se nastavení podmínek pro 1. až 5. kolo příjmu žádostí. </w:t>
      </w:r>
      <w:r w:rsidRPr="00321CEF">
        <w:t>Kontrolovaný objem na úrovni systému byl ve výši</w:t>
      </w:r>
      <w:r>
        <w:t xml:space="preserve"> </w:t>
      </w:r>
      <w:r w:rsidRPr="00321CEF">
        <w:t>2 956</w:t>
      </w:r>
      <w:r w:rsidR="00C04D72">
        <w:t> </w:t>
      </w:r>
      <w:r w:rsidRPr="00321CEF">
        <w:t>215</w:t>
      </w:r>
      <w:r w:rsidR="00C04D72">
        <w:t> </w:t>
      </w:r>
      <w:r w:rsidRPr="00321CEF">
        <w:t>tis.</w:t>
      </w:r>
      <w:r w:rsidR="00C04D72">
        <w:t> </w:t>
      </w:r>
      <w:r w:rsidRPr="00321CEF">
        <w:t>Kč</w:t>
      </w:r>
      <w:r>
        <w:t xml:space="preserve">, což je </w:t>
      </w:r>
      <w:r w:rsidRPr="00321CEF">
        <w:t>alokace na 1.</w:t>
      </w:r>
      <w:r>
        <w:t> </w:t>
      </w:r>
      <w:r w:rsidRPr="00321CEF">
        <w:t xml:space="preserve">až 5. </w:t>
      </w:r>
      <w:r>
        <w:t>kolo příjmu žádostí</w:t>
      </w:r>
      <w:r w:rsidRPr="00321CEF">
        <w:t xml:space="preserve"> v rámci </w:t>
      </w:r>
      <w:r>
        <w:t xml:space="preserve">opatření </w:t>
      </w:r>
      <w:r w:rsidRPr="00321CEF">
        <w:t>M16</w:t>
      </w:r>
      <w:r w:rsidR="00C04D72">
        <w:t> </w:t>
      </w:r>
      <w:r w:rsidR="002235EC" w:rsidRPr="00946D07">
        <w:rPr>
          <w:i/>
        </w:rPr>
        <w:t>Spolupráce</w:t>
      </w:r>
      <w:r w:rsidRPr="00321CEF">
        <w:t xml:space="preserve">. </w:t>
      </w:r>
    </w:p>
    <w:p w14:paraId="1CD6E233" w14:textId="77777777" w:rsidR="00AD78F3" w:rsidRPr="00321CEF" w:rsidRDefault="00AD78F3" w:rsidP="00AD78F3">
      <w:pPr>
        <w:spacing w:before="0"/>
      </w:pPr>
    </w:p>
    <w:p w14:paraId="5766B885" w14:textId="389F28D4" w:rsidR="00A14D45" w:rsidRDefault="00D91D0B" w:rsidP="00A14D45">
      <w:pPr>
        <w:spacing w:before="0"/>
      </w:pPr>
      <w:r>
        <w:lastRenderedPageBreak/>
        <w:t>Kontrola u SZIF byla provedena na vzorku žádostí o dotaci z 1. až 4. kola příjmu žádostí. Dále byly na SZIF podrobnější analýze podrobeny všechny žádosti o dotaci z operac</w:t>
      </w:r>
      <w:r w:rsidR="00C04D72">
        <w:t>í</w:t>
      </w:r>
      <w:r>
        <w:t xml:space="preserve"> 16.2.1 a 16.2.2 (jako finančně nejvýznamnějších operací), které byly vybrány k financování.</w:t>
      </w:r>
    </w:p>
    <w:p w14:paraId="4CEE165F" w14:textId="5EF37D1F" w:rsidR="00BB3A3A" w:rsidRDefault="00BB3A3A" w:rsidP="00A14D45">
      <w:pPr>
        <w:spacing w:before="0"/>
      </w:pPr>
    </w:p>
    <w:p w14:paraId="3E13E674" w14:textId="77777777" w:rsidR="00BB3A3A" w:rsidRDefault="00BB3A3A" w:rsidP="00A14D45">
      <w:pPr>
        <w:spacing w:before="0"/>
      </w:pPr>
    </w:p>
    <w:p w14:paraId="626DAFDB" w14:textId="77777777" w:rsidR="004F24F4" w:rsidRPr="00AD78F3" w:rsidRDefault="00D91D0B" w:rsidP="00AD78F3">
      <w:pPr>
        <w:spacing w:before="0"/>
        <w:jc w:val="center"/>
        <w:outlineLvl w:val="0"/>
        <w:rPr>
          <w:b/>
          <w:sz w:val="28"/>
        </w:rPr>
      </w:pPr>
      <w:r w:rsidRPr="00AD78F3">
        <w:rPr>
          <w:b/>
          <w:sz w:val="28"/>
        </w:rPr>
        <w:t>IV. Podrobné skutečnosti zjištěné kontrolou</w:t>
      </w:r>
    </w:p>
    <w:p w14:paraId="25004A63" w14:textId="77777777" w:rsidR="00B37660" w:rsidRPr="003C22DD" w:rsidRDefault="00B37660" w:rsidP="00B37660">
      <w:pPr>
        <w:spacing w:before="0"/>
      </w:pPr>
    </w:p>
    <w:p w14:paraId="17328C0A" w14:textId="6C624011" w:rsidR="004F24F4" w:rsidRPr="005B100A" w:rsidRDefault="00D91D0B" w:rsidP="00AD78F3">
      <w:pPr>
        <w:spacing w:before="0"/>
        <w:outlineLvl w:val="1"/>
        <w:rPr>
          <w:b/>
          <w:bCs/>
        </w:rPr>
      </w:pPr>
      <w:r w:rsidRPr="005B100A">
        <w:rPr>
          <w:b/>
          <w:bCs/>
        </w:rPr>
        <w:t xml:space="preserve">1. Nastavení opatření M16 </w:t>
      </w:r>
      <w:r w:rsidRPr="00946D07">
        <w:rPr>
          <w:b/>
          <w:bCs/>
          <w:i/>
        </w:rPr>
        <w:t>Spolupráce</w:t>
      </w:r>
    </w:p>
    <w:p w14:paraId="09330778" w14:textId="77777777" w:rsidR="00B37660" w:rsidRDefault="00B37660" w:rsidP="00AD78F3">
      <w:pPr>
        <w:spacing w:before="0"/>
      </w:pPr>
    </w:p>
    <w:p w14:paraId="05B2440A" w14:textId="7B6E371F" w:rsidR="004F24F4" w:rsidRDefault="00D91D0B" w:rsidP="00AD78F3">
      <w:pPr>
        <w:spacing w:before="0"/>
      </w:pPr>
      <w:r w:rsidRPr="003C22DD">
        <w:t>Řídicí orgán zodpovídá za vhodné nastavení podmínek pro realizaci programu</w:t>
      </w:r>
      <w:r w:rsidR="001073FB">
        <w:t>.</w:t>
      </w:r>
      <w:r w:rsidRPr="003C22DD">
        <w:t xml:space="preserve"> </w:t>
      </w:r>
      <w:r w:rsidR="001073FB">
        <w:t>P</w:t>
      </w:r>
      <w:r w:rsidRPr="003C22DD">
        <w:t>odpořené projekty</w:t>
      </w:r>
      <w:r w:rsidR="001073FB">
        <w:t xml:space="preserve"> mají</w:t>
      </w:r>
      <w:r w:rsidRPr="003C22DD">
        <w:t xml:space="preserve"> přispíva</w:t>
      </w:r>
      <w:r w:rsidR="001073FB">
        <w:t>t</w:t>
      </w:r>
      <w:r w:rsidRPr="003C22DD">
        <w:t xml:space="preserve"> k dosažení stanovených cílů a výsledků. Nesprávné nastavení může vést k tomu, že prostředky EU a ČR nejsou využívány v oblastech</w:t>
      </w:r>
      <w:r w:rsidR="00FE100E">
        <w:t>, kde jsou nejvíce potřebné, že</w:t>
      </w:r>
      <w:r w:rsidR="006E474C">
        <w:t xml:space="preserve"> </w:t>
      </w:r>
      <w:r w:rsidRPr="003C22DD">
        <w:t>nepřináší maximální efekty, případně že žadatelé nemají o dotační titul zájem.</w:t>
      </w:r>
    </w:p>
    <w:p w14:paraId="22E8E503" w14:textId="77777777" w:rsidR="00B37660" w:rsidRPr="003C22DD" w:rsidRDefault="00B37660" w:rsidP="00AD78F3">
      <w:pPr>
        <w:spacing w:before="0"/>
      </w:pPr>
    </w:p>
    <w:p w14:paraId="5BA67277" w14:textId="77777777" w:rsidR="004F24F4" w:rsidRDefault="00D91D0B" w:rsidP="00AD78F3">
      <w:pPr>
        <w:spacing w:before="0"/>
      </w:pPr>
      <w:r>
        <w:t>NKÚ posuzoval přípravu a nastavení opatření M16</w:t>
      </w:r>
      <w:r w:rsidR="002235EC">
        <w:t xml:space="preserve"> </w:t>
      </w:r>
      <w:r w:rsidR="002235EC" w:rsidRPr="00946D07">
        <w:rPr>
          <w:i/>
        </w:rPr>
        <w:t>Spolupráce</w:t>
      </w:r>
      <w:r>
        <w:t>, zda bylo opatření M16</w:t>
      </w:r>
      <w:r w:rsidR="002235EC">
        <w:t xml:space="preserve"> </w:t>
      </w:r>
      <w:r w:rsidR="002235EC" w:rsidRPr="00946D07">
        <w:rPr>
          <w:i/>
        </w:rPr>
        <w:t>Spolupráce</w:t>
      </w:r>
      <w:r>
        <w:t xml:space="preserve"> spuštěno včas a zda MZe využilo všech možností daných evropskými předpisy. </w:t>
      </w:r>
    </w:p>
    <w:p w14:paraId="1B8218EC" w14:textId="77777777" w:rsidR="00B37660" w:rsidRDefault="00B37660" w:rsidP="00AD78F3">
      <w:pPr>
        <w:spacing w:before="0"/>
        <w:rPr>
          <w:u w:val="single"/>
        </w:rPr>
      </w:pPr>
    </w:p>
    <w:p w14:paraId="6902D978" w14:textId="30E2E9CD" w:rsidR="004F24F4" w:rsidRPr="00946D07" w:rsidRDefault="00D91D0B" w:rsidP="00AD78F3">
      <w:pPr>
        <w:spacing w:before="0"/>
        <w:outlineLvl w:val="2"/>
        <w:rPr>
          <w:b/>
        </w:rPr>
      </w:pPr>
      <w:r w:rsidRPr="00946D07">
        <w:rPr>
          <w:b/>
        </w:rPr>
        <w:t>1.1 Zpoždění</w:t>
      </w:r>
    </w:p>
    <w:p w14:paraId="2D5DB23A" w14:textId="77777777" w:rsidR="00B37660" w:rsidRDefault="00B37660" w:rsidP="00AD78F3">
      <w:pPr>
        <w:spacing w:before="0"/>
      </w:pPr>
    </w:p>
    <w:p w14:paraId="7E8B288B" w14:textId="1AAB5189" w:rsidR="004F24F4" w:rsidRDefault="00D91D0B" w:rsidP="00AD78F3">
      <w:pPr>
        <w:spacing w:before="0"/>
      </w:pPr>
      <w:r>
        <w:t>Kontrolou bylo zjištěno, že realizace PRV 2014–</w:t>
      </w:r>
      <w:r w:rsidRPr="00520AE5">
        <w:t>2020 je od počátku provázena značným zpožděním.</w:t>
      </w:r>
      <w:r w:rsidR="00E27078">
        <w:t xml:space="preserve"> </w:t>
      </w:r>
      <w:r w:rsidR="00E27078" w:rsidRPr="00520AE5">
        <w:t xml:space="preserve">Na konci roku 2017, tedy v polovině programového období, bylo z celého </w:t>
      </w:r>
      <w:r w:rsidR="00E27078">
        <w:t xml:space="preserve">opatření M16 </w:t>
      </w:r>
      <w:r w:rsidR="00E27078" w:rsidRPr="00946D07">
        <w:rPr>
          <w:i/>
        </w:rPr>
        <w:t>Spolupráce</w:t>
      </w:r>
      <w:r w:rsidR="00E27078">
        <w:t xml:space="preserve"> proplaceno pouze 5 </w:t>
      </w:r>
      <w:r w:rsidR="00E27078" w:rsidRPr="00520AE5">
        <w:t>projektů z</w:t>
      </w:r>
      <w:r w:rsidR="00E27078">
        <w:t xml:space="preserve"> jediné</w:t>
      </w:r>
      <w:r w:rsidR="006E474C">
        <w:t xml:space="preserve"> </w:t>
      </w:r>
      <w:r w:rsidR="00E27078" w:rsidRPr="00520AE5">
        <w:t xml:space="preserve">operace </w:t>
      </w:r>
      <w:r w:rsidR="00E27078">
        <w:t>(</w:t>
      </w:r>
      <w:r w:rsidR="00E27078" w:rsidRPr="00520AE5">
        <w:t>16.2.2</w:t>
      </w:r>
      <w:r w:rsidR="00E27078">
        <w:t>) v</w:t>
      </w:r>
      <w:r w:rsidR="006E474C">
        <w:t xml:space="preserve"> celkové </w:t>
      </w:r>
      <w:r w:rsidR="00E27078">
        <w:t>částce 186 666 652</w:t>
      </w:r>
      <w:r w:rsidR="006E474C">
        <w:t> </w:t>
      </w:r>
      <w:r w:rsidR="00E27078">
        <w:t>Kč</w:t>
      </w:r>
      <w:r w:rsidR="00E27078" w:rsidRPr="00520AE5">
        <w:t>.</w:t>
      </w:r>
      <w:r w:rsidRPr="00520AE5">
        <w:t xml:space="preserve"> Jedním z důvodů tohoto zpoždění bylo pozdní schvalování právních předpisů EU. Problémy s realizací projektů v opatření M16</w:t>
      </w:r>
      <w:r w:rsidR="002235EC">
        <w:t xml:space="preserve"> </w:t>
      </w:r>
      <w:r w:rsidR="002235EC" w:rsidRPr="00946D07">
        <w:rPr>
          <w:i/>
        </w:rPr>
        <w:t>Spolupráce</w:t>
      </w:r>
      <w:r w:rsidRPr="00520AE5">
        <w:t xml:space="preserve"> nejsou dány je</w:t>
      </w:r>
      <w:r w:rsidR="00FE100E">
        <w:t>n zpožděním na straně EU, ale</w:t>
      </w:r>
      <w:r w:rsidR="006E474C">
        <w:t xml:space="preserve"> </w:t>
      </w:r>
      <w:r>
        <w:t>i </w:t>
      </w:r>
      <w:r w:rsidRPr="00520AE5">
        <w:t>tím, že MZe nevyužilo všech možností k včasnému zařazení nových operací. První kolo příjmu žádostí vyhlásilo MZe až na podzim roku 2015 a z opatření M16</w:t>
      </w:r>
      <w:r w:rsidR="002235EC">
        <w:t xml:space="preserve"> </w:t>
      </w:r>
      <w:r w:rsidR="002235EC" w:rsidRPr="00946D07">
        <w:rPr>
          <w:i/>
        </w:rPr>
        <w:t>Spolupráce</w:t>
      </w:r>
      <w:r w:rsidRPr="00520AE5">
        <w:t xml:space="preserve"> byla zařazena pouze jedna operace </w:t>
      </w:r>
      <w:r w:rsidR="006E474C">
        <w:t>–</w:t>
      </w:r>
      <w:r w:rsidRPr="00520AE5">
        <w:t xml:space="preserve"> 16.2.2 (z tohoto kola jsou první proplacené projekty). V následujícím druhém kole příjmu žádostí, které proběhlo v květnu roku 2016, zařadilo MZe operaci 16.2.1. Ostatní operace M16</w:t>
      </w:r>
      <w:r w:rsidR="002235EC">
        <w:t xml:space="preserve"> </w:t>
      </w:r>
      <w:r w:rsidR="002235EC" w:rsidRPr="00946D07">
        <w:rPr>
          <w:i/>
        </w:rPr>
        <w:t>Spolupráce</w:t>
      </w:r>
      <w:r w:rsidRPr="00520AE5">
        <w:t xml:space="preserve">, tedy 16.1.1, 16.3.1, 16.4.1 a 16.6.1, byly prvně zařazeny až do třetí výzvy PRV na podzim roku 2016. </w:t>
      </w:r>
      <w:r w:rsidRPr="00274BC8">
        <w:t xml:space="preserve">U operace 16.1.1 nebylo dřívější vyhlášení možné z důvodu nutnosti ponechání časového prostoru pro výběr a práci brokerů. </w:t>
      </w:r>
      <w:r>
        <w:t>Z</w:t>
      </w:r>
      <w:r w:rsidRPr="00520AE5">
        <w:t>poždění</w:t>
      </w:r>
      <w:r>
        <w:t xml:space="preserve"> ostatních operací</w:t>
      </w:r>
      <w:r w:rsidRPr="00520AE5">
        <w:t xml:space="preserve"> zdůvodnilo</w:t>
      </w:r>
      <w:r w:rsidR="006E474C" w:rsidRPr="006E474C">
        <w:t xml:space="preserve"> </w:t>
      </w:r>
      <w:r w:rsidR="006E474C" w:rsidRPr="00520AE5">
        <w:t>MZe</w:t>
      </w:r>
      <w:r w:rsidRPr="00520AE5">
        <w:t xml:space="preserve"> procesem notifikace těchto operací (16.3.1, 16.4.1 a 16.6.1)</w:t>
      </w:r>
      <w:r w:rsidR="00CE6CD2">
        <w:t>. F</w:t>
      </w:r>
      <w:r w:rsidRPr="00520AE5">
        <w:t>inální verz</w:t>
      </w:r>
      <w:r w:rsidR="00BB3A3A">
        <w:t>i</w:t>
      </w:r>
      <w:r w:rsidRPr="00520AE5">
        <w:t xml:space="preserve"> programového dokumentu PRV </w:t>
      </w:r>
      <w:r>
        <w:t xml:space="preserve">2014–2020 </w:t>
      </w:r>
      <w:r w:rsidRPr="00520AE5">
        <w:t>schvál</w:t>
      </w:r>
      <w:r w:rsidR="00BA28A9">
        <w:t>ila EK</w:t>
      </w:r>
      <w:r w:rsidRPr="00520AE5">
        <w:t xml:space="preserve"> již v květnu 2015, </w:t>
      </w:r>
      <w:r w:rsidR="00CE6CD2">
        <w:t>přesto</w:t>
      </w:r>
      <w:r w:rsidRPr="00520AE5">
        <w:t xml:space="preserve"> MZe notifikační proces zaháji</w:t>
      </w:r>
      <w:r w:rsidR="00CE6CD2">
        <w:t>lo až v červenci 2016</w:t>
      </w:r>
      <w:r w:rsidRPr="00520AE5">
        <w:t>. Z toho</w:t>
      </w:r>
      <w:r w:rsidR="00BA28A9">
        <w:t>to</w:t>
      </w:r>
      <w:r w:rsidRPr="00520AE5">
        <w:t xml:space="preserve"> důvodu</w:t>
      </w:r>
      <w:r w:rsidR="00CE6CD2">
        <w:t xml:space="preserve"> MZe</w:t>
      </w:r>
      <w:r w:rsidR="00E27078">
        <w:t xml:space="preserve"> mohlo</w:t>
      </w:r>
      <w:r w:rsidR="00CE6CD2">
        <w:t xml:space="preserve"> zač</w:t>
      </w:r>
      <w:r w:rsidR="00E27078">
        <w:t>ít</w:t>
      </w:r>
      <w:r w:rsidR="00CE6CD2">
        <w:t xml:space="preserve"> </w:t>
      </w:r>
      <w:r w:rsidR="00CE6CD2" w:rsidRPr="00520AE5">
        <w:t>reagovat na</w:t>
      </w:r>
      <w:r w:rsidR="00BA28A9">
        <w:t xml:space="preserve"> </w:t>
      </w:r>
      <w:r w:rsidR="00CE6CD2" w:rsidRPr="00520AE5">
        <w:t>problémy s nedostatečným počtem předkládaných projektů u operací 16.4.1 a 16.6.1</w:t>
      </w:r>
      <w:r w:rsidR="00CE6CD2">
        <w:t xml:space="preserve"> </w:t>
      </w:r>
      <w:r w:rsidRPr="00520AE5">
        <w:t>až v roce 2017 (</w:t>
      </w:r>
      <w:r w:rsidR="00BA28A9">
        <w:t xml:space="preserve">tedy </w:t>
      </w:r>
      <w:r w:rsidR="00E6159B">
        <w:t>v polovině programového období)</w:t>
      </w:r>
      <w:r w:rsidR="00AD78F3">
        <w:t>.</w:t>
      </w:r>
    </w:p>
    <w:p w14:paraId="3B9F55A8" w14:textId="77777777" w:rsidR="00AD78F3" w:rsidRDefault="00AD78F3" w:rsidP="00AD78F3">
      <w:pPr>
        <w:spacing w:before="0"/>
      </w:pPr>
    </w:p>
    <w:p w14:paraId="6AA5DCEE" w14:textId="77777777" w:rsidR="004F24F4" w:rsidRPr="00474E76" w:rsidRDefault="00552395" w:rsidP="00AD78F3">
      <w:pPr>
        <w:pStyle w:val="Default"/>
        <w:shd w:val="clear" w:color="auto" w:fill="FFFFFF"/>
        <w:jc w:val="both"/>
        <w:rPr>
          <w:rFonts w:ascii="Calibri" w:hAnsi="Calibri" w:cs="Calibri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F848564" wp14:editId="1ABDDCFE">
            <wp:simplePos x="0" y="0"/>
            <wp:positionH relativeFrom="margin">
              <wp:posOffset>29845</wp:posOffset>
            </wp:positionH>
            <wp:positionV relativeFrom="paragraph">
              <wp:posOffset>212725</wp:posOffset>
            </wp:positionV>
            <wp:extent cx="5603240" cy="1963420"/>
            <wp:effectExtent l="0" t="0" r="0" b="0"/>
            <wp:wrapTopAndBottom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časová osa návrh 1.pn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85" t="-4861" r="-1" b="-4302"/>
                    <a:stretch/>
                  </pic:blipFill>
                  <pic:spPr bwMode="auto">
                    <a:xfrm>
                      <a:off x="0" y="0"/>
                      <a:ext cx="5603240" cy="1963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D0B">
        <w:rPr>
          <w:rFonts w:ascii="Calibri" w:hAnsi="Calibri" w:cs="Calibri"/>
          <w:b/>
        </w:rPr>
        <w:t>Schéma č. 1: Časová osa realizace PRV 2014–2020</w:t>
      </w:r>
    </w:p>
    <w:p w14:paraId="78197A90" w14:textId="77777777" w:rsidR="007B1B0A" w:rsidRDefault="007B1B0A" w:rsidP="00552395">
      <w:pPr>
        <w:spacing w:before="0"/>
        <w:rPr>
          <w:u w:val="single"/>
        </w:rPr>
      </w:pPr>
    </w:p>
    <w:p w14:paraId="047FD9EE" w14:textId="27552289" w:rsidR="004F24F4" w:rsidRPr="00DF4A5A" w:rsidRDefault="00D91D0B" w:rsidP="007B1B0A">
      <w:pPr>
        <w:keepNext/>
        <w:spacing w:before="0"/>
        <w:rPr>
          <w:b/>
        </w:rPr>
      </w:pPr>
      <w:r w:rsidRPr="00DF4A5A">
        <w:rPr>
          <w:b/>
        </w:rPr>
        <w:t>1.2 Nastavení dotačních podmínek</w:t>
      </w:r>
    </w:p>
    <w:p w14:paraId="37D83D6D" w14:textId="77777777" w:rsidR="00B37660" w:rsidRDefault="00B37660" w:rsidP="007B1B0A">
      <w:pPr>
        <w:keepNext/>
        <w:spacing w:before="0"/>
      </w:pPr>
    </w:p>
    <w:p w14:paraId="7DB960C0" w14:textId="77777777" w:rsidR="004F24F4" w:rsidRDefault="00D91D0B" w:rsidP="00AD78F3">
      <w:pPr>
        <w:spacing w:before="0"/>
        <w:rPr>
          <w:bCs/>
          <w:lang w:eastAsia="cs-CZ"/>
        </w:rPr>
      </w:pPr>
      <w:r>
        <w:t>MZe nenastavilo některé operace optimálně</w:t>
      </w:r>
      <w:r w:rsidR="00E27078">
        <w:t>, a proto je u</w:t>
      </w:r>
      <w:r>
        <w:rPr>
          <w:bCs/>
          <w:lang w:eastAsia="cs-CZ"/>
        </w:rPr>
        <w:t xml:space="preserve"> tří ze šesti operací realizace neúspěšná. </w:t>
      </w:r>
    </w:p>
    <w:p w14:paraId="4BC1A401" w14:textId="77777777" w:rsidR="00B37660" w:rsidRDefault="00B37660" w:rsidP="00AD78F3">
      <w:pPr>
        <w:spacing w:before="0"/>
        <w:rPr>
          <w:bCs/>
          <w:lang w:eastAsia="cs-CZ"/>
        </w:rPr>
      </w:pPr>
    </w:p>
    <w:p w14:paraId="5EBD96C0" w14:textId="78A5FCAF" w:rsidR="004F24F4" w:rsidRDefault="00D91D0B" w:rsidP="00AD78F3">
      <w:pPr>
        <w:spacing w:before="0"/>
      </w:pPr>
      <w:r>
        <w:rPr>
          <w:bCs/>
          <w:lang w:eastAsia="cs-CZ"/>
        </w:rPr>
        <w:t xml:space="preserve">U operace 16.3.1 </w:t>
      </w:r>
      <w:r w:rsidR="003F32B0">
        <w:rPr>
          <w:bCs/>
          <w:lang w:eastAsia="cs-CZ"/>
        </w:rPr>
        <w:t>nebyla</w:t>
      </w:r>
      <w:r>
        <w:rPr>
          <w:bCs/>
          <w:lang w:eastAsia="cs-CZ"/>
        </w:rPr>
        <w:t xml:space="preserve"> z důvodu složitého nastavení dotačních podmínek většina žádostí schválena k financování a k 31. 12. 2017 byly uzavřeny pouze dvě dohody o poskytnutí dotace. O operace 16.4.1 a 16.6.1 nemají žadatelé zájem</w:t>
      </w:r>
      <w:r w:rsidR="00717DE1">
        <w:rPr>
          <w:bCs/>
          <w:lang w:eastAsia="cs-CZ"/>
        </w:rPr>
        <w:t xml:space="preserve">. V rámci operace 16.4.1 bylo </w:t>
      </w:r>
      <w:r w:rsidR="00FE100E">
        <w:rPr>
          <w:bCs/>
          <w:lang w:eastAsia="cs-CZ"/>
        </w:rPr>
        <w:t>k 31. 12. </w:t>
      </w:r>
      <w:r>
        <w:rPr>
          <w:bCs/>
          <w:lang w:eastAsia="cs-CZ"/>
        </w:rPr>
        <w:t>2017</w:t>
      </w:r>
      <w:r w:rsidR="00717DE1">
        <w:rPr>
          <w:bCs/>
          <w:lang w:eastAsia="cs-CZ"/>
        </w:rPr>
        <w:t xml:space="preserve"> předloženo pouze 7 žádostí o dotaci a v rámci operace 16.6.1 nebyla předložena žádná žádost</w:t>
      </w:r>
      <w:r w:rsidR="00FE100E">
        <w:rPr>
          <w:bCs/>
          <w:lang w:eastAsia="cs-CZ"/>
        </w:rPr>
        <w:t xml:space="preserve"> o dotaci</w:t>
      </w:r>
      <w:r w:rsidR="00717DE1">
        <w:rPr>
          <w:bCs/>
          <w:lang w:eastAsia="cs-CZ"/>
        </w:rPr>
        <w:t>.</w:t>
      </w:r>
      <w:r w:rsidR="00774155">
        <w:rPr>
          <w:bCs/>
          <w:lang w:eastAsia="cs-CZ"/>
        </w:rPr>
        <w:t xml:space="preserve"> U</w:t>
      </w:r>
      <w:r w:rsidR="00717DE1">
        <w:rPr>
          <w:bCs/>
          <w:lang w:eastAsia="cs-CZ"/>
        </w:rPr>
        <w:t xml:space="preserve"> operac</w:t>
      </w:r>
      <w:r w:rsidR="00774155">
        <w:rPr>
          <w:bCs/>
          <w:lang w:eastAsia="cs-CZ"/>
        </w:rPr>
        <w:t xml:space="preserve">í 16.4.1 a 16.6.1 </w:t>
      </w:r>
      <w:r w:rsidR="00717DE1">
        <w:rPr>
          <w:bCs/>
          <w:lang w:eastAsia="cs-CZ"/>
        </w:rPr>
        <w:t>nebyla ke konci roku 2017 uzavřena</w:t>
      </w:r>
      <w:r w:rsidR="00E27078">
        <w:rPr>
          <w:bCs/>
          <w:lang w:eastAsia="cs-CZ"/>
        </w:rPr>
        <w:t xml:space="preserve"> </w:t>
      </w:r>
      <w:r>
        <w:rPr>
          <w:bCs/>
          <w:lang w:eastAsia="cs-CZ"/>
        </w:rPr>
        <w:t>žádn</w:t>
      </w:r>
      <w:r w:rsidR="00717DE1">
        <w:rPr>
          <w:bCs/>
          <w:lang w:eastAsia="cs-CZ"/>
        </w:rPr>
        <w:t>á</w:t>
      </w:r>
      <w:r w:rsidR="00A16DDE">
        <w:rPr>
          <w:bCs/>
          <w:lang w:eastAsia="cs-CZ"/>
        </w:rPr>
        <w:t xml:space="preserve"> dohoda</w:t>
      </w:r>
      <w:r>
        <w:rPr>
          <w:bCs/>
          <w:lang w:eastAsia="cs-CZ"/>
        </w:rPr>
        <w:t xml:space="preserve"> o</w:t>
      </w:r>
      <w:r w:rsidR="00CE7CFC">
        <w:rPr>
          <w:bCs/>
          <w:lang w:eastAsia="cs-CZ"/>
        </w:rPr>
        <w:t> </w:t>
      </w:r>
      <w:r>
        <w:rPr>
          <w:bCs/>
          <w:lang w:eastAsia="cs-CZ"/>
        </w:rPr>
        <w:t xml:space="preserve">poskytnutí dotace. </w:t>
      </w:r>
      <w:r>
        <w:t xml:space="preserve">MZe </w:t>
      </w:r>
      <w:r w:rsidRPr="001C67EF">
        <w:t>v rámci přípravy opatření M16</w:t>
      </w:r>
      <w:r w:rsidR="002235EC">
        <w:t xml:space="preserve"> </w:t>
      </w:r>
      <w:r w:rsidR="002235EC" w:rsidRPr="00DF4A5A">
        <w:rPr>
          <w:i/>
        </w:rPr>
        <w:t>Spolupráce</w:t>
      </w:r>
      <w:r w:rsidRPr="001C67EF">
        <w:t xml:space="preserve"> neprovedlo žádnou analýzu potenciálního zájmu žadatelů a vycházelo jen ze zkušeností z předchozího období. Zkušenost z předchozího období přitom </w:t>
      </w:r>
      <w:r>
        <w:t xml:space="preserve">MZe </w:t>
      </w:r>
      <w:r w:rsidRPr="001C67EF">
        <w:t>mělo pouze u dvou ze šesti operací realizovaných prostřednictvím M16</w:t>
      </w:r>
      <w:r w:rsidR="002235EC">
        <w:t xml:space="preserve"> </w:t>
      </w:r>
      <w:r w:rsidR="002235EC" w:rsidRPr="00DF4A5A">
        <w:rPr>
          <w:i/>
        </w:rPr>
        <w:t>Spolupráce</w:t>
      </w:r>
      <w:r w:rsidRPr="001C67EF">
        <w:t>.</w:t>
      </w:r>
    </w:p>
    <w:p w14:paraId="2A4D1C2B" w14:textId="77777777" w:rsidR="00B37660" w:rsidRPr="00274BC8" w:rsidRDefault="00B37660" w:rsidP="00AD78F3">
      <w:pPr>
        <w:spacing w:before="0"/>
      </w:pPr>
    </w:p>
    <w:p w14:paraId="6B3E5DFB" w14:textId="5BC0699A" w:rsidR="004F24F4" w:rsidRPr="00DF4A5A" w:rsidRDefault="00D91D0B" w:rsidP="00AD78F3">
      <w:pPr>
        <w:spacing w:before="0"/>
        <w:outlineLvl w:val="2"/>
        <w:rPr>
          <w:b/>
        </w:rPr>
      </w:pPr>
      <w:r w:rsidRPr="00DF4A5A">
        <w:rPr>
          <w:b/>
        </w:rPr>
        <w:t>1.3 Typy spolupráce vybrané k financování</w:t>
      </w:r>
    </w:p>
    <w:p w14:paraId="52A86782" w14:textId="77777777" w:rsidR="00B37660" w:rsidRDefault="00B37660" w:rsidP="00AD78F3">
      <w:pPr>
        <w:spacing w:before="0"/>
      </w:pPr>
    </w:p>
    <w:p w14:paraId="2197D3D9" w14:textId="77777777" w:rsidR="004F24F4" w:rsidRPr="00E522BD" w:rsidRDefault="00D91D0B" w:rsidP="00AD78F3">
      <w:pPr>
        <w:spacing w:before="0"/>
      </w:pPr>
      <w:r w:rsidRPr="00E522BD">
        <w:t xml:space="preserve">MZe mělo dle </w:t>
      </w:r>
      <w:r>
        <w:t xml:space="preserve">čl. 35 nařízení Evropského parlamentu a Rady č. 1305/2013 </w:t>
      </w:r>
      <w:r w:rsidRPr="00E522BD">
        <w:t>mož</w:t>
      </w:r>
      <w:r>
        <w:t>nost podporovat 11 typů s</w:t>
      </w:r>
      <w:r w:rsidRPr="00E522BD">
        <w:t xml:space="preserve">polupráce. </w:t>
      </w:r>
    </w:p>
    <w:p w14:paraId="58A6FBB4" w14:textId="77777777" w:rsidR="00B37660" w:rsidRDefault="00B37660" w:rsidP="00AD78F3">
      <w:pPr>
        <w:widowControl w:val="0"/>
        <w:autoSpaceDE w:val="0"/>
        <w:autoSpaceDN w:val="0"/>
        <w:adjustRightInd w:val="0"/>
        <w:spacing w:before="0"/>
      </w:pPr>
    </w:p>
    <w:p w14:paraId="19131A5C" w14:textId="2176737D" w:rsidR="004F24F4" w:rsidRPr="00E522BD" w:rsidRDefault="00D91D0B" w:rsidP="00AD78F3">
      <w:pPr>
        <w:widowControl w:val="0"/>
        <w:autoSpaceDE w:val="0"/>
        <w:autoSpaceDN w:val="0"/>
        <w:adjustRightInd w:val="0"/>
        <w:spacing w:before="0"/>
      </w:pPr>
      <w:r w:rsidRPr="00E522BD">
        <w:t>MZe vybralo k realizaci 7 typů spolupráce, ale většinu prostředků alokovalo v jediném typu</w:t>
      </w:r>
      <w:r>
        <w:t xml:space="preserve"> spolupráce</w:t>
      </w:r>
      <w:r w:rsidR="003F32B0">
        <w:t xml:space="preserve">, a to v rámci </w:t>
      </w:r>
      <w:proofErr w:type="spellStart"/>
      <w:r w:rsidR="003F32B0">
        <w:t>podopatření</w:t>
      </w:r>
      <w:proofErr w:type="spellEnd"/>
      <w:r w:rsidRPr="00E522BD">
        <w:t xml:space="preserve"> </w:t>
      </w:r>
      <w:r w:rsidR="003F32B0">
        <w:t xml:space="preserve">16.2 </w:t>
      </w:r>
      <w:r w:rsidRPr="00E522BD">
        <w:rPr>
          <w:i/>
          <w:lang w:eastAsia="cs-CZ"/>
        </w:rPr>
        <w:t>Vývoj nový</w:t>
      </w:r>
      <w:r w:rsidR="00CE7CFC">
        <w:rPr>
          <w:i/>
          <w:lang w:eastAsia="cs-CZ"/>
        </w:rPr>
        <w:t>ch produktů, postupů, procesů a </w:t>
      </w:r>
      <w:r w:rsidRPr="00E522BD">
        <w:rPr>
          <w:i/>
          <w:lang w:eastAsia="cs-CZ"/>
        </w:rPr>
        <w:t>technologií v odvětvích zemědělství, potravinářství a lesnictví</w:t>
      </w:r>
      <w:r>
        <w:rPr>
          <w:rStyle w:val="Znakapoznpodarou"/>
        </w:rPr>
        <w:footnoteReference w:id="3"/>
      </w:r>
      <w:r w:rsidR="003F32B0">
        <w:t xml:space="preserve">. Jedná se o </w:t>
      </w:r>
      <w:proofErr w:type="spellStart"/>
      <w:r w:rsidR="003F32B0">
        <w:t>podopatření</w:t>
      </w:r>
      <w:proofErr w:type="spellEnd"/>
      <w:r w:rsidRPr="00E522BD">
        <w:t>, kde je alokována převážná většina prostředků (celkem 86 % alokace na celé opatření M16</w:t>
      </w:r>
      <w:r w:rsidR="002235EC">
        <w:t xml:space="preserve"> </w:t>
      </w:r>
      <w:r w:rsidR="002235EC" w:rsidRPr="00DF4A5A">
        <w:rPr>
          <w:i/>
        </w:rPr>
        <w:t>Spolupráce</w:t>
      </w:r>
      <w:r w:rsidRPr="00E522BD">
        <w:t>). Navíc rozdělení těchto prostředků je výrazně ve prospěch</w:t>
      </w:r>
      <w:r>
        <w:t xml:space="preserve"> operace 16.2.2</w:t>
      </w:r>
      <w:r w:rsidR="003F32B0">
        <w:t>,</w:t>
      </w:r>
      <w:r>
        <w:t xml:space="preserve"> tedy pro</w:t>
      </w:r>
      <w:r w:rsidRPr="00E522BD">
        <w:t xml:space="preserve"> zpracování zemědělských produktů, kam směřuje 74 % alokace opatření M16</w:t>
      </w:r>
      <w:r w:rsidR="002235EC">
        <w:t xml:space="preserve"> </w:t>
      </w:r>
      <w:r w:rsidR="002235EC" w:rsidRPr="00DF4A5A">
        <w:rPr>
          <w:i/>
        </w:rPr>
        <w:t>Spolupráce</w:t>
      </w:r>
      <w:r w:rsidRPr="00E522BD">
        <w:t xml:space="preserve">, </w:t>
      </w:r>
      <w:r w:rsidR="003F32B0">
        <w:t xml:space="preserve">zatímco </w:t>
      </w:r>
      <w:r w:rsidRPr="00E522BD">
        <w:t>do zemědělské prvo</w:t>
      </w:r>
      <w:r>
        <w:t>výroby pou</w:t>
      </w:r>
      <w:r w:rsidR="003F32B0">
        <w:t>ze</w:t>
      </w:r>
      <w:r>
        <w:t xml:space="preserve"> 12 %. Jedná se o </w:t>
      </w:r>
      <w:r w:rsidRPr="00E522BD">
        <w:t>operace, které MZe realizovalo již v předchozím období a s jejich čerpáním mělo pozitivní zkušenosti. Jedn</w:t>
      </w:r>
      <w:r>
        <w:t>alo</w:t>
      </w:r>
      <w:r w:rsidRPr="00E522BD">
        <w:t xml:space="preserve"> se</w:t>
      </w:r>
      <w:r>
        <w:t xml:space="preserve"> o</w:t>
      </w:r>
      <w:r w:rsidRPr="00E522BD">
        <w:t xml:space="preserve"> </w:t>
      </w:r>
      <w:proofErr w:type="spellStart"/>
      <w:r w:rsidRPr="00E522BD">
        <w:t>podopatření</w:t>
      </w:r>
      <w:proofErr w:type="spellEnd"/>
      <w:r w:rsidRPr="00E522BD">
        <w:t xml:space="preserve"> osy I. PRV 2007</w:t>
      </w:r>
      <w:r w:rsidR="003F32B0">
        <w:t>–</w:t>
      </w:r>
      <w:r w:rsidRPr="00E522BD">
        <w:t>2013:</w:t>
      </w:r>
    </w:p>
    <w:p w14:paraId="0CE6F977" w14:textId="77777777" w:rsidR="004F24F4" w:rsidRPr="00E522BD" w:rsidRDefault="00D91D0B" w:rsidP="00B37660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before="0"/>
        <w:ind w:left="284" w:hanging="284"/>
        <w:contextualSpacing w:val="0"/>
      </w:pPr>
      <w:proofErr w:type="gramStart"/>
      <w:r w:rsidRPr="00E522BD">
        <w:lastRenderedPageBreak/>
        <w:t>I.1.3.2</w:t>
      </w:r>
      <w:proofErr w:type="gramEnd"/>
      <w:r w:rsidRPr="00E522BD">
        <w:t xml:space="preserve"> – </w:t>
      </w:r>
      <w:r w:rsidRPr="00F04B56">
        <w:rPr>
          <w:i/>
        </w:rPr>
        <w:t>Spolupráce při vývoji nových produktů, postupů a technologií (resp. inovací) v potravinářství</w:t>
      </w:r>
      <w:r w:rsidRPr="00E522BD">
        <w:t xml:space="preserve">, </w:t>
      </w:r>
    </w:p>
    <w:p w14:paraId="13FD0CFF" w14:textId="1672C509" w:rsidR="004F24F4" w:rsidRPr="00E522BD" w:rsidRDefault="00D91D0B" w:rsidP="00B37660">
      <w:pPr>
        <w:pStyle w:val="Odstavecseseznamem"/>
        <w:widowControl w:val="0"/>
        <w:numPr>
          <w:ilvl w:val="0"/>
          <w:numId w:val="27"/>
        </w:numPr>
        <w:autoSpaceDE w:val="0"/>
        <w:autoSpaceDN w:val="0"/>
        <w:adjustRightInd w:val="0"/>
        <w:spacing w:before="0"/>
        <w:ind w:left="284" w:hanging="284"/>
        <w:contextualSpacing w:val="0"/>
      </w:pPr>
      <w:proofErr w:type="gramStart"/>
      <w:r w:rsidRPr="00E522BD">
        <w:t>I.1.1.2</w:t>
      </w:r>
      <w:proofErr w:type="gramEnd"/>
      <w:r w:rsidRPr="00E522BD">
        <w:t xml:space="preserve"> </w:t>
      </w:r>
      <w:r w:rsidR="003F32B0">
        <w:t>–</w:t>
      </w:r>
      <w:r w:rsidRPr="00E522BD">
        <w:t xml:space="preserve"> </w:t>
      </w:r>
      <w:r w:rsidRPr="00F04B56">
        <w:rPr>
          <w:i/>
        </w:rPr>
        <w:t>Spolupráce při vývoji nových produktů, postupů a technologií (resp. inovací) v zemědělství</w:t>
      </w:r>
      <w:r>
        <w:t>.</w:t>
      </w:r>
    </w:p>
    <w:p w14:paraId="6DE8400A" w14:textId="77777777" w:rsidR="00B37660" w:rsidRDefault="00B37660" w:rsidP="00AD78F3">
      <w:pPr>
        <w:widowControl w:val="0"/>
        <w:autoSpaceDE w:val="0"/>
        <w:autoSpaceDN w:val="0"/>
        <w:adjustRightInd w:val="0"/>
        <w:spacing w:before="0"/>
      </w:pPr>
    </w:p>
    <w:p w14:paraId="01EDC2B0" w14:textId="5390040A" w:rsidR="004F24F4" w:rsidRDefault="00D91D0B" w:rsidP="00AD78F3">
      <w:pPr>
        <w:widowControl w:val="0"/>
        <w:autoSpaceDE w:val="0"/>
        <w:autoSpaceDN w:val="0"/>
        <w:adjustRightInd w:val="0"/>
        <w:spacing w:before="0"/>
      </w:pPr>
      <w:r>
        <w:t>Ostatním vybraným typům s</w:t>
      </w:r>
      <w:r w:rsidRPr="00E522BD">
        <w:t>polupráce nebyla přiřazena významná alokace</w:t>
      </w:r>
      <w:r w:rsidR="003F32B0">
        <w:t>,</w:t>
      </w:r>
      <w:r w:rsidRPr="00E522BD">
        <w:t xml:space="preserve"> a pro MZe tak nebyly prioritními oblastmi a jejich pří</w:t>
      </w:r>
      <w:r w:rsidR="00B26FBD">
        <w:t>nos</w:t>
      </w:r>
      <w:r w:rsidRPr="00E522BD">
        <w:t xml:space="preserve"> k plnění strategií, cílů a priorit není a dle stavu závazkování</w:t>
      </w:r>
      <w:r w:rsidR="00E27078">
        <w:t xml:space="preserve"> ani</w:t>
      </w:r>
      <w:r w:rsidRPr="00E522BD">
        <w:t xml:space="preserve"> nebude významný. </w:t>
      </w:r>
    </w:p>
    <w:p w14:paraId="19528194" w14:textId="77777777" w:rsidR="00B37660" w:rsidRDefault="00B37660" w:rsidP="00AD78F3">
      <w:pPr>
        <w:widowControl w:val="0"/>
        <w:autoSpaceDE w:val="0"/>
        <w:autoSpaceDN w:val="0"/>
        <w:adjustRightInd w:val="0"/>
        <w:spacing w:before="0"/>
      </w:pPr>
    </w:p>
    <w:p w14:paraId="0D41C19E" w14:textId="593BD0F0" w:rsidR="004F24F4" w:rsidRDefault="00D91D0B" w:rsidP="00552395">
      <w:pPr>
        <w:autoSpaceDE w:val="0"/>
        <w:autoSpaceDN w:val="0"/>
        <w:adjustRightInd w:val="0"/>
        <w:spacing w:before="0"/>
      </w:pPr>
      <w:r>
        <w:t>Nevybrané typy spolupráce jsou věcně zaměřen</w:t>
      </w:r>
      <w:r w:rsidR="003F32B0">
        <w:t>y</w:t>
      </w:r>
      <w:r>
        <w:t xml:space="preserve"> na pomoc v oblastech, které MZe označilo ve SWOT analýze v programovém dokumentu PRV 2014–2020 za slabé stránky a příležitosti a přesto nebyly navrženy k financování. Jedná se např. o oblast zmírnění změny klimatu, ochrany životního prostředí, účinného hospodaření s vodou, využívání energie z obnovitelných zdrojů, sociální integrace a další, které mohly být podporovány prostřednictvím opatření</w:t>
      </w:r>
      <w:r w:rsidR="00D12A8A">
        <w:t xml:space="preserve"> M16</w:t>
      </w:r>
      <w:r>
        <w:t xml:space="preserve"> </w:t>
      </w:r>
      <w:r w:rsidRPr="00F04B56">
        <w:rPr>
          <w:i/>
        </w:rPr>
        <w:t>Spolupráce</w:t>
      </w:r>
      <w:r>
        <w:t>.</w:t>
      </w:r>
    </w:p>
    <w:p w14:paraId="2EAD9361" w14:textId="77777777" w:rsidR="00B37660" w:rsidRPr="00E522BD" w:rsidRDefault="00B37660" w:rsidP="00AD78F3">
      <w:pPr>
        <w:widowControl w:val="0"/>
        <w:autoSpaceDE w:val="0"/>
        <w:autoSpaceDN w:val="0"/>
        <w:adjustRightInd w:val="0"/>
        <w:spacing w:before="0"/>
      </w:pPr>
    </w:p>
    <w:p w14:paraId="53FBC6EE" w14:textId="11D447B9" w:rsidR="004F24F4" w:rsidRDefault="00D91D0B" w:rsidP="00AD78F3">
      <w:pPr>
        <w:spacing w:before="0"/>
      </w:pPr>
      <w:r w:rsidRPr="00E522BD">
        <w:t>MZe ne</w:t>
      </w:r>
      <w:r>
        <w:t>bylo</w:t>
      </w:r>
      <w:r w:rsidRPr="00E522BD">
        <w:t xml:space="preserve"> schopn</w:t>
      </w:r>
      <w:r w:rsidR="00EB620D">
        <w:t>o</w:t>
      </w:r>
      <w:r w:rsidRPr="00E522BD">
        <w:t xml:space="preserve"> zdůvodnit </w:t>
      </w:r>
      <w:r w:rsidR="00E27078">
        <w:t xml:space="preserve">výběr </w:t>
      </w:r>
      <w:r>
        <w:t>typů</w:t>
      </w:r>
      <w:r w:rsidRPr="00E522BD">
        <w:t xml:space="preserve"> spolupráce k zařazení do opatření M16</w:t>
      </w:r>
      <w:r w:rsidR="00EB620D">
        <w:t> </w:t>
      </w:r>
      <w:r w:rsidR="002235EC" w:rsidRPr="00F04B56">
        <w:rPr>
          <w:i/>
        </w:rPr>
        <w:t>Spolupráce</w:t>
      </w:r>
      <w:r w:rsidR="00E27078">
        <w:t xml:space="preserve"> ani</w:t>
      </w:r>
      <w:r w:rsidRPr="00E522BD">
        <w:t xml:space="preserve"> </w:t>
      </w:r>
      <w:r w:rsidR="00E27078">
        <w:t>n</w:t>
      </w:r>
      <w:r w:rsidRPr="00E522BD">
        <w:t>edispon</w:t>
      </w:r>
      <w:r w:rsidR="00E27078">
        <w:t>ovalo</w:t>
      </w:r>
      <w:r w:rsidRPr="00E522BD">
        <w:t xml:space="preserve"> žádnými dokumenty nad rámec </w:t>
      </w:r>
      <w:r>
        <w:t>programového dokumentu PRV</w:t>
      </w:r>
      <w:r w:rsidR="00F04B56">
        <w:br/>
      </w:r>
      <w:r>
        <w:t>2014–</w:t>
      </w:r>
      <w:r w:rsidRPr="00E522BD">
        <w:t>2020, které by</w:t>
      </w:r>
      <w:r w:rsidR="00E27078">
        <w:t xml:space="preserve"> byly podkladem pro výběr typů spolupráce</w:t>
      </w:r>
      <w:r w:rsidRPr="00E522BD">
        <w:t>.</w:t>
      </w:r>
    </w:p>
    <w:p w14:paraId="7D0B785E" w14:textId="77777777" w:rsidR="00B37660" w:rsidRDefault="00B37660" w:rsidP="00AD78F3">
      <w:pPr>
        <w:spacing w:before="0"/>
      </w:pPr>
    </w:p>
    <w:p w14:paraId="3C159B2B" w14:textId="681B9A49" w:rsidR="004F24F4" w:rsidRPr="005B100A" w:rsidRDefault="00D91D0B" w:rsidP="00AD78F3">
      <w:pPr>
        <w:widowControl w:val="0"/>
        <w:autoSpaceDE w:val="0"/>
        <w:autoSpaceDN w:val="0"/>
        <w:adjustRightInd w:val="0"/>
        <w:spacing w:before="0"/>
        <w:outlineLvl w:val="1"/>
        <w:rPr>
          <w:b/>
        </w:rPr>
      </w:pPr>
      <w:r w:rsidRPr="005B100A">
        <w:rPr>
          <w:b/>
        </w:rPr>
        <w:t>2. Finanční řízení</w:t>
      </w:r>
    </w:p>
    <w:p w14:paraId="23EEA58D" w14:textId="77777777" w:rsidR="00552395" w:rsidRDefault="00552395" w:rsidP="00AD78F3">
      <w:pPr>
        <w:spacing w:before="0"/>
      </w:pPr>
    </w:p>
    <w:p w14:paraId="1551DF67" w14:textId="5AC57B1E" w:rsidR="004F24F4" w:rsidRDefault="00D91D0B" w:rsidP="00AD78F3">
      <w:pPr>
        <w:spacing w:before="0"/>
      </w:pPr>
      <w:r w:rsidRPr="003C22DD">
        <w:t>Řídicí orgán zodpovídá za řízení programu v souladu se zásadou řádného finančního řízení. Řídicí orgán by měl zajistit rozdělení přidělených prostředků do oblastí, které přinesou maximální efekt pro Českou republiku. Zodpovídá za čerpání finančních prostředků v souladu se zásad</w:t>
      </w:r>
      <w:r w:rsidR="00EB620D">
        <w:t>ami</w:t>
      </w:r>
      <w:r w:rsidRPr="003C22DD">
        <w:t xml:space="preserve"> účelnosti, hospodárnosti a efektivnosti a s požadavky evropských předpisů.</w:t>
      </w:r>
    </w:p>
    <w:p w14:paraId="00F42958" w14:textId="77777777" w:rsidR="00B37660" w:rsidRPr="003C22DD" w:rsidRDefault="00B37660" w:rsidP="00AD78F3">
      <w:pPr>
        <w:spacing w:before="0"/>
      </w:pPr>
    </w:p>
    <w:p w14:paraId="31E2CDEA" w14:textId="77777777" w:rsidR="004F24F4" w:rsidRDefault="00D91D0B" w:rsidP="00AD78F3">
      <w:pPr>
        <w:spacing w:before="0"/>
      </w:pPr>
      <w:r w:rsidRPr="003C22DD">
        <w:t>Nesprávné finanční řízení a neplnění povinností daných evropskými předpisy může mít pro ČR negativní dopad.</w:t>
      </w:r>
    </w:p>
    <w:p w14:paraId="650265A5" w14:textId="77777777" w:rsidR="00B37660" w:rsidRPr="003C22DD" w:rsidRDefault="00B37660" w:rsidP="00AD78F3">
      <w:pPr>
        <w:spacing w:before="0"/>
      </w:pPr>
    </w:p>
    <w:p w14:paraId="280255E7" w14:textId="08BD519D" w:rsidR="004F24F4" w:rsidRDefault="00D91D0B" w:rsidP="00AD78F3">
      <w:pPr>
        <w:spacing w:before="0"/>
      </w:pPr>
      <w:r>
        <w:t>NKÚ posuzoval, jak MZe nastavilo a upravovalo alokaci</w:t>
      </w:r>
      <w:r w:rsidR="00810D3F">
        <w:t xml:space="preserve"> jednotlivých</w:t>
      </w:r>
      <w:r>
        <w:t xml:space="preserve"> operací</w:t>
      </w:r>
      <w:r w:rsidR="00810D3F">
        <w:t xml:space="preserve"> opatření M16</w:t>
      </w:r>
      <w:r w:rsidR="00EB620D">
        <w:t> </w:t>
      </w:r>
      <w:r w:rsidR="00810D3F" w:rsidRPr="00F04B56">
        <w:rPr>
          <w:i/>
        </w:rPr>
        <w:t>S</w:t>
      </w:r>
      <w:r w:rsidRPr="00F04B56">
        <w:rPr>
          <w:i/>
        </w:rPr>
        <w:t>polupráce</w:t>
      </w:r>
      <w:r>
        <w:t>, a jak byly stanoveny a plněny milníky pro přezkum výkonnosti programu, na jejichž plnění závisí uvolnění výkonnostní rezervy.</w:t>
      </w:r>
    </w:p>
    <w:p w14:paraId="7CA650BC" w14:textId="77777777" w:rsidR="00B37660" w:rsidRDefault="00B37660" w:rsidP="00AD78F3">
      <w:pPr>
        <w:spacing w:before="0"/>
      </w:pPr>
    </w:p>
    <w:p w14:paraId="137449FD" w14:textId="2769F5AD" w:rsidR="004F24F4" w:rsidRPr="005B100A" w:rsidRDefault="00D91D0B" w:rsidP="00AD78F3">
      <w:pPr>
        <w:spacing w:before="0"/>
        <w:outlineLvl w:val="2"/>
        <w:rPr>
          <w:u w:val="single"/>
        </w:rPr>
      </w:pPr>
      <w:r w:rsidRPr="00F04B56">
        <w:rPr>
          <w:b/>
        </w:rPr>
        <w:t>2.1 Alokace</w:t>
      </w:r>
    </w:p>
    <w:p w14:paraId="6F4734F7" w14:textId="77777777" w:rsidR="00B37660" w:rsidRDefault="00B37660" w:rsidP="00AD78F3">
      <w:pPr>
        <w:spacing w:before="0"/>
      </w:pPr>
    </w:p>
    <w:p w14:paraId="3B591DE9" w14:textId="0316A4E2" w:rsidR="00A14D45" w:rsidRDefault="00D91D0B" w:rsidP="00AD78F3">
      <w:pPr>
        <w:spacing w:before="0"/>
      </w:pPr>
      <w:r w:rsidRPr="00274BC8">
        <w:t xml:space="preserve">MZe nastavilo alokaci </w:t>
      </w:r>
      <w:r>
        <w:t>na opatření M16</w:t>
      </w:r>
      <w:r w:rsidR="002235EC">
        <w:t xml:space="preserve"> </w:t>
      </w:r>
      <w:r w:rsidR="002235EC" w:rsidRPr="00F04B56">
        <w:rPr>
          <w:i/>
        </w:rPr>
        <w:t>Spolupráce</w:t>
      </w:r>
      <w:r>
        <w:t xml:space="preserve"> </w:t>
      </w:r>
      <w:r w:rsidRPr="00274BC8">
        <w:t>bez proveden</w:t>
      </w:r>
      <w:r w:rsidR="00EB620D">
        <w:t>í</w:t>
      </w:r>
      <w:r w:rsidRPr="00274BC8">
        <w:t xml:space="preserve"> predikce</w:t>
      </w:r>
      <w:r>
        <w:t xml:space="preserve"> absorpční kapacity</w:t>
      </w:r>
      <w:r w:rsidR="00BB3A3A">
        <w:t> </w:t>
      </w:r>
      <w:r w:rsidR="00EB620D">
        <w:t>–</w:t>
      </w:r>
      <w:r>
        <w:t xml:space="preserve"> </w:t>
      </w:r>
      <w:r w:rsidRPr="00274BC8">
        <w:t xml:space="preserve">průzkumu předpokládaného zájmu </w:t>
      </w:r>
      <w:r>
        <w:t>potenciálních žadatelů</w:t>
      </w:r>
      <w:r w:rsidRPr="00274BC8">
        <w:t xml:space="preserve">. </w:t>
      </w:r>
      <w:r w:rsidRPr="00E522BD">
        <w:t xml:space="preserve">Z nastavení finanční alokace je patrné, že se MZe soustředilo na plnění strategií, cílů a priorit navázaných na </w:t>
      </w:r>
      <w:proofErr w:type="spellStart"/>
      <w:r w:rsidRPr="00E522BD">
        <w:t>podopatření</w:t>
      </w:r>
      <w:proofErr w:type="spellEnd"/>
      <w:r w:rsidRPr="00E522BD">
        <w:t xml:space="preserve"> 16.2. Zde jsou dvě operace, </w:t>
      </w:r>
      <w:r w:rsidR="00EB620D">
        <w:t>z nichž</w:t>
      </w:r>
      <w:r w:rsidRPr="00E522BD">
        <w:t xml:space="preserve"> </w:t>
      </w:r>
      <w:r w:rsidR="00EB620D">
        <w:t>bylo</w:t>
      </w:r>
      <w:r w:rsidRPr="00E522BD">
        <w:t xml:space="preserve"> do 31. 12. 2017 reálně čerp</w:t>
      </w:r>
      <w:r w:rsidR="00EB620D">
        <w:t>áno</w:t>
      </w:r>
      <w:r w:rsidRPr="00E522BD">
        <w:t xml:space="preserve">, a je zde vysoký počet </w:t>
      </w:r>
      <w:proofErr w:type="spellStart"/>
      <w:r w:rsidRPr="00E522BD">
        <w:t>zazávazkovaných</w:t>
      </w:r>
      <w:proofErr w:type="spellEnd"/>
      <w:r w:rsidRPr="00E522BD">
        <w:t xml:space="preserve"> projektů (cca </w:t>
      </w:r>
      <w:r w:rsidR="00EB620D">
        <w:t>⅔</w:t>
      </w:r>
      <w:r w:rsidRPr="00E522BD">
        <w:t xml:space="preserve"> prostředků alokovaných na 16.2 bylo k 31.</w:t>
      </w:r>
      <w:r w:rsidR="00BB3A3A">
        <w:t> </w:t>
      </w:r>
      <w:r w:rsidRPr="00E522BD">
        <w:t>12.</w:t>
      </w:r>
      <w:r w:rsidR="00BB3A3A">
        <w:t> </w:t>
      </w:r>
      <w:r w:rsidRPr="00E522BD">
        <w:t xml:space="preserve">2017 </w:t>
      </w:r>
      <w:proofErr w:type="spellStart"/>
      <w:r w:rsidRPr="00E522BD">
        <w:t>zazávazkováno</w:t>
      </w:r>
      <w:proofErr w:type="spellEnd"/>
      <w:r w:rsidRPr="00E522BD">
        <w:t>).</w:t>
      </w:r>
      <w:r>
        <w:t xml:space="preserve"> </w:t>
      </w:r>
      <w:r w:rsidRPr="00274BC8">
        <w:t>Kontrolou bylo zjištěno, že většina peněžních prostředků opatření M16</w:t>
      </w:r>
      <w:r w:rsidR="002235EC">
        <w:t xml:space="preserve"> </w:t>
      </w:r>
      <w:r w:rsidR="002235EC" w:rsidRPr="00F04B56">
        <w:rPr>
          <w:i/>
        </w:rPr>
        <w:t>Spolupráce</w:t>
      </w:r>
      <w:r w:rsidRPr="00274BC8">
        <w:t xml:space="preserve"> je alokována v operaci 16.2.2 zaměřené na podporu zprac</w:t>
      </w:r>
      <w:r>
        <w:t>ovatelů zemědělských produktů a </w:t>
      </w:r>
      <w:r w:rsidRPr="00274BC8">
        <w:t>potravinářských producentů. Tato operace byla také jako jediná zařazena již v 1.</w:t>
      </w:r>
      <w:r w:rsidR="00B37660">
        <w:t> </w:t>
      </w:r>
      <w:r w:rsidRPr="00274BC8">
        <w:t xml:space="preserve">kole příjmu žádostí a je to také jediná operace, </w:t>
      </w:r>
      <w:r w:rsidR="00EB620D">
        <w:t>z níž</w:t>
      </w:r>
      <w:r w:rsidRPr="00274BC8">
        <w:t xml:space="preserve"> </w:t>
      </w:r>
      <w:r w:rsidR="00EB620D">
        <w:t>bylo</w:t>
      </w:r>
      <w:r w:rsidRPr="00274BC8">
        <w:t xml:space="preserve"> do 31. 12. 2017 čerp</w:t>
      </w:r>
      <w:r w:rsidR="00EB620D">
        <w:t>áno</w:t>
      </w:r>
      <w:r w:rsidRPr="00274BC8">
        <w:t xml:space="preserve">. Výše alokovaných prostředků na tuto operaci se zvýšila z původních cca 71 mil. </w:t>
      </w:r>
      <w:r w:rsidR="00EB620D">
        <w:t>€</w:t>
      </w:r>
      <w:r w:rsidRPr="00274BC8">
        <w:t xml:space="preserve"> na cca</w:t>
      </w:r>
      <w:r w:rsidR="00B37660">
        <w:t> </w:t>
      </w:r>
      <w:r w:rsidRPr="00274BC8">
        <w:t>111</w:t>
      </w:r>
      <w:r w:rsidR="00B37660">
        <w:t> </w:t>
      </w:r>
      <w:r w:rsidRPr="00274BC8">
        <w:t>mil.</w:t>
      </w:r>
      <w:r w:rsidR="00B37660">
        <w:t> </w:t>
      </w:r>
      <w:r w:rsidR="00EB620D">
        <w:t>€</w:t>
      </w:r>
      <w:r w:rsidRPr="00274BC8">
        <w:t>, což je 74 % alokace opatření M16</w:t>
      </w:r>
      <w:r w:rsidR="00EB620D">
        <w:t> </w:t>
      </w:r>
      <w:r w:rsidR="002235EC" w:rsidRPr="00F04B56">
        <w:rPr>
          <w:i/>
        </w:rPr>
        <w:t>Spolupráce</w:t>
      </w:r>
      <w:r w:rsidRPr="00274BC8">
        <w:t xml:space="preserve">. </w:t>
      </w:r>
    </w:p>
    <w:p w14:paraId="42FAB190" w14:textId="1AF83BB2" w:rsidR="004F24F4" w:rsidRPr="00F04B56" w:rsidRDefault="00D91D0B" w:rsidP="00B26FBD">
      <w:pPr>
        <w:keepNext/>
        <w:spacing w:before="0"/>
        <w:outlineLvl w:val="2"/>
        <w:rPr>
          <w:b/>
        </w:rPr>
      </w:pPr>
      <w:r w:rsidRPr="00F04B56">
        <w:rPr>
          <w:b/>
        </w:rPr>
        <w:lastRenderedPageBreak/>
        <w:t>2.2 Věcný milník</w:t>
      </w:r>
    </w:p>
    <w:p w14:paraId="267AADD1" w14:textId="77777777" w:rsidR="00B37660" w:rsidRDefault="00B37660" w:rsidP="00B26FBD">
      <w:pPr>
        <w:keepNext/>
        <w:spacing w:before="0"/>
      </w:pPr>
    </w:p>
    <w:p w14:paraId="4B6AEFDC" w14:textId="51944909" w:rsidR="004F24F4" w:rsidRDefault="00D91D0B" w:rsidP="00AD78F3">
      <w:pPr>
        <w:spacing w:before="0"/>
      </w:pPr>
      <w:r w:rsidRPr="00813589">
        <w:t>MZe na základě evropských předpisů nastavilo někol</w:t>
      </w:r>
      <w:r>
        <w:t>ik věcných milníků pro PRV 2014–</w:t>
      </w:r>
      <w:r w:rsidRPr="00813589">
        <w:t>2020. Věcné milníky jsou nastaveny pro jednotlivé priority. V prioritách jsou zařazeny operace z různých opatření. V rámci opatření M16</w:t>
      </w:r>
      <w:r w:rsidR="002235EC">
        <w:t xml:space="preserve"> Spolupráce</w:t>
      </w:r>
      <w:r w:rsidRPr="00813589">
        <w:t xml:space="preserve"> byl nastaven jeden věcný milník</w:t>
      </w:r>
      <w:r w:rsidR="008E67E6">
        <w:t>,</w:t>
      </w:r>
      <w:r w:rsidRPr="00813589">
        <w:t xml:space="preserve"> a to pro prioritu P3 </w:t>
      </w:r>
      <w:r w:rsidR="008E67E6">
        <w:t>–</w:t>
      </w:r>
      <w:r w:rsidRPr="00813589">
        <w:t xml:space="preserve"> </w:t>
      </w:r>
      <w:r w:rsidRPr="00F04B56">
        <w:rPr>
          <w:i/>
        </w:rPr>
        <w:t>Podpora organizace potravinového řetězce, včetně zpracování produktů a</w:t>
      </w:r>
      <w:r w:rsidR="008E67E6" w:rsidRPr="00F04B56">
        <w:rPr>
          <w:i/>
        </w:rPr>
        <w:t> </w:t>
      </w:r>
      <w:r w:rsidRPr="00F04B56">
        <w:rPr>
          <w:i/>
        </w:rPr>
        <w:t>jejich uvádění na trh, dobrých životních podmínek zvířat a řízení rizik v zemědělství</w:t>
      </w:r>
      <w:r w:rsidRPr="00813589">
        <w:t>. Při nastavení operace 16.4.1 neprovedlo MZe analýzu absorpční kapacity</w:t>
      </w:r>
      <w:r w:rsidR="008E67E6">
        <w:t>,</w:t>
      </w:r>
      <w:r w:rsidRPr="00813589">
        <w:t xml:space="preserve"> a z toho důvodu </w:t>
      </w:r>
      <w:r>
        <w:t>nestanovilo reálnou hodnotu</w:t>
      </w:r>
      <w:r w:rsidRPr="00813589">
        <w:t xml:space="preserve"> milníku.</w:t>
      </w:r>
    </w:p>
    <w:p w14:paraId="6080A8F5" w14:textId="77777777" w:rsidR="00B37660" w:rsidRPr="00813589" w:rsidRDefault="00B37660" w:rsidP="00AD78F3">
      <w:pPr>
        <w:spacing w:before="0"/>
      </w:pPr>
    </w:p>
    <w:p w14:paraId="42DE9745" w14:textId="06B262A3" w:rsidR="004F24F4" w:rsidRDefault="00D91D0B" w:rsidP="00AD78F3">
      <w:pPr>
        <w:spacing w:before="0"/>
      </w:pPr>
      <w:r w:rsidRPr="00274BC8">
        <w:t>Kontrolou bylo zjištěno, že věcný miln</w:t>
      </w:r>
      <w:r>
        <w:t xml:space="preserve">ík stanovený pro operaci 16.4.1 </w:t>
      </w:r>
      <w:r w:rsidRPr="00274BC8">
        <w:t xml:space="preserve">ve výši 18 projektů/podniků nebude ke konci roku 2018 splněn, neboť k 31. 12. 2017 nebyly proplaceny a dokonce ani </w:t>
      </w:r>
      <w:proofErr w:type="spellStart"/>
      <w:r w:rsidRPr="00274BC8">
        <w:t>zazávazkovány</w:t>
      </w:r>
      <w:proofErr w:type="spellEnd"/>
      <w:r w:rsidRPr="00274BC8">
        <w:t xml:space="preserve"> žádné projekty.</w:t>
      </w:r>
    </w:p>
    <w:p w14:paraId="705E0ADB" w14:textId="77777777" w:rsidR="00B37660" w:rsidRPr="00274BC8" w:rsidRDefault="00B37660" w:rsidP="00AD78F3">
      <w:pPr>
        <w:spacing w:before="0"/>
      </w:pPr>
    </w:p>
    <w:p w14:paraId="62D356C3" w14:textId="77777777" w:rsidR="004F24F4" w:rsidRDefault="00D91D0B" w:rsidP="00AD78F3">
      <w:pPr>
        <w:spacing w:before="0"/>
      </w:pPr>
      <w:r w:rsidRPr="00274BC8">
        <w:t>MZe podniklo kroky ke zvýšení povědomí o operaci 16.4.1 a zmírnilo podstatným způsobem podmínky výběru p</w:t>
      </w:r>
      <w:r>
        <w:t>rojektů k financování. A</w:t>
      </w:r>
      <w:r w:rsidRPr="00274BC8">
        <w:t xml:space="preserve">ni tato přijatá opatření nevedla k většímu zájmu žadatelů. </w:t>
      </w:r>
    </w:p>
    <w:p w14:paraId="60B4638F" w14:textId="77777777" w:rsidR="00B37660" w:rsidRPr="00274BC8" w:rsidRDefault="00B37660" w:rsidP="00AD78F3">
      <w:pPr>
        <w:spacing w:before="0"/>
      </w:pPr>
    </w:p>
    <w:p w14:paraId="035C544C" w14:textId="7088399C" w:rsidR="004F24F4" w:rsidRDefault="00D91D0B" w:rsidP="00AD78F3">
      <w:pPr>
        <w:spacing w:before="0"/>
      </w:pPr>
      <w:r w:rsidRPr="00274BC8">
        <w:t xml:space="preserve">MZe zahájilo vyjednávání s Evropskou komisí ohledně snížení cílové hodnoty věcného milníku v rámci modifikace </w:t>
      </w:r>
      <w:r w:rsidR="008E67E6">
        <w:t>p</w:t>
      </w:r>
      <w:r w:rsidRPr="00274BC8">
        <w:t xml:space="preserve">rogramového dokumentu PRV na nulu. Podkladové informace byly ze strany ČR odeslány </w:t>
      </w:r>
      <w:r w:rsidR="008E67E6">
        <w:t>Evropské k</w:t>
      </w:r>
      <w:r w:rsidRPr="00274BC8">
        <w:t>omisi na konci ledna 2018, trvání schvalovacího procesu se bude pohybovat v řádech měsíců.</w:t>
      </w:r>
    </w:p>
    <w:p w14:paraId="081A97F1" w14:textId="77777777" w:rsidR="00B37660" w:rsidRPr="00274BC8" w:rsidRDefault="00B37660" w:rsidP="00AD78F3">
      <w:pPr>
        <w:spacing w:before="0"/>
      </w:pPr>
    </w:p>
    <w:p w14:paraId="7F43B218" w14:textId="656DC5B1" w:rsidR="004F24F4" w:rsidRDefault="00D91D0B" w:rsidP="00AD78F3">
      <w:pPr>
        <w:spacing w:before="0"/>
      </w:pPr>
      <w:r w:rsidRPr="00FA0F7C">
        <w:t>Hrozí zde riziko, že v případě, že EK neschválí návrh MZe na snížení hodnoty milníku pro</w:t>
      </w:r>
      <w:r w:rsidR="008E67E6">
        <w:t xml:space="preserve"> </w:t>
      </w:r>
      <w:r w:rsidRPr="00FA0F7C">
        <w:t>tuto operaci, nebude uvolněna výkonnostní rezerva</w:t>
      </w:r>
      <w:r w:rsidRPr="00F04B56">
        <w:rPr>
          <w:color w:val="000000" w:themeColor="text1"/>
        </w:rPr>
        <w:t xml:space="preserve"> </w:t>
      </w:r>
      <w:r w:rsidRPr="00FA0F7C">
        <w:t>pro danou prioritu P</w:t>
      </w:r>
      <w:r>
        <w:t xml:space="preserve">3, která se týká operací 4.2.1 </w:t>
      </w:r>
      <w:r w:rsidRPr="00F04B56">
        <w:rPr>
          <w:i/>
        </w:rPr>
        <w:t>Zpracování a uvádění na trh zemědělských produktů</w:t>
      </w:r>
      <w:r>
        <w:t xml:space="preserve">, 16.2.2 </w:t>
      </w:r>
      <w:r w:rsidRPr="00C77473">
        <w:rPr>
          <w:i/>
        </w:rPr>
        <w:t>P</w:t>
      </w:r>
      <w:r w:rsidRPr="00F04B56">
        <w:rPr>
          <w:i/>
        </w:rPr>
        <w:t>odpora vývoje nových produktů, postupů a technologií</w:t>
      </w:r>
      <w:r>
        <w:t xml:space="preserve">, 16.4.1 </w:t>
      </w:r>
      <w:r w:rsidRPr="00F04B56">
        <w:rPr>
          <w:bCs/>
          <w:i/>
        </w:rPr>
        <w:t>Horizontální a vertikální spolupráce mezi účastníky krátkých dodavatelských řetězců a místních trhů</w:t>
      </w:r>
      <w:r>
        <w:t xml:space="preserve"> a opatření M14 </w:t>
      </w:r>
      <w:r w:rsidRPr="00F04B56">
        <w:rPr>
          <w:i/>
        </w:rPr>
        <w:t>Dobré životní podmínky zvířat</w:t>
      </w:r>
      <w:r w:rsidRPr="00FA0F7C">
        <w:t>. Celková výše výkon</w:t>
      </w:r>
      <w:r>
        <w:t>n</w:t>
      </w:r>
      <w:r w:rsidRPr="00FA0F7C">
        <w:t>ost</w:t>
      </w:r>
      <w:r>
        <w:t>n</w:t>
      </w:r>
      <w:r w:rsidRPr="00FA0F7C">
        <w:t>í rezervy, u které hrozí její neuvolnění pro P3, je 7,2 mil.</w:t>
      </w:r>
      <w:r w:rsidR="00A14D45">
        <w:t xml:space="preserve"> </w:t>
      </w:r>
      <w:r w:rsidR="008E67E6">
        <w:t>€</w:t>
      </w:r>
      <w:r w:rsidRPr="00FA0F7C">
        <w:t>.</w:t>
      </w:r>
    </w:p>
    <w:p w14:paraId="63142FBD" w14:textId="77777777" w:rsidR="00AD78F3" w:rsidRPr="00FA0F7C" w:rsidRDefault="00AD78F3" w:rsidP="00AD78F3">
      <w:pPr>
        <w:spacing w:before="0"/>
      </w:pPr>
    </w:p>
    <w:p w14:paraId="18784A97" w14:textId="77777777" w:rsidR="004F24F4" w:rsidRPr="00B41299" w:rsidRDefault="00D91D0B" w:rsidP="00AD78F3">
      <w:pPr>
        <w:spacing w:before="0" w:after="40"/>
        <w:rPr>
          <w:b/>
        </w:rPr>
      </w:pPr>
      <w:r w:rsidRPr="00B41299">
        <w:rPr>
          <w:b/>
        </w:rPr>
        <w:t>Tabulka č. 2: Alokace na operace priority P3</w:t>
      </w:r>
    </w:p>
    <w:tbl>
      <w:tblPr>
        <w:tblW w:w="90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4989"/>
        <w:gridCol w:w="2268"/>
      </w:tblGrid>
      <w:tr w:rsidR="00B45BBC" w:rsidRPr="00AD78F3" w14:paraId="010928D0" w14:textId="77777777" w:rsidTr="00AD78F3">
        <w:trPr>
          <w:trHeight w:val="227"/>
          <w:jc w:val="center"/>
        </w:trPr>
        <w:tc>
          <w:tcPr>
            <w:tcW w:w="1814" w:type="dxa"/>
            <w:shd w:val="clear" w:color="auto" w:fill="E5F1FF"/>
            <w:vAlign w:val="center"/>
          </w:tcPr>
          <w:p w14:paraId="59D25008" w14:textId="1973EEAF" w:rsidR="004F24F4" w:rsidRPr="00AD78F3" w:rsidRDefault="00D91D0B" w:rsidP="008E67E6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AD78F3">
              <w:rPr>
                <w:b/>
                <w:sz w:val="20"/>
                <w:szCs w:val="20"/>
              </w:rPr>
              <w:t>Operace/</w:t>
            </w:r>
            <w:r w:rsidR="008E67E6">
              <w:rPr>
                <w:b/>
                <w:sz w:val="20"/>
                <w:szCs w:val="20"/>
              </w:rPr>
              <w:t>o</w:t>
            </w:r>
            <w:r w:rsidRPr="00AD78F3">
              <w:rPr>
                <w:b/>
                <w:sz w:val="20"/>
                <w:szCs w:val="20"/>
              </w:rPr>
              <w:t>patření</w:t>
            </w:r>
          </w:p>
        </w:tc>
        <w:tc>
          <w:tcPr>
            <w:tcW w:w="4989" w:type="dxa"/>
            <w:shd w:val="clear" w:color="auto" w:fill="E5F1FF"/>
            <w:vAlign w:val="center"/>
          </w:tcPr>
          <w:p w14:paraId="74552030" w14:textId="77777777" w:rsidR="004F24F4" w:rsidRPr="00AD78F3" w:rsidRDefault="00D91D0B" w:rsidP="00AD78F3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AD78F3">
              <w:rPr>
                <w:b/>
                <w:sz w:val="20"/>
                <w:szCs w:val="20"/>
              </w:rPr>
              <w:t>Název operace</w:t>
            </w:r>
          </w:p>
        </w:tc>
        <w:tc>
          <w:tcPr>
            <w:tcW w:w="2268" w:type="dxa"/>
            <w:shd w:val="clear" w:color="auto" w:fill="E5F1FF"/>
            <w:vAlign w:val="center"/>
          </w:tcPr>
          <w:p w14:paraId="00C0D71D" w14:textId="419146EF" w:rsidR="004F24F4" w:rsidRPr="00AD78F3" w:rsidRDefault="00D91D0B" w:rsidP="008E67E6">
            <w:pPr>
              <w:spacing w:before="0"/>
              <w:jc w:val="center"/>
              <w:rPr>
                <w:b/>
                <w:sz w:val="20"/>
                <w:szCs w:val="20"/>
              </w:rPr>
            </w:pPr>
            <w:r w:rsidRPr="00AD78F3">
              <w:rPr>
                <w:b/>
                <w:sz w:val="20"/>
                <w:szCs w:val="20"/>
              </w:rPr>
              <w:t>Alokace (celkové veřejné výdaje v </w:t>
            </w:r>
            <w:r w:rsidR="008E67E6">
              <w:rPr>
                <w:b/>
                <w:sz w:val="20"/>
                <w:szCs w:val="20"/>
              </w:rPr>
              <w:t>€</w:t>
            </w:r>
            <w:r w:rsidRPr="00AD78F3">
              <w:rPr>
                <w:b/>
                <w:sz w:val="20"/>
                <w:szCs w:val="20"/>
              </w:rPr>
              <w:t>)</w:t>
            </w:r>
          </w:p>
        </w:tc>
      </w:tr>
      <w:tr w:rsidR="00B45BBC" w:rsidRPr="00AD78F3" w14:paraId="0C3B03DD" w14:textId="77777777" w:rsidTr="00AD78F3">
        <w:trPr>
          <w:trHeight w:val="227"/>
          <w:jc w:val="center"/>
        </w:trPr>
        <w:tc>
          <w:tcPr>
            <w:tcW w:w="1814" w:type="dxa"/>
            <w:vAlign w:val="center"/>
          </w:tcPr>
          <w:p w14:paraId="576F6CA8" w14:textId="77777777" w:rsidR="004F24F4" w:rsidRPr="00AD78F3" w:rsidRDefault="00D91D0B" w:rsidP="00AD78F3">
            <w:pPr>
              <w:spacing w:before="0"/>
              <w:ind w:right="581"/>
              <w:jc w:val="right"/>
              <w:rPr>
                <w:b/>
                <w:sz w:val="20"/>
                <w:szCs w:val="20"/>
              </w:rPr>
            </w:pPr>
            <w:r w:rsidRPr="00AD78F3">
              <w:rPr>
                <w:b/>
                <w:sz w:val="20"/>
                <w:szCs w:val="20"/>
              </w:rPr>
              <w:t>4.2.1</w:t>
            </w:r>
          </w:p>
        </w:tc>
        <w:tc>
          <w:tcPr>
            <w:tcW w:w="4989" w:type="dxa"/>
            <w:vAlign w:val="center"/>
          </w:tcPr>
          <w:p w14:paraId="68A85E1A" w14:textId="77777777" w:rsidR="004F24F4" w:rsidRPr="00AD78F3" w:rsidRDefault="00D91D0B" w:rsidP="00AD78F3">
            <w:pPr>
              <w:spacing w:before="0"/>
              <w:jc w:val="left"/>
              <w:rPr>
                <w:sz w:val="20"/>
                <w:szCs w:val="20"/>
              </w:rPr>
            </w:pPr>
            <w:r w:rsidRPr="00AD78F3">
              <w:rPr>
                <w:sz w:val="20"/>
                <w:szCs w:val="20"/>
              </w:rPr>
              <w:t>Zpracování a uvádění na trh zemědělských produktů</w:t>
            </w:r>
          </w:p>
        </w:tc>
        <w:tc>
          <w:tcPr>
            <w:tcW w:w="2268" w:type="dxa"/>
            <w:vAlign w:val="center"/>
          </w:tcPr>
          <w:p w14:paraId="1E2F00B6" w14:textId="77777777" w:rsidR="004F24F4" w:rsidRPr="00AD78F3" w:rsidRDefault="00D91D0B" w:rsidP="00AD78F3">
            <w:pPr>
              <w:spacing w:before="0"/>
              <w:ind w:right="324"/>
              <w:jc w:val="right"/>
              <w:rPr>
                <w:sz w:val="20"/>
                <w:szCs w:val="20"/>
              </w:rPr>
            </w:pPr>
            <w:r w:rsidRPr="00AD78F3">
              <w:rPr>
                <w:sz w:val="20"/>
                <w:szCs w:val="20"/>
              </w:rPr>
              <w:t>144 448 978</w:t>
            </w:r>
          </w:p>
        </w:tc>
      </w:tr>
      <w:tr w:rsidR="00B45BBC" w:rsidRPr="00AD78F3" w14:paraId="21F97D59" w14:textId="77777777" w:rsidTr="00AD78F3">
        <w:trPr>
          <w:trHeight w:val="227"/>
          <w:jc w:val="center"/>
        </w:trPr>
        <w:tc>
          <w:tcPr>
            <w:tcW w:w="1814" w:type="dxa"/>
            <w:vAlign w:val="center"/>
          </w:tcPr>
          <w:p w14:paraId="4F0FDC2C" w14:textId="77777777" w:rsidR="004F24F4" w:rsidRPr="00AD78F3" w:rsidRDefault="00D91D0B" w:rsidP="00AD78F3">
            <w:pPr>
              <w:spacing w:before="0"/>
              <w:ind w:right="581"/>
              <w:jc w:val="right"/>
              <w:rPr>
                <w:b/>
                <w:sz w:val="20"/>
                <w:szCs w:val="20"/>
              </w:rPr>
            </w:pPr>
            <w:r w:rsidRPr="00AD78F3">
              <w:rPr>
                <w:b/>
                <w:sz w:val="20"/>
                <w:szCs w:val="20"/>
              </w:rPr>
              <w:t>16.2.2</w:t>
            </w:r>
          </w:p>
        </w:tc>
        <w:tc>
          <w:tcPr>
            <w:tcW w:w="4989" w:type="dxa"/>
            <w:vAlign w:val="center"/>
          </w:tcPr>
          <w:p w14:paraId="2E7E683D" w14:textId="77777777" w:rsidR="004F24F4" w:rsidRPr="00AD78F3" w:rsidRDefault="00D91D0B" w:rsidP="00AD78F3">
            <w:pPr>
              <w:spacing w:before="0"/>
              <w:jc w:val="left"/>
              <w:rPr>
                <w:sz w:val="20"/>
                <w:szCs w:val="20"/>
              </w:rPr>
            </w:pPr>
            <w:r w:rsidRPr="00AD78F3">
              <w:rPr>
                <w:sz w:val="20"/>
                <w:szCs w:val="20"/>
              </w:rPr>
              <w:t>Podpora vývoje nových produktů, postupů a technologií</w:t>
            </w:r>
          </w:p>
        </w:tc>
        <w:tc>
          <w:tcPr>
            <w:tcW w:w="2268" w:type="dxa"/>
            <w:vAlign w:val="center"/>
          </w:tcPr>
          <w:p w14:paraId="4271C759" w14:textId="77777777" w:rsidR="004F24F4" w:rsidRPr="00AD78F3" w:rsidRDefault="00D91D0B" w:rsidP="00AD78F3">
            <w:pPr>
              <w:spacing w:before="0"/>
              <w:ind w:right="324"/>
              <w:jc w:val="right"/>
              <w:rPr>
                <w:sz w:val="20"/>
                <w:szCs w:val="20"/>
              </w:rPr>
            </w:pPr>
            <w:r w:rsidRPr="00AD78F3">
              <w:rPr>
                <w:sz w:val="20"/>
                <w:szCs w:val="20"/>
              </w:rPr>
              <w:t>110 882 529</w:t>
            </w:r>
          </w:p>
        </w:tc>
      </w:tr>
      <w:tr w:rsidR="00B45BBC" w:rsidRPr="00AD78F3" w14:paraId="194EB724" w14:textId="77777777" w:rsidTr="00AD78F3">
        <w:trPr>
          <w:trHeight w:val="227"/>
          <w:jc w:val="center"/>
        </w:trPr>
        <w:tc>
          <w:tcPr>
            <w:tcW w:w="1814" w:type="dxa"/>
            <w:vAlign w:val="center"/>
          </w:tcPr>
          <w:p w14:paraId="7B4A74E7" w14:textId="77777777" w:rsidR="004F24F4" w:rsidRPr="00AD78F3" w:rsidRDefault="00D91D0B" w:rsidP="00AD78F3">
            <w:pPr>
              <w:spacing w:before="0"/>
              <w:ind w:right="581"/>
              <w:jc w:val="right"/>
              <w:rPr>
                <w:b/>
                <w:sz w:val="20"/>
                <w:szCs w:val="20"/>
              </w:rPr>
            </w:pPr>
            <w:r w:rsidRPr="00AD78F3">
              <w:rPr>
                <w:b/>
                <w:sz w:val="20"/>
                <w:szCs w:val="20"/>
              </w:rPr>
              <w:t>16.4.1</w:t>
            </w:r>
          </w:p>
        </w:tc>
        <w:tc>
          <w:tcPr>
            <w:tcW w:w="4989" w:type="dxa"/>
            <w:vAlign w:val="center"/>
          </w:tcPr>
          <w:p w14:paraId="7273BD3F" w14:textId="77777777" w:rsidR="004F24F4" w:rsidRPr="00AD78F3" w:rsidRDefault="00D91D0B" w:rsidP="00AD78F3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AD78F3">
              <w:rPr>
                <w:bCs/>
                <w:sz w:val="20"/>
                <w:szCs w:val="20"/>
              </w:rPr>
              <w:t>Horizontální a vertikální spolupráce mezi účastníky krátkých dodavatelských řetězců a místních trhů</w:t>
            </w:r>
          </w:p>
        </w:tc>
        <w:tc>
          <w:tcPr>
            <w:tcW w:w="2268" w:type="dxa"/>
            <w:vAlign w:val="center"/>
          </w:tcPr>
          <w:p w14:paraId="5D30197D" w14:textId="77777777" w:rsidR="004F24F4" w:rsidRPr="00AD78F3" w:rsidRDefault="00D91D0B" w:rsidP="00AD78F3">
            <w:pPr>
              <w:spacing w:before="0"/>
              <w:ind w:right="324"/>
              <w:jc w:val="right"/>
              <w:rPr>
                <w:sz w:val="20"/>
                <w:szCs w:val="20"/>
              </w:rPr>
            </w:pPr>
            <w:r w:rsidRPr="00AD78F3">
              <w:rPr>
                <w:sz w:val="20"/>
                <w:szCs w:val="20"/>
              </w:rPr>
              <w:t>4 000 000</w:t>
            </w:r>
          </w:p>
        </w:tc>
      </w:tr>
      <w:tr w:rsidR="00B45BBC" w:rsidRPr="00AD78F3" w14:paraId="4C20A049" w14:textId="77777777" w:rsidTr="00AD78F3">
        <w:trPr>
          <w:trHeight w:val="227"/>
          <w:jc w:val="center"/>
        </w:trPr>
        <w:tc>
          <w:tcPr>
            <w:tcW w:w="1814" w:type="dxa"/>
            <w:vAlign w:val="center"/>
          </w:tcPr>
          <w:p w14:paraId="7BD494AD" w14:textId="77777777" w:rsidR="004F24F4" w:rsidRPr="00AD78F3" w:rsidRDefault="00D91D0B" w:rsidP="00AD78F3">
            <w:pPr>
              <w:spacing w:before="0"/>
              <w:ind w:right="581"/>
              <w:jc w:val="right"/>
              <w:rPr>
                <w:b/>
                <w:sz w:val="20"/>
                <w:szCs w:val="20"/>
              </w:rPr>
            </w:pPr>
            <w:r w:rsidRPr="00AD78F3">
              <w:rPr>
                <w:b/>
                <w:sz w:val="20"/>
                <w:szCs w:val="20"/>
              </w:rPr>
              <w:t>M14</w:t>
            </w:r>
          </w:p>
        </w:tc>
        <w:tc>
          <w:tcPr>
            <w:tcW w:w="4989" w:type="dxa"/>
            <w:vAlign w:val="center"/>
          </w:tcPr>
          <w:p w14:paraId="25589E52" w14:textId="77777777" w:rsidR="004F24F4" w:rsidRPr="00AD78F3" w:rsidRDefault="00D91D0B" w:rsidP="00AD78F3">
            <w:pPr>
              <w:spacing w:before="0"/>
              <w:jc w:val="left"/>
              <w:rPr>
                <w:bCs/>
                <w:sz w:val="20"/>
                <w:szCs w:val="20"/>
              </w:rPr>
            </w:pPr>
            <w:r w:rsidRPr="00AD78F3">
              <w:rPr>
                <w:bCs/>
                <w:sz w:val="20"/>
                <w:szCs w:val="20"/>
              </w:rPr>
              <w:t>Dobré životní podmínky zvířat</w:t>
            </w:r>
          </w:p>
        </w:tc>
        <w:tc>
          <w:tcPr>
            <w:tcW w:w="2268" w:type="dxa"/>
            <w:vAlign w:val="center"/>
          </w:tcPr>
          <w:p w14:paraId="53BE71CD" w14:textId="77777777" w:rsidR="004F24F4" w:rsidRPr="00AD78F3" w:rsidRDefault="00D91D0B" w:rsidP="00AD78F3">
            <w:pPr>
              <w:spacing w:before="0"/>
              <w:ind w:right="324"/>
              <w:jc w:val="right"/>
              <w:rPr>
                <w:sz w:val="20"/>
                <w:szCs w:val="20"/>
              </w:rPr>
            </w:pPr>
            <w:r w:rsidRPr="00AD78F3">
              <w:rPr>
                <w:sz w:val="20"/>
                <w:szCs w:val="20"/>
              </w:rPr>
              <w:t>133 333 334</w:t>
            </w:r>
          </w:p>
        </w:tc>
      </w:tr>
    </w:tbl>
    <w:p w14:paraId="1AB1F00E" w14:textId="1878BCC2" w:rsidR="004F24F4" w:rsidRDefault="00D91D0B" w:rsidP="00B37660">
      <w:pPr>
        <w:spacing w:before="40"/>
        <w:rPr>
          <w:sz w:val="20"/>
          <w:szCs w:val="20"/>
        </w:rPr>
      </w:pPr>
      <w:r w:rsidRPr="00B41299">
        <w:rPr>
          <w:b/>
          <w:sz w:val="20"/>
          <w:szCs w:val="20"/>
        </w:rPr>
        <w:t>Zdroj:</w:t>
      </w:r>
      <w:r w:rsidRPr="00B41299">
        <w:rPr>
          <w:sz w:val="20"/>
          <w:szCs w:val="20"/>
        </w:rPr>
        <w:t xml:space="preserve"> </w:t>
      </w:r>
      <w:r w:rsidR="008E67E6">
        <w:rPr>
          <w:sz w:val="20"/>
          <w:szCs w:val="20"/>
        </w:rPr>
        <w:t>p</w:t>
      </w:r>
      <w:r w:rsidRPr="00B41299">
        <w:rPr>
          <w:sz w:val="20"/>
          <w:szCs w:val="20"/>
        </w:rPr>
        <w:t>rogramový dokument PRV 2014–2020</w:t>
      </w:r>
      <w:r>
        <w:rPr>
          <w:sz w:val="20"/>
          <w:szCs w:val="20"/>
        </w:rPr>
        <w:t>.</w:t>
      </w:r>
    </w:p>
    <w:p w14:paraId="37531344" w14:textId="77777777" w:rsidR="00AD78F3" w:rsidRDefault="00AD78F3" w:rsidP="00AD78F3">
      <w:pPr>
        <w:spacing w:before="0"/>
      </w:pPr>
    </w:p>
    <w:p w14:paraId="0916EACD" w14:textId="6045D3DB" w:rsidR="004F24F4" w:rsidRDefault="00D91D0B" w:rsidP="00AD78F3">
      <w:pPr>
        <w:spacing w:before="0"/>
      </w:pPr>
      <w:r w:rsidRPr="00274BC8">
        <w:t xml:space="preserve">Z tabulky je patrné, že operace s nejnižší alokací – tedy 16.4.1 </w:t>
      </w:r>
      <w:r w:rsidR="008E67E6">
        <w:t>–</w:t>
      </w:r>
      <w:r w:rsidRPr="00274BC8">
        <w:t xml:space="preserve"> </w:t>
      </w:r>
      <w:r w:rsidR="008E67E6">
        <w:t xml:space="preserve">může </w:t>
      </w:r>
      <w:r>
        <w:t>v případě nenaplnění milníku zablokovat uvolnění dodatečných prostředků</w:t>
      </w:r>
      <w:r w:rsidRPr="00274BC8">
        <w:t xml:space="preserve"> pro v</w:t>
      </w:r>
      <w:r w:rsidR="009C09F3">
        <w:t>elké investiční operace 4.2.1 a </w:t>
      </w:r>
      <w:r w:rsidRPr="00274BC8">
        <w:t>16.2.2 s mnohonásobně vyšší alokací a dokonce pro celé opatření M14.</w:t>
      </w:r>
    </w:p>
    <w:p w14:paraId="4F3A7ECF" w14:textId="77777777" w:rsidR="004F24F4" w:rsidRPr="00274BC8" w:rsidRDefault="004F24F4" w:rsidP="00AD78F3">
      <w:pPr>
        <w:spacing w:before="0"/>
      </w:pPr>
    </w:p>
    <w:p w14:paraId="121F97DB" w14:textId="396555BC" w:rsidR="004F24F4" w:rsidRPr="005B100A" w:rsidRDefault="00D91D0B" w:rsidP="00F04B56">
      <w:pPr>
        <w:keepNext/>
        <w:spacing w:before="0"/>
        <w:outlineLvl w:val="1"/>
        <w:rPr>
          <w:b/>
        </w:rPr>
      </w:pPr>
      <w:r w:rsidRPr="005B100A">
        <w:rPr>
          <w:b/>
        </w:rPr>
        <w:t>3. Plnění cílů</w:t>
      </w:r>
    </w:p>
    <w:p w14:paraId="61115910" w14:textId="77777777" w:rsidR="00B37660" w:rsidRDefault="00B37660" w:rsidP="00F04B56">
      <w:pPr>
        <w:keepNext/>
        <w:spacing w:before="0"/>
      </w:pPr>
    </w:p>
    <w:p w14:paraId="7192B6F7" w14:textId="2A0365D7" w:rsidR="004F24F4" w:rsidRDefault="00D91D0B" w:rsidP="00AD78F3">
      <w:pPr>
        <w:spacing w:before="0"/>
      </w:pPr>
      <w:r w:rsidRPr="003C22DD">
        <w:t xml:space="preserve">Řídicí orgán </w:t>
      </w:r>
      <w:r w:rsidR="008E67E6">
        <w:t>odpovídá</w:t>
      </w:r>
      <w:r w:rsidRPr="003C22DD">
        <w:t xml:space="preserve"> za fungování programu a plnění stanovených cílů. Pro efektivní vyhodnocení přínosů programu a vynaložených peněžních prostředků musí být jednoznačně </w:t>
      </w:r>
      <w:r w:rsidRPr="003C22DD">
        <w:lastRenderedPageBreak/>
        <w:t xml:space="preserve">vymezeny konkrétní cíle a zároveň měřitelné indikátory, </w:t>
      </w:r>
      <w:r w:rsidR="008E67E6">
        <w:t xml:space="preserve">s jejichž </w:t>
      </w:r>
      <w:r w:rsidRPr="003C22DD">
        <w:t>pomocí lze míru dosažení cíle vyhodnotit. Neplnění cílů snižuje účinnost vynaložených veřejných prostředků.</w:t>
      </w:r>
    </w:p>
    <w:p w14:paraId="2482211C" w14:textId="77777777" w:rsidR="00552395" w:rsidRPr="003C22DD" w:rsidRDefault="00552395" w:rsidP="00AD78F3">
      <w:pPr>
        <w:spacing w:before="0"/>
      </w:pPr>
    </w:p>
    <w:p w14:paraId="2F3D00EC" w14:textId="06A8810B" w:rsidR="004F24F4" w:rsidRDefault="00D91D0B" w:rsidP="00AD78F3">
      <w:pPr>
        <w:spacing w:before="0"/>
      </w:pPr>
      <w:r w:rsidRPr="00274BC8">
        <w:t>NKÚ prověřil, jak MZe nastavilo cíle opatření M16</w:t>
      </w:r>
      <w:r w:rsidR="002235EC">
        <w:t xml:space="preserve"> </w:t>
      </w:r>
      <w:r w:rsidR="002235EC" w:rsidRPr="00F04B56">
        <w:rPr>
          <w:i/>
        </w:rPr>
        <w:t>Spolupráce</w:t>
      </w:r>
      <w:r w:rsidRPr="00274BC8">
        <w:t xml:space="preserve"> a jak je plnilo a jak opatření přispívá k plnění cílů </w:t>
      </w:r>
      <w:r w:rsidR="008E67E6">
        <w:t>s</w:t>
      </w:r>
      <w:r w:rsidRPr="00274BC8">
        <w:t xml:space="preserve">trategie </w:t>
      </w:r>
      <w:r w:rsidRPr="00F04B56">
        <w:rPr>
          <w:i/>
        </w:rPr>
        <w:t>Evropa 2020</w:t>
      </w:r>
      <w:r w:rsidRPr="00274BC8">
        <w:t>.</w:t>
      </w:r>
    </w:p>
    <w:p w14:paraId="525917BA" w14:textId="77777777" w:rsidR="004F24F4" w:rsidRPr="00274BC8" w:rsidRDefault="004F24F4" w:rsidP="00AD78F3">
      <w:pPr>
        <w:spacing w:before="0"/>
      </w:pPr>
    </w:p>
    <w:p w14:paraId="3EF02B0A" w14:textId="682DF992" w:rsidR="004F24F4" w:rsidRPr="00F04B56" w:rsidRDefault="00D91D0B" w:rsidP="00AD78F3">
      <w:pPr>
        <w:pStyle w:val="Default"/>
        <w:shd w:val="clear" w:color="auto" w:fill="FFFFFF"/>
        <w:jc w:val="both"/>
        <w:outlineLvl w:val="2"/>
        <w:rPr>
          <w:rFonts w:ascii="Calibri" w:hAnsi="Calibri" w:cs="Calibri"/>
          <w:b/>
          <w:bCs/>
          <w:iCs/>
          <w:color w:val="auto"/>
        </w:rPr>
      </w:pPr>
      <w:r w:rsidRPr="00F04B56">
        <w:rPr>
          <w:rFonts w:ascii="Calibri" w:hAnsi="Calibri" w:cs="Calibri"/>
          <w:b/>
          <w:bCs/>
          <w:iCs/>
          <w:color w:val="auto"/>
        </w:rPr>
        <w:t>3.1 Plnění cílů PRV</w:t>
      </w:r>
    </w:p>
    <w:p w14:paraId="1EAFEAC3" w14:textId="77777777" w:rsidR="00B37660" w:rsidRDefault="00B37660" w:rsidP="00AD78F3">
      <w:pPr>
        <w:pStyle w:val="Default"/>
        <w:shd w:val="clear" w:color="auto" w:fill="FFFFFF"/>
        <w:jc w:val="both"/>
        <w:rPr>
          <w:rFonts w:ascii="Calibri" w:hAnsi="Calibri" w:cs="Calibri"/>
          <w:bCs/>
          <w:iCs/>
          <w:color w:val="auto"/>
        </w:rPr>
      </w:pPr>
    </w:p>
    <w:p w14:paraId="5DCE034B" w14:textId="7286B51D" w:rsidR="004F24F4" w:rsidRPr="00274BC8" w:rsidRDefault="00D91D0B" w:rsidP="00AD78F3">
      <w:pPr>
        <w:pStyle w:val="Default"/>
        <w:shd w:val="clear" w:color="auto" w:fill="FFFFFF"/>
        <w:jc w:val="both"/>
        <w:rPr>
          <w:rFonts w:ascii="Calibri" w:hAnsi="Calibri" w:cs="Calibri"/>
          <w:bCs/>
          <w:iCs/>
          <w:color w:val="auto"/>
        </w:rPr>
      </w:pPr>
      <w:r w:rsidRPr="00274BC8">
        <w:rPr>
          <w:rFonts w:ascii="Calibri" w:hAnsi="Calibri" w:cs="Calibri"/>
          <w:bCs/>
          <w:iCs/>
          <w:color w:val="auto"/>
        </w:rPr>
        <w:t>Opatření M16</w:t>
      </w:r>
      <w:r w:rsidR="002235EC">
        <w:rPr>
          <w:rFonts w:ascii="Calibri" w:hAnsi="Calibri" w:cs="Calibri"/>
          <w:bCs/>
          <w:iCs/>
          <w:color w:val="auto"/>
        </w:rPr>
        <w:t xml:space="preserve"> </w:t>
      </w:r>
      <w:r w:rsidR="002235EC" w:rsidRPr="00F04B56">
        <w:rPr>
          <w:rFonts w:ascii="Calibri" w:hAnsi="Calibri" w:cs="Calibri"/>
          <w:bCs/>
          <w:i/>
          <w:iCs/>
          <w:color w:val="auto"/>
        </w:rPr>
        <w:t>Spolupráce</w:t>
      </w:r>
      <w:r w:rsidRPr="00274BC8">
        <w:rPr>
          <w:rFonts w:ascii="Calibri" w:hAnsi="Calibri" w:cs="Calibri"/>
          <w:bCs/>
          <w:iCs/>
          <w:color w:val="auto"/>
        </w:rPr>
        <w:t xml:space="preserve"> se váže na dva tematické cíle</w:t>
      </w:r>
      <w:r>
        <w:rPr>
          <w:rFonts w:ascii="Calibri" w:hAnsi="Calibri" w:cs="Calibri"/>
          <w:bCs/>
          <w:iCs/>
          <w:color w:val="auto"/>
        </w:rPr>
        <w:t xml:space="preserve"> </w:t>
      </w:r>
      <w:r w:rsidRPr="00025666">
        <w:rPr>
          <w:rFonts w:ascii="Calibri" w:hAnsi="Calibri" w:cs="Calibri"/>
          <w:bCs/>
          <w:iCs/>
          <w:color w:val="auto"/>
        </w:rPr>
        <w:t>(</w:t>
      </w:r>
      <w:r>
        <w:rPr>
          <w:rFonts w:ascii="Calibri" w:hAnsi="Calibri" w:cs="Calibri"/>
          <w:bCs/>
          <w:iCs/>
          <w:color w:val="auto"/>
        </w:rPr>
        <w:t>dále též „</w:t>
      </w:r>
      <w:r w:rsidRPr="00025666">
        <w:rPr>
          <w:rFonts w:ascii="Calibri" w:hAnsi="Calibri" w:cs="Calibri"/>
          <w:bCs/>
          <w:iCs/>
          <w:color w:val="auto"/>
        </w:rPr>
        <w:t>TC</w:t>
      </w:r>
      <w:r>
        <w:rPr>
          <w:rFonts w:ascii="Calibri" w:hAnsi="Calibri" w:cs="Calibri"/>
          <w:bCs/>
          <w:iCs/>
          <w:color w:val="auto"/>
        </w:rPr>
        <w:t>“</w:t>
      </w:r>
      <w:r w:rsidRPr="00025666">
        <w:rPr>
          <w:rFonts w:ascii="Calibri" w:hAnsi="Calibri" w:cs="Calibri"/>
          <w:bCs/>
          <w:iCs/>
          <w:color w:val="auto"/>
        </w:rPr>
        <w:t>)</w:t>
      </w:r>
      <w:r>
        <w:rPr>
          <w:rFonts w:ascii="Calibri" w:hAnsi="Calibri" w:cs="Calibri"/>
          <w:bCs/>
          <w:iCs/>
          <w:color w:val="auto"/>
        </w:rPr>
        <w:t xml:space="preserve"> PRV 2014–</w:t>
      </w:r>
      <w:r w:rsidRPr="00274BC8">
        <w:rPr>
          <w:rFonts w:ascii="Calibri" w:hAnsi="Calibri" w:cs="Calibri"/>
          <w:bCs/>
          <w:iCs/>
          <w:color w:val="auto"/>
        </w:rPr>
        <w:t>2020:</w:t>
      </w:r>
    </w:p>
    <w:p w14:paraId="436146E3" w14:textId="489E224D" w:rsidR="004F24F4" w:rsidRPr="00274BC8" w:rsidRDefault="00D91D0B" w:rsidP="00B37660">
      <w:pPr>
        <w:pStyle w:val="Default"/>
        <w:numPr>
          <w:ilvl w:val="0"/>
          <w:numId w:val="28"/>
        </w:numPr>
        <w:shd w:val="clear" w:color="auto" w:fill="FFFFFF"/>
        <w:ind w:left="284" w:hanging="284"/>
        <w:jc w:val="both"/>
        <w:rPr>
          <w:rFonts w:ascii="Calibri" w:hAnsi="Calibri" w:cs="Calibri"/>
          <w:bCs/>
          <w:iCs/>
          <w:color w:val="auto"/>
        </w:rPr>
      </w:pPr>
      <w:r w:rsidRPr="00274BC8">
        <w:rPr>
          <w:rFonts w:ascii="Calibri" w:hAnsi="Calibri" w:cs="Calibri"/>
          <w:bCs/>
          <w:iCs/>
          <w:color w:val="auto"/>
        </w:rPr>
        <w:t xml:space="preserve">TC 1 </w:t>
      </w:r>
      <w:r w:rsidR="00E94616">
        <w:rPr>
          <w:rFonts w:ascii="Calibri" w:hAnsi="Calibri" w:cs="Calibri"/>
          <w:bCs/>
          <w:iCs/>
          <w:color w:val="auto"/>
        </w:rPr>
        <w:t>–</w:t>
      </w:r>
      <w:r w:rsidRPr="00274BC8">
        <w:rPr>
          <w:rFonts w:ascii="Calibri" w:hAnsi="Calibri" w:cs="Calibri"/>
          <w:bCs/>
          <w:iCs/>
          <w:color w:val="auto"/>
        </w:rPr>
        <w:t xml:space="preserve"> </w:t>
      </w:r>
      <w:r w:rsidR="00E94616">
        <w:rPr>
          <w:rFonts w:ascii="Calibri" w:hAnsi="Calibri" w:cs="Calibri"/>
          <w:bCs/>
          <w:iCs/>
          <w:color w:val="auto"/>
        </w:rPr>
        <w:t>p</w:t>
      </w:r>
      <w:r w:rsidRPr="00274BC8">
        <w:rPr>
          <w:rFonts w:ascii="Calibri" w:hAnsi="Calibri" w:cs="Calibri"/>
          <w:bCs/>
          <w:iCs/>
          <w:color w:val="auto"/>
        </w:rPr>
        <w:t>osílení výzkumu, technologického rozvoje a inovací</w:t>
      </w:r>
      <w:r w:rsidR="00E94616">
        <w:rPr>
          <w:rFonts w:ascii="Calibri" w:hAnsi="Calibri" w:cs="Calibri"/>
          <w:bCs/>
          <w:iCs/>
          <w:color w:val="auto"/>
        </w:rPr>
        <w:t>,</w:t>
      </w:r>
    </w:p>
    <w:p w14:paraId="05E948DC" w14:textId="1559E8E0" w:rsidR="004F24F4" w:rsidRPr="00274BC8" w:rsidRDefault="00D91D0B" w:rsidP="00B37660">
      <w:pPr>
        <w:pStyle w:val="Default"/>
        <w:numPr>
          <w:ilvl w:val="0"/>
          <w:numId w:val="29"/>
        </w:numPr>
        <w:shd w:val="clear" w:color="auto" w:fill="FFFFFF"/>
        <w:ind w:left="284" w:hanging="284"/>
        <w:jc w:val="both"/>
        <w:rPr>
          <w:rFonts w:ascii="Calibri" w:hAnsi="Calibri" w:cs="Calibri"/>
          <w:bCs/>
          <w:iCs/>
          <w:color w:val="auto"/>
        </w:rPr>
      </w:pPr>
      <w:r w:rsidRPr="00274BC8">
        <w:rPr>
          <w:rFonts w:ascii="Calibri" w:hAnsi="Calibri" w:cs="Calibri"/>
          <w:bCs/>
          <w:iCs/>
          <w:color w:val="auto"/>
        </w:rPr>
        <w:t>TC 3 </w:t>
      </w:r>
      <w:r w:rsidR="00E94616">
        <w:rPr>
          <w:rFonts w:ascii="Calibri" w:hAnsi="Calibri" w:cs="Calibri"/>
          <w:bCs/>
          <w:iCs/>
          <w:color w:val="auto"/>
        </w:rPr>
        <w:t>–</w:t>
      </w:r>
      <w:r w:rsidRPr="00274BC8">
        <w:rPr>
          <w:rFonts w:ascii="Calibri" w:hAnsi="Calibri" w:cs="Calibri"/>
          <w:bCs/>
          <w:iCs/>
          <w:color w:val="auto"/>
        </w:rPr>
        <w:t> </w:t>
      </w:r>
      <w:r w:rsidR="00E94616">
        <w:rPr>
          <w:rFonts w:ascii="Calibri" w:hAnsi="Calibri" w:cs="Calibri"/>
          <w:bCs/>
          <w:iCs/>
          <w:color w:val="auto"/>
        </w:rPr>
        <w:t>z</w:t>
      </w:r>
      <w:r w:rsidRPr="00274BC8">
        <w:rPr>
          <w:rFonts w:ascii="Calibri" w:hAnsi="Calibri" w:cs="Calibri"/>
          <w:bCs/>
          <w:iCs/>
          <w:color w:val="auto"/>
        </w:rPr>
        <w:t>výšení konkurenceschopnosti malých a středních podniků, odvětví zemědělství a odvětví rybářství a akvakultury</w:t>
      </w:r>
      <w:r>
        <w:rPr>
          <w:rFonts w:ascii="Calibri" w:hAnsi="Calibri" w:cs="Calibri"/>
          <w:bCs/>
          <w:iCs/>
          <w:color w:val="auto"/>
        </w:rPr>
        <w:t>.</w:t>
      </w:r>
    </w:p>
    <w:p w14:paraId="619CE3F4" w14:textId="77777777" w:rsidR="00B37660" w:rsidRDefault="00B37660" w:rsidP="00AD78F3">
      <w:pPr>
        <w:spacing w:before="0"/>
      </w:pPr>
    </w:p>
    <w:p w14:paraId="5AE20525" w14:textId="7FE010C8" w:rsidR="004F24F4" w:rsidRDefault="00D91D0B" w:rsidP="00AD78F3">
      <w:pPr>
        <w:spacing w:before="0"/>
      </w:pPr>
      <w:r w:rsidRPr="00274BC8">
        <w:t>Pří</w:t>
      </w:r>
      <w:r w:rsidR="00B26FBD">
        <w:t>nos</w:t>
      </w:r>
      <w:r w:rsidRPr="00274BC8">
        <w:t xml:space="preserve"> k TC 1 je zatím těžko vyhodnotitelný, jelikož ke dni 31. 12. 2017 nedošlo k téměř žádnému proplacení prostředků z opatření M16</w:t>
      </w:r>
      <w:r w:rsidR="002235EC">
        <w:t xml:space="preserve"> </w:t>
      </w:r>
      <w:r w:rsidR="002235EC" w:rsidRPr="00F04B56">
        <w:rPr>
          <w:i/>
        </w:rPr>
        <w:t>Spolupráce</w:t>
      </w:r>
      <w:r w:rsidRPr="00274BC8">
        <w:t xml:space="preserve"> a finančn</w:t>
      </w:r>
      <w:r>
        <w:t>í částky určené na spolupráci a </w:t>
      </w:r>
      <w:r w:rsidRPr="00274BC8">
        <w:t xml:space="preserve">inovaci jsou v porovnání s prostředky určenými na investice zanedbatelné. </w:t>
      </w:r>
    </w:p>
    <w:p w14:paraId="2BEC3FCC" w14:textId="77777777" w:rsidR="00B37660" w:rsidRPr="00274BC8" w:rsidRDefault="00B37660" w:rsidP="00AD78F3">
      <w:pPr>
        <w:spacing w:before="0"/>
      </w:pPr>
    </w:p>
    <w:p w14:paraId="21584968" w14:textId="2BC12BE3" w:rsidR="004F24F4" w:rsidRDefault="00D91D0B" w:rsidP="00AD78F3">
      <w:pPr>
        <w:spacing w:before="0"/>
      </w:pPr>
      <w:r w:rsidRPr="00274BC8">
        <w:t>Přispění k plnění TC 3 nebylo ze strany MZe nijak podporováno, např. stanovením preferenčních kritérií pro výběr projektů nebo vyšší mírou dotace po žadatele z kategorie mikro</w:t>
      </w:r>
      <w:r w:rsidR="00E94616">
        <w:t>-</w:t>
      </w:r>
      <w:r w:rsidRPr="00274BC8">
        <w:t>, malý a střední podnik. K podpoře mikro</w:t>
      </w:r>
      <w:r w:rsidR="00E94616">
        <w:t>-</w:t>
      </w:r>
      <w:r w:rsidRPr="00274BC8">
        <w:t>, malých a středních podniků ze strany MZe nedochází, jelikož</w:t>
      </w:r>
      <w:r w:rsidR="005025BC">
        <w:t xml:space="preserve"> realizace</w:t>
      </w:r>
      <w:r w:rsidRPr="00274BC8">
        <w:t xml:space="preserve"> operac</w:t>
      </w:r>
      <w:r w:rsidR="005025BC">
        <w:t>í</w:t>
      </w:r>
      <w:r w:rsidRPr="00274BC8">
        <w:t xml:space="preserve"> </w:t>
      </w:r>
      <w:r>
        <w:t xml:space="preserve">(16.3.1, 16.4.1 a 16.6.1) </w:t>
      </w:r>
      <w:r w:rsidRPr="00274BC8">
        <w:t>zaměřen</w:t>
      </w:r>
      <w:r w:rsidR="005025BC">
        <w:t>ých</w:t>
      </w:r>
      <w:r w:rsidRPr="00274BC8">
        <w:t xml:space="preserve"> na jejich podporu</w:t>
      </w:r>
      <w:r w:rsidR="005025BC">
        <w:t xml:space="preserve"> je neúspěšná</w:t>
      </w:r>
      <w:r w:rsidRPr="00274BC8">
        <w:t xml:space="preserve">. A naopak operace, </w:t>
      </w:r>
      <w:r w:rsidR="005025BC">
        <w:t>jejichž realizace je úspěšná</w:t>
      </w:r>
      <w:r w:rsidRPr="00274BC8">
        <w:t xml:space="preserve">, nejsou nastaveny tak, aby </w:t>
      </w:r>
      <w:r w:rsidR="00492723">
        <w:t>malé a </w:t>
      </w:r>
      <w:r>
        <w:t>střední podniky</w:t>
      </w:r>
      <w:r w:rsidRPr="00274BC8">
        <w:t xml:space="preserve"> zvýhodňovaly. </w:t>
      </w:r>
    </w:p>
    <w:p w14:paraId="5304DB85" w14:textId="77777777" w:rsidR="00B37660" w:rsidRPr="00FE100E" w:rsidRDefault="00B37660" w:rsidP="00AD78F3">
      <w:pPr>
        <w:spacing w:before="0"/>
      </w:pPr>
    </w:p>
    <w:p w14:paraId="7C6654C1" w14:textId="3350A398" w:rsidR="004F24F4" w:rsidRPr="00F04B56" w:rsidRDefault="00D91D0B" w:rsidP="00AD78F3">
      <w:pPr>
        <w:spacing w:before="0"/>
        <w:outlineLvl w:val="2"/>
        <w:rPr>
          <w:b/>
        </w:rPr>
      </w:pPr>
      <w:r w:rsidRPr="00F04B56">
        <w:rPr>
          <w:b/>
        </w:rPr>
        <w:t xml:space="preserve">3.2 Strategie </w:t>
      </w:r>
      <w:r w:rsidRPr="00F04B56">
        <w:rPr>
          <w:b/>
          <w:i/>
        </w:rPr>
        <w:t>Evropa 2020</w:t>
      </w:r>
    </w:p>
    <w:p w14:paraId="7CCE6F57" w14:textId="77777777" w:rsidR="00B37660" w:rsidRDefault="00B37660" w:rsidP="00AD78F3">
      <w:pPr>
        <w:spacing w:before="0"/>
      </w:pPr>
    </w:p>
    <w:p w14:paraId="169246EE" w14:textId="0C4E5242" w:rsidR="004F24F4" w:rsidRDefault="00D91D0B" w:rsidP="00AD78F3">
      <w:pPr>
        <w:spacing w:before="0"/>
      </w:pPr>
      <w:r>
        <w:t xml:space="preserve">Tematické cíle </w:t>
      </w:r>
      <w:r w:rsidRPr="003E1600">
        <w:t>PRV</w:t>
      </w:r>
      <w:r>
        <w:t xml:space="preserve"> 2014–2020</w:t>
      </w:r>
      <w:r w:rsidRPr="003E1600">
        <w:t xml:space="preserve"> jsou nastaveny tak, že by měly přispívat k naplňování </w:t>
      </w:r>
      <w:r w:rsidR="00E94616">
        <w:t>s</w:t>
      </w:r>
      <w:r w:rsidRPr="003E1600">
        <w:t xml:space="preserve">trategie </w:t>
      </w:r>
      <w:r w:rsidRPr="00F04B56">
        <w:rPr>
          <w:i/>
        </w:rPr>
        <w:t>Evropa 2020</w:t>
      </w:r>
      <w:r w:rsidRPr="003E1600">
        <w:t>. Opatření M16</w:t>
      </w:r>
      <w:r w:rsidR="002235EC">
        <w:t xml:space="preserve"> </w:t>
      </w:r>
      <w:r w:rsidR="002235EC" w:rsidRPr="00F04B56">
        <w:rPr>
          <w:i/>
        </w:rPr>
        <w:t>Spolupráce</w:t>
      </w:r>
      <w:r w:rsidRPr="003E1600">
        <w:t xml:space="preserve"> je zavázáno k plnění dvou TC a</w:t>
      </w:r>
      <w:r w:rsidR="00E94616">
        <w:t> </w:t>
      </w:r>
      <w:r w:rsidRPr="003E1600">
        <w:t xml:space="preserve">prostřednictvím těchto cílů by mělo přispívat k naplnění </w:t>
      </w:r>
      <w:r w:rsidR="00E94616">
        <w:t>s</w:t>
      </w:r>
      <w:r w:rsidRPr="003E1600">
        <w:t xml:space="preserve">trategie </w:t>
      </w:r>
      <w:r w:rsidRPr="00F04B56">
        <w:rPr>
          <w:i/>
        </w:rPr>
        <w:t>Evropa 2020</w:t>
      </w:r>
      <w:r w:rsidRPr="003E1600">
        <w:t xml:space="preserve">. </w:t>
      </w:r>
    </w:p>
    <w:p w14:paraId="04B7E8B7" w14:textId="77777777" w:rsidR="00B37660" w:rsidRPr="003E1600" w:rsidRDefault="00B37660" w:rsidP="00AD78F3">
      <w:pPr>
        <w:spacing w:before="0"/>
      </w:pPr>
    </w:p>
    <w:p w14:paraId="1E675633" w14:textId="2BECD137" w:rsidR="004F24F4" w:rsidRDefault="00D91D0B" w:rsidP="00AD78F3">
      <w:pPr>
        <w:spacing w:before="0"/>
        <w:rPr>
          <w:iCs/>
        </w:rPr>
      </w:pPr>
      <w:r w:rsidRPr="003E1600">
        <w:t>Pří</w:t>
      </w:r>
      <w:r w:rsidR="00B26FBD">
        <w:t>nosy</w:t>
      </w:r>
      <w:r w:rsidRPr="003E1600">
        <w:t xml:space="preserve"> opatření M16</w:t>
      </w:r>
      <w:r w:rsidR="002235EC">
        <w:t xml:space="preserve"> </w:t>
      </w:r>
      <w:r w:rsidR="002235EC" w:rsidRPr="0008286C">
        <w:rPr>
          <w:i/>
        </w:rPr>
        <w:t>Spolupráce</w:t>
      </w:r>
      <w:r w:rsidRPr="003E1600">
        <w:t xml:space="preserve"> </w:t>
      </w:r>
      <w:r>
        <w:t xml:space="preserve">k naplnění </w:t>
      </w:r>
      <w:r w:rsidR="009D25BF">
        <w:t>s</w:t>
      </w:r>
      <w:r>
        <w:t xml:space="preserve">trategie </w:t>
      </w:r>
      <w:r w:rsidRPr="0008286C">
        <w:rPr>
          <w:i/>
        </w:rPr>
        <w:t>Evropa 2020</w:t>
      </w:r>
      <w:r>
        <w:t xml:space="preserve"> </w:t>
      </w:r>
      <w:r w:rsidRPr="003E1600">
        <w:t>je a bude obtížně vyhodnotitelný, jelikož</w:t>
      </w:r>
      <w:r w:rsidR="00540DE2">
        <w:t xml:space="preserve"> MZe</w:t>
      </w:r>
      <w:r w:rsidRPr="003E1600">
        <w:t xml:space="preserve"> </w:t>
      </w:r>
      <w:r>
        <w:t>pro</w:t>
      </w:r>
      <w:r w:rsidRPr="003E1600">
        <w:t xml:space="preserve"> PRV </w:t>
      </w:r>
      <w:r>
        <w:t xml:space="preserve">2014–2020 </w:t>
      </w:r>
      <w:r w:rsidRPr="003E1600">
        <w:t>ani</w:t>
      </w:r>
      <w:r>
        <w:t xml:space="preserve"> pro</w:t>
      </w:r>
      <w:r w:rsidRPr="003E1600">
        <w:t xml:space="preserve"> opatření M16</w:t>
      </w:r>
      <w:r w:rsidR="002235EC">
        <w:t xml:space="preserve"> </w:t>
      </w:r>
      <w:r w:rsidR="002F14E3" w:rsidRPr="0008286C">
        <w:rPr>
          <w:i/>
        </w:rPr>
        <w:t>Spolupráce</w:t>
      </w:r>
      <w:r w:rsidRPr="003E1600">
        <w:t xml:space="preserve"> </w:t>
      </w:r>
      <w:r w:rsidR="00540DE2">
        <w:t>nenastavilo</w:t>
      </w:r>
      <w:r w:rsidRPr="003E1600">
        <w:t xml:space="preserve"> žádné výchozí a cílové hodnoty, </w:t>
      </w:r>
      <w:r w:rsidR="009D25BF">
        <w:t xml:space="preserve">jejichž </w:t>
      </w:r>
      <w:r w:rsidRPr="003E1600">
        <w:t xml:space="preserve">prostřednictvím by </w:t>
      </w:r>
      <w:r w:rsidR="009D25BF">
        <w:t>bylo možné</w:t>
      </w:r>
      <w:r w:rsidRPr="003E1600">
        <w:t xml:space="preserve"> měři</w:t>
      </w:r>
      <w:r w:rsidR="009D25BF">
        <w:t>t</w:t>
      </w:r>
      <w:r w:rsidRPr="003E1600">
        <w:t xml:space="preserve"> </w:t>
      </w:r>
      <w:r w:rsidR="009D25BF">
        <w:t>pří</w:t>
      </w:r>
      <w:r w:rsidR="00B26FBD">
        <w:t>nos</w:t>
      </w:r>
      <w:r w:rsidRPr="003E1600">
        <w:t xml:space="preserve"> k </w:t>
      </w:r>
      <w:r w:rsidR="009D25BF">
        <w:t xml:space="preserve">naplnění </w:t>
      </w:r>
      <w:r w:rsidRPr="003E1600">
        <w:t xml:space="preserve">cílů </w:t>
      </w:r>
      <w:r w:rsidR="009D25BF">
        <w:t>s</w:t>
      </w:r>
      <w:r w:rsidRPr="003E1600">
        <w:t xml:space="preserve">trategie </w:t>
      </w:r>
      <w:r w:rsidRPr="0008286C">
        <w:rPr>
          <w:i/>
        </w:rPr>
        <w:t>Evropa 2020</w:t>
      </w:r>
      <w:r w:rsidRPr="003E1600">
        <w:t xml:space="preserve">. </w:t>
      </w:r>
      <w:r w:rsidRPr="003E1600">
        <w:rPr>
          <w:iCs/>
        </w:rPr>
        <w:t>MZe nesleduje žádné ukazatele a neshromažďuje žádné informace, které by sloužily pro průběžné sledování a zhodnocování pří</w:t>
      </w:r>
      <w:r w:rsidR="00B26FBD">
        <w:rPr>
          <w:iCs/>
        </w:rPr>
        <w:t>nos</w:t>
      </w:r>
      <w:r w:rsidRPr="003E1600">
        <w:rPr>
          <w:iCs/>
        </w:rPr>
        <w:t xml:space="preserve">u PRV </w:t>
      </w:r>
      <w:r>
        <w:rPr>
          <w:iCs/>
        </w:rPr>
        <w:t xml:space="preserve">2014–2020 </w:t>
      </w:r>
      <w:r w:rsidRPr="003E1600">
        <w:rPr>
          <w:iCs/>
        </w:rPr>
        <w:t>k </w:t>
      </w:r>
      <w:r w:rsidR="009D25BF">
        <w:rPr>
          <w:iCs/>
        </w:rPr>
        <w:t>na</w:t>
      </w:r>
      <w:r w:rsidRPr="003E1600">
        <w:rPr>
          <w:iCs/>
        </w:rPr>
        <w:t xml:space="preserve">plnění cílů </w:t>
      </w:r>
      <w:r w:rsidR="009D25BF">
        <w:rPr>
          <w:iCs/>
        </w:rPr>
        <w:t>s</w:t>
      </w:r>
      <w:r w:rsidRPr="003E1600">
        <w:rPr>
          <w:iCs/>
        </w:rPr>
        <w:t xml:space="preserve">trategie </w:t>
      </w:r>
      <w:r w:rsidRPr="0008286C">
        <w:rPr>
          <w:i/>
          <w:iCs/>
        </w:rPr>
        <w:t>Evropa 2020</w:t>
      </w:r>
      <w:r w:rsidRPr="003E1600">
        <w:rPr>
          <w:iCs/>
        </w:rPr>
        <w:t xml:space="preserve">. </w:t>
      </w:r>
    </w:p>
    <w:p w14:paraId="7D62B253" w14:textId="77777777" w:rsidR="00B37660" w:rsidRPr="003E1600" w:rsidRDefault="00B37660" w:rsidP="00AD78F3">
      <w:pPr>
        <w:spacing w:before="0"/>
        <w:rPr>
          <w:iCs/>
        </w:rPr>
      </w:pPr>
    </w:p>
    <w:p w14:paraId="4E600526" w14:textId="52E1A904" w:rsidR="004F24F4" w:rsidRDefault="00D91D0B" w:rsidP="00AD78F3">
      <w:pPr>
        <w:spacing w:before="0"/>
        <w:outlineLvl w:val="1"/>
      </w:pPr>
      <w:r w:rsidRPr="003E1600">
        <w:t>Kontrolou bylo zjištěno, že MZe nehod</w:t>
      </w:r>
      <w:r>
        <w:t>notí průběžně přínos PRV 2014–</w:t>
      </w:r>
      <w:r w:rsidRPr="003E1600">
        <w:t xml:space="preserve">2020 k naplňování </w:t>
      </w:r>
      <w:r w:rsidR="009D25BF">
        <w:t>s</w:t>
      </w:r>
      <w:r w:rsidRPr="003E1600">
        <w:t xml:space="preserve">trategie </w:t>
      </w:r>
      <w:r w:rsidRPr="0008286C">
        <w:rPr>
          <w:i/>
        </w:rPr>
        <w:t>Evropa 2020</w:t>
      </w:r>
      <w:r w:rsidRPr="003E1600">
        <w:t>.</w:t>
      </w:r>
    </w:p>
    <w:p w14:paraId="54B26B54" w14:textId="77777777" w:rsidR="004F24F4" w:rsidRPr="006265B1" w:rsidRDefault="004F24F4" w:rsidP="00AD78F3">
      <w:pPr>
        <w:spacing w:before="0"/>
        <w:outlineLvl w:val="1"/>
      </w:pPr>
    </w:p>
    <w:p w14:paraId="5BCC5E44" w14:textId="144E5BA2" w:rsidR="004F24F4" w:rsidRPr="005B100A" w:rsidRDefault="00D91D0B" w:rsidP="0008286C">
      <w:pPr>
        <w:keepNext/>
        <w:spacing w:before="0"/>
        <w:outlineLvl w:val="1"/>
        <w:rPr>
          <w:b/>
          <w:bCs/>
          <w:lang w:eastAsia="cs-CZ"/>
        </w:rPr>
      </w:pPr>
      <w:r w:rsidRPr="005B100A">
        <w:rPr>
          <w:b/>
          <w:bCs/>
          <w:lang w:eastAsia="cs-CZ"/>
        </w:rPr>
        <w:t>4. Hodnocení a výběr projektů spolufinancovaných z opatření M16</w:t>
      </w:r>
      <w:r w:rsidR="002F14E3">
        <w:rPr>
          <w:b/>
          <w:bCs/>
          <w:lang w:eastAsia="cs-CZ"/>
        </w:rPr>
        <w:t xml:space="preserve"> </w:t>
      </w:r>
      <w:r w:rsidR="002F14E3" w:rsidRPr="0008286C">
        <w:rPr>
          <w:b/>
          <w:bCs/>
          <w:i/>
          <w:lang w:eastAsia="cs-CZ"/>
        </w:rPr>
        <w:t>Spolupráce</w:t>
      </w:r>
    </w:p>
    <w:p w14:paraId="4A492DFF" w14:textId="77777777" w:rsidR="00B37660" w:rsidRDefault="00B37660" w:rsidP="0008286C">
      <w:pPr>
        <w:keepNext/>
        <w:spacing w:before="0"/>
      </w:pPr>
    </w:p>
    <w:p w14:paraId="74765A90" w14:textId="4EC9D710" w:rsidR="004F24F4" w:rsidRDefault="00D91D0B" w:rsidP="00AD78F3">
      <w:pPr>
        <w:spacing w:before="0"/>
      </w:pPr>
      <w:r w:rsidRPr="003C22DD">
        <w:t>Za nastavení podmínek pro výběr vhodných projektů pro spolufinancování odpov</w:t>
      </w:r>
      <w:r w:rsidR="006E2C20">
        <w:t>ídá</w:t>
      </w:r>
      <w:r w:rsidRPr="003C22DD">
        <w:t xml:space="preserve"> řídicí orgán. Výběr projektů realizuje platební agentura. Pro posuzování některých odborných záležitostí může být do procesu hodnocení zapojen odborný subjekt. Nesprávný výběr projektů může vést k tomu, že prostředky EU a ČR nebudou po</w:t>
      </w:r>
      <w:r>
        <w:t>užity na financování účelných a </w:t>
      </w:r>
      <w:r w:rsidRPr="003C22DD">
        <w:t>potřebných projektů.</w:t>
      </w:r>
    </w:p>
    <w:p w14:paraId="0DF61F80" w14:textId="4568B6AB" w:rsidR="004F24F4" w:rsidRDefault="00D91D0B" w:rsidP="00B26FBD">
      <w:pPr>
        <w:keepNext/>
        <w:spacing w:before="0"/>
        <w:rPr>
          <w:bCs/>
          <w:lang w:eastAsia="cs-CZ"/>
        </w:rPr>
      </w:pPr>
      <w:r>
        <w:rPr>
          <w:bCs/>
          <w:lang w:eastAsia="cs-CZ"/>
        </w:rPr>
        <w:lastRenderedPageBreak/>
        <w:t xml:space="preserve">NKÚ prověřil hodnocení a výběr projektů. </w:t>
      </w:r>
    </w:p>
    <w:p w14:paraId="36232294" w14:textId="64788783" w:rsidR="00B37660" w:rsidRDefault="00B37660" w:rsidP="00B26FBD">
      <w:pPr>
        <w:keepNext/>
        <w:spacing w:before="0"/>
        <w:rPr>
          <w:bCs/>
          <w:lang w:eastAsia="cs-CZ"/>
        </w:rPr>
      </w:pPr>
    </w:p>
    <w:p w14:paraId="7CF260A1" w14:textId="77777777" w:rsidR="004F24F4" w:rsidRPr="0099459F" w:rsidRDefault="00D91D0B" w:rsidP="00AD78F3">
      <w:pPr>
        <w:spacing w:before="0"/>
      </w:pPr>
      <w:r w:rsidRPr="0099459F">
        <w:t>Výběr projektů k financování probíhá u projektů z opatření M16</w:t>
      </w:r>
      <w:r w:rsidR="002F14E3">
        <w:t xml:space="preserve"> </w:t>
      </w:r>
      <w:r w:rsidR="002F14E3" w:rsidRPr="0008286C">
        <w:rPr>
          <w:i/>
        </w:rPr>
        <w:t>Spolupráce</w:t>
      </w:r>
      <w:r w:rsidRPr="0099459F">
        <w:t xml:space="preserve"> dvěma způsoby v závislosti na druhu operace:</w:t>
      </w:r>
    </w:p>
    <w:p w14:paraId="7971EAA9" w14:textId="77777777" w:rsidR="004F24F4" w:rsidRPr="0099459F" w:rsidRDefault="00D91D0B" w:rsidP="00B37660">
      <w:pPr>
        <w:pStyle w:val="Odstavecseseznamem"/>
        <w:numPr>
          <w:ilvl w:val="0"/>
          <w:numId w:val="30"/>
        </w:numPr>
        <w:spacing w:before="0"/>
        <w:ind w:left="284" w:hanging="284"/>
        <w:contextualSpacing w:val="0"/>
      </w:pPr>
      <w:r w:rsidRPr="0099459F">
        <w:t>u projektů z operací 16.1.1, 16.2.1 a 16.2.2 je výběr dvou</w:t>
      </w:r>
      <w:r>
        <w:t xml:space="preserve">stupňový, kdy nejprve projekty </w:t>
      </w:r>
      <w:r w:rsidRPr="0099459F">
        <w:t xml:space="preserve">boduje SZIF a následně je hodnotí hodnotitelská komise. </w:t>
      </w:r>
    </w:p>
    <w:p w14:paraId="22443E12" w14:textId="77777777" w:rsidR="004F24F4" w:rsidRPr="0099459F" w:rsidRDefault="00D91D0B" w:rsidP="00B37660">
      <w:pPr>
        <w:pStyle w:val="Odstavecseseznamem"/>
        <w:numPr>
          <w:ilvl w:val="0"/>
          <w:numId w:val="30"/>
        </w:numPr>
        <w:spacing w:before="0"/>
        <w:ind w:left="284" w:hanging="284"/>
        <w:contextualSpacing w:val="0"/>
      </w:pPr>
      <w:r w:rsidRPr="0099459F">
        <w:t xml:space="preserve">u projektů z operací 16.3.1, 16.4.1 a 16.6.1 je výběr jednostupňový, kdy projekty oboduje SZIF. </w:t>
      </w:r>
    </w:p>
    <w:p w14:paraId="2F0E08F0" w14:textId="77777777" w:rsidR="00B37660" w:rsidRDefault="00B37660" w:rsidP="00AD78F3">
      <w:pPr>
        <w:spacing w:before="0"/>
      </w:pPr>
    </w:p>
    <w:p w14:paraId="4879B534" w14:textId="001CC642" w:rsidR="004F24F4" w:rsidRDefault="00D91D0B" w:rsidP="00AD78F3">
      <w:pPr>
        <w:spacing w:before="0"/>
      </w:pPr>
      <w:r w:rsidRPr="00274BC8">
        <w:t>Kontrolou bylo zjištěno, že nastavení pravidel pro či</w:t>
      </w:r>
      <w:r>
        <w:t xml:space="preserve">nnost hodnotitelských komisí </w:t>
      </w:r>
      <w:r w:rsidR="00810D3F" w:rsidRPr="00274BC8">
        <w:t>není v souladu</w:t>
      </w:r>
      <w:r w:rsidRPr="00274BC8">
        <w:t xml:space="preserve"> s metodickým pokynem MMR </w:t>
      </w:r>
      <w:r w:rsidR="006E2C20">
        <w:t>(</w:t>
      </w:r>
      <w:r w:rsidRPr="00274BC8">
        <w:rPr>
          <w:i/>
        </w:rPr>
        <w:t>Metodický poky</w:t>
      </w:r>
      <w:r>
        <w:rPr>
          <w:i/>
        </w:rPr>
        <w:t>n pro řízení výzev, hodnocení a </w:t>
      </w:r>
      <w:r w:rsidRPr="00274BC8">
        <w:rPr>
          <w:i/>
        </w:rPr>
        <w:t>výběr projekt</w:t>
      </w:r>
      <w:r>
        <w:rPr>
          <w:i/>
        </w:rPr>
        <w:t>ů v programovém období 2014–</w:t>
      </w:r>
      <w:r w:rsidRPr="00274BC8">
        <w:rPr>
          <w:i/>
        </w:rPr>
        <w:t>2020</w:t>
      </w:r>
      <w:r w:rsidR="006E2C20">
        <w:t>)</w:t>
      </w:r>
      <w:r>
        <w:rPr>
          <w:i/>
        </w:rPr>
        <w:t xml:space="preserve">, </w:t>
      </w:r>
      <w:r w:rsidRPr="00105403">
        <w:t>který je součástí jednotného metodického prostředí.</w:t>
      </w:r>
      <w:r>
        <w:t xml:space="preserve"> Pravidla pro hodnocení h</w:t>
      </w:r>
      <w:r w:rsidRPr="00274BC8">
        <w:t xml:space="preserve">odnotitelské komise </w:t>
      </w:r>
      <w:r>
        <w:t>nezaručují transparentnost</w:t>
      </w:r>
      <w:r w:rsidRPr="00274BC8">
        <w:t xml:space="preserve">, protože </w:t>
      </w:r>
      <w:r w:rsidR="005025BC">
        <w:t>vzhledem k</w:t>
      </w:r>
      <w:r w:rsidRPr="00274BC8">
        <w:t xml:space="preserve"> nastaven</w:t>
      </w:r>
      <w:r w:rsidR="006E2C20">
        <w:t>í</w:t>
      </w:r>
      <w:r w:rsidRPr="00274BC8">
        <w:t xml:space="preserve"> systému bodového ho</w:t>
      </w:r>
      <w:r>
        <w:t>dnocení není možné zjistit, jaká byla jednotlivá bodová</w:t>
      </w:r>
      <w:r w:rsidRPr="00274BC8">
        <w:t xml:space="preserve"> hodnocení (s výjimkou hodno</w:t>
      </w:r>
      <w:r>
        <w:t>cení v 1. kole příjmu žádostí u </w:t>
      </w:r>
      <w:r w:rsidRPr="00274BC8">
        <w:t xml:space="preserve">operace 16.2.2). Při hodnocení není zachována dostatečná auditní stopa, aby bylo rozhodnutí komise přezkoumatelné. </w:t>
      </w:r>
    </w:p>
    <w:p w14:paraId="002979D1" w14:textId="77777777" w:rsidR="00B37660" w:rsidRPr="00274BC8" w:rsidRDefault="00B37660" w:rsidP="00AD78F3">
      <w:pPr>
        <w:spacing w:before="0"/>
      </w:pPr>
    </w:p>
    <w:p w14:paraId="5232E5F2" w14:textId="77777777" w:rsidR="004F24F4" w:rsidRDefault="00D91D0B" w:rsidP="00AD78F3">
      <w:pPr>
        <w:spacing w:before="0"/>
        <w:rPr>
          <w:lang w:eastAsia="cs-CZ"/>
        </w:rPr>
      </w:pPr>
      <w:r w:rsidRPr="00274BC8">
        <w:t xml:space="preserve">Další ne zcela transparentní částí hodnocení hodnotitelské komise je posouzení aspektu efektivnosti. Hodnocení efektivnosti je prováděno na základě zkušeností a praxe členů komise, ovšem bez relevantních </w:t>
      </w:r>
      <w:r w:rsidRPr="00274BC8">
        <w:rPr>
          <w:lang w:eastAsia="cs-CZ"/>
        </w:rPr>
        <w:t>číselných údajů, dat a bez případného vzorce pro výpočet efektivnosti (se závazně stanoveným postupem jeho výpočtu)</w:t>
      </w:r>
      <w:r>
        <w:rPr>
          <w:lang w:eastAsia="cs-CZ"/>
        </w:rPr>
        <w:t xml:space="preserve">. Není tak </w:t>
      </w:r>
      <w:r w:rsidRPr="00274BC8">
        <w:rPr>
          <w:lang w:eastAsia="cs-CZ"/>
        </w:rPr>
        <w:t xml:space="preserve">zaručena jednotnost hodnocení všemi členy hodnotitelské komise a ve svém důsledku </w:t>
      </w:r>
      <w:r>
        <w:rPr>
          <w:lang w:eastAsia="cs-CZ"/>
        </w:rPr>
        <w:t xml:space="preserve">hrozí </w:t>
      </w:r>
      <w:r w:rsidRPr="00274BC8">
        <w:rPr>
          <w:lang w:eastAsia="cs-CZ"/>
        </w:rPr>
        <w:t>riziko chybného rozhodnutí o poskytnutí dotace s následným poskytnutím finančních prostředků EU a státního rozpočtu v rozporu se zásad</w:t>
      </w:r>
      <w:r>
        <w:rPr>
          <w:lang w:eastAsia="cs-CZ"/>
        </w:rPr>
        <w:t>ou efektivnosti</w:t>
      </w:r>
      <w:r w:rsidRPr="00274BC8">
        <w:rPr>
          <w:lang w:eastAsia="cs-CZ"/>
        </w:rPr>
        <w:t>.</w:t>
      </w:r>
    </w:p>
    <w:p w14:paraId="05AC5667" w14:textId="77777777" w:rsidR="00490EA3" w:rsidRDefault="00490EA3" w:rsidP="00AD78F3">
      <w:pPr>
        <w:spacing w:before="0"/>
        <w:rPr>
          <w:lang w:eastAsia="cs-CZ"/>
        </w:rPr>
      </w:pPr>
    </w:p>
    <w:p w14:paraId="3F7B54FB" w14:textId="13884C25" w:rsidR="004F24F4" w:rsidRPr="005B100A" w:rsidRDefault="00D91D0B" w:rsidP="00AD78F3">
      <w:pPr>
        <w:autoSpaceDE w:val="0"/>
        <w:autoSpaceDN w:val="0"/>
        <w:spacing w:before="0"/>
        <w:outlineLvl w:val="1"/>
        <w:rPr>
          <w:b/>
          <w:bCs/>
          <w:lang w:eastAsia="cs-CZ"/>
        </w:rPr>
      </w:pPr>
      <w:r w:rsidRPr="005B100A">
        <w:rPr>
          <w:b/>
          <w:bCs/>
          <w:lang w:eastAsia="cs-CZ"/>
        </w:rPr>
        <w:t>5. Opravné prostředky</w:t>
      </w:r>
    </w:p>
    <w:p w14:paraId="7977F76C" w14:textId="77777777" w:rsidR="00B37660" w:rsidRDefault="00B37660" w:rsidP="00AD78F3">
      <w:pPr>
        <w:autoSpaceDE w:val="0"/>
        <w:autoSpaceDN w:val="0"/>
        <w:spacing w:before="0"/>
      </w:pPr>
    </w:p>
    <w:p w14:paraId="0A5BED10" w14:textId="77777777" w:rsidR="004F24F4" w:rsidRPr="003C22DD" w:rsidRDefault="00D91D0B" w:rsidP="00AD78F3">
      <w:pPr>
        <w:autoSpaceDE w:val="0"/>
        <w:autoSpaceDN w:val="0"/>
        <w:spacing w:before="0"/>
        <w:rPr>
          <w:bCs/>
          <w:lang w:eastAsia="cs-CZ"/>
        </w:rPr>
      </w:pPr>
      <w:r w:rsidRPr="003C22DD">
        <w:t>Žadatel má právo uplatnit opravný prostředek proti rozhodnutím přijatým v rámci administrace projektu. Řídicí orgán má povinnost zajistit objektivní posouzení. Objektivnost posouzení opravných prostředků přispívá ke správnosti procesu administrace a odstranění případných chybných rozhodnutí.</w:t>
      </w:r>
    </w:p>
    <w:p w14:paraId="03A237FD" w14:textId="77777777" w:rsidR="00B37660" w:rsidRDefault="00B37660" w:rsidP="00AD78F3">
      <w:pPr>
        <w:autoSpaceDE w:val="0"/>
        <w:autoSpaceDN w:val="0"/>
        <w:spacing w:before="0"/>
        <w:rPr>
          <w:bCs/>
          <w:lang w:eastAsia="cs-CZ"/>
        </w:rPr>
      </w:pPr>
    </w:p>
    <w:p w14:paraId="014A88BB" w14:textId="77777777" w:rsidR="004F24F4" w:rsidRPr="001804F8" w:rsidRDefault="00D91D0B" w:rsidP="00AD78F3">
      <w:pPr>
        <w:autoSpaceDE w:val="0"/>
        <w:autoSpaceDN w:val="0"/>
        <w:spacing w:before="0"/>
        <w:rPr>
          <w:bCs/>
          <w:lang w:eastAsia="cs-CZ"/>
        </w:rPr>
      </w:pPr>
      <w:r w:rsidRPr="001804F8">
        <w:rPr>
          <w:bCs/>
          <w:lang w:eastAsia="cs-CZ"/>
        </w:rPr>
        <w:t xml:space="preserve">NKÚ prověřil systém </w:t>
      </w:r>
      <w:r>
        <w:rPr>
          <w:bCs/>
          <w:lang w:eastAsia="cs-CZ"/>
        </w:rPr>
        <w:t>opravných prostředků</w:t>
      </w:r>
      <w:r w:rsidRPr="001804F8">
        <w:rPr>
          <w:bCs/>
          <w:lang w:eastAsia="cs-CZ"/>
        </w:rPr>
        <w:t xml:space="preserve"> v rámci opatření M16</w:t>
      </w:r>
      <w:r w:rsidR="002F14E3">
        <w:rPr>
          <w:bCs/>
          <w:lang w:eastAsia="cs-CZ"/>
        </w:rPr>
        <w:t xml:space="preserve"> </w:t>
      </w:r>
      <w:r w:rsidR="002F14E3" w:rsidRPr="0008286C">
        <w:rPr>
          <w:bCs/>
          <w:i/>
          <w:lang w:eastAsia="cs-CZ"/>
        </w:rPr>
        <w:t>Spolupráce</w:t>
      </w:r>
      <w:r w:rsidRPr="001804F8">
        <w:rPr>
          <w:bCs/>
          <w:lang w:eastAsia="cs-CZ"/>
        </w:rPr>
        <w:t>.</w:t>
      </w:r>
    </w:p>
    <w:p w14:paraId="236C1AAB" w14:textId="77777777" w:rsidR="00B37660" w:rsidRDefault="00B37660" w:rsidP="00AD78F3">
      <w:pPr>
        <w:spacing w:before="0"/>
        <w:rPr>
          <w:lang w:eastAsia="cs-CZ"/>
        </w:rPr>
      </w:pPr>
    </w:p>
    <w:p w14:paraId="0547D676" w14:textId="7699732A" w:rsidR="004F24F4" w:rsidRDefault="00D91D0B" w:rsidP="00AD78F3">
      <w:pPr>
        <w:spacing w:before="0"/>
        <w:rPr>
          <w:lang w:eastAsia="cs-CZ"/>
        </w:rPr>
      </w:pPr>
      <w:r w:rsidRPr="00274BC8">
        <w:rPr>
          <w:lang w:eastAsia="cs-CZ"/>
        </w:rPr>
        <w:t>Kontrolou bylo zjištěno, že v případě opatření M16</w:t>
      </w:r>
      <w:r w:rsidR="002F14E3">
        <w:rPr>
          <w:lang w:eastAsia="cs-CZ"/>
        </w:rPr>
        <w:t xml:space="preserve"> </w:t>
      </w:r>
      <w:r w:rsidR="002F14E3" w:rsidRPr="0008286C">
        <w:rPr>
          <w:i/>
          <w:lang w:eastAsia="cs-CZ"/>
        </w:rPr>
        <w:t>Spolupráce</w:t>
      </w:r>
      <w:r w:rsidRPr="00274BC8">
        <w:rPr>
          <w:lang w:eastAsia="cs-CZ"/>
        </w:rPr>
        <w:t xml:space="preserve"> a </w:t>
      </w:r>
      <w:r w:rsidR="00C12362">
        <w:rPr>
          <w:lang w:eastAsia="cs-CZ"/>
        </w:rPr>
        <w:t>zhodnocení</w:t>
      </w:r>
      <w:r w:rsidRPr="00274BC8">
        <w:rPr>
          <w:lang w:eastAsia="cs-CZ"/>
        </w:rPr>
        <w:t xml:space="preserve"> inovativnosti</w:t>
      </w:r>
      <w:r w:rsidR="00EA2856">
        <w:rPr>
          <w:lang w:eastAsia="cs-CZ"/>
        </w:rPr>
        <w:t xml:space="preserve"> u </w:t>
      </w:r>
      <w:r w:rsidR="00810D3F">
        <w:rPr>
          <w:lang w:eastAsia="cs-CZ"/>
        </w:rPr>
        <w:t>operací 16.1.1, 16.2.1 a 16.2.2</w:t>
      </w:r>
      <w:r w:rsidRPr="00274BC8">
        <w:rPr>
          <w:lang w:eastAsia="cs-CZ"/>
        </w:rPr>
        <w:t xml:space="preserve"> přezkumná komise </w:t>
      </w:r>
      <w:r>
        <w:rPr>
          <w:lang w:eastAsia="cs-CZ"/>
        </w:rPr>
        <w:t xml:space="preserve">vyžadovala </w:t>
      </w:r>
      <w:r w:rsidR="005025BC">
        <w:rPr>
          <w:lang w:eastAsia="cs-CZ"/>
        </w:rPr>
        <w:t xml:space="preserve">posouzení </w:t>
      </w:r>
      <w:r>
        <w:rPr>
          <w:lang w:eastAsia="cs-CZ"/>
        </w:rPr>
        <w:t>h</w:t>
      </w:r>
      <w:r w:rsidRPr="00274BC8">
        <w:rPr>
          <w:lang w:eastAsia="cs-CZ"/>
        </w:rPr>
        <w:t xml:space="preserve">odnotitelské komise k projektům, </w:t>
      </w:r>
      <w:r w:rsidR="006E2C20">
        <w:rPr>
          <w:lang w:eastAsia="cs-CZ"/>
        </w:rPr>
        <w:t>u nichž</w:t>
      </w:r>
      <w:r w:rsidRPr="00274BC8">
        <w:rPr>
          <w:lang w:eastAsia="cs-CZ"/>
        </w:rPr>
        <w:t xml:space="preserve"> bylo</w:t>
      </w:r>
      <w:r w:rsidR="007B1B0A">
        <w:rPr>
          <w:lang w:eastAsia="cs-CZ"/>
        </w:rPr>
        <w:t xml:space="preserve"> </w:t>
      </w:r>
      <w:r>
        <w:rPr>
          <w:lang w:eastAsia="cs-CZ"/>
        </w:rPr>
        <w:t>pod</w:t>
      </w:r>
      <w:r w:rsidR="006E2C20">
        <w:rPr>
          <w:lang w:eastAsia="cs-CZ"/>
        </w:rPr>
        <w:t>áno</w:t>
      </w:r>
      <w:r>
        <w:rPr>
          <w:lang w:eastAsia="cs-CZ"/>
        </w:rPr>
        <w:t xml:space="preserve"> odvolání. Složení této h</w:t>
      </w:r>
      <w:r w:rsidRPr="00274BC8">
        <w:rPr>
          <w:lang w:eastAsia="cs-CZ"/>
        </w:rPr>
        <w:t xml:space="preserve">odnotitelské komise, posuzující oprávněnost odvolání žadatele, bylo shodné s hodnotitelskou komisí, která </w:t>
      </w:r>
      <w:r w:rsidR="006E2C20">
        <w:rPr>
          <w:lang w:eastAsia="cs-CZ"/>
        </w:rPr>
        <w:t>předtím</w:t>
      </w:r>
      <w:r w:rsidRPr="00274BC8">
        <w:rPr>
          <w:lang w:eastAsia="cs-CZ"/>
        </w:rPr>
        <w:t xml:space="preserve"> hodnotila žádost o dotaci. Ve všech případech hodnotitelská komise vydala stejné stanovisko a přezkumná komise rozhodla v souladu se stanoviskem hodnotitelské komise. </w:t>
      </w:r>
    </w:p>
    <w:p w14:paraId="2FFB1EA9" w14:textId="77777777" w:rsidR="00B37660" w:rsidRPr="00274BC8" w:rsidRDefault="00B37660" w:rsidP="00AD78F3">
      <w:pPr>
        <w:spacing w:before="0"/>
        <w:rPr>
          <w:lang w:eastAsia="cs-CZ"/>
        </w:rPr>
      </w:pPr>
    </w:p>
    <w:p w14:paraId="4FD3F48D" w14:textId="77777777" w:rsidR="004F24F4" w:rsidRDefault="00D91D0B" w:rsidP="00AD78F3">
      <w:pPr>
        <w:spacing w:before="0"/>
        <w:rPr>
          <w:bCs/>
          <w:lang w:eastAsia="cs-CZ"/>
        </w:rPr>
      </w:pPr>
      <w:r w:rsidRPr="00274BC8">
        <w:rPr>
          <w:lang w:eastAsia="cs-CZ"/>
        </w:rPr>
        <w:t xml:space="preserve">Existuje tedy riziko, že proces rozhodování o odvolání </w:t>
      </w:r>
      <w:r w:rsidR="00810D3F">
        <w:rPr>
          <w:lang w:eastAsia="cs-CZ"/>
        </w:rPr>
        <w:t>u operací posuzovaných hodnotitelskou komisí</w:t>
      </w:r>
      <w:r w:rsidRPr="00274BC8">
        <w:rPr>
          <w:lang w:eastAsia="cs-CZ"/>
        </w:rPr>
        <w:t xml:space="preserve"> není zcela objektivní. </w:t>
      </w:r>
      <w:r>
        <w:rPr>
          <w:lang w:eastAsia="cs-CZ"/>
        </w:rPr>
        <w:t>P</w:t>
      </w:r>
      <w:r w:rsidRPr="00274BC8">
        <w:rPr>
          <w:lang w:eastAsia="cs-CZ"/>
        </w:rPr>
        <w:t>roces odvolání u projektů hodnocených hodnotitelskou komisí postrádá zcela nové posouzení žádosti o dotaci</w:t>
      </w:r>
      <w:r>
        <w:rPr>
          <w:lang w:eastAsia="cs-CZ"/>
        </w:rPr>
        <w:t>. Žádost o dotaci</w:t>
      </w:r>
      <w:r w:rsidRPr="00274BC8">
        <w:rPr>
          <w:lang w:eastAsia="cs-CZ"/>
        </w:rPr>
        <w:t xml:space="preserve"> je dvakrát posuzována stejnou skupinou lidí (hodnotitelskou komisí)</w:t>
      </w:r>
      <w:r>
        <w:rPr>
          <w:lang w:eastAsia="cs-CZ"/>
        </w:rPr>
        <w:t xml:space="preserve">, což je z hlediska obecných zásad řízení, zejména </w:t>
      </w:r>
      <w:r>
        <w:rPr>
          <w:lang w:eastAsia="cs-CZ"/>
        </w:rPr>
        <w:lastRenderedPageBreak/>
        <w:t>správních nepřijatelné</w:t>
      </w:r>
      <w:r w:rsidRPr="00274BC8">
        <w:rPr>
          <w:lang w:eastAsia="cs-CZ"/>
        </w:rPr>
        <w:t xml:space="preserve">. </w:t>
      </w:r>
      <w:r w:rsidRPr="001804F8">
        <w:rPr>
          <w:bCs/>
          <w:lang w:eastAsia="cs-CZ"/>
        </w:rPr>
        <w:t>Ve všech případech mělo opakované posouzení shodný</w:t>
      </w:r>
      <w:r w:rsidR="00B37660">
        <w:rPr>
          <w:bCs/>
          <w:lang w:eastAsia="cs-CZ"/>
        </w:rPr>
        <w:t xml:space="preserve"> </w:t>
      </w:r>
      <w:r w:rsidRPr="001804F8">
        <w:rPr>
          <w:bCs/>
          <w:lang w:eastAsia="cs-CZ"/>
        </w:rPr>
        <w:t>výsledek</w:t>
      </w:r>
      <w:r>
        <w:rPr>
          <w:bCs/>
          <w:lang w:eastAsia="cs-CZ"/>
        </w:rPr>
        <w:t xml:space="preserve"> – odvolání nebylo po věcné stránce vyhověno, dotace nebyla přiznána</w:t>
      </w:r>
      <w:r w:rsidRPr="001804F8">
        <w:rPr>
          <w:bCs/>
          <w:lang w:eastAsia="cs-CZ"/>
        </w:rPr>
        <w:t xml:space="preserve">. </w:t>
      </w:r>
    </w:p>
    <w:p w14:paraId="11599B6E" w14:textId="77777777" w:rsidR="004F24F4" w:rsidRPr="0097392D" w:rsidRDefault="004F24F4" w:rsidP="00AD78F3">
      <w:pPr>
        <w:spacing w:before="0"/>
        <w:rPr>
          <w:bCs/>
          <w:lang w:eastAsia="cs-CZ"/>
        </w:rPr>
      </w:pPr>
    </w:p>
    <w:p w14:paraId="35AC90CC" w14:textId="412591A3" w:rsidR="004F24F4" w:rsidRPr="005B100A" w:rsidRDefault="00D91D0B" w:rsidP="00AD78F3">
      <w:pPr>
        <w:spacing w:before="0"/>
        <w:outlineLvl w:val="1"/>
        <w:rPr>
          <w:b/>
        </w:rPr>
      </w:pPr>
      <w:r w:rsidRPr="005B100A">
        <w:rPr>
          <w:b/>
        </w:rPr>
        <w:t>6. Řízení platební agentury</w:t>
      </w:r>
    </w:p>
    <w:p w14:paraId="383BA0AD" w14:textId="77777777" w:rsidR="00B37660" w:rsidRDefault="00B37660" w:rsidP="00AD78F3">
      <w:pPr>
        <w:spacing w:before="0"/>
      </w:pPr>
    </w:p>
    <w:p w14:paraId="628FDA06" w14:textId="77777777" w:rsidR="004F24F4" w:rsidRDefault="00D91D0B" w:rsidP="00AD78F3">
      <w:pPr>
        <w:spacing w:before="0"/>
      </w:pPr>
      <w:r w:rsidRPr="003C22DD">
        <w:t xml:space="preserve">Vztah mezi řídicím orgánem a platební agenturou je upraven smluvně. Oba subjekty by měly postupovat ve vzájemné shodě. Platební agentura je povinna řídit se pokyny řídicího orgánu. Nedostatečná spolupráce může negativně ovlivnit realizaci programu. </w:t>
      </w:r>
    </w:p>
    <w:p w14:paraId="43ABF577" w14:textId="77777777" w:rsidR="00B37660" w:rsidRPr="003C22DD" w:rsidRDefault="00B37660" w:rsidP="00AD78F3">
      <w:pPr>
        <w:spacing w:before="0"/>
      </w:pPr>
    </w:p>
    <w:p w14:paraId="36F4B58A" w14:textId="77777777" w:rsidR="004F24F4" w:rsidRDefault="00D91D0B" w:rsidP="007B1B0A">
      <w:pPr>
        <w:keepNext/>
        <w:spacing w:before="0"/>
      </w:pPr>
      <w:r w:rsidRPr="00274BC8">
        <w:t>NKÚ prověřil vztah MZe a SZIF.</w:t>
      </w:r>
    </w:p>
    <w:p w14:paraId="64E54AC5" w14:textId="77777777" w:rsidR="00B37660" w:rsidRPr="00274BC8" w:rsidRDefault="00B37660" w:rsidP="007B1B0A">
      <w:pPr>
        <w:keepNext/>
        <w:spacing w:before="0"/>
      </w:pPr>
    </w:p>
    <w:p w14:paraId="4B724706" w14:textId="7C1667D8" w:rsidR="004F24F4" w:rsidRDefault="00D91D0B" w:rsidP="00AD78F3">
      <w:pPr>
        <w:spacing w:before="0"/>
      </w:pPr>
      <w:r w:rsidRPr="001334C7">
        <w:t xml:space="preserve">Kontrolou bylo zjištěno, že </w:t>
      </w:r>
      <w:r>
        <w:t>f</w:t>
      </w:r>
      <w:r w:rsidRPr="001334C7">
        <w:t xml:space="preserve">ormulář </w:t>
      </w:r>
      <w:r>
        <w:t>žádosti o dotaci</w:t>
      </w:r>
      <w:r w:rsidRPr="001334C7">
        <w:t xml:space="preserve"> v 1. kole neobsahoval pole pro údaje pro hodnocení </w:t>
      </w:r>
      <w:r>
        <w:t>efektivnosti</w:t>
      </w:r>
      <w:r w:rsidRPr="001334C7">
        <w:t>.</w:t>
      </w:r>
      <w:r>
        <w:t xml:space="preserve"> MZe </w:t>
      </w:r>
      <w:r w:rsidRPr="001334C7">
        <w:t xml:space="preserve">před 3. kolem příjmu žádostí zadalo </w:t>
      </w:r>
      <w:r>
        <w:t>SZIF</w:t>
      </w:r>
      <w:r w:rsidRPr="001334C7">
        <w:t xml:space="preserve"> požadavky na</w:t>
      </w:r>
      <w:r w:rsidR="00A32BE9">
        <w:t xml:space="preserve"> </w:t>
      </w:r>
      <w:r w:rsidRPr="001334C7">
        <w:t xml:space="preserve">úpravu obsahu žádosti o dotaci. Jedním z požadavků bylo mimo jiné i doplnění údajů pro hodnocení efektivnosti projektů u operace 16.2.2. </w:t>
      </w:r>
      <w:r>
        <w:t>SZIF p</w:t>
      </w:r>
      <w:r w:rsidRPr="001334C7">
        <w:t xml:space="preserve">řes výslovný požadavek MZe </w:t>
      </w:r>
      <w:r w:rsidR="00A32BE9" w:rsidRPr="001334C7">
        <w:t>nedoplnil</w:t>
      </w:r>
      <w:r w:rsidR="00A32BE9">
        <w:t xml:space="preserve"> </w:t>
      </w:r>
      <w:r w:rsidR="00A32BE9" w:rsidRPr="001334C7">
        <w:t>do formuláře</w:t>
      </w:r>
      <w:r w:rsidR="00A32BE9">
        <w:t xml:space="preserve"> žádosti o dotaci </w:t>
      </w:r>
      <w:r>
        <w:t xml:space="preserve">pole pro </w:t>
      </w:r>
      <w:r w:rsidRPr="001334C7">
        <w:t>údaje pro</w:t>
      </w:r>
      <w:r w:rsidR="00552395">
        <w:t xml:space="preserve"> </w:t>
      </w:r>
      <w:r w:rsidRPr="001334C7">
        <w:t>hodnocení efektivnosti projektů z</w:t>
      </w:r>
      <w:r w:rsidR="00552395">
        <w:t> </w:t>
      </w:r>
      <w:r>
        <w:t>operace</w:t>
      </w:r>
      <w:r w:rsidR="00552395">
        <w:t xml:space="preserve"> </w:t>
      </w:r>
      <w:r w:rsidRPr="001334C7">
        <w:t>16.2.2. Nedoplnil je ani</w:t>
      </w:r>
      <w:r w:rsidR="00552395">
        <w:t xml:space="preserve"> do </w:t>
      </w:r>
      <w:r w:rsidRPr="001334C7">
        <w:t>formuláře žádosti o dotaci pro 5. kolo příjmu žádostí. Doplněna nebyla celá řada dalších požadavků MZe týkající se nejrůzn</w:t>
      </w:r>
      <w:r>
        <w:t>ějších operací PRV 2014–2020.</w:t>
      </w:r>
      <w:r w:rsidRPr="001334C7">
        <w:t xml:space="preserve"> </w:t>
      </w:r>
    </w:p>
    <w:p w14:paraId="7A1B9AC0" w14:textId="77777777" w:rsidR="00B37660" w:rsidRPr="001334C7" w:rsidRDefault="00B37660" w:rsidP="00AD78F3">
      <w:pPr>
        <w:spacing w:before="0"/>
      </w:pPr>
    </w:p>
    <w:p w14:paraId="100CB555" w14:textId="77777777" w:rsidR="004F24F4" w:rsidRDefault="00D91D0B" w:rsidP="00AD78F3">
      <w:pPr>
        <w:spacing w:before="0"/>
      </w:pPr>
      <w:r w:rsidRPr="001334C7">
        <w:t xml:space="preserve">Obsah žádosti o dotaci je klíčový pro hodnocení a výběr projektů. Absence důležitých údajů </w:t>
      </w:r>
      <w:r>
        <w:t>ohrožuje</w:t>
      </w:r>
      <w:r w:rsidRPr="001334C7">
        <w:t xml:space="preserve"> </w:t>
      </w:r>
      <w:r>
        <w:t>výběr efektivních</w:t>
      </w:r>
      <w:r w:rsidRPr="001334C7">
        <w:t xml:space="preserve"> projektů. </w:t>
      </w:r>
    </w:p>
    <w:p w14:paraId="529541D7" w14:textId="77777777" w:rsidR="004F24F4" w:rsidRPr="0097392D" w:rsidRDefault="004F24F4" w:rsidP="00AD78F3">
      <w:pPr>
        <w:spacing w:before="0"/>
      </w:pPr>
    </w:p>
    <w:p w14:paraId="430BA547" w14:textId="0A4CE495" w:rsidR="004F24F4" w:rsidRPr="003C22DD" w:rsidRDefault="00D91D0B" w:rsidP="00AD78F3">
      <w:pPr>
        <w:autoSpaceDE w:val="0"/>
        <w:autoSpaceDN w:val="0"/>
        <w:spacing w:before="0"/>
        <w:outlineLvl w:val="1"/>
        <w:rPr>
          <w:b/>
          <w:bCs/>
          <w:lang w:eastAsia="cs-CZ"/>
        </w:rPr>
      </w:pPr>
      <w:r w:rsidRPr="00C16635">
        <w:rPr>
          <w:b/>
          <w:bCs/>
          <w:lang w:eastAsia="cs-CZ"/>
        </w:rPr>
        <w:t xml:space="preserve">7. Podmínky pro </w:t>
      </w:r>
      <w:r>
        <w:rPr>
          <w:b/>
          <w:bCs/>
          <w:lang w:eastAsia="cs-CZ"/>
        </w:rPr>
        <w:t>žadatele</w:t>
      </w:r>
    </w:p>
    <w:p w14:paraId="30D07C45" w14:textId="77777777" w:rsidR="00B37660" w:rsidRDefault="00B37660" w:rsidP="00AD78F3">
      <w:pPr>
        <w:autoSpaceDE w:val="0"/>
        <w:autoSpaceDN w:val="0"/>
        <w:spacing w:before="0"/>
      </w:pPr>
    </w:p>
    <w:p w14:paraId="493C36FC" w14:textId="77777777" w:rsidR="004F24F4" w:rsidRPr="003C22DD" w:rsidRDefault="00D91D0B" w:rsidP="00AD78F3">
      <w:pPr>
        <w:autoSpaceDE w:val="0"/>
        <w:autoSpaceDN w:val="0"/>
        <w:spacing w:before="0"/>
      </w:pPr>
      <w:r w:rsidRPr="003C22DD">
        <w:t xml:space="preserve">Podmínky pro žadatele by měly být nastaveny nediskriminačně, tedy tak, aby </w:t>
      </w:r>
      <w:r>
        <w:t>nedocházelo k </w:t>
      </w:r>
      <w:r w:rsidRPr="003C22DD">
        <w:t xml:space="preserve">neodůvodněnému zvýhodňování některé skupiny žadatelů. </w:t>
      </w:r>
    </w:p>
    <w:p w14:paraId="26164C2C" w14:textId="77777777" w:rsidR="00B37660" w:rsidRDefault="00B37660" w:rsidP="00AD78F3">
      <w:pPr>
        <w:autoSpaceDE w:val="0"/>
        <w:autoSpaceDN w:val="0"/>
        <w:spacing w:before="0"/>
      </w:pPr>
    </w:p>
    <w:p w14:paraId="4074F9AB" w14:textId="77777777" w:rsidR="004F24F4" w:rsidRPr="00DF1EF4" w:rsidRDefault="00D91D0B" w:rsidP="00AD78F3">
      <w:pPr>
        <w:autoSpaceDE w:val="0"/>
        <w:autoSpaceDN w:val="0"/>
        <w:spacing w:before="0"/>
        <w:rPr>
          <w:i/>
          <w:u w:val="single"/>
        </w:rPr>
      </w:pPr>
      <w:r w:rsidRPr="00274BC8">
        <w:t xml:space="preserve">NKÚ prověřil </w:t>
      </w:r>
      <w:r>
        <w:t>nastavení podmínek pro žadatele v rámci jednotlivých operací</w:t>
      </w:r>
      <w:r w:rsidRPr="00274BC8">
        <w:t>.</w:t>
      </w:r>
    </w:p>
    <w:p w14:paraId="629AEC1C" w14:textId="77777777" w:rsidR="00B37660" w:rsidRDefault="00B37660" w:rsidP="00AD78F3">
      <w:pPr>
        <w:autoSpaceDE w:val="0"/>
        <w:autoSpaceDN w:val="0"/>
        <w:spacing w:before="0"/>
      </w:pPr>
    </w:p>
    <w:p w14:paraId="5CFC122D" w14:textId="474B9AD0" w:rsidR="004F24F4" w:rsidRPr="004B3212" w:rsidRDefault="00D91D0B" w:rsidP="0008286C">
      <w:pPr>
        <w:autoSpaceDE w:val="0"/>
        <w:autoSpaceDN w:val="0"/>
        <w:spacing w:before="0"/>
        <w:rPr>
          <w:lang w:eastAsia="cs-CZ"/>
        </w:rPr>
      </w:pPr>
      <w:r>
        <w:t>Kontrolou bylo zjištěno, že v rámci opatření M16</w:t>
      </w:r>
      <w:r w:rsidR="002F14E3">
        <w:t xml:space="preserve"> </w:t>
      </w:r>
      <w:r w:rsidR="002F14E3" w:rsidRPr="0008286C">
        <w:rPr>
          <w:i/>
        </w:rPr>
        <w:t>Spolupráce</w:t>
      </w:r>
      <w:r>
        <w:t xml:space="preserve"> uplatňuje MZe rozdílný přístup k žadatelům v různých operacích. Například</w:t>
      </w:r>
      <w:r w:rsidR="00A32BE9">
        <w:t xml:space="preserve"> jsou </w:t>
      </w:r>
      <w:r w:rsidR="00A32BE9">
        <w:rPr>
          <w:lang w:eastAsia="cs-CZ"/>
        </w:rPr>
        <w:t>ž</w:t>
      </w:r>
      <w:r>
        <w:rPr>
          <w:lang w:eastAsia="cs-CZ"/>
        </w:rPr>
        <w:t>adatelé v rámci finančně nejvýznamnější operace 16.2.2 zvýhodňováni oproti žadatelům v ostatních operacích:</w:t>
      </w:r>
    </w:p>
    <w:p w14:paraId="4D522EC6" w14:textId="77777777" w:rsidR="004F24F4" w:rsidRDefault="00D91D0B" w:rsidP="00AD78F3">
      <w:pPr>
        <w:numPr>
          <w:ilvl w:val="0"/>
          <w:numId w:val="29"/>
        </w:numPr>
        <w:spacing w:before="0"/>
        <w:ind w:left="284" w:hanging="284"/>
        <w:rPr>
          <w:lang w:eastAsia="cs-CZ"/>
        </w:rPr>
      </w:pPr>
      <w:r w:rsidRPr="004B3212">
        <w:t>Maximální možná částka dotace</w:t>
      </w:r>
      <w:r w:rsidRPr="004B3212">
        <w:rPr>
          <w:lang w:eastAsia="cs-CZ"/>
        </w:rPr>
        <w:t xml:space="preserve"> na jeden projekt je v této operaci</w:t>
      </w:r>
      <w:r>
        <w:rPr>
          <w:lang w:eastAsia="cs-CZ"/>
        </w:rPr>
        <w:t xml:space="preserve"> nejvyšší ze všech operací opatření M16</w:t>
      </w:r>
      <w:r w:rsidR="002F14E3">
        <w:rPr>
          <w:lang w:eastAsia="cs-CZ"/>
        </w:rPr>
        <w:t xml:space="preserve"> </w:t>
      </w:r>
      <w:r w:rsidR="002F14E3" w:rsidRPr="0008286C">
        <w:rPr>
          <w:i/>
          <w:lang w:eastAsia="cs-CZ"/>
        </w:rPr>
        <w:t>Spolupráce</w:t>
      </w:r>
      <w:r>
        <w:rPr>
          <w:lang w:eastAsia="cs-CZ"/>
        </w:rPr>
        <w:t xml:space="preserve"> – až 75 mil. Kč oproti 750 tis. Kč do 50 mil. Kč u jiných operací v závislosti na typu žadatele. </w:t>
      </w:r>
    </w:p>
    <w:p w14:paraId="64D94761" w14:textId="0A382013" w:rsidR="004F24F4" w:rsidRDefault="00D91D0B" w:rsidP="00AD78F3">
      <w:pPr>
        <w:numPr>
          <w:ilvl w:val="0"/>
          <w:numId w:val="29"/>
        </w:numPr>
        <w:spacing w:before="0"/>
        <w:ind w:left="284" w:hanging="284"/>
        <w:rPr>
          <w:lang w:eastAsia="cs-CZ"/>
        </w:rPr>
      </w:pPr>
      <w:r>
        <w:rPr>
          <w:lang w:eastAsia="cs-CZ"/>
        </w:rPr>
        <w:t>Formulář žádosti o dotaci u operace 16.2.2 je výrazně jednodušší než ve finančně daleko méně významných operacích (zejména nemusí</w:t>
      </w:r>
      <w:r w:rsidR="00A32BE9" w:rsidRPr="00A32BE9">
        <w:rPr>
          <w:lang w:eastAsia="cs-CZ"/>
        </w:rPr>
        <w:t xml:space="preserve"> </w:t>
      </w:r>
      <w:r w:rsidR="00A32BE9">
        <w:rPr>
          <w:lang w:eastAsia="cs-CZ"/>
        </w:rPr>
        <w:t>žadatel</w:t>
      </w:r>
      <w:r>
        <w:rPr>
          <w:lang w:eastAsia="cs-CZ"/>
        </w:rPr>
        <w:t xml:space="preserve"> uvádět žádné údaje týkající se efektivnosti projektu).</w:t>
      </w:r>
    </w:p>
    <w:p w14:paraId="7E945230" w14:textId="21135535" w:rsidR="004F24F4" w:rsidRDefault="00D91D0B" w:rsidP="00AD78F3">
      <w:pPr>
        <w:numPr>
          <w:ilvl w:val="0"/>
          <w:numId w:val="29"/>
        </w:numPr>
        <w:autoSpaceDE w:val="0"/>
        <w:autoSpaceDN w:val="0"/>
        <w:spacing w:before="0"/>
        <w:ind w:left="284" w:hanging="284"/>
      </w:pPr>
      <w:r>
        <w:t>Smlouva o spolupráci je předkládána až při podání žádosti o proplacení</w:t>
      </w:r>
      <w:r w:rsidR="00A32BE9">
        <w:t>,</w:t>
      </w:r>
      <w:r>
        <w:t xml:space="preserve"> na rozdíl od</w:t>
      </w:r>
      <w:r w:rsidR="00A32BE9">
        <w:t xml:space="preserve"> </w:t>
      </w:r>
      <w:r>
        <w:t xml:space="preserve">jiných operací, kde musí být předkládána již při podání žádosti o dotaci. </w:t>
      </w:r>
    </w:p>
    <w:p w14:paraId="1B22089B" w14:textId="77777777" w:rsidR="00693C99" w:rsidRDefault="00693C99" w:rsidP="00AD78F3">
      <w:pPr>
        <w:autoSpaceDE w:val="0"/>
        <w:autoSpaceDN w:val="0"/>
        <w:spacing w:before="0"/>
      </w:pPr>
    </w:p>
    <w:p w14:paraId="03B0DDE1" w14:textId="0AD08A28" w:rsidR="004F24F4" w:rsidRDefault="00D91D0B" w:rsidP="00AD78F3">
      <w:pPr>
        <w:autoSpaceDE w:val="0"/>
        <w:autoSpaceDN w:val="0"/>
        <w:spacing w:before="0"/>
        <w:rPr>
          <w:lang w:eastAsia="cs-CZ"/>
        </w:rPr>
      </w:pPr>
      <w:r>
        <w:t>Existuje zde tedy riziko nerovného přístupu k žadatelům v jednotlivých operacích M16</w:t>
      </w:r>
      <w:r w:rsidR="00A32BE9">
        <w:t> </w:t>
      </w:r>
      <w:r w:rsidR="002F14E3" w:rsidRPr="00F41854">
        <w:rPr>
          <w:i/>
        </w:rPr>
        <w:t>Spolupráce</w:t>
      </w:r>
      <w:r w:rsidR="00A32BE9">
        <w:t>,</w:t>
      </w:r>
      <w:r>
        <w:t xml:space="preserve"> a to i v rámci operací, které jsou shodně zaměřeny na</w:t>
      </w:r>
      <w:r w:rsidR="00552395">
        <w:t xml:space="preserve"> </w:t>
      </w:r>
      <w:r>
        <w:t>inovace a jsou posuzovány hodnotitelskou komisí.</w:t>
      </w:r>
    </w:p>
    <w:p w14:paraId="333CC3BA" w14:textId="77777777" w:rsidR="00693C99" w:rsidRDefault="00693C99" w:rsidP="00AD78F3">
      <w:pPr>
        <w:autoSpaceDE w:val="0"/>
        <w:autoSpaceDN w:val="0"/>
        <w:spacing w:before="0"/>
      </w:pPr>
    </w:p>
    <w:p w14:paraId="3D2D78E2" w14:textId="7B2862AD" w:rsidR="004F24F4" w:rsidRDefault="00D91D0B" w:rsidP="00AD78F3">
      <w:pPr>
        <w:autoSpaceDE w:val="0"/>
        <w:autoSpaceDN w:val="0"/>
        <w:spacing w:before="0"/>
      </w:pPr>
      <w:r>
        <w:t>Značné rozdíly jsou i v rámci podobných operací</w:t>
      </w:r>
      <w:r w:rsidR="00A32BE9">
        <w:t>:</w:t>
      </w:r>
      <w:r>
        <w:t xml:space="preserve"> 16.2.1 </w:t>
      </w:r>
      <w:r w:rsidR="00A32BE9">
        <w:t>je</w:t>
      </w:r>
      <w:r>
        <w:t xml:space="preserve"> zaměřena na prvovýrobce</w:t>
      </w:r>
      <w:r w:rsidR="00A44D15">
        <w:t xml:space="preserve"> a </w:t>
      </w:r>
      <w:r>
        <w:t xml:space="preserve">16.2.2 </w:t>
      </w:r>
      <w:r w:rsidR="00A32BE9">
        <w:t>je</w:t>
      </w:r>
      <w:r>
        <w:t xml:space="preserve"> zaměřena na zpracovatele zemědělských výrobků. </w:t>
      </w:r>
    </w:p>
    <w:p w14:paraId="0B3192A7" w14:textId="7F232F2C" w:rsidR="004F24F4" w:rsidRPr="00B41299" w:rsidRDefault="00D91D0B" w:rsidP="007B1B0A">
      <w:pPr>
        <w:keepNext/>
        <w:autoSpaceDE w:val="0"/>
        <w:autoSpaceDN w:val="0"/>
        <w:spacing w:before="0" w:after="40"/>
        <w:rPr>
          <w:b/>
        </w:rPr>
      </w:pPr>
      <w:r w:rsidRPr="00B41299">
        <w:rPr>
          <w:b/>
        </w:rPr>
        <w:lastRenderedPageBreak/>
        <w:t>Tabulka č. 3</w:t>
      </w:r>
      <w:r>
        <w:rPr>
          <w:b/>
        </w:rPr>
        <w:t>:</w:t>
      </w:r>
      <w:r w:rsidRPr="00B41299">
        <w:rPr>
          <w:b/>
        </w:rPr>
        <w:t xml:space="preserve"> Porovnání </w:t>
      </w:r>
      <w:r w:rsidR="00A32BE9">
        <w:rPr>
          <w:b/>
        </w:rPr>
        <w:t xml:space="preserve">operací </w:t>
      </w:r>
      <w:r w:rsidRPr="00B41299">
        <w:rPr>
          <w:b/>
        </w:rPr>
        <w:t>16.2.1 a 16.2.2</w:t>
      </w: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2"/>
        <w:gridCol w:w="1842"/>
        <w:gridCol w:w="1768"/>
      </w:tblGrid>
      <w:tr w:rsidR="00693C99" w:rsidRPr="00693C99" w14:paraId="7987B196" w14:textId="77777777" w:rsidTr="00693C99">
        <w:trPr>
          <w:trHeight w:val="227"/>
        </w:trPr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5F1FF"/>
            <w:noWrap/>
            <w:vAlign w:val="center"/>
            <w:hideMark/>
          </w:tcPr>
          <w:p w14:paraId="07D3B5FC" w14:textId="77777777" w:rsidR="00693C99" w:rsidRPr="00693C99" w:rsidRDefault="00693C99" w:rsidP="007B1B0A">
            <w:pPr>
              <w:keepNext/>
              <w:spacing w:before="0"/>
              <w:jc w:val="center"/>
              <w:rPr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FF9498E" w14:textId="77777777" w:rsidR="00693C99" w:rsidRPr="00693C99" w:rsidRDefault="00693C99" w:rsidP="007B1B0A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693C99">
              <w:rPr>
                <w:b/>
                <w:bCs/>
                <w:sz w:val="20"/>
                <w:szCs w:val="20"/>
                <w:lang w:eastAsia="cs-CZ"/>
              </w:rPr>
              <w:t>Podopatření</w:t>
            </w:r>
            <w:proofErr w:type="spellEnd"/>
            <w:r w:rsidRPr="00693C99">
              <w:rPr>
                <w:b/>
                <w:bCs/>
                <w:sz w:val="20"/>
                <w:szCs w:val="20"/>
                <w:lang w:eastAsia="cs-CZ"/>
              </w:rPr>
              <w:t xml:space="preserve"> 16.2</w:t>
            </w:r>
          </w:p>
        </w:tc>
      </w:tr>
      <w:tr w:rsidR="00693C99" w:rsidRPr="00693C99" w14:paraId="720CCC8E" w14:textId="77777777" w:rsidTr="006E474C">
        <w:trPr>
          <w:trHeight w:val="227"/>
        </w:trPr>
        <w:tc>
          <w:tcPr>
            <w:tcW w:w="5462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E5F1FF"/>
            <w:noWrap/>
            <w:vAlign w:val="bottom"/>
            <w:hideMark/>
          </w:tcPr>
          <w:p w14:paraId="65B4C1FF" w14:textId="77777777" w:rsidR="00693C99" w:rsidRPr="00693C99" w:rsidRDefault="00693C99" w:rsidP="007B1B0A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283533D" w14:textId="5425D202" w:rsidR="00693C99" w:rsidRPr="00693C99" w:rsidRDefault="00A32BE9" w:rsidP="007B1B0A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O</w:t>
            </w:r>
            <w:r w:rsidR="00693C99" w:rsidRPr="00693C99">
              <w:rPr>
                <w:b/>
                <w:bCs/>
                <w:sz w:val="20"/>
                <w:szCs w:val="20"/>
                <w:lang w:eastAsia="cs-CZ"/>
              </w:rPr>
              <w:t>perace 16.2.1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631D31CF" w14:textId="3E10B5F3" w:rsidR="00693C99" w:rsidRPr="00693C99" w:rsidRDefault="00A32BE9" w:rsidP="007B1B0A">
            <w:pPr>
              <w:keepNext/>
              <w:spacing w:before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O</w:t>
            </w:r>
            <w:r w:rsidR="00693C99" w:rsidRPr="00693C99">
              <w:rPr>
                <w:b/>
                <w:bCs/>
                <w:sz w:val="20"/>
                <w:szCs w:val="20"/>
                <w:lang w:eastAsia="cs-CZ"/>
              </w:rPr>
              <w:t>perace 16.2.2</w:t>
            </w:r>
          </w:p>
        </w:tc>
      </w:tr>
      <w:tr w:rsidR="00B45BBC" w:rsidRPr="00693C99" w14:paraId="08D4C6E1" w14:textId="77777777" w:rsidTr="00693C99">
        <w:trPr>
          <w:trHeight w:val="227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552D" w14:textId="77777777" w:rsidR="004F24F4" w:rsidRPr="00693C99" w:rsidRDefault="00D91D0B" w:rsidP="007B1B0A">
            <w:pPr>
              <w:keepNext/>
              <w:spacing w:before="0"/>
              <w:jc w:val="left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Podíl z celkové alokace opatření M16</w:t>
            </w:r>
            <w:r w:rsidR="002F14E3" w:rsidRPr="00693C99">
              <w:rPr>
                <w:sz w:val="20"/>
                <w:szCs w:val="20"/>
                <w:lang w:eastAsia="cs-CZ"/>
              </w:rPr>
              <w:t xml:space="preserve"> </w:t>
            </w:r>
            <w:r w:rsidR="002F14E3" w:rsidRPr="00F41854">
              <w:rPr>
                <w:i/>
                <w:sz w:val="20"/>
                <w:szCs w:val="20"/>
                <w:lang w:eastAsia="cs-CZ"/>
              </w:rPr>
              <w:t>Spolupráce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8746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12 %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25FDF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74 %</w:t>
            </w:r>
          </w:p>
        </w:tc>
      </w:tr>
      <w:tr w:rsidR="00B45BBC" w:rsidRPr="00693C99" w14:paraId="74893DE0" w14:textId="77777777" w:rsidTr="00693C99">
        <w:trPr>
          <w:trHeight w:val="227"/>
        </w:trPr>
        <w:tc>
          <w:tcPr>
            <w:tcW w:w="5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E698C" w14:textId="77777777" w:rsidR="004F24F4" w:rsidRPr="00693C99" w:rsidRDefault="00D91D0B" w:rsidP="007B1B0A">
            <w:pPr>
              <w:keepNext/>
              <w:spacing w:before="0"/>
              <w:jc w:val="left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 xml:space="preserve">Maximální možná výše způsobilých výdajů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0876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90 mil.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5603A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150 mil. Kč</w:t>
            </w:r>
          </w:p>
        </w:tc>
      </w:tr>
      <w:tr w:rsidR="00B45BBC" w:rsidRPr="00693C99" w14:paraId="16D5230C" w14:textId="77777777" w:rsidTr="00693C99">
        <w:trPr>
          <w:trHeight w:val="227"/>
        </w:trPr>
        <w:tc>
          <w:tcPr>
            <w:tcW w:w="5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AC0A" w14:textId="77777777" w:rsidR="004F24F4" w:rsidRPr="00693C99" w:rsidRDefault="00D91D0B" w:rsidP="007B1B0A">
            <w:pPr>
              <w:keepNext/>
              <w:spacing w:before="0"/>
              <w:jc w:val="left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Maximální možná výše dotace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EA9A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45 mil.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F029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75 mil. Kč</w:t>
            </w:r>
          </w:p>
        </w:tc>
      </w:tr>
      <w:tr w:rsidR="00B45BBC" w:rsidRPr="00693C99" w14:paraId="55A9DC9E" w14:textId="77777777" w:rsidTr="00693C99">
        <w:trPr>
          <w:trHeight w:val="227"/>
        </w:trPr>
        <w:tc>
          <w:tcPr>
            <w:tcW w:w="5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E4826" w14:textId="77777777" w:rsidR="004F24F4" w:rsidRPr="00693C99" w:rsidRDefault="00D91D0B" w:rsidP="007B1B0A">
            <w:pPr>
              <w:keepNext/>
              <w:spacing w:before="0"/>
              <w:jc w:val="left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 xml:space="preserve">Průměrná výše způsobilých výdajů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28389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7,9 mil.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D25A4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83 mil. Kč</w:t>
            </w:r>
          </w:p>
        </w:tc>
      </w:tr>
      <w:tr w:rsidR="00B45BBC" w:rsidRPr="00693C99" w14:paraId="544EA011" w14:textId="77777777" w:rsidTr="00693C99">
        <w:trPr>
          <w:trHeight w:val="227"/>
        </w:trPr>
        <w:tc>
          <w:tcPr>
            <w:tcW w:w="5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183A5" w14:textId="77777777" w:rsidR="004F24F4" w:rsidRPr="00693C99" w:rsidRDefault="00D91D0B" w:rsidP="007B1B0A">
            <w:pPr>
              <w:keepNext/>
              <w:spacing w:before="0"/>
              <w:jc w:val="left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Podíl výdajů určených na spolupráci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44083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10,20 %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A6E6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1,27 %</w:t>
            </w:r>
          </w:p>
        </w:tc>
      </w:tr>
      <w:tr w:rsidR="00B45BBC" w:rsidRPr="00693C99" w14:paraId="696DA579" w14:textId="77777777" w:rsidTr="00693C99">
        <w:trPr>
          <w:trHeight w:val="227"/>
        </w:trPr>
        <w:tc>
          <w:tcPr>
            <w:tcW w:w="5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9632" w14:textId="77777777" w:rsidR="004F24F4" w:rsidRPr="00693C99" w:rsidRDefault="00D91D0B" w:rsidP="007B1B0A">
            <w:pPr>
              <w:keepNext/>
              <w:spacing w:before="0"/>
              <w:jc w:val="left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Průměrná částka na spolupráci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1FD30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1,85 mil. Kč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1266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1 mil. Kč</w:t>
            </w:r>
          </w:p>
        </w:tc>
      </w:tr>
      <w:tr w:rsidR="00B45BBC" w:rsidRPr="00693C99" w14:paraId="4A5B4F20" w14:textId="77777777" w:rsidTr="00693C99">
        <w:trPr>
          <w:trHeight w:val="227"/>
        </w:trPr>
        <w:tc>
          <w:tcPr>
            <w:tcW w:w="5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0BAB" w14:textId="77777777" w:rsidR="004F24F4" w:rsidRPr="00693C99" w:rsidRDefault="00D91D0B" w:rsidP="007B1B0A">
            <w:pPr>
              <w:keepNext/>
              <w:spacing w:before="0"/>
              <w:jc w:val="left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Hodnocení efektivnosti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6A7F" w14:textId="022EAB44" w:rsidR="004F24F4" w:rsidRPr="00693C99" w:rsidRDefault="00D2068A" w:rsidP="00D2068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Č</w:t>
            </w:r>
            <w:r w:rsidR="00D91D0B" w:rsidRPr="00693C99">
              <w:rPr>
                <w:sz w:val="20"/>
                <w:szCs w:val="20"/>
                <w:lang w:eastAsia="cs-CZ"/>
              </w:rPr>
              <w:t>ástečn</w:t>
            </w:r>
            <w:r>
              <w:rPr>
                <w:sz w:val="20"/>
                <w:szCs w:val="20"/>
                <w:lang w:eastAsia="cs-CZ"/>
              </w:rPr>
              <w:t>é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08001" w14:textId="1A9B8E77" w:rsidR="004F24F4" w:rsidRPr="00693C99" w:rsidRDefault="00D2068A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</w:t>
            </w:r>
            <w:r w:rsidR="00D91D0B" w:rsidRPr="00693C99">
              <w:rPr>
                <w:sz w:val="20"/>
                <w:szCs w:val="20"/>
                <w:lang w:eastAsia="cs-CZ"/>
              </w:rPr>
              <w:t>hybí</w:t>
            </w:r>
          </w:p>
        </w:tc>
      </w:tr>
      <w:tr w:rsidR="00B45BBC" w:rsidRPr="00693C99" w14:paraId="3095DA76" w14:textId="77777777" w:rsidTr="00693C99">
        <w:trPr>
          <w:trHeight w:val="227"/>
        </w:trPr>
        <w:tc>
          <w:tcPr>
            <w:tcW w:w="5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5146" w14:textId="77777777" w:rsidR="004F24F4" w:rsidRPr="00693C99" w:rsidRDefault="00D91D0B" w:rsidP="007B1B0A">
            <w:pPr>
              <w:keepNext/>
              <w:spacing w:before="0"/>
              <w:jc w:val="left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Podíl velkých podniků jako příjemců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AB51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4,88 %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27CD" w14:textId="77777777" w:rsidR="004F24F4" w:rsidRPr="00693C99" w:rsidRDefault="00D91D0B" w:rsidP="007B1B0A">
            <w:pPr>
              <w:keepNext/>
              <w:spacing w:before="0"/>
              <w:jc w:val="center"/>
              <w:rPr>
                <w:sz w:val="20"/>
                <w:szCs w:val="20"/>
                <w:lang w:eastAsia="cs-CZ"/>
              </w:rPr>
            </w:pPr>
            <w:r w:rsidRPr="00693C99">
              <w:rPr>
                <w:sz w:val="20"/>
                <w:szCs w:val="20"/>
                <w:lang w:eastAsia="cs-CZ"/>
              </w:rPr>
              <w:t>70 %</w:t>
            </w:r>
          </w:p>
        </w:tc>
      </w:tr>
    </w:tbl>
    <w:p w14:paraId="7FEAA56C" w14:textId="36C090B0" w:rsidR="004F24F4" w:rsidRPr="006265B1" w:rsidRDefault="00D91D0B" w:rsidP="00B37660">
      <w:pPr>
        <w:autoSpaceDE w:val="0"/>
        <w:autoSpaceDN w:val="0"/>
        <w:spacing w:before="40"/>
        <w:rPr>
          <w:bCs/>
          <w:sz w:val="20"/>
          <w:szCs w:val="20"/>
          <w:lang w:eastAsia="cs-CZ"/>
        </w:rPr>
      </w:pPr>
      <w:r w:rsidRPr="00B41299">
        <w:rPr>
          <w:b/>
          <w:bCs/>
          <w:sz w:val="20"/>
          <w:szCs w:val="20"/>
          <w:lang w:eastAsia="cs-CZ"/>
        </w:rPr>
        <w:t>Zdroj:</w:t>
      </w:r>
      <w:r w:rsidRPr="005A3E6F">
        <w:rPr>
          <w:bCs/>
          <w:sz w:val="20"/>
          <w:szCs w:val="20"/>
          <w:lang w:eastAsia="cs-CZ"/>
        </w:rPr>
        <w:t xml:space="preserve"> </w:t>
      </w:r>
      <w:r w:rsidR="00A32BE9">
        <w:rPr>
          <w:bCs/>
          <w:sz w:val="20"/>
          <w:szCs w:val="20"/>
          <w:lang w:eastAsia="cs-CZ"/>
        </w:rPr>
        <w:t>p</w:t>
      </w:r>
      <w:r w:rsidRPr="005A3E6F">
        <w:rPr>
          <w:bCs/>
          <w:sz w:val="20"/>
          <w:szCs w:val="20"/>
          <w:lang w:eastAsia="cs-CZ"/>
        </w:rPr>
        <w:t xml:space="preserve">rogramový dokument 2014–2020 a </w:t>
      </w:r>
      <w:r w:rsidR="00A32BE9">
        <w:rPr>
          <w:bCs/>
          <w:sz w:val="20"/>
          <w:szCs w:val="20"/>
          <w:lang w:eastAsia="cs-CZ"/>
        </w:rPr>
        <w:t>p</w:t>
      </w:r>
      <w:r w:rsidRPr="005A3E6F">
        <w:rPr>
          <w:bCs/>
          <w:sz w:val="20"/>
          <w:szCs w:val="20"/>
          <w:lang w:eastAsia="cs-CZ"/>
        </w:rPr>
        <w:t>ravidla pro jednotlivé operace</w:t>
      </w:r>
      <w:r>
        <w:rPr>
          <w:bCs/>
          <w:sz w:val="20"/>
          <w:szCs w:val="20"/>
          <w:lang w:eastAsia="cs-CZ"/>
        </w:rPr>
        <w:t>.</w:t>
      </w:r>
    </w:p>
    <w:p w14:paraId="67D92827" w14:textId="77777777" w:rsidR="00693C99" w:rsidRDefault="00693C99" w:rsidP="00B37660">
      <w:pPr>
        <w:autoSpaceDE w:val="0"/>
        <w:autoSpaceDN w:val="0"/>
        <w:spacing w:before="0"/>
        <w:rPr>
          <w:bCs/>
          <w:lang w:eastAsia="cs-CZ"/>
        </w:rPr>
      </w:pPr>
    </w:p>
    <w:p w14:paraId="10E64D31" w14:textId="77777777" w:rsidR="004F24F4" w:rsidRDefault="00D91D0B" w:rsidP="00693C99">
      <w:pPr>
        <w:autoSpaceDE w:val="0"/>
        <w:autoSpaceDN w:val="0"/>
        <w:spacing w:before="0"/>
        <w:rPr>
          <w:bCs/>
          <w:lang w:eastAsia="cs-CZ"/>
        </w:rPr>
      </w:pPr>
      <w:r>
        <w:rPr>
          <w:bCs/>
          <w:lang w:eastAsia="cs-CZ"/>
        </w:rPr>
        <w:t>Z tabulky vyplývá, že ve všech uvedených parametrech je nastavení pravidel pro poskytování dotací a podmínek pro žadatele i samotná realizace projektů výrazně příznivější pro zpracovatele zemědělských výrobků než pro prvovýrobce.</w:t>
      </w:r>
    </w:p>
    <w:p w14:paraId="6E2C0F4A" w14:textId="77777777" w:rsidR="004F24F4" w:rsidRPr="00DA660D" w:rsidRDefault="004F24F4" w:rsidP="00693C99">
      <w:pPr>
        <w:autoSpaceDE w:val="0"/>
        <w:autoSpaceDN w:val="0"/>
        <w:spacing w:before="0"/>
        <w:rPr>
          <w:bCs/>
          <w:lang w:eastAsia="cs-CZ"/>
        </w:rPr>
      </w:pPr>
    </w:p>
    <w:p w14:paraId="2B537675" w14:textId="21CBF9BD" w:rsidR="004F24F4" w:rsidRPr="005B100A" w:rsidRDefault="00D91D0B" w:rsidP="00693C99">
      <w:pPr>
        <w:spacing w:before="0"/>
        <w:outlineLvl w:val="2"/>
        <w:rPr>
          <w:b/>
          <w:bCs/>
          <w:lang w:eastAsia="cs-CZ"/>
        </w:rPr>
      </w:pPr>
      <w:r w:rsidRPr="005B100A">
        <w:rPr>
          <w:b/>
          <w:bCs/>
          <w:lang w:eastAsia="cs-CZ"/>
        </w:rPr>
        <w:t>8. Jednotlivé operace</w:t>
      </w:r>
    </w:p>
    <w:p w14:paraId="3BF4219F" w14:textId="77777777" w:rsidR="00275306" w:rsidRDefault="00275306" w:rsidP="00693C99">
      <w:pPr>
        <w:spacing w:before="0"/>
        <w:rPr>
          <w:lang w:eastAsia="cs-CZ"/>
        </w:rPr>
      </w:pPr>
    </w:p>
    <w:p w14:paraId="1FBAB6AB" w14:textId="270764DA" w:rsidR="004F24F4" w:rsidRDefault="00D91D0B" w:rsidP="00693C99">
      <w:pPr>
        <w:spacing w:before="0"/>
        <w:rPr>
          <w:lang w:eastAsia="cs-CZ"/>
        </w:rPr>
      </w:pPr>
      <w:r w:rsidRPr="003C22DD">
        <w:rPr>
          <w:lang w:eastAsia="cs-CZ"/>
        </w:rPr>
        <w:t xml:space="preserve">Řídicí orgán má povinnost nastavit podmínky pro realizaci jednotlivých operací v souladu s principy účelnosti, hospodárnosti a efektivnosti. </w:t>
      </w:r>
      <w:r w:rsidR="00A32BE9">
        <w:rPr>
          <w:lang w:eastAsia="cs-CZ"/>
        </w:rPr>
        <w:t>P</w:t>
      </w:r>
      <w:r w:rsidRPr="003C22DD">
        <w:rPr>
          <w:lang w:eastAsia="cs-CZ"/>
        </w:rPr>
        <w:t>říliš přísn</w:t>
      </w:r>
      <w:r w:rsidR="00A32BE9">
        <w:rPr>
          <w:lang w:eastAsia="cs-CZ"/>
        </w:rPr>
        <w:t>é</w:t>
      </w:r>
      <w:r w:rsidRPr="003C22DD">
        <w:rPr>
          <w:lang w:eastAsia="cs-CZ"/>
        </w:rPr>
        <w:t xml:space="preserve"> podmínk</w:t>
      </w:r>
      <w:r w:rsidR="00A32BE9">
        <w:rPr>
          <w:lang w:eastAsia="cs-CZ"/>
        </w:rPr>
        <w:t>y</w:t>
      </w:r>
      <w:r w:rsidRPr="003C22DD">
        <w:rPr>
          <w:lang w:eastAsia="cs-CZ"/>
        </w:rPr>
        <w:t xml:space="preserve"> můž</w:t>
      </w:r>
      <w:r w:rsidR="00A32BE9">
        <w:rPr>
          <w:lang w:eastAsia="cs-CZ"/>
        </w:rPr>
        <w:t>ou</w:t>
      </w:r>
      <w:r w:rsidRPr="003C22DD">
        <w:rPr>
          <w:lang w:eastAsia="cs-CZ"/>
        </w:rPr>
        <w:t xml:space="preserve"> odradit žadatele od zájmu o operaci, příliš mírn</w:t>
      </w:r>
      <w:r w:rsidR="00A32BE9">
        <w:rPr>
          <w:lang w:eastAsia="cs-CZ"/>
        </w:rPr>
        <w:t>é</w:t>
      </w:r>
      <w:r w:rsidRPr="003C22DD">
        <w:rPr>
          <w:lang w:eastAsia="cs-CZ"/>
        </w:rPr>
        <w:t xml:space="preserve"> podmínk</w:t>
      </w:r>
      <w:r w:rsidR="00A32BE9">
        <w:rPr>
          <w:lang w:eastAsia="cs-CZ"/>
        </w:rPr>
        <w:t>y</w:t>
      </w:r>
      <w:r w:rsidRPr="003C22DD">
        <w:rPr>
          <w:lang w:eastAsia="cs-CZ"/>
        </w:rPr>
        <w:t xml:space="preserve"> </w:t>
      </w:r>
      <w:r w:rsidR="00A32BE9">
        <w:rPr>
          <w:lang w:eastAsia="cs-CZ"/>
        </w:rPr>
        <w:t>jsou</w:t>
      </w:r>
      <w:r w:rsidRPr="003C22DD">
        <w:rPr>
          <w:lang w:eastAsia="cs-CZ"/>
        </w:rPr>
        <w:t xml:space="preserve"> pak rizikem pro efektivnost a účelnost vynaložených peněžních prostředků.</w:t>
      </w:r>
    </w:p>
    <w:p w14:paraId="58FE72CB" w14:textId="77777777" w:rsidR="00693C99" w:rsidRPr="003C22DD" w:rsidRDefault="00693C99" w:rsidP="00693C99">
      <w:pPr>
        <w:spacing w:before="0"/>
        <w:rPr>
          <w:lang w:eastAsia="cs-CZ"/>
        </w:rPr>
      </w:pPr>
    </w:p>
    <w:p w14:paraId="3486CA30" w14:textId="77777777" w:rsidR="005A5160" w:rsidRDefault="00D91D0B" w:rsidP="00693C99">
      <w:pPr>
        <w:spacing w:before="0"/>
        <w:rPr>
          <w:bCs/>
          <w:lang w:eastAsia="cs-CZ"/>
        </w:rPr>
      </w:pPr>
      <w:r w:rsidRPr="004D3719">
        <w:rPr>
          <w:bCs/>
          <w:lang w:eastAsia="cs-CZ"/>
        </w:rPr>
        <w:t>NKÚ kontroloval nastavení podmínek pro jednotlivé operace z opatření M16</w:t>
      </w:r>
      <w:r w:rsidR="002F14E3">
        <w:rPr>
          <w:bCs/>
          <w:lang w:eastAsia="cs-CZ"/>
        </w:rPr>
        <w:t xml:space="preserve"> </w:t>
      </w:r>
      <w:r w:rsidR="002F14E3" w:rsidRPr="00F41854">
        <w:rPr>
          <w:bCs/>
          <w:i/>
          <w:lang w:eastAsia="cs-CZ"/>
        </w:rPr>
        <w:t>Spolupráce</w:t>
      </w:r>
      <w:r w:rsidR="005F4CCC" w:rsidRPr="00F41854">
        <w:rPr>
          <w:bCs/>
          <w:i/>
          <w:lang w:eastAsia="cs-CZ"/>
        </w:rPr>
        <w:t xml:space="preserve"> </w:t>
      </w:r>
      <w:r w:rsidR="005F4CCC">
        <w:rPr>
          <w:bCs/>
          <w:lang w:eastAsia="cs-CZ"/>
        </w:rPr>
        <w:t>a </w:t>
      </w:r>
      <w:r w:rsidRPr="004D3719">
        <w:rPr>
          <w:bCs/>
          <w:lang w:eastAsia="cs-CZ"/>
        </w:rPr>
        <w:t>rovněž provedl analýzu podaných žádostí a stavu jejich administrace.</w:t>
      </w:r>
    </w:p>
    <w:p w14:paraId="32075141" w14:textId="77777777" w:rsidR="00B37660" w:rsidRPr="00DB0723" w:rsidRDefault="00B37660" w:rsidP="00693C99">
      <w:pPr>
        <w:spacing w:before="0"/>
        <w:rPr>
          <w:bCs/>
          <w:lang w:eastAsia="cs-CZ"/>
        </w:rPr>
      </w:pPr>
    </w:p>
    <w:p w14:paraId="5DC4FED5" w14:textId="77777777" w:rsidR="004F24F4" w:rsidRPr="00F41854" w:rsidRDefault="00D91D0B" w:rsidP="00F41854">
      <w:pPr>
        <w:spacing w:before="0"/>
        <w:jc w:val="left"/>
        <w:rPr>
          <w:b/>
          <w:bCs/>
        </w:rPr>
      </w:pPr>
      <w:r w:rsidRPr="00F41854">
        <w:rPr>
          <w:b/>
        </w:rPr>
        <w:t xml:space="preserve">Operace 16.2.2 </w:t>
      </w:r>
      <w:r w:rsidRPr="00F41854">
        <w:rPr>
          <w:b/>
          <w:bCs/>
          <w:i/>
        </w:rPr>
        <w:t>Podpora vývoje nových produktů, postupů a technologií při zpracování zemědělských produktů a jejich uvádění na trh</w:t>
      </w:r>
    </w:p>
    <w:p w14:paraId="69711182" w14:textId="77777777" w:rsidR="00693C99" w:rsidRDefault="00693C99" w:rsidP="00693C99">
      <w:pPr>
        <w:spacing w:before="0"/>
      </w:pPr>
    </w:p>
    <w:p w14:paraId="31B9AA27" w14:textId="77777777" w:rsidR="004F24F4" w:rsidRPr="009B70CC" w:rsidRDefault="004F24F4" w:rsidP="00693C99">
      <w:pPr>
        <w:spacing w:before="0"/>
        <w:rPr>
          <w:b/>
        </w:rPr>
      </w:pPr>
      <w:r w:rsidRPr="009B70CC">
        <w:rPr>
          <w:b/>
        </w:rPr>
        <w:t>Výsledek analýzy žádostí o dotaci</w:t>
      </w:r>
      <w:r w:rsidR="00540DE2">
        <w:rPr>
          <w:b/>
        </w:rPr>
        <w:t xml:space="preserve"> a stav</w:t>
      </w:r>
      <w:r w:rsidR="00810D3F">
        <w:rPr>
          <w:b/>
        </w:rPr>
        <w:t>u</w:t>
      </w:r>
      <w:r w:rsidR="00540DE2">
        <w:rPr>
          <w:b/>
        </w:rPr>
        <w:t xml:space="preserve"> jejich administrace</w:t>
      </w:r>
    </w:p>
    <w:p w14:paraId="3AC172A9" w14:textId="77777777" w:rsidR="00693C99" w:rsidRDefault="00693C99" w:rsidP="00693C99">
      <w:pPr>
        <w:spacing w:before="0"/>
      </w:pPr>
    </w:p>
    <w:p w14:paraId="2A5884BA" w14:textId="77777777" w:rsidR="004F24F4" w:rsidRPr="00274BC8" w:rsidRDefault="00D91D0B" w:rsidP="00693C99">
      <w:pPr>
        <w:spacing w:before="0"/>
      </w:pPr>
      <w:r w:rsidRPr="00274BC8">
        <w:t xml:space="preserve">V rámci operace 16.2.2 </w:t>
      </w:r>
      <w:r>
        <w:t xml:space="preserve">SZIF vybral </w:t>
      </w:r>
      <w:r w:rsidRPr="00274BC8">
        <w:t>v kontrolovaném</w:t>
      </w:r>
      <w:r>
        <w:t xml:space="preserve"> období, tj. v rámci</w:t>
      </w:r>
      <w:r w:rsidRPr="00274BC8">
        <w:t> první a třetí výzvy</w:t>
      </w:r>
      <w:r>
        <w:t>,</w:t>
      </w:r>
      <w:r w:rsidRPr="00274BC8">
        <w:t xml:space="preserve"> k financování celkem 46 </w:t>
      </w:r>
      <w:r>
        <w:t>žádostí o dotaci/</w:t>
      </w:r>
      <w:r w:rsidRPr="00274BC8">
        <w:t>projektů (z 61 podaných – tj. úspěšnost byl</w:t>
      </w:r>
      <w:r>
        <w:t>a 75 %). NKÚ provedl kontrolu všech žádostí o dotaci vybraných k financování (46 žádostí o dotaci)</w:t>
      </w:r>
      <w:r w:rsidRPr="00274BC8">
        <w:t xml:space="preserve"> v</w:t>
      </w:r>
      <w:r>
        <w:t> informačním systému</w:t>
      </w:r>
      <w:r w:rsidRPr="00274BC8">
        <w:t xml:space="preserve"> a byly z</w:t>
      </w:r>
      <w:r>
        <w:t>jištěny následující skutečnosti:</w:t>
      </w:r>
    </w:p>
    <w:p w14:paraId="20E8AA6A" w14:textId="77777777" w:rsidR="004F24F4" w:rsidRDefault="00D91D0B" w:rsidP="00693C99">
      <w:pPr>
        <w:numPr>
          <w:ilvl w:val="0"/>
          <w:numId w:val="29"/>
        </w:numPr>
        <w:spacing w:before="0"/>
        <w:ind w:left="284" w:hanging="284"/>
      </w:pPr>
      <w:r w:rsidRPr="00274BC8">
        <w:t>Ze 46 projektů se ve 32 případech jednalo o velký podnik, 7 bylo středních podnik</w:t>
      </w:r>
      <w:r>
        <w:t>ů, 6 </w:t>
      </w:r>
      <w:r w:rsidRPr="00274BC8">
        <w:t xml:space="preserve">malých a jeden </w:t>
      </w:r>
      <w:proofErr w:type="spellStart"/>
      <w:r w:rsidRPr="00274BC8">
        <w:t>mikropodnik</w:t>
      </w:r>
      <w:proofErr w:type="spellEnd"/>
      <w:r w:rsidRPr="00274BC8">
        <w:t xml:space="preserve">. Velkému podniku byla dotace přidělena v 70 % případů. </w:t>
      </w:r>
    </w:p>
    <w:p w14:paraId="18DE6BFE" w14:textId="77777777" w:rsidR="00693C99" w:rsidRPr="003C22DD" w:rsidRDefault="00693C99" w:rsidP="00693C99">
      <w:pPr>
        <w:spacing w:before="0"/>
        <w:rPr>
          <w:lang w:eastAsia="cs-CZ"/>
        </w:rPr>
      </w:pPr>
    </w:p>
    <w:p w14:paraId="27E1ADB1" w14:textId="77777777" w:rsidR="004F24F4" w:rsidRPr="00274BC8" w:rsidRDefault="00693C99" w:rsidP="00693C99">
      <w:pPr>
        <w:pStyle w:val="Default"/>
        <w:shd w:val="clear" w:color="auto" w:fill="FFFFFF"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F7E65FD" wp14:editId="1F31C1FC">
            <wp:simplePos x="0" y="0"/>
            <wp:positionH relativeFrom="column">
              <wp:posOffset>840740</wp:posOffset>
            </wp:positionH>
            <wp:positionV relativeFrom="paragraph">
              <wp:posOffset>299720</wp:posOffset>
            </wp:positionV>
            <wp:extent cx="4067175" cy="2138680"/>
            <wp:effectExtent l="0" t="0" r="0" b="0"/>
            <wp:wrapTopAndBottom/>
            <wp:docPr id="4" name="obráze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D0B">
        <w:rPr>
          <w:rFonts w:ascii="Calibri" w:hAnsi="Calibri" w:cs="Calibri"/>
          <w:b/>
        </w:rPr>
        <w:t xml:space="preserve">Graf č. 2: </w:t>
      </w:r>
      <w:r w:rsidR="00D91D0B" w:rsidRPr="006930D6">
        <w:rPr>
          <w:rFonts w:ascii="Calibri" w:hAnsi="Calibri" w:cs="Calibri"/>
          <w:b/>
        </w:rPr>
        <w:t>Úspěšní žadatelé dle velikosti podniku</w:t>
      </w:r>
    </w:p>
    <w:p w14:paraId="17D11E8B" w14:textId="77777777" w:rsidR="004F24F4" w:rsidRDefault="00D91D0B" w:rsidP="00693C99">
      <w:pPr>
        <w:numPr>
          <w:ilvl w:val="0"/>
          <w:numId w:val="29"/>
        </w:numPr>
        <w:spacing w:before="0"/>
        <w:ind w:left="284" w:hanging="284"/>
      </w:pPr>
      <w:r w:rsidRPr="00274BC8">
        <w:t>Celková částka způsobilých výdajů u 46 projektů operace 16.2.2 byla 3 819 697 590 Kč. Z toho 3 771 226 790 Kč byly výdaje na investice</w:t>
      </w:r>
      <w:r>
        <w:t xml:space="preserve"> (nákup zařízení, strojů a stavební úpravy)</w:t>
      </w:r>
      <w:r w:rsidRPr="00274BC8">
        <w:t xml:space="preserve">, tj. 98,73 %. </w:t>
      </w:r>
      <w:r>
        <w:t xml:space="preserve">Výdaje vynaložené na </w:t>
      </w:r>
      <w:r w:rsidRPr="00274BC8">
        <w:t>spolupráci</w:t>
      </w:r>
      <w:r>
        <w:t xml:space="preserve"> (výzkum a vývoj)</w:t>
      </w:r>
      <w:r w:rsidRPr="00274BC8">
        <w:t xml:space="preserve"> </w:t>
      </w:r>
      <w:r>
        <w:t>činily</w:t>
      </w:r>
      <w:r w:rsidRPr="00274BC8">
        <w:t xml:space="preserve"> 48 470 800 Kč, tj.</w:t>
      </w:r>
      <w:r w:rsidR="00552395">
        <w:t> </w:t>
      </w:r>
      <w:r w:rsidRPr="00274BC8">
        <w:t xml:space="preserve"> 1,27</w:t>
      </w:r>
      <w:r w:rsidR="00552395">
        <w:t> </w:t>
      </w:r>
      <w:r w:rsidRPr="00274BC8">
        <w:t>%.</w:t>
      </w:r>
    </w:p>
    <w:p w14:paraId="4C8D79A9" w14:textId="77777777" w:rsidR="007B1B0A" w:rsidRPr="007B1B0A" w:rsidRDefault="007B1B0A" w:rsidP="00693C99">
      <w:pPr>
        <w:pStyle w:val="Default"/>
        <w:shd w:val="clear" w:color="auto" w:fill="FFFFFF"/>
        <w:jc w:val="both"/>
        <w:rPr>
          <w:rFonts w:ascii="Calibri" w:hAnsi="Calibri" w:cs="Calibri"/>
        </w:rPr>
      </w:pPr>
    </w:p>
    <w:p w14:paraId="6A8126F4" w14:textId="77777777" w:rsidR="004F24F4" w:rsidRPr="00A44D15" w:rsidRDefault="00693C99" w:rsidP="00693C99">
      <w:pPr>
        <w:pStyle w:val="Default"/>
        <w:shd w:val="clear" w:color="auto" w:fill="FFFFFF"/>
        <w:jc w:val="both"/>
        <w:rPr>
          <w:rFonts w:ascii="Calibri" w:hAnsi="Calibri" w:cs="Calibri"/>
        </w:rPr>
      </w:pPr>
      <w:r w:rsidRPr="00A44D15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06E76579" wp14:editId="0CEC9676">
            <wp:simplePos x="0" y="0"/>
            <wp:positionH relativeFrom="column">
              <wp:posOffset>960120</wp:posOffset>
            </wp:positionH>
            <wp:positionV relativeFrom="paragraph">
              <wp:posOffset>230505</wp:posOffset>
            </wp:positionV>
            <wp:extent cx="3935730" cy="2027555"/>
            <wp:effectExtent l="0" t="0" r="7620" b="0"/>
            <wp:wrapTopAndBottom/>
            <wp:docPr id="10" name="obráze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D0B">
        <w:rPr>
          <w:rFonts w:ascii="Calibri" w:hAnsi="Calibri" w:cs="Calibri"/>
          <w:b/>
        </w:rPr>
        <w:t xml:space="preserve">Graf č. 3: </w:t>
      </w:r>
      <w:r w:rsidR="00D91D0B" w:rsidRPr="006930D6">
        <w:rPr>
          <w:rFonts w:ascii="Calibri" w:hAnsi="Calibri" w:cs="Calibri"/>
          <w:b/>
        </w:rPr>
        <w:t>Výdaje na investice a na spolupráci</w:t>
      </w:r>
    </w:p>
    <w:p w14:paraId="77C04151" w14:textId="77777777" w:rsidR="004F24F4" w:rsidRPr="00274BC8" w:rsidRDefault="00D91D0B" w:rsidP="00693C99">
      <w:pPr>
        <w:numPr>
          <w:ilvl w:val="0"/>
          <w:numId w:val="29"/>
        </w:numPr>
        <w:spacing w:before="0"/>
        <w:ind w:left="284" w:hanging="284"/>
      </w:pPr>
      <w:r w:rsidRPr="00274BC8">
        <w:t>Průměrná částka</w:t>
      </w:r>
      <w:r>
        <w:t xml:space="preserve"> výdajů</w:t>
      </w:r>
      <w:r w:rsidRPr="00274BC8">
        <w:t xml:space="preserve"> na spolupráci </w:t>
      </w:r>
      <w:r>
        <w:t>činila</w:t>
      </w:r>
      <w:r w:rsidRPr="00274BC8">
        <w:t xml:space="preserve"> 1 053 713 Kč. Ve 28 případech byla částka rovna 1 000 000 Kč (tj. nejnižší možná částka podle Pravidel), tj. v 61 % případů.</w:t>
      </w:r>
    </w:p>
    <w:p w14:paraId="2596C919" w14:textId="77777777" w:rsidR="004F24F4" w:rsidRPr="00274BC8" w:rsidRDefault="00D91D0B" w:rsidP="00693C99">
      <w:pPr>
        <w:numPr>
          <w:ilvl w:val="0"/>
          <w:numId w:val="29"/>
        </w:numPr>
        <w:spacing w:before="0"/>
        <w:ind w:left="284" w:hanging="284"/>
      </w:pPr>
      <w:r>
        <w:t xml:space="preserve">Nejvyšší částky výdajů na spolupráci vykazovaly </w:t>
      </w:r>
      <w:r w:rsidRPr="00274BC8">
        <w:t>mikro, mal</w:t>
      </w:r>
      <w:r>
        <w:t>é</w:t>
      </w:r>
      <w:r w:rsidRPr="00274BC8">
        <w:t xml:space="preserve"> a střední podnik</w:t>
      </w:r>
      <w:r>
        <w:t xml:space="preserve">y, a to </w:t>
      </w:r>
      <w:r w:rsidRPr="00274BC8">
        <w:t xml:space="preserve">průměrně 1 223 333 Kč. </w:t>
      </w:r>
      <w:r>
        <w:t xml:space="preserve">Naopak nejnižší částky výdajů na spolupráci vykazovaly velké podniky, </w:t>
      </w:r>
      <w:r w:rsidRPr="00274BC8">
        <w:t>průměrně činila 1 030 619 Kč.</w:t>
      </w:r>
    </w:p>
    <w:p w14:paraId="24AD838C" w14:textId="77777777" w:rsidR="004F24F4" w:rsidRDefault="00D91D0B" w:rsidP="00693C99">
      <w:pPr>
        <w:numPr>
          <w:ilvl w:val="0"/>
          <w:numId w:val="29"/>
        </w:numPr>
        <w:spacing w:before="0"/>
        <w:ind w:left="284" w:hanging="284"/>
      </w:pPr>
      <w:r w:rsidRPr="00274BC8">
        <w:t>Spolupracujícím subjektem byla v</w:t>
      </w:r>
      <w:r>
        <w:t>e</w:t>
      </w:r>
      <w:r w:rsidRPr="00274BC8">
        <w:t xml:space="preserve"> 29 případech VŠCHT Praha, tj. 63 % ze všech spolupracujících subjektů, v 6 případech MILCOM a.s., tj. 13 %. Tři čtvrtiny projektů </w:t>
      </w:r>
      <w:r>
        <w:t>tak byly</w:t>
      </w:r>
      <w:r w:rsidRPr="00274BC8">
        <w:t xml:space="preserve"> realizovány s pomocí dvou spolupracujících subjektů.</w:t>
      </w:r>
    </w:p>
    <w:p w14:paraId="2F9C65EE" w14:textId="77777777" w:rsidR="00693C99" w:rsidRPr="003C22DD" w:rsidRDefault="00693C99" w:rsidP="00693C99">
      <w:pPr>
        <w:spacing w:before="0"/>
        <w:rPr>
          <w:lang w:eastAsia="cs-CZ"/>
        </w:rPr>
      </w:pPr>
    </w:p>
    <w:p w14:paraId="1DFF2DA9" w14:textId="77777777" w:rsidR="004F24F4" w:rsidRPr="009B70CC" w:rsidRDefault="004F24F4" w:rsidP="00693C99">
      <w:pPr>
        <w:spacing w:before="0"/>
        <w:rPr>
          <w:b/>
        </w:rPr>
      </w:pPr>
      <w:r w:rsidRPr="009B70CC">
        <w:rPr>
          <w:b/>
        </w:rPr>
        <w:t>Porovnání</w:t>
      </w:r>
      <w:r w:rsidR="00540DE2">
        <w:rPr>
          <w:b/>
        </w:rPr>
        <w:t xml:space="preserve"> nastavených podmínek</w:t>
      </w:r>
      <w:r w:rsidRPr="009B70CC">
        <w:rPr>
          <w:b/>
        </w:rPr>
        <w:t xml:space="preserve"> </w:t>
      </w:r>
      <w:r w:rsidR="00410DF4">
        <w:rPr>
          <w:b/>
        </w:rPr>
        <w:t xml:space="preserve">operace 16.2.2 </w:t>
      </w:r>
      <w:r w:rsidR="00540DE2">
        <w:rPr>
          <w:b/>
        </w:rPr>
        <w:t>a obdobných operací/</w:t>
      </w:r>
      <w:proofErr w:type="spellStart"/>
      <w:r w:rsidR="00540DE2">
        <w:rPr>
          <w:b/>
        </w:rPr>
        <w:t>podopatření</w:t>
      </w:r>
      <w:proofErr w:type="spellEnd"/>
    </w:p>
    <w:p w14:paraId="618769D6" w14:textId="77777777" w:rsidR="00693C99" w:rsidRDefault="00693C99" w:rsidP="00693C99">
      <w:pPr>
        <w:spacing w:before="0"/>
      </w:pPr>
    </w:p>
    <w:p w14:paraId="22F40E7C" w14:textId="786B2B56" w:rsidR="00284DD9" w:rsidRDefault="005C6DA7" w:rsidP="00693C99">
      <w:pPr>
        <w:spacing w:before="0"/>
        <w:rPr>
          <w:iCs/>
        </w:rPr>
      </w:pPr>
      <w:r w:rsidRPr="004D3719">
        <w:t xml:space="preserve">Nastavení </w:t>
      </w:r>
      <w:r w:rsidR="00410DF4">
        <w:t>podpory vývoje nových produktů, prostupů a technologií</w:t>
      </w:r>
      <w:r w:rsidR="00717DE1">
        <w:t xml:space="preserve"> pro zpracovatele zemědělských výrobků</w:t>
      </w:r>
      <w:r w:rsidR="00410DF4">
        <w:t xml:space="preserve"> (</w:t>
      </w:r>
      <w:r w:rsidRPr="004D3719">
        <w:t>operace 16.2.2</w:t>
      </w:r>
      <w:r w:rsidR="00410DF4">
        <w:t xml:space="preserve"> </w:t>
      </w:r>
      <w:r w:rsidR="000F0C7D">
        <w:t>P</w:t>
      </w:r>
      <w:r w:rsidR="0083787F">
        <w:t>RV 2014–</w:t>
      </w:r>
      <w:r w:rsidR="00410DF4">
        <w:t>2020)</w:t>
      </w:r>
      <w:r w:rsidRPr="004D3719">
        <w:t xml:space="preserve"> je v současném programovém období pro žadatele výrazně výhodnější</w:t>
      </w:r>
      <w:r>
        <w:t xml:space="preserve"> než </w:t>
      </w:r>
      <w:r w:rsidR="000F0C7D">
        <w:t>v minulém obdob</w:t>
      </w:r>
      <w:r w:rsidR="0083787F">
        <w:t>í (</w:t>
      </w:r>
      <w:proofErr w:type="spellStart"/>
      <w:proofErr w:type="gramStart"/>
      <w:r w:rsidR="0083787F">
        <w:t>podopatření</w:t>
      </w:r>
      <w:proofErr w:type="spellEnd"/>
      <w:r w:rsidR="0083787F">
        <w:t xml:space="preserve"> I.1.3.2</w:t>
      </w:r>
      <w:proofErr w:type="gramEnd"/>
      <w:r w:rsidR="0083787F">
        <w:t xml:space="preserve"> PRV 2007–</w:t>
      </w:r>
      <w:r w:rsidR="000F0C7D">
        <w:t xml:space="preserve">2013). Rovněž je pro žadatele v současném období výhodnější podat žádost o dotaci prostřednictvím operace 16.2.2 než prostřednictvím </w:t>
      </w:r>
      <w:r>
        <w:t>investiční operace 4.2.1</w:t>
      </w:r>
      <w:r w:rsidR="002978B2">
        <w:t> </w:t>
      </w:r>
      <w:r w:rsidR="00410DF4" w:rsidRPr="00F41854">
        <w:rPr>
          <w:i/>
          <w:iCs/>
        </w:rPr>
        <w:t>Zpracování a uvádění na trh zemědělských produktů</w:t>
      </w:r>
      <w:r w:rsidR="000F0C7D">
        <w:rPr>
          <w:iCs/>
        </w:rPr>
        <w:t>.</w:t>
      </w:r>
      <w:r w:rsidR="006E12B0">
        <w:rPr>
          <w:iCs/>
        </w:rPr>
        <w:t xml:space="preserve"> </w:t>
      </w:r>
    </w:p>
    <w:p w14:paraId="302AFDED" w14:textId="312C6C41" w:rsidR="00717DE1" w:rsidRDefault="00717DE1" w:rsidP="00693C99">
      <w:pPr>
        <w:spacing w:before="0"/>
        <w:rPr>
          <w:b/>
        </w:rPr>
      </w:pPr>
      <w:r w:rsidRPr="00B41299">
        <w:rPr>
          <w:b/>
        </w:rPr>
        <w:lastRenderedPageBreak/>
        <w:t xml:space="preserve">Tabulka č. 5: Porovnání </w:t>
      </w:r>
      <w:r w:rsidR="002978B2">
        <w:rPr>
          <w:b/>
        </w:rPr>
        <w:t>programových období 2007–2013 a 2014–2020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381"/>
        <w:gridCol w:w="2155"/>
        <w:gridCol w:w="2267"/>
      </w:tblGrid>
      <w:tr w:rsidR="0037671A" w:rsidRPr="00693C99" w14:paraId="4648926B" w14:textId="77777777" w:rsidTr="00275306">
        <w:trPr>
          <w:trHeight w:val="227"/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7C5C30D4" w14:textId="77777777" w:rsidR="0037671A" w:rsidRPr="00693C99" w:rsidRDefault="0037671A" w:rsidP="00275306">
            <w:pPr>
              <w:pStyle w:val="KP-normlntext"/>
              <w:spacing w:before="0" w:after="0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693C99">
              <w:rPr>
                <w:rFonts w:ascii="Calibri" w:hAnsi="Calibri" w:cs="Calibri"/>
                <w:sz w:val="20"/>
                <w:szCs w:val="20"/>
              </w:rPr>
              <w:t>Programové období</w:t>
            </w:r>
          </w:p>
        </w:tc>
        <w:tc>
          <w:tcPr>
            <w:tcW w:w="2381" w:type="dxa"/>
            <w:shd w:val="clear" w:color="auto" w:fill="95B3D7"/>
            <w:vAlign w:val="center"/>
          </w:tcPr>
          <w:p w14:paraId="77CA3D02" w14:textId="77777777" w:rsidR="0037671A" w:rsidRPr="00693C99" w:rsidRDefault="0037671A" w:rsidP="00693C99">
            <w:pPr>
              <w:keepNext/>
              <w:spacing w:before="0"/>
              <w:jc w:val="center"/>
              <w:rPr>
                <w:b/>
                <w:sz w:val="20"/>
                <w:szCs w:val="20"/>
              </w:rPr>
            </w:pPr>
            <w:r w:rsidRPr="00693C99">
              <w:rPr>
                <w:b/>
                <w:sz w:val="20"/>
                <w:szCs w:val="20"/>
              </w:rPr>
              <w:t>2007–2013</w:t>
            </w:r>
          </w:p>
        </w:tc>
        <w:tc>
          <w:tcPr>
            <w:tcW w:w="4422" w:type="dxa"/>
            <w:gridSpan w:val="2"/>
            <w:shd w:val="clear" w:color="auto" w:fill="E5B8B7"/>
            <w:vAlign w:val="center"/>
          </w:tcPr>
          <w:p w14:paraId="249369A5" w14:textId="77777777" w:rsidR="0037671A" w:rsidRPr="00693C99" w:rsidRDefault="0037671A" w:rsidP="00693C99">
            <w:pPr>
              <w:keepNext/>
              <w:spacing w:before="0"/>
              <w:jc w:val="center"/>
              <w:rPr>
                <w:b/>
                <w:sz w:val="20"/>
                <w:szCs w:val="20"/>
              </w:rPr>
            </w:pPr>
            <w:r w:rsidRPr="00693C99">
              <w:rPr>
                <w:b/>
                <w:sz w:val="20"/>
                <w:szCs w:val="20"/>
              </w:rPr>
              <w:t>2014–2020</w:t>
            </w:r>
          </w:p>
        </w:tc>
      </w:tr>
      <w:tr w:rsidR="0037671A" w:rsidRPr="00693C99" w14:paraId="396C21B8" w14:textId="77777777" w:rsidTr="00275306">
        <w:trPr>
          <w:trHeight w:val="227"/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6925E48A" w14:textId="3B595AF5" w:rsidR="0037671A" w:rsidRPr="00693C99" w:rsidRDefault="0037671A" w:rsidP="002978B2">
            <w:pPr>
              <w:pStyle w:val="KP-normlntext"/>
              <w:spacing w:before="0" w:after="0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693C99">
              <w:rPr>
                <w:rFonts w:ascii="Calibri" w:hAnsi="Calibri" w:cs="Calibri"/>
                <w:sz w:val="20"/>
                <w:szCs w:val="20"/>
              </w:rPr>
              <w:t>Podopatření</w:t>
            </w:r>
            <w:proofErr w:type="spellEnd"/>
            <w:r w:rsidRPr="00693C99">
              <w:rPr>
                <w:rFonts w:ascii="Calibri" w:hAnsi="Calibri" w:cs="Calibri"/>
                <w:sz w:val="20"/>
                <w:szCs w:val="20"/>
              </w:rPr>
              <w:t>/</w:t>
            </w:r>
            <w:r w:rsidR="002978B2">
              <w:rPr>
                <w:rFonts w:ascii="Calibri" w:hAnsi="Calibri" w:cs="Calibri"/>
                <w:sz w:val="20"/>
                <w:szCs w:val="20"/>
              </w:rPr>
              <w:t>o</w:t>
            </w:r>
            <w:r w:rsidRPr="00693C99">
              <w:rPr>
                <w:rFonts w:ascii="Calibri" w:hAnsi="Calibri" w:cs="Calibri"/>
                <w:sz w:val="20"/>
                <w:szCs w:val="20"/>
              </w:rPr>
              <w:t>perace</w:t>
            </w:r>
          </w:p>
        </w:tc>
        <w:tc>
          <w:tcPr>
            <w:tcW w:w="2381" w:type="dxa"/>
            <w:shd w:val="clear" w:color="auto" w:fill="DBE5F1"/>
            <w:vAlign w:val="center"/>
          </w:tcPr>
          <w:p w14:paraId="6DBD81E2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proofErr w:type="gramStart"/>
            <w:r w:rsidRPr="00693C99">
              <w:rPr>
                <w:sz w:val="20"/>
                <w:szCs w:val="20"/>
              </w:rPr>
              <w:t>I.1.3.2</w:t>
            </w:r>
            <w:proofErr w:type="gramEnd"/>
            <w:r w:rsidRPr="00693C99">
              <w:rPr>
                <w:sz w:val="20"/>
                <w:szCs w:val="20"/>
              </w:rPr>
              <w:t xml:space="preserve"> </w:t>
            </w:r>
          </w:p>
          <w:p w14:paraId="1A2CAFB1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>Spolupráce při vývoji nových produktů, postupů a technologií (20. kolo)</w:t>
            </w:r>
          </w:p>
        </w:tc>
        <w:tc>
          <w:tcPr>
            <w:tcW w:w="2155" w:type="dxa"/>
            <w:shd w:val="clear" w:color="auto" w:fill="F2DBDB"/>
            <w:vAlign w:val="center"/>
          </w:tcPr>
          <w:p w14:paraId="3F5CE50E" w14:textId="77777777" w:rsidR="0037671A" w:rsidRPr="00693C99" w:rsidRDefault="0037671A" w:rsidP="00275306">
            <w:pPr>
              <w:keepNext/>
              <w:spacing w:before="0"/>
              <w:jc w:val="center"/>
              <w:rPr>
                <w:color w:val="auto"/>
                <w:sz w:val="20"/>
                <w:szCs w:val="20"/>
              </w:rPr>
            </w:pPr>
            <w:r w:rsidRPr="00693C99">
              <w:rPr>
                <w:color w:val="auto"/>
                <w:sz w:val="20"/>
                <w:szCs w:val="20"/>
              </w:rPr>
              <w:t xml:space="preserve">16.2.2 </w:t>
            </w:r>
          </w:p>
          <w:p w14:paraId="69CC1610" w14:textId="77777777" w:rsidR="0037671A" w:rsidRPr="00693C99" w:rsidRDefault="0037671A" w:rsidP="00275306">
            <w:pPr>
              <w:keepNext/>
              <w:spacing w:before="0"/>
              <w:jc w:val="center"/>
              <w:rPr>
                <w:color w:val="auto"/>
                <w:sz w:val="20"/>
                <w:szCs w:val="20"/>
              </w:rPr>
            </w:pPr>
            <w:r w:rsidRPr="00693C99">
              <w:rPr>
                <w:color w:val="auto"/>
                <w:sz w:val="20"/>
                <w:szCs w:val="20"/>
              </w:rPr>
              <w:t>Podpora vývoje nových produktů, postupů a</w:t>
            </w:r>
            <w:r w:rsidR="00275306">
              <w:rPr>
                <w:color w:val="auto"/>
                <w:sz w:val="20"/>
                <w:szCs w:val="20"/>
              </w:rPr>
              <w:t> </w:t>
            </w:r>
            <w:r w:rsidRPr="00693C99">
              <w:rPr>
                <w:color w:val="auto"/>
                <w:sz w:val="20"/>
                <w:szCs w:val="20"/>
              </w:rPr>
              <w:t>technologií (5. kolo)</w:t>
            </w:r>
          </w:p>
        </w:tc>
        <w:tc>
          <w:tcPr>
            <w:tcW w:w="2267" w:type="dxa"/>
            <w:shd w:val="clear" w:color="auto" w:fill="F2DBDB"/>
            <w:vAlign w:val="center"/>
          </w:tcPr>
          <w:p w14:paraId="557744B2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 xml:space="preserve">4.2.1 </w:t>
            </w:r>
          </w:p>
          <w:p w14:paraId="5B93352F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>Zpracování a uvádění na trh zemědělských produktů (5. kolo)</w:t>
            </w:r>
          </w:p>
        </w:tc>
      </w:tr>
      <w:tr w:rsidR="0037671A" w:rsidRPr="00693C99" w14:paraId="643BB351" w14:textId="77777777" w:rsidTr="00275306">
        <w:trPr>
          <w:trHeight w:val="227"/>
          <w:jc w:val="center"/>
        </w:trPr>
        <w:tc>
          <w:tcPr>
            <w:tcW w:w="2268" w:type="dxa"/>
            <w:vAlign w:val="center"/>
          </w:tcPr>
          <w:p w14:paraId="04565AED" w14:textId="77777777" w:rsidR="0037671A" w:rsidRPr="00693C99" w:rsidRDefault="0037671A" w:rsidP="00275306">
            <w:pPr>
              <w:pStyle w:val="KP-normlntext"/>
              <w:spacing w:before="0" w:after="0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93C99">
              <w:rPr>
                <w:rFonts w:ascii="Calibri" w:hAnsi="Calibri" w:cs="Calibri"/>
                <w:sz w:val="20"/>
                <w:szCs w:val="20"/>
              </w:rPr>
              <w:t>Míra dotace</w:t>
            </w:r>
          </w:p>
        </w:tc>
        <w:tc>
          <w:tcPr>
            <w:tcW w:w="2381" w:type="dxa"/>
            <w:shd w:val="clear" w:color="auto" w:fill="DBE5F1"/>
            <w:vAlign w:val="center"/>
          </w:tcPr>
          <w:p w14:paraId="7FEAE9B8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>Max. 50 %</w:t>
            </w:r>
          </w:p>
        </w:tc>
        <w:tc>
          <w:tcPr>
            <w:tcW w:w="2155" w:type="dxa"/>
            <w:shd w:val="clear" w:color="auto" w:fill="F2DBDB"/>
            <w:vAlign w:val="center"/>
          </w:tcPr>
          <w:p w14:paraId="72153DD0" w14:textId="77777777" w:rsidR="0037671A" w:rsidRPr="00693C99" w:rsidRDefault="0037671A" w:rsidP="00275306">
            <w:pPr>
              <w:keepNext/>
              <w:spacing w:before="0"/>
              <w:jc w:val="center"/>
              <w:rPr>
                <w:color w:val="auto"/>
                <w:sz w:val="20"/>
                <w:szCs w:val="20"/>
              </w:rPr>
            </w:pPr>
            <w:r w:rsidRPr="00693C99">
              <w:rPr>
                <w:color w:val="auto"/>
                <w:sz w:val="20"/>
                <w:szCs w:val="20"/>
              </w:rPr>
              <w:t>50 %</w:t>
            </w:r>
          </w:p>
        </w:tc>
        <w:tc>
          <w:tcPr>
            <w:tcW w:w="2267" w:type="dxa"/>
            <w:shd w:val="clear" w:color="auto" w:fill="F2DBDB"/>
            <w:vAlign w:val="center"/>
          </w:tcPr>
          <w:p w14:paraId="33F14C13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>40 %</w:t>
            </w:r>
          </w:p>
          <w:p w14:paraId="4B0043F4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>35 % a 45 % dle záměru</w:t>
            </w:r>
          </w:p>
        </w:tc>
      </w:tr>
      <w:tr w:rsidR="0037671A" w:rsidRPr="00693C99" w14:paraId="53E1E26E" w14:textId="77777777" w:rsidTr="00275306">
        <w:trPr>
          <w:trHeight w:val="227"/>
          <w:jc w:val="center"/>
        </w:trPr>
        <w:tc>
          <w:tcPr>
            <w:tcW w:w="2268" w:type="dxa"/>
            <w:vAlign w:val="center"/>
          </w:tcPr>
          <w:p w14:paraId="615B15CC" w14:textId="77777777" w:rsidR="0037671A" w:rsidRPr="00693C99" w:rsidRDefault="0037671A" w:rsidP="00275306">
            <w:pPr>
              <w:pStyle w:val="KP-normlntext"/>
              <w:spacing w:before="0" w:after="0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93C99">
              <w:rPr>
                <w:rFonts w:ascii="Calibri" w:hAnsi="Calibri" w:cs="Calibri"/>
                <w:sz w:val="20"/>
                <w:szCs w:val="20"/>
              </w:rPr>
              <w:t>Maximální možná výše způsobilých výdajů na jeden projekt</w:t>
            </w:r>
          </w:p>
        </w:tc>
        <w:tc>
          <w:tcPr>
            <w:tcW w:w="2381" w:type="dxa"/>
            <w:shd w:val="clear" w:color="auto" w:fill="DBE5F1"/>
            <w:vAlign w:val="center"/>
          </w:tcPr>
          <w:p w14:paraId="7E60181C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>Není stanoveno</w:t>
            </w:r>
          </w:p>
        </w:tc>
        <w:tc>
          <w:tcPr>
            <w:tcW w:w="2155" w:type="dxa"/>
            <w:shd w:val="clear" w:color="auto" w:fill="F2DBDB"/>
            <w:vAlign w:val="center"/>
          </w:tcPr>
          <w:p w14:paraId="4789E4AE" w14:textId="6E0343E4" w:rsidR="0037671A" w:rsidRPr="00693C99" w:rsidRDefault="0037671A" w:rsidP="002978B2">
            <w:pPr>
              <w:keepNext/>
              <w:spacing w:before="0"/>
              <w:jc w:val="center"/>
              <w:rPr>
                <w:color w:val="auto"/>
                <w:sz w:val="20"/>
                <w:szCs w:val="20"/>
              </w:rPr>
            </w:pPr>
            <w:r w:rsidRPr="00693C99">
              <w:rPr>
                <w:color w:val="auto"/>
                <w:sz w:val="20"/>
                <w:szCs w:val="20"/>
              </w:rPr>
              <w:t xml:space="preserve">1 </w:t>
            </w:r>
            <w:r w:rsidR="002978B2">
              <w:rPr>
                <w:color w:val="auto"/>
                <w:sz w:val="20"/>
                <w:szCs w:val="20"/>
              </w:rPr>
              <w:t>–</w:t>
            </w:r>
            <w:r w:rsidRPr="00693C99">
              <w:rPr>
                <w:color w:val="auto"/>
                <w:sz w:val="20"/>
                <w:szCs w:val="20"/>
              </w:rPr>
              <w:t xml:space="preserve"> 150 mil. Kč</w:t>
            </w:r>
          </w:p>
        </w:tc>
        <w:tc>
          <w:tcPr>
            <w:tcW w:w="2267" w:type="dxa"/>
            <w:shd w:val="clear" w:color="auto" w:fill="F2DBDB"/>
            <w:vAlign w:val="center"/>
          </w:tcPr>
          <w:p w14:paraId="1016C074" w14:textId="0E506855" w:rsidR="0037671A" w:rsidRPr="00693C99" w:rsidRDefault="0037671A" w:rsidP="002978B2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 xml:space="preserve">100 tis. Kč </w:t>
            </w:r>
            <w:r w:rsidR="002978B2">
              <w:rPr>
                <w:sz w:val="20"/>
                <w:szCs w:val="20"/>
              </w:rPr>
              <w:t>až</w:t>
            </w:r>
            <w:r w:rsidRPr="00693C99">
              <w:rPr>
                <w:sz w:val="20"/>
                <w:szCs w:val="20"/>
              </w:rPr>
              <w:t xml:space="preserve"> 30 mil. Kč</w:t>
            </w:r>
          </w:p>
        </w:tc>
      </w:tr>
      <w:tr w:rsidR="0037671A" w:rsidRPr="00693C99" w14:paraId="0A017148" w14:textId="77777777" w:rsidTr="00275306">
        <w:trPr>
          <w:trHeight w:val="227"/>
          <w:jc w:val="center"/>
        </w:trPr>
        <w:tc>
          <w:tcPr>
            <w:tcW w:w="2268" w:type="dxa"/>
            <w:vAlign w:val="center"/>
          </w:tcPr>
          <w:p w14:paraId="1BB869F5" w14:textId="3DBF4AF0" w:rsidR="0037671A" w:rsidRPr="00693C99" w:rsidRDefault="0037671A" w:rsidP="002978B2">
            <w:pPr>
              <w:pStyle w:val="KP-normlntext"/>
              <w:spacing w:before="0" w:after="0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93C99">
              <w:rPr>
                <w:rFonts w:ascii="Calibri" w:hAnsi="Calibri" w:cs="Calibri"/>
                <w:sz w:val="20"/>
                <w:szCs w:val="20"/>
              </w:rPr>
              <w:t xml:space="preserve">Maximální výše </w:t>
            </w:r>
            <w:r w:rsidR="001D1E66" w:rsidRPr="00693C99">
              <w:rPr>
                <w:rFonts w:ascii="Calibri" w:hAnsi="Calibri" w:cs="Calibri"/>
                <w:sz w:val="20"/>
                <w:szCs w:val="20"/>
              </w:rPr>
              <w:t>podpory</w:t>
            </w:r>
            <w:r w:rsidRPr="00693C99">
              <w:rPr>
                <w:rFonts w:ascii="Calibri" w:hAnsi="Calibri" w:cs="Calibri"/>
                <w:sz w:val="20"/>
                <w:szCs w:val="20"/>
              </w:rPr>
              <w:t xml:space="preserve"> na jednoho příjemce za prog</w:t>
            </w:r>
            <w:r w:rsidR="002978B2">
              <w:rPr>
                <w:rFonts w:ascii="Calibri" w:hAnsi="Calibri" w:cs="Calibri"/>
                <w:sz w:val="20"/>
                <w:szCs w:val="20"/>
              </w:rPr>
              <w:t>ramové</w:t>
            </w:r>
            <w:r w:rsidRPr="00693C99">
              <w:rPr>
                <w:rFonts w:ascii="Calibri" w:hAnsi="Calibri" w:cs="Calibri"/>
                <w:sz w:val="20"/>
                <w:szCs w:val="20"/>
              </w:rPr>
              <w:t xml:space="preserve"> období</w:t>
            </w:r>
          </w:p>
        </w:tc>
        <w:tc>
          <w:tcPr>
            <w:tcW w:w="2381" w:type="dxa"/>
            <w:shd w:val="clear" w:color="auto" w:fill="DBE5F1"/>
            <w:vAlign w:val="center"/>
          </w:tcPr>
          <w:p w14:paraId="0CC5A73C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>90 mil. Kč</w:t>
            </w:r>
          </w:p>
        </w:tc>
        <w:tc>
          <w:tcPr>
            <w:tcW w:w="2155" w:type="dxa"/>
            <w:shd w:val="clear" w:color="auto" w:fill="F2DBDB"/>
            <w:vAlign w:val="center"/>
          </w:tcPr>
          <w:p w14:paraId="15AD6A5D" w14:textId="77777777" w:rsidR="0037671A" w:rsidRPr="00693C99" w:rsidRDefault="0037671A" w:rsidP="00275306">
            <w:pPr>
              <w:keepNext/>
              <w:spacing w:before="0"/>
              <w:jc w:val="center"/>
              <w:rPr>
                <w:color w:val="auto"/>
                <w:sz w:val="20"/>
                <w:szCs w:val="20"/>
              </w:rPr>
            </w:pPr>
            <w:r w:rsidRPr="00693C99">
              <w:rPr>
                <w:color w:val="auto"/>
                <w:sz w:val="20"/>
                <w:szCs w:val="20"/>
              </w:rPr>
              <w:t>Není stanoveno</w:t>
            </w:r>
          </w:p>
        </w:tc>
        <w:tc>
          <w:tcPr>
            <w:tcW w:w="2267" w:type="dxa"/>
            <w:shd w:val="clear" w:color="auto" w:fill="F2DBDB"/>
            <w:vAlign w:val="center"/>
          </w:tcPr>
          <w:p w14:paraId="38D622CA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>150 mil. Kč</w:t>
            </w:r>
          </w:p>
        </w:tc>
      </w:tr>
      <w:tr w:rsidR="0037671A" w:rsidRPr="00693C99" w14:paraId="501AF39A" w14:textId="77777777" w:rsidTr="00275306">
        <w:trPr>
          <w:trHeight w:val="227"/>
          <w:jc w:val="center"/>
        </w:trPr>
        <w:tc>
          <w:tcPr>
            <w:tcW w:w="2268" w:type="dxa"/>
            <w:vAlign w:val="center"/>
          </w:tcPr>
          <w:p w14:paraId="74639F16" w14:textId="77777777" w:rsidR="0037671A" w:rsidRPr="00693C99" w:rsidRDefault="0037671A" w:rsidP="00275306">
            <w:pPr>
              <w:pStyle w:val="KP-normlntext"/>
              <w:spacing w:before="0" w:after="0"/>
              <w:ind w:firstLine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693C99">
              <w:rPr>
                <w:rFonts w:ascii="Calibri" w:hAnsi="Calibri" w:cs="Calibri"/>
                <w:sz w:val="20"/>
                <w:szCs w:val="20"/>
              </w:rPr>
              <w:t>Výdaje na spolupráci</w:t>
            </w:r>
          </w:p>
        </w:tc>
        <w:tc>
          <w:tcPr>
            <w:tcW w:w="2381" w:type="dxa"/>
            <w:shd w:val="clear" w:color="auto" w:fill="DBE5F1"/>
            <w:vAlign w:val="center"/>
          </w:tcPr>
          <w:p w14:paraId="2CDAF738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  <w:u w:val="single"/>
              </w:rPr>
              <w:t>Do 25 mil. Kč:</w:t>
            </w:r>
            <w:r w:rsidRPr="00693C99">
              <w:rPr>
                <w:sz w:val="20"/>
                <w:szCs w:val="20"/>
              </w:rPr>
              <w:br/>
              <w:t>min. 1 mil. Kč</w:t>
            </w:r>
          </w:p>
          <w:p w14:paraId="674AEC4B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  <w:u w:val="single"/>
              </w:rPr>
              <w:t>Nad 25 mil. Kč:</w:t>
            </w:r>
            <w:r w:rsidRPr="00693C99">
              <w:rPr>
                <w:sz w:val="20"/>
                <w:szCs w:val="20"/>
              </w:rPr>
              <w:br/>
              <w:t>min 2 mil. Kč</w:t>
            </w:r>
          </w:p>
        </w:tc>
        <w:tc>
          <w:tcPr>
            <w:tcW w:w="2155" w:type="dxa"/>
            <w:shd w:val="clear" w:color="auto" w:fill="F2DBDB"/>
            <w:vAlign w:val="center"/>
          </w:tcPr>
          <w:p w14:paraId="4057E7FE" w14:textId="77777777" w:rsidR="0037671A" w:rsidRPr="00693C99" w:rsidRDefault="0037671A" w:rsidP="00275306">
            <w:pPr>
              <w:keepNext/>
              <w:spacing w:before="0"/>
              <w:jc w:val="center"/>
              <w:rPr>
                <w:color w:val="auto"/>
                <w:sz w:val="20"/>
                <w:szCs w:val="20"/>
              </w:rPr>
            </w:pPr>
            <w:r w:rsidRPr="00693C99">
              <w:rPr>
                <w:color w:val="auto"/>
                <w:sz w:val="20"/>
                <w:szCs w:val="20"/>
                <w:u w:val="single"/>
              </w:rPr>
              <w:t>Do 5 mil. Kč:</w:t>
            </w:r>
            <w:r w:rsidRPr="00693C99">
              <w:rPr>
                <w:color w:val="auto"/>
                <w:sz w:val="20"/>
                <w:szCs w:val="20"/>
              </w:rPr>
              <w:br/>
              <w:t>min. 15 %</w:t>
            </w:r>
          </w:p>
          <w:p w14:paraId="076BC096" w14:textId="77777777" w:rsidR="0037671A" w:rsidRPr="00693C99" w:rsidRDefault="0037671A" w:rsidP="00275306">
            <w:pPr>
              <w:keepNext/>
              <w:spacing w:before="0"/>
              <w:jc w:val="center"/>
              <w:rPr>
                <w:color w:val="auto"/>
                <w:sz w:val="20"/>
                <w:szCs w:val="20"/>
              </w:rPr>
            </w:pPr>
            <w:r w:rsidRPr="00693C99">
              <w:rPr>
                <w:color w:val="auto"/>
                <w:sz w:val="20"/>
                <w:szCs w:val="20"/>
                <w:u w:val="single"/>
              </w:rPr>
              <w:t>Nad 5 mil. Kč:</w:t>
            </w:r>
            <w:r w:rsidRPr="00693C99">
              <w:rPr>
                <w:color w:val="auto"/>
                <w:sz w:val="20"/>
                <w:szCs w:val="20"/>
              </w:rPr>
              <w:br/>
              <w:t>min. 1 mil. Kč</w:t>
            </w:r>
          </w:p>
        </w:tc>
        <w:tc>
          <w:tcPr>
            <w:tcW w:w="2267" w:type="dxa"/>
            <w:shd w:val="clear" w:color="auto" w:fill="F2DBDB"/>
            <w:vAlign w:val="center"/>
          </w:tcPr>
          <w:p w14:paraId="4BC7EEA4" w14:textId="77777777" w:rsidR="0037671A" w:rsidRPr="00693C99" w:rsidRDefault="0037671A" w:rsidP="00275306">
            <w:pPr>
              <w:keepNext/>
              <w:spacing w:before="0"/>
              <w:jc w:val="center"/>
              <w:rPr>
                <w:sz w:val="20"/>
                <w:szCs w:val="20"/>
              </w:rPr>
            </w:pPr>
            <w:r w:rsidRPr="00693C99">
              <w:rPr>
                <w:sz w:val="20"/>
                <w:szCs w:val="20"/>
              </w:rPr>
              <w:t>Ne</w:t>
            </w:r>
          </w:p>
        </w:tc>
      </w:tr>
    </w:tbl>
    <w:p w14:paraId="3500359C" w14:textId="6EAAACA8" w:rsidR="00717DE1" w:rsidRPr="00FE100E" w:rsidRDefault="00717DE1" w:rsidP="00275306">
      <w:pPr>
        <w:spacing w:before="40"/>
        <w:rPr>
          <w:sz w:val="20"/>
          <w:szCs w:val="20"/>
        </w:rPr>
      </w:pPr>
      <w:r w:rsidRPr="00B41299">
        <w:rPr>
          <w:b/>
          <w:sz w:val="20"/>
          <w:szCs w:val="20"/>
        </w:rPr>
        <w:t>Zdroj:</w:t>
      </w:r>
      <w:r w:rsidRPr="00B41299">
        <w:rPr>
          <w:sz w:val="20"/>
          <w:szCs w:val="20"/>
        </w:rPr>
        <w:t xml:space="preserve"> </w:t>
      </w:r>
      <w:r w:rsidR="00D36097">
        <w:rPr>
          <w:sz w:val="20"/>
          <w:szCs w:val="20"/>
        </w:rPr>
        <w:t>p</w:t>
      </w:r>
      <w:r w:rsidRPr="00B41299">
        <w:rPr>
          <w:sz w:val="20"/>
          <w:szCs w:val="20"/>
        </w:rPr>
        <w:t xml:space="preserve">ravidla pro jednotlivé </w:t>
      </w:r>
      <w:proofErr w:type="spellStart"/>
      <w:r>
        <w:rPr>
          <w:sz w:val="20"/>
          <w:szCs w:val="20"/>
        </w:rPr>
        <w:t>podopatření</w:t>
      </w:r>
      <w:proofErr w:type="spellEnd"/>
      <w:r>
        <w:rPr>
          <w:sz w:val="20"/>
          <w:szCs w:val="20"/>
        </w:rPr>
        <w:t>/</w:t>
      </w:r>
      <w:r w:rsidRPr="00B41299">
        <w:rPr>
          <w:sz w:val="20"/>
          <w:szCs w:val="20"/>
        </w:rPr>
        <w:t>operace</w:t>
      </w:r>
      <w:r>
        <w:rPr>
          <w:sz w:val="20"/>
          <w:szCs w:val="20"/>
        </w:rPr>
        <w:t>.</w:t>
      </w:r>
    </w:p>
    <w:p w14:paraId="64157344" w14:textId="77777777" w:rsidR="00FE100E" w:rsidRDefault="00FE100E" w:rsidP="00552395">
      <w:pPr>
        <w:spacing w:before="0"/>
      </w:pPr>
    </w:p>
    <w:p w14:paraId="25F3F07D" w14:textId="77777777" w:rsidR="00717DE1" w:rsidRDefault="007A0987" w:rsidP="00552395">
      <w:pPr>
        <w:spacing w:before="0"/>
      </w:pPr>
      <w:r>
        <w:t>Z výše uvedené tabulky vyplývají následující skutečnosti:</w:t>
      </w:r>
    </w:p>
    <w:p w14:paraId="1A5DBDC2" w14:textId="77777777" w:rsidR="00ED685F" w:rsidRDefault="00ED685F" w:rsidP="00552395">
      <w:pPr>
        <w:pStyle w:val="Odstavecseseznamem"/>
        <w:numPr>
          <w:ilvl w:val="0"/>
          <w:numId w:val="39"/>
        </w:numPr>
        <w:spacing w:before="0"/>
        <w:ind w:left="284" w:hanging="284"/>
        <w:contextualSpacing w:val="0"/>
      </w:pPr>
      <w:r>
        <w:t xml:space="preserve">U </w:t>
      </w:r>
      <w:proofErr w:type="spellStart"/>
      <w:proofErr w:type="gramStart"/>
      <w:r w:rsidRPr="004B3212">
        <w:t>podopatření</w:t>
      </w:r>
      <w:proofErr w:type="spellEnd"/>
      <w:r w:rsidRPr="004B3212">
        <w:t xml:space="preserve"> I.1.3.2</w:t>
      </w:r>
      <w:proofErr w:type="gramEnd"/>
      <w:r w:rsidRPr="004B3212">
        <w:t xml:space="preserve"> </w:t>
      </w:r>
      <w:r w:rsidRPr="00F41854">
        <w:rPr>
          <w:i/>
        </w:rPr>
        <w:t>Spolupráce při vývoji nových produktů, postupů a technologií</w:t>
      </w:r>
      <w:r w:rsidRPr="005C6DA7">
        <w:t xml:space="preserve"> </w:t>
      </w:r>
      <w:r>
        <w:t>real</w:t>
      </w:r>
      <w:r w:rsidR="00301A7F">
        <w:t>izovaného v rámci PRV 2007–</w:t>
      </w:r>
      <w:r w:rsidR="001D1E66">
        <w:t xml:space="preserve">2013 </w:t>
      </w:r>
      <w:r>
        <w:t xml:space="preserve">nebyla stanovena </w:t>
      </w:r>
      <w:r w:rsidR="0037671A" w:rsidRPr="0037671A">
        <w:t xml:space="preserve">maximální možná výše způsobilých výdajů </w:t>
      </w:r>
      <w:r>
        <w:t>na jednu žádost/projekt. Byl</w:t>
      </w:r>
      <w:r w:rsidR="001D1E66">
        <w:t>a však stanovena</w:t>
      </w:r>
      <w:r>
        <w:t xml:space="preserve"> </w:t>
      </w:r>
      <w:r w:rsidR="001D1E66">
        <w:t xml:space="preserve">maximální výše podpory </w:t>
      </w:r>
      <w:r>
        <w:t>na jednoho žadatele</w:t>
      </w:r>
      <w:r w:rsidRPr="004B3212">
        <w:t xml:space="preserve"> za celé programové období</w:t>
      </w:r>
      <w:r>
        <w:t xml:space="preserve"> ve výši 90 mil. Kč.</w:t>
      </w:r>
      <w:r w:rsidRPr="004B3212">
        <w:t xml:space="preserve"> </w:t>
      </w:r>
    </w:p>
    <w:p w14:paraId="194586DB" w14:textId="77777777" w:rsidR="00ED685F" w:rsidRDefault="009600C7" w:rsidP="00A44D15">
      <w:pPr>
        <w:pStyle w:val="Odstavecseseznamem"/>
        <w:numPr>
          <w:ilvl w:val="0"/>
          <w:numId w:val="39"/>
        </w:numPr>
        <w:ind w:left="284" w:hanging="284"/>
      </w:pPr>
      <w:r>
        <w:t>V rámci operace 16.2.2 PRV 2014–</w:t>
      </w:r>
      <w:r w:rsidR="009B7CCD">
        <w:t xml:space="preserve">2020 </w:t>
      </w:r>
      <w:r w:rsidR="00820E30">
        <w:t xml:space="preserve">je </w:t>
      </w:r>
      <w:r w:rsidR="00820E30" w:rsidRPr="00820E30">
        <w:t>maximální možná výše způsobilých výdajů</w:t>
      </w:r>
      <w:r w:rsidR="00820E30" w:rsidRPr="00F41854">
        <w:rPr>
          <w:sz w:val="22"/>
        </w:rPr>
        <w:t xml:space="preserve"> </w:t>
      </w:r>
      <w:r w:rsidR="00820E30">
        <w:t>na jeden projekt</w:t>
      </w:r>
      <w:r w:rsidR="009B7CCD" w:rsidRPr="004D3719">
        <w:t xml:space="preserve"> ve výši </w:t>
      </w:r>
      <w:r w:rsidR="00820E30">
        <w:t>150</w:t>
      </w:r>
      <w:r w:rsidR="009B7CCD" w:rsidRPr="004D3719">
        <w:t xml:space="preserve"> mil. Kč a </w:t>
      </w:r>
      <w:r w:rsidR="006A7427">
        <w:t>v</w:t>
      </w:r>
      <w:r w:rsidR="006A7427" w:rsidRPr="004D3719">
        <w:t>ýdaje na spolupráci musí u takovéto dotace</w:t>
      </w:r>
      <w:r w:rsidR="006A7427">
        <w:t xml:space="preserve"> činit</w:t>
      </w:r>
      <w:r w:rsidR="006A7427" w:rsidRPr="004D3719">
        <w:t xml:space="preserve"> minimálně 1 mil. Kč.</w:t>
      </w:r>
      <w:r w:rsidR="006A7427">
        <w:t xml:space="preserve"> U tohoto opatření není stanovena maximální výše podpory</w:t>
      </w:r>
      <w:r>
        <w:t xml:space="preserve"> za celé programové období 2014–</w:t>
      </w:r>
      <w:r w:rsidR="006A7427">
        <w:t>2020, a proto mohou žadatelé předkládat žádosti o dotaci opakovaně během programového ob</w:t>
      </w:r>
      <w:r w:rsidR="006F1236">
        <w:t>dobí</w:t>
      </w:r>
      <w:r w:rsidR="006A7427">
        <w:t>.</w:t>
      </w:r>
    </w:p>
    <w:p w14:paraId="1B534F0F" w14:textId="4C7DA421" w:rsidR="00622A55" w:rsidRPr="00FE100E" w:rsidRDefault="006A7427" w:rsidP="00552395">
      <w:pPr>
        <w:pStyle w:val="Odstavecseseznamem"/>
        <w:numPr>
          <w:ilvl w:val="0"/>
          <w:numId w:val="39"/>
        </w:numPr>
        <w:spacing w:before="0"/>
        <w:ind w:left="284" w:hanging="284"/>
        <w:contextualSpacing w:val="0"/>
      </w:pPr>
      <w:r>
        <w:t xml:space="preserve">V případě investiční </w:t>
      </w:r>
      <w:r w:rsidRPr="004B3212">
        <w:t xml:space="preserve">operace 4.2.1 </w:t>
      </w:r>
      <w:r w:rsidR="009600C7">
        <w:t>realizované v rámci PRV 2014–</w:t>
      </w:r>
      <w:r>
        <w:t xml:space="preserve">2020 je </w:t>
      </w:r>
      <w:r w:rsidR="006F1236">
        <w:t xml:space="preserve">stanovena </w:t>
      </w:r>
      <w:r w:rsidR="006F1236" w:rsidRPr="004D3719">
        <w:t xml:space="preserve">procentuálně nižší podpora a zároveň </w:t>
      </w:r>
      <w:r w:rsidR="00820E30" w:rsidRPr="00820E30">
        <w:t>maximální možná výše způsobilých výdajů na jeden projekt</w:t>
      </w:r>
      <w:r w:rsidR="00D36097">
        <w:t xml:space="preserve"> </w:t>
      </w:r>
      <w:r w:rsidR="006F1236" w:rsidRPr="004D3719">
        <w:t xml:space="preserve">je podstatně nižší </w:t>
      </w:r>
      <w:r w:rsidR="006F1236">
        <w:t xml:space="preserve">– činí </w:t>
      </w:r>
      <w:r w:rsidR="006F1236" w:rsidRPr="004D3719">
        <w:t>max. 3</w:t>
      </w:r>
      <w:r w:rsidR="009600C7">
        <w:t>0 mil. Kč (oproti 150 mil. Kč u </w:t>
      </w:r>
      <w:r w:rsidR="006F1236" w:rsidRPr="004D3719">
        <w:t>projektů 16.2.2).</w:t>
      </w:r>
      <w:r w:rsidR="006F1236">
        <w:t xml:space="preserve"> Rovněž je s</w:t>
      </w:r>
      <w:r w:rsidRPr="004B3212">
        <w:t xml:space="preserve">tanovena maximální výše </w:t>
      </w:r>
      <w:r w:rsidR="001D1E66">
        <w:t>podpory</w:t>
      </w:r>
      <w:r w:rsidRPr="004B3212">
        <w:t xml:space="preserve"> na jednoho </w:t>
      </w:r>
      <w:r>
        <w:t>žadatele</w:t>
      </w:r>
      <w:r w:rsidRPr="004B3212">
        <w:t xml:space="preserve"> za celé programové období</w:t>
      </w:r>
      <w:r w:rsidR="006F1236">
        <w:t xml:space="preserve"> ve výši 150 mil. Kč</w:t>
      </w:r>
      <w:r w:rsidRPr="004B3212">
        <w:t>.</w:t>
      </w:r>
    </w:p>
    <w:p w14:paraId="660CC192" w14:textId="77777777" w:rsidR="00552395" w:rsidRDefault="00552395" w:rsidP="00552395">
      <w:pPr>
        <w:spacing w:before="0"/>
      </w:pPr>
    </w:p>
    <w:p w14:paraId="126AF70D" w14:textId="48AC71A8" w:rsidR="004F24F4" w:rsidRDefault="006F1236" w:rsidP="00552395">
      <w:pPr>
        <w:spacing w:before="0"/>
        <w:rPr>
          <w:color w:val="auto"/>
        </w:rPr>
      </w:pPr>
      <w:r>
        <w:t xml:space="preserve">Kontrolou bylo zjištěno, že u </w:t>
      </w:r>
      <w:r w:rsidR="005C6DA7" w:rsidRPr="004B3212">
        <w:t>operac</w:t>
      </w:r>
      <w:r w:rsidR="005C6DA7">
        <w:t>e</w:t>
      </w:r>
      <w:r w:rsidR="005C6DA7" w:rsidRPr="004B3212">
        <w:t xml:space="preserve"> 16.2.2 nebyla </w:t>
      </w:r>
      <w:r>
        <w:t xml:space="preserve">stanovena </w:t>
      </w:r>
      <w:r w:rsidR="005C6DA7" w:rsidRPr="004B3212">
        <w:t>maximální výše dotace na jednoho příje</w:t>
      </w:r>
      <w:r w:rsidR="005C6DA7">
        <w:t xml:space="preserve">mce </w:t>
      </w:r>
      <w:r>
        <w:t xml:space="preserve">za celé </w:t>
      </w:r>
      <w:r w:rsidR="005C6DA7">
        <w:t>programové období 2014–</w:t>
      </w:r>
      <w:r w:rsidR="005C6DA7" w:rsidRPr="004B3212">
        <w:t>2020</w:t>
      </w:r>
      <w:r w:rsidR="006E12B0">
        <w:t>,</w:t>
      </w:r>
      <w:r>
        <w:t xml:space="preserve"> a </w:t>
      </w:r>
      <w:r w:rsidR="006E12B0">
        <w:t>proto</w:t>
      </w:r>
      <w:r w:rsidR="005C6DA7" w:rsidRPr="004B3212">
        <w:t xml:space="preserve"> žadatelé využíva</w:t>
      </w:r>
      <w:r w:rsidR="005C6DA7" w:rsidRPr="00810D3F">
        <w:t>li</w:t>
      </w:r>
      <w:r w:rsidR="005C6DA7" w:rsidRPr="004B3212">
        <w:t xml:space="preserve"> možnost předkládat žádosti o dotaci opakovaně</w:t>
      </w:r>
      <w:r>
        <w:t xml:space="preserve">. </w:t>
      </w:r>
      <w:r>
        <w:rPr>
          <w:color w:val="auto"/>
        </w:rPr>
        <w:t>V</w:t>
      </w:r>
      <w:r w:rsidR="005C6DA7" w:rsidRPr="004B3212">
        <w:rPr>
          <w:color w:val="auto"/>
        </w:rPr>
        <w:t xml:space="preserve">zhledem k tomu, že se jedná o finančně náročné projekty, umožňuje to </w:t>
      </w:r>
      <w:r w:rsidR="005C6DA7">
        <w:rPr>
          <w:color w:val="auto"/>
        </w:rPr>
        <w:t>úzkému</w:t>
      </w:r>
      <w:r w:rsidR="005C6DA7" w:rsidRPr="004B3212">
        <w:rPr>
          <w:color w:val="auto"/>
        </w:rPr>
        <w:t xml:space="preserve"> okruhu žadatelů typu v</w:t>
      </w:r>
      <w:r w:rsidR="005C6DA7">
        <w:rPr>
          <w:color w:val="auto"/>
        </w:rPr>
        <w:t>elkých podniků</w:t>
      </w:r>
      <w:r w:rsidR="005C6DA7" w:rsidRPr="004B3212">
        <w:rPr>
          <w:color w:val="auto"/>
        </w:rPr>
        <w:t xml:space="preserve"> vyčerpat velkou část alokace na opatření M16</w:t>
      </w:r>
      <w:r w:rsidR="005C6DA7">
        <w:rPr>
          <w:color w:val="auto"/>
        </w:rPr>
        <w:t xml:space="preserve"> </w:t>
      </w:r>
      <w:r w:rsidR="005C6DA7" w:rsidRPr="00F41854">
        <w:rPr>
          <w:i/>
          <w:color w:val="auto"/>
        </w:rPr>
        <w:t>Spolupráce</w:t>
      </w:r>
      <w:r w:rsidR="005C6DA7">
        <w:rPr>
          <w:color w:val="auto"/>
        </w:rPr>
        <w:t xml:space="preserve"> (viz </w:t>
      </w:r>
      <w:r w:rsidR="00D36097">
        <w:rPr>
          <w:color w:val="auto"/>
        </w:rPr>
        <w:t>p</w:t>
      </w:r>
      <w:r w:rsidR="005C6DA7">
        <w:rPr>
          <w:color w:val="auto"/>
        </w:rPr>
        <w:t>říloha č. 1</w:t>
      </w:r>
      <w:r w:rsidR="005C6DA7" w:rsidRPr="004B3212">
        <w:rPr>
          <w:color w:val="auto"/>
        </w:rPr>
        <w:t>).</w:t>
      </w:r>
      <w:r w:rsidR="005C6DA7">
        <w:rPr>
          <w:color w:val="auto"/>
        </w:rPr>
        <w:t xml:space="preserve"> </w:t>
      </w:r>
    </w:p>
    <w:p w14:paraId="2C946E9D" w14:textId="77777777" w:rsidR="00552395" w:rsidRPr="00FE100E" w:rsidRDefault="00552395" w:rsidP="00552395">
      <w:pPr>
        <w:spacing w:before="0"/>
        <w:rPr>
          <w:color w:val="auto"/>
        </w:rPr>
      </w:pPr>
    </w:p>
    <w:p w14:paraId="55643C0D" w14:textId="77777777" w:rsidR="004F24F4" w:rsidRPr="00F41854" w:rsidRDefault="00D91D0B" w:rsidP="00F41854">
      <w:pPr>
        <w:spacing w:before="0"/>
        <w:jc w:val="left"/>
        <w:rPr>
          <w:b/>
        </w:rPr>
      </w:pPr>
      <w:r w:rsidRPr="00F41854">
        <w:rPr>
          <w:b/>
        </w:rPr>
        <w:t xml:space="preserve">Operace 16.3.1 </w:t>
      </w:r>
      <w:r w:rsidRPr="00F41854">
        <w:rPr>
          <w:b/>
          <w:i/>
        </w:rPr>
        <w:t>Sdílení zařízení a zdrojů</w:t>
      </w:r>
    </w:p>
    <w:p w14:paraId="01608F5A" w14:textId="77777777" w:rsidR="00552395" w:rsidRDefault="00552395" w:rsidP="00552395">
      <w:pPr>
        <w:spacing w:before="0"/>
      </w:pPr>
    </w:p>
    <w:p w14:paraId="70680DE4" w14:textId="77777777" w:rsidR="004F24F4" w:rsidRDefault="00D91D0B" w:rsidP="00552395">
      <w:pPr>
        <w:spacing w:before="0"/>
      </w:pPr>
      <w:r w:rsidRPr="00274BC8">
        <w:t>V</w:t>
      </w:r>
      <w:r>
        <w:t> kontrolovaném období (tj. v</w:t>
      </w:r>
      <w:r w:rsidRPr="00274BC8">
        <w:t> rámci 3. kola příjmu žádostí</w:t>
      </w:r>
      <w:r>
        <w:t>)</w:t>
      </w:r>
      <w:r w:rsidRPr="00274BC8">
        <w:t xml:space="preserve"> bylo předloženo celkem 26 žádostí o dotaci. Pouze 2 projekty prošly úspěšně administrativní kontrolou SZ</w:t>
      </w:r>
      <w:r>
        <w:t>IF a s příjemci byla podepsána d</w:t>
      </w:r>
      <w:r w:rsidRPr="00274BC8">
        <w:t>ohoda</w:t>
      </w:r>
      <w:r>
        <w:t xml:space="preserve"> o poskytnutí dotace</w:t>
      </w:r>
      <w:r w:rsidRPr="00274BC8">
        <w:t xml:space="preserve">. Zbývajícím projektům byla ukončena administrace. Nejčastějším důvodem ukončení administrace žádostí o dotaci byla stávající spolupráce, kde dle hodnocení SZIF nešlo o nový projekt. </w:t>
      </w:r>
    </w:p>
    <w:p w14:paraId="62E9C562" w14:textId="77777777" w:rsidR="00552395" w:rsidRPr="00274BC8" w:rsidRDefault="00552395" w:rsidP="00552395">
      <w:pPr>
        <w:spacing w:before="0"/>
      </w:pPr>
    </w:p>
    <w:p w14:paraId="3D463903" w14:textId="77777777" w:rsidR="004F24F4" w:rsidRDefault="00D91D0B" w:rsidP="00552395">
      <w:pPr>
        <w:spacing w:before="0"/>
      </w:pPr>
      <w:r>
        <w:lastRenderedPageBreak/>
        <w:t>V</w:t>
      </w:r>
      <w:r w:rsidRPr="00736A66">
        <w:t xml:space="preserve">ypracování </w:t>
      </w:r>
      <w:r>
        <w:t>žádosti o dotaci je</w:t>
      </w:r>
      <w:r w:rsidRPr="00736A66">
        <w:t xml:space="preserve"> mnohem náročnější než u žadatelů v jiných operacích. Například u finančně mnohem významnějších operací (16.2.1 a 16.2.2) nevyplňují žadatelé žádné nebo téměř žádné ekonomické ukazatele, ze kterých by se dal hodnotit aspekt efektivnosti. Jde tedy o nerovné nastavení podmínek pro žadatele. Velké, finančně náročné projekty mají jednodušší podmínky pro získání dotací než malé projekty realizované </w:t>
      </w:r>
      <w:proofErr w:type="spellStart"/>
      <w:r w:rsidRPr="00736A66">
        <w:t>mikropodniky</w:t>
      </w:r>
      <w:proofErr w:type="spellEnd"/>
      <w:r w:rsidRPr="00736A66">
        <w:t xml:space="preserve"> a malými nebo středními podniky. </w:t>
      </w:r>
    </w:p>
    <w:p w14:paraId="4A05FDF5" w14:textId="77777777" w:rsidR="00FE100E" w:rsidRPr="00736A66" w:rsidRDefault="00FE100E" w:rsidP="00552395">
      <w:pPr>
        <w:spacing w:before="0"/>
      </w:pPr>
    </w:p>
    <w:p w14:paraId="62EC7FFC" w14:textId="77777777" w:rsidR="004F24F4" w:rsidRPr="00F41854" w:rsidRDefault="00D91D0B" w:rsidP="00F41854">
      <w:pPr>
        <w:spacing w:before="0"/>
        <w:jc w:val="left"/>
        <w:rPr>
          <w:b/>
          <w:bCs/>
        </w:rPr>
      </w:pPr>
      <w:r w:rsidRPr="00F41854">
        <w:rPr>
          <w:b/>
        </w:rPr>
        <w:t xml:space="preserve">Operace 16.4.1 </w:t>
      </w:r>
      <w:r w:rsidRPr="00F41854">
        <w:rPr>
          <w:b/>
          <w:bCs/>
          <w:i/>
        </w:rPr>
        <w:t>Horizontální a vertikální spolupráce mezi účastníky krátkých dodavatelských řetězců a místních trhů</w:t>
      </w:r>
    </w:p>
    <w:p w14:paraId="25F6DA8A" w14:textId="77777777" w:rsidR="00552395" w:rsidRDefault="00552395" w:rsidP="00552395">
      <w:pPr>
        <w:spacing w:before="0"/>
      </w:pPr>
    </w:p>
    <w:p w14:paraId="0A2A9A81" w14:textId="26334A33" w:rsidR="004F24F4" w:rsidRDefault="00D91D0B" w:rsidP="00552395">
      <w:pPr>
        <w:spacing w:before="0"/>
      </w:pPr>
      <w:r w:rsidRPr="00736A66">
        <w:t xml:space="preserve">Operace byla </w:t>
      </w:r>
      <w:r>
        <w:t xml:space="preserve">během kontrolovaného období </w:t>
      </w:r>
      <w:r w:rsidRPr="00736A66">
        <w:t xml:space="preserve">vyhlášena celkem ve 3 kolech pro příjem žádostí. </w:t>
      </w:r>
      <w:r>
        <w:t>K</w:t>
      </w:r>
      <w:r w:rsidRPr="00736A66">
        <w:t xml:space="preserve"> 31. 12. 2017 </w:t>
      </w:r>
      <w:r>
        <w:t xml:space="preserve">bylo </w:t>
      </w:r>
      <w:r w:rsidRPr="00736A66">
        <w:t xml:space="preserve">předloženo pouze 7 projektů. U 5 projektů </w:t>
      </w:r>
      <w:r>
        <w:t>ukončil</w:t>
      </w:r>
      <w:r w:rsidR="0083176E" w:rsidRPr="0083176E">
        <w:t xml:space="preserve"> </w:t>
      </w:r>
      <w:r w:rsidR="0083176E">
        <w:t>SZIF</w:t>
      </w:r>
      <w:r>
        <w:t xml:space="preserve"> </w:t>
      </w:r>
      <w:r w:rsidRPr="00736A66">
        <w:t>administrac</w:t>
      </w:r>
      <w:r>
        <w:t>i</w:t>
      </w:r>
      <w:r w:rsidRPr="00736A66">
        <w:t xml:space="preserve"> a zbývající dva žadatel</w:t>
      </w:r>
      <w:r w:rsidR="0083176E">
        <w:t>e</w:t>
      </w:r>
      <w:r w:rsidRPr="00736A66">
        <w:t xml:space="preserve"> </w:t>
      </w:r>
      <w:r>
        <w:t>vyzval</w:t>
      </w:r>
      <w:r w:rsidRPr="00736A66">
        <w:t xml:space="preserve"> k doplnění a odstranění nedostatků v</w:t>
      </w:r>
      <w:r>
        <w:t> žádosti o dotaci</w:t>
      </w:r>
      <w:r w:rsidRPr="00736A66">
        <w:t xml:space="preserve">. </w:t>
      </w:r>
      <w:r>
        <w:t>Existuje tudíž</w:t>
      </w:r>
      <w:r w:rsidRPr="00736A66">
        <w:t xml:space="preserve"> riziko, že ani po 3 výzvách a značných propagačních snahách ze strany MZe (a výdajů na ně vynaložených) nebude nakonec schválen žádný projekt z této operace.</w:t>
      </w:r>
    </w:p>
    <w:p w14:paraId="1F760D73" w14:textId="77777777" w:rsidR="00552395" w:rsidRPr="00736A66" w:rsidRDefault="00552395" w:rsidP="00552395">
      <w:pPr>
        <w:spacing w:before="0"/>
      </w:pPr>
    </w:p>
    <w:p w14:paraId="0EEEAC4D" w14:textId="6FE903DD" w:rsidR="004F24F4" w:rsidRDefault="00D91D0B" w:rsidP="00552395">
      <w:pPr>
        <w:spacing w:before="0"/>
      </w:pPr>
      <w:r>
        <w:t>Pro</w:t>
      </w:r>
      <w:r w:rsidR="0083176E">
        <w:t xml:space="preserve"> </w:t>
      </w:r>
      <w:r>
        <w:t xml:space="preserve">5. kolo </w:t>
      </w:r>
      <w:r w:rsidRPr="00736A66">
        <w:t xml:space="preserve">příjmu žádostí </w:t>
      </w:r>
      <w:r>
        <w:t xml:space="preserve">MZe snížilo hranici povinného minimálního bodového zisku při hodnocení žádosti na pouhé 2 body. </w:t>
      </w:r>
      <w:r w:rsidRPr="00736A66">
        <w:t>Z uvedených požadavků vyplývá, že žadateli stač</w:t>
      </w:r>
      <w:r>
        <w:t>ilo v 5. </w:t>
      </w:r>
      <w:r w:rsidRPr="00736A66">
        <w:t xml:space="preserve">kole k získání dotace naplnění jen jednoho preferenčního kritéria. Z toho lze usuzovat, že teoreticky každý žadatel, který projde administrativní kontrolou, </w:t>
      </w:r>
      <w:r>
        <w:t>bude</w:t>
      </w:r>
      <w:r w:rsidRPr="00736A66">
        <w:t xml:space="preserve"> vybrán pro financování z</w:t>
      </w:r>
      <w:r w:rsidR="00810D3F">
        <w:t> </w:t>
      </w:r>
      <w:r w:rsidRPr="00736A66">
        <w:t>PRV</w:t>
      </w:r>
      <w:r w:rsidR="009600C7">
        <w:t xml:space="preserve"> 2014–</w:t>
      </w:r>
      <w:r w:rsidR="00810D3F">
        <w:t>2020</w:t>
      </w:r>
      <w:r w:rsidRPr="00736A66">
        <w:t>.</w:t>
      </w:r>
    </w:p>
    <w:p w14:paraId="7554D04C" w14:textId="77777777" w:rsidR="00FE100E" w:rsidRPr="00736A66" w:rsidRDefault="00FE100E" w:rsidP="00552395">
      <w:pPr>
        <w:spacing w:before="0"/>
      </w:pPr>
    </w:p>
    <w:p w14:paraId="51C7FB01" w14:textId="77777777" w:rsidR="004F24F4" w:rsidRPr="00F41854" w:rsidRDefault="00D91D0B" w:rsidP="00F41854">
      <w:pPr>
        <w:spacing w:before="0"/>
        <w:jc w:val="left"/>
        <w:rPr>
          <w:b/>
        </w:rPr>
      </w:pPr>
      <w:r w:rsidRPr="00F41854">
        <w:rPr>
          <w:b/>
        </w:rPr>
        <w:t xml:space="preserve">Operace 16.6.1 </w:t>
      </w:r>
      <w:r w:rsidRPr="00F41854">
        <w:rPr>
          <w:b/>
          <w:i/>
        </w:rPr>
        <w:t>Horizontální a vertikální spolupráce při udržitelném zajišťování biomasy pro výrobu energie, výrobu potravin a v průmyslových procesech</w:t>
      </w:r>
    </w:p>
    <w:p w14:paraId="7FF537E4" w14:textId="77777777" w:rsidR="00552395" w:rsidRDefault="00552395" w:rsidP="00552395">
      <w:pPr>
        <w:spacing w:before="0"/>
      </w:pPr>
    </w:p>
    <w:p w14:paraId="7D6E208F" w14:textId="1D492B3F" w:rsidR="004F24F4" w:rsidRDefault="00D91D0B" w:rsidP="00552395">
      <w:pPr>
        <w:spacing w:before="0"/>
      </w:pPr>
      <w:r w:rsidRPr="00736A66">
        <w:t xml:space="preserve">V rámci této operace nebyl </w:t>
      </w:r>
      <w:r>
        <w:t xml:space="preserve">do konce roku 2017 </w:t>
      </w:r>
      <w:r w:rsidRPr="00736A66">
        <w:t>předložen žádný projekt</w:t>
      </w:r>
      <w:r>
        <w:t>. Mezi žadateli není o </w:t>
      </w:r>
      <w:r w:rsidRPr="00736A66">
        <w:t>t</w:t>
      </w:r>
      <w:r>
        <w:t>uto operaci zájem</w:t>
      </w:r>
      <w:r w:rsidRPr="00736A66">
        <w:t xml:space="preserve">. MZe nepředložilo žádný materiál, z něhož by vyplývalo zdůvodnění podpory </w:t>
      </w:r>
      <w:r>
        <w:t>v rámci této operace, která je založena na neinvestičních</w:t>
      </w:r>
      <w:r w:rsidR="0083176E" w:rsidRPr="0083176E">
        <w:t xml:space="preserve"> </w:t>
      </w:r>
      <w:r w:rsidR="0083176E" w:rsidRPr="00736A66">
        <w:t xml:space="preserve">a nikoliv </w:t>
      </w:r>
      <w:r w:rsidR="0083176E">
        <w:t xml:space="preserve">na </w:t>
      </w:r>
      <w:r w:rsidR="0083176E" w:rsidRPr="00736A66">
        <w:t>investiční</w:t>
      </w:r>
      <w:r w:rsidR="0083176E">
        <w:t>ch</w:t>
      </w:r>
      <w:r>
        <w:t xml:space="preserve"> výdajích</w:t>
      </w:r>
      <w:r w:rsidRPr="00736A66">
        <w:t xml:space="preserve"> projektů. Nezájem o operaci 16.6.1 jednoznačně vyplývá z chybného nastavení této operace</w:t>
      </w:r>
      <w:r w:rsidR="005025BC">
        <w:t>, které provedlo MZe</w:t>
      </w:r>
      <w:r w:rsidRPr="00736A66">
        <w:t>.</w:t>
      </w:r>
    </w:p>
    <w:p w14:paraId="04E3FC2C" w14:textId="77777777" w:rsidR="001B051B" w:rsidRDefault="001B051B" w:rsidP="00A44D15">
      <w:pPr>
        <w:spacing w:before="0"/>
      </w:pPr>
    </w:p>
    <w:p w14:paraId="394DDEF4" w14:textId="77777777" w:rsidR="001B051B" w:rsidRDefault="001B051B" w:rsidP="00A44D15">
      <w:pPr>
        <w:spacing w:before="0"/>
      </w:pPr>
    </w:p>
    <w:p w14:paraId="7B6F0E9A" w14:textId="77777777" w:rsidR="00A44D15" w:rsidRDefault="00A44D15">
      <w:pPr>
        <w:spacing w:before="0"/>
        <w:jc w:val="left"/>
        <w:rPr>
          <w:b/>
        </w:rPr>
      </w:pPr>
      <w:r>
        <w:rPr>
          <w:b/>
        </w:rPr>
        <w:br w:type="page"/>
      </w:r>
    </w:p>
    <w:p w14:paraId="6E903396" w14:textId="77777777" w:rsidR="00A44D15" w:rsidRPr="00E4469E" w:rsidRDefault="00D00321" w:rsidP="00A44D15">
      <w:pPr>
        <w:jc w:val="right"/>
        <w:rPr>
          <w:b/>
        </w:rPr>
      </w:pPr>
      <w:r w:rsidRPr="00E4469E">
        <w:rPr>
          <w:b/>
        </w:rPr>
        <w:lastRenderedPageBreak/>
        <w:t>Příloha č. 1</w:t>
      </w:r>
    </w:p>
    <w:p w14:paraId="2D17F542" w14:textId="346C3850" w:rsidR="00D00321" w:rsidRPr="00550E75" w:rsidRDefault="00D00321" w:rsidP="00A44D15">
      <w:pPr>
        <w:spacing w:after="40"/>
        <w:rPr>
          <w:b/>
        </w:rPr>
      </w:pPr>
      <w:r w:rsidRPr="00550E75">
        <w:rPr>
          <w:b/>
        </w:rPr>
        <w:t xml:space="preserve">Žadatelé </w:t>
      </w:r>
      <w:r w:rsidR="006E2C20" w:rsidRPr="00550E75">
        <w:rPr>
          <w:b/>
        </w:rPr>
        <w:t>opakova</w:t>
      </w:r>
      <w:r w:rsidR="006E2C20">
        <w:rPr>
          <w:b/>
        </w:rPr>
        <w:t xml:space="preserve">ně </w:t>
      </w:r>
      <w:r w:rsidRPr="00550E75">
        <w:rPr>
          <w:b/>
        </w:rPr>
        <w:t xml:space="preserve">žádající </w:t>
      </w:r>
      <w:r>
        <w:rPr>
          <w:b/>
        </w:rPr>
        <w:t>v operaci 16.2.2 v rámci 1.,</w:t>
      </w:r>
      <w:r w:rsidRPr="00550E75">
        <w:rPr>
          <w:b/>
        </w:rPr>
        <w:t xml:space="preserve"> 3. </w:t>
      </w:r>
      <w:r>
        <w:rPr>
          <w:b/>
        </w:rPr>
        <w:t>a 5. kola</w:t>
      </w:r>
      <w:r w:rsidRPr="00550E75">
        <w:rPr>
          <w:b/>
        </w:rPr>
        <w:t xml:space="preserve"> příjmu žádostí</w:t>
      </w:r>
    </w:p>
    <w:tbl>
      <w:tblPr>
        <w:tblW w:w="9120" w:type="dxa"/>
        <w:tblInd w:w="-1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1"/>
        <w:gridCol w:w="2551"/>
        <w:gridCol w:w="1666"/>
        <w:gridCol w:w="1247"/>
        <w:gridCol w:w="1325"/>
      </w:tblGrid>
      <w:tr w:rsidR="00D00321" w:rsidRPr="00876251" w14:paraId="46F78765" w14:textId="77777777" w:rsidTr="00E9564B">
        <w:trPr>
          <w:trHeight w:val="227"/>
        </w:trPr>
        <w:tc>
          <w:tcPr>
            <w:tcW w:w="2331" w:type="dxa"/>
            <w:shd w:val="clear" w:color="000000" w:fill="E5F1FF"/>
            <w:noWrap/>
            <w:vAlign w:val="center"/>
            <w:hideMark/>
          </w:tcPr>
          <w:p w14:paraId="0B28B0E2" w14:textId="77777777" w:rsidR="00D00321" w:rsidRPr="00876251" w:rsidRDefault="00D00321" w:rsidP="00490EA3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876251">
              <w:rPr>
                <w:b/>
                <w:bCs/>
                <w:sz w:val="20"/>
                <w:szCs w:val="20"/>
                <w:lang w:eastAsia="cs-CZ"/>
              </w:rPr>
              <w:t>Žadatel</w:t>
            </w:r>
          </w:p>
        </w:tc>
        <w:tc>
          <w:tcPr>
            <w:tcW w:w="2551" w:type="dxa"/>
            <w:shd w:val="clear" w:color="000000" w:fill="E5F1FF"/>
            <w:noWrap/>
            <w:vAlign w:val="center"/>
            <w:hideMark/>
          </w:tcPr>
          <w:p w14:paraId="331681A7" w14:textId="77777777" w:rsidR="00D00321" w:rsidRPr="00876251" w:rsidRDefault="00D00321" w:rsidP="00490EA3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876251">
              <w:rPr>
                <w:b/>
                <w:bCs/>
                <w:sz w:val="20"/>
                <w:szCs w:val="20"/>
                <w:lang w:eastAsia="cs-CZ"/>
              </w:rPr>
              <w:t>Registrační číslo projektu</w:t>
            </w:r>
          </w:p>
        </w:tc>
        <w:tc>
          <w:tcPr>
            <w:tcW w:w="1666" w:type="dxa"/>
            <w:shd w:val="clear" w:color="000000" w:fill="E5F1FF"/>
            <w:vAlign w:val="center"/>
            <w:hideMark/>
          </w:tcPr>
          <w:p w14:paraId="0178BC50" w14:textId="77777777" w:rsidR="00D00321" w:rsidRPr="00876251" w:rsidRDefault="00D00321" w:rsidP="00490EA3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876251">
              <w:rPr>
                <w:b/>
                <w:bCs/>
                <w:sz w:val="20"/>
                <w:szCs w:val="20"/>
                <w:lang w:eastAsia="cs-CZ"/>
              </w:rPr>
              <w:t>Požadovaná výše způsobilých výdajů v Kč</w:t>
            </w:r>
          </w:p>
        </w:tc>
        <w:tc>
          <w:tcPr>
            <w:tcW w:w="1247" w:type="dxa"/>
            <w:shd w:val="clear" w:color="000000" w:fill="E5F1FF"/>
            <w:vAlign w:val="center"/>
            <w:hideMark/>
          </w:tcPr>
          <w:p w14:paraId="0FDCF7F9" w14:textId="77777777" w:rsidR="00D00321" w:rsidRPr="00876251" w:rsidRDefault="00D00321" w:rsidP="00876251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876251">
              <w:rPr>
                <w:b/>
                <w:bCs/>
                <w:sz w:val="20"/>
                <w:szCs w:val="20"/>
                <w:lang w:eastAsia="cs-CZ"/>
              </w:rPr>
              <w:t>Požadovaná výše dotace v</w:t>
            </w:r>
            <w:r w:rsidR="00876251">
              <w:rPr>
                <w:b/>
                <w:bCs/>
                <w:sz w:val="20"/>
                <w:szCs w:val="20"/>
                <w:lang w:eastAsia="cs-CZ"/>
              </w:rPr>
              <w:t> </w:t>
            </w:r>
            <w:r w:rsidRPr="00876251">
              <w:rPr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325" w:type="dxa"/>
            <w:shd w:val="clear" w:color="000000" w:fill="E5F1FF"/>
            <w:vAlign w:val="center"/>
            <w:hideMark/>
          </w:tcPr>
          <w:p w14:paraId="2B21B3B2" w14:textId="77777777" w:rsidR="00D00321" w:rsidRPr="00876251" w:rsidRDefault="00D00321" w:rsidP="00490EA3">
            <w:pPr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876251">
              <w:rPr>
                <w:b/>
                <w:bCs/>
                <w:sz w:val="20"/>
                <w:szCs w:val="20"/>
                <w:lang w:eastAsia="cs-CZ"/>
              </w:rPr>
              <w:t>Požadovaná výše dotace celkem v Kč</w:t>
            </w:r>
          </w:p>
        </w:tc>
      </w:tr>
      <w:tr w:rsidR="00D00321" w:rsidRPr="00876251" w14:paraId="6132F693" w14:textId="77777777" w:rsidTr="00E9564B">
        <w:trPr>
          <w:trHeight w:val="227"/>
        </w:trPr>
        <w:tc>
          <w:tcPr>
            <w:tcW w:w="2331" w:type="dxa"/>
            <w:vMerge w:val="restart"/>
            <w:shd w:val="clear" w:color="auto" w:fill="auto"/>
            <w:noWrap/>
            <w:vAlign w:val="center"/>
            <w:hideMark/>
          </w:tcPr>
          <w:p w14:paraId="21121A14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FRUTA Podivín, a.s.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E7F2E1B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15/001/16220/564/000032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0018AE89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69 000 000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DEC6063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34 500 000</w:t>
            </w:r>
          </w:p>
        </w:tc>
        <w:tc>
          <w:tcPr>
            <w:tcW w:w="1325" w:type="dxa"/>
            <w:vMerge w:val="restart"/>
            <w:shd w:val="clear" w:color="auto" w:fill="auto"/>
            <w:noWrap/>
            <w:vAlign w:val="center"/>
            <w:hideMark/>
          </w:tcPr>
          <w:p w14:paraId="003A8CAA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82 500 000</w:t>
            </w:r>
          </w:p>
        </w:tc>
      </w:tr>
      <w:tr w:rsidR="00D00321" w:rsidRPr="00876251" w14:paraId="7EEE4F7D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7B2A54AB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1FF2899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16/003/16220/564/000065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54C52E74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46 000 000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B93ECD0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23 000 000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64F0A4C7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251BA29A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176C6F84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5FECD3B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17/005/16220/564/000072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0B1425B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EF738FE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25 000 000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0D523082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2032D002" w14:textId="77777777" w:rsidTr="00E9564B">
        <w:trPr>
          <w:trHeight w:val="227"/>
        </w:trPr>
        <w:tc>
          <w:tcPr>
            <w:tcW w:w="2331" w:type="dxa"/>
            <w:vMerge w:val="restart"/>
            <w:shd w:val="clear" w:color="000000" w:fill="FFFFFF"/>
            <w:noWrap/>
            <w:vAlign w:val="center"/>
            <w:hideMark/>
          </w:tcPr>
          <w:p w14:paraId="3039AA57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Kostelecké uzeniny a.s.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F488E8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15/001/16220/563/000022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0D903FAA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98 600 000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1E70AD6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49 300 000</w:t>
            </w:r>
          </w:p>
        </w:tc>
        <w:tc>
          <w:tcPr>
            <w:tcW w:w="1325" w:type="dxa"/>
            <w:vMerge w:val="restart"/>
            <w:shd w:val="clear" w:color="auto" w:fill="auto"/>
            <w:noWrap/>
            <w:vAlign w:val="center"/>
            <w:hideMark/>
          </w:tcPr>
          <w:p w14:paraId="4797A8C8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194 437 500</w:t>
            </w:r>
          </w:p>
        </w:tc>
      </w:tr>
      <w:tr w:rsidR="00D00321" w:rsidRPr="00876251" w14:paraId="0AF658E6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58629DEA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50F4E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16/003/16220/231/000047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6ECFDBB1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72C01B9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75 000 000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2E4AE9C1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1704D4DA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27BD237B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E06FACE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17/005/16220/563/000056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0CD07181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140 275 000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39F0BF9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70 137 500</w:t>
            </w:r>
          </w:p>
        </w:tc>
        <w:tc>
          <w:tcPr>
            <w:tcW w:w="1325" w:type="dxa"/>
            <w:vMerge/>
            <w:vAlign w:val="center"/>
            <w:hideMark/>
          </w:tcPr>
          <w:p w14:paraId="779B2C71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2DFB6369" w14:textId="77777777" w:rsidTr="00E9564B">
        <w:trPr>
          <w:trHeight w:val="227"/>
        </w:trPr>
        <w:tc>
          <w:tcPr>
            <w:tcW w:w="2331" w:type="dxa"/>
            <w:vMerge w:val="restart"/>
            <w:shd w:val="clear" w:color="000000" w:fill="FFFFFF"/>
            <w:noWrap/>
            <w:vAlign w:val="center"/>
            <w:hideMark/>
          </w:tcPr>
          <w:p w14:paraId="2F6674F4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Madeta a.s.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8A1929B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15/001/16220/231/000030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3981EF3E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8C3FA6F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75 000 000</w:t>
            </w:r>
          </w:p>
        </w:tc>
        <w:tc>
          <w:tcPr>
            <w:tcW w:w="1325" w:type="dxa"/>
            <w:vMerge w:val="restart"/>
            <w:shd w:val="clear" w:color="auto" w:fill="auto"/>
            <w:noWrap/>
            <w:vAlign w:val="center"/>
            <w:hideMark/>
          </w:tcPr>
          <w:p w14:paraId="216B5728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225 000 000</w:t>
            </w:r>
          </w:p>
        </w:tc>
      </w:tr>
      <w:tr w:rsidR="00D00321" w:rsidRPr="00876251" w14:paraId="333B5B5E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202190BB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2BA2AC1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16/003/16220/231/000048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7B06F943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59586A9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75 000 000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645BDD08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3198E37C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072CE85D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DAE8A3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17/005/16220/231/000095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491B9F8A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3C4414E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75 000 000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5B0A34D0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1C81371B" w14:textId="77777777" w:rsidTr="00E9564B">
        <w:trPr>
          <w:trHeight w:val="227"/>
        </w:trPr>
        <w:tc>
          <w:tcPr>
            <w:tcW w:w="2331" w:type="dxa"/>
            <w:vMerge w:val="restart"/>
            <w:shd w:val="clear" w:color="000000" w:fill="FFFFFF"/>
            <w:noWrap/>
            <w:vAlign w:val="center"/>
            <w:hideMark/>
          </w:tcPr>
          <w:p w14:paraId="515BD04E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OLMA, a.s.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A532C62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15/001/16220/671/000004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73DA8297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130 000 000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0D0D6A4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65 000 000</w:t>
            </w:r>
          </w:p>
        </w:tc>
        <w:tc>
          <w:tcPr>
            <w:tcW w:w="1325" w:type="dxa"/>
            <w:vMerge w:val="restart"/>
            <w:shd w:val="clear" w:color="auto" w:fill="auto"/>
            <w:noWrap/>
            <w:vAlign w:val="center"/>
            <w:hideMark/>
          </w:tcPr>
          <w:p w14:paraId="06C707C1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179 500 000</w:t>
            </w:r>
          </w:p>
        </w:tc>
      </w:tr>
      <w:tr w:rsidR="00D00321" w:rsidRPr="00876251" w14:paraId="26073ADD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242BBEEF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488C2C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16/003/16220/671/000072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23365A6A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79 000 000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7375398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39 500 000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208EEC2D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55C7DD01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7E69F2D1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1954784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17/005/16220/671/000059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16E57C1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CD5DF08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75 000 000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33DA38F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1E3DFD24" w14:textId="77777777" w:rsidTr="00E9564B">
        <w:trPr>
          <w:trHeight w:val="227"/>
        </w:trPr>
        <w:tc>
          <w:tcPr>
            <w:tcW w:w="2331" w:type="dxa"/>
            <w:vMerge w:val="restart"/>
            <w:shd w:val="clear" w:color="000000" w:fill="FFFFFF"/>
            <w:noWrap/>
            <w:vAlign w:val="center"/>
            <w:hideMark/>
          </w:tcPr>
          <w:p w14:paraId="6F764C92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Polabské mlékárny a.s.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8647BBF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15/001/16220/120/000016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31EC07DC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130 030 000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46F6429C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65 015 000</w:t>
            </w:r>
          </w:p>
        </w:tc>
        <w:tc>
          <w:tcPr>
            <w:tcW w:w="1325" w:type="dxa"/>
            <w:vMerge w:val="restart"/>
            <w:shd w:val="clear" w:color="auto" w:fill="auto"/>
            <w:noWrap/>
            <w:vAlign w:val="center"/>
            <w:hideMark/>
          </w:tcPr>
          <w:p w14:paraId="706643A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195 515 000</w:t>
            </w:r>
          </w:p>
        </w:tc>
      </w:tr>
      <w:tr w:rsidR="00D00321" w:rsidRPr="00876251" w14:paraId="13655B9F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4B250CA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62E31E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16/003/16220/342/000087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57AFD32F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111 000 000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F459163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55 500 000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7AE7383C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34793FB8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3278A620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989D86A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17/005/16220/120/000074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18403C97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3613DC6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75 000 000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748BDBB9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240C9B7E" w14:textId="77777777" w:rsidTr="00E9564B">
        <w:trPr>
          <w:trHeight w:val="227"/>
        </w:trPr>
        <w:tc>
          <w:tcPr>
            <w:tcW w:w="2331" w:type="dxa"/>
            <w:vMerge w:val="restart"/>
            <w:shd w:val="clear" w:color="auto" w:fill="auto"/>
            <w:noWrap/>
            <w:vAlign w:val="center"/>
            <w:hideMark/>
          </w:tcPr>
          <w:p w14:paraId="2A8E44E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 xml:space="preserve">Slovácká </w:t>
            </w:r>
            <w:proofErr w:type="spellStart"/>
            <w:r w:rsidRPr="00876251">
              <w:rPr>
                <w:bCs/>
                <w:sz w:val="20"/>
                <w:szCs w:val="20"/>
                <w:lang w:eastAsia="cs-CZ"/>
              </w:rPr>
              <w:t>Fruta</w:t>
            </w:r>
            <w:proofErr w:type="spellEnd"/>
            <w:r w:rsidRPr="00876251">
              <w:rPr>
                <w:bCs/>
                <w:sz w:val="20"/>
                <w:szCs w:val="20"/>
                <w:lang w:eastAsia="cs-CZ"/>
              </w:rPr>
              <w:t>, a.s.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F5D0DF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15/001/16220/672/000029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275AC006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52 000 000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F8564D1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26 000 000</w:t>
            </w:r>
          </w:p>
        </w:tc>
        <w:tc>
          <w:tcPr>
            <w:tcW w:w="1325" w:type="dxa"/>
            <w:vMerge w:val="restart"/>
            <w:shd w:val="clear" w:color="auto" w:fill="auto"/>
            <w:noWrap/>
            <w:vAlign w:val="center"/>
            <w:hideMark/>
          </w:tcPr>
          <w:p w14:paraId="1B79A070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78 000 000</w:t>
            </w:r>
          </w:p>
        </w:tc>
      </w:tr>
      <w:tr w:rsidR="00D00321" w:rsidRPr="00876251" w14:paraId="360D66C6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12B5EA19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E272D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16/003/16220/672/000066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755C4698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69 000 000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00D20AA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34 500 000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42AB05E1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66A7F159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3B2C9232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F160F4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17/005/16220/672/000094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422153D9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35 000 000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39A7231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17 500 000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271B8AC8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31777208" w14:textId="77777777" w:rsidTr="00E9564B">
        <w:trPr>
          <w:trHeight w:val="227"/>
        </w:trPr>
        <w:tc>
          <w:tcPr>
            <w:tcW w:w="2331" w:type="dxa"/>
            <w:vMerge w:val="restart"/>
            <w:shd w:val="clear" w:color="000000" w:fill="FFFFFF"/>
            <w:noWrap/>
            <w:vAlign w:val="center"/>
            <w:hideMark/>
          </w:tcPr>
          <w:p w14:paraId="53E2C33D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Vodňanská drůbež, a.s.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D68E82E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15/001/16220/231/000019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7CA01190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106 000 000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3CEADE3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53 000 000</w:t>
            </w:r>
          </w:p>
        </w:tc>
        <w:tc>
          <w:tcPr>
            <w:tcW w:w="1325" w:type="dxa"/>
            <w:vMerge w:val="restart"/>
            <w:shd w:val="clear" w:color="auto" w:fill="auto"/>
            <w:noWrap/>
            <w:vAlign w:val="center"/>
            <w:hideMark/>
          </w:tcPr>
          <w:p w14:paraId="4AF1989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203 000 000</w:t>
            </w:r>
          </w:p>
        </w:tc>
      </w:tr>
      <w:tr w:rsidR="00D00321" w:rsidRPr="00876251" w14:paraId="053A5656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4E5E77F2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2C4CFE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16/003/16220/231/000076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53926A17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32FCC893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75 000 000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26A78F8A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672D4F1B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2A0ED35F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CFAAD9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17/005/16220/231/000057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5AD9F74F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76F17F8B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75 000 000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29B6DC47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</w:p>
        </w:tc>
      </w:tr>
      <w:tr w:rsidR="00D00321" w:rsidRPr="00876251" w14:paraId="6B912242" w14:textId="77777777" w:rsidTr="00E9564B">
        <w:trPr>
          <w:trHeight w:val="227"/>
        </w:trPr>
        <w:tc>
          <w:tcPr>
            <w:tcW w:w="2331" w:type="dxa"/>
            <w:vMerge w:val="restart"/>
            <w:shd w:val="clear" w:color="000000" w:fill="FFFFFF"/>
            <w:noWrap/>
            <w:vAlign w:val="center"/>
            <w:hideMark/>
          </w:tcPr>
          <w:p w14:paraId="5040AB4E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ZEMAN maso-uzeniny, a.s.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5BF8A9C6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15/001/16220/120/000005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6D95F3FC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CBDE955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75 000 000</w:t>
            </w:r>
          </w:p>
        </w:tc>
        <w:tc>
          <w:tcPr>
            <w:tcW w:w="1325" w:type="dxa"/>
            <w:vMerge w:val="restart"/>
            <w:shd w:val="clear" w:color="auto" w:fill="auto"/>
            <w:noWrap/>
            <w:vAlign w:val="center"/>
            <w:hideMark/>
          </w:tcPr>
          <w:p w14:paraId="0CAD332E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223 000 000</w:t>
            </w:r>
          </w:p>
        </w:tc>
      </w:tr>
      <w:tr w:rsidR="00D00321" w:rsidRPr="00876251" w14:paraId="4739B1A2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39DC20CF" w14:textId="77777777" w:rsidR="00D00321" w:rsidRPr="00876251" w:rsidRDefault="00D00321" w:rsidP="00490EA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E36F27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16/003/16220/120/000064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4C2C0FB9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150 000 000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5163FCE7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75 000 000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03EA1BD0" w14:textId="77777777" w:rsidR="00D00321" w:rsidRPr="00876251" w:rsidRDefault="00D00321" w:rsidP="00490EA3">
            <w:pPr>
              <w:rPr>
                <w:sz w:val="20"/>
                <w:szCs w:val="20"/>
                <w:lang w:eastAsia="cs-CZ"/>
              </w:rPr>
            </w:pPr>
          </w:p>
        </w:tc>
      </w:tr>
      <w:tr w:rsidR="00D00321" w:rsidRPr="00876251" w14:paraId="74F32EC8" w14:textId="77777777" w:rsidTr="00E9564B">
        <w:trPr>
          <w:trHeight w:val="227"/>
        </w:trPr>
        <w:tc>
          <w:tcPr>
            <w:tcW w:w="2331" w:type="dxa"/>
            <w:vMerge/>
            <w:vAlign w:val="center"/>
            <w:hideMark/>
          </w:tcPr>
          <w:p w14:paraId="0B60811A" w14:textId="77777777" w:rsidR="00D00321" w:rsidRPr="00876251" w:rsidRDefault="00D00321" w:rsidP="00490EA3">
            <w:pPr>
              <w:rPr>
                <w:sz w:val="20"/>
                <w:szCs w:val="20"/>
                <w:lang w:eastAsia="cs-CZ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456F7B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17/005/16220/120/000081</w:t>
            </w:r>
          </w:p>
        </w:tc>
        <w:tc>
          <w:tcPr>
            <w:tcW w:w="1666" w:type="dxa"/>
            <w:shd w:val="clear" w:color="auto" w:fill="auto"/>
            <w:noWrap/>
            <w:vAlign w:val="center"/>
            <w:hideMark/>
          </w:tcPr>
          <w:p w14:paraId="52D27B87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146 000 000</w:t>
            </w:r>
          </w:p>
        </w:tc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6FD9CC92" w14:textId="77777777" w:rsidR="00D00321" w:rsidRPr="00876251" w:rsidRDefault="00D00321" w:rsidP="00490EA3">
            <w:pPr>
              <w:jc w:val="center"/>
              <w:rPr>
                <w:bCs/>
                <w:sz w:val="20"/>
                <w:szCs w:val="20"/>
                <w:lang w:eastAsia="cs-CZ"/>
              </w:rPr>
            </w:pPr>
            <w:r w:rsidRPr="00876251">
              <w:rPr>
                <w:bCs/>
                <w:sz w:val="20"/>
                <w:szCs w:val="20"/>
                <w:lang w:eastAsia="cs-CZ"/>
              </w:rPr>
              <w:t>73 000 000</w:t>
            </w:r>
          </w:p>
        </w:tc>
        <w:tc>
          <w:tcPr>
            <w:tcW w:w="1325" w:type="dxa"/>
            <w:vMerge/>
            <w:vAlign w:val="center"/>
            <w:hideMark/>
          </w:tcPr>
          <w:p w14:paraId="1189F7C6" w14:textId="77777777" w:rsidR="00D00321" w:rsidRPr="00876251" w:rsidRDefault="00D00321" w:rsidP="00490EA3">
            <w:pPr>
              <w:rPr>
                <w:sz w:val="20"/>
                <w:szCs w:val="20"/>
                <w:lang w:eastAsia="cs-CZ"/>
              </w:rPr>
            </w:pPr>
          </w:p>
        </w:tc>
      </w:tr>
    </w:tbl>
    <w:p w14:paraId="3056B647" w14:textId="77777777" w:rsidR="004F24F4" w:rsidRPr="00D00321" w:rsidRDefault="00D00321" w:rsidP="00876251">
      <w:pPr>
        <w:spacing w:before="40" w:line="257" w:lineRule="auto"/>
        <w:rPr>
          <w:sz w:val="20"/>
          <w:szCs w:val="20"/>
        </w:rPr>
      </w:pPr>
      <w:r w:rsidRPr="00550E75">
        <w:rPr>
          <w:b/>
          <w:sz w:val="20"/>
          <w:szCs w:val="20"/>
        </w:rPr>
        <w:t>Zdroj:</w:t>
      </w:r>
      <w:r w:rsidRPr="00550E75">
        <w:rPr>
          <w:sz w:val="20"/>
          <w:szCs w:val="20"/>
        </w:rPr>
        <w:t xml:space="preserve"> zpracováno NKÚ na základě inf</w:t>
      </w:r>
      <w:r>
        <w:rPr>
          <w:sz w:val="20"/>
          <w:szCs w:val="20"/>
        </w:rPr>
        <w:t>ormací uveřejněných na webu MZe</w:t>
      </w:r>
      <w:r w:rsidR="00B86DE3">
        <w:rPr>
          <w:sz w:val="20"/>
          <w:szCs w:val="20"/>
        </w:rPr>
        <w:t>.</w:t>
      </w:r>
    </w:p>
    <w:sectPr w:rsidR="004F24F4" w:rsidRPr="00D00321" w:rsidSect="009E560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8772E" w14:textId="77777777" w:rsidR="006016FF" w:rsidRDefault="006016FF">
      <w:pPr>
        <w:spacing w:before="0"/>
      </w:pPr>
      <w:r>
        <w:separator/>
      </w:r>
    </w:p>
  </w:endnote>
  <w:endnote w:type="continuationSeparator" w:id="0">
    <w:p w14:paraId="5221542E" w14:textId="77777777" w:rsidR="006016FF" w:rsidRDefault="006016F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5E13C" w14:textId="77777777" w:rsidR="006016FF" w:rsidRDefault="006016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D8018" w14:textId="23793CE6" w:rsidR="006016FF" w:rsidRPr="001548CB" w:rsidRDefault="006016FF" w:rsidP="004F24F4">
    <w:pPr>
      <w:pStyle w:val="Zpat"/>
      <w:jc w:val="center"/>
    </w:pPr>
    <w:r w:rsidRPr="001548CB">
      <w:fldChar w:fldCharType="begin"/>
    </w:r>
    <w:r w:rsidRPr="001548CB">
      <w:instrText>PAGE   \* MERGEFORMAT</w:instrText>
    </w:r>
    <w:r w:rsidRPr="001548CB">
      <w:fldChar w:fldCharType="separate"/>
    </w:r>
    <w:r w:rsidR="00796725">
      <w:rPr>
        <w:noProof/>
      </w:rPr>
      <w:t>19</w:t>
    </w:r>
    <w:r w:rsidRPr="001548C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16D4B" w14:textId="77777777" w:rsidR="006016FF" w:rsidRDefault="006016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55DF2" w14:textId="77777777" w:rsidR="006016FF" w:rsidRDefault="006016FF" w:rsidP="004F24F4">
      <w:r>
        <w:separator/>
      </w:r>
    </w:p>
  </w:footnote>
  <w:footnote w:type="continuationSeparator" w:id="0">
    <w:p w14:paraId="50FACE94" w14:textId="77777777" w:rsidR="006016FF" w:rsidRDefault="006016FF" w:rsidP="004F24F4">
      <w:r>
        <w:continuationSeparator/>
      </w:r>
    </w:p>
  </w:footnote>
  <w:footnote w:id="1">
    <w:p w14:paraId="27FBA858" w14:textId="3718EAEA" w:rsidR="006016FF" w:rsidRDefault="006016FF" w:rsidP="0087625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Pro přepočet alokace 150 286 386 € byl použit kurz Evropské centrální banky k 29. 12. 2017: 25,535 Kč/€.</w:t>
      </w:r>
    </w:p>
  </w:footnote>
  <w:footnote w:id="2">
    <w:p w14:paraId="7C75FD46" w14:textId="6913782D" w:rsidR="006016FF" w:rsidRPr="009E560F" w:rsidRDefault="006016FF" w:rsidP="009E560F">
      <w:pPr>
        <w:spacing w:before="0"/>
        <w:ind w:left="284" w:hanging="284"/>
        <w:rPr>
          <w:sz w:val="20"/>
          <w:szCs w:val="20"/>
        </w:rPr>
      </w:pPr>
      <w:r w:rsidRPr="009E560F">
        <w:rPr>
          <w:rStyle w:val="Znakapoznpodarou"/>
          <w:sz w:val="20"/>
          <w:szCs w:val="20"/>
        </w:rPr>
        <w:footnoteRef/>
      </w:r>
      <w:r w:rsidRPr="009E560F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9E560F">
        <w:rPr>
          <w:sz w:val="20"/>
          <w:szCs w:val="20"/>
        </w:rPr>
        <w:t xml:space="preserve">Definici malých a středních podniků určuje nařízení </w:t>
      </w:r>
      <w:r>
        <w:rPr>
          <w:sz w:val="20"/>
          <w:szCs w:val="20"/>
        </w:rPr>
        <w:t xml:space="preserve">Evropské </w:t>
      </w:r>
      <w:r w:rsidRPr="009E560F">
        <w:rPr>
          <w:sz w:val="20"/>
          <w:szCs w:val="20"/>
        </w:rPr>
        <w:t>komise č. 702/2014 ze dne 25. 6. 2014.</w:t>
      </w:r>
    </w:p>
  </w:footnote>
  <w:footnote w:id="3">
    <w:p w14:paraId="5582674E" w14:textId="79A60662" w:rsidR="006016FF" w:rsidRDefault="006016FF" w:rsidP="00A44D1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proofErr w:type="spellStart"/>
      <w:r>
        <w:t>Podopatření</w:t>
      </w:r>
      <w:proofErr w:type="spellEnd"/>
      <w:r>
        <w:t xml:space="preserve"> 16.2 </w:t>
      </w:r>
      <w:r w:rsidRPr="00025666">
        <w:rPr>
          <w:i/>
        </w:rPr>
        <w:t>Podpora na pilotní projekty a podpora na vývoj nový</w:t>
      </w:r>
      <w:r>
        <w:rPr>
          <w:i/>
        </w:rPr>
        <w:t>ch produktů, postupů, procesů a </w:t>
      </w:r>
      <w:r w:rsidRPr="00025666">
        <w:rPr>
          <w:i/>
        </w:rPr>
        <w:t>technologií</w:t>
      </w:r>
      <w:r>
        <w:t xml:space="preserve"> se skládá ze dvou operací:</w:t>
      </w:r>
    </w:p>
    <w:p w14:paraId="06C2055D" w14:textId="1C8D6129" w:rsidR="006016FF" w:rsidRDefault="006016FF" w:rsidP="00A44D15">
      <w:pPr>
        <w:pStyle w:val="Textpoznpodarou"/>
        <w:numPr>
          <w:ilvl w:val="0"/>
          <w:numId w:val="38"/>
        </w:numPr>
        <w:ind w:left="567" w:hanging="283"/>
      </w:pPr>
      <w:r>
        <w:t xml:space="preserve">16.2.1 </w:t>
      </w:r>
      <w:r w:rsidRPr="00025666">
        <w:rPr>
          <w:i/>
        </w:rPr>
        <w:t>Podpora vývoje nových produktů, postupů a technologií v zemědělské prvovýrobě</w:t>
      </w:r>
      <w:r>
        <w:t>,</w:t>
      </w:r>
    </w:p>
    <w:p w14:paraId="5C547515" w14:textId="67E0EC56" w:rsidR="006016FF" w:rsidRDefault="006016FF" w:rsidP="00A44D15">
      <w:pPr>
        <w:pStyle w:val="Textpoznpodarou"/>
        <w:numPr>
          <w:ilvl w:val="0"/>
          <w:numId w:val="38"/>
        </w:numPr>
        <w:ind w:left="567" w:hanging="283"/>
      </w:pPr>
      <w:r>
        <w:t xml:space="preserve">16.2.2 </w:t>
      </w:r>
      <w:r w:rsidRPr="00025666">
        <w:rPr>
          <w:i/>
        </w:rPr>
        <w:t>Podpora vývoje nových produktů, postupů a technologií při zpracování</w:t>
      </w:r>
      <w:r>
        <w:rPr>
          <w:i/>
        </w:rPr>
        <w:t xml:space="preserve"> zemědělských</w:t>
      </w:r>
      <w:r w:rsidRPr="00025666">
        <w:rPr>
          <w:i/>
        </w:rPr>
        <w:t xml:space="preserve"> produktů a</w:t>
      </w:r>
      <w:r>
        <w:rPr>
          <w:i/>
        </w:rPr>
        <w:t> </w:t>
      </w:r>
      <w:r w:rsidRPr="00025666">
        <w:rPr>
          <w:i/>
        </w:rPr>
        <w:t>jejich uvádění na trh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80650" w14:textId="77777777" w:rsidR="006016FF" w:rsidRDefault="006016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8640" w14:textId="77777777" w:rsidR="006016FF" w:rsidRDefault="006016F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E6135" w14:textId="77777777" w:rsidR="006016FF" w:rsidRDefault="006016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34A"/>
    <w:multiLevelType w:val="multilevel"/>
    <w:tmpl w:val="62E0B972"/>
    <w:lvl w:ilvl="0">
      <w:start w:val="2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5A795B"/>
    <w:multiLevelType w:val="hybridMultilevel"/>
    <w:tmpl w:val="F2149D82"/>
    <w:lvl w:ilvl="0" w:tplc="AD4E38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41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9E8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E3D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CB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2A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0B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6A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86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57C3D"/>
    <w:multiLevelType w:val="hybridMultilevel"/>
    <w:tmpl w:val="FD2633E2"/>
    <w:lvl w:ilvl="0" w:tplc="7AF23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42D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463E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C5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08FB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F016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4673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4D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CCA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A4F97"/>
    <w:multiLevelType w:val="hybridMultilevel"/>
    <w:tmpl w:val="3A5EB7E6"/>
    <w:lvl w:ilvl="0" w:tplc="E6C6F8F0">
      <w:start w:val="1"/>
      <w:numFmt w:val="decimal"/>
      <w:lvlText w:val="%1."/>
      <w:lvlJc w:val="left"/>
      <w:pPr>
        <w:ind w:left="720" w:hanging="360"/>
      </w:pPr>
    </w:lvl>
    <w:lvl w:ilvl="1" w:tplc="BE0ECC70" w:tentative="1">
      <w:start w:val="1"/>
      <w:numFmt w:val="lowerLetter"/>
      <w:lvlText w:val="%2."/>
      <w:lvlJc w:val="left"/>
      <w:pPr>
        <w:ind w:left="1440" w:hanging="360"/>
      </w:pPr>
    </w:lvl>
    <w:lvl w:ilvl="2" w:tplc="671C3744" w:tentative="1">
      <w:start w:val="1"/>
      <w:numFmt w:val="lowerRoman"/>
      <w:lvlText w:val="%3."/>
      <w:lvlJc w:val="right"/>
      <w:pPr>
        <w:ind w:left="2160" w:hanging="180"/>
      </w:pPr>
    </w:lvl>
    <w:lvl w:ilvl="3" w:tplc="9A96F4C8" w:tentative="1">
      <w:start w:val="1"/>
      <w:numFmt w:val="decimal"/>
      <w:lvlText w:val="%4."/>
      <w:lvlJc w:val="left"/>
      <w:pPr>
        <w:ind w:left="2880" w:hanging="360"/>
      </w:pPr>
    </w:lvl>
    <w:lvl w:ilvl="4" w:tplc="4DE25020" w:tentative="1">
      <w:start w:val="1"/>
      <w:numFmt w:val="lowerLetter"/>
      <w:lvlText w:val="%5."/>
      <w:lvlJc w:val="left"/>
      <w:pPr>
        <w:ind w:left="3600" w:hanging="360"/>
      </w:pPr>
    </w:lvl>
    <w:lvl w:ilvl="5" w:tplc="3BACA872" w:tentative="1">
      <w:start w:val="1"/>
      <w:numFmt w:val="lowerRoman"/>
      <w:lvlText w:val="%6."/>
      <w:lvlJc w:val="right"/>
      <w:pPr>
        <w:ind w:left="4320" w:hanging="180"/>
      </w:pPr>
    </w:lvl>
    <w:lvl w:ilvl="6" w:tplc="A038116E" w:tentative="1">
      <w:start w:val="1"/>
      <w:numFmt w:val="decimal"/>
      <w:lvlText w:val="%7."/>
      <w:lvlJc w:val="left"/>
      <w:pPr>
        <w:ind w:left="5040" w:hanging="360"/>
      </w:pPr>
    </w:lvl>
    <w:lvl w:ilvl="7" w:tplc="EF181674" w:tentative="1">
      <w:start w:val="1"/>
      <w:numFmt w:val="lowerLetter"/>
      <w:lvlText w:val="%8."/>
      <w:lvlJc w:val="left"/>
      <w:pPr>
        <w:ind w:left="5760" w:hanging="360"/>
      </w:pPr>
    </w:lvl>
    <w:lvl w:ilvl="8" w:tplc="B2C23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94168"/>
    <w:multiLevelType w:val="hybridMultilevel"/>
    <w:tmpl w:val="50E25BA8"/>
    <w:lvl w:ilvl="0" w:tplc="972E6A24">
      <w:start w:val="1"/>
      <w:numFmt w:val="decimal"/>
      <w:lvlText w:val="%1."/>
      <w:lvlJc w:val="left"/>
      <w:pPr>
        <w:ind w:left="720" w:hanging="360"/>
      </w:pPr>
    </w:lvl>
    <w:lvl w:ilvl="1" w:tplc="400A2652" w:tentative="1">
      <w:start w:val="1"/>
      <w:numFmt w:val="lowerLetter"/>
      <w:lvlText w:val="%2."/>
      <w:lvlJc w:val="left"/>
      <w:pPr>
        <w:ind w:left="1440" w:hanging="360"/>
      </w:pPr>
    </w:lvl>
    <w:lvl w:ilvl="2" w:tplc="A47A7814" w:tentative="1">
      <w:start w:val="1"/>
      <w:numFmt w:val="lowerRoman"/>
      <w:lvlText w:val="%3."/>
      <w:lvlJc w:val="right"/>
      <w:pPr>
        <w:ind w:left="2160" w:hanging="180"/>
      </w:pPr>
    </w:lvl>
    <w:lvl w:ilvl="3" w:tplc="101A2BA6" w:tentative="1">
      <w:start w:val="1"/>
      <w:numFmt w:val="decimal"/>
      <w:lvlText w:val="%4."/>
      <w:lvlJc w:val="left"/>
      <w:pPr>
        <w:ind w:left="2880" w:hanging="360"/>
      </w:pPr>
    </w:lvl>
    <w:lvl w:ilvl="4" w:tplc="C630CDE0" w:tentative="1">
      <w:start w:val="1"/>
      <w:numFmt w:val="lowerLetter"/>
      <w:lvlText w:val="%5."/>
      <w:lvlJc w:val="left"/>
      <w:pPr>
        <w:ind w:left="3600" w:hanging="360"/>
      </w:pPr>
    </w:lvl>
    <w:lvl w:ilvl="5" w:tplc="C4429C22" w:tentative="1">
      <w:start w:val="1"/>
      <w:numFmt w:val="lowerRoman"/>
      <w:lvlText w:val="%6."/>
      <w:lvlJc w:val="right"/>
      <w:pPr>
        <w:ind w:left="4320" w:hanging="180"/>
      </w:pPr>
    </w:lvl>
    <w:lvl w:ilvl="6" w:tplc="355EB318" w:tentative="1">
      <w:start w:val="1"/>
      <w:numFmt w:val="decimal"/>
      <w:lvlText w:val="%7."/>
      <w:lvlJc w:val="left"/>
      <w:pPr>
        <w:ind w:left="5040" w:hanging="360"/>
      </w:pPr>
    </w:lvl>
    <w:lvl w:ilvl="7" w:tplc="11B83C74" w:tentative="1">
      <w:start w:val="1"/>
      <w:numFmt w:val="lowerLetter"/>
      <w:lvlText w:val="%8."/>
      <w:lvlJc w:val="left"/>
      <w:pPr>
        <w:ind w:left="5760" w:hanging="360"/>
      </w:pPr>
    </w:lvl>
    <w:lvl w:ilvl="8" w:tplc="7CD6A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E5711"/>
    <w:multiLevelType w:val="hybridMultilevel"/>
    <w:tmpl w:val="C51A3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E09C5"/>
    <w:multiLevelType w:val="hybridMultilevel"/>
    <w:tmpl w:val="E87A42FE"/>
    <w:lvl w:ilvl="0" w:tplc="82C66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44ED22" w:tentative="1">
      <w:start w:val="1"/>
      <w:numFmt w:val="lowerLetter"/>
      <w:lvlText w:val="%2."/>
      <w:lvlJc w:val="left"/>
      <w:pPr>
        <w:ind w:left="1440" w:hanging="360"/>
      </w:pPr>
    </w:lvl>
    <w:lvl w:ilvl="2" w:tplc="D7929D0E" w:tentative="1">
      <w:start w:val="1"/>
      <w:numFmt w:val="lowerRoman"/>
      <w:lvlText w:val="%3."/>
      <w:lvlJc w:val="right"/>
      <w:pPr>
        <w:ind w:left="2160" w:hanging="180"/>
      </w:pPr>
    </w:lvl>
    <w:lvl w:ilvl="3" w:tplc="8DD479F8" w:tentative="1">
      <w:start w:val="1"/>
      <w:numFmt w:val="decimal"/>
      <w:lvlText w:val="%4."/>
      <w:lvlJc w:val="left"/>
      <w:pPr>
        <w:ind w:left="2880" w:hanging="360"/>
      </w:pPr>
    </w:lvl>
    <w:lvl w:ilvl="4" w:tplc="83CE10D4" w:tentative="1">
      <w:start w:val="1"/>
      <w:numFmt w:val="lowerLetter"/>
      <w:lvlText w:val="%5."/>
      <w:lvlJc w:val="left"/>
      <w:pPr>
        <w:ind w:left="3600" w:hanging="360"/>
      </w:pPr>
    </w:lvl>
    <w:lvl w:ilvl="5" w:tplc="1C100DFC" w:tentative="1">
      <w:start w:val="1"/>
      <w:numFmt w:val="lowerRoman"/>
      <w:lvlText w:val="%6."/>
      <w:lvlJc w:val="right"/>
      <w:pPr>
        <w:ind w:left="4320" w:hanging="180"/>
      </w:pPr>
    </w:lvl>
    <w:lvl w:ilvl="6" w:tplc="EC1C83A4" w:tentative="1">
      <w:start w:val="1"/>
      <w:numFmt w:val="decimal"/>
      <w:lvlText w:val="%7."/>
      <w:lvlJc w:val="left"/>
      <w:pPr>
        <w:ind w:left="5040" w:hanging="360"/>
      </w:pPr>
    </w:lvl>
    <w:lvl w:ilvl="7" w:tplc="C240AC82" w:tentative="1">
      <w:start w:val="1"/>
      <w:numFmt w:val="lowerLetter"/>
      <w:lvlText w:val="%8."/>
      <w:lvlJc w:val="left"/>
      <w:pPr>
        <w:ind w:left="5760" w:hanging="360"/>
      </w:pPr>
    </w:lvl>
    <w:lvl w:ilvl="8" w:tplc="9754D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B1D68"/>
    <w:multiLevelType w:val="hybridMultilevel"/>
    <w:tmpl w:val="A352EA96"/>
    <w:lvl w:ilvl="0" w:tplc="7C60D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E85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EEE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D26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6F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60C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0A0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25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769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81697"/>
    <w:multiLevelType w:val="hybridMultilevel"/>
    <w:tmpl w:val="A3D816BE"/>
    <w:lvl w:ilvl="0" w:tplc="6E704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EC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102F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883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83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24A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885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9AD4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CA6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23742"/>
    <w:multiLevelType w:val="hybridMultilevel"/>
    <w:tmpl w:val="484CDE96"/>
    <w:lvl w:ilvl="0" w:tplc="2C7CD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235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9D6C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886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240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8A2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EF4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A51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526A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052F5"/>
    <w:multiLevelType w:val="hybridMultilevel"/>
    <w:tmpl w:val="F2487A56"/>
    <w:lvl w:ilvl="0" w:tplc="20B8749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86C013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DCAC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08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29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C3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A9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9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A802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73F29"/>
    <w:multiLevelType w:val="hybridMultilevel"/>
    <w:tmpl w:val="4AC4B50E"/>
    <w:lvl w:ilvl="0" w:tplc="1B947682">
      <w:start w:val="1"/>
      <w:numFmt w:val="decimal"/>
      <w:lvlText w:val="%1."/>
      <w:lvlJc w:val="left"/>
      <w:pPr>
        <w:ind w:left="720" w:hanging="360"/>
      </w:pPr>
    </w:lvl>
    <w:lvl w:ilvl="1" w:tplc="DA187E84" w:tentative="1">
      <w:start w:val="1"/>
      <w:numFmt w:val="lowerLetter"/>
      <w:lvlText w:val="%2."/>
      <w:lvlJc w:val="left"/>
      <w:pPr>
        <w:ind w:left="1440" w:hanging="360"/>
      </w:pPr>
    </w:lvl>
    <w:lvl w:ilvl="2" w:tplc="EB2EDF0A" w:tentative="1">
      <w:start w:val="1"/>
      <w:numFmt w:val="lowerRoman"/>
      <w:lvlText w:val="%3."/>
      <w:lvlJc w:val="right"/>
      <w:pPr>
        <w:ind w:left="2160" w:hanging="180"/>
      </w:pPr>
    </w:lvl>
    <w:lvl w:ilvl="3" w:tplc="2FBA6922" w:tentative="1">
      <w:start w:val="1"/>
      <w:numFmt w:val="decimal"/>
      <w:lvlText w:val="%4."/>
      <w:lvlJc w:val="left"/>
      <w:pPr>
        <w:ind w:left="2880" w:hanging="360"/>
      </w:pPr>
    </w:lvl>
    <w:lvl w:ilvl="4" w:tplc="C25611FE" w:tentative="1">
      <w:start w:val="1"/>
      <w:numFmt w:val="lowerLetter"/>
      <w:lvlText w:val="%5."/>
      <w:lvlJc w:val="left"/>
      <w:pPr>
        <w:ind w:left="3600" w:hanging="360"/>
      </w:pPr>
    </w:lvl>
    <w:lvl w:ilvl="5" w:tplc="C12A11A6" w:tentative="1">
      <w:start w:val="1"/>
      <w:numFmt w:val="lowerRoman"/>
      <w:lvlText w:val="%6."/>
      <w:lvlJc w:val="right"/>
      <w:pPr>
        <w:ind w:left="4320" w:hanging="180"/>
      </w:pPr>
    </w:lvl>
    <w:lvl w:ilvl="6" w:tplc="75F6B7F6" w:tentative="1">
      <w:start w:val="1"/>
      <w:numFmt w:val="decimal"/>
      <w:lvlText w:val="%7."/>
      <w:lvlJc w:val="left"/>
      <w:pPr>
        <w:ind w:left="5040" w:hanging="360"/>
      </w:pPr>
    </w:lvl>
    <w:lvl w:ilvl="7" w:tplc="DD00C41A" w:tentative="1">
      <w:start w:val="1"/>
      <w:numFmt w:val="lowerLetter"/>
      <w:lvlText w:val="%8."/>
      <w:lvlJc w:val="left"/>
      <w:pPr>
        <w:ind w:left="5760" w:hanging="360"/>
      </w:pPr>
    </w:lvl>
    <w:lvl w:ilvl="8" w:tplc="ADF41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06392"/>
    <w:multiLevelType w:val="hybridMultilevel"/>
    <w:tmpl w:val="1FE86204"/>
    <w:lvl w:ilvl="0" w:tplc="D4F2C5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ABC9ADE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7C2D0F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72280C3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6FC40E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5FA935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7B944242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73281F08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CECCE8A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32432CD"/>
    <w:multiLevelType w:val="hybridMultilevel"/>
    <w:tmpl w:val="49C43F80"/>
    <w:lvl w:ilvl="0" w:tplc="472CB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A4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8203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2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0A6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E2E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E63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167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AC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25239"/>
    <w:multiLevelType w:val="multilevel"/>
    <w:tmpl w:val="62E0B972"/>
    <w:lvl w:ilvl="0">
      <w:start w:val="2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8E13FB2"/>
    <w:multiLevelType w:val="hybridMultilevel"/>
    <w:tmpl w:val="50E25BA8"/>
    <w:lvl w:ilvl="0" w:tplc="81F65A5C">
      <w:start w:val="1"/>
      <w:numFmt w:val="decimal"/>
      <w:lvlText w:val="%1."/>
      <w:lvlJc w:val="left"/>
      <w:pPr>
        <w:ind w:left="720" w:hanging="360"/>
      </w:pPr>
    </w:lvl>
    <w:lvl w:ilvl="1" w:tplc="E7A07B86" w:tentative="1">
      <w:start w:val="1"/>
      <w:numFmt w:val="lowerLetter"/>
      <w:lvlText w:val="%2."/>
      <w:lvlJc w:val="left"/>
      <w:pPr>
        <w:ind w:left="1440" w:hanging="360"/>
      </w:pPr>
    </w:lvl>
    <w:lvl w:ilvl="2" w:tplc="244850C4" w:tentative="1">
      <w:start w:val="1"/>
      <w:numFmt w:val="lowerRoman"/>
      <w:lvlText w:val="%3."/>
      <w:lvlJc w:val="right"/>
      <w:pPr>
        <w:ind w:left="2160" w:hanging="180"/>
      </w:pPr>
    </w:lvl>
    <w:lvl w:ilvl="3" w:tplc="F8B2832C" w:tentative="1">
      <w:start w:val="1"/>
      <w:numFmt w:val="decimal"/>
      <w:lvlText w:val="%4."/>
      <w:lvlJc w:val="left"/>
      <w:pPr>
        <w:ind w:left="2880" w:hanging="360"/>
      </w:pPr>
    </w:lvl>
    <w:lvl w:ilvl="4" w:tplc="C688DF1C" w:tentative="1">
      <w:start w:val="1"/>
      <w:numFmt w:val="lowerLetter"/>
      <w:lvlText w:val="%5."/>
      <w:lvlJc w:val="left"/>
      <w:pPr>
        <w:ind w:left="3600" w:hanging="360"/>
      </w:pPr>
    </w:lvl>
    <w:lvl w:ilvl="5" w:tplc="F21A668E" w:tentative="1">
      <w:start w:val="1"/>
      <w:numFmt w:val="lowerRoman"/>
      <w:lvlText w:val="%6."/>
      <w:lvlJc w:val="right"/>
      <w:pPr>
        <w:ind w:left="4320" w:hanging="180"/>
      </w:pPr>
    </w:lvl>
    <w:lvl w:ilvl="6" w:tplc="AE7E92A2" w:tentative="1">
      <w:start w:val="1"/>
      <w:numFmt w:val="decimal"/>
      <w:lvlText w:val="%7."/>
      <w:lvlJc w:val="left"/>
      <w:pPr>
        <w:ind w:left="5040" w:hanging="360"/>
      </w:pPr>
    </w:lvl>
    <w:lvl w:ilvl="7" w:tplc="D4321958" w:tentative="1">
      <w:start w:val="1"/>
      <w:numFmt w:val="lowerLetter"/>
      <w:lvlText w:val="%8."/>
      <w:lvlJc w:val="left"/>
      <w:pPr>
        <w:ind w:left="5760" w:hanging="360"/>
      </w:pPr>
    </w:lvl>
    <w:lvl w:ilvl="8" w:tplc="A2727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A5768"/>
    <w:multiLevelType w:val="hybridMultilevel"/>
    <w:tmpl w:val="DFA8CFFA"/>
    <w:lvl w:ilvl="0" w:tplc="589A71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674D2"/>
    <w:multiLevelType w:val="hybridMultilevel"/>
    <w:tmpl w:val="EF460DF2"/>
    <w:lvl w:ilvl="0" w:tplc="D2685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23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C9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A2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D830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AA41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A22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D27D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FA45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6F6D"/>
    <w:multiLevelType w:val="hybridMultilevel"/>
    <w:tmpl w:val="049C581C"/>
    <w:lvl w:ilvl="0" w:tplc="0510B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844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87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21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FC9E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06D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0BF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E99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8CE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F269C"/>
    <w:multiLevelType w:val="hybridMultilevel"/>
    <w:tmpl w:val="C7D4BE92"/>
    <w:lvl w:ilvl="0" w:tplc="FD52BE2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4F81BD"/>
      </w:rPr>
    </w:lvl>
    <w:lvl w:ilvl="1" w:tplc="A7B20336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A5C94DC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D2323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7A36E88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9B61F70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E763AFC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58EE28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01818B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4D027B2"/>
    <w:multiLevelType w:val="hybridMultilevel"/>
    <w:tmpl w:val="06AAFCCA"/>
    <w:lvl w:ilvl="0" w:tplc="14EAC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BE54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613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C1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AE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347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B01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0FF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505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D771B"/>
    <w:multiLevelType w:val="hybridMultilevel"/>
    <w:tmpl w:val="4BA2102C"/>
    <w:lvl w:ilvl="0" w:tplc="E94CA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7CAB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60C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64C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68D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4622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2C0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E4AE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8EB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32D42"/>
    <w:multiLevelType w:val="hybridMultilevel"/>
    <w:tmpl w:val="EB1C3308"/>
    <w:lvl w:ilvl="0" w:tplc="9FD09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225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D27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9A32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6CC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C012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41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C9F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646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30547"/>
    <w:multiLevelType w:val="multilevel"/>
    <w:tmpl w:val="6B48288C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201384E"/>
    <w:multiLevelType w:val="hybridMultilevel"/>
    <w:tmpl w:val="641C1686"/>
    <w:lvl w:ilvl="0" w:tplc="60621BD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4F81BD"/>
      </w:rPr>
    </w:lvl>
    <w:lvl w:ilvl="1" w:tplc="9E6AEFA6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29A9E9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13E788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AE5C954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EB90BC1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D9453C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B2EB6E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C9C743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3036DD0"/>
    <w:multiLevelType w:val="hybridMultilevel"/>
    <w:tmpl w:val="21B6C868"/>
    <w:lvl w:ilvl="0" w:tplc="C4989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E4AC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56CF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82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D20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42B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4D9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76DB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E24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D537D"/>
    <w:multiLevelType w:val="hybridMultilevel"/>
    <w:tmpl w:val="3B0A538A"/>
    <w:lvl w:ilvl="0" w:tplc="3FD64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8B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6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88D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0CD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92B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69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0C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0C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574FC"/>
    <w:multiLevelType w:val="hybridMultilevel"/>
    <w:tmpl w:val="5CE4224E"/>
    <w:lvl w:ilvl="0" w:tplc="4E4AC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A8F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E5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9EFC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41F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B23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B01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DAA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0C0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E75331"/>
    <w:multiLevelType w:val="hybridMultilevel"/>
    <w:tmpl w:val="A26EF0E8"/>
    <w:lvl w:ilvl="0" w:tplc="9118E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8C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9A54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8C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A5D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A3C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6B2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AA9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B260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47DA2"/>
    <w:multiLevelType w:val="hybridMultilevel"/>
    <w:tmpl w:val="7F7AD53C"/>
    <w:lvl w:ilvl="0" w:tplc="B60A5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FC226F0" w:tentative="1">
      <w:start w:val="1"/>
      <w:numFmt w:val="lowerLetter"/>
      <w:lvlText w:val="%2."/>
      <w:lvlJc w:val="left"/>
      <w:pPr>
        <w:ind w:left="1440" w:hanging="360"/>
      </w:pPr>
    </w:lvl>
    <w:lvl w:ilvl="2" w:tplc="166683F6" w:tentative="1">
      <w:start w:val="1"/>
      <w:numFmt w:val="lowerRoman"/>
      <w:lvlText w:val="%3."/>
      <w:lvlJc w:val="right"/>
      <w:pPr>
        <w:ind w:left="2160" w:hanging="180"/>
      </w:pPr>
    </w:lvl>
    <w:lvl w:ilvl="3" w:tplc="0AD28844" w:tentative="1">
      <w:start w:val="1"/>
      <w:numFmt w:val="decimal"/>
      <w:lvlText w:val="%4."/>
      <w:lvlJc w:val="left"/>
      <w:pPr>
        <w:ind w:left="2880" w:hanging="360"/>
      </w:pPr>
    </w:lvl>
    <w:lvl w:ilvl="4" w:tplc="3AA4EE5A" w:tentative="1">
      <w:start w:val="1"/>
      <w:numFmt w:val="lowerLetter"/>
      <w:lvlText w:val="%5."/>
      <w:lvlJc w:val="left"/>
      <w:pPr>
        <w:ind w:left="3600" w:hanging="360"/>
      </w:pPr>
    </w:lvl>
    <w:lvl w:ilvl="5" w:tplc="B14C5CBA" w:tentative="1">
      <w:start w:val="1"/>
      <w:numFmt w:val="lowerRoman"/>
      <w:lvlText w:val="%6."/>
      <w:lvlJc w:val="right"/>
      <w:pPr>
        <w:ind w:left="4320" w:hanging="180"/>
      </w:pPr>
    </w:lvl>
    <w:lvl w:ilvl="6" w:tplc="B1163B56" w:tentative="1">
      <w:start w:val="1"/>
      <w:numFmt w:val="decimal"/>
      <w:lvlText w:val="%7."/>
      <w:lvlJc w:val="left"/>
      <w:pPr>
        <w:ind w:left="5040" w:hanging="360"/>
      </w:pPr>
    </w:lvl>
    <w:lvl w:ilvl="7" w:tplc="ADB81D38" w:tentative="1">
      <w:start w:val="1"/>
      <w:numFmt w:val="lowerLetter"/>
      <w:lvlText w:val="%8."/>
      <w:lvlJc w:val="left"/>
      <w:pPr>
        <w:ind w:left="5760" w:hanging="360"/>
      </w:pPr>
    </w:lvl>
    <w:lvl w:ilvl="8" w:tplc="610ED8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E4136"/>
    <w:multiLevelType w:val="multilevel"/>
    <w:tmpl w:val="DCD690BA"/>
    <w:lvl w:ilvl="0">
      <w:start w:val="1"/>
      <w:numFmt w:val="decimal"/>
      <w:pStyle w:val="Nadpis2"/>
      <w:lvlText w:val="%1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pStyle w:val="Nadpis3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4"/>
      <w:isLgl/>
      <w:lvlText w:val="%1.%2.%3"/>
      <w:lvlJc w:val="left"/>
      <w:pPr>
        <w:ind w:left="1440" w:hanging="108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EE4AB4"/>
    <w:multiLevelType w:val="hybridMultilevel"/>
    <w:tmpl w:val="591AD1CA"/>
    <w:lvl w:ilvl="0" w:tplc="D1261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8BB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E53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2E2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81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2B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E06D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94D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FE9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E032D"/>
    <w:multiLevelType w:val="hybridMultilevel"/>
    <w:tmpl w:val="E6FE22D8"/>
    <w:lvl w:ilvl="0" w:tplc="2E561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E64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663B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A07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49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B62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44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E0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F8CF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36436A"/>
    <w:multiLevelType w:val="hybridMultilevel"/>
    <w:tmpl w:val="867227F6"/>
    <w:lvl w:ilvl="0" w:tplc="8D522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569C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00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AC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3CA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FA4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C42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8D0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E5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C224D1"/>
    <w:multiLevelType w:val="hybridMultilevel"/>
    <w:tmpl w:val="38BC0960"/>
    <w:lvl w:ilvl="0" w:tplc="0518B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0C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837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282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141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8C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E7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0A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EA99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14FB3"/>
    <w:multiLevelType w:val="hybridMultilevel"/>
    <w:tmpl w:val="A948A192"/>
    <w:lvl w:ilvl="0" w:tplc="9BF8EB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92D050"/>
      </w:rPr>
    </w:lvl>
    <w:lvl w:ilvl="1" w:tplc="F0267A80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8C2B23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D50CDDA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EC0107C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DA3A642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44AED1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340D5E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890EA1C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BE6944"/>
    <w:multiLevelType w:val="multilevel"/>
    <w:tmpl w:val="62E0B972"/>
    <w:lvl w:ilvl="0">
      <w:start w:val="2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C7153EF"/>
    <w:multiLevelType w:val="hybridMultilevel"/>
    <w:tmpl w:val="A448E992"/>
    <w:lvl w:ilvl="0" w:tplc="76F63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9A40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6B4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2B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CB7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C47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264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4D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98F2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00CC6"/>
    <w:multiLevelType w:val="hybridMultilevel"/>
    <w:tmpl w:val="75F0EF94"/>
    <w:lvl w:ilvl="0" w:tplc="24C879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682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4F1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F0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C45A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08E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C3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E0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604E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14"/>
  </w:num>
  <w:num w:numId="4">
    <w:abstractNumId w:val="0"/>
  </w:num>
  <w:num w:numId="5">
    <w:abstractNumId w:val="28"/>
  </w:num>
  <w:num w:numId="6">
    <w:abstractNumId w:val="12"/>
  </w:num>
  <w:num w:numId="7">
    <w:abstractNumId w:val="23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2"/>
  </w:num>
  <w:num w:numId="11">
    <w:abstractNumId w:val="26"/>
  </w:num>
  <w:num w:numId="12">
    <w:abstractNumId w:val="37"/>
  </w:num>
  <w:num w:numId="13">
    <w:abstractNumId w:val="34"/>
  </w:num>
  <w:num w:numId="14">
    <w:abstractNumId w:val="18"/>
  </w:num>
  <w:num w:numId="15">
    <w:abstractNumId w:val="9"/>
  </w:num>
  <w:num w:numId="16">
    <w:abstractNumId w:val="32"/>
  </w:num>
  <w:num w:numId="17">
    <w:abstractNumId w:val="22"/>
  </w:num>
  <w:num w:numId="18">
    <w:abstractNumId w:val="8"/>
  </w:num>
  <w:num w:numId="19">
    <w:abstractNumId w:val="24"/>
  </w:num>
  <w:num w:numId="20">
    <w:abstractNumId w:val="35"/>
  </w:num>
  <w:num w:numId="21">
    <w:abstractNumId w:val="19"/>
  </w:num>
  <w:num w:numId="22">
    <w:abstractNumId w:val="31"/>
  </w:num>
  <w:num w:numId="23">
    <w:abstractNumId w:val="25"/>
  </w:num>
  <w:num w:numId="24">
    <w:abstractNumId w:val="20"/>
  </w:num>
  <w:num w:numId="25">
    <w:abstractNumId w:val="38"/>
  </w:num>
  <w:num w:numId="26">
    <w:abstractNumId w:val="21"/>
  </w:num>
  <w:num w:numId="27">
    <w:abstractNumId w:val="13"/>
  </w:num>
  <w:num w:numId="28">
    <w:abstractNumId w:val="1"/>
  </w:num>
  <w:num w:numId="29">
    <w:abstractNumId w:val="33"/>
  </w:num>
  <w:num w:numId="30">
    <w:abstractNumId w:val="11"/>
  </w:num>
  <w:num w:numId="31">
    <w:abstractNumId w:val="29"/>
  </w:num>
  <w:num w:numId="32">
    <w:abstractNumId w:val="3"/>
  </w:num>
  <w:num w:numId="33">
    <w:abstractNumId w:val="6"/>
  </w:num>
  <w:num w:numId="34">
    <w:abstractNumId w:val="17"/>
  </w:num>
  <w:num w:numId="35">
    <w:abstractNumId w:val="15"/>
  </w:num>
  <w:num w:numId="36">
    <w:abstractNumId w:val="10"/>
  </w:num>
  <w:num w:numId="37">
    <w:abstractNumId w:val="4"/>
  </w:num>
  <w:num w:numId="38">
    <w:abstractNumId w:val="27"/>
  </w:num>
  <w:num w:numId="39">
    <w:abstractNumId w:val="5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BC"/>
    <w:rsid w:val="00043624"/>
    <w:rsid w:val="00045102"/>
    <w:rsid w:val="0008286C"/>
    <w:rsid w:val="000C0952"/>
    <w:rsid w:val="000F0C7D"/>
    <w:rsid w:val="001073FB"/>
    <w:rsid w:val="00133772"/>
    <w:rsid w:val="00155AB2"/>
    <w:rsid w:val="00164DD3"/>
    <w:rsid w:val="00173FEE"/>
    <w:rsid w:val="001B051B"/>
    <w:rsid w:val="001D1E66"/>
    <w:rsid w:val="001D62F8"/>
    <w:rsid w:val="002235EC"/>
    <w:rsid w:val="002630CA"/>
    <w:rsid w:val="00264856"/>
    <w:rsid w:val="00270079"/>
    <w:rsid w:val="0027466B"/>
    <w:rsid w:val="00275306"/>
    <w:rsid w:val="00284DD9"/>
    <w:rsid w:val="002978B2"/>
    <w:rsid w:val="002A33FF"/>
    <w:rsid w:val="002C6BB9"/>
    <w:rsid w:val="002F14E3"/>
    <w:rsid w:val="00301A7F"/>
    <w:rsid w:val="00302DF9"/>
    <w:rsid w:val="00313551"/>
    <w:rsid w:val="003137CD"/>
    <w:rsid w:val="00323B63"/>
    <w:rsid w:val="0034547D"/>
    <w:rsid w:val="003732E1"/>
    <w:rsid w:val="0037671A"/>
    <w:rsid w:val="0038393C"/>
    <w:rsid w:val="003B5FB8"/>
    <w:rsid w:val="003C27D4"/>
    <w:rsid w:val="003F32B0"/>
    <w:rsid w:val="0040548C"/>
    <w:rsid w:val="00410DF4"/>
    <w:rsid w:val="00413FFD"/>
    <w:rsid w:val="0045600B"/>
    <w:rsid w:val="00472A7E"/>
    <w:rsid w:val="00474E76"/>
    <w:rsid w:val="004762E2"/>
    <w:rsid w:val="00490EA3"/>
    <w:rsid w:val="00492099"/>
    <w:rsid w:val="00492723"/>
    <w:rsid w:val="004A0C3B"/>
    <w:rsid w:val="004D1538"/>
    <w:rsid w:val="004F24F4"/>
    <w:rsid w:val="005025BC"/>
    <w:rsid w:val="00524F9F"/>
    <w:rsid w:val="00540DE2"/>
    <w:rsid w:val="00552395"/>
    <w:rsid w:val="00563F14"/>
    <w:rsid w:val="00567C98"/>
    <w:rsid w:val="00573CBE"/>
    <w:rsid w:val="005A5160"/>
    <w:rsid w:val="005A57ED"/>
    <w:rsid w:val="005B5DEB"/>
    <w:rsid w:val="005C6044"/>
    <w:rsid w:val="005C6DA7"/>
    <w:rsid w:val="005F4CCC"/>
    <w:rsid w:val="005F629C"/>
    <w:rsid w:val="006016FF"/>
    <w:rsid w:val="006169C2"/>
    <w:rsid w:val="00617FAB"/>
    <w:rsid w:val="00622A55"/>
    <w:rsid w:val="00645592"/>
    <w:rsid w:val="00665C11"/>
    <w:rsid w:val="00693C99"/>
    <w:rsid w:val="0069426D"/>
    <w:rsid w:val="006A4606"/>
    <w:rsid w:val="006A7427"/>
    <w:rsid w:val="006A7DC6"/>
    <w:rsid w:val="006B0BFA"/>
    <w:rsid w:val="006D07DB"/>
    <w:rsid w:val="006E12B0"/>
    <w:rsid w:val="006E2C20"/>
    <w:rsid w:val="006E474C"/>
    <w:rsid w:val="006F1236"/>
    <w:rsid w:val="00717DE1"/>
    <w:rsid w:val="007414E1"/>
    <w:rsid w:val="00743E0C"/>
    <w:rsid w:val="00774155"/>
    <w:rsid w:val="00783E6C"/>
    <w:rsid w:val="00785515"/>
    <w:rsid w:val="00796725"/>
    <w:rsid w:val="007A0987"/>
    <w:rsid w:val="007B1B0A"/>
    <w:rsid w:val="007C2E96"/>
    <w:rsid w:val="007E09A2"/>
    <w:rsid w:val="007E500B"/>
    <w:rsid w:val="00810D3F"/>
    <w:rsid w:val="00820E30"/>
    <w:rsid w:val="0083176E"/>
    <w:rsid w:val="0083787F"/>
    <w:rsid w:val="00876251"/>
    <w:rsid w:val="008D6FE3"/>
    <w:rsid w:val="008E1C29"/>
    <w:rsid w:val="008E67E6"/>
    <w:rsid w:val="008E7589"/>
    <w:rsid w:val="00946D07"/>
    <w:rsid w:val="009600C7"/>
    <w:rsid w:val="00996F5D"/>
    <w:rsid w:val="009A0A54"/>
    <w:rsid w:val="009B70CC"/>
    <w:rsid w:val="009B7CCD"/>
    <w:rsid w:val="009C09F3"/>
    <w:rsid w:val="009C0AC2"/>
    <w:rsid w:val="009C4A35"/>
    <w:rsid w:val="009D25BF"/>
    <w:rsid w:val="009E1089"/>
    <w:rsid w:val="009E560F"/>
    <w:rsid w:val="00A14D45"/>
    <w:rsid w:val="00A16DDE"/>
    <w:rsid w:val="00A32BE9"/>
    <w:rsid w:val="00A44D15"/>
    <w:rsid w:val="00A54489"/>
    <w:rsid w:val="00A55042"/>
    <w:rsid w:val="00A7526C"/>
    <w:rsid w:val="00A76C37"/>
    <w:rsid w:val="00AA301F"/>
    <w:rsid w:val="00AB485F"/>
    <w:rsid w:val="00AC1EBC"/>
    <w:rsid w:val="00AD78F3"/>
    <w:rsid w:val="00B24888"/>
    <w:rsid w:val="00B26FBD"/>
    <w:rsid w:val="00B37660"/>
    <w:rsid w:val="00B41BE0"/>
    <w:rsid w:val="00B45BBC"/>
    <w:rsid w:val="00B86DE3"/>
    <w:rsid w:val="00BA28A9"/>
    <w:rsid w:val="00BA4DAA"/>
    <w:rsid w:val="00BB3A3A"/>
    <w:rsid w:val="00BB5DEA"/>
    <w:rsid w:val="00BF2107"/>
    <w:rsid w:val="00C00D3B"/>
    <w:rsid w:val="00C04D72"/>
    <w:rsid w:val="00C12362"/>
    <w:rsid w:val="00C45E35"/>
    <w:rsid w:val="00C644F5"/>
    <w:rsid w:val="00C72DEC"/>
    <w:rsid w:val="00C77473"/>
    <w:rsid w:val="00C82631"/>
    <w:rsid w:val="00C87142"/>
    <w:rsid w:val="00C91EF2"/>
    <w:rsid w:val="00CE6CD2"/>
    <w:rsid w:val="00CE7CFC"/>
    <w:rsid w:val="00CF3BBD"/>
    <w:rsid w:val="00D00321"/>
    <w:rsid w:val="00D12A8A"/>
    <w:rsid w:val="00D2068A"/>
    <w:rsid w:val="00D226E1"/>
    <w:rsid w:val="00D25CEA"/>
    <w:rsid w:val="00D36097"/>
    <w:rsid w:val="00D524C0"/>
    <w:rsid w:val="00D53AA8"/>
    <w:rsid w:val="00D53D7C"/>
    <w:rsid w:val="00D91D0B"/>
    <w:rsid w:val="00DB0723"/>
    <w:rsid w:val="00DD5878"/>
    <w:rsid w:val="00DE627E"/>
    <w:rsid w:val="00DF4A5A"/>
    <w:rsid w:val="00E1091A"/>
    <w:rsid w:val="00E20949"/>
    <w:rsid w:val="00E27078"/>
    <w:rsid w:val="00E368FD"/>
    <w:rsid w:val="00E4469E"/>
    <w:rsid w:val="00E46A53"/>
    <w:rsid w:val="00E6159B"/>
    <w:rsid w:val="00E65499"/>
    <w:rsid w:val="00E72FD2"/>
    <w:rsid w:val="00E94616"/>
    <w:rsid w:val="00E9564B"/>
    <w:rsid w:val="00EA2856"/>
    <w:rsid w:val="00EB620D"/>
    <w:rsid w:val="00ED685F"/>
    <w:rsid w:val="00EE2BDB"/>
    <w:rsid w:val="00F04B56"/>
    <w:rsid w:val="00F0790C"/>
    <w:rsid w:val="00F17863"/>
    <w:rsid w:val="00F41854"/>
    <w:rsid w:val="00F741D9"/>
    <w:rsid w:val="00F824B3"/>
    <w:rsid w:val="00FE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C93D3"/>
  <w15:docId w15:val="{63606A11-D4EC-4A1A-8380-4E7E05AC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7660"/>
    <w:pPr>
      <w:spacing w:before="120"/>
      <w:jc w:val="both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10177B"/>
    <w:pPr>
      <w:keepNext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link w:val="Nadpis2Char"/>
    <w:qFormat/>
    <w:rsid w:val="00AB0657"/>
    <w:pPr>
      <w:numPr>
        <w:numId w:val="1"/>
      </w:numPr>
      <w:ind w:hanging="720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rsid w:val="00EE20B8"/>
    <w:pPr>
      <w:numPr>
        <w:ilvl w:val="1"/>
        <w:numId w:val="1"/>
      </w:numPr>
      <w:ind w:hanging="720"/>
      <w:outlineLvl w:val="2"/>
    </w:pPr>
    <w:rPr>
      <w:b/>
    </w:rPr>
  </w:style>
  <w:style w:type="paragraph" w:styleId="Nadpis4">
    <w:name w:val="heading 4"/>
    <w:basedOn w:val="Odstavecseseznamem"/>
    <w:next w:val="Normln"/>
    <w:qFormat/>
    <w:rsid w:val="00EE20B8"/>
    <w:pPr>
      <w:numPr>
        <w:ilvl w:val="2"/>
        <w:numId w:val="1"/>
      </w:numPr>
      <w:spacing w:after="160"/>
      <w:ind w:left="1434" w:hanging="1434"/>
      <w:jc w:val="left"/>
      <w:outlineLvl w:val="3"/>
    </w:pPr>
  </w:style>
  <w:style w:type="paragraph" w:styleId="Nadpis5">
    <w:name w:val="heading 5"/>
    <w:basedOn w:val="Normln"/>
    <w:next w:val="Normln"/>
    <w:qFormat/>
    <w:rsid w:val="00FC2455"/>
    <w:pPr>
      <w:keepNext/>
      <w:outlineLvl w:val="4"/>
    </w:pPr>
    <w:rPr>
      <w:b/>
      <w:bCs/>
      <w:color w:val="0000FF"/>
      <w:sz w:val="28"/>
    </w:rPr>
  </w:style>
  <w:style w:type="paragraph" w:styleId="Nadpis6">
    <w:name w:val="heading 6"/>
    <w:basedOn w:val="Normln"/>
    <w:next w:val="Normln"/>
    <w:qFormat/>
    <w:rsid w:val="00FC2455"/>
    <w:pPr>
      <w:keepNext/>
      <w:spacing w:before="360"/>
      <w:ind w:firstLine="357"/>
      <w:jc w:val="center"/>
      <w:outlineLvl w:val="5"/>
    </w:pPr>
    <w:rPr>
      <w:rFonts w:ascii="Arial" w:hAnsi="Arial" w:cs="Arial"/>
      <w:b/>
      <w:bCs/>
      <w:sz w:val="28"/>
    </w:rPr>
  </w:style>
  <w:style w:type="paragraph" w:styleId="Nadpis7">
    <w:name w:val="heading 7"/>
    <w:basedOn w:val="Normln"/>
    <w:next w:val="Normln"/>
    <w:qFormat/>
    <w:rsid w:val="00FC2455"/>
    <w:pPr>
      <w:keepNext/>
      <w:ind w:firstLine="540"/>
      <w:outlineLvl w:val="6"/>
    </w:pPr>
    <w:rPr>
      <w:b/>
      <w:bCs/>
      <w:color w:val="0000F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6EB"/>
    <w:pPr>
      <w:spacing w:before="240" w:after="60"/>
      <w:outlineLvl w:val="7"/>
    </w:pPr>
    <w:rPr>
      <w:rFonts w:cs="Times New Roman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KZ">
    <w:name w:val="Číslo KZ"/>
    <w:basedOn w:val="Normln"/>
    <w:rsid w:val="00FC2455"/>
    <w:rPr>
      <w:b/>
      <w:bCs/>
      <w:sz w:val="32"/>
      <w:lang w:eastAsia="cs-CZ"/>
    </w:rPr>
  </w:style>
  <w:style w:type="paragraph" w:customStyle="1" w:styleId="odsazen">
    <w:name w:val="odsazený"/>
    <w:basedOn w:val="Normln"/>
    <w:rsid w:val="00FC2455"/>
    <w:pPr>
      <w:ind w:firstLine="567"/>
    </w:pPr>
    <w:rPr>
      <w:iCs/>
      <w:lang w:eastAsia="cs-CZ"/>
    </w:rPr>
  </w:style>
  <w:style w:type="paragraph" w:styleId="Zkladntext">
    <w:name w:val="Body Text"/>
    <w:basedOn w:val="Normln"/>
    <w:semiHidden/>
    <w:rsid w:val="00FC2455"/>
    <w:rPr>
      <w:b/>
      <w:bCs/>
      <w:sz w:val="28"/>
      <w:szCs w:val="28"/>
    </w:rPr>
  </w:style>
  <w:style w:type="paragraph" w:styleId="Zkladntextodsazen2">
    <w:name w:val="Body Text Indent 2"/>
    <w:basedOn w:val="Normln"/>
    <w:semiHidden/>
    <w:rsid w:val="00FC2455"/>
    <w:pPr>
      <w:ind w:left="1080" w:hanging="1080"/>
    </w:pPr>
    <w:rPr>
      <w:sz w:val="20"/>
      <w:szCs w:val="20"/>
    </w:rPr>
  </w:style>
  <w:style w:type="paragraph" w:customStyle="1" w:styleId="vod">
    <w:name w:val="Úvod"/>
    <w:basedOn w:val="Normln"/>
    <w:rsid w:val="00FC2455"/>
    <w:pPr>
      <w:keepNext/>
      <w:spacing w:before="360" w:after="240"/>
      <w:outlineLvl w:val="0"/>
    </w:pPr>
    <w:rPr>
      <w:b/>
      <w:bCs/>
      <w:sz w:val="28"/>
      <w:szCs w:val="28"/>
      <w:lang w:eastAsia="cs-CZ"/>
    </w:rPr>
  </w:style>
  <w:style w:type="paragraph" w:customStyle="1" w:styleId="Prosttext1">
    <w:name w:val="Prostý text1"/>
    <w:basedOn w:val="Normln"/>
    <w:rsid w:val="00FC2455"/>
    <w:rPr>
      <w:rFonts w:ascii="Courier New" w:hAnsi="Courier New"/>
      <w:sz w:val="20"/>
      <w:szCs w:val="20"/>
      <w:lang w:eastAsia="cs-CZ"/>
    </w:rPr>
  </w:style>
  <w:style w:type="paragraph" w:styleId="Zkladntextodsazen">
    <w:name w:val="Body Text Indent"/>
    <w:basedOn w:val="Normln"/>
    <w:semiHidden/>
    <w:rsid w:val="00FC2455"/>
    <w:pPr>
      <w:ind w:firstLine="720"/>
    </w:pPr>
  </w:style>
  <w:style w:type="paragraph" w:styleId="Zkladntext3">
    <w:name w:val="Body Text 3"/>
    <w:basedOn w:val="Normln"/>
    <w:semiHidden/>
    <w:rsid w:val="00FC2455"/>
    <w:pPr>
      <w:keepNext/>
      <w:keepLines/>
    </w:pPr>
    <w:rPr>
      <w:b/>
      <w:bCs/>
    </w:rPr>
  </w:style>
  <w:style w:type="paragraph" w:styleId="Zkladntext2">
    <w:name w:val="Body Text 2"/>
    <w:basedOn w:val="Normln"/>
    <w:semiHidden/>
    <w:rsid w:val="00FC2455"/>
    <w:pPr>
      <w:spacing w:after="120" w:line="480" w:lineRule="auto"/>
    </w:pPr>
  </w:style>
  <w:style w:type="paragraph" w:customStyle="1" w:styleId="BodyText21">
    <w:name w:val="Body Text 21"/>
    <w:basedOn w:val="Normln"/>
    <w:rsid w:val="00FC2455"/>
    <w:pPr>
      <w:overflowPunct w:val="0"/>
      <w:autoSpaceDE w:val="0"/>
      <w:autoSpaceDN w:val="0"/>
      <w:adjustRightInd w:val="0"/>
      <w:spacing w:after="120"/>
      <w:textAlignment w:val="baseline"/>
    </w:pPr>
    <w:rPr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245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C2455"/>
  </w:style>
  <w:style w:type="paragraph" w:styleId="Zhlav">
    <w:name w:val="header"/>
    <w:basedOn w:val="Normln"/>
    <w:semiHidden/>
    <w:rsid w:val="00FC2455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semiHidden/>
    <w:rsid w:val="00FC24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C2455"/>
    <w:rPr>
      <w:sz w:val="20"/>
      <w:szCs w:val="20"/>
    </w:rPr>
  </w:style>
  <w:style w:type="paragraph" w:customStyle="1" w:styleId="Zkladntext21">
    <w:name w:val="Základní text 21"/>
    <w:basedOn w:val="Normln"/>
    <w:rsid w:val="00FC2455"/>
    <w:pPr>
      <w:overflowPunct w:val="0"/>
      <w:autoSpaceDE w:val="0"/>
      <w:autoSpaceDN w:val="0"/>
      <w:adjustRightInd w:val="0"/>
      <w:spacing w:line="240" w:lineRule="atLeast"/>
      <w:ind w:firstLine="425"/>
    </w:pPr>
    <w:rPr>
      <w:color w:val="FF0000"/>
      <w:szCs w:val="20"/>
      <w:lang w:eastAsia="cs-CZ"/>
    </w:rPr>
  </w:style>
  <w:style w:type="paragraph" w:styleId="Titulek">
    <w:name w:val="caption"/>
    <w:basedOn w:val="Normln"/>
    <w:next w:val="Normln"/>
    <w:qFormat/>
    <w:rsid w:val="00FC2455"/>
    <w:rPr>
      <w:rFonts w:ascii="Arial" w:hAnsi="Arial" w:cs="Arial"/>
      <w:i/>
      <w:iCs/>
      <w:sz w:val="18"/>
    </w:rPr>
  </w:style>
  <w:style w:type="paragraph" w:styleId="Zkladntextodsazen3">
    <w:name w:val="Body Text Indent 3"/>
    <w:basedOn w:val="Normln"/>
    <w:semiHidden/>
    <w:rsid w:val="00FC2455"/>
    <w:pPr>
      <w:autoSpaceDE w:val="0"/>
      <w:autoSpaceDN w:val="0"/>
      <w:adjustRightInd w:val="0"/>
      <w:spacing w:line="240" w:lineRule="atLeast"/>
      <w:ind w:left="360" w:hanging="360"/>
    </w:pPr>
  </w:style>
  <w:style w:type="character" w:customStyle="1" w:styleId="ZpatChar">
    <w:name w:val="Zápatí Char"/>
    <w:link w:val="Zpat"/>
    <w:uiPriority w:val="99"/>
    <w:rsid w:val="005E3F4A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8945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05D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5D30"/>
    <w:rPr>
      <w:rFonts w:ascii="Tahoma" w:hAnsi="Tahoma" w:cs="Tahoma"/>
      <w:sz w:val="16"/>
      <w:szCs w:val="16"/>
      <w:lang w:val="en-US" w:eastAsia="en-US"/>
    </w:rPr>
  </w:style>
  <w:style w:type="paragraph" w:styleId="Odstavecseseznamem">
    <w:name w:val="List Paragraph"/>
    <w:aliases w:val="Nad,Nadpis pro KZ,odrážky,List Paragraph_0,List Paragraph_1,List Paragraph_2,Odstavec se seznamem1,Odstavec se seznamem2,můj Nadpis 2"/>
    <w:basedOn w:val="Normln"/>
    <w:link w:val="OdstavecseseznamemChar"/>
    <w:uiPriority w:val="34"/>
    <w:qFormat/>
    <w:rsid w:val="00C94B2D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3B7"/>
    <w:rPr>
      <w:b/>
      <w:bCs/>
    </w:rPr>
  </w:style>
  <w:style w:type="character" w:customStyle="1" w:styleId="TextkomenteChar">
    <w:name w:val="Text komentáře Char"/>
    <w:link w:val="Textkomente"/>
    <w:semiHidden/>
    <w:rsid w:val="008D73B7"/>
    <w:rPr>
      <w:lang w:val="en-US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8D73B7"/>
    <w:rPr>
      <w:b/>
      <w:bCs/>
      <w:lang w:val="en-US"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EA73F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EA73F6"/>
    <w:rPr>
      <w:rFonts w:ascii="Calibri" w:hAnsi="Calibri" w:cs="Calibri"/>
      <w:color w:val="000000"/>
      <w:lang w:eastAsia="en-US"/>
    </w:rPr>
  </w:style>
  <w:style w:type="character" w:styleId="Znakapoznpodarou">
    <w:name w:val="footnote reference"/>
    <w:uiPriority w:val="99"/>
    <w:semiHidden/>
    <w:unhideWhenUsed/>
    <w:rsid w:val="00E73CB0"/>
    <w:rPr>
      <w:vertAlign w:val="superscript"/>
    </w:rPr>
  </w:style>
  <w:style w:type="paragraph" w:styleId="Normlnweb">
    <w:name w:val="Normal (Web)"/>
    <w:basedOn w:val="Normln"/>
    <w:uiPriority w:val="99"/>
    <w:rsid w:val="003D6E7E"/>
  </w:style>
  <w:style w:type="character" w:styleId="Zdraznn">
    <w:name w:val="Emphasis"/>
    <w:aliases w:val="běžný text"/>
    <w:uiPriority w:val="20"/>
    <w:qFormat/>
    <w:rsid w:val="003D6E7E"/>
    <w:rPr>
      <w:i/>
      <w:iCs/>
    </w:rPr>
  </w:style>
  <w:style w:type="paragraph" w:customStyle="1" w:styleId="NormlnKZ">
    <w:name w:val="Normální KZ"/>
    <w:basedOn w:val="Normln"/>
    <w:rsid w:val="00AF495B"/>
    <w:pPr>
      <w:spacing w:after="120"/>
      <w:ind w:firstLine="425"/>
    </w:pPr>
    <w:rPr>
      <w:rFonts w:eastAsia="Calibri"/>
      <w:sz w:val="22"/>
      <w:szCs w:val="22"/>
      <w:lang w:eastAsia="cs-CZ"/>
    </w:rPr>
  </w:style>
  <w:style w:type="character" w:customStyle="1" w:styleId="OdstavecseseznamemChar">
    <w:name w:val="Odstavec se seznamem Char"/>
    <w:aliases w:val="Nad Char,Nadpis pro KZ Char,odrážky Char,List Paragraph_0 Char,List Paragraph_1 Char,List Paragraph_2 Char,Odstavec se seznamem1 Char,Odstavec se seznamem2 Char,můj Nadpis 2 Char"/>
    <w:link w:val="Odstavecseseznamem"/>
    <w:uiPriority w:val="34"/>
    <w:rsid w:val="00B707FC"/>
    <w:rPr>
      <w:sz w:val="24"/>
      <w:szCs w:val="24"/>
      <w:lang w:eastAsia="en-US"/>
    </w:rPr>
  </w:style>
  <w:style w:type="paragraph" w:customStyle="1" w:styleId="Default">
    <w:name w:val="Default"/>
    <w:rsid w:val="00CD75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AB0657"/>
    <w:rPr>
      <w:rFonts w:ascii="Calibri" w:hAnsi="Calibri" w:cs="Calibri"/>
      <w:b/>
      <w:color w:val="000000"/>
      <w:sz w:val="28"/>
      <w:szCs w:val="28"/>
      <w:lang w:eastAsia="en-US"/>
    </w:rPr>
  </w:style>
  <w:style w:type="character" w:customStyle="1" w:styleId="Nadpis8Char">
    <w:name w:val="Nadpis 8 Char"/>
    <w:link w:val="Nadpis8"/>
    <w:uiPriority w:val="9"/>
    <w:semiHidden/>
    <w:rsid w:val="00AA56EB"/>
    <w:rPr>
      <w:rFonts w:ascii="Calibri" w:eastAsia="Times New Roman" w:hAnsi="Calibri" w:cs="Times New Roman"/>
      <w:i/>
      <w:iCs/>
      <w:color w:val="000000"/>
      <w:sz w:val="24"/>
      <w:szCs w:val="24"/>
      <w:lang w:eastAsia="en-US"/>
    </w:rPr>
  </w:style>
  <w:style w:type="paragraph" w:customStyle="1" w:styleId="KP-normlntext">
    <w:name w:val="KP-normální text"/>
    <w:basedOn w:val="Normln"/>
    <w:link w:val="KP-normlntextChar"/>
    <w:qFormat/>
    <w:rsid w:val="00AA56EB"/>
    <w:pPr>
      <w:spacing w:after="120"/>
      <w:ind w:firstLine="720"/>
    </w:pPr>
    <w:rPr>
      <w:rFonts w:ascii="Arial" w:hAnsi="Arial" w:cs="Arial"/>
      <w:sz w:val="22"/>
      <w:szCs w:val="22"/>
    </w:rPr>
  </w:style>
  <w:style w:type="character" w:customStyle="1" w:styleId="KP-normlntextChar">
    <w:name w:val="KP-normální text Char"/>
    <w:link w:val="KP-normlntext"/>
    <w:rsid w:val="00AA56EB"/>
    <w:rPr>
      <w:rFonts w:ascii="Arial" w:hAnsi="Arial" w:cs="Arial"/>
      <w:color w:val="000000"/>
      <w:sz w:val="22"/>
      <w:szCs w:val="22"/>
      <w:lang w:eastAsia="en-US"/>
    </w:rPr>
  </w:style>
  <w:style w:type="character" w:styleId="Hypertextovodkaz">
    <w:name w:val="Hyperlink"/>
    <w:uiPriority w:val="99"/>
    <w:rsid w:val="00270B04"/>
    <w:rPr>
      <w:color w:val="0000FF"/>
      <w:u w:val="single"/>
    </w:rPr>
  </w:style>
  <w:style w:type="character" w:styleId="Siln">
    <w:name w:val="Strong"/>
    <w:uiPriority w:val="22"/>
    <w:qFormat/>
    <w:rsid w:val="00FE5478"/>
    <w:rPr>
      <w:b/>
      <w:bCs/>
    </w:rPr>
  </w:style>
  <w:style w:type="paragraph" w:customStyle="1" w:styleId="Pa18">
    <w:name w:val="Pa18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  <w:style w:type="character" w:customStyle="1" w:styleId="A14">
    <w:name w:val="A14"/>
    <w:uiPriority w:val="99"/>
    <w:rsid w:val="00653E37"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rsid w:val="00653E37"/>
    <w:pPr>
      <w:autoSpaceDE w:val="0"/>
      <w:autoSpaceDN w:val="0"/>
      <w:adjustRightInd w:val="0"/>
      <w:spacing w:before="0" w:line="211" w:lineRule="atLeast"/>
      <w:jc w:val="left"/>
    </w:pPr>
    <w:rPr>
      <w:rFonts w:cs="Times New Roman"/>
      <w:color w:val="auto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diagramData" Target="diagrams/data1.xml"/><Relationship Id="rId18" Type="http://schemas.openxmlformats.org/officeDocument/2006/relationships/chart" Target="charts/chart1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chart" Target="charts/chart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07/relationships/diagramDrawing" Target="diagrams/drawing1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diagramColors" Target="diagrams/colors1.xml"/><Relationship Id="rId20" Type="http://schemas.openxmlformats.org/officeDocument/2006/relationships/chart" Target="charts/chart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diagramQuickStyle" Target="diagrams/quickStyle1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diagramLayout" Target="diagrams/layout1.xm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Users\FRYSOVA\AppData\Local\Microsoft\Windows\Temporary%20Internet%20Files\Content.Outlook\F74TCR90\Kopie%20-%20Podklad%20pro%20grafickou%20&#250;pravu_editDK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F1\KOKRDA\kz%2017-26\podklady\Podklad%20pro%20grafickou%20&#250;pravu_editDK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KOKRDA\kz%2017-26\podklady\Podklad%20pro%20grafickou%20&#250;pravu_editD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1399283211425988"/>
          <c:y val="0.18803502566471036"/>
          <c:w val="0.33826896003481804"/>
          <c:h val="0.71501057003067758"/>
        </c:manualLayout>
      </c:layout>
      <c:doughnutChart>
        <c:varyColors val="1"/>
        <c:ser>
          <c:idx val="1"/>
          <c:order val="0"/>
          <c:tx>
            <c:strRef>
              <c:f>'[Kopie - Podklad pro grafickou úpravu_editDK.xlsx]Graf č. 1'!$E$5</c:f>
              <c:strCache>
                <c:ptCount val="1"/>
                <c:pt idx="0">
                  <c:v>Celkové veřejné výdaje  v EUR</c:v>
                </c:pt>
              </c:strCache>
            </c:strRef>
          </c:tx>
          <c:spPr>
            <a:solidFill>
              <a:srgbClr val="004595"/>
            </a:solidFill>
          </c:spPr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779-42D8-A3E5-850CA149811D}"/>
              </c:ext>
            </c:extLst>
          </c:dPt>
          <c:dPt>
            <c:idx val="1"/>
            <c:bubble3D val="0"/>
            <c:spPr>
              <a:solidFill>
                <a:srgbClr val="004595">
                  <a:alpha val="85098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779-42D8-A3E5-850CA149811D}"/>
              </c:ext>
            </c:extLst>
          </c:dPt>
          <c:dPt>
            <c:idx val="2"/>
            <c:bubble3D val="0"/>
            <c:spPr>
              <a:solidFill>
                <a:srgbClr val="004595">
                  <a:alpha val="69804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779-42D8-A3E5-850CA149811D}"/>
              </c:ext>
            </c:extLst>
          </c:dPt>
          <c:dPt>
            <c:idx val="3"/>
            <c:bubble3D val="0"/>
            <c:spPr>
              <a:solidFill>
                <a:srgbClr val="004595">
                  <a:alpha val="54902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779-42D8-A3E5-850CA149811D}"/>
              </c:ext>
            </c:extLst>
          </c:dPt>
          <c:dPt>
            <c:idx val="4"/>
            <c:bubble3D val="0"/>
            <c:spPr>
              <a:solidFill>
                <a:srgbClr val="004595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779-42D8-A3E5-850CA149811D}"/>
              </c:ext>
            </c:extLst>
          </c:dPt>
          <c:dPt>
            <c:idx val="5"/>
            <c:bubble3D val="0"/>
            <c:spPr>
              <a:solidFill>
                <a:srgbClr val="004595">
                  <a:alpha val="25098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779-42D8-A3E5-850CA149811D}"/>
              </c:ext>
            </c:extLst>
          </c:dPt>
          <c:dLbls>
            <c:dLbl>
              <c:idx val="0"/>
              <c:layout>
                <c:manualLayout>
                  <c:x val="0.10141572404972221"/>
                  <c:y val="-0.15213039352787461"/>
                </c:manualLayout>
              </c:layout>
              <c:tx>
                <c:rich>
                  <a:bodyPr/>
                  <a:lstStyle/>
                  <a:p>
                    <a:fld id="{C637450A-5991-43E4-A0AC-AF2958FBCC57}" type="CATEGORYNAME">
                      <a:rPr lang="en-US" sz="1200" b="1"/>
                      <a:pPr/>
                      <a:t>[NÁZEV KATEGORIE]</a:t>
                    </a:fld>
                    <a:endParaRPr lang="en-US" sz="1200" b="1" baseline="0"/>
                  </a:p>
                  <a:p>
                    <a:fld id="{B89441A8-E3FA-4989-B7EF-EBDE4708EBC9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779-42D8-A3E5-850CA149811D}"/>
                </c:ext>
              </c:extLst>
            </c:dLbl>
            <c:dLbl>
              <c:idx val="1"/>
              <c:layout>
                <c:manualLayout>
                  <c:x val="0.15013531937949381"/>
                  <c:y val="-4.038248307075807E-2"/>
                </c:manualLayout>
              </c:layout>
              <c:tx>
                <c:rich>
                  <a:bodyPr/>
                  <a:lstStyle/>
                  <a:p>
                    <a:fld id="{7E833C59-2F3C-4B82-8661-949E3DEB8261}" type="CATEGORYNAME">
                      <a:rPr lang="en-US" sz="1200" b="1"/>
                      <a:pPr/>
                      <a:t>[NÁZEV KATEGORIE]</a:t>
                    </a:fld>
                    <a:endParaRPr lang="en-US" sz="1200" b="1" baseline="0"/>
                  </a:p>
                  <a:p>
                    <a:fld id="{4CDA934D-6E1B-475C-B6C1-3D43546C1561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779-42D8-A3E5-850CA149811D}"/>
                </c:ext>
              </c:extLst>
            </c:dLbl>
            <c:dLbl>
              <c:idx val="2"/>
              <c:layout>
                <c:manualLayout>
                  <c:x val="0.35839387071689932"/>
                  <c:y val="-0.20736635388387611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2AFF9AC-6498-4E02-A884-81CE030A01A8}" type="CATEGORYNAME">
                      <a:rPr lang="en-US" sz="1200" b="1"/>
                      <a:pPr>
                        <a:defRPr sz="10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[NÁZEV KATEGORIE]</a:t>
                    </a:fld>
                    <a:endParaRPr lang="en-US" sz="1100" b="1" baseline="0"/>
                  </a:p>
                  <a:p>
                    <a:pPr>
                      <a:defRPr sz="10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BA8B7F4-DF6C-4A4A-806E-71A94714A58C}" type="VALUE">
                      <a:rPr lang="en-US"/>
                      <a:pPr>
                        <a:defRPr sz="1000" b="0" i="0" u="none" strike="noStrike" kern="1200" baseline="0">
                          <a:solidFill>
                            <a:schemeClr val="dk1">
                              <a:lumMod val="65000"/>
                              <a:lumOff val="3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t>[HODNOTA]</a:t>
                    </a:fld>
                    <a:endParaRPr lang="cs-CZ"/>
                  </a:p>
                </c:rich>
              </c:tx>
              <c:numFmt formatCode="#,##0\ [$€-1]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38714"/>
                        <a:gd name="adj2" fmla="val 29739"/>
                      </a:avLst>
                    </a:prstGeom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779-42D8-A3E5-850CA149811D}"/>
                </c:ext>
              </c:extLst>
            </c:dLbl>
            <c:dLbl>
              <c:idx val="3"/>
              <c:layout>
                <c:manualLayout>
                  <c:x val="-0.18715447371109067"/>
                  <c:y val="2.4853618524146189E-2"/>
                </c:manualLayout>
              </c:layout>
              <c:tx>
                <c:rich>
                  <a:bodyPr/>
                  <a:lstStyle/>
                  <a:p>
                    <a:fld id="{ADD71A77-1D1E-4014-8E9B-FB161B34AB84}" type="CATEGORYNAME">
                      <a:rPr lang="en-US" sz="1200" b="1"/>
                      <a:pPr/>
                      <a:t>[NÁZEV KATEGORIE]</a:t>
                    </a:fld>
                    <a:endParaRPr lang="en-US" sz="1200" b="1" baseline="0"/>
                  </a:p>
                  <a:p>
                    <a:fld id="{5859982A-E8BD-49FD-968E-FE92E2BE216E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A779-42D8-A3E5-850CA149811D}"/>
                </c:ext>
              </c:extLst>
            </c:dLbl>
            <c:dLbl>
              <c:idx val="4"/>
              <c:layout>
                <c:manualLayout>
                  <c:x val="-0.15277777777777782"/>
                  <c:y val="-0.13824178608859694"/>
                </c:manualLayout>
              </c:layout>
              <c:tx>
                <c:rich>
                  <a:bodyPr/>
                  <a:lstStyle/>
                  <a:p>
                    <a:fld id="{C9E999D2-135D-4280-8AEC-08A2A3261920}" type="CATEGORYNAME">
                      <a:rPr lang="en-US" sz="1200" b="1"/>
                      <a:pPr/>
                      <a:t>[NÁZEV KATEGORIE]</a:t>
                    </a:fld>
                    <a:endParaRPr lang="en-US" sz="1200" b="1" baseline="0"/>
                  </a:p>
                  <a:p>
                    <a:fld id="{8FF102D0-2DA6-407E-9938-D5E64A05346A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A779-42D8-A3E5-850CA149811D}"/>
                </c:ext>
              </c:extLst>
            </c:dLbl>
            <c:dLbl>
              <c:idx val="5"/>
              <c:layout>
                <c:manualLayout>
                  <c:x val="-7.9509350671267617E-3"/>
                  <c:y val="-0.15011985017107557"/>
                </c:manualLayout>
              </c:layout>
              <c:tx>
                <c:rich>
                  <a:bodyPr/>
                  <a:lstStyle/>
                  <a:p>
                    <a:fld id="{00835625-A7CA-417D-B79E-D96C65FC1B44}" type="CATEGORYNAME">
                      <a:rPr lang="en-US" sz="1200" b="1"/>
                      <a:pPr/>
                      <a:t>[NÁZEV KATEGORIE]</a:t>
                    </a:fld>
                    <a:endParaRPr lang="en-US" sz="1200" b="1" baseline="0"/>
                  </a:p>
                  <a:p>
                    <a:fld id="{DE73BDB2-722F-424E-8CA6-EDDA9AB91B97}" type="VALUE">
                      <a:rPr lang="en-US"/>
                      <a:pPr/>
                      <a:t>[HODNOTA]</a:t>
                    </a:fld>
                    <a:endParaRPr lang="cs-CZ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A779-42D8-A3E5-850CA149811D}"/>
                </c:ext>
              </c:extLst>
            </c:dLbl>
            <c:numFmt formatCode="#,##0\ [$€-1]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'[Kopie - Podklad pro grafickou úpravu_editDK.xlsx]Graf č. 1'!$C$6:$C$12</c:f>
              <c:strCache>
                <c:ptCount val="6"/>
                <c:pt idx="0">
                  <c:v>16.1.1</c:v>
                </c:pt>
                <c:pt idx="1">
                  <c:v>16.2.1</c:v>
                </c:pt>
                <c:pt idx="2">
                  <c:v>16.2.2</c:v>
                </c:pt>
                <c:pt idx="3">
                  <c:v>16.3.1</c:v>
                </c:pt>
                <c:pt idx="4">
                  <c:v>16.4.1</c:v>
                </c:pt>
                <c:pt idx="5">
                  <c:v>16.6.1</c:v>
                </c:pt>
              </c:strCache>
            </c:strRef>
          </c:cat>
          <c:val>
            <c:numRef>
              <c:f>'[Kopie - Podklad pro grafickou úpravu_editDK.xlsx]Graf č. 1'!$E$6:$E$12</c:f>
              <c:numCache>
                <c:formatCode>#,##0.00</c:formatCode>
                <c:ptCount val="6"/>
                <c:pt idx="0">
                  <c:v>9733333.3300000001</c:v>
                </c:pt>
                <c:pt idx="1">
                  <c:v>17720633.329999998</c:v>
                </c:pt>
                <c:pt idx="2">
                  <c:v>110882529.33</c:v>
                </c:pt>
                <c:pt idx="3">
                  <c:v>6474890.6699999999</c:v>
                </c:pt>
                <c:pt idx="4">
                  <c:v>4000000</c:v>
                </c:pt>
                <c:pt idx="5">
                  <c:v>1475000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779-42D8-A3E5-850CA14981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spcBef>
          <a:spcPts val="600"/>
        </a:spcBef>
        <a:defRPr/>
      </a:pPr>
      <a:endParaRPr lang="cs-CZ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721704868858603"/>
          <c:y val="0.21774357683842926"/>
          <c:w val="0.40708378665781536"/>
          <c:h val="0.7309704663704254"/>
        </c:manualLayout>
      </c:layout>
      <c:doughnutChart>
        <c:varyColors val="1"/>
        <c:ser>
          <c:idx val="0"/>
          <c:order val="0"/>
          <c:tx>
            <c:strRef>
              <c:f>'Graf č. 2'!$D$4</c:f>
              <c:strCache>
                <c:ptCount val="1"/>
                <c:pt idx="0">
                  <c:v>Velikost podniku</c:v>
                </c:pt>
              </c:strCache>
            </c:strRef>
          </c:tx>
          <c:spPr>
            <a:solidFill>
              <a:srgbClr val="004595"/>
            </a:solidFill>
          </c:spPr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828-4AB8-A4EA-FE6292AC188D}"/>
              </c:ext>
            </c:extLst>
          </c:dPt>
          <c:dPt>
            <c:idx val="1"/>
            <c:bubble3D val="0"/>
            <c:spPr>
              <a:solidFill>
                <a:srgbClr val="004595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828-4AB8-A4EA-FE6292AC188D}"/>
              </c:ext>
            </c:extLst>
          </c:dPt>
          <c:dPt>
            <c:idx val="2"/>
            <c:bubble3D val="0"/>
            <c:spPr>
              <a:solidFill>
                <a:srgbClr val="004595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828-4AB8-A4EA-FE6292AC188D}"/>
              </c:ext>
            </c:extLst>
          </c:dPt>
          <c:dPt>
            <c:idx val="3"/>
            <c:bubble3D val="0"/>
            <c:spPr>
              <a:solidFill>
                <a:srgbClr val="004595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828-4AB8-A4EA-FE6292AC188D}"/>
              </c:ext>
            </c:extLst>
          </c:dPt>
          <c:dLbls>
            <c:dLbl>
              <c:idx val="0"/>
              <c:layout>
                <c:manualLayout>
                  <c:x val="0.13436692506459938"/>
                  <c:y val="-3.40244493799245E-2"/>
                </c:manualLayout>
              </c:layout>
              <c:numFmt formatCode="0.0\ 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6828-4AB8-A4EA-FE6292AC188D}"/>
                </c:ext>
              </c:extLst>
            </c:dLbl>
            <c:dLbl>
              <c:idx val="1"/>
              <c:layout>
                <c:manualLayout>
                  <c:x val="-0.13953488372093023"/>
                  <c:y val="-7.7971795758822115E-17"/>
                </c:manualLayout>
              </c:layout>
              <c:numFmt formatCode="0.0\ 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6828-4AB8-A4EA-FE6292AC188D}"/>
                </c:ext>
              </c:extLst>
            </c:dLbl>
            <c:dLbl>
              <c:idx val="2"/>
              <c:layout>
                <c:manualLayout>
                  <c:x val="-9.3023255813953487E-2"/>
                  <c:y val="-8.9314179622301815E-2"/>
                </c:manualLayout>
              </c:layout>
              <c:numFmt formatCode="0.0\ 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6828-4AB8-A4EA-FE6292AC188D}"/>
                </c:ext>
              </c:extLst>
            </c:dLbl>
            <c:dLbl>
              <c:idx val="3"/>
              <c:layout>
                <c:manualLayout>
                  <c:x val="9.2811349400996945E-2"/>
                  <c:y val="-0.15089821759215966"/>
                </c:manualLayout>
              </c:layout>
              <c:numFmt formatCode="0.0\ %" sourceLinked="0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6828-4AB8-A4EA-FE6292AC188D}"/>
                </c:ext>
              </c:extLst>
            </c:dLbl>
            <c:numFmt formatCode="0.0\ 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'Graf č. 2'!$C$5:$C$8</c:f>
              <c:strCache>
                <c:ptCount val="4"/>
                <c:pt idx="0">
                  <c:v>Velký</c:v>
                </c:pt>
                <c:pt idx="1">
                  <c:v>Střední</c:v>
                </c:pt>
                <c:pt idx="2">
                  <c:v>Malý</c:v>
                </c:pt>
                <c:pt idx="3">
                  <c:v>Mikropodnik</c:v>
                </c:pt>
              </c:strCache>
            </c:strRef>
          </c:cat>
          <c:val>
            <c:numRef>
              <c:f>'Graf č. 2'!$D$5:$D$8</c:f>
              <c:numCache>
                <c:formatCode>General</c:formatCode>
                <c:ptCount val="4"/>
                <c:pt idx="0">
                  <c:v>32</c:v>
                </c:pt>
                <c:pt idx="1">
                  <c:v>7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828-4AB8-A4EA-FE6292AC18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3866118864861156"/>
          <c:y val="0.22453703703703703"/>
          <c:w val="0.4214262665375928"/>
          <c:h val="0.75578703703703709"/>
        </c:manualLayout>
      </c:layout>
      <c:doughnutChart>
        <c:varyColors val="1"/>
        <c:ser>
          <c:idx val="0"/>
          <c:order val="0"/>
          <c:tx>
            <c:strRef>
              <c:f>'Graf č. 3'!$D$3</c:f>
              <c:strCache>
                <c:ptCount val="1"/>
                <c:pt idx="0">
                  <c:v>Výdaje na investice a na spolupráci</c:v>
                </c:pt>
              </c:strCache>
            </c:strRef>
          </c:tx>
          <c:spPr>
            <a:solidFill>
              <a:srgbClr val="004595"/>
            </a:solidFill>
          </c:spPr>
          <c:dPt>
            <c:idx val="0"/>
            <c:bubble3D val="0"/>
            <c:spPr>
              <a:solidFill>
                <a:srgbClr val="00459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F5E-4BBD-9EE2-E65AF16827F8}"/>
              </c:ext>
            </c:extLst>
          </c:dPt>
          <c:dPt>
            <c:idx val="1"/>
            <c:bubble3D val="0"/>
            <c:spPr>
              <a:solidFill>
                <a:srgbClr val="004595">
                  <a:alpha val="69804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F5E-4BBD-9EE2-E65AF16827F8}"/>
              </c:ext>
            </c:extLst>
          </c:dPt>
          <c:dLbls>
            <c:dLbl>
              <c:idx val="0"/>
              <c:layout>
                <c:manualLayout>
                  <c:x val="0.3333333333333332"/>
                  <c:y val="-0.49074074074074076"/>
                </c:manualLayout>
              </c:layout>
              <c:numFmt formatCode="0.0\ %" sourceLinked="0"/>
              <c:spPr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12381"/>
                        <a:gd name="adj2" fmla="val 103699"/>
                      </a:avLst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2F5E-4BBD-9EE2-E65AF16827F8}"/>
                </c:ext>
              </c:extLst>
            </c:dLbl>
            <c:dLbl>
              <c:idx val="1"/>
              <c:layout>
                <c:manualLayout>
                  <c:x val="-7.1240659293193384E-2"/>
                  <c:y val="-0.16435185185185186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F5E-4BBD-9EE2-E65AF16827F8}"/>
                </c:ext>
              </c:extLst>
            </c:dLbl>
            <c:numFmt formatCode="0.0\ 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'Graf č. 3'!$C$4:$C$5</c:f>
              <c:strCache>
                <c:ptCount val="2"/>
                <c:pt idx="0">
                  <c:v>Investice</c:v>
                </c:pt>
                <c:pt idx="1">
                  <c:v>Spolupráce</c:v>
                </c:pt>
              </c:strCache>
            </c:strRef>
          </c:cat>
          <c:val>
            <c:numRef>
              <c:f>'Graf č. 3'!$D$4:$D$5</c:f>
              <c:numCache>
                <c:formatCode>0.00%</c:formatCode>
                <c:ptCount val="2"/>
                <c:pt idx="0">
                  <c:v>0.98729999999999996</c:v>
                </c:pt>
                <c:pt idx="1">
                  <c:v>1.2699999999999999E-2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F5E-4BBD-9EE2-E65AF16827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FFA6A1-CA2E-4EB0-B2D5-2C98308F29DE}" type="doc">
      <dgm:prSet loTypeId="urn:microsoft.com/office/officeart/2005/8/layout/default#1" loCatId="list" qsTypeId="urn:microsoft.com/office/officeart/2005/8/quickstyle/simple1" qsCatId="simple" csTypeId="urn:microsoft.com/office/officeart/2005/8/colors/accent1_3" csCatId="accent1" phldr="1"/>
      <dgm:spPr/>
      <dgm:t>
        <a:bodyPr/>
        <a:lstStyle/>
        <a:p>
          <a:endParaRPr lang="cs-CZ"/>
        </a:p>
      </dgm:t>
    </dgm:pt>
    <dgm:pt modelId="{2ABC29F4-2A6C-47B1-BB61-FC56137ED630}">
      <dgm:prSet phldrT="[Text]" custT="1"/>
      <dgm:spPr>
        <a:solidFill>
          <a:srgbClr val="004595">
            <a:alpha val="60000"/>
          </a:srgbClr>
        </a:solidFill>
      </dgm:spPr>
      <dgm:t>
        <a:bodyPr/>
        <a:lstStyle/>
        <a:p>
          <a:r>
            <a:rPr lang="cs-CZ" sz="1800" b="1"/>
            <a:t>1</a:t>
          </a:r>
          <a:endParaRPr lang="cs-CZ" sz="1200" b="1"/>
        </a:p>
        <a:p>
          <a:r>
            <a:rPr lang="cs-CZ" sz="1200"/>
            <a:t>operace </a:t>
          </a:r>
          <a:br>
            <a:rPr lang="cs-CZ" sz="1200"/>
          </a:br>
          <a:r>
            <a:rPr lang="cs-CZ" sz="1200"/>
            <a:t>s reálným čerpáním</a:t>
          </a:r>
        </a:p>
      </dgm:t>
    </dgm:pt>
    <dgm:pt modelId="{C96AD8D1-FD1E-456A-B3A2-1600C18D75B5}" type="parTrans" cxnId="{3E5CFF0E-FC96-411C-9FA5-993A4466A832}">
      <dgm:prSet/>
      <dgm:spPr/>
      <dgm:t>
        <a:bodyPr/>
        <a:lstStyle/>
        <a:p>
          <a:endParaRPr lang="cs-CZ" sz="1200"/>
        </a:p>
      </dgm:t>
    </dgm:pt>
    <dgm:pt modelId="{5E22EC7F-3CAE-449C-91ED-C603F35FEBE0}" type="sibTrans" cxnId="{3E5CFF0E-FC96-411C-9FA5-993A4466A832}">
      <dgm:prSet/>
      <dgm:spPr/>
      <dgm:t>
        <a:bodyPr/>
        <a:lstStyle/>
        <a:p>
          <a:endParaRPr lang="cs-CZ" sz="1200"/>
        </a:p>
      </dgm:t>
    </dgm:pt>
    <dgm:pt modelId="{3057D481-89B5-4D4B-A462-45BC9F006C8D}">
      <dgm:prSet custT="1"/>
      <dgm:spPr>
        <a:solidFill>
          <a:srgbClr val="004595">
            <a:alpha val="80000"/>
          </a:srgbClr>
        </a:solidFill>
      </dgm:spPr>
      <dgm:t>
        <a:bodyPr/>
        <a:lstStyle/>
        <a:p>
          <a:r>
            <a:rPr lang="cs-CZ" sz="1600" b="1"/>
            <a:t>6 </a:t>
          </a:r>
        </a:p>
        <a:p>
          <a:r>
            <a:rPr lang="cs-CZ" sz="1200"/>
            <a:t>operací realizovaných </a:t>
          </a:r>
          <a:br>
            <a:rPr lang="cs-CZ" sz="1200"/>
          </a:br>
          <a:r>
            <a:rPr lang="cs-CZ" sz="1200"/>
            <a:t>v ČR na základě výběru MZe</a:t>
          </a:r>
        </a:p>
      </dgm:t>
    </dgm:pt>
    <dgm:pt modelId="{1BAF48A6-05D7-4A35-B11A-5D1BF4792470}" type="parTrans" cxnId="{254E4621-D9DD-4D55-862D-317C917E7DC0}">
      <dgm:prSet/>
      <dgm:spPr/>
      <dgm:t>
        <a:bodyPr/>
        <a:lstStyle/>
        <a:p>
          <a:endParaRPr lang="cs-CZ" sz="1200"/>
        </a:p>
      </dgm:t>
    </dgm:pt>
    <dgm:pt modelId="{C115C56F-5B36-475E-BAFB-DD273AAE5A38}" type="sibTrans" cxnId="{254E4621-D9DD-4D55-862D-317C917E7DC0}">
      <dgm:prSet/>
      <dgm:spPr/>
      <dgm:t>
        <a:bodyPr/>
        <a:lstStyle/>
        <a:p>
          <a:endParaRPr lang="cs-CZ" sz="1200"/>
        </a:p>
      </dgm:t>
    </dgm:pt>
    <dgm:pt modelId="{2EE152E7-DD86-473A-B688-D69C42C27747}">
      <dgm:prSet custT="1"/>
      <dgm:spPr>
        <a:solidFill>
          <a:srgbClr val="004595">
            <a:alpha val="89804"/>
          </a:srgbClr>
        </a:solidFill>
      </dgm:spPr>
      <dgm:t>
        <a:bodyPr/>
        <a:lstStyle/>
        <a:p>
          <a:r>
            <a:rPr lang="cs-CZ" sz="1600" b="1"/>
            <a:t>11 </a:t>
          </a:r>
        </a:p>
        <a:p>
          <a:r>
            <a:rPr lang="cs-CZ" sz="1200"/>
            <a:t>typů spolupráce dle evropských předpisů</a:t>
          </a:r>
        </a:p>
      </dgm:t>
    </dgm:pt>
    <dgm:pt modelId="{B8B24F31-EF21-4905-B47B-58656C2A8D46}" type="parTrans" cxnId="{449D289E-DCF5-481F-B225-9E8A98954319}">
      <dgm:prSet/>
      <dgm:spPr/>
      <dgm:t>
        <a:bodyPr/>
        <a:lstStyle/>
        <a:p>
          <a:endParaRPr lang="cs-CZ" sz="1200"/>
        </a:p>
      </dgm:t>
    </dgm:pt>
    <dgm:pt modelId="{7736597C-6B93-4FE9-9751-E9B35CA4B093}" type="sibTrans" cxnId="{449D289E-DCF5-481F-B225-9E8A98954319}">
      <dgm:prSet/>
      <dgm:spPr/>
      <dgm:t>
        <a:bodyPr/>
        <a:lstStyle/>
        <a:p>
          <a:endParaRPr lang="cs-CZ" sz="1200"/>
        </a:p>
      </dgm:t>
    </dgm:pt>
    <dgm:pt modelId="{5A32BABB-2A87-48EE-86B5-630A0211FDFE}">
      <dgm:prSet custT="1"/>
      <dgm:spPr>
        <a:solidFill>
          <a:srgbClr val="004595">
            <a:alpha val="69804"/>
          </a:srgbClr>
        </a:solidFill>
      </dgm:spPr>
      <dgm:t>
        <a:bodyPr/>
        <a:lstStyle/>
        <a:p>
          <a:r>
            <a:rPr lang="cs-CZ" sz="1800" b="1"/>
            <a:t>2</a:t>
          </a:r>
          <a:endParaRPr lang="cs-CZ" sz="1200" b="1"/>
        </a:p>
        <a:p>
          <a:r>
            <a:rPr lang="cs-CZ" sz="1200"/>
            <a:t>operace úspěšné </a:t>
          </a:r>
          <a:br>
            <a:rPr lang="cs-CZ" sz="1200"/>
          </a:br>
          <a:r>
            <a:rPr lang="cs-CZ" sz="1200"/>
            <a:t>z pohledu závazkování</a:t>
          </a:r>
        </a:p>
      </dgm:t>
    </dgm:pt>
    <dgm:pt modelId="{BE287B86-6EB0-430B-BCCA-26D71D820267}" type="sibTrans" cxnId="{52D60147-7667-4BF8-92AF-616A6DAF7E48}">
      <dgm:prSet/>
      <dgm:spPr/>
      <dgm:t>
        <a:bodyPr/>
        <a:lstStyle/>
        <a:p>
          <a:endParaRPr lang="cs-CZ" sz="1200"/>
        </a:p>
      </dgm:t>
    </dgm:pt>
    <dgm:pt modelId="{5F79B992-8C4C-4629-9E77-A34CAF434836}" type="parTrans" cxnId="{52D60147-7667-4BF8-92AF-616A6DAF7E48}">
      <dgm:prSet/>
      <dgm:spPr/>
      <dgm:t>
        <a:bodyPr/>
        <a:lstStyle/>
        <a:p>
          <a:endParaRPr lang="cs-CZ" sz="1200"/>
        </a:p>
      </dgm:t>
    </dgm:pt>
    <dgm:pt modelId="{F40F363C-A1C5-455C-9439-1E39B8BDDA1D}" type="pres">
      <dgm:prSet presAssocID="{A0FFA6A1-CA2E-4EB0-B2D5-2C98308F29D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EF92362D-87A1-4A4F-8691-8793C54213D8}" type="pres">
      <dgm:prSet presAssocID="{2ABC29F4-2A6C-47B1-BB61-FC56137ED630}" presName="node" presStyleLbl="node1" presStyleIdx="0" presStyleCnt="4" custScaleX="29043" custScaleY="53990" custLinFactX="26989" custLinFactNeighborX="100000" custLinFactNeighborY="-3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6A55C53D-BC6B-473C-BE9E-53306B0EE75A}" type="pres">
      <dgm:prSet presAssocID="{5E22EC7F-3CAE-449C-91ED-C603F35FEBE0}" presName="sibTrans" presStyleCnt="0"/>
      <dgm:spPr/>
      <dgm:t>
        <a:bodyPr/>
        <a:lstStyle/>
        <a:p>
          <a:endParaRPr lang="cs-CZ"/>
        </a:p>
      </dgm:t>
    </dgm:pt>
    <dgm:pt modelId="{94152E31-537A-4A41-BCFA-D29918F531F7}" type="pres">
      <dgm:prSet presAssocID="{5A32BABB-2A87-48EE-86B5-630A0211FDFE}" presName="node" presStyleLbl="node1" presStyleIdx="1" presStyleCnt="4" custScaleX="31892" custScaleY="65160" custLinFactNeighborX="45810" custLinFactNeighborY="85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79296A3D-14F9-4257-AFBC-D97BCA2817B4}" type="pres">
      <dgm:prSet presAssocID="{BE287B86-6EB0-430B-BCCA-26D71D820267}" presName="sibTrans" presStyleCnt="0"/>
      <dgm:spPr/>
      <dgm:t>
        <a:bodyPr/>
        <a:lstStyle/>
        <a:p>
          <a:endParaRPr lang="cs-CZ"/>
        </a:p>
      </dgm:t>
    </dgm:pt>
    <dgm:pt modelId="{5EDC00F3-6753-410D-8729-E3E11C0429CD}" type="pres">
      <dgm:prSet presAssocID="{3057D481-89B5-4D4B-A462-45BC9F006C8D}" presName="node" presStyleLbl="node1" presStyleIdx="2" presStyleCnt="4" custScaleX="35745" custScaleY="79458" custLinFactNeighborX="-40881" custLinFactNeighborY="-30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  <dgm:pt modelId="{A72699CF-E6A2-4A33-8A5A-7D6FE7E50BF1}" type="pres">
      <dgm:prSet presAssocID="{C115C56F-5B36-475E-BAFB-DD273AAE5A38}" presName="sibTrans" presStyleCnt="0"/>
      <dgm:spPr/>
      <dgm:t>
        <a:bodyPr/>
        <a:lstStyle/>
        <a:p>
          <a:endParaRPr lang="cs-CZ"/>
        </a:p>
      </dgm:t>
    </dgm:pt>
    <dgm:pt modelId="{BF2E9D1B-03C7-48CA-9768-D4C4F6F28B1D}" type="pres">
      <dgm:prSet presAssocID="{2EE152E7-DD86-473A-B688-D69C42C27747}" presName="node" presStyleLbl="node1" presStyleIdx="3" presStyleCnt="4" custScaleX="31892" custScaleY="98384" custLinFactX="-27031" custLinFactNeighborX="-100000" custLinFactNeighborY="23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cs-CZ"/>
        </a:p>
      </dgm:t>
    </dgm:pt>
  </dgm:ptLst>
  <dgm:cxnLst>
    <dgm:cxn modelId="{52D60147-7667-4BF8-92AF-616A6DAF7E48}" srcId="{A0FFA6A1-CA2E-4EB0-B2D5-2C98308F29DE}" destId="{5A32BABB-2A87-48EE-86B5-630A0211FDFE}" srcOrd="1" destOrd="0" parTransId="{5F79B992-8C4C-4629-9E77-A34CAF434836}" sibTransId="{BE287B86-6EB0-430B-BCCA-26D71D820267}"/>
    <dgm:cxn modelId="{67FFD3CB-72AA-499A-8226-ABD6A869963E}" type="presOf" srcId="{2ABC29F4-2A6C-47B1-BB61-FC56137ED630}" destId="{EF92362D-87A1-4A4F-8691-8793C54213D8}" srcOrd="0" destOrd="0" presId="urn:microsoft.com/office/officeart/2005/8/layout/default#1"/>
    <dgm:cxn modelId="{0D5475B7-909F-4CE4-808B-9CD658AC03D7}" type="presOf" srcId="{2EE152E7-DD86-473A-B688-D69C42C27747}" destId="{BF2E9D1B-03C7-48CA-9768-D4C4F6F28B1D}" srcOrd="0" destOrd="0" presId="urn:microsoft.com/office/officeart/2005/8/layout/default#1"/>
    <dgm:cxn modelId="{3E5CFF0E-FC96-411C-9FA5-993A4466A832}" srcId="{A0FFA6A1-CA2E-4EB0-B2D5-2C98308F29DE}" destId="{2ABC29F4-2A6C-47B1-BB61-FC56137ED630}" srcOrd="0" destOrd="0" parTransId="{C96AD8D1-FD1E-456A-B3A2-1600C18D75B5}" sibTransId="{5E22EC7F-3CAE-449C-91ED-C603F35FEBE0}"/>
    <dgm:cxn modelId="{4AC53EF5-0F8E-4161-902C-DA96EA4B4291}" type="presOf" srcId="{3057D481-89B5-4D4B-A462-45BC9F006C8D}" destId="{5EDC00F3-6753-410D-8729-E3E11C0429CD}" srcOrd="0" destOrd="0" presId="urn:microsoft.com/office/officeart/2005/8/layout/default#1"/>
    <dgm:cxn modelId="{AAB763C3-9D54-44AE-AA6E-0D99AB304BAF}" type="presOf" srcId="{A0FFA6A1-CA2E-4EB0-B2D5-2C98308F29DE}" destId="{F40F363C-A1C5-455C-9439-1E39B8BDDA1D}" srcOrd="0" destOrd="0" presId="urn:microsoft.com/office/officeart/2005/8/layout/default#1"/>
    <dgm:cxn modelId="{449D289E-DCF5-481F-B225-9E8A98954319}" srcId="{A0FFA6A1-CA2E-4EB0-B2D5-2C98308F29DE}" destId="{2EE152E7-DD86-473A-B688-D69C42C27747}" srcOrd="3" destOrd="0" parTransId="{B8B24F31-EF21-4905-B47B-58656C2A8D46}" sibTransId="{7736597C-6B93-4FE9-9751-E9B35CA4B093}"/>
    <dgm:cxn modelId="{254E4621-D9DD-4D55-862D-317C917E7DC0}" srcId="{A0FFA6A1-CA2E-4EB0-B2D5-2C98308F29DE}" destId="{3057D481-89B5-4D4B-A462-45BC9F006C8D}" srcOrd="2" destOrd="0" parTransId="{1BAF48A6-05D7-4A35-B11A-5D1BF4792470}" sibTransId="{C115C56F-5B36-475E-BAFB-DD273AAE5A38}"/>
    <dgm:cxn modelId="{32C19551-28FB-42A7-BFDC-7FC16CA8EF7D}" type="presOf" srcId="{5A32BABB-2A87-48EE-86B5-630A0211FDFE}" destId="{94152E31-537A-4A41-BCFA-D29918F531F7}" srcOrd="0" destOrd="0" presId="urn:microsoft.com/office/officeart/2005/8/layout/default#1"/>
    <dgm:cxn modelId="{A147BC71-73E9-431D-B566-24BD972835F0}" type="presParOf" srcId="{F40F363C-A1C5-455C-9439-1E39B8BDDA1D}" destId="{EF92362D-87A1-4A4F-8691-8793C54213D8}" srcOrd="0" destOrd="0" presId="urn:microsoft.com/office/officeart/2005/8/layout/default#1"/>
    <dgm:cxn modelId="{5CF75BCA-D7AB-4816-8B38-57DD44C870A2}" type="presParOf" srcId="{F40F363C-A1C5-455C-9439-1E39B8BDDA1D}" destId="{6A55C53D-BC6B-473C-BE9E-53306B0EE75A}" srcOrd="1" destOrd="0" presId="urn:microsoft.com/office/officeart/2005/8/layout/default#1"/>
    <dgm:cxn modelId="{D16FAC9E-3A9D-4D25-B5A4-0B1A06442ECD}" type="presParOf" srcId="{F40F363C-A1C5-455C-9439-1E39B8BDDA1D}" destId="{94152E31-537A-4A41-BCFA-D29918F531F7}" srcOrd="2" destOrd="0" presId="urn:microsoft.com/office/officeart/2005/8/layout/default#1"/>
    <dgm:cxn modelId="{C1EA3FEB-4D4B-49D5-BAB3-B0E092B23A27}" type="presParOf" srcId="{F40F363C-A1C5-455C-9439-1E39B8BDDA1D}" destId="{79296A3D-14F9-4257-AFBC-D97BCA2817B4}" srcOrd="3" destOrd="0" presId="urn:microsoft.com/office/officeart/2005/8/layout/default#1"/>
    <dgm:cxn modelId="{E193C1FA-2EFB-464D-9C4E-7D859A5478D5}" type="presParOf" srcId="{F40F363C-A1C5-455C-9439-1E39B8BDDA1D}" destId="{5EDC00F3-6753-410D-8729-E3E11C0429CD}" srcOrd="4" destOrd="0" presId="urn:microsoft.com/office/officeart/2005/8/layout/default#1"/>
    <dgm:cxn modelId="{BE59EB78-2119-41EE-825B-FE88FF9E87D4}" type="presParOf" srcId="{F40F363C-A1C5-455C-9439-1E39B8BDDA1D}" destId="{A72699CF-E6A2-4A33-8A5A-7D6FE7E50BF1}" srcOrd="5" destOrd="0" presId="urn:microsoft.com/office/officeart/2005/8/layout/default#1"/>
    <dgm:cxn modelId="{EE5A7F68-875E-4334-B1F8-406872651350}" type="presParOf" srcId="{F40F363C-A1C5-455C-9439-1E39B8BDDA1D}" destId="{BF2E9D1B-03C7-48CA-9768-D4C4F6F28B1D}" srcOrd="6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92362D-87A1-4A4F-8691-8793C54213D8}">
      <dsp:nvSpPr>
        <dsp:cNvPr id="0" name=""/>
        <dsp:cNvSpPr/>
      </dsp:nvSpPr>
      <dsp:spPr>
        <a:xfrm>
          <a:off x="4417105" y="428967"/>
          <a:ext cx="936002" cy="1043999"/>
        </a:xfrm>
        <a:prstGeom prst="roundRect">
          <a:avLst/>
        </a:prstGeom>
        <a:solidFill>
          <a:srgbClr val="004595">
            <a:alpha val="6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b="1" kern="1200"/>
            <a:t>1</a:t>
          </a:r>
          <a:endParaRPr lang="cs-CZ" sz="1200" b="1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operace </a:t>
          </a:r>
          <a:br>
            <a:rPr lang="cs-CZ" sz="1200" kern="1200"/>
          </a:br>
          <a:r>
            <a:rPr lang="cs-CZ" sz="1200" kern="1200"/>
            <a:t>s reálným čerpáním</a:t>
          </a:r>
        </a:p>
      </dsp:txBody>
      <dsp:txXfrm>
        <a:off x="4462797" y="474659"/>
        <a:ext cx="844618" cy="952615"/>
      </dsp:txXfrm>
    </dsp:sp>
    <dsp:sp modelId="{94152E31-537A-4A41-BCFA-D29918F531F7}">
      <dsp:nvSpPr>
        <dsp:cNvPr id="0" name=""/>
        <dsp:cNvSpPr/>
      </dsp:nvSpPr>
      <dsp:spPr>
        <a:xfrm>
          <a:off x="3059139" y="338026"/>
          <a:ext cx="1027820" cy="1259992"/>
        </a:xfrm>
        <a:prstGeom prst="roundRect">
          <a:avLst/>
        </a:prstGeom>
        <a:solidFill>
          <a:srgbClr val="004595">
            <a:alpha val="69804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800" b="1" kern="1200"/>
            <a:t>2</a:t>
          </a:r>
          <a:endParaRPr lang="cs-CZ" sz="1200" b="1" kern="1200"/>
        </a:p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operace úspěšné </a:t>
          </a:r>
          <a:br>
            <a:rPr lang="cs-CZ" sz="1200" kern="1200"/>
          </a:br>
          <a:r>
            <a:rPr lang="cs-CZ" sz="1200" kern="1200"/>
            <a:t>z pohledu závazkování</a:t>
          </a:r>
        </a:p>
      </dsp:txBody>
      <dsp:txXfrm>
        <a:off x="3109313" y="388200"/>
        <a:ext cx="927472" cy="1159644"/>
      </dsp:txXfrm>
    </dsp:sp>
    <dsp:sp modelId="{5EDC00F3-6753-410D-8729-E3E11C0429CD}">
      <dsp:nvSpPr>
        <dsp:cNvPr id="0" name=""/>
        <dsp:cNvSpPr/>
      </dsp:nvSpPr>
      <dsp:spPr>
        <a:xfrm>
          <a:off x="1615349" y="182731"/>
          <a:ext cx="1151996" cy="1536471"/>
        </a:xfrm>
        <a:prstGeom prst="roundRect">
          <a:avLst/>
        </a:prstGeom>
        <a:solidFill>
          <a:srgbClr val="004595">
            <a:alpha val="80000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b="1" kern="1200"/>
            <a:t>6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operací realizovaných </a:t>
          </a:r>
          <a:br>
            <a:rPr lang="cs-CZ" sz="1200" kern="1200"/>
          </a:br>
          <a:r>
            <a:rPr lang="cs-CZ" sz="1200" kern="1200"/>
            <a:t>v ČR na základě výběru MZe</a:t>
          </a:r>
        </a:p>
      </dsp:txBody>
      <dsp:txXfrm>
        <a:off x="1671585" y="238967"/>
        <a:ext cx="1039524" cy="1423999"/>
      </dsp:txXfrm>
    </dsp:sp>
    <dsp:sp modelId="{BF2E9D1B-03C7-48CA-9768-D4C4F6F28B1D}">
      <dsp:nvSpPr>
        <dsp:cNvPr id="0" name=""/>
        <dsp:cNvSpPr/>
      </dsp:nvSpPr>
      <dsp:spPr>
        <a:xfrm>
          <a:off x="313170" y="653"/>
          <a:ext cx="1027820" cy="1902441"/>
        </a:xfrm>
        <a:prstGeom prst="roundRect">
          <a:avLst/>
        </a:prstGeom>
        <a:solidFill>
          <a:srgbClr val="004595">
            <a:alpha val="89804"/>
          </a:srgb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600" b="1" kern="1200"/>
            <a:t>11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kern="1200"/>
            <a:t>typů spolupráce dle evropských předpisů</a:t>
          </a:r>
        </a:p>
      </dsp:txBody>
      <dsp:txXfrm>
        <a:off x="363344" y="50827"/>
        <a:ext cx="927472" cy="18020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contDir" val="sameDir"/>
          <dgm:param type="flowDir" val="row"/>
          <dgm:param type="grDir" val="tL"/>
          <dgm:param type="off" val="ctr"/>
        </dgm:alg>
      </dgm:if>
      <dgm:else name="Name2">
        <dgm:alg type="snake">
          <dgm:param type="contDir" val="sameDir"/>
          <dgm:param type="flowDir" val="row"/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D6635C457454F8F4818D5BF313C31" ma:contentTypeVersion="1" ma:contentTypeDescription="Vytvořit nový dokument" ma:contentTypeScope="" ma:versionID="3a10ca6631ce4a6d861cb8d140cc29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6886ddc695c65c7f54ad55065a6a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EEBC8-6C84-4482-819F-9B61FE15D75C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A2638AC-E15C-40C1-BF5F-6ACB054EE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0B1BE-EA1C-46FD-BB66-B96F883C31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B7860F6-713F-4D43-AD1A-E8E5A901F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087CD9C-27C1-4D97-8C08-91AE6C489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56C7DA5E</Template>
  <TotalTime>14</TotalTime>
  <Pages>19</Pages>
  <Words>6344</Words>
  <Characters>36967</Characters>
  <Application>Microsoft Office Word</Application>
  <DocSecurity>0</DocSecurity>
  <Lines>308</Lines>
  <Paragraphs>86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17/26 - Peněžní prostředky určené na opatření Spolupráce v rámci Programu rozvoje venkova ČR na období 2014–2020</vt:lpstr>
    </vt:vector>
  </TitlesOfParts>
  <Company>NKU</Company>
  <LinksUpToDate>false</LinksUpToDate>
  <CharactersWithSpaces>43225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17/26 - Peněžní prostředky určené na opatření Spolupráce v rámci Programu rozvoje venkova ČR na období 2014–2020</dc:title>
  <dc:creator>Nejvyšší kontrolní úřad</dc:creator>
  <cp:lastModifiedBy>KOKRDA Daniel</cp:lastModifiedBy>
  <cp:revision>4</cp:revision>
  <cp:lastPrinted>2018-05-29T09:00:00Z</cp:lastPrinted>
  <dcterms:created xsi:type="dcterms:W3CDTF">2018-05-31T04:57:00Z</dcterms:created>
  <dcterms:modified xsi:type="dcterms:W3CDTF">2018-05-31T05:10:00Z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J">
    <vt:lpwstr>17/26-NKU30/311/18</vt:lpwstr>
  </property>
  <property fmtid="{D5CDD505-2E9C-101B-9397-08002B2CF9AE}" pid="4" name="CJ_PostaDoruc_PisemnostOdpovedNa_Pisemnost">
    <vt:lpwstr>XXX-XXX-XXX</vt:lpwstr>
  </property>
  <property fmtid="{D5CDD505-2E9C-101B-9397-08002B2CF9AE}" pid="5" name="CJ_Spis_Pisemnost">
    <vt:lpwstr>CJ/SPIS/ROK</vt:lpwstr>
  </property>
  <property fmtid="{D5CDD505-2E9C-101B-9397-08002B2CF9AE}" pid="6" name="Contact_PostaOdes_All">
    <vt:lpwstr>ROZDĚLOVNÍK...</vt:lpwstr>
  </property>
  <property fmtid="{D5CDD505-2E9C-101B-9397-08002B2CF9AE}" pid="7" name="ContentType">
    <vt:lpwstr>Dokument</vt:lpwstr>
  </property>
  <property fmtid="{D5CDD505-2E9C-101B-9397-08002B2CF9AE}" pid="8" name="ContentTypeId">
    <vt:lpwstr>0x010100489D6635C457454F8F4818D5BF313C31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19.4.2018</vt:lpwstr>
  </property>
  <property fmtid="{D5CDD505-2E9C-101B-9397-08002B2CF9AE}" pid="12" name="DisplayName_SpisovyUzel_PoziceZodpo_Pisemnost">
    <vt:lpwstr>Členové Úřadu</vt:lpwstr>
  </property>
  <property fmtid="{D5CDD505-2E9C-101B-9397-08002B2CF9AE}" pid="13" name="DisplayName_UserPoriz_Pisemnost">
    <vt:lpwstr>Bc. Jana Pokorná</vt:lpwstr>
  </property>
  <property fmtid="{D5CDD505-2E9C-101B-9397-08002B2CF9AE}" pid="14" name="EC_Pisemnost">
    <vt:lpwstr>18-5057/NKU</vt:lpwstr>
  </property>
  <property fmtid="{D5CDD505-2E9C-101B-9397-08002B2CF9AE}" pid="15" name="Key_BarCode_Pisemnost">
    <vt:lpwstr>*B000311673*</vt:lpwstr>
  </property>
  <property fmtid="{D5CDD505-2E9C-101B-9397-08002B2CF9AE}" pid="16" name="KRukam">
    <vt:lpwstr>{KRukam}</vt:lpwstr>
  </property>
  <property fmtid="{D5CDD505-2E9C-101B-9397-08002B2CF9AE}" pid="17" name="NameAddress_Contact_SpisovyUzel_PoziceZodpo_Pisemnost">
    <vt:lpwstr>ADRESÁT SU...</vt:lpwstr>
  </property>
  <property fmtid="{D5CDD505-2E9C-101B-9397-08002B2CF9AE}" pid="18" name="Odkaz">
    <vt:lpwstr>ODKAZ</vt:lpwstr>
  </property>
  <property fmtid="{D5CDD505-2E9C-101B-9397-08002B2CF9AE}" pid="19" name="Password_PisemnostTypZpristupneniInformaciZOSZ_Pisemnost">
    <vt:lpwstr>ZOSZ_Password</vt:lpwstr>
  </property>
  <property fmtid="{D5CDD505-2E9C-101B-9397-08002B2CF9AE}" pid="20" name="PocetListuDokumentu_Pisemnost">
    <vt:lpwstr>1</vt:lpwstr>
  </property>
  <property fmtid="{D5CDD505-2E9C-101B-9397-08002B2CF9AE}" pid="21" name="PocetListu_Pisemnost">
    <vt:lpwstr>1</vt:lpwstr>
  </property>
  <property fmtid="{D5CDD505-2E9C-101B-9397-08002B2CF9AE}" pid="22" name="PocetPriloh_Pisemnost">
    <vt:lpwstr>0</vt:lpwstr>
  </property>
  <property fmtid="{D5CDD505-2E9C-101B-9397-08002B2CF9AE}" pid="23" name="Podpis">
    <vt:lpwstr/>
  </property>
  <property fmtid="{D5CDD505-2E9C-101B-9397-08002B2CF9AE}" pid="24" name="PostalAddress_Contact_SpisovyUzel_PoziceZodpo_Pisemnost">
    <vt:lpwstr>ADRESA SU...</vt:lpwstr>
  </property>
  <property fmtid="{D5CDD505-2E9C-101B-9397-08002B2CF9AE}" pid="25" name="RC">
    <vt:lpwstr/>
  </property>
  <property fmtid="{D5CDD505-2E9C-101B-9397-08002B2CF9AE}" pid="26" name="SkartacniZnakLhuta_PisemnostZnak">
    <vt:lpwstr>?/?</vt:lpwstr>
  </property>
  <property fmtid="{D5CDD505-2E9C-101B-9397-08002B2CF9AE}" pid="27" name="SmlouvaCislo">
    <vt:lpwstr>ČÍSLO SMLOUVY</vt:lpwstr>
  </property>
  <property fmtid="{D5CDD505-2E9C-101B-9397-08002B2CF9AE}" pid="28" name="SZ_Spis_Pisemnost">
    <vt:lpwstr>17/26</vt:lpwstr>
  </property>
  <property fmtid="{D5CDD505-2E9C-101B-9397-08002B2CF9AE}" pid="29" name="TEST">
    <vt:lpwstr>testovací pole</vt:lpwstr>
  </property>
  <property fmtid="{D5CDD505-2E9C-101B-9397-08002B2CF9AE}" pid="30" name="TypPrilohy_Pisemnost">
    <vt:lpwstr>TYP PŘÍLOHY</vt:lpwstr>
  </property>
  <property fmtid="{D5CDD505-2E9C-101B-9397-08002B2CF9AE}" pid="31" name="UserName_PisemnostTypZpristupneniInformaciZOSZ_Pisemnost">
    <vt:lpwstr>ZOSZ_UserName</vt:lpwstr>
  </property>
  <property fmtid="{D5CDD505-2E9C-101B-9397-08002B2CF9AE}" pid="32" name="Vec_Pisemnost">
    <vt:lpwstr>Návrh kontrolního závěru 17/26 do připomínek</vt:lpwstr>
  </property>
  <property fmtid="{D5CDD505-2E9C-101B-9397-08002B2CF9AE}" pid="33" name="Zkratka_SpisovyUzel_PoziceZodpo_Pisemnost">
    <vt:lpwstr>30</vt:lpwstr>
  </property>
</Properties>
</file>