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58171" w14:textId="17223676" w:rsidR="000B5E04" w:rsidRDefault="000B5E04" w:rsidP="0099191B">
      <w:pPr>
        <w:jc w:val="both"/>
        <w:rPr>
          <w:rFonts w:ascii="Calibri" w:hAnsi="Calibri" w:cs="Calibri"/>
        </w:rPr>
      </w:pPr>
    </w:p>
    <w:p w14:paraId="2E62F557" w14:textId="7964B520" w:rsidR="00462F78" w:rsidRPr="00D15A6D" w:rsidRDefault="00462F78" w:rsidP="0099191B">
      <w:pPr>
        <w:jc w:val="both"/>
        <w:rPr>
          <w:rFonts w:ascii="Calibri" w:hAnsi="Calibri" w:cs="Calibri"/>
        </w:rPr>
      </w:pPr>
      <w:r w:rsidRPr="00A315CB">
        <w:rPr>
          <w:noProof/>
        </w:rPr>
        <w:drawing>
          <wp:anchor distT="0" distB="0" distL="114300" distR="114300" simplePos="0" relativeHeight="251658240" behindDoc="0" locked="0" layoutInCell="1" allowOverlap="1" wp14:anchorId="3386884A" wp14:editId="4B275473">
            <wp:simplePos x="0" y="0"/>
            <wp:positionH relativeFrom="column">
              <wp:posOffset>2487461</wp:posOffset>
            </wp:positionH>
            <wp:positionV relativeFrom="paragraph">
              <wp:posOffset>-1298</wp:posOffset>
            </wp:positionV>
            <wp:extent cx="780415" cy="560705"/>
            <wp:effectExtent l="0" t="0" r="635" b="0"/>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139141"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780415" cy="560705"/>
                    </a:xfrm>
                    <a:prstGeom prst="rect">
                      <a:avLst/>
                    </a:prstGeom>
                    <a:noFill/>
                  </pic:spPr>
                </pic:pic>
              </a:graphicData>
            </a:graphic>
            <wp14:sizeRelH relativeFrom="page">
              <wp14:pctWidth>0</wp14:pctWidth>
            </wp14:sizeRelH>
            <wp14:sizeRelV relativeFrom="page">
              <wp14:pctHeight>0</wp14:pctHeight>
            </wp14:sizeRelV>
          </wp:anchor>
        </w:drawing>
      </w:r>
    </w:p>
    <w:p w14:paraId="256ADFBA" w14:textId="77777777" w:rsidR="00462F78" w:rsidRPr="00D15A6D" w:rsidRDefault="00462F78" w:rsidP="0086658D"/>
    <w:p w14:paraId="1015A33D" w14:textId="77777777" w:rsidR="00462F78" w:rsidRPr="00582A7B" w:rsidRDefault="00462F78" w:rsidP="001B72F6">
      <w:pPr>
        <w:jc w:val="center"/>
        <w:rPr>
          <w:rFonts w:cstheme="minorHAnsi"/>
          <w:b/>
          <w:sz w:val="28"/>
        </w:rPr>
      </w:pPr>
      <w:bookmarkStart w:id="0" w:name="_GoBack"/>
      <w:r w:rsidRPr="00582A7B">
        <w:rPr>
          <w:rFonts w:cstheme="minorHAnsi"/>
          <w:b/>
          <w:sz w:val="28"/>
        </w:rPr>
        <w:t>Kontrolní závěr z kontrolní akce</w:t>
      </w:r>
    </w:p>
    <w:p w14:paraId="29240546" w14:textId="77777777" w:rsidR="00462F78" w:rsidRPr="00D15A6D" w:rsidRDefault="00462F78" w:rsidP="001B72F6">
      <w:pPr>
        <w:jc w:val="center"/>
        <w:rPr>
          <w:rFonts w:ascii="Calibri" w:hAnsi="Calibri" w:cs="Calibri"/>
        </w:rPr>
      </w:pPr>
    </w:p>
    <w:p w14:paraId="65EB050D" w14:textId="5A97A94E" w:rsidR="00462F78" w:rsidRPr="004C031F" w:rsidRDefault="00462F78" w:rsidP="001B72F6">
      <w:pPr>
        <w:ind w:right="68"/>
        <w:jc w:val="center"/>
        <w:rPr>
          <w:rFonts w:ascii="Calibri" w:hAnsi="Calibri" w:cs="Calibri"/>
          <w:b/>
          <w:bCs/>
          <w:sz w:val="28"/>
        </w:rPr>
      </w:pPr>
      <w:r w:rsidRPr="004C031F">
        <w:rPr>
          <w:rFonts w:ascii="Calibri" w:hAnsi="Calibri" w:cs="Calibri"/>
          <w:b/>
          <w:bCs/>
          <w:sz w:val="28"/>
        </w:rPr>
        <w:t>1</w:t>
      </w:r>
      <w:r>
        <w:rPr>
          <w:rFonts w:ascii="Calibri" w:hAnsi="Calibri" w:cs="Calibri"/>
          <w:b/>
          <w:bCs/>
          <w:sz w:val="28"/>
        </w:rPr>
        <w:t>7</w:t>
      </w:r>
      <w:r w:rsidRPr="004C031F">
        <w:rPr>
          <w:rFonts w:ascii="Calibri" w:hAnsi="Calibri" w:cs="Calibri"/>
          <w:b/>
          <w:bCs/>
          <w:sz w:val="28"/>
        </w:rPr>
        <w:t>/</w:t>
      </w:r>
      <w:r w:rsidR="001D380D">
        <w:rPr>
          <w:rFonts w:ascii="Calibri" w:hAnsi="Calibri" w:cs="Calibri"/>
          <w:b/>
          <w:bCs/>
          <w:sz w:val="28"/>
        </w:rPr>
        <w:t>25</w:t>
      </w:r>
    </w:p>
    <w:p w14:paraId="042DAD86" w14:textId="77777777" w:rsidR="00462F78" w:rsidRPr="00D15A6D" w:rsidRDefault="00462F78" w:rsidP="001B72F6">
      <w:pPr>
        <w:ind w:right="68"/>
        <w:jc w:val="center"/>
        <w:rPr>
          <w:rFonts w:ascii="Calibri" w:hAnsi="Calibri" w:cs="Calibri"/>
          <w:bCs/>
        </w:rPr>
      </w:pPr>
    </w:p>
    <w:p w14:paraId="6766B370" w14:textId="73CEDD3C" w:rsidR="007347A4" w:rsidRPr="007347A4" w:rsidRDefault="001D380D" w:rsidP="001B72F6">
      <w:pPr>
        <w:jc w:val="center"/>
        <w:rPr>
          <w:rFonts w:cstheme="minorHAnsi"/>
          <w:b/>
          <w:sz w:val="28"/>
          <w:szCs w:val="28"/>
        </w:rPr>
      </w:pPr>
      <w:r w:rsidRPr="001D380D">
        <w:rPr>
          <w:rFonts w:cstheme="minorHAnsi"/>
          <w:b/>
          <w:sz w:val="28"/>
          <w:szCs w:val="28"/>
        </w:rPr>
        <w:t>Peněžní prostředky poskytované České republice v rámci finančních mechanismů Evropského hospodářského prostoru a Norska</w:t>
      </w:r>
    </w:p>
    <w:bookmarkEnd w:id="0"/>
    <w:p w14:paraId="69FEADA5" w14:textId="77777777" w:rsidR="00462F78" w:rsidRDefault="00462F78" w:rsidP="0099191B">
      <w:pPr>
        <w:spacing w:line="264" w:lineRule="auto"/>
        <w:jc w:val="both"/>
        <w:rPr>
          <w:rFonts w:ascii="Calibri" w:hAnsi="Calibri" w:cs="Calibri"/>
        </w:rPr>
      </w:pPr>
    </w:p>
    <w:p w14:paraId="6A588A9A" w14:textId="77777777" w:rsidR="00462F78" w:rsidRPr="004C031F" w:rsidRDefault="00462F78" w:rsidP="0099191B">
      <w:pPr>
        <w:spacing w:line="264" w:lineRule="auto"/>
        <w:jc w:val="both"/>
        <w:rPr>
          <w:rFonts w:ascii="Calibri" w:hAnsi="Calibri" w:cs="Calibri"/>
        </w:rPr>
      </w:pPr>
    </w:p>
    <w:p w14:paraId="61CA12DB" w14:textId="1F4CC6BB" w:rsidR="00462F78" w:rsidRPr="004C031F" w:rsidRDefault="00462F78" w:rsidP="0099191B">
      <w:pPr>
        <w:pStyle w:val="Zkladn"/>
        <w:spacing w:before="0"/>
        <w:rPr>
          <w:rFonts w:ascii="Calibri" w:hAnsi="Calibri" w:cs="Calibri"/>
        </w:rPr>
      </w:pPr>
      <w:r w:rsidRPr="004C031F">
        <w:rPr>
          <w:rFonts w:ascii="Calibri" w:hAnsi="Calibri" w:cs="Calibri"/>
        </w:rPr>
        <w:t>Kontrolní akce byla zařazena do plánu kontrolní činnosti Nejvyššího kontrolního úřadu (dále</w:t>
      </w:r>
      <w:r>
        <w:rPr>
          <w:rFonts w:ascii="Calibri" w:hAnsi="Calibri" w:cs="Calibri"/>
        </w:rPr>
        <w:t> </w:t>
      </w:r>
      <w:r w:rsidRPr="004C031F">
        <w:rPr>
          <w:rFonts w:ascii="Calibri" w:hAnsi="Calibri" w:cs="Calibri"/>
        </w:rPr>
        <w:t>jen „NKÚ“) na rok 201</w:t>
      </w:r>
      <w:r>
        <w:rPr>
          <w:rFonts w:ascii="Calibri" w:hAnsi="Calibri" w:cs="Calibri"/>
        </w:rPr>
        <w:t>7</w:t>
      </w:r>
      <w:r w:rsidRPr="004C031F">
        <w:rPr>
          <w:rFonts w:ascii="Calibri" w:hAnsi="Calibri" w:cs="Calibri"/>
        </w:rPr>
        <w:t xml:space="preserve"> pod číslem 1</w:t>
      </w:r>
      <w:r>
        <w:rPr>
          <w:rFonts w:ascii="Calibri" w:hAnsi="Calibri" w:cs="Calibri"/>
        </w:rPr>
        <w:t>7</w:t>
      </w:r>
      <w:r w:rsidRPr="004C031F">
        <w:rPr>
          <w:rFonts w:ascii="Calibri" w:hAnsi="Calibri" w:cs="Calibri"/>
        </w:rPr>
        <w:t>/</w:t>
      </w:r>
      <w:r w:rsidR="001D380D">
        <w:rPr>
          <w:rFonts w:ascii="Calibri" w:hAnsi="Calibri" w:cs="Calibri"/>
        </w:rPr>
        <w:t>25</w:t>
      </w:r>
      <w:r w:rsidRPr="004C031F">
        <w:rPr>
          <w:rFonts w:ascii="Calibri" w:hAnsi="Calibri" w:cs="Calibri"/>
        </w:rPr>
        <w:t>. Kontrolní akci řídil</w:t>
      </w:r>
      <w:r w:rsidR="001D380D">
        <w:rPr>
          <w:rFonts w:ascii="Calibri" w:hAnsi="Calibri" w:cs="Calibri"/>
        </w:rPr>
        <w:t>a</w:t>
      </w:r>
      <w:r w:rsidRPr="004C031F">
        <w:rPr>
          <w:rFonts w:ascii="Calibri" w:hAnsi="Calibri" w:cs="Calibri"/>
        </w:rPr>
        <w:t xml:space="preserve"> a</w:t>
      </w:r>
      <w:r>
        <w:rPr>
          <w:rFonts w:ascii="Calibri" w:hAnsi="Calibri" w:cs="Calibri"/>
        </w:rPr>
        <w:t xml:space="preserve"> </w:t>
      </w:r>
      <w:r w:rsidRPr="004C031F">
        <w:rPr>
          <w:rFonts w:ascii="Calibri" w:hAnsi="Calibri" w:cs="Calibri"/>
        </w:rPr>
        <w:t>kontrolní závěr vypracoval</w:t>
      </w:r>
      <w:r w:rsidR="001D380D">
        <w:rPr>
          <w:rFonts w:ascii="Calibri" w:hAnsi="Calibri" w:cs="Calibri"/>
        </w:rPr>
        <w:t>a</w:t>
      </w:r>
      <w:r w:rsidRPr="004C031F">
        <w:rPr>
          <w:rFonts w:ascii="Calibri" w:hAnsi="Calibri" w:cs="Calibri"/>
        </w:rPr>
        <w:t xml:space="preserve"> člen</w:t>
      </w:r>
      <w:r w:rsidR="001D380D">
        <w:rPr>
          <w:rFonts w:ascii="Calibri" w:hAnsi="Calibri" w:cs="Calibri"/>
        </w:rPr>
        <w:t>ka</w:t>
      </w:r>
      <w:r w:rsidRPr="004C031F">
        <w:rPr>
          <w:rFonts w:ascii="Calibri" w:hAnsi="Calibri" w:cs="Calibri"/>
        </w:rPr>
        <w:t xml:space="preserve"> NKÚ </w:t>
      </w:r>
      <w:r w:rsidR="001D380D">
        <w:rPr>
          <w:rFonts w:ascii="Calibri" w:hAnsi="Calibri" w:cs="Calibri"/>
        </w:rPr>
        <w:t>Ing</w:t>
      </w:r>
      <w:r w:rsidRPr="004C031F">
        <w:rPr>
          <w:rFonts w:ascii="Calibri" w:hAnsi="Calibri" w:cs="Calibri"/>
        </w:rPr>
        <w:t>.</w:t>
      </w:r>
      <w:r w:rsidR="001D380D">
        <w:rPr>
          <w:rFonts w:ascii="Calibri" w:hAnsi="Calibri" w:cs="Calibri"/>
        </w:rPr>
        <w:t xml:space="preserve"> Hana </w:t>
      </w:r>
      <w:proofErr w:type="spellStart"/>
      <w:r w:rsidR="001D380D">
        <w:rPr>
          <w:rFonts w:ascii="Calibri" w:hAnsi="Calibri" w:cs="Calibri"/>
        </w:rPr>
        <w:t>Hykšová</w:t>
      </w:r>
      <w:proofErr w:type="spellEnd"/>
      <w:r w:rsidR="001D380D">
        <w:rPr>
          <w:rFonts w:ascii="Calibri" w:hAnsi="Calibri" w:cs="Calibri"/>
        </w:rPr>
        <w:t>.</w:t>
      </w:r>
      <w:r>
        <w:rPr>
          <w:rFonts w:ascii="Calibri" w:hAnsi="Calibri" w:cs="Calibri"/>
        </w:rPr>
        <w:t xml:space="preserve"> </w:t>
      </w:r>
    </w:p>
    <w:p w14:paraId="20423E64" w14:textId="77777777" w:rsidR="00462F78" w:rsidRPr="004C031F" w:rsidRDefault="00462F78" w:rsidP="0099191B">
      <w:pPr>
        <w:pStyle w:val="Zkladntextodsazen"/>
        <w:spacing w:after="0"/>
        <w:ind w:left="0"/>
        <w:jc w:val="both"/>
        <w:rPr>
          <w:rFonts w:ascii="Calibri" w:hAnsi="Calibri" w:cs="Calibri"/>
        </w:rPr>
      </w:pPr>
    </w:p>
    <w:p w14:paraId="6F3B31E0" w14:textId="652CBE25" w:rsidR="001D380D" w:rsidRDefault="001D380D" w:rsidP="0099191B">
      <w:pPr>
        <w:jc w:val="both"/>
        <w:rPr>
          <w:rFonts w:cstheme="minorHAnsi"/>
          <w:lang w:eastAsia="en-US"/>
        </w:rPr>
      </w:pPr>
      <w:r w:rsidRPr="001D380D">
        <w:rPr>
          <w:rFonts w:cstheme="minorHAnsi"/>
          <w:lang w:eastAsia="en-US"/>
        </w:rPr>
        <w:t>Cíle</w:t>
      </w:r>
      <w:r>
        <w:rPr>
          <w:rFonts w:cstheme="minorHAnsi"/>
          <w:lang w:eastAsia="en-US"/>
        </w:rPr>
        <w:t>m</w:t>
      </w:r>
      <w:r w:rsidRPr="001D380D">
        <w:rPr>
          <w:rFonts w:cstheme="minorHAnsi"/>
          <w:lang w:eastAsia="en-US"/>
        </w:rPr>
        <w:t xml:space="preserve"> kontroly bylo prověřit, zda peněžní prostředky určené na realizaci aktivit podporovaných z finančních mechanismů Evropského hospodářského prostoru a Norska byly poskytnuty a použity v souladu s právními předpisy a stanovenými podmínkami, zda systém implementace je efektivní a zda je dosahováno cílů jednotlivých programů.</w:t>
      </w:r>
    </w:p>
    <w:p w14:paraId="11586AD8" w14:textId="77777777" w:rsidR="00462F78" w:rsidRPr="002F4931" w:rsidRDefault="00462F78" w:rsidP="0099191B">
      <w:pPr>
        <w:jc w:val="both"/>
        <w:rPr>
          <w:rFonts w:cstheme="minorHAnsi"/>
          <w:noProof/>
          <w:color w:val="000000"/>
        </w:rPr>
      </w:pPr>
    </w:p>
    <w:p w14:paraId="08078EEE" w14:textId="536F9011" w:rsidR="00462F78" w:rsidRPr="004C031F" w:rsidRDefault="00462F78" w:rsidP="0099191B">
      <w:pPr>
        <w:pStyle w:val="Zkladntextodsazen"/>
        <w:spacing w:after="0"/>
        <w:ind w:left="0"/>
        <w:jc w:val="both"/>
        <w:rPr>
          <w:rFonts w:ascii="Calibri" w:hAnsi="Calibri" w:cs="Calibri"/>
        </w:rPr>
      </w:pPr>
      <w:r w:rsidRPr="004C031F">
        <w:rPr>
          <w:rFonts w:ascii="Calibri" w:hAnsi="Calibri" w:cs="Calibri"/>
        </w:rPr>
        <w:t>Kontrolováno bylo období od roku 20</w:t>
      </w:r>
      <w:r>
        <w:rPr>
          <w:rFonts w:ascii="Calibri" w:hAnsi="Calibri" w:cs="Calibri"/>
        </w:rPr>
        <w:t>1</w:t>
      </w:r>
      <w:r w:rsidR="001D380D">
        <w:rPr>
          <w:rFonts w:ascii="Calibri" w:hAnsi="Calibri" w:cs="Calibri"/>
        </w:rPr>
        <w:t>1</w:t>
      </w:r>
      <w:r w:rsidRPr="004C031F">
        <w:rPr>
          <w:rFonts w:ascii="Calibri" w:hAnsi="Calibri" w:cs="Calibri"/>
        </w:rPr>
        <w:t xml:space="preserve"> do roku 201</w:t>
      </w:r>
      <w:r w:rsidR="001D380D">
        <w:rPr>
          <w:rFonts w:ascii="Calibri" w:hAnsi="Calibri" w:cs="Calibri"/>
        </w:rPr>
        <w:t>7</w:t>
      </w:r>
      <w:r w:rsidRPr="004C031F">
        <w:rPr>
          <w:rFonts w:ascii="Calibri" w:hAnsi="Calibri" w:cs="Calibri"/>
        </w:rPr>
        <w:t xml:space="preserve">, v případě věcných souvislostí i období </w:t>
      </w:r>
      <w:r w:rsidRPr="00D95701">
        <w:rPr>
          <w:rFonts w:ascii="Calibri" w:hAnsi="Calibri" w:cs="Calibri"/>
        </w:rPr>
        <w:t>předcházející a následující</w:t>
      </w:r>
      <w:r w:rsidRPr="004C031F">
        <w:rPr>
          <w:rFonts w:ascii="Calibri" w:hAnsi="Calibri" w:cs="Calibri"/>
        </w:rPr>
        <w:t xml:space="preserve">. Kontrola byla u kontrolovaných osob </w:t>
      </w:r>
      <w:r w:rsidR="00057447" w:rsidRPr="004C031F">
        <w:rPr>
          <w:rFonts w:ascii="Calibri" w:hAnsi="Calibri" w:cs="Calibri"/>
        </w:rPr>
        <w:t xml:space="preserve">prováděna </w:t>
      </w:r>
      <w:r w:rsidRPr="004C031F">
        <w:rPr>
          <w:rFonts w:ascii="Calibri" w:hAnsi="Calibri" w:cs="Calibri"/>
        </w:rPr>
        <w:t xml:space="preserve">od </w:t>
      </w:r>
      <w:r w:rsidR="001D380D">
        <w:rPr>
          <w:rFonts w:ascii="Calibri" w:hAnsi="Calibri" w:cs="Calibri"/>
        </w:rPr>
        <w:t>srpna</w:t>
      </w:r>
      <w:r>
        <w:rPr>
          <w:rFonts w:ascii="Calibri" w:hAnsi="Calibri" w:cs="Calibri"/>
        </w:rPr>
        <w:t xml:space="preserve"> </w:t>
      </w:r>
      <w:r w:rsidR="001D380D">
        <w:rPr>
          <w:rFonts w:ascii="Calibri" w:hAnsi="Calibri" w:cs="Calibri"/>
        </w:rPr>
        <w:t xml:space="preserve">2017 </w:t>
      </w:r>
      <w:r w:rsidRPr="004C031F">
        <w:rPr>
          <w:rFonts w:ascii="Calibri" w:hAnsi="Calibri" w:cs="Calibri"/>
        </w:rPr>
        <w:t xml:space="preserve">do </w:t>
      </w:r>
      <w:r w:rsidR="00BA09C6">
        <w:rPr>
          <w:rFonts w:ascii="Calibri" w:hAnsi="Calibri" w:cs="Calibri"/>
        </w:rPr>
        <w:t>března</w:t>
      </w:r>
      <w:r>
        <w:rPr>
          <w:rFonts w:ascii="Calibri" w:hAnsi="Calibri" w:cs="Calibri"/>
        </w:rPr>
        <w:t xml:space="preserve"> 201</w:t>
      </w:r>
      <w:r w:rsidR="001D380D">
        <w:rPr>
          <w:rFonts w:ascii="Calibri" w:hAnsi="Calibri" w:cs="Calibri"/>
        </w:rPr>
        <w:t>8</w:t>
      </w:r>
      <w:r w:rsidRPr="004C031F">
        <w:rPr>
          <w:rFonts w:ascii="Calibri" w:hAnsi="Calibri" w:cs="Calibri"/>
        </w:rPr>
        <w:t>.</w:t>
      </w:r>
    </w:p>
    <w:p w14:paraId="2502E541" w14:textId="77777777" w:rsidR="00462F78" w:rsidRPr="004C031F" w:rsidRDefault="00462F78" w:rsidP="0099191B">
      <w:pPr>
        <w:pStyle w:val="Zkladn"/>
        <w:spacing w:before="0"/>
        <w:rPr>
          <w:rFonts w:ascii="Calibri" w:hAnsi="Calibri" w:cs="Calibri"/>
        </w:rPr>
      </w:pPr>
    </w:p>
    <w:p w14:paraId="7B21A934" w14:textId="77777777" w:rsidR="00462F78" w:rsidRPr="005D70FF" w:rsidRDefault="00462F78" w:rsidP="0099191B">
      <w:pPr>
        <w:pStyle w:val="Zkladn"/>
        <w:spacing w:before="0"/>
        <w:rPr>
          <w:rFonts w:ascii="Calibri" w:hAnsi="Calibri" w:cs="Calibri"/>
          <w:b/>
        </w:rPr>
      </w:pPr>
      <w:r w:rsidRPr="005D70FF">
        <w:rPr>
          <w:rFonts w:ascii="Calibri" w:hAnsi="Calibri" w:cs="Calibri"/>
          <w:b/>
        </w:rPr>
        <w:t>Kontrolované osoby:</w:t>
      </w:r>
    </w:p>
    <w:p w14:paraId="5521DDA4" w14:textId="1EBDC939" w:rsidR="005E5302" w:rsidRDefault="00462F78" w:rsidP="0099191B">
      <w:pPr>
        <w:pStyle w:val="Zkladn"/>
        <w:spacing w:before="0"/>
        <w:rPr>
          <w:rFonts w:ascii="Calibri" w:hAnsi="Calibri" w:cs="Calibri"/>
        </w:rPr>
      </w:pPr>
      <w:r w:rsidRPr="00DC6325">
        <w:rPr>
          <w:rFonts w:ascii="Calibri" w:hAnsi="Calibri" w:cs="Calibri"/>
        </w:rPr>
        <w:t xml:space="preserve">Ministerstvo </w:t>
      </w:r>
      <w:r w:rsidR="001D380D">
        <w:rPr>
          <w:rFonts w:ascii="Calibri" w:hAnsi="Calibri" w:cs="Calibri"/>
        </w:rPr>
        <w:t>financí</w:t>
      </w:r>
      <w:r w:rsidRPr="00DC6325">
        <w:rPr>
          <w:rFonts w:ascii="Calibri" w:hAnsi="Calibri" w:cs="Calibri"/>
        </w:rPr>
        <w:t xml:space="preserve"> (dále také „</w:t>
      </w:r>
      <w:r w:rsidR="001D380D">
        <w:rPr>
          <w:rFonts w:ascii="Calibri" w:hAnsi="Calibri" w:cs="Calibri"/>
        </w:rPr>
        <w:t>MF</w:t>
      </w:r>
      <w:r w:rsidRPr="00DC6325">
        <w:rPr>
          <w:rFonts w:ascii="Calibri" w:hAnsi="Calibri" w:cs="Calibri"/>
        </w:rPr>
        <w:t>“)</w:t>
      </w:r>
      <w:r w:rsidR="0075373E">
        <w:rPr>
          <w:rFonts w:ascii="Calibri" w:hAnsi="Calibri" w:cs="Calibri"/>
        </w:rPr>
        <w:t>;</w:t>
      </w:r>
      <w:r w:rsidR="001D380D">
        <w:rPr>
          <w:rFonts w:ascii="Calibri" w:hAnsi="Calibri" w:cs="Calibri"/>
        </w:rPr>
        <w:t xml:space="preserve"> </w:t>
      </w:r>
      <w:r w:rsidR="005E5302">
        <w:rPr>
          <w:rFonts w:ascii="Calibri" w:hAnsi="Calibri" w:cs="Calibri"/>
        </w:rPr>
        <w:t>Ministerstvo spravedlnosti (dále také „</w:t>
      </w:r>
      <w:proofErr w:type="spellStart"/>
      <w:r w:rsidR="005E5302">
        <w:rPr>
          <w:rFonts w:ascii="Calibri" w:hAnsi="Calibri" w:cs="Calibri"/>
        </w:rPr>
        <w:t>MSp</w:t>
      </w:r>
      <w:proofErr w:type="spellEnd"/>
      <w:r w:rsidR="00521E07">
        <w:rPr>
          <w:rFonts w:ascii="Calibri" w:hAnsi="Calibri" w:cs="Calibri"/>
        </w:rPr>
        <w:t>“</w:t>
      </w:r>
      <w:r w:rsidR="005E5302">
        <w:rPr>
          <w:rFonts w:ascii="Calibri" w:hAnsi="Calibri" w:cs="Calibri"/>
        </w:rPr>
        <w:t xml:space="preserve">); </w:t>
      </w:r>
      <w:r w:rsidR="001D380D">
        <w:rPr>
          <w:rFonts w:ascii="Calibri" w:hAnsi="Calibri" w:cs="Calibri"/>
        </w:rPr>
        <w:t xml:space="preserve">Ministerstvo školství, mládeže a tělovýchovy (dále také „MŠMT“); </w:t>
      </w:r>
      <w:r w:rsidR="005E5302" w:rsidRPr="005E5302">
        <w:rPr>
          <w:rFonts w:ascii="Calibri" w:hAnsi="Calibri" w:cs="Calibri"/>
        </w:rPr>
        <w:t>Vězeňská služba České republiky</w:t>
      </w:r>
      <w:r w:rsidR="00B6010B">
        <w:rPr>
          <w:rFonts w:ascii="Calibri" w:hAnsi="Calibri" w:cs="Calibri"/>
        </w:rPr>
        <w:t>, Praha</w:t>
      </w:r>
      <w:r w:rsidR="005E5302">
        <w:rPr>
          <w:rFonts w:ascii="Calibri" w:hAnsi="Calibri" w:cs="Calibri"/>
        </w:rPr>
        <w:t xml:space="preserve">; </w:t>
      </w:r>
      <w:r w:rsidR="001D380D">
        <w:rPr>
          <w:rFonts w:ascii="Calibri" w:hAnsi="Calibri" w:cs="Calibri"/>
        </w:rPr>
        <w:t xml:space="preserve">Nadace Open Society </w:t>
      </w:r>
      <w:proofErr w:type="spellStart"/>
      <w:r w:rsidR="001D380D">
        <w:rPr>
          <w:rFonts w:ascii="Calibri" w:hAnsi="Calibri" w:cs="Calibri"/>
        </w:rPr>
        <w:t>Fund</w:t>
      </w:r>
      <w:proofErr w:type="spellEnd"/>
      <w:r w:rsidR="001D380D">
        <w:rPr>
          <w:rFonts w:ascii="Calibri" w:hAnsi="Calibri" w:cs="Calibri"/>
        </w:rPr>
        <w:t xml:space="preserve"> Praha (dále také „NOSFP“); </w:t>
      </w:r>
      <w:r w:rsidR="005E5302" w:rsidRPr="005E5302">
        <w:rPr>
          <w:rFonts w:ascii="Calibri" w:hAnsi="Calibri" w:cs="Calibri"/>
        </w:rPr>
        <w:t xml:space="preserve">Římskokatolická farnost u kostela </w:t>
      </w:r>
      <w:proofErr w:type="spellStart"/>
      <w:proofErr w:type="gramStart"/>
      <w:r w:rsidR="005E5302" w:rsidRPr="005E5302">
        <w:rPr>
          <w:rFonts w:ascii="Calibri" w:hAnsi="Calibri" w:cs="Calibri"/>
        </w:rPr>
        <w:t>sv.Jakuba</w:t>
      </w:r>
      <w:proofErr w:type="spellEnd"/>
      <w:proofErr w:type="gramEnd"/>
      <w:r w:rsidR="005E5302" w:rsidRPr="005E5302">
        <w:rPr>
          <w:rFonts w:ascii="Calibri" w:hAnsi="Calibri" w:cs="Calibri"/>
        </w:rPr>
        <w:t>, Brno</w:t>
      </w:r>
      <w:r w:rsidR="005E5302">
        <w:rPr>
          <w:rFonts w:ascii="Calibri" w:hAnsi="Calibri" w:cs="Calibri"/>
        </w:rPr>
        <w:t xml:space="preserve">; </w:t>
      </w:r>
      <w:r w:rsidR="00902F54" w:rsidRPr="005E5302">
        <w:rPr>
          <w:rFonts w:ascii="Calibri" w:hAnsi="Calibri" w:cs="Calibri"/>
        </w:rPr>
        <w:t>Ústav makromolekulární chemie AV ČR, v.</w:t>
      </w:r>
      <w:r w:rsidR="000D5819">
        <w:rPr>
          <w:rFonts w:ascii="Calibri" w:hAnsi="Calibri" w:cs="Calibri"/>
        </w:rPr>
        <w:t> </w:t>
      </w:r>
      <w:r w:rsidR="00902F54" w:rsidRPr="005E5302">
        <w:rPr>
          <w:rFonts w:ascii="Calibri" w:hAnsi="Calibri" w:cs="Calibri"/>
        </w:rPr>
        <w:t>v.</w:t>
      </w:r>
      <w:r w:rsidR="000D5819">
        <w:rPr>
          <w:rFonts w:ascii="Calibri" w:hAnsi="Calibri" w:cs="Calibri"/>
        </w:rPr>
        <w:t> </w:t>
      </w:r>
      <w:r w:rsidR="00902F54" w:rsidRPr="005E5302">
        <w:rPr>
          <w:rFonts w:ascii="Calibri" w:hAnsi="Calibri" w:cs="Calibri"/>
        </w:rPr>
        <w:t>i.</w:t>
      </w:r>
      <w:r w:rsidR="00902F54">
        <w:rPr>
          <w:rFonts w:ascii="Calibri" w:hAnsi="Calibri" w:cs="Calibri"/>
        </w:rPr>
        <w:t xml:space="preserve">, Praha; </w:t>
      </w:r>
      <w:r w:rsidR="00902F54" w:rsidRPr="005E5302">
        <w:rPr>
          <w:rFonts w:ascii="Calibri" w:hAnsi="Calibri" w:cs="Calibri"/>
        </w:rPr>
        <w:t>Univerzita Karlova</w:t>
      </w:r>
      <w:r w:rsidR="00902F54">
        <w:rPr>
          <w:rFonts w:ascii="Calibri" w:hAnsi="Calibri" w:cs="Calibri"/>
        </w:rPr>
        <w:t xml:space="preserve">; </w:t>
      </w:r>
      <w:r w:rsidR="00902F54" w:rsidRPr="005E5302">
        <w:rPr>
          <w:rFonts w:ascii="Calibri" w:hAnsi="Calibri" w:cs="Calibri"/>
        </w:rPr>
        <w:t>PIVOVAR SVIJANY, a.s., Svijany</w:t>
      </w:r>
      <w:r w:rsidR="00902F54">
        <w:rPr>
          <w:rFonts w:ascii="Calibri" w:hAnsi="Calibri" w:cs="Calibri"/>
        </w:rPr>
        <w:t xml:space="preserve">; </w:t>
      </w:r>
      <w:r w:rsidR="00902F54" w:rsidRPr="005E5302">
        <w:rPr>
          <w:rFonts w:ascii="Calibri" w:hAnsi="Calibri" w:cs="Calibri"/>
        </w:rPr>
        <w:t>Muzeum hlavního města Prahy</w:t>
      </w:r>
      <w:r w:rsidR="00902F54">
        <w:rPr>
          <w:rFonts w:ascii="Calibri" w:hAnsi="Calibri" w:cs="Calibri"/>
        </w:rPr>
        <w:t>,</w:t>
      </w:r>
      <w:r w:rsidR="00B6010B">
        <w:rPr>
          <w:rFonts w:ascii="Calibri" w:hAnsi="Calibri" w:cs="Calibri"/>
        </w:rPr>
        <w:t xml:space="preserve"> Kožná 1,</w:t>
      </w:r>
      <w:r w:rsidR="00902F54">
        <w:rPr>
          <w:rFonts w:ascii="Calibri" w:hAnsi="Calibri" w:cs="Calibri"/>
        </w:rPr>
        <w:t xml:space="preserve"> Praha; Gender </w:t>
      </w:r>
      <w:proofErr w:type="spellStart"/>
      <w:r w:rsidR="00902F54">
        <w:rPr>
          <w:rFonts w:ascii="Calibri" w:hAnsi="Calibri" w:cs="Calibri"/>
        </w:rPr>
        <w:t>studies</w:t>
      </w:r>
      <w:proofErr w:type="spellEnd"/>
      <w:r w:rsidR="00902F54">
        <w:rPr>
          <w:rFonts w:ascii="Calibri" w:hAnsi="Calibri" w:cs="Calibri"/>
        </w:rPr>
        <w:t xml:space="preserve">, o.p.s., Praha; </w:t>
      </w:r>
      <w:proofErr w:type="gramStart"/>
      <w:r w:rsidR="00902F54" w:rsidRPr="005E5302">
        <w:rPr>
          <w:rFonts w:ascii="Calibri" w:hAnsi="Calibri" w:cs="Calibri"/>
        </w:rPr>
        <w:t xml:space="preserve">SANANIM z. </w:t>
      </w:r>
      <w:proofErr w:type="spellStart"/>
      <w:r w:rsidR="00902F54" w:rsidRPr="005E5302">
        <w:rPr>
          <w:rFonts w:ascii="Calibri" w:hAnsi="Calibri" w:cs="Calibri"/>
        </w:rPr>
        <w:t>ú.</w:t>
      </w:r>
      <w:proofErr w:type="spellEnd"/>
      <w:r w:rsidR="00902F54" w:rsidRPr="005E5302">
        <w:rPr>
          <w:rFonts w:ascii="Calibri" w:hAnsi="Calibri" w:cs="Calibri"/>
        </w:rPr>
        <w:t>, Praha</w:t>
      </w:r>
      <w:proofErr w:type="gramEnd"/>
      <w:r w:rsidR="00902F54">
        <w:rPr>
          <w:rFonts w:ascii="Calibri" w:hAnsi="Calibri" w:cs="Calibri"/>
        </w:rPr>
        <w:t xml:space="preserve">; </w:t>
      </w:r>
      <w:proofErr w:type="spellStart"/>
      <w:r w:rsidR="00902F54" w:rsidRPr="005E5302">
        <w:rPr>
          <w:rFonts w:ascii="Calibri" w:hAnsi="Calibri" w:cs="Calibri"/>
        </w:rPr>
        <w:t>Portus</w:t>
      </w:r>
      <w:proofErr w:type="spellEnd"/>
      <w:r w:rsidR="00902F54" w:rsidRPr="005E5302">
        <w:rPr>
          <w:rFonts w:ascii="Calibri" w:hAnsi="Calibri" w:cs="Calibri"/>
        </w:rPr>
        <w:t xml:space="preserve"> Prachatice, o.p.s., Prachatice</w:t>
      </w:r>
      <w:r w:rsidR="00902F54">
        <w:rPr>
          <w:rFonts w:ascii="Calibri" w:hAnsi="Calibri" w:cs="Calibri"/>
        </w:rPr>
        <w:t xml:space="preserve">; </w:t>
      </w:r>
      <w:r w:rsidR="00902F54" w:rsidRPr="005E5302">
        <w:rPr>
          <w:rFonts w:ascii="Calibri" w:hAnsi="Calibri" w:cs="Calibri"/>
        </w:rPr>
        <w:t>Oblastní spolek Českého červeného kříže Prachatice</w:t>
      </w:r>
      <w:r w:rsidR="00902F54">
        <w:rPr>
          <w:rFonts w:ascii="Calibri" w:hAnsi="Calibri" w:cs="Calibri"/>
        </w:rPr>
        <w:t xml:space="preserve">; </w:t>
      </w:r>
      <w:r w:rsidR="005E5302" w:rsidRPr="005E5302">
        <w:rPr>
          <w:rFonts w:ascii="Calibri" w:hAnsi="Calibri" w:cs="Calibri"/>
        </w:rPr>
        <w:t>Židovská obec Brno</w:t>
      </w:r>
      <w:r w:rsidR="00902F54">
        <w:rPr>
          <w:rFonts w:ascii="Calibri" w:hAnsi="Calibri" w:cs="Calibri"/>
        </w:rPr>
        <w:t xml:space="preserve">; </w:t>
      </w:r>
      <w:r w:rsidR="005E5302" w:rsidRPr="005E5302">
        <w:rPr>
          <w:rFonts w:ascii="Calibri" w:hAnsi="Calibri" w:cs="Calibri"/>
        </w:rPr>
        <w:t xml:space="preserve">SPONDEA, o.p.s., </w:t>
      </w:r>
      <w:r w:rsidR="00902F54">
        <w:rPr>
          <w:rFonts w:ascii="Calibri" w:hAnsi="Calibri" w:cs="Calibri"/>
        </w:rPr>
        <w:t>Brno.</w:t>
      </w:r>
    </w:p>
    <w:p w14:paraId="2632179F" w14:textId="77777777" w:rsidR="007347A4" w:rsidRDefault="007347A4" w:rsidP="0099191B">
      <w:pPr>
        <w:pStyle w:val="Zkladn"/>
        <w:spacing w:before="0"/>
        <w:rPr>
          <w:rFonts w:ascii="Calibri" w:hAnsi="Calibri" w:cs="Calibri"/>
        </w:rPr>
      </w:pPr>
    </w:p>
    <w:p w14:paraId="6AC1012E" w14:textId="63BFE0C0" w:rsidR="00462F78" w:rsidRPr="00FF31C7" w:rsidRDefault="00462F78" w:rsidP="0099191B">
      <w:pPr>
        <w:pStyle w:val="Zkladn"/>
        <w:spacing w:before="0"/>
        <w:rPr>
          <w:rFonts w:cs="Calibri"/>
        </w:rPr>
      </w:pPr>
      <w:r w:rsidRPr="00EF4251">
        <w:rPr>
          <w:rFonts w:cs="Calibri"/>
        </w:rPr>
        <w:t>Námitky</w:t>
      </w:r>
      <w:r w:rsidR="00902F54" w:rsidRPr="00EF4251">
        <w:rPr>
          <w:rFonts w:cs="Calibri"/>
        </w:rPr>
        <w:t xml:space="preserve">, které </w:t>
      </w:r>
      <w:r w:rsidRPr="00EF4251">
        <w:rPr>
          <w:rFonts w:cs="Calibri"/>
        </w:rPr>
        <w:t xml:space="preserve">proti kontrolním protokolům </w:t>
      </w:r>
      <w:r w:rsidR="00902F54" w:rsidRPr="00EF4251">
        <w:rPr>
          <w:rFonts w:cs="Calibri"/>
        </w:rPr>
        <w:t xml:space="preserve">podaly </w:t>
      </w:r>
      <w:r w:rsidR="00BA09C6" w:rsidRPr="00EF4251">
        <w:rPr>
          <w:rFonts w:cs="Calibri"/>
        </w:rPr>
        <w:t xml:space="preserve">MF, </w:t>
      </w:r>
      <w:r w:rsidR="00902F54" w:rsidRPr="00EF4251">
        <w:rPr>
          <w:rFonts w:cs="Calibri"/>
        </w:rPr>
        <w:t>MŠMT a NOSFP</w:t>
      </w:r>
      <w:r w:rsidR="00AB0DB4" w:rsidRPr="00EF4251">
        <w:rPr>
          <w:rFonts w:cs="Calibri"/>
        </w:rPr>
        <w:t>,</w:t>
      </w:r>
      <w:r w:rsidR="00BA09C6" w:rsidRPr="00EF4251">
        <w:rPr>
          <w:rFonts w:cs="Calibri"/>
        </w:rPr>
        <w:t xml:space="preserve"> </w:t>
      </w:r>
      <w:r w:rsidR="00917BC4" w:rsidRPr="00EF4251">
        <w:rPr>
          <w:rFonts w:cs="Calibri"/>
        </w:rPr>
        <w:t>vypořádali</w:t>
      </w:r>
      <w:r w:rsidR="00BA09C6" w:rsidRPr="00EF4251">
        <w:rPr>
          <w:rFonts w:cs="Calibri"/>
        </w:rPr>
        <w:t xml:space="preserve"> vedoucí skupin kontrolujících</w:t>
      </w:r>
      <w:r w:rsidR="00917BC4" w:rsidRPr="00EF4251">
        <w:rPr>
          <w:rFonts w:cs="Calibri"/>
        </w:rPr>
        <w:t xml:space="preserve"> rozhodnutími o námitkách</w:t>
      </w:r>
      <w:r w:rsidR="00BA09C6" w:rsidRPr="00EF4251">
        <w:rPr>
          <w:rFonts w:cs="Calibri"/>
        </w:rPr>
        <w:t>. Odvolání</w:t>
      </w:r>
      <w:r w:rsidR="008234F8">
        <w:rPr>
          <w:rFonts w:cs="Calibri"/>
        </w:rPr>
        <w:t>,</w:t>
      </w:r>
      <w:r w:rsidR="00BA09C6" w:rsidRPr="00EF4251">
        <w:rPr>
          <w:rFonts w:cs="Calibri"/>
        </w:rPr>
        <w:t xml:space="preserve"> </w:t>
      </w:r>
      <w:r w:rsidR="008234F8" w:rsidRPr="00EF4251">
        <w:rPr>
          <w:rFonts w:cs="Calibri"/>
        </w:rPr>
        <w:t xml:space="preserve">které </w:t>
      </w:r>
      <w:r w:rsidR="00BA09C6" w:rsidRPr="00EF4251">
        <w:rPr>
          <w:rFonts w:cs="Calibri"/>
        </w:rPr>
        <w:t>proti rozhodnutí o námitkách</w:t>
      </w:r>
      <w:r w:rsidR="00917BC4" w:rsidRPr="00EF4251">
        <w:rPr>
          <w:rFonts w:cs="Calibri"/>
        </w:rPr>
        <w:t xml:space="preserve"> </w:t>
      </w:r>
      <w:r w:rsidR="00BA09C6" w:rsidRPr="00EF4251">
        <w:rPr>
          <w:rFonts w:cs="Calibri"/>
        </w:rPr>
        <w:t>podal</w:t>
      </w:r>
      <w:r w:rsidR="00804838" w:rsidRPr="00EF4251">
        <w:rPr>
          <w:rFonts w:cs="Calibri"/>
        </w:rPr>
        <w:t>a</w:t>
      </w:r>
      <w:r w:rsidR="00EF4251">
        <w:rPr>
          <w:rFonts w:cs="Calibri"/>
        </w:rPr>
        <w:t xml:space="preserve"> NOSFP</w:t>
      </w:r>
      <w:r w:rsidR="00BA09C6" w:rsidRPr="00EF4251">
        <w:rPr>
          <w:rFonts w:cs="Calibri"/>
        </w:rPr>
        <w:t>, byl</w:t>
      </w:r>
      <w:r w:rsidR="00804838" w:rsidRPr="00EF4251">
        <w:rPr>
          <w:rFonts w:cs="Calibri"/>
        </w:rPr>
        <w:t>o</w:t>
      </w:r>
      <w:r w:rsidR="00BA09C6" w:rsidRPr="00EF4251">
        <w:rPr>
          <w:rFonts w:cs="Calibri"/>
        </w:rPr>
        <w:t xml:space="preserve"> vypořádán</w:t>
      </w:r>
      <w:r w:rsidR="00804838" w:rsidRPr="00EF4251">
        <w:rPr>
          <w:rFonts w:cs="Calibri"/>
        </w:rPr>
        <w:t>o</w:t>
      </w:r>
      <w:r w:rsidR="00BA09C6" w:rsidRPr="00EF4251">
        <w:rPr>
          <w:rFonts w:cs="Calibri"/>
        </w:rPr>
        <w:t xml:space="preserve"> usnesením Kolegia NKÚ.</w:t>
      </w:r>
      <w:r w:rsidRPr="00FF165C">
        <w:rPr>
          <w:rFonts w:cs="Calibri"/>
        </w:rPr>
        <w:t xml:space="preserve"> </w:t>
      </w:r>
    </w:p>
    <w:p w14:paraId="09573A6D" w14:textId="77777777" w:rsidR="00462F78" w:rsidRDefault="00462F78" w:rsidP="0099191B">
      <w:pPr>
        <w:ind w:right="70"/>
        <w:jc w:val="both"/>
        <w:rPr>
          <w:rFonts w:ascii="Calibri" w:hAnsi="Calibri" w:cs="Calibri"/>
        </w:rPr>
      </w:pPr>
    </w:p>
    <w:p w14:paraId="72690C9C" w14:textId="77777777" w:rsidR="00462F78" w:rsidRPr="004C031F" w:rsidRDefault="00462F78" w:rsidP="0099191B">
      <w:pPr>
        <w:ind w:right="70"/>
        <w:jc w:val="both"/>
        <w:rPr>
          <w:rFonts w:ascii="Calibri" w:hAnsi="Calibri" w:cs="Calibri"/>
        </w:rPr>
      </w:pPr>
    </w:p>
    <w:p w14:paraId="4315B289" w14:textId="6226CF40" w:rsidR="00462F78" w:rsidRPr="004D3266" w:rsidRDefault="00462F78" w:rsidP="0099191B">
      <w:pPr>
        <w:ind w:right="70"/>
        <w:jc w:val="both"/>
        <w:rPr>
          <w:rFonts w:ascii="Calibri" w:hAnsi="Calibri" w:cs="Calibri"/>
        </w:rPr>
      </w:pPr>
      <w:r w:rsidRPr="004D3266">
        <w:rPr>
          <w:rFonts w:ascii="Calibri" w:hAnsi="Calibri" w:cs="Calibri"/>
          <w:b/>
          <w:bCs/>
          <w:i/>
          <w:iCs/>
        </w:rPr>
        <w:t>K o l e g i u m</w:t>
      </w:r>
      <w:r w:rsidRPr="004D3266">
        <w:rPr>
          <w:rFonts w:ascii="Calibri" w:hAnsi="Calibri" w:cs="Calibri"/>
        </w:rPr>
        <w:t xml:space="preserve">   </w:t>
      </w:r>
      <w:r w:rsidRPr="004D3266">
        <w:rPr>
          <w:rFonts w:ascii="Calibri" w:hAnsi="Calibri" w:cs="Calibri"/>
          <w:b/>
          <w:bCs/>
          <w:i/>
          <w:iCs/>
        </w:rPr>
        <w:t xml:space="preserve">N K Ú  </w:t>
      </w:r>
      <w:r w:rsidRPr="004D3266">
        <w:rPr>
          <w:rFonts w:ascii="Calibri" w:hAnsi="Calibri" w:cs="Calibri"/>
          <w:b/>
          <w:bCs/>
          <w:iCs/>
        </w:rPr>
        <w:t xml:space="preserve"> </w:t>
      </w:r>
      <w:r w:rsidR="00293B21">
        <w:rPr>
          <w:rFonts w:ascii="Calibri" w:hAnsi="Calibri" w:cs="Calibri"/>
        </w:rPr>
        <w:t>na svém VI</w:t>
      </w:r>
      <w:r w:rsidR="00AA3071">
        <w:rPr>
          <w:rFonts w:ascii="Calibri" w:hAnsi="Calibri" w:cs="Calibri"/>
        </w:rPr>
        <w:t>.</w:t>
      </w:r>
      <w:r w:rsidRPr="004D3266">
        <w:rPr>
          <w:rFonts w:ascii="Calibri" w:hAnsi="Calibri" w:cs="Calibri"/>
        </w:rPr>
        <w:t xml:space="preserve"> jednání, které se konalo dne </w:t>
      </w:r>
      <w:r w:rsidR="00293B21">
        <w:rPr>
          <w:rFonts w:ascii="Calibri" w:hAnsi="Calibri" w:cs="Calibri"/>
        </w:rPr>
        <w:t>21. května</w:t>
      </w:r>
      <w:r w:rsidRPr="004D3266">
        <w:rPr>
          <w:rFonts w:ascii="Calibri" w:hAnsi="Calibri" w:cs="Calibri"/>
        </w:rPr>
        <w:t xml:space="preserve"> 201</w:t>
      </w:r>
      <w:r w:rsidR="001D380D" w:rsidRPr="004D3266">
        <w:rPr>
          <w:rFonts w:ascii="Calibri" w:hAnsi="Calibri" w:cs="Calibri"/>
        </w:rPr>
        <w:t>8</w:t>
      </w:r>
      <w:r w:rsidRPr="004D3266">
        <w:rPr>
          <w:rFonts w:ascii="Calibri" w:hAnsi="Calibri" w:cs="Calibri"/>
        </w:rPr>
        <w:t xml:space="preserve">, </w:t>
      </w:r>
    </w:p>
    <w:p w14:paraId="326F00F8" w14:textId="531E2281" w:rsidR="00462F78" w:rsidRPr="004D3266" w:rsidRDefault="00462F78" w:rsidP="0099191B">
      <w:pPr>
        <w:ind w:right="68"/>
        <w:jc w:val="both"/>
        <w:rPr>
          <w:rFonts w:ascii="Calibri" w:hAnsi="Calibri" w:cs="Calibri"/>
        </w:rPr>
      </w:pPr>
      <w:proofErr w:type="gramStart"/>
      <w:r w:rsidRPr="004D3266">
        <w:rPr>
          <w:rFonts w:ascii="Calibri" w:hAnsi="Calibri" w:cs="Calibri"/>
          <w:b/>
          <w:bCs/>
          <w:i/>
          <w:iCs/>
        </w:rPr>
        <w:t>s c h v á l i l o</w:t>
      </w:r>
      <w:r w:rsidRPr="004D3266">
        <w:rPr>
          <w:rFonts w:ascii="Calibri" w:hAnsi="Calibri" w:cs="Calibri"/>
        </w:rPr>
        <w:t xml:space="preserve">   usnesením č.</w:t>
      </w:r>
      <w:proofErr w:type="gramEnd"/>
      <w:r w:rsidRPr="004D3266">
        <w:rPr>
          <w:rFonts w:ascii="Calibri" w:hAnsi="Calibri" w:cs="Calibri"/>
        </w:rPr>
        <w:t xml:space="preserve"> </w:t>
      </w:r>
      <w:r w:rsidR="00A62E29">
        <w:rPr>
          <w:rFonts w:ascii="Calibri" w:hAnsi="Calibri" w:cs="Calibri"/>
        </w:rPr>
        <w:t>15</w:t>
      </w:r>
      <w:r w:rsidRPr="004D3266">
        <w:rPr>
          <w:rFonts w:ascii="Calibri" w:hAnsi="Calibri" w:cs="Calibri"/>
        </w:rPr>
        <w:t>/</w:t>
      </w:r>
      <w:r w:rsidR="00293B21">
        <w:rPr>
          <w:rFonts w:ascii="Calibri" w:hAnsi="Calibri" w:cs="Calibri"/>
        </w:rPr>
        <w:t>VI</w:t>
      </w:r>
      <w:r w:rsidRPr="004D3266">
        <w:rPr>
          <w:rFonts w:ascii="Calibri" w:hAnsi="Calibri" w:cs="Calibri"/>
        </w:rPr>
        <w:t>/201</w:t>
      </w:r>
      <w:r w:rsidR="001D380D" w:rsidRPr="004D3266">
        <w:rPr>
          <w:rFonts w:ascii="Calibri" w:hAnsi="Calibri" w:cs="Calibri"/>
        </w:rPr>
        <w:t>8</w:t>
      </w:r>
      <w:r w:rsidRPr="004D3266">
        <w:rPr>
          <w:rFonts w:ascii="Calibri" w:hAnsi="Calibri" w:cs="Calibri"/>
        </w:rPr>
        <w:t xml:space="preserve"> </w:t>
      </w:r>
    </w:p>
    <w:p w14:paraId="20A9D8DB" w14:textId="6D7D7E29" w:rsidR="00462F78" w:rsidRPr="004C031F" w:rsidRDefault="00462F78" w:rsidP="0099191B">
      <w:pPr>
        <w:ind w:right="70"/>
        <w:jc w:val="both"/>
        <w:rPr>
          <w:rFonts w:ascii="Calibri" w:hAnsi="Calibri" w:cs="Calibri"/>
        </w:rPr>
      </w:pPr>
      <w:r w:rsidRPr="004D3266">
        <w:rPr>
          <w:rFonts w:ascii="Calibri" w:hAnsi="Calibri" w:cs="Calibri"/>
          <w:b/>
          <w:bCs/>
          <w:i/>
          <w:iCs/>
        </w:rPr>
        <w:t>k o n t r o l n í   z á v ě r</w:t>
      </w:r>
      <w:r w:rsidRPr="004D3266">
        <w:rPr>
          <w:rFonts w:ascii="Calibri" w:hAnsi="Calibri" w:cs="Calibri"/>
        </w:rPr>
        <w:t xml:space="preserve">   v tomto znění:</w:t>
      </w:r>
    </w:p>
    <w:p w14:paraId="2EF116D0" w14:textId="55B6F044" w:rsidR="00AD72F1" w:rsidRPr="004E0129" w:rsidRDefault="00462F78" w:rsidP="00A31C41">
      <w:pPr>
        <w:pStyle w:val="Nadpis1"/>
      </w:pPr>
      <w:r>
        <w:rPr>
          <w:rFonts w:cstheme="minorHAnsi"/>
        </w:rPr>
        <w:br w:type="page"/>
      </w:r>
      <w:r w:rsidR="00AD72F1" w:rsidRPr="00AD72F1">
        <w:lastRenderedPageBreak/>
        <w:t>Klíčová fakta</w:t>
      </w: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552"/>
        <w:gridCol w:w="6379"/>
      </w:tblGrid>
      <w:tr w:rsidR="00B636FB" w:rsidRPr="00B636FB" w14:paraId="634F432C" w14:textId="77777777" w:rsidTr="003447CB">
        <w:tc>
          <w:tcPr>
            <w:tcW w:w="2552" w:type="dxa"/>
            <w:vAlign w:val="center"/>
          </w:tcPr>
          <w:p w14:paraId="7DAA46C5" w14:textId="77777777" w:rsidR="00B636FB" w:rsidRPr="00B636FB" w:rsidRDefault="00B636FB" w:rsidP="00B636FB">
            <w:pPr>
              <w:jc w:val="center"/>
              <w:rPr>
                <w:rFonts w:ascii="Calibri" w:hAnsi="Calibri"/>
                <w:b/>
                <w:sz w:val="28"/>
                <w:szCs w:val="28"/>
              </w:rPr>
            </w:pPr>
            <w:r w:rsidRPr="00B636FB">
              <w:rPr>
                <w:rFonts w:ascii="Calibri" w:hAnsi="Calibri"/>
                <w:b/>
                <w:sz w:val="28"/>
                <w:szCs w:val="28"/>
              </w:rPr>
              <w:t>121,9 mil. €</w:t>
            </w:r>
          </w:p>
        </w:tc>
        <w:tc>
          <w:tcPr>
            <w:tcW w:w="6379" w:type="dxa"/>
            <w:vAlign w:val="center"/>
          </w:tcPr>
          <w:p w14:paraId="0869F100" w14:textId="0F56865B" w:rsidR="00B636FB" w:rsidRPr="00B636FB" w:rsidRDefault="00B636FB" w:rsidP="004E0129">
            <w:pPr>
              <w:spacing w:before="120" w:after="120"/>
              <w:rPr>
                <w:rFonts w:ascii="Calibri" w:hAnsi="Calibri"/>
                <w:szCs w:val="22"/>
              </w:rPr>
            </w:pPr>
            <w:r w:rsidRPr="00B636FB">
              <w:rPr>
                <w:rFonts w:ascii="Calibri" w:hAnsi="Calibri"/>
                <w:szCs w:val="22"/>
              </w:rPr>
              <w:t xml:space="preserve">Alokace finančních mechanismů v programovém období </w:t>
            </w:r>
            <w:r w:rsidRPr="00B636FB">
              <w:rPr>
                <w:rFonts w:ascii="Calibri" w:hAnsi="Calibri"/>
                <w:szCs w:val="22"/>
              </w:rPr>
              <w:br/>
              <w:t>2009</w:t>
            </w:r>
            <w:r w:rsidR="00293B21">
              <w:rPr>
                <w:rFonts w:ascii="Calibri" w:hAnsi="Calibri"/>
                <w:szCs w:val="22"/>
              </w:rPr>
              <w:t>–</w:t>
            </w:r>
            <w:r w:rsidRPr="00B636FB">
              <w:rPr>
                <w:rFonts w:ascii="Calibri" w:hAnsi="Calibri"/>
                <w:szCs w:val="22"/>
              </w:rPr>
              <w:t xml:space="preserve">2014 pro Českou republiku. </w:t>
            </w:r>
            <w:r w:rsidR="00BE7429">
              <w:rPr>
                <w:rFonts w:ascii="Calibri" w:hAnsi="Calibri"/>
                <w:szCs w:val="22"/>
              </w:rPr>
              <w:t>Z toho 121,2 mil. € administrovala Česká republika.</w:t>
            </w:r>
          </w:p>
        </w:tc>
      </w:tr>
      <w:tr w:rsidR="00B636FB" w:rsidRPr="00B636FB" w14:paraId="0462155D" w14:textId="77777777" w:rsidTr="003447CB">
        <w:tc>
          <w:tcPr>
            <w:tcW w:w="2552" w:type="dxa"/>
            <w:vAlign w:val="center"/>
          </w:tcPr>
          <w:p w14:paraId="72D0D555" w14:textId="77777777" w:rsidR="00B636FB" w:rsidRPr="00B636FB" w:rsidRDefault="00B636FB" w:rsidP="00B636FB">
            <w:pPr>
              <w:jc w:val="center"/>
              <w:rPr>
                <w:rFonts w:ascii="Calibri" w:hAnsi="Calibri"/>
                <w:b/>
                <w:sz w:val="28"/>
                <w:szCs w:val="28"/>
              </w:rPr>
            </w:pPr>
            <w:r w:rsidRPr="00B636FB">
              <w:rPr>
                <w:rFonts w:ascii="Calibri" w:hAnsi="Calibri"/>
                <w:b/>
                <w:sz w:val="28"/>
                <w:szCs w:val="28"/>
              </w:rPr>
              <w:t>15 programů</w:t>
            </w:r>
          </w:p>
        </w:tc>
        <w:tc>
          <w:tcPr>
            <w:tcW w:w="6379" w:type="dxa"/>
            <w:vAlign w:val="center"/>
          </w:tcPr>
          <w:p w14:paraId="509522BA" w14:textId="7C832D57" w:rsidR="00B636FB" w:rsidRPr="00B636FB" w:rsidRDefault="00B636FB" w:rsidP="004E0129">
            <w:pPr>
              <w:spacing w:before="120" w:after="120"/>
              <w:rPr>
                <w:rFonts w:ascii="Calibri" w:hAnsi="Calibri"/>
                <w:szCs w:val="22"/>
              </w:rPr>
            </w:pPr>
            <w:r w:rsidRPr="00B636FB">
              <w:rPr>
                <w:rFonts w:ascii="Calibri" w:hAnsi="Calibri"/>
                <w:szCs w:val="22"/>
              </w:rPr>
              <w:t>Podpora z finančních mechanismů probíhala prostřednictvím programů investičního i neinvestičního charakteru</w:t>
            </w:r>
            <w:r w:rsidR="00BB6FB3">
              <w:rPr>
                <w:rFonts w:ascii="Calibri" w:hAnsi="Calibri"/>
                <w:szCs w:val="22"/>
              </w:rPr>
              <w:t>. Tyto programy</w:t>
            </w:r>
            <w:r w:rsidRPr="00B636FB">
              <w:rPr>
                <w:rFonts w:ascii="Calibri" w:hAnsi="Calibri"/>
                <w:szCs w:val="22"/>
              </w:rPr>
              <w:t xml:space="preserve"> zahrnovaly široké spektrum aktivit. </w:t>
            </w:r>
          </w:p>
        </w:tc>
      </w:tr>
      <w:tr w:rsidR="00B636FB" w:rsidRPr="00B636FB" w14:paraId="4C8CC9EC" w14:textId="77777777" w:rsidTr="003447CB">
        <w:tc>
          <w:tcPr>
            <w:tcW w:w="2552" w:type="dxa"/>
            <w:vAlign w:val="center"/>
          </w:tcPr>
          <w:p w14:paraId="41DA3174" w14:textId="77777777" w:rsidR="00B636FB" w:rsidRPr="00B636FB" w:rsidRDefault="00B636FB" w:rsidP="00B636FB">
            <w:pPr>
              <w:jc w:val="center"/>
              <w:rPr>
                <w:rFonts w:ascii="Calibri" w:hAnsi="Calibri"/>
                <w:b/>
                <w:sz w:val="28"/>
                <w:szCs w:val="28"/>
              </w:rPr>
            </w:pPr>
            <w:r w:rsidRPr="00B636FB">
              <w:rPr>
                <w:rFonts w:ascii="Calibri" w:hAnsi="Calibri"/>
                <w:b/>
                <w:sz w:val="28"/>
                <w:szCs w:val="28"/>
              </w:rPr>
              <w:t>19 subjektů</w:t>
            </w:r>
          </w:p>
        </w:tc>
        <w:tc>
          <w:tcPr>
            <w:tcW w:w="6379" w:type="dxa"/>
            <w:vAlign w:val="center"/>
          </w:tcPr>
          <w:p w14:paraId="6AA81078" w14:textId="6FA660AA" w:rsidR="00B636FB" w:rsidRPr="00B636FB" w:rsidRDefault="00B636FB" w:rsidP="004E0129">
            <w:pPr>
              <w:spacing w:before="120" w:after="120"/>
              <w:rPr>
                <w:rFonts w:ascii="Calibri" w:hAnsi="Calibri"/>
                <w:szCs w:val="22"/>
              </w:rPr>
            </w:pPr>
            <w:r w:rsidRPr="00B636FB">
              <w:rPr>
                <w:rFonts w:ascii="Calibri" w:hAnsi="Calibri"/>
                <w:szCs w:val="22"/>
              </w:rPr>
              <w:t>Součástí implementační struktury bylo 11 subjektů plnících úloh</w:t>
            </w:r>
            <w:r w:rsidR="008234F8">
              <w:rPr>
                <w:rFonts w:ascii="Calibri" w:hAnsi="Calibri"/>
                <w:szCs w:val="22"/>
              </w:rPr>
              <w:t>y</w:t>
            </w:r>
            <w:r w:rsidRPr="00B636FB">
              <w:rPr>
                <w:rFonts w:ascii="Calibri" w:hAnsi="Calibri"/>
                <w:szCs w:val="22"/>
              </w:rPr>
              <w:t xml:space="preserve"> zprostředkovatelů programů a programových partnerů. Dalších osm zahraničních organizací se podílelo jako partneři z</w:t>
            </w:r>
            <w:r w:rsidR="00DC730E">
              <w:rPr>
                <w:rFonts w:ascii="Calibri" w:hAnsi="Calibri"/>
                <w:szCs w:val="22"/>
              </w:rPr>
              <w:t>e</w:t>
            </w:r>
            <w:r w:rsidR="0013041E">
              <w:rPr>
                <w:rFonts w:ascii="Calibri" w:hAnsi="Calibri"/>
                <w:szCs w:val="22"/>
              </w:rPr>
              <w:t xml:space="preserve"> </w:t>
            </w:r>
            <w:r w:rsidR="00DC730E" w:rsidRPr="00B636FB">
              <w:rPr>
                <w:rFonts w:ascii="Calibri" w:hAnsi="Calibri"/>
                <w:szCs w:val="22"/>
              </w:rPr>
              <w:t>zemí</w:t>
            </w:r>
            <w:r w:rsidR="00DC730E">
              <w:rPr>
                <w:rFonts w:ascii="Calibri" w:hAnsi="Calibri"/>
                <w:szCs w:val="22"/>
              </w:rPr>
              <w:t xml:space="preserve"> </w:t>
            </w:r>
            <w:r w:rsidR="0013041E">
              <w:rPr>
                <w:rFonts w:ascii="Calibri" w:hAnsi="Calibri"/>
                <w:szCs w:val="22"/>
              </w:rPr>
              <w:t>poskytujících</w:t>
            </w:r>
            <w:r w:rsidR="00DC730E">
              <w:rPr>
                <w:rFonts w:ascii="Calibri" w:hAnsi="Calibri"/>
                <w:szCs w:val="22"/>
              </w:rPr>
              <w:t xml:space="preserve"> pomoc.</w:t>
            </w:r>
          </w:p>
        </w:tc>
      </w:tr>
      <w:tr w:rsidR="00B636FB" w:rsidRPr="00B636FB" w14:paraId="0AD4C185" w14:textId="77777777" w:rsidTr="003447CB">
        <w:tc>
          <w:tcPr>
            <w:tcW w:w="2552" w:type="dxa"/>
            <w:vAlign w:val="center"/>
          </w:tcPr>
          <w:p w14:paraId="502B4604" w14:textId="77777777" w:rsidR="00B636FB" w:rsidRPr="00B636FB" w:rsidRDefault="00B636FB" w:rsidP="00B636FB">
            <w:pPr>
              <w:jc w:val="center"/>
              <w:rPr>
                <w:rFonts w:ascii="Calibri" w:hAnsi="Calibri"/>
                <w:b/>
                <w:sz w:val="28"/>
                <w:szCs w:val="28"/>
              </w:rPr>
            </w:pPr>
            <w:r w:rsidRPr="00B636FB">
              <w:rPr>
                <w:rFonts w:ascii="Calibri" w:hAnsi="Calibri"/>
                <w:b/>
                <w:sz w:val="28"/>
                <w:szCs w:val="28"/>
              </w:rPr>
              <w:t>894 projektů</w:t>
            </w:r>
          </w:p>
        </w:tc>
        <w:tc>
          <w:tcPr>
            <w:tcW w:w="6379" w:type="dxa"/>
            <w:vAlign w:val="center"/>
          </w:tcPr>
          <w:p w14:paraId="2729D4C8" w14:textId="1BA7FC96" w:rsidR="00B636FB" w:rsidRPr="00B636FB" w:rsidRDefault="00952ED5" w:rsidP="004E0129">
            <w:pPr>
              <w:spacing w:before="120" w:after="120"/>
              <w:rPr>
                <w:rFonts w:ascii="Calibri" w:hAnsi="Calibri"/>
                <w:szCs w:val="22"/>
              </w:rPr>
            </w:pPr>
            <w:r>
              <w:rPr>
                <w:rFonts w:ascii="Calibri" w:hAnsi="Calibri"/>
                <w:szCs w:val="22"/>
              </w:rPr>
              <w:t>Počet podpořených projektů.</w:t>
            </w:r>
            <w:r w:rsidRPr="00B636FB" w:rsidDel="00952ED5">
              <w:rPr>
                <w:rFonts w:ascii="Calibri" w:hAnsi="Calibri"/>
                <w:szCs w:val="22"/>
              </w:rPr>
              <w:t xml:space="preserve"> </w:t>
            </w:r>
          </w:p>
        </w:tc>
      </w:tr>
      <w:tr w:rsidR="00B636FB" w:rsidRPr="00B636FB" w14:paraId="771DEB4E" w14:textId="77777777" w:rsidTr="003447CB">
        <w:tc>
          <w:tcPr>
            <w:tcW w:w="2552" w:type="dxa"/>
            <w:vAlign w:val="center"/>
          </w:tcPr>
          <w:p w14:paraId="1F10BC06" w14:textId="77777777" w:rsidR="00B636FB" w:rsidRPr="00B636FB" w:rsidRDefault="00B636FB" w:rsidP="00B636FB">
            <w:pPr>
              <w:jc w:val="center"/>
              <w:rPr>
                <w:rFonts w:ascii="Calibri" w:hAnsi="Calibri"/>
                <w:b/>
                <w:sz w:val="28"/>
                <w:szCs w:val="28"/>
              </w:rPr>
            </w:pPr>
            <w:r w:rsidRPr="00B636FB">
              <w:rPr>
                <w:rFonts w:ascii="Calibri" w:hAnsi="Calibri"/>
                <w:b/>
                <w:sz w:val="28"/>
                <w:szCs w:val="28"/>
              </w:rPr>
              <w:t>90,5 %</w:t>
            </w:r>
          </w:p>
        </w:tc>
        <w:tc>
          <w:tcPr>
            <w:tcW w:w="6379" w:type="dxa"/>
            <w:vAlign w:val="center"/>
          </w:tcPr>
          <w:p w14:paraId="6009E834" w14:textId="24C40023" w:rsidR="00B636FB" w:rsidRPr="00B636FB" w:rsidRDefault="00B636FB" w:rsidP="004E0129">
            <w:pPr>
              <w:spacing w:before="120" w:after="120"/>
              <w:rPr>
                <w:rFonts w:ascii="Calibri" w:hAnsi="Calibri"/>
                <w:szCs w:val="22"/>
              </w:rPr>
            </w:pPr>
            <w:r w:rsidRPr="00B636FB">
              <w:rPr>
                <w:rFonts w:ascii="Calibri" w:hAnsi="Calibri"/>
                <w:szCs w:val="22"/>
              </w:rPr>
              <w:t xml:space="preserve">Využití alokace ke dni 31. 12. 2017. </w:t>
            </w:r>
          </w:p>
        </w:tc>
      </w:tr>
      <w:tr w:rsidR="00B636FB" w:rsidRPr="00B636FB" w14:paraId="2E2EDF46" w14:textId="77777777" w:rsidTr="003447CB">
        <w:trPr>
          <w:trHeight w:val="113"/>
        </w:trPr>
        <w:tc>
          <w:tcPr>
            <w:tcW w:w="2552" w:type="dxa"/>
            <w:vAlign w:val="center"/>
          </w:tcPr>
          <w:p w14:paraId="51D8F610" w14:textId="77777777" w:rsidR="00B636FB" w:rsidRPr="00B636FB" w:rsidRDefault="00B636FB" w:rsidP="00B636FB">
            <w:pPr>
              <w:jc w:val="center"/>
              <w:rPr>
                <w:rFonts w:ascii="Calibri" w:hAnsi="Calibri"/>
                <w:b/>
                <w:sz w:val="28"/>
                <w:szCs w:val="28"/>
              </w:rPr>
            </w:pPr>
          </w:p>
        </w:tc>
        <w:tc>
          <w:tcPr>
            <w:tcW w:w="6379" w:type="dxa"/>
            <w:vAlign w:val="center"/>
          </w:tcPr>
          <w:p w14:paraId="0B649EDB" w14:textId="77777777" w:rsidR="00B636FB" w:rsidRPr="00B636FB" w:rsidRDefault="00B636FB" w:rsidP="00B636FB">
            <w:pPr>
              <w:jc w:val="both"/>
              <w:rPr>
                <w:rFonts w:ascii="Calibri" w:hAnsi="Calibri"/>
                <w:szCs w:val="22"/>
              </w:rPr>
            </w:pPr>
          </w:p>
        </w:tc>
      </w:tr>
      <w:tr w:rsidR="00B636FB" w:rsidRPr="00B636FB" w14:paraId="0354AAF2" w14:textId="77777777" w:rsidTr="003447CB">
        <w:trPr>
          <w:trHeight w:val="550"/>
        </w:trPr>
        <w:tc>
          <w:tcPr>
            <w:tcW w:w="2552" w:type="dxa"/>
            <w:vAlign w:val="center"/>
          </w:tcPr>
          <w:p w14:paraId="57383E3F" w14:textId="29CFC0BF" w:rsidR="00B636FB" w:rsidRPr="00B636FB" w:rsidRDefault="00B636FB" w:rsidP="00B636FB">
            <w:pPr>
              <w:jc w:val="center"/>
              <w:rPr>
                <w:rFonts w:ascii="Calibri" w:hAnsi="Calibri"/>
                <w:b/>
                <w:noProof/>
                <w:sz w:val="28"/>
                <w:szCs w:val="28"/>
              </w:rPr>
            </w:pPr>
          </w:p>
        </w:tc>
        <w:tc>
          <w:tcPr>
            <w:tcW w:w="6379" w:type="dxa"/>
            <w:vAlign w:val="center"/>
          </w:tcPr>
          <w:p w14:paraId="23B8CB1C" w14:textId="542565FC" w:rsidR="00B636FB" w:rsidRPr="00B636FB" w:rsidRDefault="00B636FB" w:rsidP="00B636FB">
            <w:pPr>
              <w:spacing w:before="100" w:beforeAutospacing="1" w:after="100" w:afterAutospacing="1"/>
              <w:jc w:val="both"/>
              <w:rPr>
                <w:rFonts w:ascii="Calibri" w:hAnsi="Calibri"/>
                <w:szCs w:val="22"/>
              </w:rPr>
            </w:pPr>
          </w:p>
        </w:tc>
      </w:tr>
    </w:tbl>
    <w:p w14:paraId="4F130012" w14:textId="6D3D60EA" w:rsidR="005C352B" w:rsidRPr="005C352B" w:rsidRDefault="005C352B" w:rsidP="005C352B"/>
    <w:p w14:paraId="4296A355" w14:textId="31239206" w:rsidR="00421CE8" w:rsidRDefault="00421CE8" w:rsidP="005A3D14">
      <w:pPr>
        <w:jc w:val="right"/>
      </w:pPr>
    </w:p>
    <w:p w14:paraId="09B41D7E" w14:textId="08B7B2F8" w:rsidR="00797B9D" w:rsidRDefault="00797B9D">
      <w:pPr>
        <w:rPr>
          <w:b/>
          <w:kern w:val="36"/>
          <w:sz w:val="28"/>
          <w:szCs w:val="20"/>
        </w:rPr>
      </w:pPr>
      <w:r>
        <w:br w:type="page"/>
      </w:r>
    </w:p>
    <w:p w14:paraId="4CDBD41C" w14:textId="084BF637" w:rsidR="00462F78" w:rsidRPr="00582A7B" w:rsidRDefault="00462F78" w:rsidP="0099191B">
      <w:pPr>
        <w:pStyle w:val="Nadpis1"/>
        <w:jc w:val="both"/>
      </w:pPr>
      <w:r w:rsidRPr="00582A7B">
        <w:lastRenderedPageBreak/>
        <w:t>I. Shrnutí a vyhodnocení</w:t>
      </w:r>
      <w:r w:rsidR="00421CE8">
        <w:t xml:space="preserve"> </w:t>
      </w:r>
    </w:p>
    <w:p w14:paraId="7C942577" w14:textId="142DEFE3" w:rsidR="00DF61F9" w:rsidRDefault="00DF61F9" w:rsidP="00DF61F9">
      <w:pPr>
        <w:spacing w:after="120"/>
        <w:jc w:val="both"/>
      </w:pPr>
      <w:r>
        <w:t>NKÚ provedl kontrolu</w:t>
      </w:r>
      <w:r w:rsidR="002451C5">
        <w:t xml:space="preserve"> </w:t>
      </w:r>
      <w:r>
        <w:t>implementace finančních mechanismů Evropského hospodářského prostoru a Norska v České republice v programovém o</w:t>
      </w:r>
      <w:r w:rsidR="00293B21">
        <w:t>bdobí 2009–2014 a poskytování a </w:t>
      </w:r>
      <w:r>
        <w:t xml:space="preserve">čerpání finančních prostředků. </w:t>
      </w:r>
    </w:p>
    <w:p w14:paraId="5A6E3D24" w14:textId="38567E79" w:rsidR="00DF61F9" w:rsidRDefault="00DF61F9" w:rsidP="00DF61F9">
      <w:pPr>
        <w:spacing w:after="120"/>
        <w:jc w:val="both"/>
      </w:pPr>
      <w:r>
        <w:t xml:space="preserve">U Ministerstva financí bylo kontrole podrobeno zajištění funkcí </w:t>
      </w:r>
      <w:r w:rsidR="008234F8">
        <w:t>n</w:t>
      </w:r>
      <w:r>
        <w:t xml:space="preserve">árodního kontaktního místa, </w:t>
      </w:r>
      <w:r w:rsidR="008234F8">
        <w:t>c</w:t>
      </w:r>
      <w:r>
        <w:t xml:space="preserve">ertifikačního orgánu a </w:t>
      </w:r>
      <w:r w:rsidR="008234F8">
        <w:t>a</w:t>
      </w:r>
      <w:r>
        <w:t>uditního orgánu, efektivnost implementační struktury a dosažení cílů jednotlivých programů.</w:t>
      </w:r>
    </w:p>
    <w:p w14:paraId="522C721B" w14:textId="05EA1865" w:rsidR="00DF61F9" w:rsidRDefault="00DF61F9" w:rsidP="00DF61F9">
      <w:pPr>
        <w:spacing w:after="120"/>
        <w:jc w:val="both"/>
      </w:pPr>
      <w:r>
        <w:t>U zprostředkovatelů programů, tj. Ministerstva financí (programy CZ04, CZ06, CZ14 a CZ15), Ministerstva školství</w:t>
      </w:r>
      <w:r w:rsidR="00AC201A">
        <w:t xml:space="preserve">, </w:t>
      </w:r>
      <w:r>
        <w:t>mládeže</w:t>
      </w:r>
      <w:r w:rsidR="00AC201A">
        <w:t xml:space="preserve"> a tělovýchovy</w:t>
      </w:r>
      <w:r w:rsidRPr="00A26C4F">
        <w:t xml:space="preserve"> </w:t>
      </w:r>
      <w:r>
        <w:t xml:space="preserve">(program CZ09) a Nadace Open Society </w:t>
      </w:r>
      <w:proofErr w:type="spellStart"/>
      <w:r>
        <w:t>Fund</w:t>
      </w:r>
      <w:proofErr w:type="spellEnd"/>
      <w:r>
        <w:t xml:space="preserve"> Praha</w:t>
      </w:r>
      <w:r w:rsidRPr="00A26C4F">
        <w:t xml:space="preserve"> </w:t>
      </w:r>
      <w:r>
        <w:t>(program CZ12), byl prověřen výkon činností zprostředkovatele a poskytování prostředků příjemcům.</w:t>
      </w:r>
    </w:p>
    <w:p w14:paraId="0E226275" w14:textId="1312F55E" w:rsidR="00DF61F9" w:rsidRPr="00447B4F" w:rsidRDefault="00DF61F9" w:rsidP="00DF61F9">
      <w:pPr>
        <w:spacing w:after="120"/>
        <w:jc w:val="both"/>
      </w:pPr>
      <w:r>
        <w:t>U příjemců podpory</w:t>
      </w:r>
      <w:r>
        <w:rPr>
          <w:rStyle w:val="Znakapoznpodarou"/>
        </w:rPr>
        <w:footnoteReference w:id="2"/>
      </w:r>
      <w:r>
        <w:t xml:space="preserve"> bylo </w:t>
      </w:r>
      <w:r w:rsidR="008234F8">
        <w:t>na</w:t>
      </w:r>
      <w:r>
        <w:t xml:space="preserve"> vzorku vybraných projektů prověřeno, zda prostředky poskytnuté na jejich realizaci byly použity v souladu s právními předpisy a stanovenými podmínkami.  </w:t>
      </w:r>
    </w:p>
    <w:p w14:paraId="22833222" w14:textId="595BC740" w:rsidR="00547969" w:rsidRPr="00176EF2" w:rsidRDefault="00DF61F9" w:rsidP="00DF61F9">
      <w:pPr>
        <w:jc w:val="both"/>
      </w:pPr>
      <w:r>
        <w:t xml:space="preserve">Celkem bylo </w:t>
      </w:r>
      <w:r w:rsidRPr="008143FD">
        <w:t>v programovém období 2009</w:t>
      </w:r>
      <w:r w:rsidR="00293B21">
        <w:t>–</w:t>
      </w:r>
      <w:r w:rsidRPr="008143FD">
        <w:t>2014</w:t>
      </w:r>
      <w:r w:rsidR="00AC201A">
        <w:t xml:space="preserve"> z finančních mechanismů</w:t>
      </w:r>
      <w:r>
        <w:t xml:space="preserve"> poskytnuto ČR </w:t>
      </w:r>
      <w:r w:rsidR="00BE7429">
        <w:t>121,2 mil. €, což čin</w:t>
      </w:r>
      <w:r w:rsidR="00EE4F75">
        <w:t>ilo</w:t>
      </w:r>
      <w:r w:rsidR="00BE7429">
        <w:t xml:space="preserve"> </w:t>
      </w:r>
      <w:r w:rsidR="00E26E14">
        <w:t>3 212 mil. </w:t>
      </w:r>
      <w:r w:rsidR="00E26E14" w:rsidRPr="00414282">
        <w:rPr>
          <w:rFonts w:cstheme="minorHAnsi"/>
          <w:smallCaps/>
        </w:rPr>
        <w:t>Kč</w:t>
      </w:r>
      <w:r w:rsidRPr="00414282">
        <w:rPr>
          <w:rFonts w:cstheme="minorHAnsi"/>
        </w:rPr>
        <w:t>,</w:t>
      </w:r>
      <w:r>
        <w:t xml:space="preserve"> z toho bylo vyčerpáno</w:t>
      </w:r>
      <w:r w:rsidR="00BE7429">
        <w:t xml:space="preserve"> 109,7 mil. €, tj.</w:t>
      </w:r>
      <w:r>
        <w:t xml:space="preserve"> </w:t>
      </w:r>
      <w:r w:rsidR="00E26E14">
        <w:t>2 9</w:t>
      </w:r>
      <w:r w:rsidR="00CA5007">
        <w:t>08</w:t>
      </w:r>
      <w:r w:rsidR="00E26E14">
        <w:t> mil. </w:t>
      </w:r>
      <w:r w:rsidR="00CA5007">
        <w:t>Kč</w:t>
      </w:r>
      <w:r w:rsidR="00E26E14">
        <w:t xml:space="preserve"> </w:t>
      </w:r>
      <w:r w:rsidR="00DB1FCE">
        <w:t>(tj.</w:t>
      </w:r>
      <w:r w:rsidR="00904CB9">
        <w:t> </w:t>
      </w:r>
      <w:r w:rsidR="00DB1FCE">
        <w:t>90,5 %)</w:t>
      </w:r>
      <w:r w:rsidR="00CA5007">
        <w:rPr>
          <w:rStyle w:val="Znakapoznpodarou"/>
        </w:rPr>
        <w:footnoteReference w:id="3"/>
      </w:r>
      <w:r>
        <w:t>.</w:t>
      </w:r>
      <w:r w:rsidR="00DB1FCE">
        <w:t xml:space="preserve"> NKÚ provedl kontrolu na vzorku výdajů projektů v ob</w:t>
      </w:r>
      <w:r w:rsidR="00DB1FCE" w:rsidRPr="00DB1FCE">
        <w:t>jemu</w:t>
      </w:r>
      <w:r w:rsidRPr="00DB1FCE">
        <w:t> </w:t>
      </w:r>
      <w:r w:rsidR="00946EDF">
        <w:t xml:space="preserve">230,5 </w:t>
      </w:r>
      <w:r w:rsidR="001E1A03">
        <w:rPr>
          <w:rFonts w:ascii="Calibri" w:hAnsi="Calibri" w:cs="Calibri"/>
        </w:rPr>
        <w:t>mil.</w:t>
      </w:r>
      <w:r w:rsidR="00DB1FCE" w:rsidRPr="00DB1FCE">
        <w:rPr>
          <w:rFonts w:ascii="Calibri" w:hAnsi="Calibri" w:cs="Calibri"/>
        </w:rPr>
        <w:t> Kč</w:t>
      </w:r>
      <w:r w:rsidRPr="00DB1FCE">
        <w:rPr>
          <w:rFonts w:ascii="Calibri" w:hAnsi="Calibri" w:cs="Calibri"/>
        </w:rPr>
        <w:t>.</w:t>
      </w:r>
      <w:r w:rsidRPr="00060468">
        <w:rPr>
          <w:rFonts w:ascii="Calibri" w:hAnsi="Calibri" w:cs="Calibri"/>
          <w:color w:val="000000"/>
        </w:rPr>
        <w:t> </w:t>
      </w:r>
      <w:r>
        <w:rPr>
          <w:i/>
        </w:rPr>
        <w:t xml:space="preserve"> </w:t>
      </w:r>
    </w:p>
    <w:p w14:paraId="0D7676C5" w14:textId="77777777" w:rsidR="00DF61F9" w:rsidRDefault="00DF61F9" w:rsidP="00DF61F9">
      <w:pPr>
        <w:spacing w:after="120"/>
        <w:jc w:val="both"/>
      </w:pPr>
    </w:p>
    <w:p w14:paraId="14B71CBD" w14:textId="3B5D559C" w:rsidR="00DF61F9" w:rsidRPr="00E2019A" w:rsidRDefault="00DF61F9" w:rsidP="00DF61F9">
      <w:pPr>
        <w:spacing w:after="120"/>
        <w:jc w:val="both"/>
        <w:rPr>
          <w:rFonts w:cstheme="minorHAnsi"/>
          <w:b/>
        </w:rPr>
      </w:pPr>
      <w:r w:rsidRPr="00E2019A">
        <w:rPr>
          <w:rFonts w:cstheme="minorHAnsi"/>
          <w:b/>
        </w:rPr>
        <w:t>Na základě provedené kontroly NKÚ konstatuje:</w:t>
      </w:r>
    </w:p>
    <w:p w14:paraId="32C4A640" w14:textId="5A5DB7FA" w:rsidR="00B93C59" w:rsidRPr="00EE2DF0" w:rsidRDefault="00E25E29" w:rsidP="00257CA3">
      <w:pPr>
        <w:pStyle w:val="Odstavecseseznamem"/>
        <w:numPr>
          <w:ilvl w:val="0"/>
          <w:numId w:val="40"/>
        </w:numPr>
        <w:spacing w:after="120"/>
        <w:jc w:val="both"/>
        <w:rPr>
          <w:rFonts w:cstheme="minorHAnsi"/>
          <w:b/>
        </w:rPr>
      </w:pPr>
      <w:r w:rsidRPr="00E16221">
        <w:rPr>
          <w:rFonts w:cstheme="minorHAnsi"/>
          <w:b/>
        </w:rPr>
        <w:t>E</w:t>
      </w:r>
      <w:r w:rsidR="00DF61F9" w:rsidRPr="00BA3560">
        <w:rPr>
          <w:rFonts w:cstheme="minorHAnsi"/>
          <w:b/>
        </w:rPr>
        <w:t>fektiv</w:t>
      </w:r>
      <w:r w:rsidR="00BF4D1B">
        <w:rPr>
          <w:rFonts w:cstheme="minorHAnsi"/>
          <w:b/>
        </w:rPr>
        <w:t>nost</w:t>
      </w:r>
      <w:r w:rsidR="00DF61F9" w:rsidRPr="00BA3560">
        <w:rPr>
          <w:rFonts w:cstheme="minorHAnsi"/>
          <w:b/>
        </w:rPr>
        <w:t xml:space="preserve"> implementační struktury</w:t>
      </w:r>
      <w:r w:rsidR="00257CA3" w:rsidRPr="00BA3560">
        <w:rPr>
          <w:rFonts w:cstheme="minorHAnsi"/>
          <w:b/>
        </w:rPr>
        <w:t xml:space="preserve"> </w:t>
      </w:r>
      <w:r w:rsidR="00E16221" w:rsidRPr="0049352F">
        <w:rPr>
          <w:b/>
        </w:rPr>
        <w:t>finančních mechanismů Evropského hospodářského prostoru a Norska v České republice v programovém období 2009</w:t>
      </w:r>
      <w:r w:rsidR="00293B21">
        <w:rPr>
          <w:b/>
        </w:rPr>
        <w:t>–</w:t>
      </w:r>
      <w:r w:rsidR="00E16221" w:rsidRPr="0049352F">
        <w:rPr>
          <w:b/>
        </w:rPr>
        <w:t xml:space="preserve">2014 </w:t>
      </w:r>
      <w:r w:rsidR="0044058C">
        <w:rPr>
          <w:rFonts w:cstheme="minorHAnsi"/>
          <w:b/>
        </w:rPr>
        <w:t>byla</w:t>
      </w:r>
      <w:r w:rsidR="00DF61F9" w:rsidRPr="00BA3560">
        <w:rPr>
          <w:rFonts w:cstheme="minorHAnsi"/>
          <w:b/>
        </w:rPr>
        <w:t xml:space="preserve"> nízk</w:t>
      </w:r>
      <w:r w:rsidRPr="00BA3560">
        <w:rPr>
          <w:rFonts w:cstheme="minorHAnsi"/>
          <w:b/>
        </w:rPr>
        <w:t>á</w:t>
      </w:r>
      <w:r w:rsidR="00DF61F9" w:rsidRPr="00E2019A">
        <w:rPr>
          <w:rFonts w:cstheme="minorHAnsi"/>
          <w:b/>
        </w:rPr>
        <w:t xml:space="preserve">. </w:t>
      </w:r>
      <w:r w:rsidR="00816604" w:rsidRPr="00EF4251">
        <w:rPr>
          <w:rFonts w:cstheme="minorHAnsi"/>
        </w:rPr>
        <w:t>Implementační struktura</w:t>
      </w:r>
      <w:r w:rsidR="00DF61F9" w:rsidRPr="00447B4F">
        <w:rPr>
          <w:rFonts w:cstheme="minorHAnsi"/>
        </w:rPr>
        <w:t xml:space="preserve"> pro období 2009–2014 zahrnoval</w:t>
      </w:r>
      <w:r w:rsidR="00816604">
        <w:rPr>
          <w:rFonts w:cstheme="minorHAnsi"/>
        </w:rPr>
        <w:t>a</w:t>
      </w:r>
      <w:r w:rsidR="007954D7">
        <w:rPr>
          <w:rFonts w:cstheme="minorHAnsi"/>
        </w:rPr>
        <w:t xml:space="preserve"> 15</w:t>
      </w:r>
      <w:r w:rsidR="00DF61F9" w:rsidRPr="00447B4F">
        <w:rPr>
          <w:rFonts w:cstheme="minorHAnsi"/>
        </w:rPr>
        <w:t xml:space="preserve"> tematicky </w:t>
      </w:r>
      <w:r w:rsidR="00AC201A">
        <w:rPr>
          <w:rFonts w:cstheme="minorHAnsi"/>
        </w:rPr>
        <w:t>odlišných</w:t>
      </w:r>
      <w:r w:rsidR="00AC201A" w:rsidRPr="00447B4F">
        <w:rPr>
          <w:rFonts w:cstheme="minorHAnsi"/>
        </w:rPr>
        <w:t xml:space="preserve"> </w:t>
      </w:r>
      <w:r w:rsidR="00DF61F9" w:rsidRPr="00447B4F">
        <w:rPr>
          <w:rFonts w:cstheme="minorHAnsi"/>
        </w:rPr>
        <w:t>programů</w:t>
      </w:r>
      <w:r w:rsidR="001C1318">
        <w:rPr>
          <w:rFonts w:cstheme="minorHAnsi"/>
        </w:rPr>
        <w:t>,</w:t>
      </w:r>
      <w:r w:rsidR="00DF61F9" w:rsidRPr="00447B4F">
        <w:rPr>
          <w:rFonts w:cstheme="minorHAnsi"/>
        </w:rPr>
        <w:t xml:space="preserve"> v rámci kterých bylo realizováno</w:t>
      </w:r>
      <w:r w:rsidR="00257CA3">
        <w:rPr>
          <w:rFonts w:cstheme="minorHAnsi"/>
        </w:rPr>
        <w:t xml:space="preserve"> </w:t>
      </w:r>
      <w:r w:rsidR="00A942E5">
        <w:rPr>
          <w:rFonts w:cstheme="minorHAnsi"/>
        </w:rPr>
        <w:t>894</w:t>
      </w:r>
      <w:r w:rsidR="00DF61F9" w:rsidRPr="00447B4F">
        <w:rPr>
          <w:rFonts w:cstheme="minorHAnsi"/>
        </w:rPr>
        <w:t xml:space="preserve"> projektů</w:t>
      </w:r>
      <w:r w:rsidR="00257CA3">
        <w:rPr>
          <w:rFonts w:cstheme="minorHAnsi"/>
        </w:rPr>
        <w:t xml:space="preserve">. </w:t>
      </w:r>
      <w:r w:rsidR="00DC730E">
        <w:rPr>
          <w:rFonts w:cstheme="minorHAnsi"/>
        </w:rPr>
        <w:t xml:space="preserve">Vzhledem k </w:t>
      </w:r>
      <w:r w:rsidR="007954D7">
        <w:rPr>
          <w:rFonts w:cstheme="minorHAnsi"/>
        </w:rPr>
        <w:t>množství programů</w:t>
      </w:r>
      <w:r w:rsidR="00952ED5">
        <w:rPr>
          <w:rFonts w:cstheme="minorHAnsi"/>
        </w:rPr>
        <w:t xml:space="preserve"> a </w:t>
      </w:r>
      <w:r w:rsidR="007954D7">
        <w:rPr>
          <w:rFonts w:cstheme="minorHAnsi"/>
        </w:rPr>
        <w:t>do nich zapojených subjektů byl tento s</w:t>
      </w:r>
      <w:r w:rsidR="00257CA3">
        <w:rPr>
          <w:rFonts w:cstheme="minorHAnsi"/>
        </w:rPr>
        <w:t>ystém</w:t>
      </w:r>
      <w:r w:rsidR="007954D7">
        <w:rPr>
          <w:rFonts w:cstheme="minorHAnsi"/>
        </w:rPr>
        <w:t xml:space="preserve"> </w:t>
      </w:r>
      <w:r w:rsidR="00DF61F9" w:rsidRPr="00447B4F">
        <w:rPr>
          <w:rFonts w:cstheme="minorHAnsi"/>
        </w:rPr>
        <w:t xml:space="preserve">složitý a administrativně náročný. Celková alokace byla roztříštěna do širokého spektra </w:t>
      </w:r>
      <w:r w:rsidR="00AC201A">
        <w:rPr>
          <w:rFonts w:cstheme="minorHAnsi"/>
        </w:rPr>
        <w:t>různorodých</w:t>
      </w:r>
      <w:r w:rsidR="00AC201A" w:rsidRPr="00447B4F">
        <w:rPr>
          <w:rFonts w:cstheme="minorHAnsi"/>
        </w:rPr>
        <w:t xml:space="preserve"> </w:t>
      </w:r>
      <w:r w:rsidR="00DF61F9" w:rsidRPr="00447B4F">
        <w:rPr>
          <w:rFonts w:cstheme="minorHAnsi"/>
        </w:rPr>
        <w:t xml:space="preserve">projektů. </w:t>
      </w:r>
    </w:p>
    <w:p w14:paraId="4FD648D7" w14:textId="1FE8C05F" w:rsidR="00DF61F9" w:rsidRPr="001C1318" w:rsidRDefault="00257CA3" w:rsidP="001C1318">
      <w:pPr>
        <w:pStyle w:val="KPnormln"/>
        <w:ind w:left="360" w:firstLine="0"/>
      </w:pPr>
      <w:r w:rsidRPr="001C1318">
        <w:t xml:space="preserve">Příprava programů a uzavírání dohod o programech mezi </w:t>
      </w:r>
      <w:r w:rsidR="006543E2">
        <w:t>donory</w:t>
      </w:r>
      <w:r w:rsidR="006543E2">
        <w:rPr>
          <w:rStyle w:val="Znakapoznpodarou"/>
        </w:rPr>
        <w:footnoteReference w:id="4"/>
      </w:r>
      <w:r w:rsidR="006543E2">
        <w:t xml:space="preserve"> </w:t>
      </w:r>
      <w:r w:rsidR="00554F6A" w:rsidRPr="001C1318">
        <w:t xml:space="preserve">a MF </w:t>
      </w:r>
      <w:r w:rsidR="00D11CF1" w:rsidRPr="001C1318">
        <w:t>byl</w:t>
      </w:r>
      <w:r w:rsidR="00D11CF1">
        <w:t>y</w:t>
      </w:r>
      <w:r w:rsidR="00D11CF1" w:rsidRPr="001C1318">
        <w:t xml:space="preserve"> </w:t>
      </w:r>
      <w:r w:rsidRPr="001C1318">
        <w:t>zdlouhavé</w:t>
      </w:r>
      <w:r w:rsidR="00092E0F">
        <w:t xml:space="preserve">. Namísto předpokládaného zahájení </w:t>
      </w:r>
      <w:r w:rsidR="000315CA">
        <w:t>většiny programů nejdříve v</w:t>
      </w:r>
      <w:r w:rsidR="00092E0F">
        <w:t> průběhu roku 2012</w:t>
      </w:r>
      <w:r w:rsidR="00395A65">
        <w:t xml:space="preserve"> byly programy zahájeny až v roce 2014</w:t>
      </w:r>
      <w:r w:rsidR="00821D3B">
        <w:t xml:space="preserve">. </w:t>
      </w:r>
      <w:r w:rsidR="00092E0F">
        <w:t>V</w:t>
      </w:r>
      <w:r w:rsidR="00821D3B">
        <w:t> </w:t>
      </w:r>
      <w:r w:rsidR="00554F6A" w:rsidRPr="001C1318">
        <w:t>důsledku</w:t>
      </w:r>
      <w:r w:rsidR="00821D3B">
        <w:t xml:space="preserve"> počátečního zpoždění</w:t>
      </w:r>
      <w:r w:rsidR="00952ED5">
        <w:t xml:space="preserve"> přípravy programů</w:t>
      </w:r>
      <w:r w:rsidR="00554F6A" w:rsidRPr="001C1318">
        <w:t xml:space="preserve"> byla nakonec </w:t>
      </w:r>
      <w:r w:rsidRPr="001C1318">
        <w:t xml:space="preserve">doba na realizaci projektů prodloužena </w:t>
      </w:r>
      <w:r w:rsidR="00821D3B">
        <w:t>o jeden rok do</w:t>
      </w:r>
      <w:r w:rsidRPr="001C1318">
        <w:t xml:space="preserve"> dubna 2017.</w:t>
      </w:r>
    </w:p>
    <w:p w14:paraId="570BEF27" w14:textId="6E891B30" w:rsidR="00A12465" w:rsidRPr="00EE2DF0" w:rsidRDefault="00A12465" w:rsidP="000C222F">
      <w:pPr>
        <w:pStyle w:val="Odstavecseseznamem"/>
        <w:numPr>
          <w:ilvl w:val="0"/>
          <w:numId w:val="40"/>
        </w:numPr>
        <w:spacing w:after="120"/>
        <w:jc w:val="both"/>
        <w:rPr>
          <w:b/>
        </w:rPr>
      </w:pPr>
      <w:r w:rsidRPr="005356B5">
        <w:rPr>
          <w:b/>
        </w:rPr>
        <w:t>Splnění cílů</w:t>
      </w:r>
      <w:r w:rsidR="00A83E31" w:rsidRPr="005356B5">
        <w:rPr>
          <w:b/>
        </w:rPr>
        <w:t xml:space="preserve"> u</w:t>
      </w:r>
      <w:r w:rsidRPr="005356B5">
        <w:rPr>
          <w:b/>
        </w:rPr>
        <w:t xml:space="preserve"> 11 ze 14 posuzovaných programů není možné prokázat</w:t>
      </w:r>
      <w:r w:rsidR="005D3FC0">
        <w:rPr>
          <w:b/>
        </w:rPr>
        <w:t>.</w:t>
      </w:r>
      <w:r w:rsidRPr="00E2019A">
        <w:t xml:space="preserve"> </w:t>
      </w:r>
      <w:r w:rsidR="005D3FC0">
        <w:t>Ve formulaci cílů</w:t>
      </w:r>
      <w:r w:rsidR="00293B21">
        <w:t xml:space="preserve"> a </w:t>
      </w:r>
      <w:r w:rsidR="005D3FC0">
        <w:t>k nim přiřazených</w:t>
      </w:r>
      <w:r w:rsidR="00F2752C">
        <w:t xml:space="preserve"> </w:t>
      </w:r>
      <w:r w:rsidR="005D3FC0">
        <w:t>monitorovacích indikátorech</w:t>
      </w:r>
      <w:r w:rsidR="00F2752C" w:rsidRPr="00C50799">
        <w:t xml:space="preserve"> není vyjádřeno žádné kvantitativní nebo jiné bližší vyjádření, čeho přesně mělo být dosaženo</w:t>
      </w:r>
      <w:r w:rsidR="00F2752C">
        <w:t xml:space="preserve">. </w:t>
      </w:r>
      <w:r w:rsidR="00BC097E">
        <w:t>Vazba cílů programů realizovaných v ČR na celkové cíle finančních mechanismů je navíc velmi volná.</w:t>
      </w:r>
      <w:r w:rsidR="00293B21">
        <w:t xml:space="preserve"> Vypovídací schopnost o </w:t>
      </w:r>
      <w:r w:rsidR="00102E06">
        <w:t>přínosu finančních mechanismů je tím limitována</w:t>
      </w:r>
      <w:r w:rsidR="006E16FB">
        <w:t>;</w:t>
      </w:r>
      <w:r w:rsidR="00A24F6F">
        <w:t xml:space="preserve"> dále je</w:t>
      </w:r>
      <w:r w:rsidR="00D11CF1">
        <w:t xml:space="preserve"> snížena i kvůli výrazným rozdílům </w:t>
      </w:r>
      <w:r w:rsidR="008234F8">
        <w:t xml:space="preserve">mezi </w:t>
      </w:r>
      <w:r w:rsidR="00D11CF1">
        <w:t>plánovaný</w:t>
      </w:r>
      <w:r w:rsidR="008234F8">
        <w:t>mi</w:t>
      </w:r>
      <w:r w:rsidR="00D11CF1">
        <w:t xml:space="preserve"> a skutečně dosažený</w:t>
      </w:r>
      <w:r w:rsidR="008234F8">
        <w:t>mi</w:t>
      </w:r>
      <w:r w:rsidR="00D11CF1">
        <w:t xml:space="preserve"> hodnot</w:t>
      </w:r>
      <w:r w:rsidR="008234F8">
        <w:t>ami</w:t>
      </w:r>
      <w:r w:rsidR="00D11CF1">
        <w:t xml:space="preserve"> některých monitorovacích indikátorů</w:t>
      </w:r>
      <w:r w:rsidR="00DC730E">
        <w:t xml:space="preserve"> (</w:t>
      </w:r>
      <w:r w:rsidR="00D11CF1">
        <w:t>např. v programu CZ12 byl jeden indikátor</w:t>
      </w:r>
      <w:r w:rsidR="000301A2">
        <w:t xml:space="preserve"> překročen o více než 44 tis. %</w:t>
      </w:r>
      <w:r w:rsidR="00DC730E">
        <w:t>)</w:t>
      </w:r>
      <w:r w:rsidR="00293B21">
        <w:t xml:space="preserve"> a </w:t>
      </w:r>
      <w:r w:rsidR="008234F8">
        <w:t xml:space="preserve">také kvůli </w:t>
      </w:r>
      <w:r w:rsidR="000301A2">
        <w:t xml:space="preserve">použití </w:t>
      </w:r>
      <w:r w:rsidR="00A96FB9">
        <w:t xml:space="preserve">zejména </w:t>
      </w:r>
      <w:r w:rsidR="000301A2">
        <w:t>kvantitativních typů indikátorů.</w:t>
      </w:r>
      <w:r w:rsidR="00D11CF1">
        <w:t xml:space="preserve"> </w:t>
      </w:r>
    </w:p>
    <w:p w14:paraId="7B2AC7FA" w14:textId="36F28BA8" w:rsidR="00AC201A" w:rsidRDefault="00A12465">
      <w:pPr>
        <w:pStyle w:val="KPnormln"/>
        <w:ind w:left="360" w:firstLine="0"/>
      </w:pPr>
      <w:r>
        <w:lastRenderedPageBreak/>
        <w:t>V</w:t>
      </w:r>
      <w:r w:rsidR="00102E06">
        <w:t xml:space="preserve"> šesti </w:t>
      </w:r>
      <w:r>
        <w:t xml:space="preserve">programech </w:t>
      </w:r>
      <w:r w:rsidR="00102E06">
        <w:t>nebude dosaženo</w:t>
      </w:r>
      <w:r w:rsidR="00AC201A">
        <w:t xml:space="preserve"> cílových hodnot všech předepsaných výstupů</w:t>
      </w:r>
      <w:r>
        <w:t>.</w:t>
      </w:r>
      <w:r w:rsidR="00293B21">
        <w:t xml:space="preserve"> O </w:t>
      </w:r>
      <w:r w:rsidR="00BC097E">
        <w:t>této skutečnosti</w:t>
      </w:r>
      <w:r w:rsidR="00952ED5">
        <w:t xml:space="preserve"> zprostředkovatelé programů informovali </w:t>
      </w:r>
      <w:r w:rsidR="00A24F6F">
        <w:t>donory</w:t>
      </w:r>
      <w:r w:rsidR="00146D43">
        <w:t xml:space="preserve"> </w:t>
      </w:r>
      <w:r w:rsidR="00BC097E">
        <w:t>prostřednictvím výročních zpráv.</w:t>
      </w:r>
      <w:r>
        <w:t xml:space="preserve"> </w:t>
      </w:r>
    </w:p>
    <w:p w14:paraId="66B8B35E" w14:textId="3EA02998" w:rsidR="0061503A" w:rsidRDefault="0061503A" w:rsidP="0061503A">
      <w:pPr>
        <w:pStyle w:val="Odstavecseseznamem"/>
        <w:numPr>
          <w:ilvl w:val="0"/>
          <w:numId w:val="40"/>
        </w:numPr>
        <w:spacing w:after="120"/>
        <w:jc w:val="both"/>
        <w:rPr>
          <w:rFonts w:cstheme="minorHAnsi"/>
          <w:b/>
        </w:rPr>
      </w:pPr>
      <w:r>
        <w:rPr>
          <w:rFonts w:cstheme="minorHAnsi"/>
          <w:b/>
        </w:rPr>
        <w:t>Na vzorku kontrolovaných programů a projektů NKÚ zjistil, že f</w:t>
      </w:r>
      <w:r w:rsidRPr="00E2019A">
        <w:rPr>
          <w:rFonts w:cstheme="minorHAnsi"/>
          <w:b/>
        </w:rPr>
        <w:t xml:space="preserve">inanční prostředky poskytnuté České republice z finančních mechanismů </w:t>
      </w:r>
      <w:r>
        <w:rPr>
          <w:rFonts w:cstheme="minorHAnsi"/>
          <w:b/>
        </w:rPr>
        <w:t>E</w:t>
      </w:r>
      <w:r w:rsidRPr="00E2019A">
        <w:rPr>
          <w:rFonts w:cstheme="minorHAnsi"/>
          <w:b/>
        </w:rPr>
        <w:t xml:space="preserve">vropského hospodářského prostoru a Norska byly </w:t>
      </w:r>
      <w:r w:rsidR="00214E0B">
        <w:rPr>
          <w:rFonts w:cstheme="minorHAnsi"/>
          <w:b/>
        </w:rPr>
        <w:t xml:space="preserve">kromě několika </w:t>
      </w:r>
      <w:r w:rsidR="006E16FB">
        <w:rPr>
          <w:rFonts w:cstheme="minorHAnsi"/>
          <w:b/>
        </w:rPr>
        <w:t xml:space="preserve">případů </w:t>
      </w:r>
      <w:r w:rsidRPr="006D43C5">
        <w:rPr>
          <w:rFonts w:cstheme="minorHAnsi"/>
          <w:b/>
        </w:rPr>
        <w:t>poskytnuty</w:t>
      </w:r>
      <w:r w:rsidRPr="00E2019A">
        <w:rPr>
          <w:rFonts w:cstheme="minorHAnsi"/>
          <w:b/>
        </w:rPr>
        <w:t xml:space="preserve"> a použity v souladu s právními předpisy a stanoveným</w:t>
      </w:r>
      <w:r w:rsidR="00F41523">
        <w:rPr>
          <w:rFonts w:cstheme="minorHAnsi"/>
          <w:b/>
        </w:rPr>
        <w:t>i</w:t>
      </w:r>
      <w:r w:rsidRPr="00E2019A">
        <w:rPr>
          <w:rFonts w:cstheme="minorHAnsi"/>
          <w:b/>
        </w:rPr>
        <w:t xml:space="preserve"> podmínkami.</w:t>
      </w:r>
    </w:p>
    <w:p w14:paraId="313A4D41" w14:textId="71CC7C1F" w:rsidR="00F5103C" w:rsidRDefault="00917BC4" w:rsidP="00917BC4">
      <w:pPr>
        <w:pStyle w:val="Odstavecseseznamem"/>
        <w:spacing w:after="120"/>
        <w:ind w:left="360"/>
        <w:jc w:val="both"/>
        <w:rPr>
          <w:rFonts w:cstheme="minorHAnsi"/>
        </w:rPr>
      </w:pPr>
      <w:r>
        <w:rPr>
          <w:rFonts w:cstheme="minorHAnsi"/>
        </w:rPr>
        <w:t>D</w:t>
      </w:r>
      <w:r w:rsidR="00BA2AF6">
        <w:rPr>
          <w:rFonts w:cstheme="minorHAnsi"/>
        </w:rPr>
        <w:t xml:space="preserve">ílčí nedostatky </w:t>
      </w:r>
      <w:r>
        <w:rPr>
          <w:rFonts w:cstheme="minorHAnsi"/>
        </w:rPr>
        <w:t xml:space="preserve">byly zjištěny </w:t>
      </w:r>
      <w:r w:rsidR="00BA2AF6">
        <w:rPr>
          <w:rFonts w:cstheme="minorHAnsi"/>
        </w:rPr>
        <w:t>v oblasti kontroly udržitelnosti projektů, v procesu výběru projektů a při šetření nesrovnalostí. V</w:t>
      </w:r>
      <w:r w:rsidR="00FC6DA1">
        <w:rPr>
          <w:rFonts w:cstheme="minorHAnsi"/>
        </w:rPr>
        <w:t>e</w:t>
      </w:r>
      <w:r w:rsidR="00F41523">
        <w:rPr>
          <w:rFonts w:cstheme="minorHAnsi"/>
        </w:rPr>
        <w:t xml:space="preserve"> </w:t>
      </w:r>
      <w:r w:rsidR="00BA2AF6">
        <w:rPr>
          <w:rFonts w:cstheme="minorHAnsi"/>
        </w:rPr>
        <w:t xml:space="preserve">čtyřech případech </w:t>
      </w:r>
      <w:r w:rsidR="00146D43">
        <w:rPr>
          <w:rFonts w:cstheme="minorHAnsi"/>
        </w:rPr>
        <w:t>poskytovatelé při kontrolách</w:t>
      </w:r>
      <w:r w:rsidR="00F41523">
        <w:rPr>
          <w:rFonts w:cstheme="minorHAnsi"/>
        </w:rPr>
        <w:t xml:space="preserve"> </w:t>
      </w:r>
      <w:r w:rsidR="004B50D7">
        <w:rPr>
          <w:rFonts w:cstheme="minorHAnsi"/>
        </w:rPr>
        <w:t>realizovaných projekt</w:t>
      </w:r>
      <w:r w:rsidR="00146D43">
        <w:rPr>
          <w:rFonts w:cstheme="minorHAnsi"/>
        </w:rPr>
        <w:t>ů</w:t>
      </w:r>
      <w:r w:rsidR="004B50D7">
        <w:rPr>
          <w:rFonts w:cstheme="minorHAnsi"/>
        </w:rPr>
        <w:t xml:space="preserve"> </w:t>
      </w:r>
      <w:r w:rsidR="00146D43">
        <w:rPr>
          <w:rFonts w:cstheme="minorHAnsi"/>
        </w:rPr>
        <w:t xml:space="preserve">nezjistili </w:t>
      </w:r>
      <w:r w:rsidR="00BA2AF6">
        <w:rPr>
          <w:rFonts w:cstheme="minorHAnsi"/>
        </w:rPr>
        <w:t>porušení</w:t>
      </w:r>
      <w:r>
        <w:rPr>
          <w:rFonts w:cstheme="minorHAnsi"/>
        </w:rPr>
        <w:t xml:space="preserve"> stanovených</w:t>
      </w:r>
      <w:r w:rsidR="00BA2AF6">
        <w:rPr>
          <w:rFonts w:cstheme="minorHAnsi"/>
        </w:rPr>
        <w:t xml:space="preserve"> podmínek</w:t>
      </w:r>
      <w:r w:rsidR="00146D43">
        <w:rPr>
          <w:rFonts w:cstheme="minorHAnsi"/>
        </w:rPr>
        <w:t>, která měla finanční</w:t>
      </w:r>
      <w:r w:rsidR="00BA2AF6">
        <w:rPr>
          <w:rFonts w:cstheme="minorHAnsi"/>
        </w:rPr>
        <w:t xml:space="preserve"> </w:t>
      </w:r>
      <w:r w:rsidR="00FC6DA1">
        <w:rPr>
          <w:rFonts w:cstheme="minorHAnsi"/>
        </w:rPr>
        <w:t>dopad</w:t>
      </w:r>
      <w:r w:rsidR="00BA2AF6">
        <w:rPr>
          <w:rFonts w:cstheme="minorHAnsi"/>
        </w:rPr>
        <w:t xml:space="preserve">. </w:t>
      </w:r>
    </w:p>
    <w:p w14:paraId="07D187C6" w14:textId="175B4CDA" w:rsidR="004D7AB3" w:rsidRPr="005356B5" w:rsidRDefault="00395A65" w:rsidP="00917BC4">
      <w:pPr>
        <w:pStyle w:val="Odstavecseseznamem"/>
        <w:spacing w:after="120"/>
        <w:ind w:left="360"/>
        <w:jc w:val="both"/>
        <w:rPr>
          <w:rFonts w:cstheme="minorHAnsi"/>
        </w:rPr>
      </w:pPr>
      <w:r>
        <w:t>Nedostatky zjištěné kontrolou NKÚ</w:t>
      </w:r>
      <w:r w:rsidR="00D13902">
        <w:t xml:space="preserve"> se týkaly částky cca 2,5 mil. Kč</w:t>
      </w:r>
      <w:r w:rsidR="00D13902">
        <w:rPr>
          <w:rStyle w:val="Znakapoznpodarou"/>
        </w:rPr>
        <w:footnoteReference w:id="5"/>
      </w:r>
      <w:r w:rsidR="00D13902">
        <w:t>, tj. 1,09 %</w:t>
      </w:r>
      <w:r w:rsidR="00BE2FEF">
        <w:t xml:space="preserve"> z kontrolovaného objemu</w:t>
      </w:r>
      <w:r w:rsidR="00D13902">
        <w:t>.</w:t>
      </w:r>
    </w:p>
    <w:p w14:paraId="74FE8219" w14:textId="77777777" w:rsidR="00006515" w:rsidRPr="00DF61F9" w:rsidRDefault="00006515" w:rsidP="005356B5">
      <w:pPr>
        <w:pStyle w:val="Odstavecseseznamem"/>
        <w:ind w:left="720"/>
      </w:pPr>
    </w:p>
    <w:p w14:paraId="5B32C6B8" w14:textId="1B770B2A" w:rsidR="00797B9D" w:rsidRPr="0049352F" w:rsidRDefault="00D02C8F" w:rsidP="00DF61F9">
      <w:pPr>
        <w:ind w:left="624" w:hanging="624"/>
        <w:jc w:val="both"/>
        <w:rPr>
          <w:b/>
          <w:kern w:val="36"/>
          <w:sz w:val="28"/>
          <w:szCs w:val="20"/>
        </w:rPr>
      </w:pPr>
      <w:r w:rsidRPr="0049352F">
        <w:rPr>
          <w:rFonts w:cstheme="minorHAnsi"/>
          <w:b/>
          <w:sz w:val="20"/>
          <w:szCs w:val="20"/>
        </w:rPr>
        <w:t>Po</w:t>
      </w:r>
      <w:r w:rsidR="00462F78" w:rsidRPr="0049352F">
        <w:rPr>
          <w:rFonts w:cstheme="minorHAnsi"/>
          <w:b/>
          <w:sz w:val="20"/>
          <w:szCs w:val="20"/>
        </w:rPr>
        <w:t>zn.:</w:t>
      </w:r>
      <w:r w:rsidR="00462F78" w:rsidRPr="0049352F">
        <w:rPr>
          <w:rFonts w:cstheme="minorHAnsi"/>
          <w:sz w:val="20"/>
          <w:szCs w:val="20"/>
        </w:rPr>
        <w:tab/>
        <w:t>Právní předpisy uvedené v tomto kontrolním závěru jsou aplikovány ve znění účinném pro kontrolované období.</w:t>
      </w:r>
      <w:r w:rsidR="00797B9D" w:rsidRPr="0049352F">
        <w:br w:type="page"/>
      </w:r>
    </w:p>
    <w:p w14:paraId="0676FB81" w14:textId="2E3654DE" w:rsidR="004E31D6" w:rsidRDefault="00462F78" w:rsidP="0099191B">
      <w:pPr>
        <w:pStyle w:val="Nadpis1"/>
        <w:jc w:val="both"/>
      </w:pPr>
      <w:r>
        <w:lastRenderedPageBreak/>
        <w:t>II</w:t>
      </w:r>
      <w:r w:rsidRPr="00A315CB">
        <w:t>.</w:t>
      </w:r>
      <w:r>
        <w:t xml:space="preserve"> </w:t>
      </w:r>
      <w:r w:rsidR="00D932E3">
        <w:t>Informace o kontrolované oblasti</w:t>
      </w:r>
      <w:r w:rsidR="00B20900" w:rsidRPr="00542313">
        <w:t xml:space="preserve"> </w:t>
      </w:r>
    </w:p>
    <w:p w14:paraId="7065B511" w14:textId="1400152F" w:rsidR="00917628" w:rsidRDefault="00917628" w:rsidP="000A6CAC">
      <w:pPr>
        <w:jc w:val="both"/>
      </w:pPr>
      <w:r w:rsidRPr="004568A5">
        <w:t>Finanční mechanismus Evropského hospodářského prostoru</w:t>
      </w:r>
      <w:r w:rsidR="00E16221">
        <w:t xml:space="preserve"> (dále také „EHP“)</w:t>
      </w:r>
      <w:r w:rsidRPr="004568A5">
        <w:t xml:space="preserve"> a </w:t>
      </w:r>
      <w:r w:rsidR="00F41523">
        <w:t>f</w:t>
      </w:r>
      <w:r w:rsidRPr="004568A5">
        <w:t>inanční mechanismus Norska</w:t>
      </w:r>
      <w:r w:rsidR="00DD3A9B">
        <w:t xml:space="preserve"> (dále také „finanční mechanismy“)</w:t>
      </w:r>
      <w:r w:rsidRPr="004568A5">
        <w:t xml:space="preserve"> jsou finanční nástroje, jež představují příspěvek Norského království, </w:t>
      </w:r>
      <w:r w:rsidR="00816604" w:rsidRPr="004568A5">
        <w:t>Islandu</w:t>
      </w:r>
      <w:r w:rsidR="00816604">
        <w:t xml:space="preserve"> a </w:t>
      </w:r>
      <w:r w:rsidR="00EF4251">
        <w:t xml:space="preserve">Lichtenštejnského knížectví </w:t>
      </w:r>
      <w:r w:rsidR="008127D1">
        <w:t xml:space="preserve">zastoupených Výborem pro finanční mechanismus (dále </w:t>
      </w:r>
      <w:r w:rsidR="000A6CAC">
        <w:t>také</w:t>
      </w:r>
      <w:r w:rsidR="008127D1">
        <w:t xml:space="preserve"> „VFM“) pro </w:t>
      </w:r>
      <w:r w:rsidR="008127D1" w:rsidRPr="008127D1">
        <w:t>Finanční mechanismus EHP 2009–2014</w:t>
      </w:r>
      <w:r w:rsidR="00B96A97">
        <w:t xml:space="preserve"> a </w:t>
      </w:r>
      <w:r w:rsidR="000A6CAC">
        <w:t>Ministerstvem zahraničních věcí Norska</w:t>
      </w:r>
      <w:r w:rsidR="00E33724">
        <w:t xml:space="preserve"> (dále také „MZVN“)</w:t>
      </w:r>
      <w:r w:rsidR="000A6CAC">
        <w:t xml:space="preserve"> pro F</w:t>
      </w:r>
      <w:r w:rsidR="00B96A97">
        <w:t>inanční mechanismus Norska 2009–</w:t>
      </w:r>
      <w:r w:rsidR="000A6CAC">
        <w:t xml:space="preserve">2014 </w:t>
      </w:r>
      <w:r w:rsidRPr="004568A5">
        <w:t>ke snižování ekonomických rozdílů v Evropském hospodářském prostoru a</w:t>
      </w:r>
      <w:r w:rsidR="00195255">
        <w:t> </w:t>
      </w:r>
      <w:r w:rsidRPr="004568A5">
        <w:t>k posilování bilaterálních vztahů mezi poskytujícími a přijímajícími zeměmi.</w:t>
      </w:r>
      <w:r w:rsidR="000A6CAC">
        <w:t xml:space="preserve"> Pro zajištění každodenního fungování </w:t>
      </w:r>
      <w:r w:rsidR="000A6CAC" w:rsidRPr="000A6CAC">
        <w:t>a kontakt</w:t>
      </w:r>
      <w:r w:rsidR="000A6CAC">
        <w:t>u</w:t>
      </w:r>
      <w:r w:rsidR="000A6CAC" w:rsidRPr="000A6CAC">
        <w:t xml:space="preserve"> s přijímajícími státy byla zřízena Kancelář finančních mechanismů</w:t>
      </w:r>
      <w:r w:rsidR="000A6CAC">
        <w:t xml:space="preserve"> (dále také „KFM“)</w:t>
      </w:r>
      <w:r w:rsidR="000A6CAC" w:rsidRPr="000A6CAC">
        <w:t xml:space="preserve"> se sídlem v</w:t>
      </w:r>
      <w:r w:rsidR="000A6CAC">
        <w:t> </w:t>
      </w:r>
      <w:r w:rsidR="000A6CAC" w:rsidRPr="000A6CAC">
        <w:t>Bruselu.</w:t>
      </w:r>
    </w:p>
    <w:p w14:paraId="01441BB7" w14:textId="3CAFC9AF" w:rsidR="00CE4133" w:rsidRDefault="00CE4133" w:rsidP="0099191B">
      <w:pPr>
        <w:jc w:val="both"/>
      </w:pPr>
    </w:p>
    <w:p w14:paraId="7CC359E6" w14:textId="62396D8F" w:rsidR="00917628" w:rsidRDefault="00917628" w:rsidP="00917628">
      <w:pPr>
        <w:jc w:val="both"/>
      </w:pPr>
      <w:r>
        <w:t xml:space="preserve">Finanční mechanismy mají podobu pětiletých programů, přičemž první programové období začalo od roku 1994. Česká republika se do finančních mechanismů zapojila ve třetím programovém období od roku 2004, kdy se stala členskou zemí EU. Do finančních mechanismů se kromě ČR zapojily i další </w:t>
      </w:r>
      <w:r w:rsidR="003E12CD">
        <w:t xml:space="preserve">tehdy </w:t>
      </w:r>
      <w:r>
        <w:t>nové členské státy</w:t>
      </w:r>
      <w:r w:rsidR="003E12CD">
        <w:t xml:space="preserve"> EU a od roku 2007 také Bulharsko a </w:t>
      </w:r>
      <w:r>
        <w:t>Rumunsko. Výchozím dokumentem pro každé pětileté období je memorandum o</w:t>
      </w:r>
      <w:r w:rsidR="00F41523">
        <w:t> </w:t>
      </w:r>
      <w:r>
        <w:t>porozumění podepisované mezi konkrétním státem a posky</w:t>
      </w:r>
      <w:r w:rsidR="00060429">
        <w:t>tujícími zeměmi. Kontrola NKÚ byla</w:t>
      </w:r>
      <w:r>
        <w:t xml:space="preserve"> zaměřena, s výjimkou prověřování udržitelnosti, na programové období 2009</w:t>
      </w:r>
      <w:r w:rsidR="00B96A97">
        <w:t>–</w:t>
      </w:r>
      <w:r>
        <w:t>2014</w:t>
      </w:r>
      <w:r w:rsidR="00E63494">
        <w:t>.</w:t>
      </w:r>
      <w:r>
        <w:t xml:space="preserve"> </w:t>
      </w:r>
      <w:r w:rsidR="00E63494">
        <w:t>Programové období nebylo do doby ukončení kontroly NKÚ uzavřeno.</w:t>
      </w:r>
    </w:p>
    <w:p w14:paraId="3ED91DBC" w14:textId="77777777" w:rsidR="00917628" w:rsidRDefault="00917628" w:rsidP="0099191B">
      <w:pPr>
        <w:jc w:val="both"/>
      </w:pPr>
    </w:p>
    <w:p w14:paraId="74B6D9C6" w14:textId="2E3A5DD1" w:rsidR="00060429" w:rsidRDefault="00060429" w:rsidP="00060429">
      <w:pPr>
        <w:jc w:val="both"/>
      </w:pPr>
      <w:r w:rsidRPr="00D856BC">
        <w:rPr>
          <w:b/>
        </w:rPr>
        <w:t>Memoranda o porozumění</w:t>
      </w:r>
      <w:r>
        <w:rPr>
          <w:rStyle w:val="Znakapoznpodarou"/>
        </w:rPr>
        <w:footnoteReference w:id="6"/>
      </w:r>
      <w:r>
        <w:t xml:space="preserve"> definovala programové oblasti včetně finanční alokace. Pro </w:t>
      </w:r>
      <w:r w:rsidR="00F41523">
        <w:t>f</w:t>
      </w:r>
      <w:r>
        <w:t xml:space="preserve">inanční mechanismus EHP to bylo </w:t>
      </w:r>
      <w:r w:rsidR="00AC201A">
        <w:t>devět</w:t>
      </w:r>
      <w:r>
        <w:t xml:space="preserve"> programových oblastí a pro </w:t>
      </w:r>
      <w:r w:rsidR="00F41523">
        <w:t>f</w:t>
      </w:r>
      <w:r>
        <w:t>inanční mechanismus Norska 1</w:t>
      </w:r>
      <w:r w:rsidR="00AC201A">
        <w:t>1</w:t>
      </w:r>
      <w:r>
        <w:t xml:space="preserve"> oblastí. Výše podpory z finančních mechanismů </w:t>
      </w:r>
      <w:r w:rsidR="00BF3CC2">
        <w:t>činila</w:t>
      </w:r>
      <w:r>
        <w:t xml:space="preserve"> </w:t>
      </w:r>
      <w:r w:rsidRPr="00083FCD">
        <w:t>121,</w:t>
      </w:r>
      <w:r w:rsidR="001E1A03">
        <w:t xml:space="preserve">9 </w:t>
      </w:r>
      <w:r>
        <w:t>mil. € (56,</w:t>
      </w:r>
      <w:r w:rsidR="00946EDF">
        <w:t>8</w:t>
      </w:r>
      <w:r>
        <w:t xml:space="preserve"> mil. € z FM</w:t>
      </w:r>
      <w:r w:rsidR="00195255">
        <w:t> </w:t>
      </w:r>
      <w:r>
        <w:t>EHP a 65,1 mil. </w:t>
      </w:r>
      <w:r w:rsidRPr="00083FCD">
        <w:t>€ z FM Norska</w:t>
      </w:r>
      <w:r>
        <w:t>)</w:t>
      </w:r>
      <w:r w:rsidR="003669EF">
        <w:t>, tj. cca 3 </w:t>
      </w:r>
      <w:r w:rsidR="001E1A03">
        <w:t>231</w:t>
      </w:r>
      <w:r w:rsidR="003669EF">
        <w:t> mil. Kč</w:t>
      </w:r>
      <w:r w:rsidR="003669EF">
        <w:rPr>
          <w:rStyle w:val="Znakapoznpodarou"/>
        </w:rPr>
        <w:footnoteReference w:id="7"/>
      </w:r>
      <w:r w:rsidR="003669EF">
        <w:t>.</w:t>
      </w:r>
      <w:r>
        <w:t xml:space="preserve"> </w:t>
      </w:r>
      <w:r w:rsidR="001E1A03" w:rsidRPr="001E1A03">
        <w:t xml:space="preserve">Alokace pro programy řízené českými subjekty </w:t>
      </w:r>
      <w:r w:rsidR="001E1A03">
        <w:t xml:space="preserve">byla </w:t>
      </w:r>
      <w:r w:rsidR="001E1A03" w:rsidRPr="001E1A03">
        <w:t>ve výši 121,2 mil</w:t>
      </w:r>
      <w:r w:rsidR="001E1A03">
        <w:t xml:space="preserve">. €, tj. 3 212 mil. </w:t>
      </w:r>
      <w:r w:rsidR="001E1A03">
        <w:rPr>
          <w:smallCaps/>
        </w:rPr>
        <w:t>Kč</w:t>
      </w:r>
      <w:r w:rsidR="001E1A03">
        <w:rPr>
          <w:rStyle w:val="Znakapoznpodarou"/>
          <w:smallCaps/>
        </w:rPr>
        <w:footnoteReference w:id="8"/>
      </w:r>
      <w:r w:rsidR="001E1A03">
        <w:rPr>
          <w:smallCaps/>
        </w:rPr>
        <w:t>.</w:t>
      </w:r>
      <w:r w:rsidR="00F731B1">
        <w:t xml:space="preserve"> </w:t>
      </w:r>
    </w:p>
    <w:p w14:paraId="3FBAB801" w14:textId="5C16F9F0" w:rsidR="00CE4133" w:rsidRDefault="00CE4133" w:rsidP="0099191B">
      <w:pPr>
        <w:jc w:val="both"/>
      </w:pPr>
    </w:p>
    <w:p w14:paraId="3C7D5939" w14:textId="102DD60C" w:rsidR="00DF0720" w:rsidRDefault="00DF0720" w:rsidP="00DF0720">
      <w:pPr>
        <w:jc w:val="both"/>
      </w:pPr>
      <w:r>
        <w:t xml:space="preserve">Oproti </w:t>
      </w:r>
      <w:r w:rsidR="00AC201A">
        <w:t xml:space="preserve">předchozím </w:t>
      </w:r>
      <w:r>
        <w:t>období</w:t>
      </w:r>
      <w:r w:rsidR="00AC201A">
        <w:t>m</w:t>
      </w:r>
      <w:r>
        <w:t xml:space="preserve"> finančních mechanismů byl v období 2009</w:t>
      </w:r>
      <w:r w:rsidR="00B96A97">
        <w:t>–</w:t>
      </w:r>
      <w:r>
        <w:t xml:space="preserve">2014 uplatněn tzv. programový způsob implementace. Finanční </w:t>
      </w:r>
      <w:r w:rsidR="00C06256">
        <w:t>podpora</w:t>
      </w:r>
      <w:r w:rsidR="00AC201A">
        <w:t xml:space="preserve"> byla čerpána</w:t>
      </w:r>
      <w:r>
        <w:t xml:space="preserve"> prostřednictvím samostatných programů</w:t>
      </w:r>
      <w:r w:rsidR="00280CCE">
        <w:t xml:space="preserve">, jejichž podobu určovaly dílčí dohody o programech. Dohody, jejichž obsah byl výsledkem vyjednávání mezi ČR a </w:t>
      </w:r>
      <w:r w:rsidR="003028EA">
        <w:t>donory</w:t>
      </w:r>
      <w:r w:rsidR="00280CCE">
        <w:t>, obsahovaly podrobné informace o</w:t>
      </w:r>
      <w:r w:rsidR="00B96A97">
        <w:t> </w:t>
      </w:r>
      <w:r w:rsidR="00AC201A">
        <w:t>uzavřeném programu a definovaly způsob jeho provádění</w:t>
      </w:r>
      <w:r w:rsidR="00280CCE">
        <w:t>,</w:t>
      </w:r>
      <w:r w:rsidR="00AC201A">
        <w:t xml:space="preserve"> jeho</w:t>
      </w:r>
      <w:r w:rsidR="00280CCE">
        <w:t xml:space="preserve"> cíle</w:t>
      </w:r>
      <w:r w:rsidR="00F41523">
        <w:t>,</w:t>
      </w:r>
      <w:r w:rsidR="00280CCE">
        <w:t xml:space="preserve"> monitorovací indikátory a další </w:t>
      </w:r>
      <w:r w:rsidR="00AC201A">
        <w:t>pravidla</w:t>
      </w:r>
      <w:r w:rsidR="00280CCE">
        <w:t>.</w:t>
      </w:r>
    </w:p>
    <w:p w14:paraId="22DCBA3C" w14:textId="77777777" w:rsidR="00DF0720" w:rsidRDefault="00DF0720" w:rsidP="0099191B">
      <w:pPr>
        <w:jc w:val="both"/>
      </w:pPr>
    </w:p>
    <w:p w14:paraId="14ACC14D" w14:textId="497949E6" w:rsidR="00060429" w:rsidRDefault="00257CA3" w:rsidP="0099191B">
      <w:pPr>
        <w:jc w:val="both"/>
      </w:pPr>
      <w:r>
        <w:t>Smluvní strany v memorandech stanovily</w:t>
      </w:r>
      <w:r w:rsidR="00060429">
        <w:t xml:space="preserve">, že podpora </w:t>
      </w:r>
      <w:r w:rsidR="00AC201A">
        <w:t>z finančních mechanismů pro ČR bude</w:t>
      </w:r>
      <w:r w:rsidR="00060429">
        <w:t xml:space="preserve"> čerpána prostřednictvím 16 </w:t>
      </w:r>
      <w:r w:rsidR="00060429" w:rsidRPr="000C112B">
        <w:t xml:space="preserve">programů (viz příloha č. 1). </w:t>
      </w:r>
      <w:r w:rsidR="00DF61F9" w:rsidRPr="000C112B">
        <w:t>Z tohoto</w:t>
      </w:r>
      <w:r w:rsidR="00DF61F9">
        <w:t xml:space="preserve"> počtu 15 programů řídily subjekty z</w:t>
      </w:r>
      <w:r w:rsidR="00AC201A">
        <w:t> </w:t>
      </w:r>
      <w:r w:rsidR="00DF61F9">
        <w:t>ČR</w:t>
      </w:r>
      <w:r w:rsidR="00AC201A">
        <w:t xml:space="preserve">, přičemž </w:t>
      </w:r>
      <w:r w:rsidR="00DF61F9">
        <w:t xml:space="preserve">14 programů </w:t>
      </w:r>
      <w:r w:rsidR="00AC201A">
        <w:t>bylo</w:t>
      </w:r>
      <w:r w:rsidR="00C06256">
        <w:t xml:space="preserve"> tematicky zaměřených a</w:t>
      </w:r>
      <w:r w:rsidR="00DF61F9">
        <w:t xml:space="preserve"> jeden program </w:t>
      </w:r>
      <w:r w:rsidR="006204F8">
        <w:t xml:space="preserve">byl </w:t>
      </w:r>
      <w:r w:rsidR="00DF61F9">
        <w:t>určen pro technickou asistenci a bilaterální spolupráci</w:t>
      </w:r>
      <w:r w:rsidR="00DF61F9">
        <w:rPr>
          <w:rStyle w:val="Znakapoznpodarou"/>
        </w:rPr>
        <w:footnoteReference w:id="9"/>
      </w:r>
      <w:r w:rsidR="00DF61F9">
        <w:t>.</w:t>
      </w:r>
    </w:p>
    <w:p w14:paraId="73BEEF70" w14:textId="1EC8C1D9" w:rsidR="00DB7331" w:rsidRDefault="00DB7331" w:rsidP="0099191B">
      <w:pPr>
        <w:jc w:val="both"/>
      </w:pPr>
    </w:p>
    <w:p w14:paraId="45454D47" w14:textId="36EC8D33" w:rsidR="00EF7931" w:rsidRPr="00D06227" w:rsidRDefault="00DD3A9B" w:rsidP="003C198B">
      <w:pPr>
        <w:keepNext/>
        <w:jc w:val="both"/>
      </w:pPr>
      <w:r w:rsidRPr="00D06227">
        <w:lastRenderedPageBreak/>
        <w:t>Za koordinaci, finanční vztahy s poskytujícími stranami a a</w:t>
      </w:r>
      <w:r w:rsidR="00B96A97">
        <w:t>udit bylo na základě memorand o </w:t>
      </w:r>
      <w:r w:rsidRPr="00D06227">
        <w:t>porozumění odpovědné MF, které plnilo následující role:</w:t>
      </w:r>
    </w:p>
    <w:p w14:paraId="2BFDE3CB" w14:textId="60A2B4B2" w:rsidR="00DD3A9B" w:rsidRDefault="00DD3A9B" w:rsidP="00FC4FDA">
      <w:pPr>
        <w:pStyle w:val="Odstavecseseznamem"/>
        <w:numPr>
          <w:ilvl w:val="0"/>
          <w:numId w:val="39"/>
        </w:numPr>
        <w:jc w:val="both"/>
      </w:pPr>
      <w:r w:rsidRPr="00D856BC">
        <w:rPr>
          <w:b/>
        </w:rPr>
        <w:t>Národní kontaktní místo</w:t>
      </w:r>
      <w:r>
        <w:t xml:space="preserve"> (dále také „NKM“) bylo celkově odpovědné za dosažení cílů a implementaci finančních mechanismů v České republice. M</w:t>
      </w:r>
      <w:r w:rsidR="00190B17">
        <w:t xml:space="preserve">imo </w:t>
      </w:r>
      <w:r>
        <w:t>j</w:t>
      </w:r>
      <w:r w:rsidR="00190B17">
        <w:t>iné</w:t>
      </w:r>
      <w:r>
        <w:t xml:space="preserve"> zastupovalo ČR při kontaktu</w:t>
      </w:r>
      <w:r w:rsidR="000A6CAC">
        <w:t xml:space="preserve"> s</w:t>
      </w:r>
      <w:r>
        <w:t xml:space="preserve"> </w:t>
      </w:r>
      <w:r w:rsidR="000A6CAC">
        <w:t>KFM</w:t>
      </w:r>
      <w:r>
        <w:t xml:space="preserve">. </w:t>
      </w:r>
      <w:r w:rsidR="00EE35EF">
        <w:t xml:space="preserve">NKM zajišťovalo dohled </w:t>
      </w:r>
      <w:r>
        <w:t>nad realizací všech p</w:t>
      </w:r>
      <w:r w:rsidR="00EE35EF">
        <w:t>rogramů, posuzování rizik a další úkoly související s jeho posláním</w:t>
      </w:r>
      <w:r>
        <w:t>.</w:t>
      </w:r>
    </w:p>
    <w:p w14:paraId="46189DB7" w14:textId="0C367874" w:rsidR="00DD3A9B" w:rsidRDefault="00DD3A9B" w:rsidP="00DD3A9B">
      <w:pPr>
        <w:pStyle w:val="Odstavecseseznamem"/>
        <w:numPr>
          <w:ilvl w:val="0"/>
          <w:numId w:val="39"/>
        </w:numPr>
        <w:jc w:val="both"/>
      </w:pPr>
      <w:r w:rsidRPr="00D856BC">
        <w:rPr>
          <w:b/>
        </w:rPr>
        <w:t>Certifikační orgán</w:t>
      </w:r>
      <w:r>
        <w:t xml:space="preserve"> (dále </w:t>
      </w:r>
      <w:r w:rsidR="00F41523">
        <w:t xml:space="preserve">také </w:t>
      </w:r>
      <w:r>
        <w:t>„CO“) odpovíd</w:t>
      </w:r>
      <w:r w:rsidR="00EE35EF">
        <w:t>al</w:t>
      </w:r>
      <w:r>
        <w:t xml:space="preserve"> zejména za ověřování a předkládání průběžných finančních zpráv programů Kanceláři finančních mechanismů, vedení účetních záznamů, zajištění převodu plate</w:t>
      </w:r>
      <w:r w:rsidR="00DE200C">
        <w:t>b zprostředkovatelům programů a </w:t>
      </w:r>
      <w:r>
        <w:t>příjemcům</w:t>
      </w:r>
      <w:r w:rsidR="00073F1E">
        <w:t xml:space="preserve"> podpory</w:t>
      </w:r>
      <w:r>
        <w:t xml:space="preserve"> a </w:t>
      </w:r>
      <w:r w:rsidR="00EE35EF">
        <w:t xml:space="preserve">také </w:t>
      </w:r>
      <w:r w:rsidR="00F41523">
        <w:t xml:space="preserve">za </w:t>
      </w:r>
      <w:r>
        <w:t>hlášení nesrovnalostí.</w:t>
      </w:r>
    </w:p>
    <w:p w14:paraId="56E75894" w14:textId="20B7AA52" w:rsidR="00DD3A9B" w:rsidRPr="00DD3A9B" w:rsidRDefault="00DD3A9B" w:rsidP="00DD3A9B">
      <w:pPr>
        <w:pStyle w:val="Odstavecseseznamem"/>
        <w:numPr>
          <w:ilvl w:val="0"/>
          <w:numId w:val="39"/>
        </w:numPr>
        <w:jc w:val="both"/>
      </w:pPr>
      <w:r w:rsidRPr="00D856BC">
        <w:rPr>
          <w:b/>
        </w:rPr>
        <w:t>Auditn</w:t>
      </w:r>
      <w:r w:rsidR="00EE35EF" w:rsidRPr="00D856BC">
        <w:rPr>
          <w:b/>
        </w:rPr>
        <w:t>í orgán</w:t>
      </w:r>
      <w:r w:rsidR="00EE35EF">
        <w:t xml:space="preserve"> (dále </w:t>
      </w:r>
      <w:r w:rsidR="00F41523">
        <w:t xml:space="preserve">také </w:t>
      </w:r>
      <w:r w:rsidR="00EE35EF">
        <w:t>„AO“) odpovídal</w:t>
      </w:r>
      <w:r>
        <w:t xml:space="preserve"> za provádění auditů implementační struktury </w:t>
      </w:r>
      <w:r w:rsidR="00EE35EF">
        <w:t>finančních mechanismů</w:t>
      </w:r>
      <w:r>
        <w:t xml:space="preserve">, tj. auditů řídicího a kontrolního systému, i auditů na vzorku projektů. </w:t>
      </w:r>
    </w:p>
    <w:p w14:paraId="4E70779E" w14:textId="77777777" w:rsidR="00EF7931" w:rsidRDefault="00EF7931" w:rsidP="0099191B">
      <w:pPr>
        <w:jc w:val="both"/>
        <w:rPr>
          <w:highlight w:val="yellow"/>
        </w:rPr>
      </w:pPr>
    </w:p>
    <w:p w14:paraId="18C65803" w14:textId="38B83865" w:rsidR="00D856BC" w:rsidRPr="00F011B3" w:rsidRDefault="00D856BC" w:rsidP="0099191B">
      <w:pPr>
        <w:jc w:val="both"/>
      </w:pPr>
      <w:r w:rsidRPr="00F011B3">
        <w:t>Za přípravu a realizaci programů odpovídali určen</w:t>
      </w:r>
      <w:r w:rsidR="006204F8">
        <w:t>í</w:t>
      </w:r>
      <w:r w:rsidRPr="00F011B3">
        <w:t xml:space="preserve"> </w:t>
      </w:r>
      <w:r w:rsidRPr="0093185E">
        <w:rPr>
          <w:b/>
        </w:rPr>
        <w:t>zprostředkovatelé</w:t>
      </w:r>
      <w:r w:rsidRPr="00F011B3">
        <w:t xml:space="preserve">. </w:t>
      </w:r>
      <w:r w:rsidR="00F011B3" w:rsidRPr="00F011B3">
        <w:t>U</w:t>
      </w:r>
      <w:r w:rsidRPr="00F011B3">
        <w:t xml:space="preserve"> části programů </w:t>
      </w:r>
      <w:r w:rsidR="00F011B3" w:rsidRPr="00F011B3">
        <w:t xml:space="preserve">se na jejich řízení podíleli též </w:t>
      </w:r>
      <w:r w:rsidR="00F011B3" w:rsidRPr="0093185E">
        <w:rPr>
          <w:b/>
        </w:rPr>
        <w:t>programoví partneři</w:t>
      </w:r>
      <w:r w:rsidR="0093185E">
        <w:rPr>
          <w:b/>
        </w:rPr>
        <w:t xml:space="preserve"> </w:t>
      </w:r>
      <w:r w:rsidR="0093185E">
        <w:t>(dále také „PP“)</w:t>
      </w:r>
      <w:r w:rsidR="00F011B3" w:rsidRPr="00F011B3">
        <w:t xml:space="preserve">, většinou ministerstva, </w:t>
      </w:r>
      <w:r w:rsidR="00F41523">
        <w:t>do</w:t>
      </w:r>
      <w:r w:rsidR="006204F8">
        <w:t xml:space="preserve"> </w:t>
      </w:r>
      <w:r w:rsidR="00F011B3" w:rsidRPr="00F011B3">
        <w:t xml:space="preserve">jejichž </w:t>
      </w:r>
      <w:r w:rsidR="00F41523">
        <w:t>působnosti</w:t>
      </w:r>
      <w:r w:rsidR="00F011B3" w:rsidRPr="00F011B3">
        <w:t xml:space="preserve"> </w:t>
      </w:r>
      <w:r w:rsidR="00F41523">
        <w:t>spadala</w:t>
      </w:r>
      <w:r w:rsidR="00F011B3" w:rsidRPr="00F011B3">
        <w:t xml:space="preserve"> </w:t>
      </w:r>
      <w:r w:rsidR="007209EF">
        <w:t>tematická</w:t>
      </w:r>
      <w:r w:rsidR="00F011B3" w:rsidRPr="00F011B3">
        <w:t xml:space="preserve"> náplň programu. </w:t>
      </w:r>
      <w:r w:rsidR="006204F8">
        <w:t>D</w:t>
      </w:r>
      <w:r w:rsidR="00F011B3" w:rsidRPr="00F011B3">
        <w:t>o některých programů byli zapojen</w:t>
      </w:r>
      <w:r w:rsidR="00F41523">
        <w:t>i</w:t>
      </w:r>
      <w:r w:rsidR="00F011B3" w:rsidRPr="00F011B3">
        <w:t xml:space="preserve"> i </w:t>
      </w:r>
      <w:r w:rsidR="00F011B3" w:rsidRPr="0093185E">
        <w:rPr>
          <w:b/>
        </w:rPr>
        <w:t>partneři</w:t>
      </w:r>
      <w:r w:rsidR="002A52B4">
        <w:rPr>
          <w:b/>
        </w:rPr>
        <w:t xml:space="preserve"> programů</w:t>
      </w:r>
      <w:r w:rsidR="00F011B3" w:rsidRPr="0093185E">
        <w:rPr>
          <w:b/>
        </w:rPr>
        <w:t xml:space="preserve"> z </w:t>
      </w:r>
      <w:proofErr w:type="spellStart"/>
      <w:r w:rsidR="00F011B3" w:rsidRPr="0093185E">
        <w:rPr>
          <w:b/>
        </w:rPr>
        <w:t>donorských</w:t>
      </w:r>
      <w:proofErr w:type="spellEnd"/>
      <w:r w:rsidR="00F011B3" w:rsidRPr="0093185E">
        <w:rPr>
          <w:b/>
        </w:rPr>
        <w:t xml:space="preserve"> zemí</w:t>
      </w:r>
      <w:r w:rsidR="00F011B3" w:rsidRPr="00F011B3">
        <w:t xml:space="preserve">, tzv. DPP (z </w:t>
      </w:r>
      <w:r w:rsidR="00F011B3" w:rsidRPr="002451C5">
        <w:t xml:space="preserve">anglického Donor </w:t>
      </w:r>
      <w:proofErr w:type="spellStart"/>
      <w:r w:rsidR="00F011B3" w:rsidRPr="002451C5">
        <w:t>Program</w:t>
      </w:r>
      <w:r w:rsidR="002451C5" w:rsidRPr="003C198B">
        <w:t>m</w:t>
      </w:r>
      <w:r w:rsidR="00F011B3" w:rsidRPr="002451C5">
        <w:t>e</w:t>
      </w:r>
      <w:proofErr w:type="spellEnd"/>
      <w:r w:rsidR="00F011B3" w:rsidRPr="002451C5">
        <w:t xml:space="preserve"> </w:t>
      </w:r>
      <w:proofErr w:type="spellStart"/>
      <w:r w:rsidR="00F011B3" w:rsidRPr="002451C5">
        <w:t>Partners</w:t>
      </w:r>
      <w:proofErr w:type="spellEnd"/>
      <w:r w:rsidR="00F011B3" w:rsidRPr="00F011B3">
        <w:t xml:space="preserve">). </w:t>
      </w:r>
    </w:p>
    <w:p w14:paraId="44FE5AB4" w14:textId="77777777" w:rsidR="00D856BC" w:rsidRDefault="00D856BC" w:rsidP="0099191B">
      <w:pPr>
        <w:jc w:val="both"/>
        <w:rPr>
          <w:highlight w:val="yellow"/>
        </w:rPr>
      </w:pPr>
    </w:p>
    <w:p w14:paraId="2175579D" w14:textId="3125CD25" w:rsidR="00D856BC" w:rsidRPr="004862A8" w:rsidRDefault="0093185E" w:rsidP="0099191B">
      <w:pPr>
        <w:jc w:val="both"/>
      </w:pPr>
      <w:r w:rsidRPr="004862A8">
        <w:t>Následující schéma obsahuje zobrazení struktury a základních vztahů při implementaci finančních mechanismů v ČR.</w:t>
      </w:r>
    </w:p>
    <w:p w14:paraId="123BCE79" w14:textId="78C727DF" w:rsidR="0093185E" w:rsidRPr="004862A8" w:rsidRDefault="0093185E" w:rsidP="0099191B">
      <w:pPr>
        <w:jc w:val="both"/>
      </w:pPr>
    </w:p>
    <w:p w14:paraId="6C95140F" w14:textId="6AD0DB4B" w:rsidR="004C34A0" w:rsidRDefault="004C34A0" w:rsidP="001E7C12">
      <w:pPr>
        <w:pStyle w:val="Titulek"/>
        <w:keepNext/>
        <w:spacing w:after="0"/>
        <w:jc w:val="both"/>
        <w:rPr>
          <w:rFonts w:asciiTheme="minorHAnsi" w:hAnsiTheme="minorHAnsi"/>
          <w:b/>
          <w:i w:val="0"/>
          <w:color w:val="000000" w:themeColor="text1"/>
          <w:sz w:val="24"/>
          <w:szCs w:val="24"/>
        </w:rPr>
      </w:pPr>
      <w:r w:rsidRPr="001E0FF6">
        <w:rPr>
          <w:rFonts w:asciiTheme="minorHAnsi" w:hAnsiTheme="minorHAnsi"/>
          <w:b/>
          <w:i w:val="0"/>
          <w:color w:val="000000" w:themeColor="text1"/>
          <w:sz w:val="24"/>
          <w:szCs w:val="24"/>
        </w:rPr>
        <w:t xml:space="preserve">Schéma č. </w:t>
      </w:r>
      <w:r w:rsidRPr="001E0FF6">
        <w:rPr>
          <w:rFonts w:asciiTheme="minorHAnsi" w:hAnsiTheme="minorHAnsi"/>
          <w:b/>
          <w:i w:val="0"/>
          <w:color w:val="000000" w:themeColor="text1"/>
          <w:sz w:val="24"/>
          <w:szCs w:val="24"/>
        </w:rPr>
        <w:fldChar w:fldCharType="begin"/>
      </w:r>
      <w:r w:rsidRPr="001E0FF6">
        <w:rPr>
          <w:rFonts w:asciiTheme="minorHAnsi" w:hAnsiTheme="minorHAnsi"/>
          <w:b/>
          <w:i w:val="0"/>
          <w:color w:val="000000" w:themeColor="text1"/>
          <w:sz w:val="24"/>
          <w:szCs w:val="24"/>
        </w:rPr>
        <w:instrText xml:space="preserve"> SEQ Schéma_č. \* ARABIC </w:instrText>
      </w:r>
      <w:r w:rsidRPr="001E0FF6">
        <w:rPr>
          <w:rFonts w:asciiTheme="minorHAnsi" w:hAnsiTheme="minorHAnsi"/>
          <w:b/>
          <w:i w:val="0"/>
          <w:color w:val="000000" w:themeColor="text1"/>
          <w:sz w:val="24"/>
          <w:szCs w:val="24"/>
        </w:rPr>
        <w:fldChar w:fldCharType="separate"/>
      </w:r>
      <w:r w:rsidR="00323B98">
        <w:rPr>
          <w:rFonts w:asciiTheme="minorHAnsi" w:hAnsiTheme="minorHAnsi"/>
          <w:b/>
          <w:i w:val="0"/>
          <w:noProof/>
          <w:color w:val="000000" w:themeColor="text1"/>
          <w:sz w:val="24"/>
          <w:szCs w:val="24"/>
        </w:rPr>
        <w:t>1</w:t>
      </w:r>
      <w:r w:rsidRPr="001E0FF6">
        <w:rPr>
          <w:rFonts w:asciiTheme="minorHAnsi" w:hAnsiTheme="minorHAnsi"/>
          <w:b/>
          <w:i w:val="0"/>
          <w:color w:val="000000" w:themeColor="text1"/>
          <w:sz w:val="24"/>
          <w:szCs w:val="24"/>
        </w:rPr>
        <w:fldChar w:fldCharType="end"/>
      </w:r>
      <w:r w:rsidR="00F41523">
        <w:rPr>
          <w:rFonts w:asciiTheme="minorHAnsi" w:hAnsiTheme="minorHAnsi"/>
          <w:b/>
          <w:i w:val="0"/>
          <w:color w:val="000000" w:themeColor="text1"/>
          <w:sz w:val="24"/>
          <w:szCs w:val="24"/>
        </w:rPr>
        <w:t>:</w:t>
      </w:r>
      <w:r w:rsidRPr="001E0FF6">
        <w:rPr>
          <w:rFonts w:asciiTheme="minorHAnsi" w:hAnsiTheme="minorHAnsi"/>
          <w:b/>
          <w:i w:val="0"/>
          <w:color w:val="000000" w:themeColor="text1"/>
          <w:sz w:val="24"/>
          <w:szCs w:val="24"/>
        </w:rPr>
        <w:t xml:space="preserve"> </w:t>
      </w:r>
      <w:r w:rsidR="00B96A8A" w:rsidRPr="001E0FF6">
        <w:rPr>
          <w:rFonts w:asciiTheme="minorHAnsi" w:hAnsiTheme="minorHAnsi"/>
          <w:b/>
          <w:i w:val="0"/>
          <w:color w:val="000000" w:themeColor="text1"/>
          <w:sz w:val="24"/>
          <w:szCs w:val="24"/>
        </w:rPr>
        <w:t>I</w:t>
      </w:r>
      <w:r w:rsidRPr="001E0FF6">
        <w:rPr>
          <w:rFonts w:asciiTheme="minorHAnsi" w:hAnsiTheme="minorHAnsi"/>
          <w:b/>
          <w:i w:val="0"/>
          <w:color w:val="000000" w:themeColor="text1"/>
          <w:sz w:val="24"/>
          <w:szCs w:val="24"/>
        </w:rPr>
        <w:t>mplementační struktura finančních mechanismů</w:t>
      </w:r>
      <w:r w:rsidR="00B96A8A" w:rsidRPr="001E0FF6">
        <w:rPr>
          <w:rFonts w:asciiTheme="minorHAnsi" w:hAnsiTheme="minorHAnsi"/>
          <w:b/>
          <w:i w:val="0"/>
          <w:color w:val="000000" w:themeColor="text1"/>
          <w:sz w:val="24"/>
          <w:szCs w:val="24"/>
        </w:rPr>
        <w:t xml:space="preserve"> (zjednodušeně)</w:t>
      </w:r>
    </w:p>
    <w:p w14:paraId="18C031AF" w14:textId="77777777" w:rsidR="001E0FF6" w:rsidRPr="001E0FF6" w:rsidRDefault="001E0FF6" w:rsidP="001E0FF6">
      <w:pPr>
        <w:rPr>
          <w:lang w:eastAsia="en-US"/>
        </w:rPr>
      </w:pPr>
    </w:p>
    <w:p w14:paraId="0B519A30" w14:textId="28BEDE03" w:rsidR="0093185E" w:rsidRPr="004862A8" w:rsidRDefault="001E0FF6" w:rsidP="001E0FF6">
      <w:pPr>
        <w:jc w:val="center"/>
      </w:pPr>
      <w:r>
        <w:rPr>
          <w:noProof/>
        </w:rPr>
        <w:drawing>
          <wp:inline distT="0" distB="0" distL="0" distR="0" wp14:anchorId="3D57EB96" wp14:editId="00F6E047">
            <wp:extent cx="5857639" cy="345757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éma návrh2A.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64142" cy="3461414"/>
                    </a:xfrm>
                    <a:prstGeom prst="rect">
                      <a:avLst/>
                    </a:prstGeom>
                  </pic:spPr>
                </pic:pic>
              </a:graphicData>
            </a:graphic>
          </wp:inline>
        </w:drawing>
      </w:r>
    </w:p>
    <w:p w14:paraId="3999C65C" w14:textId="77777777" w:rsidR="003A1F4B" w:rsidRPr="004862A8" w:rsidRDefault="003A1F4B" w:rsidP="0099191B">
      <w:pPr>
        <w:jc w:val="both"/>
      </w:pPr>
    </w:p>
    <w:p w14:paraId="7B2643B6" w14:textId="6DADAE23" w:rsidR="00F011B3" w:rsidRPr="006204F8" w:rsidRDefault="006204F8" w:rsidP="006204F8">
      <w:pPr>
        <w:jc w:val="both"/>
      </w:pPr>
      <w:r w:rsidRPr="006204F8">
        <w:lastRenderedPageBreak/>
        <w:t>Podpora byla</w:t>
      </w:r>
      <w:r w:rsidR="00073F1E">
        <w:t xml:space="preserve"> příjemcům</w:t>
      </w:r>
      <w:r w:rsidRPr="006204F8">
        <w:t xml:space="preserve"> poskytována </w:t>
      </w:r>
      <w:r w:rsidR="001D102F">
        <w:t xml:space="preserve">prostřednictvím </w:t>
      </w:r>
      <w:r w:rsidRPr="006204F8">
        <w:t>projektů vybraných na základě veřejných výzev</w:t>
      </w:r>
      <w:r w:rsidR="001D102F">
        <w:t xml:space="preserve"> </w:t>
      </w:r>
      <w:r w:rsidR="00304A20" w:rsidRPr="006204F8">
        <w:t>k předkládání projektů</w:t>
      </w:r>
      <w:r w:rsidR="00304A20">
        <w:t xml:space="preserve"> </w:t>
      </w:r>
      <w:r w:rsidR="001D102F">
        <w:t xml:space="preserve">a </w:t>
      </w:r>
      <w:r w:rsidR="001D102F" w:rsidRPr="006204F8">
        <w:t>předem definovaných projektů</w:t>
      </w:r>
      <w:r w:rsidR="00E9440A">
        <w:rPr>
          <w:rStyle w:val="Znakapoznpodarou"/>
        </w:rPr>
        <w:footnoteReference w:id="10"/>
      </w:r>
      <w:r w:rsidRPr="006204F8">
        <w:t>. Součástí některých programů byla také malá grantová schémata (dále také „MGS</w:t>
      </w:r>
      <w:r w:rsidR="00063131">
        <w:t>“)</w:t>
      </w:r>
      <w:r w:rsidR="00063131">
        <w:rPr>
          <w:rStyle w:val="Znakapoznpodarou"/>
        </w:rPr>
        <w:footnoteReference w:id="11"/>
      </w:r>
      <w:r w:rsidRPr="006204F8">
        <w:t xml:space="preserve">. Část MGS spravovali programoví partneři. Pro intenzivnější podporu spolupráce mezi ČR a </w:t>
      </w:r>
      <w:r w:rsidR="00005898">
        <w:t>donory</w:t>
      </w:r>
      <w:r w:rsidRPr="006204F8">
        <w:t xml:space="preserve"> fungovaly i </w:t>
      </w:r>
      <w:r w:rsidR="005878B3">
        <w:t>f</w:t>
      </w:r>
      <w:r w:rsidRPr="006204F8">
        <w:t>ondy pro bilaterální spoluprác</w:t>
      </w:r>
      <w:r w:rsidR="003F0D6A">
        <w:t>i</w:t>
      </w:r>
      <w:r w:rsidRPr="006204F8">
        <w:t xml:space="preserve"> určené k hledání partnerů a ke sdílení znalostí,</w:t>
      </w:r>
      <w:r w:rsidR="003F0D6A">
        <w:t xml:space="preserve"> </w:t>
      </w:r>
      <w:r w:rsidR="006115E7" w:rsidRPr="004862A8">
        <w:t>zkušenost</w:t>
      </w:r>
      <w:r w:rsidR="003F0D6A">
        <w:t>í</w:t>
      </w:r>
      <w:r w:rsidR="00C27F83">
        <w:t xml:space="preserve"> a </w:t>
      </w:r>
      <w:r w:rsidR="006115E7" w:rsidRPr="004862A8">
        <w:t>osvědčených postupů mezi příjemci podpory a subjekty v poskytujících zemích</w:t>
      </w:r>
      <w:r w:rsidRPr="006204F8">
        <w:rPr>
          <w:vertAlign w:val="superscript"/>
        </w:rPr>
        <w:footnoteReference w:id="12"/>
      </w:r>
      <w:r w:rsidR="006115E7" w:rsidRPr="004862A8">
        <w:t>.</w:t>
      </w:r>
      <w:r>
        <w:t xml:space="preserve"> </w:t>
      </w:r>
      <w:r w:rsidRPr="006204F8">
        <w:t>Fond bilaterální spolupráce jako součást programu CZ01 nebyl určen k financování projektů</w:t>
      </w:r>
      <w:r w:rsidR="00005898">
        <w:t xml:space="preserve"> a</w:t>
      </w:r>
      <w:r w:rsidR="00C27F83">
        <w:t> </w:t>
      </w:r>
      <w:r w:rsidRPr="006204F8">
        <w:t>finančně podporoval komplementární, přípravné a podpůrné iniciativy a dokumenty s cílem připravit nebo posílit základnu pro budoucí spolupráci.</w:t>
      </w:r>
    </w:p>
    <w:p w14:paraId="5693A91A" w14:textId="77777777" w:rsidR="00F011B3" w:rsidRPr="004862A8" w:rsidRDefault="00F011B3" w:rsidP="0099191B">
      <w:pPr>
        <w:jc w:val="both"/>
      </w:pPr>
    </w:p>
    <w:p w14:paraId="7B6655EC" w14:textId="3AFE7212" w:rsidR="00F011B3" w:rsidRPr="004862A8" w:rsidRDefault="00F9431F" w:rsidP="0099191B">
      <w:pPr>
        <w:jc w:val="both"/>
      </w:pPr>
      <w:r w:rsidRPr="004862A8">
        <w:t>Konečným datem pro uznání výdajů v projektech finančních mechan</w:t>
      </w:r>
      <w:r w:rsidR="004862A8" w:rsidRPr="004862A8">
        <w:t xml:space="preserve">ismů byl 30. duben 2016. Vzhledem k délce přípravy programů </w:t>
      </w:r>
      <w:r w:rsidR="00EE6C5D" w:rsidRPr="004862A8">
        <w:t xml:space="preserve">zažádalo </w:t>
      </w:r>
      <w:r w:rsidR="005878B3" w:rsidRPr="004862A8">
        <w:t xml:space="preserve">MF </w:t>
      </w:r>
      <w:r w:rsidR="00C27F83">
        <w:t>v průběhu programového období o </w:t>
      </w:r>
      <w:r w:rsidR="004862A8" w:rsidRPr="004862A8">
        <w:t>možnost prodloužení způsobilosti projektů o jeden rok</w:t>
      </w:r>
      <w:r w:rsidR="006204F8">
        <w:t>. Po zavedení této změny mohly</w:t>
      </w:r>
      <w:r w:rsidR="004862A8" w:rsidRPr="004862A8">
        <w:t xml:space="preserve"> </w:t>
      </w:r>
      <w:r w:rsidR="00EE6C5D">
        <w:t xml:space="preserve">být </w:t>
      </w:r>
      <w:r w:rsidR="004862A8" w:rsidRPr="004862A8">
        <w:t xml:space="preserve">projekty v případě potřeby </w:t>
      </w:r>
      <w:r w:rsidR="006204F8">
        <w:t>realizovány</w:t>
      </w:r>
      <w:r w:rsidR="004862A8" w:rsidRPr="004862A8">
        <w:t xml:space="preserve"> až do 30. dubna 2017.</w:t>
      </w:r>
    </w:p>
    <w:p w14:paraId="151487DB" w14:textId="77777777" w:rsidR="004862A8" w:rsidRDefault="004862A8" w:rsidP="0099191B">
      <w:pPr>
        <w:jc w:val="both"/>
        <w:rPr>
          <w:highlight w:val="yellow"/>
        </w:rPr>
      </w:pPr>
    </w:p>
    <w:p w14:paraId="4DE0E8DA" w14:textId="4ED4DEED" w:rsidR="00462F78" w:rsidRPr="000103D2" w:rsidRDefault="00462F78" w:rsidP="0099191B">
      <w:pPr>
        <w:pStyle w:val="Nadpis1"/>
        <w:jc w:val="both"/>
      </w:pPr>
      <w:r w:rsidRPr="006655A8">
        <w:t xml:space="preserve">III. Rozsah kontroly </w:t>
      </w:r>
    </w:p>
    <w:p w14:paraId="28400EBC" w14:textId="4E6AF208" w:rsidR="00487B6C" w:rsidRDefault="00487B6C" w:rsidP="00487B6C">
      <w:pPr>
        <w:jc w:val="both"/>
        <w:rPr>
          <w:rFonts w:cstheme="minorHAnsi"/>
          <w:lang w:eastAsia="en-US"/>
        </w:rPr>
      </w:pPr>
      <w:r>
        <w:rPr>
          <w:rFonts w:cstheme="minorHAnsi"/>
          <w:lang w:eastAsia="en-US"/>
        </w:rPr>
        <w:t xml:space="preserve">Kontrolní akcí </w:t>
      </w:r>
      <w:r w:rsidR="000D6413">
        <w:rPr>
          <w:rFonts w:cstheme="minorHAnsi"/>
          <w:lang w:eastAsia="en-US"/>
        </w:rPr>
        <w:t xml:space="preserve">č. </w:t>
      </w:r>
      <w:r>
        <w:rPr>
          <w:rFonts w:cstheme="minorHAnsi"/>
          <w:lang w:eastAsia="en-US"/>
        </w:rPr>
        <w:t xml:space="preserve">17/25 bylo prověřeno, zda </w:t>
      </w:r>
      <w:r w:rsidRPr="001D380D">
        <w:rPr>
          <w:rFonts w:cstheme="minorHAnsi"/>
          <w:lang w:eastAsia="en-US"/>
        </w:rPr>
        <w:t xml:space="preserve">peněžní prostředky určené na realizaci aktivit podporovaných z finančních mechanismů Evropského hospodářského prostoru a Norska byly poskytnuty a použity v souladu s právními předpisy a stanovenými podmínkami, zda </w:t>
      </w:r>
      <w:r w:rsidR="005878B3" w:rsidRPr="001D380D">
        <w:rPr>
          <w:rFonts w:cstheme="minorHAnsi"/>
          <w:lang w:eastAsia="en-US"/>
        </w:rPr>
        <w:t xml:space="preserve">je </w:t>
      </w:r>
      <w:r w:rsidRPr="001D380D">
        <w:rPr>
          <w:rFonts w:cstheme="minorHAnsi"/>
          <w:lang w:eastAsia="en-US"/>
        </w:rPr>
        <w:t>systém implementace efektivní a zda je dosahováno cílů jednotlivých programů.</w:t>
      </w:r>
    </w:p>
    <w:p w14:paraId="3C821000" w14:textId="77777777" w:rsidR="00487B6C" w:rsidRPr="002F4931" w:rsidRDefault="00487B6C" w:rsidP="00487B6C">
      <w:pPr>
        <w:jc w:val="both"/>
        <w:rPr>
          <w:rFonts w:cstheme="minorHAnsi"/>
          <w:noProof/>
          <w:color w:val="000000"/>
        </w:rPr>
      </w:pPr>
    </w:p>
    <w:p w14:paraId="64AC9156" w14:textId="77777777" w:rsidR="00487B6C" w:rsidRPr="004C031F" w:rsidRDefault="00487B6C" w:rsidP="00487B6C">
      <w:pPr>
        <w:pStyle w:val="Zkladntextodsazen"/>
        <w:spacing w:after="0"/>
        <w:ind w:left="0"/>
        <w:jc w:val="both"/>
        <w:rPr>
          <w:rFonts w:ascii="Calibri" w:hAnsi="Calibri" w:cs="Calibri"/>
        </w:rPr>
      </w:pPr>
      <w:r w:rsidRPr="004C031F">
        <w:rPr>
          <w:rFonts w:ascii="Calibri" w:hAnsi="Calibri" w:cs="Calibri"/>
        </w:rPr>
        <w:t>Kontrolováno bylo období od roku 20</w:t>
      </w:r>
      <w:r>
        <w:rPr>
          <w:rFonts w:ascii="Calibri" w:hAnsi="Calibri" w:cs="Calibri"/>
        </w:rPr>
        <w:t>11</w:t>
      </w:r>
      <w:r w:rsidRPr="004C031F">
        <w:rPr>
          <w:rFonts w:ascii="Calibri" w:hAnsi="Calibri" w:cs="Calibri"/>
        </w:rPr>
        <w:t xml:space="preserve"> do roku 201</w:t>
      </w:r>
      <w:r>
        <w:rPr>
          <w:rFonts w:ascii="Calibri" w:hAnsi="Calibri" w:cs="Calibri"/>
        </w:rPr>
        <w:t>7</w:t>
      </w:r>
      <w:r w:rsidRPr="004C031F">
        <w:rPr>
          <w:rFonts w:ascii="Calibri" w:hAnsi="Calibri" w:cs="Calibri"/>
        </w:rPr>
        <w:t xml:space="preserve">, v případě věcných souvislostí i období </w:t>
      </w:r>
      <w:r w:rsidRPr="00D95701">
        <w:rPr>
          <w:rFonts w:ascii="Calibri" w:hAnsi="Calibri" w:cs="Calibri"/>
        </w:rPr>
        <w:t>předcházející a následující</w:t>
      </w:r>
      <w:r w:rsidRPr="004C031F">
        <w:rPr>
          <w:rFonts w:ascii="Calibri" w:hAnsi="Calibri" w:cs="Calibri"/>
        </w:rPr>
        <w:t xml:space="preserve">. </w:t>
      </w:r>
    </w:p>
    <w:p w14:paraId="4B507911" w14:textId="77777777" w:rsidR="00487B6C" w:rsidRDefault="00487B6C" w:rsidP="00487B6C">
      <w:pPr>
        <w:jc w:val="both"/>
      </w:pPr>
    </w:p>
    <w:p w14:paraId="0BF71280" w14:textId="77777777" w:rsidR="00487B6C" w:rsidRDefault="00487B6C" w:rsidP="00487B6C">
      <w:pPr>
        <w:jc w:val="both"/>
      </w:pPr>
      <w:r>
        <w:t>Nejvyšší kontrolní úřad prověřil:</w:t>
      </w:r>
    </w:p>
    <w:p w14:paraId="208D5E91" w14:textId="623B0D62" w:rsidR="00487B6C" w:rsidRPr="00487B6C" w:rsidRDefault="005878B3" w:rsidP="00310D05">
      <w:pPr>
        <w:pStyle w:val="Odstavecseseznamem"/>
        <w:numPr>
          <w:ilvl w:val="0"/>
          <w:numId w:val="43"/>
        </w:numPr>
        <w:jc w:val="both"/>
      </w:pPr>
      <w:r>
        <w:t>p</w:t>
      </w:r>
      <w:r w:rsidR="00487B6C">
        <w:t>lnění povinnost</w:t>
      </w:r>
      <w:r w:rsidR="006204F8">
        <w:t>í</w:t>
      </w:r>
      <w:r w:rsidR="00487B6C">
        <w:t xml:space="preserve"> MF spojen</w:t>
      </w:r>
      <w:r w:rsidR="006204F8">
        <w:t>ých</w:t>
      </w:r>
      <w:r w:rsidR="00487B6C">
        <w:t xml:space="preserve"> s fungováním </w:t>
      </w:r>
      <w:r w:rsidR="00EF4251">
        <w:t>f</w:t>
      </w:r>
      <w:r w:rsidR="00487B6C">
        <w:t xml:space="preserve">inančních mechanismů v ČR, zejména činnost </w:t>
      </w:r>
      <w:r>
        <w:t>n</w:t>
      </w:r>
      <w:r w:rsidR="00487B6C">
        <w:t xml:space="preserve">árodního kontaktního místa, </w:t>
      </w:r>
      <w:r>
        <w:t>c</w:t>
      </w:r>
      <w:r w:rsidR="00487B6C">
        <w:t xml:space="preserve">ertifikačního orgánu a </w:t>
      </w:r>
      <w:r>
        <w:t>a</w:t>
      </w:r>
      <w:r w:rsidR="00487B6C">
        <w:t>uditního orgánu</w:t>
      </w:r>
      <w:r w:rsidR="00487B6C" w:rsidRPr="00487B6C">
        <w:t>. Dále NKÚ prověřil systém sledování udržitelnosti projektů</w:t>
      </w:r>
      <w:r w:rsidR="006204F8">
        <w:t>,</w:t>
      </w:r>
      <w:r w:rsidR="00487B6C" w:rsidRPr="00487B6C">
        <w:t xml:space="preserve"> a to jak v programovém období finančních mechanismů 2009</w:t>
      </w:r>
      <w:r w:rsidR="00C27F83">
        <w:t>–</w:t>
      </w:r>
      <w:r w:rsidR="00487B6C" w:rsidRPr="00487B6C">
        <w:t>2014, tak i v před</w:t>
      </w:r>
      <w:r w:rsidR="00C27F83">
        <w:t>ch</w:t>
      </w:r>
      <w:r>
        <w:t>ozím</w:t>
      </w:r>
      <w:r w:rsidR="00C27F83">
        <w:t xml:space="preserve"> období pro léta 2004–</w:t>
      </w:r>
      <w:r w:rsidR="00487B6C" w:rsidRPr="00487B6C">
        <w:t>2009</w:t>
      </w:r>
      <w:r>
        <w:t>;</w:t>
      </w:r>
    </w:p>
    <w:p w14:paraId="6A719EA4" w14:textId="57529491" w:rsidR="00487B6C" w:rsidRPr="00487B6C" w:rsidRDefault="005878B3" w:rsidP="00310D05">
      <w:pPr>
        <w:pStyle w:val="Odstavecseseznamem"/>
        <w:numPr>
          <w:ilvl w:val="0"/>
          <w:numId w:val="43"/>
        </w:numPr>
        <w:jc w:val="both"/>
      </w:pPr>
      <w:r>
        <w:t>p</w:t>
      </w:r>
      <w:r w:rsidR="00487B6C">
        <w:t xml:space="preserve">lnění povinností </w:t>
      </w:r>
      <w:r w:rsidR="00961282">
        <w:t xml:space="preserve">zprostředkovatelů programů stanovených </w:t>
      </w:r>
      <w:r>
        <w:t>n</w:t>
      </w:r>
      <w:r w:rsidR="00487B6C">
        <w:t>árodním kontaktním místem</w:t>
      </w:r>
      <w:r>
        <w:t xml:space="preserve"> (MF)</w:t>
      </w:r>
      <w:r w:rsidR="00487B6C">
        <w:rPr>
          <w:i/>
        </w:rPr>
        <w:t>.</w:t>
      </w:r>
      <w:r w:rsidR="00487B6C">
        <w:t xml:space="preserve"> Ke kontrole byl</w:t>
      </w:r>
      <w:r>
        <w:t>y</w:t>
      </w:r>
      <w:r w:rsidR="00487B6C">
        <w:t xml:space="preserve"> vybrán</w:t>
      </w:r>
      <w:r>
        <w:t>y</w:t>
      </w:r>
      <w:r w:rsidR="00487B6C">
        <w:t xml:space="preserve"> program</w:t>
      </w:r>
      <w:r>
        <w:t>y</w:t>
      </w:r>
      <w:r w:rsidR="00487B6C">
        <w:t xml:space="preserve"> CZ04, CZ06, CZ14 a CZ15 (zprostředkovatel MF), program CZ09 (zprostředkovatel MŠMT) a program CZ12 (zprostředkovatel NOSFP). V rámci těchto programů byla vyplacena podpora ve výši </w:t>
      </w:r>
      <w:r w:rsidR="00487B6C" w:rsidRPr="00A32A24">
        <w:t>1</w:t>
      </w:r>
      <w:r w:rsidR="00487B6C">
        <w:t> </w:t>
      </w:r>
      <w:r w:rsidR="00487B6C" w:rsidRPr="00A32A24">
        <w:t>483</w:t>
      </w:r>
      <w:r w:rsidR="00487B6C">
        <w:t> </w:t>
      </w:r>
      <w:r w:rsidR="00487B6C" w:rsidRPr="00A32A24">
        <w:t>643</w:t>
      </w:r>
      <w:r w:rsidR="00487B6C">
        <w:t> </w:t>
      </w:r>
      <w:r w:rsidR="00487B6C" w:rsidRPr="00A32A24">
        <w:t>140</w:t>
      </w:r>
      <w:r w:rsidR="00487B6C">
        <w:t> Kč</w:t>
      </w:r>
      <w:r w:rsidR="00487B6C">
        <w:rPr>
          <w:rStyle w:val="Znakapoznpodarou"/>
        </w:rPr>
        <w:footnoteReference w:id="13"/>
      </w:r>
      <w:r w:rsidR="00487B6C">
        <w:t xml:space="preserve">. </w:t>
      </w:r>
      <w:r w:rsidR="00487B6C" w:rsidRPr="00487B6C">
        <w:t>Vzorek programů z obou fin</w:t>
      </w:r>
      <w:r w:rsidR="00C27F83">
        <w:t>ančních mechanismů vybral NKÚ s </w:t>
      </w:r>
      <w:r w:rsidR="00487B6C" w:rsidRPr="00487B6C">
        <w:t>přihlédnutím k jejich finančnímu objemu</w:t>
      </w:r>
      <w:r w:rsidR="006204F8">
        <w:t xml:space="preserve"> a</w:t>
      </w:r>
      <w:r w:rsidR="00487B6C" w:rsidRPr="00487B6C">
        <w:t xml:space="preserve"> identifikovaným rizikům</w:t>
      </w:r>
      <w:r>
        <w:t>;</w:t>
      </w:r>
    </w:p>
    <w:p w14:paraId="35D9A94B" w14:textId="33A207FE" w:rsidR="00E77357" w:rsidRDefault="00487B6C" w:rsidP="00310D05">
      <w:pPr>
        <w:pStyle w:val="Odstavecseseznamem"/>
        <w:numPr>
          <w:ilvl w:val="0"/>
          <w:numId w:val="43"/>
        </w:numPr>
        <w:jc w:val="both"/>
      </w:pPr>
      <w:r>
        <w:t>14 projektů, na jejichž realizaci poskytli zprostředkovatelé programů</w:t>
      </w:r>
      <w:r w:rsidR="00041569">
        <w:t xml:space="preserve"> příjemcům podpory</w:t>
      </w:r>
      <w:r>
        <w:t xml:space="preserve"> celke</w:t>
      </w:r>
      <w:r w:rsidRPr="00357F49">
        <w:t xml:space="preserve">m </w:t>
      </w:r>
      <w:r w:rsidRPr="00E77357">
        <w:rPr>
          <w:rFonts w:ascii="Calibri" w:hAnsi="Calibri" w:cs="Calibri"/>
          <w:color w:val="000000"/>
        </w:rPr>
        <w:t>230 512 157 </w:t>
      </w:r>
      <w:r w:rsidRPr="00357F49">
        <w:t>Kč</w:t>
      </w:r>
      <w:r w:rsidR="001F6559">
        <w:t xml:space="preserve"> </w:t>
      </w:r>
      <w:r w:rsidR="001F6559" w:rsidRPr="00180E9D">
        <w:t>(viz příloha č. 2)</w:t>
      </w:r>
      <w:r>
        <w:t xml:space="preserve">. </w:t>
      </w:r>
      <w:r w:rsidRPr="00A32A24">
        <w:t>Vzorek kontrolovaných projektů v jednotlivých programech vybral</w:t>
      </w:r>
      <w:r>
        <w:t xml:space="preserve"> NKÚ</w:t>
      </w:r>
      <w:r w:rsidRPr="00A32A24">
        <w:t xml:space="preserve"> s ohledem na jejich finanční významnost</w:t>
      </w:r>
      <w:r w:rsidR="006204F8">
        <w:t xml:space="preserve"> a</w:t>
      </w:r>
      <w:r w:rsidR="00041569">
        <w:t xml:space="preserve"> </w:t>
      </w:r>
      <w:r w:rsidRPr="00A32A24">
        <w:t>počet pro</w:t>
      </w:r>
      <w:r w:rsidR="00041569">
        <w:t>vedených</w:t>
      </w:r>
      <w:r w:rsidRPr="00A32A24">
        <w:t xml:space="preserve"> </w:t>
      </w:r>
      <w:r w:rsidRPr="00A32A24">
        <w:lastRenderedPageBreak/>
        <w:t xml:space="preserve">kontrol a auditů </w:t>
      </w:r>
      <w:r w:rsidR="00041569">
        <w:t xml:space="preserve">ze strany </w:t>
      </w:r>
      <w:r w:rsidRPr="00A32A24">
        <w:t>jiných subjektů</w:t>
      </w:r>
      <w:r w:rsidR="005878B3">
        <w:t>.</w:t>
      </w:r>
      <w:r w:rsidR="00041569">
        <w:rPr>
          <w:rStyle w:val="Znakapoznpodarou"/>
        </w:rPr>
        <w:footnoteReference w:id="14"/>
      </w:r>
      <w:r>
        <w:t xml:space="preserve"> Kontrola projektů se zaměřila především na plnění podmínek</w:t>
      </w:r>
      <w:r w:rsidR="00D23119">
        <w:t>, které stanovili</w:t>
      </w:r>
      <w:r w:rsidR="00582158">
        <w:t xml:space="preserve"> příjemcům podpory zprostředkovatelé programů.</w:t>
      </w:r>
    </w:p>
    <w:p w14:paraId="50224156" w14:textId="035113EA" w:rsidR="00837DA0" w:rsidRDefault="00837DA0" w:rsidP="004F5235">
      <w:pPr>
        <w:jc w:val="both"/>
      </w:pPr>
    </w:p>
    <w:p w14:paraId="5875A736" w14:textId="77777777" w:rsidR="004F5235" w:rsidRDefault="004F5235" w:rsidP="004F5235">
      <w:pPr>
        <w:jc w:val="both"/>
      </w:pPr>
    </w:p>
    <w:p w14:paraId="7565013B" w14:textId="43CF4D7F" w:rsidR="00264646" w:rsidRDefault="00264646" w:rsidP="0099191B">
      <w:pPr>
        <w:pStyle w:val="Nadpis1"/>
        <w:jc w:val="both"/>
      </w:pPr>
      <w:r w:rsidRPr="006655A8">
        <w:t>IV. Podrobn</w:t>
      </w:r>
      <w:r w:rsidR="00F82FB5">
        <w:t>osti</w:t>
      </w:r>
      <w:r w:rsidRPr="006655A8">
        <w:t xml:space="preserve"> </w:t>
      </w:r>
      <w:r w:rsidR="00F82FB5">
        <w:t xml:space="preserve">ke </w:t>
      </w:r>
      <w:r w:rsidR="00F82FB5" w:rsidRPr="006655A8">
        <w:t>zjištěn</w:t>
      </w:r>
      <w:r w:rsidR="00F82FB5">
        <w:t>ým</w:t>
      </w:r>
      <w:r w:rsidR="00F82FB5" w:rsidRPr="006655A8">
        <w:t xml:space="preserve"> </w:t>
      </w:r>
      <w:r w:rsidRPr="006655A8">
        <w:t>skutečnost</w:t>
      </w:r>
      <w:r w:rsidR="00F82FB5">
        <w:t>em</w:t>
      </w:r>
    </w:p>
    <w:p w14:paraId="02DCD669" w14:textId="0F1FF889" w:rsidR="0063341B" w:rsidRDefault="0063341B" w:rsidP="00310D05">
      <w:pPr>
        <w:pStyle w:val="Nadpis2"/>
        <w:numPr>
          <w:ilvl w:val="0"/>
          <w:numId w:val="44"/>
        </w:numPr>
        <w:jc w:val="both"/>
      </w:pPr>
      <w:r>
        <w:t xml:space="preserve">Implementační struktura </w:t>
      </w:r>
      <w:r w:rsidDel="00031D6A">
        <w:t>a časový průběh</w:t>
      </w:r>
      <w:r w:rsidR="00B4355A" w:rsidDel="00031D6A">
        <w:t xml:space="preserve"> </w:t>
      </w:r>
      <w:r w:rsidR="00B4355A">
        <w:t>finančních mechanismů v ČR</w:t>
      </w:r>
    </w:p>
    <w:p w14:paraId="11422FF3" w14:textId="1D24E9AD" w:rsidR="00170C00" w:rsidRDefault="00170C00" w:rsidP="0063341B">
      <w:pPr>
        <w:jc w:val="both"/>
      </w:pPr>
      <w:r>
        <w:t xml:space="preserve">NKÚ hodnotil </w:t>
      </w:r>
      <w:r w:rsidR="00846B8A">
        <w:t>efektivnost implementační struktury</w:t>
      </w:r>
      <w:r>
        <w:t xml:space="preserve"> finančních mechanismů v ČR. Dále se zaměřil na dobu potřebnou pro zajištění přípravy programů a realizaci projektů.</w:t>
      </w:r>
    </w:p>
    <w:p w14:paraId="121C8D1D" w14:textId="77777777" w:rsidR="00675ABE" w:rsidRDefault="00675ABE" w:rsidP="0063341B">
      <w:pPr>
        <w:jc w:val="both"/>
      </w:pPr>
    </w:p>
    <w:p w14:paraId="211452A4" w14:textId="047E6246" w:rsidR="0063341B" w:rsidRDefault="0063341B" w:rsidP="0063341B">
      <w:pPr>
        <w:jc w:val="both"/>
      </w:pPr>
      <w:r>
        <w:t>Na základě vyjednávání s poskytujícími zeměmi byla podpora</w:t>
      </w:r>
      <w:r w:rsidR="008504CA">
        <w:t xml:space="preserve"> v celkové výši </w:t>
      </w:r>
      <w:r w:rsidR="00DE1ADF" w:rsidRPr="00083FCD">
        <w:t>121,9</w:t>
      </w:r>
      <w:r w:rsidR="00DE1ADF">
        <w:t xml:space="preserve"> mil. €</w:t>
      </w:r>
      <w:r w:rsidR="007249DF">
        <w:t xml:space="preserve"> z finančních mechanismů 2009–</w:t>
      </w:r>
      <w:r>
        <w:t>2014 v České republice smě</w:t>
      </w:r>
      <w:r w:rsidR="005878B3">
        <w:t>r</w:t>
      </w:r>
      <w:r>
        <w:t xml:space="preserve">ována do 19 z 32 možných programových oblastí. </w:t>
      </w:r>
      <w:r w:rsidR="00AC64F4">
        <w:t>Vybrané p</w:t>
      </w:r>
      <w:r>
        <w:t>rogramové oblasti a v návaznosti na to i jednotlivé programy stanovené v přílohách memorand o porozumění byly</w:t>
      </w:r>
      <w:r w:rsidR="00582158">
        <w:t xml:space="preserve"> tematicky</w:t>
      </w:r>
      <w:r>
        <w:t xml:space="preserve"> velmi různorodé</w:t>
      </w:r>
      <w:r w:rsidR="00257CA3">
        <w:t xml:space="preserve"> a</w:t>
      </w:r>
      <w:r>
        <w:t xml:space="preserve"> zahrnovaly široké spektrum aktivit</w:t>
      </w:r>
      <w:r>
        <w:rPr>
          <w:rStyle w:val="Znakapoznpodarou"/>
        </w:rPr>
        <w:footnoteReference w:id="15"/>
      </w:r>
      <w:r>
        <w:t xml:space="preserve"> </w:t>
      </w:r>
      <w:r w:rsidRPr="000C112B">
        <w:t>(viz příloha č. 1).</w:t>
      </w:r>
      <w:r>
        <w:t xml:space="preserve"> </w:t>
      </w:r>
      <w:r w:rsidR="006204F8" w:rsidRPr="006204F8">
        <w:t>Z celkem 16 programů</w:t>
      </w:r>
      <w:r w:rsidR="00D23119">
        <w:t xml:space="preserve"> jich 15 řídili zprostředkovatelé z ČR. Jeden program pak zajišťoval norský zprostředkovatel</w:t>
      </w:r>
      <w:r w:rsidR="004B3750">
        <w:t>.</w:t>
      </w:r>
      <w:r w:rsidR="00D23119">
        <w:rPr>
          <w:rStyle w:val="Znakapoznpodarou"/>
        </w:rPr>
        <w:footnoteReference w:id="16"/>
      </w:r>
    </w:p>
    <w:p w14:paraId="23B31879" w14:textId="77777777" w:rsidR="0063341B" w:rsidRDefault="0063341B" w:rsidP="0063341B">
      <w:pPr>
        <w:jc w:val="both"/>
      </w:pPr>
    </w:p>
    <w:p w14:paraId="752BCA06" w14:textId="40861F54" w:rsidR="00B37E0C" w:rsidRDefault="00293F1E" w:rsidP="0063341B">
      <w:pPr>
        <w:jc w:val="both"/>
      </w:pPr>
      <w:r>
        <w:t>T</w:t>
      </w:r>
      <w:r w:rsidR="003E64B4">
        <w:t>e</w:t>
      </w:r>
      <w:r w:rsidR="00F1607A">
        <w:t xml:space="preserve">matická </w:t>
      </w:r>
      <w:r w:rsidR="00D23119">
        <w:t>roztříštěnost podpory se odrazil</w:t>
      </w:r>
      <w:r w:rsidR="0066753D">
        <w:t>a</w:t>
      </w:r>
      <w:r w:rsidR="00D23119">
        <w:t xml:space="preserve"> ve velkém množství programů, což měl</w:t>
      </w:r>
      <w:r w:rsidR="0066753D">
        <w:t>o</w:t>
      </w:r>
      <w:r w:rsidR="00D23119">
        <w:t xml:space="preserve"> za následek složitou administraci a zpoždění v přípravě programů.</w:t>
      </w:r>
      <w:r w:rsidR="006204F8">
        <w:t xml:space="preserve"> Více než 60 % z celkové alokace </w:t>
      </w:r>
      <w:r w:rsidR="006204F8" w:rsidRPr="00957373">
        <w:t xml:space="preserve">bylo </w:t>
      </w:r>
      <w:r w:rsidR="006204F8">
        <w:t>určeno na</w:t>
      </w:r>
      <w:r w:rsidR="006204F8" w:rsidRPr="00957373">
        <w:t xml:space="preserve"> </w:t>
      </w:r>
      <w:r w:rsidR="006204F8">
        <w:t xml:space="preserve">pouhé </w:t>
      </w:r>
      <w:r w:rsidR="006204F8" w:rsidRPr="00957373">
        <w:t>čtyř</w:t>
      </w:r>
      <w:r w:rsidR="006204F8">
        <w:t xml:space="preserve">i programy. Zbývající programy byly finančně méně významné a polovina z nich zahrnovala pouze předem definované projekty. Dva </w:t>
      </w:r>
      <w:r w:rsidR="007A2D79">
        <w:t xml:space="preserve">finančně nejmenší </w:t>
      </w:r>
      <w:r w:rsidR="006204F8">
        <w:t xml:space="preserve">programy </w:t>
      </w:r>
      <w:r w:rsidR="00AC64F4">
        <w:t xml:space="preserve">(CZ05 a CZ13) </w:t>
      </w:r>
      <w:r w:rsidR="006204F8">
        <w:t>dokonce obsahovaly pouze jediný projekt</w:t>
      </w:r>
      <w:r w:rsidR="0050388D">
        <w:t>.</w:t>
      </w:r>
      <w:r w:rsidR="002A52B4">
        <w:t xml:space="preserve"> Přesto tyto dva program</w:t>
      </w:r>
      <w:r w:rsidR="00F023CC">
        <w:t>y</w:t>
      </w:r>
      <w:r w:rsidR="002A52B4">
        <w:t xml:space="preserve"> musely být</w:t>
      </w:r>
      <w:r w:rsidR="0064284D">
        <w:t xml:space="preserve"> řízeny samostatně </w:t>
      </w:r>
      <w:r w:rsidR="002A52B4">
        <w:t xml:space="preserve">a </w:t>
      </w:r>
      <w:r w:rsidR="0064284D">
        <w:t>při jejich administraci</w:t>
      </w:r>
      <w:r w:rsidR="002A52B4">
        <w:t xml:space="preserve"> musely být</w:t>
      </w:r>
      <w:r w:rsidR="0064284D">
        <w:t xml:space="preserve"> splněny </w:t>
      </w:r>
      <w:r w:rsidR="002A52B4">
        <w:t xml:space="preserve">všechny </w:t>
      </w:r>
      <w:r w:rsidR="0064284D">
        <w:t>stanovené povinnosti (zpracování výročních zpráv, certifikace výdajů atd.)</w:t>
      </w:r>
      <w:r w:rsidR="005878B3">
        <w:t>.</w:t>
      </w:r>
      <w:r w:rsidR="0064284D">
        <w:rPr>
          <w:rStyle w:val="Znakapoznpodarou"/>
        </w:rPr>
        <w:footnoteReference w:id="17"/>
      </w:r>
      <w:r w:rsidR="0064284D">
        <w:t xml:space="preserve"> </w:t>
      </w:r>
    </w:p>
    <w:p w14:paraId="35B13A0B" w14:textId="618956E4" w:rsidR="0063341B" w:rsidRDefault="00EB44BD" w:rsidP="00CA4AFA">
      <w:pPr>
        <w:tabs>
          <w:tab w:val="left" w:pos="2290"/>
        </w:tabs>
        <w:jc w:val="both"/>
      </w:pPr>
      <w:r>
        <w:tab/>
      </w:r>
    </w:p>
    <w:p w14:paraId="0AD96E03" w14:textId="1058B89C" w:rsidR="00653B6C" w:rsidRPr="00E43F2A" w:rsidRDefault="00653B6C" w:rsidP="00D55949">
      <w:pPr>
        <w:pStyle w:val="Titulek"/>
        <w:keepNext/>
        <w:spacing w:after="0"/>
        <w:jc w:val="both"/>
        <w:rPr>
          <w:rFonts w:asciiTheme="minorHAnsi" w:hAnsiTheme="minorHAnsi" w:cstheme="minorHAnsi"/>
          <w:b/>
          <w:i w:val="0"/>
          <w:color w:val="auto"/>
          <w:sz w:val="24"/>
        </w:rPr>
      </w:pPr>
      <w:r w:rsidRPr="00E43F2A">
        <w:rPr>
          <w:rFonts w:asciiTheme="minorHAnsi" w:hAnsiTheme="minorHAnsi" w:cstheme="minorHAnsi"/>
          <w:b/>
          <w:i w:val="0"/>
          <w:color w:val="auto"/>
          <w:sz w:val="24"/>
        </w:rPr>
        <w:lastRenderedPageBreak/>
        <w:t xml:space="preserve">Graf č. </w:t>
      </w:r>
      <w:r w:rsidRPr="00E43F2A">
        <w:rPr>
          <w:rFonts w:asciiTheme="minorHAnsi" w:hAnsiTheme="minorHAnsi" w:cstheme="minorHAnsi"/>
          <w:b/>
          <w:i w:val="0"/>
          <w:color w:val="auto"/>
          <w:sz w:val="24"/>
        </w:rPr>
        <w:fldChar w:fldCharType="begin"/>
      </w:r>
      <w:r w:rsidRPr="00E43F2A">
        <w:rPr>
          <w:rFonts w:asciiTheme="minorHAnsi" w:hAnsiTheme="minorHAnsi" w:cstheme="minorHAnsi"/>
          <w:b/>
          <w:i w:val="0"/>
          <w:color w:val="auto"/>
          <w:sz w:val="24"/>
        </w:rPr>
        <w:instrText xml:space="preserve"> SEQ Graf_č. \* ARABIC </w:instrText>
      </w:r>
      <w:r w:rsidRPr="00E43F2A">
        <w:rPr>
          <w:rFonts w:asciiTheme="minorHAnsi" w:hAnsiTheme="minorHAnsi" w:cstheme="minorHAnsi"/>
          <w:b/>
          <w:i w:val="0"/>
          <w:color w:val="auto"/>
          <w:sz w:val="24"/>
        </w:rPr>
        <w:fldChar w:fldCharType="separate"/>
      </w:r>
      <w:r w:rsidR="00323B98">
        <w:rPr>
          <w:rFonts w:asciiTheme="minorHAnsi" w:hAnsiTheme="minorHAnsi" w:cstheme="minorHAnsi"/>
          <w:b/>
          <w:i w:val="0"/>
          <w:noProof/>
          <w:color w:val="auto"/>
          <w:sz w:val="24"/>
        </w:rPr>
        <w:t>1</w:t>
      </w:r>
      <w:r w:rsidRPr="00E43F2A">
        <w:rPr>
          <w:rFonts w:asciiTheme="minorHAnsi" w:hAnsiTheme="minorHAnsi" w:cstheme="minorHAnsi"/>
          <w:b/>
          <w:i w:val="0"/>
          <w:color w:val="auto"/>
          <w:sz w:val="24"/>
        </w:rPr>
        <w:fldChar w:fldCharType="end"/>
      </w:r>
      <w:r w:rsidR="006F7267">
        <w:rPr>
          <w:rFonts w:asciiTheme="minorHAnsi" w:hAnsiTheme="minorHAnsi" w:cstheme="minorHAnsi"/>
          <w:b/>
          <w:i w:val="0"/>
          <w:color w:val="auto"/>
          <w:sz w:val="24"/>
        </w:rPr>
        <w:t>:</w:t>
      </w:r>
      <w:r w:rsidRPr="00E43F2A">
        <w:rPr>
          <w:rFonts w:asciiTheme="minorHAnsi" w:hAnsiTheme="minorHAnsi" w:cstheme="minorHAnsi"/>
          <w:b/>
          <w:i w:val="0"/>
          <w:color w:val="auto"/>
          <w:sz w:val="24"/>
        </w:rPr>
        <w:t xml:space="preserve"> </w:t>
      </w:r>
      <w:r w:rsidR="00816604" w:rsidRPr="00E43F2A">
        <w:rPr>
          <w:rFonts w:asciiTheme="minorHAnsi" w:hAnsiTheme="minorHAnsi" w:cstheme="minorHAnsi"/>
          <w:b/>
          <w:i w:val="0"/>
          <w:color w:val="auto"/>
          <w:sz w:val="24"/>
        </w:rPr>
        <w:t xml:space="preserve">Alokace programů finančních </w:t>
      </w:r>
      <w:r w:rsidR="00DF377D" w:rsidRPr="00E43F2A">
        <w:rPr>
          <w:rFonts w:asciiTheme="minorHAnsi" w:hAnsiTheme="minorHAnsi" w:cstheme="minorHAnsi"/>
          <w:b/>
          <w:i w:val="0"/>
          <w:color w:val="auto"/>
          <w:sz w:val="24"/>
        </w:rPr>
        <w:t>mechanismů v ČR pro období 2009–</w:t>
      </w:r>
      <w:r w:rsidR="00816604" w:rsidRPr="00E43F2A">
        <w:rPr>
          <w:rFonts w:asciiTheme="minorHAnsi" w:hAnsiTheme="minorHAnsi" w:cstheme="minorHAnsi"/>
          <w:b/>
          <w:i w:val="0"/>
          <w:color w:val="auto"/>
          <w:sz w:val="24"/>
        </w:rPr>
        <w:t>2014</w:t>
      </w:r>
      <w:r w:rsidRPr="00E43F2A">
        <w:rPr>
          <w:rFonts w:asciiTheme="minorHAnsi" w:hAnsiTheme="minorHAnsi" w:cstheme="minorHAnsi"/>
          <w:b/>
          <w:i w:val="0"/>
          <w:color w:val="auto"/>
          <w:sz w:val="24"/>
        </w:rPr>
        <w:t xml:space="preserve"> (v mil. Kč)</w:t>
      </w:r>
      <w:r w:rsidR="00816604" w:rsidRPr="00E43F2A">
        <w:rPr>
          <w:rFonts w:asciiTheme="minorHAnsi" w:hAnsiTheme="minorHAnsi" w:cstheme="minorHAnsi"/>
          <w:b/>
          <w:i w:val="0"/>
          <w:color w:val="auto"/>
          <w:sz w:val="24"/>
        </w:rPr>
        <w:t xml:space="preserve"> </w:t>
      </w:r>
    </w:p>
    <w:p w14:paraId="6B0C84F2" w14:textId="6676706E" w:rsidR="0063341B" w:rsidRDefault="004D325F" w:rsidP="0063341B">
      <w:pPr>
        <w:jc w:val="both"/>
      </w:pPr>
      <w:r>
        <w:rPr>
          <w:noProof/>
        </w:rPr>
        <w:drawing>
          <wp:inline distT="0" distB="0" distL="0" distR="0" wp14:anchorId="15D3987C" wp14:editId="06FDF03D">
            <wp:extent cx="5709684" cy="3011701"/>
            <wp:effectExtent l="0" t="0" r="571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8222" cy="3016205"/>
                    </a:xfrm>
                    <a:prstGeom prst="rect">
                      <a:avLst/>
                    </a:prstGeom>
                    <a:noFill/>
                  </pic:spPr>
                </pic:pic>
              </a:graphicData>
            </a:graphic>
          </wp:inline>
        </w:drawing>
      </w:r>
    </w:p>
    <w:p w14:paraId="5A5526A8" w14:textId="7AF437A1" w:rsidR="0063341B" w:rsidRPr="00DF377D" w:rsidRDefault="0063341B" w:rsidP="0063341B">
      <w:pPr>
        <w:jc w:val="both"/>
        <w:rPr>
          <w:sz w:val="20"/>
          <w:szCs w:val="20"/>
        </w:rPr>
      </w:pPr>
      <w:r w:rsidRPr="00BC5001">
        <w:rPr>
          <w:b/>
          <w:sz w:val="20"/>
          <w:szCs w:val="20"/>
        </w:rPr>
        <w:t>Zdroj:</w:t>
      </w:r>
      <w:r w:rsidRPr="00DF377D">
        <w:rPr>
          <w:sz w:val="20"/>
          <w:szCs w:val="20"/>
        </w:rPr>
        <w:t xml:space="preserve"> </w:t>
      </w:r>
      <w:r w:rsidR="001D7F03" w:rsidRPr="00DF377D">
        <w:rPr>
          <w:sz w:val="20"/>
          <w:szCs w:val="20"/>
        </w:rPr>
        <w:t>MF</w:t>
      </w:r>
      <w:r w:rsidR="00DF377D" w:rsidRPr="00DF377D">
        <w:rPr>
          <w:sz w:val="20"/>
          <w:szCs w:val="20"/>
        </w:rPr>
        <w:t>.</w:t>
      </w:r>
    </w:p>
    <w:p w14:paraId="7378B013" w14:textId="77777777" w:rsidR="00FF72D8" w:rsidRDefault="00FF72D8" w:rsidP="0063341B">
      <w:pPr>
        <w:jc w:val="both"/>
      </w:pPr>
    </w:p>
    <w:p w14:paraId="20724519" w14:textId="2FA7E2C8" w:rsidR="00E05902" w:rsidRDefault="00E05902" w:rsidP="0063341B">
      <w:pPr>
        <w:jc w:val="both"/>
      </w:pPr>
    </w:p>
    <w:p w14:paraId="563D8500" w14:textId="4BD28337" w:rsidR="0063341B" w:rsidRDefault="0063341B" w:rsidP="0063341B">
      <w:pPr>
        <w:jc w:val="both"/>
      </w:pPr>
      <w:r>
        <w:t xml:space="preserve">Do implementace se s ohledem na </w:t>
      </w:r>
      <w:r w:rsidR="001D7F03">
        <w:t xml:space="preserve">počet </w:t>
      </w:r>
      <w:r>
        <w:t xml:space="preserve">programů a šíři oblastí, kam podpora směřovala, muselo </w:t>
      </w:r>
      <w:r w:rsidR="00257CA3">
        <w:t xml:space="preserve">rovněž </w:t>
      </w:r>
      <w:r>
        <w:t xml:space="preserve">zapojit </w:t>
      </w:r>
      <w:r w:rsidR="007C2ECA">
        <w:t xml:space="preserve">více </w:t>
      </w:r>
      <w:r>
        <w:t>aktérů. Konkrétně to bylo 1</w:t>
      </w:r>
      <w:r w:rsidR="00914377">
        <w:t>9</w:t>
      </w:r>
      <w:r>
        <w:t xml:space="preserve"> subjektů v roli zprostředkovatelů</w:t>
      </w:r>
      <w:r w:rsidR="00914377">
        <w:t>,</w:t>
      </w:r>
      <w:r>
        <w:t xml:space="preserve"> programových partnerů</w:t>
      </w:r>
      <w:r w:rsidR="00914377">
        <w:t xml:space="preserve"> a partnerů programů z </w:t>
      </w:r>
      <w:proofErr w:type="spellStart"/>
      <w:r w:rsidR="00914377">
        <w:t>donorských</w:t>
      </w:r>
      <w:proofErr w:type="spellEnd"/>
      <w:r w:rsidR="00914377">
        <w:t xml:space="preserve"> zemí</w:t>
      </w:r>
      <w:r w:rsidR="006F7267">
        <w:t>.</w:t>
      </w:r>
      <w:r w:rsidR="00C02C84">
        <w:rPr>
          <w:rStyle w:val="Znakapoznpodarou"/>
        </w:rPr>
        <w:footnoteReference w:id="18"/>
      </w:r>
      <w:r>
        <w:t xml:space="preserve"> </w:t>
      </w:r>
    </w:p>
    <w:p w14:paraId="30350F08" w14:textId="1B1AF2B5" w:rsidR="00041A69" w:rsidRDefault="00041A69" w:rsidP="00037555">
      <w:pPr>
        <w:jc w:val="both"/>
      </w:pPr>
    </w:p>
    <w:p w14:paraId="73DDD607" w14:textId="15324DEC" w:rsidR="00041A69" w:rsidRPr="00E05902" w:rsidRDefault="00F76DD7" w:rsidP="00037555">
      <w:pPr>
        <w:jc w:val="both"/>
      </w:pPr>
      <w:r>
        <w:t>Podpora z finančních mechanismů byla</w:t>
      </w:r>
      <w:r w:rsidR="008747B7">
        <w:t xml:space="preserve"> rovněž</w:t>
      </w:r>
      <w:r>
        <w:t xml:space="preserve"> poskytována prostřednictvím širokého spektra nástrojů. Kromě projektů vybíraných na základě otevřených výzev nebo předem definovaných projektů byl součástí programů také zvláštní fond pro bilaterální spolupráci</w:t>
      </w:r>
      <w:r w:rsidRPr="00E05902">
        <w:rPr>
          <w:vertAlign w:val="superscript"/>
        </w:rPr>
        <w:footnoteReference w:id="19"/>
      </w:r>
      <w:r>
        <w:t>.</w:t>
      </w:r>
      <w:r w:rsidR="00701592">
        <w:t xml:space="preserve"> </w:t>
      </w:r>
      <w:r w:rsidR="00701592" w:rsidRPr="00E05902">
        <w:t xml:space="preserve">V některých programech navíc </w:t>
      </w:r>
      <w:r w:rsidR="00701592">
        <w:t>existovala</w:t>
      </w:r>
      <w:r w:rsidR="00701592" w:rsidRPr="00E05902">
        <w:t xml:space="preserve"> malá grantová schémata</w:t>
      </w:r>
      <w:r w:rsidR="00701592">
        <w:t>, která byla prakticky malým samostatným podprogramem. Někter</w:t>
      </w:r>
      <w:r w:rsidR="003465DC">
        <w:t>á</w:t>
      </w:r>
      <w:r w:rsidR="00701592">
        <w:t xml:space="preserve"> z malých grantových schémat řídili programoví partneři.</w:t>
      </w:r>
    </w:p>
    <w:p w14:paraId="34EAEA02" w14:textId="77777777" w:rsidR="00037555" w:rsidRDefault="00037555" w:rsidP="0063341B">
      <w:pPr>
        <w:jc w:val="both"/>
      </w:pPr>
    </w:p>
    <w:p w14:paraId="5C51779E" w14:textId="3A6B1109" w:rsidR="00AD2B28" w:rsidRDefault="006F7267" w:rsidP="00AD2B28">
      <w:pPr>
        <w:jc w:val="both"/>
      </w:pPr>
      <w:r>
        <w:t>MF částečně mírnilo r</w:t>
      </w:r>
      <w:r w:rsidR="00A839C4">
        <w:t>oztříštěnost podpory a náročnost její implementace tím</w:t>
      </w:r>
      <w:r w:rsidR="00AD2B28">
        <w:t xml:space="preserve">, že plnilo roli zprostředkovatele v deseti programech a </w:t>
      </w:r>
      <w:r w:rsidR="00604F7A">
        <w:t>bylo zprostředkovatelem i</w:t>
      </w:r>
      <w:r w:rsidR="00AD2B28">
        <w:t xml:space="preserve"> </w:t>
      </w:r>
      <w:r w:rsidR="00257CA3">
        <w:t xml:space="preserve">pro </w:t>
      </w:r>
      <w:r w:rsidR="00AD2B28" w:rsidRPr="00312C9C">
        <w:rPr>
          <w:i/>
        </w:rPr>
        <w:t>Fond pro bilaterální spolupráci na národní úrovni</w:t>
      </w:r>
      <w:r w:rsidR="00AD2B28">
        <w:t xml:space="preserve"> a technickou pomoc. Tento stav umožnil unifikaci </w:t>
      </w:r>
      <w:r w:rsidR="00037555">
        <w:t xml:space="preserve">části </w:t>
      </w:r>
      <w:r w:rsidR="00AD2B28">
        <w:t>dokumentů (manuály a příručky) i unifikaci činností.</w:t>
      </w:r>
    </w:p>
    <w:p w14:paraId="441D6DF6" w14:textId="77777777" w:rsidR="0093670C" w:rsidRDefault="0093670C" w:rsidP="0063341B">
      <w:pPr>
        <w:jc w:val="both"/>
      </w:pPr>
    </w:p>
    <w:p w14:paraId="330251FC" w14:textId="6F2C88C0" w:rsidR="0063341B" w:rsidRDefault="00BF4D1B" w:rsidP="0063341B">
      <w:pPr>
        <w:jc w:val="both"/>
      </w:pPr>
      <w:r>
        <w:lastRenderedPageBreak/>
        <w:t>Efektivnost</w:t>
      </w:r>
      <w:r w:rsidR="0063341B">
        <w:t xml:space="preserve"> </w:t>
      </w:r>
      <w:r w:rsidR="00037555">
        <w:t>implementační struktury</w:t>
      </w:r>
      <w:r w:rsidR="0063341B">
        <w:t xml:space="preserve"> finančních mechanismů</w:t>
      </w:r>
      <w:r>
        <w:t xml:space="preserve"> byla přesto snížena</w:t>
      </w:r>
      <w:r w:rsidR="0066753D">
        <w:t>,</w:t>
      </w:r>
      <w:r>
        <w:t xml:space="preserve"> a to hlavně z následujících důvodů</w:t>
      </w:r>
      <w:r w:rsidR="0063341B">
        <w:t>:</w:t>
      </w:r>
    </w:p>
    <w:p w14:paraId="7B100FED" w14:textId="5E15EF96" w:rsidR="0063341B" w:rsidRDefault="009123CA" w:rsidP="0063341B">
      <w:pPr>
        <w:pStyle w:val="Odstavecseseznamem"/>
        <w:numPr>
          <w:ilvl w:val="0"/>
          <w:numId w:val="34"/>
        </w:numPr>
        <w:jc w:val="both"/>
      </w:pPr>
      <w:r>
        <w:t>K</w:t>
      </w:r>
      <w:r w:rsidR="00250B7B">
        <w:t>vůli</w:t>
      </w:r>
      <w:r w:rsidR="00E24B30">
        <w:t xml:space="preserve"> </w:t>
      </w:r>
      <w:r w:rsidR="00C71487">
        <w:t xml:space="preserve">množství různorodých programů a </w:t>
      </w:r>
      <w:r w:rsidR="0063341B">
        <w:t xml:space="preserve">zapojení </w:t>
      </w:r>
      <w:r w:rsidR="00E24B30">
        <w:t xml:space="preserve">velkého počtu </w:t>
      </w:r>
      <w:r w:rsidR="0063341B">
        <w:t>subjektů</w:t>
      </w:r>
      <w:r>
        <w:t xml:space="preserve"> byla ztížena koordinace</w:t>
      </w:r>
      <w:r w:rsidR="0063341B">
        <w:t>.</w:t>
      </w:r>
    </w:p>
    <w:p w14:paraId="32400011" w14:textId="51964EF4" w:rsidR="0063341B" w:rsidRDefault="009123CA" w:rsidP="0063341B">
      <w:pPr>
        <w:pStyle w:val="Odstavecseseznamem"/>
        <w:numPr>
          <w:ilvl w:val="0"/>
          <w:numId w:val="34"/>
        </w:numPr>
        <w:jc w:val="both"/>
      </w:pPr>
      <w:r>
        <w:t xml:space="preserve">Bylo nutné </w:t>
      </w:r>
      <w:proofErr w:type="spellStart"/>
      <w:r>
        <w:t>zadministrovat</w:t>
      </w:r>
      <w:proofErr w:type="spellEnd"/>
      <w:r>
        <w:t xml:space="preserve"> </w:t>
      </w:r>
      <w:r w:rsidR="00EB7854">
        <w:t>velké</w:t>
      </w:r>
      <w:r w:rsidR="0063341B">
        <w:t xml:space="preserve"> množství dokumentace (dohody o programech, dohody o partnerství, zadávací řízení na zprostředkovatele, výzvy</w:t>
      </w:r>
      <w:r w:rsidR="00E24B30">
        <w:t>, výroční a průběžné finanční zprávy za každý program</w:t>
      </w:r>
      <w:r w:rsidR="0063341B">
        <w:t xml:space="preserve"> aj.).</w:t>
      </w:r>
    </w:p>
    <w:p w14:paraId="5C4F6783" w14:textId="7938C300" w:rsidR="0063341B" w:rsidRDefault="00D31FDA" w:rsidP="0063341B">
      <w:pPr>
        <w:pStyle w:val="Odstavecseseznamem"/>
        <w:numPr>
          <w:ilvl w:val="0"/>
          <w:numId w:val="34"/>
        </w:numPr>
        <w:jc w:val="both"/>
      </w:pPr>
      <w:r>
        <w:t>P</w:t>
      </w:r>
      <w:r w:rsidR="000D6413">
        <w:t xml:space="preserve">ro každý </w:t>
      </w:r>
      <w:r w:rsidR="0063341B">
        <w:t xml:space="preserve">program </w:t>
      </w:r>
      <w:r>
        <w:t xml:space="preserve">bylo třeba nastavit řídicí a kontrolní systém </w:t>
      </w:r>
      <w:r w:rsidR="0063341B">
        <w:t>(manuály, metodiky, příručky pro příjemce aj.).</w:t>
      </w:r>
    </w:p>
    <w:p w14:paraId="3CF8DFD4" w14:textId="77777777" w:rsidR="0063341B" w:rsidRDefault="0063341B" w:rsidP="0063341B">
      <w:pPr>
        <w:pStyle w:val="Odstavecseseznamem"/>
        <w:numPr>
          <w:ilvl w:val="0"/>
          <w:numId w:val="34"/>
        </w:numPr>
        <w:jc w:val="both"/>
      </w:pPr>
      <w:r>
        <w:t>Certifikační orgán musel provádět samostatnou certifikaci všech programů, tedy provést ověření podkladové dokumentace pro každý program.</w:t>
      </w:r>
    </w:p>
    <w:p w14:paraId="32AF9DCF" w14:textId="6CE313D4" w:rsidR="0063341B" w:rsidRDefault="0063341B" w:rsidP="0063341B">
      <w:pPr>
        <w:pStyle w:val="Odstavecseseznamem"/>
        <w:numPr>
          <w:ilvl w:val="0"/>
          <w:numId w:val="34"/>
        </w:numPr>
        <w:jc w:val="both"/>
      </w:pPr>
      <w:r>
        <w:t xml:space="preserve">Auditní orgán </w:t>
      </w:r>
      <w:r w:rsidR="00D31FDA">
        <w:t xml:space="preserve">se </w:t>
      </w:r>
      <w:r>
        <w:t xml:space="preserve">musel </w:t>
      </w:r>
      <w:r w:rsidR="00D31FDA">
        <w:t xml:space="preserve">při své činnosti </w:t>
      </w:r>
      <w:r>
        <w:t>zabývat různými řídicími a kontrolními systémy.</w:t>
      </w:r>
    </w:p>
    <w:p w14:paraId="1645E738" w14:textId="77777777" w:rsidR="0063341B" w:rsidRDefault="0063341B" w:rsidP="0063341B">
      <w:pPr>
        <w:jc w:val="both"/>
      </w:pPr>
    </w:p>
    <w:p w14:paraId="3E05D7B2" w14:textId="6D892D4D" w:rsidR="00645BC3" w:rsidRDefault="00645BC3" w:rsidP="0063341B">
      <w:pPr>
        <w:jc w:val="both"/>
      </w:pPr>
      <w:r w:rsidRPr="00645BC3">
        <w:t>NKÚ provedl na vzorku kontrolovaných programů analýzu časového průběhu jejich implementace</w:t>
      </w:r>
      <w:r w:rsidR="00CC41F9">
        <w:t xml:space="preserve">. </w:t>
      </w:r>
      <w:r w:rsidR="00B70816">
        <w:t xml:space="preserve">Donoři a ČR uzavřeli </w:t>
      </w:r>
      <w:r w:rsidR="00F55D46">
        <w:t>m</w:t>
      </w:r>
      <w:r w:rsidR="00B70816">
        <w:t>emoranda o porozumění v červnu 2011</w:t>
      </w:r>
      <w:r w:rsidR="00142408">
        <w:t xml:space="preserve"> a v návaznosti na to </w:t>
      </w:r>
      <w:r w:rsidR="00B70816">
        <w:t xml:space="preserve">MF předpokládalo dokončení přípravy programů </w:t>
      </w:r>
      <w:r w:rsidR="004F2951">
        <w:t xml:space="preserve">nejdříve </w:t>
      </w:r>
      <w:r w:rsidR="00B70816">
        <w:t xml:space="preserve">v druhé polovině roku 2012. </w:t>
      </w:r>
      <w:r w:rsidR="00616FA1">
        <w:t>Tento termín však nebyl dodržen a k podpisu většiny dohod o programech došlo až v roce 2013</w:t>
      </w:r>
      <w:r w:rsidR="006B0068">
        <w:t>.</w:t>
      </w:r>
      <w:r w:rsidR="00AD7BD8" w:rsidRPr="00AD7BD8">
        <w:t xml:space="preserve"> </w:t>
      </w:r>
      <w:r w:rsidR="00D83249">
        <w:t>Celková doba od uzavření memorand o porozumění do okamžiku schválení trvala u</w:t>
      </w:r>
      <w:r w:rsidR="00195255">
        <w:t> </w:t>
      </w:r>
      <w:r w:rsidR="00D83249">
        <w:t xml:space="preserve">prověřovaných programů od dvou a čtvrt roku do tří a čtvrt roku. </w:t>
      </w:r>
      <w:r w:rsidR="00AD7BD8">
        <w:t xml:space="preserve">Jednou z příčin takto dlouhého schvalování programů byla nutnost vypořádání dodatečných požadavků na informace ze strany Kanceláře finančních mechanismů. </w:t>
      </w:r>
      <w:r w:rsidR="00D83249">
        <w:t>Vlastní r</w:t>
      </w:r>
      <w:r w:rsidR="006B0068">
        <w:t>ealizace projektů v některých programech začala až v roce 2014.</w:t>
      </w:r>
      <w:r w:rsidR="00616FA1">
        <w:t xml:space="preserve"> </w:t>
      </w:r>
      <w:r w:rsidR="0063341B" w:rsidRPr="009726DB">
        <w:t xml:space="preserve">Příjemci v kontrolovaných programech měli po schválení dohod o programech </w:t>
      </w:r>
      <w:r w:rsidR="00BB07B9">
        <w:t xml:space="preserve">s ohledem na původní termín ukončování projektů do 30. dubna 2016 </w:t>
      </w:r>
      <w:r w:rsidR="0063341B" w:rsidRPr="009726DB">
        <w:t xml:space="preserve">na realizaci svých projektů již méně než dva roky. </w:t>
      </w:r>
    </w:p>
    <w:p w14:paraId="4A745CA5" w14:textId="77777777" w:rsidR="00952ED5" w:rsidRDefault="00952ED5" w:rsidP="0063341B">
      <w:pPr>
        <w:jc w:val="both"/>
      </w:pPr>
    </w:p>
    <w:p w14:paraId="6D130B64" w14:textId="348E1318" w:rsidR="00952ED5" w:rsidRPr="00EC5C21" w:rsidRDefault="00952ED5" w:rsidP="00FE1045">
      <w:pPr>
        <w:pStyle w:val="Titulek"/>
        <w:keepNext/>
        <w:jc w:val="both"/>
        <w:rPr>
          <w:rFonts w:asciiTheme="minorHAnsi" w:hAnsiTheme="minorHAnsi" w:cstheme="minorHAnsi"/>
          <w:b/>
          <w:i w:val="0"/>
          <w:color w:val="auto"/>
          <w:sz w:val="24"/>
          <w:szCs w:val="24"/>
        </w:rPr>
      </w:pPr>
      <w:r w:rsidRPr="00EC5C21">
        <w:rPr>
          <w:rFonts w:asciiTheme="minorHAnsi" w:hAnsiTheme="minorHAnsi" w:cstheme="minorHAnsi"/>
          <w:b/>
          <w:i w:val="0"/>
          <w:color w:val="auto"/>
          <w:sz w:val="24"/>
          <w:szCs w:val="24"/>
        </w:rPr>
        <w:t xml:space="preserve">Graf č. </w:t>
      </w:r>
      <w:r w:rsidRPr="00EC5C21">
        <w:rPr>
          <w:rFonts w:asciiTheme="minorHAnsi" w:hAnsiTheme="minorHAnsi" w:cstheme="minorHAnsi"/>
          <w:b/>
          <w:i w:val="0"/>
          <w:color w:val="auto"/>
          <w:sz w:val="24"/>
          <w:szCs w:val="24"/>
        </w:rPr>
        <w:fldChar w:fldCharType="begin"/>
      </w:r>
      <w:r w:rsidRPr="00EC5C21">
        <w:rPr>
          <w:rFonts w:asciiTheme="minorHAnsi" w:hAnsiTheme="minorHAnsi" w:cstheme="minorHAnsi"/>
          <w:b/>
          <w:i w:val="0"/>
          <w:color w:val="auto"/>
          <w:sz w:val="24"/>
          <w:szCs w:val="24"/>
        </w:rPr>
        <w:instrText xml:space="preserve"> SEQ Graf_č. \* ARABIC </w:instrText>
      </w:r>
      <w:r w:rsidRPr="00EC5C21">
        <w:rPr>
          <w:rFonts w:asciiTheme="minorHAnsi" w:hAnsiTheme="minorHAnsi" w:cstheme="minorHAnsi"/>
          <w:b/>
          <w:i w:val="0"/>
          <w:color w:val="auto"/>
          <w:sz w:val="24"/>
          <w:szCs w:val="24"/>
        </w:rPr>
        <w:fldChar w:fldCharType="separate"/>
      </w:r>
      <w:r w:rsidR="00323B98">
        <w:rPr>
          <w:rFonts w:asciiTheme="minorHAnsi" w:hAnsiTheme="minorHAnsi" w:cstheme="minorHAnsi"/>
          <w:b/>
          <w:i w:val="0"/>
          <w:noProof/>
          <w:color w:val="auto"/>
          <w:sz w:val="24"/>
          <w:szCs w:val="24"/>
        </w:rPr>
        <w:t>2</w:t>
      </w:r>
      <w:r w:rsidRPr="00EC5C21">
        <w:rPr>
          <w:rFonts w:asciiTheme="minorHAnsi" w:hAnsiTheme="minorHAnsi" w:cstheme="minorHAnsi"/>
          <w:b/>
          <w:i w:val="0"/>
          <w:color w:val="auto"/>
          <w:sz w:val="24"/>
          <w:szCs w:val="24"/>
        </w:rPr>
        <w:fldChar w:fldCharType="end"/>
      </w:r>
      <w:r w:rsidR="00D31FDA" w:rsidRPr="00EC5C21">
        <w:rPr>
          <w:rFonts w:asciiTheme="minorHAnsi" w:hAnsiTheme="minorHAnsi" w:cstheme="minorHAnsi"/>
          <w:b/>
          <w:i w:val="0"/>
          <w:color w:val="auto"/>
          <w:sz w:val="24"/>
          <w:szCs w:val="24"/>
        </w:rPr>
        <w:t>:</w:t>
      </w:r>
      <w:r w:rsidR="00F914BB" w:rsidRPr="00EC5C21">
        <w:rPr>
          <w:rFonts w:asciiTheme="minorHAnsi" w:hAnsiTheme="minorHAnsi" w:cstheme="minorHAnsi"/>
          <w:b/>
          <w:i w:val="0"/>
          <w:color w:val="auto"/>
          <w:sz w:val="24"/>
          <w:szCs w:val="24"/>
        </w:rPr>
        <w:t xml:space="preserve"> Časový průběh programů zařazených do </w:t>
      </w:r>
      <w:r w:rsidR="00D31FDA" w:rsidRPr="00EC5C21">
        <w:rPr>
          <w:rFonts w:asciiTheme="minorHAnsi" w:hAnsiTheme="minorHAnsi" w:cstheme="minorHAnsi"/>
          <w:b/>
          <w:i w:val="0"/>
          <w:color w:val="auto"/>
          <w:sz w:val="24"/>
          <w:szCs w:val="24"/>
        </w:rPr>
        <w:t xml:space="preserve">kontrolního </w:t>
      </w:r>
      <w:r w:rsidR="00F914BB" w:rsidRPr="00EC5C21">
        <w:rPr>
          <w:rFonts w:asciiTheme="minorHAnsi" w:hAnsiTheme="minorHAnsi" w:cstheme="minorHAnsi"/>
          <w:b/>
          <w:i w:val="0"/>
          <w:color w:val="auto"/>
          <w:sz w:val="24"/>
          <w:szCs w:val="24"/>
        </w:rPr>
        <w:t>vzorku</w:t>
      </w:r>
    </w:p>
    <w:p w14:paraId="0194578E" w14:textId="61F0FF0A" w:rsidR="00952ED5" w:rsidRDefault="006D2902" w:rsidP="0063341B">
      <w:pPr>
        <w:jc w:val="both"/>
      </w:pPr>
      <w:r>
        <w:rPr>
          <w:noProof/>
        </w:rPr>
        <w:drawing>
          <wp:inline distT="0" distB="0" distL="0" distR="0" wp14:anchorId="0AFD8550" wp14:editId="27D40769">
            <wp:extent cx="5761355" cy="3374746"/>
            <wp:effectExtent l="0" t="0" r="0" b="0"/>
            <wp:docPr id="1" name="Obrázek 1" descr="C:\Users\LINHART\AppData\Local\Microsoft\Windows\INetCache\Content.Word\17-25 časová osa ver2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NHART\AppData\Local\Microsoft\Windows\INetCache\Content.Word\17-25 časová osa ver2d.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1355" cy="3374746"/>
                    </a:xfrm>
                    <a:prstGeom prst="rect">
                      <a:avLst/>
                    </a:prstGeom>
                    <a:noFill/>
                    <a:ln>
                      <a:noFill/>
                    </a:ln>
                  </pic:spPr>
                </pic:pic>
              </a:graphicData>
            </a:graphic>
          </wp:inline>
        </w:drawing>
      </w:r>
    </w:p>
    <w:p w14:paraId="3E1329BD" w14:textId="77777777" w:rsidR="00952ED5" w:rsidRDefault="00952ED5" w:rsidP="0063341B">
      <w:pPr>
        <w:jc w:val="both"/>
      </w:pPr>
    </w:p>
    <w:p w14:paraId="3913DB53" w14:textId="73CDDF61" w:rsidR="00851242" w:rsidRDefault="00192409" w:rsidP="0063341B">
      <w:pPr>
        <w:jc w:val="both"/>
      </w:pPr>
      <w:r>
        <w:lastRenderedPageBreak/>
        <w:t>V roce 2013 ž</w:t>
      </w:r>
      <w:r w:rsidR="00645BC3">
        <w:t>ádalo</w:t>
      </w:r>
      <w:r w:rsidR="004C2DFA">
        <w:t xml:space="preserve"> MF</w:t>
      </w:r>
      <w:r w:rsidR="00645BC3">
        <w:t xml:space="preserve"> </w:t>
      </w:r>
      <w:r w:rsidR="00851242">
        <w:t xml:space="preserve">opakovaně </w:t>
      </w:r>
      <w:r w:rsidR="00645BC3">
        <w:t>donory o možnost prodloužit konečný termí</w:t>
      </w:r>
      <w:r w:rsidR="00851242">
        <w:t>n realizace projektů o jeden rok</w:t>
      </w:r>
      <w:r w:rsidR="004C2DFA">
        <w:t xml:space="preserve">. Obě </w:t>
      </w:r>
      <w:r w:rsidR="00645BC3">
        <w:t>žádosti donoři zamítli. K prodloužení doby</w:t>
      </w:r>
      <w:r w:rsidR="004C2DFA">
        <w:t xml:space="preserve"> pro</w:t>
      </w:r>
      <w:r w:rsidR="00645BC3">
        <w:t xml:space="preserve"> realizac</w:t>
      </w:r>
      <w:r w:rsidR="004C2DFA">
        <w:t>i projektů</w:t>
      </w:r>
      <w:r w:rsidR="00645BC3">
        <w:t xml:space="preserve"> do 30. dubna 2017 došlo až v roce 2015</w:t>
      </w:r>
      <w:r w:rsidR="00645BC3">
        <w:rPr>
          <w:rStyle w:val="Znakapoznpodarou"/>
        </w:rPr>
        <w:footnoteReference w:id="20"/>
      </w:r>
      <w:r w:rsidR="00645BC3">
        <w:t>.</w:t>
      </w:r>
      <w:r w:rsidR="00716834">
        <w:t xml:space="preserve"> </w:t>
      </w:r>
    </w:p>
    <w:p w14:paraId="5A1229E5" w14:textId="77777777" w:rsidR="00851242" w:rsidRDefault="00851242" w:rsidP="0063341B">
      <w:pPr>
        <w:jc w:val="both"/>
      </w:pPr>
    </w:p>
    <w:p w14:paraId="6BFDEB0B" w14:textId="4F2562B8" w:rsidR="0063341B" w:rsidRDefault="0040695C" w:rsidP="0063341B">
      <w:pPr>
        <w:jc w:val="both"/>
        <w:rPr>
          <w:b/>
        </w:rPr>
      </w:pPr>
      <w:r>
        <w:rPr>
          <w:b/>
        </w:rPr>
        <w:t>D</w:t>
      </w:r>
      <w:r w:rsidR="00C07CAF" w:rsidRPr="00BE69B3">
        <w:rPr>
          <w:b/>
        </w:rPr>
        <w:t xml:space="preserve">oba od podpisu memorand o porozumění do zahájení </w:t>
      </w:r>
      <w:r w:rsidR="008504CA">
        <w:rPr>
          <w:b/>
        </w:rPr>
        <w:t xml:space="preserve">realizace </w:t>
      </w:r>
      <w:r w:rsidR="00C07CAF" w:rsidRPr="00BE69B3">
        <w:rPr>
          <w:b/>
        </w:rPr>
        <w:t>projektů</w:t>
      </w:r>
      <w:r>
        <w:rPr>
          <w:b/>
        </w:rPr>
        <w:t xml:space="preserve"> (tedy p</w:t>
      </w:r>
      <w:r w:rsidRPr="00BE69B3">
        <w:rPr>
          <w:b/>
        </w:rPr>
        <w:t>říprava na čerpání prostředků</w:t>
      </w:r>
      <w:r w:rsidR="00C07CAF" w:rsidRPr="00BE69B3">
        <w:rPr>
          <w:b/>
        </w:rPr>
        <w:t>)</w:t>
      </w:r>
      <w:r w:rsidR="00C07CAF">
        <w:rPr>
          <w:b/>
        </w:rPr>
        <w:t xml:space="preserve"> </w:t>
      </w:r>
      <w:r w:rsidR="00851242" w:rsidRPr="00BE69B3">
        <w:rPr>
          <w:b/>
        </w:rPr>
        <w:t>byla velmi zdlouhavá</w:t>
      </w:r>
      <w:r w:rsidR="00C07CAF">
        <w:rPr>
          <w:b/>
        </w:rPr>
        <w:t>.</w:t>
      </w:r>
      <w:r w:rsidR="00851242" w:rsidRPr="00BE69B3">
        <w:rPr>
          <w:b/>
        </w:rPr>
        <w:t xml:space="preserve"> </w:t>
      </w:r>
      <w:r w:rsidR="00C07CAF">
        <w:rPr>
          <w:b/>
        </w:rPr>
        <w:t xml:space="preserve">V důsledku toho </w:t>
      </w:r>
      <w:r>
        <w:rPr>
          <w:b/>
        </w:rPr>
        <w:t>musel</w:t>
      </w:r>
      <w:r w:rsidR="00A30176">
        <w:rPr>
          <w:b/>
        </w:rPr>
        <w:t>a</w:t>
      </w:r>
      <w:r>
        <w:rPr>
          <w:b/>
        </w:rPr>
        <w:t xml:space="preserve"> být</w:t>
      </w:r>
      <w:r w:rsidR="00C07CAF">
        <w:rPr>
          <w:b/>
        </w:rPr>
        <w:t xml:space="preserve"> doba na realizaci projektů prodloužena o jeden rok.</w:t>
      </w:r>
      <w:r w:rsidR="00C07CAF" w:rsidRPr="00BE69B3" w:rsidDel="00C07CAF">
        <w:rPr>
          <w:b/>
        </w:rPr>
        <w:t xml:space="preserve"> </w:t>
      </w:r>
    </w:p>
    <w:p w14:paraId="0E1D684C" w14:textId="1A15E368" w:rsidR="00CE2606" w:rsidRDefault="00CE2606" w:rsidP="0063341B">
      <w:pPr>
        <w:jc w:val="both"/>
        <w:rPr>
          <w:b/>
        </w:rPr>
      </w:pPr>
    </w:p>
    <w:p w14:paraId="7E73E431" w14:textId="50B23460" w:rsidR="00CE2606" w:rsidRDefault="00CE2606" w:rsidP="00CE2606">
      <w:pPr>
        <w:jc w:val="both"/>
      </w:pPr>
      <w:r>
        <w:rPr>
          <w:b/>
        </w:rPr>
        <w:t xml:space="preserve">Na základě výše uvedených poznatků </w:t>
      </w:r>
      <w:r w:rsidRPr="002E1FBE">
        <w:rPr>
          <w:b/>
        </w:rPr>
        <w:t xml:space="preserve">NKÚ vyhodnotil </w:t>
      </w:r>
      <w:r w:rsidR="00BF4D1B">
        <w:rPr>
          <w:b/>
        </w:rPr>
        <w:t>efektivnost</w:t>
      </w:r>
      <w:r w:rsidRPr="002E1FBE">
        <w:rPr>
          <w:b/>
        </w:rPr>
        <w:t xml:space="preserve"> implementační struktury finančních mechanismů jako nízkou. </w:t>
      </w:r>
    </w:p>
    <w:p w14:paraId="54C1DC81" w14:textId="77777777" w:rsidR="00CE2606" w:rsidRPr="00BE69B3" w:rsidRDefault="00CE2606" w:rsidP="0063341B">
      <w:pPr>
        <w:jc w:val="both"/>
        <w:rPr>
          <w:b/>
        </w:rPr>
      </w:pPr>
    </w:p>
    <w:p w14:paraId="494CD505" w14:textId="0160591D" w:rsidR="0063341B" w:rsidRDefault="00BF0B92" w:rsidP="004F3805">
      <w:pPr>
        <w:pStyle w:val="Nadpis2"/>
        <w:numPr>
          <w:ilvl w:val="0"/>
          <w:numId w:val="44"/>
        </w:numPr>
        <w:jc w:val="both"/>
      </w:pPr>
      <w:r>
        <w:t>Nastavení a plnění cílů finančních mechanismů v ČR</w:t>
      </w:r>
    </w:p>
    <w:p w14:paraId="574A5256" w14:textId="40F11A5D" w:rsidR="00BF0B92" w:rsidRDefault="00170C00" w:rsidP="005A0783">
      <w:pPr>
        <w:jc w:val="both"/>
      </w:pPr>
      <w:r>
        <w:t xml:space="preserve">NKÚ posuzoval, jak byly stanoveny cíle programů financovaných z finančních mechanismů v ČR a </w:t>
      </w:r>
      <w:r w:rsidR="00D31FDA">
        <w:t xml:space="preserve">do </w:t>
      </w:r>
      <w:r>
        <w:t xml:space="preserve">jaké </w:t>
      </w:r>
      <w:r w:rsidR="00D31FDA">
        <w:t>míry</w:t>
      </w:r>
      <w:r>
        <w:t xml:space="preserve"> se podařilo tyto cíle </w:t>
      </w:r>
      <w:r w:rsidR="00D31FDA">
        <w:t>naplnit</w:t>
      </w:r>
      <w:r>
        <w:t>.</w:t>
      </w:r>
    </w:p>
    <w:p w14:paraId="4497C762" w14:textId="77777777" w:rsidR="006224FB" w:rsidRPr="00BF0B92" w:rsidRDefault="006224FB" w:rsidP="00BF0B92"/>
    <w:p w14:paraId="261FCCF6" w14:textId="5A6014B9" w:rsidR="0063341B" w:rsidRDefault="0063341B" w:rsidP="0063341B">
      <w:pPr>
        <w:jc w:val="both"/>
      </w:pPr>
      <w:r>
        <w:t xml:space="preserve">Celkovými cíli </w:t>
      </w:r>
      <w:r w:rsidR="00D31FDA">
        <w:t>f</w:t>
      </w:r>
      <w:r>
        <w:t>inančního mechanismu EHP</w:t>
      </w:r>
      <w:r w:rsidR="00D31FDA">
        <w:t xml:space="preserve"> a f</w:t>
      </w:r>
      <w:r>
        <w:t xml:space="preserve">inančního mechanismu Norska bylo přispět ke snížení ekonomických a sociálních rozdílů v Evropském hospodářském prostoru a k posílení </w:t>
      </w:r>
      <w:r w:rsidR="003F3E99">
        <w:t>bilaterálních</w:t>
      </w:r>
      <w:r>
        <w:t xml:space="preserve"> vztahů mezi </w:t>
      </w:r>
      <w:r w:rsidR="005A1C34">
        <w:t>donory</w:t>
      </w:r>
      <w:r>
        <w:t xml:space="preserve"> a přijímajícími státy prostřednictvím finančních příspěvků ve vymezených prioritních sektorech.</w:t>
      </w:r>
    </w:p>
    <w:p w14:paraId="2D06C652" w14:textId="77777777" w:rsidR="0063341B" w:rsidRDefault="0063341B" w:rsidP="0063341B">
      <w:pPr>
        <w:jc w:val="both"/>
      </w:pPr>
    </w:p>
    <w:p w14:paraId="77F3002B" w14:textId="3307EC40" w:rsidR="0063341B" w:rsidRDefault="0063341B" w:rsidP="0063341B">
      <w:pPr>
        <w:jc w:val="both"/>
      </w:pPr>
      <w:r w:rsidRPr="00C66908">
        <w:t xml:space="preserve">Prostředkem, kterým </w:t>
      </w:r>
      <w:r>
        <w:t xml:space="preserve">mělo </w:t>
      </w:r>
      <w:r w:rsidRPr="00C66908">
        <w:t xml:space="preserve">dojít k naplnění těchto cílů, </w:t>
      </w:r>
      <w:r>
        <w:t>byla</w:t>
      </w:r>
      <w:r w:rsidRPr="00C66908">
        <w:t xml:space="preserve"> realizace samostatných programů uskutečňovaných ve vymezených prioritních sektorech a oblastech. Tyto programy </w:t>
      </w:r>
      <w:r>
        <w:t>měly</w:t>
      </w:r>
      <w:r w:rsidRPr="00C66908">
        <w:t xml:space="preserve"> své vlastní cíle specifikované prostřednictvím monitorovacích indikátorů stanovených v přílo</w:t>
      </w:r>
      <w:r w:rsidR="00D31FDA">
        <w:t>hách</w:t>
      </w:r>
      <w:r w:rsidRPr="00C66908">
        <w:t xml:space="preserve"> </w:t>
      </w:r>
      <w:r>
        <w:t>d</w:t>
      </w:r>
      <w:r w:rsidRPr="00C66908">
        <w:t>ohod o programech.</w:t>
      </w:r>
    </w:p>
    <w:p w14:paraId="405A5D4B" w14:textId="77777777" w:rsidR="0063341B" w:rsidRDefault="0063341B" w:rsidP="0063341B">
      <w:pPr>
        <w:jc w:val="both"/>
      </w:pPr>
    </w:p>
    <w:p w14:paraId="5C5FDF0D" w14:textId="51FF346E" w:rsidR="0063341B" w:rsidRPr="005A0783" w:rsidRDefault="00CB69F5" w:rsidP="0063341B">
      <w:pPr>
        <w:jc w:val="both"/>
      </w:pPr>
      <w:r>
        <w:t xml:space="preserve">Bylo </w:t>
      </w:r>
      <w:r w:rsidR="0063341B" w:rsidRPr="00C66908">
        <w:t xml:space="preserve">ale </w:t>
      </w:r>
      <w:r>
        <w:t>zjištěno</w:t>
      </w:r>
      <w:r w:rsidR="0063341B" w:rsidRPr="00C66908">
        <w:t>, že vazba mezi cíli vymezeným</w:t>
      </w:r>
      <w:r w:rsidR="00BC5001">
        <w:t>i v kontrolovaných programech a </w:t>
      </w:r>
      <w:r w:rsidR="0063341B" w:rsidRPr="00C66908">
        <w:t>prokazovaný</w:t>
      </w:r>
      <w:r w:rsidR="00D31FDA">
        <w:t>mi</w:t>
      </w:r>
      <w:r w:rsidR="0063341B" w:rsidRPr="00C66908">
        <w:t xml:space="preserve"> jejich monitorovacími indikátory a celkovými cíli finančních mechanismů je velmi volná.</w:t>
      </w:r>
      <w:r w:rsidR="0063341B">
        <w:t xml:space="preserve"> </w:t>
      </w:r>
      <w:r w:rsidR="0063341B" w:rsidRPr="005C39FC">
        <w:t xml:space="preserve">Jednotlivé programy byly zaměřeny na specifické oblasti rozvoje společnosti, kdežto </w:t>
      </w:r>
      <w:r w:rsidR="005A1C34">
        <w:t xml:space="preserve">část </w:t>
      </w:r>
      <w:r w:rsidR="0063341B" w:rsidRPr="005C39FC">
        <w:t>celkov</w:t>
      </w:r>
      <w:r w:rsidR="005A1C34">
        <w:t>ých</w:t>
      </w:r>
      <w:r w:rsidR="0063341B" w:rsidRPr="005C39FC">
        <w:t xml:space="preserve"> cíl</w:t>
      </w:r>
      <w:r w:rsidR="005A1C34">
        <w:t>ů</w:t>
      </w:r>
      <w:r w:rsidR="0063341B" w:rsidRPr="005C39FC">
        <w:t xml:space="preserve"> byl</w:t>
      </w:r>
      <w:r w:rsidR="005A1C34">
        <w:t>a</w:t>
      </w:r>
      <w:r w:rsidR="0063341B" w:rsidRPr="005C39FC">
        <w:t xml:space="preserve"> formulován</w:t>
      </w:r>
      <w:r w:rsidR="005A1C34">
        <w:t>a</w:t>
      </w:r>
      <w:r w:rsidR="0063341B" w:rsidRPr="005C39FC">
        <w:t xml:space="preserve"> jako snižování ekonomických a sociálních rozdílů v Evropském hospodářském prostoru. </w:t>
      </w:r>
      <w:r w:rsidR="00C60B77">
        <w:t>N</w:t>
      </w:r>
      <w:r w:rsidR="00C60B77" w:rsidRPr="005C39FC">
        <w:t>ebyl nastaven žádný systém, který by</w:t>
      </w:r>
      <w:r w:rsidR="00877C38">
        <w:t xml:space="preserve"> umožnil</w:t>
      </w:r>
      <w:r w:rsidR="00C60B77" w:rsidRPr="005C39FC">
        <w:t xml:space="preserve"> měř</w:t>
      </w:r>
      <w:r w:rsidR="00877C38">
        <w:t>ení</w:t>
      </w:r>
      <w:r w:rsidR="00C60B77" w:rsidRPr="005C39FC">
        <w:t xml:space="preserve"> a posuzov</w:t>
      </w:r>
      <w:r w:rsidR="00877C38">
        <w:t>ání</w:t>
      </w:r>
      <w:r w:rsidR="00C60B77" w:rsidRPr="005C39FC">
        <w:t xml:space="preserve"> cíl</w:t>
      </w:r>
      <w:r w:rsidR="00877C38">
        <w:t>ů</w:t>
      </w:r>
      <w:r w:rsidR="00C60B77" w:rsidRPr="005C39FC">
        <w:t xml:space="preserve"> jednotlivých programů ve vztahu k celkovým cílům finančních mechanismů.</w:t>
      </w:r>
      <w:r w:rsidR="005A0783" w:rsidRPr="005A0783">
        <w:t xml:space="preserve"> </w:t>
      </w:r>
      <w:r w:rsidR="00BE69B3" w:rsidRPr="00EF5C05">
        <w:rPr>
          <w:b/>
        </w:rPr>
        <w:t>Kontrolou nebylo možné ověřit vliv realizovaných programů na plnění celkových cílů finančních mechanismů.</w:t>
      </w:r>
      <w:r w:rsidR="00BE69B3" w:rsidRPr="005A0783">
        <w:t xml:space="preserve"> </w:t>
      </w:r>
    </w:p>
    <w:p w14:paraId="64FCEE0E" w14:textId="77777777" w:rsidR="0063341B" w:rsidRDefault="0063341B" w:rsidP="0063341B">
      <w:pPr>
        <w:jc w:val="both"/>
      </w:pPr>
    </w:p>
    <w:p w14:paraId="56458459" w14:textId="2BB733A9" w:rsidR="0063341B" w:rsidRPr="00075174" w:rsidRDefault="0063341B" w:rsidP="0063341B">
      <w:pPr>
        <w:jc w:val="both"/>
      </w:pPr>
      <w:r w:rsidRPr="009601CD">
        <w:t>NKÚ dále zjistil, že není možné prokázat naplnění cílů</w:t>
      </w:r>
      <w:r w:rsidR="000A4227" w:rsidRPr="009601CD">
        <w:t xml:space="preserve"> </w:t>
      </w:r>
      <w:r w:rsidR="001808CC" w:rsidRPr="009601CD">
        <w:t>u</w:t>
      </w:r>
      <w:r w:rsidRPr="009601CD">
        <w:t xml:space="preserve"> </w:t>
      </w:r>
      <w:r w:rsidR="001808CC" w:rsidRPr="009601CD">
        <w:t>11 ze 14 realizovaných programů (viz</w:t>
      </w:r>
      <w:r w:rsidR="00E809D2">
        <w:t> </w:t>
      </w:r>
      <w:r w:rsidR="001808CC" w:rsidRPr="009601CD">
        <w:t>příloha č.</w:t>
      </w:r>
      <w:r w:rsidR="00BC7CD5" w:rsidRPr="009601CD">
        <w:t> </w:t>
      </w:r>
      <w:r w:rsidR="00C9645F" w:rsidRPr="009601CD">
        <w:t>3</w:t>
      </w:r>
      <w:r w:rsidR="001808CC" w:rsidRPr="009601CD">
        <w:t>),</w:t>
      </w:r>
      <w:r w:rsidRPr="009601CD">
        <w:t xml:space="preserve"> neboť </w:t>
      </w:r>
      <w:r w:rsidR="00BC4E9D">
        <w:t xml:space="preserve">formulace těchto cílů </w:t>
      </w:r>
      <w:r w:rsidR="00EC5C21">
        <w:t xml:space="preserve">a ve vazbě na ně </w:t>
      </w:r>
      <w:r w:rsidR="000A4227" w:rsidRPr="009601CD">
        <w:t xml:space="preserve">definovaných monitorovacích indikátorů </w:t>
      </w:r>
      <w:r w:rsidRPr="009601CD">
        <w:t>ne</w:t>
      </w:r>
      <w:r w:rsidR="00BC4E9D">
        <w:t>obsahuj</w:t>
      </w:r>
      <w:r w:rsidR="00312C9C">
        <w:t>í</w:t>
      </w:r>
      <w:r w:rsidRPr="009601CD">
        <w:t xml:space="preserve"> žádné kvantitativní nebo jiné bližší vyjádření, čeho přesně by mělo být dosaženo</w:t>
      </w:r>
      <w:r w:rsidR="000E76A9" w:rsidRPr="009601CD">
        <w:t>.</w:t>
      </w:r>
    </w:p>
    <w:p w14:paraId="43F32E70" w14:textId="77777777" w:rsidR="0063341B" w:rsidRDefault="0063341B" w:rsidP="0063341B">
      <w:pPr>
        <w:jc w:val="both"/>
      </w:pPr>
    </w:p>
    <w:p w14:paraId="63494BF0" w14:textId="6916C0C8" w:rsidR="0063341B" w:rsidRPr="00EE3501" w:rsidRDefault="0063341B" w:rsidP="0063341B">
      <w:pPr>
        <w:jc w:val="both"/>
      </w:pPr>
      <w:r w:rsidRPr="00EE3501">
        <w:t>NKÚ při prověřování plnění monitorovacích indikátorů také zjistil, že byly použity téměř výlučně kvantitativní indikátory</w:t>
      </w:r>
      <w:r w:rsidR="00481E9C">
        <w:t xml:space="preserve"> výstup</w:t>
      </w:r>
      <w:r w:rsidR="00A833FA">
        <w:t>u</w:t>
      </w:r>
      <w:r w:rsidRPr="00EE3501">
        <w:t>, které zobrazovaly počty nových řešení (</w:t>
      </w:r>
      <w:r w:rsidR="00A833FA">
        <w:t xml:space="preserve">podávaly informace o počtech </w:t>
      </w:r>
      <w:r w:rsidRPr="00EE3501">
        <w:t>kus</w:t>
      </w:r>
      <w:r w:rsidR="00A833FA">
        <w:t>ů</w:t>
      </w:r>
      <w:r w:rsidRPr="00EE3501">
        <w:t xml:space="preserve">, někdy jen </w:t>
      </w:r>
      <w:r w:rsidR="00A833FA">
        <w:t xml:space="preserve">o </w:t>
      </w:r>
      <w:r w:rsidRPr="00EE3501">
        <w:t xml:space="preserve">množství uskutečněných projektů, </w:t>
      </w:r>
      <w:r w:rsidR="00A833FA">
        <w:t>příp. o</w:t>
      </w:r>
      <w:r w:rsidRPr="00EE3501">
        <w:t xml:space="preserve"> množství proškolených či obsloužených lidí). Až na dvě výjimky (programy CZ05 a CZ13) </w:t>
      </w:r>
      <w:r w:rsidR="00C60B77">
        <w:t>tvůrci programů</w:t>
      </w:r>
      <w:r w:rsidR="00AA3071">
        <w:t xml:space="preserve">, </w:t>
      </w:r>
      <w:r w:rsidR="00AA3071">
        <w:lastRenderedPageBreak/>
        <w:t xml:space="preserve">tj. </w:t>
      </w:r>
      <w:r w:rsidR="009A3D81">
        <w:t>zprostředkovatelé</w:t>
      </w:r>
      <w:r w:rsidR="00A833FA">
        <w:t>,</w:t>
      </w:r>
      <w:r w:rsidR="00C60B77">
        <w:t xml:space="preserve"> nepoužili </w:t>
      </w:r>
      <w:r w:rsidRPr="00EE3501">
        <w:t xml:space="preserve">poměrové nebo srovnávací ukazatele, které by hodnotily </w:t>
      </w:r>
      <w:r w:rsidR="00481E9C">
        <w:t>kvalitativní přínosy</w:t>
      </w:r>
      <w:r w:rsidR="00481E9C" w:rsidRPr="00EE3501">
        <w:t xml:space="preserve"> </w:t>
      </w:r>
      <w:r w:rsidRPr="00EE3501">
        <w:t>v dané oblasti nebo v rámci mezinárodního srovnání. Číselník monitorovacích indikátorů připravený donory</w:t>
      </w:r>
      <w:r w:rsidRPr="000A4471">
        <w:rPr>
          <w:vertAlign w:val="superscript"/>
        </w:rPr>
        <w:footnoteReference w:id="21"/>
      </w:r>
      <w:r w:rsidRPr="00EE3501">
        <w:t>, ze kterého si podpořené země mohly vybírat indikátory pro své programy, přitom obsahoval i nabídk</w:t>
      </w:r>
      <w:r w:rsidR="00A833FA">
        <w:t>u</w:t>
      </w:r>
      <w:r w:rsidRPr="00EE3501">
        <w:t xml:space="preserve"> kvalitativních indikátorů.</w:t>
      </w:r>
      <w:r w:rsidR="00F91430">
        <w:t xml:space="preserve"> </w:t>
      </w:r>
      <w:r w:rsidRPr="00EE3501">
        <w:t>NKÚ konstatuje, že takto typově omezené monitorovací indikátory mohou zajistit pouze limitované informace o dosažených úspěších a přínosech realizovaných programů.</w:t>
      </w:r>
    </w:p>
    <w:p w14:paraId="0DF31A72" w14:textId="15C3A40A" w:rsidR="0063341B" w:rsidRDefault="0063341B" w:rsidP="0063341B">
      <w:pPr>
        <w:jc w:val="both"/>
      </w:pPr>
    </w:p>
    <w:p w14:paraId="426F437B" w14:textId="4BA9B29F" w:rsidR="0063341B" w:rsidRDefault="00C60B77" w:rsidP="0063341B">
      <w:pPr>
        <w:jc w:val="both"/>
      </w:pPr>
      <w:r>
        <w:t>Kontrolou</w:t>
      </w:r>
      <w:r w:rsidR="0063341B">
        <w:t xml:space="preserve"> monitorovacích indikátorů NKÚ zjistil, že </w:t>
      </w:r>
      <w:r>
        <w:t>u programů</w:t>
      </w:r>
      <w:r w:rsidR="00AC449E">
        <w:t xml:space="preserve"> </w:t>
      </w:r>
      <w:r w:rsidR="00AC449E" w:rsidRPr="00A80B2D">
        <w:t>CZ02, CZ03, CZ04, CZ07, CZ12 a CZ15</w:t>
      </w:r>
      <w:r w:rsidR="00C154A6" w:rsidRPr="00C154A6">
        <w:t xml:space="preserve"> </w:t>
      </w:r>
      <w:r w:rsidR="00C154A6">
        <w:t>n</w:t>
      </w:r>
      <w:r w:rsidR="00C154A6" w:rsidRPr="00371A96">
        <w:t>edojde</w:t>
      </w:r>
      <w:r w:rsidR="00AC449E">
        <w:t xml:space="preserve"> </w:t>
      </w:r>
      <w:r w:rsidR="0063341B" w:rsidRPr="00371A96">
        <w:t xml:space="preserve">k naplnění </w:t>
      </w:r>
      <w:r w:rsidR="0063341B">
        <w:t xml:space="preserve">jejich </w:t>
      </w:r>
      <w:r w:rsidR="0063341B" w:rsidRPr="00371A96">
        <w:t>cílových hodnot</w:t>
      </w:r>
      <w:r w:rsidR="0063341B">
        <w:t xml:space="preserve">. </w:t>
      </w:r>
      <w:r w:rsidR="00AC449E" w:rsidRPr="00AC449E">
        <w:t>S ohle</w:t>
      </w:r>
      <w:r w:rsidR="00BC5001">
        <w:t xml:space="preserve">dem na znění uzavřených </w:t>
      </w:r>
      <w:r w:rsidR="000B17E0" w:rsidRPr="007A4F43">
        <w:rPr>
          <w:i/>
        </w:rPr>
        <w:t>d</w:t>
      </w:r>
      <w:r w:rsidR="00BC5001" w:rsidRPr="007A4F43">
        <w:rPr>
          <w:i/>
        </w:rPr>
        <w:t>ohod o </w:t>
      </w:r>
      <w:r w:rsidR="00AC449E" w:rsidRPr="007A4F43">
        <w:rPr>
          <w:i/>
        </w:rPr>
        <w:t>programech</w:t>
      </w:r>
      <w:r w:rsidR="00AC449E" w:rsidRPr="00AC449E">
        <w:t xml:space="preserve"> </w:t>
      </w:r>
      <w:r w:rsidR="000B17E0">
        <w:t>i s ohledem n</w:t>
      </w:r>
      <w:r w:rsidR="00AC449E" w:rsidRPr="00AC449E">
        <w:t>a formu definování cílů a monitorovacích indikátorů v přílo</w:t>
      </w:r>
      <w:r w:rsidR="000B17E0">
        <w:t>hách</w:t>
      </w:r>
      <w:r w:rsidR="00AC449E" w:rsidRPr="00AC449E">
        <w:t xml:space="preserve"> těchto </w:t>
      </w:r>
      <w:r w:rsidR="000B17E0">
        <w:t>d</w:t>
      </w:r>
      <w:r w:rsidR="00AC449E" w:rsidRPr="00AC449E">
        <w:t xml:space="preserve">ohod </w:t>
      </w:r>
      <w:r w:rsidR="0063341B" w:rsidRPr="00A80B2D">
        <w:t xml:space="preserve">znamená </w:t>
      </w:r>
      <w:r w:rsidR="00AC449E">
        <w:t xml:space="preserve">tato skutečnost </w:t>
      </w:r>
      <w:r w:rsidR="000E43EB">
        <w:t>nesplnění</w:t>
      </w:r>
      <w:r w:rsidR="0063341B" w:rsidRPr="00A80B2D">
        <w:t xml:space="preserve"> </w:t>
      </w:r>
      <w:r w:rsidR="00AC449E">
        <w:t>cílů programů</w:t>
      </w:r>
      <w:r w:rsidR="0063341B" w:rsidRPr="00A80B2D">
        <w:t>. Cílových hodnot jednoho z</w:t>
      </w:r>
      <w:r w:rsidR="00986078">
        <w:t> </w:t>
      </w:r>
      <w:r w:rsidR="0063341B" w:rsidRPr="00A80B2D">
        <w:t xml:space="preserve">monitorovacích indikátorů u programu CZ09 je navíc možné dosáhnout pouze prostřednictvím </w:t>
      </w:r>
      <w:r w:rsidR="00FC4428">
        <w:t>výstupů</w:t>
      </w:r>
      <w:r w:rsidR="00BC5001">
        <w:t xml:space="preserve"> z </w:t>
      </w:r>
      <w:r w:rsidR="0063341B" w:rsidRPr="00A80B2D">
        <w:t>bilaterálních projektů, které u ostatních zkoumaných programů do hodnot monitorovacích indikátorů vůbec nevstupují.</w:t>
      </w:r>
      <w:r w:rsidR="0063341B">
        <w:t xml:space="preserve"> </w:t>
      </w:r>
      <w:r w:rsidR="000B17E0">
        <w:t>V</w:t>
      </w:r>
      <w:r w:rsidR="001808CC">
        <w:t> průběhu realizace programů</w:t>
      </w:r>
      <w:r w:rsidR="000B17E0">
        <w:t xml:space="preserve"> žádalo MF o</w:t>
      </w:r>
      <w:r w:rsidR="00986078">
        <w:t> </w:t>
      </w:r>
      <w:r w:rsidR="000B17E0">
        <w:t>upravení cílových hodnot</w:t>
      </w:r>
      <w:r w:rsidR="00D733FA">
        <w:t>,</w:t>
      </w:r>
      <w:r w:rsidR="00AC449E" w:rsidRPr="00AC449E">
        <w:t xml:space="preserve"> </w:t>
      </w:r>
      <w:r w:rsidR="00D733FA">
        <w:t xml:space="preserve">donoři </w:t>
      </w:r>
      <w:r w:rsidR="000B17E0">
        <w:t xml:space="preserve">však tyto požadavky </w:t>
      </w:r>
      <w:r w:rsidR="00D733FA">
        <w:t>zamítli s odůvodněním</w:t>
      </w:r>
      <w:r w:rsidR="00AC449E" w:rsidRPr="00AC449E">
        <w:t xml:space="preserve">, že o neplnění cílových hodnot monitorovacích indikátorů postačuje informovat ve výročních zprávách jednotlivých programů. Tato informační povinnost byla </w:t>
      </w:r>
      <w:r w:rsidR="000B17E0">
        <w:t>plněna</w:t>
      </w:r>
      <w:r w:rsidR="00AC449E" w:rsidRPr="00AC449E">
        <w:t>.</w:t>
      </w:r>
      <w:r w:rsidR="00CE2955">
        <w:t xml:space="preserve"> </w:t>
      </w:r>
      <w:r w:rsidR="00732AD5">
        <w:t>K uzavření programového období</w:t>
      </w:r>
      <w:r w:rsidR="00BC5001">
        <w:t xml:space="preserve"> 2009–</w:t>
      </w:r>
      <w:r w:rsidR="00142408">
        <w:t>2014</w:t>
      </w:r>
      <w:r w:rsidR="00732AD5">
        <w:t xml:space="preserve"> dosud nedošlo.</w:t>
      </w:r>
    </w:p>
    <w:p w14:paraId="68AE1CAD" w14:textId="77777777" w:rsidR="00B718D3" w:rsidRDefault="00B718D3" w:rsidP="0063341B">
      <w:pPr>
        <w:jc w:val="both"/>
      </w:pPr>
    </w:p>
    <w:p w14:paraId="780308DA" w14:textId="6974ED7A" w:rsidR="006F30DF" w:rsidRDefault="006F30DF" w:rsidP="0063341B">
      <w:pPr>
        <w:jc w:val="both"/>
      </w:pPr>
      <w:r>
        <w:t xml:space="preserve">Následující tabulka obsahuje </w:t>
      </w:r>
      <w:r w:rsidR="005856EF">
        <w:t>informac</w:t>
      </w:r>
      <w:r w:rsidR="00986078">
        <w:t>e</w:t>
      </w:r>
      <w:r w:rsidR="005856EF">
        <w:t xml:space="preserve"> </w:t>
      </w:r>
      <w:r>
        <w:t>o počt</w:t>
      </w:r>
      <w:r w:rsidR="00986078">
        <w:t>ech</w:t>
      </w:r>
      <w:r>
        <w:t xml:space="preserve"> nesplněných monitorovacích indikátorů výstupu a výsledku sledovaných ve výročních zprávách programů</w:t>
      </w:r>
      <w:r w:rsidR="005856EF">
        <w:rPr>
          <w:rStyle w:val="Znakapoznpodarou"/>
        </w:rPr>
        <w:footnoteReference w:id="22"/>
      </w:r>
      <w:r>
        <w:t>:</w:t>
      </w:r>
    </w:p>
    <w:p w14:paraId="21EFB660" w14:textId="3DF3E419" w:rsidR="006F30DF" w:rsidRDefault="006F30DF" w:rsidP="0063341B">
      <w:pPr>
        <w:jc w:val="both"/>
      </w:pPr>
    </w:p>
    <w:p w14:paraId="6B0CD272" w14:textId="441D2C0A" w:rsidR="00B718D3" w:rsidRPr="007A4F43" w:rsidRDefault="00B718D3" w:rsidP="0049352F">
      <w:pPr>
        <w:pStyle w:val="Titulek"/>
        <w:keepNext/>
        <w:spacing w:after="0"/>
        <w:rPr>
          <w:rFonts w:asciiTheme="minorHAnsi" w:hAnsiTheme="minorHAnsi" w:cstheme="minorHAnsi"/>
          <w:b/>
          <w:i w:val="0"/>
          <w:color w:val="auto"/>
          <w:sz w:val="24"/>
          <w:szCs w:val="24"/>
        </w:rPr>
      </w:pPr>
      <w:r w:rsidRPr="007A4F43">
        <w:rPr>
          <w:rFonts w:asciiTheme="minorHAnsi" w:hAnsiTheme="minorHAnsi" w:cstheme="minorHAnsi"/>
          <w:b/>
          <w:i w:val="0"/>
          <w:color w:val="auto"/>
          <w:sz w:val="24"/>
          <w:szCs w:val="24"/>
        </w:rPr>
        <w:t xml:space="preserve">Tabulka č. </w:t>
      </w:r>
      <w:r w:rsidRPr="007A4F43">
        <w:rPr>
          <w:rFonts w:asciiTheme="minorHAnsi" w:hAnsiTheme="minorHAnsi" w:cstheme="minorHAnsi"/>
          <w:b/>
          <w:i w:val="0"/>
          <w:color w:val="auto"/>
          <w:sz w:val="24"/>
          <w:szCs w:val="24"/>
        </w:rPr>
        <w:fldChar w:fldCharType="begin"/>
      </w:r>
      <w:r w:rsidRPr="007A4F43">
        <w:rPr>
          <w:rFonts w:asciiTheme="minorHAnsi" w:hAnsiTheme="minorHAnsi" w:cstheme="minorHAnsi"/>
          <w:b/>
          <w:i w:val="0"/>
          <w:color w:val="auto"/>
          <w:sz w:val="24"/>
          <w:szCs w:val="24"/>
        </w:rPr>
        <w:instrText xml:space="preserve"> SEQ Tabulka_č. \* ARABIC </w:instrText>
      </w:r>
      <w:r w:rsidRPr="007A4F43">
        <w:rPr>
          <w:rFonts w:asciiTheme="minorHAnsi" w:hAnsiTheme="minorHAnsi" w:cstheme="minorHAnsi"/>
          <w:b/>
          <w:i w:val="0"/>
          <w:color w:val="auto"/>
          <w:sz w:val="24"/>
          <w:szCs w:val="24"/>
        </w:rPr>
        <w:fldChar w:fldCharType="separate"/>
      </w:r>
      <w:r w:rsidR="00323B98">
        <w:rPr>
          <w:rFonts w:asciiTheme="minorHAnsi" w:hAnsiTheme="minorHAnsi" w:cstheme="minorHAnsi"/>
          <w:b/>
          <w:i w:val="0"/>
          <w:noProof/>
          <w:color w:val="auto"/>
          <w:sz w:val="24"/>
          <w:szCs w:val="24"/>
        </w:rPr>
        <w:t>1</w:t>
      </w:r>
      <w:r w:rsidRPr="007A4F43">
        <w:rPr>
          <w:rFonts w:asciiTheme="minorHAnsi" w:hAnsiTheme="minorHAnsi" w:cstheme="minorHAnsi"/>
          <w:b/>
          <w:i w:val="0"/>
          <w:color w:val="auto"/>
          <w:sz w:val="24"/>
          <w:szCs w:val="24"/>
        </w:rPr>
        <w:fldChar w:fldCharType="end"/>
      </w:r>
      <w:r w:rsidR="00F713CF">
        <w:rPr>
          <w:rFonts w:asciiTheme="minorHAnsi" w:hAnsiTheme="minorHAnsi" w:cstheme="minorHAnsi"/>
          <w:b/>
          <w:i w:val="0"/>
          <w:color w:val="auto"/>
          <w:sz w:val="24"/>
          <w:szCs w:val="24"/>
        </w:rPr>
        <w:t>:</w:t>
      </w:r>
      <w:r w:rsidRPr="007A4F43">
        <w:rPr>
          <w:rFonts w:asciiTheme="minorHAnsi" w:hAnsiTheme="minorHAnsi" w:cstheme="minorHAnsi"/>
          <w:b/>
          <w:i w:val="0"/>
          <w:color w:val="auto"/>
          <w:sz w:val="24"/>
          <w:szCs w:val="24"/>
        </w:rPr>
        <w:t xml:space="preserve"> Nesplněné monitorovací indikátory v programech finančních mechanismů</w:t>
      </w:r>
    </w:p>
    <w:tbl>
      <w:tblPr>
        <w:tblStyle w:val="Mkatabulky"/>
        <w:tblW w:w="9067" w:type="dxa"/>
        <w:tblLook w:val="04A0" w:firstRow="1" w:lastRow="0" w:firstColumn="1" w:lastColumn="0" w:noHBand="0" w:noVBand="1"/>
      </w:tblPr>
      <w:tblGrid>
        <w:gridCol w:w="1589"/>
        <w:gridCol w:w="1984"/>
        <w:gridCol w:w="2376"/>
        <w:gridCol w:w="3118"/>
      </w:tblGrid>
      <w:tr w:rsidR="00F713CF" w:rsidRPr="0049352F" w14:paraId="4FA03E02" w14:textId="18522423" w:rsidTr="00F713CF">
        <w:tc>
          <w:tcPr>
            <w:tcW w:w="1589" w:type="dxa"/>
            <w:shd w:val="clear" w:color="auto" w:fill="E5F1FF"/>
            <w:vAlign w:val="center"/>
          </w:tcPr>
          <w:p w14:paraId="31DA058F" w14:textId="396711AD" w:rsidR="008D50B2" w:rsidRPr="0049352F" w:rsidRDefault="008D50B2" w:rsidP="00F713CF">
            <w:pPr>
              <w:jc w:val="center"/>
              <w:rPr>
                <w:b/>
                <w:sz w:val="20"/>
                <w:szCs w:val="20"/>
              </w:rPr>
            </w:pPr>
            <w:r w:rsidRPr="0049352F">
              <w:rPr>
                <w:b/>
                <w:sz w:val="20"/>
                <w:szCs w:val="20"/>
              </w:rPr>
              <w:t>Program</w:t>
            </w:r>
          </w:p>
        </w:tc>
        <w:tc>
          <w:tcPr>
            <w:tcW w:w="1984" w:type="dxa"/>
            <w:shd w:val="clear" w:color="auto" w:fill="E5F1FF"/>
            <w:vAlign w:val="center"/>
          </w:tcPr>
          <w:p w14:paraId="05B0AA96" w14:textId="4ACAD6F1" w:rsidR="008D50B2" w:rsidRDefault="008D50B2" w:rsidP="00F713CF">
            <w:pPr>
              <w:jc w:val="center"/>
              <w:rPr>
                <w:b/>
                <w:sz w:val="20"/>
                <w:szCs w:val="20"/>
              </w:rPr>
            </w:pPr>
            <w:r>
              <w:rPr>
                <w:b/>
                <w:sz w:val="20"/>
                <w:szCs w:val="20"/>
              </w:rPr>
              <w:t>Monitorovací indikátory celkem</w:t>
            </w:r>
          </w:p>
        </w:tc>
        <w:tc>
          <w:tcPr>
            <w:tcW w:w="2376" w:type="dxa"/>
            <w:shd w:val="clear" w:color="auto" w:fill="E5F1FF"/>
            <w:vAlign w:val="center"/>
          </w:tcPr>
          <w:p w14:paraId="1413FBA5" w14:textId="7244CBBF" w:rsidR="008D50B2" w:rsidRPr="0049352F" w:rsidRDefault="008D50B2" w:rsidP="00F713CF">
            <w:pPr>
              <w:jc w:val="center"/>
              <w:rPr>
                <w:b/>
                <w:sz w:val="20"/>
                <w:szCs w:val="20"/>
              </w:rPr>
            </w:pPr>
            <w:r w:rsidRPr="0049352F">
              <w:rPr>
                <w:b/>
                <w:sz w:val="20"/>
                <w:szCs w:val="20"/>
              </w:rPr>
              <w:t>Nesplněné monitorovací indikátory</w:t>
            </w:r>
          </w:p>
        </w:tc>
        <w:tc>
          <w:tcPr>
            <w:tcW w:w="3118" w:type="dxa"/>
            <w:shd w:val="clear" w:color="auto" w:fill="E5F1FF"/>
            <w:vAlign w:val="center"/>
          </w:tcPr>
          <w:p w14:paraId="22411B9F" w14:textId="027E79F6" w:rsidR="008D50B2" w:rsidRDefault="008D50B2" w:rsidP="00F713CF">
            <w:pPr>
              <w:jc w:val="center"/>
              <w:rPr>
                <w:b/>
                <w:sz w:val="20"/>
                <w:szCs w:val="20"/>
              </w:rPr>
            </w:pPr>
            <w:r>
              <w:rPr>
                <w:b/>
                <w:sz w:val="20"/>
                <w:szCs w:val="20"/>
              </w:rPr>
              <w:t>Míra nesplnění</w:t>
            </w:r>
          </w:p>
        </w:tc>
      </w:tr>
      <w:tr w:rsidR="008D50B2" w:rsidRPr="0049352F" w14:paraId="3423B830" w14:textId="63ED3C8C" w:rsidTr="007A4F43">
        <w:tc>
          <w:tcPr>
            <w:tcW w:w="1589" w:type="dxa"/>
          </w:tcPr>
          <w:p w14:paraId="5983286D" w14:textId="1E65C1A5" w:rsidR="008D50B2" w:rsidRPr="0049352F" w:rsidRDefault="008D50B2" w:rsidP="008D50B2">
            <w:pPr>
              <w:jc w:val="center"/>
              <w:rPr>
                <w:sz w:val="20"/>
                <w:szCs w:val="20"/>
              </w:rPr>
            </w:pPr>
            <w:r w:rsidRPr="0049352F">
              <w:rPr>
                <w:sz w:val="20"/>
                <w:szCs w:val="20"/>
              </w:rPr>
              <w:t>CZ04</w:t>
            </w:r>
          </w:p>
        </w:tc>
        <w:tc>
          <w:tcPr>
            <w:tcW w:w="1984" w:type="dxa"/>
          </w:tcPr>
          <w:p w14:paraId="0F8136E1" w14:textId="62A4C067" w:rsidR="008D50B2" w:rsidRDefault="008D50B2" w:rsidP="00F713CF">
            <w:pPr>
              <w:ind w:right="62"/>
              <w:jc w:val="right"/>
              <w:rPr>
                <w:sz w:val="20"/>
                <w:szCs w:val="20"/>
              </w:rPr>
            </w:pPr>
            <w:r>
              <w:rPr>
                <w:sz w:val="20"/>
                <w:szCs w:val="20"/>
              </w:rPr>
              <w:t>15</w:t>
            </w:r>
          </w:p>
        </w:tc>
        <w:tc>
          <w:tcPr>
            <w:tcW w:w="2376" w:type="dxa"/>
          </w:tcPr>
          <w:p w14:paraId="17B2B471" w14:textId="53701523" w:rsidR="008D50B2" w:rsidRPr="0049352F" w:rsidRDefault="008D50B2" w:rsidP="00F713CF">
            <w:pPr>
              <w:ind w:right="62"/>
              <w:jc w:val="right"/>
              <w:rPr>
                <w:sz w:val="20"/>
                <w:szCs w:val="20"/>
              </w:rPr>
            </w:pPr>
            <w:r w:rsidRPr="0049352F">
              <w:rPr>
                <w:sz w:val="20"/>
                <w:szCs w:val="20"/>
              </w:rPr>
              <w:t>7</w:t>
            </w:r>
          </w:p>
        </w:tc>
        <w:tc>
          <w:tcPr>
            <w:tcW w:w="3118" w:type="dxa"/>
          </w:tcPr>
          <w:p w14:paraId="1F38AF3D" w14:textId="2CC4312A" w:rsidR="008D50B2" w:rsidRDefault="008D50B2" w:rsidP="00F713CF">
            <w:pPr>
              <w:ind w:right="62"/>
              <w:jc w:val="right"/>
              <w:rPr>
                <w:sz w:val="20"/>
                <w:szCs w:val="20"/>
              </w:rPr>
            </w:pPr>
            <w:r>
              <w:rPr>
                <w:sz w:val="20"/>
                <w:szCs w:val="20"/>
              </w:rPr>
              <w:t>47 %</w:t>
            </w:r>
          </w:p>
        </w:tc>
      </w:tr>
      <w:tr w:rsidR="008D50B2" w:rsidRPr="0049352F" w14:paraId="731FFDEF" w14:textId="45A2FADE" w:rsidTr="007A4F43">
        <w:tc>
          <w:tcPr>
            <w:tcW w:w="1589" w:type="dxa"/>
          </w:tcPr>
          <w:p w14:paraId="6B274D35" w14:textId="0D2ECB59" w:rsidR="008D50B2" w:rsidRPr="0049352F" w:rsidRDefault="008D50B2" w:rsidP="008D50B2">
            <w:pPr>
              <w:jc w:val="center"/>
              <w:rPr>
                <w:sz w:val="20"/>
                <w:szCs w:val="20"/>
              </w:rPr>
            </w:pPr>
            <w:r w:rsidRPr="0049352F">
              <w:rPr>
                <w:sz w:val="20"/>
                <w:szCs w:val="20"/>
              </w:rPr>
              <w:t>CZ12</w:t>
            </w:r>
          </w:p>
        </w:tc>
        <w:tc>
          <w:tcPr>
            <w:tcW w:w="1984" w:type="dxa"/>
          </w:tcPr>
          <w:p w14:paraId="529EEFAF" w14:textId="65761BFD" w:rsidR="008D50B2" w:rsidRDefault="008D50B2" w:rsidP="00F713CF">
            <w:pPr>
              <w:ind w:right="62"/>
              <w:jc w:val="right"/>
              <w:rPr>
                <w:sz w:val="20"/>
                <w:szCs w:val="20"/>
              </w:rPr>
            </w:pPr>
            <w:r>
              <w:rPr>
                <w:sz w:val="20"/>
                <w:szCs w:val="20"/>
              </w:rPr>
              <w:t>23</w:t>
            </w:r>
          </w:p>
        </w:tc>
        <w:tc>
          <w:tcPr>
            <w:tcW w:w="2376" w:type="dxa"/>
          </w:tcPr>
          <w:p w14:paraId="5DC9E4D6" w14:textId="6844733A" w:rsidR="008D50B2" w:rsidRPr="0049352F" w:rsidRDefault="008D50B2" w:rsidP="00F713CF">
            <w:pPr>
              <w:ind w:right="62"/>
              <w:jc w:val="right"/>
              <w:rPr>
                <w:sz w:val="20"/>
                <w:szCs w:val="20"/>
              </w:rPr>
            </w:pPr>
            <w:r w:rsidRPr="0049352F">
              <w:rPr>
                <w:sz w:val="20"/>
                <w:szCs w:val="20"/>
              </w:rPr>
              <w:t>6</w:t>
            </w:r>
          </w:p>
        </w:tc>
        <w:tc>
          <w:tcPr>
            <w:tcW w:w="3118" w:type="dxa"/>
          </w:tcPr>
          <w:p w14:paraId="187EE9AC" w14:textId="29E22D75" w:rsidR="008D50B2" w:rsidRDefault="008D50B2" w:rsidP="00F713CF">
            <w:pPr>
              <w:ind w:right="62"/>
              <w:jc w:val="right"/>
              <w:rPr>
                <w:sz w:val="20"/>
                <w:szCs w:val="20"/>
              </w:rPr>
            </w:pPr>
            <w:r>
              <w:rPr>
                <w:sz w:val="20"/>
                <w:szCs w:val="20"/>
              </w:rPr>
              <w:t>26 %</w:t>
            </w:r>
          </w:p>
        </w:tc>
      </w:tr>
      <w:tr w:rsidR="008D50B2" w:rsidRPr="0049352F" w14:paraId="1E719ABE" w14:textId="63701397" w:rsidTr="007A4F43">
        <w:tc>
          <w:tcPr>
            <w:tcW w:w="1589" w:type="dxa"/>
          </w:tcPr>
          <w:p w14:paraId="0B6DFD04" w14:textId="491BDBC7" w:rsidR="008D50B2" w:rsidRPr="0049352F" w:rsidRDefault="008D50B2" w:rsidP="008D50B2">
            <w:pPr>
              <w:jc w:val="center"/>
              <w:rPr>
                <w:sz w:val="20"/>
                <w:szCs w:val="20"/>
              </w:rPr>
            </w:pPr>
            <w:r w:rsidRPr="0049352F">
              <w:rPr>
                <w:sz w:val="20"/>
                <w:szCs w:val="20"/>
              </w:rPr>
              <w:t>CZ09</w:t>
            </w:r>
          </w:p>
        </w:tc>
        <w:tc>
          <w:tcPr>
            <w:tcW w:w="1984" w:type="dxa"/>
          </w:tcPr>
          <w:p w14:paraId="2F545CAB" w14:textId="7F1C9A50" w:rsidR="008D50B2" w:rsidRDefault="008D50B2" w:rsidP="00F713CF">
            <w:pPr>
              <w:ind w:right="62"/>
              <w:jc w:val="right"/>
              <w:rPr>
                <w:sz w:val="20"/>
                <w:szCs w:val="20"/>
              </w:rPr>
            </w:pPr>
            <w:r>
              <w:rPr>
                <w:sz w:val="20"/>
                <w:szCs w:val="20"/>
              </w:rPr>
              <w:t>5</w:t>
            </w:r>
          </w:p>
        </w:tc>
        <w:tc>
          <w:tcPr>
            <w:tcW w:w="2376" w:type="dxa"/>
          </w:tcPr>
          <w:p w14:paraId="159035EF" w14:textId="1E9F019C" w:rsidR="008D50B2" w:rsidRPr="0049352F" w:rsidRDefault="008D50B2" w:rsidP="00F713CF">
            <w:pPr>
              <w:ind w:right="62"/>
              <w:jc w:val="right"/>
              <w:rPr>
                <w:sz w:val="20"/>
                <w:szCs w:val="20"/>
              </w:rPr>
            </w:pPr>
            <w:r w:rsidRPr="0049352F">
              <w:rPr>
                <w:sz w:val="20"/>
                <w:szCs w:val="20"/>
              </w:rPr>
              <w:t>1</w:t>
            </w:r>
          </w:p>
        </w:tc>
        <w:tc>
          <w:tcPr>
            <w:tcW w:w="3118" w:type="dxa"/>
          </w:tcPr>
          <w:p w14:paraId="5DAC613E" w14:textId="0502AAF8" w:rsidR="008D50B2" w:rsidRDefault="008D50B2" w:rsidP="00F713CF">
            <w:pPr>
              <w:ind w:right="62"/>
              <w:jc w:val="right"/>
              <w:rPr>
                <w:sz w:val="20"/>
                <w:szCs w:val="20"/>
              </w:rPr>
            </w:pPr>
            <w:r>
              <w:rPr>
                <w:sz w:val="20"/>
                <w:szCs w:val="20"/>
              </w:rPr>
              <w:t>20 %</w:t>
            </w:r>
          </w:p>
        </w:tc>
      </w:tr>
      <w:tr w:rsidR="008D50B2" w:rsidRPr="0049352F" w14:paraId="094A3C09" w14:textId="20CA52DD" w:rsidTr="007A4F43">
        <w:tc>
          <w:tcPr>
            <w:tcW w:w="1589" w:type="dxa"/>
          </w:tcPr>
          <w:p w14:paraId="54A4A0BA" w14:textId="405F3CF8" w:rsidR="008D50B2" w:rsidRPr="0049352F" w:rsidRDefault="008D50B2" w:rsidP="008D50B2">
            <w:pPr>
              <w:jc w:val="center"/>
              <w:rPr>
                <w:sz w:val="20"/>
                <w:szCs w:val="20"/>
              </w:rPr>
            </w:pPr>
            <w:r w:rsidRPr="0049352F">
              <w:rPr>
                <w:sz w:val="20"/>
                <w:szCs w:val="20"/>
              </w:rPr>
              <w:t>CZ07</w:t>
            </w:r>
          </w:p>
        </w:tc>
        <w:tc>
          <w:tcPr>
            <w:tcW w:w="1984" w:type="dxa"/>
          </w:tcPr>
          <w:p w14:paraId="4CCF6E32" w14:textId="0758F45D" w:rsidR="008D50B2" w:rsidRDefault="008D50B2" w:rsidP="00F713CF">
            <w:pPr>
              <w:ind w:right="62"/>
              <w:jc w:val="right"/>
              <w:rPr>
                <w:sz w:val="20"/>
                <w:szCs w:val="20"/>
              </w:rPr>
            </w:pPr>
            <w:r>
              <w:rPr>
                <w:sz w:val="20"/>
                <w:szCs w:val="20"/>
              </w:rPr>
              <w:t>13</w:t>
            </w:r>
          </w:p>
        </w:tc>
        <w:tc>
          <w:tcPr>
            <w:tcW w:w="2376" w:type="dxa"/>
          </w:tcPr>
          <w:p w14:paraId="4AB6D211" w14:textId="34D40FB8" w:rsidR="008D50B2" w:rsidRPr="0049352F" w:rsidRDefault="008D50B2" w:rsidP="00F713CF">
            <w:pPr>
              <w:ind w:right="62"/>
              <w:jc w:val="right"/>
              <w:rPr>
                <w:sz w:val="20"/>
                <w:szCs w:val="20"/>
              </w:rPr>
            </w:pPr>
            <w:r w:rsidRPr="0049352F">
              <w:rPr>
                <w:sz w:val="20"/>
                <w:szCs w:val="20"/>
              </w:rPr>
              <w:t>2</w:t>
            </w:r>
          </w:p>
        </w:tc>
        <w:tc>
          <w:tcPr>
            <w:tcW w:w="3118" w:type="dxa"/>
          </w:tcPr>
          <w:p w14:paraId="0CD9A2F5" w14:textId="0E9A75A0" w:rsidR="008D50B2" w:rsidRDefault="008D50B2" w:rsidP="00F713CF">
            <w:pPr>
              <w:ind w:right="62"/>
              <w:jc w:val="right"/>
              <w:rPr>
                <w:sz w:val="20"/>
                <w:szCs w:val="20"/>
              </w:rPr>
            </w:pPr>
            <w:r>
              <w:rPr>
                <w:sz w:val="20"/>
                <w:szCs w:val="20"/>
              </w:rPr>
              <w:t>15 %</w:t>
            </w:r>
          </w:p>
        </w:tc>
      </w:tr>
      <w:tr w:rsidR="008D50B2" w:rsidRPr="0049352F" w14:paraId="508A6205" w14:textId="5A74B1DF" w:rsidTr="007A4F43">
        <w:tc>
          <w:tcPr>
            <w:tcW w:w="1589" w:type="dxa"/>
          </w:tcPr>
          <w:p w14:paraId="2DFBEAC6" w14:textId="3BC7786F" w:rsidR="008D50B2" w:rsidRPr="0049352F" w:rsidRDefault="008D50B2" w:rsidP="008D50B2">
            <w:pPr>
              <w:jc w:val="center"/>
              <w:rPr>
                <w:sz w:val="20"/>
                <w:szCs w:val="20"/>
              </w:rPr>
            </w:pPr>
            <w:r w:rsidRPr="0049352F">
              <w:rPr>
                <w:sz w:val="20"/>
                <w:szCs w:val="20"/>
              </w:rPr>
              <w:t>CZ02</w:t>
            </w:r>
          </w:p>
        </w:tc>
        <w:tc>
          <w:tcPr>
            <w:tcW w:w="1984" w:type="dxa"/>
          </w:tcPr>
          <w:p w14:paraId="2487B71E" w14:textId="7AA34CA7" w:rsidR="008D50B2" w:rsidRDefault="008D50B2" w:rsidP="00F713CF">
            <w:pPr>
              <w:ind w:right="62"/>
              <w:jc w:val="right"/>
              <w:rPr>
                <w:sz w:val="20"/>
                <w:szCs w:val="20"/>
              </w:rPr>
            </w:pPr>
            <w:r>
              <w:rPr>
                <w:sz w:val="20"/>
                <w:szCs w:val="20"/>
              </w:rPr>
              <w:t>21</w:t>
            </w:r>
          </w:p>
        </w:tc>
        <w:tc>
          <w:tcPr>
            <w:tcW w:w="2376" w:type="dxa"/>
          </w:tcPr>
          <w:p w14:paraId="346A88D2" w14:textId="167FA0CB" w:rsidR="008D50B2" w:rsidRPr="0049352F" w:rsidRDefault="008D50B2" w:rsidP="00F713CF">
            <w:pPr>
              <w:ind w:right="62"/>
              <w:jc w:val="right"/>
              <w:rPr>
                <w:sz w:val="20"/>
                <w:szCs w:val="20"/>
              </w:rPr>
            </w:pPr>
            <w:r w:rsidRPr="0049352F">
              <w:rPr>
                <w:sz w:val="20"/>
                <w:szCs w:val="20"/>
              </w:rPr>
              <w:t>3</w:t>
            </w:r>
          </w:p>
        </w:tc>
        <w:tc>
          <w:tcPr>
            <w:tcW w:w="3118" w:type="dxa"/>
          </w:tcPr>
          <w:p w14:paraId="49D8B152" w14:textId="6CD19A1D" w:rsidR="008D50B2" w:rsidRDefault="008D50B2" w:rsidP="00F713CF">
            <w:pPr>
              <w:ind w:right="62"/>
              <w:jc w:val="right"/>
              <w:rPr>
                <w:sz w:val="20"/>
                <w:szCs w:val="20"/>
              </w:rPr>
            </w:pPr>
            <w:r>
              <w:rPr>
                <w:sz w:val="20"/>
                <w:szCs w:val="20"/>
              </w:rPr>
              <w:t>14 %</w:t>
            </w:r>
          </w:p>
        </w:tc>
      </w:tr>
      <w:tr w:rsidR="008D50B2" w:rsidRPr="0049352F" w14:paraId="04A23CD8" w14:textId="513BFA05" w:rsidTr="007A4F43">
        <w:tc>
          <w:tcPr>
            <w:tcW w:w="1589" w:type="dxa"/>
          </w:tcPr>
          <w:p w14:paraId="5C48D390" w14:textId="6CAAC935" w:rsidR="008D50B2" w:rsidRPr="0049352F" w:rsidRDefault="008D50B2" w:rsidP="008D50B2">
            <w:pPr>
              <w:jc w:val="center"/>
              <w:rPr>
                <w:sz w:val="20"/>
                <w:szCs w:val="20"/>
              </w:rPr>
            </w:pPr>
            <w:r w:rsidRPr="0049352F">
              <w:rPr>
                <w:sz w:val="20"/>
                <w:szCs w:val="20"/>
              </w:rPr>
              <w:t>CZ03</w:t>
            </w:r>
          </w:p>
        </w:tc>
        <w:tc>
          <w:tcPr>
            <w:tcW w:w="1984" w:type="dxa"/>
          </w:tcPr>
          <w:p w14:paraId="681886CF" w14:textId="65C09DB3" w:rsidR="008D50B2" w:rsidRDefault="008D50B2" w:rsidP="00F713CF">
            <w:pPr>
              <w:ind w:right="62"/>
              <w:jc w:val="right"/>
              <w:rPr>
                <w:sz w:val="20"/>
                <w:szCs w:val="20"/>
              </w:rPr>
            </w:pPr>
            <w:r>
              <w:rPr>
                <w:sz w:val="20"/>
                <w:szCs w:val="20"/>
              </w:rPr>
              <w:t>39</w:t>
            </w:r>
          </w:p>
        </w:tc>
        <w:tc>
          <w:tcPr>
            <w:tcW w:w="2376" w:type="dxa"/>
          </w:tcPr>
          <w:p w14:paraId="70E9209D" w14:textId="79300007" w:rsidR="008D50B2" w:rsidRPr="0049352F" w:rsidRDefault="008D50B2" w:rsidP="00F713CF">
            <w:pPr>
              <w:ind w:right="62"/>
              <w:jc w:val="right"/>
              <w:rPr>
                <w:sz w:val="20"/>
                <w:szCs w:val="20"/>
              </w:rPr>
            </w:pPr>
            <w:r w:rsidRPr="0049352F">
              <w:rPr>
                <w:sz w:val="20"/>
                <w:szCs w:val="20"/>
              </w:rPr>
              <w:t>2</w:t>
            </w:r>
          </w:p>
        </w:tc>
        <w:tc>
          <w:tcPr>
            <w:tcW w:w="3118" w:type="dxa"/>
          </w:tcPr>
          <w:p w14:paraId="04F36EA8" w14:textId="55FFFAE3" w:rsidR="008D50B2" w:rsidRDefault="008D50B2" w:rsidP="00F713CF">
            <w:pPr>
              <w:ind w:right="62"/>
              <w:jc w:val="right"/>
              <w:rPr>
                <w:sz w:val="20"/>
                <w:szCs w:val="20"/>
              </w:rPr>
            </w:pPr>
            <w:r>
              <w:rPr>
                <w:sz w:val="20"/>
                <w:szCs w:val="20"/>
              </w:rPr>
              <w:t>5 %</w:t>
            </w:r>
          </w:p>
        </w:tc>
      </w:tr>
      <w:tr w:rsidR="008D50B2" w:rsidRPr="0049352F" w14:paraId="36DBD055" w14:textId="3A6E1DFE" w:rsidTr="007A4F43">
        <w:tc>
          <w:tcPr>
            <w:tcW w:w="1589" w:type="dxa"/>
          </w:tcPr>
          <w:p w14:paraId="19928071" w14:textId="21943935" w:rsidR="008D50B2" w:rsidRPr="0049352F" w:rsidRDefault="008D50B2" w:rsidP="008D50B2">
            <w:pPr>
              <w:jc w:val="center"/>
              <w:rPr>
                <w:sz w:val="20"/>
                <w:szCs w:val="20"/>
              </w:rPr>
            </w:pPr>
            <w:r w:rsidRPr="0049352F">
              <w:rPr>
                <w:sz w:val="20"/>
                <w:szCs w:val="20"/>
              </w:rPr>
              <w:t>CZ15</w:t>
            </w:r>
          </w:p>
        </w:tc>
        <w:tc>
          <w:tcPr>
            <w:tcW w:w="1984" w:type="dxa"/>
          </w:tcPr>
          <w:p w14:paraId="282DF563" w14:textId="296EBFC2" w:rsidR="008D50B2" w:rsidRDefault="008D50B2" w:rsidP="00F713CF">
            <w:pPr>
              <w:ind w:right="62"/>
              <w:jc w:val="right"/>
              <w:rPr>
                <w:sz w:val="20"/>
                <w:szCs w:val="20"/>
              </w:rPr>
            </w:pPr>
            <w:r>
              <w:rPr>
                <w:sz w:val="20"/>
                <w:szCs w:val="20"/>
              </w:rPr>
              <w:t>20</w:t>
            </w:r>
          </w:p>
        </w:tc>
        <w:tc>
          <w:tcPr>
            <w:tcW w:w="2376" w:type="dxa"/>
          </w:tcPr>
          <w:p w14:paraId="2456314A" w14:textId="32A6A8DE" w:rsidR="008D50B2" w:rsidRPr="0049352F" w:rsidRDefault="008D50B2" w:rsidP="00F713CF">
            <w:pPr>
              <w:ind w:right="62"/>
              <w:jc w:val="right"/>
              <w:rPr>
                <w:sz w:val="20"/>
                <w:szCs w:val="20"/>
              </w:rPr>
            </w:pPr>
            <w:r w:rsidRPr="0049352F">
              <w:rPr>
                <w:sz w:val="20"/>
                <w:szCs w:val="20"/>
              </w:rPr>
              <w:t>1</w:t>
            </w:r>
          </w:p>
        </w:tc>
        <w:tc>
          <w:tcPr>
            <w:tcW w:w="3118" w:type="dxa"/>
          </w:tcPr>
          <w:p w14:paraId="2D81719E" w14:textId="2BF8794D" w:rsidR="008D50B2" w:rsidRDefault="008D50B2" w:rsidP="00F713CF">
            <w:pPr>
              <w:ind w:right="62"/>
              <w:jc w:val="right"/>
              <w:rPr>
                <w:sz w:val="20"/>
                <w:szCs w:val="20"/>
              </w:rPr>
            </w:pPr>
            <w:r>
              <w:rPr>
                <w:sz w:val="20"/>
                <w:szCs w:val="20"/>
              </w:rPr>
              <w:t>5 %</w:t>
            </w:r>
          </w:p>
        </w:tc>
      </w:tr>
    </w:tbl>
    <w:p w14:paraId="50825C36" w14:textId="7DFCA844" w:rsidR="006F30DF" w:rsidRPr="00BC5001" w:rsidRDefault="00B718D3" w:rsidP="00F713CF">
      <w:pPr>
        <w:rPr>
          <w:sz w:val="20"/>
          <w:szCs w:val="20"/>
        </w:rPr>
      </w:pPr>
      <w:r w:rsidRPr="00BC5001">
        <w:rPr>
          <w:b/>
          <w:sz w:val="20"/>
          <w:szCs w:val="20"/>
        </w:rPr>
        <w:t>Zdroj:</w:t>
      </w:r>
      <w:r w:rsidRPr="00BC5001">
        <w:rPr>
          <w:sz w:val="20"/>
          <w:szCs w:val="20"/>
        </w:rPr>
        <w:t xml:space="preserve"> </w:t>
      </w:r>
      <w:r w:rsidR="00F713CF">
        <w:rPr>
          <w:sz w:val="20"/>
          <w:szCs w:val="20"/>
        </w:rPr>
        <w:t>v</w:t>
      </w:r>
      <w:r w:rsidRPr="00BC5001">
        <w:rPr>
          <w:sz w:val="20"/>
          <w:szCs w:val="20"/>
        </w:rPr>
        <w:t>ýročn</w:t>
      </w:r>
      <w:r w:rsidR="00106E63" w:rsidRPr="00BC5001">
        <w:rPr>
          <w:sz w:val="20"/>
          <w:szCs w:val="20"/>
        </w:rPr>
        <w:t>í</w:t>
      </w:r>
      <w:r w:rsidRPr="00BC5001">
        <w:rPr>
          <w:sz w:val="20"/>
          <w:szCs w:val="20"/>
        </w:rPr>
        <w:t xml:space="preserve"> zprávy programů</w:t>
      </w:r>
      <w:r w:rsidR="00BC5001">
        <w:rPr>
          <w:sz w:val="20"/>
          <w:szCs w:val="20"/>
        </w:rPr>
        <w:t>.</w:t>
      </w:r>
    </w:p>
    <w:p w14:paraId="5EA76421" w14:textId="77777777" w:rsidR="006F30DF" w:rsidRDefault="006F30DF" w:rsidP="0063341B">
      <w:pPr>
        <w:jc w:val="both"/>
      </w:pPr>
    </w:p>
    <w:p w14:paraId="0CC9881A" w14:textId="2BD4FFDD" w:rsidR="0063341B" w:rsidRDefault="0063341B" w:rsidP="0063341B">
      <w:pPr>
        <w:jc w:val="both"/>
      </w:pPr>
      <w:r>
        <w:t>Naopak u jiných monitorovacích indikátorů byly jejich cílové hodnoty značně poddimenzovány, takže je skutečně dosažené hodnoty překročily až o desítky tisíc</w:t>
      </w:r>
      <w:r w:rsidR="00877C38">
        <w:t xml:space="preserve"> procent</w:t>
      </w:r>
      <w:r>
        <w:t xml:space="preserve"> </w:t>
      </w:r>
      <w:r w:rsidRPr="008D50B2">
        <w:t>(viz</w:t>
      </w:r>
      <w:r w:rsidR="00E809D2">
        <w:t> </w:t>
      </w:r>
      <w:r w:rsidRPr="008D50B2">
        <w:t>příloha</w:t>
      </w:r>
      <w:r w:rsidR="0096554F" w:rsidRPr="008D50B2">
        <w:t xml:space="preserve"> č. </w:t>
      </w:r>
      <w:r w:rsidR="008504CA" w:rsidRPr="008D50B2">
        <w:t>4</w:t>
      </w:r>
      <w:r w:rsidRPr="008D50B2">
        <w:t>). V pro</w:t>
      </w:r>
      <w:r w:rsidRPr="005A0540">
        <w:t xml:space="preserve">gramové dokumentaci ani v interních prováděcích předpisech nebyly </w:t>
      </w:r>
      <w:r w:rsidR="00FC4428">
        <w:t>uvedeny</w:t>
      </w:r>
      <w:r w:rsidRPr="005A0540">
        <w:t xml:space="preserve"> žádné další vysvětlivky ani návody umožňující jednoznačně stanovit, jaké parametry by měly mít jednotky vstupující do hodnot těchto indikátorů</w:t>
      </w:r>
      <w:r w:rsidR="00F71132">
        <w:t>.</w:t>
      </w:r>
      <w:r w:rsidR="00F71132" w:rsidDel="00F71132">
        <w:t xml:space="preserve"> </w:t>
      </w:r>
      <w:r w:rsidR="00DA40DC">
        <w:t xml:space="preserve">Takto nastavené monitorovací indikátory </w:t>
      </w:r>
      <w:r w:rsidR="00732AD5">
        <w:t xml:space="preserve">mají velmi </w:t>
      </w:r>
      <w:r w:rsidR="007A4F43">
        <w:t xml:space="preserve">omezenou </w:t>
      </w:r>
      <w:r w:rsidR="00732AD5">
        <w:t>vypovídací schopnost směrem k prokazování efektivnosti programu.</w:t>
      </w:r>
    </w:p>
    <w:p w14:paraId="5AD4657D" w14:textId="0458ABF4" w:rsidR="00EF7931" w:rsidRDefault="00EF7931" w:rsidP="0063341B">
      <w:pPr>
        <w:jc w:val="both"/>
      </w:pPr>
    </w:p>
    <w:p w14:paraId="57F71BB8" w14:textId="1C35C276" w:rsidR="00EF7931" w:rsidRDefault="00EF7931" w:rsidP="00EF7931">
      <w:pPr>
        <w:jc w:val="both"/>
      </w:pPr>
      <w:r>
        <w:lastRenderedPageBreak/>
        <w:t>Čerpání finančních mechanismů k 31. 12. 2017 činilo více než 112 mil. €, což představovalo více než 90 % alokace. Tato částka se může dále zvýšit o výdaje programu CZ01</w:t>
      </w:r>
      <w:r w:rsidR="003F3E99">
        <w:t>,</w:t>
      </w:r>
      <w:r>
        <w:t xml:space="preserve"> u kterého je konečným datem způsobilosti datum 31. 8. 2018. Maximálně tak může čerpání dosáhnout 91,3 %</w:t>
      </w:r>
      <w:r>
        <w:rPr>
          <w:rStyle w:val="Znakapoznpodarou"/>
        </w:rPr>
        <w:footnoteReference w:id="23"/>
      </w:r>
      <w:r>
        <w:t xml:space="preserve">. </w:t>
      </w:r>
      <w:r w:rsidR="00986078">
        <w:t>Přehled č</w:t>
      </w:r>
      <w:r>
        <w:t xml:space="preserve">erpání </w:t>
      </w:r>
      <w:r w:rsidR="000F744A">
        <w:t xml:space="preserve">alokace </w:t>
      </w:r>
      <w:r>
        <w:t>jednotlivých programů obsahuje následující graf</w:t>
      </w:r>
      <w:r w:rsidR="000D6413">
        <w:t xml:space="preserve"> (specifikace programů je obsažena v příloze č. 1)</w:t>
      </w:r>
      <w:r>
        <w:t>.</w:t>
      </w:r>
    </w:p>
    <w:p w14:paraId="3DEF4F3D" w14:textId="77777777" w:rsidR="00EF7931" w:rsidRDefault="00EF7931" w:rsidP="00EF7931">
      <w:pPr>
        <w:jc w:val="both"/>
      </w:pPr>
    </w:p>
    <w:p w14:paraId="670859E6" w14:textId="50CE3F21" w:rsidR="00653B6C" w:rsidRPr="00453D48" w:rsidRDefault="00653B6C" w:rsidP="005B1400">
      <w:pPr>
        <w:pStyle w:val="Titulek"/>
        <w:keepNext/>
        <w:tabs>
          <w:tab w:val="right" w:pos="9072"/>
        </w:tabs>
        <w:spacing w:after="60"/>
        <w:jc w:val="both"/>
        <w:rPr>
          <w:rFonts w:asciiTheme="minorHAnsi" w:hAnsiTheme="minorHAnsi" w:cstheme="minorHAnsi"/>
          <w:b/>
          <w:i w:val="0"/>
          <w:color w:val="auto"/>
          <w:sz w:val="24"/>
        </w:rPr>
      </w:pPr>
      <w:r w:rsidRPr="00453D48">
        <w:rPr>
          <w:rFonts w:asciiTheme="minorHAnsi" w:hAnsiTheme="minorHAnsi" w:cstheme="minorHAnsi"/>
          <w:b/>
          <w:i w:val="0"/>
          <w:color w:val="auto"/>
          <w:sz w:val="24"/>
        </w:rPr>
        <w:t xml:space="preserve">Graf č. </w:t>
      </w:r>
      <w:r w:rsidRPr="00453D48">
        <w:rPr>
          <w:rFonts w:asciiTheme="minorHAnsi" w:hAnsiTheme="minorHAnsi" w:cstheme="minorHAnsi"/>
          <w:b/>
          <w:i w:val="0"/>
          <w:color w:val="auto"/>
          <w:sz w:val="24"/>
        </w:rPr>
        <w:fldChar w:fldCharType="begin"/>
      </w:r>
      <w:r w:rsidRPr="00453D48">
        <w:rPr>
          <w:rFonts w:asciiTheme="minorHAnsi" w:hAnsiTheme="minorHAnsi" w:cstheme="minorHAnsi"/>
          <w:b/>
          <w:i w:val="0"/>
          <w:color w:val="auto"/>
          <w:sz w:val="24"/>
        </w:rPr>
        <w:instrText xml:space="preserve"> SEQ Graf_č. \* ARABIC </w:instrText>
      </w:r>
      <w:r w:rsidRPr="00453D48">
        <w:rPr>
          <w:rFonts w:asciiTheme="minorHAnsi" w:hAnsiTheme="minorHAnsi" w:cstheme="minorHAnsi"/>
          <w:b/>
          <w:i w:val="0"/>
          <w:color w:val="auto"/>
          <w:sz w:val="24"/>
        </w:rPr>
        <w:fldChar w:fldCharType="separate"/>
      </w:r>
      <w:r w:rsidR="00323B98">
        <w:rPr>
          <w:rFonts w:asciiTheme="minorHAnsi" w:hAnsiTheme="minorHAnsi" w:cstheme="minorHAnsi"/>
          <w:b/>
          <w:i w:val="0"/>
          <w:noProof/>
          <w:color w:val="auto"/>
          <w:sz w:val="24"/>
        </w:rPr>
        <w:t>3</w:t>
      </w:r>
      <w:r w:rsidRPr="00453D48">
        <w:rPr>
          <w:rFonts w:asciiTheme="minorHAnsi" w:hAnsiTheme="minorHAnsi" w:cstheme="minorHAnsi"/>
          <w:b/>
          <w:i w:val="0"/>
          <w:color w:val="auto"/>
          <w:sz w:val="24"/>
        </w:rPr>
        <w:fldChar w:fldCharType="end"/>
      </w:r>
      <w:r w:rsidR="00986078">
        <w:rPr>
          <w:rFonts w:asciiTheme="minorHAnsi" w:hAnsiTheme="minorHAnsi" w:cstheme="minorHAnsi"/>
          <w:b/>
          <w:i w:val="0"/>
          <w:color w:val="auto"/>
          <w:sz w:val="24"/>
        </w:rPr>
        <w:t>:</w:t>
      </w:r>
      <w:r w:rsidRPr="00453D48">
        <w:rPr>
          <w:rFonts w:asciiTheme="minorHAnsi" w:hAnsiTheme="minorHAnsi" w:cstheme="minorHAnsi"/>
          <w:b/>
          <w:i w:val="0"/>
          <w:color w:val="auto"/>
          <w:sz w:val="24"/>
        </w:rPr>
        <w:t xml:space="preserve"> Čerpání alokace programů </w:t>
      </w:r>
      <w:r w:rsidR="00D733FA" w:rsidRPr="00453D48">
        <w:rPr>
          <w:rFonts w:asciiTheme="minorHAnsi" w:hAnsiTheme="minorHAnsi" w:cstheme="minorHAnsi"/>
          <w:b/>
          <w:i w:val="0"/>
          <w:color w:val="auto"/>
          <w:sz w:val="24"/>
        </w:rPr>
        <w:t>ke dni 31. 12. 2017</w:t>
      </w:r>
      <w:r w:rsidR="00986078">
        <w:rPr>
          <w:rFonts w:asciiTheme="minorHAnsi" w:hAnsiTheme="minorHAnsi" w:cstheme="minorHAnsi"/>
          <w:b/>
          <w:i w:val="0"/>
          <w:color w:val="auto"/>
          <w:sz w:val="24"/>
        </w:rPr>
        <w:t xml:space="preserve"> </w:t>
      </w:r>
      <w:r w:rsidR="00986078">
        <w:rPr>
          <w:rFonts w:asciiTheme="minorHAnsi" w:hAnsiTheme="minorHAnsi" w:cstheme="minorHAnsi"/>
          <w:b/>
          <w:i w:val="0"/>
          <w:color w:val="auto"/>
          <w:sz w:val="24"/>
        </w:rPr>
        <w:tab/>
      </w:r>
      <w:r w:rsidR="00986078" w:rsidRPr="006402B3">
        <w:rPr>
          <w:rFonts w:asciiTheme="minorHAnsi" w:hAnsiTheme="minorHAnsi" w:cstheme="minorHAnsi"/>
          <w:b/>
          <w:i w:val="0"/>
          <w:color w:val="auto"/>
          <w:sz w:val="24"/>
        </w:rPr>
        <w:t>(v %)</w:t>
      </w:r>
    </w:p>
    <w:p w14:paraId="20BFB87F" w14:textId="1B3B03AF" w:rsidR="00EF7931" w:rsidRDefault="00490452" w:rsidP="00EF7931">
      <w:pPr>
        <w:jc w:val="both"/>
      </w:pPr>
      <w:r>
        <w:rPr>
          <w:noProof/>
        </w:rPr>
        <w:drawing>
          <wp:inline distT="0" distB="0" distL="0" distR="0" wp14:anchorId="0FC26E4D" wp14:editId="3AE26BB1">
            <wp:extent cx="5761355" cy="2981739"/>
            <wp:effectExtent l="0" t="0" r="0" b="0"/>
            <wp:docPr id="5"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61591BC" w14:textId="073634B5" w:rsidR="00EF7931" w:rsidRPr="00BA0ABE" w:rsidRDefault="00EF7931" w:rsidP="00EF7931">
      <w:pPr>
        <w:jc w:val="both"/>
        <w:rPr>
          <w:sz w:val="20"/>
          <w:szCs w:val="20"/>
        </w:rPr>
      </w:pPr>
      <w:r w:rsidRPr="00BA0ABE">
        <w:rPr>
          <w:b/>
          <w:sz w:val="20"/>
          <w:szCs w:val="20"/>
        </w:rPr>
        <w:t>Zdroj:</w:t>
      </w:r>
      <w:r w:rsidRPr="00BA0ABE">
        <w:rPr>
          <w:sz w:val="20"/>
          <w:szCs w:val="20"/>
        </w:rPr>
        <w:t xml:space="preserve"> MF </w:t>
      </w:r>
      <w:r w:rsidR="00986078">
        <w:rPr>
          <w:sz w:val="20"/>
          <w:szCs w:val="20"/>
        </w:rPr>
        <w:t>(</w:t>
      </w:r>
      <w:r w:rsidRPr="00BA0ABE">
        <w:rPr>
          <w:sz w:val="20"/>
          <w:szCs w:val="20"/>
        </w:rPr>
        <w:t>certifikační orgán</w:t>
      </w:r>
      <w:r w:rsidR="00986078">
        <w:rPr>
          <w:sz w:val="20"/>
          <w:szCs w:val="20"/>
        </w:rPr>
        <w:t>)</w:t>
      </w:r>
      <w:r w:rsidR="00BA0ABE">
        <w:rPr>
          <w:sz w:val="20"/>
          <w:szCs w:val="20"/>
        </w:rPr>
        <w:t>.</w:t>
      </w:r>
    </w:p>
    <w:p w14:paraId="3484E2F1" w14:textId="2222D634" w:rsidR="00EF7931" w:rsidRPr="00BA0ABE" w:rsidRDefault="00EF7931" w:rsidP="00E809D2">
      <w:pPr>
        <w:ind w:left="284" w:hanging="284"/>
        <w:jc w:val="both"/>
        <w:rPr>
          <w:sz w:val="20"/>
          <w:szCs w:val="20"/>
        </w:rPr>
      </w:pPr>
      <w:r w:rsidRPr="00BA0ABE">
        <w:rPr>
          <w:sz w:val="20"/>
          <w:szCs w:val="20"/>
        </w:rPr>
        <w:t xml:space="preserve">* </w:t>
      </w:r>
      <w:r w:rsidR="00E809D2">
        <w:rPr>
          <w:sz w:val="20"/>
          <w:szCs w:val="20"/>
        </w:rPr>
        <w:tab/>
      </w:r>
      <w:r w:rsidR="00D733FA" w:rsidRPr="00BA0ABE">
        <w:rPr>
          <w:sz w:val="20"/>
          <w:szCs w:val="20"/>
        </w:rPr>
        <w:t>U programů CZ07 a CZ09 bylo součástí jejich alokace i s</w:t>
      </w:r>
      <w:r w:rsidRPr="00BA0ABE">
        <w:rPr>
          <w:sz w:val="20"/>
          <w:szCs w:val="20"/>
        </w:rPr>
        <w:t>polufinancování ze státního rozpočtu</w:t>
      </w:r>
      <w:r w:rsidR="00D733FA" w:rsidRPr="00BA0ABE">
        <w:rPr>
          <w:sz w:val="20"/>
          <w:szCs w:val="20"/>
        </w:rPr>
        <w:t xml:space="preserve">. </w:t>
      </w:r>
    </w:p>
    <w:p w14:paraId="690304F3" w14:textId="77777777" w:rsidR="00EF7931" w:rsidRDefault="00EF7931" w:rsidP="00EF7931">
      <w:pPr>
        <w:jc w:val="both"/>
      </w:pPr>
    </w:p>
    <w:p w14:paraId="6206C037" w14:textId="573B7F3E" w:rsidR="004F3805" w:rsidRDefault="004F3805" w:rsidP="004F3805">
      <w:pPr>
        <w:pStyle w:val="Nadpis2"/>
        <w:numPr>
          <w:ilvl w:val="0"/>
          <w:numId w:val="44"/>
        </w:numPr>
        <w:jc w:val="both"/>
      </w:pPr>
      <w:r>
        <w:t>Kontrola legality</w:t>
      </w:r>
      <w:r w:rsidR="00681AC9">
        <w:t xml:space="preserve"> </w:t>
      </w:r>
    </w:p>
    <w:p w14:paraId="208D4F02" w14:textId="5EA8A352" w:rsidR="004714EF" w:rsidRDefault="004714EF" w:rsidP="00FE1045">
      <w:pPr>
        <w:jc w:val="both"/>
      </w:pPr>
      <w:r>
        <w:t xml:space="preserve">NKÚ ověřoval, zda byly činnosti </w:t>
      </w:r>
      <w:r w:rsidR="00170C00">
        <w:t>spojené s implementací finančních mechanismů v ČR v souladu s právními předpisy a dalšími stanovenými podmínkami.</w:t>
      </w:r>
    </w:p>
    <w:p w14:paraId="072AC86B" w14:textId="77777777" w:rsidR="004714EF" w:rsidRPr="004714EF" w:rsidRDefault="004714EF" w:rsidP="00FE1045"/>
    <w:p w14:paraId="1F7BD998" w14:textId="6450ACE8" w:rsidR="00D11BE2" w:rsidRDefault="00D11BE2" w:rsidP="00FE1045">
      <w:pPr>
        <w:pStyle w:val="Nadpis3"/>
        <w:numPr>
          <w:ilvl w:val="0"/>
          <w:numId w:val="0"/>
        </w:numPr>
        <w:ind w:left="426"/>
      </w:pPr>
      <w:r>
        <w:t>Kontrola MF</w:t>
      </w:r>
      <w:r w:rsidRPr="00D11BE2">
        <w:t xml:space="preserve"> jak</w:t>
      </w:r>
      <w:r>
        <w:t>o</w:t>
      </w:r>
      <w:r w:rsidRPr="00D11BE2">
        <w:t xml:space="preserve"> </w:t>
      </w:r>
      <w:r w:rsidR="005624A9">
        <w:t>n</w:t>
      </w:r>
      <w:r w:rsidRPr="00D11BE2">
        <w:t>árodní</w:t>
      </w:r>
      <w:r>
        <w:t>ho</w:t>
      </w:r>
      <w:r w:rsidRPr="00D11BE2">
        <w:t xml:space="preserve"> kontaktní</w:t>
      </w:r>
      <w:r>
        <w:t>ho</w:t>
      </w:r>
      <w:r w:rsidRPr="00D11BE2">
        <w:t xml:space="preserve"> míst</w:t>
      </w:r>
      <w:r>
        <w:t>a</w:t>
      </w:r>
      <w:r w:rsidRPr="00D11BE2">
        <w:t xml:space="preserve">, </w:t>
      </w:r>
      <w:r w:rsidR="005624A9">
        <w:t>c</w:t>
      </w:r>
      <w:r w:rsidRPr="00D11BE2">
        <w:t>e</w:t>
      </w:r>
      <w:r>
        <w:t xml:space="preserve">rtifikačního orgánu a </w:t>
      </w:r>
      <w:r w:rsidR="005624A9">
        <w:t>a</w:t>
      </w:r>
      <w:r>
        <w:t>uditního orgánu</w:t>
      </w:r>
    </w:p>
    <w:p w14:paraId="0B68638B" w14:textId="77777777" w:rsidR="005264E5" w:rsidRDefault="005264E5" w:rsidP="0099191B">
      <w:pPr>
        <w:jc w:val="both"/>
      </w:pPr>
    </w:p>
    <w:p w14:paraId="3C5779B9" w14:textId="5B094811" w:rsidR="007241A1" w:rsidRDefault="007241A1" w:rsidP="0099191B">
      <w:pPr>
        <w:jc w:val="both"/>
      </w:pPr>
      <w:r>
        <w:t>Méně významné nedostatky</w:t>
      </w:r>
      <w:r w:rsidR="003465DC">
        <w:t>, které spočívaly v nedostatečném oddělení funkcí,</w:t>
      </w:r>
      <w:r>
        <w:t xml:space="preserve"> identifikoval NKÚ v nastavení organizace činnos</w:t>
      </w:r>
      <w:r w:rsidR="006A0FA0">
        <w:t>tí na MF</w:t>
      </w:r>
      <w:r w:rsidR="00C60B77">
        <w:t>.</w:t>
      </w:r>
      <w:r w:rsidR="006A0FA0">
        <w:t xml:space="preserve"> </w:t>
      </w:r>
      <w:r w:rsidR="00B6405B" w:rsidRPr="00B6405B">
        <w:t>Nařízení o provádění Fina</w:t>
      </w:r>
      <w:r w:rsidR="00BA0ABE">
        <w:t>nčního mechanismu EHP 2009–</w:t>
      </w:r>
      <w:r w:rsidR="00B6405B">
        <w:t xml:space="preserve">2014 a </w:t>
      </w:r>
      <w:r w:rsidR="00787808">
        <w:t>n</w:t>
      </w:r>
      <w:r w:rsidR="00B6405B" w:rsidRPr="00B6405B">
        <w:t>ařízení o provádění Finančního mechanismu Nors</w:t>
      </w:r>
      <w:r w:rsidR="00BA0ABE">
        <w:t>ka 2009–</w:t>
      </w:r>
      <w:r w:rsidR="00B6405B" w:rsidRPr="00B6405B">
        <w:t>2014</w:t>
      </w:r>
      <w:r w:rsidR="00AB0106">
        <w:t xml:space="preserve"> požaduj</w:t>
      </w:r>
      <w:r w:rsidR="00BA5CF5">
        <w:t>í</w:t>
      </w:r>
      <w:r w:rsidR="00B6405B" w:rsidRPr="00B6405B">
        <w:rPr>
          <w:rStyle w:val="Znakapoznpodarou"/>
        </w:rPr>
        <w:t xml:space="preserve"> </w:t>
      </w:r>
      <w:r w:rsidR="00B6405B">
        <w:rPr>
          <w:rStyle w:val="Znakapoznpodarou"/>
        </w:rPr>
        <w:footnoteReference w:id="24"/>
      </w:r>
      <w:r w:rsidR="00AB0106">
        <w:t xml:space="preserve">, aby funkce </w:t>
      </w:r>
      <w:r w:rsidR="003116BA">
        <w:t xml:space="preserve">byly odděleny </w:t>
      </w:r>
      <w:r w:rsidR="00AB0106">
        <w:t xml:space="preserve">v rámci každého subjektu podílejícího se na řízení finančních mechanismů. </w:t>
      </w:r>
      <w:r w:rsidR="00C60B77">
        <w:t>Na</w:t>
      </w:r>
      <w:r w:rsidR="00AB0106">
        <w:t xml:space="preserve"> MF zajišťoval funkci </w:t>
      </w:r>
      <w:r w:rsidR="00787808">
        <w:t>n</w:t>
      </w:r>
      <w:r w:rsidR="00AB0106">
        <w:t>árodního kontaktního místa</w:t>
      </w:r>
      <w:r w:rsidR="006E16FB">
        <w:t xml:space="preserve"> a</w:t>
      </w:r>
      <w:r w:rsidR="00483201">
        <w:t xml:space="preserve"> </w:t>
      </w:r>
      <w:r w:rsidR="004F2951">
        <w:t>současně</w:t>
      </w:r>
      <w:r w:rsidR="00AB0106">
        <w:t xml:space="preserve"> roli zprostředkovatele části programů</w:t>
      </w:r>
      <w:r w:rsidR="00534420" w:rsidRPr="00534420">
        <w:t xml:space="preserve"> </w:t>
      </w:r>
      <w:r w:rsidR="00534420">
        <w:t>stejný odbor</w:t>
      </w:r>
      <w:r w:rsidR="006E16FB">
        <w:t>, to znamená, že s</w:t>
      </w:r>
      <w:r w:rsidR="00AB0106">
        <w:t xml:space="preserve">tejní vedoucí zaměstnanci odpovídali za plnění úkolů MF v obou rolích. </w:t>
      </w:r>
    </w:p>
    <w:p w14:paraId="1654CDF7" w14:textId="50639E98" w:rsidR="0093097B" w:rsidRDefault="0093097B" w:rsidP="0099191B">
      <w:pPr>
        <w:jc w:val="both"/>
      </w:pPr>
    </w:p>
    <w:p w14:paraId="2BA6641A" w14:textId="52C1D46A" w:rsidR="007241A1" w:rsidRDefault="007241A1" w:rsidP="0099191B">
      <w:pPr>
        <w:jc w:val="both"/>
      </w:pPr>
      <w:r>
        <w:t xml:space="preserve">Při kontrole útvarů MF zajišťujících úkoly certifikačního a auditního orgánu nezjistil NKÚ nedostatky. </w:t>
      </w:r>
      <w:r w:rsidR="00BA5CF5">
        <w:t xml:space="preserve">NKÚ souhlasí se závěry auditního orgánu, že </w:t>
      </w:r>
      <w:r>
        <w:t xml:space="preserve">certifikační orgán měl </w:t>
      </w:r>
      <w:r w:rsidR="0093097B">
        <w:t xml:space="preserve">na vzorku </w:t>
      </w:r>
      <w:r w:rsidR="0093097B">
        <w:lastRenderedPageBreak/>
        <w:t>projektů provádět ověření souladu výdajů s podmínkami finančních mechanismů</w:t>
      </w:r>
      <w:r w:rsidR="00BA5CF5">
        <w:t xml:space="preserve"> tak</w:t>
      </w:r>
      <w:r w:rsidR="0093097B">
        <w:t>, aby získa</w:t>
      </w:r>
      <w:r w:rsidR="00BA5CF5">
        <w:t>l</w:t>
      </w:r>
      <w:r w:rsidR="0093097B">
        <w:t xml:space="preserve"> přiměřenou jistotu, že výdaje</w:t>
      </w:r>
      <w:r w:rsidR="006E6629">
        <w:t xml:space="preserve"> jsou</w:t>
      </w:r>
      <w:r w:rsidR="0093097B">
        <w:t xml:space="preserve"> řádně vynakládány.</w:t>
      </w:r>
    </w:p>
    <w:p w14:paraId="5ABA5085" w14:textId="7CB2CAE6" w:rsidR="009D7A24" w:rsidRDefault="009D7A24" w:rsidP="0099191B">
      <w:pPr>
        <w:jc w:val="both"/>
      </w:pPr>
    </w:p>
    <w:p w14:paraId="41A4B7E3" w14:textId="44904367" w:rsidR="001B339C" w:rsidRDefault="009D7A24" w:rsidP="0099191B">
      <w:pPr>
        <w:jc w:val="both"/>
      </w:pPr>
      <w:r>
        <w:t>Část projektů finančních mechanismů musí plnit podmínky udržitelnosti</w:t>
      </w:r>
      <w:r w:rsidR="00264ED6">
        <w:rPr>
          <w:rStyle w:val="Znakapoznpodarou"/>
        </w:rPr>
        <w:footnoteReference w:id="25"/>
      </w:r>
      <w:r>
        <w:t xml:space="preserve">. </w:t>
      </w:r>
      <w:r w:rsidR="00E170FF">
        <w:t>MF vedlo přehled projektů programového ob</w:t>
      </w:r>
      <w:r w:rsidR="00A40206">
        <w:t>dobí finančních mechanismů 2004–</w:t>
      </w:r>
      <w:r w:rsidR="00E170FF">
        <w:t>2009, u kterých byla udržitelnost povinná. MF</w:t>
      </w:r>
      <w:r w:rsidR="00405F4F">
        <w:t xml:space="preserve"> ale nestanovilo postupy pro výkon kontrol udržitelnosti projektů</w:t>
      </w:r>
      <w:r w:rsidR="00787808">
        <w:t xml:space="preserve"> a</w:t>
      </w:r>
      <w:r w:rsidR="00C01923">
        <w:t> </w:t>
      </w:r>
      <w:r w:rsidR="00787808">
        <w:t>v rozporu s </w:t>
      </w:r>
      <w:r w:rsidR="006C45E0">
        <w:t>národní</w:t>
      </w:r>
      <w:r w:rsidR="00787808">
        <w:t>m</w:t>
      </w:r>
      <w:r w:rsidR="006C45E0">
        <w:t xml:space="preserve"> právní</w:t>
      </w:r>
      <w:r w:rsidR="00787808">
        <w:t>m</w:t>
      </w:r>
      <w:r w:rsidR="006C45E0">
        <w:t xml:space="preserve"> předpis</w:t>
      </w:r>
      <w:r w:rsidR="00787808">
        <w:t>em</w:t>
      </w:r>
      <w:r w:rsidR="00405F4F">
        <w:rPr>
          <w:rStyle w:val="Znakapoznpodarou"/>
        </w:rPr>
        <w:footnoteReference w:id="26"/>
      </w:r>
      <w:r w:rsidR="00405F4F">
        <w:t xml:space="preserve"> </w:t>
      </w:r>
      <w:r w:rsidR="00787808">
        <w:t xml:space="preserve">tyto kontroly ani </w:t>
      </w:r>
      <w:r w:rsidR="00405F4F">
        <w:t xml:space="preserve">neprovádělo. MF </w:t>
      </w:r>
      <w:r w:rsidR="00E170FF">
        <w:t xml:space="preserve">provedlo </w:t>
      </w:r>
      <w:r w:rsidR="00787808">
        <w:t xml:space="preserve">pouze </w:t>
      </w:r>
      <w:r w:rsidR="00E170FF">
        <w:t>několik ad</w:t>
      </w:r>
      <w:r w:rsidR="00787808">
        <w:t xml:space="preserve"> </w:t>
      </w:r>
      <w:r w:rsidR="00E170FF">
        <w:t>hoc ověření na místě</w:t>
      </w:r>
      <w:r w:rsidR="00364D2B">
        <w:t>,</w:t>
      </w:r>
      <w:r w:rsidR="006C45E0">
        <w:t xml:space="preserve"> a to na základě oznámení příjemců podpory o</w:t>
      </w:r>
      <w:r w:rsidR="00C01923">
        <w:t> </w:t>
      </w:r>
      <w:r w:rsidR="006C45E0">
        <w:t>plánovaných změnách projektů v době udržitelnosti</w:t>
      </w:r>
      <w:r w:rsidR="00E170FF">
        <w:t>.</w:t>
      </w:r>
    </w:p>
    <w:p w14:paraId="64A58C12" w14:textId="77777777" w:rsidR="001B339C" w:rsidRDefault="001B339C" w:rsidP="0099191B">
      <w:pPr>
        <w:jc w:val="both"/>
      </w:pPr>
    </w:p>
    <w:p w14:paraId="017C84CC" w14:textId="67D766E6" w:rsidR="00D11BE2" w:rsidRDefault="00D11BE2" w:rsidP="00FE1045">
      <w:pPr>
        <w:pStyle w:val="Nadpis3"/>
        <w:numPr>
          <w:ilvl w:val="0"/>
          <w:numId w:val="0"/>
        </w:numPr>
        <w:ind w:left="426"/>
      </w:pPr>
      <w:r>
        <w:t>Kontrola na vzorku programů</w:t>
      </w:r>
    </w:p>
    <w:p w14:paraId="266642CF" w14:textId="77777777" w:rsidR="0009641B" w:rsidRDefault="0009641B" w:rsidP="00277148">
      <w:pPr>
        <w:jc w:val="both"/>
      </w:pPr>
    </w:p>
    <w:p w14:paraId="37B2983A" w14:textId="6D769C22" w:rsidR="00873627" w:rsidRDefault="00615D13" w:rsidP="00277148">
      <w:pPr>
        <w:jc w:val="both"/>
      </w:pPr>
      <w:r>
        <w:t>NKÚ provedl kontrolu na vzorku šesti programů, jejichž zprostředkovateli byl</w:t>
      </w:r>
      <w:r w:rsidR="00C01923">
        <w:t>y</w:t>
      </w:r>
      <w:r>
        <w:t xml:space="preserve"> MF (programy CZ04, CZ06, CZ14 a CZ15), MŠMT (program CZ09) a NOSFP (program CZ12).</w:t>
      </w:r>
      <w:r w:rsidR="00277148">
        <w:t xml:space="preserve"> </w:t>
      </w:r>
      <w:r w:rsidR="00873627">
        <w:t xml:space="preserve">Při kontrole NKÚ zjistil </w:t>
      </w:r>
      <w:r w:rsidR="002A40E6">
        <w:t xml:space="preserve">zejména </w:t>
      </w:r>
      <w:r w:rsidR="00873627">
        <w:t>tyto skutečnosti:</w:t>
      </w:r>
    </w:p>
    <w:p w14:paraId="5C5630EF" w14:textId="77777777" w:rsidR="00873627" w:rsidRDefault="00873627" w:rsidP="00873627"/>
    <w:p w14:paraId="71A021B5" w14:textId="65475E58" w:rsidR="00873627" w:rsidRPr="002A40E6" w:rsidRDefault="002A40E6" w:rsidP="002A40E6">
      <w:pPr>
        <w:jc w:val="both"/>
        <w:rPr>
          <w:b/>
        </w:rPr>
      </w:pPr>
      <w:r w:rsidRPr="002A40E6">
        <w:rPr>
          <w:b/>
        </w:rPr>
        <w:t xml:space="preserve">Proces výběru projektů </w:t>
      </w:r>
    </w:p>
    <w:p w14:paraId="5C3095EA" w14:textId="77777777" w:rsidR="00873627" w:rsidRDefault="00873627" w:rsidP="00873627">
      <w:pPr>
        <w:pStyle w:val="Odstavecseseznamem"/>
        <w:ind w:left="426"/>
        <w:jc w:val="both"/>
      </w:pPr>
    </w:p>
    <w:p w14:paraId="7F0E25E6" w14:textId="7A50BCC2" w:rsidR="00FC65C0" w:rsidRDefault="00FC65C0" w:rsidP="00873627">
      <w:pPr>
        <w:jc w:val="both"/>
      </w:pPr>
      <w:r>
        <w:t>V</w:t>
      </w:r>
      <w:r w:rsidR="00873627">
        <w:t xml:space="preserve"> programu CZ06</w:t>
      </w:r>
      <w:r>
        <w:t xml:space="preserve"> v rámci otevřené výzvy k předkládání projektů</w:t>
      </w:r>
      <w:r w:rsidR="00873627">
        <w:t xml:space="preserve"> probíhalo hodnocení na základě nedostatečně zpracovaných postupů pro hodnocení kvality projektů</w:t>
      </w:r>
      <w:r w:rsidR="00C01923">
        <w:t>.</w:t>
      </w:r>
      <w:r w:rsidR="0065724A">
        <w:rPr>
          <w:rStyle w:val="Znakapoznpodarou"/>
        </w:rPr>
        <w:footnoteReference w:id="27"/>
      </w:r>
      <w:r w:rsidR="00873627">
        <w:t xml:space="preserve"> V důsledku této skutečnosti nebylo hodnocení předložených žádostí pr</w:t>
      </w:r>
      <w:r w:rsidR="00A40206">
        <w:t>ovedeno jednotně a rozdílnost v </w:t>
      </w:r>
      <w:r w:rsidR="00873627">
        <w:t xml:space="preserve">přidělování bodů mohla ovlivnit výběr projektů k podpoře. </w:t>
      </w:r>
    </w:p>
    <w:p w14:paraId="588DF072" w14:textId="77777777" w:rsidR="00FC65C0" w:rsidRDefault="00FC65C0" w:rsidP="00873627">
      <w:pPr>
        <w:jc w:val="both"/>
      </w:pPr>
    </w:p>
    <w:p w14:paraId="273A0847" w14:textId="06665AC9" w:rsidR="00873627" w:rsidRDefault="00873627" w:rsidP="00873627">
      <w:pPr>
        <w:jc w:val="both"/>
      </w:pPr>
      <w:r>
        <w:t>U programu CZ09 bylo zjištěno, že nastavený systém hodnocení z důvodu nízkého rozpětí možnost</w:t>
      </w:r>
      <w:r w:rsidR="00C01923">
        <w:t>í</w:t>
      </w:r>
      <w:r>
        <w:t xml:space="preserve"> přidělování bodů neumožňoval důslednější </w:t>
      </w:r>
      <w:r w:rsidR="000D6413">
        <w:t>rozlišení</w:t>
      </w:r>
      <w:r>
        <w:t xml:space="preserve"> </w:t>
      </w:r>
      <w:r w:rsidR="00A40206">
        <w:t>kvality jednotlivých projektů a </w:t>
      </w:r>
      <w:r>
        <w:t xml:space="preserve">podpořené/nepodpořené projekty od sebe oddělovaly jen nepatrné bodové rozdíly. V rámci dané výzvy bylo přitom hodnoceno větší množství projektů, než se předpokládalo, čímž došlo k prodloužení výběrového procesu a k posunutí termínu možného zahájení </w:t>
      </w:r>
      <w:r w:rsidR="00FC4428">
        <w:t xml:space="preserve">realizace </w:t>
      </w:r>
      <w:r>
        <w:t>projektů.</w:t>
      </w:r>
    </w:p>
    <w:p w14:paraId="5AB2EBA6" w14:textId="77777777" w:rsidR="00FC65C0" w:rsidRDefault="00FC65C0" w:rsidP="00873627">
      <w:pPr>
        <w:jc w:val="both"/>
      </w:pPr>
    </w:p>
    <w:p w14:paraId="785C5871" w14:textId="1849555B" w:rsidR="00873627" w:rsidRDefault="00873627" w:rsidP="00873627">
      <w:pPr>
        <w:jc w:val="both"/>
      </w:pPr>
      <w:r>
        <w:t>V programu CZ06</w:t>
      </w:r>
      <w:r w:rsidR="00FC65C0">
        <w:t xml:space="preserve"> </w:t>
      </w:r>
      <w:r w:rsidR="00004DD2">
        <w:t xml:space="preserve">bylo </w:t>
      </w:r>
      <w:r w:rsidR="00FC65C0">
        <w:t>v případě jednoho projektu</w:t>
      </w:r>
      <w:r>
        <w:t xml:space="preserve"> provedeno nedostatečné hodnocení možné</w:t>
      </w:r>
      <w:r w:rsidR="004D23D5">
        <w:t>ho</w:t>
      </w:r>
      <w:r>
        <w:t xml:space="preserve"> </w:t>
      </w:r>
      <w:r w:rsidR="004D23D5">
        <w:t>vzniku</w:t>
      </w:r>
      <w:r>
        <w:t xml:space="preserve"> nepovolené veřejné podpory</w:t>
      </w:r>
      <w:r w:rsidR="00004DD2">
        <w:t>.</w:t>
      </w:r>
      <w:r>
        <w:t xml:space="preserve"> MF</w:t>
      </w:r>
      <w:r w:rsidR="00F87AB3">
        <w:t xml:space="preserve"> poskytlo dotaci na projekt, aniž by </w:t>
      </w:r>
      <w:r>
        <w:t xml:space="preserve">zajistilo posouzení komerční životaschopnosti </w:t>
      </w:r>
      <w:r w:rsidR="000D6413">
        <w:t xml:space="preserve">investičního </w:t>
      </w:r>
      <w:r>
        <w:t>záměru žadatele</w:t>
      </w:r>
      <w:r w:rsidR="003607FA">
        <w:t>, což byla jedna z podmínek režimu podpory notifikovaného Evropskou komisí</w:t>
      </w:r>
      <w:r>
        <w:t>. V důsledku toho existuje riziko, že se jedná o ne</w:t>
      </w:r>
      <w:r w:rsidR="006C45E0">
        <w:t>d</w:t>
      </w:r>
      <w:r>
        <w:t>ovolenou veřejnou podporu.</w:t>
      </w:r>
    </w:p>
    <w:p w14:paraId="09B9E04A" w14:textId="77777777" w:rsidR="00873627" w:rsidRDefault="00873627" w:rsidP="00873627"/>
    <w:p w14:paraId="3ADE2677" w14:textId="39EADEF4" w:rsidR="00873627" w:rsidRPr="002A40E6" w:rsidRDefault="002A40E6" w:rsidP="002A40E6">
      <w:pPr>
        <w:jc w:val="both"/>
        <w:rPr>
          <w:b/>
        </w:rPr>
      </w:pPr>
      <w:r w:rsidRPr="002A40E6">
        <w:rPr>
          <w:b/>
        </w:rPr>
        <w:t xml:space="preserve">Délka </w:t>
      </w:r>
      <w:r w:rsidR="00873627" w:rsidRPr="002A40E6">
        <w:rPr>
          <w:b/>
        </w:rPr>
        <w:t>administrace projektů</w:t>
      </w:r>
    </w:p>
    <w:p w14:paraId="58C54D13" w14:textId="77777777" w:rsidR="00873627" w:rsidRDefault="00873627" w:rsidP="00873627">
      <w:pPr>
        <w:pStyle w:val="Odstavecseseznamem"/>
        <w:ind w:left="426"/>
        <w:jc w:val="both"/>
      </w:pPr>
    </w:p>
    <w:p w14:paraId="777663D1" w14:textId="48E96AF8" w:rsidR="00873627" w:rsidRDefault="00EB3BCF" w:rsidP="00873627">
      <w:pPr>
        <w:jc w:val="both"/>
      </w:pPr>
      <w:r>
        <w:t>V</w:t>
      </w:r>
      <w:r w:rsidR="001974EF">
        <w:t xml:space="preserve"> programech CZ12</w:t>
      </w:r>
      <w:r w:rsidR="00B6797A">
        <w:t xml:space="preserve"> a </w:t>
      </w:r>
      <w:r w:rsidR="001974EF">
        <w:t xml:space="preserve">CZ14 </w:t>
      </w:r>
      <w:r w:rsidR="00C36041">
        <w:t>byla zjištěna z</w:t>
      </w:r>
      <w:r w:rsidR="00004DD2">
        <w:t>dlouhavá administrace</w:t>
      </w:r>
      <w:r>
        <w:t xml:space="preserve"> monitorovacích zpráv a s nimi spojených žádostí o platbu. Dle vyjádření zprostředkovatele byla tato skutečnost </w:t>
      </w:r>
      <w:r w:rsidR="001974EF">
        <w:t>v</w:t>
      </w:r>
      <w:r>
        <w:t xml:space="preserve"> programu CZ12 dána mj. tím, že bylo počítáno s časově delším obdobím na realizaci programu. </w:t>
      </w:r>
      <w:r w:rsidR="004D23D5">
        <w:t>Z</w:t>
      </w:r>
      <w:r>
        <w:t>krácení</w:t>
      </w:r>
      <w:r w:rsidR="004D23D5">
        <w:t>m</w:t>
      </w:r>
      <w:r>
        <w:t xml:space="preserve"> této doby kvůli průtahům </w:t>
      </w:r>
      <w:r w:rsidR="004D23D5">
        <w:t>při</w:t>
      </w:r>
      <w:r>
        <w:t xml:space="preserve"> schvalování programu (viz část IV</w:t>
      </w:r>
      <w:r w:rsidR="003A1F00">
        <w:t>.</w:t>
      </w:r>
      <w:r>
        <w:t xml:space="preserve"> bod 1 </w:t>
      </w:r>
      <w:r w:rsidR="004D23D5">
        <w:t xml:space="preserve">tohoto </w:t>
      </w:r>
      <w:r>
        <w:lastRenderedPageBreak/>
        <w:t>kontrolního závěru) se administrace projektů zhustila a dostupné personální zdroje nebyly schopny zabezpečit rychlejší administraci.</w:t>
      </w:r>
      <w:r w:rsidR="00004DD2">
        <w:t xml:space="preserve"> </w:t>
      </w:r>
      <w:r w:rsidR="00B6797A">
        <w:t xml:space="preserve">U programu CZ14 </w:t>
      </w:r>
      <w:r w:rsidR="00B6797A" w:rsidRPr="00B6797A">
        <w:t xml:space="preserve">byla </w:t>
      </w:r>
      <w:r w:rsidR="00B6797A">
        <w:t xml:space="preserve">na </w:t>
      </w:r>
      <w:r w:rsidR="00B6797A" w:rsidRPr="00B6797A">
        <w:t xml:space="preserve">straně </w:t>
      </w:r>
      <w:r w:rsidR="00B6797A">
        <w:t xml:space="preserve">zprostředkovatele zjištěna </w:t>
      </w:r>
      <w:r w:rsidR="00B6797A" w:rsidRPr="00B6797A">
        <w:t>prodlení, kdy poskytnutí reakce na předložené dokumenty trvalo i několik týdnů.</w:t>
      </w:r>
      <w:r w:rsidR="00B6797A">
        <w:t xml:space="preserve"> </w:t>
      </w:r>
    </w:p>
    <w:p w14:paraId="3898F773" w14:textId="77777777" w:rsidR="003A1F00" w:rsidRDefault="003A1F00" w:rsidP="00873627">
      <w:pPr>
        <w:jc w:val="both"/>
      </w:pPr>
    </w:p>
    <w:p w14:paraId="13E038CC" w14:textId="77B1FBA7" w:rsidR="00873627" w:rsidRDefault="001974EF" w:rsidP="00020A4B">
      <w:pPr>
        <w:jc w:val="both"/>
      </w:pPr>
      <w:r>
        <w:t xml:space="preserve">U programu CZ09 byla potvrzena personální </w:t>
      </w:r>
      <w:proofErr w:type="spellStart"/>
      <w:r>
        <w:t>poddimenzovanost</w:t>
      </w:r>
      <w:proofErr w:type="spellEnd"/>
      <w:r>
        <w:t xml:space="preserve"> a značná fluktuace zaměstnanců, na kterou poukazoval i sám zprostředkovatel ve výročních zprávách.</w:t>
      </w:r>
    </w:p>
    <w:p w14:paraId="78328C36" w14:textId="77777777" w:rsidR="001974EF" w:rsidRDefault="001974EF" w:rsidP="00873627"/>
    <w:p w14:paraId="7262F462" w14:textId="77777777" w:rsidR="002A40E6" w:rsidRPr="002A40E6" w:rsidRDefault="002A40E6" w:rsidP="002A40E6">
      <w:pPr>
        <w:jc w:val="both"/>
        <w:rPr>
          <w:b/>
        </w:rPr>
      </w:pPr>
      <w:r w:rsidRPr="002A40E6">
        <w:rPr>
          <w:b/>
        </w:rPr>
        <w:t>Kontrola způsobilosti výdajů</w:t>
      </w:r>
    </w:p>
    <w:p w14:paraId="594653B6" w14:textId="77777777" w:rsidR="002A40E6" w:rsidRDefault="002A40E6" w:rsidP="003A1F00">
      <w:pPr>
        <w:pStyle w:val="Odstavecseseznamem"/>
        <w:ind w:left="0"/>
        <w:jc w:val="both"/>
      </w:pPr>
    </w:p>
    <w:p w14:paraId="7A063FC3" w14:textId="55958921" w:rsidR="002A40E6" w:rsidRDefault="002A40E6" w:rsidP="002A40E6">
      <w:pPr>
        <w:jc w:val="both"/>
      </w:pPr>
      <w:r>
        <w:t>U všech tří kontrolovaných zprostředkovatelů</w:t>
      </w:r>
      <w:r w:rsidR="003A1F00">
        <w:t xml:space="preserve"> –</w:t>
      </w:r>
      <w:r>
        <w:t xml:space="preserve"> MF (program CZ06), MŠMT</w:t>
      </w:r>
      <w:r w:rsidR="00C811F4">
        <w:t xml:space="preserve"> (</w:t>
      </w:r>
      <w:r w:rsidR="00F37778">
        <w:t xml:space="preserve">program </w:t>
      </w:r>
      <w:r w:rsidR="00C811F4">
        <w:t>CZ09)</w:t>
      </w:r>
      <w:r w:rsidR="00FE4EEC">
        <w:t xml:space="preserve"> i </w:t>
      </w:r>
      <w:r>
        <w:t>NOSFP</w:t>
      </w:r>
      <w:r w:rsidR="00C811F4">
        <w:t xml:space="preserve"> (</w:t>
      </w:r>
      <w:r w:rsidR="00F37778">
        <w:t xml:space="preserve">program </w:t>
      </w:r>
      <w:r w:rsidR="00C811F4">
        <w:t>CZ12)</w:t>
      </w:r>
      <w:r w:rsidR="003A1F00">
        <w:t xml:space="preserve"> –</w:t>
      </w:r>
      <w:r>
        <w:t xml:space="preserve"> byly zjištěny případy, kdy zavedené kontrolní systémy neodhalily neoprávněně nárokované výdaje ze strany příjemců po</w:t>
      </w:r>
      <w:r w:rsidR="00FE4EEC">
        <w:t>dpory, v důsledku čehož došlo k </w:t>
      </w:r>
      <w:r>
        <w:t>proplacení nezpůsobilých výdajů. V případě programu CZ06 se jednalo o neodhalení chybně nárokovaného výdaje ve výši 24 </w:t>
      </w:r>
      <w:r w:rsidR="002B7942">
        <w:t xml:space="preserve">tis. </w:t>
      </w:r>
      <w:r>
        <w:t xml:space="preserve">Kč, který se týkal jiného projektu dotčeného příjemce podpory. U programu CZ09 došlo k proplacení výdaje, který pravidla programu nepřipouštěla. </w:t>
      </w:r>
      <w:r w:rsidR="003607FA">
        <w:t>Poskytovatel tak p</w:t>
      </w:r>
      <w:r>
        <w:t xml:space="preserve">říjemci podpory neoprávněně </w:t>
      </w:r>
      <w:r w:rsidR="003607FA">
        <w:t>vyplatil</w:t>
      </w:r>
      <w:r>
        <w:t xml:space="preserve"> částk</w:t>
      </w:r>
      <w:r w:rsidR="003607FA">
        <w:t>u</w:t>
      </w:r>
      <w:r>
        <w:t xml:space="preserve"> ve výši </w:t>
      </w:r>
      <w:r w:rsidR="00D44BAB">
        <w:t>33 tis. Kč</w:t>
      </w:r>
      <w:r w:rsidR="00D44BAB">
        <w:rPr>
          <w:rStyle w:val="Znakapoznpodarou"/>
        </w:rPr>
        <w:footnoteReference w:id="28"/>
      </w:r>
      <w:r>
        <w:t xml:space="preserve">. </w:t>
      </w:r>
      <w:r w:rsidR="00ED2BE5" w:rsidRPr="00ED2BE5">
        <w:t xml:space="preserve">U stejného programu zprostředkovatel neoprávněně </w:t>
      </w:r>
      <w:r w:rsidR="003A1F00">
        <w:t>vy</w:t>
      </w:r>
      <w:r w:rsidR="00ED2BE5" w:rsidRPr="00ED2BE5">
        <w:t xml:space="preserve">platil příjemci o </w:t>
      </w:r>
      <w:r w:rsidR="00D44BAB">
        <w:t>784 tis. Kč</w:t>
      </w:r>
      <w:r w:rsidR="00D44BAB">
        <w:rPr>
          <w:rStyle w:val="Znakapoznpodarou"/>
        </w:rPr>
        <w:footnoteReference w:id="29"/>
      </w:r>
      <w:r w:rsidR="00ED2BE5" w:rsidRPr="00ED2BE5">
        <w:t xml:space="preserve"> vyšší podporu, než na jakou měl </w:t>
      </w:r>
      <w:r w:rsidR="004007DC">
        <w:t xml:space="preserve">příjemce </w:t>
      </w:r>
      <w:r w:rsidR="00ED2BE5" w:rsidRPr="00ED2BE5">
        <w:t>podle právního aktu nárok</w:t>
      </w:r>
      <w:r w:rsidR="003A1F00">
        <w:t>.</w:t>
      </w:r>
      <w:r w:rsidR="00ED2BE5">
        <w:rPr>
          <w:rStyle w:val="Znakapoznpodarou"/>
        </w:rPr>
        <w:footnoteReference w:id="30"/>
      </w:r>
      <w:r w:rsidR="00ED2BE5" w:rsidRPr="00ED2BE5">
        <w:t xml:space="preserve"> </w:t>
      </w:r>
      <w:r>
        <w:t>V programu CZ12 nebyl</w:t>
      </w:r>
      <w:r w:rsidR="00683CDD">
        <w:t xml:space="preserve"> zprostředkovatelem</w:t>
      </w:r>
      <w:r>
        <w:t xml:space="preserve"> odhalen nesprávný postup příjemce při pr</w:t>
      </w:r>
      <w:r w:rsidR="00FB7A5E">
        <w:t>ovádění dvou výběrových řízení</w:t>
      </w:r>
      <w:r w:rsidR="00683CDD">
        <w:t>, jejichž celková hodnota byla 1</w:t>
      </w:r>
      <w:r w:rsidR="00D44BAB">
        <w:t> </w:t>
      </w:r>
      <w:r w:rsidR="00683CDD">
        <w:t>67</w:t>
      </w:r>
      <w:r w:rsidR="00D44BAB">
        <w:t>7 tis. Kč</w:t>
      </w:r>
      <w:r w:rsidR="00D44BAB">
        <w:rPr>
          <w:rStyle w:val="Znakapoznpodarou"/>
        </w:rPr>
        <w:footnoteReference w:id="31"/>
      </w:r>
      <w:r>
        <w:t>.</w:t>
      </w:r>
      <w:r w:rsidR="00683CDD" w:rsidDel="00683CDD">
        <w:t xml:space="preserve"> </w:t>
      </w:r>
      <w:r w:rsidR="006C45E0">
        <w:t>Zprostředkovatelé programů CZ06, CZ09 a CZ12 provedli n</w:t>
      </w:r>
      <w:r>
        <w:t>esprávně kontrol</w:t>
      </w:r>
      <w:r w:rsidR="006C45E0">
        <w:t>u</w:t>
      </w:r>
      <w:r w:rsidR="00FD4F9F">
        <w:t xml:space="preserve"> projektů</w:t>
      </w:r>
      <w:r w:rsidR="00AB1011">
        <w:t xml:space="preserve"> a </w:t>
      </w:r>
      <w:r w:rsidR="00D7102F">
        <w:t>proplatili příjemcům podpory nezpůsobilé výdaje.</w:t>
      </w:r>
      <w:r w:rsidR="007A4218">
        <w:t xml:space="preserve"> </w:t>
      </w:r>
      <w:r w:rsidR="00F37778">
        <w:t>Celkem se zjištěné nedostatky týkají částky 2</w:t>
      </w:r>
      <w:r w:rsidR="00D44BAB">
        <w:t> </w:t>
      </w:r>
      <w:r w:rsidR="00F37778">
        <w:t>517</w:t>
      </w:r>
      <w:r w:rsidR="00D44BAB">
        <w:t> tis. </w:t>
      </w:r>
      <w:r w:rsidR="00F37778">
        <w:t>Kč</w:t>
      </w:r>
      <w:r w:rsidR="00D44BAB">
        <w:rPr>
          <w:rStyle w:val="Znakapoznpodarou"/>
        </w:rPr>
        <w:footnoteReference w:id="32"/>
      </w:r>
      <w:r w:rsidR="00F37778">
        <w:t>.</w:t>
      </w:r>
    </w:p>
    <w:p w14:paraId="5C00B9E7" w14:textId="77777777" w:rsidR="002A40E6" w:rsidRDefault="002A40E6" w:rsidP="002A40E6">
      <w:pPr>
        <w:jc w:val="both"/>
      </w:pPr>
    </w:p>
    <w:p w14:paraId="5397087D" w14:textId="3BCFAB4F" w:rsidR="00873627" w:rsidRDefault="00975FD3" w:rsidP="00FC719B">
      <w:pPr>
        <w:jc w:val="both"/>
      </w:pPr>
      <w:r>
        <w:t>MF v</w:t>
      </w:r>
      <w:r w:rsidR="00DE54AE">
        <w:t xml:space="preserve"> programech </w:t>
      </w:r>
      <w:r w:rsidR="00DF71CC">
        <w:t xml:space="preserve">CZ04, CZ06, CZ14 a CZ15 </w:t>
      </w:r>
      <w:r w:rsidR="00DE54AE">
        <w:t>nenastavilo</w:t>
      </w:r>
      <w:r w:rsidR="00DF71CC">
        <w:t xml:space="preserve"> </w:t>
      </w:r>
      <w:r w:rsidR="00873627">
        <w:t>proces ověřování správnosti nároků příjemců podpory</w:t>
      </w:r>
      <w:r w:rsidR="00DE54AE">
        <w:t xml:space="preserve"> v souladu s právními předpisy</w:t>
      </w:r>
      <w:r w:rsidR="00DE54AE">
        <w:rPr>
          <w:rStyle w:val="Znakapoznpodarou"/>
        </w:rPr>
        <w:footnoteReference w:id="33"/>
      </w:r>
      <w:r w:rsidR="00873627">
        <w:t xml:space="preserve">, neboť kontrola příslušných zadávacích řízení nezbytná pro ověření správnosti plateb byla ve velké většině prováděna až následně po proplacení příslušných nároků. </w:t>
      </w:r>
      <w:r w:rsidR="00FC719B">
        <w:t xml:space="preserve">U MF </w:t>
      </w:r>
      <w:r w:rsidR="002A40E6">
        <w:t>také NKÚ</w:t>
      </w:r>
      <w:r w:rsidR="00FC719B">
        <w:t xml:space="preserve"> </w:t>
      </w:r>
      <w:r w:rsidR="002A40E6">
        <w:t xml:space="preserve">zjistil, že </w:t>
      </w:r>
      <w:r w:rsidR="00D72AB2">
        <w:t>v rozporu s právním předpisem</w:t>
      </w:r>
      <w:r w:rsidR="00D72AB2">
        <w:rPr>
          <w:rStyle w:val="Znakapoznpodarou"/>
        </w:rPr>
        <w:footnoteReference w:id="34"/>
      </w:r>
      <w:r w:rsidR="00D72AB2">
        <w:t xml:space="preserve"> </w:t>
      </w:r>
      <w:r w:rsidR="00FC719B">
        <w:t>neexistuje písemn</w:t>
      </w:r>
      <w:r w:rsidR="00D72AB2">
        <w:t>é</w:t>
      </w:r>
      <w:r w:rsidR="00FC719B">
        <w:t xml:space="preserve"> pověření zaměstnance k výkonu předběžné veřejnosprávní kontroly</w:t>
      </w:r>
      <w:r w:rsidR="00D72AB2">
        <w:t>.</w:t>
      </w:r>
    </w:p>
    <w:p w14:paraId="642D8EEE" w14:textId="77777777" w:rsidR="00873627" w:rsidRDefault="00873627" w:rsidP="00873627"/>
    <w:p w14:paraId="42D13367" w14:textId="0BB8B1CB" w:rsidR="00873627" w:rsidRDefault="005264E5" w:rsidP="005264E5">
      <w:pPr>
        <w:jc w:val="both"/>
        <w:rPr>
          <w:b/>
        </w:rPr>
      </w:pPr>
      <w:r w:rsidRPr="005264E5">
        <w:rPr>
          <w:b/>
        </w:rPr>
        <w:t>P</w:t>
      </w:r>
      <w:r w:rsidR="00873627" w:rsidRPr="005264E5">
        <w:rPr>
          <w:b/>
        </w:rPr>
        <w:t>roces šetření nesrovnalostí</w:t>
      </w:r>
    </w:p>
    <w:p w14:paraId="47898134" w14:textId="77777777" w:rsidR="00DE54AE" w:rsidRPr="005264E5" w:rsidRDefault="00DE54AE" w:rsidP="005264E5">
      <w:pPr>
        <w:jc w:val="both"/>
        <w:rPr>
          <w:b/>
        </w:rPr>
      </w:pPr>
    </w:p>
    <w:p w14:paraId="5EB84D21" w14:textId="3A80DE83" w:rsidR="00873627" w:rsidRDefault="0086658D" w:rsidP="00873627">
      <w:pPr>
        <w:jc w:val="both"/>
      </w:pPr>
      <w:r>
        <w:t xml:space="preserve">U MF </w:t>
      </w:r>
      <w:r w:rsidR="006E16FB">
        <w:t>(program</w:t>
      </w:r>
      <w:r w:rsidR="00BD11EF">
        <w:t>y</w:t>
      </w:r>
      <w:r w:rsidR="006E16FB">
        <w:t xml:space="preserve"> CZ</w:t>
      </w:r>
      <w:r w:rsidR="00BD11EF">
        <w:t>06 a CZ15</w:t>
      </w:r>
      <w:r w:rsidR="006E16FB">
        <w:t xml:space="preserve">) </w:t>
      </w:r>
      <w:r>
        <w:t>zjistil NK</w:t>
      </w:r>
      <w:r w:rsidR="008B5738">
        <w:t>Ú nedostatky, které spočívaly v</w:t>
      </w:r>
      <w:r w:rsidR="00873627">
        <w:t xml:space="preserve"> chybné</w:t>
      </w:r>
      <w:r w:rsidR="008B5738">
        <w:t>m</w:t>
      </w:r>
      <w:r w:rsidR="00873627">
        <w:t xml:space="preserve"> vyhodnocení posuzovaných nesrovnalostí</w:t>
      </w:r>
      <w:r w:rsidR="008B5738">
        <w:t xml:space="preserve"> a v absenci jejich </w:t>
      </w:r>
      <w:r w:rsidR="00873627">
        <w:t>okamžit</w:t>
      </w:r>
      <w:r w:rsidR="008B5738">
        <w:t>ého</w:t>
      </w:r>
      <w:r w:rsidR="00873627">
        <w:t xml:space="preserve"> a účinné</w:t>
      </w:r>
      <w:r w:rsidR="008B5738">
        <w:t>ho</w:t>
      </w:r>
      <w:r w:rsidR="00873627">
        <w:t xml:space="preserve"> šetření</w:t>
      </w:r>
      <w:r w:rsidR="00D72AB2">
        <w:t>.</w:t>
      </w:r>
      <w:r w:rsidR="008B5738">
        <w:rPr>
          <w:rStyle w:val="Znakapoznpodarou"/>
        </w:rPr>
        <w:footnoteReference w:id="35"/>
      </w:r>
      <w:r w:rsidR="00FE4EEC">
        <w:t xml:space="preserve"> Problémy s </w:t>
      </w:r>
      <w:r w:rsidR="00873627">
        <w:t xml:space="preserve">pozdním zahájením šetření nesrovnalostí byly zjištěny i u </w:t>
      </w:r>
      <w:r w:rsidR="006E16FB">
        <w:t>MŠMT (</w:t>
      </w:r>
      <w:r w:rsidR="00873627">
        <w:t>program CZ09</w:t>
      </w:r>
      <w:r w:rsidR="00D72AB2">
        <w:t>).</w:t>
      </w:r>
      <w:r w:rsidR="00F37778">
        <w:rPr>
          <w:rStyle w:val="Znakapoznpodarou"/>
        </w:rPr>
        <w:footnoteReference w:id="36"/>
      </w:r>
    </w:p>
    <w:p w14:paraId="5FC8284A" w14:textId="77777777" w:rsidR="00C1276C" w:rsidRPr="00C66908" w:rsidRDefault="00C1276C" w:rsidP="00873627">
      <w:pPr>
        <w:jc w:val="both"/>
      </w:pPr>
    </w:p>
    <w:p w14:paraId="124274E3" w14:textId="56ABB33D" w:rsidR="00D11BE2" w:rsidRDefault="00D11BE2" w:rsidP="00FE1045">
      <w:pPr>
        <w:pStyle w:val="Nadpis3"/>
        <w:numPr>
          <w:ilvl w:val="0"/>
          <w:numId w:val="0"/>
        </w:numPr>
        <w:ind w:left="426"/>
      </w:pPr>
      <w:r>
        <w:t>Kontrola na vzorku projektů</w:t>
      </w:r>
    </w:p>
    <w:p w14:paraId="3187F0AE" w14:textId="77777777" w:rsidR="0009641B" w:rsidRDefault="0009641B" w:rsidP="007358A4">
      <w:pPr>
        <w:jc w:val="both"/>
      </w:pPr>
    </w:p>
    <w:p w14:paraId="7FE90FF5" w14:textId="4288A3B8" w:rsidR="007358A4" w:rsidRDefault="007358A4" w:rsidP="007358A4">
      <w:pPr>
        <w:jc w:val="both"/>
      </w:pPr>
      <w:r>
        <w:t xml:space="preserve">Prostřednictvím kontroly na vzorku projektů </w:t>
      </w:r>
      <w:r w:rsidRPr="00180E9D">
        <w:t xml:space="preserve">(viz příloha </w:t>
      </w:r>
      <w:r w:rsidR="00C9645F" w:rsidRPr="00180E9D">
        <w:t>č.</w:t>
      </w:r>
      <w:r w:rsidR="00BC7CD5" w:rsidRPr="00180E9D">
        <w:t> </w:t>
      </w:r>
      <w:r w:rsidR="00C9645F" w:rsidRPr="00180E9D">
        <w:t>2</w:t>
      </w:r>
      <w:r w:rsidRPr="00180E9D">
        <w:t>) bylo ověře</w:t>
      </w:r>
      <w:r>
        <w:t>no plnění povinností</w:t>
      </w:r>
      <w:r w:rsidR="00D72AB2">
        <w:t>, které byly</w:t>
      </w:r>
      <w:r>
        <w:t xml:space="preserve"> příjemců</w:t>
      </w:r>
      <w:r w:rsidR="00D72AB2">
        <w:t>m</w:t>
      </w:r>
      <w:r>
        <w:t xml:space="preserve"> uložen</w:t>
      </w:r>
      <w:r w:rsidR="00D72AB2">
        <w:t>y</w:t>
      </w:r>
      <w:r>
        <w:t xml:space="preserve"> právními akty o udělení podpory. </w:t>
      </w:r>
      <w:r w:rsidR="00E9724D">
        <w:t>NKÚ zkontroloval výdaje v objemu 230,5 mil. Kč. Vyčís</w:t>
      </w:r>
      <w:r w:rsidR="00D13902">
        <w:t>le</w:t>
      </w:r>
      <w:r w:rsidR="00E9724D">
        <w:t>né nedostatky se týkaly částky cca 2,5 mil. Kč</w:t>
      </w:r>
      <w:r w:rsidR="00E9724D">
        <w:rPr>
          <w:rStyle w:val="Znakapoznpodarou"/>
        </w:rPr>
        <w:footnoteReference w:id="37"/>
      </w:r>
      <w:r w:rsidR="00FB2CBA">
        <w:t>, tj. 1,09 %</w:t>
      </w:r>
      <w:r w:rsidR="00E9724D">
        <w:t xml:space="preserve">. </w:t>
      </w:r>
      <w:r>
        <w:t>Při této kontrole byly zjištěny zejména následující skutečnosti:</w:t>
      </w:r>
    </w:p>
    <w:p w14:paraId="2B1633B9" w14:textId="77777777" w:rsidR="007358A4" w:rsidRDefault="007358A4" w:rsidP="007358A4">
      <w:pPr>
        <w:jc w:val="both"/>
      </w:pPr>
    </w:p>
    <w:p w14:paraId="0DCB14A8" w14:textId="0792BB21" w:rsidR="007358A4" w:rsidRPr="00DE54AE" w:rsidRDefault="00DE54AE" w:rsidP="00DE54AE">
      <w:pPr>
        <w:jc w:val="both"/>
        <w:rPr>
          <w:b/>
        </w:rPr>
      </w:pPr>
      <w:r w:rsidRPr="00DE54AE">
        <w:rPr>
          <w:b/>
        </w:rPr>
        <w:t xml:space="preserve">Plnění </w:t>
      </w:r>
      <w:r w:rsidR="007358A4" w:rsidRPr="00DE54AE">
        <w:rPr>
          <w:b/>
        </w:rPr>
        <w:t xml:space="preserve">podmínek pro realizaci projektů a způsobilost výdajů mající vliv na správnost </w:t>
      </w:r>
      <w:r w:rsidR="00FB7A5E">
        <w:rPr>
          <w:b/>
        </w:rPr>
        <w:t xml:space="preserve">výše </w:t>
      </w:r>
      <w:r w:rsidR="007358A4" w:rsidRPr="00DE54AE">
        <w:rPr>
          <w:b/>
        </w:rPr>
        <w:t>poskytnuté podpory</w:t>
      </w:r>
    </w:p>
    <w:p w14:paraId="6148C451" w14:textId="77777777" w:rsidR="007358A4" w:rsidRDefault="007358A4" w:rsidP="00B77F72">
      <w:pPr>
        <w:pStyle w:val="Odstavecseseznamem"/>
        <w:ind w:left="0"/>
        <w:jc w:val="both"/>
      </w:pPr>
    </w:p>
    <w:p w14:paraId="62F17949" w14:textId="16B78A62" w:rsidR="00E20264" w:rsidRDefault="00E20264" w:rsidP="00EA3E84">
      <w:pPr>
        <w:pStyle w:val="Odstavecseseznamem"/>
        <w:numPr>
          <w:ilvl w:val="0"/>
          <w:numId w:val="51"/>
        </w:numPr>
        <w:ind w:left="426"/>
        <w:jc w:val="both"/>
      </w:pPr>
      <w:r>
        <w:t>Příjemce podpory uplatnil v rámci projektu fakturu vztahující se k jinému projektu. Toto pochybení vedlo k porušení rozpočtové kázně ve výši 24 tis. Kč.</w:t>
      </w:r>
    </w:p>
    <w:p w14:paraId="7F038169" w14:textId="77777777" w:rsidR="00E20264" w:rsidRDefault="00E20264" w:rsidP="007358A4">
      <w:pPr>
        <w:jc w:val="both"/>
      </w:pPr>
    </w:p>
    <w:p w14:paraId="57DCB25F" w14:textId="33D37E5E" w:rsidR="00E20264" w:rsidRDefault="00E20264" w:rsidP="00EA3E84">
      <w:pPr>
        <w:pStyle w:val="Odstavecseseznamem"/>
        <w:numPr>
          <w:ilvl w:val="0"/>
          <w:numId w:val="51"/>
        </w:numPr>
        <w:ind w:left="426"/>
        <w:jc w:val="both"/>
      </w:pPr>
      <w:r>
        <w:t xml:space="preserve">Příjemce podpory nedodržel maximální přípustný poměr poskytnuté podpory vůči vlastním zdrojům, </w:t>
      </w:r>
      <w:r w:rsidR="00D72AB2">
        <w:t>limit</w:t>
      </w:r>
      <w:r>
        <w:t xml:space="preserve"> činil 72,87 % ze způsobilých výdajů. V důsledku toho mu byla </w:t>
      </w:r>
      <w:r w:rsidR="00D72AB2">
        <w:t>vy</w:t>
      </w:r>
      <w:r>
        <w:t>placena podpora o 784 tis. Kč vyšší, než na jakou měl nárok</w:t>
      </w:r>
      <w:r w:rsidRPr="007C259D">
        <w:rPr>
          <w:vertAlign w:val="superscript"/>
        </w:rPr>
        <w:footnoteReference w:id="38"/>
      </w:r>
      <w:r>
        <w:t>. Neoprávněně vyplacená částka podpory představuje porušení rozpočtové kázně.</w:t>
      </w:r>
    </w:p>
    <w:p w14:paraId="3EC6C1B4" w14:textId="5BF76B2B" w:rsidR="00E20264" w:rsidRDefault="00E20264" w:rsidP="007358A4">
      <w:pPr>
        <w:jc w:val="both"/>
      </w:pPr>
    </w:p>
    <w:p w14:paraId="3DD7455C" w14:textId="67037FD7" w:rsidR="00D72269" w:rsidRDefault="00D72269" w:rsidP="00EA3E84">
      <w:pPr>
        <w:pStyle w:val="Odstavecseseznamem"/>
        <w:numPr>
          <w:ilvl w:val="0"/>
          <w:numId w:val="51"/>
        </w:numPr>
        <w:ind w:left="426"/>
        <w:jc w:val="both"/>
      </w:pPr>
      <w:r>
        <w:t>Příjemce podpory při dvou výběrových řízeních na zakázky malého rozsahu nevyzval k podání nabídky závazně stanovený počet zájemců. Uvedená pochybení se týkala částky přesahující 1,6 mil. Kč</w:t>
      </w:r>
      <w:r>
        <w:rPr>
          <w:rStyle w:val="Znakapoznpodarou"/>
        </w:rPr>
        <w:footnoteReference w:id="39"/>
      </w:r>
      <w:r>
        <w:t>.</w:t>
      </w:r>
    </w:p>
    <w:p w14:paraId="64DC9F76" w14:textId="77777777" w:rsidR="00D72269" w:rsidRDefault="00D72269" w:rsidP="00B77F72">
      <w:pPr>
        <w:pStyle w:val="Odstavecseseznamem"/>
        <w:ind w:left="0"/>
      </w:pPr>
    </w:p>
    <w:p w14:paraId="0C4C4415" w14:textId="2F8824A8" w:rsidR="00D72269" w:rsidRDefault="00D72269" w:rsidP="00EA3E84">
      <w:pPr>
        <w:pStyle w:val="Odstavecseseznamem"/>
        <w:numPr>
          <w:ilvl w:val="0"/>
          <w:numId w:val="51"/>
        </w:numPr>
        <w:ind w:left="426"/>
        <w:jc w:val="both"/>
      </w:pPr>
      <w:r>
        <w:t>Příjemce podpory nenaplnil cílovou hodnotu monitorovacího indikátoru</w:t>
      </w:r>
      <w:r w:rsidR="00CC7D8D">
        <w:t xml:space="preserve">. Tím porušil podmínky stanovené zprostředkovatelem. </w:t>
      </w:r>
      <w:r>
        <w:t xml:space="preserve"> </w:t>
      </w:r>
    </w:p>
    <w:p w14:paraId="3F6C642B" w14:textId="77777777" w:rsidR="00D72269" w:rsidRDefault="00D72269" w:rsidP="007358A4">
      <w:pPr>
        <w:jc w:val="both"/>
      </w:pPr>
    </w:p>
    <w:p w14:paraId="2512A4B0" w14:textId="3B90DA0D" w:rsidR="00DE54AE" w:rsidRPr="00DE54AE" w:rsidRDefault="00871DAF" w:rsidP="00DE54AE">
      <w:pPr>
        <w:jc w:val="both"/>
        <w:rPr>
          <w:b/>
        </w:rPr>
      </w:pPr>
      <w:r>
        <w:rPr>
          <w:b/>
        </w:rPr>
        <w:t>Délka</w:t>
      </w:r>
      <w:r w:rsidRPr="00DE54AE">
        <w:rPr>
          <w:b/>
        </w:rPr>
        <w:t xml:space="preserve"> </w:t>
      </w:r>
      <w:r w:rsidR="00DE54AE" w:rsidRPr="00DE54AE">
        <w:rPr>
          <w:b/>
        </w:rPr>
        <w:t xml:space="preserve">realizace projektů </w:t>
      </w:r>
    </w:p>
    <w:p w14:paraId="5744C72F" w14:textId="77777777" w:rsidR="00DE54AE" w:rsidRDefault="00DE54AE" w:rsidP="00DE54AE">
      <w:pPr>
        <w:jc w:val="both"/>
      </w:pPr>
    </w:p>
    <w:p w14:paraId="1F3AEED3" w14:textId="1C12EAD0" w:rsidR="002413F9" w:rsidRPr="00A6642C" w:rsidRDefault="002413F9" w:rsidP="00EA3E84">
      <w:pPr>
        <w:pStyle w:val="Odstavecseseznamem"/>
        <w:numPr>
          <w:ilvl w:val="0"/>
          <w:numId w:val="51"/>
        </w:numPr>
        <w:ind w:left="426"/>
        <w:jc w:val="both"/>
      </w:pPr>
      <w:r>
        <w:t xml:space="preserve">U dvou projektů téhož příjemce podpory byly zjištěny průtahy a zpoždění. V jednom projektu </w:t>
      </w:r>
      <w:r w:rsidR="00C24543">
        <w:t xml:space="preserve">bylo příčinou opakované zadávání veřejné zakázky. V druhém projektu </w:t>
      </w:r>
      <w:r w:rsidR="00D72AB2">
        <w:t>způsobily prodlení</w:t>
      </w:r>
      <w:r w:rsidR="00C24543">
        <w:t xml:space="preserve"> administrativní úkon</w:t>
      </w:r>
      <w:r w:rsidR="00D72AB2">
        <w:t>y</w:t>
      </w:r>
      <w:r w:rsidR="00C24543">
        <w:t xml:space="preserve">. Výdaje v celkovém objemu 413 tis. </w:t>
      </w:r>
      <w:r w:rsidR="00A6642C">
        <w:t>Kč musely kvůli tomu být hrazeny ze státního rozpočtu</w:t>
      </w:r>
      <w:r w:rsidR="00C24543">
        <w:t>.</w:t>
      </w:r>
    </w:p>
    <w:p w14:paraId="69CBC0A6" w14:textId="77777777" w:rsidR="002413F9" w:rsidRDefault="002413F9" w:rsidP="00DE54AE">
      <w:pPr>
        <w:jc w:val="both"/>
        <w:rPr>
          <w:b/>
        </w:rPr>
      </w:pPr>
    </w:p>
    <w:p w14:paraId="20CBA488" w14:textId="17D52D2F" w:rsidR="007358A4" w:rsidRPr="00DE54AE" w:rsidRDefault="00DE54AE" w:rsidP="00DE54AE">
      <w:pPr>
        <w:jc w:val="both"/>
        <w:rPr>
          <w:b/>
        </w:rPr>
      </w:pPr>
      <w:r>
        <w:rPr>
          <w:b/>
        </w:rPr>
        <w:t>Jiné skutečnosti zjištěné u příjemců podpory</w:t>
      </w:r>
      <w:r w:rsidR="00FC4428">
        <w:rPr>
          <w:b/>
        </w:rPr>
        <w:t xml:space="preserve"> nemající vliv na správnost výše poskytnuté podpory</w:t>
      </w:r>
    </w:p>
    <w:p w14:paraId="33590848" w14:textId="35776D12" w:rsidR="007358A4" w:rsidRDefault="007358A4" w:rsidP="007358A4">
      <w:pPr>
        <w:jc w:val="both"/>
      </w:pPr>
    </w:p>
    <w:p w14:paraId="1C7A4E8F" w14:textId="61D3A88E" w:rsidR="00514F48" w:rsidRDefault="007358A4" w:rsidP="007358A4">
      <w:pPr>
        <w:jc w:val="both"/>
      </w:pPr>
      <w:r>
        <w:t>Při</w:t>
      </w:r>
      <w:r w:rsidR="00833B63">
        <w:t xml:space="preserve"> </w:t>
      </w:r>
      <w:r>
        <w:t>kontrole správnosti procesu zadávání veřejných zakázek byla zjištěna</w:t>
      </w:r>
      <w:r w:rsidR="00C811F4">
        <w:t xml:space="preserve"> další</w:t>
      </w:r>
      <w:r>
        <w:t xml:space="preserve"> pochybení, která však neměla vliv na správnost</w:t>
      </w:r>
      <w:r w:rsidR="00FC4428">
        <w:t xml:space="preserve"> výše</w:t>
      </w:r>
      <w:r>
        <w:t xml:space="preserve"> poskytnuté podpory. </w:t>
      </w:r>
      <w:r w:rsidR="00514F48">
        <w:t>Jednalo se například o tyto případy:</w:t>
      </w:r>
    </w:p>
    <w:p w14:paraId="5A12592D" w14:textId="66817648" w:rsidR="00514F48" w:rsidRDefault="00514F48" w:rsidP="007358A4">
      <w:pPr>
        <w:jc w:val="both"/>
      </w:pPr>
    </w:p>
    <w:p w14:paraId="69228F84" w14:textId="52B77F5E" w:rsidR="00514F48" w:rsidRDefault="00514F48" w:rsidP="00734E5D">
      <w:pPr>
        <w:pStyle w:val="Odstavecseseznamem"/>
        <w:numPr>
          <w:ilvl w:val="0"/>
          <w:numId w:val="51"/>
        </w:numPr>
        <w:ind w:left="426"/>
        <w:jc w:val="both"/>
      </w:pPr>
      <w:r>
        <w:t>Příjemce podpory nevyřadil nabídku podanou po lhůtě, přičemž ale zvítězila nabídka jiného uchazeče.</w:t>
      </w:r>
    </w:p>
    <w:p w14:paraId="649E2CC3" w14:textId="6B11B450" w:rsidR="00514F48" w:rsidRDefault="00514F48" w:rsidP="00734E5D">
      <w:pPr>
        <w:pStyle w:val="Odstavecseseznamem"/>
        <w:numPr>
          <w:ilvl w:val="0"/>
          <w:numId w:val="51"/>
        </w:numPr>
        <w:ind w:left="426"/>
        <w:jc w:val="both"/>
      </w:pPr>
      <w:r>
        <w:t xml:space="preserve">Příjemce podpory nedodržel lhůtu pro poskytnutí </w:t>
      </w:r>
      <w:r w:rsidR="007E442B">
        <w:t xml:space="preserve">odpovědi na dotaz učiněný před podáním nabídek. </w:t>
      </w:r>
    </w:p>
    <w:p w14:paraId="213F56C7" w14:textId="5215F794" w:rsidR="007E442B" w:rsidRDefault="001311BE" w:rsidP="00734E5D">
      <w:pPr>
        <w:pStyle w:val="Odstavecseseznamem"/>
        <w:numPr>
          <w:ilvl w:val="0"/>
          <w:numId w:val="51"/>
        </w:numPr>
        <w:ind w:left="426"/>
        <w:jc w:val="both"/>
      </w:pPr>
      <w:r>
        <w:lastRenderedPageBreak/>
        <w:t>Příjemce podpory nevyužil při zadávacím řízení možnost požádat o odstranění vad v prokázání splnění kvalifikace a v důsledku toho dále n</w:t>
      </w:r>
      <w:r w:rsidR="00712296">
        <w:t>ehodnotil nabídku, která byla o </w:t>
      </w:r>
      <w:r>
        <w:t>více než 3 mil. Kč nižší než nabídka vítězná.</w:t>
      </w:r>
    </w:p>
    <w:p w14:paraId="746207FF" w14:textId="3737061A" w:rsidR="001311BE" w:rsidRDefault="001311BE" w:rsidP="00734E5D">
      <w:pPr>
        <w:pStyle w:val="Odstavecseseznamem"/>
        <w:numPr>
          <w:ilvl w:val="0"/>
          <w:numId w:val="51"/>
        </w:numPr>
        <w:ind w:left="426"/>
        <w:jc w:val="both"/>
      </w:pPr>
      <w:r>
        <w:t xml:space="preserve">Příjemce podpory </w:t>
      </w:r>
      <w:r w:rsidR="0082362D">
        <w:t>při hodnocení nabídek vzájemně porovnával konečnou cenu v nabídce neplátce daně s jinou nabídkou bez daně z přidané hodnoty, přestože konečnou cenou byla cena s DPH a příjemce podpory si tuto daň nárokoval jako způsobilý výdaj projektu.</w:t>
      </w:r>
    </w:p>
    <w:p w14:paraId="4BD17B1F" w14:textId="160921F2" w:rsidR="00A158BF" w:rsidRDefault="00A158BF" w:rsidP="007358A4">
      <w:pPr>
        <w:jc w:val="both"/>
      </w:pPr>
    </w:p>
    <w:p w14:paraId="7767EB52" w14:textId="782CABDD" w:rsidR="00483201" w:rsidRDefault="00483201" w:rsidP="007358A4">
      <w:pPr>
        <w:jc w:val="both"/>
      </w:pPr>
    </w:p>
    <w:p w14:paraId="45C4895C" w14:textId="2F2E8FEE" w:rsidR="00483201" w:rsidRDefault="00483201" w:rsidP="007358A4">
      <w:pPr>
        <w:jc w:val="both"/>
      </w:pPr>
    </w:p>
    <w:p w14:paraId="28547847" w14:textId="77777777" w:rsidR="00483201" w:rsidRDefault="00483201" w:rsidP="007358A4">
      <w:pPr>
        <w:jc w:val="both"/>
      </w:pPr>
    </w:p>
    <w:p w14:paraId="215D8485" w14:textId="2283E142" w:rsidR="002E1D2E" w:rsidRDefault="005920F2" w:rsidP="0099191B">
      <w:pPr>
        <w:jc w:val="both"/>
        <w:rPr>
          <w:rFonts w:cstheme="minorHAnsi"/>
          <w:b/>
        </w:rPr>
      </w:pPr>
      <w:r>
        <w:rPr>
          <w:rFonts w:cstheme="minorHAnsi"/>
          <w:b/>
        </w:rPr>
        <w:t>S</w:t>
      </w:r>
      <w:r w:rsidR="00462F78" w:rsidRPr="005738F8">
        <w:rPr>
          <w:rFonts w:cstheme="minorHAnsi"/>
          <w:b/>
        </w:rPr>
        <w:t xml:space="preserve">eznam </w:t>
      </w:r>
      <w:r w:rsidR="00462F78">
        <w:rPr>
          <w:rFonts w:cstheme="minorHAnsi"/>
          <w:b/>
        </w:rPr>
        <w:t xml:space="preserve">použitých </w:t>
      </w:r>
      <w:r w:rsidR="00462F78" w:rsidRPr="005738F8">
        <w:rPr>
          <w:rFonts w:cstheme="minorHAnsi"/>
          <w:b/>
        </w:rPr>
        <w:t>zkratek</w:t>
      </w:r>
    </w:p>
    <w:tbl>
      <w:tblPr>
        <w:tblStyle w:val="Mkatabulky"/>
        <w:tblW w:w="0" w:type="auto"/>
        <w:tblLook w:val="04A0" w:firstRow="1" w:lastRow="0" w:firstColumn="1" w:lastColumn="0" w:noHBand="0" w:noVBand="1"/>
      </w:tblPr>
      <w:tblGrid>
        <w:gridCol w:w="2547"/>
        <w:gridCol w:w="6516"/>
      </w:tblGrid>
      <w:tr w:rsidR="009D0556" w:rsidRPr="0049352F" w14:paraId="78A4B818" w14:textId="77777777" w:rsidTr="008D70A1">
        <w:tc>
          <w:tcPr>
            <w:tcW w:w="2547" w:type="dxa"/>
            <w:vAlign w:val="center"/>
          </w:tcPr>
          <w:p w14:paraId="3E4EA493" w14:textId="77777777" w:rsidR="009D0556" w:rsidRPr="009D0556" w:rsidRDefault="009D0556" w:rsidP="009D0556">
            <w:pPr>
              <w:rPr>
                <w:rFonts w:cstheme="minorHAnsi"/>
                <w:sz w:val="20"/>
                <w:szCs w:val="20"/>
              </w:rPr>
            </w:pPr>
            <w:r w:rsidRPr="009D0556">
              <w:rPr>
                <w:rFonts w:cstheme="minorHAnsi"/>
                <w:sz w:val="20"/>
                <w:szCs w:val="20"/>
              </w:rPr>
              <w:t>AO</w:t>
            </w:r>
          </w:p>
        </w:tc>
        <w:tc>
          <w:tcPr>
            <w:tcW w:w="6516" w:type="dxa"/>
            <w:vAlign w:val="center"/>
          </w:tcPr>
          <w:p w14:paraId="6A0C65A7" w14:textId="77777777" w:rsidR="009D0556" w:rsidRPr="009D0556" w:rsidRDefault="009D0556" w:rsidP="008D70A1">
            <w:pPr>
              <w:rPr>
                <w:rFonts w:cstheme="minorHAnsi"/>
                <w:sz w:val="20"/>
                <w:szCs w:val="20"/>
              </w:rPr>
            </w:pPr>
            <w:r w:rsidRPr="009D0556">
              <w:rPr>
                <w:rFonts w:cstheme="minorHAnsi"/>
                <w:sz w:val="20"/>
                <w:szCs w:val="20"/>
              </w:rPr>
              <w:t>Auditní orgán</w:t>
            </w:r>
          </w:p>
        </w:tc>
      </w:tr>
      <w:tr w:rsidR="009D0556" w:rsidRPr="0049352F" w14:paraId="6BBFDB6F" w14:textId="77777777" w:rsidTr="008D70A1">
        <w:tc>
          <w:tcPr>
            <w:tcW w:w="2547" w:type="dxa"/>
            <w:vAlign w:val="center"/>
          </w:tcPr>
          <w:p w14:paraId="6237574B" w14:textId="77777777" w:rsidR="009D0556" w:rsidRPr="009D0556" w:rsidRDefault="009D0556" w:rsidP="009D0556">
            <w:pPr>
              <w:rPr>
                <w:rFonts w:cstheme="minorHAnsi"/>
                <w:sz w:val="20"/>
                <w:szCs w:val="20"/>
              </w:rPr>
            </w:pPr>
            <w:r w:rsidRPr="009D0556">
              <w:rPr>
                <w:rFonts w:cstheme="minorHAnsi"/>
                <w:sz w:val="20"/>
                <w:szCs w:val="20"/>
              </w:rPr>
              <w:t>AV ČR</w:t>
            </w:r>
          </w:p>
        </w:tc>
        <w:tc>
          <w:tcPr>
            <w:tcW w:w="6516" w:type="dxa"/>
            <w:vAlign w:val="center"/>
          </w:tcPr>
          <w:p w14:paraId="001CCBB7" w14:textId="2B0FCEC3" w:rsidR="009D0556" w:rsidRPr="009D0556" w:rsidRDefault="009D0556" w:rsidP="008D70A1">
            <w:pPr>
              <w:rPr>
                <w:rFonts w:cstheme="minorHAnsi"/>
                <w:sz w:val="20"/>
                <w:szCs w:val="20"/>
              </w:rPr>
            </w:pPr>
            <w:r w:rsidRPr="009D0556">
              <w:rPr>
                <w:rFonts w:cstheme="minorHAnsi"/>
                <w:sz w:val="20"/>
                <w:szCs w:val="20"/>
              </w:rPr>
              <w:t xml:space="preserve">Akademie věd </w:t>
            </w:r>
            <w:r>
              <w:rPr>
                <w:rFonts w:cstheme="minorHAnsi"/>
                <w:sz w:val="20"/>
                <w:szCs w:val="20"/>
              </w:rPr>
              <w:t>České republiky</w:t>
            </w:r>
          </w:p>
        </w:tc>
      </w:tr>
      <w:tr w:rsidR="009D0556" w:rsidRPr="0049352F" w14:paraId="7E330BE4" w14:textId="77777777" w:rsidTr="008D70A1">
        <w:tc>
          <w:tcPr>
            <w:tcW w:w="2547" w:type="dxa"/>
            <w:vAlign w:val="center"/>
          </w:tcPr>
          <w:p w14:paraId="3A5214C2" w14:textId="77777777" w:rsidR="009D0556" w:rsidRPr="009D0556" w:rsidRDefault="009D0556" w:rsidP="009D0556">
            <w:pPr>
              <w:rPr>
                <w:rFonts w:cstheme="minorHAnsi"/>
                <w:sz w:val="20"/>
                <w:szCs w:val="20"/>
              </w:rPr>
            </w:pPr>
            <w:r w:rsidRPr="009D0556">
              <w:rPr>
                <w:rFonts w:cstheme="minorHAnsi"/>
                <w:sz w:val="20"/>
                <w:szCs w:val="20"/>
              </w:rPr>
              <w:t>CCS</w:t>
            </w:r>
          </w:p>
        </w:tc>
        <w:tc>
          <w:tcPr>
            <w:tcW w:w="6516" w:type="dxa"/>
            <w:vAlign w:val="center"/>
          </w:tcPr>
          <w:p w14:paraId="79F319D5" w14:textId="332952AB" w:rsidR="009D0556" w:rsidRPr="009D0556" w:rsidRDefault="009D0556" w:rsidP="008D70A1">
            <w:pPr>
              <w:rPr>
                <w:rFonts w:cstheme="minorHAnsi"/>
                <w:sz w:val="20"/>
                <w:szCs w:val="20"/>
              </w:rPr>
            </w:pPr>
            <w:proofErr w:type="spellStart"/>
            <w:r>
              <w:rPr>
                <w:rFonts w:cstheme="minorHAnsi"/>
                <w:sz w:val="20"/>
                <w:szCs w:val="20"/>
              </w:rPr>
              <w:t>Carbon</w:t>
            </w:r>
            <w:proofErr w:type="spellEnd"/>
            <w:r>
              <w:rPr>
                <w:rFonts w:cstheme="minorHAnsi"/>
                <w:sz w:val="20"/>
                <w:szCs w:val="20"/>
              </w:rPr>
              <w:t xml:space="preserve"> </w:t>
            </w:r>
            <w:proofErr w:type="spellStart"/>
            <w:r>
              <w:rPr>
                <w:rFonts w:cstheme="minorHAnsi"/>
                <w:sz w:val="20"/>
                <w:szCs w:val="20"/>
              </w:rPr>
              <w:t>Capture</w:t>
            </w:r>
            <w:proofErr w:type="spellEnd"/>
            <w:r>
              <w:rPr>
                <w:rFonts w:cstheme="minorHAnsi"/>
                <w:sz w:val="20"/>
                <w:szCs w:val="20"/>
              </w:rPr>
              <w:t xml:space="preserve"> and </w:t>
            </w:r>
            <w:proofErr w:type="spellStart"/>
            <w:r>
              <w:rPr>
                <w:rFonts w:cstheme="minorHAnsi"/>
                <w:sz w:val="20"/>
                <w:szCs w:val="20"/>
              </w:rPr>
              <w:t>S</w:t>
            </w:r>
            <w:r w:rsidR="008D70A1">
              <w:rPr>
                <w:rFonts w:cstheme="minorHAnsi"/>
                <w:sz w:val="20"/>
                <w:szCs w:val="20"/>
              </w:rPr>
              <w:t>torage</w:t>
            </w:r>
            <w:proofErr w:type="spellEnd"/>
            <w:r w:rsidR="00D47A9F">
              <w:rPr>
                <w:rFonts w:cstheme="minorHAnsi"/>
                <w:sz w:val="20"/>
                <w:szCs w:val="20"/>
              </w:rPr>
              <w:t xml:space="preserve"> </w:t>
            </w:r>
            <w:r>
              <w:rPr>
                <w:rFonts w:cstheme="minorHAnsi"/>
                <w:sz w:val="20"/>
                <w:szCs w:val="20"/>
              </w:rPr>
              <w:t>(zachytávání a ukládání oxidu uhličitého)</w:t>
            </w:r>
          </w:p>
        </w:tc>
      </w:tr>
      <w:tr w:rsidR="009D0556" w:rsidRPr="0049352F" w14:paraId="6B02A8C7" w14:textId="77777777" w:rsidTr="008D70A1">
        <w:tc>
          <w:tcPr>
            <w:tcW w:w="2547" w:type="dxa"/>
            <w:vAlign w:val="center"/>
          </w:tcPr>
          <w:p w14:paraId="075C326D" w14:textId="77777777" w:rsidR="009D0556" w:rsidRPr="009D0556" w:rsidRDefault="009D0556" w:rsidP="009D0556">
            <w:pPr>
              <w:rPr>
                <w:rFonts w:cstheme="minorHAnsi"/>
                <w:sz w:val="20"/>
                <w:szCs w:val="20"/>
              </w:rPr>
            </w:pPr>
            <w:r w:rsidRPr="009D0556">
              <w:rPr>
                <w:rFonts w:cstheme="minorHAnsi"/>
                <w:sz w:val="20"/>
                <w:szCs w:val="20"/>
              </w:rPr>
              <w:t>CO</w:t>
            </w:r>
          </w:p>
        </w:tc>
        <w:tc>
          <w:tcPr>
            <w:tcW w:w="6516" w:type="dxa"/>
            <w:vAlign w:val="center"/>
          </w:tcPr>
          <w:p w14:paraId="7707382A" w14:textId="77777777" w:rsidR="009D0556" w:rsidRPr="009D0556" w:rsidRDefault="009D0556" w:rsidP="008D70A1">
            <w:pPr>
              <w:rPr>
                <w:rFonts w:cstheme="minorHAnsi"/>
                <w:sz w:val="20"/>
                <w:szCs w:val="20"/>
              </w:rPr>
            </w:pPr>
            <w:r w:rsidRPr="009D0556">
              <w:rPr>
                <w:rFonts w:cstheme="minorHAnsi"/>
                <w:sz w:val="20"/>
                <w:szCs w:val="20"/>
              </w:rPr>
              <w:t>Certifikační orgán</w:t>
            </w:r>
          </w:p>
        </w:tc>
      </w:tr>
      <w:tr w:rsidR="009D0556" w:rsidRPr="0049352F" w14:paraId="05EA8EF5" w14:textId="77777777" w:rsidTr="008D70A1">
        <w:tc>
          <w:tcPr>
            <w:tcW w:w="2547" w:type="dxa"/>
            <w:vAlign w:val="center"/>
          </w:tcPr>
          <w:p w14:paraId="6011CE81" w14:textId="77777777" w:rsidR="009D0556" w:rsidRPr="009D0556" w:rsidRDefault="009D0556" w:rsidP="009D0556">
            <w:pPr>
              <w:rPr>
                <w:rFonts w:cstheme="minorHAnsi"/>
                <w:sz w:val="20"/>
                <w:szCs w:val="20"/>
              </w:rPr>
            </w:pPr>
            <w:r w:rsidRPr="009D0556">
              <w:rPr>
                <w:rFonts w:cstheme="minorHAnsi"/>
                <w:sz w:val="20"/>
                <w:szCs w:val="20"/>
              </w:rPr>
              <w:t>ČR</w:t>
            </w:r>
          </w:p>
        </w:tc>
        <w:tc>
          <w:tcPr>
            <w:tcW w:w="6516" w:type="dxa"/>
            <w:vAlign w:val="center"/>
          </w:tcPr>
          <w:p w14:paraId="262C2094" w14:textId="77777777" w:rsidR="009D0556" w:rsidRPr="009D0556" w:rsidRDefault="009D0556" w:rsidP="008D70A1">
            <w:pPr>
              <w:rPr>
                <w:rFonts w:cstheme="minorHAnsi"/>
                <w:sz w:val="20"/>
                <w:szCs w:val="20"/>
              </w:rPr>
            </w:pPr>
            <w:r w:rsidRPr="009D0556">
              <w:rPr>
                <w:rFonts w:cstheme="minorHAnsi"/>
                <w:sz w:val="20"/>
                <w:szCs w:val="20"/>
              </w:rPr>
              <w:t>Česká republika</w:t>
            </w:r>
          </w:p>
        </w:tc>
      </w:tr>
      <w:tr w:rsidR="009D0556" w:rsidRPr="0049352F" w14:paraId="726186EA" w14:textId="77777777" w:rsidTr="008D70A1">
        <w:tc>
          <w:tcPr>
            <w:tcW w:w="2547" w:type="dxa"/>
            <w:vAlign w:val="center"/>
          </w:tcPr>
          <w:p w14:paraId="127B0188" w14:textId="77777777" w:rsidR="009D0556" w:rsidRPr="009D0556" w:rsidRDefault="009D0556" w:rsidP="009D0556">
            <w:pPr>
              <w:rPr>
                <w:rFonts w:cstheme="minorHAnsi"/>
                <w:sz w:val="20"/>
                <w:szCs w:val="20"/>
              </w:rPr>
            </w:pPr>
            <w:r w:rsidRPr="009D0556">
              <w:rPr>
                <w:rFonts w:cstheme="minorHAnsi"/>
                <w:sz w:val="20"/>
                <w:szCs w:val="20"/>
              </w:rPr>
              <w:t>Donoři</w:t>
            </w:r>
          </w:p>
        </w:tc>
        <w:tc>
          <w:tcPr>
            <w:tcW w:w="6516" w:type="dxa"/>
            <w:vAlign w:val="center"/>
          </w:tcPr>
          <w:p w14:paraId="13F67E8C" w14:textId="1603BF96" w:rsidR="009D0556" w:rsidRPr="009D0556" w:rsidRDefault="009D0556" w:rsidP="008D70A1">
            <w:pPr>
              <w:rPr>
                <w:rFonts w:cstheme="minorHAnsi"/>
                <w:sz w:val="20"/>
                <w:szCs w:val="20"/>
              </w:rPr>
            </w:pPr>
            <w:r w:rsidRPr="009D0556">
              <w:rPr>
                <w:rFonts w:cstheme="minorHAnsi"/>
                <w:sz w:val="20"/>
                <w:szCs w:val="20"/>
              </w:rPr>
              <w:t>Norské království, Lichtenštejnské knížectví a Island</w:t>
            </w:r>
          </w:p>
        </w:tc>
      </w:tr>
      <w:tr w:rsidR="009D0556" w:rsidRPr="0049352F" w14:paraId="51CD234E" w14:textId="77777777" w:rsidTr="008D70A1">
        <w:tc>
          <w:tcPr>
            <w:tcW w:w="2547" w:type="dxa"/>
            <w:vAlign w:val="center"/>
          </w:tcPr>
          <w:p w14:paraId="2281B8D8" w14:textId="77777777" w:rsidR="009D0556" w:rsidRPr="009D0556" w:rsidRDefault="009D0556" w:rsidP="009D0556">
            <w:pPr>
              <w:rPr>
                <w:rFonts w:cstheme="minorHAnsi"/>
                <w:sz w:val="20"/>
                <w:szCs w:val="20"/>
              </w:rPr>
            </w:pPr>
            <w:r w:rsidRPr="009D0556">
              <w:rPr>
                <w:rFonts w:cstheme="minorHAnsi"/>
                <w:sz w:val="20"/>
                <w:szCs w:val="20"/>
              </w:rPr>
              <w:t>DPH</w:t>
            </w:r>
          </w:p>
        </w:tc>
        <w:tc>
          <w:tcPr>
            <w:tcW w:w="6516" w:type="dxa"/>
            <w:vAlign w:val="center"/>
          </w:tcPr>
          <w:p w14:paraId="659CF76E" w14:textId="77777777" w:rsidR="009D0556" w:rsidRPr="009D0556" w:rsidRDefault="009D0556" w:rsidP="008D70A1">
            <w:pPr>
              <w:rPr>
                <w:rFonts w:cstheme="minorHAnsi"/>
                <w:sz w:val="20"/>
                <w:szCs w:val="20"/>
              </w:rPr>
            </w:pPr>
            <w:r w:rsidRPr="009D0556">
              <w:rPr>
                <w:rFonts w:cstheme="minorHAnsi"/>
                <w:sz w:val="20"/>
                <w:szCs w:val="20"/>
              </w:rPr>
              <w:t>Daň z přidané hodnoty</w:t>
            </w:r>
          </w:p>
        </w:tc>
      </w:tr>
      <w:tr w:rsidR="009D0556" w:rsidRPr="0049352F" w14:paraId="47E719B0" w14:textId="77777777" w:rsidTr="008D70A1">
        <w:tc>
          <w:tcPr>
            <w:tcW w:w="2547" w:type="dxa"/>
            <w:vAlign w:val="center"/>
          </w:tcPr>
          <w:p w14:paraId="45D05A33" w14:textId="77777777" w:rsidR="009D0556" w:rsidRPr="009D0556" w:rsidRDefault="009D0556" w:rsidP="009D0556">
            <w:pPr>
              <w:rPr>
                <w:rFonts w:cstheme="minorHAnsi"/>
                <w:sz w:val="20"/>
                <w:szCs w:val="20"/>
              </w:rPr>
            </w:pPr>
            <w:r w:rsidRPr="009D0556">
              <w:rPr>
                <w:rFonts w:cstheme="minorHAnsi"/>
                <w:sz w:val="20"/>
                <w:szCs w:val="20"/>
              </w:rPr>
              <w:t>DPP</w:t>
            </w:r>
          </w:p>
        </w:tc>
        <w:tc>
          <w:tcPr>
            <w:tcW w:w="6516" w:type="dxa"/>
            <w:vAlign w:val="center"/>
          </w:tcPr>
          <w:p w14:paraId="652141D3" w14:textId="0B5F2172" w:rsidR="009D0556" w:rsidRPr="009D0556" w:rsidRDefault="009D0556" w:rsidP="009D0556">
            <w:pPr>
              <w:rPr>
                <w:rFonts w:cstheme="minorHAnsi"/>
                <w:sz w:val="20"/>
                <w:szCs w:val="20"/>
              </w:rPr>
            </w:pPr>
            <w:r w:rsidRPr="009D0556">
              <w:rPr>
                <w:rFonts w:cstheme="minorHAnsi"/>
                <w:sz w:val="20"/>
                <w:szCs w:val="20"/>
              </w:rPr>
              <w:t>Partner z </w:t>
            </w:r>
            <w:proofErr w:type="spellStart"/>
            <w:r w:rsidRPr="009D0556">
              <w:rPr>
                <w:rFonts w:cstheme="minorHAnsi"/>
                <w:sz w:val="20"/>
                <w:szCs w:val="20"/>
              </w:rPr>
              <w:t>donorské</w:t>
            </w:r>
            <w:proofErr w:type="spellEnd"/>
            <w:r w:rsidRPr="009D0556">
              <w:rPr>
                <w:rFonts w:cstheme="minorHAnsi"/>
                <w:sz w:val="20"/>
                <w:szCs w:val="20"/>
              </w:rPr>
              <w:t xml:space="preserve"> země (Donor </w:t>
            </w:r>
            <w:proofErr w:type="spellStart"/>
            <w:r w:rsidRPr="009D0556">
              <w:rPr>
                <w:rFonts w:cstheme="minorHAnsi"/>
                <w:sz w:val="20"/>
                <w:szCs w:val="20"/>
              </w:rPr>
              <w:t>Programme</w:t>
            </w:r>
            <w:proofErr w:type="spellEnd"/>
            <w:r w:rsidRPr="009D0556">
              <w:rPr>
                <w:rFonts w:cstheme="minorHAnsi"/>
                <w:sz w:val="20"/>
                <w:szCs w:val="20"/>
              </w:rPr>
              <w:t xml:space="preserve"> Partner)</w:t>
            </w:r>
          </w:p>
        </w:tc>
      </w:tr>
      <w:tr w:rsidR="009D0556" w:rsidRPr="0049352F" w14:paraId="1E06A26B" w14:textId="77777777" w:rsidTr="008D70A1">
        <w:tc>
          <w:tcPr>
            <w:tcW w:w="2547" w:type="dxa"/>
            <w:vAlign w:val="center"/>
          </w:tcPr>
          <w:p w14:paraId="07D14D35" w14:textId="77777777" w:rsidR="009D0556" w:rsidRPr="009D0556" w:rsidRDefault="009D0556" w:rsidP="009D0556">
            <w:pPr>
              <w:rPr>
                <w:rFonts w:cstheme="minorHAnsi"/>
                <w:sz w:val="20"/>
                <w:szCs w:val="20"/>
              </w:rPr>
            </w:pPr>
            <w:r w:rsidRPr="009D0556">
              <w:rPr>
                <w:rFonts w:cstheme="minorHAnsi"/>
                <w:sz w:val="20"/>
                <w:szCs w:val="20"/>
              </w:rPr>
              <w:t>DZS</w:t>
            </w:r>
          </w:p>
        </w:tc>
        <w:tc>
          <w:tcPr>
            <w:tcW w:w="6516" w:type="dxa"/>
            <w:vAlign w:val="center"/>
          </w:tcPr>
          <w:p w14:paraId="038B9CAF" w14:textId="77777777" w:rsidR="009D0556" w:rsidRPr="009D0556" w:rsidRDefault="009D0556" w:rsidP="008D70A1">
            <w:pPr>
              <w:rPr>
                <w:rFonts w:cstheme="minorHAnsi"/>
                <w:sz w:val="20"/>
                <w:szCs w:val="20"/>
              </w:rPr>
            </w:pPr>
            <w:r w:rsidRPr="008D70A1">
              <w:rPr>
                <w:rStyle w:val="Siln"/>
                <w:rFonts w:cstheme="minorHAnsi"/>
                <w:b w:val="0"/>
                <w:color w:val="000000"/>
                <w:sz w:val="20"/>
                <w:szCs w:val="20"/>
              </w:rPr>
              <w:t>Dům zahraniční spolupráce</w:t>
            </w:r>
          </w:p>
        </w:tc>
      </w:tr>
      <w:tr w:rsidR="009D0556" w:rsidRPr="0049352F" w14:paraId="71DA8A59" w14:textId="77777777" w:rsidTr="008D70A1">
        <w:tc>
          <w:tcPr>
            <w:tcW w:w="2547" w:type="dxa"/>
            <w:vAlign w:val="center"/>
          </w:tcPr>
          <w:p w14:paraId="7F91A93A" w14:textId="77777777" w:rsidR="009D0556" w:rsidRPr="009D0556" w:rsidRDefault="009D0556" w:rsidP="009D0556">
            <w:pPr>
              <w:rPr>
                <w:rFonts w:cstheme="minorHAnsi"/>
                <w:sz w:val="20"/>
                <w:szCs w:val="20"/>
              </w:rPr>
            </w:pPr>
            <w:r w:rsidRPr="009D0556">
              <w:rPr>
                <w:rFonts w:cstheme="minorHAnsi"/>
                <w:sz w:val="20"/>
                <w:szCs w:val="20"/>
              </w:rPr>
              <w:t>EHP</w:t>
            </w:r>
          </w:p>
        </w:tc>
        <w:tc>
          <w:tcPr>
            <w:tcW w:w="6516" w:type="dxa"/>
            <w:vAlign w:val="center"/>
          </w:tcPr>
          <w:p w14:paraId="1216056B" w14:textId="77777777" w:rsidR="009D0556" w:rsidRPr="009D0556" w:rsidRDefault="009D0556" w:rsidP="008D70A1">
            <w:pPr>
              <w:rPr>
                <w:rFonts w:cstheme="minorHAnsi"/>
                <w:sz w:val="20"/>
                <w:szCs w:val="20"/>
              </w:rPr>
            </w:pPr>
            <w:r w:rsidRPr="009D0556">
              <w:rPr>
                <w:rFonts w:cstheme="minorHAnsi"/>
                <w:sz w:val="20"/>
                <w:szCs w:val="20"/>
              </w:rPr>
              <w:t>Evropský hospodářský prostor</w:t>
            </w:r>
          </w:p>
        </w:tc>
      </w:tr>
      <w:tr w:rsidR="009D0556" w:rsidRPr="0049352F" w14:paraId="7653BDF7" w14:textId="77777777" w:rsidTr="008D70A1">
        <w:tc>
          <w:tcPr>
            <w:tcW w:w="2547" w:type="dxa"/>
            <w:vAlign w:val="center"/>
          </w:tcPr>
          <w:p w14:paraId="67FA662D" w14:textId="77777777" w:rsidR="009D0556" w:rsidRPr="009D0556" w:rsidRDefault="009D0556" w:rsidP="009D0556">
            <w:pPr>
              <w:rPr>
                <w:rFonts w:cstheme="minorHAnsi"/>
                <w:sz w:val="20"/>
                <w:szCs w:val="20"/>
              </w:rPr>
            </w:pPr>
            <w:r w:rsidRPr="009D0556">
              <w:rPr>
                <w:rFonts w:cstheme="minorHAnsi"/>
                <w:sz w:val="20"/>
                <w:szCs w:val="20"/>
              </w:rPr>
              <w:t>EU</w:t>
            </w:r>
          </w:p>
        </w:tc>
        <w:tc>
          <w:tcPr>
            <w:tcW w:w="6516" w:type="dxa"/>
            <w:vAlign w:val="center"/>
          </w:tcPr>
          <w:p w14:paraId="0C2EB148" w14:textId="77777777" w:rsidR="009D0556" w:rsidRPr="009D0556" w:rsidRDefault="009D0556" w:rsidP="008D70A1">
            <w:pPr>
              <w:rPr>
                <w:rFonts w:cstheme="minorHAnsi"/>
                <w:sz w:val="20"/>
                <w:szCs w:val="20"/>
              </w:rPr>
            </w:pPr>
            <w:r w:rsidRPr="009D0556">
              <w:rPr>
                <w:rFonts w:cstheme="minorHAnsi"/>
                <w:sz w:val="20"/>
                <w:szCs w:val="20"/>
              </w:rPr>
              <w:t>Evropská unie</w:t>
            </w:r>
          </w:p>
        </w:tc>
      </w:tr>
      <w:tr w:rsidR="009D0556" w:rsidRPr="0049352F" w14:paraId="0A46AE5F" w14:textId="77777777" w:rsidTr="008D70A1">
        <w:tc>
          <w:tcPr>
            <w:tcW w:w="2547" w:type="dxa"/>
            <w:vAlign w:val="center"/>
          </w:tcPr>
          <w:p w14:paraId="05ABB062" w14:textId="5B92D21A" w:rsidR="009D0556" w:rsidRPr="009D0556" w:rsidRDefault="009D0556" w:rsidP="009D0556">
            <w:pPr>
              <w:rPr>
                <w:rFonts w:cstheme="minorHAnsi"/>
                <w:sz w:val="20"/>
                <w:szCs w:val="20"/>
              </w:rPr>
            </w:pPr>
            <w:r w:rsidRPr="009D0556">
              <w:rPr>
                <w:rFonts w:cstheme="minorHAnsi"/>
                <w:sz w:val="20"/>
                <w:szCs w:val="20"/>
              </w:rPr>
              <w:t>Finanční mechanismy</w:t>
            </w:r>
          </w:p>
        </w:tc>
        <w:tc>
          <w:tcPr>
            <w:tcW w:w="6516" w:type="dxa"/>
            <w:vAlign w:val="center"/>
          </w:tcPr>
          <w:p w14:paraId="269A58A0" w14:textId="2A93186C" w:rsidR="009D0556" w:rsidRPr="00E67119" w:rsidRDefault="009D0556" w:rsidP="009D0556">
            <w:pPr>
              <w:rPr>
                <w:rFonts w:cstheme="minorHAnsi"/>
                <w:sz w:val="20"/>
                <w:szCs w:val="20"/>
              </w:rPr>
            </w:pPr>
            <w:r w:rsidRPr="009D0556">
              <w:rPr>
                <w:rFonts w:cstheme="minorHAnsi"/>
                <w:sz w:val="20"/>
                <w:szCs w:val="20"/>
              </w:rPr>
              <w:t>Finanční mechanismus Evropského hospodářského prostoru a finanční mechanismus Norska</w:t>
            </w:r>
          </w:p>
        </w:tc>
      </w:tr>
      <w:tr w:rsidR="009D0556" w:rsidRPr="0049352F" w14:paraId="72BD6F54" w14:textId="77777777" w:rsidTr="008D70A1">
        <w:tc>
          <w:tcPr>
            <w:tcW w:w="2547" w:type="dxa"/>
            <w:vAlign w:val="center"/>
          </w:tcPr>
          <w:p w14:paraId="549C277C" w14:textId="77777777" w:rsidR="009D0556" w:rsidRPr="009D0556" w:rsidRDefault="009D0556" w:rsidP="009D0556">
            <w:pPr>
              <w:rPr>
                <w:rFonts w:cstheme="minorHAnsi"/>
                <w:sz w:val="20"/>
                <w:szCs w:val="20"/>
              </w:rPr>
            </w:pPr>
            <w:r w:rsidRPr="009D0556">
              <w:rPr>
                <w:rFonts w:cstheme="minorHAnsi"/>
                <w:sz w:val="20"/>
                <w:szCs w:val="20"/>
              </w:rPr>
              <w:t>FM</w:t>
            </w:r>
          </w:p>
        </w:tc>
        <w:tc>
          <w:tcPr>
            <w:tcW w:w="6516" w:type="dxa"/>
            <w:vAlign w:val="center"/>
          </w:tcPr>
          <w:p w14:paraId="05A3AA00" w14:textId="77777777" w:rsidR="009D0556" w:rsidRPr="009D0556" w:rsidRDefault="009D0556" w:rsidP="008D70A1">
            <w:pPr>
              <w:rPr>
                <w:rFonts w:cstheme="minorHAnsi"/>
                <w:sz w:val="20"/>
                <w:szCs w:val="20"/>
              </w:rPr>
            </w:pPr>
            <w:r w:rsidRPr="009D0556">
              <w:rPr>
                <w:rFonts w:cstheme="minorHAnsi"/>
                <w:sz w:val="20"/>
                <w:szCs w:val="20"/>
              </w:rPr>
              <w:t>Finanční mechanismus</w:t>
            </w:r>
          </w:p>
        </w:tc>
      </w:tr>
      <w:tr w:rsidR="009D0556" w:rsidRPr="0049352F" w14:paraId="14C4265C" w14:textId="77777777" w:rsidTr="008D70A1">
        <w:tc>
          <w:tcPr>
            <w:tcW w:w="2547" w:type="dxa"/>
            <w:vAlign w:val="center"/>
          </w:tcPr>
          <w:p w14:paraId="6864E598" w14:textId="77777777" w:rsidR="009D0556" w:rsidRPr="009D0556" w:rsidRDefault="009D0556" w:rsidP="009D0556">
            <w:pPr>
              <w:rPr>
                <w:rFonts w:cstheme="minorHAnsi"/>
                <w:sz w:val="20"/>
                <w:szCs w:val="20"/>
              </w:rPr>
            </w:pPr>
            <w:r w:rsidRPr="009D0556">
              <w:rPr>
                <w:rFonts w:cstheme="minorHAnsi"/>
                <w:sz w:val="20"/>
                <w:szCs w:val="20"/>
              </w:rPr>
              <w:t>IN</w:t>
            </w:r>
          </w:p>
        </w:tc>
        <w:tc>
          <w:tcPr>
            <w:tcW w:w="6516" w:type="dxa"/>
            <w:vAlign w:val="center"/>
          </w:tcPr>
          <w:p w14:paraId="01C8F0A2" w14:textId="77777777" w:rsidR="009D0556" w:rsidRPr="009D0556" w:rsidRDefault="009D0556" w:rsidP="008D70A1">
            <w:pPr>
              <w:rPr>
                <w:rFonts w:cstheme="minorHAnsi"/>
                <w:sz w:val="20"/>
                <w:szCs w:val="20"/>
              </w:rPr>
            </w:pPr>
            <w:proofErr w:type="spellStart"/>
            <w:r w:rsidRPr="008D70A1">
              <w:rPr>
                <w:rFonts w:cstheme="minorHAnsi"/>
                <w:color w:val="000000"/>
                <w:sz w:val="20"/>
                <w:szCs w:val="20"/>
              </w:rPr>
              <w:t>Innovation</w:t>
            </w:r>
            <w:proofErr w:type="spellEnd"/>
            <w:r w:rsidRPr="008D70A1">
              <w:rPr>
                <w:rFonts w:cstheme="minorHAnsi"/>
                <w:color w:val="000000"/>
                <w:sz w:val="20"/>
                <w:szCs w:val="20"/>
              </w:rPr>
              <w:t xml:space="preserve"> </w:t>
            </w:r>
            <w:proofErr w:type="spellStart"/>
            <w:r w:rsidRPr="008D70A1">
              <w:rPr>
                <w:rFonts w:cstheme="minorHAnsi"/>
                <w:color w:val="000000"/>
                <w:sz w:val="20"/>
                <w:szCs w:val="20"/>
              </w:rPr>
              <w:t>Norway</w:t>
            </w:r>
            <w:proofErr w:type="spellEnd"/>
          </w:p>
        </w:tc>
      </w:tr>
      <w:tr w:rsidR="004C4F67" w:rsidRPr="0049352F" w14:paraId="78283CFD" w14:textId="77777777" w:rsidTr="00E67119">
        <w:tc>
          <w:tcPr>
            <w:tcW w:w="2547" w:type="dxa"/>
            <w:vAlign w:val="center"/>
          </w:tcPr>
          <w:p w14:paraId="3C41FE8A" w14:textId="0DF77408" w:rsidR="004C4F67" w:rsidRPr="009D0556" w:rsidRDefault="004C4F67" w:rsidP="009D0556">
            <w:pPr>
              <w:rPr>
                <w:rFonts w:cstheme="minorHAnsi"/>
                <w:sz w:val="20"/>
                <w:szCs w:val="20"/>
              </w:rPr>
            </w:pPr>
            <w:r>
              <w:rPr>
                <w:rFonts w:cstheme="minorHAnsi"/>
                <w:sz w:val="20"/>
                <w:szCs w:val="20"/>
              </w:rPr>
              <w:t>IS CEDR</w:t>
            </w:r>
          </w:p>
        </w:tc>
        <w:tc>
          <w:tcPr>
            <w:tcW w:w="6516" w:type="dxa"/>
            <w:vAlign w:val="center"/>
          </w:tcPr>
          <w:p w14:paraId="4ACEBCA7" w14:textId="55A81BCD" w:rsidR="004C4F67" w:rsidRPr="004C4F67" w:rsidRDefault="004C4F67" w:rsidP="006B621B">
            <w:pPr>
              <w:rPr>
                <w:rFonts w:cstheme="minorHAnsi"/>
                <w:color w:val="000000"/>
                <w:sz w:val="20"/>
                <w:szCs w:val="20"/>
              </w:rPr>
            </w:pPr>
            <w:r>
              <w:rPr>
                <w:rFonts w:cstheme="minorHAnsi"/>
                <w:color w:val="000000"/>
                <w:sz w:val="20"/>
                <w:szCs w:val="20"/>
              </w:rPr>
              <w:t xml:space="preserve">Informační systém </w:t>
            </w:r>
            <w:r w:rsidR="006B621B" w:rsidRPr="002A0CB6">
              <w:rPr>
                <w:rFonts w:cstheme="minorHAnsi"/>
                <w:i/>
                <w:color w:val="464647"/>
                <w:sz w:val="20"/>
                <w:szCs w:val="20"/>
                <w:shd w:val="clear" w:color="auto" w:fill="FFFFFF"/>
              </w:rPr>
              <w:t xml:space="preserve">Centrální evidence dotací z rozpočtu </w:t>
            </w:r>
          </w:p>
        </w:tc>
      </w:tr>
      <w:tr w:rsidR="009D0556" w:rsidRPr="0049352F" w14:paraId="26F58CCB" w14:textId="77777777" w:rsidTr="008D70A1">
        <w:tc>
          <w:tcPr>
            <w:tcW w:w="2547" w:type="dxa"/>
            <w:vAlign w:val="center"/>
          </w:tcPr>
          <w:p w14:paraId="4400510B" w14:textId="77777777" w:rsidR="009D0556" w:rsidRPr="009D0556" w:rsidRDefault="009D0556" w:rsidP="009D0556">
            <w:pPr>
              <w:rPr>
                <w:rFonts w:cstheme="minorHAnsi"/>
                <w:sz w:val="20"/>
                <w:szCs w:val="20"/>
              </w:rPr>
            </w:pPr>
            <w:r w:rsidRPr="009D0556">
              <w:rPr>
                <w:rFonts w:cstheme="minorHAnsi"/>
                <w:sz w:val="20"/>
                <w:szCs w:val="20"/>
              </w:rPr>
              <w:t>KFM</w:t>
            </w:r>
          </w:p>
        </w:tc>
        <w:tc>
          <w:tcPr>
            <w:tcW w:w="6516" w:type="dxa"/>
            <w:vAlign w:val="center"/>
          </w:tcPr>
          <w:p w14:paraId="5B31F7A0" w14:textId="77777777" w:rsidR="009D0556" w:rsidRPr="009D0556" w:rsidRDefault="009D0556" w:rsidP="008D70A1">
            <w:pPr>
              <w:rPr>
                <w:rFonts w:cstheme="minorHAnsi"/>
                <w:sz w:val="20"/>
                <w:szCs w:val="20"/>
              </w:rPr>
            </w:pPr>
            <w:r w:rsidRPr="009D0556">
              <w:rPr>
                <w:rFonts w:cstheme="minorHAnsi"/>
                <w:sz w:val="20"/>
                <w:szCs w:val="20"/>
              </w:rPr>
              <w:t>Kancelář finančních mechanismů</w:t>
            </w:r>
          </w:p>
        </w:tc>
      </w:tr>
      <w:tr w:rsidR="009D0556" w:rsidRPr="0049352F" w14:paraId="7A99E88A" w14:textId="77777777" w:rsidTr="008D70A1">
        <w:tc>
          <w:tcPr>
            <w:tcW w:w="2547" w:type="dxa"/>
            <w:vAlign w:val="center"/>
          </w:tcPr>
          <w:p w14:paraId="35270F27" w14:textId="77777777" w:rsidR="009D0556" w:rsidRPr="009D0556" w:rsidRDefault="009D0556" w:rsidP="009D0556">
            <w:pPr>
              <w:rPr>
                <w:rFonts w:cstheme="minorHAnsi"/>
                <w:sz w:val="20"/>
                <w:szCs w:val="20"/>
              </w:rPr>
            </w:pPr>
            <w:r w:rsidRPr="009D0556">
              <w:rPr>
                <w:rFonts w:cstheme="minorHAnsi"/>
                <w:sz w:val="20"/>
                <w:szCs w:val="20"/>
              </w:rPr>
              <w:t>MF</w:t>
            </w:r>
          </w:p>
        </w:tc>
        <w:tc>
          <w:tcPr>
            <w:tcW w:w="6516" w:type="dxa"/>
            <w:vAlign w:val="center"/>
          </w:tcPr>
          <w:p w14:paraId="367D28FB" w14:textId="77777777" w:rsidR="009D0556" w:rsidRPr="009D0556" w:rsidRDefault="009D0556" w:rsidP="008D70A1">
            <w:pPr>
              <w:rPr>
                <w:rFonts w:cstheme="minorHAnsi"/>
                <w:sz w:val="20"/>
                <w:szCs w:val="20"/>
              </w:rPr>
            </w:pPr>
            <w:r w:rsidRPr="009D0556">
              <w:rPr>
                <w:rFonts w:cstheme="minorHAnsi"/>
                <w:sz w:val="20"/>
                <w:szCs w:val="20"/>
              </w:rPr>
              <w:t>Ministerstvo financí</w:t>
            </w:r>
          </w:p>
        </w:tc>
      </w:tr>
      <w:tr w:rsidR="009D0556" w:rsidRPr="0049352F" w14:paraId="26F5A9B5" w14:textId="77777777" w:rsidTr="008D70A1">
        <w:tc>
          <w:tcPr>
            <w:tcW w:w="2547" w:type="dxa"/>
            <w:vAlign w:val="center"/>
          </w:tcPr>
          <w:p w14:paraId="7D7B01A5" w14:textId="77777777" w:rsidR="009D0556" w:rsidRPr="009D0556" w:rsidRDefault="009D0556" w:rsidP="009D0556">
            <w:pPr>
              <w:rPr>
                <w:rFonts w:cstheme="minorHAnsi"/>
                <w:sz w:val="20"/>
                <w:szCs w:val="20"/>
              </w:rPr>
            </w:pPr>
            <w:r w:rsidRPr="009D0556">
              <w:rPr>
                <w:rFonts w:cstheme="minorHAnsi"/>
                <w:sz w:val="20"/>
                <w:szCs w:val="20"/>
              </w:rPr>
              <w:t>MGS</w:t>
            </w:r>
          </w:p>
        </w:tc>
        <w:tc>
          <w:tcPr>
            <w:tcW w:w="6516" w:type="dxa"/>
            <w:vAlign w:val="center"/>
          </w:tcPr>
          <w:p w14:paraId="72FB1F88" w14:textId="681CAD11" w:rsidR="009D0556" w:rsidRPr="009D0556" w:rsidRDefault="009D0556" w:rsidP="008D70A1">
            <w:pPr>
              <w:rPr>
                <w:rFonts w:cstheme="minorHAnsi"/>
                <w:sz w:val="20"/>
                <w:szCs w:val="20"/>
              </w:rPr>
            </w:pPr>
            <w:r w:rsidRPr="009D0556">
              <w:rPr>
                <w:rFonts w:cstheme="minorHAnsi"/>
                <w:sz w:val="20"/>
                <w:szCs w:val="20"/>
              </w:rPr>
              <w:t>Malé grantové schéma</w:t>
            </w:r>
          </w:p>
        </w:tc>
      </w:tr>
      <w:tr w:rsidR="009D0556" w:rsidRPr="0049352F" w14:paraId="4CB30A53" w14:textId="77777777" w:rsidTr="008D70A1">
        <w:tc>
          <w:tcPr>
            <w:tcW w:w="2547" w:type="dxa"/>
            <w:vAlign w:val="center"/>
          </w:tcPr>
          <w:p w14:paraId="397C3DA0" w14:textId="77777777" w:rsidR="009D0556" w:rsidRPr="009D0556" w:rsidRDefault="009D0556" w:rsidP="009D0556">
            <w:pPr>
              <w:rPr>
                <w:rFonts w:cstheme="minorHAnsi"/>
                <w:sz w:val="20"/>
                <w:szCs w:val="20"/>
              </w:rPr>
            </w:pPr>
            <w:proofErr w:type="gramStart"/>
            <w:r w:rsidRPr="009D0556">
              <w:rPr>
                <w:rFonts w:cstheme="minorHAnsi"/>
                <w:sz w:val="20"/>
                <w:szCs w:val="20"/>
              </w:rPr>
              <w:t>MI</w:t>
            </w:r>
            <w:proofErr w:type="gramEnd"/>
          </w:p>
        </w:tc>
        <w:tc>
          <w:tcPr>
            <w:tcW w:w="6516" w:type="dxa"/>
            <w:vAlign w:val="center"/>
          </w:tcPr>
          <w:p w14:paraId="6E54F7CB" w14:textId="77777777" w:rsidR="009D0556" w:rsidRPr="009D0556" w:rsidRDefault="009D0556" w:rsidP="008D70A1">
            <w:pPr>
              <w:rPr>
                <w:rFonts w:cstheme="minorHAnsi"/>
                <w:sz w:val="20"/>
                <w:szCs w:val="20"/>
              </w:rPr>
            </w:pPr>
            <w:r w:rsidRPr="009D0556">
              <w:rPr>
                <w:rFonts w:cstheme="minorHAnsi"/>
                <w:sz w:val="20"/>
                <w:szCs w:val="20"/>
              </w:rPr>
              <w:t>Monitorovací indikátory</w:t>
            </w:r>
          </w:p>
        </w:tc>
      </w:tr>
      <w:tr w:rsidR="009D0556" w:rsidRPr="0049352F" w14:paraId="4CCA92C8" w14:textId="77777777" w:rsidTr="008D70A1">
        <w:tc>
          <w:tcPr>
            <w:tcW w:w="2547" w:type="dxa"/>
            <w:vAlign w:val="center"/>
          </w:tcPr>
          <w:p w14:paraId="0B9FFB6E" w14:textId="77777777" w:rsidR="009D0556" w:rsidRPr="009D0556" w:rsidRDefault="009D0556" w:rsidP="009D0556">
            <w:pPr>
              <w:rPr>
                <w:rFonts w:cstheme="minorHAnsi"/>
                <w:sz w:val="20"/>
                <w:szCs w:val="20"/>
              </w:rPr>
            </w:pPr>
            <w:r w:rsidRPr="009D0556">
              <w:rPr>
                <w:rFonts w:cstheme="minorHAnsi"/>
                <w:sz w:val="20"/>
                <w:szCs w:val="20"/>
              </w:rPr>
              <w:t>MPSV</w:t>
            </w:r>
          </w:p>
        </w:tc>
        <w:tc>
          <w:tcPr>
            <w:tcW w:w="6516" w:type="dxa"/>
            <w:vAlign w:val="center"/>
          </w:tcPr>
          <w:p w14:paraId="137D664F" w14:textId="77777777" w:rsidR="009D0556" w:rsidRPr="009D0556" w:rsidRDefault="009D0556" w:rsidP="008D70A1">
            <w:pPr>
              <w:rPr>
                <w:rFonts w:cstheme="minorHAnsi"/>
                <w:sz w:val="20"/>
                <w:szCs w:val="20"/>
              </w:rPr>
            </w:pPr>
            <w:r w:rsidRPr="009D0556">
              <w:rPr>
                <w:rFonts w:cstheme="minorHAnsi"/>
                <w:sz w:val="20"/>
                <w:szCs w:val="20"/>
              </w:rPr>
              <w:t>Ministerstvo práce a sociálních věcí</w:t>
            </w:r>
          </w:p>
        </w:tc>
      </w:tr>
      <w:tr w:rsidR="009D0556" w:rsidRPr="0049352F" w14:paraId="38A5CDE1" w14:textId="77777777" w:rsidTr="008D70A1">
        <w:tc>
          <w:tcPr>
            <w:tcW w:w="2547" w:type="dxa"/>
            <w:vAlign w:val="center"/>
          </w:tcPr>
          <w:p w14:paraId="126DD156" w14:textId="77777777" w:rsidR="009D0556" w:rsidRPr="009D0556" w:rsidRDefault="009D0556" w:rsidP="009D0556">
            <w:pPr>
              <w:rPr>
                <w:rFonts w:cstheme="minorHAnsi"/>
                <w:sz w:val="20"/>
                <w:szCs w:val="20"/>
              </w:rPr>
            </w:pPr>
            <w:proofErr w:type="spellStart"/>
            <w:r w:rsidRPr="009D0556">
              <w:rPr>
                <w:rFonts w:cstheme="minorHAnsi"/>
                <w:sz w:val="20"/>
                <w:szCs w:val="20"/>
              </w:rPr>
              <w:t>MSp</w:t>
            </w:r>
            <w:proofErr w:type="spellEnd"/>
          </w:p>
        </w:tc>
        <w:tc>
          <w:tcPr>
            <w:tcW w:w="6516" w:type="dxa"/>
            <w:vAlign w:val="center"/>
          </w:tcPr>
          <w:p w14:paraId="1A047915" w14:textId="77777777" w:rsidR="009D0556" w:rsidRPr="009D0556" w:rsidRDefault="009D0556" w:rsidP="008D70A1">
            <w:pPr>
              <w:rPr>
                <w:rFonts w:cstheme="minorHAnsi"/>
                <w:sz w:val="20"/>
                <w:szCs w:val="20"/>
              </w:rPr>
            </w:pPr>
            <w:r w:rsidRPr="009D0556">
              <w:rPr>
                <w:rFonts w:cstheme="minorHAnsi"/>
                <w:sz w:val="20"/>
                <w:szCs w:val="20"/>
              </w:rPr>
              <w:t>Ministerstvo spravedlnosti</w:t>
            </w:r>
          </w:p>
        </w:tc>
      </w:tr>
      <w:tr w:rsidR="009D0556" w:rsidRPr="0049352F" w14:paraId="14CB6986" w14:textId="77777777" w:rsidTr="008D70A1">
        <w:tc>
          <w:tcPr>
            <w:tcW w:w="2547" w:type="dxa"/>
            <w:vAlign w:val="center"/>
          </w:tcPr>
          <w:p w14:paraId="4BD813DE" w14:textId="77777777" w:rsidR="009D0556" w:rsidRPr="009D0556" w:rsidRDefault="009D0556" w:rsidP="009D0556">
            <w:pPr>
              <w:rPr>
                <w:rFonts w:cstheme="minorHAnsi"/>
                <w:sz w:val="20"/>
                <w:szCs w:val="20"/>
              </w:rPr>
            </w:pPr>
            <w:r w:rsidRPr="009D0556">
              <w:rPr>
                <w:rFonts w:cstheme="minorHAnsi"/>
                <w:sz w:val="20"/>
                <w:szCs w:val="20"/>
              </w:rPr>
              <w:t>MŠMT</w:t>
            </w:r>
          </w:p>
        </w:tc>
        <w:tc>
          <w:tcPr>
            <w:tcW w:w="6516" w:type="dxa"/>
            <w:vAlign w:val="center"/>
          </w:tcPr>
          <w:p w14:paraId="3B7F1167" w14:textId="77777777" w:rsidR="009D0556" w:rsidRPr="009D0556" w:rsidRDefault="009D0556" w:rsidP="008D70A1">
            <w:pPr>
              <w:rPr>
                <w:rFonts w:cstheme="minorHAnsi"/>
                <w:sz w:val="20"/>
                <w:szCs w:val="20"/>
              </w:rPr>
            </w:pPr>
            <w:r w:rsidRPr="009D0556">
              <w:rPr>
                <w:rFonts w:cstheme="minorHAnsi"/>
                <w:sz w:val="20"/>
                <w:szCs w:val="20"/>
              </w:rPr>
              <w:t>Ministerstvo školství, mládeže a tělovýchovy</w:t>
            </w:r>
          </w:p>
        </w:tc>
      </w:tr>
      <w:tr w:rsidR="009D0556" w:rsidRPr="0049352F" w14:paraId="1242D86C" w14:textId="77777777" w:rsidTr="008D70A1">
        <w:tc>
          <w:tcPr>
            <w:tcW w:w="2547" w:type="dxa"/>
            <w:vAlign w:val="center"/>
          </w:tcPr>
          <w:p w14:paraId="5A9BE9A2" w14:textId="77777777" w:rsidR="009D0556" w:rsidRPr="009D0556" w:rsidRDefault="009D0556" w:rsidP="009D0556">
            <w:pPr>
              <w:rPr>
                <w:rFonts w:cstheme="minorHAnsi"/>
                <w:sz w:val="20"/>
                <w:szCs w:val="20"/>
              </w:rPr>
            </w:pPr>
            <w:r w:rsidRPr="009D0556">
              <w:rPr>
                <w:rFonts w:cstheme="minorHAnsi"/>
                <w:sz w:val="20"/>
                <w:szCs w:val="20"/>
              </w:rPr>
              <w:t>MV</w:t>
            </w:r>
          </w:p>
        </w:tc>
        <w:tc>
          <w:tcPr>
            <w:tcW w:w="6516" w:type="dxa"/>
            <w:vAlign w:val="center"/>
          </w:tcPr>
          <w:p w14:paraId="2A5ECF48" w14:textId="77777777" w:rsidR="009D0556" w:rsidRPr="009D0556" w:rsidRDefault="009D0556" w:rsidP="008D70A1">
            <w:pPr>
              <w:rPr>
                <w:rFonts w:cstheme="minorHAnsi"/>
                <w:sz w:val="20"/>
                <w:szCs w:val="20"/>
              </w:rPr>
            </w:pPr>
            <w:r w:rsidRPr="009D0556">
              <w:rPr>
                <w:rFonts w:cstheme="minorHAnsi"/>
                <w:sz w:val="20"/>
                <w:szCs w:val="20"/>
              </w:rPr>
              <w:t>Ministerstvo vnitra</w:t>
            </w:r>
          </w:p>
        </w:tc>
      </w:tr>
      <w:tr w:rsidR="009D0556" w:rsidRPr="0049352F" w14:paraId="50499A6F" w14:textId="77777777" w:rsidTr="008D70A1">
        <w:tc>
          <w:tcPr>
            <w:tcW w:w="2547" w:type="dxa"/>
            <w:vAlign w:val="center"/>
          </w:tcPr>
          <w:p w14:paraId="297563DA" w14:textId="77777777" w:rsidR="009D0556" w:rsidRPr="009D0556" w:rsidRDefault="009D0556" w:rsidP="009D0556">
            <w:pPr>
              <w:rPr>
                <w:rFonts w:cstheme="minorHAnsi"/>
                <w:sz w:val="20"/>
                <w:szCs w:val="20"/>
              </w:rPr>
            </w:pPr>
            <w:r w:rsidRPr="009D0556">
              <w:rPr>
                <w:rFonts w:cstheme="minorHAnsi"/>
                <w:sz w:val="20"/>
                <w:szCs w:val="20"/>
              </w:rPr>
              <w:t>MZ</w:t>
            </w:r>
          </w:p>
        </w:tc>
        <w:tc>
          <w:tcPr>
            <w:tcW w:w="6516" w:type="dxa"/>
            <w:vAlign w:val="center"/>
          </w:tcPr>
          <w:p w14:paraId="17847A04" w14:textId="77777777" w:rsidR="009D0556" w:rsidRPr="009D0556" w:rsidRDefault="009D0556" w:rsidP="008D70A1">
            <w:pPr>
              <w:rPr>
                <w:rFonts w:cstheme="minorHAnsi"/>
                <w:sz w:val="20"/>
                <w:szCs w:val="20"/>
              </w:rPr>
            </w:pPr>
            <w:r w:rsidRPr="009D0556">
              <w:rPr>
                <w:rFonts w:cstheme="minorHAnsi"/>
                <w:sz w:val="20"/>
                <w:szCs w:val="20"/>
              </w:rPr>
              <w:t>Ministerstvo zdravotnictví</w:t>
            </w:r>
          </w:p>
        </w:tc>
      </w:tr>
      <w:tr w:rsidR="009D0556" w:rsidRPr="0049352F" w14:paraId="4C0E7A15" w14:textId="77777777" w:rsidTr="008D70A1">
        <w:tc>
          <w:tcPr>
            <w:tcW w:w="2547" w:type="dxa"/>
            <w:vAlign w:val="center"/>
          </w:tcPr>
          <w:p w14:paraId="32B669E5" w14:textId="77777777" w:rsidR="009D0556" w:rsidRPr="009D0556" w:rsidRDefault="009D0556" w:rsidP="009D0556">
            <w:pPr>
              <w:rPr>
                <w:rFonts w:cstheme="minorHAnsi"/>
                <w:sz w:val="20"/>
                <w:szCs w:val="20"/>
              </w:rPr>
            </w:pPr>
            <w:r w:rsidRPr="009D0556">
              <w:rPr>
                <w:rFonts w:cstheme="minorHAnsi"/>
                <w:sz w:val="20"/>
                <w:szCs w:val="20"/>
              </w:rPr>
              <w:t>MZVN</w:t>
            </w:r>
          </w:p>
        </w:tc>
        <w:tc>
          <w:tcPr>
            <w:tcW w:w="6516" w:type="dxa"/>
            <w:vAlign w:val="center"/>
          </w:tcPr>
          <w:p w14:paraId="1B093A4E" w14:textId="77777777" w:rsidR="009D0556" w:rsidRPr="009D0556" w:rsidRDefault="009D0556" w:rsidP="008D70A1">
            <w:pPr>
              <w:rPr>
                <w:rFonts w:cstheme="minorHAnsi"/>
                <w:sz w:val="20"/>
                <w:szCs w:val="20"/>
              </w:rPr>
            </w:pPr>
            <w:r w:rsidRPr="009D0556">
              <w:rPr>
                <w:rFonts w:cstheme="minorHAnsi"/>
                <w:sz w:val="20"/>
                <w:szCs w:val="20"/>
              </w:rPr>
              <w:t>Ministerstvo zahraničních věcí Norska</w:t>
            </w:r>
          </w:p>
        </w:tc>
      </w:tr>
      <w:tr w:rsidR="009D0556" w:rsidRPr="0049352F" w14:paraId="34EDE439" w14:textId="77777777" w:rsidTr="008D70A1">
        <w:tc>
          <w:tcPr>
            <w:tcW w:w="2547" w:type="dxa"/>
            <w:vAlign w:val="center"/>
          </w:tcPr>
          <w:p w14:paraId="626E56DC" w14:textId="77777777" w:rsidR="009D0556" w:rsidRPr="009D0556" w:rsidRDefault="009D0556" w:rsidP="009D0556">
            <w:pPr>
              <w:rPr>
                <w:rFonts w:cstheme="minorHAnsi"/>
                <w:sz w:val="20"/>
                <w:szCs w:val="20"/>
              </w:rPr>
            </w:pPr>
            <w:r w:rsidRPr="009D0556">
              <w:rPr>
                <w:rFonts w:cstheme="minorHAnsi"/>
                <w:sz w:val="20"/>
                <w:szCs w:val="20"/>
              </w:rPr>
              <w:t>n/a</w:t>
            </w:r>
          </w:p>
        </w:tc>
        <w:tc>
          <w:tcPr>
            <w:tcW w:w="6516" w:type="dxa"/>
            <w:vAlign w:val="center"/>
          </w:tcPr>
          <w:p w14:paraId="3E0730F4" w14:textId="54BC46C7" w:rsidR="009D0556" w:rsidRPr="009D0556" w:rsidRDefault="009D0556" w:rsidP="008D70A1">
            <w:pPr>
              <w:rPr>
                <w:rFonts w:cstheme="minorHAnsi"/>
                <w:sz w:val="20"/>
                <w:szCs w:val="20"/>
              </w:rPr>
            </w:pPr>
            <w:r>
              <w:rPr>
                <w:rFonts w:cstheme="minorHAnsi"/>
                <w:sz w:val="20"/>
                <w:szCs w:val="20"/>
              </w:rPr>
              <w:t xml:space="preserve">Not </w:t>
            </w:r>
            <w:proofErr w:type="spellStart"/>
            <w:r>
              <w:rPr>
                <w:rFonts w:cstheme="minorHAnsi"/>
                <w:sz w:val="20"/>
                <w:szCs w:val="20"/>
              </w:rPr>
              <w:t>Available</w:t>
            </w:r>
            <w:proofErr w:type="spellEnd"/>
            <w:r>
              <w:rPr>
                <w:rFonts w:cstheme="minorHAnsi"/>
                <w:sz w:val="20"/>
                <w:szCs w:val="20"/>
              </w:rPr>
              <w:t xml:space="preserve"> (data nejsou dostupná)</w:t>
            </w:r>
          </w:p>
        </w:tc>
      </w:tr>
      <w:tr w:rsidR="009D0556" w:rsidRPr="0049352F" w14:paraId="35A4525D" w14:textId="77777777" w:rsidTr="008D70A1">
        <w:tc>
          <w:tcPr>
            <w:tcW w:w="2547" w:type="dxa"/>
            <w:vAlign w:val="center"/>
          </w:tcPr>
          <w:p w14:paraId="2559218C" w14:textId="77777777" w:rsidR="009D0556" w:rsidRPr="009D0556" w:rsidRDefault="009D0556" w:rsidP="009D0556">
            <w:pPr>
              <w:rPr>
                <w:rFonts w:cstheme="minorHAnsi"/>
                <w:sz w:val="20"/>
                <w:szCs w:val="20"/>
              </w:rPr>
            </w:pPr>
            <w:r w:rsidRPr="009D0556">
              <w:rPr>
                <w:rFonts w:cstheme="minorHAnsi"/>
                <w:sz w:val="20"/>
                <w:szCs w:val="20"/>
              </w:rPr>
              <w:t>NAEP</w:t>
            </w:r>
          </w:p>
        </w:tc>
        <w:tc>
          <w:tcPr>
            <w:tcW w:w="6516" w:type="dxa"/>
            <w:vAlign w:val="center"/>
          </w:tcPr>
          <w:p w14:paraId="6768AC3B" w14:textId="77777777" w:rsidR="009D0556" w:rsidRPr="009D0556" w:rsidRDefault="009D0556" w:rsidP="008D70A1">
            <w:pPr>
              <w:rPr>
                <w:rFonts w:cstheme="minorHAnsi"/>
                <w:sz w:val="20"/>
                <w:szCs w:val="20"/>
              </w:rPr>
            </w:pPr>
            <w:r w:rsidRPr="009D0556">
              <w:rPr>
                <w:rStyle w:val="Siln"/>
                <w:rFonts w:cstheme="minorHAnsi"/>
                <w:b w:val="0"/>
                <w:color w:val="000000"/>
                <w:sz w:val="20"/>
                <w:szCs w:val="20"/>
              </w:rPr>
              <w:t>Národní agentura pro evropské vzdělávací programy</w:t>
            </w:r>
          </w:p>
        </w:tc>
      </w:tr>
      <w:tr w:rsidR="009D0556" w:rsidRPr="0049352F" w14:paraId="1F01E257" w14:textId="77777777" w:rsidTr="008D70A1">
        <w:tc>
          <w:tcPr>
            <w:tcW w:w="2547" w:type="dxa"/>
            <w:vAlign w:val="center"/>
          </w:tcPr>
          <w:p w14:paraId="7BF88815" w14:textId="77777777" w:rsidR="009D0556" w:rsidRPr="009D0556" w:rsidRDefault="009D0556" w:rsidP="009D0556">
            <w:pPr>
              <w:rPr>
                <w:rFonts w:cstheme="minorHAnsi"/>
                <w:sz w:val="20"/>
                <w:szCs w:val="20"/>
              </w:rPr>
            </w:pPr>
            <w:r w:rsidRPr="009D0556">
              <w:rPr>
                <w:rFonts w:cstheme="minorHAnsi"/>
                <w:sz w:val="20"/>
                <w:szCs w:val="20"/>
              </w:rPr>
              <w:t>NKM</w:t>
            </w:r>
          </w:p>
        </w:tc>
        <w:tc>
          <w:tcPr>
            <w:tcW w:w="6516" w:type="dxa"/>
            <w:vAlign w:val="center"/>
          </w:tcPr>
          <w:p w14:paraId="088986B7" w14:textId="77777777" w:rsidR="009D0556" w:rsidRPr="009D0556" w:rsidRDefault="009D0556" w:rsidP="008D70A1">
            <w:pPr>
              <w:rPr>
                <w:rFonts w:cstheme="minorHAnsi"/>
                <w:sz w:val="20"/>
                <w:szCs w:val="20"/>
              </w:rPr>
            </w:pPr>
            <w:r w:rsidRPr="009D0556">
              <w:rPr>
                <w:rFonts w:cstheme="minorHAnsi"/>
                <w:sz w:val="20"/>
                <w:szCs w:val="20"/>
              </w:rPr>
              <w:t>Národní kontaktní místo</w:t>
            </w:r>
          </w:p>
        </w:tc>
      </w:tr>
      <w:tr w:rsidR="009D0556" w:rsidRPr="0049352F" w14:paraId="1821E08A" w14:textId="77777777" w:rsidTr="008D70A1">
        <w:tc>
          <w:tcPr>
            <w:tcW w:w="2547" w:type="dxa"/>
            <w:vAlign w:val="center"/>
          </w:tcPr>
          <w:p w14:paraId="2654DE80" w14:textId="77777777" w:rsidR="009D0556" w:rsidRPr="009D0556" w:rsidRDefault="009D0556" w:rsidP="009D0556">
            <w:pPr>
              <w:rPr>
                <w:rFonts w:cstheme="minorHAnsi"/>
                <w:sz w:val="20"/>
                <w:szCs w:val="20"/>
              </w:rPr>
            </w:pPr>
            <w:r w:rsidRPr="009D0556">
              <w:rPr>
                <w:rFonts w:cstheme="minorHAnsi"/>
                <w:sz w:val="20"/>
                <w:szCs w:val="20"/>
              </w:rPr>
              <w:t>NKÚ</w:t>
            </w:r>
          </w:p>
        </w:tc>
        <w:tc>
          <w:tcPr>
            <w:tcW w:w="6516" w:type="dxa"/>
            <w:vAlign w:val="center"/>
          </w:tcPr>
          <w:p w14:paraId="20E8A580" w14:textId="77777777" w:rsidR="009D0556" w:rsidRPr="009D0556" w:rsidRDefault="009D0556" w:rsidP="008D70A1">
            <w:pPr>
              <w:rPr>
                <w:rFonts w:cstheme="minorHAnsi"/>
                <w:sz w:val="20"/>
                <w:szCs w:val="20"/>
              </w:rPr>
            </w:pPr>
            <w:r w:rsidRPr="009D0556">
              <w:rPr>
                <w:rFonts w:cstheme="minorHAnsi"/>
                <w:sz w:val="20"/>
                <w:szCs w:val="20"/>
              </w:rPr>
              <w:t>Nejvyšší kontrolní úřad</w:t>
            </w:r>
          </w:p>
        </w:tc>
      </w:tr>
      <w:tr w:rsidR="009D0556" w:rsidRPr="0049352F" w14:paraId="2CAC5F2F" w14:textId="77777777" w:rsidTr="008D70A1">
        <w:tc>
          <w:tcPr>
            <w:tcW w:w="2547" w:type="dxa"/>
            <w:vAlign w:val="center"/>
          </w:tcPr>
          <w:p w14:paraId="66AFDB15" w14:textId="77777777" w:rsidR="009D0556" w:rsidRPr="009D0556" w:rsidRDefault="009D0556" w:rsidP="009D0556">
            <w:pPr>
              <w:rPr>
                <w:rFonts w:cstheme="minorHAnsi"/>
                <w:sz w:val="20"/>
                <w:szCs w:val="20"/>
              </w:rPr>
            </w:pPr>
            <w:r w:rsidRPr="009D0556">
              <w:rPr>
                <w:rFonts w:cstheme="minorHAnsi"/>
                <w:sz w:val="20"/>
                <w:szCs w:val="20"/>
              </w:rPr>
              <w:t>NNO</w:t>
            </w:r>
          </w:p>
        </w:tc>
        <w:tc>
          <w:tcPr>
            <w:tcW w:w="6516" w:type="dxa"/>
            <w:vAlign w:val="center"/>
          </w:tcPr>
          <w:p w14:paraId="0374A360" w14:textId="77777777" w:rsidR="009D0556" w:rsidRPr="009D0556" w:rsidRDefault="009D0556" w:rsidP="008D70A1">
            <w:pPr>
              <w:rPr>
                <w:rFonts w:cstheme="minorHAnsi"/>
                <w:sz w:val="20"/>
                <w:szCs w:val="20"/>
              </w:rPr>
            </w:pPr>
            <w:r w:rsidRPr="009D0556">
              <w:rPr>
                <w:rFonts w:cstheme="minorHAnsi"/>
                <w:sz w:val="20"/>
                <w:szCs w:val="20"/>
              </w:rPr>
              <w:t>Nestátní neziskové organizace</w:t>
            </w:r>
          </w:p>
        </w:tc>
      </w:tr>
      <w:tr w:rsidR="009D0556" w:rsidRPr="0049352F" w14:paraId="5C199EB1" w14:textId="77777777" w:rsidTr="008D70A1">
        <w:tc>
          <w:tcPr>
            <w:tcW w:w="2547" w:type="dxa"/>
            <w:vAlign w:val="center"/>
          </w:tcPr>
          <w:p w14:paraId="6BCC6896" w14:textId="77777777" w:rsidR="009D0556" w:rsidRPr="009D0556" w:rsidRDefault="009D0556" w:rsidP="009D0556">
            <w:pPr>
              <w:rPr>
                <w:rFonts w:cstheme="minorHAnsi"/>
                <w:sz w:val="20"/>
                <w:szCs w:val="20"/>
              </w:rPr>
            </w:pPr>
            <w:r w:rsidRPr="009D0556">
              <w:rPr>
                <w:rFonts w:cstheme="minorHAnsi"/>
                <w:sz w:val="20"/>
                <w:szCs w:val="20"/>
              </w:rPr>
              <w:t>NOSFP</w:t>
            </w:r>
          </w:p>
        </w:tc>
        <w:tc>
          <w:tcPr>
            <w:tcW w:w="6516" w:type="dxa"/>
            <w:vAlign w:val="center"/>
          </w:tcPr>
          <w:p w14:paraId="1BD52C85" w14:textId="77777777" w:rsidR="009D0556" w:rsidRPr="009D0556" w:rsidRDefault="009D0556" w:rsidP="008D70A1">
            <w:pPr>
              <w:rPr>
                <w:rFonts w:cstheme="minorHAnsi"/>
                <w:sz w:val="20"/>
                <w:szCs w:val="20"/>
              </w:rPr>
            </w:pPr>
            <w:r w:rsidRPr="009D0556">
              <w:rPr>
                <w:rFonts w:cstheme="minorHAnsi"/>
                <w:sz w:val="20"/>
                <w:szCs w:val="20"/>
              </w:rPr>
              <w:t xml:space="preserve">Nadace Open Society </w:t>
            </w:r>
            <w:proofErr w:type="spellStart"/>
            <w:r w:rsidRPr="009D0556">
              <w:rPr>
                <w:rFonts w:cstheme="minorHAnsi"/>
                <w:sz w:val="20"/>
                <w:szCs w:val="20"/>
              </w:rPr>
              <w:t>Fund</w:t>
            </w:r>
            <w:proofErr w:type="spellEnd"/>
            <w:r w:rsidRPr="009D0556">
              <w:rPr>
                <w:rFonts w:cstheme="minorHAnsi"/>
                <w:sz w:val="20"/>
                <w:szCs w:val="20"/>
              </w:rPr>
              <w:t xml:space="preserve"> Praha</w:t>
            </w:r>
          </w:p>
        </w:tc>
      </w:tr>
      <w:tr w:rsidR="009D0556" w:rsidRPr="0049352F" w14:paraId="5FD8AAFF" w14:textId="77777777" w:rsidTr="008D70A1">
        <w:tc>
          <w:tcPr>
            <w:tcW w:w="2547" w:type="dxa"/>
            <w:vAlign w:val="center"/>
          </w:tcPr>
          <w:p w14:paraId="5DE9C4DD" w14:textId="77777777" w:rsidR="009D0556" w:rsidRPr="009D0556" w:rsidRDefault="009D0556" w:rsidP="009D0556">
            <w:pPr>
              <w:rPr>
                <w:rFonts w:cstheme="minorHAnsi"/>
                <w:sz w:val="20"/>
                <w:szCs w:val="20"/>
              </w:rPr>
            </w:pPr>
            <w:r w:rsidRPr="009D0556">
              <w:rPr>
                <w:rFonts w:cstheme="minorHAnsi"/>
                <w:sz w:val="20"/>
                <w:szCs w:val="20"/>
              </w:rPr>
              <w:t>NROS</w:t>
            </w:r>
          </w:p>
        </w:tc>
        <w:tc>
          <w:tcPr>
            <w:tcW w:w="6516" w:type="dxa"/>
            <w:vAlign w:val="center"/>
          </w:tcPr>
          <w:p w14:paraId="6C3246F2" w14:textId="77777777" w:rsidR="009D0556" w:rsidRPr="009D0556" w:rsidRDefault="009D0556" w:rsidP="008D70A1">
            <w:pPr>
              <w:rPr>
                <w:rFonts w:cstheme="minorHAnsi"/>
                <w:sz w:val="20"/>
                <w:szCs w:val="20"/>
              </w:rPr>
            </w:pPr>
            <w:r w:rsidRPr="008D70A1">
              <w:rPr>
                <w:rFonts w:cstheme="minorHAnsi"/>
                <w:color w:val="000000"/>
                <w:sz w:val="20"/>
                <w:szCs w:val="20"/>
              </w:rPr>
              <w:t>Nadace rozvoje občanské společnosti</w:t>
            </w:r>
          </w:p>
        </w:tc>
      </w:tr>
      <w:tr w:rsidR="009D0556" w:rsidRPr="0049352F" w14:paraId="7DF862EB" w14:textId="77777777" w:rsidTr="008D70A1">
        <w:tc>
          <w:tcPr>
            <w:tcW w:w="2547" w:type="dxa"/>
            <w:vAlign w:val="center"/>
          </w:tcPr>
          <w:p w14:paraId="1624E6DC" w14:textId="77777777" w:rsidR="009D0556" w:rsidRPr="009D0556" w:rsidRDefault="009D0556" w:rsidP="009D0556">
            <w:pPr>
              <w:rPr>
                <w:rFonts w:cstheme="minorHAnsi"/>
                <w:sz w:val="20"/>
                <w:szCs w:val="20"/>
              </w:rPr>
            </w:pPr>
            <w:r w:rsidRPr="009D0556">
              <w:rPr>
                <w:rFonts w:cstheme="minorHAnsi"/>
                <w:sz w:val="20"/>
                <w:szCs w:val="20"/>
              </w:rPr>
              <w:t>PP</w:t>
            </w:r>
          </w:p>
        </w:tc>
        <w:tc>
          <w:tcPr>
            <w:tcW w:w="6516" w:type="dxa"/>
            <w:vAlign w:val="center"/>
          </w:tcPr>
          <w:p w14:paraId="20B940D1" w14:textId="2F284A1B" w:rsidR="009D0556" w:rsidRPr="009D0556" w:rsidRDefault="009D0556" w:rsidP="008D70A1">
            <w:pPr>
              <w:rPr>
                <w:rFonts w:cstheme="minorHAnsi"/>
                <w:sz w:val="20"/>
                <w:szCs w:val="20"/>
              </w:rPr>
            </w:pPr>
            <w:r w:rsidRPr="009D0556">
              <w:rPr>
                <w:rFonts w:cstheme="minorHAnsi"/>
                <w:sz w:val="20"/>
                <w:szCs w:val="20"/>
              </w:rPr>
              <w:t>Programový partner</w:t>
            </w:r>
          </w:p>
        </w:tc>
      </w:tr>
      <w:tr w:rsidR="009D0556" w:rsidRPr="0049352F" w14:paraId="5D977E80" w14:textId="77777777" w:rsidTr="008D70A1">
        <w:tc>
          <w:tcPr>
            <w:tcW w:w="2547" w:type="dxa"/>
            <w:vAlign w:val="center"/>
          </w:tcPr>
          <w:p w14:paraId="3CF7DF23" w14:textId="77777777" w:rsidR="009D0556" w:rsidRPr="009D0556" w:rsidRDefault="009D0556" w:rsidP="009D0556">
            <w:pPr>
              <w:rPr>
                <w:rFonts w:cstheme="minorHAnsi"/>
                <w:sz w:val="20"/>
                <w:szCs w:val="20"/>
              </w:rPr>
            </w:pPr>
            <w:r w:rsidRPr="009D0556">
              <w:rPr>
                <w:rFonts w:cstheme="minorHAnsi"/>
                <w:sz w:val="20"/>
                <w:szCs w:val="20"/>
              </w:rPr>
              <w:t>VFM</w:t>
            </w:r>
          </w:p>
        </w:tc>
        <w:tc>
          <w:tcPr>
            <w:tcW w:w="6516" w:type="dxa"/>
            <w:vAlign w:val="center"/>
          </w:tcPr>
          <w:p w14:paraId="0C380EAB" w14:textId="77777777" w:rsidR="009D0556" w:rsidRPr="009D0556" w:rsidRDefault="009D0556" w:rsidP="008D70A1">
            <w:pPr>
              <w:rPr>
                <w:rFonts w:cstheme="minorHAnsi"/>
                <w:sz w:val="20"/>
                <w:szCs w:val="20"/>
              </w:rPr>
            </w:pPr>
            <w:r w:rsidRPr="009D0556">
              <w:rPr>
                <w:rFonts w:cstheme="minorHAnsi"/>
                <w:sz w:val="20"/>
                <w:szCs w:val="20"/>
              </w:rPr>
              <w:t>Výbor pro finanční mechanismus</w:t>
            </w:r>
          </w:p>
        </w:tc>
      </w:tr>
    </w:tbl>
    <w:p w14:paraId="7802FEE5" w14:textId="7847AB39" w:rsidR="00CB788C" w:rsidRDefault="00CB788C" w:rsidP="0099191B">
      <w:pPr>
        <w:jc w:val="both"/>
        <w:rPr>
          <w:rFonts w:cstheme="minorHAnsi"/>
          <w:b/>
        </w:rPr>
      </w:pPr>
    </w:p>
    <w:p w14:paraId="2D4E8AFB" w14:textId="7847AB39" w:rsidR="008268A9" w:rsidRDefault="008268A9" w:rsidP="0099191B">
      <w:pPr>
        <w:jc w:val="both"/>
        <w:rPr>
          <w:rFonts w:cstheme="minorHAnsi"/>
          <w:b/>
        </w:rPr>
        <w:sectPr w:rsidR="008268A9" w:rsidSect="00462F78">
          <w:footerReference w:type="default" r:id="rId17"/>
          <w:pgSz w:w="11907" w:h="16839" w:code="9"/>
          <w:pgMar w:top="1417" w:right="1417" w:bottom="1417" w:left="1417" w:header="851" w:footer="567" w:gutter="0"/>
          <w:cols w:space="708"/>
          <w:titlePg/>
          <w:docGrid w:linePitch="360"/>
        </w:sectPr>
      </w:pPr>
    </w:p>
    <w:p w14:paraId="62BF54BB" w14:textId="3039A75A" w:rsidR="00C93D48" w:rsidRPr="0047255D" w:rsidRDefault="00912D58" w:rsidP="0099191B">
      <w:pPr>
        <w:jc w:val="both"/>
        <w:rPr>
          <w:rFonts w:cstheme="minorHAnsi"/>
          <w:b/>
        </w:rPr>
      </w:pPr>
      <w:r w:rsidRPr="0049352F">
        <w:rPr>
          <w:rFonts w:cstheme="minorHAnsi"/>
        </w:rPr>
        <w:lastRenderedPageBreak/>
        <w:t>Příloha č. 1</w:t>
      </w:r>
      <w:r w:rsidR="009D0556">
        <w:rPr>
          <w:rFonts w:cstheme="minorHAnsi"/>
        </w:rPr>
        <w:t>:</w:t>
      </w:r>
      <w:r w:rsidRPr="0049352F">
        <w:rPr>
          <w:rFonts w:cstheme="minorHAnsi"/>
        </w:rPr>
        <w:t xml:space="preserve"> </w:t>
      </w:r>
      <w:r w:rsidR="000B5E04" w:rsidRPr="0049352F">
        <w:rPr>
          <w:rFonts w:cstheme="minorHAnsi"/>
        </w:rPr>
        <w:t xml:space="preserve">Přehled programů </w:t>
      </w:r>
    </w:p>
    <w:tbl>
      <w:tblPr>
        <w:tblStyle w:val="Mkatabulky"/>
        <w:tblpPr w:leftFromText="141" w:rightFromText="141" w:vertAnchor="text" w:tblpY="1"/>
        <w:tblOverlap w:val="never"/>
        <w:tblW w:w="0" w:type="auto"/>
        <w:tblLook w:val="04A0" w:firstRow="1" w:lastRow="0" w:firstColumn="1" w:lastColumn="0" w:noHBand="0" w:noVBand="1"/>
      </w:tblPr>
      <w:tblGrid>
        <w:gridCol w:w="740"/>
        <w:gridCol w:w="3036"/>
        <w:gridCol w:w="1702"/>
        <w:gridCol w:w="1557"/>
        <w:gridCol w:w="1324"/>
        <w:gridCol w:w="1417"/>
        <w:gridCol w:w="1985"/>
        <w:gridCol w:w="1417"/>
      </w:tblGrid>
      <w:tr w:rsidR="00C93D48" w:rsidRPr="0049352F" w14:paraId="50651407" w14:textId="77777777" w:rsidTr="0047255D">
        <w:trPr>
          <w:trHeight w:val="795"/>
        </w:trPr>
        <w:tc>
          <w:tcPr>
            <w:tcW w:w="740" w:type="dxa"/>
            <w:shd w:val="clear" w:color="auto" w:fill="E5F1FF"/>
            <w:vAlign w:val="center"/>
            <w:hideMark/>
          </w:tcPr>
          <w:p w14:paraId="45459986" w14:textId="77777777" w:rsidR="00C93D48" w:rsidRPr="0049352F" w:rsidRDefault="00C93D48" w:rsidP="0049352F">
            <w:pPr>
              <w:jc w:val="center"/>
              <w:rPr>
                <w:rFonts w:cstheme="minorHAnsi"/>
                <w:b/>
                <w:bCs/>
                <w:sz w:val="20"/>
                <w:szCs w:val="20"/>
              </w:rPr>
            </w:pPr>
            <w:r w:rsidRPr="0049352F">
              <w:rPr>
                <w:rFonts w:cstheme="minorHAnsi"/>
                <w:b/>
                <w:bCs/>
                <w:sz w:val="20"/>
                <w:szCs w:val="20"/>
              </w:rPr>
              <w:t>Číslo</w:t>
            </w:r>
          </w:p>
        </w:tc>
        <w:tc>
          <w:tcPr>
            <w:tcW w:w="3036" w:type="dxa"/>
            <w:shd w:val="clear" w:color="auto" w:fill="E5F1FF"/>
            <w:vAlign w:val="center"/>
            <w:hideMark/>
          </w:tcPr>
          <w:p w14:paraId="1A1F7702" w14:textId="77777777" w:rsidR="00C93D48" w:rsidRPr="0049352F" w:rsidRDefault="00C93D48" w:rsidP="0049352F">
            <w:pPr>
              <w:jc w:val="center"/>
              <w:rPr>
                <w:rFonts w:cstheme="minorHAnsi"/>
                <w:b/>
                <w:bCs/>
                <w:sz w:val="20"/>
                <w:szCs w:val="20"/>
              </w:rPr>
            </w:pPr>
            <w:r w:rsidRPr="0049352F">
              <w:rPr>
                <w:rFonts w:cstheme="minorHAnsi"/>
                <w:b/>
                <w:bCs/>
                <w:sz w:val="20"/>
                <w:szCs w:val="20"/>
              </w:rPr>
              <w:t>Název</w:t>
            </w:r>
          </w:p>
        </w:tc>
        <w:tc>
          <w:tcPr>
            <w:tcW w:w="1702" w:type="dxa"/>
            <w:shd w:val="clear" w:color="auto" w:fill="E5F1FF"/>
            <w:vAlign w:val="center"/>
            <w:hideMark/>
          </w:tcPr>
          <w:p w14:paraId="44254C96" w14:textId="77777777" w:rsidR="00C93D48" w:rsidRPr="0049352F" w:rsidRDefault="00C93D48" w:rsidP="0049352F">
            <w:pPr>
              <w:jc w:val="center"/>
              <w:rPr>
                <w:rFonts w:cstheme="minorHAnsi"/>
                <w:b/>
                <w:bCs/>
                <w:sz w:val="20"/>
                <w:szCs w:val="20"/>
              </w:rPr>
            </w:pPr>
            <w:r w:rsidRPr="0049352F">
              <w:rPr>
                <w:rFonts w:cstheme="minorHAnsi"/>
                <w:b/>
                <w:bCs/>
                <w:sz w:val="20"/>
                <w:szCs w:val="20"/>
              </w:rPr>
              <w:t>Zkrácený název</w:t>
            </w:r>
          </w:p>
        </w:tc>
        <w:tc>
          <w:tcPr>
            <w:tcW w:w="1557" w:type="dxa"/>
            <w:shd w:val="clear" w:color="auto" w:fill="E5F1FF"/>
            <w:vAlign w:val="center"/>
            <w:hideMark/>
          </w:tcPr>
          <w:p w14:paraId="65F7ED8F" w14:textId="77777777" w:rsidR="00C93D48" w:rsidRPr="0049352F" w:rsidRDefault="00C93D48" w:rsidP="0049352F">
            <w:pPr>
              <w:jc w:val="center"/>
              <w:rPr>
                <w:rFonts w:cstheme="minorHAnsi"/>
                <w:b/>
                <w:bCs/>
                <w:sz w:val="20"/>
                <w:szCs w:val="20"/>
              </w:rPr>
            </w:pPr>
            <w:r w:rsidRPr="0049352F">
              <w:rPr>
                <w:rFonts w:cstheme="minorHAnsi"/>
                <w:b/>
                <w:bCs/>
                <w:sz w:val="20"/>
                <w:szCs w:val="20"/>
              </w:rPr>
              <w:t>Finanční mechanismus</w:t>
            </w:r>
          </w:p>
        </w:tc>
        <w:tc>
          <w:tcPr>
            <w:tcW w:w="1324" w:type="dxa"/>
            <w:shd w:val="clear" w:color="auto" w:fill="E5F1FF"/>
            <w:vAlign w:val="center"/>
            <w:hideMark/>
          </w:tcPr>
          <w:p w14:paraId="73616355" w14:textId="532AD480" w:rsidR="00C93D48" w:rsidRPr="0049352F" w:rsidRDefault="00C93D48" w:rsidP="00A12D7A">
            <w:pPr>
              <w:jc w:val="center"/>
              <w:rPr>
                <w:rFonts w:cstheme="minorHAnsi"/>
                <w:b/>
                <w:bCs/>
                <w:sz w:val="20"/>
                <w:szCs w:val="20"/>
              </w:rPr>
            </w:pPr>
            <w:r w:rsidRPr="0049352F">
              <w:rPr>
                <w:rFonts w:cstheme="minorHAnsi"/>
                <w:b/>
                <w:bCs/>
                <w:sz w:val="20"/>
                <w:szCs w:val="20"/>
              </w:rPr>
              <w:t>Alokace</w:t>
            </w:r>
            <w:r w:rsidR="00A12D7A">
              <w:rPr>
                <w:rFonts w:cstheme="minorHAnsi"/>
                <w:b/>
                <w:bCs/>
                <w:sz w:val="20"/>
                <w:szCs w:val="20"/>
              </w:rPr>
              <w:t xml:space="preserve"> v </w:t>
            </w:r>
            <w:r w:rsidRPr="0049352F">
              <w:rPr>
                <w:rFonts w:cstheme="minorHAnsi"/>
                <w:b/>
                <w:bCs/>
                <w:sz w:val="20"/>
                <w:szCs w:val="20"/>
              </w:rPr>
              <w:t>€</w:t>
            </w:r>
          </w:p>
        </w:tc>
        <w:tc>
          <w:tcPr>
            <w:tcW w:w="1417" w:type="dxa"/>
            <w:shd w:val="clear" w:color="auto" w:fill="E5F1FF"/>
            <w:vAlign w:val="center"/>
            <w:hideMark/>
          </w:tcPr>
          <w:p w14:paraId="7A2CB2A8" w14:textId="2D1B3780" w:rsidR="00C93D48" w:rsidRPr="0049352F" w:rsidRDefault="00C93D48" w:rsidP="00A12D7A">
            <w:pPr>
              <w:jc w:val="center"/>
              <w:rPr>
                <w:rFonts w:cstheme="minorHAnsi"/>
                <w:b/>
                <w:bCs/>
                <w:sz w:val="20"/>
                <w:szCs w:val="20"/>
              </w:rPr>
            </w:pPr>
            <w:r w:rsidRPr="0049352F">
              <w:rPr>
                <w:rFonts w:cstheme="minorHAnsi"/>
                <w:b/>
                <w:bCs/>
                <w:sz w:val="20"/>
                <w:szCs w:val="20"/>
              </w:rPr>
              <w:t xml:space="preserve">Alokace </w:t>
            </w:r>
            <w:r w:rsidR="00A12D7A">
              <w:rPr>
                <w:rFonts w:cstheme="minorHAnsi"/>
                <w:b/>
                <w:bCs/>
                <w:sz w:val="20"/>
                <w:szCs w:val="20"/>
              </w:rPr>
              <w:t xml:space="preserve">v </w:t>
            </w:r>
            <w:r w:rsidRPr="0049352F">
              <w:rPr>
                <w:rFonts w:cstheme="minorHAnsi"/>
                <w:b/>
                <w:bCs/>
                <w:sz w:val="20"/>
                <w:szCs w:val="20"/>
              </w:rPr>
              <w:t>Kč</w:t>
            </w:r>
          </w:p>
        </w:tc>
        <w:tc>
          <w:tcPr>
            <w:tcW w:w="1985" w:type="dxa"/>
            <w:shd w:val="clear" w:color="auto" w:fill="E5F1FF"/>
            <w:vAlign w:val="center"/>
            <w:hideMark/>
          </w:tcPr>
          <w:p w14:paraId="1FCEBDC3" w14:textId="77777777" w:rsidR="00C93D48" w:rsidRPr="0049352F" w:rsidRDefault="00C93D48" w:rsidP="0049352F">
            <w:pPr>
              <w:jc w:val="center"/>
              <w:rPr>
                <w:rFonts w:cstheme="minorHAnsi"/>
                <w:b/>
                <w:bCs/>
                <w:sz w:val="20"/>
                <w:szCs w:val="20"/>
              </w:rPr>
            </w:pPr>
            <w:r w:rsidRPr="0049352F">
              <w:rPr>
                <w:rFonts w:cstheme="minorHAnsi"/>
                <w:b/>
                <w:bCs/>
                <w:sz w:val="20"/>
                <w:szCs w:val="20"/>
              </w:rPr>
              <w:t>Zprostředkovatel programu</w:t>
            </w:r>
          </w:p>
        </w:tc>
        <w:tc>
          <w:tcPr>
            <w:tcW w:w="1417" w:type="dxa"/>
            <w:shd w:val="clear" w:color="auto" w:fill="E5F1FF"/>
            <w:vAlign w:val="center"/>
            <w:hideMark/>
          </w:tcPr>
          <w:p w14:paraId="59529683" w14:textId="77777777" w:rsidR="00C93D48" w:rsidRPr="0049352F" w:rsidRDefault="00C93D48" w:rsidP="0049352F">
            <w:pPr>
              <w:jc w:val="center"/>
              <w:rPr>
                <w:rFonts w:cstheme="minorHAnsi"/>
                <w:b/>
                <w:bCs/>
                <w:sz w:val="20"/>
                <w:szCs w:val="20"/>
              </w:rPr>
            </w:pPr>
            <w:r w:rsidRPr="0049352F">
              <w:rPr>
                <w:rFonts w:cstheme="minorHAnsi"/>
                <w:b/>
                <w:bCs/>
                <w:sz w:val="20"/>
                <w:szCs w:val="20"/>
              </w:rPr>
              <w:t>Programový partner</w:t>
            </w:r>
          </w:p>
        </w:tc>
      </w:tr>
      <w:tr w:rsidR="00C93D48" w:rsidRPr="0049352F" w14:paraId="658EDC07" w14:textId="77777777" w:rsidTr="00E809D2">
        <w:trPr>
          <w:trHeight w:val="645"/>
        </w:trPr>
        <w:tc>
          <w:tcPr>
            <w:tcW w:w="740" w:type="dxa"/>
            <w:noWrap/>
            <w:vAlign w:val="center"/>
            <w:hideMark/>
          </w:tcPr>
          <w:p w14:paraId="50BE34B9" w14:textId="77777777" w:rsidR="00C93D48" w:rsidRPr="0049352F" w:rsidRDefault="00C93D48" w:rsidP="00E809D2">
            <w:pPr>
              <w:rPr>
                <w:rFonts w:cstheme="minorHAnsi"/>
                <w:sz w:val="20"/>
                <w:szCs w:val="20"/>
              </w:rPr>
            </w:pPr>
            <w:r w:rsidRPr="0049352F">
              <w:rPr>
                <w:rFonts w:cstheme="minorHAnsi"/>
                <w:sz w:val="20"/>
                <w:szCs w:val="20"/>
              </w:rPr>
              <w:t>CZ01</w:t>
            </w:r>
          </w:p>
        </w:tc>
        <w:tc>
          <w:tcPr>
            <w:tcW w:w="3036" w:type="dxa"/>
            <w:vAlign w:val="center"/>
            <w:hideMark/>
          </w:tcPr>
          <w:p w14:paraId="2BF9716E" w14:textId="77777777" w:rsidR="00C93D48" w:rsidRPr="0049352F" w:rsidRDefault="00C93D48" w:rsidP="00A12D7A">
            <w:pPr>
              <w:rPr>
                <w:rFonts w:cstheme="minorHAnsi"/>
                <w:sz w:val="20"/>
                <w:szCs w:val="20"/>
              </w:rPr>
            </w:pPr>
            <w:r w:rsidRPr="0049352F">
              <w:rPr>
                <w:rFonts w:cstheme="minorHAnsi"/>
                <w:sz w:val="20"/>
                <w:szCs w:val="20"/>
              </w:rPr>
              <w:t>Technická asistence a Fond pro bilaterální spolupráci na národní úrovni</w:t>
            </w:r>
          </w:p>
        </w:tc>
        <w:tc>
          <w:tcPr>
            <w:tcW w:w="1702" w:type="dxa"/>
            <w:vAlign w:val="center"/>
            <w:hideMark/>
          </w:tcPr>
          <w:p w14:paraId="1B8142BC" w14:textId="0DD10012" w:rsidR="00C93D48" w:rsidRPr="0049352F" w:rsidRDefault="00C93D48" w:rsidP="0047255D">
            <w:pPr>
              <w:rPr>
                <w:rFonts w:cstheme="minorHAnsi"/>
                <w:sz w:val="20"/>
                <w:szCs w:val="20"/>
              </w:rPr>
            </w:pPr>
            <w:r w:rsidRPr="0049352F">
              <w:rPr>
                <w:rFonts w:cstheme="minorHAnsi"/>
                <w:sz w:val="20"/>
                <w:szCs w:val="20"/>
              </w:rPr>
              <w:t>Technická asistence a</w:t>
            </w:r>
            <w:r w:rsidR="00A12D7A">
              <w:rPr>
                <w:rFonts w:cstheme="minorHAnsi"/>
                <w:sz w:val="20"/>
                <w:szCs w:val="20"/>
              </w:rPr>
              <w:t> </w:t>
            </w:r>
            <w:r w:rsidRPr="0049352F">
              <w:rPr>
                <w:rFonts w:cstheme="minorHAnsi"/>
                <w:sz w:val="20"/>
                <w:szCs w:val="20"/>
              </w:rPr>
              <w:t>bilaterální fond</w:t>
            </w:r>
          </w:p>
        </w:tc>
        <w:tc>
          <w:tcPr>
            <w:tcW w:w="1557" w:type="dxa"/>
            <w:noWrap/>
            <w:vAlign w:val="center"/>
            <w:hideMark/>
          </w:tcPr>
          <w:p w14:paraId="48E9DB7F" w14:textId="5C2D65B8" w:rsidR="00C93D48" w:rsidRPr="0049352F" w:rsidRDefault="00DF4F6D" w:rsidP="0047255D">
            <w:pPr>
              <w:rPr>
                <w:rFonts w:cstheme="minorHAnsi"/>
                <w:sz w:val="20"/>
                <w:szCs w:val="20"/>
              </w:rPr>
            </w:pPr>
            <w:r>
              <w:rPr>
                <w:rFonts w:cstheme="minorHAnsi"/>
                <w:sz w:val="20"/>
                <w:szCs w:val="20"/>
              </w:rPr>
              <w:t xml:space="preserve">FM </w:t>
            </w:r>
            <w:r w:rsidR="00C93D48" w:rsidRPr="0049352F">
              <w:rPr>
                <w:rFonts w:cstheme="minorHAnsi"/>
                <w:sz w:val="20"/>
                <w:szCs w:val="20"/>
              </w:rPr>
              <w:t>EHP/Norska</w:t>
            </w:r>
          </w:p>
        </w:tc>
        <w:tc>
          <w:tcPr>
            <w:tcW w:w="1324" w:type="dxa"/>
            <w:noWrap/>
            <w:vAlign w:val="center"/>
            <w:hideMark/>
          </w:tcPr>
          <w:p w14:paraId="4E966FA0" w14:textId="77777777" w:rsidR="00C93D48" w:rsidRPr="0049352F" w:rsidRDefault="00C93D48" w:rsidP="0047255D">
            <w:pPr>
              <w:jc w:val="right"/>
              <w:rPr>
                <w:rFonts w:cstheme="minorHAnsi"/>
                <w:sz w:val="20"/>
                <w:szCs w:val="20"/>
              </w:rPr>
            </w:pPr>
            <w:r w:rsidRPr="0049352F">
              <w:rPr>
                <w:rFonts w:cstheme="minorHAnsi"/>
                <w:sz w:val="20"/>
                <w:szCs w:val="20"/>
              </w:rPr>
              <w:t>2 866 000</w:t>
            </w:r>
          </w:p>
        </w:tc>
        <w:tc>
          <w:tcPr>
            <w:tcW w:w="1417" w:type="dxa"/>
            <w:noWrap/>
            <w:vAlign w:val="center"/>
            <w:hideMark/>
          </w:tcPr>
          <w:p w14:paraId="7C453AD1" w14:textId="18AB58E1" w:rsidR="00C93D48" w:rsidRPr="0049352F" w:rsidRDefault="007772D9" w:rsidP="0047255D">
            <w:pPr>
              <w:jc w:val="right"/>
              <w:rPr>
                <w:rFonts w:cstheme="minorHAnsi"/>
                <w:sz w:val="20"/>
                <w:szCs w:val="20"/>
              </w:rPr>
            </w:pPr>
            <w:r w:rsidRPr="0049352F">
              <w:rPr>
                <w:rFonts w:cstheme="minorHAnsi"/>
                <w:sz w:val="20"/>
                <w:szCs w:val="20"/>
              </w:rPr>
              <w:t>n/a</w:t>
            </w:r>
          </w:p>
        </w:tc>
        <w:tc>
          <w:tcPr>
            <w:tcW w:w="1985" w:type="dxa"/>
            <w:noWrap/>
            <w:vAlign w:val="center"/>
            <w:hideMark/>
          </w:tcPr>
          <w:p w14:paraId="06EE6123" w14:textId="77777777" w:rsidR="00C93D48" w:rsidRPr="0049352F" w:rsidRDefault="00C93D48" w:rsidP="0047255D">
            <w:pPr>
              <w:jc w:val="center"/>
              <w:rPr>
                <w:rFonts w:cstheme="minorHAnsi"/>
                <w:sz w:val="20"/>
                <w:szCs w:val="20"/>
              </w:rPr>
            </w:pPr>
            <w:r w:rsidRPr="0049352F">
              <w:rPr>
                <w:rFonts w:cstheme="minorHAnsi"/>
                <w:sz w:val="20"/>
                <w:szCs w:val="20"/>
              </w:rPr>
              <w:t>MF</w:t>
            </w:r>
          </w:p>
        </w:tc>
        <w:tc>
          <w:tcPr>
            <w:tcW w:w="1417" w:type="dxa"/>
            <w:noWrap/>
            <w:vAlign w:val="center"/>
            <w:hideMark/>
          </w:tcPr>
          <w:p w14:paraId="02111CEA" w14:textId="77777777" w:rsidR="00C93D48" w:rsidRPr="0049352F" w:rsidRDefault="00C93D48" w:rsidP="0047255D">
            <w:pPr>
              <w:jc w:val="center"/>
              <w:rPr>
                <w:rFonts w:cstheme="minorHAnsi"/>
                <w:sz w:val="20"/>
                <w:szCs w:val="20"/>
              </w:rPr>
            </w:pPr>
            <w:r w:rsidRPr="0049352F">
              <w:rPr>
                <w:rFonts w:cstheme="minorHAnsi"/>
                <w:sz w:val="20"/>
                <w:szCs w:val="20"/>
              </w:rPr>
              <w:t>x</w:t>
            </w:r>
          </w:p>
        </w:tc>
      </w:tr>
      <w:tr w:rsidR="00C93D48" w:rsidRPr="0049352F" w14:paraId="2CF2E114" w14:textId="77777777" w:rsidTr="00E809D2">
        <w:trPr>
          <w:trHeight w:val="870"/>
        </w:trPr>
        <w:tc>
          <w:tcPr>
            <w:tcW w:w="740" w:type="dxa"/>
            <w:noWrap/>
            <w:vAlign w:val="center"/>
            <w:hideMark/>
          </w:tcPr>
          <w:p w14:paraId="349BDA07" w14:textId="77777777" w:rsidR="00C93D48" w:rsidRPr="0049352F" w:rsidRDefault="00C93D48" w:rsidP="00E809D2">
            <w:pPr>
              <w:rPr>
                <w:rFonts w:cstheme="minorHAnsi"/>
                <w:sz w:val="20"/>
                <w:szCs w:val="20"/>
              </w:rPr>
            </w:pPr>
            <w:r w:rsidRPr="0049352F">
              <w:rPr>
                <w:rFonts w:cstheme="minorHAnsi"/>
                <w:sz w:val="20"/>
                <w:szCs w:val="20"/>
              </w:rPr>
              <w:t>CZ02</w:t>
            </w:r>
          </w:p>
        </w:tc>
        <w:tc>
          <w:tcPr>
            <w:tcW w:w="3036" w:type="dxa"/>
            <w:vAlign w:val="center"/>
            <w:hideMark/>
          </w:tcPr>
          <w:p w14:paraId="5A081515" w14:textId="6C565B49" w:rsidR="00C93D48" w:rsidRPr="0049352F" w:rsidRDefault="00C93D48" w:rsidP="00833B63">
            <w:pPr>
              <w:ind w:right="-18"/>
              <w:rPr>
                <w:rFonts w:cstheme="minorHAnsi"/>
                <w:sz w:val="20"/>
                <w:szCs w:val="20"/>
              </w:rPr>
            </w:pPr>
            <w:r w:rsidRPr="0049352F">
              <w:rPr>
                <w:rFonts w:cstheme="minorHAnsi"/>
                <w:sz w:val="20"/>
                <w:szCs w:val="20"/>
              </w:rPr>
              <w:t>Biodiverzita a ekosystémové služby</w:t>
            </w:r>
            <w:r w:rsidR="00A12D7A">
              <w:rPr>
                <w:rFonts w:cstheme="minorHAnsi"/>
                <w:sz w:val="20"/>
                <w:szCs w:val="20"/>
              </w:rPr>
              <w:t xml:space="preserve"> </w:t>
            </w:r>
            <w:r w:rsidRPr="0049352F">
              <w:rPr>
                <w:rFonts w:cstheme="minorHAnsi"/>
                <w:sz w:val="20"/>
                <w:szCs w:val="20"/>
              </w:rPr>
              <w:t>/</w:t>
            </w:r>
            <w:r w:rsidR="00A12D7A">
              <w:rPr>
                <w:rFonts w:cstheme="minorHAnsi"/>
                <w:sz w:val="20"/>
                <w:szCs w:val="20"/>
              </w:rPr>
              <w:t xml:space="preserve"> </w:t>
            </w:r>
            <w:r w:rsidRPr="0049352F">
              <w:rPr>
                <w:rFonts w:cstheme="minorHAnsi"/>
                <w:sz w:val="20"/>
                <w:szCs w:val="20"/>
              </w:rPr>
              <w:t>Monitorování a</w:t>
            </w:r>
            <w:r w:rsidR="00A12D7A">
              <w:rPr>
                <w:rFonts w:cstheme="minorHAnsi"/>
                <w:sz w:val="20"/>
                <w:szCs w:val="20"/>
              </w:rPr>
              <w:t> </w:t>
            </w:r>
            <w:r w:rsidRPr="0049352F">
              <w:rPr>
                <w:rFonts w:cstheme="minorHAnsi"/>
                <w:sz w:val="20"/>
                <w:szCs w:val="20"/>
              </w:rPr>
              <w:t>integrované plánování a</w:t>
            </w:r>
            <w:r w:rsidR="00A12D7A">
              <w:rPr>
                <w:rFonts w:cstheme="minorHAnsi"/>
                <w:sz w:val="20"/>
                <w:szCs w:val="20"/>
              </w:rPr>
              <w:t> </w:t>
            </w:r>
            <w:r w:rsidRPr="0049352F">
              <w:rPr>
                <w:rFonts w:cstheme="minorHAnsi"/>
                <w:sz w:val="20"/>
                <w:szCs w:val="20"/>
              </w:rPr>
              <w:t>kontrola v životním prostředí</w:t>
            </w:r>
            <w:r w:rsidR="00A12D7A">
              <w:rPr>
                <w:rFonts w:cstheme="minorHAnsi"/>
                <w:sz w:val="20"/>
                <w:szCs w:val="20"/>
              </w:rPr>
              <w:t xml:space="preserve"> </w:t>
            </w:r>
            <w:r w:rsidRPr="0049352F">
              <w:rPr>
                <w:rFonts w:cstheme="minorHAnsi"/>
                <w:sz w:val="20"/>
                <w:szCs w:val="20"/>
              </w:rPr>
              <w:t>/ Adaptace na změnu klimatu</w:t>
            </w:r>
          </w:p>
        </w:tc>
        <w:tc>
          <w:tcPr>
            <w:tcW w:w="1702" w:type="dxa"/>
            <w:vAlign w:val="center"/>
            <w:hideMark/>
          </w:tcPr>
          <w:p w14:paraId="031DBEF8" w14:textId="77777777" w:rsidR="00C93D48" w:rsidRPr="0049352F" w:rsidRDefault="00C93D48" w:rsidP="0047255D">
            <w:pPr>
              <w:rPr>
                <w:rFonts w:cstheme="minorHAnsi"/>
                <w:sz w:val="20"/>
                <w:szCs w:val="20"/>
              </w:rPr>
            </w:pPr>
            <w:r w:rsidRPr="0049352F">
              <w:rPr>
                <w:rFonts w:cstheme="minorHAnsi"/>
                <w:sz w:val="20"/>
                <w:szCs w:val="20"/>
              </w:rPr>
              <w:t>Životní prostředí</w:t>
            </w:r>
          </w:p>
        </w:tc>
        <w:tc>
          <w:tcPr>
            <w:tcW w:w="1557" w:type="dxa"/>
            <w:noWrap/>
            <w:vAlign w:val="center"/>
            <w:hideMark/>
          </w:tcPr>
          <w:p w14:paraId="2733D8A2" w14:textId="3F4595D7" w:rsidR="00C93D48" w:rsidRPr="0049352F" w:rsidRDefault="00DF4F6D" w:rsidP="0047255D">
            <w:pPr>
              <w:rPr>
                <w:rFonts w:cstheme="minorHAnsi"/>
                <w:sz w:val="20"/>
                <w:szCs w:val="20"/>
              </w:rPr>
            </w:pPr>
            <w:r>
              <w:rPr>
                <w:rFonts w:cstheme="minorHAnsi"/>
                <w:sz w:val="20"/>
                <w:szCs w:val="20"/>
              </w:rPr>
              <w:t>FM</w:t>
            </w:r>
            <w:r w:rsidRPr="0049352F">
              <w:rPr>
                <w:rFonts w:cstheme="minorHAnsi"/>
                <w:sz w:val="20"/>
                <w:szCs w:val="20"/>
              </w:rPr>
              <w:t xml:space="preserve"> </w:t>
            </w:r>
            <w:r w:rsidR="00C93D48" w:rsidRPr="0049352F">
              <w:rPr>
                <w:rFonts w:cstheme="minorHAnsi"/>
                <w:sz w:val="20"/>
                <w:szCs w:val="20"/>
              </w:rPr>
              <w:t>EHP</w:t>
            </w:r>
          </w:p>
        </w:tc>
        <w:tc>
          <w:tcPr>
            <w:tcW w:w="1324" w:type="dxa"/>
            <w:noWrap/>
            <w:vAlign w:val="center"/>
            <w:hideMark/>
          </w:tcPr>
          <w:p w14:paraId="0B0A7C99" w14:textId="77777777" w:rsidR="00C93D48" w:rsidRPr="0049352F" w:rsidRDefault="00C93D48" w:rsidP="0047255D">
            <w:pPr>
              <w:jc w:val="right"/>
              <w:rPr>
                <w:rFonts w:cstheme="minorHAnsi"/>
                <w:sz w:val="20"/>
                <w:szCs w:val="20"/>
              </w:rPr>
            </w:pPr>
            <w:r w:rsidRPr="0049352F">
              <w:rPr>
                <w:rFonts w:cstheme="minorHAnsi"/>
                <w:sz w:val="20"/>
                <w:szCs w:val="20"/>
              </w:rPr>
              <w:t>18 420 000</w:t>
            </w:r>
          </w:p>
        </w:tc>
        <w:tc>
          <w:tcPr>
            <w:tcW w:w="1417" w:type="dxa"/>
            <w:noWrap/>
            <w:vAlign w:val="center"/>
            <w:hideMark/>
          </w:tcPr>
          <w:p w14:paraId="2C5AB779" w14:textId="77777777" w:rsidR="00C93D48" w:rsidRPr="0049352F" w:rsidRDefault="00C93D48" w:rsidP="0047255D">
            <w:pPr>
              <w:jc w:val="right"/>
              <w:rPr>
                <w:rFonts w:cstheme="minorHAnsi"/>
                <w:sz w:val="20"/>
                <w:szCs w:val="20"/>
              </w:rPr>
            </w:pPr>
            <w:r w:rsidRPr="0049352F">
              <w:rPr>
                <w:rFonts w:cstheme="minorHAnsi"/>
                <w:sz w:val="20"/>
                <w:szCs w:val="20"/>
              </w:rPr>
              <w:t>488 130 000</w:t>
            </w:r>
          </w:p>
        </w:tc>
        <w:tc>
          <w:tcPr>
            <w:tcW w:w="1985" w:type="dxa"/>
            <w:noWrap/>
            <w:vAlign w:val="center"/>
            <w:hideMark/>
          </w:tcPr>
          <w:p w14:paraId="2F3D7825" w14:textId="77777777" w:rsidR="00C93D48" w:rsidRPr="0049352F" w:rsidRDefault="00C93D48" w:rsidP="0047255D">
            <w:pPr>
              <w:jc w:val="center"/>
              <w:rPr>
                <w:rFonts w:cstheme="minorHAnsi"/>
                <w:sz w:val="20"/>
                <w:szCs w:val="20"/>
              </w:rPr>
            </w:pPr>
            <w:r w:rsidRPr="0049352F">
              <w:rPr>
                <w:rFonts w:cstheme="minorHAnsi"/>
                <w:sz w:val="20"/>
                <w:szCs w:val="20"/>
              </w:rPr>
              <w:t>MF</w:t>
            </w:r>
          </w:p>
        </w:tc>
        <w:tc>
          <w:tcPr>
            <w:tcW w:w="1417" w:type="dxa"/>
            <w:noWrap/>
            <w:vAlign w:val="center"/>
            <w:hideMark/>
          </w:tcPr>
          <w:p w14:paraId="6436FF74" w14:textId="77777777" w:rsidR="00C93D48" w:rsidRPr="0049352F" w:rsidRDefault="00C93D48" w:rsidP="0047255D">
            <w:pPr>
              <w:jc w:val="center"/>
              <w:rPr>
                <w:rFonts w:cstheme="minorHAnsi"/>
                <w:sz w:val="20"/>
                <w:szCs w:val="20"/>
              </w:rPr>
            </w:pPr>
            <w:r w:rsidRPr="0049352F">
              <w:rPr>
                <w:rFonts w:cstheme="minorHAnsi"/>
                <w:sz w:val="20"/>
                <w:szCs w:val="20"/>
              </w:rPr>
              <w:t>MŽP</w:t>
            </w:r>
          </w:p>
        </w:tc>
      </w:tr>
      <w:tr w:rsidR="00C93D48" w:rsidRPr="0049352F" w14:paraId="4CCF2E7B" w14:textId="77777777" w:rsidTr="00E809D2">
        <w:trPr>
          <w:trHeight w:val="630"/>
        </w:trPr>
        <w:tc>
          <w:tcPr>
            <w:tcW w:w="740" w:type="dxa"/>
            <w:noWrap/>
            <w:vAlign w:val="center"/>
            <w:hideMark/>
          </w:tcPr>
          <w:p w14:paraId="7CB1913B" w14:textId="77777777" w:rsidR="00C93D48" w:rsidRPr="0049352F" w:rsidRDefault="00C93D48" w:rsidP="00E809D2">
            <w:pPr>
              <w:rPr>
                <w:rFonts w:cstheme="minorHAnsi"/>
                <w:sz w:val="20"/>
                <w:szCs w:val="20"/>
              </w:rPr>
            </w:pPr>
            <w:r w:rsidRPr="0049352F">
              <w:rPr>
                <w:rFonts w:cstheme="minorHAnsi"/>
                <w:sz w:val="20"/>
                <w:szCs w:val="20"/>
              </w:rPr>
              <w:t>CZ03</w:t>
            </w:r>
          </w:p>
        </w:tc>
        <w:tc>
          <w:tcPr>
            <w:tcW w:w="3036" w:type="dxa"/>
            <w:vAlign w:val="center"/>
            <w:hideMark/>
          </w:tcPr>
          <w:p w14:paraId="431D83E3" w14:textId="77777777" w:rsidR="00C93D48" w:rsidRPr="0049352F" w:rsidRDefault="00C93D48" w:rsidP="00A12D7A">
            <w:pPr>
              <w:rPr>
                <w:rFonts w:cstheme="minorHAnsi"/>
                <w:sz w:val="20"/>
                <w:szCs w:val="20"/>
              </w:rPr>
            </w:pPr>
            <w:r w:rsidRPr="0049352F">
              <w:rPr>
                <w:rFonts w:cstheme="minorHAnsi"/>
                <w:sz w:val="20"/>
                <w:szCs w:val="20"/>
              </w:rPr>
              <w:t>Fond pro nestátní neziskové organizace</w:t>
            </w:r>
          </w:p>
        </w:tc>
        <w:tc>
          <w:tcPr>
            <w:tcW w:w="1702" w:type="dxa"/>
            <w:vAlign w:val="center"/>
            <w:hideMark/>
          </w:tcPr>
          <w:p w14:paraId="5E597441" w14:textId="77777777" w:rsidR="00C93D48" w:rsidRPr="0049352F" w:rsidRDefault="00C93D48" w:rsidP="0047255D">
            <w:pPr>
              <w:rPr>
                <w:rFonts w:cstheme="minorHAnsi"/>
                <w:sz w:val="20"/>
                <w:szCs w:val="20"/>
              </w:rPr>
            </w:pPr>
            <w:r w:rsidRPr="0049352F">
              <w:rPr>
                <w:rFonts w:cstheme="minorHAnsi"/>
                <w:sz w:val="20"/>
                <w:szCs w:val="20"/>
              </w:rPr>
              <w:t>Nestátní neziskové organizace</w:t>
            </w:r>
          </w:p>
        </w:tc>
        <w:tc>
          <w:tcPr>
            <w:tcW w:w="1557" w:type="dxa"/>
            <w:noWrap/>
            <w:vAlign w:val="center"/>
            <w:hideMark/>
          </w:tcPr>
          <w:p w14:paraId="28CDC4D2" w14:textId="398CD4B6" w:rsidR="00C93D48" w:rsidRPr="0049352F" w:rsidRDefault="00DF4F6D" w:rsidP="0047255D">
            <w:pPr>
              <w:rPr>
                <w:rFonts w:cstheme="minorHAnsi"/>
                <w:sz w:val="20"/>
                <w:szCs w:val="20"/>
              </w:rPr>
            </w:pPr>
            <w:r>
              <w:rPr>
                <w:rFonts w:cstheme="minorHAnsi"/>
                <w:sz w:val="20"/>
                <w:szCs w:val="20"/>
              </w:rPr>
              <w:t>FM</w:t>
            </w:r>
            <w:r w:rsidRPr="0049352F">
              <w:rPr>
                <w:rFonts w:cstheme="minorHAnsi"/>
                <w:sz w:val="20"/>
                <w:szCs w:val="20"/>
              </w:rPr>
              <w:t xml:space="preserve"> </w:t>
            </w:r>
            <w:r w:rsidR="00C93D48" w:rsidRPr="0049352F">
              <w:rPr>
                <w:rFonts w:cstheme="minorHAnsi"/>
                <w:sz w:val="20"/>
                <w:szCs w:val="20"/>
              </w:rPr>
              <w:t>EHP</w:t>
            </w:r>
          </w:p>
        </w:tc>
        <w:tc>
          <w:tcPr>
            <w:tcW w:w="1324" w:type="dxa"/>
            <w:noWrap/>
            <w:vAlign w:val="center"/>
            <w:hideMark/>
          </w:tcPr>
          <w:p w14:paraId="790472A5" w14:textId="77777777" w:rsidR="00C93D48" w:rsidRPr="0049352F" w:rsidRDefault="00C93D48" w:rsidP="0047255D">
            <w:pPr>
              <w:jc w:val="right"/>
              <w:rPr>
                <w:rFonts w:cstheme="minorHAnsi"/>
                <w:sz w:val="20"/>
                <w:szCs w:val="20"/>
              </w:rPr>
            </w:pPr>
            <w:r w:rsidRPr="0049352F">
              <w:rPr>
                <w:rFonts w:cstheme="minorHAnsi"/>
                <w:sz w:val="20"/>
                <w:szCs w:val="20"/>
              </w:rPr>
              <w:t>11 369 191</w:t>
            </w:r>
          </w:p>
        </w:tc>
        <w:tc>
          <w:tcPr>
            <w:tcW w:w="1417" w:type="dxa"/>
            <w:noWrap/>
            <w:vAlign w:val="center"/>
            <w:hideMark/>
          </w:tcPr>
          <w:p w14:paraId="3AAF1349" w14:textId="77777777" w:rsidR="00C93D48" w:rsidRPr="0049352F" w:rsidRDefault="00C93D48" w:rsidP="0047255D">
            <w:pPr>
              <w:jc w:val="right"/>
              <w:rPr>
                <w:rFonts w:cstheme="minorHAnsi"/>
                <w:sz w:val="20"/>
                <w:szCs w:val="20"/>
              </w:rPr>
            </w:pPr>
            <w:r w:rsidRPr="0049352F">
              <w:rPr>
                <w:rFonts w:cstheme="minorHAnsi"/>
                <w:sz w:val="20"/>
                <w:szCs w:val="20"/>
              </w:rPr>
              <w:t>301 283 562</w:t>
            </w:r>
          </w:p>
        </w:tc>
        <w:tc>
          <w:tcPr>
            <w:tcW w:w="1985" w:type="dxa"/>
            <w:noWrap/>
            <w:vAlign w:val="center"/>
            <w:hideMark/>
          </w:tcPr>
          <w:p w14:paraId="6983AE5C" w14:textId="77777777" w:rsidR="00C93D48" w:rsidRPr="0049352F" w:rsidRDefault="00C93D48" w:rsidP="0047255D">
            <w:pPr>
              <w:jc w:val="center"/>
              <w:rPr>
                <w:rFonts w:cstheme="minorHAnsi"/>
                <w:sz w:val="20"/>
                <w:szCs w:val="20"/>
              </w:rPr>
            </w:pPr>
            <w:r w:rsidRPr="0049352F">
              <w:rPr>
                <w:rFonts w:cstheme="minorHAnsi"/>
                <w:sz w:val="20"/>
                <w:szCs w:val="20"/>
              </w:rPr>
              <w:t>NROS</w:t>
            </w:r>
          </w:p>
        </w:tc>
        <w:tc>
          <w:tcPr>
            <w:tcW w:w="1417" w:type="dxa"/>
            <w:noWrap/>
            <w:vAlign w:val="center"/>
            <w:hideMark/>
          </w:tcPr>
          <w:p w14:paraId="7BC4ED43" w14:textId="77777777" w:rsidR="00C93D48" w:rsidRPr="0049352F" w:rsidRDefault="00C93D48" w:rsidP="0047255D">
            <w:pPr>
              <w:jc w:val="center"/>
              <w:rPr>
                <w:rFonts w:cstheme="minorHAnsi"/>
                <w:sz w:val="20"/>
                <w:szCs w:val="20"/>
              </w:rPr>
            </w:pPr>
            <w:r w:rsidRPr="0049352F">
              <w:rPr>
                <w:rFonts w:cstheme="minorHAnsi"/>
                <w:sz w:val="20"/>
                <w:szCs w:val="20"/>
              </w:rPr>
              <w:t>x</w:t>
            </w:r>
          </w:p>
        </w:tc>
      </w:tr>
      <w:tr w:rsidR="00C93D48" w:rsidRPr="0049352F" w14:paraId="5A4DBAC1" w14:textId="77777777" w:rsidTr="00E809D2">
        <w:trPr>
          <w:trHeight w:val="300"/>
        </w:trPr>
        <w:tc>
          <w:tcPr>
            <w:tcW w:w="740" w:type="dxa"/>
            <w:noWrap/>
            <w:vAlign w:val="center"/>
            <w:hideMark/>
          </w:tcPr>
          <w:p w14:paraId="43370A5D" w14:textId="77777777" w:rsidR="00C93D48" w:rsidRPr="0049352F" w:rsidRDefault="00C93D48" w:rsidP="00E809D2">
            <w:pPr>
              <w:rPr>
                <w:rFonts w:cstheme="minorHAnsi"/>
                <w:sz w:val="20"/>
                <w:szCs w:val="20"/>
              </w:rPr>
            </w:pPr>
            <w:r w:rsidRPr="0049352F">
              <w:rPr>
                <w:rFonts w:cstheme="minorHAnsi"/>
                <w:sz w:val="20"/>
                <w:szCs w:val="20"/>
              </w:rPr>
              <w:t>CZ04</w:t>
            </w:r>
          </w:p>
        </w:tc>
        <w:tc>
          <w:tcPr>
            <w:tcW w:w="3036" w:type="dxa"/>
            <w:vAlign w:val="center"/>
            <w:hideMark/>
          </w:tcPr>
          <w:p w14:paraId="319557EB" w14:textId="77777777" w:rsidR="00C93D48" w:rsidRPr="0049352F" w:rsidRDefault="00C93D48" w:rsidP="00A12D7A">
            <w:pPr>
              <w:rPr>
                <w:rFonts w:cstheme="minorHAnsi"/>
                <w:sz w:val="20"/>
                <w:szCs w:val="20"/>
              </w:rPr>
            </w:pPr>
            <w:r w:rsidRPr="0049352F">
              <w:rPr>
                <w:rFonts w:cstheme="minorHAnsi"/>
                <w:sz w:val="20"/>
                <w:szCs w:val="20"/>
              </w:rPr>
              <w:t>Ohrožené děti a mládež</w:t>
            </w:r>
          </w:p>
        </w:tc>
        <w:tc>
          <w:tcPr>
            <w:tcW w:w="1702" w:type="dxa"/>
            <w:vAlign w:val="center"/>
            <w:hideMark/>
          </w:tcPr>
          <w:p w14:paraId="495AACCF" w14:textId="47F8E798" w:rsidR="00C93D48" w:rsidRPr="0049352F" w:rsidRDefault="00C93D48" w:rsidP="0047255D">
            <w:pPr>
              <w:rPr>
                <w:rFonts w:cstheme="minorHAnsi"/>
                <w:sz w:val="20"/>
                <w:szCs w:val="20"/>
              </w:rPr>
            </w:pPr>
            <w:r w:rsidRPr="0049352F">
              <w:rPr>
                <w:rFonts w:cstheme="minorHAnsi"/>
                <w:sz w:val="20"/>
                <w:szCs w:val="20"/>
              </w:rPr>
              <w:t>Ohrožené děti a</w:t>
            </w:r>
            <w:r w:rsidR="00A12D7A">
              <w:rPr>
                <w:rFonts w:cstheme="minorHAnsi"/>
                <w:sz w:val="20"/>
                <w:szCs w:val="20"/>
              </w:rPr>
              <w:t> </w:t>
            </w:r>
            <w:r w:rsidRPr="0049352F">
              <w:rPr>
                <w:rFonts w:cstheme="minorHAnsi"/>
                <w:sz w:val="20"/>
                <w:szCs w:val="20"/>
              </w:rPr>
              <w:t>mládež</w:t>
            </w:r>
          </w:p>
        </w:tc>
        <w:tc>
          <w:tcPr>
            <w:tcW w:w="1557" w:type="dxa"/>
            <w:noWrap/>
            <w:vAlign w:val="center"/>
            <w:hideMark/>
          </w:tcPr>
          <w:p w14:paraId="36A46441" w14:textId="707D28B2" w:rsidR="00C93D48" w:rsidRPr="0049352F" w:rsidRDefault="00DF4F6D" w:rsidP="0047255D">
            <w:pPr>
              <w:rPr>
                <w:rFonts w:cstheme="minorHAnsi"/>
                <w:sz w:val="20"/>
                <w:szCs w:val="20"/>
              </w:rPr>
            </w:pPr>
            <w:r>
              <w:rPr>
                <w:rFonts w:cstheme="minorHAnsi"/>
                <w:sz w:val="20"/>
                <w:szCs w:val="20"/>
              </w:rPr>
              <w:t>FM</w:t>
            </w:r>
            <w:r w:rsidRPr="0049352F">
              <w:rPr>
                <w:rFonts w:cstheme="minorHAnsi"/>
                <w:sz w:val="20"/>
                <w:szCs w:val="20"/>
              </w:rPr>
              <w:t xml:space="preserve"> </w:t>
            </w:r>
            <w:r w:rsidR="00C93D48" w:rsidRPr="0049352F">
              <w:rPr>
                <w:rFonts w:cstheme="minorHAnsi"/>
                <w:sz w:val="20"/>
                <w:szCs w:val="20"/>
              </w:rPr>
              <w:t>EHP</w:t>
            </w:r>
          </w:p>
        </w:tc>
        <w:tc>
          <w:tcPr>
            <w:tcW w:w="1324" w:type="dxa"/>
            <w:noWrap/>
            <w:vAlign w:val="center"/>
            <w:hideMark/>
          </w:tcPr>
          <w:p w14:paraId="5BA6F065" w14:textId="77777777" w:rsidR="00C93D48" w:rsidRPr="0049352F" w:rsidRDefault="00C93D48" w:rsidP="0047255D">
            <w:pPr>
              <w:jc w:val="right"/>
              <w:rPr>
                <w:rFonts w:cstheme="minorHAnsi"/>
                <w:sz w:val="20"/>
                <w:szCs w:val="20"/>
              </w:rPr>
            </w:pPr>
            <w:r w:rsidRPr="0049352F">
              <w:rPr>
                <w:rFonts w:cstheme="minorHAnsi"/>
                <w:sz w:val="20"/>
                <w:szCs w:val="20"/>
              </w:rPr>
              <w:t>2 738 809</w:t>
            </w:r>
          </w:p>
        </w:tc>
        <w:tc>
          <w:tcPr>
            <w:tcW w:w="1417" w:type="dxa"/>
            <w:noWrap/>
            <w:vAlign w:val="center"/>
            <w:hideMark/>
          </w:tcPr>
          <w:p w14:paraId="2E614A47" w14:textId="77777777" w:rsidR="00C93D48" w:rsidRPr="0049352F" w:rsidRDefault="00C93D48" w:rsidP="0047255D">
            <w:pPr>
              <w:jc w:val="right"/>
              <w:rPr>
                <w:rFonts w:cstheme="minorHAnsi"/>
                <w:sz w:val="20"/>
                <w:szCs w:val="20"/>
              </w:rPr>
            </w:pPr>
            <w:r w:rsidRPr="0049352F">
              <w:rPr>
                <w:rFonts w:cstheme="minorHAnsi"/>
                <w:sz w:val="20"/>
                <w:szCs w:val="20"/>
              </w:rPr>
              <w:t>72 578 439</w:t>
            </w:r>
          </w:p>
        </w:tc>
        <w:tc>
          <w:tcPr>
            <w:tcW w:w="1985" w:type="dxa"/>
            <w:noWrap/>
            <w:vAlign w:val="center"/>
            <w:hideMark/>
          </w:tcPr>
          <w:p w14:paraId="656B5BBC" w14:textId="77777777" w:rsidR="00C93D48" w:rsidRPr="0049352F" w:rsidRDefault="00C93D48" w:rsidP="0047255D">
            <w:pPr>
              <w:jc w:val="center"/>
              <w:rPr>
                <w:rFonts w:cstheme="minorHAnsi"/>
                <w:sz w:val="20"/>
                <w:szCs w:val="20"/>
              </w:rPr>
            </w:pPr>
            <w:r w:rsidRPr="0049352F">
              <w:rPr>
                <w:rFonts w:cstheme="minorHAnsi"/>
                <w:sz w:val="20"/>
                <w:szCs w:val="20"/>
              </w:rPr>
              <w:t>MF</w:t>
            </w:r>
          </w:p>
        </w:tc>
        <w:tc>
          <w:tcPr>
            <w:tcW w:w="1417" w:type="dxa"/>
            <w:noWrap/>
            <w:vAlign w:val="center"/>
            <w:hideMark/>
          </w:tcPr>
          <w:p w14:paraId="62AB223F" w14:textId="77777777" w:rsidR="00C93D48" w:rsidRPr="0049352F" w:rsidRDefault="00C93D48" w:rsidP="0047255D">
            <w:pPr>
              <w:jc w:val="center"/>
              <w:rPr>
                <w:rFonts w:cstheme="minorHAnsi"/>
                <w:sz w:val="20"/>
                <w:szCs w:val="20"/>
              </w:rPr>
            </w:pPr>
            <w:r w:rsidRPr="0049352F">
              <w:rPr>
                <w:rFonts w:cstheme="minorHAnsi"/>
                <w:sz w:val="20"/>
                <w:szCs w:val="20"/>
              </w:rPr>
              <w:t>MPSV</w:t>
            </w:r>
          </w:p>
        </w:tc>
      </w:tr>
      <w:tr w:rsidR="00C93D48" w:rsidRPr="0049352F" w14:paraId="12D5C76D" w14:textId="77777777" w:rsidTr="00E809D2">
        <w:trPr>
          <w:trHeight w:val="1065"/>
        </w:trPr>
        <w:tc>
          <w:tcPr>
            <w:tcW w:w="740" w:type="dxa"/>
            <w:noWrap/>
            <w:vAlign w:val="center"/>
            <w:hideMark/>
          </w:tcPr>
          <w:p w14:paraId="73025F38" w14:textId="77777777" w:rsidR="00C93D48" w:rsidRPr="0049352F" w:rsidRDefault="00C93D48" w:rsidP="00E809D2">
            <w:pPr>
              <w:rPr>
                <w:rFonts w:cstheme="minorHAnsi"/>
                <w:sz w:val="20"/>
                <w:szCs w:val="20"/>
              </w:rPr>
            </w:pPr>
            <w:r w:rsidRPr="0049352F">
              <w:rPr>
                <w:rFonts w:cstheme="minorHAnsi"/>
                <w:sz w:val="20"/>
                <w:szCs w:val="20"/>
              </w:rPr>
              <w:t>CZ05</w:t>
            </w:r>
          </w:p>
        </w:tc>
        <w:tc>
          <w:tcPr>
            <w:tcW w:w="3036" w:type="dxa"/>
            <w:vAlign w:val="center"/>
            <w:hideMark/>
          </w:tcPr>
          <w:p w14:paraId="3D0BD0C5" w14:textId="77777777" w:rsidR="00C93D48" w:rsidRPr="0049352F" w:rsidRDefault="00C93D48" w:rsidP="00A12D7A">
            <w:pPr>
              <w:rPr>
                <w:rFonts w:cstheme="minorHAnsi"/>
                <w:sz w:val="20"/>
                <w:szCs w:val="20"/>
              </w:rPr>
            </w:pPr>
            <w:r w:rsidRPr="0049352F">
              <w:rPr>
                <w:rFonts w:cstheme="minorHAnsi"/>
                <w:sz w:val="20"/>
                <w:szCs w:val="20"/>
              </w:rPr>
              <w:t xml:space="preserve">Národní, regionální, místní iniciativy pro snižování nerovností mezi skupinami a na podporu sociálního začleňování </w:t>
            </w:r>
          </w:p>
        </w:tc>
        <w:tc>
          <w:tcPr>
            <w:tcW w:w="1702" w:type="dxa"/>
            <w:vAlign w:val="center"/>
            <w:hideMark/>
          </w:tcPr>
          <w:p w14:paraId="0954DEED" w14:textId="77777777" w:rsidR="00C93D48" w:rsidRPr="0049352F" w:rsidRDefault="00C93D48" w:rsidP="0047255D">
            <w:pPr>
              <w:rPr>
                <w:rFonts w:cstheme="minorHAnsi"/>
                <w:sz w:val="20"/>
                <w:szCs w:val="20"/>
              </w:rPr>
            </w:pPr>
            <w:r w:rsidRPr="0049352F">
              <w:rPr>
                <w:rFonts w:cstheme="minorHAnsi"/>
                <w:sz w:val="20"/>
                <w:szCs w:val="20"/>
              </w:rPr>
              <w:t>Sociální začleňování</w:t>
            </w:r>
          </w:p>
        </w:tc>
        <w:tc>
          <w:tcPr>
            <w:tcW w:w="1557" w:type="dxa"/>
            <w:noWrap/>
            <w:vAlign w:val="center"/>
            <w:hideMark/>
          </w:tcPr>
          <w:p w14:paraId="17F8D6E8" w14:textId="43D14F43" w:rsidR="00C93D48" w:rsidRPr="0049352F" w:rsidRDefault="00DF4F6D" w:rsidP="0047255D">
            <w:pPr>
              <w:rPr>
                <w:rFonts w:cstheme="minorHAnsi"/>
                <w:sz w:val="20"/>
                <w:szCs w:val="20"/>
              </w:rPr>
            </w:pPr>
            <w:r>
              <w:rPr>
                <w:rFonts w:cstheme="minorHAnsi"/>
                <w:sz w:val="20"/>
                <w:szCs w:val="20"/>
              </w:rPr>
              <w:t>FM</w:t>
            </w:r>
            <w:r w:rsidRPr="0049352F">
              <w:rPr>
                <w:rFonts w:cstheme="minorHAnsi"/>
                <w:sz w:val="20"/>
                <w:szCs w:val="20"/>
              </w:rPr>
              <w:t xml:space="preserve"> </w:t>
            </w:r>
            <w:r w:rsidR="00C93D48" w:rsidRPr="0049352F">
              <w:rPr>
                <w:rFonts w:cstheme="minorHAnsi"/>
                <w:sz w:val="20"/>
                <w:szCs w:val="20"/>
              </w:rPr>
              <w:t>EHP</w:t>
            </w:r>
          </w:p>
        </w:tc>
        <w:tc>
          <w:tcPr>
            <w:tcW w:w="1324" w:type="dxa"/>
            <w:noWrap/>
            <w:vAlign w:val="center"/>
            <w:hideMark/>
          </w:tcPr>
          <w:p w14:paraId="40594D96" w14:textId="77777777" w:rsidR="00C93D48" w:rsidRPr="0049352F" w:rsidRDefault="00C93D48" w:rsidP="0047255D">
            <w:pPr>
              <w:jc w:val="right"/>
              <w:rPr>
                <w:rFonts w:cstheme="minorHAnsi"/>
                <w:sz w:val="20"/>
                <w:szCs w:val="20"/>
              </w:rPr>
            </w:pPr>
            <w:r w:rsidRPr="0049352F">
              <w:rPr>
                <w:rFonts w:cstheme="minorHAnsi"/>
                <w:sz w:val="20"/>
                <w:szCs w:val="20"/>
              </w:rPr>
              <w:t>1 242 000</w:t>
            </w:r>
          </w:p>
        </w:tc>
        <w:tc>
          <w:tcPr>
            <w:tcW w:w="1417" w:type="dxa"/>
            <w:noWrap/>
            <w:vAlign w:val="center"/>
            <w:hideMark/>
          </w:tcPr>
          <w:p w14:paraId="3D023C06" w14:textId="77777777" w:rsidR="00C93D48" w:rsidRPr="0049352F" w:rsidRDefault="00C93D48" w:rsidP="0047255D">
            <w:pPr>
              <w:jc w:val="right"/>
              <w:rPr>
                <w:rFonts w:cstheme="minorHAnsi"/>
                <w:sz w:val="20"/>
                <w:szCs w:val="20"/>
              </w:rPr>
            </w:pPr>
            <w:r w:rsidRPr="0049352F">
              <w:rPr>
                <w:rFonts w:cstheme="minorHAnsi"/>
                <w:sz w:val="20"/>
                <w:szCs w:val="20"/>
              </w:rPr>
              <w:t>32 913 000</w:t>
            </w:r>
          </w:p>
        </w:tc>
        <w:tc>
          <w:tcPr>
            <w:tcW w:w="1985" w:type="dxa"/>
            <w:noWrap/>
            <w:vAlign w:val="center"/>
            <w:hideMark/>
          </w:tcPr>
          <w:p w14:paraId="19C5856D" w14:textId="77777777" w:rsidR="00C93D48" w:rsidRPr="0049352F" w:rsidRDefault="00C93D48" w:rsidP="0047255D">
            <w:pPr>
              <w:jc w:val="center"/>
              <w:rPr>
                <w:rFonts w:cstheme="minorHAnsi"/>
                <w:sz w:val="20"/>
                <w:szCs w:val="20"/>
              </w:rPr>
            </w:pPr>
            <w:r w:rsidRPr="0049352F">
              <w:rPr>
                <w:rFonts w:cstheme="minorHAnsi"/>
                <w:sz w:val="20"/>
                <w:szCs w:val="20"/>
              </w:rPr>
              <w:t>MF</w:t>
            </w:r>
          </w:p>
        </w:tc>
        <w:tc>
          <w:tcPr>
            <w:tcW w:w="1417" w:type="dxa"/>
            <w:noWrap/>
            <w:vAlign w:val="center"/>
            <w:hideMark/>
          </w:tcPr>
          <w:p w14:paraId="499C78DE" w14:textId="77777777" w:rsidR="00C93D48" w:rsidRPr="0049352F" w:rsidRDefault="00C93D48" w:rsidP="0047255D">
            <w:pPr>
              <w:jc w:val="center"/>
              <w:rPr>
                <w:rFonts w:cstheme="minorHAnsi"/>
                <w:sz w:val="20"/>
                <w:szCs w:val="20"/>
              </w:rPr>
            </w:pPr>
            <w:r w:rsidRPr="0049352F">
              <w:rPr>
                <w:rFonts w:cstheme="minorHAnsi"/>
                <w:sz w:val="20"/>
                <w:szCs w:val="20"/>
              </w:rPr>
              <w:t>x</w:t>
            </w:r>
          </w:p>
        </w:tc>
      </w:tr>
      <w:tr w:rsidR="00C93D48" w:rsidRPr="0049352F" w14:paraId="6542950B" w14:textId="77777777" w:rsidTr="00E809D2">
        <w:trPr>
          <w:trHeight w:val="300"/>
        </w:trPr>
        <w:tc>
          <w:tcPr>
            <w:tcW w:w="740" w:type="dxa"/>
            <w:noWrap/>
            <w:vAlign w:val="center"/>
            <w:hideMark/>
          </w:tcPr>
          <w:p w14:paraId="2E504DDB" w14:textId="77777777" w:rsidR="00C93D48" w:rsidRPr="0049352F" w:rsidRDefault="00C93D48" w:rsidP="00E809D2">
            <w:pPr>
              <w:rPr>
                <w:rFonts w:cstheme="minorHAnsi"/>
                <w:sz w:val="20"/>
                <w:szCs w:val="20"/>
              </w:rPr>
            </w:pPr>
            <w:r w:rsidRPr="0049352F">
              <w:rPr>
                <w:rFonts w:cstheme="minorHAnsi"/>
                <w:sz w:val="20"/>
                <w:szCs w:val="20"/>
              </w:rPr>
              <w:t>CZ06</w:t>
            </w:r>
          </w:p>
        </w:tc>
        <w:tc>
          <w:tcPr>
            <w:tcW w:w="3036" w:type="dxa"/>
            <w:vAlign w:val="center"/>
            <w:hideMark/>
          </w:tcPr>
          <w:p w14:paraId="59C7994F" w14:textId="77777777" w:rsidR="00C93D48" w:rsidRPr="0049352F" w:rsidRDefault="00C93D48" w:rsidP="00A12D7A">
            <w:pPr>
              <w:rPr>
                <w:rFonts w:cstheme="minorHAnsi"/>
                <w:sz w:val="20"/>
                <w:szCs w:val="20"/>
              </w:rPr>
            </w:pPr>
            <w:r w:rsidRPr="0049352F">
              <w:rPr>
                <w:rFonts w:cstheme="minorHAnsi"/>
                <w:sz w:val="20"/>
                <w:szCs w:val="20"/>
              </w:rPr>
              <w:t>Kulturní dědictví a současné umění</w:t>
            </w:r>
          </w:p>
        </w:tc>
        <w:tc>
          <w:tcPr>
            <w:tcW w:w="1702" w:type="dxa"/>
            <w:vAlign w:val="center"/>
            <w:hideMark/>
          </w:tcPr>
          <w:p w14:paraId="595141DE" w14:textId="77777777" w:rsidR="00C93D48" w:rsidRPr="0049352F" w:rsidRDefault="00C93D48" w:rsidP="0047255D">
            <w:pPr>
              <w:rPr>
                <w:rFonts w:cstheme="minorHAnsi"/>
                <w:sz w:val="20"/>
                <w:szCs w:val="20"/>
              </w:rPr>
            </w:pPr>
            <w:r w:rsidRPr="0049352F">
              <w:rPr>
                <w:rFonts w:cstheme="minorHAnsi"/>
                <w:sz w:val="20"/>
                <w:szCs w:val="20"/>
              </w:rPr>
              <w:t>Kultura</w:t>
            </w:r>
          </w:p>
        </w:tc>
        <w:tc>
          <w:tcPr>
            <w:tcW w:w="1557" w:type="dxa"/>
            <w:noWrap/>
            <w:vAlign w:val="center"/>
            <w:hideMark/>
          </w:tcPr>
          <w:p w14:paraId="1D58B725" w14:textId="66DAF00C" w:rsidR="00C93D48" w:rsidRPr="0049352F" w:rsidRDefault="00DF4F6D" w:rsidP="0047255D">
            <w:pPr>
              <w:rPr>
                <w:rFonts w:cstheme="minorHAnsi"/>
                <w:sz w:val="20"/>
                <w:szCs w:val="20"/>
              </w:rPr>
            </w:pPr>
            <w:r>
              <w:rPr>
                <w:rFonts w:cstheme="minorHAnsi"/>
                <w:sz w:val="20"/>
                <w:szCs w:val="20"/>
              </w:rPr>
              <w:t>FM</w:t>
            </w:r>
            <w:r w:rsidRPr="0049352F">
              <w:rPr>
                <w:rFonts w:cstheme="minorHAnsi"/>
                <w:sz w:val="20"/>
                <w:szCs w:val="20"/>
              </w:rPr>
              <w:t xml:space="preserve"> </w:t>
            </w:r>
            <w:r w:rsidR="00C93D48" w:rsidRPr="0049352F">
              <w:rPr>
                <w:rFonts w:cstheme="minorHAnsi"/>
                <w:sz w:val="20"/>
                <w:szCs w:val="20"/>
              </w:rPr>
              <w:t>EHP</w:t>
            </w:r>
          </w:p>
        </w:tc>
        <w:tc>
          <w:tcPr>
            <w:tcW w:w="1324" w:type="dxa"/>
            <w:noWrap/>
            <w:vAlign w:val="center"/>
            <w:hideMark/>
          </w:tcPr>
          <w:p w14:paraId="6F76C395" w14:textId="77777777" w:rsidR="00C93D48" w:rsidRPr="0049352F" w:rsidRDefault="00C93D48" w:rsidP="0047255D">
            <w:pPr>
              <w:jc w:val="right"/>
              <w:rPr>
                <w:rFonts w:cstheme="minorHAnsi"/>
                <w:sz w:val="20"/>
                <w:szCs w:val="20"/>
              </w:rPr>
            </w:pPr>
            <w:r w:rsidRPr="0049352F">
              <w:rPr>
                <w:rFonts w:cstheme="minorHAnsi"/>
                <w:sz w:val="20"/>
                <w:szCs w:val="20"/>
              </w:rPr>
              <w:t>21 490 000</w:t>
            </w:r>
          </w:p>
        </w:tc>
        <w:tc>
          <w:tcPr>
            <w:tcW w:w="1417" w:type="dxa"/>
            <w:noWrap/>
            <w:vAlign w:val="center"/>
            <w:hideMark/>
          </w:tcPr>
          <w:p w14:paraId="3A3A0D5C" w14:textId="77777777" w:rsidR="00C93D48" w:rsidRPr="0049352F" w:rsidRDefault="00C93D48" w:rsidP="0047255D">
            <w:pPr>
              <w:jc w:val="right"/>
              <w:rPr>
                <w:rFonts w:cstheme="minorHAnsi"/>
                <w:sz w:val="20"/>
                <w:szCs w:val="20"/>
              </w:rPr>
            </w:pPr>
            <w:r w:rsidRPr="0049352F">
              <w:rPr>
                <w:rFonts w:cstheme="minorHAnsi"/>
                <w:sz w:val="20"/>
                <w:szCs w:val="20"/>
              </w:rPr>
              <w:t>569 485 000</w:t>
            </w:r>
          </w:p>
        </w:tc>
        <w:tc>
          <w:tcPr>
            <w:tcW w:w="1985" w:type="dxa"/>
            <w:noWrap/>
            <w:vAlign w:val="center"/>
            <w:hideMark/>
          </w:tcPr>
          <w:p w14:paraId="601F615B" w14:textId="77777777" w:rsidR="00C93D48" w:rsidRPr="0049352F" w:rsidRDefault="00C93D48" w:rsidP="0047255D">
            <w:pPr>
              <w:jc w:val="center"/>
              <w:rPr>
                <w:rFonts w:cstheme="minorHAnsi"/>
                <w:sz w:val="20"/>
                <w:szCs w:val="20"/>
              </w:rPr>
            </w:pPr>
            <w:r w:rsidRPr="0049352F">
              <w:rPr>
                <w:rFonts w:cstheme="minorHAnsi"/>
                <w:sz w:val="20"/>
                <w:szCs w:val="20"/>
              </w:rPr>
              <w:t>MF</w:t>
            </w:r>
          </w:p>
        </w:tc>
        <w:tc>
          <w:tcPr>
            <w:tcW w:w="1417" w:type="dxa"/>
            <w:noWrap/>
            <w:vAlign w:val="center"/>
            <w:hideMark/>
          </w:tcPr>
          <w:p w14:paraId="2EE6BF38" w14:textId="77777777" w:rsidR="00C93D48" w:rsidRPr="0049352F" w:rsidRDefault="00C93D48" w:rsidP="0047255D">
            <w:pPr>
              <w:jc w:val="center"/>
              <w:rPr>
                <w:rFonts w:cstheme="minorHAnsi"/>
                <w:sz w:val="20"/>
                <w:szCs w:val="20"/>
              </w:rPr>
            </w:pPr>
            <w:r w:rsidRPr="0049352F">
              <w:rPr>
                <w:rFonts w:cstheme="minorHAnsi"/>
                <w:sz w:val="20"/>
                <w:szCs w:val="20"/>
              </w:rPr>
              <w:t>MK</w:t>
            </w:r>
          </w:p>
        </w:tc>
      </w:tr>
      <w:tr w:rsidR="00C93D48" w:rsidRPr="0049352F" w14:paraId="5655116C" w14:textId="77777777" w:rsidTr="00E809D2">
        <w:trPr>
          <w:trHeight w:val="870"/>
        </w:trPr>
        <w:tc>
          <w:tcPr>
            <w:tcW w:w="740" w:type="dxa"/>
            <w:noWrap/>
            <w:vAlign w:val="center"/>
            <w:hideMark/>
          </w:tcPr>
          <w:p w14:paraId="465CAEB2" w14:textId="77777777" w:rsidR="00C93D48" w:rsidRPr="0049352F" w:rsidRDefault="00C93D48" w:rsidP="00E809D2">
            <w:pPr>
              <w:rPr>
                <w:rFonts w:cstheme="minorHAnsi"/>
                <w:sz w:val="20"/>
                <w:szCs w:val="20"/>
              </w:rPr>
            </w:pPr>
            <w:r w:rsidRPr="0049352F">
              <w:rPr>
                <w:rFonts w:cstheme="minorHAnsi"/>
                <w:sz w:val="20"/>
                <w:szCs w:val="20"/>
              </w:rPr>
              <w:t>CZ07</w:t>
            </w:r>
          </w:p>
        </w:tc>
        <w:tc>
          <w:tcPr>
            <w:tcW w:w="3036" w:type="dxa"/>
            <w:vAlign w:val="center"/>
            <w:hideMark/>
          </w:tcPr>
          <w:p w14:paraId="6CA6CB7D" w14:textId="60999934" w:rsidR="00C93D48" w:rsidRPr="0049352F" w:rsidRDefault="00C93D48" w:rsidP="00A12D7A">
            <w:pPr>
              <w:rPr>
                <w:rFonts w:cstheme="minorHAnsi"/>
                <w:sz w:val="20"/>
                <w:szCs w:val="20"/>
              </w:rPr>
            </w:pPr>
            <w:r w:rsidRPr="0049352F">
              <w:rPr>
                <w:rFonts w:cstheme="minorHAnsi"/>
                <w:sz w:val="20"/>
                <w:szCs w:val="20"/>
              </w:rPr>
              <w:t>Program na spolupráci škol a</w:t>
            </w:r>
            <w:r w:rsidR="00A12D7A">
              <w:rPr>
                <w:rFonts w:cstheme="minorHAnsi"/>
                <w:sz w:val="20"/>
                <w:szCs w:val="20"/>
              </w:rPr>
              <w:t> </w:t>
            </w:r>
            <w:r w:rsidRPr="0049352F">
              <w:rPr>
                <w:rFonts w:cstheme="minorHAnsi"/>
                <w:sz w:val="20"/>
                <w:szCs w:val="20"/>
              </w:rPr>
              <w:t>stipendia</w:t>
            </w:r>
            <w:r w:rsidR="00A12D7A">
              <w:rPr>
                <w:rFonts w:cstheme="minorHAnsi"/>
                <w:sz w:val="20"/>
                <w:szCs w:val="20"/>
              </w:rPr>
              <w:t xml:space="preserve"> </w:t>
            </w:r>
            <w:r w:rsidRPr="0049352F">
              <w:rPr>
                <w:rFonts w:cstheme="minorHAnsi"/>
                <w:sz w:val="20"/>
                <w:szCs w:val="20"/>
              </w:rPr>
              <w:t>/</w:t>
            </w:r>
            <w:r w:rsidR="00A12D7A">
              <w:rPr>
                <w:rFonts w:cstheme="minorHAnsi"/>
                <w:sz w:val="20"/>
                <w:szCs w:val="20"/>
              </w:rPr>
              <w:t xml:space="preserve"> </w:t>
            </w:r>
            <w:r w:rsidRPr="0049352F">
              <w:rPr>
                <w:rFonts w:cstheme="minorHAnsi"/>
                <w:sz w:val="20"/>
                <w:szCs w:val="20"/>
              </w:rPr>
              <w:t>Program na bilaterální spolupráci škol a</w:t>
            </w:r>
            <w:r w:rsidR="00A12D7A">
              <w:rPr>
                <w:rFonts w:cstheme="minorHAnsi"/>
                <w:sz w:val="20"/>
                <w:szCs w:val="20"/>
              </w:rPr>
              <w:t> </w:t>
            </w:r>
            <w:r w:rsidRPr="0049352F">
              <w:rPr>
                <w:rFonts w:cstheme="minorHAnsi"/>
                <w:sz w:val="20"/>
                <w:szCs w:val="20"/>
              </w:rPr>
              <w:t>stipendia</w:t>
            </w:r>
          </w:p>
        </w:tc>
        <w:tc>
          <w:tcPr>
            <w:tcW w:w="1702" w:type="dxa"/>
            <w:vAlign w:val="center"/>
            <w:hideMark/>
          </w:tcPr>
          <w:p w14:paraId="55D958AB" w14:textId="7F974ACF" w:rsidR="00C93D48" w:rsidRPr="0049352F" w:rsidRDefault="00C93D48" w:rsidP="0047255D">
            <w:pPr>
              <w:rPr>
                <w:rFonts w:cstheme="minorHAnsi"/>
                <w:sz w:val="20"/>
                <w:szCs w:val="20"/>
              </w:rPr>
            </w:pPr>
            <w:r w:rsidRPr="0049352F">
              <w:rPr>
                <w:rFonts w:cstheme="minorHAnsi"/>
                <w:sz w:val="20"/>
                <w:szCs w:val="20"/>
              </w:rPr>
              <w:t>Spolupráce škol a</w:t>
            </w:r>
            <w:r w:rsidR="00A12D7A">
              <w:rPr>
                <w:rFonts w:cstheme="minorHAnsi"/>
                <w:sz w:val="20"/>
                <w:szCs w:val="20"/>
              </w:rPr>
              <w:t> </w:t>
            </w:r>
            <w:r w:rsidRPr="0049352F">
              <w:rPr>
                <w:rFonts w:cstheme="minorHAnsi"/>
                <w:sz w:val="20"/>
                <w:szCs w:val="20"/>
              </w:rPr>
              <w:t>stipendia</w:t>
            </w:r>
          </w:p>
        </w:tc>
        <w:tc>
          <w:tcPr>
            <w:tcW w:w="1557" w:type="dxa"/>
            <w:noWrap/>
            <w:vAlign w:val="center"/>
            <w:hideMark/>
          </w:tcPr>
          <w:p w14:paraId="0E2B8572" w14:textId="465EADBC" w:rsidR="00C93D48" w:rsidRPr="0049352F" w:rsidRDefault="00DF4F6D" w:rsidP="0047255D">
            <w:pPr>
              <w:rPr>
                <w:rFonts w:cstheme="minorHAnsi"/>
                <w:sz w:val="20"/>
                <w:szCs w:val="20"/>
              </w:rPr>
            </w:pPr>
            <w:r>
              <w:rPr>
                <w:rFonts w:cstheme="minorHAnsi"/>
                <w:sz w:val="20"/>
                <w:szCs w:val="20"/>
              </w:rPr>
              <w:t>FM</w:t>
            </w:r>
            <w:r w:rsidRPr="0049352F">
              <w:rPr>
                <w:rFonts w:cstheme="minorHAnsi"/>
                <w:sz w:val="20"/>
                <w:szCs w:val="20"/>
              </w:rPr>
              <w:t xml:space="preserve"> </w:t>
            </w:r>
            <w:r w:rsidR="00C93D48" w:rsidRPr="0049352F">
              <w:rPr>
                <w:rFonts w:cstheme="minorHAnsi"/>
                <w:sz w:val="20"/>
                <w:szCs w:val="20"/>
              </w:rPr>
              <w:t>EHP/Norska</w:t>
            </w:r>
          </w:p>
        </w:tc>
        <w:tc>
          <w:tcPr>
            <w:tcW w:w="1324" w:type="dxa"/>
            <w:noWrap/>
            <w:vAlign w:val="center"/>
            <w:hideMark/>
          </w:tcPr>
          <w:p w14:paraId="36AB1A6A" w14:textId="77777777" w:rsidR="00C93D48" w:rsidRPr="0049352F" w:rsidRDefault="00C93D48" w:rsidP="0047255D">
            <w:pPr>
              <w:jc w:val="right"/>
              <w:rPr>
                <w:rFonts w:cstheme="minorHAnsi"/>
                <w:sz w:val="20"/>
                <w:szCs w:val="20"/>
              </w:rPr>
            </w:pPr>
            <w:r w:rsidRPr="0049352F">
              <w:rPr>
                <w:rFonts w:cstheme="minorHAnsi"/>
                <w:sz w:val="20"/>
                <w:szCs w:val="20"/>
              </w:rPr>
              <w:t>3 827 000</w:t>
            </w:r>
          </w:p>
        </w:tc>
        <w:tc>
          <w:tcPr>
            <w:tcW w:w="1417" w:type="dxa"/>
            <w:noWrap/>
            <w:vAlign w:val="center"/>
            <w:hideMark/>
          </w:tcPr>
          <w:p w14:paraId="5D213098" w14:textId="77777777" w:rsidR="00C93D48" w:rsidRPr="0049352F" w:rsidRDefault="00C93D48" w:rsidP="0047255D">
            <w:pPr>
              <w:jc w:val="right"/>
              <w:rPr>
                <w:rFonts w:cstheme="minorHAnsi"/>
                <w:sz w:val="20"/>
                <w:szCs w:val="20"/>
              </w:rPr>
            </w:pPr>
            <w:r w:rsidRPr="0049352F">
              <w:rPr>
                <w:rFonts w:cstheme="minorHAnsi"/>
                <w:sz w:val="20"/>
                <w:szCs w:val="20"/>
              </w:rPr>
              <w:t>101 415 500</w:t>
            </w:r>
          </w:p>
        </w:tc>
        <w:tc>
          <w:tcPr>
            <w:tcW w:w="1985" w:type="dxa"/>
            <w:noWrap/>
            <w:vAlign w:val="center"/>
            <w:hideMark/>
          </w:tcPr>
          <w:p w14:paraId="5D521A1F" w14:textId="77777777" w:rsidR="00C93D48" w:rsidRPr="0049352F" w:rsidRDefault="00C93D48" w:rsidP="0047255D">
            <w:pPr>
              <w:jc w:val="center"/>
              <w:rPr>
                <w:rFonts w:cstheme="minorHAnsi"/>
                <w:sz w:val="20"/>
                <w:szCs w:val="20"/>
              </w:rPr>
            </w:pPr>
            <w:r w:rsidRPr="0049352F">
              <w:rPr>
                <w:rFonts w:cstheme="minorHAnsi"/>
                <w:sz w:val="20"/>
                <w:szCs w:val="20"/>
              </w:rPr>
              <w:t>DZS/NAEP</w:t>
            </w:r>
          </w:p>
        </w:tc>
        <w:tc>
          <w:tcPr>
            <w:tcW w:w="1417" w:type="dxa"/>
            <w:noWrap/>
            <w:vAlign w:val="center"/>
            <w:hideMark/>
          </w:tcPr>
          <w:p w14:paraId="31C10E79" w14:textId="77777777" w:rsidR="00C93D48" w:rsidRPr="0049352F" w:rsidRDefault="00C93D48" w:rsidP="0047255D">
            <w:pPr>
              <w:jc w:val="center"/>
              <w:rPr>
                <w:rFonts w:cstheme="minorHAnsi"/>
                <w:sz w:val="20"/>
                <w:szCs w:val="20"/>
              </w:rPr>
            </w:pPr>
            <w:r w:rsidRPr="0049352F">
              <w:rPr>
                <w:rFonts w:cstheme="minorHAnsi"/>
                <w:sz w:val="20"/>
                <w:szCs w:val="20"/>
              </w:rPr>
              <w:t>MŠMT</w:t>
            </w:r>
          </w:p>
        </w:tc>
      </w:tr>
      <w:tr w:rsidR="00C93D48" w:rsidRPr="0049352F" w14:paraId="30FE771D" w14:textId="77777777" w:rsidTr="00E809D2">
        <w:trPr>
          <w:trHeight w:val="630"/>
        </w:trPr>
        <w:tc>
          <w:tcPr>
            <w:tcW w:w="740" w:type="dxa"/>
            <w:noWrap/>
            <w:vAlign w:val="center"/>
            <w:hideMark/>
          </w:tcPr>
          <w:p w14:paraId="188A316E" w14:textId="77777777" w:rsidR="00C93D48" w:rsidRPr="0049352F" w:rsidRDefault="00C93D48" w:rsidP="00E809D2">
            <w:pPr>
              <w:rPr>
                <w:rFonts w:cstheme="minorHAnsi"/>
                <w:sz w:val="20"/>
                <w:szCs w:val="20"/>
              </w:rPr>
            </w:pPr>
            <w:r w:rsidRPr="0049352F">
              <w:rPr>
                <w:rFonts w:cstheme="minorHAnsi"/>
                <w:sz w:val="20"/>
                <w:szCs w:val="20"/>
              </w:rPr>
              <w:t>CZ08</w:t>
            </w:r>
          </w:p>
        </w:tc>
        <w:tc>
          <w:tcPr>
            <w:tcW w:w="3036" w:type="dxa"/>
            <w:vAlign w:val="center"/>
            <w:hideMark/>
          </w:tcPr>
          <w:p w14:paraId="08971099" w14:textId="77777777" w:rsidR="00C93D48" w:rsidRPr="0049352F" w:rsidRDefault="00C93D48" w:rsidP="00A12D7A">
            <w:pPr>
              <w:rPr>
                <w:rFonts w:cstheme="minorHAnsi"/>
                <w:sz w:val="20"/>
                <w:szCs w:val="20"/>
              </w:rPr>
            </w:pPr>
            <w:r w:rsidRPr="0049352F">
              <w:rPr>
                <w:rFonts w:cstheme="minorHAnsi"/>
                <w:sz w:val="20"/>
                <w:szCs w:val="20"/>
              </w:rPr>
              <w:t>Pilotní studie a průzkumy pro CCS technologie</w:t>
            </w:r>
          </w:p>
        </w:tc>
        <w:tc>
          <w:tcPr>
            <w:tcW w:w="1702" w:type="dxa"/>
            <w:vAlign w:val="center"/>
            <w:hideMark/>
          </w:tcPr>
          <w:p w14:paraId="26646393" w14:textId="6A1DEF1E" w:rsidR="00C93D48" w:rsidRPr="0049352F" w:rsidRDefault="00C93D48" w:rsidP="0047255D">
            <w:pPr>
              <w:rPr>
                <w:rFonts w:cstheme="minorHAnsi"/>
                <w:sz w:val="20"/>
                <w:szCs w:val="20"/>
              </w:rPr>
            </w:pPr>
            <w:r w:rsidRPr="0049352F">
              <w:rPr>
                <w:rFonts w:cstheme="minorHAnsi"/>
                <w:sz w:val="20"/>
                <w:szCs w:val="20"/>
              </w:rPr>
              <w:t>Zachycování a</w:t>
            </w:r>
            <w:r w:rsidR="00A12D7A">
              <w:rPr>
                <w:rFonts w:cstheme="minorHAnsi"/>
                <w:sz w:val="20"/>
                <w:szCs w:val="20"/>
              </w:rPr>
              <w:t> </w:t>
            </w:r>
            <w:r w:rsidRPr="0049352F">
              <w:rPr>
                <w:rFonts w:cstheme="minorHAnsi"/>
                <w:sz w:val="20"/>
                <w:szCs w:val="20"/>
              </w:rPr>
              <w:t>ukládání oxidu uhličitého</w:t>
            </w:r>
          </w:p>
        </w:tc>
        <w:tc>
          <w:tcPr>
            <w:tcW w:w="1557" w:type="dxa"/>
            <w:noWrap/>
            <w:vAlign w:val="center"/>
            <w:hideMark/>
          </w:tcPr>
          <w:p w14:paraId="744CB566" w14:textId="1BE602AD" w:rsidR="00C93D48" w:rsidRPr="0049352F" w:rsidRDefault="00DF4F6D" w:rsidP="0047255D">
            <w:pPr>
              <w:rPr>
                <w:rFonts w:cstheme="minorHAnsi"/>
                <w:sz w:val="20"/>
                <w:szCs w:val="20"/>
              </w:rPr>
            </w:pPr>
            <w:r>
              <w:rPr>
                <w:rFonts w:cstheme="minorHAnsi"/>
                <w:sz w:val="20"/>
                <w:szCs w:val="20"/>
              </w:rPr>
              <w:t>FM</w:t>
            </w:r>
            <w:r w:rsidRPr="0049352F">
              <w:rPr>
                <w:rFonts w:cstheme="minorHAnsi"/>
                <w:sz w:val="20"/>
                <w:szCs w:val="20"/>
              </w:rPr>
              <w:t xml:space="preserve"> </w:t>
            </w:r>
            <w:r w:rsidR="00C93D48" w:rsidRPr="0049352F">
              <w:rPr>
                <w:rFonts w:cstheme="minorHAnsi"/>
                <w:sz w:val="20"/>
                <w:szCs w:val="20"/>
              </w:rPr>
              <w:t>Norska</w:t>
            </w:r>
          </w:p>
        </w:tc>
        <w:tc>
          <w:tcPr>
            <w:tcW w:w="1324" w:type="dxa"/>
            <w:noWrap/>
            <w:vAlign w:val="center"/>
            <w:hideMark/>
          </w:tcPr>
          <w:p w14:paraId="3DD7F055" w14:textId="77777777" w:rsidR="00C93D48" w:rsidRPr="0049352F" w:rsidRDefault="00C93D48" w:rsidP="0047255D">
            <w:pPr>
              <w:jc w:val="right"/>
              <w:rPr>
                <w:rFonts w:cstheme="minorHAnsi"/>
                <w:sz w:val="20"/>
                <w:szCs w:val="20"/>
              </w:rPr>
            </w:pPr>
            <w:r w:rsidRPr="0049352F">
              <w:rPr>
                <w:rFonts w:cstheme="minorHAnsi"/>
                <w:sz w:val="20"/>
                <w:szCs w:val="20"/>
              </w:rPr>
              <w:t>5 023 623</w:t>
            </w:r>
          </w:p>
        </w:tc>
        <w:tc>
          <w:tcPr>
            <w:tcW w:w="1417" w:type="dxa"/>
            <w:noWrap/>
            <w:vAlign w:val="center"/>
            <w:hideMark/>
          </w:tcPr>
          <w:p w14:paraId="202BC479" w14:textId="77777777" w:rsidR="00C93D48" w:rsidRPr="0049352F" w:rsidRDefault="00C93D48" w:rsidP="0047255D">
            <w:pPr>
              <w:jc w:val="right"/>
              <w:rPr>
                <w:rFonts w:cstheme="minorHAnsi"/>
                <w:sz w:val="20"/>
                <w:szCs w:val="20"/>
              </w:rPr>
            </w:pPr>
            <w:r w:rsidRPr="0049352F">
              <w:rPr>
                <w:rFonts w:cstheme="minorHAnsi"/>
                <w:sz w:val="20"/>
                <w:szCs w:val="20"/>
              </w:rPr>
              <w:t>133 126 009</w:t>
            </w:r>
          </w:p>
        </w:tc>
        <w:tc>
          <w:tcPr>
            <w:tcW w:w="1985" w:type="dxa"/>
            <w:noWrap/>
            <w:vAlign w:val="center"/>
            <w:hideMark/>
          </w:tcPr>
          <w:p w14:paraId="4A1D1665" w14:textId="77777777" w:rsidR="00C93D48" w:rsidRPr="0049352F" w:rsidRDefault="00C93D48" w:rsidP="0047255D">
            <w:pPr>
              <w:jc w:val="center"/>
              <w:rPr>
                <w:rFonts w:cstheme="minorHAnsi"/>
                <w:sz w:val="20"/>
                <w:szCs w:val="20"/>
              </w:rPr>
            </w:pPr>
            <w:r w:rsidRPr="0049352F">
              <w:rPr>
                <w:rFonts w:cstheme="minorHAnsi"/>
                <w:sz w:val="20"/>
                <w:szCs w:val="20"/>
              </w:rPr>
              <w:t>MF</w:t>
            </w:r>
          </w:p>
        </w:tc>
        <w:tc>
          <w:tcPr>
            <w:tcW w:w="1417" w:type="dxa"/>
            <w:noWrap/>
            <w:vAlign w:val="center"/>
            <w:hideMark/>
          </w:tcPr>
          <w:p w14:paraId="58F1029F" w14:textId="77777777" w:rsidR="00C93D48" w:rsidRPr="0049352F" w:rsidRDefault="00C93D48" w:rsidP="0047255D">
            <w:pPr>
              <w:jc w:val="center"/>
              <w:rPr>
                <w:rFonts w:cstheme="minorHAnsi"/>
                <w:sz w:val="20"/>
                <w:szCs w:val="20"/>
              </w:rPr>
            </w:pPr>
            <w:r w:rsidRPr="0049352F">
              <w:rPr>
                <w:rFonts w:cstheme="minorHAnsi"/>
                <w:sz w:val="20"/>
                <w:szCs w:val="20"/>
              </w:rPr>
              <w:t>MŽP</w:t>
            </w:r>
          </w:p>
        </w:tc>
      </w:tr>
      <w:tr w:rsidR="00C93D48" w:rsidRPr="0049352F" w14:paraId="17B2B149" w14:textId="77777777" w:rsidTr="00E809D2">
        <w:trPr>
          <w:trHeight w:val="585"/>
        </w:trPr>
        <w:tc>
          <w:tcPr>
            <w:tcW w:w="740" w:type="dxa"/>
            <w:noWrap/>
            <w:vAlign w:val="center"/>
            <w:hideMark/>
          </w:tcPr>
          <w:p w14:paraId="2D2C55D9" w14:textId="77777777" w:rsidR="00C93D48" w:rsidRPr="0049352F" w:rsidRDefault="00C93D48" w:rsidP="00E809D2">
            <w:pPr>
              <w:rPr>
                <w:rFonts w:cstheme="minorHAnsi"/>
                <w:sz w:val="20"/>
                <w:szCs w:val="20"/>
              </w:rPr>
            </w:pPr>
            <w:r w:rsidRPr="0049352F">
              <w:rPr>
                <w:rFonts w:cstheme="minorHAnsi"/>
                <w:sz w:val="20"/>
                <w:szCs w:val="20"/>
              </w:rPr>
              <w:t>CZ09</w:t>
            </w:r>
          </w:p>
        </w:tc>
        <w:tc>
          <w:tcPr>
            <w:tcW w:w="3036" w:type="dxa"/>
            <w:vAlign w:val="center"/>
            <w:hideMark/>
          </w:tcPr>
          <w:p w14:paraId="18E63628" w14:textId="77777777" w:rsidR="00C93D48" w:rsidRPr="0049352F" w:rsidRDefault="00C93D48" w:rsidP="00A12D7A">
            <w:pPr>
              <w:rPr>
                <w:rFonts w:cstheme="minorHAnsi"/>
                <w:sz w:val="20"/>
                <w:szCs w:val="20"/>
              </w:rPr>
            </w:pPr>
            <w:r w:rsidRPr="0049352F">
              <w:rPr>
                <w:rFonts w:cstheme="minorHAnsi"/>
                <w:sz w:val="20"/>
                <w:szCs w:val="20"/>
              </w:rPr>
              <w:t>Česko-norský výzkumný program</w:t>
            </w:r>
          </w:p>
        </w:tc>
        <w:tc>
          <w:tcPr>
            <w:tcW w:w="1702" w:type="dxa"/>
            <w:vAlign w:val="center"/>
            <w:hideMark/>
          </w:tcPr>
          <w:p w14:paraId="52B86B94" w14:textId="77777777" w:rsidR="00C93D48" w:rsidRPr="0049352F" w:rsidRDefault="00C93D48" w:rsidP="0047255D">
            <w:pPr>
              <w:rPr>
                <w:rFonts w:cstheme="minorHAnsi"/>
                <w:sz w:val="20"/>
                <w:szCs w:val="20"/>
              </w:rPr>
            </w:pPr>
            <w:r w:rsidRPr="0049352F">
              <w:rPr>
                <w:rFonts w:cstheme="minorHAnsi"/>
                <w:sz w:val="20"/>
                <w:szCs w:val="20"/>
              </w:rPr>
              <w:t>Česko-norský výzkumný program</w:t>
            </w:r>
          </w:p>
        </w:tc>
        <w:tc>
          <w:tcPr>
            <w:tcW w:w="1557" w:type="dxa"/>
            <w:noWrap/>
            <w:vAlign w:val="center"/>
            <w:hideMark/>
          </w:tcPr>
          <w:p w14:paraId="0803FECF" w14:textId="6F1F9587" w:rsidR="00C93D48" w:rsidRPr="0049352F" w:rsidRDefault="00DF4F6D" w:rsidP="0047255D">
            <w:pPr>
              <w:rPr>
                <w:rFonts w:cstheme="minorHAnsi"/>
                <w:sz w:val="20"/>
                <w:szCs w:val="20"/>
              </w:rPr>
            </w:pPr>
            <w:r>
              <w:rPr>
                <w:rFonts w:cstheme="minorHAnsi"/>
                <w:sz w:val="20"/>
                <w:szCs w:val="20"/>
              </w:rPr>
              <w:t>FM</w:t>
            </w:r>
            <w:r w:rsidRPr="0049352F">
              <w:rPr>
                <w:rFonts w:cstheme="minorHAnsi"/>
                <w:sz w:val="20"/>
                <w:szCs w:val="20"/>
              </w:rPr>
              <w:t xml:space="preserve"> </w:t>
            </w:r>
            <w:r w:rsidR="00C93D48" w:rsidRPr="0049352F">
              <w:rPr>
                <w:rFonts w:cstheme="minorHAnsi"/>
                <w:sz w:val="20"/>
                <w:szCs w:val="20"/>
              </w:rPr>
              <w:t>Norska</w:t>
            </w:r>
          </w:p>
        </w:tc>
        <w:tc>
          <w:tcPr>
            <w:tcW w:w="1324" w:type="dxa"/>
            <w:noWrap/>
            <w:vAlign w:val="center"/>
            <w:hideMark/>
          </w:tcPr>
          <w:p w14:paraId="1C531036" w14:textId="77777777" w:rsidR="00C93D48" w:rsidRPr="0049352F" w:rsidRDefault="00C93D48" w:rsidP="0047255D">
            <w:pPr>
              <w:jc w:val="right"/>
              <w:rPr>
                <w:rFonts w:cstheme="minorHAnsi"/>
                <w:sz w:val="20"/>
                <w:szCs w:val="20"/>
              </w:rPr>
            </w:pPr>
            <w:r w:rsidRPr="0049352F">
              <w:rPr>
                <w:rFonts w:cstheme="minorHAnsi"/>
                <w:sz w:val="20"/>
                <w:szCs w:val="20"/>
              </w:rPr>
              <w:t>17 078 091</w:t>
            </w:r>
          </w:p>
        </w:tc>
        <w:tc>
          <w:tcPr>
            <w:tcW w:w="1417" w:type="dxa"/>
            <w:noWrap/>
            <w:vAlign w:val="center"/>
            <w:hideMark/>
          </w:tcPr>
          <w:p w14:paraId="39A1A642" w14:textId="77777777" w:rsidR="00C93D48" w:rsidRPr="0049352F" w:rsidRDefault="00C93D48" w:rsidP="0047255D">
            <w:pPr>
              <w:jc w:val="right"/>
              <w:rPr>
                <w:rFonts w:cstheme="minorHAnsi"/>
                <w:sz w:val="20"/>
                <w:szCs w:val="20"/>
              </w:rPr>
            </w:pPr>
            <w:r w:rsidRPr="0049352F">
              <w:rPr>
                <w:rFonts w:cstheme="minorHAnsi"/>
                <w:sz w:val="20"/>
                <w:szCs w:val="20"/>
              </w:rPr>
              <w:t>452 569 411</w:t>
            </w:r>
          </w:p>
        </w:tc>
        <w:tc>
          <w:tcPr>
            <w:tcW w:w="1985" w:type="dxa"/>
            <w:noWrap/>
            <w:vAlign w:val="center"/>
            <w:hideMark/>
          </w:tcPr>
          <w:p w14:paraId="09740620" w14:textId="77777777" w:rsidR="00C93D48" w:rsidRPr="0049352F" w:rsidRDefault="00C93D48" w:rsidP="0047255D">
            <w:pPr>
              <w:jc w:val="center"/>
              <w:rPr>
                <w:rFonts w:cstheme="minorHAnsi"/>
                <w:sz w:val="20"/>
                <w:szCs w:val="20"/>
              </w:rPr>
            </w:pPr>
            <w:r w:rsidRPr="0049352F">
              <w:rPr>
                <w:rFonts w:cstheme="minorHAnsi"/>
                <w:sz w:val="20"/>
                <w:szCs w:val="20"/>
              </w:rPr>
              <w:t>MŠMT</w:t>
            </w:r>
          </w:p>
        </w:tc>
        <w:tc>
          <w:tcPr>
            <w:tcW w:w="1417" w:type="dxa"/>
            <w:noWrap/>
            <w:vAlign w:val="center"/>
            <w:hideMark/>
          </w:tcPr>
          <w:p w14:paraId="431BAC6D" w14:textId="77777777" w:rsidR="00C93D48" w:rsidRPr="0049352F" w:rsidRDefault="00C93D48" w:rsidP="0047255D">
            <w:pPr>
              <w:jc w:val="center"/>
              <w:rPr>
                <w:rFonts w:cstheme="minorHAnsi"/>
                <w:sz w:val="20"/>
                <w:szCs w:val="20"/>
              </w:rPr>
            </w:pPr>
            <w:r w:rsidRPr="0049352F">
              <w:rPr>
                <w:rFonts w:cstheme="minorHAnsi"/>
                <w:sz w:val="20"/>
                <w:szCs w:val="20"/>
              </w:rPr>
              <w:t>x</w:t>
            </w:r>
          </w:p>
        </w:tc>
      </w:tr>
      <w:tr w:rsidR="00C93D48" w:rsidRPr="0049352F" w14:paraId="2B928EB0" w14:textId="77777777" w:rsidTr="00E809D2">
        <w:trPr>
          <w:trHeight w:val="810"/>
        </w:trPr>
        <w:tc>
          <w:tcPr>
            <w:tcW w:w="740" w:type="dxa"/>
            <w:noWrap/>
            <w:vAlign w:val="center"/>
            <w:hideMark/>
          </w:tcPr>
          <w:p w14:paraId="3D47EF46" w14:textId="77777777" w:rsidR="00C93D48" w:rsidRPr="0049352F" w:rsidRDefault="00C93D48" w:rsidP="00E809D2">
            <w:pPr>
              <w:rPr>
                <w:rFonts w:cstheme="minorHAnsi"/>
                <w:sz w:val="20"/>
                <w:szCs w:val="20"/>
              </w:rPr>
            </w:pPr>
            <w:r w:rsidRPr="0049352F">
              <w:rPr>
                <w:rFonts w:cstheme="minorHAnsi"/>
                <w:sz w:val="20"/>
                <w:szCs w:val="20"/>
              </w:rPr>
              <w:lastRenderedPageBreak/>
              <w:t>CZ10</w:t>
            </w:r>
          </w:p>
        </w:tc>
        <w:tc>
          <w:tcPr>
            <w:tcW w:w="3036" w:type="dxa"/>
            <w:vAlign w:val="center"/>
            <w:hideMark/>
          </w:tcPr>
          <w:p w14:paraId="0BB31B49" w14:textId="4C8E25D4" w:rsidR="00C93D48" w:rsidRPr="0049352F" w:rsidRDefault="00C93D48" w:rsidP="00A12D7A">
            <w:pPr>
              <w:rPr>
                <w:rFonts w:cstheme="minorHAnsi"/>
                <w:sz w:val="20"/>
                <w:szCs w:val="20"/>
              </w:rPr>
            </w:pPr>
            <w:r w:rsidRPr="0049352F">
              <w:rPr>
                <w:rFonts w:cstheme="minorHAnsi"/>
                <w:sz w:val="20"/>
                <w:szCs w:val="20"/>
              </w:rPr>
              <w:t>Budování kapacit a spolupráce institucí s norskými veřejnými institucemi, místními a</w:t>
            </w:r>
            <w:r w:rsidR="00A12D7A">
              <w:rPr>
                <w:rFonts w:cstheme="minorHAnsi"/>
                <w:sz w:val="20"/>
                <w:szCs w:val="20"/>
              </w:rPr>
              <w:t> </w:t>
            </w:r>
            <w:r w:rsidRPr="0049352F">
              <w:rPr>
                <w:rFonts w:cstheme="minorHAnsi"/>
                <w:sz w:val="20"/>
                <w:szCs w:val="20"/>
              </w:rPr>
              <w:t>regionálními úřady</w:t>
            </w:r>
          </w:p>
        </w:tc>
        <w:tc>
          <w:tcPr>
            <w:tcW w:w="1702" w:type="dxa"/>
            <w:vAlign w:val="center"/>
            <w:hideMark/>
          </w:tcPr>
          <w:p w14:paraId="712A849A" w14:textId="044E0D16" w:rsidR="00C93D48" w:rsidRPr="0049352F" w:rsidRDefault="00C93D48" w:rsidP="0047255D">
            <w:pPr>
              <w:rPr>
                <w:rFonts w:cstheme="minorHAnsi"/>
                <w:sz w:val="20"/>
                <w:szCs w:val="20"/>
              </w:rPr>
            </w:pPr>
            <w:r w:rsidRPr="0049352F">
              <w:rPr>
                <w:rFonts w:cstheme="minorHAnsi"/>
                <w:sz w:val="20"/>
                <w:szCs w:val="20"/>
              </w:rPr>
              <w:t>Podpora odhalování a</w:t>
            </w:r>
            <w:r w:rsidR="00A12D7A">
              <w:rPr>
                <w:rFonts w:cstheme="minorHAnsi"/>
                <w:sz w:val="20"/>
                <w:szCs w:val="20"/>
              </w:rPr>
              <w:t> </w:t>
            </w:r>
            <w:r w:rsidRPr="0049352F">
              <w:rPr>
                <w:rFonts w:cstheme="minorHAnsi"/>
                <w:sz w:val="20"/>
                <w:szCs w:val="20"/>
              </w:rPr>
              <w:t>vyšetřování korupce</w:t>
            </w:r>
          </w:p>
        </w:tc>
        <w:tc>
          <w:tcPr>
            <w:tcW w:w="1557" w:type="dxa"/>
            <w:noWrap/>
            <w:vAlign w:val="center"/>
            <w:hideMark/>
          </w:tcPr>
          <w:p w14:paraId="072DF3EC" w14:textId="1380E42E" w:rsidR="00C93D48" w:rsidRPr="0049352F" w:rsidRDefault="00DF4F6D" w:rsidP="0047255D">
            <w:pPr>
              <w:rPr>
                <w:rFonts w:cstheme="minorHAnsi"/>
                <w:sz w:val="20"/>
                <w:szCs w:val="20"/>
              </w:rPr>
            </w:pPr>
            <w:r>
              <w:rPr>
                <w:rFonts w:cstheme="minorHAnsi"/>
                <w:sz w:val="20"/>
                <w:szCs w:val="20"/>
              </w:rPr>
              <w:t>FM</w:t>
            </w:r>
            <w:r w:rsidRPr="0049352F">
              <w:rPr>
                <w:rFonts w:cstheme="minorHAnsi"/>
                <w:sz w:val="20"/>
                <w:szCs w:val="20"/>
              </w:rPr>
              <w:t xml:space="preserve"> </w:t>
            </w:r>
            <w:r w:rsidR="00C93D48" w:rsidRPr="0049352F">
              <w:rPr>
                <w:rFonts w:cstheme="minorHAnsi"/>
                <w:sz w:val="20"/>
                <w:szCs w:val="20"/>
              </w:rPr>
              <w:t>Norska</w:t>
            </w:r>
          </w:p>
        </w:tc>
        <w:tc>
          <w:tcPr>
            <w:tcW w:w="1324" w:type="dxa"/>
            <w:noWrap/>
            <w:vAlign w:val="center"/>
            <w:hideMark/>
          </w:tcPr>
          <w:p w14:paraId="08F34E79" w14:textId="77777777" w:rsidR="00C93D48" w:rsidRPr="0049352F" w:rsidRDefault="00C93D48" w:rsidP="0047255D">
            <w:pPr>
              <w:jc w:val="right"/>
              <w:rPr>
                <w:rFonts w:cstheme="minorHAnsi"/>
                <w:sz w:val="20"/>
                <w:szCs w:val="20"/>
              </w:rPr>
            </w:pPr>
            <w:r w:rsidRPr="0049352F">
              <w:rPr>
                <w:rFonts w:cstheme="minorHAnsi"/>
                <w:sz w:val="20"/>
                <w:szCs w:val="20"/>
              </w:rPr>
              <w:t>1 760 000</w:t>
            </w:r>
          </w:p>
        </w:tc>
        <w:tc>
          <w:tcPr>
            <w:tcW w:w="1417" w:type="dxa"/>
            <w:noWrap/>
            <w:vAlign w:val="center"/>
            <w:hideMark/>
          </w:tcPr>
          <w:p w14:paraId="79163219" w14:textId="77777777" w:rsidR="00C93D48" w:rsidRPr="0049352F" w:rsidRDefault="00C93D48" w:rsidP="0047255D">
            <w:pPr>
              <w:jc w:val="right"/>
              <w:rPr>
                <w:rFonts w:cstheme="minorHAnsi"/>
                <w:sz w:val="20"/>
                <w:szCs w:val="20"/>
              </w:rPr>
            </w:pPr>
            <w:r w:rsidRPr="0049352F">
              <w:rPr>
                <w:rFonts w:cstheme="minorHAnsi"/>
                <w:sz w:val="20"/>
                <w:szCs w:val="20"/>
              </w:rPr>
              <w:t>46 640 000</w:t>
            </w:r>
          </w:p>
        </w:tc>
        <w:tc>
          <w:tcPr>
            <w:tcW w:w="1985" w:type="dxa"/>
            <w:noWrap/>
            <w:vAlign w:val="center"/>
            <w:hideMark/>
          </w:tcPr>
          <w:p w14:paraId="638CE77C" w14:textId="77777777" w:rsidR="00C93D48" w:rsidRPr="0049352F" w:rsidRDefault="00C93D48" w:rsidP="0047255D">
            <w:pPr>
              <w:jc w:val="center"/>
              <w:rPr>
                <w:rFonts w:cstheme="minorHAnsi"/>
                <w:sz w:val="20"/>
                <w:szCs w:val="20"/>
              </w:rPr>
            </w:pPr>
            <w:r w:rsidRPr="0049352F">
              <w:rPr>
                <w:rFonts w:cstheme="minorHAnsi"/>
                <w:sz w:val="20"/>
                <w:szCs w:val="20"/>
              </w:rPr>
              <w:t>MF</w:t>
            </w:r>
          </w:p>
        </w:tc>
        <w:tc>
          <w:tcPr>
            <w:tcW w:w="1417" w:type="dxa"/>
            <w:noWrap/>
            <w:vAlign w:val="center"/>
            <w:hideMark/>
          </w:tcPr>
          <w:p w14:paraId="2F996A5F" w14:textId="3EBA271F" w:rsidR="00C93D48" w:rsidRPr="0049352F" w:rsidRDefault="00B203F0" w:rsidP="0047255D">
            <w:pPr>
              <w:jc w:val="center"/>
              <w:rPr>
                <w:rFonts w:cstheme="minorHAnsi"/>
                <w:sz w:val="20"/>
                <w:szCs w:val="20"/>
              </w:rPr>
            </w:pPr>
            <w:r w:rsidRPr="0049352F">
              <w:rPr>
                <w:rFonts w:cstheme="minorHAnsi"/>
                <w:sz w:val="20"/>
                <w:szCs w:val="20"/>
              </w:rPr>
              <w:t>x</w:t>
            </w:r>
          </w:p>
        </w:tc>
      </w:tr>
      <w:tr w:rsidR="00C93D48" w:rsidRPr="0049352F" w14:paraId="4A106F92" w14:textId="77777777" w:rsidTr="00E809D2">
        <w:trPr>
          <w:trHeight w:val="390"/>
        </w:trPr>
        <w:tc>
          <w:tcPr>
            <w:tcW w:w="740" w:type="dxa"/>
            <w:noWrap/>
            <w:vAlign w:val="center"/>
            <w:hideMark/>
          </w:tcPr>
          <w:p w14:paraId="3078B70D" w14:textId="77777777" w:rsidR="00C93D48" w:rsidRPr="0049352F" w:rsidRDefault="00C93D48" w:rsidP="00E809D2">
            <w:pPr>
              <w:rPr>
                <w:rFonts w:cstheme="minorHAnsi"/>
                <w:sz w:val="20"/>
                <w:szCs w:val="20"/>
              </w:rPr>
            </w:pPr>
            <w:r w:rsidRPr="0049352F">
              <w:rPr>
                <w:rFonts w:cstheme="minorHAnsi"/>
                <w:sz w:val="20"/>
                <w:szCs w:val="20"/>
              </w:rPr>
              <w:t>CZ11</w:t>
            </w:r>
          </w:p>
        </w:tc>
        <w:tc>
          <w:tcPr>
            <w:tcW w:w="3036" w:type="dxa"/>
            <w:vAlign w:val="center"/>
            <w:hideMark/>
          </w:tcPr>
          <w:p w14:paraId="221341A5" w14:textId="77777777" w:rsidR="00C93D48" w:rsidRPr="0049352F" w:rsidRDefault="00C93D48" w:rsidP="00A12D7A">
            <w:pPr>
              <w:rPr>
                <w:rFonts w:cstheme="minorHAnsi"/>
                <w:sz w:val="20"/>
                <w:szCs w:val="20"/>
              </w:rPr>
            </w:pPr>
            <w:r w:rsidRPr="0049352F">
              <w:rPr>
                <w:rFonts w:cstheme="minorHAnsi"/>
                <w:sz w:val="20"/>
                <w:szCs w:val="20"/>
              </w:rPr>
              <w:t>Iniciativy v oblasti veřejného zdraví</w:t>
            </w:r>
          </w:p>
        </w:tc>
        <w:tc>
          <w:tcPr>
            <w:tcW w:w="1702" w:type="dxa"/>
            <w:vAlign w:val="center"/>
            <w:hideMark/>
          </w:tcPr>
          <w:p w14:paraId="57CA1B33" w14:textId="77777777" w:rsidR="00C93D48" w:rsidRPr="0049352F" w:rsidRDefault="00C93D48" w:rsidP="0047255D">
            <w:pPr>
              <w:rPr>
                <w:rFonts w:cstheme="minorHAnsi"/>
                <w:sz w:val="20"/>
                <w:szCs w:val="20"/>
              </w:rPr>
            </w:pPr>
            <w:r w:rsidRPr="0049352F">
              <w:rPr>
                <w:rFonts w:cstheme="minorHAnsi"/>
                <w:sz w:val="20"/>
                <w:szCs w:val="20"/>
              </w:rPr>
              <w:t>Veřejné zdraví</w:t>
            </w:r>
          </w:p>
        </w:tc>
        <w:tc>
          <w:tcPr>
            <w:tcW w:w="1557" w:type="dxa"/>
            <w:noWrap/>
            <w:vAlign w:val="center"/>
            <w:hideMark/>
          </w:tcPr>
          <w:p w14:paraId="7F825F92" w14:textId="30A1BF0E" w:rsidR="00C93D48" w:rsidRPr="0049352F" w:rsidRDefault="00DF4F6D" w:rsidP="0047255D">
            <w:pPr>
              <w:rPr>
                <w:rFonts w:cstheme="minorHAnsi"/>
                <w:sz w:val="20"/>
                <w:szCs w:val="20"/>
              </w:rPr>
            </w:pPr>
            <w:r>
              <w:rPr>
                <w:rFonts w:cstheme="minorHAnsi"/>
                <w:sz w:val="20"/>
                <w:szCs w:val="20"/>
              </w:rPr>
              <w:t>FM</w:t>
            </w:r>
            <w:r w:rsidRPr="0049352F">
              <w:rPr>
                <w:rFonts w:cstheme="minorHAnsi"/>
                <w:sz w:val="20"/>
                <w:szCs w:val="20"/>
              </w:rPr>
              <w:t xml:space="preserve"> </w:t>
            </w:r>
            <w:r w:rsidR="00C93D48" w:rsidRPr="0049352F">
              <w:rPr>
                <w:rFonts w:cstheme="minorHAnsi"/>
                <w:sz w:val="20"/>
                <w:szCs w:val="20"/>
              </w:rPr>
              <w:t>Norska</w:t>
            </w:r>
          </w:p>
        </w:tc>
        <w:tc>
          <w:tcPr>
            <w:tcW w:w="1324" w:type="dxa"/>
            <w:noWrap/>
            <w:vAlign w:val="center"/>
            <w:hideMark/>
          </w:tcPr>
          <w:p w14:paraId="47996165" w14:textId="77777777" w:rsidR="00C93D48" w:rsidRPr="0049352F" w:rsidRDefault="00C93D48" w:rsidP="0047255D">
            <w:pPr>
              <w:jc w:val="right"/>
              <w:rPr>
                <w:rFonts w:cstheme="minorHAnsi"/>
                <w:sz w:val="20"/>
                <w:szCs w:val="20"/>
              </w:rPr>
            </w:pPr>
            <w:r w:rsidRPr="0049352F">
              <w:rPr>
                <w:rFonts w:cstheme="minorHAnsi"/>
                <w:sz w:val="20"/>
                <w:szCs w:val="20"/>
              </w:rPr>
              <w:t>19 178 000</w:t>
            </w:r>
          </w:p>
        </w:tc>
        <w:tc>
          <w:tcPr>
            <w:tcW w:w="1417" w:type="dxa"/>
            <w:noWrap/>
            <w:vAlign w:val="center"/>
            <w:hideMark/>
          </w:tcPr>
          <w:p w14:paraId="623A352F" w14:textId="77777777" w:rsidR="00C93D48" w:rsidRPr="0049352F" w:rsidRDefault="00C93D48" w:rsidP="0047255D">
            <w:pPr>
              <w:jc w:val="right"/>
              <w:rPr>
                <w:rFonts w:cstheme="minorHAnsi"/>
                <w:sz w:val="20"/>
                <w:szCs w:val="20"/>
              </w:rPr>
            </w:pPr>
            <w:r w:rsidRPr="0049352F">
              <w:rPr>
                <w:rFonts w:cstheme="minorHAnsi"/>
                <w:sz w:val="20"/>
                <w:szCs w:val="20"/>
              </w:rPr>
              <w:t>508 217 000</w:t>
            </w:r>
          </w:p>
        </w:tc>
        <w:tc>
          <w:tcPr>
            <w:tcW w:w="1985" w:type="dxa"/>
            <w:noWrap/>
            <w:vAlign w:val="center"/>
            <w:hideMark/>
          </w:tcPr>
          <w:p w14:paraId="6E172F94" w14:textId="77777777" w:rsidR="00C93D48" w:rsidRPr="0049352F" w:rsidRDefault="00C93D48" w:rsidP="0047255D">
            <w:pPr>
              <w:jc w:val="center"/>
              <w:rPr>
                <w:rFonts w:cstheme="minorHAnsi"/>
                <w:sz w:val="20"/>
                <w:szCs w:val="20"/>
              </w:rPr>
            </w:pPr>
            <w:r w:rsidRPr="0049352F">
              <w:rPr>
                <w:rFonts w:cstheme="minorHAnsi"/>
                <w:sz w:val="20"/>
                <w:szCs w:val="20"/>
              </w:rPr>
              <w:t>MF</w:t>
            </w:r>
          </w:p>
        </w:tc>
        <w:tc>
          <w:tcPr>
            <w:tcW w:w="1417" w:type="dxa"/>
            <w:noWrap/>
            <w:vAlign w:val="center"/>
            <w:hideMark/>
          </w:tcPr>
          <w:p w14:paraId="0A892300" w14:textId="77777777" w:rsidR="00C93D48" w:rsidRPr="0049352F" w:rsidRDefault="00C93D48" w:rsidP="0047255D">
            <w:pPr>
              <w:jc w:val="center"/>
              <w:rPr>
                <w:rFonts w:cstheme="minorHAnsi"/>
                <w:sz w:val="20"/>
                <w:szCs w:val="20"/>
              </w:rPr>
            </w:pPr>
            <w:r w:rsidRPr="0049352F">
              <w:rPr>
                <w:rFonts w:cstheme="minorHAnsi"/>
                <w:sz w:val="20"/>
                <w:szCs w:val="20"/>
              </w:rPr>
              <w:t>MZ</w:t>
            </w:r>
          </w:p>
        </w:tc>
      </w:tr>
      <w:tr w:rsidR="00C93D48" w:rsidRPr="0049352F" w14:paraId="23256CB2" w14:textId="77777777" w:rsidTr="00E809D2">
        <w:trPr>
          <w:trHeight w:val="1305"/>
        </w:trPr>
        <w:tc>
          <w:tcPr>
            <w:tcW w:w="740" w:type="dxa"/>
            <w:noWrap/>
            <w:vAlign w:val="center"/>
            <w:hideMark/>
          </w:tcPr>
          <w:p w14:paraId="73951332" w14:textId="77777777" w:rsidR="00C93D48" w:rsidRPr="0049352F" w:rsidRDefault="00C93D48" w:rsidP="00E809D2">
            <w:pPr>
              <w:rPr>
                <w:rFonts w:cstheme="minorHAnsi"/>
                <w:sz w:val="20"/>
                <w:szCs w:val="20"/>
              </w:rPr>
            </w:pPr>
            <w:r w:rsidRPr="0049352F">
              <w:rPr>
                <w:rFonts w:cstheme="minorHAnsi"/>
                <w:sz w:val="20"/>
                <w:szCs w:val="20"/>
              </w:rPr>
              <w:t>CZ12</w:t>
            </w:r>
          </w:p>
        </w:tc>
        <w:tc>
          <w:tcPr>
            <w:tcW w:w="3036" w:type="dxa"/>
            <w:vAlign w:val="center"/>
            <w:hideMark/>
          </w:tcPr>
          <w:p w14:paraId="390E593B" w14:textId="040B60DF" w:rsidR="00C93D48" w:rsidRPr="0049352F" w:rsidRDefault="00C93D48" w:rsidP="00DF4F6D">
            <w:pPr>
              <w:rPr>
                <w:rFonts w:cstheme="minorHAnsi"/>
                <w:sz w:val="20"/>
                <w:szCs w:val="20"/>
              </w:rPr>
            </w:pPr>
            <w:r w:rsidRPr="0049352F">
              <w:rPr>
                <w:rFonts w:cstheme="minorHAnsi"/>
                <w:sz w:val="20"/>
                <w:szCs w:val="20"/>
              </w:rPr>
              <w:t xml:space="preserve">Dejme (že)nám šanci </w:t>
            </w:r>
            <w:r w:rsidRPr="0049352F">
              <w:rPr>
                <w:rFonts w:cstheme="minorHAnsi"/>
                <w:sz w:val="20"/>
                <w:szCs w:val="20"/>
              </w:rPr>
              <w:br/>
              <w:t>(Uplatňování hlediska rovných příležitostí žen a mužů a podpora slaďování pracovního a</w:t>
            </w:r>
            <w:r w:rsidR="00DF4F6D">
              <w:rPr>
                <w:rFonts w:cstheme="minorHAnsi"/>
                <w:sz w:val="20"/>
                <w:szCs w:val="20"/>
              </w:rPr>
              <w:t> </w:t>
            </w:r>
            <w:r w:rsidRPr="0049352F">
              <w:rPr>
                <w:rFonts w:cstheme="minorHAnsi"/>
                <w:sz w:val="20"/>
                <w:szCs w:val="20"/>
              </w:rPr>
              <w:t>soukromého života / Domácí násilí a násilí založené na pohlaví)</w:t>
            </w:r>
          </w:p>
        </w:tc>
        <w:tc>
          <w:tcPr>
            <w:tcW w:w="1702" w:type="dxa"/>
            <w:vAlign w:val="center"/>
            <w:hideMark/>
          </w:tcPr>
          <w:p w14:paraId="7681EDD8" w14:textId="77777777" w:rsidR="00C93D48" w:rsidRPr="0049352F" w:rsidRDefault="00C93D48" w:rsidP="0047255D">
            <w:pPr>
              <w:rPr>
                <w:rFonts w:cstheme="minorHAnsi"/>
                <w:sz w:val="20"/>
                <w:szCs w:val="20"/>
              </w:rPr>
            </w:pPr>
            <w:r w:rsidRPr="0049352F">
              <w:rPr>
                <w:rFonts w:cstheme="minorHAnsi"/>
                <w:sz w:val="20"/>
                <w:szCs w:val="20"/>
              </w:rPr>
              <w:t>Dejme (že)nám šanci</w:t>
            </w:r>
          </w:p>
        </w:tc>
        <w:tc>
          <w:tcPr>
            <w:tcW w:w="1557" w:type="dxa"/>
            <w:noWrap/>
            <w:vAlign w:val="center"/>
            <w:hideMark/>
          </w:tcPr>
          <w:p w14:paraId="718E6742" w14:textId="754F4C3F" w:rsidR="00C93D48" w:rsidRPr="0049352F" w:rsidRDefault="00DF4F6D" w:rsidP="0047255D">
            <w:pPr>
              <w:rPr>
                <w:rFonts w:cstheme="minorHAnsi"/>
                <w:sz w:val="20"/>
                <w:szCs w:val="20"/>
              </w:rPr>
            </w:pPr>
            <w:r>
              <w:rPr>
                <w:rFonts w:cstheme="minorHAnsi"/>
                <w:sz w:val="20"/>
                <w:szCs w:val="20"/>
              </w:rPr>
              <w:t>FM</w:t>
            </w:r>
            <w:r w:rsidRPr="0049352F">
              <w:rPr>
                <w:rFonts w:cstheme="minorHAnsi"/>
                <w:sz w:val="20"/>
                <w:szCs w:val="20"/>
              </w:rPr>
              <w:t xml:space="preserve"> </w:t>
            </w:r>
            <w:r w:rsidR="00C93D48" w:rsidRPr="0049352F">
              <w:rPr>
                <w:rFonts w:cstheme="minorHAnsi"/>
                <w:sz w:val="20"/>
                <w:szCs w:val="20"/>
              </w:rPr>
              <w:t>Norska</w:t>
            </w:r>
          </w:p>
        </w:tc>
        <w:tc>
          <w:tcPr>
            <w:tcW w:w="1324" w:type="dxa"/>
            <w:noWrap/>
            <w:vAlign w:val="center"/>
            <w:hideMark/>
          </w:tcPr>
          <w:p w14:paraId="7F1C4F7A" w14:textId="77777777" w:rsidR="00C93D48" w:rsidRPr="0049352F" w:rsidRDefault="00C93D48" w:rsidP="0047255D">
            <w:pPr>
              <w:jc w:val="right"/>
              <w:rPr>
                <w:rFonts w:cstheme="minorHAnsi"/>
                <w:sz w:val="20"/>
                <w:szCs w:val="20"/>
              </w:rPr>
            </w:pPr>
            <w:r w:rsidRPr="0049352F">
              <w:rPr>
                <w:rFonts w:cstheme="minorHAnsi"/>
                <w:sz w:val="20"/>
                <w:szCs w:val="20"/>
              </w:rPr>
              <w:t>6 735 817</w:t>
            </w:r>
          </w:p>
        </w:tc>
        <w:tc>
          <w:tcPr>
            <w:tcW w:w="1417" w:type="dxa"/>
            <w:noWrap/>
            <w:vAlign w:val="center"/>
            <w:hideMark/>
          </w:tcPr>
          <w:p w14:paraId="7C21E8F0" w14:textId="77777777" w:rsidR="00C93D48" w:rsidRPr="0049352F" w:rsidRDefault="00C93D48" w:rsidP="0047255D">
            <w:pPr>
              <w:jc w:val="right"/>
              <w:rPr>
                <w:rFonts w:cstheme="minorHAnsi"/>
                <w:sz w:val="20"/>
                <w:szCs w:val="20"/>
              </w:rPr>
            </w:pPr>
            <w:r w:rsidRPr="0049352F">
              <w:rPr>
                <w:rFonts w:cstheme="minorHAnsi"/>
                <w:sz w:val="20"/>
                <w:szCs w:val="20"/>
              </w:rPr>
              <w:t>178 499 151</w:t>
            </w:r>
          </w:p>
        </w:tc>
        <w:tc>
          <w:tcPr>
            <w:tcW w:w="1985" w:type="dxa"/>
            <w:noWrap/>
            <w:vAlign w:val="center"/>
            <w:hideMark/>
          </w:tcPr>
          <w:p w14:paraId="3BF23580" w14:textId="77777777" w:rsidR="00C93D48" w:rsidRPr="0049352F" w:rsidRDefault="00C93D48" w:rsidP="0047255D">
            <w:pPr>
              <w:jc w:val="center"/>
              <w:rPr>
                <w:rFonts w:cstheme="minorHAnsi"/>
                <w:sz w:val="20"/>
                <w:szCs w:val="20"/>
              </w:rPr>
            </w:pPr>
            <w:r w:rsidRPr="0049352F">
              <w:rPr>
                <w:rFonts w:cstheme="minorHAnsi"/>
                <w:sz w:val="20"/>
                <w:szCs w:val="20"/>
              </w:rPr>
              <w:t>NOSFP</w:t>
            </w:r>
          </w:p>
        </w:tc>
        <w:tc>
          <w:tcPr>
            <w:tcW w:w="1417" w:type="dxa"/>
            <w:noWrap/>
            <w:vAlign w:val="center"/>
            <w:hideMark/>
          </w:tcPr>
          <w:p w14:paraId="55FB4225" w14:textId="77777777" w:rsidR="00C93D48" w:rsidRPr="0049352F" w:rsidRDefault="00C93D48" w:rsidP="0047255D">
            <w:pPr>
              <w:jc w:val="center"/>
              <w:rPr>
                <w:rFonts w:cstheme="minorHAnsi"/>
                <w:sz w:val="20"/>
                <w:szCs w:val="20"/>
              </w:rPr>
            </w:pPr>
            <w:r w:rsidRPr="0049352F">
              <w:rPr>
                <w:rFonts w:cstheme="minorHAnsi"/>
                <w:sz w:val="20"/>
                <w:szCs w:val="20"/>
              </w:rPr>
              <w:t>x</w:t>
            </w:r>
          </w:p>
        </w:tc>
      </w:tr>
      <w:tr w:rsidR="00C93D48" w:rsidRPr="0049352F" w14:paraId="3DFA42AB" w14:textId="77777777" w:rsidTr="00E809D2">
        <w:trPr>
          <w:trHeight w:val="930"/>
        </w:trPr>
        <w:tc>
          <w:tcPr>
            <w:tcW w:w="740" w:type="dxa"/>
            <w:noWrap/>
            <w:vAlign w:val="center"/>
            <w:hideMark/>
          </w:tcPr>
          <w:p w14:paraId="6DC7A7AD" w14:textId="77777777" w:rsidR="00C93D48" w:rsidRPr="0049352F" w:rsidRDefault="00C93D48" w:rsidP="00E809D2">
            <w:pPr>
              <w:rPr>
                <w:rFonts w:cstheme="minorHAnsi"/>
                <w:sz w:val="20"/>
                <w:szCs w:val="20"/>
              </w:rPr>
            </w:pPr>
            <w:r w:rsidRPr="0049352F">
              <w:rPr>
                <w:rFonts w:cstheme="minorHAnsi"/>
                <w:sz w:val="20"/>
                <w:szCs w:val="20"/>
              </w:rPr>
              <w:t>CZ13</w:t>
            </w:r>
          </w:p>
        </w:tc>
        <w:tc>
          <w:tcPr>
            <w:tcW w:w="3036" w:type="dxa"/>
            <w:vAlign w:val="center"/>
            <w:hideMark/>
          </w:tcPr>
          <w:p w14:paraId="1F788ED6" w14:textId="08113CD7" w:rsidR="00C93D48" w:rsidRPr="0049352F" w:rsidRDefault="00C93D48" w:rsidP="00DF4F6D">
            <w:pPr>
              <w:rPr>
                <w:rFonts w:cstheme="minorHAnsi"/>
                <w:sz w:val="20"/>
                <w:szCs w:val="20"/>
              </w:rPr>
            </w:pPr>
            <w:r w:rsidRPr="0049352F">
              <w:rPr>
                <w:rFonts w:cstheme="minorHAnsi"/>
                <w:sz w:val="20"/>
                <w:szCs w:val="20"/>
              </w:rPr>
              <w:t>Uplatňování hlediska rovných příležitostí žen a mužů a podpora slaďování pracovního a</w:t>
            </w:r>
            <w:r w:rsidR="00DF4F6D">
              <w:rPr>
                <w:rFonts w:cstheme="minorHAnsi"/>
                <w:sz w:val="20"/>
                <w:szCs w:val="20"/>
              </w:rPr>
              <w:t> </w:t>
            </w:r>
            <w:r w:rsidRPr="0049352F">
              <w:rPr>
                <w:rFonts w:cstheme="minorHAnsi"/>
                <w:sz w:val="20"/>
                <w:szCs w:val="20"/>
              </w:rPr>
              <w:t>soukromého života</w:t>
            </w:r>
            <w:r w:rsidR="00DF4F6D">
              <w:rPr>
                <w:rFonts w:cstheme="minorHAnsi"/>
                <w:sz w:val="20"/>
                <w:szCs w:val="20"/>
              </w:rPr>
              <w:t xml:space="preserve"> </w:t>
            </w:r>
            <w:r w:rsidRPr="0049352F">
              <w:rPr>
                <w:rFonts w:cstheme="minorHAnsi"/>
                <w:sz w:val="20"/>
                <w:szCs w:val="20"/>
              </w:rPr>
              <w:t>/</w:t>
            </w:r>
            <w:r w:rsidR="00DF4F6D">
              <w:rPr>
                <w:rFonts w:cstheme="minorHAnsi"/>
                <w:sz w:val="20"/>
                <w:szCs w:val="20"/>
              </w:rPr>
              <w:t xml:space="preserve"> D</w:t>
            </w:r>
            <w:r w:rsidRPr="0049352F">
              <w:rPr>
                <w:rFonts w:cstheme="minorHAnsi"/>
                <w:sz w:val="20"/>
                <w:szCs w:val="20"/>
              </w:rPr>
              <w:t xml:space="preserve">omácí násilí a </w:t>
            </w:r>
            <w:proofErr w:type="spellStart"/>
            <w:r w:rsidRPr="0049352F">
              <w:rPr>
                <w:rFonts w:cstheme="minorHAnsi"/>
                <w:sz w:val="20"/>
                <w:szCs w:val="20"/>
              </w:rPr>
              <w:t>genderově</w:t>
            </w:r>
            <w:proofErr w:type="spellEnd"/>
            <w:r w:rsidRPr="0049352F">
              <w:rPr>
                <w:rFonts w:cstheme="minorHAnsi"/>
                <w:sz w:val="20"/>
                <w:szCs w:val="20"/>
              </w:rPr>
              <w:t xml:space="preserve"> podmíněné násilí</w:t>
            </w:r>
          </w:p>
        </w:tc>
        <w:tc>
          <w:tcPr>
            <w:tcW w:w="1702" w:type="dxa"/>
            <w:vAlign w:val="center"/>
            <w:hideMark/>
          </w:tcPr>
          <w:p w14:paraId="6F0C6C4D" w14:textId="77777777" w:rsidR="00C93D48" w:rsidRPr="0049352F" w:rsidRDefault="00C93D48" w:rsidP="0047255D">
            <w:pPr>
              <w:rPr>
                <w:rFonts w:cstheme="minorHAnsi"/>
                <w:sz w:val="20"/>
                <w:szCs w:val="20"/>
              </w:rPr>
            </w:pPr>
            <w:r w:rsidRPr="0049352F">
              <w:rPr>
                <w:rFonts w:cstheme="minorHAnsi"/>
                <w:sz w:val="20"/>
                <w:szCs w:val="20"/>
              </w:rPr>
              <w:t>Rovné příležitosti žen a mužů</w:t>
            </w:r>
          </w:p>
        </w:tc>
        <w:tc>
          <w:tcPr>
            <w:tcW w:w="1557" w:type="dxa"/>
            <w:noWrap/>
            <w:vAlign w:val="center"/>
            <w:hideMark/>
          </w:tcPr>
          <w:p w14:paraId="4AA3A787" w14:textId="23FCCFC1" w:rsidR="00C93D48" w:rsidRPr="0049352F" w:rsidRDefault="00DF4F6D" w:rsidP="0047255D">
            <w:pPr>
              <w:rPr>
                <w:rFonts w:cstheme="minorHAnsi"/>
                <w:sz w:val="20"/>
                <w:szCs w:val="20"/>
              </w:rPr>
            </w:pPr>
            <w:r>
              <w:rPr>
                <w:rFonts w:cstheme="minorHAnsi"/>
                <w:sz w:val="20"/>
                <w:szCs w:val="20"/>
              </w:rPr>
              <w:t>FM</w:t>
            </w:r>
            <w:r w:rsidRPr="0049352F">
              <w:rPr>
                <w:rFonts w:cstheme="minorHAnsi"/>
                <w:sz w:val="20"/>
                <w:szCs w:val="20"/>
              </w:rPr>
              <w:t xml:space="preserve"> </w:t>
            </w:r>
            <w:r w:rsidR="00C93D48" w:rsidRPr="0049352F">
              <w:rPr>
                <w:rFonts w:cstheme="minorHAnsi"/>
                <w:sz w:val="20"/>
                <w:szCs w:val="20"/>
              </w:rPr>
              <w:t>Norska</w:t>
            </w:r>
          </w:p>
        </w:tc>
        <w:tc>
          <w:tcPr>
            <w:tcW w:w="1324" w:type="dxa"/>
            <w:noWrap/>
            <w:vAlign w:val="center"/>
            <w:hideMark/>
          </w:tcPr>
          <w:p w14:paraId="035ED311" w14:textId="77777777" w:rsidR="00C93D48" w:rsidRPr="0049352F" w:rsidRDefault="00C93D48" w:rsidP="0047255D">
            <w:pPr>
              <w:jc w:val="right"/>
              <w:rPr>
                <w:rFonts w:cstheme="minorHAnsi"/>
                <w:sz w:val="20"/>
                <w:szCs w:val="20"/>
              </w:rPr>
            </w:pPr>
            <w:r w:rsidRPr="0049352F">
              <w:rPr>
                <w:rFonts w:cstheme="minorHAnsi"/>
                <w:sz w:val="20"/>
                <w:szCs w:val="20"/>
              </w:rPr>
              <w:t>840 000</w:t>
            </w:r>
          </w:p>
        </w:tc>
        <w:tc>
          <w:tcPr>
            <w:tcW w:w="1417" w:type="dxa"/>
            <w:noWrap/>
            <w:vAlign w:val="center"/>
            <w:hideMark/>
          </w:tcPr>
          <w:p w14:paraId="67D3F1AA" w14:textId="77777777" w:rsidR="00C93D48" w:rsidRPr="0049352F" w:rsidRDefault="00C93D48" w:rsidP="0047255D">
            <w:pPr>
              <w:jc w:val="right"/>
              <w:rPr>
                <w:rFonts w:cstheme="minorHAnsi"/>
                <w:sz w:val="20"/>
                <w:szCs w:val="20"/>
              </w:rPr>
            </w:pPr>
            <w:r w:rsidRPr="0049352F">
              <w:rPr>
                <w:rFonts w:cstheme="minorHAnsi"/>
                <w:sz w:val="20"/>
                <w:szCs w:val="20"/>
              </w:rPr>
              <w:t>22 260 000</w:t>
            </w:r>
          </w:p>
        </w:tc>
        <w:tc>
          <w:tcPr>
            <w:tcW w:w="1985" w:type="dxa"/>
            <w:noWrap/>
            <w:vAlign w:val="center"/>
            <w:hideMark/>
          </w:tcPr>
          <w:p w14:paraId="48EAF354" w14:textId="77777777" w:rsidR="00C93D48" w:rsidRPr="0049352F" w:rsidRDefault="00C93D48" w:rsidP="0047255D">
            <w:pPr>
              <w:jc w:val="center"/>
              <w:rPr>
                <w:rFonts w:cstheme="minorHAnsi"/>
                <w:sz w:val="20"/>
                <w:szCs w:val="20"/>
              </w:rPr>
            </w:pPr>
            <w:r w:rsidRPr="0049352F">
              <w:rPr>
                <w:rFonts w:cstheme="minorHAnsi"/>
                <w:sz w:val="20"/>
                <w:szCs w:val="20"/>
              </w:rPr>
              <w:t>MF</w:t>
            </w:r>
          </w:p>
        </w:tc>
        <w:tc>
          <w:tcPr>
            <w:tcW w:w="1417" w:type="dxa"/>
            <w:noWrap/>
            <w:vAlign w:val="center"/>
            <w:hideMark/>
          </w:tcPr>
          <w:p w14:paraId="7885BEEB" w14:textId="77777777" w:rsidR="00C93D48" w:rsidRPr="0049352F" w:rsidRDefault="00C93D48" w:rsidP="0047255D">
            <w:pPr>
              <w:jc w:val="center"/>
              <w:rPr>
                <w:rFonts w:cstheme="minorHAnsi"/>
                <w:sz w:val="20"/>
                <w:szCs w:val="20"/>
              </w:rPr>
            </w:pPr>
            <w:r w:rsidRPr="0049352F">
              <w:rPr>
                <w:rFonts w:cstheme="minorHAnsi"/>
                <w:sz w:val="20"/>
                <w:szCs w:val="20"/>
              </w:rPr>
              <w:t>x</w:t>
            </w:r>
          </w:p>
        </w:tc>
      </w:tr>
      <w:tr w:rsidR="00C93D48" w:rsidRPr="0049352F" w14:paraId="24C09DAD" w14:textId="77777777" w:rsidTr="00E809D2">
        <w:trPr>
          <w:trHeight w:val="1515"/>
        </w:trPr>
        <w:tc>
          <w:tcPr>
            <w:tcW w:w="740" w:type="dxa"/>
            <w:noWrap/>
            <w:vAlign w:val="center"/>
            <w:hideMark/>
          </w:tcPr>
          <w:p w14:paraId="44DC795B" w14:textId="77777777" w:rsidR="00C93D48" w:rsidRPr="0049352F" w:rsidRDefault="00C93D48" w:rsidP="00E809D2">
            <w:pPr>
              <w:rPr>
                <w:rFonts w:cstheme="minorHAnsi"/>
                <w:sz w:val="20"/>
                <w:szCs w:val="20"/>
              </w:rPr>
            </w:pPr>
            <w:r w:rsidRPr="0049352F">
              <w:rPr>
                <w:rFonts w:cstheme="minorHAnsi"/>
                <w:sz w:val="20"/>
                <w:szCs w:val="20"/>
              </w:rPr>
              <w:t>CZ14</w:t>
            </w:r>
          </w:p>
        </w:tc>
        <w:tc>
          <w:tcPr>
            <w:tcW w:w="3036" w:type="dxa"/>
            <w:vAlign w:val="center"/>
            <w:hideMark/>
          </w:tcPr>
          <w:p w14:paraId="59286CBA" w14:textId="7B1BBEEA" w:rsidR="00C93D48" w:rsidRPr="0049352F" w:rsidRDefault="00C93D48" w:rsidP="00DF4F6D">
            <w:pPr>
              <w:rPr>
                <w:rFonts w:cstheme="minorHAnsi"/>
                <w:sz w:val="20"/>
                <w:szCs w:val="20"/>
              </w:rPr>
            </w:pPr>
            <w:r w:rsidRPr="0049352F">
              <w:rPr>
                <w:rFonts w:cstheme="minorHAnsi"/>
                <w:sz w:val="20"/>
                <w:szCs w:val="20"/>
              </w:rPr>
              <w:t xml:space="preserve">Spolupráce v rámci </w:t>
            </w:r>
            <w:proofErr w:type="spellStart"/>
            <w:r w:rsidRPr="0049352F">
              <w:rPr>
                <w:rFonts w:cstheme="minorHAnsi"/>
                <w:sz w:val="20"/>
                <w:szCs w:val="20"/>
              </w:rPr>
              <w:t>Schengenu</w:t>
            </w:r>
            <w:proofErr w:type="spellEnd"/>
            <w:r w:rsidRPr="0049352F">
              <w:rPr>
                <w:rFonts w:cstheme="minorHAnsi"/>
                <w:sz w:val="20"/>
                <w:szCs w:val="20"/>
              </w:rPr>
              <w:t xml:space="preserve"> v</w:t>
            </w:r>
            <w:r w:rsidR="00DF4F6D">
              <w:rPr>
                <w:rFonts w:cstheme="minorHAnsi"/>
                <w:sz w:val="20"/>
                <w:szCs w:val="20"/>
              </w:rPr>
              <w:t> </w:t>
            </w:r>
            <w:r w:rsidRPr="0049352F">
              <w:rPr>
                <w:rFonts w:cstheme="minorHAnsi"/>
                <w:sz w:val="20"/>
                <w:szCs w:val="20"/>
              </w:rPr>
              <w:t>boji proti přeshraniční a</w:t>
            </w:r>
            <w:r w:rsidR="00DF4F6D">
              <w:rPr>
                <w:rFonts w:cstheme="minorHAnsi"/>
                <w:sz w:val="20"/>
                <w:szCs w:val="20"/>
              </w:rPr>
              <w:t> </w:t>
            </w:r>
            <w:r w:rsidRPr="0049352F">
              <w:rPr>
                <w:rFonts w:cstheme="minorHAnsi"/>
                <w:sz w:val="20"/>
                <w:szCs w:val="20"/>
              </w:rPr>
              <w:t>organizované trestné činnosti, včetně nezákonného obchodování s lidmi a migraci zločineckých skupin</w:t>
            </w:r>
          </w:p>
        </w:tc>
        <w:tc>
          <w:tcPr>
            <w:tcW w:w="1702" w:type="dxa"/>
            <w:vAlign w:val="center"/>
            <w:hideMark/>
          </w:tcPr>
          <w:p w14:paraId="7EDFFF26" w14:textId="77777777" w:rsidR="00C93D48" w:rsidRPr="0049352F" w:rsidRDefault="00C93D48" w:rsidP="0047255D">
            <w:pPr>
              <w:rPr>
                <w:rFonts w:cstheme="minorHAnsi"/>
                <w:sz w:val="20"/>
                <w:szCs w:val="20"/>
              </w:rPr>
            </w:pPr>
            <w:r w:rsidRPr="0049352F">
              <w:rPr>
                <w:rFonts w:cstheme="minorHAnsi"/>
                <w:sz w:val="20"/>
                <w:szCs w:val="20"/>
              </w:rPr>
              <w:t xml:space="preserve">Schengenská spolupráce </w:t>
            </w:r>
          </w:p>
        </w:tc>
        <w:tc>
          <w:tcPr>
            <w:tcW w:w="1557" w:type="dxa"/>
            <w:noWrap/>
            <w:vAlign w:val="center"/>
            <w:hideMark/>
          </w:tcPr>
          <w:p w14:paraId="724C3E00" w14:textId="14EA2A24" w:rsidR="00C93D48" w:rsidRPr="0049352F" w:rsidRDefault="00DF4F6D" w:rsidP="0047255D">
            <w:pPr>
              <w:rPr>
                <w:rFonts w:cstheme="minorHAnsi"/>
                <w:sz w:val="20"/>
                <w:szCs w:val="20"/>
              </w:rPr>
            </w:pPr>
            <w:r>
              <w:rPr>
                <w:rFonts w:cstheme="minorHAnsi"/>
                <w:sz w:val="20"/>
                <w:szCs w:val="20"/>
              </w:rPr>
              <w:t>FM</w:t>
            </w:r>
            <w:r w:rsidRPr="0049352F">
              <w:rPr>
                <w:rFonts w:cstheme="minorHAnsi"/>
                <w:sz w:val="20"/>
                <w:szCs w:val="20"/>
              </w:rPr>
              <w:t xml:space="preserve"> </w:t>
            </w:r>
            <w:r w:rsidR="00C93D48" w:rsidRPr="0049352F">
              <w:rPr>
                <w:rFonts w:cstheme="minorHAnsi"/>
                <w:sz w:val="20"/>
                <w:szCs w:val="20"/>
              </w:rPr>
              <w:t>Norska</w:t>
            </w:r>
          </w:p>
        </w:tc>
        <w:tc>
          <w:tcPr>
            <w:tcW w:w="1324" w:type="dxa"/>
            <w:noWrap/>
            <w:vAlign w:val="center"/>
            <w:hideMark/>
          </w:tcPr>
          <w:p w14:paraId="71F38719" w14:textId="77777777" w:rsidR="00C93D48" w:rsidRPr="0049352F" w:rsidRDefault="00C93D48" w:rsidP="0047255D">
            <w:pPr>
              <w:jc w:val="right"/>
              <w:rPr>
                <w:rFonts w:cstheme="minorHAnsi"/>
                <w:sz w:val="20"/>
                <w:szCs w:val="20"/>
              </w:rPr>
            </w:pPr>
            <w:r w:rsidRPr="0049352F">
              <w:rPr>
                <w:rFonts w:cstheme="minorHAnsi"/>
                <w:sz w:val="20"/>
                <w:szCs w:val="20"/>
              </w:rPr>
              <w:t>6 274 183</w:t>
            </w:r>
          </w:p>
        </w:tc>
        <w:tc>
          <w:tcPr>
            <w:tcW w:w="1417" w:type="dxa"/>
            <w:noWrap/>
            <w:vAlign w:val="center"/>
            <w:hideMark/>
          </w:tcPr>
          <w:p w14:paraId="2692C916" w14:textId="77777777" w:rsidR="00C93D48" w:rsidRPr="0049352F" w:rsidRDefault="00C93D48" w:rsidP="0047255D">
            <w:pPr>
              <w:jc w:val="right"/>
              <w:rPr>
                <w:rFonts w:cstheme="minorHAnsi"/>
                <w:sz w:val="20"/>
                <w:szCs w:val="20"/>
              </w:rPr>
            </w:pPr>
            <w:r w:rsidRPr="0049352F">
              <w:rPr>
                <w:rFonts w:cstheme="minorHAnsi"/>
                <w:sz w:val="20"/>
                <w:szCs w:val="20"/>
              </w:rPr>
              <w:t>166 265 849</w:t>
            </w:r>
          </w:p>
        </w:tc>
        <w:tc>
          <w:tcPr>
            <w:tcW w:w="1985" w:type="dxa"/>
            <w:noWrap/>
            <w:vAlign w:val="center"/>
            <w:hideMark/>
          </w:tcPr>
          <w:p w14:paraId="68392655" w14:textId="77777777" w:rsidR="00C93D48" w:rsidRPr="0049352F" w:rsidRDefault="00C93D48" w:rsidP="0047255D">
            <w:pPr>
              <w:jc w:val="center"/>
              <w:rPr>
                <w:rFonts w:cstheme="minorHAnsi"/>
                <w:sz w:val="20"/>
                <w:szCs w:val="20"/>
              </w:rPr>
            </w:pPr>
            <w:r w:rsidRPr="0049352F">
              <w:rPr>
                <w:rFonts w:cstheme="minorHAnsi"/>
                <w:sz w:val="20"/>
                <w:szCs w:val="20"/>
              </w:rPr>
              <w:t>MF</w:t>
            </w:r>
          </w:p>
        </w:tc>
        <w:tc>
          <w:tcPr>
            <w:tcW w:w="1417" w:type="dxa"/>
            <w:noWrap/>
            <w:vAlign w:val="center"/>
            <w:hideMark/>
          </w:tcPr>
          <w:p w14:paraId="738086CF" w14:textId="77777777" w:rsidR="00C93D48" w:rsidRPr="0049352F" w:rsidRDefault="00C93D48" w:rsidP="0047255D">
            <w:pPr>
              <w:jc w:val="center"/>
              <w:rPr>
                <w:rFonts w:cstheme="minorHAnsi"/>
                <w:sz w:val="20"/>
                <w:szCs w:val="20"/>
              </w:rPr>
            </w:pPr>
            <w:r w:rsidRPr="0049352F">
              <w:rPr>
                <w:rFonts w:cstheme="minorHAnsi"/>
                <w:sz w:val="20"/>
                <w:szCs w:val="20"/>
              </w:rPr>
              <w:t>MV</w:t>
            </w:r>
          </w:p>
        </w:tc>
      </w:tr>
      <w:tr w:rsidR="00C93D48" w:rsidRPr="0049352F" w14:paraId="481004EC" w14:textId="77777777" w:rsidTr="00E809D2">
        <w:trPr>
          <w:trHeight w:val="1245"/>
        </w:trPr>
        <w:tc>
          <w:tcPr>
            <w:tcW w:w="740" w:type="dxa"/>
            <w:noWrap/>
            <w:vAlign w:val="center"/>
            <w:hideMark/>
          </w:tcPr>
          <w:p w14:paraId="0C6DADAC" w14:textId="77777777" w:rsidR="00C93D48" w:rsidRPr="0049352F" w:rsidRDefault="00C93D48" w:rsidP="00E809D2">
            <w:pPr>
              <w:rPr>
                <w:rFonts w:cstheme="minorHAnsi"/>
                <w:sz w:val="20"/>
                <w:szCs w:val="20"/>
              </w:rPr>
            </w:pPr>
            <w:r w:rsidRPr="0049352F">
              <w:rPr>
                <w:rFonts w:cstheme="minorHAnsi"/>
                <w:sz w:val="20"/>
                <w:szCs w:val="20"/>
              </w:rPr>
              <w:t>CZ15</w:t>
            </w:r>
          </w:p>
        </w:tc>
        <w:tc>
          <w:tcPr>
            <w:tcW w:w="3036" w:type="dxa"/>
            <w:vAlign w:val="center"/>
            <w:hideMark/>
          </w:tcPr>
          <w:p w14:paraId="66AC5F52" w14:textId="03394EB7" w:rsidR="00C93D48" w:rsidRPr="0049352F" w:rsidRDefault="00C93D48" w:rsidP="00DF4F6D">
            <w:pPr>
              <w:rPr>
                <w:rFonts w:cstheme="minorHAnsi"/>
                <w:sz w:val="20"/>
                <w:szCs w:val="20"/>
              </w:rPr>
            </w:pPr>
            <w:r w:rsidRPr="0049352F">
              <w:rPr>
                <w:rFonts w:cstheme="minorHAnsi"/>
                <w:sz w:val="20"/>
                <w:szCs w:val="20"/>
              </w:rPr>
              <w:t>Budování kapacit a spolupráce v</w:t>
            </w:r>
            <w:r w:rsidR="00DF4F6D">
              <w:rPr>
                <w:rFonts w:cstheme="minorHAnsi"/>
                <w:sz w:val="20"/>
                <w:szCs w:val="20"/>
              </w:rPr>
              <w:t> </w:t>
            </w:r>
            <w:r w:rsidRPr="0049352F">
              <w:rPr>
                <w:rFonts w:cstheme="minorHAnsi"/>
                <w:sz w:val="20"/>
                <w:szCs w:val="20"/>
              </w:rPr>
              <w:t>justici</w:t>
            </w:r>
            <w:r w:rsidR="00DF4F6D">
              <w:rPr>
                <w:rFonts w:cstheme="minorHAnsi"/>
                <w:sz w:val="20"/>
                <w:szCs w:val="20"/>
              </w:rPr>
              <w:t xml:space="preserve"> </w:t>
            </w:r>
            <w:r w:rsidRPr="0049352F">
              <w:rPr>
                <w:rFonts w:cstheme="minorHAnsi"/>
                <w:sz w:val="20"/>
                <w:szCs w:val="20"/>
              </w:rPr>
              <w:t>/</w:t>
            </w:r>
            <w:r w:rsidR="00DF4F6D">
              <w:rPr>
                <w:rFonts w:cstheme="minorHAnsi"/>
                <w:sz w:val="20"/>
                <w:szCs w:val="20"/>
              </w:rPr>
              <w:t xml:space="preserve"> N</w:t>
            </w:r>
            <w:r w:rsidRPr="0049352F">
              <w:rPr>
                <w:rFonts w:cstheme="minorHAnsi"/>
                <w:sz w:val="20"/>
                <w:szCs w:val="20"/>
              </w:rPr>
              <w:t>ápravné služby včetně alternativních trestů</w:t>
            </w:r>
          </w:p>
        </w:tc>
        <w:tc>
          <w:tcPr>
            <w:tcW w:w="1702" w:type="dxa"/>
            <w:vAlign w:val="center"/>
            <w:hideMark/>
          </w:tcPr>
          <w:p w14:paraId="7DD1C3B2" w14:textId="488D6CF7" w:rsidR="00C93D48" w:rsidRPr="0049352F" w:rsidRDefault="00C93D48" w:rsidP="0047255D">
            <w:pPr>
              <w:rPr>
                <w:rFonts w:cstheme="minorHAnsi"/>
                <w:sz w:val="20"/>
                <w:szCs w:val="20"/>
              </w:rPr>
            </w:pPr>
            <w:r w:rsidRPr="0049352F">
              <w:rPr>
                <w:rFonts w:cstheme="minorHAnsi"/>
                <w:sz w:val="20"/>
                <w:szCs w:val="20"/>
              </w:rPr>
              <w:t>Spolupráce v</w:t>
            </w:r>
            <w:r w:rsidR="00DE67CE">
              <w:rPr>
                <w:rFonts w:cstheme="minorHAnsi"/>
                <w:sz w:val="20"/>
                <w:szCs w:val="20"/>
              </w:rPr>
              <w:t> </w:t>
            </w:r>
            <w:r w:rsidRPr="0049352F">
              <w:rPr>
                <w:rFonts w:cstheme="minorHAnsi"/>
                <w:sz w:val="20"/>
                <w:szCs w:val="20"/>
              </w:rPr>
              <w:t>justici</w:t>
            </w:r>
          </w:p>
        </w:tc>
        <w:tc>
          <w:tcPr>
            <w:tcW w:w="1557" w:type="dxa"/>
            <w:noWrap/>
            <w:vAlign w:val="center"/>
            <w:hideMark/>
          </w:tcPr>
          <w:p w14:paraId="734D8DFB" w14:textId="3FD522AE" w:rsidR="00C93D48" w:rsidRPr="0049352F" w:rsidRDefault="00DF4F6D" w:rsidP="0047255D">
            <w:pPr>
              <w:rPr>
                <w:rFonts w:cstheme="minorHAnsi"/>
                <w:sz w:val="20"/>
                <w:szCs w:val="20"/>
              </w:rPr>
            </w:pPr>
            <w:r>
              <w:rPr>
                <w:rFonts w:cstheme="minorHAnsi"/>
                <w:sz w:val="20"/>
                <w:szCs w:val="20"/>
              </w:rPr>
              <w:t>FM</w:t>
            </w:r>
            <w:r w:rsidRPr="0049352F">
              <w:rPr>
                <w:rFonts w:cstheme="minorHAnsi"/>
                <w:sz w:val="20"/>
                <w:szCs w:val="20"/>
              </w:rPr>
              <w:t xml:space="preserve"> </w:t>
            </w:r>
            <w:r w:rsidR="00C93D48" w:rsidRPr="0049352F">
              <w:rPr>
                <w:rFonts w:cstheme="minorHAnsi"/>
                <w:sz w:val="20"/>
                <w:szCs w:val="20"/>
              </w:rPr>
              <w:t>Norska</w:t>
            </w:r>
          </w:p>
        </w:tc>
        <w:tc>
          <w:tcPr>
            <w:tcW w:w="1324" w:type="dxa"/>
            <w:noWrap/>
            <w:vAlign w:val="center"/>
            <w:hideMark/>
          </w:tcPr>
          <w:p w14:paraId="014CBC04" w14:textId="77777777" w:rsidR="00C93D48" w:rsidRPr="0049352F" w:rsidRDefault="00C93D48" w:rsidP="0047255D">
            <w:pPr>
              <w:jc w:val="right"/>
              <w:rPr>
                <w:rFonts w:cstheme="minorHAnsi"/>
                <w:sz w:val="20"/>
                <w:szCs w:val="20"/>
              </w:rPr>
            </w:pPr>
            <w:r w:rsidRPr="0049352F">
              <w:rPr>
                <w:rFonts w:cstheme="minorHAnsi"/>
                <w:sz w:val="20"/>
                <w:szCs w:val="20"/>
              </w:rPr>
              <w:t>4 928 000</w:t>
            </w:r>
          </w:p>
        </w:tc>
        <w:tc>
          <w:tcPr>
            <w:tcW w:w="1417" w:type="dxa"/>
            <w:noWrap/>
            <w:vAlign w:val="center"/>
            <w:hideMark/>
          </w:tcPr>
          <w:p w14:paraId="77D5933B" w14:textId="77777777" w:rsidR="00C93D48" w:rsidRPr="0049352F" w:rsidRDefault="00C93D48" w:rsidP="0047255D">
            <w:pPr>
              <w:jc w:val="right"/>
              <w:rPr>
                <w:rFonts w:cstheme="minorHAnsi"/>
                <w:sz w:val="20"/>
                <w:szCs w:val="20"/>
              </w:rPr>
            </w:pPr>
            <w:r w:rsidRPr="0049352F">
              <w:rPr>
                <w:rFonts w:cstheme="minorHAnsi"/>
                <w:sz w:val="20"/>
                <w:szCs w:val="20"/>
              </w:rPr>
              <w:t>130 592 000</w:t>
            </w:r>
          </w:p>
        </w:tc>
        <w:tc>
          <w:tcPr>
            <w:tcW w:w="1985" w:type="dxa"/>
            <w:noWrap/>
            <w:vAlign w:val="center"/>
            <w:hideMark/>
          </w:tcPr>
          <w:p w14:paraId="577E3DF6" w14:textId="77777777" w:rsidR="00C93D48" w:rsidRPr="0049352F" w:rsidRDefault="00C93D48" w:rsidP="0047255D">
            <w:pPr>
              <w:jc w:val="center"/>
              <w:rPr>
                <w:rFonts w:cstheme="minorHAnsi"/>
                <w:sz w:val="20"/>
                <w:szCs w:val="20"/>
              </w:rPr>
            </w:pPr>
            <w:r w:rsidRPr="0049352F">
              <w:rPr>
                <w:rFonts w:cstheme="minorHAnsi"/>
                <w:sz w:val="20"/>
                <w:szCs w:val="20"/>
              </w:rPr>
              <w:t>MF</w:t>
            </w:r>
          </w:p>
        </w:tc>
        <w:tc>
          <w:tcPr>
            <w:tcW w:w="1417" w:type="dxa"/>
            <w:noWrap/>
            <w:vAlign w:val="center"/>
            <w:hideMark/>
          </w:tcPr>
          <w:p w14:paraId="211BF197" w14:textId="77777777" w:rsidR="00C93D48" w:rsidRPr="0049352F" w:rsidRDefault="00C93D48" w:rsidP="0047255D">
            <w:pPr>
              <w:jc w:val="center"/>
              <w:rPr>
                <w:rFonts w:cstheme="minorHAnsi"/>
                <w:sz w:val="20"/>
                <w:szCs w:val="20"/>
              </w:rPr>
            </w:pPr>
            <w:proofErr w:type="spellStart"/>
            <w:r w:rsidRPr="0049352F">
              <w:rPr>
                <w:rFonts w:cstheme="minorHAnsi"/>
                <w:sz w:val="20"/>
                <w:szCs w:val="20"/>
              </w:rPr>
              <w:t>MSp</w:t>
            </w:r>
            <w:proofErr w:type="spellEnd"/>
          </w:p>
        </w:tc>
      </w:tr>
      <w:tr w:rsidR="00C93D48" w:rsidRPr="0049352F" w14:paraId="007337F2" w14:textId="77777777" w:rsidTr="00E809D2">
        <w:trPr>
          <w:trHeight w:val="510"/>
        </w:trPr>
        <w:tc>
          <w:tcPr>
            <w:tcW w:w="740" w:type="dxa"/>
            <w:noWrap/>
            <w:vAlign w:val="center"/>
            <w:hideMark/>
          </w:tcPr>
          <w:p w14:paraId="2999AE1F" w14:textId="77777777" w:rsidR="00C93D48" w:rsidRPr="0049352F" w:rsidRDefault="00C93D48" w:rsidP="00E809D2">
            <w:pPr>
              <w:rPr>
                <w:rFonts w:cstheme="minorHAnsi"/>
                <w:sz w:val="20"/>
                <w:szCs w:val="20"/>
              </w:rPr>
            </w:pPr>
            <w:r w:rsidRPr="0049352F">
              <w:rPr>
                <w:rFonts w:cstheme="minorHAnsi"/>
                <w:sz w:val="20"/>
                <w:szCs w:val="20"/>
              </w:rPr>
              <w:t>CZ22</w:t>
            </w:r>
          </w:p>
        </w:tc>
        <w:tc>
          <w:tcPr>
            <w:tcW w:w="3036" w:type="dxa"/>
            <w:vAlign w:val="center"/>
            <w:hideMark/>
          </w:tcPr>
          <w:p w14:paraId="07B9B3AE" w14:textId="749A1932" w:rsidR="00C93D48" w:rsidRPr="0049352F" w:rsidRDefault="00C93D48" w:rsidP="00DF4F6D">
            <w:pPr>
              <w:rPr>
                <w:rFonts w:cstheme="minorHAnsi"/>
                <w:sz w:val="20"/>
                <w:szCs w:val="20"/>
              </w:rPr>
            </w:pPr>
            <w:r w:rsidRPr="0049352F">
              <w:rPr>
                <w:rFonts w:cstheme="minorHAnsi"/>
                <w:sz w:val="20"/>
                <w:szCs w:val="20"/>
              </w:rPr>
              <w:t>Podpora důstojné práce a</w:t>
            </w:r>
            <w:r w:rsidR="00DF4F6D">
              <w:rPr>
                <w:rFonts w:cstheme="minorHAnsi"/>
                <w:sz w:val="20"/>
                <w:szCs w:val="20"/>
              </w:rPr>
              <w:t> </w:t>
            </w:r>
            <w:r w:rsidRPr="0049352F">
              <w:rPr>
                <w:rFonts w:cstheme="minorHAnsi"/>
                <w:sz w:val="20"/>
                <w:szCs w:val="20"/>
              </w:rPr>
              <w:t>tripartitního dialogu</w:t>
            </w:r>
          </w:p>
        </w:tc>
        <w:tc>
          <w:tcPr>
            <w:tcW w:w="1702" w:type="dxa"/>
            <w:vAlign w:val="center"/>
            <w:hideMark/>
          </w:tcPr>
          <w:p w14:paraId="7A2EDA92" w14:textId="1F18EE4E" w:rsidR="00C93D48" w:rsidRPr="0049352F" w:rsidRDefault="00C93D48" w:rsidP="005A580D">
            <w:pPr>
              <w:rPr>
                <w:rFonts w:cstheme="minorHAnsi"/>
                <w:sz w:val="20"/>
                <w:szCs w:val="20"/>
              </w:rPr>
            </w:pPr>
            <w:r w:rsidRPr="0049352F">
              <w:rPr>
                <w:rFonts w:cstheme="minorHAnsi"/>
                <w:sz w:val="20"/>
                <w:szCs w:val="20"/>
              </w:rPr>
              <w:t>Podpora důstojné práce a</w:t>
            </w:r>
            <w:r w:rsidR="005A580D">
              <w:rPr>
                <w:rFonts w:cstheme="minorHAnsi"/>
                <w:sz w:val="20"/>
                <w:szCs w:val="20"/>
              </w:rPr>
              <w:t> </w:t>
            </w:r>
            <w:r w:rsidRPr="0049352F">
              <w:rPr>
                <w:rFonts w:cstheme="minorHAnsi"/>
                <w:sz w:val="20"/>
                <w:szCs w:val="20"/>
              </w:rPr>
              <w:t>tripartitního dialogu</w:t>
            </w:r>
          </w:p>
        </w:tc>
        <w:tc>
          <w:tcPr>
            <w:tcW w:w="1557" w:type="dxa"/>
            <w:noWrap/>
            <w:vAlign w:val="center"/>
            <w:hideMark/>
          </w:tcPr>
          <w:p w14:paraId="7284145D" w14:textId="301727C1" w:rsidR="00C93D48" w:rsidRPr="0049352F" w:rsidRDefault="00DF4F6D" w:rsidP="0047255D">
            <w:pPr>
              <w:rPr>
                <w:rFonts w:cstheme="minorHAnsi"/>
                <w:sz w:val="20"/>
                <w:szCs w:val="20"/>
              </w:rPr>
            </w:pPr>
            <w:r>
              <w:rPr>
                <w:rFonts w:cstheme="minorHAnsi"/>
                <w:sz w:val="20"/>
                <w:szCs w:val="20"/>
              </w:rPr>
              <w:t>FM</w:t>
            </w:r>
            <w:r w:rsidRPr="0049352F">
              <w:rPr>
                <w:rFonts w:cstheme="minorHAnsi"/>
                <w:sz w:val="20"/>
                <w:szCs w:val="20"/>
              </w:rPr>
              <w:t xml:space="preserve"> </w:t>
            </w:r>
            <w:r w:rsidR="00C93D48" w:rsidRPr="0049352F">
              <w:rPr>
                <w:rFonts w:cstheme="minorHAnsi"/>
                <w:sz w:val="20"/>
                <w:szCs w:val="20"/>
              </w:rPr>
              <w:t>Norska</w:t>
            </w:r>
          </w:p>
        </w:tc>
        <w:tc>
          <w:tcPr>
            <w:tcW w:w="1324" w:type="dxa"/>
            <w:noWrap/>
            <w:vAlign w:val="center"/>
            <w:hideMark/>
          </w:tcPr>
          <w:p w14:paraId="500E2168" w14:textId="77777777" w:rsidR="00C93D48" w:rsidRPr="0049352F" w:rsidRDefault="00C93D48" w:rsidP="0047255D">
            <w:pPr>
              <w:jc w:val="right"/>
              <w:rPr>
                <w:rFonts w:cstheme="minorHAnsi"/>
                <w:sz w:val="20"/>
                <w:szCs w:val="20"/>
              </w:rPr>
            </w:pPr>
            <w:r w:rsidRPr="0049352F">
              <w:rPr>
                <w:rFonts w:cstheme="minorHAnsi"/>
                <w:sz w:val="20"/>
                <w:szCs w:val="20"/>
              </w:rPr>
              <w:t>704 000</w:t>
            </w:r>
          </w:p>
        </w:tc>
        <w:tc>
          <w:tcPr>
            <w:tcW w:w="1417" w:type="dxa"/>
            <w:noWrap/>
            <w:vAlign w:val="center"/>
            <w:hideMark/>
          </w:tcPr>
          <w:p w14:paraId="492462BB" w14:textId="77777777" w:rsidR="00C93D48" w:rsidRPr="0049352F" w:rsidRDefault="00C93D48" w:rsidP="0047255D">
            <w:pPr>
              <w:jc w:val="right"/>
              <w:rPr>
                <w:rFonts w:cstheme="minorHAnsi"/>
                <w:sz w:val="20"/>
                <w:szCs w:val="20"/>
              </w:rPr>
            </w:pPr>
            <w:r w:rsidRPr="0049352F">
              <w:rPr>
                <w:rFonts w:cstheme="minorHAnsi"/>
                <w:sz w:val="20"/>
                <w:szCs w:val="20"/>
              </w:rPr>
              <w:t>18 656 000</w:t>
            </w:r>
          </w:p>
        </w:tc>
        <w:tc>
          <w:tcPr>
            <w:tcW w:w="1985" w:type="dxa"/>
            <w:noWrap/>
            <w:vAlign w:val="center"/>
            <w:hideMark/>
          </w:tcPr>
          <w:p w14:paraId="13EC7282" w14:textId="77777777" w:rsidR="00C93D48" w:rsidRPr="0049352F" w:rsidRDefault="00C93D48" w:rsidP="0047255D">
            <w:pPr>
              <w:jc w:val="center"/>
              <w:rPr>
                <w:rFonts w:cstheme="minorHAnsi"/>
                <w:sz w:val="20"/>
                <w:szCs w:val="20"/>
              </w:rPr>
            </w:pPr>
            <w:r w:rsidRPr="0049352F">
              <w:rPr>
                <w:rFonts w:cstheme="minorHAnsi"/>
                <w:sz w:val="20"/>
                <w:szCs w:val="20"/>
              </w:rPr>
              <w:t>IN</w:t>
            </w:r>
          </w:p>
        </w:tc>
        <w:tc>
          <w:tcPr>
            <w:tcW w:w="1417" w:type="dxa"/>
            <w:noWrap/>
            <w:vAlign w:val="center"/>
            <w:hideMark/>
          </w:tcPr>
          <w:p w14:paraId="70F19F25" w14:textId="77777777" w:rsidR="00C93D48" w:rsidRPr="0049352F" w:rsidRDefault="00C93D48" w:rsidP="0047255D">
            <w:pPr>
              <w:jc w:val="center"/>
              <w:rPr>
                <w:rFonts w:cstheme="minorHAnsi"/>
                <w:sz w:val="20"/>
                <w:szCs w:val="20"/>
              </w:rPr>
            </w:pPr>
            <w:r w:rsidRPr="0049352F">
              <w:rPr>
                <w:rFonts w:cstheme="minorHAnsi"/>
                <w:sz w:val="20"/>
                <w:szCs w:val="20"/>
              </w:rPr>
              <w:t>x</w:t>
            </w:r>
          </w:p>
        </w:tc>
      </w:tr>
    </w:tbl>
    <w:p w14:paraId="52C92E23" w14:textId="132D12A0" w:rsidR="007772D9" w:rsidRPr="00592A4E" w:rsidRDefault="007772D9" w:rsidP="0099191B">
      <w:pPr>
        <w:jc w:val="both"/>
        <w:rPr>
          <w:rFonts w:cstheme="minorHAnsi"/>
          <w:sz w:val="20"/>
          <w:szCs w:val="20"/>
        </w:rPr>
      </w:pPr>
      <w:r w:rsidRPr="00F719DA">
        <w:rPr>
          <w:rFonts w:cstheme="minorHAnsi"/>
        </w:rPr>
        <w:br w:type="textWrapping" w:clear="all"/>
      </w:r>
      <w:r w:rsidRPr="00592A4E">
        <w:rPr>
          <w:rFonts w:cstheme="minorHAnsi"/>
          <w:b/>
          <w:sz w:val="20"/>
          <w:szCs w:val="20"/>
        </w:rPr>
        <w:t>Zdroj:</w:t>
      </w:r>
      <w:r w:rsidR="00F719DA" w:rsidRPr="00592A4E">
        <w:rPr>
          <w:rFonts w:cstheme="minorHAnsi"/>
          <w:sz w:val="20"/>
          <w:szCs w:val="20"/>
        </w:rPr>
        <w:t xml:space="preserve"> MF</w:t>
      </w:r>
      <w:r w:rsidR="00592A4E">
        <w:rPr>
          <w:rFonts w:cstheme="minorHAnsi"/>
          <w:sz w:val="20"/>
          <w:szCs w:val="20"/>
        </w:rPr>
        <w:t>.</w:t>
      </w:r>
      <w:r w:rsidR="00F719DA" w:rsidRPr="00592A4E">
        <w:rPr>
          <w:rFonts w:cstheme="minorHAnsi"/>
          <w:sz w:val="20"/>
          <w:szCs w:val="20"/>
        </w:rPr>
        <w:t xml:space="preserve"> </w:t>
      </w:r>
    </w:p>
    <w:p w14:paraId="4B3AFC15" w14:textId="3F91603A" w:rsidR="003C5AC9" w:rsidRPr="007772D9" w:rsidRDefault="007772D9" w:rsidP="007772D9">
      <w:pPr>
        <w:tabs>
          <w:tab w:val="left" w:pos="1358"/>
        </w:tabs>
        <w:rPr>
          <w:rFonts w:cstheme="minorHAnsi"/>
        </w:rPr>
        <w:sectPr w:rsidR="003C5AC9" w:rsidRPr="007772D9" w:rsidSect="0047255D">
          <w:pgSz w:w="16839" w:h="11907" w:orient="landscape" w:code="9"/>
          <w:pgMar w:top="1417" w:right="1417" w:bottom="1417" w:left="1417" w:header="851" w:footer="567" w:gutter="0"/>
          <w:cols w:space="708"/>
          <w:docGrid w:linePitch="360"/>
        </w:sectPr>
      </w:pPr>
      <w:r>
        <w:rPr>
          <w:rFonts w:cstheme="minorHAnsi"/>
        </w:rPr>
        <w:tab/>
      </w:r>
    </w:p>
    <w:p w14:paraId="605F5133" w14:textId="0D9A9F94" w:rsidR="00F3323B" w:rsidRPr="0049352F" w:rsidRDefault="00912D58" w:rsidP="003C5AC9">
      <w:pPr>
        <w:jc w:val="both"/>
        <w:rPr>
          <w:rFonts w:ascii="Times New Roman" w:hAnsi="Times New Roman"/>
          <w:sz w:val="20"/>
          <w:szCs w:val="20"/>
        </w:rPr>
      </w:pPr>
      <w:r w:rsidRPr="0049352F">
        <w:rPr>
          <w:rFonts w:cstheme="minorHAnsi"/>
        </w:rPr>
        <w:lastRenderedPageBreak/>
        <w:t>Příloha č. 2</w:t>
      </w:r>
      <w:r w:rsidR="00DF4F6D">
        <w:rPr>
          <w:rFonts w:cstheme="minorHAnsi"/>
        </w:rPr>
        <w:t>:</w:t>
      </w:r>
      <w:r w:rsidRPr="0049352F">
        <w:rPr>
          <w:rFonts w:cstheme="minorHAnsi"/>
        </w:rPr>
        <w:t xml:space="preserve"> </w:t>
      </w:r>
      <w:r w:rsidR="00DF4F6D">
        <w:rPr>
          <w:rFonts w:cstheme="minorHAnsi"/>
        </w:rPr>
        <w:t>T</w:t>
      </w:r>
      <w:r w:rsidRPr="0049352F">
        <w:rPr>
          <w:rFonts w:cstheme="minorHAnsi"/>
        </w:rPr>
        <w:t xml:space="preserve">abulka kontrolovaných projektů </w:t>
      </w:r>
    </w:p>
    <w:tbl>
      <w:tblPr>
        <w:tblW w:w="13820" w:type="dxa"/>
        <w:tblCellMar>
          <w:left w:w="70" w:type="dxa"/>
          <w:right w:w="70" w:type="dxa"/>
        </w:tblCellMar>
        <w:tblLook w:val="04A0" w:firstRow="1" w:lastRow="0" w:firstColumn="1" w:lastColumn="0" w:noHBand="0" w:noVBand="1"/>
      </w:tblPr>
      <w:tblGrid>
        <w:gridCol w:w="2380"/>
        <w:gridCol w:w="5060"/>
        <w:gridCol w:w="1000"/>
        <w:gridCol w:w="3600"/>
        <w:gridCol w:w="1780"/>
      </w:tblGrid>
      <w:tr w:rsidR="00F3323B" w:rsidRPr="00F3323B" w14:paraId="018D0B31" w14:textId="77777777" w:rsidTr="0049352F">
        <w:trPr>
          <w:divId w:val="293995226"/>
          <w:trHeight w:val="300"/>
        </w:trPr>
        <w:tc>
          <w:tcPr>
            <w:tcW w:w="2380" w:type="dxa"/>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761DD492" w14:textId="05747954" w:rsidR="00F3323B" w:rsidRPr="00F3323B" w:rsidRDefault="00F3323B" w:rsidP="0049352F">
            <w:pPr>
              <w:jc w:val="center"/>
              <w:rPr>
                <w:rFonts w:ascii="Calibri" w:hAnsi="Calibri"/>
                <w:b/>
                <w:bCs/>
                <w:color w:val="000000"/>
                <w:sz w:val="20"/>
                <w:szCs w:val="20"/>
              </w:rPr>
            </w:pPr>
            <w:r w:rsidRPr="00F3323B">
              <w:rPr>
                <w:rFonts w:ascii="Calibri" w:hAnsi="Calibri"/>
                <w:b/>
                <w:bCs/>
                <w:color w:val="000000"/>
                <w:sz w:val="20"/>
                <w:szCs w:val="20"/>
              </w:rPr>
              <w:t>Číslo projektu</w:t>
            </w:r>
          </w:p>
        </w:tc>
        <w:tc>
          <w:tcPr>
            <w:tcW w:w="5060" w:type="dxa"/>
            <w:tcBorders>
              <w:top w:val="single" w:sz="4" w:space="0" w:color="auto"/>
              <w:left w:val="nil"/>
              <w:bottom w:val="single" w:sz="4" w:space="0" w:color="auto"/>
              <w:right w:val="single" w:sz="4" w:space="0" w:color="auto"/>
            </w:tcBorders>
            <w:shd w:val="clear" w:color="auto" w:fill="E5F1FF"/>
            <w:noWrap/>
            <w:vAlign w:val="center"/>
            <w:hideMark/>
          </w:tcPr>
          <w:p w14:paraId="7170C95E" w14:textId="77777777" w:rsidR="00F3323B" w:rsidRPr="00F3323B" w:rsidRDefault="00F3323B" w:rsidP="0049352F">
            <w:pPr>
              <w:jc w:val="center"/>
              <w:rPr>
                <w:rFonts w:ascii="Calibri" w:hAnsi="Calibri"/>
                <w:b/>
                <w:bCs/>
                <w:color w:val="000000"/>
                <w:sz w:val="20"/>
                <w:szCs w:val="20"/>
              </w:rPr>
            </w:pPr>
            <w:r w:rsidRPr="00F3323B">
              <w:rPr>
                <w:rFonts w:ascii="Calibri" w:hAnsi="Calibri"/>
                <w:b/>
                <w:bCs/>
                <w:color w:val="000000"/>
                <w:sz w:val="20"/>
                <w:szCs w:val="20"/>
              </w:rPr>
              <w:t>Název projektu</w:t>
            </w:r>
          </w:p>
        </w:tc>
        <w:tc>
          <w:tcPr>
            <w:tcW w:w="1000" w:type="dxa"/>
            <w:tcBorders>
              <w:top w:val="single" w:sz="4" w:space="0" w:color="auto"/>
              <w:left w:val="nil"/>
              <w:bottom w:val="single" w:sz="4" w:space="0" w:color="auto"/>
              <w:right w:val="single" w:sz="4" w:space="0" w:color="auto"/>
            </w:tcBorders>
            <w:shd w:val="clear" w:color="auto" w:fill="E5F1FF"/>
            <w:noWrap/>
            <w:vAlign w:val="center"/>
            <w:hideMark/>
          </w:tcPr>
          <w:p w14:paraId="0EEA1450" w14:textId="77777777" w:rsidR="00F3323B" w:rsidRPr="00F3323B" w:rsidRDefault="00F3323B" w:rsidP="0049352F">
            <w:pPr>
              <w:jc w:val="center"/>
              <w:rPr>
                <w:rFonts w:ascii="Calibri" w:hAnsi="Calibri"/>
                <w:b/>
                <w:bCs/>
                <w:color w:val="000000"/>
                <w:sz w:val="20"/>
                <w:szCs w:val="20"/>
              </w:rPr>
            </w:pPr>
            <w:r w:rsidRPr="00F3323B">
              <w:rPr>
                <w:rFonts w:ascii="Calibri" w:hAnsi="Calibri"/>
                <w:b/>
                <w:bCs/>
                <w:color w:val="000000"/>
                <w:sz w:val="20"/>
                <w:szCs w:val="20"/>
              </w:rPr>
              <w:t>Program</w:t>
            </w:r>
          </w:p>
        </w:tc>
        <w:tc>
          <w:tcPr>
            <w:tcW w:w="3600" w:type="dxa"/>
            <w:tcBorders>
              <w:top w:val="single" w:sz="4" w:space="0" w:color="auto"/>
              <w:left w:val="nil"/>
              <w:bottom w:val="single" w:sz="4" w:space="0" w:color="auto"/>
              <w:right w:val="single" w:sz="4" w:space="0" w:color="auto"/>
            </w:tcBorders>
            <w:shd w:val="clear" w:color="auto" w:fill="E5F1FF"/>
            <w:noWrap/>
            <w:vAlign w:val="center"/>
            <w:hideMark/>
          </w:tcPr>
          <w:p w14:paraId="4519E999" w14:textId="77777777" w:rsidR="00F3323B" w:rsidRPr="00F3323B" w:rsidRDefault="00F3323B" w:rsidP="0049352F">
            <w:pPr>
              <w:jc w:val="center"/>
              <w:rPr>
                <w:rFonts w:ascii="Calibri" w:hAnsi="Calibri"/>
                <w:b/>
                <w:bCs/>
                <w:color w:val="000000"/>
                <w:sz w:val="20"/>
                <w:szCs w:val="20"/>
              </w:rPr>
            </w:pPr>
            <w:r w:rsidRPr="00F3323B">
              <w:rPr>
                <w:rFonts w:ascii="Calibri" w:hAnsi="Calibri"/>
                <w:b/>
                <w:bCs/>
                <w:color w:val="000000"/>
                <w:sz w:val="20"/>
                <w:szCs w:val="20"/>
              </w:rPr>
              <w:t>Příjemce</w:t>
            </w:r>
          </w:p>
        </w:tc>
        <w:tc>
          <w:tcPr>
            <w:tcW w:w="1780" w:type="dxa"/>
            <w:tcBorders>
              <w:top w:val="single" w:sz="4" w:space="0" w:color="auto"/>
              <w:left w:val="nil"/>
              <w:bottom w:val="single" w:sz="4" w:space="0" w:color="auto"/>
              <w:right w:val="single" w:sz="4" w:space="0" w:color="auto"/>
            </w:tcBorders>
            <w:shd w:val="clear" w:color="auto" w:fill="E5F1FF"/>
            <w:noWrap/>
            <w:vAlign w:val="center"/>
            <w:hideMark/>
          </w:tcPr>
          <w:p w14:paraId="0E2376B1" w14:textId="77777777" w:rsidR="00F3323B" w:rsidRPr="00F3323B" w:rsidRDefault="00F3323B" w:rsidP="0049352F">
            <w:pPr>
              <w:jc w:val="center"/>
              <w:rPr>
                <w:rFonts w:ascii="Calibri" w:hAnsi="Calibri"/>
                <w:b/>
                <w:bCs/>
                <w:color w:val="000000"/>
                <w:sz w:val="20"/>
                <w:szCs w:val="20"/>
              </w:rPr>
            </w:pPr>
            <w:r w:rsidRPr="00F3323B">
              <w:rPr>
                <w:rFonts w:ascii="Calibri" w:hAnsi="Calibri"/>
                <w:b/>
                <w:bCs/>
                <w:color w:val="000000"/>
                <w:sz w:val="20"/>
                <w:szCs w:val="20"/>
              </w:rPr>
              <w:t>Proplacená podpora</w:t>
            </w:r>
          </w:p>
        </w:tc>
      </w:tr>
      <w:tr w:rsidR="00F3323B" w:rsidRPr="00F3323B" w14:paraId="10163CCE" w14:textId="77777777" w:rsidTr="0047255D">
        <w:trPr>
          <w:divId w:val="293995226"/>
          <w:trHeight w:val="525"/>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1AF314B2" w14:textId="77777777" w:rsidR="00F3323B" w:rsidRPr="00F3323B" w:rsidRDefault="00F3323B" w:rsidP="00F3323B">
            <w:pPr>
              <w:jc w:val="center"/>
              <w:rPr>
                <w:rFonts w:ascii="Calibri" w:hAnsi="Calibri"/>
                <w:color w:val="000000"/>
                <w:sz w:val="20"/>
                <w:szCs w:val="20"/>
              </w:rPr>
            </w:pPr>
            <w:r w:rsidRPr="00F3323B">
              <w:rPr>
                <w:rFonts w:ascii="Calibri" w:hAnsi="Calibri"/>
                <w:color w:val="000000"/>
                <w:sz w:val="20"/>
                <w:szCs w:val="20"/>
              </w:rPr>
              <w:t>EHP-CZ06-OV-1-036-2014</w:t>
            </w:r>
          </w:p>
        </w:tc>
        <w:tc>
          <w:tcPr>
            <w:tcW w:w="5060" w:type="dxa"/>
            <w:tcBorders>
              <w:top w:val="nil"/>
              <w:left w:val="nil"/>
              <w:bottom w:val="single" w:sz="4" w:space="0" w:color="auto"/>
              <w:right w:val="single" w:sz="4" w:space="0" w:color="auto"/>
            </w:tcBorders>
            <w:shd w:val="clear" w:color="auto" w:fill="auto"/>
            <w:vAlign w:val="center"/>
            <w:hideMark/>
          </w:tcPr>
          <w:p w14:paraId="7A6DA57D" w14:textId="660DB727" w:rsidR="00F3323B" w:rsidRPr="00F3323B" w:rsidRDefault="00F3323B" w:rsidP="00DF4F6D">
            <w:pPr>
              <w:rPr>
                <w:rFonts w:ascii="Calibri" w:hAnsi="Calibri"/>
                <w:color w:val="000000"/>
                <w:sz w:val="20"/>
                <w:szCs w:val="20"/>
              </w:rPr>
            </w:pPr>
            <w:r w:rsidRPr="00F3323B">
              <w:rPr>
                <w:rFonts w:ascii="Calibri" w:hAnsi="Calibri"/>
                <w:color w:val="000000"/>
                <w:sz w:val="20"/>
                <w:szCs w:val="20"/>
              </w:rPr>
              <w:t xml:space="preserve">Rekonstrukce a rehabilitace chrámu sv. Jakuba v Brně </w:t>
            </w:r>
            <w:r w:rsidR="00DF4F6D">
              <w:rPr>
                <w:rFonts w:ascii="Calibri" w:hAnsi="Calibri"/>
                <w:color w:val="000000"/>
                <w:sz w:val="20"/>
                <w:szCs w:val="20"/>
              </w:rPr>
              <w:t>–</w:t>
            </w:r>
            <w:r w:rsidRPr="00F3323B">
              <w:rPr>
                <w:rFonts w:ascii="Calibri" w:hAnsi="Calibri"/>
                <w:color w:val="000000"/>
                <w:sz w:val="20"/>
                <w:szCs w:val="20"/>
              </w:rPr>
              <w:t xml:space="preserve"> </w:t>
            </w:r>
            <w:proofErr w:type="spellStart"/>
            <w:r w:rsidRPr="00F3323B">
              <w:rPr>
                <w:rFonts w:ascii="Calibri" w:hAnsi="Calibri"/>
                <w:color w:val="000000"/>
                <w:sz w:val="20"/>
                <w:szCs w:val="20"/>
              </w:rPr>
              <w:t>Monumentum</w:t>
            </w:r>
            <w:proofErr w:type="spellEnd"/>
            <w:r w:rsidRPr="00F3323B">
              <w:rPr>
                <w:rFonts w:ascii="Calibri" w:hAnsi="Calibri"/>
                <w:color w:val="000000"/>
                <w:sz w:val="20"/>
                <w:szCs w:val="20"/>
              </w:rPr>
              <w:t xml:space="preserve"> </w:t>
            </w:r>
            <w:proofErr w:type="spellStart"/>
            <w:r w:rsidRPr="00F3323B">
              <w:rPr>
                <w:rFonts w:ascii="Calibri" w:hAnsi="Calibri"/>
                <w:color w:val="000000"/>
                <w:sz w:val="20"/>
                <w:szCs w:val="20"/>
              </w:rPr>
              <w:t>sacrum</w:t>
            </w:r>
            <w:proofErr w:type="spellEnd"/>
            <w:r w:rsidRPr="00F3323B">
              <w:rPr>
                <w:rFonts w:ascii="Calibri" w:hAnsi="Calibri"/>
                <w:color w:val="000000"/>
                <w:sz w:val="20"/>
                <w:szCs w:val="20"/>
              </w:rPr>
              <w:t xml:space="preserve"> </w:t>
            </w:r>
            <w:proofErr w:type="spellStart"/>
            <w:r w:rsidRPr="00F3323B">
              <w:rPr>
                <w:rFonts w:ascii="Calibri" w:hAnsi="Calibri"/>
                <w:color w:val="000000"/>
                <w:sz w:val="20"/>
                <w:szCs w:val="20"/>
              </w:rPr>
              <w:t>Brunense</w:t>
            </w:r>
            <w:proofErr w:type="spellEnd"/>
          </w:p>
        </w:tc>
        <w:tc>
          <w:tcPr>
            <w:tcW w:w="1000" w:type="dxa"/>
            <w:tcBorders>
              <w:top w:val="nil"/>
              <w:left w:val="nil"/>
              <w:bottom w:val="single" w:sz="4" w:space="0" w:color="auto"/>
              <w:right w:val="single" w:sz="4" w:space="0" w:color="auto"/>
            </w:tcBorders>
            <w:shd w:val="clear" w:color="auto" w:fill="auto"/>
            <w:noWrap/>
            <w:vAlign w:val="center"/>
            <w:hideMark/>
          </w:tcPr>
          <w:p w14:paraId="5B7293EC" w14:textId="77777777" w:rsidR="00F3323B" w:rsidRPr="00F3323B" w:rsidRDefault="00F3323B" w:rsidP="00F41523">
            <w:pPr>
              <w:jc w:val="center"/>
              <w:rPr>
                <w:rFonts w:ascii="Calibri" w:hAnsi="Calibri"/>
                <w:color w:val="000000"/>
                <w:sz w:val="20"/>
                <w:szCs w:val="20"/>
              </w:rPr>
            </w:pPr>
            <w:r w:rsidRPr="00F3323B">
              <w:rPr>
                <w:rFonts w:ascii="Calibri" w:hAnsi="Calibri"/>
                <w:color w:val="000000"/>
                <w:sz w:val="20"/>
                <w:szCs w:val="20"/>
              </w:rPr>
              <w:t>CZ06</w:t>
            </w:r>
          </w:p>
        </w:tc>
        <w:tc>
          <w:tcPr>
            <w:tcW w:w="3600" w:type="dxa"/>
            <w:tcBorders>
              <w:top w:val="nil"/>
              <w:left w:val="nil"/>
              <w:bottom w:val="single" w:sz="4" w:space="0" w:color="auto"/>
              <w:right w:val="single" w:sz="4" w:space="0" w:color="auto"/>
            </w:tcBorders>
            <w:shd w:val="clear" w:color="auto" w:fill="auto"/>
            <w:vAlign w:val="center"/>
            <w:hideMark/>
          </w:tcPr>
          <w:p w14:paraId="55A1AF5B" w14:textId="228182A9" w:rsidR="00F3323B" w:rsidRPr="00F3323B" w:rsidRDefault="00F3323B" w:rsidP="005A580D">
            <w:pPr>
              <w:rPr>
                <w:rFonts w:ascii="Calibri" w:hAnsi="Calibri"/>
                <w:color w:val="000000"/>
                <w:sz w:val="20"/>
                <w:szCs w:val="20"/>
              </w:rPr>
            </w:pPr>
            <w:r w:rsidRPr="00F3323B">
              <w:rPr>
                <w:rFonts w:ascii="Calibri" w:hAnsi="Calibri"/>
                <w:color w:val="000000"/>
                <w:sz w:val="20"/>
                <w:szCs w:val="20"/>
              </w:rPr>
              <w:t>Římskokatolická farnost u kostela sv.</w:t>
            </w:r>
            <w:r w:rsidR="005A580D">
              <w:rPr>
                <w:rFonts w:ascii="Calibri" w:hAnsi="Calibri"/>
                <w:color w:val="000000"/>
                <w:sz w:val="20"/>
                <w:szCs w:val="20"/>
              </w:rPr>
              <w:t> </w:t>
            </w:r>
            <w:r w:rsidRPr="00F3323B">
              <w:rPr>
                <w:rFonts w:ascii="Calibri" w:hAnsi="Calibri"/>
                <w:color w:val="000000"/>
                <w:sz w:val="20"/>
                <w:szCs w:val="20"/>
              </w:rPr>
              <w:t>Jakuba</w:t>
            </w:r>
          </w:p>
        </w:tc>
        <w:tc>
          <w:tcPr>
            <w:tcW w:w="1780" w:type="dxa"/>
            <w:tcBorders>
              <w:top w:val="nil"/>
              <w:left w:val="nil"/>
              <w:bottom w:val="single" w:sz="4" w:space="0" w:color="auto"/>
              <w:right w:val="single" w:sz="4" w:space="0" w:color="auto"/>
            </w:tcBorders>
            <w:shd w:val="clear" w:color="auto" w:fill="auto"/>
            <w:noWrap/>
            <w:vAlign w:val="center"/>
            <w:hideMark/>
          </w:tcPr>
          <w:p w14:paraId="36D1221B" w14:textId="070CACBA" w:rsidR="00F3323B" w:rsidRPr="00F3323B" w:rsidRDefault="00F3323B" w:rsidP="008234F8">
            <w:pPr>
              <w:jc w:val="right"/>
              <w:rPr>
                <w:rFonts w:ascii="Calibri" w:hAnsi="Calibri" w:cs="Calibri"/>
                <w:color w:val="000000"/>
                <w:sz w:val="20"/>
                <w:szCs w:val="20"/>
              </w:rPr>
            </w:pPr>
            <w:r w:rsidRPr="00F3323B">
              <w:rPr>
                <w:rFonts w:ascii="Calibri" w:hAnsi="Calibri"/>
                <w:color w:val="000000"/>
                <w:sz w:val="20"/>
                <w:szCs w:val="20"/>
              </w:rPr>
              <w:t>29 014 438 Kč</w:t>
            </w:r>
            <w:r w:rsidRPr="00F3323B">
              <w:rPr>
                <w:rFonts w:ascii="Calibri" w:hAnsi="Calibri" w:cs="Calibri"/>
                <w:color w:val="000000"/>
                <w:sz w:val="20"/>
                <w:szCs w:val="20"/>
              </w:rPr>
              <w:t xml:space="preserve"> </w:t>
            </w:r>
          </w:p>
        </w:tc>
      </w:tr>
      <w:tr w:rsidR="00F3323B" w:rsidRPr="00F3323B" w14:paraId="65DF9996" w14:textId="77777777" w:rsidTr="0047255D">
        <w:trPr>
          <w:divId w:val="293995226"/>
          <w:trHeight w:val="525"/>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402759E4" w14:textId="77777777" w:rsidR="00F3323B" w:rsidRPr="00F3323B" w:rsidRDefault="00F3323B" w:rsidP="00F3323B">
            <w:pPr>
              <w:jc w:val="center"/>
              <w:rPr>
                <w:rFonts w:ascii="Calibri" w:hAnsi="Calibri"/>
                <w:color w:val="000000"/>
                <w:sz w:val="20"/>
                <w:szCs w:val="20"/>
              </w:rPr>
            </w:pPr>
            <w:r w:rsidRPr="00F3323B">
              <w:rPr>
                <w:rFonts w:ascii="Calibri" w:hAnsi="Calibri"/>
                <w:color w:val="000000"/>
                <w:sz w:val="20"/>
                <w:szCs w:val="20"/>
              </w:rPr>
              <w:t>EHP-CZ06-OV-1-019-2014</w:t>
            </w:r>
          </w:p>
        </w:tc>
        <w:tc>
          <w:tcPr>
            <w:tcW w:w="5060" w:type="dxa"/>
            <w:tcBorders>
              <w:top w:val="nil"/>
              <w:left w:val="nil"/>
              <w:bottom w:val="single" w:sz="4" w:space="0" w:color="auto"/>
              <w:right w:val="single" w:sz="4" w:space="0" w:color="auto"/>
            </w:tcBorders>
            <w:shd w:val="clear" w:color="auto" w:fill="auto"/>
            <w:vAlign w:val="center"/>
            <w:hideMark/>
          </w:tcPr>
          <w:p w14:paraId="40B05C5D" w14:textId="4DD594AA" w:rsidR="00F3323B" w:rsidRPr="00F3323B" w:rsidRDefault="00F3323B" w:rsidP="00DF4F6D">
            <w:pPr>
              <w:rPr>
                <w:rFonts w:ascii="Calibri" w:hAnsi="Calibri"/>
                <w:color w:val="000000"/>
                <w:sz w:val="20"/>
                <w:szCs w:val="20"/>
              </w:rPr>
            </w:pPr>
            <w:r w:rsidRPr="00F3323B">
              <w:rPr>
                <w:rFonts w:ascii="Calibri" w:hAnsi="Calibri"/>
                <w:color w:val="000000"/>
                <w:sz w:val="20"/>
                <w:szCs w:val="20"/>
              </w:rPr>
              <w:t>Obnova interiéru a mobiliáře funkcionalistické synagogy v</w:t>
            </w:r>
            <w:r w:rsidR="00DF4F6D">
              <w:rPr>
                <w:rFonts w:ascii="Calibri" w:hAnsi="Calibri"/>
                <w:color w:val="000000"/>
                <w:sz w:val="20"/>
                <w:szCs w:val="20"/>
              </w:rPr>
              <w:t> </w:t>
            </w:r>
            <w:r w:rsidRPr="00F3323B">
              <w:rPr>
                <w:rFonts w:ascii="Calibri" w:hAnsi="Calibri"/>
                <w:color w:val="000000"/>
                <w:sz w:val="20"/>
                <w:szCs w:val="20"/>
              </w:rPr>
              <w:t>Brně a její zpřístupnění</w:t>
            </w:r>
          </w:p>
        </w:tc>
        <w:tc>
          <w:tcPr>
            <w:tcW w:w="1000" w:type="dxa"/>
            <w:tcBorders>
              <w:top w:val="nil"/>
              <w:left w:val="nil"/>
              <w:bottom w:val="single" w:sz="4" w:space="0" w:color="auto"/>
              <w:right w:val="single" w:sz="4" w:space="0" w:color="auto"/>
            </w:tcBorders>
            <w:shd w:val="clear" w:color="auto" w:fill="auto"/>
            <w:noWrap/>
            <w:vAlign w:val="center"/>
            <w:hideMark/>
          </w:tcPr>
          <w:p w14:paraId="48D44223" w14:textId="77777777" w:rsidR="00F3323B" w:rsidRPr="00F3323B" w:rsidRDefault="00F3323B" w:rsidP="00F41523">
            <w:pPr>
              <w:jc w:val="center"/>
              <w:rPr>
                <w:rFonts w:ascii="Calibri" w:hAnsi="Calibri"/>
                <w:color w:val="000000"/>
                <w:sz w:val="20"/>
                <w:szCs w:val="20"/>
              </w:rPr>
            </w:pPr>
            <w:r w:rsidRPr="00F3323B">
              <w:rPr>
                <w:rFonts w:ascii="Calibri" w:hAnsi="Calibri"/>
                <w:color w:val="000000"/>
                <w:sz w:val="20"/>
                <w:szCs w:val="20"/>
              </w:rPr>
              <w:t>CZ06</w:t>
            </w:r>
          </w:p>
        </w:tc>
        <w:tc>
          <w:tcPr>
            <w:tcW w:w="3600" w:type="dxa"/>
            <w:tcBorders>
              <w:top w:val="nil"/>
              <w:left w:val="nil"/>
              <w:bottom w:val="single" w:sz="4" w:space="0" w:color="auto"/>
              <w:right w:val="single" w:sz="4" w:space="0" w:color="auto"/>
            </w:tcBorders>
            <w:shd w:val="clear" w:color="auto" w:fill="auto"/>
            <w:vAlign w:val="center"/>
            <w:hideMark/>
          </w:tcPr>
          <w:p w14:paraId="11FA1734" w14:textId="77777777" w:rsidR="00F3323B" w:rsidRPr="00F3323B" w:rsidRDefault="00F3323B" w:rsidP="00F41523">
            <w:pPr>
              <w:rPr>
                <w:rFonts w:ascii="Calibri" w:hAnsi="Calibri"/>
                <w:color w:val="000000"/>
                <w:sz w:val="20"/>
                <w:szCs w:val="20"/>
              </w:rPr>
            </w:pPr>
            <w:r w:rsidRPr="00F3323B">
              <w:rPr>
                <w:rFonts w:ascii="Calibri" w:hAnsi="Calibri"/>
                <w:color w:val="000000"/>
                <w:sz w:val="20"/>
                <w:szCs w:val="20"/>
              </w:rPr>
              <w:t>Židovská obec Brno</w:t>
            </w:r>
          </w:p>
        </w:tc>
        <w:tc>
          <w:tcPr>
            <w:tcW w:w="1780" w:type="dxa"/>
            <w:tcBorders>
              <w:top w:val="nil"/>
              <w:left w:val="nil"/>
              <w:bottom w:val="single" w:sz="4" w:space="0" w:color="auto"/>
              <w:right w:val="single" w:sz="4" w:space="0" w:color="auto"/>
            </w:tcBorders>
            <w:shd w:val="clear" w:color="auto" w:fill="auto"/>
            <w:noWrap/>
            <w:vAlign w:val="center"/>
            <w:hideMark/>
          </w:tcPr>
          <w:p w14:paraId="4258DB3D" w14:textId="60AA2D03" w:rsidR="00F3323B" w:rsidRPr="00F3323B" w:rsidRDefault="00F3323B" w:rsidP="005878B3">
            <w:pPr>
              <w:jc w:val="right"/>
              <w:rPr>
                <w:rFonts w:ascii="Calibri" w:hAnsi="Calibri" w:cs="Calibri"/>
                <w:color w:val="000000"/>
                <w:sz w:val="20"/>
                <w:szCs w:val="20"/>
              </w:rPr>
            </w:pPr>
            <w:r w:rsidRPr="00F3323B">
              <w:rPr>
                <w:rFonts w:ascii="Calibri" w:hAnsi="Calibri"/>
                <w:color w:val="000000"/>
                <w:sz w:val="20"/>
                <w:szCs w:val="20"/>
              </w:rPr>
              <w:t>4 654 531 Kč</w:t>
            </w:r>
            <w:r w:rsidRPr="00F3323B">
              <w:rPr>
                <w:rFonts w:ascii="Calibri" w:hAnsi="Calibri" w:cs="Calibri"/>
                <w:color w:val="000000"/>
                <w:sz w:val="20"/>
                <w:szCs w:val="20"/>
              </w:rPr>
              <w:t xml:space="preserve"> </w:t>
            </w:r>
          </w:p>
        </w:tc>
      </w:tr>
      <w:tr w:rsidR="00F3323B" w:rsidRPr="00F3323B" w14:paraId="47D5E732" w14:textId="77777777" w:rsidTr="0047255D">
        <w:trPr>
          <w:divId w:val="293995226"/>
          <w:trHeight w:val="525"/>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4E13F4F2" w14:textId="77777777" w:rsidR="00F3323B" w:rsidRPr="00F3323B" w:rsidRDefault="00F3323B" w:rsidP="00F3323B">
            <w:pPr>
              <w:jc w:val="center"/>
              <w:rPr>
                <w:rFonts w:ascii="Calibri" w:hAnsi="Calibri"/>
                <w:color w:val="000000"/>
                <w:sz w:val="20"/>
                <w:szCs w:val="20"/>
              </w:rPr>
            </w:pPr>
            <w:r w:rsidRPr="00F3323B">
              <w:rPr>
                <w:rFonts w:ascii="Calibri" w:hAnsi="Calibri"/>
                <w:color w:val="000000"/>
                <w:sz w:val="20"/>
                <w:szCs w:val="20"/>
              </w:rPr>
              <w:t>EHP-CZ06-OV-1-031-2014</w:t>
            </w:r>
          </w:p>
        </w:tc>
        <w:tc>
          <w:tcPr>
            <w:tcW w:w="5060" w:type="dxa"/>
            <w:tcBorders>
              <w:top w:val="nil"/>
              <w:left w:val="nil"/>
              <w:bottom w:val="single" w:sz="4" w:space="0" w:color="auto"/>
              <w:right w:val="single" w:sz="4" w:space="0" w:color="auto"/>
            </w:tcBorders>
            <w:shd w:val="clear" w:color="auto" w:fill="auto"/>
            <w:vAlign w:val="center"/>
            <w:hideMark/>
          </w:tcPr>
          <w:p w14:paraId="6EA8BF81" w14:textId="7F704867" w:rsidR="00F3323B" w:rsidRPr="00F3323B" w:rsidRDefault="00F3323B" w:rsidP="00DF4F6D">
            <w:pPr>
              <w:rPr>
                <w:rFonts w:ascii="Calibri" w:hAnsi="Calibri"/>
                <w:color w:val="000000"/>
                <w:sz w:val="20"/>
                <w:szCs w:val="20"/>
              </w:rPr>
            </w:pPr>
            <w:r w:rsidRPr="00F3323B">
              <w:rPr>
                <w:rFonts w:ascii="Calibri" w:hAnsi="Calibri"/>
                <w:color w:val="000000"/>
                <w:sz w:val="20"/>
                <w:szCs w:val="20"/>
              </w:rPr>
              <w:t>Obnovený ZÁMEK SVIJANY prezentuje unikátní naleziště z</w:t>
            </w:r>
            <w:r w:rsidR="00DF4F6D">
              <w:rPr>
                <w:rFonts w:ascii="Calibri" w:hAnsi="Calibri"/>
                <w:color w:val="000000"/>
                <w:sz w:val="20"/>
                <w:szCs w:val="20"/>
              </w:rPr>
              <w:t> </w:t>
            </w:r>
            <w:r w:rsidRPr="00F3323B">
              <w:rPr>
                <w:rFonts w:ascii="Calibri" w:hAnsi="Calibri"/>
                <w:color w:val="000000"/>
                <w:sz w:val="20"/>
                <w:szCs w:val="20"/>
              </w:rPr>
              <w:t>doby bronzové a další historii a kulturu</w:t>
            </w:r>
          </w:p>
        </w:tc>
        <w:tc>
          <w:tcPr>
            <w:tcW w:w="1000" w:type="dxa"/>
            <w:tcBorders>
              <w:top w:val="nil"/>
              <w:left w:val="nil"/>
              <w:bottom w:val="single" w:sz="4" w:space="0" w:color="auto"/>
              <w:right w:val="single" w:sz="4" w:space="0" w:color="auto"/>
            </w:tcBorders>
            <w:shd w:val="clear" w:color="auto" w:fill="auto"/>
            <w:noWrap/>
            <w:vAlign w:val="center"/>
            <w:hideMark/>
          </w:tcPr>
          <w:p w14:paraId="5AC79EAA" w14:textId="77777777" w:rsidR="00F3323B" w:rsidRPr="00F3323B" w:rsidRDefault="00F3323B" w:rsidP="00F41523">
            <w:pPr>
              <w:jc w:val="center"/>
              <w:rPr>
                <w:rFonts w:ascii="Calibri" w:hAnsi="Calibri"/>
                <w:color w:val="000000"/>
                <w:sz w:val="20"/>
                <w:szCs w:val="20"/>
              </w:rPr>
            </w:pPr>
            <w:r w:rsidRPr="00F3323B">
              <w:rPr>
                <w:rFonts w:ascii="Calibri" w:hAnsi="Calibri"/>
                <w:color w:val="000000"/>
                <w:sz w:val="20"/>
                <w:szCs w:val="20"/>
              </w:rPr>
              <w:t>CZ06</w:t>
            </w:r>
          </w:p>
        </w:tc>
        <w:tc>
          <w:tcPr>
            <w:tcW w:w="3600" w:type="dxa"/>
            <w:tcBorders>
              <w:top w:val="nil"/>
              <w:left w:val="nil"/>
              <w:bottom w:val="single" w:sz="4" w:space="0" w:color="auto"/>
              <w:right w:val="single" w:sz="4" w:space="0" w:color="auto"/>
            </w:tcBorders>
            <w:shd w:val="clear" w:color="auto" w:fill="auto"/>
            <w:vAlign w:val="center"/>
            <w:hideMark/>
          </w:tcPr>
          <w:p w14:paraId="371EC1B1" w14:textId="77777777" w:rsidR="00F3323B" w:rsidRPr="00F3323B" w:rsidRDefault="00F3323B" w:rsidP="00F41523">
            <w:pPr>
              <w:rPr>
                <w:rFonts w:ascii="Calibri" w:hAnsi="Calibri"/>
                <w:color w:val="000000"/>
                <w:sz w:val="20"/>
                <w:szCs w:val="20"/>
              </w:rPr>
            </w:pPr>
            <w:r w:rsidRPr="00F3323B">
              <w:rPr>
                <w:rFonts w:ascii="Calibri" w:hAnsi="Calibri"/>
                <w:color w:val="000000"/>
                <w:sz w:val="20"/>
                <w:szCs w:val="20"/>
              </w:rPr>
              <w:t>PIVOVAR SVIJANY, a.s.</w:t>
            </w:r>
          </w:p>
        </w:tc>
        <w:tc>
          <w:tcPr>
            <w:tcW w:w="1780" w:type="dxa"/>
            <w:tcBorders>
              <w:top w:val="nil"/>
              <w:left w:val="nil"/>
              <w:bottom w:val="single" w:sz="4" w:space="0" w:color="auto"/>
              <w:right w:val="single" w:sz="4" w:space="0" w:color="auto"/>
            </w:tcBorders>
            <w:shd w:val="clear" w:color="auto" w:fill="auto"/>
            <w:noWrap/>
            <w:vAlign w:val="center"/>
            <w:hideMark/>
          </w:tcPr>
          <w:p w14:paraId="31F9664A" w14:textId="2161A7DD" w:rsidR="00F3323B" w:rsidRPr="00F3323B" w:rsidRDefault="00F3323B" w:rsidP="005878B3">
            <w:pPr>
              <w:jc w:val="right"/>
              <w:rPr>
                <w:rFonts w:ascii="Calibri" w:hAnsi="Calibri" w:cs="Calibri"/>
                <w:color w:val="000000"/>
                <w:sz w:val="20"/>
                <w:szCs w:val="20"/>
              </w:rPr>
            </w:pPr>
            <w:r w:rsidRPr="00F3323B">
              <w:rPr>
                <w:rFonts w:ascii="Calibri" w:hAnsi="Calibri"/>
                <w:color w:val="000000"/>
                <w:sz w:val="20"/>
                <w:szCs w:val="20"/>
              </w:rPr>
              <w:t>29 624 307 Kč</w:t>
            </w:r>
            <w:r w:rsidRPr="00F3323B">
              <w:rPr>
                <w:rFonts w:ascii="Calibri" w:hAnsi="Calibri" w:cs="Calibri"/>
                <w:color w:val="000000"/>
                <w:sz w:val="20"/>
                <w:szCs w:val="20"/>
              </w:rPr>
              <w:t xml:space="preserve"> </w:t>
            </w:r>
          </w:p>
        </w:tc>
      </w:tr>
      <w:tr w:rsidR="00F3323B" w:rsidRPr="00F3323B" w14:paraId="5CAA97C1" w14:textId="77777777" w:rsidTr="0047255D">
        <w:trPr>
          <w:divId w:val="293995226"/>
          <w:trHeight w:val="525"/>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7413397C" w14:textId="77777777" w:rsidR="00F3323B" w:rsidRPr="00F3323B" w:rsidRDefault="00F3323B" w:rsidP="00F3323B">
            <w:pPr>
              <w:jc w:val="center"/>
              <w:rPr>
                <w:rFonts w:ascii="Calibri" w:hAnsi="Calibri"/>
                <w:color w:val="000000"/>
                <w:sz w:val="20"/>
                <w:szCs w:val="20"/>
              </w:rPr>
            </w:pPr>
            <w:r w:rsidRPr="00F3323B">
              <w:rPr>
                <w:rFonts w:ascii="Calibri" w:hAnsi="Calibri"/>
                <w:color w:val="000000"/>
                <w:sz w:val="20"/>
                <w:szCs w:val="20"/>
              </w:rPr>
              <w:t>EHP-CZ06-OV-1-027-2014</w:t>
            </w:r>
          </w:p>
        </w:tc>
        <w:tc>
          <w:tcPr>
            <w:tcW w:w="5060" w:type="dxa"/>
            <w:tcBorders>
              <w:top w:val="nil"/>
              <w:left w:val="nil"/>
              <w:bottom w:val="single" w:sz="4" w:space="0" w:color="auto"/>
              <w:right w:val="single" w:sz="4" w:space="0" w:color="auto"/>
            </w:tcBorders>
            <w:shd w:val="clear" w:color="auto" w:fill="auto"/>
            <w:vAlign w:val="center"/>
            <w:hideMark/>
          </w:tcPr>
          <w:p w14:paraId="20913F76" w14:textId="4A7E70D5" w:rsidR="00F3323B" w:rsidRPr="00F3323B" w:rsidRDefault="00F3323B" w:rsidP="00DF4F6D">
            <w:pPr>
              <w:rPr>
                <w:rFonts w:ascii="Calibri" w:hAnsi="Calibri"/>
                <w:color w:val="000000"/>
                <w:sz w:val="20"/>
                <w:szCs w:val="20"/>
              </w:rPr>
            </w:pPr>
            <w:r w:rsidRPr="00F3323B">
              <w:rPr>
                <w:rFonts w:ascii="Calibri" w:hAnsi="Calibri"/>
                <w:color w:val="000000"/>
                <w:sz w:val="20"/>
                <w:szCs w:val="20"/>
              </w:rPr>
              <w:t xml:space="preserve">Památková obnova historické Novomlýnské vodárenské věže a její zpřístupnění veřejnosti </w:t>
            </w:r>
            <w:r w:rsidR="00DF4F6D">
              <w:rPr>
                <w:rFonts w:ascii="Calibri" w:hAnsi="Calibri"/>
                <w:color w:val="000000"/>
                <w:sz w:val="20"/>
                <w:szCs w:val="20"/>
              </w:rPr>
              <w:t>–</w:t>
            </w:r>
            <w:r w:rsidRPr="00F3323B">
              <w:rPr>
                <w:rFonts w:ascii="Calibri" w:hAnsi="Calibri"/>
                <w:color w:val="000000"/>
                <w:sz w:val="20"/>
                <w:szCs w:val="20"/>
              </w:rPr>
              <w:t xml:space="preserve"> 1. etapa</w:t>
            </w:r>
          </w:p>
        </w:tc>
        <w:tc>
          <w:tcPr>
            <w:tcW w:w="1000" w:type="dxa"/>
            <w:tcBorders>
              <w:top w:val="nil"/>
              <w:left w:val="nil"/>
              <w:bottom w:val="single" w:sz="4" w:space="0" w:color="auto"/>
              <w:right w:val="single" w:sz="4" w:space="0" w:color="auto"/>
            </w:tcBorders>
            <w:shd w:val="clear" w:color="auto" w:fill="auto"/>
            <w:noWrap/>
            <w:vAlign w:val="center"/>
            <w:hideMark/>
          </w:tcPr>
          <w:p w14:paraId="7F3C5D9E" w14:textId="77777777" w:rsidR="00F3323B" w:rsidRPr="00F3323B" w:rsidRDefault="00F3323B" w:rsidP="00F41523">
            <w:pPr>
              <w:jc w:val="center"/>
              <w:rPr>
                <w:rFonts w:ascii="Calibri" w:hAnsi="Calibri"/>
                <w:color w:val="000000"/>
                <w:sz w:val="20"/>
                <w:szCs w:val="20"/>
              </w:rPr>
            </w:pPr>
            <w:r w:rsidRPr="00F3323B">
              <w:rPr>
                <w:rFonts w:ascii="Calibri" w:hAnsi="Calibri"/>
                <w:color w:val="000000"/>
                <w:sz w:val="20"/>
                <w:szCs w:val="20"/>
              </w:rPr>
              <w:t>CZ06</w:t>
            </w:r>
          </w:p>
        </w:tc>
        <w:tc>
          <w:tcPr>
            <w:tcW w:w="3600" w:type="dxa"/>
            <w:tcBorders>
              <w:top w:val="nil"/>
              <w:left w:val="nil"/>
              <w:bottom w:val="single" w:sz="4" w:space="0" w:color="auto"/>
              <w:right w:val="single" w:sz="4" w:space="0" w:color="auto"/>
            </w:tcBorders>
            <w:shd w:val="clear" w:color="auto" w:fill="auto"/>
            <w:vAlign w:val="center"/>
            <w:hideMark/>
          </w:tcPr>
          <w:p w14:paraId="49E068BD" w14:textId="77777777" w:rsidR="00F3323B" w:rsidRPr="00F3323B" w:rsidRDefault="00F3323B" w:rsidP="00F41523">
            <w:pPr>
              <w:rPr>
                <w:rFonts w:ascii="Calibri" w:hAnsi="Calibri"/>
                <w:color w:val="000000"/>
                <w:sz w:val="20"/>
                <w:szCs w:val="20"/>
              </w:rPr>
            </w:pPr>
            <w:r w:rsidRPr="00F3323B">
              <w:rPr>
                <w:rFonts w:ascii="Calibri" w:hAnsi="Calibri"/>
                <w:color w:val="000000"/>
                <w:sz w:val="20"/>
                <w:szCs w:val="20"/>
              </w:rPr>
              <w:t>Muzeum hlavního města Prahy</w:t>
            </w:r>
          </w:p>
        </w:tc>
        <w:tc>
          <w:tcPr>
            <w:tcW w:w="1780" w:type="dxa"/>
            <w:tcBorders>
              <w:top w:val="nil"/>
              <w:left w:val="nil"/>
              <w:bottom w:val="single" w:sz="4" w:space="0" w:color="auto"/>
              <w:right w:val="single" w:sz="4" w:space="0" w:color="auto"/>
            </w:tcBorders>
            <w:shd w:val="clear" w:color="auto" w:fill="auto"/>
            <w:noWrap/>
            <w:vAlign w:val="center"/>
            <w:hideMark/>
          </w:tcPr>
          <w:p w14:paraId="411EFBB1" w14:textId="1AA0FF28" w:rsidR="00F3323B" w:rsidRPr="00F3323B" w:rsidRDefault="00F3323B" w:rsidP="005878B3">
            <w:pPr>
              <w:jc w:val="right"/>
              <w:rPr>
                <w:rFonts w:ascii="Calibri" w:hAnsi="Calibri" w:cs="Calibri"/>
                <w:color w:val="000000"/>
                <w:sz w:val="20"/>
                <w:szCs w:val="20"/>
              </w:rPr>
            </w:pPr>
            <w:r w:rsidRPr="00F3323B">
              <w:rPr>
                <w:rFonts w:ascii="Calibri" w:hAnsi="Calibri"/>
                <w:color w:val="000000"/>
                <w:sz w:val="20"/>
                <w:szCs w:val="20"/>
              </w:rPr>
              <w:t>29 535 724 Kč</w:t>
            </w:r>
            <w:r w:rsidRPr="00F3323B">
              <w:rPr>
                <w:rFonts w:ascii="Calibri" w:hAnsi="Calibri" w:cs="Calibri"/>
                <w:color w:val="000000"/>
                <w:sz w:val="20"/>
                <w:szCs w:val="20"/>
              </w:rPr>
              <w:t xml:space="preserve"> </w:t>
            </w:r>
          </w:p>
        </w:tc>
      </w:tr>
      <w:tr w:rsidR="00F3323B" w:rsidRPr="00F3323B" w14:paraId="24CE9487" w14:textId="77777777" w:rsidTr="0047255D">
        <w:trPr>
          <w:divId w:val="293995226"/>
          <w:trHeight w:val="525"/>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178CBAE1" w14:textId="77777777" w:rsidR="00F3323B" w:rsidRPr="00F3323B" w:rsidRDefault="00F3323B" w:rsidP="00F3323B">
            <w:pPr>
              <w:jc w:val="center"/>
              <w:rPr>
                <w:rFonts w:ascii="Calibri" w:hAnsi="Calibri"/>
                <w:color w:val="000000"/>
                <w:sz w:val="20"/>
                <w:szCs w:val="20"/>
              </w:rPr>
            </w:pPr>
            <w:r w:rsidRPr="00F3323B">
              <w:rPr>
                <w:rFonts w:ascii="Calibri" w:hAnsi="Calibri"/>
                <w:color w:val="000000"/>
                <w:sz w:val="20"/>
                <w:szCs w:val="20"/>
              </w:rPr>
              <w:t>7F14083</w:t>
            </w:r>
          </w:p>
        </w:tc>
        <w:tc>
          <w:tcPr>
            <w:tcW w:w="5060" w:type="dxa"/>
            <w:tcBorders>
              <w:top w:val="nil"/>
              <w:left w:val="nil"/>
              <w:bottom w:val="single" w:sz="4" w:space="0" w:color="auto"/>
              <w:right w:val="single" w:sz="4" w:space="0" w:color="auto"/>
            </w:tcBorders>
            <w:shd w:val="clear" w:color="auto" w:fill="auto"/>
            <w:vAlign w:val="center"/>
            <w:hideMark/>
          </w:tcPr>
          <w:p w14:paraId="0CEA1592" w14:textId="77777777" w:rsidR="00F3323B" w:rsidRPr="00F3323B" w:rsidRDefault="00F3323B" w:rsidP="008234F8">
            <w:pPr>
              <w:rPr>
                <w:rFonts w:ascii="Calibri" w:hAnsi="Calibri"/>
                <w:color w:val="000000"/>
                <w:sz w:val="20"/>
                <w:szCs w:val="20"/>
              </w:rPr>
            </w:pPr>
            <w:r w:rsidRPr="00F3323B">
              <w:rPr>
                <w:rFonts w:ascii="Calibri" w:hAnsi="Calibri"/>
                <w:color w:val="000000"/>
                <w:sz w:val="20"/>
                <w:szCs w:val="20"/>
              </w:rPr>
              <w:t xml:space="preserve">Genomika trojrozměrných kvasinkových kolonií: Model pro studium vývoje nádorů a resistence </w:t>
            </w:r>
            <w:proofErr w:type="spellStart"/>
            <w:r w:rsidRPr="00F3323B">
              <w:rPr>
                <w:rFonts w:ascii="Calibri" w:hAnsi="Calibri"/>
                <w:color w:val="000000"/>
                <w:sz w:val="20"/>
                <w:szCs w:val="20"/>
              </w:rPr>
              <w:t>biofilmů</w:t>
            </w:r>
            <w:proofErr w:type="spellEnd"/>
          </w:p>
        </w:tc>
        <w:tc>
          <w:tcPr>
            <w:tcW w:w="1000" w:type="dxa"/>
            <w:tcBorders>
              <w:top w:val="nil"/>
              <w:left w:val="nil"/>
              <w:bottom w:val="single" w:sz="4" w:space="0" w:color="auto"/>
              <w:right w:val="single" w:sz="4" w:space="0" w:color="auto"/>
            </w:tcBorders>
            <w:shd w:val="clear" w:color="auto" w:fill="auto"/>
            <w:noWrap/>
            <w:vAlign w:val="center"/>
            <w:hideMark/>
          </w:tcPr>
          <w:p w14:paraId="0B4A2EA0" w14:textId="77777777" w:rsidR="00F3323B" w:rsidRPr="00F3323B" w:rsidRDefault="00F3323B" w:rsidP="00F41523">
            <w:pPr>
              <w:jc w:val="center"/>
              <w:rPr>
                <w:rFonts w:ascii="Calibri" w:hAnsi="Calibri"/>
                <w:color w:val="000000"/>
                <w:sz w:val="20"/>
                <w:szCs w:val="20"/>
              </w:rPr>
            </w:pPr>
            <w:r w:rsidRPr="00F3323B">
              <w:rPr>
                <w:rFonts w:ascii="Calibri" w:hAnsi="Calibri"/>
                <w:color w:val="000000"/>
                <w:sz w:val="20"/>
                <w:szCs w:val="20"/>
              </w:rPr>
              <w:t>CZ09</w:t>
            </w:r>
          </w:p>
        </w:tc>
        <w:tc>
          <w:tcPr>
            <w:tcW w:w="3600" w:type="dxa"/>
            <w:tcBorders>
              <w:top w:val="nil"/>
              <w:left w:val="nil"/>
              <w:bottom w:val="single" w:sz="4" w:space="0" w:color="auto"/>
              <w:right w:val="single" w:sz="4" w:space="0" w:color="auto"/>
            </w:tcBorders>
            <w:shd w:val="clear" w:color="auto" w:fill="auto"/>
            <w:vAlign w:val="center"/>
            <w:hideMark/>
          </w:tcPr>
          <w:p w14:paraId="37EB6686" w14:textId="77777777" w:rsidR="00F3323B" w:rsidRPr="00F3323B" w:rsidRDefault="00F3323B" w:rsidP="00F41523">
            <w:pPr>
              <w:rPr>
                <w:rFonts w:ascii="Calibri" w:hAnsi="Calibri"/>
                <w:color w:val="000000"/>
                <w:sz w:val="20"/>
                <w:szCs w:val="20"/>
              </w:rPr>
            </w:pPr>
            <w:r w:rsidRPr="00F3323B">
              <w:rPr>
                <w:rFonts w:ascii="Calibri" w:hAnsi="Calibri"/>
                <w:color w:val="000000"/>
                <w:sz w:val="20"/>
                <w:szCs w:val="20"/>
              </w:rPr>
              <w:t>Univerzita Karlova</w:t>
            </w:r>
          </w:p>
        </w:tc>
        <w:tc>
          <w:tcPr>
            <w:tcW w:w="1780" w:type="dxa"/>
            <w:tcBorders>
              <w:top w:val="nil"/>
              <w:left w:val="nil"/>
              <w:bottom w:val="single" w:sz="4" w:space="0" w:color="auto"/>
              <w:right w:val="single" w:sz="4" w:space="0" w:color="auto"/>
            </w:tcBorders>
            <w:shd w:val="clear" w:color="auto" w:fill="auto"/>
            <w:noWrap/>
            <w:vAlign w:val="center"/>
            <w:hideMark/>
          </w:tcPr>
          <w:p w14:paraId="5CC8F792" w14:textId="28430EC8" w:rsidR="00F3323B" w:rsidRPr="00F3323B" w:rsidRDefault="00F3323B" w:rsidP="005878B3">
            <w:pPr>
              <w:jc w:val="right"/>
              <w:rPr>
                <w:rFonts w:ascii="Calibri" w:hAnsi="Calibri" w:cs="Calibri"/>
                <w:color w:val="000000"/>
                <w:sz w:val="20"/>
                <w:szCs w:val="20"/>
              </w:rPr>
            </w:pPr>
            <w:r w:rsidRPr="00F3323B">
              <w:rPr>
                <w:rFonts w:ascii="Calibri" w:hAnsi="Calibri"/>
                <w:color w:val="000000"/>
                <w:sz w:val="20"/>
                <w:szCs w:val="20"/>
              </w:rPr>
              <w:t>25 076 399 Kč</w:t>
            </w:r>
            <w:r w:rsidRPr="00F3323B">
              <w:rPr>
                <w:rFonts w:ascii="Calibri" w:hAnsi="Calibri" w:cs="Calibri"/>
                <w:color w:val="000000"/>
                <w:sz w:val="20"/>
                <w:szCs w:val="20"/>
              </w:rPr>
              <w:t xml:space="preserve"> </w:t>
            </w:r>
          </w:p>
        </w:tc>
      </w:tr>
      <w:tr w:rsidR="00F3323B" w:rsidRPr="00F3323B" w14:paraId="31CF5A64" w14:textId="77777777" w:rsidTr="0047255D">
        <w:trPr>
          <w:divId w:val="293995226"/>
          <w:trHeight w:val="510"/>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2424B585" w14:textId="77777777" w:rsidR="00F3323B" w:rsidRPr="00F3323B" w:rsidRDefault="00F3323B" w:rsidP="00F3323B">
            <w:pPr>
              <w:jc w:val="center"/>
              <w:rPr>
                <w:rFonts w:ascii="Calibri" w:hAnsi="Calibri"/>
                <w:color w:val="000000"/>
                <w:sz w:val="20"/>
                <w:szCs w:val="20"/>
              </w:rPr>
            </w:pPr>
            <w:r w:rsidRPr="00F3323B">
              <w:rPr>
                <w:rFonts w:ascii="Calibri" w:hAnsi="Calibri"/>
                <w:color w:val="000000"/>
                <w:sz w:val="20"/>
                <w:szCs w:val="20"/>
              </w:rPr>
              <w:t>7F14009</w:t>
            </w:r>
          </w:p>
        </w:tc>
        <w:tc>
          <w:tcPr>
            <w:tcW w:w="5060" w:type="dxa"/>
            <w:tcBorders>
              <w:top w:val="nil"/>
              <w:left w:val="nil"/>
              <w:bottom w:val="single" w:sz="4" w:space="0" w:color="auto"/>
              <w:right w:val="single" w:sz="4" w:space="0" w:color="auto"/>
            </w:tcBorders>
            <w:shd w:val="clear" w:color="auto" w:fill="auto"/>
            <w:vAlign w:val="center"/>
            <w:hideMark/>
          </w:tcPr>
          <w:p w14:paraId="2F5464D1" w14:textId="77777777" w:rsidR="00F3323B" w:rsidRPr="00F3323B" w:rsidRDefault="00F3323B" w:rsidP="008234F8">
            <w:pPr>
              <w:rPr>
                <w:rFonts w:ascii="Calibri" w:hAnsi="Calibri"/>
                <w:color w:val="000000"/>
                <w:sz w:val="20"/>
                <w:szCs w:val="20"/>
              </w:rPr>
            </w:pPr>
            <w:r w:rsidRPr="00F3323B">
              <w:rPr>
                <w:rFonts w:ascii="Calibri" w:hAnsi="Calibri"/>
                <w:color w:val="000000"/>
                <w:sz w:val="20"/>
                <w:szCs w:val="20"/>
              </w:rPr>
              <w:t xml:space="preserve">Polymerní stavebnice pro </w:t>
            </w:r>
            <w:proofErr w:type="spellStart"/>
            <w:r w:rsidRPr="00F3323B">
              <w:rPr>
                <w:rFonts w:ascii="Calibri" w:hAnsi="Calibri"/>
                <w:color w:val="000000"/>
                <w:sz w:val="20"/>
                <w:szCs w:val="20"/>
              </w:rPr>
              <w:t>biomediciální</w:t>
            </w:r>
            <w:proofErr w:type="spellEnd"/>
            <w:r w:rsidRPr="00F3323B">
              <w:rPr>
                <w:rFonts w:ascii="Calibri" w:hAnsi="Calibri"/>
                <w:color w:val="000000"/>
                <w:sz w:val="20"/>
                <w:szCs w:val="20"/>
              </w:rPr>
              <w:t xml:space="preserve"> aplikace</w:t>
            </w:r>
          </w:p>
        </w:tc>
        <w:tc>
          <w:tcPr>
            <w:tcW w:w="1000" w:type="dxa"/>
            <w:tcBorders>
              <w:top w:val="nil"/>
              <w:left w:val="nil"/>
              <w:bottom w:val="single" w:sz="4" w:space="0" w:color="auto"/>
              <w:right w:val="single" w:sz="4" w:space="0" w:color="auto"/>
            </w:tcBorders>
            <w:shd w:val="clear" w:color="auto" w:fill="auto"/>
            <w:noWrap/>
            <w:vAlign w:val="center"/>
            <w:hideMark/>
          </w:tcPr>
          <w:p w14:paraId="53AC73ED" w14:textId="77777777" w:rsidR="00F3323B" w:rsidRPr="00F3323B" w:rsidRDefault="00F3323B" w:rsidP="00F41523">
            <w:pPr>
              <w:jc w:val="center"/>
              <w:rPr>
                <w:rFonts w:ascii="Calibri" w:hAnsi="Calibri"/>
                <w:color w:val="000000"/>
                <w:sz w:val="20"/>
                <w:szCs w:val="20"/>
              </w:rPr>
            </w:pPr>
            <w:r w:rsidRPr="00F3323B">
              <w:rPr>
                <w:rFonts w:ascii="Calibri" w:hAnsi="Calibri"/>
                <w:color w:val="000000"/>
                <w:sz w:val="20"/>
                <w:szCs w:val="20"/>
              </w:rPr>
              <w:t>CZ09</w:t>
            </w:r>
          </w:p>
        </w:tc>
        <w:tc>
          <w:tcPr>
            <w:tcW w:w="3600" w:type="dxa"/>
            <w:tcBorders>
              <w:top w:val="nil"/>
              <w:left w:val="nil"/>
              <w:bottom w:val="single" w:sz="4" w:space="0" w:color="auto"/>
              <w:right w:val="single" w:sz="4" w:space="0" w:color="auto"/>
            </w:tcBorders>
            <w:shd w:val="clear" w:color="auto" w:fill="auto"/>
            <w:vAlign w:val="center"/>
            <w:hideMark/>
          </w:tcPr>
          <w:p w14:paraId="19E82850" w14:textId="3AE81C77" w:rsidR="00F3323B" w:rsidRPr="00F3323B" w:rsidRDefault="00F3323B" w:rsidP="00DF4F6D">
            <w:pPr>
              <w:rPr>
                <w:rFonts w:ascii="Calibri" w:hAnsi="Calibri"/>
                <w:color w:val="000000"/>
                <w:sz w:val="20"/>
                <w:szCs w:val="20"/>
              </w:rPr>
            </w:pPr>
            <w:r w:rsidRPr="00F3323B">
              <w:rPr>
                <w:rFonts w:ascii="Calibri" w:hAnsi="Calibri"/>
                <w:color w:val="000000"/>
                <w:sz w:val="20"/>
                <w:szCs w:val="20"/>
              </w:rPr>
              <w:t>Ústav makromolekulární chemie AV</w:t>
            </w:r>
            <w:r w:rsidR="00DF4F6D">
              <w:rPr>
                <w:rFonts w:ascii="Calibri" w:hAnsi="Calibri"/>
                <w:color w:val="000000"/>
                <w:sz w:val="20"/>
                <w:szCs w:val="20"/>
              </w:rPr>
              <w:t> </w:t>
            </w:r>
            <w:r w:rsidRPr="00F3323B">
              <w:rPr>
                <w:rFonts w:ascii="Calibri" w:hAnsi="Calibri"/>
                <w:color w:val="000000"/>
                <w:sz w:val="20"/>
                <w:szCs w:val="20"/>
              </w:rPr>
              <w:t>ČR,</w:t>
            </w:r>
            <w:r w:rsidR="00DF4F6D">
              <w:rPr>
                <w:rFonts w:ascii="Calibri" w:hAnsi="Calibri"/>
                <w:color w:val="000000"/>
                <w:sz w:val="20"/>
                <w:szCs w:val="20"/>
              </w:rPr>
              <w:t> </w:t>
            </w:r>
            <w:r w:rsidRPr="00F3323B">
              <w:rPr>
                <w:rFonts w:ascii="Calibri" w:hAnsi="Calibri"/>
                <w:color w:val="000000"/>
                <w:sz w:val="20"/>
                <w:szCs w:val="20"/>
              </w:rPr>
              <w:t>v.</w:t>
            </w:r>
            <w:r w:rsidR="00DF4F6D">
              <w:rPr>
                <w:rFonts w:ascii="Calibri" w:hAnsi="Calibri"/>
                <w:color w:val="000000"/>
                <w:sz w:val="20"/>
                <w:szCs w:val="20"/>
              </w:rPr>
              <w:t> </w:t>
            </w:r>
            <w:r w:rsidRPr="00F3323B">
              <w:rPr>
                <w:rFonts w:ascii="Calibri" w:hAnsi="Calibri"/>
                <w:color w:val="000000"/>
                <w:sz w:val="20"/>
                <w:szCs w:val="20"/>
              </w:rPr>
              <w:t>v.</w:t>
            </w:r>
            <w:r w:rsidR="00DF4F6D">
              <w:rPr>
                <w:rFonts w:ascii="Calibri" w:hAnsi="Calibri"/>
                <w:color w:val="000000"/>
                <w:sz w:val="20"/>
                <w:szCs w:val="20"/>
              </w:rPr>
              <w:t> </w:t>
            </w:r>
            <w:r w:rsidRPr="00F3323B">
              <w:rPr>
                <w:rFonts w:ascii="Calibri" w:hAnsi="Calibri"/>
                <w:color w:val="000000"/>
                <w:sz w:val="20"/>
                <w:szCs w:val="20"/>
              </w:rPr>
              <w:t>i.</w:t>
            </w:r>
          </w:p>
        </w:tc>
        <w:tc>
          <w:tcPr>
            <w:tcW w:w="1780" w:type="dxa"/>
            <w:tcBorders>
              <w:top w:val="nil"/>
              <w:left w:val="nil"/>
              <w:bottom w:val="single" w:sz="4" w:space="0" w:color="auto"/>
              <w:right w:val="single" w:sz="4" w:space="0" w:color="auto"/>
            </w:tcBorders>
            <w:shd w:val="clear" w:color="auto" w:fill="auto"/>
            <w:noWrap/>
            <w:vAlign w:val="center"/>
            <w:hideMark/>
          </w:tcPr>
          <w:p w14:paraId="7A5F3709" w14:textId="5B77F143" w:rsidR="00F3323B" w:rsidRPr="00F3323B" w:rsidRDefault="00F3323B" w:rsidP="008234F8">
            <w:pPr>
              <w:jc w:val="right"/>
              <w:rPr>
                <w:rFonts w:ascii="Calibri" w:hAnsi="Calibri" w:cs="Calibri"/>
                <w:color w:val="000000"/>
                <w:sz w:val="20"/>
                <w:szCs w:val="20"/>
              </w:rPr>
            </w:pPr>
            <w:r w:rsidRPr="00F3323B">
              <w:rPr>
                <w:rFonts w:ascii="Calibri" w:hAnsi="Calibri"/>
                <w:color w:val="000000"/>
                <w:sz w:val="20"/>
                <w:szCs w:val="20"/>
              </w:rPr>
              <w:t>23 015 770 Kč</w:t>
            </w:r>
            <w:r w:rsidRPr="00F3323B">
              <w:rPr>
                <w:rFonts w:ascii="Calibri" w:hAnsi="Calibri" w:cs="Calibri"/>
                <w:color w:val="000000"/>
                <w:sz w:val="20"/>
                <w:szCs w:val="20"/>
              </w:rPr>
              <w:t xml:space="preserve"> </w:t>
            </w:r>
          </w:p>
        </w:tc>
      </w:tr>
      <w:tr w:rsidR="00F3323B" w:rsidRPr="00F3323B" w14:paraId="4DA75451" w14:textId="77777777" w:rsidTr="0047255D">
        <w:trPr>
          <w:divId w:val="293995226"/>
          <w:trHeight w:val="300"/>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7ACB8D8F" w14:textId="77777777" w:rsidR="00F3323B" w:rsidRPr="00F3323B" w:rsidRDefault="00F3323B" w:rsidP="00F3323B">
            <w:pPr>
              <w:jc w:val="center"/>
              <w:rPr>
                <w:rFonts w:ascii="Calibri" w:hAnsi="Calibri"/>
                <w:color w:val="000000"/>
                <w:sz w:val="20"/>
                <w:szCs w:val="20"/>
              </w:rPr>
            </w:pPr>
            <w:r w:rsidRPr="00F3323B">
              <w:rPr>
                <w:rFonts w:ascii="Calibri" w:hAnsi="Calibri"/>
                <w:color w:val="000000"/>
                <w:sz w:val="20"/>
                <w:szCs w:val="20"/>
              </w:rPr>
              <w:t>124</w:t>
            </w:r>
          </w:p>
        </w:tc>
        <w:tc>
          <w:tcPr>
            <w:tcW w:w="5060" w:type="dxa"/>
            <w:tcBorders>
              <w:top w:val="nil"/>
              <w:left w:val="nil"/>
              <w:bottom w:val="single" w:sz="4" w:space="0" w:color="auto"/>
              <w:right w:val="single" w:sz="4" w:space="0" w:color="auto"/>
            </w:tcBorders>
            <w:shd w:val="clear" w:color="auto" w:fill="auto"/>
            <w:noWrap/>
            <w:vAlign w:val="center"/>
            <w:hideMark/>
          </w:tcPr>
          <w:p w14:paraId="6E02A1FB" w14:textId="77777777" w:rsidR="00F3323B" w:rsidRPr="00F3323B" w:rsidRDefault="00F3323B" w:rsidP="008234F8">
            <w:pPr>
              <w:rPr>
                <w:rFonts w:ascii="Calibri" w:hAnsi="Calibri"/>
                <w:color w:val="000000"/>
                <w:sz w:val="20"/>
                <w:szCs w:val="20"/>
              </w:rPr>
            </w:pPr>
            <w:r w:rsidRPr="00F3323B">
              <w:rPr>
                <w:rFonts w:ascii="Calibri" w:hAnsi="Calibri"/>
                <w:color w:val="000000"/>
                <w:sz w:val="20"/>
                <w:szCs w:val="20"/>
              </w:rPr>
              <w:t>Násilí věc (ne)veřejná</w:t>
            </w:r>
          </w:p>
        </w:tc>
        <w:tc>
          <w:tcPr>
            <w:tcW w:w="1000" w:type="dxa"/>
            <w:tcBorders>
              <w:top w:val="nil"/>
              <w:left w:val="nil"/>
              <w:bottom w:val="single" w:sz="4" w:space="0" w:color="auto"/>
              <w:right w:val="single" w:sz="4" w:space="0" w:color="auto"/>
            </w:tcBorders>
            <w:shd w:val="clear" w:color="auto" w:fill="auto"/>
            <w:noWrap/>
            <w:vAlign w:val="center"/>
            <w:hideMark/>
          </w:tcPr>
          <w:p w14:paraId="760CFDE9" w14:textId="77777777" w:rsidR="00F3323B" w:rsidRPr="00F3323B" w:rsidRDefault="00F3323B" w:rsidP="00F41523">
            <w:pPr>
              <w:jc w:val="center"/>
              <w:rPr>
                <w:rFonts w:ascii="Calibri" w:hAnsi="Calibri"/>
                <w:color w:val="000000"/>
                <w:sz w:val="20"/>
                <w:szCs w:val="20"/>
              </w:rPr>
            </w:pPr>
            <w:r w:rsidRPr="00F3323B">
              <w:rPr>
                <w:rFonts w:ascii="Calibri" w:hAnsi="Calibri"/>
                <w:color w:val="000000"/>
                <w:sz w:val="20"/>
                <w:szCs w:val="20"/>
              </w:rPr>
              <w:t>CZ12</w:t>
            </w:r>
          </w:p>
        </w:tc>
        <w:tc>
          <w:tcPr>
            <w:tcW w:w="3600" w:type="dxa"/>
            <w:tcBorders>
              <w:top w:val="nil"/>
              <w:left w:val="nil"/>
              <w:bottom w:val="single" w:sz="4" w:space="0" w:color="auto"/>
              <w:right w:val="single" w:sz="4" w:space="0" w:color="auto"/>
            </w:tcBorders>
            <w:shd w:val="clear" w:color="auto" w:fill="auto"/>
            <w:vAlign w:val="center"/>
            <w:hideMark/>
          </w:tcPr>
          <w:p w14:paraId="6B75CADA" w14:textId="77777777" w:rsidR="00F3323B" w:rsidRPr="00F3323B" w:rsidRDefault="00F3323B" w:rsidP="00F41523">
            <w:pPr>
              <w:rPr>
                <w:rFonts w:ascii="Calibri" w:hAnsi="Calibri"/>
                <w:color w:val="000000"/>
                <w:sz w:val="20"/>
                <w:szCs w:val="20"/>
              </w:rPr>
            </w:pPr>
            <w:r w:rsidRPr="00F3323B">
              <w:rPr>
                <w:rFonts w:ascii="Calibri" w:hAnsi="Calibri"/>
                <w:color w:val="000000"/>
                <w:sz w:val="20"/>
                <w:szCs w:val="20"/>
              </w:rPr>
              <w:t>SPONDEA, o.p.s.</w:t>
            </w:r>
          </w:p>
        </w:tc>
        <w:tc>
          <w:tcPr>
            <w:tcW w:w="1780" w:type="dxa"/>
            <w:tcBorders>
              <w:top w:val="nil"/>
              <w:left w:val="nil"/>
              <w:bottom w:val="single" w:sz="4" w:space="0" w:color="auto"/>
              <w:right w:val="single" w:sz="4" w:space="0" w:color="auto"/>
            </w:tcBorders>
            <w:shd w:val="clear" w:color="auto" w:fill="auto"/>
            <w:noWrap/>
            <w:vAlign w:val="center"/>
            <w:hideMark/>
          </w:tcPr>
          <w:p w14:paraId="20F40D1A" w14:textId="621258D1" w:rsidR="00F3323B" w:rsidRPr="00F3323B" w:rsidRDefault="00F3323B" w:rsidP="008234F8">
            <w:pPr>
              <w:jc w:val="right"/>
              <w:rPr>
                <w:rFonts w:ascii="Calibri" w:hAnsi="Calibri" w:cs="Calibri"/>
                <w:color w:val="000000"/>
                <w:sz w:val="20"/>
                <w:szCs w:val="20"/>
              </w:rPr>
            </w:pPr>
            <w:r w:rsidRPr="00F3323B">
              <w:rPr>
                <w:rFonts w:ascii="Calibri" w:hAnsi="Calibri"/>
                <w:color w:val="000000"/>
                <w:sz w:val="20"/>
                <w:szCs w:val="20"/>
              </w:rPr>
              <w:t>7 191 516 Kč</w:t>
            </w:r>
            <w:r w:rsidRPr="00F3323B">
              <w:rPr>
                <w:rFonts w:ascii="Calibri" w:hAnsi="Calibri" w:cs="Calibri"/>
                <w:color w:val="000000"/>
                <w:sz w:val="20"/>
                <w:szCs w:val="20"/>
              </w:rPr>
              <w:t xml:space="preserve"> </w:t>
            </w:r>
          </w:p>
        </w:tc>
      </w:tr>
      <w:tr w:rsidR="00F3323B" w:rsidRPr="00F3323B" w14:paraId="35EDCD63" w14:textId="77777777" w:rsidTr="0047255D">
        <w:trPr>
          <w:divId w:val="293995226"/>
          <w:trHeight w:val="300"/>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275A9845" w14:textId="77777777" w:rsidR="00F3323B" w:rsidRPr="00F3323B" w:rsidRDefault="00F3323B" w:rsidP="00F3323B">
            <w:pPr>
              <w:jc w:val="center"/>
              <w:rPr>
                <w:rFonts w:ascii="Calibri" w:hAnsi="Calibri"/>
                <w:color w:val="000000"/>
                <w:sz w:val="20"/>
                <w:szCs w:val="20"/>
              </w:rPr>
            </w:pPr>
            <w:r w:rsidRPr="00F3323B">
              <w:rPr>
                <w:rFonts w:ascii="Calibri" w:hAnsi="Calibri"/>
                <w:color w:val="000000"/>
                <w:sz w:val="20"/>
                <w:szCs w:val="20"/>
              </w:rPr>
              <w:t>274</w:t>
            </w:r>
          </w:p>
        </w:tc>
        <w:tc>
          <w:tcPr>
            <w:tcW w:w="5060" w:type="dxa"/>
            <w:tcBorders>
              <w:top w:val="nil"/>
              <w:left w:val="nil"/>
              <w:bottom w:val="single" w:sz="4" w:space="0" w:color="auto"/>
              <w:right w:val="single" w:sz="4" w:space="0" w:color="auto"/>
            </w:tcBorders>
            <w:shd w:val="clear" w:color="auto" w:fill="auto"/>
            <w:vAlign w:val="center"/>
            <w:hideMark/>
          </w:tcPr>
          <w:p w14:paraId="599057AC" w14:textId="77777777" w:rsidR="00F3323B" w:rsidRPr="00F3323B" w:rsidRDefault="00F3323B" w:rsidP="008234F8">
            <w:pPr>
              <w:rPr>
                <w:rFonts w:ascii="Calibri" w:hAnsi="Calibri"/>
                <w:color w:val="000000"/>
                <w:sz w:val="20"/>
                <w:szCs w:val="20"/>
              </w:rPr>
            </w:pPr>
            <w:r w:rsidRPr="00F3323B">
              <w:rPr>
                <w:rFonts w:ascii="Calibri" w:hAnsi="Calibri"/>
                <w:color w:val="000000"/>
                <w:sz w:val="20"/>
                <w:szCs w:val="20"/>
              </w:rPr>
              <w:t>Celoživotní ekonomické dopady mateřství</w:t>
            </w:r>
          </w:p>
        </w:tc>
        <w:tc>
          <w:tcPr>
            <w:tcW w:w="1000" w:type="dxa"/>
            <w:tcBorders>
              <w:top w:val="nil"/>
              <w:left w:val="nil"/>
              <w:bottom w:val="single" w:sz="4" w:space="0" w:color="auto"/>
              <w:right w:val="single" w:sz="4" w:space="0" w:color="auto"/>
            </w:tcBorders>
            <w:shd w:val="clear" w:color="auto" w:fill="auto"/>
            <w:noWrap/>
            <w:vAlign w:val="center"/>
            <w:hideMark/>
          </w:tcPr>
          <w:p w14:paraId="11803BB4" w14:textId="77777777" w:rsidR="00F3323B" w:rsidRPr="00F3323B" w:rsidRDefault="00F3323B" w:rsidP="00F41523">
            <w:pPr>
              <w:jc w:val="center"/>
              <w:rPr>
                <w:rFonts w:ascii="Calibri" w:hAnsi="Calibri"/>
                <w:color w:val="000000"/>
                <w:sz w:val="20"/>
                <w:szCs w:val="20"/>
              </w:rPr>
            </w:pPr>
            <w:r w:rsidRPr="00F3323B">
              <w:rPr>
                <w:rFonts w:ascii="Calibri" w:hAnsi="Calibri"/>
                <w:color w:val="000000"/>
                <w:sz w:val="20"/>
                <w:szCs w:val="20"/>
              </w:rPr>
              <w:t>CZ12</w:t>
            </w:r>
          </w:p>
        </w:tc>
        <w:tc>
          <w:tcPr>
            <w:tcW w:w="3600" w:type="dxa"/>
            <w:tcBorders>
              <w:top w:val="nil"/>
              <w:left w:val="nil"/>
              <w:bottom w:val="single" w:sz="4" w:space="0" w:color="auto"/>
              <w:right w:val="single" w:sz="4" w:space="0" w:color="auto"/>
            </w:tcBorders>
            <w:shd w:val="clear" w:color="auto" w:fill="auto"/>
            <w:vAlign w:val="center"/>
            <w:hideMark/>
          </w:tcPr>
          <w:p w14:paraId="7F7F102D" w14:textId="53F1F10C" w:rsidR="00F3323B" w:rsidRPr="00F3323B" w:rsidRDefault="00F3323B" w:rsidP="00DF4F6D">
            <w:pPr>
              <w:rPr>
                <w:rFonts w:ascii="Calibri" w:hAnsi="Calibri"/>
                <w:color w:val="000000"/>
                <w:sz w:val="20"/>
                <w:szCs w:val="20"/>
              </w:rPr>
            </w:pPr>
            <w:r w:rsidRPr="00F3323B">
              <w:rPr>
                <w:rFonts w:ascii="Calibri" w:hAnsi="Calibri"/>
                <w:color w:val="000000"/>
                <w:sz w:val="20"/>
                <w:szCs w:val="20"/>
              </w:rPr>
              <w:t xml:space="preserve">Gender </w:t>
            </w:r>
            <w:proofErr w:type="spellStart"/>
            <w:r w:rsidR="00DF4F6D">
              <w:rPr>
                <w:rFonts w:ascii="Calibri" w:hAnsi="Calibri"/>
                <w:color w:val="000000"/>
                <w:sz w:val="20"/>
                <w:szCs w:val="20"/>
              </w:rPr>
              <w:t>s</w:t>
            </w:r>
            <w:r w:rsidRPr="00F3323B">
              <w:rPr>
                <w:rFonts w:ascii="Calibri" w:hAnsi="Calibri"/>
                <w:color w:val="000000"/>
                <w:sz w:val="20"/>
                <w:szCs w:val="20"/>
              </w:rPr>
              <w:t>tudies</w:t>
            </w:r>
            <w:proofErr w:type="spellEnd"/>
            <w:r w:rsidRPr="00F3323B">
              <w:rPr>
                <w:rFonts w:ascii="Calibri" w:hAnsi="Calibri"/>
                <w:color w:val="000000"/>
                <w:sz w:val="20"/>
                <w:szCs w:val="20"/>
              </w:rPr>
              <w:t>, o.p.s.</w:t>
            </w:r>
          </w:p>
        </w:tc>
        <w:tc>
          <w:tcPr>
            <w:tcW w:w="1780" w:type="dxa"/>
            <w:tcBorders>
              <w:top w:val="nil"/>
              <w:left w:val="nil"/>
              <w:bottom w:val="single" w:sz="4" w:space="0" w:color="auto"/>
              <w:right w:val="single" w:sz="4" w:space="0" w:color="auto"/>
            </w:tcBorders>
            <w:shd w:val="clear" w:color="auto" w:fill="auto"/>
            <w:noWrap/>
            <w:vAlign w:val="center"/>
            <w:hideMark/>
          </w:tcPr>
          <w:p w14:paraId="489C797F" w14:textId="6611F541" w:rsidR="00F3323B" w:rsidRPr="00F3323B" w:rsidRDefault="00F3323B" w:rsidP="008234F8">
            <w:pPr>
              <w:jc w:val="right"/>
              <w:rPr>
                <w:rFonts w:ascii="Calibri" w:hAnsi="Calibri" w:cs="Calibri"/>
                <w:color w:val="000000"/>
                <w:sz w:val="20"/>
                <w:szCs w:val="20"/>
              </w:rPr>
            </w:pPr>
            <w:r w:rsidRPr="00F3323B">
              <w:rPr>
                <w:rFonts w:ascii="Calibri" w:hAnsi="Calibri"/>
                <w:color w:val="000000"/>
                <w:sz w:val="20"/>
                <w:szCs w:val="20"/>
              </w:rPr>
              <w:t>7 414 104 Kč</w:t>
            </w:r>
            <w:r w:rsidRPr="00F3323B">
              <w:rPr>
                <w:rFonts w:ascii="Calibri" w:hAnsi="Calibri" w:cs="Calibri"/>
                <w:color w:val="000000"/>
                <w:sz w:val="20"/>
                <w:szCs w:val="20"/>
              </w:rPr>
              <w:t xml:space="preserve"> </w:t>
            </w:r>
          </w:p>
        </w:tc>
      </w:tr>
      <w:tr w:rsidR="00F3323B" w:rsidRPr="00F3323B" w14:paraId="0F866318" w14:textId="77777777" w:rsidTr="0047255D">
        <w:trPr>
          <w:divId w:val="293995226"/>
          <w:trHeight w:val="300"/>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7EED170B" w14:textId="77777777" w:rsidR="00F3323B" w:rsidRPr="00F3323B" w:rsidRDefault="00F3323B" w:rsidP="00F3323B">
            <w:pPr>
              <w:jc w:val="center"/>
              <w:rPr>
                <w:rFonts w:ascii="Calibri" w:hAnsi="Calibri"/>
                <w:color w:val="000000"/>
                <w:sz w:val="20"/>
                <w:szCs w:val="20"/>
              </w:rPr>
            </w:pPr>
            <w:r w:rsidRPr="00F3323B">
              <w:rPr>
                <w:rFonts w:ascii="Calibri" w:hAnsi="Calibri"/>
                <w:color w:val="000000"/>
                <w:sz w:val="20"/>
                <w:szCs w:val="20"/>
              </w:rPr>
              <w:t>213</w:t>
            </w:r>
          </w:p>
        </w:tc>
        <w:tc>
          <w:tcPr>
            <w:tcW w:w="5060" w:type="dxa"/>
            <w:tcBorders>
              <w:top w:val="nil"/>
              <w:left w:val="nil"/>
              <w:bottom w:val="single" w:sz="4" w:space="0" w:color="auto"/>
              <w:right w:val="single" w:sz="4" w:space="0" w:color="auto"/>
            </w:tcBorders>
            <w:shd w:val="clear" w:color="auto" w:fill="auto"/>
            <w:vAlign w:val="center"/>
            <w:hideMark/>
          </w:tcPr>
          <w:p w14:paraId="6899F728" w14:textId="77777777" w:rsidR="00F3323B" w:rsidRPr="00F3323B" w:rsidRDefault="00F3323B" w:rsidP="008234F8">
            <w:pPr>
              <w:rPr>
                <w:rFonts w:ascii="Calibri" w:hAnsi="Calibri"/>
                <w:color w:val="000000"/>
                <w:sz w:val="20"/>
                <w:szCs w:val="20"/>
              </w:rPr>
            </w:pPr>
            <w:r w:rsidRPr="00F3323B">
              <w:rPr>
                <w:rFonts w:ascii="Calibri" w:hAnsi="Calibri"/>
                <w:color w:val="000000"/>
                <w:sz w:val="20"/>
                <w:szCs w:val="20"/>
              </w:rPr>
              <w:t>Práce a děti pod jednou střechou</w:t>
            </w:r>
          </w:p>
        </w:tc>
        <w:tc>
          <w:tcPr>
            <w:tcW w:w="1000" w:type="dxa"/>
            <w:tcBorders>
              <w:top w:val="nil"/>
              <w:left w:val="nil"/>
              <w:bottom w:val="single" w:sz="4" w:space="0" w:color="auto"/>
              <w:right w:val="single" w:sz="4" w:space="0" w:color="auto"/>
            </w:tcBorders>
            <w:shd w:val="clear" w:color="auto" w:fill="auto"/>
            <w:noWrap/>
            <w:vAlign w:val="center"/>
            <w:hideMark/>
          </w:tcPr>
          <w:p w14:paraId="75ABA49A" w14:textId="77777777" w:rsidR="00F3323B" w:rsidRPr="00F3323B" w:rsidRDefault="00F3323B" w:rsidP="00F41523">
            <w:pPr>
              <w:jc w:val="center"/>
              <w:rPr>
                <w:rFonts w:ascii="Calibri" w:hAnsi="Calibri"/>
                <w:color w:val="000000"/>
                <w:sz w:val="20"/>
                <w:szCs w:val="20"/>
              </w:rPr>
            </w:pPr>
            <w:r w:rsidRPr="00F3323B">
              <w:rPr>
                <w:rFonts w:ascii="Calibri" w:hAnsi="Calibri"/>
                <w:color w:val="000000"/>
                <w:sz w:val="20"/>
                <w:szCs w:val="20"/>
              </w:rPr>
              <w:t>CZ12</w:t>
            </w:r>
          </w:p>
        </w:tc>
        <w:tc>
          <w:tcPr>
            <w:tcW w:w="3600" w:type="dxa"/>
            <w:tcBorders>
              <w:top w:val="nil"/>
              <w:left w:val="nil"/>
              <w:bottom w:val="single" w:sz="4" w:space="0" w:color="auto"/>
              <w:right w:val="single" w:sz="4" w:space="0" w:color="auto"/>
            </w:tcBorders>
            <w:shd w:val="clear" w:color="auto" w:fill="auto"/>
            <w:vAlign w:val="center"/>
            <w:hideMark/>
          </w:tcPr>
          <w:p w14:paraId="54D69770" w14:textId="77777777" w:rsidR="00F3323B" w:rsidRPr="00F3323B" w:rsidRDefault="00F3323B" w:rsidP="00F41523">
            <w:pPr>
              <w:rPr>
                <w:rFonts w:ascii="Calibri" w:hAnsi="Calibri"/>
                <w:color w:val="000000"/>
                <w:sz w:val="20"/>
                <w:szCs w:val="20"/>
              </w:rPr>
            </w:pPr>
            <w:proofErr w:type="spellStart"/>
            <w:r w:rsidRPr="00F3323B">
              <w:rPr>
                <w:rFonts w:ascii="Calibri" w:hAnsi="Calibri"/>
                <w:color w:val="000000"/>
                <w:sz w:val="20"/>
                <w:szCs w:val="20"/>
              </w:rPr>
              <w:t>Portus</w:t>
            </w:r>
            <w:proofErr w:type="spellEnd"/>
            <w:r w:rsidRPr="00F3323B">
              <w:rPr>
                <w:rFonts w:ascii="Calibri" w:hAnsi="Calibri"/>
                <w:color w:val="000000"/>
                <w:sz w:val="20"/>
                <w:szCs w:val="20"/>
              </w:rPr>
              <w:t xml:space="preserve"> Prachatice, o.p.s.</w:t>
            </w:r>
          </w:p>
        </w:tc>
        <w:tc>
          <w:tcPr>
            <w:tcW w:w="1780" w:type="dxa"/>
            <w:tcBorders>
              <w:top w:val="nil"/>
              <w:left w:val="nil"/>
              <w:bottom w:val="single" w:sz="4" w:space="0" w:color="auto"/>
              <w:right w:val="single" w:sz="4" w:space="0" w:color="auto"/>
            </w:tcBorders>
            <w:shd w:val="clear" w:color="auto" w:fill="auto"/>
            <w:noWrap/>
            <w:vAlign w:val="center"/>
            <w:hideMark/>
          </w:tcPr>
          <w:p w14:paraId="477C8851" w14:textId="0EF0608B" w:rsidR="00F3323B" w:rsidRPr="00F3323B" w:rsidRDefault="00F3323B" w:rsidP="008234F8">
            <w:pPr>
              <w:jc w:val="right"/>
              <w:rPr>
                <w:rFonts w:ascii="Calibri" w:hAnsi="Calibri" w:cs="Calibri"/>
                <w:color w:val="000000"/>
                <w:sz w:val="20"/>
                <w:szCs w:val="20"/>
              </w:rPr>
            </w:pPr>
            <w:r w:rsidRPr="00F3323B">
              <w:rPr>
                <w:rFonts w:ascii="Calibri" w:hAnsi="Calibri"/>
                <w:color w:val="000000"/>
                <w:sz w:val="20"/>
                <w:szCs w:val="20"/>
              </w:rPr>
              <w:t>1 413 692 Kč</w:t>
            </w:r>
            <w:r w:rsidRPr="00F3323B">
              <w:rPr>
                <w:rFonts w:ascii="Calibri" w:hAnsi="Calibri" w:cs="Calibri"/>
                <w:color w:val="000000"/>
                <w:sz w:val="20"/>
                <w:szCs w:val="20"/>
              </w:rPr>
              <w:t xml:space="preserve"> </w:t>
            </w:r>
          </w:p>
        </w:tc>
      </w:tr>
      <w:tr w:rsidR="00F3323B" w:rsidRPr="00F3323B" w14:paraId="3D346768" w14:textId="77777777" w:rsidTr="0047255D">
        <w:trPr>
          <w:divId w:val="293995226"/>
          <w:trHeight w:val="525"/>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31945720" w14:textId="77777777" w:rsidR="00F3323B" w:rsidRPr="00F3323B" w:rsidRDefault="00F3323B" w:rsidP="00F3323B">
            <w:pPr>
              <w:jc w:val="center"/>
              <w:rPr>
                <w:rFonts w:ascii="Calibri" w:hAnsi="Calibri"/>
                <w:color w:val="000000"/>
                <w:sz w:val="20"/>
                <w:szCs w:val="20"/>
              </w:rPr>
            </w:pPr>
            <w:r w:rsidRPr="00F3323B">
              <w:rPr>
                <w:rFonts w:ascii="Calibri" w:hAnsi="Calibri"/>
                <w:color w:val="000000"/>
                <w:sz w:val="20"/>
                <w:szCs w:val="20"/>
              </w:rPr>
              <w:t>551</w:t>
            </w:r>
          </w:p>
        </w:tc>
        <w:tc>
          <w:tcPr>
            <w:tcW w:w="5060" w:type="dxa"/>
            <w:tcBorders>
              <w:top w:val="nil"/>
              <w:left w:val="nil"/>
              <w:bottom w:val="single" w:sz="4" w:space="0" w:color="auto"/>
              <w:right w:val="single" w:sz="4" w:space="0" w:color="auto"/>
            </w:tcBorders>
            <w:shd w:val="clear" w:color="auto" w:fill="auto"/>
            <w:vAlign w:val="center"/>
            <w:hideMark/>
          </w:tcPr>
          <w:p w14:paraId="22DF4470" w14:textId="6E558702" w:rsidR="00F3323B" w:rsidRPr="00F3323B" w:rsidRDefault="00F3323B" w:rsidP="00DF4F6D">
            <w:pPr>
              <w:rPr>
                <w:rFonts w:ascii="Calibri" w:hAnsi="Calibri"/>
                <w:color w:val="000000"/>
                <w:sz w:val="20"/>
                <w:szCs w:val="20"/>
              </w:rPr>
            </w:pPr>
            <w:r w:rsidRPr="00F3323B">
              <w:rPr>
                <w:rFonts w:ascii="Calibri" w:hAnsi="Calibri"/>
                <w:color w:val="000000"/>
                <w:sz w:val="20"/>
                <w:szCs w:val="20"/>
              </w:rPr>
              <w:t xml:space="preserve">VRBA Vimperk </w:t>
            </w:r>
            <w:r w:rsidR="00DF4F6D">
              <w:rPr>
                <w:rFonts w:ascii="Calibri" w:hAnsi="Calibri"/>
                <w:color w:val="000000"/>
                <w:sz w:val="20"/>
                <w:szCs w:val="20"/>
              </w:rPr>
              <w:t>–</w:t>
            </w:r>
            <w:r w:rsidRPr="00F3323B">
              <w:rPr>
                <w:rFonts w:ascii="Calibri" w:hAnsi="Calibri"/>
                <w:color w:val="000000"/>
                <w:sz w:val="20"/>
                <w:szCs w:val="20"/>
              </w:rPr>
              <w:t xml:space="preserve"> Krizové a poradenské centrum pro ohrožené domácím násilím</w:t>
            </w:r>
          </w:p>
        </w:tc>
        <w:tc>
          <w:tcPr>
            <w:tcW w:w="1000" w:type="dxa"/>
            <w:tcBorders>
              <w:top w:val="nil"/>
              <w:left w:val="nil"/>
              <w:bottom w:val="single" w:sz="4" w:space="0" w:color="auto"/>
              <w:right w:val="single" w:sz="4" w:space="0" w:color="auto"/>
            </w:tcBorders>
            <w:shd w:val="clear" w:color="auto" w:fill="auto"/>
            <w:noWrap/>
            <w:vAlign w:val="center"/>
            <w:hideMark/>
          </w:tcPr>
          <w:p w14:paraId="6A51400C" w14:textId="77777777" w:rsidR="00F3323B" w:rsidRPr="00F3323B" w:rsidRDefault="00F3323B" w:rsidP="00F41523">
            <w:pPr>
              <w:jc w:val="center"/>
              <w:rPr>
                <w:rFonts w:ascii="Calibri" w:hAnsi="Calibri"/>
                <w:color w:val="000000"/>
                <w:sz w:val="20"/>
                <w:szCs w:val="20"/>
              </w:rPr>
            </w:pPr>
            <w:r w:rsidRPr="00F3323B">
              <w:rPr>
                <w:rFonts w:ascii="Calibri" w:hAnsi="Calibri"/>
                <w:color w:val="000000"/>
                <w:sz w:val="20"/>
                <w:szCs w:val="20"/>
              </w:rPr>
              <w:t>CZ12</w:t>
            </w:r>
          </w:p>
        </w:tc>
        <w:tc>
          <w:tcPr>
            <w:tcW w:w="3600" w:type="dxa"/>
            <w:tcBorders>
              <w:top w:val="nil"/>
              <w:left w:val="nil"/>
              <w:bottom w:val="single" w:sz="4" w:space="0" w:color="auto"/>
              <w:right w:val="single" w:sz="4" w:space="0" w:color="auto"/>
            </w:tcBorders>
            <w:shd w:val="clear" w:color="auto" w:fill="auto"/>
            <w:vAlign w:val="center"/>
            <w:hideMark/>
          </w:tcPr>
          <w:p w14:paraId="4A12F183" w14:textId="77777777" w:rsidR="00F3323B" w:rsidRPr="00F3323B" w:rsidRDefault="00F3323B" w:rsidP="00F41523">
            <w:pPr>
              <w:rPr>
                <w:rFonts w:ascii="Calibri" w:hAnsi="Calibri"/>
                <w:color w:val="000000"/>
                <w:sz w:val="20"/>
                <w:szCs w:val="20"/>
              </w:rPr>
            </w:pPr>
            <w:r w:rsidRPr="00F3323B">
              <w:rPr>
                <w:rFonts w:ascii="Calibri" w:hAnsi="Calibri"/>
                <w:color w:val="000000"/>
                <w:sz w:val="20"/>
                <w:szCs w:val="20"/>
              </w:rPr>
              <w:t>Oblastní spolek Českého červeného kříže Prachatice</w:t>
            </w:r>
          </w:p>
        </w:tc>
        <w:tc>
          <w:tcPr>
            <w:tcW w:w="1780" w:type="dxa"/>
            <w:tcBorders>
              <w:top w:val="nil"/>
              <w:left w:val="nil"/>
              <w:bottom w:val="single" w:sz="4" w:space="0" w:color="auto"/>
              <w:right w:val="single" w:sz="4" w:space="0" w:color="auto"/>
            </w:tcBorders>
            <w:shd w:val="clear" w:color="auto" w:fill="auto"/>
            <w:noWrap/>
            <w:vAlign w:val="center"/>
            <w:hideMark/>
          </w:tcPr>
          <w:p w14:paraId="53C810AC" w14:textId="6AE7342B" w:rsidR="00F3323B" w:rsidRPr="00F3323B" w:rsidRDefault="00F3323B" w:rsidP="008234F8">
            <w:pPr>
              <w:jc w:val="right"/>
              <w:rPr>
                <w:rFonts w:ascii="Calibri" w:hAnsi="Calibri" w:cs="Calibri"/>
                <w:color w:val="000000"/>
                <w:sz w:val="20"/>
                <w:szCs w:val="20"/>
              </w:rPr>
            </w:pPr>
            <w:r w:rsidRPr="00F3323B">
              <w:rPr>
                <w:rFonts w:ascii="Calibri" w:hAnsi="Calibri"/>
                <w:color w:val="000000"/>
                <w:sz w:val="20"/>
                <w:szCs w:val="20"/>
              </w:rPr>
              <w:t>999 855 Kč</w:t>
            </w:r>
            <w:r w:rsidRPr="00F3323B">
              <w:rPr>
                <w:rFonts w:ascii="Calibri" w:hAnsi="Calibri" w:cs="Calibri"/>
                <w:color w:val="000000"/>
                <w:sz w:val="20"/>
                <w:szCs w:val="20"/>
              </w:rPr>
              <w:t xml:space="preserve"> </w:t>
            </w:r>
          </w:p>
        </w:tc>
      </w:tr>
      <w:tr w:rsidR="00F3323B" w:rsidRPr="00F3323B" w14:paraId="09AF1DF9" w14:textId="77777777" w:rsidTr="0047255D">
        <w:trPr>
          <w:divId w:val="293995226"/>
          <w:trHeight w:val="555"/>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1E6FE137" w14:textId="77777777" w:rsidR="00F3323B" w:rsidRPr="00F3323B" w:rsidRDefault="00F3323B" w:rsidP="00F3323B">
            <w:pPr>
              <w:jc w:val="center"/>
              <w:rPr>
                <w:rFonts w:ascii="Calibri" w:hAnsi="Calibri"/>
                <w:color w:val="000000"/>
                <w:sz w:val="20"/>
                <w:szCs w:val="20"/>
              </w:rPr>
            </w:pPr>
            <w:r w:rsidRPr="00F3323B">
              <w:rPr>
                <w:rFonts w:ascii="Calibri" w:hAnsi="Calibri"/>
                <w:color w:val="000000"/>
                <w:sz w:val="20"/>
                <w:szCs w:val="20"/>
              </w:rPr>
              <w:t>208</w:t>
            </w:r>
          </w:p>
        </w:tc>
        <w:tc>
          <w:tcPr>
            <w:tcW w:w="5060" w:type="dxa"/>
            <w:tcBorders>
              <w:top w:val="nil"/>
              <w:left w:val="nil"/>
              <w:bottom w:val="single" w:sz="4" w:space="0" w:color="auto"/>
              <w:right w:val="single" w:sz="4" w:space="0" w:color="auto"/>
            </w:tcBorders>
            <w:shd w:val="clear" w:color="auto" w:fill="auto"/>
            <w:vAlign w:val="center"/>
            <w:hideMark/>
          </w:tcPr>
          <w:p w14:paraId="451FCC0E" w14:textId="6F6BE0D2" w:rsidR="00F3323B" w:rsidRPr="00F3323B" w:rsidRDefault="00F3323B" w:rsidP="00DF4F6D">
            <w:pPr>
              <w:rPr>
                <w:rFonts w:ascii="Calibri" w:hAnsi="Calibri"/>
                <w:color w:val="000000"/>
                <w:sz w:val="20"/>
                <w:szCs w:val="20"/>
              </w:rPr>
            </w:pPr>
            <w:r w:rsidRPr="00F3323B">
              <w:rPr>
                <w:rFonts w:ascii="Calibri" w:hAnsi="Calibri"/>
                <w:color w:val="000000"/>
                <w:sz w:val="20"/>
                <w:szCs w:val="20"/>
              </w:rPr>
              <w:t xml:space="preserve">Drogové závislosti </w:t>
            </w:r>
            <w:r w:rsidR="00DF4F6D">
              <w:rPr>
                <w:rFonts w:ascii="Calibri" w:hAnsi="Calibri"/>
                <w:color w:val="000000"/>
                <w:sz w:val="20"/>
                <w:szCs w:val="20"/>
              </w:rPr>
              <w:t>–</w:t>
            </w:r>
            <w:r w:rsidRPr="00F3323B">
              <w:rPr>
                <w:rFonts w:ascii="Calibri" w:hAnsi="Calibri"/>
                <w:color w:val="000000"/>
                <w:sz w:val="20"/>
                <w:szCs w:val="20"/>
              </w:rPr>
              <w:t xml:space="preserve"> násilníci a oběti</w:t>
            </w:r>
          </w:p>
        </w:tc>
        <w:tc>
          <w:tcPr>
            <w:tcW w:w="1000" w:type="dxa"/>
            <w:tcBorders>
              <w:top w:val="nil"/>
              <w:left w:val="nil"/>
              <w:bottom w:val="single" w:sz="4" w:space="0" w:color="auto"/>
              <w:right w:val="single" w:sz="4" w:space="0" w:color="auto"/>
            </w:tcBorders>
            <w:shd w:val="clear" w:color="auto" w:fill="auto"/>
            <w:noWrap/>
            <w:vAlign w:val="center"/>
            <w:hideMark/>
          </w:tcPr>
          <w:p w14:paraId="6FE3FD17" w14:textId="77777777" w:rsidR="00F3323B" w:rsidRPr="00F3323B" w:rsidRDefault="00F3323B" w:rsidP="00F41523">
            <w:pPr>
              <w:jc w:val="center"/>
              <w:rPr>
                <w:rFonts w:ascii="Calibri" w:hAnsi="Calibri"/>
                <w:color w:val="000000"/>
                <w:sz w:val="20"/>
                <w:szCs w:val="20"/>
              </w:rPr>
            </w:pPr>
            <w:r w:rsidRPr="00F3323B">
              <w:rPr>
                <w:rFonts w:ascii="Calibri" w:hAnsi="Calibri"/>
                <w:color w:val="000000"/>
                <w:sz w:val="20"/>
                <w:szCs w:val="20"/>
              </w:rPr>
              <w:t>CZ12</w:t>
            </w:r>
          </w:p>
        </w:tc>
        <w:tc>
          <w:tcPr>
            <w:tcW w:w="3600" w:type="dxa"/>
            <w:tcBorders>
              <w:top w:val="nil"/>
              <w:left w:val="nil"/>
              <w:bottom w:val="single" w:sz="4" w:space="0" w:color="auto"/>
              <w:right w:val="single" w:sz="4" w:space="0" w:color="auto"/>
            </w:tcBorders>
            <w:shd w:val="clear" w:color="auto" w:fill="auto"/>
            <w:vAlign w:val="center"/>
            <w:hideMark/>
          </w:tcPr>
          <w:p w14:paraId="18714A8D" w14:textId="77777777" w:rsidR="00F3323B" w:rsidRPr="00F3323B" w:rsidRDefault="00F3323B" w:rsidP="00F41523">
            <w:pPr>
              <w:rPr>
                <w:rFonts w:ascii="Calibri" w:hAnsi="Calibri"/>
                <w:color w:val="000000"/>
                <w:sz w:val="20"/>
                <w:szCs w:val="20"/>
              </w:rPr>
            </w:pPr>
            <w:proofErr w:type="gramStart"/>
            <w:r w:rsidRPr="00F3323B">
              <w:rPr>
                <w:rFonts w:ascii="Calibri" w:hAnsi="Calibri"/>
                <w:color w:val="000000"/>
                <w:sz w:val="20"/>
                <w:szCs w:val="20"/>
              </w:rPr>
              <w:t xml:space="preserve">SANANIM </w:t>
            </w:r>
            <w:proofErr w:type="spellStart"/>
            <w:r w:rsidRPr="00F3323B">
              <w:rPr>
                <w:rFonts w:ascii="Calibri" w:hAnsi="Calibri"/>
                <w:color w:val="000000"/>
                <w:sz w:val="20"/>
                <w:szCs w:val="20"/>
              </w:rPr>
              <w:t>z.ú</w:t>
            </w:r>
            <w:proofErr w:type="spellEnd"/>
            <w:r w:rsidRPr="00F3323B">
              <w:rPr>
                <w:rFonts w:ascii="Calibri" w:hAnsi="Calibri"/>
                <w:color w:val="000000"/>
                <w:sz w:val="20"/>
                <w:szCs w:val="20"/>
              </w:rPr>
              <w:t>.</w:t>
            </w:r>
            <w:proofErr w:type="gramEnd"/>
          </w:p>
        </w:tc>
        <w:tc>
          <w:tcPr>
            <w:tcW w:w="1780" w:type="dxa"/>
            <w:tcBorders>
              <w:top w:val="nil"/>
              <w:left w:val="nil"/>
              <w:bottom w:val="single" w:sz="4" w:space="0" w:color="auto"/>
              <w:right w:val="single" w:sz="4" w:space="0" w:color="auto"/>
            </w:tcBorders>
            <w:shd w:val="clear" w:color="auto" w:fill="auto"/>
            <w:noWrap/>
            <w:vAlign w:val="center"/>
            <w:hideMark/>
          </w:tcPr>
          <w:p w14:paraId="4D45CBFA" w14:textId="73938CA1" w:rsidR="00F3323B" w:rsidRPr="00F3323B" w:rsidRDefault="00F3323B" w:rsidP="008234F8">
            <w:pPr>
              <w:jc w:val="right"/>
              <w:rPr>
                <w:rFonts w:ascii="Calibri" w:hAnsi="Calibri" w:cs="Calibri"/>
                <w:color w:val="000000"/>
                <w:sz w:val="20"/>
                <w:szCs w:val="20"/>
              </w:rPr>
            </w:pPr>
            <w:r w:rsidRPr="00F3323B">
              <w:rPr>
                <w:rFonts w:ascii="Calibri" w:hAnsi="Calibri"/>
                <w:color w:val="000000"/>
                <w:sz w:val="20"/>
                <w:szCs w:val="20"/>
              </w:rPr>
              <w:t>6 110 750 Kč</w:t>
            </w:r>
            <w:r w:rsidRPr="00F3323B">
              <w:rPr>
                <w:rFonts w:ascii="Calibri" w:hAnsi="Calibri" w:cs="Calibri"/>
                <w:color w:val="000000"/>
                <w:sz w:val="20"/>
                <w:szCs w:val="20"/>
              </w:rPr>
              <w:t xml:space="preserve"> </w:t>
            </w:r>
          </w:p>
        </w:tc>
      </w:tr>
      <w:tr w:rsidR="00F3323B" w:rsidRPr="00F3323B" w14:paraId="6C33A724" w14:textId="77777777" w:rsidTr="0047255D">
        <w:trPr>
          <w:divId w:val="293995226"/>
          <w:trHeight w:val="525"/>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1E1D9F5E" w14:textId="77777777" w:rsidR="00F3323B" w:rsidRPr="00F3323B" w:rsidRDefault="00F3323B" w:rsidP="00F3323B">
            <w:pPr>
              <w:jc w:val="center"/>
              <w:rPr>
                <w:rFonts w:ascii="Calibri" w:hAnsi="Calibri"/>
                <w:color w:val="000000"/>
                <w:sz w:val="20"/>
                <w:szCs w:val="20"/>
              </w:rPr>
            </w:pPr>
            <w:r w:rsidRPr="00F3323B">
              <w:rPr>
                <w:rFonts w:ascii="Calibri" w:hAnsi="Calibri"/>
                <w:color w:val="000000"/>
                <w:sz w:val="20"/>
                <w:szCs w:val="20"/>
              </w:rPr>
              <w:t>NF-CZ15-PDP-6-006-2014</w:t>
            </w:r>
          </w:p>
        </w:tc>
        <w:tc>
          <w:tcPr>
            <w:tcW w:w="5060" w:type="dxa"/>
            <w:tcBorders>
              <w:top w:val="nil"/>
              <w:left w:val="nil"/>
              <w:bottom w:val="single" w:sz="4" w:space="0" w:color="auto"/>
              <w:right w:val="single" w:sz="4" w:space="0" w:color="auto"/>
            </w:tcBorders>
            <w:shd w:val="clear" w:color="auto" w:fill="auto"/>
            <w:vAlign w:val="center"/>
            <w:hideMark/>
          </w:tcPr>
          <w:p w14:paraId="71779EAE" w14:textId="1628786B" w:rsidR="00F3323B" w:rsidRPr="00F3323B" w:rsidRDefault="00F3323B" w:rsidP="00B545D2">
            <w:pPr>
              <w:rPr>
                <w:rFonts w:ascii="Calibri" w:hAnsi="Calibri"/>
                <w:color w:val="000000"/>
                <w:sz w:val="20"/>
                <w:szCs w:val="20"/>
              </w:rPr>
            </w:pPr>
            <w:r w:rsidRPr="00F3323B">
              <w:rPr>
                <w:rFonts w:ascii="Calibri" w:hAnsi="Calibri"/>
                <w:color w:val="000000"/>
                <w:sz w:val="20"/>
                <w:szCs w:val="20"/>
              </w:rPr>
              <w:t xml:space="preserve">Výstavba výrobně vzdělávací haly pro rekvalifikační kurzy vězňů před propuštěním ve </w:t>
            </w:r>
            <w:r w:rsidR="00B545D2">
              <w:rPr>
                <w:rFonts w:ascii="Calibri" w:hAnsi="Calibri"/>
                <w:color w:val="000000"/>
                <w:sz w:val="20"/>
                <w:szCs w:val="20"/>
              </w:rPr>
              <w:t>v</w:t>
            </w:r>
            <w:r w:rsidRPr="00F3323B">
              <w:rPr>
                <w:rFonts w:ascii="Calibri" w:hAnsi="Calibri"/>
                <w:color w:val="000000"/>
                <w:sz w:val="20"/>
                <w:szCs w:val="20"/>
              </w:rPr>
              <w:t>ěznici Příbram</w:t>
            </w:r>
          </w:p>
        </w:tc>
        <w:tc>
          <w:tcPr>
            <w:tcW w:w="1000" w:type="dxa"/>
            <w:tcBorders>
              <w:top w:val="nil"/>
              <w:left w:val="nil"/>
              <w:bottom w:val="single" w:sz="4" w:space="0" w:color="auto"/>
              <w:right w:val="single" w:sz="4" w:space="0" w:color="auto"/>
            </w:tcBorders>
            <w:shd w:val="clear" w:color="auto" w:fill="auto"/>
            <w:noWrap/>
            <w:vAlign w:val="center"/>
            <w:hideMark/>
          </w:tcPr>
          <w:p w14:paraId="150F68A2" w14:textId="77777777" w:rsidR="00F3323B" w:rsidRPr="00F3323B" w:rsidRDefault="00F3323B" w:rsidP="00F41523">
            <w:pPr>
              <w:jc w:val="center"/>
              <w:rPr>
                <w:rFonts w:ascii="Calibri" w:hAnsi="Calibri"/>
                <w:color w:val="000000"/>
                <w:sz w:val="20"/>
                <w:szCs w:val="20"/>
              </w:rPr>
            </w:pPr>
            <w:r w:rsidRPr="00F3323B">
              <w:rPr>
                <w:rFonts w:ascii="Calibri" w:hAnsi="Calibri"/>
                <w:color w:val="000000"/>
                <w:sz w:val="20"/>
                <w:szCs w:val="20"/>
              </w:rPr>
              <w:t>CZ15</w:t>
            </w:r>
          </w:p>
        </w:tc>
        <w:tc>
          <w:tcPr>
            <w:tcW w:w="3600" w:type="dxa"/>
            <w:tcBorders>
              <w:top w:val="nil"/>
              <w:left w:val="nil"/>
              <w:bottom w:val="single" w:sz="4" w:space="0" w:color="auto"/>
              <w:right w:val="single" w:sz="4" w:space="0" w:color="auto"/>
            </w:tcBorders>
            <w:shd w:val="clear" w:color="auto" w:fill="auto"/>
            <w:vAlign w:val="center"/>
            <w:hideMark/>
          </w:tcPr>
          <w:p w14:paraId="0B2DC63A" w14:textId="73AA7C15" w:rsidR="00F3323B" w:rsidRPr="00F3323B" w:rsidRDefault="00F3323B" w:rsidP="00F41523">
            <w:pPr>
              <w:rPr>
                <w:rFonts w:ascii="Calibri" w:hAnsi="Calibri"/>
                <w:color w:val="000000"/>
                <w:sz w:val="20"/>
                <w:szCs w:val="20"/>
              </w:rPr>
            </w:pPr>
            <w:r w:rsidRPr="00F3323B">
              <w:rPr>
                <w:rFonts w:ascii="Calibri" w:hAnsi="Calibri"/>
                <w:color w:val="000000"/>
                <w:sz w:val="20"/>
                <w:szCs w:val="20"/>
              </w:rPr>
              <w:t>Věze</w:t>
            </w:r>
            <w:r>
              <w:rPr>
                <w:rFonts w:ascii="Calibri" w:hAnsi="Calibri"/>
                <w:color w:val="000000"/>
                <w:sz w:val="20"/>
                <w:szCs w:val="20"/>
              </w:rPr>
              <w:t>ň</w:t>
            </w:r>
            <w:r w:rsidRPr="00F3323B">
              <w:rPr>
                <w:rFonts w:ascii="Calibri" w:hAnsi="Calibri"/>
                <w:color w:val="000000"/>
                <w:sz w:val="20"/>
                <w:szCs w:val="20"/>
              </w:rPr>
              <w:t>ská služba České republiky</w:t>
            </w:r>
          </w:p>
        </w:tc>
        <w:tc>
          <w:tcPr>
            <w:tcW w:w="1780" w:type="dxa"/>
            <w:tcBorders>
              <w:top w:val="nil"/>
              <w:left w:val="nil"/>
              <w:bottom w:val="single" w:sz="4" w:space="0" w:color="auto"/>
              <w:right w:val="single" w:sz="4" w:space="0" w:color="auto"/>
            </w:tcBorders>
            <w:shd w:val="clear" w:color="auto" w:fill="auto"/>
            <w:noWrap/>
            <w:vAlign w:val="center"/>
            <w:hideMark/>
          </w:tcPr>
          <w:p w14:paraId="761A5B76" w14:textId="69B901EC" w:rsidR="00F3323B" w:rsidRPr="00F3323B" w:rsidRDefault="00F3323B" w:rsidP="008234F8">
            <w:pPr>
              <w:jc w:val="right"/>
              <w:rPr>
                <w:rFonts w:ascii="Calibri" w:hAnsi="Calibri" w:cs="Calibri"/>
                <w:color w:val="000000"/>
                <w:sz w:val="20"/>
                <w:szCs w:val="20"/>
              </w:rPr>
            </w:pPr>
            <w:r w:rsidRPr="00F3323B">
              <w:rPr>
                <w:rFonts w:ascii="Calibri" w:hAnsi="Calibri"/>
                <w:color w:val="000000"/>
                <w:sz w:val="20"/>
                <w:szCs w:val="20"/>
              </w:rPr>
              <w:t>10 874 069 Kč</w:t>
            </w:r>
            <w:r w:rsidRPr="00F3323B">
              <w:rPr>
                <w:rFonts w:ascii="Calibri" w:hAnsi="Calibri" w:cs="Calibri"/>
                <w:color w:val="000000"/>
                <w:sz w:val="20"/>
                <w:szCs w:val="20"/>
              </w:rPr>
              <w:t xml:space="preserve"> </w:t>
            </w:r>
          </w:p>
        </w:tc>
      </w:tr>
      <w:tr w:rsidR="00F3323B" w:rsidRPr="00F3323B" w14:paraId="0EE2A305" w14:textId="77777777" w:rsidTr="0047255D">
        <w:trPr>
          <w:divId w:val="293995226"/>
          <w:trHeight w:val="525"/>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149FF1DD" w14:textId="77777777" w:rsidR="00F3323B" w:rsidRPr="00F3323B" w:rsidRDefault="00F3323B" w:rsidP="00F3323B">
            <w:pPr>
              <w:jc w:val="center"/>
              <w:rPr>
                <w:rFonts w:ascii="Calibri" w:hAnsi="Calibri"/>
                <w:color w:val="000000"/>
                <w:sz w:val="20"/>
                <w:szCs w:val="20"/>
              </w:rPr>
            </w:pPr>
            <w:r w:rsidRPr="00F3323B">
              <w:rPr>
                <w:rFonts w:ascii="Calibri" w:hAnsi="Calibri"/>
                <w:color w:val="000000"/>
                <w:sz w:val="20"/>
                <w:szCs w:val="20"/>
              </w:rPr>
              <w:t>NF-CZ15-PDP-7-007-2014</w:t>
            </w:r>
          </w:p>
        </w:tc>
        <w:tc>
          <w:tcPr>
            <w:tcW w:w="5060" w:type="dxa"/>
            <w:tcBorders>
              <w:top w:val="nil"/>
              <w:left w:val="nil"/>
              <w:bottom w:val="single" w:sz="4" w:space="0" w:color="auto"/>
              <w:right w:val="single" w:sz="4" w:space="0" w:color="auto"/>
            </w:tcBorders>
            <w:shd w:val="clear" w:color="auto" w:fill="auto"/>
            <w:vAlign w:val="center"/>
            <w:hideMark/>
          </w:tcPr>
          <w:p w14:paraId="570E6069" w14:textId="1589EF3A" w:rsidR="00F3323B" w:rsidRPr="00F3323B" w:rsidRDefault="00F3323B" w:rsidP="00DF4F6D">
            <w:pPr>
              <w:rPr>
                <w:rFonts w:ascii="Calibri" w:hAnsi="Calibri"/>
                <w:color w:val="000000"/>
                <w:sz w:val="20"/>
                <w:szCs w:val="20"/>
              </w:rPr>
            </w:pPr>
            <w:r w:rsidRPr="00F3323B">
              <w:rPr>
                <w:rFonts w:ascii="Calibri" w:hAnsi="Calibri"/>
                <w:color w:val="000000"/>
                <w:sz w:val="20"/>
                <w:szCs w:val="20"/>
              </w:rPr>
              <w:t>Zvýšení efektivity v zacházení s mladými dospělými ve věku 18</w:t>
            </w:r>
            <w:r w:rsidR="00DF4F6D">
              <w:rPr>
                <w:rFonts w:ascii="Calibri" w:hAnsi="Calibri"/>
                <w:color w:val="000000"/>
                <w:sz w:val="20"/>
                <w:szCs w:val="20"/>
              </w:rPr>
              <w:t>–</w:t>
            </w:r>
            <w:r w:rsidRPr="00F3323B">
              <w:rPr>
                <w:rFonts w:ascii="Calibri" w:hAnsi="Calibri"/>
                <w:color w:val="000000"/>
                <w:sz w:val="20"/>
                <w:szCs w:val="20"/>
              </w:rPr>
              <w:t>26 let ve věznici Kuřim</w:t>
            </w:r>
          </w:p>
        </w:tc>
        <w:tc>
          <w:tcPr>
            <w:tcW w:w="1000" w:type="dxa"/>
            <w:tcBorders>
              <w:top w:val="nil"/>
              <w:left w:val="nil"/>
              <w:bottom w:val="single" w:sz="4" w:space="0" w:color="auto"/>
              <w:right w:val="single" w:sz="4" w:space="0" w:color="auto"/>
            </w:tcBorders>
            <w:shd w:val="clear" w:color="auto" w:fill="auto"/>
            <w:noWrap/>
            <w:vAlign w:val="center"/>
            <w:hideMark/>
          </w:tcPr>
          <w:p w14:paraId="5D956DAA" w14:textId="77777777" w:rsidR="00F3323B" w:rsidRPr="00F3323B" w:rsidRDefault="00F3323B" w:rsidP="00F41523">
            <w:pPr>
              <w:jc w:val="center"/>
              <w:rPr>
                <w:rFonts w:ascii="Calibri" w:hAnsi="Calibri"/>
                <w:color w:val="000000"/>
                <w:sz w:val="20"/>
                <w:szCs w:val="20"/>
              </w:rPr>
            </w:pPr>
            <w:r w:rsidRPr="00F3323B">
              <w:rPr>
                <w:rFonts w:ascii="Calibri" w:hAnsi="Calibri"/>
                <w:color w:val="000000"/>
                <w:sz w:val="20"/>
                <w:szCs w:val="20"/>
              </w:rPr>
              <w:t>CZ15</w:t>
            </w:r>
          </w:p>
        </w:tc>
        <w:tc>
          <w:tcPr>
            <w:tcW w:w="3600" w:type="dxa"/>
            <w:tcBorders>
              <w:top w:val="nil"/>
              <w:left w:val="nil"/>
              <w:bottom w:val="single" w:sz="4" w:space="0" w:color="auto"/>
              <w:right w:val="single" w:sz="4" w:space="0" w:color="auto"/>
            </w:tcBorders>
            <w:shd w:val="clear" w:color="auto" w:fill="auto"/>
            <w:vAlign w:val="center"/>
            <w:hideMark/>
          </w:tcPr>
          <w:p w14:paraId="489D0493" w14:textId="30A6A41D" w:rsidR="00F3323B" w:rsidRPr="00F3323B" w:rsidRDefault="00F3323B" w:rsidP="00F41523">
            <w:pPr>
              <w:rPr>
                <w:rFonts w:ascii="Calibri" w:hAnsi="Calibri"/>
                <w:color w:val="000000"/>
                <w:sz w:val="20"/>
                <w:szCs w:val="20"/>
              </w:rPr>
            </w:pPr>
            <w:r w:rsidRPr="00F3323B">
              <w:rPr>
                <w:rFonts w:ascii="Calibri" w:hAnsi="Calibri"/>
                <w:color w:val="000000"/>
                <w:sz w:val="20"/>
                <w:szCs w:val="20"/>
              </w:rPr>
              <w:t>Věze</w:t>
            </w:r>
            <w:r>
              <w:rPr>
                <w:rFonts w:ascii="Calibri" w:hAnsi="Calibri"/>
                <w:color w:val="000000"/>
                <w:sz w:val="20"/>
                <w:szCs w:val="20"/>
              </w:rPr>
              <w:t>ň</w:t>
            </w:r>
            <w:r w:rsidRPr="00F3323B">
              <w:rPr>
                <w:rFonts w:ascii="Calibri" w:hAnsi="Calibri"/>
                <w:color w:val="000000"/>
                <w:sz w:val="20"/>
                <w:szCs w:val="20"/>
              </w:rPr>
              <w:t>ská služba České republiky</w:t>
            </w:r>
          </w:p>
        </w:tc>
        <w:tc>
          <w:tcPr>
            <w:tcW w:w="1780" w:type="dxa"/>
            <w:tcBorders>
              <w:top w:val="nil"/>
              <w:left w:val="nil"/>
              <w:bottom w:val="single" w:sz="4" w:space="0" w:color="auto"/>
              <w:right w:val="single" w:sz="4" w:space="0" w:color="auto"/>
            </w:tcBorders>
            <w:shd w:val="clear" w:color="auto" w:fill="auto"/>
            <w:noWrap/>
            <w:vAlign w:val="center"/>
            <w:hideMark/>
          </w:tcPr>
          <w:p w14:paraId="4AC551DF" w14:textId="606FF5B1" w:rsidR="00F3323B" w:rsidRPr="00F3323B" w:rsidRDefault="00F3323B" w:rsidP="008234F8">
            <w:pPr>
              <w:jc w:val="right"/>
              <w:rPr>
                <w:rFonts w:ascii="Calibri" w:hAnsi="Calibri" w:cs="Calibri"/>
                <w:color w:val="000000"/>
                <w:sz w:val="20"/>
                <w:szCs w:val="20"/>
              </w:rPr>
            </w:pPr>
            <w:r w:rsidRPr="00F3323B">
              <w:rPr>
                <w:rFonts w:ascii="Calibri" w:hAnsi="Calibri"/>
                <w:color w:val="000000"/>
                <w:sz w:val="20"/>
                <w:szCs w:val="20"/>
              </w:rPr>
              <w:t>11 044 739 Kč</w:t>
            </w:r>
            <w:r w:rsidRPr="00F3323B">
              <w:rPr>
                <w:rFonts w:ascii="Calibri" w:hAnsi="Calibri" w:cs="Calibri"/>
                <w:color w:val="000000"/>
                <w:sz w:val="20"/>
                <w:szCs w:val="20"/>
              </w:rPr>
              <w:t xml:space="preserve"> </w:t>
            </w:r>
          </w:p>
        </w:tc>
      </w:tr>
      <w:tr w:rsidR="00F3323B" w:rsidRPr="00F3323B" w14:paraId="3CAFC7E6" w14:textId="77777777" w:rsidTr="0047255D">
        <w:trPr>
          <w:divId w:val="293995226"/>
          <w:trHeight w:val="300"/>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2794A37A" w14:textId="77777777" w:rsidR="00F3323B" w:rsidRPr="00F3323B" w:rsidRDefault="00F3323B" w:rsidP="00F3323B">
            <w:pPr>
              <w:jc w:val="center"/>
              <w:rPr>
                <w:rFonts w:ascii="Calibri" w:hAnsi="Calibri"/>
                <w:color w:val="000000"/>
                <w:sz w:val="20"/>
                <w:szCs w:val="20"/>
              </w:rPr>
            </w:pPr>
            <w:r w:rsidRPr="00F3323B">
              <w:rPr>
                <w:rFonts w:ascii="Calibri" w:hAnsi="Calibri"/>
                <w:color w:val="000000"/>
                <w:sz w:val="20"/>
                <w:szCs w:val="20"/>
              </w:rPr>
              <w:t>NF-CZ15-PDP-1-002-2014</w:t>
            </w:r>
          </w:p>
        </w:tc>
        <w:tc>
          <w:tcPr>
            <w:tcW w:w="5060" w:type="dxa"/>
            <w:tcBorders>
              <w:top w:val="nil"/>
              <w:left w:val="nil"/>
              <w:bottom w:val="single" w:sz="4" w:space="0" w:color="auto"/>
              <w:right w:val="single" w:sz="4" w:space="0" w:color="auto"/>
            </w:tcBorders>
            <w:shd w:val="clear" w:color="auto" w:fill="auto"/>
            <w:vAlign w:val="center"/>
            <w:hideMark/>
          </w:tcPr>
          <w:p w14:paraId="0C503CB1" w14:textId="3BD4CE8E" w:rsidR="00F3323B" w:rsidRPr="00F3323B" w:rsidRDefault="00F3323B" w:rsidP="00DB2E40">
            <w:pPr>
              <w:rPr>
                <w:rFonts w:ascii="Calibri" w:hAnsi="Calibri"/>
                <w:color w:val="000000"/>
                <w:sz w:val="20"/>
                <w:szCs w:val="20"/>
              </w:rPr>
            </w:pPr>
            <w:r w:rsidRPr="00F3323B">
              <w:rPr>
                <w:rFonts w:ascii="Calibri" w:hAnsi="Calibri"/>
                <w:color w:val="000000"/>
                <w:sz w:val="20"/>
                <w:szCs w:val="20"/>
              </w:rPr>
              <w:t>Zavedení videokonferencí v re</w:t>
            </w:r>
            <w:r w:rsidR="00DB2E40">
              <w:rPr>
                <w:rFonts w:ascii="Calibri" w:hAnsi="Calibri"/>
                <w:color w:val="000000"/>
                <w:sz w:val="20"/>
                <w:szCs w:val="20"/>
              </w:rPr>
              <w:t>s</w:t>
            </w:r>
            <w:r w:rsidRPr="00F3323B">
              <w:rPr>
                <w:rFonts w:ascii="Calibri" w:hAnsi="Calibri"/>
                <w:color w:val="000000"/>
                <w:sz w:val="20"/>
                <w:szCs w:val="20"/>
              </w:rPr>
              <w:t>ortu justice</w:t>
            </w:r>
          </w:p>
        </w:tc>
        <w:tc>
          <w:tcPr>
            <w:tcW w:w="1000" w:type="dxa"/>
            <w:tcBorders>
              <w:top w:val="nil"/>
              <w:left w:val="nil"/>
              <w:bottom w:val="single" w:sz="4" w:space="0" w:color="auto"/>
              <w:right w:val="single" w:sz="4" w:space="0" w:color="auto"/>
            </w:tcBorders>
            <w:shd w:val="clear" w:color="auto" w:fill="auto"/>
            <w:noWrap/>
            <w:vAlign w:val="center"/>
            <w:hideMark/>
          </w:tcPr>
          <w:p w14:paraId="7D34FCB5" w14:textId="77777777" w:rsidR="00F3323B" w:rsidRPr="00F3323B" w:rsidRDefault="00F3323B" w:rsidP="00F41523">
            <w:pPr>
              <w:jc w:val="center"/>
              <w:rPr>
                <w:rFonts w:ascii="Calibri" w:hAnsi="Calibri"/>
                <w:color w:val="000000"/>
                <w:sz w:val="20"/>
                <w:szCs w:val="20"/>
              </w:rPr>
            </w:pPr>
            <w:r w:rsidRPr="00F3323B">
              <w:rPr>
                <w:rFonts w:ascii="Calibri" w:hAnsi="Calibri"/>
                <w:color w:val="000000"/>
                <w:sz w:val="20"/>
                <w:szCs w:val="20"/>
              </w:rPr>
              <w:t>CZ15</w:t>
            </w:r>
          </w:p>
        </w:tc>
        <w:tc>
          <w:tcPr>
            <w:tcW w:w="3600" w:type="dxa"/>
            <w:tcBorders>
              <w:top w:val="nil"/>
              <w:left w:val="nil"/>
              <w:bottom w:val="single" w:sz="4" w:space="0" w:color="auto"/>
              <w:right w:val="single" w:sz="4" w:space="0" w:color="auto"/>
            </w:tcBorders>
            <w:shd w:val="clear" w:color="auto" w:fill="auto"/>
            <w:vAlign w:val="center"/>
            <w:hideMark/>
          </w:tcPr>
          <w:p w14:paraId="74CFA49C" w14:textId="77777777" w:rsidR="00F3323B" w:rsidRPr="00F3323B" w:rsidRDefault="00F3323B" w:rsidP="00F3323B">
            <w:pPr>
              <w:rPr>
                <w:rFonts w:ascii="Calibri" w:hAnsi="Calibri"/>
                <w:color w:val="000000"/>
                <w:sz w:val="20"/>
                <w:szCs w:val="20"/>
              </w:rPr>
            </w:pPr>
            <w:r w:rsidRPr="00F3323B">
              <w:rPr>
                <w:rFonts w:ascii="Calibri" w:hAnsi="Calibri"/>
                <w:color w:val="000000"/>
                <w:sz w:val="20"/>
                <w:szCs w:val="20"/>
              </w:rPr>
              <w:t>Ministerstvo spravedlnosti</w:t>
            </w:r>
          </w:p>
        </w:tc>
        <w:tc>
          <w:tcPr>
            <w:tcW w:w="1780" w:type="dxa"/>
            <w:tcBorders>
              <w:top w:val="nil"/>
              <w:left w:val="nil"/>
              <w:bottom w:val="single" w:sz="4" w:space="0" w:color="auto"/>
              <w:right w:val="single" w:sz="4" w:space="0" w:color="auto"/>
            </w:tcBorders>
            <w:shd w:val="clear" w:color="auto" w:fill="auto"/>
            <w:noWrap/>
            <w:vAlign w:val="center"/>
            <w:hideMark/>
          </w:tcPr>
          <w:p w14:paraId="5CEAF46C" w14:textId="60937C65" w:rsidR="00F3323B" w:rsidRPr="00F3323B" w:rsidRDefault="00F3323B" w:rsidP="008234F8">
            <w:pPr>
              <w:jc w:val="right"/>
              <w:rPr>
                <w:rFonts w:ascii="Calibri" w:hAnsi="Calibri" w:cs="Calibri"/>
                <w:color w:val="000000"/>
                <w:sz w:val="20"/>
                <w:szCs w:val="20"/>
              </w:rPr>
            </w:pPr>
            <w:r w:rsidRPr="00F3323B">
              <w:rPr>
                <w:rFonts w:ascii="Calibri" w:hAnsi="Calibri"/>
                <w:color w:val="000000"/>
                <w:sz w:val="20"/>
                <w:szCs w:val="20"/>
              </w:rPr>
              <w:t>44 542 264 Kč</w:t>
            </w:r>
            <w:r w:rsidRPr="00F3323B">
              <w:rPr>
                <w:rFonts w:ascii="Calibri" w:hAnsi="Calibri" w:cs="Calibri"/>
                <w:color w:val="000000"/>
                <w:sz w:val="20"/>
                <w:szCs w:val="20"/>
              </w:rPr>
              <w:t xml:space="preserve"> </w:t>
            </w:r>
          </w:p>
        </w:tc>
      </w:tr>
      <w:tr w:rsidR="00F3323B" w:rsidRPr="00F3323B" w14:paraId="0380F645" w14:textId="77777777" w:rsidTr="0047255D">
        <w:trPr>
          <w:divId w:val="293995226"/>
          <w:trHeight w:val="300"/>
        </w:trPr>
        <w:tc>
          <w:tcPr>
            <w:tcW w:w="2380" w:type="dxa"/>
            <w:tcBorders>
              <w:top w:val="nil"/>
              <w:left w:val="single" w:sz="4" w:space="0" w:color="auto"/>
              <w:bottom w:val="single" w:sz="4" w:space="0" w:color="auto"/>
              <w:right w:val="single" w:sz="4" w:space="0" w:color="auto"/>
            </w:tcBorders>
            <w:shd w:val="clear" w:color="auto" w:fill="F2C6C9"/>
            <w:noWrap/>
            <w:vAlign w:val="center"/>
            <w:hideMark/>
          </w:tcPr>
          <w:p w14:paraId="3E949547" w14:textId="77777777" w:rsidR="00F3323B" w:rsidRPr="00F3323B" w:rsidRDefault="00F3323B" w:rsidP="00F3323B">
            <w:pPr>
              <w:jc w:val="center"/>
              <w:rPr>
                <w:rFonts w:ascii="Calibri" w:hAnsi="Calibri"/>
                <w:b/>
                <w:bCs/>
                <w:color w:val="000000"/>
                <w:sz w:val="20"/>
                <w:szCs w:val="20"/>
              </w:rPr>
            </w:pPr>
            <w:r w:rsidRPr="00F3323B">
              <w:rPr>
                <w:rFonts w:ascii="Calibri" w:hAnsi="Calibri"/>
                <w:b/>
                <w:bCs/>
                <w:color w:val="000000"/>
                <w:sz w:val="20"/>
                <w:szCs w:val="20"/>
              </w:rPr>
              <w:t>Celkem</w:t>
            </w:r>
          </w:p>
        </w:tc>
        <w:tc>
          <w:tcPr>
            <w:tcW w:w="5060" w:type="dxa"/>
            <w:tcBorders>
              <w:top w:val="nil"/>
              <w:left w:val="nil"/>
              <w:bottom w:val="single" w:sz="4" w:space="0" w:color="auto"/>
              <w:right w:val="single" w:sz="4" w:space="0" w:color="auto"/>
            </w:tcBorders>
            <w:shd w:val="clear" w:color="auto" w:fill="F2C6C9"/>
            <w:noWrap/>
            <w:vAlign w:val="center"/>
            <w:hideMark/>
          </w:tcPr>
          <w:p w14:paraId="652F8CA6" w14:textId="77777777" w:rsidR="00F3323B" w:rsidRPr="00F3323B" w:rsidRDefault="00F3323B" w:rsidP="00F3323B">
            <w:pPr>
              <w:jc w:val="center"/>
              <w:rPr>
                <w:rFonts w:ascii="Calibri" w:hAnsi="Calibri"/>
                <w:b/>
                <w:bCs/>
                <w:color w:val="000000"/>
                <w:sz w:val="20"/>
                <w:szCs w:val="20"/>
              </w:rPr>
            </w:pPr>
            <w:r w:rsidRPr="00F3323B">
              <w:rPr>
                <w:rFonts w:ascii="Calibri" w:hAnsi="Calibri"/>
                <w:b/>
                <w:bCs/>
                <w:color w:val="000000"/>
                <w:sz w:val="20"/>
                <w:szCs w:val="20"/>
              </w:rPr>
              <w:t>X</w:t>
            </w:r>
          </w:p>
        </w:tc>
        <w:tc>
          <w:tcPr>
            <w:tcW w:w="1000" w:type="dxa"/>
            <w:tcBorders>
              <w:top w:val="nil"/>
              <w:left w:val="nil"/>
              <w:bottom w:val="single" w:sz="4" w:space="0" w:color="auto"/>
              <w:right w:val="single" w:sz="4" w:space="0" w:color="auto"/>
            </w:tcBorders>
            <w:shd w:val="clear" w:color="auto" w:fill="F2C6C9"/>
            <w:noWrap/>
            <w:vAlign w:val="center"/>
            <w:hideMark/>
          </w:tcPr>
          <w:p w14:paraId="6C339D8F" w14:textId="77777777" w:rsidR="00F3323B" w:rsidRPr="00F3323B" w:rsidRDefault="00F3323B" w:rsidP="008234F8">
            <w:pPr>
              <w:jc w:val="center"/>
              <w:rPr>
                <w:rFonts w:ascii="Calibri" w:hAnsi="Calibri"/>
                <w:b/>
                <w:bCs/>
                <w:color w:val="000000"/>
                <w:sz w:val="20"/>
                <w:szCs w:val="20"/>
              </w:rPr>
            </w:pPr>
            <w:r w:rsidRPr="00F3323B">
              <w:rPr>
                <w:rFonts w:ascii="Calibri" w:hAnsi="Calibri"/>
                <w:b/>
                <w:bCs/>
                <w:color w:val="000000"/>
                <w:sz w:val="20"/>
                <w:szCs w:val="20"/>
              </w:rPr>
              <w:t>X</w:t>
            </w:r>
          </w:p>
        </w:tc>
        <w:tc>
          <w:tcPr>
            <w:tcW w:w="3600" w:type="dxa"/>
            <w:tcBorders>
              <w:top w:val="nil"/>
              <w:left w:val="nil"/>
              <w:bottom w:val="single" w:sz="4" w:space="0" w:color="auto"/>
              <w:right w:val="single" w:sz="4" w:space="0" w:color="auto"/>
            </w:tcBorders>
            <w:shd w:val="clear" w:color="auto" w:fill="F2C6C9"/>
            <w:noWrap/>
            <w:vAlign w:val="center"/>
            <w:hideMark/>
          </w:tcPr>
          <w:p w14:paraId="13306E50" w14:textId="77777777" w:rsidR="00F3323B" w:rsidRPr="00F3323B" w:rsidRDefault="00F3323B" w:rsidP="00F3323B">
            <w:pPr>
              <w:jc w:val="center"/>
              <w:rPr>
                <w:rFonts w:ascii="Calibri" w:hAnsi="Calibri"/>
                <w:b/>
                <w:bCs/>
                <w:color w:val="000000"/>
                <w:sz w:val="20"/>
                <w:szCs w:val="20"/>
              </w:rPr>
            </w:pPr>
            <w:r w:rsidRPr="00F3323B">
              <w:rPr>
                <w:rFonts w:ascii="Calibri" w:hAnsi="Calibri"/>
                <w:b/>
                <w:bCs/>
                <w:color w:val="000000"/>
                <w:sz w:val="20"/>
                <w:szCs w:val="20"/>
              </w:rPr>
              <w:t>X</w:t>
            </w:r>
          </w:p>
        </w:tc>
        <w:tc>
          <w:tcPr>
            <w:tcW w:w="1780" w:type="dxa"/>
            <w:tcBorders>
              <w:top w:val="nil"/>
              <w:left w:val="nil"/>
              <w:bottom w:val="single" w:sz="4" w:space="0" w:color="auto"/>
              <w:right w:val="single" w:sz="4" w:space="0" w:color="auto"/>
            </w:tcBorders>
            <w:shd w:val="clear" w:color="auto" w:fill="F2C6C9"/>
            <w:noWrap/>
            <w:vAlign w:val="center"/>
            <w:hideMark/>
          </w:tcPr>
          <w:p w14:paraId="4404B42D" w14:textId="78CE20D5" w:rsidR="00F3323B" w:rsidRPr="00F3323B" w:rsidRDefault="00F3323B" w:rsidP="008234F8">
            <w:pPr>
              <w:jc w:val="right"/>
              <w:rPr>
                <w:rFonts w:ascii="Calibri" w:hAnsi="Calibri" w:cs="Calibri"/>
                <w:b/>
                <w:bCs/>
                <w:color w:val="000000"/>
                <w:sz w:val="20"/>
                <w:szCs w:val="20"/>
              </w:rPr>
            </w:pPr>
            <w:r w:rsidRPr="00F3323B">
              <w:rPr>
                <w:rFonts w:ascii="Calibri" w:hAnsi="Calibri"/>
                <w:b/>
                <w:bCs/>
                <w:color w:val="000000"/>
                <w:sz w:val="20"/>
                <w:szCs w:val="20"/>
              </w:rPr>
              <w:t>230 512 157 Kč</w:t>
            </w:r>
            <w:r w:rsidRPr="00F3323B">
              <w:rPr>
                <w:rFonts w:ascii="Calibri" w:hAnsi="Calibri" w:cs="Calibri"/>
                <w:b/>
                <w:bCs/>
                <w:color w:val="000000"/>
                <w:sz w:val="20"/>
                <w:szCs w:val="20"/>
              </w:rPr>
              <w:t xml:space="preserve"> </w:t>
            </w:r>
          </w:p>
        </w:tc>
      </w:tr>
    </w:tbl>
    <w:p w14:paraId="6883A480" w14:textId="5B4BEECC" w:rsidR="00B60FDA" w:rsidRPr="00592A4E" w:rsidRDefault="003C5AC9" w:rsidP="003C5AC9">
      <w:pPr>
        <w:jc w:val="both"/>
        <w:rPr>
          <w:rFonts w:cstheme="minorHAnsi"/>
          <w:sz w:val="20"/>
          <w:szCs w:val="20"/>
        </w:rPr>
      </w:pPr>
      <w:r w:rsidRPr="00592A4E">
        <w:rPr>
          <w:rFonts w:cstheme="minorHAnsi"/>
          <w:b/>
          <w:sz w:val="20"/>
          <w:szCs w:val="20"/>
        </w:rPr>
        <w:t>Pozn.</w:t>
      </w:r>
      <w:r w:rsidR="00DF4F6D">
        <w:rPr>
          <w:rFonts w:cstheme="minorHAnsi"/>
          <w:b/>
          <w:sz w:val="20"/>
          <w:szCs w:val="20"/>
        </w:rPr>
        <w:t>:</w:t>
      </w:r>
      <w:r w:rsidRPr="00592A4E">
        <w:rPr>
          <w:rFonts w:cstheme="minorHAnsi"/>
          <w:sz w:val="20"/>
          <w:szCs w:val="20"/>
        </w:rPr>
        <w:t xml:space="preserve"> </w:t>
      </w:r>
      <w:r w:rsidR="00DF4F6D">
        <w:rPr>
          <w:rFonts w:cstheme="minorHAnsi"/>
          <w:sz w:val="20"/>
          <w:szCs w:val="20"/>
        </w:rPr>
        <w:t>U</w:t>
      </w:r>
      <w:r w:rsidRPr="00592A4E">
        <w:rPr>
          <w:rFonts w:cstheme="minorHAnsi"/>
          <w:sz w:val="20"/>
          <w:szCs w:val="20"/>
        </w:rPr>
        <w:t xml:space="preserve"> projektů z programu CZ09 je zahrnuto i spolufinancování z rozpočtu MŠMT.</w:t>
      </w:r>
    </w:p>
    <w:p w14:paraId="7F8DAF1C" w14:textId="635CCFB9" w:rsidR="005C3F62" w:rsidRDefault="005C3F62">
      <w:pPr>
        <w:rPr>
          <w:rFonts w:cstheme="minorHAnsi"/>
          <w:sz w:val="20"/>
        </w:rPr>
        <w:sectPr w:rsidR="005C3F62" w:rsidSect="0047255D">
          <w:footerReference w:type="first" r:id="rId18"/>
          <w:pgSz w:w="16839" w:h="11907" w:orient="landscape" w:code="9"/>
          <w:pgMar w:top="1417" w:right="1417" w:bottom="1417" w:left="1417" w:header="851" w:footer="567" w:gutter="0"/>
          <w:cols w:space="708"/>
          <w:docGrid w:linePitch="360"/>
        </w:sectPr>
      </w:pPr>
    </w:p>
    <w:p w14:paraId="634B0785" w14:textId="202BA578" w:rsidR="00B60FDA" w:rsidRDefault="00B60FDA" w:rsidP="00B60FDA">
      <w:r w:rsidRPr="0049352F">
        <w:lastRenderedPageBreak/>
        <w:t>Příloha č. 3</w:t>
      </w:r>
      <w:r w:rsidR="00DF4F6D">
        <w:t>:</w:t>
      </w:r>
      <w:r w:rsidR="00BD11EF">
        <w:t xml:space="preserve"> </w:t>
      </w:r>
      <w:r w:rsidR="003F2B97">
        <w:t xml:space="preserve">Přehled </w:t>
      </w:r>
      <w:r w:rsidR="00A9209B">
        <w:t>cílů a u nich zjištěných nedostatků u programů CZ02 až CZ15</w:t>
      </w:r>
      <w:r w:rsidR="003F2B97">
        <w:t xml:space="preserve"> </w:t>
      </w:r>
    </w:p>
    <w:p w14:paraId="2B94923B" w14:textId="77777777" w:rsidR="001D3108" w:rsidRDefault="001D3108" w:rsidP="00B60FDA"/>
    <w:p w14:paraId="506C6BBB" w14:textId="42FA7B89" w:rsidR="00B60FDA" w:rsidRDefault="00B60FDA" w:rsidP="00D47A9F">
      <w:pPr>
        <w:tabs>
          <w:tab w:val="left" w:pos="851"/>
        </w:tabs>
        <w:ind w:left="737" w:hanging="737"/>
        <w:jc w:val="both"/>
      </w:pPr>
      <w:r>
        <w:t xml:space="preserve">CZ02 </w:t>
      </w:r>
      <w:r w:rsidR="00D44F5B">
        <w:t>–</w:t>
      </w:r>
      <w:r w:rsidR="00D47A9F">
        <w:tab/>
      </w:r>
      <w:r w:rsidRPr="00714C00">
        <w:t>zastavení ztráty biodiverzity</w:t>
      </w:r>
      <w:r>
        <w:t xml:space="preserve"> (</w:t>
      </w:r>
      <w:r w:rsidRPr="00714C00">
        <w:t>a to prostřednictvím aktivit zaměřených na zvýšení kapacity pro efektivní řízení a monitorování lokalit Natura 2</w:t>
      </w:r>
      <w:r w:rsidR="00B53EB7">
        <w:t>000, zvýšení povědomí a </w:t>
      </w:r>
      <w:r w:rsidRPr="00714C00">
        <w:t>vzdělávání v oblasti biodiverzity a ekosystémových služeb, zlepšení integrace biodiverzity do sektorových politik a právních předpisů a obrana před fragmentací ekosystémů</w:t>
      </w:r>
      <w:r>
        <w:t>)</w:t>
      </w:r>
    </w:p>
    <w:p w14:paraId="6A6DCCC8" w14:textId="77777777" w:rsidR="00B60FDA" w:rsidRDefault="00B60FDA" w:rsidP="00B60FDA"/>
    <w:p w14:paraId="11560B6C" w14:textId="65EBF02B" w:rsidR="00B60FDA" w:rsidRDefault="00B60FDA" w:rsidP="00B60FDA">
      <w:pPr>
        <w:pStyle w:val="Odstavecseseznamem"/>
        <w:numPr>
          <w:ilvl w:val="0"/>
          <w:numId w:val="38"/>
        </w:numPr>
        <w:contextualSpacing/>
        <w:jc w:val="both"/>
      </w:pPr>
      <w:r>
        <w:t xml:space="preserve">V programu bylo definováno větší množství indikátorů na sledování výstupů, </w:t>
      </w:r>
      <w:r w:rsidRPr="000E1EE1">
        <w:rPr>
          <w:b/>
        </w:rPr>
        <w:t>nebyl ale definován žádný indikátor, který by ztrátu biodiverzity sledoval a hodnotil</w:t>
      </w:r>
      <w:r w:rsidRPr="006144EF">
        <w:rPr>
          <w:b/>
        </w:rPr>
        <w:t>.</w:t>
      </w:r>
    </w:p>
    <w:p w14:paraId="2D00DDE4" w14:textId="77777777" w:rsidR="00B60FDA" w:rsidRDefault="00B60FDA" w:rsidP="00B60FDA"/>
    <w:p w14:paraId="154D3B63" w14:textId="69046893" w:rsidR="00B60FDA" w:rsidRDefault="00B60FDA" w:rsidP="006144EF">
      <w:pPr>
        <w:ind w:left="737" w:hanging="737"/>
        <w:jc w:val="both"/>
      </w:pPr>
      <w:r>
        <w:t xml:space="preserve">CZ03 – </w:t>
      </w:r>
      <w:r w:rsidR="008C0E21">
        <w:tab/>
      </w:r>
      <w:r w:rsidRPr="00714C00">
        <w:t>posílení rozvoje občanské společnosti a zvýšení příspěvku k sociální spravedlnosti, demokracii a udržitelnému rozvoji</w:t>
      </w:r>
    </w:p>
    <w:p w14:paraId="4EEC0A59" w14:textId="77777777" w:rsidR="00B60FDA" w:rsidRDefault="00B60FDA" w:rsidP="00B60FDA"/>
    <w:p w14:paraId="5055D9D0" w14:textId="495E873B" w:rsidR="00B60FDA" w:rsidRDefault="00B60FDA" w:rsidP="00B60FDA">
      <w:pPr>
        <w:pStyle w:val="Odstavecseseznamem"/>
        <w:numPr>
          <w:ilvl w:val="0"/>
          <w:numId w:val="38"/>
        </w:numPr>
        <w:contextualSpacing/>
        <w:jc w:val="both"/>
      </w:pPr>
      <w:r>
        <w:t xml:space="preserve">V tomto programu bylo definováno větší množství indikátorů, všechny ale sledují pouze počty řešení (např. kampaní, informačních materiálů, nových produktů), zasažených osob či vzniklých kooperativ. </w:t>
      </w:r>
      <w:r w:rsidR="006144EF">
        <w:t xml:space="preserve">Při </w:t>
      </w:r>
      <w:r>
        <w:t xml:space="preserve">takto velmi obecně </w:t>
      </w:r>
      <w:r w:rsidR="00521E07">
        <w:t xml:space="preserve">definovaném </w:t>
      </w:r>
      <w:r>
        <w:t xml:space="preserve">cíli </w:t>
      </w:r>
      <w:r w:rsidR="006144EF">
        <w:t xml:space="preserve">lze </w:t>
      </w:r>
      <w:r>
        <w:t xml:space="preserve">připustit, že při splnění všech indikátorů bude dosaženo i cílů programu. </w:t>
      </w:r>
      <w:r w:rsidRPr="000E1EE1">
        <w:rPr>
          <w:b/>
        </w:rPr>
        <w:t>Kvalitativní informace o posílení rozvoje občanské společnost</w:t>
      </w:r>
      <w:r>
        <w:rPr>
          <w:b/>
        </w:rPr>
        <w:t>i</w:t>
      </w:r>
      <w:r w:rsidR="00B53EB7">
        <w:rPr>
          <w:b/>
        </w:rPr>
        <w:t xml:space="preserve"> nebo o </w:t>
      </w:r>
      <w:r w:rsidRPr="000E1EE1">
        <w:rPr>
          <w:b/>
        </w:rPr>
        <w:t>zvýšení příspěvku k sociální spravedlnosti, demokracii a udržitelnému rozvoji ale touto cestou získána nebude</w:t>
      </w:r>
      <w:r w:rsidRPr="001725BF">
        <w:rPr>
          <w:b/>
        </w:rPr>
        <w:t xml:space="preserve">. </w:t>
      </w:r>
    </w:p>
    <w:p w14:paraId="0891E678" w14:textId="77777777" w:rsidR="00B60FDA" w:rsidRDefault="00B60FDA" w:rsidP="00B60FDA"/>
    <w:p w14:paraId="62924105" w14:textId="72E035B3" w:rsidR="003F2B97" w:rsidRDefault="00B60FDA" w:rsidP="001725BF">
      <w:pPr>
        <w:ind w:left="737" w:hanging="737"/>
      </w:pPr>
      <w:r>
        <w:t xml:space="preserve">CZ04 – </w:t>
      </w:r>
      <w:r w:rsidR="008C0E21">
        <w:tab/>
      </w:r>
      <w:r>
        <w:t>zlepšování situace ohrožených dětí a mladistvých</w:t>
      </w:r>
    </w:p>
    <w:p w14:paraId="0EB8AB25" w14:textId="77777777" w:rsidR="00B60FDA" w:rsidRDefault="00B60FDA" w:rsidP="001725BF">
      <w:pPr>
        <w:ind w:left="737" w:hanging="737"/>
      </w:pPr>
    </w:p>
    <w:p w14:paraId="5D8A6841" w14:textId="7F087E57" w:rsidR="00B60FDA" w:rsidRDefault="00B60FDA" w:rsidP="001725BF">
      <w:pPr>
        <w:ind w:left="737" w:hanging="737"/>
      </w:pPr>
      <w:r>
        <w:t xml:space="preserve">CZ05 – </w:t>
      </w:r>
      <w:r w:rsidR="008C0E21">
        <w:tab/>
      </w:r>
      <w:r w:rsidRPr="009F3945">
        <w:t>posílení sociální a ekonomické soudržnosti na národní, regionální a místní úrovni</w:t>
      </w:r>
    </w:p>
    <w:p w14:paraId="21CE8033" w14:textId="77777777" w:rsidR="00B60FDA" w:rsidRDefault="00B60FDA" w:rsidP="00B60FDA"/>
    <w:p w14:paraId="0A18DE4D" w14:textId="2DDC220E" w:rsidR="00B60FDA" w:rsidRDefault="00B60FDA" w:rsidP="00B60FDA">
      <w:pPr>
        <w:pStyle w:val="Odstavecseseznamem"/>
        <w:numPr>
          <w:ilvl w:val="0"/>
          <w:numId w:val="38"/>
        </w:numPr>
        <w:contextualSpacing/>
        <w:jc w:val="both"/>
      </w:pPr>
      <w:r>
        <w:t>Definované monitorovací indikátory jsou schopn</w:t>
      </w:r>
      <w:r w:rsidR="008C0E21">
        <w:t>y</w:t>
      </w:r>
      <w:r>
        <w:t xml:space="preserve"> poskytnout informaci o počtu institucí se zvýšenými kapacitami, změně přístupu k menšinám a počtu nových seminářů, školení, dalších nových řešení či </w:t>
      </w:r>
      <w:r w:rsidR="008C0E21">
        <w:t xml:space="preserve">o počtu </w:t>
      </w:r>
      <w:r>
        <w:t>zapojených lid</w:t>
      </w:r>
      <w:r w:rsidR="008C0E21">
        <w:t>í</w:t>
      </w:r>
      <w:r>
        <w:t xml:space="preserve">. </w:t>
      </w:r>
      <w:r w:rsidRPr="00CF125E">
        <w:rPr>
          <w:b/>
        </w:rPr>
        <w:t>N</w:t>
      </w:r>
      <w:r w:rsidR="00B53EB7">
        <w:rPr>
          <w:b/>
        </w:rPr>
        <w:t>ulová je informace o </w:t>
      </w:r>
      <w:r w:rsidRPr="000E1EE1">
        <w:rPr>
          <w:b/>
        </w:rPr>
        <w:t>tom, kolik činí posílení sociální a ekonomické soudržnosti na jednotlivých úrovních a jak vůbec byl přesně kvantifikován cíl tohoto programu</w:t>
      </w:r>
      <w:r w:rsidRPr="001725BF">
        <w:rPr>
          <w:b/>
        </w:rPr>
        <w:t>.</w:t>
      </w:r>
    </w:p>
    <w:p w14:paraId="7714E52B" w14:textId="77777777" w:rsidR="00B60FDA" w:rsidRDefault="00B60FDA" w:rsidP="00B60FDA"/>
    <w:p w14:paraId="77A8A179" w14:textId="4E3089CB" w:rsidR="00B60FDA" w:rsidRDefault="00B60FDA" w:rsidP="001725BF">
      <w:pPr>
        <w:ind w:left="737" w:hanging="737"/>
        <w:jc w:val="both"/>
      </w:pPr>
      <w:r>
        <w:t xml:space="preserve">CZ06 – </w:t>
      </w:r>
      <w:r w:rsidR="008C0E21">
        <w:tab/>
      </w:r>
      <w:r>
        <w:t xml:space="preserve">pro </w:t>
      </w:r>
      <w:r w:rsidR="008C0E21">
        <w:t>programovou oblast</w:t>
      </w:r>
      <w:r>
        <w:t xml:space="preserve"> 16</w:t>
      </w:r>
      <w:r w:rsidR="008C0E21">
        <w:t>:</w:t>
      </w:r>
      <w:r>
        <w:t xml:space="preserve"> ochrana a zachování kulturního a přírodního</w:t>
      </w:r>
      <w:r w:rsidR="00857295">
        <w:t xml:space="preserve"> dědictví </w:t>
      </w:r>
      <w:r w:rsidR="00D47A9F">
        <w:t xml:space="preserve">pro </w:t>
      </w:r>
      <w:r w:rsidR="00857295">
        <w:t>příští generace a </w:t>
      </w:r>
      <w:r>
        <w:t xml:space="preserve">jejich zpřístupnění veřejnosti, které mají sloužit jako zdroj poznání přírody a společnosti jako nástroj vzdělávání; pro </w:t>
      </w:r>
      <w:r w:rsidR="008C0E21">
        <w:t>programovou oblast</w:t>
      </w:r>
      <w:r>
        <w:t xml:space="preserve"> 17</w:t>
      </w:r>
      <w:r w:rsidR="008C0E21">
        <w:t>:</w:t>
      </w:r>
      <w:r>
        <w:t xml:space="preserve"> posílení kulturního dialogu a evropské identity prostřednictvím porozumění kulturní rozmanitosti</w:t>
      </w:r>
    </w:p>
    <w:p w14:paraId="1B478CBB" w14:textId="77777777" w:rsidR="00B60FDA" w:rsidRDefault="00B60FDA" w:rsidP="00B60FDA"/>
    <w:p w14:paraId="22EE9975" w14:textId="314C2329" w:rsidR="00B60FDA" w:rsidRDefault="00B60FDA" w:rsidP="001725BF">
      <w:pPr>
        <w:ind w:left="737" w:hanging="737"/>
      </w:pPr>
      <w:r>
        <w:t xml:space="preserve">CZ07 – </w:t>
      </w:r>
      <w:r w:rsidR="008C0E21">
        <w:tab/>
      </w:r>
      <w:r w:rsidRPr="00BA2DCB">
        <w:t>posílení lidského kapitálu a základu znalostí ve státě příjemce</w:t>
      </w:r>
    </w:p>
    <w:p w14:paraId="3681E7D5" w14:textId="77777777" w:rsidR="00B60FDA" w:rsidRDefault="00B60FDA" w:rsidP="00B60FDA"/>
    <w:p w14:paraId="30A7B76A" w14:textId="39709D5D" w:rsidR="00B60FDA" w:rsidRDefault="00B60FDA" w:rsidP="00B60FDA">
      <w:pPr>
        <w:pStyle w:val="Odstavecseseznamem"/>
        <w:numPr>
          <w:ilvl w:val="0"/>
          <w:numId w:val="38"/>
        </w:numPr>
        <w:contextualSpacing/>
        <w:jc w:val="both"/>
      </w:pPr>
      <w:r>
        <w:rPr>
          <w:b/>
        </w:rPr>
        <w:t>V</w:t>
      </w:r>
      <w:r w:rsidRPr="000E1EE1">
        <w:rPr>
          <w:b/>
        </w:rPr>
        <w:t> </w:t>
      </w:r>
      <w:r w:rsidR="00656333" w:rsidRPr="001725BF">
        <w:rPr>
          <w:b/>
          <w:i/>
        </w:rPr>
        <w:t>m</w:t>
      </w:r>
      <w:r w:rsidRPr="001725BF">
        <w:rPr>
          <w:b/>
          <w:i/>
        </w:rPr>
        <w:t>emorandu o porozumění</w:t>
      </w:r>
      <w:r w:rsidRPr="000E1EE1">
        <w:rPr>
          <w:b/>
        </w:rPr>
        <w:t xml:space="preserve"> </w:t>
      </w:r>
      <w:r>
        <w:rPr>
          <w:b/>
        </w:rPr>
        <w:t xml:space="preserve">je ve vztahu k tomuto programu </w:t>
      </w:r>
      <w:r w:rsidRPr="000E1EE1">
        <w:rPr>
          <w:b/>
        </w:rPr>
        <w:t xml:space="preserve">uvedeno, že </w:t>
      </w:r>
      <w:r>
        <w:rPr>
          <w:b/>
        </w:rPr>
        <w:t xml:space="preserve">jeho </w:t>
      </w:r>
      <w:r w:rsidRPr="000E1EE1">
        <w:rPr>
          <w:b/>
        </w:rPr>
        <w:t>cílem by mělo být posílení lidského kapitálu a základu znalostí ve státě příjemce</w:t>
      </w:r>
      <w:r w:rsidRPr="001725BF">
        <w:rPr>
          <w:b/>
        </w:rPr>
        <w:t>.</w:t>
      </w:r>
      <w:r>
        <w:t xml:space="preserve"> Přesnější určení zaměření programu je v tomto případě ob</w:t>
      </w:r>
      <w:r w:rsidR="00B53EB7">
        <w:t xml:space="preserve">saženo v příloze č. II </w:t>
      </w:r>
      <w:r w:rsidR="00656333" w:rsidRPr="001725BF">
        <w:rPr>
          <w:i/>
        </w:rPr>
        <w:t>d</w:t>
      </w:r>
      <w:r w:rsidR="00B53EB7" w:rsidRPr="001725BF">
        <w:rPr>
          <w:i/>
        </w:rPr>
        <w:t>ohody o </w:t>
      </w:r>
      <w:r w:rsidRPr="001725BF">
        <w:rPr>
          <w:i/>
        </w:rPr>
        <w:t>programu</w:t>
      </w:r>
      <w:r>
        <w:t xml:space="preserve">, kde je stanoveno, že </w:t>
      </w:r>
      <w:r w:rsidRPr="00FF3079">
        <w:t>„</w:t>
      </w:r>
      <w:proofErr w:type="spellStart"/>
      <w:r w:rsidRPr="00483361">
        <w:rPr>
          <w:i/>
        </w:rPr>
        <w:t>The</w:t>
      </w:r>
      <w:proofErr w:type="spellEnd"/>
      <w:r w:rsidRPr="00483361">
        <w:rPr>
          <w:i/>
        </w:rPr>
        <w:t xml:space="preserve"> </w:t>
      </w:r>
      <w:proofErr w:type="spellStart"/>
      <w:r w:rsidRPr="00483361">
        <w:rPr>
          <w:i/>
        </w:rPr>
        <w:t>Programme</w:t>
      </w:r>
      <w:proofErr w:type="spellEnd"/>
      <w:r w:rsidRPr="00483361">
        <w:rPr>
          <w:i/>
        </w:rPr>
        <w:t xml:space="preserve"> </w:t>
      </w:r>
      <w:proofErr w:type="spellStart"/>
      <w:r w:rsidRPr="00483361">
        <w:rPr>
          <w:i/>
        </w:rPr>
        <w:t>shall</w:t>
      </w:r>
      <w:proofErr w:type="spellEnd"/>
      <w:r w:rsidRPr="00483361">
        <w:rPr>
          <w:i/>
        </w:rPr>
        <w:t xml:space="preserve"> support </w:t>
      </w:r>
      <w:proofErr w:type="spellStart"/>
      <w:r w:rsidRPr="00483361">
        <w:rPr>
          <w:i/>
        </w:rPr>
        <w:t>institutional</w:t>
      </w:r>
      <w:proofErr w:type="spellEnd"/>
      <w:r w:rsidRPr="00483361">
        <w:rPr>
          <w:i/>
        </w:rPr>
        <w:t xml:space="preserve"> </w:t>
      </w:r>
      <w:proofErr w:type="spellStart"/>
      <w:r w:rsidRPr="00483361">
        <w:rPr>
          <w:i/>
        </w:rPr>
        <w:t>cooperation</w:t>
      </w:r>
      <w:proofErr w:type="spellEnd"/>
      <w:r w:rsidRPr="00483361">
        <w:rPr>
          <w:i/>
        </w:rPr>
        <w:t xml:space="preserve"> in </w:t>
      </w:r>
      <w:proofErr w:type="spellStart"/>
      <w:r w:rsidRPr="00483361">
        <w:rPr>
          <w:i/>
        </w:rPr>
        <w:t>the</w:t>
      </w:r>
      <w:proofErr w:type="spellEnd"/>
      <w:r w:rsidRPr="00483361">
        <w:rPr>
          <w:i/>
        </w:rPr>
        <w:t xml:space="preserve"> </w:t>
      </w:r>
      <w:proofErr w:type="spellStart"/>
      <w:r w:rsidRPr="00483361">
        <w:rPr>
          <w:i/>
        </w:rPr>
        <w:t>field</w:t>
      </w:r>
      <w:proofErr w:type="spellEnd"/>
      <w:r w:rsidRPr="00483361">
        <w:rPr>
          <w:i/>
        </w:rPr>
        <w:t xml:space="preserve"> </w:t>
      </w:r>
      <w:proofErr w:type="spellStart"/>
      <w:r w:rsidRPr="00483361">
        <w:rPr>
          <w:i/>
        </w:rPr>
        <w:t>of</w:t>
      </w:r>
      <w:proofErr w:type="spellEnd"/>
      <w:r w:rsidRPr="00483361">
        <w:rPr>
          <w:i/>
        </w:rPr>
        <w:t xml:space="preserve"> </w:t>
      </w:r>
      <w:proofErr w:type="spellStart"/>
      <w:r w:rsidRPr="00483361">
        <w:rPr>
          <w:i/>
        </w:rPr>
        <w:t>education</w:t>
      </w:r>
      <w:proofErr w:type="spellEnd"/>
      <w:r w:rsidRPr="00483361">
        <w:rPr>
          <w:i/>
        </w:rPr>
        <w:t xml:space="preserve"> </w:t>
      </w:r>
      <w:proofErr w:type="spellStart"/>
      <w:r w:rsidRPr="00483361">
        <w:rPr>
          <w:i/>
        </w:rPr>
        <w:t>between</w:t>
      </w:r>
      <w:proofErr w:type="spellEnd"/>
      <w:r w:rsidRPr="00483361">
        <w:rPr>
          <w:i/>
        </w:rPr>
        <w:t xml:space="preserve"> </w:t>
      </w:r>
      <w:proofErr w:type="spellStart"/>
      <w:r w:rsidRPr="00483361">
        <w:rPr>
          <w:i/>
        </w:rPr>
        <w:t>the</w:t>
      </w:r>
      <w:proofErr w:type="spellEnd"/>
      <w:r w:rsidRPr="00483361">
        <w:rPr>
          <w:i/>
        </w:rPr>
        <w:t xml:space="preserve"> Donor </w:t>
      </w:r>
      <w:proofErr w:type="spellStart"/>
      <w:r w:rsidRPr="00483361">
        <w:rPr>
          <w:i/>
        </w:rPr>
        <w:t>States</w:t>
      </w:r>
      <w:proofErr w:type="spellEnd"/>
      <w:r w:rsidRPr="00483361">
        <w:rPr>
          <w:i/>
        </w:rPr>
        <w:t xml:space="preserve"> and </w:t>
      </w:r>
      <w:proofErr w:type="spellStart"/>
      <w:r w:rsidRPr="00483361">
        <w:rPr>
          <w:i/>
        </w:rPr>
        <w:t>the</w:t>
      </w:r>
      <w:proofErr w:type="spellEnd"/>
      <w:r w:rsidRPr="00483361">
        <w:rPr>
          <w:i/>
        </w:rPr>
        <w:t xml:space="preserve"> Czech Republic. </w:t>
      </w:r>
      <w:proofErr w:type="spellStart"/>
      <w:r w:rsidRPr="00483361">
        <w:rPr>
          <w:i/>
        </w:rPr>
        <w:t>The</w:t>
      </w:r>
      <w:proofErr w:type="spellEnd"/>
      <w:r w:rsidRPr="00483361">
        <w:rPr>
          <w:i/>
        </w:rPr>
        <w:t xml:space="preserve"> </w:t>
      </w:r>
      <w:proofErr w:type="spellStart"/>
      <w:r w:rsidRPr="00483361">
        <w:rPr>
          <w:i/>
        </w:rPr>
        <w:t>Programme</w:t>
      </w:r>
      <w:proofErr w:type="spellEnd"/>
      <w:r w:rsidRPr="00483361">
        <w:rPr>
          <w:i/>
        </w:rPr>
        <w:t xml:space="preserve"> </w:t>
      </w:r>
      <w:proofErr w:type="spellStart"/>
      <w:r w:rsidRPr="00483361">
        <w:rPr>
          <w:i/>
        </w:rPr>
        <w:t>aims</w:t>
      </w:r>
      <w:proofErr w:type="spellEnd"/>
      <w:r w:rsidRPr="00483361">
        <w:rPr>
          <w:i/>
        </w:rPr>
        <w:t xml:space="preserve"> to </w:t>
      </w:r>
      <w:proofErr w:type="spellStart"/>
      <w:r w:rsidRPr="00483361">
        <w:rPr>
          <w:i/>
        </w:rPr>
        <w:t>create</w:t>
      </w:r>
      <w:proofErr w:type="spellEnd"/>
      <w:r w:rsidRPr="00483361">
        <w:rPr>
          <w:i/>
        </w:rPr>
        <w:t xml:space="preserve"> a </w:t>
      </w:r>
      <w:proofErr w:type="spellStart"/>
      <w:r w:rsidRPr="00483361">
        <w:rPr>
          <w:i/>
        </w:rPr>
        <w:t>suitable</w:t>
      </w:r>
      <w:proofErr w:type="spellEnd"/>
      <w:r w:rsidRPr="00483361">
        <w:rPr>
          <w:i/>
        </w:rPr>
        <w:t xml:space="preserve"> </w:t>
      </w:r>
      <w:proofErr w:type="spellStart"/>
      <w:r w:rsidRPr="00483361">
        <w:rPr>
          <w:i/>
        </w:rPr>
        <w:t>foundation</w:t>
      </w:r>
      <w:proofErr w:type="spellEnd"/>
      <w:r w:rsidRPr="00483361">
        <w:rPr>
          <w:i/>
        </w:rPr>
        <w:t xml:space="preserve"> </w:t>
      </w:r>
      <w:proofErr w:type="spellStart"/>
      <w:r w:rsidRPr="00483361">
        <w:rPr>
          <w:i/>
        </w:rPr>
        <w:t>for</w:t>
      </w:r>
      <w:proofErr w:type="spellEnd"/>
      <w:r w:rsidRPr="00483361">
        <w:rPr>
          <w:i/>
        </w:rPr>
        <w:t xml:space="preserve"> </w:t>
      </w:r>
      <w:proofErr w:type="spellStart"/>
      <w:r w:rsidRPr="00483361">
        <w:rPr>
          <w:i/>
        </w:rPr>
        <w:t>successful</w:t>
      </w:r>
      <w:proofErr w:type="spellEnd"/>
      <w:r w:rsidRPr="00483361">
        <w:rPr>
          <w:i/>
        </w:rPr>
        <w:t xml:space="preserve"> </w:t>
      </w:r>
      <w:proofErr w:type="spellStart"/>
      <w:r w:rsidRPr="00483361">
        <w:rPr>
          <w:i/>
        </w:rPr>
        <w:t>partnership</w:t>
      </w:r>
      <w:proofErr w:type="spellEnd"/>
      <w:r w:rsidRPr="00483361">
        <w:rPr>
          <w:i/>
        </w:rPr>
        <w:t xml:space="preserve"> </w:t>
      </w:r>
      <w:proofErr w:type="spellStart"/>
      <w:r w:rsidRPr="00483361">
        <w:rPr>
          <w:i/>
        </w:rPr>
        <w:t>between</w:t>
      </w:r>
      <w:proofErr w:type="spellEnd"/>
      <w:r w:rsidRPr="00483361">
        <w:rPr>
          <w:i/>
        </w:rPr>
        <w:t xml:space="preserve"> </w:t>
      </w:r>
      <w:proofErr w:type="spellStart"/>
      <w:r w:rsidRPr="00483361">
        <w:rPr>
          <w:i/>
        </w:rPr>
        <w:t>institutions</w:t>
      </w:r>
      <w:proofErr w:type="spellEnd"/>
      <w:r w:rsidRPr="00483361">
        <w:rPr>
          <w:i/>
        </w:rPr>
        <w:t xml:space="preserve"> and </w:t>
      </w:r>
      <w:proofErr w:type="spellStart"/>
      <w:r w:rsidRPr="00483361">
        <w:rPr>
          <w:i/>
        </w:rPr>
        <w:t>individuals</w:t>
      </w:r>
      <w:proofErr w:type="spellEnd"/>
      <w:r w:rsidRPr="00483361">
        <w:rPr>
          <w:i/>
        </w:rPr>
        <w:t xml:space="preserve"> </w:t>
      </w:r>
      <w:proofErr w:type="spellStart"/>
      <w:r w:rsidRPr="00483361">
        <w:rPr>
          <w:i/>
        </w:rPr>
        <w:t>involved</w:t>
      </w:r>
      <w:proofErr w:type="spellEnd"/>
      <w:r w:rsidRPr="00483361">
        <w:rPr>
          <w:i/>
        </w:rPr>
        <w:t xml:space="preserve"> in </w:t>
      </w:r>
      <w:proofErr w:type="spellStart"/>
      <w:r w:rsidRPr="00483361">
        <w:rPr>
          <w:i/>
        </w:rPr>
        <w:t>the</w:t>
      </w:r>
      <w:proofErr w:type="spellEnd"/>
      <w:r w:rsidRPr="00483361">
        <w:rPr>
          <w:i/>
        </w:rPr>
        <w:t xml:space="preserve"> </w:t>
      </w:r>
      <w:proofErr w:type="spellStart"/>
      <w:r w:rsidRPr="00483361">
        <w:rPr>
          <w:i/>
        </w:rPr>
        <w:t>educational</w:t>
      </w:r>
      <w:proofErr w:type="spellEnd"/>
      <w:r w:rsidRPr="00483361">
        <w:rPr>
          <w:i/>
        </w:rPr>
        <w:t xml:space="preserve"> </w:t>
      </w:r>
      <w:proofErr w:type="spellStart"/>
      <w:r w:rsidRPr="00483361">
        <w:rPr>
          <w:i/>
        </w:rPr>
        <w:t>sphere</w:t>
      </w:r>
      <w:proofErr w:type="spellEnd"/>
      <w:r w:rsidRPr="00483361">
        <w:rPr>
          <w:i/>
        </w:rPr>
        <w:t xml:space="preserve"> in </w:t>
      </w:r>
      <w:proofErr w:type="spellStart"/>
      <w:r w:rsidRPr="00483361">
        <w:rPr>
          <w:i/>
        </w:rPr>
        <w:t>the</w:t>
      </w:r>
      <w:proofErr w:type="spellEnd"/>
      <w:r w:rsidRPr="00483361">
        <w:rPr>
          <w:i/>
        </w:rPr>
        <w:t xml:space="preserve"> Czech </w:t>
      </w:r>
      <w:proofErr w:type="spellStart"/>
      <w:r w:rsidRPr="00483361">
        <w:rPr>
          <w:i/>
        </w:rPr>
        <w:lastRenderedPageBreak/>
        <w:t>republic</w:t>
      </w:r>
      <w:proofErr w:type="spellEnd"/>
      <w:r w:rsidRPr="00483361">
        <w:rPr>
          <w:i/>
        </w:rPr>
        <w:t xml:space="preserve"> and </w:t>
      </w:r>
      <w:proofErr w:type="spellStart"/>
      <w:r w:rsidRPr="00483361">
        <w:rPr>
          <w:i/>
        </w:rPr>
        <w:t>the</w:t>
      </w:r>
      <w:proofErr w:type="spellEnd"/>
      <w:r w:rsidRPr="00483361">
        <w:rPr>
          <w:i/>
        </w:rPr>
        <w:t xml:space="preserve"> Donor </w:t>
      </w:r>
      <w:proofErr w:type="spellStart"/>
      <w:r w:rsidRPr="00483361">
        <w:rPr>
          <w:i/>
        </w:rPr>
        <w:t>States</w:t>
      </w:r>
      <w:proofErr w:type="spellEnd"/>
      <w:r w:rsidRPr="00483361">
        <w:rPr>
          <w:i/>
        </w:rPr>
        <w:t>.</w:t>
      </w:r>
      <w:r w:rsidRPr="00FF3079">
        <w:t>“</w:t>
      </w:r>
      <w:r w:rsidR="00AB1011">
        <w:rPr>
          <w:rStyle w:val="Znakapoznpodarou"/>
        </w:rPr>
        <w:footnoteReference w:id="40"/>
      </w:r>
      <w:r>
        <w:t xml:space="preserve"> </w:t>
      </w:r>
      <w:r w:rsidRPr="006129B4">
        <w:t xml:space="preserve">Je možné připustit, že splněním všech MI definovaných v příloze </w:t>
      </w:r>
      <w:r w:rsidR="00656333" w:rsidRPr="001725BF">
        <w:rPr>
          <w:i/>
        </w:rPr>
        <w:t>d</w:t>
      </w:r>
      <w:r w:rsidRPr="001725BF">
        <w:rPr>
          <w:i/>
        </w:rPr>
        <w:t>ohody o programu</w:t>
      </w:r>
      <w:r w:rsidRPr="006129B4">
        <w:t xml:space="preserve"> dojde ke splnění cílů tohoto programu, definované MI jsou ale omezeny jen na sle</w:t>
      </w:r>
      <w:r w:rsidR="00857295">
        <w:t>dování počtu nových přírůstků a </w:t>
      </w:r>
      <w:r w:rsidRPr="006129B4">
        <w:t>uskutečněných plnění.</w:t>
      </w:r>
    </w:p>
    <w:p w14:paraId="2D34199A" w14:textId="77777777" w:rsidR="00B60FDA" w:rsidRDefault="00B60FDA" w:rsidP="00B60FDA"/>
    <w:p w14:paraId="42C6F659" w14:textId="588C2D94" w:rsidR="00B60FDA" w:rsidRDefault="00B60FDA" w:rsidP="001725BF">
      <w:pPr>
        <w:ind w:left="737" w:hanging="737"/>
      </w:pPr>
      <w:r>
        <w:t xml:space="preserve">CZ08 – </w:t>
      </w:r>
      <w:r w:rsidR="00656333">
        <w:tab/>
      </w:r>
      <w:r>
        <w:t>z</w:t>
      </w:r>
      <w:r w:rsidRPr="00F97F26">
        <w:t>mírnění klimatických změn</w:t>
      </w:r>
    </w:p>
    <w:p w14:paraId="65E58028" w14:textId="77777777" w:rsidR="00B60FDA" w:rsidRDefault="00B60FDA" w:rsidP="00B60FDA"/>
    <w:p w14:paraId="307277D7" w14:textId="22D60BEF" w:rsidR="00B60FDA" w:rsidRDefault="00B60FDA" w:rsidP="00B60FDA">
      <w:pPr>
        <w:pStyle w:val="Odstavecseseznamem"/>
        <w:numPr>
          <w:ilvl w:val="0"/>
          <w:numId w:val="38"/>
        </w:numPr>
        <w:contextualSpacing/>
        <w:jc w:val="both"/>
      </w:pPr>
      <w:r w:rsidRPr="000E1EE1">
        <w:rPr>
          <w:b/>
        </w:rPr>
        <w:t xml:space="preserve">Žádný ze zavedených monitorovacích indikátorů </w:t>
      </w:r>
      <w:r>
        <w:rPr>
          <w:b/>
        </w:rPr>
        <w:t>neposuzuje</w:t>
      </w:r>
      <w:r w:rsidRPr="000E1EE1">
        <w:rPr>
          <w:b/>
        </w:rPr>
        <w:t xml:space="preserve"> </w:t>
      </w:r>
      <w:r>
        <w:rPr>
          <w:b/>
        </w:rPr>
        <w:t>změnu klimatu</w:t>
      </w:r>
      <w:r w:rsidRPr="001725BF">
        <w:rPr>
          <w:b/>
        </w:rPr>
        <w:t>.</w:t>
      </w:r>
      <w:r>
        <w:t xml:space="preserve"> Není tak možné hodnotit, zda došlo k jejímu zmírnění, a to v míře, která měla být realizací programu dosažena.</w:t>
      </w:r>
    </w:p>
    <w:p w14:paraId="326C4FDE" w14:textId="77777777" w:rsidR="00B60FDA" w:rsidRDefault="00B60FDA" w:rsidP="00B60FDA"/>
    <w:p w14:paraId="0040CC8C" w14:textId="69957F9A" w:rsidR="00B60FDA" w:rsidRDefault="00B60FDA" w:rsidP="001725BF">
      <w:pPr>
        <w:ind w:left="737" w:hanging="737"/>
        <w:jc w:val="both"/>
      </w:pPr>
      <w:r>
        <w:t xml:space="preserve">CZ09 – </w:t>
      </w:r>
      <w:r w:rsidR="00656333">
        <w:tab/>
      </w:r>
      <w:r>
        <w:t>zvýšit vědeckovýzkumnou spolupráci mezi českými a norskými subjekty ve vybraných oblastech a finančně podpořit tvorbu nových vědeckých znalostí a kvalitních výsledků prostřednictvím bilaterálních vědeckovýzkumných projektů základního a aplikovaného výzkumu a experimentálního vývoje</w:t>
      </w:r>
    </w:p>
    <w:p w14:paraId="50F3C29E" w14:textId="77777777" w:rsidR="00B60FDA" w:rsidRDefault="00B60FDA" w:rsidP="00B60FDA"/>
    <w:p w14:paraId="327E043D" w14:textId="02E745F8" w:rsidR="00B60FDA" w:rsidRDefault="00B60FDA" w:rsidP="00B60FDA">
      <w:pPr>
        <w:pStyle w:val="Odstavecseseznamem"/>
        <w:numPr>
          <w:ilvl w:val="0"/>
          <w:numId w:val="38"/>
        </w:numPr>
        <w:contextualSpacing/>
        <w:jc w:val="both"/>
      </w:pPr>
      <w:r>
        <w:rPr>
          <w:b/>
        </w:rPr>
        <w:t>U tohoto programu</w:t>
      </w:r>
      <w:r w:rsidRPr="000E1EE1">
        <w:rPr>
          <w:b/>
        </w:rPr>
        <w:t xml:space="preserve"> nebylo přesně vymezeno, jakou měrou by mělo dojít ke zvýšení vědeckovýzkumné spolupráce mezi českými a norskými subjekty</w:t>
      </w:r>
      <w:r w:rsidRPr="001725BF">
        <w:rPr>
          <w:b/>
        </w:rPr>
        <w:t>.</w:t>
      </w:r>
      <w:r>
        <w:t xml:space="preserve"> </w:t>
      </w:r>
      <w:r w:rsidRPr="006129B4">
        <w:t xml:space="preserve">V případě splnění všech monitorovacích indikátorů by bylo možné usuzovat, že došlo ke splnění cíle programu, </w:t>
      </w:r>
      <w:r>
        <w:t>definované monitorovací indikátory ale nijak nezkoumají intenzitu a</w:t>
      </w:r>
      <w:r w:rsidR="00656333">
        <w:t xml:space="preserve">ni </w:t>
      </w:r>
      <w:r>
        <w:t>kvalitativní úroveň vědeckovýzkumné spolupráce mezi českými a norskými subjekty před realizac</w:t>
      </w:r>
      <w:r w:rsidR="003516CE">
        <w:t>í</w:t>
      </w:r>
      <w:r>
        <w:t xml:space="preserve"> programu</w:t>
      </w:r>
      <w:r w:rsidR="003516CE" w:rsidRPr="003516CE">
        <w:t xml:space="preserve"> </w:t>
      </w:r>
      <w:r w:rsidR="003516CE">
        <w:t>a po jeho realizaci</w:t>
      </w:r>
      <w:r>
        <w:t>.</w:t>
      </w:r>
    </w:p>
    <w:p w14:paraId="27755C0C" w14:textId="77777777" w:rsidR="00B60FDA" w:rsidRDefault="00B60FDA" w:rsidP="00B60FDA"/>
    <w:p w14:paraId="5C590190" w14:textId="5DB0D9CC" w:rsidR="00B60FDA" w:rsidRDefault="00B60FDA" w:rsidP="001725BF">
      <w:pPr>
        <w:ind w:left="737" w:hanging="737"/>
        <w:jc w:val="both"/>
      </w:pPr>
      <w:r>
        <w:t xml:space="preserve">CZ10 – </w:t>
      </w:r>
      <w:r w:rsidR="003516CE">
        <w:tab/>
      </w:r>
      <w:r w:rsidR="00E86FCE">
        <w:t>p</w:t>
      </w:r>
      <w:r w:rsidRPr="00F97F26">
        <w:t>osílení institucionální kapacity a lidských zdrojů ve veřejných</w:t>
      </w:r>
      <w:r>
        <w:t xml:space="preserve"> </w:t>
      </w:r>
      <w:r w:rsidR="00BD4954">
        <w:t>institucích, místních a </w:t>
      </w:r>
      <w:r w:rsidRPr="00F97F26">
        <w:t>regionálních úřadech v přijímajícím státě</w:t>
      </w:r>
      <w:r>
        <w:t xml:space="preserve"> </w:t>
      </w:r>
      <w:r w:rsidRPr="00F97F26">
        <w:t>v odsouhlasených prioritních sektorech prostřednictvím</w:t>
      </w:r>
      <w:r>
        <w:t xml:space="preserve"> </w:t>
      </w:r>
      <w:r w:rsidRPr="00F97F26">
        <w:t>spolupráce a transferu znalostí mezi obdobnými institucemi a</w:t>
      </w:r>
      <w:r>
        <w:t xml:space="preserve"> </w:t>
      </w:r>
      <w:r w:rsidRPr="00F97F26">
        <w:t>úřady v</w:t>
      </w:r>
      <w:r>
        <w:t> </w:t>
      </w:r>
      <w:r w:rsidRPr="00F97F26">
        <w:t>Norsku</w:t>
      </w:r>
    </w:p>
    <w:p w14:paraId="5D9DDCE8" w14:textId="77777777" w:rsidR="00B60FDA" w:rsidRDefault="00B60FDA" w:rsidP="00B60FDA"/>
    <w:p w14:paraId="0C30AA31" w14:textId="77777777" w:rsidR="00B60FDA" w:rsidRDefault="00B60FDA" w:rsidP="00B60FDA">
      <w:pPr>
        <w:pStyle w:val="Odstavecseseznamem"/>
        <w:numPr>
          <w:ilvl w:val="0"/>
          <w:numId w:val="38"/>
        </w:numPr>
        <w:contextualSpacing/>
        <w:jc w:val="both"/>
      </w:pPr>
      <w:r>
        <w:t xml:space="preserve">Zavedené monitorovací indikátory programu sledují pouze počty zaměstnanců vyškolených určitým směrem, nově dodaných studií nebo vytvořených programů či nástrojů publicity. </w:t>
      </w:r>
      <w:r>
        <w:rPr>
          <w:b/>
        </w:rPr>
        <w:t>Žádný z monitorovacích indikátorů</w:t>
      </w:r>
      <w:r w:rsidRPr="000E1EE1">
        <w:rPr>
          <w:b/>
        </w:rPr>
        <w:t xml:space="preserve"> neposkytuje ani minimální informaci o tom, zda došlo k posílení institucionální kapacity a lidských zdrojů v prioritních sektorech</w:t>
      </w:r>
      <w:r w:rsidRPr="001725BF">
        <w:rPr>
          <w:b/>
        </w:rPr>
        <w:t>.</w:t>
      </w:r>
    </w:p>
    <w:p w14:paraId="41FDE195" w14:textId="77777777" w:rsidR="00B60FDA" w:rsidRDefault="00B60FDA" w:rsidP="00B60FDA"/>
    <w:p w14:paraId="43C3EB6B" w14:textId="556ABCC8" w:rsidR="00B60FDA" w:rsidRDefault="00B60FDA" w:rsidP="001725BF">
      <w:pPr>
        <w:ind w:left="737" w:hanging="737"/>
      </w:pPr>
      <w:r>
        <w:t xml:space="preserve">CZ11 – </w:t>
      </w:r>
      <w:r w:rsidR="003516CE">
        <w:tab/>
      </w:r>
      <w:r w:rsidR="00E86FCE">
        <w:t>z</w:t>
      </w:r>
      <w:r w:rsidRPr="00F97F26">
        <w:t>lepšení veřejného zdraví a snížení nerovnoměrností v oblasti zdraví</w:t>
      </w:r>
    </w:p>
    <w:p w14:paraId="4E2B3CFD" w14:textId="77777777" w:rsidR="00B60FDA" w:rsidRDefault="00B60FDA" w:rsidP="00B60FDA"/>
    <w:p w14:paraId="6BCF9CEF" w14:textId="6551B4AA" w:rsidR="00B60FDA" w:rsidRDefault="00B60FDA" w:rsidP="00B60FDA">
      <w:pPr>
        <w:pStyle w:val="Odstavecseseznamem"/>
        <w:numPr>
          <w:ilvl w:val="0"/>
          <w:numId w:val="38"/>
        </w:numPr>
        <w:contextualSpacing/>
        <w:jc w:val="both"/>
      </w:pPr>
      <w:r>
        <w:t xml:space="preserve">Definované monitorovací indikátory sledují pouze počty nových řešení, jako jsou systémy přístupu k pacientům, programy prevence či jiného typu v oblasti zdravotní péče nebo počty </w:t>
      </w:r>
      <w:r w:rsidR="003516CE">
        <w:t xml:space="preserve">zúčastněných </w:t>
      </w:r>
      <w:r>
        <w:t xml:space="preserve">pacientů. </w:t>
      </w:r>
      <w:r w:rsidRPr="00567191">
        <w:rPr>
          <w:b/>
        </w:rPr>
        <w:t>Žádný indikátor nesleduje a nehodnotí v souhrnu nebo v detailech zdraví populace nebo úroveň nerovného přístupu ke zdravotní péči.</w:t>
      </w:r>
      <w:r>
        <w:t xml:space="preserve"> Nebyly tak vyjádřeny žádné kva</w:t>
      </w:r>
      <w:r w:rsidR="00BD4954">
        <w:t>ntitativní cíle v tomto směru a </w:t>
      </w:r>
      <w:r>
        <w:t>definovanými nástroji není možné sledovat, zda tímto způsobem definovaného cíle programu bylo dosaženo.</w:t>
      </w:r>
    </w:p>
    <w:p w14:paraId="16C473AA" w14:textId="77777777" w:rsidR="00B60FDA" w:rsidRDefault="00B60FDA" w:rsidP="00B60FDA"/>
    <w:p w14:paraId="0995F789" w14:textId="064E0B28" w:rsidR="00B60FDA" w:rsidRDefault="00B60FDA" w:rsidP="004628CF">
      <w:pPr>
        <w:ind w:left="737" w:hanging="737"/>
        <w:jc w:val="both"/>
      </w:pPr>
      <w:r>
        <w:lastRenderedPageBreak/>
        <w:t xml:space="preserve">CZ12 – </w:t>
      </w:r>
      <w:r w:rsidR="003516CE">
        <w:tab/>
      </w:r>
      <w:r w:rsidRPr="002D61F8">
        <w:t>přispět k vytvoření celospolečenských podmínek pro efektivní slaďování pracovního, soukromého a rodinného života; zamezení stereotypního nahlížení na ženy a muže (včetně těch s odlišnou sexuální orientací) ve společnosti; rozvinutí spolupráce veřejné správy, sociálních partnerů, nestátních neziskových organizací, akademické obce a</w:t>
      </w:r>
      <w:r w:rsidR="003516CE">
        <w:t> </w:t>
      </w:r>
      <w:r w:rsidRPr="002D61F8">
        <w:t>občanské společnosti v prosazování rovných příležitostí žen a mužů; prevenci a</w:t>
      </w:r>
      <w:r w:rsidR="003516CE">
        <w:t> </w:t>
      </w:r>
      <w:r w:rsidRPr="002D61F8">
        <w:t>snížení výskytu domácího násilí a rozvoj služeb pro jeho oběti</w:t>
      </w:r>
    </w:p>
    <w:p w14:paraId="5945EDC7" w14:textId="77777777" w:rsidR="00B60FDA" w:rsidRDefault="00B60FDA" w:rsidP="00B60FDA"/>
    <w:p w14:paraId="6ABFCF2C" w14:textId="66F76540" w:rsidR="00B60FDA" w:rsidRDefault="00857295" w:rsidP="004628CF">
      <w:pPr>
        <w:ind w:left="737" w:hanging="737"/>
      </w:pPr>
      <w:r>
        <w:t>CZ13 –</w:t>
      </w:r>
      <w:r w:rsidR="00B60FDA">
        <w:t xml:space="preserve"> </w:t>
      </w:r>
      <w:r w:rsidR="003516CE">
        <w:tab/>
      </w:r>
      <w:r w:rsidR="00B60FDA" w:rsidRPr="00F97F26">
        <w:t>podpora rovného postavení žen a mužů a rovnováhy soukromého a pracovního života a prev</w:t>
      </w:r>
      <w:r w:rsidR="00B60FDA">
        <w:t>ence a snížení násilí na ženách</w:t>
      </w:r>
    </w:p>
    <w:p w14:paraId="5B7BA9B1" w14:textId="77777777" w:rsidR="00B60FDA" w:rsidRDefault="00B60FDA" w:rsidP="00B60FDA"/>
    <w:p w14:paraId="3229DBEB" w14:textId="4B91B079" w:rsidR="00B60FDA" w:rsidRDefault="00B60FDA" w:rsidP="004628CF">
      <w:pPr>
        <w:ind w:left="737" w:hanging="737"/>
        <w:jc w:val="both"/>
      </w:pPr>
      <w:r>
        <w:t xml:space="preserve">CZ14 – </w:t>
      </w:r>
      <w:r w:rsidR="003516CE">
        <w:tab/>
      </w:r>
      <w:r>
        <w:t xml:space="preserve">zvýšení bezpečnosti obyvatel zlepšením efektivnosti spolupráce mezi orgány prosazujícími právo v zemích </w:t>
      </w:r>
      <w:proofErr w:type="spellStart"/>
      <w:r>
        <w:t>Schengenu</w:t>
      </w:r>
      <w:proofErr w:type="spellEnd"/>
      <w:r>
        <w:t xml:space="preserve"> v boji proti organizovanému zločinu, včetně obchodování s lidmi</w:t>
      </w:r>
    </w:p>
    <w:p w14:paraId="0AE6A070" w14:textId="77777777" w:rsidR="00B60FDA" w:rsidRDefault="00B60FDA" w:rsidP="00B60FDA"/>
    <w:p w14:paraId="4CA5A8E7" w14:textId="6693807E" w:rsidR="00B60FDA" w:rsidRDefault="00B60FDA" w:rsidP="00B60FDA">
      <w:pPr>
        <w:pStyle w:val="Odstavecseseznamem"/>
        <w:numPr>
          <w:ilvl w:val="0"/>
          <w:numId w:val="38"/>
        </w:numPr>
        <w:contextualSpacing/>
        <w:jc w:val="both"/>
      </w:pPr>
      <w:r>
        <w:rPr>
          <w:b/>
        </w:rPr>
        <w:t>N</w:t>
      </w:r>
      <w:r w:rsidRPr="00567191">
        <w:rPr>
          <w:b/>
        </w:rPr>
        <w:t xml:space="preserve">ebyly stanoveny žádné monitorovací indikátory, které by mohly prokázat, zda došlo ke zvýšení bezpečnosti obyvatel, a to prostřednictvím zlepšení efektivnosti spolupráce mezi orgány prosazujícími právo v zemích </w:t>
      </w:r>
      <w:r w:rsidR="003516CE">
        <w:rPr>
          <w:b/>
        </w:rPr>
        <w:t>s</w:t>
      </w:r>
      <w:r w:rsidRPr="00567191">
        <w:rPr>
          <w:b/>
        </w:rPr>
        <w:t>chengen</w:t>
      </w:r>
      <w:r w:rsidR="003516CE">
        <w:rPr>
          <w:b/>
        </w:rPr>
        <w:t>ského prostoru</w:t>
      </w:r>
      <w:r w:rsidRPr="00567191">
        <w:rPr>
          <w:b/>
        </w:rPr>
        <w:t xml:space="preserve">, tedy ke splnění </w:t>
      </w:r>
      <w:r w:rsidR="003516CE">
        <w:rPr>
          <w:b/>
        </w:rPr>
        <w:t>stanoveného</w:t>
      </w:r>
      <w:r w:rsidR="003516CE" w:rsidRPr="00567191">
        <w:rPr>
          <w:b/>
        </w:rPr>
        <w:t xml:space="preserve"> </w:t>
      </w:r>
      <w:r w:rsidRPr="00567191">
        <w:rPr>
          <w:b/>
        </w:rPr>
        <w:t>cíle programu</w:t>
      </w:r>
      <w:r w:rsidRPr="0061705D">
        <w:rPr>
          <w:b/>
        </w:rPr>
        <w:t>.</w:t>
      </w:r>
      <w:r>
        <w:t xml:space="preserve"> </w:t>
      </w:r>
      <w:r w:rsidR="003516CE">
        <w:t>Zavedené</w:t>
      </w:r>
      <w:r>
        <w:t xml:space="preserve"> </w:t>
      </w:r>
      <w:r w:rsidRPr="00567191">
        <w:rPr>
          <w:b/>
        </w:rPr>
        <w:t>monitorovací indikátory</w:t>
      </w:r>
      <w:r>
        <w:t xml:space="preserve"> sledují materiální a odbornou připravenost Policie ČR, která byla realizátorem předem definovaných projektů tohoto programu, </w:t>
      </w:r>
      <w:r w:rsidRPr="00567191">
        <w:rPr>
          <w:b/>
        </w:rPr>
        <w:t>o bezpečnosti obyvatel a úrovni spolupráce ale neposkytují vůbec žádné informace</w:t>
      </w:r>
      <w:r w:rsidRPr="0061705D">
        <w:rPr>
          <w:b/>
        </w:rPr>
        <w:t>.</w:t>
      </w:r>
    </w:p>
    <w:p w14:paraId="0A4D72F3" w14:textId="77777777" w:rsidR="00B60FDA" w:rsidRDefault="00B60FDA" w:rsidP="00B60FDA"/>
    <w:p w14:paraId="583F7D43" w14:textId="54C309DE" w:rsidR="00B60FDA" w:rsidRDefault="00B60FDA" w:rsidP="0061705D">
      <w:pPr>
        <w:ind w:left="737" w:hanging="737"/>
        <w:jc w:val="both"/>
      </w:pPr>
      <w:r>
        <w:t xml:space="preserve">CZ15 – </w:t>
      </w:r>
      <w:r w:rsidR="003516CE">
        <w:tab/>
      </w:r>
      <w:r>
        <w:t>spravedlivější a účinnější soudní systém a vylepšený systém nápravné služby v souladu s příslušnými mezinárodními nástroji pro lidská práva</w:t>
      </w:r>
    </w:p>
    <w:p w14:paraId="16B55AE5" w14:textId="77777777" w:rsidR="00B60FDA" w:rsidRDefault="00B60FDA" w:rsidP="00B60FDA"/>
    <w:p w14:paraId="466CB7B7" w14:textId="45EF0DCF" w:rsidR="00B60FDA" w:rsidRDefault="00B60FDA" w:rsidP="00B60FDA">
      <w:pPr>
        <w:pStyle w:val="Odstavecseseznamem"/>
        <w:numPr>
          <w:ilvl w:val="0"/>
          <w:numId w:val="38"/>
        </w:numPr>
        <w:contextualSpacing/>
        <w:jc w:val="both"/>
      </w:pPr>
      <w:r>
        <w:rPr>
          <w:b/>
        </w:rPr>
        <w:t>D</w:t>
      </w:r>
      <w:r w:rsidRPr="00567191">
        <w:rPr>
          <w:b/>
        </w:rPr>
        <w:t xml:space="preserve">efinované monitorovací indikátory </w:t>
      </w:r>
      <w:r>
        <w:rPr>
          <w:b/>
        </w:rPr>
        <w:t xml:space="preserve">neposkytují žádnou </w:t>
      </w:r>
      <w:r w:rsidRPr="00567191">
        <w:rPr>
          <w:b/>
        </w:rPr>
        <w:t>odpověď na otázku, zda bylo dosaženo cíle programu, kterým měl být spravedlivější a účinnější soudní systém a vylepšený systém nápravné služby</w:t>
      </w:r>
      <w:r w:rsidRPr="0061705D">
        <w:rPr>
          <w:b/>
        </w:rPr>
        <w:t>.</w:t>
      </w:r>
      <w:r>
        <w:t xml:space="preserve"> Monitorovacími indikátory jsou sledovány pouze jednotlivé funkcionality soudního a vězeňského systému v ČR. </w:t>
      </w:r>
      <w:r w:rsidRPr="00567191">
        <w:rPr>
          <w:b/>
        </w:rPr>
        <w:t>Pro posouzení toho, zda se systém stal spravedlivějším a účinnějším v zamýšleném kvalitativním rozsahu</w:t>
      </w:r>
      <w:r w:rsidR="003516CE">
        <w:rPr>
          <w:b/>
        </w:rPr>
        <w:t>,</w:t>
      </w:r>
      <w:r w:rsidRPr="00567191">
        <w:rPr>
          <w:b/>
        </w:rPr>
        <w:t xml:space="preserve"> ale nebyly zavedeny odpovídající nástroje</w:t>
      </w:r>
      <w:r w:rsidRPr="0061705D">
        <w:rPr>
          <w:b/>
        </w:rPr>
        <w:t>.</w:t>
      </w:r>
    </w:p>
    <w:p w14:paraId="6E760F63" w14:textId="54D76578" w:rsidR="00B60FDA" w:rsidRDefault="00B60FDA" w:rsidP="003C5AC9">
      <w:pPr>
        <w:jc w:val="both"/>
        <w:rPr>
          <w:rFonts w:cstheme="minorHAnsi"/>
          <w:sz w:val="20"/>
        </w:rPr>
      </w:pPr>
    </w:p>
    <w:p w14:paraId="5BBBD7A2" w14:textId="79F08891" w:rsidR="00B60FDA" w:rsidRPr="00B60FDA" w:rsidRDefault="00B60FDA" w:rsidP="00B60FDA">
      <w:pPr>
        <w:rPr>
          <w:rFonts w:cstheme="minorHAnsi"/>
          <w:sz w:val="20"/>
        </w:rPr>
        <w:sectPr w:rsidR="00B60FDA" w:rsidRPr="00B60FDA" w:rsidSect="0047255D">
          <w:pgSz w:w="11907" w:h="16839" w:code="9"/>
          <w:pgMar w:top="1417" w:right="1417" w:bottom="1417" w:left="1417" w:header="851" w:footer="567" w:gutter="0"/>
          <w:cols w:space="708"/>
          <w:docGrid w:linePitch="360"/>
        </w:sectPr>
      </w:pPr>
    </w:p>
    <w:p w14:paraId="6AE5BAFB" w14:textId="29231A1C" w:rsidR="00B60FDA" w:rsidRDefault="00B60FDA" w:rsidP="00E86FCE">
      <w:pPr>
        <w:ind w:left="1219" w:hanging="1219"/>
      </w:pPr>
      <w:r>
        <w:lastRenderedPageBreak/>
        <w:t>Příloha č. 4</w:t>
      </w:r>
      <w:r w:rsidR="00876E03">
        <w:t>:</w:t>
      </w:r>
      <w:r>
        <w:t xml:space="preserve"> </w:t>
      </w:r>
      <w:r w:rsidR="00876E03">
        <w:tab/>
        <w:t>Přehled monitorovacích indikátorů s mnohonásobně překročenými cílovými hodnotami</w:t>
      </w:r>
    </w:p>
    <w:tbl>
      <w:tblPr>
        <w:tblStyle w:val="Mkatabulky"/>
        <w:tblW w:w="0" w:type="auto"/>
        <w:tblLook w:val="04A0" w:firstRow="1" w:lastRow="0" w:firstColumn="1" w:lastColumn="0" w:noHBand="0" w:noVBand="1"/>
      </w:tblPr>
      <w:tblGrid>
        <w:gridCol w:w="1129"/>
        <w:gridCol w:w="3827"/>
        <w:gridCol w:w="1275"/>
        <w:gridCol w:w="1418"/>
        <w:gridCol w:w="1412"/>
      </w:tblGrid>
      <w:tr w:rsidR="00B60FDA" w:rsidRPr="0049352F" w14:paraId="5E80C7E4" w14:textId="77777777" w:rsidTr="00851FD1">
        <w:trPr>
          <w:tblHeader/>
        </w:trPr>
        <w:tc>
          <w:tcPr>
            <w:tcW w:w="1129" w:type="dxa"/>
            <w:shd w:val="clear" w:color="auto" w:fill="E5F1FF"/>
            <w:vAlign w:val="center"/>
          </w:tcPr>
          <w:p w14:paraId="0A432B7E" w14:textId="77777777" w:rsidR="00B60FDA" w:rsidRPr="0049352F" w:rsidRDefault="00B60FDA" w:rsidP="0063341B">
            <w:pPr>
              <w:jc w:val="center"/>
              <w:rPr>
                <w:b/>
                <w:sz w:val="20"/>
                <w:szCs w:val="20"/>
              </w:rPr>
            </w:pPr>
            <w:r w:rsidRPr="0049352F">
              <w:rPr>
                <w:b/>
                <w:sz w:val="20"/>
                <w:szCs w:val="20"/>
              </w:rPr>
              <w:t>Program</w:t>
            </w:r>
          </w:p>
        </w:tc>
        <w:tc>
          <w:tcPr>
            <w:tcW w:w="3828" w:type="dxa"/>
            <w:shd w:val="clear" w:color="auto" w:fill="E5F1FF"/>
            <w:vAlign w:val="center"/>
          </w:tcPr>
          <w:p w14:paraId="4DE84170" w14:textId="77777777" w:rsidR="00B60FDA" w:rsidRPr="0049352F" w:rsidRDefault="00B60FDA" w:rsidP="0063341B">
            <w:pPr>
              <w:jc w:val="center"/>
              <w:rPr>
                <w:b/>
                <w:sz w:val="20"/>
                <w:szCs w:val="20"/>
              </w:rPr>
            </w:pPr>
            <w:r w:rsidRPr="0049352F">
              <w:rPr>
                <w:b/>
                <w:sz w:val="20"/>
                <w:szCs w:val="20"/>
              </w:rPr>
              <w:t>Indikátor</w:t>
            </w:r>
          </w:p>
        </w:tc>
        <w:tc>
          <w:tcPr>
            <w:tcW w:w="1275" w:type="dxa"/>
            <w:shd w:val="clear" w:color="auto" w:fill="E5F1FF"/>
            <w:vAlign w:val="center"/>
          </w:tcPr>
          <w:p w14:paraId="62233629" w14:textId="77777777" w:rsidR="00B60FDA" w:rsidRPr="0049352F" w:rsidRDefault="00B60FDA" w:rsidP="0063341B">
            <w:pPr>
              <w:jc w:val="center"/>
              <w:rPr>
                <w:b/>
                <w:sz w:val="20"/>
                <w:szCs w:val="20"/>
              </w:rPr>
            </w:pPr>
            <w:r w:rsidRPr="0049352F">
              <w:rPr>
                <w:b/>
                <w:sz w:val="20"/>
                <w:szCs w:val="20"/>
              </w:rPr>
              <w:t>Plánováno</w:t>
            </w:r>
          </w:p>
        </w:tc>
        <w:tc>
          <w:tcPr>
            <w:tcW w:w="1418" w:type="dxa"/>
            <w:shd w:val="clear" w:color="auto" w:fill="E5F1FF"/>
            <w:vAlign w:val="center"/>
          </w:tcPr>
          <w:p w14:paraId="7BE19FE1" w14:textId="77777777" w:rsidR="00B60FDA" w:rsidRPr="0049352F" w:rsidRDefault="00B60FDA" w:rsidP="0063341B">
            <w:pPr>
              <w:jc w:val="center"/>
              <w:rPr>
                <w:b/>
                <w:sz w:val="20"/>
                <w:szCs w:val="20"/>
              </w:rPr>
            </w:pPr>
            <w:r w:rsidRPr="0049352F">
              <w:rPr>
                <w:b/>
                <w:sz w:val="20"/>
                <w:szCs w:val="20"/>
              </w:rPr>
              <w:t>Dosaženo*</w:t>
            </w:r>
          </w:p>
        </w:tc>
        <w:tc>
          <w:tcPr>
            <w:tcW w:w="1412" w:type="dxa"/>
            <w:shd w:val="clear" w:color="auto" w:fill="E5F1FF"/>
            <w:vAlign w:val="center"/>
          </w:tcPr>
          <w:p w14:paraId="19BF648A" w14:textId="77777777" w:rsidR="00B60FDA" w:rsidRPr="0049352F" w:rsidRDefault="00B60FDA" w:rsidP="0063341B">
            <w:pPr>
              <w:jc w:val="center"/>
              <w:rPr>
                <w:b/>
                <w:sz w:val="20"/>
                <w:szCs w:val="20"/>
              </w:rPr>
            </w:pPr>
            <w:r w:rsidRPr="0049352F">
              <w:rPr>
                <w:b/>
                <w:sz w:val="20"/>
                <w:szCs w:val="20"/>
              </w:rPr>
              <w:t>Míra plnění</w:t>
            </w:r>
          </w:p>
        </w:tc>
      </w:tr>
      <w:tr w:rsidR="00B60FDA" w:rsidRPr="0049352F" w14:paraId="73C6AA2B" w14:textId="77777777" w:rsidTr="0063341B">
        <w:tc>
          <w:tcPr>
            <w:tcW w:w="1129" w:type="dxa"/>
            <w:vAlign w:val="center"/>
          </w:tcPr>
          <w:p w14:paraId="0D8153CB" w14:textId="77777777" w:rsidR="00B60FDA" w:rsidRPr="0049352F" w:rsidRDefault="00B60FDA" w:rsidP="0063341B">
            <w:pPr>
              <w:jc w:val="center"/>
              <w:rPr>
                <w:sz w:val="20"/>
                <w:szCs w:val="20"/>
              </w:rPr>
            </w:pPr>
            <w:r w:rsidRPr="0049352F">
              <w:rPr>
                <w:sz w:val="20"/>
                <w:szCs w:val="20"/>
              </w:rPr>
              <w:t>CZ02</w:t>
            </w:r>
          </w:p>
        </w:tc>
        <w:tc>
          <w:tcPr>
            <w:tcW w:w="3828" w:type="dxa"/>
            <w:vAlign w:val="center"/>
          </w:tcPr>
          <w:p w14:paraId="35783DAE" w14:textId="77777777" w:rsidR="00B60FDA" w:rsidRPr="0049352F" w:rsidRDefault="00B60FDA" w:rsidP="0063341B">
            <w:pPr>
              <w:rPr>
                <w:sz w:val="20"/>
                <w:szCs w:val="20"/>
              </w:rPr>
            </w:pPr>
            <w:r w:rsidRPr="0049352F">
              <w:rPr>
                <w:sz w:val="20"/>
                <w:szCs w:val="20"/>
              </w:rPr>
              <w:t>Počet lokalit Natura 2000 monitorovaných v rámci programu</w:t>
            </w:r>
          </w:p>
        </w:tc>
        <w:tc>
          <w:tcPr>
            <w:tcW w:w="1275" w:type="dxa"/>
            <w:vAlign w:val="center"/>
          </w:tcPr>
          <w:p w14:paraId="60E3191F" w14:textId="77777777" w:rsidR="00B60FDA" w:rsidRPr="0049352F" w:rsidRDefault="00B60FDA" w:rsidP="0063341B">
            <w:pPr>
              <w:jc w:val="right"/>
              <w:rPr>
                <w:sz w:val="20"/>
                <w:szCs w:val="20"/>
              </w:rPr>
            </w:pPr>
            <w:r w:rsidRPr="0049352F">
              <w:rPr>
                <w:sz w:val="20"/>
                <w:szCs w:val="20"/>
              </w:rPr>
              <w:t>8</w:t>
            </w:r>
          </w:p>
        </w:tc>
        <w:tc>
          <w:tcPr>
            <w:tcW w:w="1418" w:type="dxa"/>
            <w:vAlign w:val="center"/>
          </w:tcPr>
          <w:p w14:paraId="03479D19" w14:textId="77777777" w:rsidR="00B60FDA" w:rsidRPr="0049352F" w:rsidRDefault="00B60FDA" w:rsidP="0063341B">
            <w:pPr>
              <w:jc w:val="right"/>
              <w:rPr>
                <w:sz w:val="20"/>
                <w:szCs w:val="20"/>
              </w:rPr>
            </w:pPr>
            <w:r w:rsidRPr="0049352F">
              <w:rPr>
                <w:sz w:val="20"/>
                <w:szCs w:val="20"/>
              </w:rPr>
              <w:t>77</w:t>
            </w:r>
          </w:p>
        </w:tc>
        <w:tc>
          <w:tcPr>
            <w:tcW w:w="1412" w:type="dxa"/>
            <w:vAlign w:val="center"/>
          </w:tcPr>
          <w:p w14:paraId="6D626B98" w14:textId="77777777" w:rsidR="00B60FDA" w:rsidRPr="0049352F" w:rsidRDefault="00B60FDA" w:rsidP="0063341B">
            <w:pPr>
              <w:jc w:val="right"/>
              <w:rPr>
                <w:sz w:val="20"/>
                <w:szCs w:val="20"/>
              </w:rPr>
            </w:pPr>
            <w:r w:rsidRPr="0049352F">
              <w:rPr>
                <w:sz w:val="20"/>
                <w:szCs w:val="20"/>
              </w:rPr>
              <w:t>962 %</w:t>
            </w:r>
          </w:p>
        </w:tc>
      </w:tr>
      <w:tr w:rsidR="00B60FDA" w:rsidRPr="0049352F" w14:paraId="4ADDA429" w14:textId="77777777" w:rsidTr="0063341B">
        <w:tc>
          <w:tcPr>
            <w:tcW w:w="1129" w:type="dxa"/>
            <w:vAlign w:val="center"/>
          </w:tcPr>
          <w:p w14:paraId="277B1F72" w14:textId="77777777" w:rsidR="00B60FDA" w:rsidRPr="0049352F" w:rsidRDefault="00B60FDA" w:rsidP="0063341B">
            <w:pPr>
              <w:jc w:val="center"/>
              <w:rPr>
                <w:sz w:val="20"/>
                <w:szCs w:val="20"/>
              </w:rPr>
            </w:pPr>
            <w:r w:rsidRPr="0049352F">
              <w:rPr>
                <w:sz w:val="20"/>
                <w:szCs w:val="20"/>
              </w:rPr>
              <w:t>CZ02</w:t>
            </w:r>
          </w:p>
        </w:tc>
        <w:tc>
          <w:tcPr>
            <w:tcW w:w="3828" w:type="dxa"/>
            <w:vAlign w:val="center"/>
          </w:tcPr>
          <w:p w14:paraId="39721A94" w14:textId="77777777" w:rsidR="00B60FDA" w:rsidRPr="0049352F" w:rsidRDefault="00B60FDA" w:rsidP="0063341B">
            <w:pPr>
              <w:rPr>
                <w:sz w:val="20"/>
                <w:szCs w:val="20"/>
              </w:rPr>
            </w:pPr>
            <w:r w:rsidRPr="0049352F">
              <w:rPr>
                <w:sz w:val="20"/>
                <w:szCs w:val="20"/>
              </w:rPr>
              <w:t>Počet vzdělávacích environmentálních programů a kampaní</w:t>
            </w:r>
          </w:p>
        </w:tc>
        <w:tc>
          <w:tcPr>
            <w:tcW w:w="1275" w:type="dxa"/>
            <w:vAlign w:val="center"/>
          </w:tcPr>
          <w:p w14:paraId="69726226" w14:textId="77777777" w:rsidR="00B60FDA" w:rsidRPr="0049352F" w:rsidRDefault="00B60FDA" w:rsidP="0063341B">
            <w:pPr>
              <w:jc w:val="right"/>
              <w:rPr>
                <w:sz w:val="20"/>
                <w:szCs w:val="20"/>
              </w:rPr>
            </w:pPr>
            <w:r w:rsidRPr="0049352F">
              <w:rPr>
                <w:sz w:val="20"/>
                <w:szCs w:val="20"/>
              </w:rPr>
              <w:t>3</w:t>
            </w:r>
          </w:p>
        </w:tc>
        <w:tc>
          <w:tcPr>
            <w:tcW w:w="1418" w:type="dxa"/>
            <w:vAlign w:val="center"/>
          </w:tcPr>
          <w:p w14:paraId="642C4975" w14:textId="77777777" w:rsidR="00B60FDA" w:rsidRPr="0049352F" w:rsidRDefault="00B60FDA" w:rsidP="0063341B">
            <w:pPr>
              <w:jc w:val="right"/>
              <w:rPr>
                <w:sz w:val="20"/>
                <w:szCs w:val="20"/>
              </w:rPr>
            </w:pPr>
            <w:r w:rsidRPr="0049352F">
              <w:rPr>
                <w:sz w:val="20"/>
                <w:szCs w:val="20"/>
              </w:rPr>
              <w:t>36</w:t>
            </w:r>
          </w:p>
        </w:tc>
        <w:tc>
          <w:tcPr>
            <w:tcW w:w="1412" w:type="dxa"/>
            <w:vAlign w:val="center"/>
          </w:tcPr>
          <w:p w14:paraId="120AFECC" w14:textId="14E38422" w:rsidR="00B60FDA" w:rsidRPr="0049352F" w:rsidRDefault="00B60FDA" w:rsidP="0063341B">
            <w:pPr>
              <w:jc w:val="right"/>
              <w:rPr>
                <w:sz w:val="20"/>
                <w:szCs w:val="20"/>
              </w:rPr>
            </w:pPr>
            <w:r w:rsidRPr="0049352F">
              <w:rPr>
                <w:sz w:val="20"/>
                <w:szCs w:val="20"/>
              </w:rPr>
              <w:t>1</w:t>
            </w:r>
            <w:r w:rsidR="000B5E04" w:rsidRPr="0049352F">
              <w:rPr>
                <w:sz w:val="20"/>
                <w:szCs w:val="20"/>
              </w:rPr>
              <w:t> </w:t>
            </w:r>
            <w:r w:rsidRPr="0049352F">
              <w:rPr>
                <w:sz w:val="20"/>
                <w:szCs w:val="20"/>
              </w:rPr>
              <w:t>200 %</w:t>
            </w:r>
          </w:p>
        </w:tc>
      </w:tr>
      <w:tr w:rsidR="00B60FDA" w:rsidRPr="0049352F" w14:paraId="3C63BC8E" w14:textId="77777777" w:rsidTr="0063341B">
        <w:tc>
          <w:tcPr>
            <w:tcW w:w="1129" w:type="dxa"/>
            <w:vAlign w:val="center"/>
          </w:tcPr>
          <w:p w14:paraId="33EFA0BF" w14:textId="77777777" w:rsidR="00B60FDA" w:rsidRPr="0049352F" w:rsidRDefault="00B60FDA" w:rsidP="0063341B">
            <w:pPr>
              <w:jc w:val="center"/>
              <w:rPr>
                <w:sz w:val="20"/>
                <w:szCs w:val="20"/>
              </w:rPr>
            </w:pPr>
            <w:r w:rsidRPr="0049352F">
              <w:rPr>
                <w:sz w:val="20"/>
                <w:szCs w:val="20"/>
              </w:rPr>
              <w:t>CZ02</w:t>
            </w:r>
          </w:p>
        </w:tc>
        <w:tc>
          <w:tcPr>
            <w:tcW w:w="3828" w:type="dxa"/>
            <w:vAlign w:val="center"/>
          </w:tcPr>
          <w:p w14:paraId="0AF68FCA" w14:textId="77777777" w:rsidR="00B60FDA" w:rsidRPr="0049352F" w:rsidRDefault="00B60FDA" w:rsidP="0063341B">
            <w:pPr>
              <w:rPr>
                <w:sz w:val="20"/>
                <w:szCs w:val="20"/>
              </w:rPr>
            </w:pPr>
            <w:r w:rsidRPr="0049352F">
              <w:rPr>
                <w:sz w:val="20"/>
                <w:szCs w:val="20"/>
              </w:rPr>
              <w:t>Počet zavedených opatření snižujících hrozby a fragmentaci (zelené mosty, elektrická vedení atd.) a zvyšujících odolnost a stabilitu přirozeného prostředí/ekosystémů</w:t>
            </w:r>
          </w:p>
        </w:tc>
        <w:tc>
          <w:tcPr>
            <w:tcW w:w="1275" w:type="dxa"/>
            <w:vAlign w:val="center"/>
          </w:tcPr>
          <w:p w14:paraId="2FF6E80A" w14:textId="77777777" w:rsidR="00B60FDA" w:rsidRPr="0049352F" w:rsidRDefault="00B60FDA" w:rsidP="0063341B">
            <w:pPr>
              <w:jc w:val="right"/>
              <w:rPr>
                <w:sz w:val="20"/>
                <w:szCs w:val="20"/>
              </w:rPr>
            </w:pPr>
            <w:r w:rsidRPr="0049352F">
              <w:rPr>
                <w:sz w:val="20"/>
                <w:szCs w:val="20"/>
              </w:rPr>
              <w:t>3</w:t>
            </w:r>
          </w:p>
        </w:tc>
        <w:tc>
          <w:tcPr>
            <w:tcW w:w="1418" w:type="dxa"/>
            <w:vAlign w:val="center"/>
          </w:tcPr>
          <w:p w14:paraId="2E308F31" w14:textId="77777777" w:rsidR="00B60FDA" w:rsidRPr="0049352F" w:rsidRDefault="00B60FDA" w:rsidP="0063341B">
            <w:pPr>
              <w:jc w:val="right"/>
              <w:rPr>
                <w:sz w:val="20"/>
                <w:szCs w:val="20"/>
              </w:rPr>
            </w:pPr>
            <w:r w:rsidRPr="0049352F">
              <w:rPr>
                <w:sz w:val="20"/>
                <w:szCs w:val="20"/>
              </w:rPr>
              <w:t>98</w:t>
            </w:r>
          </w:p>
        </w:tc>
        <w:tc>
          <w:tcPr>
            <w:tcW w:w="1412" w:type="dxa"/>
            <w:vAlign w:val="center"/>
          </w:tcPr>
          <w:p w14:paraId="17F21030" w14:textId="32F5A4D2" w:rsidR="00B60FDA" w:rsidRPr="0049352F" w:rsidRDefault="00B60FDA" w:rsidP="0063341B">
            <w:pPr>
              <w:jc w:val="right"/>
              <w:rPr>
                <w:sz w:val="20"/>
                <w:szCs w:val="20"/>
              </w:rPr>
            </w:pPr>
            <w:r w:rsidRPr="0049352F">
              <w:rPr>
                <w:sz w:val="20"/>
                <w:szCs w:val="20"/>
              </w:rPr>
              <w:t>3</w:t>
            </w:r>
            <w:r w:rsidR="000B5E04" w:rsidRPr="0049352F">
              <w:rPr>
                <w:sz w:val="20"/>
                <w:szCs w:val="20"/>
              </w:rPr>
              <w:t> </w:t>
            </w:r>
            <w:r w:rsidRPr="0049352F">
              <w:rPr>
                <w:sz w:val="20"/>
                <w:szCs w:val="20"/>
              </w:rPr>
              <w:t>267 %</w:t>
            </w:r>
          </w:p>
        </w:tc>
      </w:tr>
      <w:tr w:rsidR="00B60FDA" w:rsidRPr="0049352F" w14:paraId="146462DB" w14:textId="77777777" w:rsidTr="0063341B">
        <w:tc>
          <w:tcPr>
            <w:tcW w:w="1129" w:type="dxa"/>
            <w:vAlign w:val="center"/>
          </w:tcPr>
          <w:p w14:paraId="5945797D" w14:textId="77777777" w:rsidR="00B60FDA" w:rsidRPr="0049352F" w:rsidRDefault="00B60FDA" w:rsidP="0063341B">
            <w:pPr>
              <w:jc w:val="center"/>
              <w:rPr>
                <w:sz w:val="20"/>
                <w:szCs w:val="20"/>
              </w:rPr>
            </w:pPr>
            <w:r w:rsidRPr="0049352F">
              <w:rPr>
                <w:sz w:val="20"/>
                <w:szCs w:val="20"/>
              </w:rPr>
              <w:t>CZ02</w:t>
            </w:r>
          </w:p>
        </w:tc>
        <w:tc>
          <w:tcPr>
            <w:tcW w:w="3828" w:type="dxa"/>
            <w:vAlign w:val="center"/>
          </w:tcPr>
          <w:p w14:paraId="59528B72" w14:textId="31449EA4" w:rsidR="00B60FDA" w:rsidRPr="0049352F" w:rsidRDefault="00B60FDA" w:rsidP="00876E03">
            <w:pPr>
              <w:rPr>
                <w:sz w:val="20"/>
                <w:szCs w:val="20"/>
              </w:rPr>
            </w:pPr>
            <w:r w:rsidRPr="0049352F">
              <w:rPr>
                <w:sz w:val="20"/>
                <w:szCs w:val="20"/>
              </w:rPr>
              <w:t>Počet vytvořených průzkumů a studií věnujících se dopadu, statusu a trendům v</w:t>
            </w:r>
            <w:r w:rsidR="00876E03">
              <w:rPr>
                <w:sz w:val="20"/>
                <w:szCs w:val="20"/>
              </w:rPr>
              <w:t> </w:t>
            </w:r>
            <w:r w:rsidRPr="0049352F">
              <w:rPr>
                <w:sz w:val="20"/>
                <w:szCs w:val="20"/>
              </w:rPr>
              <w:t>životním prostředí a jeho komponentech</w:t>
            </w:r>
          </w:p>
        </w:tc>
        <w:tc>
          <w:tcPr>
            <w:tcW w:w="1275" w:type="dxa"/>
            <w:vAlign w:val="center"/>
          </w:tcPr>
          <w:p w14:paraId="4EBC88DA" w14:textId="77777777" w:rsidR="00B60FDA" w:rsidRPr="0049352F" w:rsidRDefault="00B60FDA" w:rsidP="0063341B">
            <w:pPr>
              <w:jc w:val="right"/>
              <w:rPr>
                <w:sz w:val="20"/>
                <w:szCs w:val="20"/>
              </w:rPr>
            </w:pPr>
            <w:r w:rsidRPr="0049352F">
              <w:rPr>
                <w:sz w:val="20"/>
                <w:szCs w:val="20"/>
              </w:rPr>
              <w:t>3</w:t>
            </w:r>
          </w:p>
        </w:tc>
        <w:tc>
          <w:tcPr>
            <w:tcW w:w="1418" w:type="dxa"/>
            <w:vAlign w:val="center"/>
          </w:tcPr>
          <w:p w14:paraId="31DAF760" w14:textId="05E6919A" w:rsidR="00B60FDA" w:rsidRPr="0049352F" w:rsidRDefault="00B60FDA" w:rsidP="0063341B">
            <w:pPr>
              <w:jc w:val="right"/>
              <w:rPr>
                <w:sz w:val="20"/>
                <w:szCs w:val="20"/>
              </w:rPr>
            </w:pPr>
            <w:r w:rsidRPr="0049352F">
              <w:rPr>
                <w:sz w:val="20"/>
                <w:szCs w:val="20"/>
              </w:rPr>
              <w:t>1</w:t>
            </w:r>
            <w:r w:rsidR="00876E03">
              <w:rPr>
                <w:sz w:val="20"/>
                <w:szCs w:val="20"/>
              </w:rPr>
              <w:t xml:space="preserve"> </w:t>
            </w:r>
            <w:r w:rsidRPr="0049352F">
              <w:rPr>
                <w:sz w:val="20"/>
                <w:szCs w:val="20"/>
              </w:rPr>
              <w:t>332</w:t>
            </w:r>
          </w:p>
        </w:tc>
        <w:tc>
          <w:tcPr>
            <w:tcW w:w="1412" w:type="dxa"/>
            <w:vAlign w:val="center"/>
          </w:tcPr>
          <w:p w14:paraId="3850F218" w14:textId="1429B517" w:rsidR="00B60FDA" w:rsidRPr="0049352F" w:rsidRDefault="00B60FDA" w:rsidP="0063341B">
            <w:pPr>
              <w:jc w:val="right"/>
              <w:rPr>
                <w:sz w:val="20"/>
                <w:szCs w:val="20"/>
              </w:rPr>
            </w:pPr>
            <w:r w:rsidRPr="0049352F">
              <w:rPr>
                <w:sz w:val="20"/>
                <w:szCs w:val="20"/>
              </w:rPr>
              <w:t>44</w:t>
            </w:r>
            <w:r w:rsidR="000B5E04" w:rsidRPr="0049352F">
              <w:rPr>
                <w:sz w:val="20"/>
                <w:szCs w:val="20"/>
              </w:rPr>
              <w:t> </w:t>
            </w:r>
            <w:r w:rsidRPr="0049352F">
              <w:rPr>
                <w:sz w:val="20"/>
                <w:szCs w:val="20"/>
              </w:rPr>
              <w:t>400 %</w:t>
            </w:r>
          </w:p>
        </w:tc>
      </w:tr>
      <w:tr w:rsidR="00B60FDA" w:rsidRPr="0049352F" w14:paraId="21EE4F30" w14:textId="77777777" w:rsidTr="0063341B">
        <w:tc>
          <w:tcPr>
            <w:tcW w:w="1129" w:type="dxa"/>
            <w:vAlign w:val="center"/>
          </w:tcPr>
          <w:p w14:paraId="6A3120C1" w14:textId="77777777" w:rsidR="00B60FDA" w:rsidRPr="0049352F" w:rsidRDefault="00B60FDA" w:rsidP="0063341B">
            <w:pPr>
              <w:jc w:val="center"/>
              <w:rPr>
                <w:sz w:val="20"/>
                <w:szCs w:val="20"/>
              </w:rPr>
            </w:pPr>
            <w:r w:rsidRPr="0049352F">
              <w:rPr>
                <w:sz w:val="20"/>
                <w:szCs w:val="20"/>
              </w:rPr>
              <w:t>CZ03</w:t>
            </w:r>
          </w:p>
        </w:tc>
        <w:tc>
          <w:tcPr>
            <w:tcW w:w="3828" w:type="dxa"/>
            <w:vAlign w:val="center"/>
          </w:tcPr>
          <w:p w14:paraId="79C28AF7" w14:textId="77777777" w:rsidR="00B60FDA" w:rsidRPr="0049352F" w:rsidRDefault="00B60FDA" w:rsidP="0063341B">
            <w:pPr>
              <w:rPr>
                <w:sz w:val="20"/>
                <w:szCs w:val="20"/>
              </w:rPr>
            </w:pPr>
            <w:r w:rsidRPr="0049352F">
              <w:rPr>
                <w:sz w:val="20"/>
                <w:szCs w:val="20"/>
              </w:rPr>
              <w:t>Osoby, jejichž lidská práva jsou porušována nebo jsou diskriminovány, které byly podpořeny NNO</w:t>
            </w:r>
          </w:p>
        </w:tc>
        <w:tc>
          <w:tcPr>
            <w:tcW w:w="1275" w:type="dxa"/>
            <w:vAlign w:val="center"/>
          </w:tcPr>
          <w:p w14:paraId="375A136D" w14:textId="77777777" w:rsidR="00B60FDA" w:rsidRPr="0049352F" w:rsidRDefault="00B60FDA" w:rsidP="0063341B">
            <w:pPr>
              <w:jc w:val="right"/>
              <w:rPr>
                <w:sz w:val="20"/>
                <w:szCs w:val="20"/>
              </w:rPr>
            </w:pPr>
            <w:r w:rsidRPr="0049352F">
              <w:rPr>
                <w:sz w:val="20"/>
                <w:szCs w:val="20"/>
              </w:rPr>
              <w:t>600</w:t>
            </w:r>
          </w:p>
        </w:tc>
        <w:tc>
          <w:tcPr>
            <w:tcW w:w="1418" w:type="dxa"/>
            <w:vAlign w:val="center"/>
          </w:tcPr>
          <w:p w14:paraId="15A81371" w14:textId="3037DEE3" w:rsidR="00B60FDA" w:rsidRPr="0049352F" w:rsidRDefault="00B60FDA" w:rsidP="0063341B">
            <w:pPr>
              <w:jc w:val="right"/>
              <w:rPr>
                <w:sz w:val="20"/>
                <w:szCs w:val="20"/>
              </w:rPr>
            </w:pPr>
            <w:r w:rsidRPr="0049352F">
              <w:rPr>
                <w:sz w:val="20"/>
                <w:szCs w:val="20"/>
              </w:rPr>
              <w:t>4</w:t>
            </w:r>
            <w:r w:rsidR="00876E03">
              <w:rPr>
                <w:sz w:val="20"/>
                <w:szCs w:val="20"/>
              </w:rPr>
              <w:t xml:space="preserve"> </w:t>
            </w:r>
            <w:r w:rsidRPr="0049352F">
              <w:rPr>
                <w:sz w:val="20"/>
                <w:szCs w:val="20"/>
              </w:rPr>
              <w:t>612</w:t>
            </w:r>
          </w:p>
        </w:tc>
        <w:tc>
          <w:tcPr>
            <w:tcW w:w="1412" w:type="dxa"/>
            <w:vAlign w:val="center"/>
          </w:tcPr>
          <w:p w14:paraId="6BFE9D88" w14:textId="77777777" w:rsidR="00B60FDA" w:rsidRPr="0049352F" w:rsidRDefault="00B60FDA" w:rsidP="0063341B">
            <w:pPr>
              <w:jc w:val="right"/>
              <w:rPr>
                <w:sz w:val="20"/>
                <w:szCs w:val="20"/>
              </w:rPr>
            </w:pPr>
            <w:r w:rsidRPr="0049352F">
              <w:rPr>
                <w:sz w:val="20"/>
                <w:szCs w:val="20"/>
              </w:rPr>
              <w:t>769 %</w:t>
            </w:r>
          </w:p>
        </w:tc>
      </w:tr>
      <w:tr w:rsidR="00B60FDA" w:rsidRPr="0049352F" w14:paraId="24C825BF" w14:textId="77777777" w:rsidTr="0063341B">
        <w:tc>
          <w:tcPr>
            <w:tcW w:w="1129" w:type="dxa"/>
            <w:vAlign w:val="center"/>
          </w:tcPr>
          <w:p w14:paraId="4E60A3C0" w14:textId="77777777" w:rsidR="00B60FDA" w:rsidRPr="0049352F" w:rsidRDefault="00B60FDA" w:rsidP="0063341B">
            <w:pPr>
              <w:jc w:val="center"/>
              <w:rPr>
                <w:sz w:val="20"/>
                <w:szCs w:val="20"/>
              </w:rPr>
            </w:pPr>
            <w:r w:rsidRPr="0049352F">
              <w:rPr>
                <w:sz w:val="20"/>
                <w:szCs w:val="20"/>
              </w:rPr>
              <w:t>CZ03</w:t>
            </w:r>
          </w:p>
        </w:tc>
        <w:tc>
          <w:tcPr>
            <w:tcW w:w="3828" w:type="dxa"/>
            <w:vAlign w:val="center"/>
          </w:tcPr>
          <w:p w14:paraId="6C76E93E" w14:textId="7957B2A9" w:rsidR="00B60FDA" w:rsidRPr="0049352F" w:rsidRDefault="00B60FDA" w:rsidP="00876E03">
            <w:pPr>
              <w:rPr>
                <w:sz w:val="20"/>
                <w:szCs w:val="20"/>
              </w:rPr>
            </w:pPr>
            <w:r w:rsidRPr="0049352F">
              <w:rPr>
                <w:sz w:val="20"/>
                <w:szCs w:val="20"/>
              </w:rPr>
              <w:t>Počet volnočasových a vzdělávacích aktivit, ve kterých jsou zapojené romské děti a</w:t>
            </w:r>
            <w:r w:rsidR="00876E03">
              <w:rPr>
                <w:sz w:val="20"/>
                <w:szCs w:val="20"/>
              </w:rPr>
              <w:t> </w:t>
            </w:r>
            <w:r w:rsidRPr="0049352F">
              <w:rPr>
                <w:sz w:val="20"/>
                <w:szCs w:val="20"/>
              </w:rPr>
              <w:t>mladiství</w:t>
            </w:r>
          </w:p>
        </w:tc>
        <w:tc>
          <w:tcPr>
            <w:tcW w:w="1275" w:type="dxa"/>
            <w:vAlign w:val="center"/>
          </w:tcPr>
          <w:p w14:paraId="28DEF054" w14:textId="77777777" w:rsidR="00B60FDA" w:rsidRPr="0049352F" w:rsidRDefault="00B60FDA" w:rsidP="0063341B">
            <w:pPr>
              <w:jc w:val="right"/>
              <w:rPr>
                <w:sz w:val="20"/>
                <w:szCs w:val="20"/>
              </w:rPr>
            </w:pPr>
            <w:r w:rsidRPr="0049352F">
              <w:rPr>
                <w:sz w:val="20"/>
                <w:szCs w:val="20"/>
              </w:rPr>
              <w:t>12</w:t>
            </w:r>
          </w:p>
        </w:tc>
        <w:tc>
          <w:tcPr>
            <w:tcW w:w="1418" w:type="dxa"/>
            <w:vAlign w:val="center"/>
          </w:tcPr>
          <w:p w14:paraId="0BB68349" w14:textId="77777777" w:rsidR="00B60FDA" w:rsidRPr="0049352F" w:rsidRDefault="00B60FDA" w:rsidP="0063341B">
            <w:pPr>
              <w:jc w:val="right"/>
              <w:rPr>
                <w:sz w:val="20"/>
                <w:szCs w:val="20"/>
              </w:rPr>
            </w:pPr>
            <w:r w:rsidRPr="0049352F">
              <w:rPr>
                <w:sz w:val="20"/>
                <w:szCs w:val="20"/>
              </w:rPr>
              <w:t>94</w:t>
            </w:r>
          </w:p>
        </w:tc>
        <w:tc>
          <w:tcPr>
            <w:tcW w:w="1412" w:type="dxa"/>
            <w:vAlign w:val="center"/>
          </w:tcPr>
          <w:p w14:paraId="73D746E8" w14:textId="77777777" w:rsidR="00B60FDA" w:rsidRPr="0049352F" w:rsidRDefault="00B60FDA" w:rsidP="0063341B">
            <w:pPr>
              <w:jc w:val="right"/>
              <w:rPr>
                <w:sz w:val="20"/>
                <w:szCs w:val="20"/>
              </w:rPr>
            </w:pPr>
            <w:r w:rsidRPr="0049352F">
              <w:rPr>
                <w:sz w:val="20"/>
                <w:szCs w:val="20"/>
              </w:rPr>
              <w:t>783 %</w:t>
            </w:r>
          </w:p>
        </w:tc>
      </w:tr>
      <w:tr w:rsidR="00B60FDA" w:rsidRPr="0049352F" w14:paraId="036F5F15" w14:textId="77777777" w:rsidTr="0063341B">
        <w:tc>
          <w:tcPr>
            <w:tcW w:w="1129" w:type="dxa"/>
            <w:vAlign w:val="center"/>
          </w:tcPr>
          <w:p w14:paraId="2D5CE6C8" w14:textId="77777777" w:rsidR="00B60FDA" w:rsidRPr="0049352F" w:rsidRDefault="00B60FDA" w:rsidP="0063341B">
            <w:pPr>
              <w:jc w:val="center"/>
              <w:rPr>
                <w:sz w:val="20"/>
                <w:szCs w:val="20"/>
              </w:rPr>
            </w:pPr>
            <w:r w:rsidRPr="0049352F">
              <w:rPr>
                <w:sz w:val="20"/>
                <w:szCs w:val="20"/>
              </w:rPr>
              <w:t>CZ03</w:t>
            </w:r>
          </w:p>
        </w:tc>
        <w:tc>
          <w:tcPr>
            <w:tcW w:w="3828" w:type="dxa"/>
            <w:vAlign w:val="center"/>
          </w:tcPr>
          <w:p w14:paraId="600E4AB1" w14:textId="77777777" w:rsidR="00B60FDA" w:rsidRPr="0049352F" w:rsidRDefault="00B60FDA" w:rsidP="0063341B">
            <w:pPr>
              <w:rPr>
                <w:sz w:val="20"/>
                <w:szCs w:val="20"/>
              </w:rPr>
            </w:pPr>
            <w:r w:rsidRPr="0049352F">
              <w:rPr>
                <w:sz w:val="20"/>
                <w:szCs w:val="20"/>
              </w:rPr>
              <w:t>Počet mechanismů (kampaní, vzdělávacích aktivit, společenských akcí) rozvíjejících zájem cílových skupin o zachování biodiverzity, ochranu klimatu a udržitelný rozvoj</w:t>
            </w:r>
          </w:p>
        </w:tc>
        <w:tc>
          <w:tcPr>
            <w:tcW w:w="1275" w:type="dxa"/>
            <w:vAlign w:val="center"/>
          </w:tcPr>
          <w:p w14:paraId="1F543F72" w14:textId="77777777" w:rsidR="00B60FDA" w:rsidRPr="0049352F" w:rsidRDefault="00B60FDA" w:rsidP="0063341B">
            <w:pPr>
              <w:jc w:val="right"/>
              <w:rPr>
                <w:sz w:val="20"/>
                <w:szCs w:val="20"/>
              </w:rPr>
            </w:pPr>
            <w:r w:rsidRPr="0049352F">
              <w:rPr>
                <w:sz w:val="20"/>
                <w:szCs w:val="20"/>
              </w:rPr>
              <w:t>30</w:t>
            </w:r>
          </w:p>
        </w:tc>
        <w:tc>
          <w:tcPr>
            <w:tcW w:w="1418" w:type="dxa"/>
            <w:vAlign w:val="center"/>
          </w:tcPr>
          <w:p w14:paraId="7E12B567" w14:textId="4EC0BA9E" w:rsidR="00B60FDA" w:rsidRPr="0049352F" w:rsidRDefault="00B60FDA" w:rsidP="0063341B">
            <w:pPr>
              <w:jc w:val="right"/>
              <w:rPr>
                <w:sz w:val="20"/>
                <w:szCs w:val="20"/>
              </w:rPr>
            </w:pPr>
            <w:r w:rsidRPr="0049352F">
              <w:rPr>
                <w:sz w:val="20"/>
                <w:szCs w:val="20"/>
              </w:rPr>
              <w:t>1</w:t>
            </w:r>
            <w:r w:rsidR="00876E03">
              <w:rPr>
                <w:sz w:val="20"/>
                <w:szCs w:val="20"/>
              </w:rPr>
              <w:t xml:space="preserve"> </w:t>
            </w:r>
            <w:r w:rsidRPr="0049352F">
              <w:rPr>
                <w:sz w:val="20"/>
                <w:szCs w:val="20"/>
              </w:rPr>
              <w:t>419</w:t>
            </w:r>
          </w:p>
        </w:tc>
        <w:tc>
          <w:tcPr>
            <w:tcW w:w="1412" w:type="dxa"/>
            <w:vAlign w:val="center"/>
          </w:tcPr>
          <w:p w14:paraId="2EC62B14" w14:textId="3AAEE4AD" w:rsidR="00B60FDA" w:rsidRPr="0049352F" w:rsidRDefault="00B60FDA" w:rsidP="0063341B">
            <w:pPr>
              <w:jc w:val="right"/>
              <w:rPr>
                <w:sz w:val="20"/>
                <w:szCs w:val="20"/>
              </w:rPr>
            </w:pPr>
            <w:r w:rsidRPr="0049352F">
              <w:rPr>
                <w:sz w:val="20"/>
                <w:szCs w:val="20"/>
              </w:rPr>
              <w:t>4</w:t>
            </w:r>
            <w:r w:rsidR="000B5E04" w:rsidRPr="0049352F">
              <w:rPr>
                <w:sz w:val="20"/>
                <w:szCs w:val="20"/>
              </w:rPr>
              <w:t> </w:t>
            </w:r>
            <w:r w:rsidRPr="0049352F">
              <w:rPr>
                <w:sz w:val="20"/>
                <w:szCs w:val="20"/>
              </w:rPr>
              <w:t>730 %</w:t>
            </w:r>
          </w:p>
        </w:tc>
      </w:tr>
      <w:tr w:rsidR="00B60FDA" w:rsidRPr="0049352F" w14:paraId="6842DF2A" w14:textId="77777777" w:rsidTr="0063341B">
        <w:tc>
          <w:tcPr>
            <w:tcW w:w="1129" w:type="dxa"/>
            <w:vAlign w:val="center"/>
          </w:tcPr>
          <w:p w14:paraId="629F60AC" w14:textId="77777777" w:rsidR="00B60FDA" w:rsidRPr="0049352F" w:rsidRDefault="00B60FDA" w:rsidP="0063341B">
            <w:pPr>
              <w:jc w:val="center"/>
              <w:rPr>
                <w:sz w:val="20"/>
                <w:szCs w:val="20"/>
              </w:rPr>
            </w:pPr>
            <w:r w:rsidRPr="0049352F">
              <w:rPr>
                <w:sz w:val="20"/>
                <w:szCs w:val="20"/>
              </w:rPr>
              <w:t>CZ03</w:t>
            </w:r>
          </w:p>
        </w:tc>
        <w:tc>
          <w:tcPr>
            <w:tcW w:w="3828" w:type="dxa"/>
            <w:vAlign w:val="center"/>
          </w:tcPr>
          <w:p w14:paraId="174CA198" w14:textId="77777777" w:rsidR="00B60FDA" w:rsidRPr="0049352F" w:rsidRDefault="00B60FDA" w:rsidP="0063341B">
            <w:pPr>
              <w:rPr>
                <w:sz w:val="20"/>
                <w:szCs w:val="20"/>
              </w:rPr>
            </w:pPr>
            <w:r w:rsidRPr="0049352F">
              <w:rPr>
                <w:sz w:val="20"/>
                <w:szCs w:val="20"/>
              </w:rPr>
              <w:t>Počet osob aktivně zapojených do dobrovolnictví s NNO</w:t>
            </w:r>
          </w:p>
        </w:tc>
        <w:tc>
          <w:tcPr>
            <w:tcW w:w="1275" w:type="dxa"/>
            <w:vAlign w:val="center"/>
          </w:tcPr>
          <w:p w14:paraId="71E00867" w14:textId="77777777" w:rsidR="00B60FDA" w:rsidRPr="0049352F" w:rsidRDefault="00B60FDA" w:rsidP="0063341B">
            <w:pPr>
              <w:jc w:val="right"/>
              <w:rPr>
                <w:sz w:val="20"/>
                <w:szCs w:val="20"/>
              </w:rPr>
            </w:pPr>
            <w:r w:rsidRPr="0049352F">
              <w:rPr>
                <w:sz w:val="20"/>
                <w:szCs w:val="20"/>
              </w:rPr>
              <w:t>100</w:t>
            </w:r>
          </w:p>
        </w:tc>
        <w:tc>
          <w:tcPr>
            <w:tcW w:w="1418" w:type="dxa"/>
            <w:vAlign w:val="center"/>
          </w:tcPr>
          <w:p w14:paraId="3AAF3C7F" w14:textId="62DF2D50" w:rsidR="00B60FDA" w:rsidRPr="0049352F" w:rsidRDefault="00B60FDA" w:rsidP="0063341B">
            <w:pPr>
              <w:jc w:val="right"/>
              <w:rPr>
                <w:sz w:val="20"/>
                <w:szCs w:val="20"/>
              </w:rPr>
            </w:pPr>
            <w:r w:rsidRPr="0049352F">
              <w:rPr>
                <w:sz w:val="20"/>
                <w:szCs w:val="20"/>
              </w:rPr>
              <w:t>1</w:t>
            </w:r>
            <w:r w:rsidR="00876E03">
              <w:rPr>
                <w:sz w:val="20"/>
                <w:szCs w:val="20"/>
              </w:rPr>
              <w:t xml:space="preserve"> </w:t>
            </w:r>
            <w:r w:rsidRPr="0049352F">
              <w:rPr>
                <w:sz w:val="20"/>
                <w:szCs w:val="20"/>
              </w:rPr>
              <w:t>174</w:t>
            </w:r>
          </w:p>
        </w:tc>
        <w:tc>
          <w:tcPr>
            <w:tcW w:w="1412" w:type="dxa"/>
            <w:vAlign w:val="center"/>
          </w:tcPr>
          <w:p w14:paraId="6FB0AF52" w14:textId="53902CF7" w:rsidR="00B60FDA" w:rsidRPr="0049352F" w:rsidRDefault="00B60FDA" w:rsidP="0063341B">
            <w:pPr>
              <w:jc w:val="right"/>
              <w:rPr>
                <w:sz w:val="20"/>
                <w:szCs w:val="20"/>
              </w:rPr>
            </w:pPr>
            <w:r w:rsidRPr="0049352F">
              <w:rPr>
                <w:sz w:val="20"/>
                <w:szCs w:val="20"/>
              </w:rPr>
              <w:t>1</w:t>
            </w:r>
            <w:r w:rsidR="000B5E04" w:rsidRPr="0049352F">
              <w:rPr>
                <w:sz w:val="20"/>
                <w:szCs w:val="20"/>
              </w:rPr>
              <w:t> </w:t>
            </w:r>
            <w:r w:rsidRPr="0049352F">
              <w:rPr>
                <w:sz w:val="20"/>
                <w:szCs w:val="20"/>
              </w:rPr>
              <w:t>174 %</w:t>
            </w:r>
          </w:p>
        </w:tc>
      </w:tr>
      <w:tr w:rsidR="00B60FDA" w:rsidRPr="0049352F" w14:paraId="5738C187" w14:textId="77777777" w:rsidTr="0063341B">
        <w:tc>
          <w:tcPr>
            <w:tcW w:w="1129" w:type="dxa"/>
            <w:vAlign w:val="center"/>
          </w:tcPr>
          <w:p w14:paraId="68782A31" w14:textId="77777777" w:rsidR="00B60FDA" w:rsidRPr="0049352F" w:rsidRDefault="00B60FDA" w:rsidP="0063341B">
            <w:pPr>
              <w:jc w:val="center"/>
              <w:rPr>
                <w:sz w:val="20"/>
                <w:szCs w:val="20"/>
              </w:rPr>
            </w:pPr>
            <w:r w:rsidRPr="0049352F">
              <w:rPr>
                <w:sz w:val="20"/>
                <w:szCs w:val="20"/>
              </w:rPr>
              <w:t>CZ05</w:t>
            </w:r>
          </w:p>
        </w:tc>
        <w:tc>
          <w:tcPr>
            <w:tcW w:w="3828" w:type="dxa"/>
            <w:vAlign w:val="center"/>
          </w:tcPr>
          <w:p w14:paraId="64F79521" w14:textId="75777B47" w:rsidR="00B60FDA" w:rsidRPr="0049352F" w:rsidRDefault="00876E03" w:rsidP="00876E03">
            <w:pPr>
              <w:rPr>
                <w:sz w:val="20"/>
                <w:szCs w:val="20"/>
              </w:rPr>
            </w:pPr>
            <w:r>
              <w:rPr>
                <w:sz w:val="20"/>
                <w:szCs w:val="20"/>
              </w:rPr>
              <w:t>P</w:t>
            </w:r>
            <w:r w:rsidR="00B60FDA" w:rsidRPr="0049352F">
              <w:rPr>
                <w:sz w:val="20"/>
                <w:szCs w:val="20"/>
              </w:rPr>
              <w:t xml:space="preserve">očet </w:t>
            </w:r>
            <w:proofErr w:type="spellStart"/>
            <w:r w:rsidR="00B60FDA" w:rsidRPr="0049352F">
              <w:rPr>
                <w:sz w:val="20"/>
                <w:szCs w:val="20"/>
              </w:rPr>
              <w:t>videospotů</w:t>
            </w:r>
            <w:proofErr w:type="spellEnd"/>
            <w:r w:rsidR="00B60FDA" w:rsidRPr="0049352F">
              <w:rPr>
                <w:sz w:val="20"/>
                <w:szCs w:val="20"/>
              </w:rPr>
              <w:t xml:space="preserve"> zaměřených na mladé lidi pod 25 let, přenášených celostátně</w:t>
            </w:r>
          </w:p>
        </w:tc>
        <w:tc>
          <w:tcPr>
            <w:tcW w:w="1275" w:type="dxa"/>
            <w:vAlign w:val="center"/>
          </w:tcPr>
          <w:p w14:paraId="09211272" w14:textId="77777777" w:rsidR="00B60FDA" w:rsidRPr="0049352F" w:rsidRDefault="00B60FDA" w:rsidP="0063341B">
            <w:pPr>
              <w:jc w:val="right"/>
              <w:rPr>
                <w:sz w:val="20"/>
                <w:szCs w:val="20"/>
              </w:rPr>
            </w:pPr>
            <w:r w:rsidRPr="0049352F">
              <w:rPr>
                <w:sz w:val="20"/>
                <w:szCs w:val="20"/>
              </w:rPr>
              <w:t>200</w:t>
            </w:r>
          </w:p>
        </w:tc>
        <w:tc>
          <w:tcPr>
            <w:tcW w:w="1418" w:type="dxa"/>
            <w:vAlign w:val="center"/>
          </w:tcPr>
          <w:p w14:paraId="54CD51C4" w14:textId="2B079352" w:rsidR="00B60FDA" w:rsidRPr="0049352F" w:rsidRDefault="00B60FDA" w:rsidP="0063341B">
            <w:pPr>
              <w:jc w:val="right"/>
              <w:rPr>
                <w:sz w:val="20"/>
                <w:szCs w:val="20"/>
              </w:rPr>
            </w:pPr>
            <w:r w:rsidRPr="0049352F">
              <w:rPr>
                <w:sz w:val="20"/>
                <w:szCs w:val="20"/>
              </w:rPr>
              <w:t>2</w:t>
            </w:r>
            <w:r w:rsidR="00876E03">
              <w:rPr>
                <w:sz w:val="20"/>
                <w:szCs w:val="20"/>
              </w:rPr>
              <w:t xml:space="preserve"> </w:t>
            </w:r>
            <w:r w:rsidRPr="0049352F">
              <w:rPr>
                <w:sz w:val="20"/>
                <w:szCs w:val="20"/>
              </w:rPr>
              <w:t>490</w:t>
            </w:r>
          </w:p>
        </w:tc>
        <w:tc>
          <w:tcPr>
            <w:tcW w:w="1412" w:type="dxa"/>
            <w:vAlign w:val="center"/>
          </w:tcPr>
          <w:p w14:paraId="63C6A870" w14:textId="28F1C0F8" w:rsidR="00B60FDA" w:rsidRPr="0049352F" w:rsidRDefault="00B60FDA" w:rsidP="0063341B">
            <w:pPr>
              <w:jc w:val="right"/>
              <w:rPr>
                <w:sz w:val="20"/>
                <w:szCs w:val="20"/>
              </w:rPr>
            </w:pPr>
            <w:r w:rsidRPr="0049352F">
              <w:rPr>
                <w:sz w:val="20"/>
                <w:szCs w:val="20"/>
              </w:rPr>
              <w:t>1</w:t>
            </w:r>
            <w:r w:rsidR="000B5E04" w:rsidRPr="0049352F">
              <w:rPr>
                <w:sz w:val="20"/>
                <w:szCs w:val="20"/>
              </w:rPr>
              <w:t> </w:t>
            </w:r>
            <w:r w:rsidRPr="0049352F">
              <w:rPr>
                <w:sz w:val="20"/>
                <w:szCs w:val="20"/>
              </w:rPr>
              <w:t>245 %</w:t>
            </w:r>
          </w:p>
        </w:tc>
      </w:tr>
      <w:tr w:rsidR="00B60FDA" w:rsidRPr="0049352F" w14:paraId="00EECEDA" w14:textId="77777777" w:rsidTr="0063341B">
        <w:tc>
          <w:tcPr>
            <w:tcW w:w="1129" w:type="dxa"/>
            <w:vAlign w:val="center"/>
          </w:tcPr>
          <w:p w14:paraId="37654703" w14:textId="77777777" w:rsidR="00B60FDA" w:rsidRPr="0049352F" w:rsidRDefault="00B60FDA" w:rsidP="0063341B">
            <w:pPr>
              <w:jc w:val="center"/>
              <w:rPr>
                <w:sz w:val="20"/>
                <w:szCs w:val="20"/>
              </w:rPr>
            </w:pPr>
            <w:r w:rsidRPr="0049352F">
              <w:rPr>
                <w:sz w:val="20"/>
                <w:szCs w:val="20"/>
              </w:rPr>
              <w:t>CZ06</w:t>
            </w:r>
          </w:p>
        </w:tc>
        <w:tc>
          <w:tcPr>
            <w:tcW w:w="3828" w:type="dxa"/>
            <w:vAlign w:val="center"/>
          </w:tcPr>
          <w:p w14:paraId="4362184E" w14:textId="77777777" w:rsidR="00B60FDA" w:rsidRPr="0049352F" w:rsidRDefault="00B60FDA" w:rsidP="0063341B">
            <w:pPr>
              <w:rPr>
                <w:sz w:val="20"/>
                <w:szCs w:val="20"/>
              </w:rPr>
            </w:pPr>
            <w:r w:rsidRPr="0049352F">
              <w:rPr>
                <w:sz w:val="20"/>
                <w:szCs w:val="20"/>
              </w:rPr>
              <w:t>Počet akcí přijatých pro uchování movitého kulturního dědictví a písemného kulturního dědictví</w:t>
            </w:r>
          </w:p>
        </w:tc>
        <w:tc>
          <w:tcPr>
            <w:tcW w:w="1275" w:type="dxa"/>
            <w:vAlign w:val="center"/>
          </w:tcPr>
          <w:p w14:paraId="254B367D" w14:textId="77777777" w:rsidR="00B60FDA" w:rsidRPr="0049352F" w:rsidRDefault="00B60FDA" w:rsidP="0063341B">
            <w:pPr>
              <w:jc w:val="right"/>
              <w:rPr>
                <w:sz w:val="20"/>
                <w:szCs w:val="20"/>
              </w:rPr>
            </w:pPr>
            <w:r w:rsidRPr="0049352F">
              <w:rPr>
                <w:sz w:val="20"/>
                <w:szCs w:val="20"/>
              </w:rPr>
              <w:t>2</w:t>
            </w:r>
          </w:p>
        </w:tc>
        <w:tc>
          <w:tcPr>
            <w:tcW w:w="1418" w:type="dxa"/>
            <w:vAlign w:val="center"/>
          </w:tcPr>
          <w:p w14:paraId="51761E32" w14:textId="77777777" w:rsidR="00B60FDA" w:rsidRPr="0049352F" w:rsidRDefault="00B60FDA" w:rsidP="0063341B">
            <w:pPr>
              <w:jc w:val="right"/>
              <w:rPr>
                <w:sz w:val="20"/>
                <w:szCs w:val="20"/>
              </w:rPr>
            </w:pPr>
            <w:r w:rsidRPr="0049352F">
              <w:rPr>
                <w:sz w:val="20"/>
                <w:szCs w:val="20"/>
              </w:rPr>
              <w:t>13</w:t>
            </w:r>
          </w:p>
        </w:tc>
        <w:tc>
          <w:tcPr>
            <w:tcW w:w="1412" w:type="dxa"/>
            <w:vAlign w:val="center"/>
          </w:tcPr>
          <w:p w14:paraId="3B713443" w14:textId="77777777" w:rsidR="00B60FDA" w:rsidRPr="0049352F" w:rsidRDefault="00B60FDA" w:rsidP="0063341B">
            <w:pPr>
              <w:jc w:val="right"/>
              <w:rPr>
                <w:sz w:val="20"/>
                <w:szCs w:val="20"/>
              </w:rPr>
            </w:pPr>
            <w:r w:rsidRPr="0049352F">
              <w:rPr>
                <w:sz w:val="20"/>
                <w:szCs w:val="20"/>
              </w:rPr>
              <w:t>650 %</w:t>
            </w:r>
          </w:p>
        </w:tc>
      </w:tr>
      <w:tr w:rsidR="00B60FDA" w:rsidRPr="0049352F" w14:paraId="0D0F854B" w14:textId="77777777" w:rsidTr="0063341B">
        <w:tc>
          <w:tcPr>
            <w:tcW w:w="1129" w:type="dxa"/>
            <w:vAlign w:val="center"/>
          </w:tcPr>
          <w:p w14:paraId="648232DF" w14:textId="77777777" w:rsidR="00B60FDA" w:rsidRPr="0049352F" w:rsidRDefault="00B60FDA" w:rsidP="0063341B">
            <w:pPr>
              <w:jc w:val="center"/>
              <w:rPr>
                <w:sz w:val="20"/>
                <w:szCs w:val="20"/>
              </w:rPr>
            </w:pPr>
            <w:r w:rsidRPr="0049352F">
              <w:rPr>
                <w:sz w:val="20"/>
                <w:szCs w:val="20"/>
              </w:rPr>
              <w:t>CZ06</w:t>
            </w:r>
          </w:p>
        </w:tc>
        <w:tc>
          <w:tcPr>
            <w:tcW w:w="3828" w:type="dxa"/>
            <w:vAlign w:val="center"/>
          </w:tcPr>
          <w:p w14:paraId="71E67F42" w14:textId="77777777" w:rsidR="00B60FDA" w:rsidRPr="0049352F" w:rsidRDefault="00B60FDA" w:rsidP="0063341B">
            <w:pPr>
              <w:rPr>
                <w:sz w:val="20"/>
                <w:szCs w:val="20"/>
              </w:rPr>
            </w:pPr>
            <w:r w:rsidRPr="0049352F">
              <w:rPr>
                <w:sz w:val="20"/>
                <w:szCs w:val="20"/>
              </w:rPr>
              <w:t>Počet nových kulturních představení/inscenačních interdisciplinárních a výstavních projektů, koncertních akcí v oblasti divadla, hudby, výtvarného, vizuálního a filmového umění</w:t>
            </w:r>
          </w:p>
        </w:tc>
        <w:tc>
          <w:tcPr>
            <w:tcW w:w="1275" w:type="dxa"/>
            <w:vAlign w:val="center"/>
          </w:tcPr>
          <w:p w14:paraId="32AD0203" w14:textId="77777777" w:rsidR="00B60FDA" w:rsidRPr="0049352F" w:rsidRDefault="00B60FDA" w:rsidP="0063341B">
            <w:pPr>
              <w:jc w:val="right"/>
              <w:rPr>
                <w:sz w:val="20"/>
                <w:szCs w:val="20"/>
              </w:rPr>
            </w:pPr>
            <w:r w:rsidRPr="0049352F">
              <w:rPr>
                <w:sz w:val="20"/>
                <w:szCs w:val="20"/>
              </w:rPr>
              <w:t>4</w:t>
            </w:r>
          </w:p>
        </w:tc>
        <w:tc>
          <w:tcPr>
            <w:tcW w:w="1418" w:type="dxa"/>
            <w:vAlign w:val="center"/>
          </w:tcPr>
          <w:p w14:paraId="3232EA75" w14:textId="77777777" w:rsidR="00B60FDA" w:rsidRPr="0049352F" w:rsidRDefault="00B60FDA" w:rsidP="0063341B">
            <w:pPr>
              <w:jc w:val="right"/>
              <w:rPr>
                <w:sz w:val="20"/>
                <w:szCs w:val="20"/>
              </w:rPr>
            </w:pPr>
            <w:r w:rsidRPr="0049352F">
              <w:rPr>
                <w:sz w:val="20"/>
                <w:szCs w:val="20"/>
              </w:rPr>
              <w:t>69</w:t>
            </w:r>
          </w:p>
        </w:tc>
        <w:tc>
          <w:tcPr>
            <w:tcW w:w="1412" w:type="dxa"/>
            <w:vAlign w:val="center"/>
          </w:tcPr>
          <w:p w14:paraId="66595B46" w14:textId="7396E52E" w:rsidR="00B60FDA" w:rsidRPr="0049352F" w:rsidRDefault="00B60FDA" w:rsidP="0063341B">
            <w:pPr>
              <w:jc w:val="right"/>
              <w:rPr>
                <w:sz w:val="20"/>
                <w:szCs w:val="20"/>
              </w:rPr>
            </w:pPr>
            <w:r w:rsidRPr="0049352F">
              <w:rPr>
                <w:sz w:val="20"/>
                <w:szCs w:val="20"/>
              </w:rPr>
              <w:t>1</w:t>
            </w:r>
            <w:r w:rsidR="000B5E04" w:rsidRPr="0049352F">
              <w:rPr>
                <w:sz w:val="20"/>
                <w:szCs w:val="20"/>
              </w:rPr>
              <w:t> </w:t>
            </w:r>
            <w:r w:rsidRPr="0049352F">
              <w:rPr>
                <w:sz w:val="20"/>
                <w:szCs w:val="20"/>
              </w:rPr>
              <w:t>727 %</w:t>
            </w:r>
          </w:p>
        </w:tc>
      </w:tr>
      <w:tr w:rsidR="00B60FDA" w:rsidRPr="0049352F" w14:paraId="7B638894" w14:textId="77777777" w:rsidTr="0063341B">
        <w:tc>
          <w:tcPr>
            <w:tcW w:w="1129" w:type="dxa"/>
            <w:vAlign w:val="center"/>
          </w:tcPr>
          <w:p w14:paraId="27794133" w14:textId="77777777" w:rsidR="00B60FDA" w:rsidRPr="0049352F" w:rsidRDefault="00B60FDA" w:rsidP="0063341B">
            <w:pPr>
              <w:jc w:val="center"/>
              <w:rPr>
                <w:sz w:val="20"/>
                <w:szCs w:val="20"/>
              </w:rPr>
            </w:pPr>
            <w:r w:rsidRPr="0049352F">
              <w:rPr>
                <w:sz w:val="20"/>
                <w:szCs w:val="20"/>
              </w:rPr>
              <w:t>CZ06</w:t>
            </w:r>
          </w:p>
        </w:tc>
        <w:tc>
          <w:tcPr>
            <w:tcW w:w="3828" w:type="dxa"/>
            <w:vAlign w:val="center"/>
          </w:tcPr>
          <w:p w14:paraId="71C708C8" w14:textId="1972C416" w:rsidR="00B60FDA" w:rsidRPr="0049352F" w:rsidRDefault="00B60FDA" w:rsidP="00851FD1">
            <w:pPr>
              <w:rPr>
                <w:sz w:val="20"/>
                <w:szCs w:val="20"/>
              </w:rPr>
            </w:pPr>
            <w:r w:rsidRPr="0049352F">
              <w:rPr>
                <w:sz w:val="20"/>
                <w:szCs w:val="20"/>
              </w:rPr>
              <w:t>Počet tvůrčích workshopů</w:t>
            </w:r>
            <w:r w:rsidR="00851FD1">
              <w:rPr>
                <w:sz w:val="20"/>
                <w:szCs w:val="20"/>
              </w:rPr>
              <w:t xml:space="preserve"> (</w:t>
            </w:r>
            <w:r w:rsidRPr="0049352F">
              <w:rPr>
                <w:sz w:val="20"/>
                <w:szCs w:val="20"/>
              </w:rPr>
              <w:t>odborných kurzů, konferencí a seminářů</w:t>
            </w:r>
            <w:r w:rsidR="00851FD1">
              <w:rPr>
                <w:sz w:val="20"/>
                <w:szCs w:val="20"/>
              </w:rPr>
              <w:t>)</w:t>
            </w:r>
          </w:p>
        </w:tc>
        <w:tc>
          <w:tcPr>
            <w:tcW w:w="1275" w:type="dxa"/>
            <w:vAlign w:val="center"/>
          </w:tcPr>
          <w:p w14:paraId="7BA8D6E4" w14:textId="77777777" w:rsidR="00B60FDA" w:rsidRPr="0049352F" w:rsidRDefault="00B60FDA" w:rsidP="0063341B">
            <w:pPr>
              <w:jc w:val="right"/>
              <w:rPr>
                <w:sz w:val="20"/>
                <w:szCs w:val="20"/>
              </w:rPr>
            </w:pPr>
            <w:r w:rsidRPr="0049352F">
              <w:rPr>
                <w:sz w:val="20"/>
                <w:szCs w:val="20"/>
              </w:rPr>
              <w:t>4</w:t>
            </w:r>
          </w:p>
        </w:tc>
        <w:tc>
          <w:tcPr>
            <w:tcW w:w="1418" w:type="dxa"/>
            <w:vAlign w:val="center"/>
          </w:tcPr>
          <w:p w14:paraId="1748DAF2" w14:textId="77777777" w:rsidR="00B60FDA" w:rsidRPr="0049352F" w:rsidRDefault="00B60FDA" w:rsidP="0063341B">
            <w:pPr>
              <w:jc w:val="right"/>
              <w:rPr>
                <w:sz w:val="20"/>
                <w:szCs w:val="20"/>
              </w:rPr>
            </w:pPr>
            <w:r w:rsidRPr="0049352F">
              <w:rPr>
                <w:sz w:val="20"/>
                <w:szCs w:val="20"/>
              </w:rPr>
              <w:t>144</w:t>
            </w:r>
          </w:p>
        </w:tc>
        <w:tc>
          <w:tcPr>
            <w:tcW w:w="1412" w:type="dxa"/>
            <w:vAlign w:val="center"/>
          </w:tcPr>
          <w:p w14:paraId="610441F7" w14:textId="381857ED" w:rsidR="00B60FDA" w:rsidRPr="0049352F" w:rsidRDefault="00B60FDA" w:rsidP="0063341B">
            <w:pPr>
              <w:jc w:val="right"/>
              <w:rPr>
                <w:sz w:val="20"/>
                <w:szCs w:val="20"/>
              </w:rPr>
            </w:pPr>
            <w:r w:rsidRPr="0049352F">
              <w:rPr>
                <w:sz w:val="20"/>
                <w:szCs w:val="20"/>
              </w:rPr>
              <w:t>3</w:t>
            </w:r>
            <w:r w:rsidR="000B5E04" w:rsidRPr="0049352F">
              <w:rPr>
                <w:sz w:val="20"/>
                <w:szCs w:val="20"/>
              </w:rPr>
              <w:t> </w:t>
            </w:r>
            <w:r w:rsidRPr="0049352F">
              <w:rPr>
                <w:sz w:val="20"/>
                <w:szCs w:val="20"/>
              </w:rPr>
              <w:t>600 %</w:t>
            </w:r>
          </w:p>
        </w:tc>
      </w:tr>
      <w:tr w:rsidR="00B60FDA" w:rsidRPr="0049352F" w14:paraId="04364D22" w14:textId="77777777" w:rsidTr="0063341B">
        <w:tc>
          <w:tcPr>
            <w:tcW w:w="1129" w:type="dxa"/>
            <w:vAlign w:val="center"/>
          </w:tcPr>
          <w:p w14:paraId="347B8C87" w14:textId="77777777" w:rsidR="00B60FDA" w:rsidRPr="0049352F" w:rsidRDefault="00B60FDA" w:rsidP="0063341B">
            <w:pPr>
              <w:jc w:val="center"/>
              <w:rPr>
                <w:sz w:val="20"/>
                <w:szCs w:val="20"/>
              </w:rPr>
            </w:pPr>
            <w:r w:rsidRPr="0049352F">
              <w:rPr>
                <w:sz w:val="20"/>
                <w:szCs w:val="20"/>
              </w:rPr>
              <w:t>CZ07</w:t>
            </w:r>
          </w:p>
        </w:tc>
        <w:tc>
          <w:tcPr>
            <w:tcW w:w="3828" w:type="dxa"/>
            <w:vAlign w:val="center"/>
          </w:tcPr>
          <w:p w14:paraId="02CAED24" w14:textId="77777777" w:rsidR="00B60FDA" w:rsidRPr="0049352F" w:rsidRDefault="00B60FDA" w:rsidP="0063341B">
            <w:pPr>
              <w:rPr>
                <w:sz w:val="20"/>
                <w:szCs w:val="20"/>
              </w:rPr>
            </w:pPr>
            <w:r w:rsidRPr="0049352F">
              <w:rPr>
                <w:sz w:val="20"/>
                <w:szCs w:val="20"/>
              </w:rPr>
              <w:t>Zvýšené kompetence pracovníků vyššího vzdělávání jako výsledek mezinárodní mobility (část EHP)</w:t>
            </w:r>
          </w:p>
        </w:tc>
        <w:tc>
          <w:tcPr>
            <w:tcW w:w="1275" w:type="dxa"/>
            <w:vAlign w:val="center"/>
          </w:tcPr>
          <w:p w14:paraId="3DF8263D" w14:textId="77777777" w:rsidR="00B60FDA" w:rsidRPr="0049352F" w:rsidRDefault="00B60FDA" w:rsidP="0063341B">
            <w:pPr>
              <w:jc w:val="right"/>
              <w:rPr>
                <w:sz w:val="20"/>
                <w:szCs w:val="20"/>
              </w:rPr>
            </w:pPr>
            <w:r w:rsidRPr="0049352F">
              <w:rPr>
                <w:sz w:val="20"/>
                <w:szCs w:val="20"/>
              </w:rPr>
              <w:t>2</w:t>
            </w:r>
          </w:p>
        </w:tc>
        <w:tc>
          <w:tcPr>
            <w:tcW w:w="1418" w:type="dxa"/>
            <w:vAlign w:val="center"/>
          </w:tcPr>
          <w:p w14:paraId="73DFD9C9" w14:textId="77777777" w:rsidR="00B60FDA" w:rsidRPr="0049352F" w:rsidRDefault="00B60FDA" w:rsidP="0063341B">
            <w:pPr>
              <w:jc w:val="right"/>
              <w:rPr>
                <w:sz w:val="20"/>
                <w:szCs w:val="20"/>
              </w:rPr>
            </w:pPr>
            <w:r w:rsidRPr="0049352F">
              <w:rPr>
                <w:sz w:val="20"/>
                <w:szCs w:val="20"/>
              </w:rPr>
              <w:t>17</w:t>
            </w:r>
          </w:p>
        </w:tc>
        <w:tc>
          <w:tcPr>
            <w:tcW w:w="1412" w:type="dxa"/>
            <w:vAlign w:val="center"/>
          </w:tcPr>
          <w:p w14:paraId="6DB2ECE0" w14:textId="77777777" w:rsidR="00B60FDA" w:rsidRPr="0049352F" w:rsidRDefault="00B60FDA" w:rsidP="0063341B">
            <w:pPr>
              <w:jc w:val="right"/>
              <w:rPr>
                <w:sz w:val="20"/>
                <w:szCs w:val="20"/>
              </w:rPr>
            </w:pPr>
            <w:r w:rsidRPr="0049352F">
              <w:rPr>
                <w:sz w:val="20"/>
                <w:szCs w:val="20"/>
              </w:rPr>
              <w:t>850 %</w:t>
            </w:r>
          </w:p>
        </w:tc>
      </w:tr>
      <w:tr w:rsidR="00B60FDA" w:rsidRPr="0049352F" w14:paraId="463D0792" w14:textId="77777777" w:rsidTr="0063341B">
        <w:tc>
          <w:tcPr>
            <w:tcW w:w="1129" w:type="dxa"/>
            <w:vAlign w:val="center"/>
          </w:tcPr>
          <w:p w14:paraId="3239B94A" w14:textId="77777777" w:rsidR="00B60FDA" w:rsidRPr="0049352F" w:rsidRDefault="00B60FDA" w:rsidP="0063341B">
            <w:pPr>
              <w:jc w:val="center"/>
              <w:rPr>
                <w:sz w:val="20"/>
                <w:szCs w:val="20"/>
              </w:rPr>
            </w:pPr>
            <w:r w:rsidRPr="0049352F">
              <w:rPr>
                <w:sz w:val="20"/>
                <w:szCs w:val="20"/>
              </w:rPr>
              <w:t>CZ09</w:t>
            </w:r>
          </w:p>
        </w:tc>
        <w:tc>
          <w:tcPr>
            <w:tcW w:w="3828" w:type="dxa"/>
            <w:vAlign w:val="center"/>
          </w:tcPr>
          <w:p w14:paraId="6B861E9A" w14:textId="77777777" w:rsidR="00B60FDA" w:rsidRPr="0049352F" w:rsidRDefault="00B60FDA" w:rsidP="0063341B">
            <w:pPr>
              <w:rPr>
                <w:sz w:val="20"/>
                <w:szCs w:val="20"/>
              </w:rPr>
            </w:pPr>
            <w:r w:rsidRPr="0049352F">
              <w:rPr>
                <w:sz w:val="20"/>
                <w:szCs w:val="20"/>
              </w:rPr>
              <w:t>Počet zapojených výzkumných pracovnic</w:t>
            </w:r>
          </w:p>
        </w:tc>
        <w:tc>
          <w:tcPr>
            <w:tcW w:w="1275" w:type="dxa"/>
            <w:vAlign w:val="center"/>
          </w:tcPr>
          <w:p w14:paraId="1350E82B" w14:textId="77777777" w:rsidR="00B60FDA" w:rsidRPr="0049352F" w:rsidRDefault="00B60FDA" w:rsidP="0063341B">
            <w:pPr>
              <w:jc w:val="right"/>
              <w:rPr>
                <w:sz w:val="20"/>
                <w:szCs w:val="20"/>
              </w:rPr>
            </w:pPr>
            <w:r w:rsidRPr="0049352F">
              <w:rPr>
                <w:sz w:val="20"/>
                <w:szCs w:val="20"/>
              </w:rPr>
              <w:t>20</w:t>
            </w:r>
          </w:p>
        </w:tc>
        <w:tc>
          <w:tcPr>
            <w:tcW w:w="1418" w:type="dxa"/>
            <w:vAlign w:val="center"/>
          </w:tcPr>
          <w:p w14:paraId="21E77498" w14:textId="77777777" w:rsidR="00B60FDA" w:rsidRPr="0049352F" w:rsidRDefault="00B60FDA" w:rsidP="0063341B">
            <w:pPr>
              <w:jc w:val="right"/>
              <w:rPr>
                <w:sz w:val="20"/>
                <w:szCs w:val="20"/>
              </w:rPr>
            </w:pPr>
            <w:r w:rsidRPr="0049352F">
              <w:rPr>
                <w:sz w:val="20"/>
                <w:szCs w:val="20"/>
              </w:rPr>
              <w:t>206</w:t>
            </w:r>
          </w:p>
        </w:tc>
        <w:tc>
          <w:tcPr>
            <w:tcW w:w="1412" w:type="dxa"/>
            <w:vAlign w:val="center"/>
          </w:tcPr>
          <w:p w14:paraId="47709CD2" w14:textId="7B9D7A09" w:rsidR="00B60FDA" w:rsidRPr="0049352F" w:rsidRDefault="00B60FDA" w:rsidP="0063341B">
            <w:pPr>
              <w:jc w:val="right"/>
              <w:rPr>
                <w:sz w:val="20"/>
                <w:szCs w:val="20"/>
              </w:rPr>
            </w:pPr>
            <w:r w:rsidRPr="0049352F">
              <w:rPr>
                <w:sz w:val="20"/>
                <w:szCs w:val="20"/>
              </w:rPr>
              <w:t>1</w:t>
            </w:r>
            <w:r w:rsidR="000B5E04" w:rsidRPr="0049352F">
              <w:rPr>
                <w:sz w:val="20"/>
                <w:szCs w:val="20"/>
              </w:rPr>
              <w:t> </w:t>
            </w:r>
            <w:r w:rsidRPr="0049352F">
              <w:rPr>
                <w:sz w:val="20"/>
                <w:szCs w:val="20"/>
              </w:rPr>
              <w:t>030 %</w:t>
            </w:r>
          </w:p>
        </w:tc>
      </w:tr>
      <w:tr w:rsidR="00B60FDA" w:rsidRPr="0049352F" w14:paraId="7DA11CCC" w14:textId="77777777" w:rsidTr="0063341B">
        <w:tc>
          <w:tcPr>
            <w:tcW w:w="1129" w:type="dxa"/>
            <w:vAlign w:val="center"/>
          </w:tcPr>
          <w:p w14:paraId="2E58395E" w14:textId="77777777" w:rsidR="00B60FDA" w:rsidRPr="0049352F" w:rsidRDefault="00B60FDA" w:rsidP="0063341B">
            <w:pPr>
              <w:jc w:val="center"/>
              <w:rPr>
                <w:sz w:val="20"/>
                <w:szCs w:val="20"/>
              </w:rPr>
            </w:pPr>
            <w:r w:rsidRPr="0049352F">
              <w:rPr>
                <w:sz w:val="20"/>
                <w:szCs w:val="20"/>
              </w:rPr>
              <w:t>CZ09</w:t>
            </w:r>
          </w:p>
        </w:tc>
        <w:tc>
          <w:tcPr>
            <w:tcW w:w="3828" w:type="dxa"/>
            <w:vAlign w:val="center"/>
          </w:tcPr>
          <w:p w14:paraId="099D9003" w14:textId="272ABBE0" w:rsidR="00B60FDA" w:rsidRPr="0049352F" w:rsidRDefault="00B60FDA" w:rsidP="00876E03">
            <w:pPr>
              <w:rPr>
                <w:sz w:val="20"/>
                <w:szCs w:val="20"/>
              </w:rPr>
            </w:pPr>
            <w:r w:rsidRPr="0049352F">
              <w:rPr>
                <w:sz w:val="20"/>
                <w:szCs w:val="20"/>
              </w:rPr>
              <w:t>Počet zapojených Ph.D. studentů a</w:t>
            </w:r>
            <w:r w:rsidR="00876E03">
              <w:rPr>
                <w:sz w:val="20"/>
                <w:szCs w:val="20"/>
              </w:rPr>
              <w:t> </w:t>
            </w:r>
            <w:r w:rsidRPr="0049352F">
              <w:rPr>
                <w:sz w:val="20"/>
                <w:szCs w:val="20"/>
              </w:rPr>
              <w:t>postgraduálních studentů</w:t>
            </w:r>
          </w:p>
        </w:tc>
        <w:tc>
          <w:tcPr>
            <w:tcW w:w="1275" w:type="dxa"/>
            <w:vAlign w:val="center"/>
          </w:tcPr>
          <w:p w14:paraId="7CAA73CA" w14:textId="77777777" w:rsidR="00B60FDA" w:rsidRPr="0049352F" w:rsidRDefault="00B60FDA" w:rsidP="0063341B">
            <w:pPr>
              <w:jc w:val="right"/>
              <w:rPr>
                <w:sz w:val="20"/>
                <w:szCs w:val="20"/>
              </w:rPr>
            </w:pPr>
            <w:r w:rsidRPr="0049352F">
              <w:rPr>
                <w:sz w:val="20"/>
                <w:szCs w:val="20"/>
              </w:rPr>
              <w:t>20</w:t>
            </w:r>
          </w:p>
        </w:tc>
        <w:tc>
          <w:tcPr>
            <w:tcW w:w="1418" w:type="dxa"/>
            <w:vAlign w:val="center"/>
          </w:tcPr>
          <w:p w14:paraId="32290F22" w14:textId="77777777" w:rsidR="00B60FDA" w:rsidRPr="0049352F" w:rsidRDefault="00B60FDA" w:rsidP="0063341B">
            <w:pPr>
              <w:jc w:val="right"/>
              <w:rPr>
                <w:sz w:val="20"/>
                <w:szCs w:val="20"/>
              </w:rPr>
            </w:pPr>
            <w:r w:rsidRPr="0049352F">
              <w:rPr>
                <w:sz w:val="20"/>
                <w:szCs w:val="20"/>
              </w:rPr>
              <w:t>202</w:t>
            </w:r>
          </w:p>
        </w:tc>
        <w:tc>
          <w:tcPr>
            <w:tcW w:w="1412" w:type="dxa"/>
            <w:vAlign w:val="center"/>
          </w:tcPr>
          <w:p w14:paraId="6C3663D7" w14:textId="64A56299" w:rsidR="00B60FDA" w:rsidRPr="0049352F" w:rsidRDefault="00B60FDA" w:rsidP="0063341B">
            <w:pPr>
              <w:jc w:val="right"/>
              <w:rPr>
                <w:sz w:val="20"/>
                <w:szCs w:val="20"/>
              </w:rPr>
            </w:pPr>
            <w:r w:rsidRPr="0049352F">
              <w:rPr>
                <w:sz w:val="20"/>
                <w:szCs w:val="20"/>
              </w:rPr>
              <w:t>1</w:t>
            </w:r>
            <w:r w:rsidR="000B5E04" w:rsidRPr="0049352F">
              <w:rPr>
                <w:sz w:val="20"/>
                <w:szCs w:val="20"/>
              </w:rPr>
              <w:t> </w:t>
            </w:r>
            <w:r w:rsidRPr="0049352F">
              <w:rPr>
                <w:sz w:val="20"/>
                <w:szCs w:val="20"/>
              </w:rPr>
              <w:t>010 %</w:t>
            </w:r>
          </w:p>
        </w:tc>
      </w:tr>
      <w:tr w:rsidR="00B60FDA" w:rsidRPr="0049352F" w14:paraId="34A7482E" w14:textId="77777777" w:rsidTr="0063341B">
        <w:tc>
          <w:tcPr>
            <w:tcW w:w="1129" w:type="dxa"/>
            <w:vAlign w:val="center"/>
          </w:tcPr>
          <w:p w14:paraId="28DABB51" w14:textId="77777777" w:rsidR="00B60FDA" w:rsidRPr="0049352F" w:rsidRDefault="00B60FDA" w:rsidP="0063341B">
            <w:pPr>
              <w:jc w:val="center"/>
              <w:rPr>
                <w:sz w:val="20"/>
                <w:szCs w:val="20"/>
              </w:rPr>
            </w:pPr>
            <w:r w:rsidRPr="0049352F">
              <w:rPr>
                <w:sz w:val="20"/>
                <w:szCs w:val="20"/>
              </w:rPr>
              <w:t>CZ09</w:t>
            </w:r>
          </w:p>
        </w:tc>
        <w:tc>
          <w:tcPr>
            <w:tcW w:w="3828" w:type="dxa"/>
            <w:vAlign w:val="center"/>
          </w:tcPr>
          <w:p w14:paraId="6A50D9FB" w14:textId="77777777" w:rsidR="00B60FDA" w:rsidRPr="0049352F" w:rsidRDefault="00B60FDA" w:rsidP="0063341B">
            <w:pPr>
              <w:rPr>
                <w:sz w:val="20"/>
                <w:szCs w:val="20"/>
              </w:rPr>
            </w:pPr>
            <w:r w:rsidRPr="0049352F">
              <w:rPr>
                <w:sz w:val="20"/>
                <w:szCs w:val="20"/>
              </w:rPr>
              <w:t>Počet mezinárodně recenzovaných vědeckých publikací</w:t>
            </w:r>
          </w:p>
        </w:tc>
        <w:tc>
          <w:tcPr>
            <w:tcW w:w="1275" w:type="dxa"/>
            <w:vAlign w:val="center"/>
          </w:tcPr>
          <w:p w14:paraId="3AC75DEE" w14:textId="77777777" w:rsidR="00B60FDA" w:rsidRPr="0049352F" w:rsidRDefault="00B60FDA" w:rsidP="0063341B">
            <w:pPr>
              <w:jc w:val="right"/>
              <w:rPr>
                <w:sz w:val="20"/>
                <w:szCs w:val="20"/>
              </w:rPr>
            </w:pPr>
            <w:r w:rsidRPr="0049352F">
              <w:rPr>
                <w:sz w:val="20"/>
                <w:szCs w:val="20"/>
              </w:rPr>
              <w:t>40</w:t>
            </w:r>
          </w:p>
        </w:tc>
        <w:tc>
          <w:tcPr>
            <w:tcW w:w="1418" w:type="dxa"/>
            <w:vAlign w:val="center"/>
          </w:tcPr>
          <w:p w14:paraId="0D6B54F2" w14:textId="77777777" w:rsidR="00B60FDA" w:rsidRPr="0049352F" w:rsidRDefault="00B60FDA" w:rsidP="0063341B">
            <w:pPr>
              <w:jc w:val="right"/>
              <w:rPr>
                <w:sz w:val="20"/>
                <w:szCs w:val="20"/>
              </w:rPr>
            </w:pPr>
            <w:r w:rsidRPr="0049352F">
              <w:rPr>
                <w:sz w:val="20"/>
                <w:szCs w:val="20"/>
              </w:rPr>
              <w:t>228</w:t>
            </w:r>
          </w:p>
        </w:tc>
        <w:tc>
          <w:tcPr>
            <w:tcW w:w="1412" w:type="dxa"/>
            <w:vAlign w:val="center"/>
          </w:tcPr>
          <w:p w14:paraId="69A68773" w14:textId="77777777" w:rsidR="00B60FDA" w:rsidRPr="0049352F" w:rsidRDefault="00B60FDA" w:rsidP="0063341B">
            <w:pPr>
              <w:jc w:val="right"/>
              <w:rPr>
                <w:sz w:val="20"/>
                <w:szCs w:val="20"/>
              </w:rPr>
            </w:pPr>
            <w:r w:rsidRPr="0049352F">
              <w:rPr>
                <w:sz w:val="20"/>
                <w:szCs w:val="20"/>
              </w:rPr>
              <w:t>570 %</w:t>
            </w:r>
          </w:p>
        </w:tc>
      </w:tr>
      <w:tr w:rsidR="00B60FDA" w:rsidRPr="0049352F" w14:paraId="4F87E93A" w14:textId="77777777" w:rsidTr="0063341B">
        <w:tc>
          <w:tcPr>
            <w:tcW w:w="1129" w:type="dxa"/>
            <w:vAlign w:val="center"/>
          </w:tcPr>
          <w:p w14:paraId="1088DACA" w14:textId="77777777" w:rsidR="00B60FDA" w:rsidRPr="0049352F" w:rsidRDefault="00B60FDA" w:rsidP="0063341B">
            <w:pPr>
              <w:jc w:val="center"/>
              <w:rPr>
                <w:sz w:val="20"/>
                <w:szCs w:val="20"/>
              </w:rPr>
            </w:pPr>
            <w:r w:rsidRPr="0049352F">
              <w:rPr>
                <w:sz w:val="20"/>
                <w:szCs w:val="20"/>
              </w:rPr>
              <w:t>CZ11</w:t>
            </w:r>
          </w:p>
        </w:tc>
        <w:tc>
          <w:tcPr>
            <w:tcW w:w="3828" w:type="dxa"/>
            <w:vAlign w:val="center"/>
          </w:tcPr>
          <w:p w14:paraId="6D3E3532" w14:textId="77777777" w:rsidR="00B60FDA" w:rsidRPr="0049352F" w:rsidRDefault="00B60FDA" w:rsidP="0063341B">
            <w:pPr>
              <w:rPr>
                <w:sz w:val="20"/>
                <w:szCs w:val="20"/>
              </w:rPr>
            </w:pPr>
            <w:r w:rsidRPr="0049352F">
              <w:rPr>
                <w:sz w:val="20"/>
                <w:szCs w:val="20"/>
              </w:rPr>
              <w:t xml:space="preserve">Počet pacientů profitujících z kvalitnějších psychiatrických služeb </w:t>
            </w:r>
          </w:p>
        </w:tc>
        <w:tc>
          <w:tcPr>
            <w:tcW w:w="1275" w:type="dxa"/>
            <w:vAlign w:val="center"/>
          </w:tcPr>
          <w:p w14:paraId="068BB9C0" w14:textId="77777777" w:rsidR="00B60FDA" w:rsidRPr="0049352F" w:rsidRDefault="00B60FDA" w:rsidP="0063341B">
            <w:pPr>
              <w:jc w:val="right"/>
              <w:rPr>
                <w:sz w:val="20"/>
                <w:szCs w:val="20"/>
              </w:rPr>
            </w:pPr>
            <w:r w:rsidRPr="0049352F">
              <w:rPr>
                <w:sz w:val="20"/>
                <w:szCs w:val="20"/>
              </w:rPr>
              <w:t>300</w:t>
            </w:r>
          </w:p>
        </w:tc>
        <w:tc>
          <w:tcPr>
            <w:tcW w:w="1418" w:type="dxa"/>
            <w:vAlign w:val="center"/>
          </w:tcPr>
          <w:p w14:paraId="3961B485" w14:textId="1EF59C33" w:rsidR="00B60FDA" w:rsidRPr="0049352F" w:rsidRDefault="00B60FDA" w:rsidP="0063341B">
            <w:pPr>
              <w:jc w:val="right"/>
              <w:rPr>
                <w:sz w:val="20"/>
                <w:szCs w:val="20"/>
              </w:rPr>
            </w:pPr>
            <w:r w:rsidRPr="0049352F">
              <w:rPr>
                <w:sz w:val="20"/>
                <w:szCs w:val="20"/>
              </w:rPr>
              <w:t>4</w:t>
            </w:r>
            <w:r w:rsidR="00876E03">
              <w:rPr>
                <w:sz w:val="20"/>
                <w:szCs w:val="20"/>
              </w:rPr>
              <w:t xml:space="preserve"> </w:t>
            </w:r>
            <w:r w:rsidRPr="0049352F">
              <w:rPr>
                <w:sz w:val="20"/>
                <w:szCs w:val="20"/>
              </w:rPr>
              <w:t>226</w:t>
            </w:r>
          </w:p>
        </w:tc>
        <w:tc>
          <w:tcPr>
            <w:tcW w:w="1412" w:type="dxa"/>
            <w:vAlign w:val="center"/>
          </w:tcPr>
          <w:p w14:paraId="74572DE0" w14:textId="38B76B4C" w:rsidR="00B60FDA" w:rsidRPr="0049352F" w:rsidRDefault="00B60FDA" w:rsidP="0063341B">
            <w:pPr>
              <w:jc w:val="right"/>
              <w:rPr>
                <w:sz w:val="20"/>
                <w:szCs w:val="20"/>
              </w:rPr>
            </w:pPr>
            <w:r w:rsidRPr="0049352F">
              <w:rPr>
                <w:sz w:val="20"/>
                <w:szCs w:val="20"/>
              </w:rPr>
              <w:t>1</w:t>
            </w:r>
            <w:r w:rsidR="000B5E04" w:rsidRPr="0049352F">
              <w:rPr>
                <w:sz w:val="20"/>
                <w:szCs w:val="20"/>
              </w:rPr>
              <w:t> </w:t>
            </w:r>
            <w:r w:rsidRPr="0049352F">
              <w:rPr>
                <w:sz w:val="20"/>
                <w:szCs w:val="20"/>
              </w:rPr>
              <w:t>409 %</w:t>
            </w:r>
          </w:p>
        </w:tc>
      </w:tr>
      <w:tr w:rsidR="00B60FDA" w:rsidRPr="0049352F" w14:paraId="4E85F0D3" w14:textId="77777777" w:rsidTr="0063341B">
        <w:tc>
          <w:tcPr>
            <w:tcW w:w="1129" w:type="dxa"/>
            <w:vAlign w:val="center"/>
          </w:tcPr>
          <w:p w14:paraId="2C0B43D8" w14:textId="77777777" w:rsidR="00B60FDA" w:rsidRPr="0049352F" w:rsidRDefault="00B60FDA" w:rsidP="0063341B">
            <w:pPr>
              <w:jc w:val="center"/>
              <w:rPr>
                <w:sz w:val="20"/>
                <w:szCs w:val="20"/>
              </w:rPr>
            </w:pPr>
            <w:r w:rsidRPr="0049352F">
              <w:rPr>
                <w:sz w:val="20"/>
                <w:szCs w:val="20"/>
              </w:rPr>
              <w:t>CZ11</w:t>
            </w:r>
          </w:p>
        </w:tc>
        <w:tc>
          <w:tcPr>
            <w:tcW w:w="3828" w:type="dxa"/>
            <w:vAlign w:val="center"/>
          </w:tcPr>
          <w:p w14:paraId="47366CEA" w14:textId="77777777" w:rsidR="00B60FDA" w:rsidRPr="0049352F" w:rsidRDefault="00B60FDA" w:rsidP="0063341B">
            <w:pPr>
              <w:rPr>
                <w:sz w:val="20"/>
                <w:szCs w:val="20"/>
              </w:rPr>
            </w:pPr>
            <w:r w:rsidRPr="0049352F">
              <w:rPr>
                <w:sz w:val="20"/>
                <w:szCs w:val="20"/>
              </w:rPr>
              <w:t>Počet dětí profitujících ze zlepšených preventivních opatření</w:t>
            </w:r>
          </w:p>
        </w:tc>
        <w:tc>
          <w:tcPr>
            <w:tcW w:w="1275" w:type="dxa"/>
            <w:vAlign w:val="center"/>
          </w:tcPr>
          <w:p w14:paraId="0DFD36BC" w14:textId="77777777" w:rsidR="00B60FDA" w:rsidRPr="0049352F" w:rsidRDefault="00B60FDA" w:rsidP="0063341B">
            <w:pPr>
              <w:jc w:val="right"/>
              <w:rPr>
                <w:sz w:val="20"/>
                <w:szCs w:val="20"/>
              </w:rPr>
            </w:pPr>
            <w:r w:rsidRPr="0049352F">
              <w:rPr>
                <w:sz w:val="20"/>
                <w:szCs w:val="20"/>
              </w:rPr>
              <w:t>200</w:t>
            </w:r>
          </w:p>
        </w:tc>
        <w:tc>
          <w:tcPr>
            <w:tcW w:w="1418" w:type="dxa"/>
            <w:vAlign w:val="center"/>
          </w:tcPr>
          <w:p w14:paraId="46298916" w14:textId="684CF80A" w:rsidR="00B60FDA" w:rsidRPr="0049352F" w:rsidRDefault="00B60FDA" w:rsidP="0063341B">
            <w:pPr>
              <w:jc w:val="right"/>
              <w:rPr>
                <w:sz w:val="20"/>
                <w:szCs w:val="20"/>
              </w:rPr>
            </w:pPr>
            <w:r w:rsidRPr="0049352F">
              <w:rPr>
                <w:sz w:val="20"/>
                <w:szCs w:val="20"/>
              </w:rPr>
              <w:t>10</w:t>
            </w:r>
            <w:r w:rsidR="00876E03">
              <w:rPr>
                <w:sz w:val="20"/>
                <w:szCs w:val="20"/>
              </w:rPr>
              <w:t xml:space="preserve"> </w:t>
            </w:r>
            <w:r w:rsidRPr="0049352F">
              <w:rPr>
                <w:sz w:val="20"/>
                <w:szCs w:val="20"/>
              </w:rPr>
              <w:t>947</w:t>
            </w:r>
          </w:p>
        </w:tc>
        <w:tc>
          <w:tcPr>
            <w:tcW w:w="1412" w:type="dxa"/>
            <w:vAlign w:val="center"/>
          </w:tcPr>
          <w:p w14:paraId="427CF313" w14:textId="7A28E46F" w:rsidR="00B60FDA" w:rsidRPr="0049352F" w:rsidRDefault="00B60FDA" w:rsidP="0063341B">
            <w:pPr>
              <w:jc w:val="right"/>
              <w:rPr>
                <w:sz w:val="20"/>
                <w:szCs w:val="20"/>
              </w:rPr>
            </w:pPr>
            <w:r w:rsidRPr="0049352F">
              <w:rPr>
                <w:sz w:val="20"/>
                <w:szCs w:val="20"/>
              </w:rPr>
              <w:t>5</w:t>
            </w:r>
            <w:r w:rsidR="000B5E04" w:rsidRPr="0049352F">
              <w:rPr>
                <w:sz w:val="20"/>
                <w:szCs w:val="20"/>
              </w:rPr>
              <w:t> </w:t>
            </w:r>
            <w:r w:rsidRPr="0049352F">
              <w:rPr>
                <w:sz w:val="20"/>
                <w:szCs w:val="20"/>
              </w:rPr>
              <w:t>473 %</w:t>
            </w:r>
          </w:p>
        </w:tc>
      </w:tr>
      <w:tr w:rsidR="00B60FDA" w:rsidRPr="0049352F" w14:paraId="22E3797F" w14:textId="77777777" w:rsidTr="0063341B">
        <w:tc>
          <w:tcPr>
            <w:tcW w:w="1129" w:type="dxa"/>
            <w:vAlign w:val="center"/>
          </w:tcPr>
          <w:p w14:paraId="0374AF17" w14:textId="77777777" w:rsidR="00B60FDA" w:rsidRPr="0049352F" w:rsidRDefault="00B60FDA" w:rsidP="0063341B">
            <w:pPr>
              <w:jc w:val="center"/>
              <w:rPr>
                <w:sz w:val="20"/>
                <w:szCs w:val="20"/>
              </w:rPr>
            </w:pPr>
            <w:r w:rsidRPr="0049352F">
              <w:rPr>
                <w:sz w:val="20"/>
                <w:szCs w:val="20"/>
              </w:rPr>
              <w:t>CZ12</w:t>
            </w:r>
          </w:p>
        </w:tc>
        <w:tc>
          <w:tcPr>
            <w:tcW w:w="3828" w:type="dxa"/>
            <w:vAlign w:val="center"/>
          </w:tcPr>
          <w:p w14:paraId="2E6DB011" w14:textId="78022860" w:rsidR="00B60FDA" w:rsidRPr="0049352F" w:rsidRDefault="00B60FDA" w:rsidP="0063341B">
            <w:pPr>
              <w:rPr>
                <w:sz w:val="20"/>
                <w:szCs w:val="20"/>
              </w:rPr>
            </w:pPr>
            <w:r w:rsidRPr="0049352F">
              <w:rPr>
                <w:sz w:val="20"/>
                <w:szCs w:val="20"/>
              </w:rPr>
              <w:t>Počet kampaní, informačních akcí, včetně publikace tištěných materiálů a jejich distribuce</w:t>
            </w:r>
            <w:r w:rsidR="00876E03">
              <w:rPr>
                <w:sz w:val="20"/>
                <w:szCs w:val="20"/>
              </w:rPr>
              <w:t>,</w:t>
            </w:r>
            <w:r w:rsidRPr="0049352F">
              <w:rPr>
                <w:sz w:val="20"/>
                <w:szCs w:val="20"/>
              </w:rPr>
              <w:t xml:space="preserve"> k tématu rovnosti žen a mužů</w:t>
            </w:r>
          </w:p>
        </w:tc>
        <w:tc>
          <w:tcPr>
            <w:tcW w:w="1275" w:type="dxa"/>
            <w:vAlign w:val="center"/>
          </w:tcPr>
          <w:p w14:paraId="4108442F" w14:textId="77777777" w:rsidR="00B60FDA" w:rsidRPr="0049352F" w:rsidRDefault="00B60FDA" w:rsidP="0063341B">
            <w:pPr>
              <w:jc w:val="right"/>
              <w:rPr>
                <w:sz w:val="20"/>
                <w:szCs w:val="20"/>
              </w:rPr>
            </w:pPr>
            <w:r w:rsidRPr="0049352F">
              <w:rPr>
                <w:sz w:val="20"/>
                <w:szCs w:val="20"/>
              </w:rPr>
              <w:t>30</w:t>
            </w:r>
          </w:p>
        </w:tc>
        <w:tc>
          <w:tcPr>
            <w:tcW w:w="1418" w:type="dxa"/>
            <w:vAlign w:val="center"/>
          </w:tcPr>
          <w:p w14:paraId="752C87E7" w14:textId="77777777" w:rsidR="00B60FDA" w:rsidRPr="0049352F" w:rsidRDefault="00B60FDA" w:rsidP="0063341B">
            <w:pPr>
              <w:jc w:val="right"/>
              <w:rPr>
                <w:sz w:val="20"/>
                <w:szCs w:val="20"/>
              </w:rPr>
            </w:pPr>
            <w:r w:rsidRPr="0049352F">
              <w:rPr>
                <w:sz w:val="20"/>
                <w:szCs w:val="20"/>
              </w:rPr>
              <w:t>335</w:t>
            </w:r>
          </w:p>
        </w:tc>
        <w:tc>
          <w:tcPr>
            <w:tcW w:w="1412" w:type="dxa"/>
            <w:vAlign w:val="center"/>
          </w:tcPr>
          <w:p w14:paraId="48669809" w14:textId="46BA084B" w:rsidR="00B60FDA" w:rsidRPr="0049352F" w:rsidRDefault="00B60FDA" w:rsidP="0063341B">
            <w:pPr>
              <w:jc w:val="right"/>
              <w:rPr>
                <w:sz w:val="20"/>
                <w:szCs w:val="20"/>
              </w:rPr>
            </w:pPr>
            <w:r w:rsidRPr="0049352F">
              <w:rPr>
                <w:sz w:val="20"/>
                <w:szCs w:val="20"/>
              </w:rPr>
              <w:t>1</w:t>
            </w:r>
            <w:r w:rsidR="000B5E04" w:rsidRPr="0049352F">
              <w:rPr>
                <w:sz w:val="20"/>
                <w:szCs w:val="20"/>
              </w:rPr>
              <w:t> </w:t>
            </w:r>
            <w:r w:rsidRPr="0049352F">
              <w:rPr>
                <w:sz w:val="20"/>
                <w:szCs w:val="20"/>
              </w:rPr>
              <w:t>117 %</w:t>
            </w:r>
          </w:p>
        </w:tc>
      </w:tr>
      <w:tr w:rsidR="00B60FDA" w:rsidRPr="0049352F" w14:paraId="202B5BA3" w14:textId="77777777" w:rsidTr="0063341B">
        <w:tc>
          <w:tcPr>
            <w:tcW w:w="1129" w:type="dxa"/>
            <w:vAlign w:val="center"/>
          </w:tcPr>
          <w:p w14:paraId="0BB8CA04" w14:textId="77777777" w:rsidR="00B60FDA" w:rsidRPr="0049352F" w:rsidRDefault="00B60FDA" w:rsidP="0063341B">
            <w:pPr>
              <w:jc w:val="center"/>
              <w:rPr>
                <w:sz w:val="20"/>
                <w:szCs w:val="20"/>
              </w:rPr>
            </w:pPr>
            <w:r w:rsidRPr="0049352F">
              <w:rPr>
                <w:sz w:val="20"/>
                <w:szCs w:val="20"/>
              </w:rPr>
              <w:lastRenderedPageBreak/>
              <w:t>CZ12</w:t>
            </w:r>
          </w:p>
        </w:tc>
        <w:tc>
          <w:tcPr>
            <w:tcW w:w="3828" w:type="dxa"/>
            <w:vAlign w:val="center"/>
          </w:tcPr>
          <w:p w14:paraId="4B2ABCDD" w14:textId="6ED33DFE" w:rsidR="00B60FDA" w:rsidRPr="0049352F" w:rsidRDefault="00B60FDA" w:rsidP="004C4F67">
            <w:pPr>
              <w:rPr>
                <w:sz w:val="20"/>
                <w:szCs w:val="20"/>
              </w:rPr>
            </w:pPr>
            <w:r w:rsidRPr="0049352F">
              <w:rPr>
                <w:sz w:val="20"/>
                <w:szCs w:val="20"/>
              </w:rPr>
              <w:t>Počet případů nově vzniklé či posílení spolupráce mezi organizacemi a</w:t>
            </w:r>
            <w:r w:rsidR="004C4F67">
              <w:rPr>
                <w:sz w:val="20"/>
                <w:szCs w:val="20"/>
              </w:rPr>
              <w:t> </w:t>
            </w:r>
            <w:r w:rsidRPr="0049352F">
              <w:rPr>
                <w:sz w:val="20"/>
                <w:szCs w:val="20"/>
              </w:rPr>
              <w:t>výzkumnými a vzdělávacími institucemi, firmami, sociálními partnery, samosprávou, státní správou, politickými stranami atd., které se zabývají rovností žen a mužů</w:t>
            </w:r>
          </w:p>
        </w:tc>
        <w:tc>
          <w:tcPr>
            <w:tcW w:w="1275" w:type="dxa"/>
            <w:vAlign w:val="center"/>
          </w:tcPr>
          <w:p w14:paraId="419C5A14" w14:textId="77777777" w:rsidR="00B60FDA" w:rsidRPr="0049352F" w:rsidRDefault="00B60FDA" w:rsidP="0063341B">
            <w:pPr>
              <w:jc w:val="right"/>
              <w:rPr>
                <w:sz w:val="20"/>
                <w:szCs w:val="20"/>
              </w:rPr>
            </w:pPr>
            <w:r w:rsidRPr="0049352F">
              <w:rPr>
                <w:sz w:val="20"/>
                <w:szCs w:val="20"/>
              </w:rPr>
              <w:t>15</w:t>
            </w:r>
          </w:p>
        </w:tc>
        <w:tc>
          <w:tcPr>
            <w:tcW w:w="1418" w:type="dxa"/>
            <w:vAlign w:val="center"/>
          </w:tcPr>
          <w:p w14:paraId="26388B68" w14:textId="77777777" w:rsidR="00B60FDA" w:rsidRPr="0049352F" w:rsidRDefault="00B60FDA" w:rsidP="0063341B">
            <w:pPr>
              <w:jc w:val="right"/>
              <w:rPr>
                <w:sz w:val="20"/>
                <w:szCs w:val="20"/>
              </w:rPr>
            </w:pPr>
            <w:r w:rsidRPr="0049352F">
              <w:rPr>
                <w:sz w:val="20"/>
                <w:szCs w:val="20"/>
              </w:rPr>
              <w:t>314</w:t>
            </w:r>
          </w:p>
        </w:tc>
        <w:tc>
          <w:tcPr>
            <w:tcW w:w="1412" w:type="dxa"/>
            <w:vAlign w:val="center"/>
          </w:tcPr>
          <w:p w14:paraId="6248DBF6" w14:textId="16950FC7" w:rsidR="00B60FDA" w:rsidRPr="0049352F" w:rsidRDefault="00B60FDA" w:rsidP="0063341B">
            <w:pPr>
              <w:jc w:val="right"/>
              <w:rPr>
                <w:sz w:val="20"/>
                <w:szCs w:val="20"/>
              </w:rPr>
            </w:pPr>
            <w:r w:rsidRPr="0049352F">
              <w:rPr>
                <w:sz w:val="20"/>
                <w:szCs w:val="20"/>
              </w:rPr>
              <w:t>2</w:t>
            </w:r>
            <w:r w:rsidR="000B5E04" w:rsidRPr="0049352F">
              <w:rPr>
                <w:sz w:val="20"/>
                <w:szCs w:val="20"/>
              </w:rPr>
              <w:t> </w:t>
            </w:r>
            <w:r w:rsidRPr="0049352F">
              <w:rPr>
                <w:sz w:val="20"/>
                <w:szCs w:val="20"/>
              </w:rPr>
              <w:t>093 %</w:t>
            </w:r>
          </w:p>
        </w:tc>
      </w:tr>
      <w:tr w:rsidR="00B60FDA" w:rsidRPr="0049352F" w14:paraId="2FCF9F99" w14:textId="77777777" w:rsidTr="0063341B">
        <w:tc>
          <w:tcPr>
            <w:tcW w:w="1129" w:type="dxa"/>
            <w:vAlign w:val="center"/>
          </w:tcPr>
          <w:p w14:paraId="3A674BF0" w14:textId="77777777" w:rsidR="00B60FDA" w:rsidRPr="0049352F" w:rsidRDefault="00B60FDA" w:rsidP="0063341B">
            <w:pPr>
              <w:jc w:val="center"/>
              <w:rPr>
                <w:sz w:val="20"/>
                <w:szCs w:val="20"/>
              </w:rPr>
            </w:pPr>
            <w:r w:rsidRPr="0049352F">
              <w:rPr>
                <w:sz w:val="20"/>
                <w:szCs w:val="20"/>
              </w:rPr>
              <w:t>CZ12</w:t>
            </w:r>
          </w:p>
        </w:tc>
        <w:tc>
          <w:tcPr>
            <w:tcW w:w="3828" w:type="dxa"/>
            <w:vAlign w:val="center"/>
          </w:tcPr>
          <w:p w14:paraId="27D91A38" w14:textId="77777777" w:rsidR="00B60FDA" w:rsidRPr="0049352F" w:rsidRDefault="00B60FDA" w:rsidP="0063341B">
            <w:pPr>
              <w:rPr>
                <w:sz w:val="20"/>
                <w:szCs w:val="20"/>
              </w:rPr>
            </w:pPr>
            <w:r w:rsidRPr="0049352F">
              <w:rPr>
                <w:sz w:val="20"/>
                <w:szCs w:val="20"/>
              </w:rPr>
              <w:t>Počet mediálních výstupů na téma rovnost žen a mužů publikovaných během jednoho roku a založených na spolupráci několika organizací</w:t>
            </w:r>
          </w:p>
        </w:tc>
        <w:tc>
          <w:tcPr>
            <w:tcW w:w="1275" w:type="dxa"/>
            <w:vAlign w:val="center"/>
          </w:tcPr>
          <w:p w14:paraId="4ECF9CA0" w14:textId="77777777" w:rsidR="00B60FDA" w:rsidRPr="0049352F" w:rsidRDefault="00B60FDA" w:rsidP="0063341B">
            <w:pPr>
              <w:jc w:val="right"/>
              <w:rPr>
                <w:sz w:val="20"/>
                <w:szCs w:val="20"/>
              </w:rPr>
            </w:pPr>
            <w:r w:rsidRPr="0049352F">
              <w:rPr>
                <w:sz w:val="20"/>
                <w:szCs w:val="20"/>
              </w:rPr>
              <w:t>10</w:t>
            </w:r>
          </w:p>
        </w:tc>
        <w:tc>
          <w:tcPr>
            <w:tcW w:w="1418" w:type="dxa"/>
            <w:vAlign w:val="center"/>
          </w:tcPr>
          <w:p w14:paraId="0DB88E81" w14:textId="6DEBF95A" w:rsidR="00B60FDA" w:rsidRPr="0049352F" w:rsidRDefault="00B60FDA" w:rsidP="0063341B">
            <w:pPr>
              <w:jc w:val="right"/>
              <w:rPr>
                <w:sz w:val="20"/>
                <w:szCs w:val="20"/>
              </w:rPr>
            </w:pPr>
            <w:r w:rsidRPr="0049352F">
              <w:rPr>
                <w:sz w:val="20"/>
                <w:szCs w:val="20"/>
              </w:rPr>
              <w:t>1</w:t>
            </w:r>
            <w:r w:rsidR="00876E03">
              <w:rPr>
                <w:sz w:val="20"/>
                <w:szCs w:val="20"/>
              </w:rPr>
              <w:t xml:space="preserve"> </w:t>
            </w:r>
            <w:r w:rsidRPr="0049352F">
              <w:rPr>
                <w:sz w:val="20"/>
                <w:szCs w:val="20"/>
              </w:rPr>
              <w:t>554</w:t>
            </w:r>
          </w:p>
        </w:tc>
        <w:tc>
          <w:tcPr>
            <w:tcW w:w="1412" w:type="dxa"/>
            <w:vAlign w:val="center"/>
          </w:tcPr>
          <w:p w14:paraId="7C3F9F4F" w14:textId="2C34BEEC" w:rsidR="00B60FDA" w:rsidRPr="0049352F" w:rsidRDefault="00B60FDA" w:rsidP="0063341B">
            <w:pPr>
              <w:jc w:val="right"/>
              <w:rPr>
                <w:sz w:val="20"/>
                <w:szCs w:val="20"/>
              </w:rPr>
            </w:pPr>
            <w:r w:rsidRPr="0049352F">
              <w:rPr>
                <w:sz w:val="20"/>
                <w:szCs w:val="20"/>
              </w:rPr>
              <w:t>15</w:t>
            </w:r>
            <w:r w:rsidR="000B5E04" w:rsidRPr="0049352F">
              <w:rPr>
                <w:sz w:val="20"/>
                <w:szCs w:val="20"/>
              </w:rPr>
              <w:t> </w:t>
            </w:r>
            <w:r w:rsidRPr="0049352F">
              <w:rPr>
                <w:sz w:val="20"/>
                <w:szCs w:val="20"/>
              </w:rPr>
              <w:t>540 %</w:t>
            </w:r>
          </w:p>
        </w:tc>
      </w:tr>
      <w:tr w:rsidR="00B60FDA" w:rsidRPr="0049352F" w14:paraId="5FB70E73" w14:textId="77777777" w:rsidTr="0063341B">
        <w:tc>
          <w:tcPr>
            <w:tcW w:w="1129" w:type="dxa"/>
            <w:vAlign w:val="center"/>
          </w:tcPr>
          <w:p w14:paraId="4B2A7AD6" w14:textId="77777777" w:rsidR="00B60FDA" w:rsidRPr="0049352F" w:rsidRDefault="00B60FDA" w:rsidP="0063341B">
            <w:pPr>
              <w:jc w:val="center"/>
              <w:rPr>
                <w:sz w:val="20"/>
                <w:szCs w:val="20"/>
              </w:rPr>
            </w:pPr>
            <w:r w:rsidRPr="0049352F">
              <w:rPr>
                <w:sz w:val="20"/>
                <w:szCs w:val="20"/>
              </w:rPr>
              <w:t>CZ12</w:t>
            </w:r>
          </w:p>
        </w:tc>
        <w:tc>
          <w:tcPr>
            <w:tcW w:w="3828" w:type="dxa"/>
            <w:vAlign w:val="center"/>
          </w:tcPr>
          <w:p w14:paraId="37B73DCF" w14:textId="77777777" w:rsidR="00B60FDA" w:rsidRPr="0049352F" w:rsidRDefault="00B60FDA" w:rsidP="0063341B">
            <w:pPr>
              <w:rPr>
                <w:sz w:val="20"/>
                <w:szCs w:val="20"/>
              </w:rPr>
            </w:pPr>
            <w:r w:rsidRPr="0049352F">
              <w:rPr>
                <w:sz w:val="20"/>
                <w:szCs w:val="20"/>
              </w:rPr>
              <w:t>Počet násilných osob přijatých do terapeutických a resocializačních programů</w:t>
            </w:r>
          </w:p>
        </w:tc>
        <w:tc>
          <w:tcPr>
            <w:tcW w:w="1275" w:type="dxa"/>
            <w:vAlign w:val="center"/>
          </w:tcPr>
          <w:p w14:paraId="0BCAEE6B" w14:textId="77777777" w:rsidR="00B60FDA" w:rsidRPr="0049352F" w:rsidRDefault="00B60FDA" w:rsidP="0063341B">
            <w:pPr>
              <w:jc w:val="right"/>
              <w:rPr>
                <w:sz w:val="20"/>
                <w:szCs w:val="20"/>
              </w:rPr>
            </w:pPr>
            <w:r w:rsidRPr="0049352F">
              <w:rPr>
                <w:sz w:val="20"/>
                <w:szCs w:val="20"/>
              </w:rPr>
              <w:t>20</w:t>
            </w:r>
          </w:p>
        </w:tc>
        <w:tc>
          <w:tcPr>
            <w:tcW w:w="1418" w:type="dxa"/>
            <w:vAlign w:val="center"/>
          </w:tcPr>
          <w:p w14:paraId="0329258A" w14:textId="77777777" w:rsidR="00B60FDA" w:rsidRPr="0049352F" w:rsidRDefault="00B60FDA" w:rsidP="0063341B">
            <w:pPr>
              <w:jc w:val="right"/>
              <w:rPr>
                <w:sz w:val="20"/>
                <w:szCs w:val="20"/>
              </w:rPr>
            </w:pPr>
            <w:r w:rsidRPr="0049352F">
              <w:rPr>
                <w:sz w:val="20"/>
                <w:szCs w:val="20"/>
              </w:rPr>
              <w:t>210</w:t>
            </w:r>
          </w:p>
        </w:tc>
        <w:tc>
          <w:tcPr>
            <w:tcW w:w="1412" w:type="dxa"/>
            <w:vAlign w:val="center"/>
          </w:tcPr>
          <w:p w14:paraId="5C91C81E" w14:textId="6E162706" w:rsidR="00B60FDA" w:rsidRPr="0049352F" w:rsidRDefault="00B60FDA" w:rsidP="0063341B">
            <w:pPr>
              <w:jc w:val="right"/>
              <w:rPr>
                <w:sz w:val="20"/>
                <w:szCs w:val="20"/>
              </w:rPr>
            </w:pPr>
            <w:r w:rsidRPr="0049352F">
              <w:rPr>
                <w:sz w:val="20"/>
                <w:szCs w:val="20"/>
              </w:rPr>
              <w:t>1</w:t>
            </w:r>
            <w:r w:rsidR="000B5E04" w:rsidRPr="0049352F">
              <w:rPr>
                <w:sz w:val="20"/>
                <w:szCs w:val="20"/>
              </w:rPr>
              <w:t> </w:t>
            </w:r>
            <w:r w:rsidRPr="0049352F">
              <w:rPr>
                <w:sz w:val="20"/>
                <w:szCs w:val="20"/>
              </w:rPr>
              <w:t>050 %</w:t>
            </w:r>
          </w:p>
        </w:tc>
      </w:tr>
      <w:tr w:rsidR="00B60FDA" w:rsidRPr="0049352F" w14:paraId="01F44340" w14:textId="77777777" w:rsidTr="0063341B">
        <w:tc>
          <w:tcPr>
            <w:tcW w:w="1129" w:type="dxa"/>
            <w:vAlign w:val="center"/>
          </w:tcPr>
          <w:p w14:paraId="0CB243AC" w14:textId="77777777" w:rsidR="00B60FDA" w:rsidRPr="0049352F" w:rsidRDefault="00B60FDA" w:rsidP="0063341B">
            <w:pPr>
              <w:jc w:val="center"/>
              <w:rPr>
                <w:sz w:val="20"/>
                <w:szCs w:val="20"/>
              </w:rPr>
            </w:pPr>
            <w:r w:rsidRPr="0049352F">
              <w:rPr>
                <w:sz w:val="20"/>
                <w:szCs w:val="20"/>
              </w:rPr>
              <w:t>CZ15</w:t>
            </w:r>
          </w:p>
        </w:tc>
        <w:tc>
          <w:tcPr>
            <w:tcW w:w="3828" w:type="dxa"/>
            <w:vAlign w:val="center"/>
          </w:tcPr>
          <w:p w14:paraId="2DDAD48F" w14:textId="77777777" w:rsidR="00B60FDA" w:rsidRPr="0049352F" w:rsidRDefault="00B60FDA" w:rsidP="0063341B">
            <w:pPr>
              <w:rPr>
                <w:sz w:val="20"/>
                <w:szCs w:val="20"/>
              </w:rPr>
            </w:pPr>
            <w:r w:rsidRPr="0049352F">
              <w:rPr>
                <w:sz w:val="20"/>
                <w:szCs w:val="20"/>
              </w:rPr>
              <w:t>Počet osob účastnících se programů zaměřených na pomoc zranitelným skupinám ve vězení</w:t>
            </w:r>
          </w:p>
        </w:tc>
        <w:tc>
          <w:tcPr>
            <w:tcW w:w="1275" w:type="dxa"/>
            <w:vAlign w:val="center"/>
          </w:tcPr>
          <w:p w14:paraId="3F1938D5" w14:textId="77777777" w:rsidR="00B60FDA" w:rsidRPr="0049352F" w:rsidRDefault="00B60FDA" w:rsidP="0063341B">
            <w:pPr>
              <w:jc w:val="right"/>
              <w:rPr>
                <w:sz w:val="20"/>
                <w:szCs w:val="20"/>
              </w:rPr>
            </w:pPr>
            <w:r w:rsidRPr="0049352F">
              <w:rPr>
                <w:sz w:val="20"/>
                <w:szCs w:val="20"/>
              </w:rPr>
              <w:t>50</w:t>
            </w:r>
          </w:p>
        </w:tc>
        <w:tc>
          <w:tcPr>
            <w:tcW w:w="1418" w:type="dxa"/>
            <w:vAlign w:val="center"/>
          </w:tcPr>
          <w:p w14:paraId="45A616C6" w14:textId="77777777" w:rsidR="00B60FDA" w:rsidRPr="0049352F" w:rsidRDefault="00B60FDA" w:rsidP="0063341B">
            <w:pPr>
              <w:jc w:val="right"/>
              <w:rPr>
                <w:sz w:val="20"/>
                <w:szCs w:val="20"/>
              </w:rPr>
            </w:pPr>
            <w:r w:rsidRPr="0049352F">
              <w:rPr>
                <w:sz w:val="20"/>
                <w:szCs w:val="20"/>
              </w:rPr>
              <w:t>328</w:t>
            </w:r>
          </w:p>
        </w:tc>
        <w:tc>
          <w:tcPr>
            <w:tcW w:w="1412" w:type="dxa"/>
            <w:vAlign w:val="center"/>
          </w:tcPr>
          <w:p w14:paraId="0FC48A24" w14:textId="77777777" w:rsidR="00B60FDA" w:rsidRPr="0049352F" w:rsidRDefault="00B60FDA" w:rsidP="0063341B">
            <w:pPr>
              <w:jc w:val="right"/>
              <w:rPr>
                <w:sz w:val="20"/>
                <w:szCs w:val="20"/>
              </w:rPr>
            </w:pPr>
            <w:r w:rsidRPr="0049352F">
              <w:rPr>
                <w:sz w:val="20"/>
                <w:szCs w:val="20"/>
              </w:rPr>
              <w:t>656 %</w:t>
            </w:r>
          </w:p>
        </w:tc>
      </w:tr>
    </w:tbl>
    <w:p w14:paraId="12C49C42" w14:textId="062EEB41" w:rsidR="00B60FDA" w:rsidRPr="00D44F5B" w:rsidRDefault="00B60FDA" w:rsidP="00B60FDA">
      <w:pPr>
        <w:rPr>
          <w:sz w:val="20"/>
          <w:szCs w:val="20"/>
        </w:rPr>
      </w:pPr>
      <w:r w:rsidRPr="00D44F5B">
        <w:rPr>
          <w:b/>
          <w:sz w:val="20"/>
          <w:szCs w:val="20"/>
        </w:rPr>
        <w:t>Zdroj:</w:t>
      </w:r>
      <w:r w:rsidRPr="00D44F5B">
        <w:rPr>
          <w:sz w:val="20"/>
          <w:szCs w:val="20"/>
        </w:rPr>
        <w:t xml:space="preserve"> výroční zprávy programů, IS CEDR</w:t>
      </w:r>
      <w:r w:rsidR="00D44F5B">
        <w:rPr>
          <w:sz w:val="20"/>
          <w:szCs w:val="20"/>
        </w:rPr>
        <w:t>.</w:t>
      </w:r>
    </w:p>
    <w:p w14:paraId="71A15218" w14:textId="6151322F" w:rsidR="003C5AC9" w:rsidRPr="00D44F5B" w:rsidRDefault="00B60FDA" w:rsidP="004C4F67">
      <w:pPr>
        <w:ind w:left="284" w:hanging="284"/>
        <w:jc w:val="both"/>
        <w:rPr>
          <w:rFonts w:cstheme="minorHAnsi"/>
          <w:sz w:val="20"/>
          <w:szCs w:val="20"/>
        </w:rPr>
      </w:pPr>
      <w:r w:rsidRPr="00D44F5B">
        <w:rPr>
          <w:sz w:val="20"/>
          <w:szCs w:val="20"/>
        </w:rPr>
        <w:t>*</w:t>
      </w:r>
      <w:r w:rsidR="00A12D7A">
        <w:rPr>
          <w:sz w:val="20"/>
          <w:szCs w:val="20"/>
        </w:rPr>
        <w:t xml:space="preserve"> </w:t>
      </w:r>
      <w:r w:rsidR="004C4F67">
        <w:rPr>
          <w:sz w:val="20"/>
          <w:szCs w:val="20"/>
        </w:rPr>
        <w:tab/>
      </w:r>
      <w:r w:rsidR="00A12D7A">
        <w:rPr>
          <w:sz w:val="20"/>
          <w:szCs w:val="20"/>
        </w:rPr>
        <w:t>B</w:t>
      </w:r>
      <w:r w:rsidRPr="00D44F5B">
        <w:rPr>
          <w:sz w:val="20"/>
          <w:szCs w:val="20"/>
        </w:rPr>
        <w:t xml:space="preserve">yly použity hodnoty zahrnující i </w:t>
      </w:r>
      <w:r w:rsidR="004C4F67">
        <w:rPr>
          <w:sz w:val="20"/>
          <w:szCs w:val="20"/>
        </w:rPr>
        <w:t>případy, u nichž je</w:t>
      </w:r>
      <w:r w:rsidR="004C4F67" w:rsidRPr="00D44F5B">
        <w:rPr>
          <w:sz w:val="20"/>
          <w:szCs w:val="20"/>
        </w:rPr>
        <w:t xml:space="preserve"> </w:t>
      </w:r>
      <w:r w:rsidRPr="00D44F5B">
        <w:rPr>
          <w:sz w:val="20"/>
          <w:szCs w:val="20"/>
        </w:rPr>
        <w:t xml:space="preserve">dosažení </w:t>
      </w:r>
      <w:r w:rsidR="004C4F67">
        <w:rPr>
          <w:sz w:val="20"/>
          <w:szCs w:val="20"/>
        </w:rPr>
        <w:t>oprávněně předpokládáno</w:t>
      </w:r>
      <w:r w:rsidR="00AD3D0C">
        <w:rPr>
          <w:sz w:val="20"/>
          <w:szCs w:val="20"/>
        </w:rPr>
        <w:t>.</w:t>
      </w:r>
    </w:p>
    <w:p w14:paraId="14BBD1E4" w14:textId="1785E7F9" w:rsidR="00D44F5B" w:rsidRPr="00D44F5B" w:rsidRDefault="00D44F5B">
      <w:pPr>
        <w:jc w:val="both"/>
        <w:rPr>
          <w:rFonts w:cstheme="minorHAnsi"/>
          <w:sz w:val="20"/>
          <w:szCs w:val="20"/>
        </w:rPr>
      </w:pPr>
    </w:p>
    <w:sectPr w:rsidR="00D44F5B" w:rsidRPr="00D44F5B" w:rsidSect="0047255D">
      <w:pgSz w:w="11907" w:h="16839" w:code="9"/>
      <w:pgMar w:top="1418"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588A8" w14:textId="77777777" w:rsidR="005B1400" w:rsidRDefault="005B1400">
      <w:r>
        <w:separator/>
      </w:r>
    </w:p>
  </w:endnote>
  <w:endnote w:type="continuationSeparator" w:id="0">
    <w:p w14:paraId="228802FB" w14:textId="77777777" w:rsidR="005B1400" w:rsidRDefault="005B1400">
      <w:r>
        <w:continuationSeparator/>
      </w:r>
    </w:p>
  </w:endnote>
  <w:endnote w:type="continuationNotice" w:id="1">
    <w:p w14:paraId="7B932467" w14:textId="77777777" w:rsidR="005B1400" w:rsidRDefault="005B14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20000287" w:usb1="00000001"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FF215" w14:textId="62EF7AF8" w:rsidR="005B1400" w:rsidRPr="00C2708B" w:rsidRDefault="005B1400" w:rsidP="00462F78">
    <w:pPr>
      <w:pStyle w:val="Zpat"/>
      <w:jc w:val="center"/>
      <w:rPr>
        <w:rFonts w:cstheme="minorHAnsi"/>
      </w:rPr>
    </w:pPr>
    <w:r w:rsidRPr="00C2708B">
      <w:rPr>
        <w:rFonts w:cstheme="minorHAnsi"/>
      </w:rPr>
      <w:fldChar w:fldCharType="begin"/>
    </w:r>
    <w:r w:rsidRPr="00C2708B">
      <w:rPr>
        <w:rFonts w:cstheme="minorHAnsi"/>
      </w:rPr>
      <w:instrText xml:space="preserve"> PAGE   \* MERGEFORMAT </w:instrText>
    </w:r>
    <w:r w:rsidRPr="00C2708B">
      <w:rPr>
        <w:rFonts w:cstheme="minorHAnsi"/>
      </w:rPr>
      <w:fldChar w:fldCharType="separate"/>
    </w:r>
    <w:r w:rsidR="00323B98">
      <w:rPr>
        <w:rFonts w:cstheme="minorHAnsi"/>
        <w:noProof/>
      </w:rPr>
      <w:t>21</w:t>
    </w:r>
    <w:r w:rsidRPr="00C2708B">
      <w:rPr>
        <w:rFonts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C2F77" w14:textId="77777777" w:rsidR="005B1400" w:rsidRDefault="005B14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AD2FD" w14:textId="77777777" w:rsidR="005B1400" w:rsidRDefault="005B1400">
      <w:r>
        <w:separator/>
      </w:r>
    </w:p>
  </w:footnote>
  <w:footnote w:type="continuationSeparator" w:id="0">
    <w:p w14:paraId="2820DC35" w14:textId="77777777" w:rsidR="005B1400" w:rsidRDefault="005B1400">
      <w:r>
        <w:continuationSeparator/>
      </w:r>
    </w:p>
  </w:footnote>
  <w:footnote w:type="continuationNotice" w:id="1">
    <w:p w14:paraId="6F9CE987" w14:textId="77777777" w:rsidR="005B1400" w:rsidRDefault="005B1400"/>
  </w:footnote>
  <w:footnote w:id="2">
    <w:p w14:paraId="1E38CC8B" w14:textId="6FDF5F5A" w:rsidR="005B1400" w:rsidRDefault="005B1400" w:rsidP="002451C5">
      <w:pPr>
        <w:pStyle w:val="Textpoznpodarou"/>
        <w:ind w:left="284" w:hanging="284"/>
      </w:pPr>
      <w:r w:rsidRPr="000C112B">
        <w:rPr>
          <w:rStyle w:val="Znakapoznpodarou"/>
        </w:rPr>
        <w:footnoteRef/>
      </w:r>
      <w:r w:rsidRPr="000C112B">
        <w:t xml:space="preserve"> </w:t>
      </w:r>
      <w:r>
        <w:tab/>
      </w:r>
      <w:r w:rsidRPr="000C112B">
        <w:t>Viz příloha č. 2 kontrolního závěru.</w:t>
      </w:r>
    </w:p>
  </w:footnote>
  <w:footnote w:id="3">
    <w:p w14:paraId="2354997E" w14:textId="2BD7DE48" w:rsidR="005B1400" w:rsidRDefault="005B1400" w:rsidP="002451C5">
      <w:pPr>
        <w:pStyle w:val="Textpoznpodarou"/>
        <w:ind w:left="284" w:hanging="284"/>
        <w:jc w:val="both"/>
      </w:pPr>
      <w:r>
        <w:rPr>
          <w:rStyle w:val="Znakapoznpodarou"/>
        </w:rPr>
        <w:footnoteRef/>
      </w:r>
      <w:r>
        <w:t xml:space="preserve"> </w:t>
      </w:r>
      <w:r>
        <w:tab/>
        <w:t>Přepočet na Kč kurzem 26,5 Kč/€.</w:t>
      </w:r>
    </w:p>
  </w:footnote>
  <w:footnote w:id="4">
    <w:p w14:paraId="7E5A28C8" w14:textId="1B7CCA04" w:rsidR="005B1400" w:rsidRPr="006543E2" w:rsidRDefault="005B1400" w:rsidP="002451C5">
      <w:pPr>
        <w:pStyle w:val="Textpoznpodarou"/>
        <w:ind w:left="284" w:hanging="284"/>
      </w:pPr>
      <w:r>
        <w:rPr>
          <w:rStyle w:val="Znakapoznpodarou"/>
        </w:rPr>
        <w:footnoteRef/>
      </w:r>
      <w:r>
        <w:t xml:space="preserve"> </w:t>
      </w:r>
      <w:r>
        <w:tab/>
        <w:t xml:space="preserve">Země poskytující podporu, tj. </w:t>
      </w:r>
      <w:r w:rsidRPr="006543E2">
        <w:t>Norské království, Island a Lichtenštejnské knížectví</w:t>
      </w:r>
      <w:r>
        <w:t>.</w:t>
      </w:r>
    </w:p>
  </w:footnote>
  <w:footnote w:id="5">
    <w:p w14:paraId="58247D86" w14:textId="220CD20A" w:rsidR="005B1400" w:rsidRDefault="005B1400" w:rsidP="00F41523">
      <w:pPr>
        <w:pStyle w:val="Textpoznpodarou"/>
        <w:ind w:left="284" w:hanging="284"/>
      </w:pPr>
      <w:r>
        <w:rPr>
          <w:rStyle w:val="Znakapoznpodarou"/>
        </w:rPr>
        <w:footnoteRef/>
      </w:r>
      <w:r>
        <w:t xml:space="preserve"> </w:t>
      </w:r>
      <w:r>
        <w:tab/>
        <w:t>2 517 409 Kč.</w:t>
      </w:r>
    </w:p>
  </w:footnote>
  <w:footnote w:id="6">
    <w:p w14:paraId="514BC980" w14:textId="58DCDD4B" w:rsidR="005B1400" w:rsidRDefault="005B1400" w:rsidP="002451C5">
      <w:pPr>
        <w:pStyle w:val="Textpoznpodarou"/>
        <w:ind w:left="284" w:hanging="284"/>
        <w:jc w:val="both"/>
      </w:pPr>
      <w:r>
        <w:rPr>
          <w:rStyle w:val="Znakapoznpodarou"/>
        </w:rPr>
        <w:footnoteRef/>
      </w:r>
      <w:r>
        <w:t xml:space="preserve"> </w:t>
      </w:r>
      <w:r>
        <w:tab/>
      </w:r>
      <w:r w:rsidRPr="00060429">
        <w:t>Memorandum o porozumění k implementaci Finančního mechanismu EHP 2009</w:t>
      </w:r>
      <w:r>
        <w:t>–</w:t>
      </w:r>
      <w:r w:rsidRPr="00060429">
        <w:t>2014</w:t>
      </w:r>
      <w:r>
        <w:t xml:space="preserve"> ze dne 17. 6. 2011 a </w:t>
      </w:r>
      <w:r w:rsidRPr="00060429">
        <w:t>Memorandum o porozumění k implementaci Finančního mechanismu Norska 2009</w:t>
      </w:r>
      <w:r>
        <w:t>–2014 ze dne 16. 6. 2011.</w:t>
      </w:r>
    </w:p>
  </w:footnote>
  <w:footnote w:id="7">
    <w:p w14:paraId="0C8D7A1C" w14:textId="057C2C1C" w:rsidR="005B1400" w:rsidRDefault="005B1400" w:rsidP="002451C5">
      <w:pPr>
        <w:pStyle w:val="Textpoznpodarou"/>
        <w:ind w:left="284" w:hanging="284"/>
        <w:jc w:val="both"/>
      </w:pPr>
      <w:r>
        <w:rPr>
          <w:rStyle w:val="Znakapoznpodarou"/>
        </w:rPr>
        <w:footnoteRef/>
      </w:r>
      <w:r>
        <w:t xml:space="preserve"> </w:t>
      </w:r>
      <w:r>
        <w:tab/>
        <w:t>Přepočet kurzem 26,5 Kč/€.</w:t>
      </w:r>
    </w:p>
  </w:footnote>
  <w:footnote w:id="8">
    <w:p w14:paraId="03362983" w14:textId="568F45A9" w:rsidR="005B1400" w:rsidRDefault="005B1400" w:rsidP="002451C5">
      <w:pPr>
        <w:pStyle w:val="Textpoznpodarou"/>
        <w:ind w:left="284" w:hanging="284"/>
        <w:jc w:val="both"/>
      </w:pPr>
      <w:r>
        <w:rPr>
          <w:rStyle w:val="Znakapoznpodarou"/>
        </w:rPr>
        <w:footnoteRef/>
      </w:r>
      <w:r>
        <w:t xml:space="preserve"> </w:t>
      </w:r>
      <w:r>
        <w:tab/>
      </w:r>
      <w:r w:rsidRPr="001E1A03">
        <w:t xml:space="preserve">Jedná se o částku alokace sníženou o náklady poskytujících zemí a o prostředky ve výši </w:t>
      </w:r>
      <w:r>
        <w:t>0,</w:t>
      </w:r>
      <w:r w:rsidRPr="001E1A03">
        <w:t xml:space="preserve">7 </w:t>
      </w:r>
      <w:r>
        <w:t>mil</w:t>
      </w:r>
      <w:r w:rsidRPr="001E1A03">
        <w:t>. € určené na program CZ22 řízený norským zprostředkovatelem (se započítáním těchto prostředků je výše pomoci celkem 131,8 mil. €, přičemž 61,4 mil. € je z FM EHP a 70,4 mil. € z FM Norska)</w:t>
      </w:r>
      <w:r>
        <w:t>. Přepočet kurzem 26,5 Kč/€.</w:t>
      </w:r>
    </w:p>
  </w:footnote>
  <w:footnote w:id="9">
    <w:p w14:paraId="362246E6" w14:textId="59645551" w:rsidR="005B1400" w:rsidRDefault="005B1400" w:rsidP="002451C5">
      <w:pPr>
        <w:pStyle w:val="Textpoznpodarou"/>
        <w:ind w:left="284" w:hanging="284"/>
        <w:jc w:val="both"/>
      </w:pPr>
      <w:r>
        <w:rPr>
          <w:rStyle w:val="Znakapoznpodarou"/>
        </w:rPr>
        <w:footnoteRef/>
      </w:r>
      <w:r>
        <w:t xml:space="preserve"> </w:t>
      </w:r>
      <w:r>
        <w:tab/>
        <w:t xml:space="preserve">Program CZ01 </w:t>
      </w:r>
      <w:r w:rsidRPr="00EE2DF0">
        <w:rPr>
          <w:i/>
        </w:rPr>
        <w:t>Technická asistence</w:t>
      </w:r>
      <w:r>
        <w:t xml:space="preserve"> a </w:t>
      </w:r>
      <w:r w:rsidRPr="00EE2DF0">
        <w:rPr>
          <w:i/>
        </w:rPr>
        <w:t>Fond pro bilaterální spolupráci na národní úrovni</w:t>
      </w:r>
      <w:r>
        <w:t xml:space="preserve">. Program CZ01 řídilo MF. </w:t>
      </w:r>
    </w:p>
  </w:footnote>
  <w:footnote w:id="10">
    <w:p w14:paraId="3BACCC9F" w14:textId="52952B3F" w:rsidR="005B1400" w:rsidRDefault="005B1400" w:rsidP="002451C5">
      <w:pPr>
        <w:pStyle w:val="Textpoznpodarou"/>
        <w:ind w:left="284" w:hanging="284"/>
        <w:jc w:val="both"/>
      </w:pPr>
      <w:r>
        <w:rPr>
          <w:rStyle w:val="Znakapoznpodarou"/>
        </w:rPr>
        <w:footnoteRef/>
      </w:r>
      <w:r>
        <w:t xml:space="preserve"> </w:t>
      </w:r>
      <w:r>
        <w:tab/>
        <w:t xml:space="preserve">Jednalo se o předem určené projekty, jejichž realizace byla odsouhlasena již v rámci schvalování dohody o programu. </w:t>
      </w:r>
    </w:p>
  </w:footnote>
  <w:footnote w:id="11">
    <w:p w14:paraId="42B42FBC" w14:textId="375E7397" w:rsidR="005B1400" w:rsidRDefault="005B1400" w:rsidP="002451C5">
      <w:pPr>
        <w:pStyle w:val="Textpoznpodarou"/>
        <w:ind w:left="284" w:hanging="284"/>
        <w:jc w:val="both"/>
      </w:pPr>
      <w:r>
        <w:rPr>
          <w:rStyle w:val="Znakapoznpodarou"/>
        </w:rPr>
        <w:footnoteRef/>
      </w:r>
      <w:r>
        <w:t xml:space="preserve"> </w:t>
      </w:r>
      <w:r>
        <w:tab/>
        <w:t xml:space="preserve">MGS sloužila k podpoře finančně menších projektů ve stanovené oblasti, jednalo se např. o koncerty, výstavy a podobné akce financované z programu CZ06. </w:t>
      </w:r>
    </w:p>
  </w:footnote>
  <w:footnote w:id="12">
    <w:p w14:paraId="1684CD5A" w14:textId="3D853901" w:rsidR="005B1400" w:rsidRDefault="005B1400" w:rsidP="002451C5">
      <w:pPr>
        <w:pStyle w:val="Textpoznpodarou"/>
        <w:ind w:left="284" w:hanging="284"/>
        <w:jc w:val="both"/>
      </w:pPr>
      <w:r>
        <w:rPr>
          <w:rStyle w:val="Znakapoznpodarou"/>
        </w:rPr>
        <w:footnoteRef/>
      </w:r>
      <w:r>
        <w:t xml:space="preserve"> </w:t>
      </w:r>
      <w:r>
        <w:tab/>
        <w:t xml:space="preserve">Fondy bilaterální spolupráce existovaly u všech programů a tvořily 1,5 % jejich alokace. </w:t>
      </w:r>
    </w:p>
  </w:footnote>
  <w:footnote w:id="13">
    <w:p w14:paraId="19FFBB33" w14:textId="3AE8AA57" w:rsidR="005B1400" w:rsidRDefault="005B1400" w:rsidP="002451C5">
      <w:pPr>
        <w:pStyle w:val="Textpoznpodarou"/>
        <w:ind w:left="284" w:hanging="284"/>
        <w:jc w:val="both"/>
      </w:pPr>
      <w:r>
        <w:rPr>
          <w:rStyle w:val="Znakapoznpodarou"/>
        </w:rPr>
        <w:footnoteRef/>
      </w:r>
      <w:r>
        <w:t xml:space="preserve"> </w:t>
      </w:r>
      <w:r>
        <w:tab/>
        <w:t>Zdroj: MF, únor 2018; čerpání finančních prostředků k 31. 12. 2017, údaje z poslední certifikace.</w:t>
      </w:r>
    </w:p>
  </w:footnote>
  <w:footnote w:id="14">
    <w:p w14:paraId="0622B7B0" w14:textId="5246804B" w:rsidR="005B1400" w:rsidRDefault="005B1400" w:rsidP="002451C5">
      <w:pPr>
        <w:pStyle w:val="Textpoznpodarou"/>
        <w:ind w:left="284" w:hanging="284"/>
        <w:jc w:val="both"/>
      </w:pPr>
      <w:r>
        <w:rPr>
          <w:rStyle w:val="Znakapoznpodarou"/>
        </w:rPr>
        <w:footnoteRef/>
      </w:r>
      <w:r>
        <w:t> </w:t>
      </w:r>
      <w:r>
        <w:tab/>
        <w:t>Do vzorku byly primárně vybrány finančně významnější projekty, které nebyly dosud kontrolovány nebo auditovány.</w:t>
      </w:r>
    </w:p>
  </w:footnote>
  <w:footnote w:id="15">
    <w:p w14:paraId="317F98C1" w14:textId="752DB410" w:rsidR="005B1400" w:rsidRDefault="005B1400" w:rsidP="002451C5">
      <w:pPr>
        <w:pStyle w:val="Textpoznpodarou"/>
        <w:ind w:left="284" w:hanging="284"/>
        <w:jc w:val="both"/>
      </w:pPr>
      <w:r>
        <w:rPr>
          <w:rStyle w:val="Znakapoznpodarou"/>
        </w:rPr>
        <w:footnoteRef/>
      </w:r>
      <w:r>
        <w:t xml:space="preserve"> </w:t>
      </w:r>
      <w:r>
        <w:tab/>
        <w:t>Od p</w:t>
      </w:r>
      <w:r w:rsidRPr="007447AA">
        <w:t>rojekt</w:t>
      </w:r>
      <w:r>
        <w:t>ů</w:t>
      </w:r>
      <w:r w:rsidRPr="007447AA">
        <w:t xml:space="preserve"> z oblast</w:t>
      </w:r>
      <w:r>
        <w:t>i</w:t>
      </w:r>
      <w:r w:rsidRPr="007447AA">
        <w:t xml:space="preserve"> vědy a výzkumu, zdravotnictví, péče o děti, podpory neziskových organizací</w:t>
      </w:r>
      <w:r>
        <w:t>,</w:t>
      </w:r>
      <w:r w:rsidRPr="007447AA">
        <w:t xml:space="preserve"> rovných příležitostí, </w:t>
      </w:r>
      <w:r>
        <w:t xml:space="preserve">podpory </w:t>
      </w:r>
      <w:r w:rsidRPr="007447AA">
        <w:t xml:space="preserve">státní správy (boj proti korupci, zločinu aj.) až po </w:t>
      </w:r>
      <w:r>
        <w:t xml:space="preserve">projekty z oblastí </w:t>
      </w:r>
      <w:r w:rsidRPr="007447AA">
        <w:t>kulturní</w:t>
      </w:r>
      <w:r>
        <w:t>ho</w:t>
      </w:r>
      <w:r w:rsidRPr="007447AA">
        <w:t xml:space="preserve"> dědictví a</w:t>
      </w:r>
      <w:r>
        <w:t> </w:t>
      </w:r>
      <w:r w:rsidRPr="007447AA">
        <w:t>současné</w:t>
      </w:r>
      <w:r>
        <w:t>ho</w:t>
      </w:r>
      <w:r w:rsidRPr="007447AA">
        <w:t xml:space="preserve"> umění.</w:t>
      </w:r>
    </w:p>
  </w:footnote>
  <w:footnote w:id="16">
    <w:p w14:paraId="59168A25" w14:textId="41EF0007" w:rsidR="005B1400" w:rsidRDefault="005B1400" w:rsidP="002451C5">
      <w:pPr>
        <w:pStyle w:val="Textpoznpodarou"/>
        <w:ind w:left="284" w:hanging="284"/>
        <w:jc w:val="both"/>
      </w:pPr>
      <w:r>
        <w:rPr>
          <w:rStyle w:val="Znakapoznpodarou"/>
        </w:rPr>
        <w:footnoteRef/>
      </w:r>
      <w:r>
        <w:t xml:space="preserve"> </w:t>
      </w:r>
      <w:r>
        <w:tab/>
        <w:t>Z těchto programů byl jeden program zaměřen na bilaterální spolupráci a technickou pomoc (p</w:t>
      </w:r>
      <w:r w:rsidRPr="00D23119">
        <w:t xml:space="preserve">rogram CZ01 </w:t>
      </w:r>
      <w:r w:rsidRPr="000E02D0">
        <w:rPr>
          <w:i/>
        </w:rPr>
        <w:t>Technická asistence</w:t>
      </w:r>
      <w:r w:rsidRPr="00D23119">
        <w:t xml:space="preserve"> a </w:t>
      </w:r>
      <w:r w:rsidRPr="000E02D0">
        <w:rPr>
          <w:i/>
        </w:rPr>
        <w:t>Fond pro bilaterální spolupráci na národní úrovni</w:t>
      </w:r>
      <w:r w:rsidRPr="00D23119">
        <w:t>, alokace 2,866 mil. €</w:t>
      </w:r>
      <w:r>
        <w:t>, zprostředkovatel MF), zbývající programy byly zaměřeny tematicky</w:t>
      </w:r>
      <w:r w:rsidRPr="00D23119">
        <w:t>.</w:t>
      </w:r>
      <w:r>
        <w:t xml:space="preserve"> NKÚ kontroloval programy CZ04, CZ06, CZ09, CZ12, CZ14 a CZ15.</w:t>
      </w:r>
    </w:p>
  </w:footnote>
  <w:footnote w:id="17">
    <w:p w14:paraId="5BB847E7" w14:textId="368B93EE" w:rsidR="005B1400" w:rsidRDefault="005B1400" w:rsidP="002451C5">
      <w:pPr>
        <w:pStyle w:val="Textpoznpodarou"/>
        <w:ind w:left="284" w:hanging="284"/>
        <w:jc w:val="both"/>
      </w:pPr>
      <w:r>
        <w:rPr>
          <w:rStyle w:val="Znakapoznpodarou"/>
        </w:rPr>
        <w:footnoteRef/>
      </w:r>
      <w:r>
        <w:t xml:space="preserve"> </w:t>
      </w:r>
      <w:r>
        <w:tab/>
        <w:t>Program C</w:t>
      </w:r>
      <w:r w:rsidRPr="0064284D">
        <w:t xml:space="preserve">Z13 </w:t>
      </w:r>
      <w:r>
        <w:t xml:space="preserve">navíc </w:t>
      </w:r>
      <w:r w:rsidRPr="0064284D">
        <w:t>vycházel ze stejných programových oblastí jako</w:t>
      </w:r>
      <w:r>
        <w:t xml:space="preserve"> program</w:t>
      </w:r>
      <w:r w:rsidRPr="0064284D">
        <w:t xml:space="preserve"> CZ12</w:t>
      </w:r>
      <w:r>
        <w:t xml:space="preserve">. Jediný rozdíl mezi oběma programy představovala právní forma příjemců podpory, v programu CZ13 to byl Úřad vlády, zatímco v programu CZ12 zejména neziskové organizace. Zprostředkovatelem programu CZ12 byla Nadace Open Society </w:t>
      </w:r>
      <w:proofErr w:type="spellStart"/>
      <w:r>
        <w:t>Fund</w:t>
      </w:r>
      <w:proofErr w:type="spellEnd"/>
      <w:r>
        <w:t xml:space="preserve"> Praha, zprostředkovatelem programu CZ13 bylo Ministerstvo financí.</w:t>
      </w:r>
    </w:p>
  </w:footnote>
  <w:footnote w:id="18">
    <w:p w14:paraId="042517CB" w14:textId="09306BF8" w:rsidR="005B1400" w:rsidRDefault="005B1400" w:rsidP="00C33C64">
      <w:pPr>
        <w:pStyle w:val="Textpoznpodarou"/>
        <w:ind w:left="284" w:hanging="284"/>
        <w:jc w:val="both"/>
      </w:pPr>
      <w:r>
        <w:rPr>
          <w:rStyle w:val="Znakapoznpodarou"/>
        </w:rPr>
        <w:footnoteRef/>
      </w:r>
      <w:r>
        <w:t xml:space="preserve"> </w:t>
      </w:r>
      <w:r>
        <w:tab/>
        <w:t xml:space="preserve">MF jako národní kontaktní místo, auditní orgán a certifikační orgán a také jako zprostředkovatel 10 programů. </w:t>
      </w:r>
      <w:r w:rsidRPr="00914377">
        <w:t xml:space="preserve">Dalšími zprostředkovateli byly Ministerstvo školství, mládeže a tělovýchovy, Nadace rozvoje občanské společnosti spolu s Nadací partnerství, Dům zahraniční spolupráce/Národní agentura pro evropské programy a Nadace Open Society </w:t>
      </w:r>
      <w:proofErr w:type="spellStart"/>
      <w:r w:rsidRPr="00914377">
        <w:t>Fund</w:t>
      </w:r>
      <w:proofErr w:type="spellEnd"/>
      <w:r w:rsidRPr="00914377">
        <w:t xml:space="preserve"> Praha. V roli programových partnerů byly Ministerstvo životního prostředí, Ministerstvo práce a sociálních věcí, Ministerstvo kultury, Ministerstvo školství, mládeže a</w:t>
      </w:r>
      <w:r>
        <w:t> </w:t>
      </w:r>
      <w:r w:rsidRPr="00914377">
        <w:t>tělovýchovy, Ministerstvo zdravotnictví, Ministerstvo vnitra, Ministerstvo spravedlnosti a Rada Evropy. Dalších osm zahraničních organizací se podílelo jako partneři</w:t>
      </w:r>
      <w:r>
        <w:t xml:space="preserve"> programů</w:t>
      </w:r>
      <w:r w:rsidRPr="00914377">
        <w:t xml:space="preserve"> </w:t>
      </w:r>
      <w:r>
        <w:t>z </w:t>
      </w:r>
      <w:proofErr w:type="spellStart"/>
      <w:r>
        <w:t>donorských</w:t>
      </w:r>
      <w:proofErr w:type="spellEnd"/>
      <w:r>
        <w:t xml:space="preserve"> </w:t>
      </w:r>
      <w:r w:rsidRPr="00914377">
        <w:t>zemí</w:t>
      </w:r>
      <w:r>
        <w:t xml:space="preserve"> (jednalo se o subjekty, které se spolupodílely formou poradenství na přípravě a/nebo implementaci programů).</w:t>
      </w:r>
    </w:p>
  </w:footnote>
  <w:footnote w:id="19">
    <w:p w14:paraId="46C272CD" w14:textId="07C3780B" w:rsidR="005B1400" w:rsidRDefault="005B1400" w:rsidP="00C33C64">
      <w:pPr>
        <w:pStyle w:val="Textpoznpodarou"/>
        <w:ind w:left="284" w:hanging="284"/>
        <w:jc w:val="both"/>
      </w:pPr>
      <w:r>
        <w:rPr>
          <w:rStyle w:val="Znakapoznpodarou"/>
        </w:rPr>
        <w:footnoteRef/>
      </w:r>
      <w:r>
        <w:t xml:space="preserve"> </w:t>
      </w:r>
      <w:r>
        <w:tab/>
      </w:r>
      <w:r w:rsidRPr="00D77A91">
        <w:t>1,5 % alokace každého programu bylo určeno na dvě opatření fondu pro bilaterální spolupráci. Tzv. opatření „A“ bylo zaměřeno na hledání partnerů pro projekty v přípravném obdob</w:t>
      </w:r>
      <w:r>
        <w:t>í a opatření „B“ sloužilo k navazování a </w:t>
      </w:r>
      <w:r w:rsidRPr="00D77A91">
        <w:t>prohlubování spolupráce, výměn</w:t>
      </w:r>
      <w:r>
        <w:t>ě</w:t>
      </w:r>
      <w:r w:rsidRPr="00D77A91">
        <w:t>, sdílení a přenos</w:t>
      </w:r>
      <w:r>
        <w:t>u</w:t>
      </w:r>
      <w:r w:rsidRPr="00D77A91">
        <w:t xml:space="preserve"> znalostí mezi příjemci grantů a subjekty v</w:t>
      </w:r>
      <w:r>
        <w:t> </w:t>
      </w:r>
      <w:proofErr w:type="spellStart"/>
      <w:r w:rsidRPr="00D77A91">
        <w:t>donorských</w:t>
      </w:r>
      <w:proofErr w:type="spellEnd"/>
      <w:r w:rsidRPr="00D77A91">
        <w:t xml:space="preserve"> zemích během realizace projektů.</w:t>
      </w:r>
    </w:p>
  </w:footnote>
  <w:footnote w:id="20">
    <w:p w14:paraId="44B340D4" w14:textId="1784AA40" w:rsidR="005B1400" w:rsidRDefault="005B1400" w:rsidP="00C33C64">
      <w:pPr>
        <w:pStyle w:val="Textpoznpodarou"/>
        <w:ind w:left="284" w:hanging="284"/>
        <w:jc w:val="both"/>
      </w:pPr>
      <w:r>
        <w:rPr>
          <w:rStyle w:val="Znakapoznpodarou"/>
        </w:rPr>
        <w:footnoteRef/>
      </w:r>
      <w:r>
        <w:t xml:space="preserve"> </w:t>
      </w:r>
      <w:r>
        <w:tab/>
        <w:t>MF podalo žádosti o prodloužení pro část projektů v červenci 2015 a pro další část v září 2015.</w:t>
      </w:r>
    </w:p>
  </w:footnote>
  <w:footnote w:id="21">
    <w:p w14:paraId="7511C030" w14:textId="01D8CF55" w:rsidR="005B1400" w:rsidRDefault="005B1400" w:rsidP="00C33C64">
      <w:pPr>
        <w:pStyle w:val="Textpoznpodarou"/>
        <w:ind w:left="284" w:hanging="284"/>
        <w:jc w:val="both"/>
      </w:pPr>
      <w:r>
        <w:rPr>
          <w:rStyle w:val="Znakapoznpodarou"/>
        </w:rPr>
        <w:footnoteRef/>
      </w:r>
      <w:r>
        <w:t xml:space="preserve"> </w:t>
      </w:r>
      <w:r>
        <w:tab/>
      </w:r>
      <w:r w:rsidRPr="007A4F43">
        <w:rPr>
          <w:i/>
        </w:rPr>
        <w:t xml:space="preserve">List </w:t>
      </w:r>
      <w:proofErr w:type="spellStart"/>
      <w:r w:rsidRPr="007A4F43">
        <w:rPr>
          <w:i/>
        </w:rPr>
        <w:t>of</w:t>
      </w:r>
      <w:proofErr w:type="spellEnd"/>
      <w:r w:rsidRPr="007A4F43">
        <w:rPr>
          <w:i/>
        </w:rPr>
        <w:t xml:space="preserve"> standard </w:t>
      </w:r>
      <w:proofErr w:type="spellStart"/>
      <w:r w:rsidRPr="007A4F43">
        <w:rPr>
          <w:i/>
        </w:rPr>
        <w:t>indicators</w:t>
      </w:r>
      <w:proofErr w:type="spellEnd"/>
      <w:r w:rsidRPr="007A4F43">
        <w:rPr>
          <w:i/>
        </w:rPr>
        <w:t xml:space="preserve"> EEA and </w:t>
      </w:r>
      <w:proofErr w:type="spellStart"/>
      <w:r w:rsidRPr="007A4F43">
        <w:rPr>
          <w:i/>
        </w:rPr>
        <w:t>Norway</w:t>
      </w:r>
      <w:proofErr w:type="spellEnd"/>
      <w:r w:rsidRPr="007A4F43">
        <w:rPr>
          <w:i/>
        </w:rPr>
        <w:t xml:space="preserve"> </w:t>
      </w:r>
      <w:proofErr w:type="spellStart"/>
      <w:r w:rsidRPr="007A4F43">
        <w:rPr>
          <w:i/>
        </w:rPr>
        <w:t>Grants</w:t>
      </w:r>
      <w:proofErr w:type="spellEnd"/>
      <w:r w:rsidRPr="007A4F43">
        <w:rPr>
          <w:i/>
        </w:rPr>
        <w:t xml:space="preserve"> 2009–2014</w:t>
      </w:r>
      <w:r>
        <w:t>.</w:t>
      </w:r>
    </w:p>
  </w:footnote>
  <w:footnote w:id="22">
    <w:p w14:paraId="668A57E8" w14:textId="272235AC" w:rsidR="005B1400" w:rsidRDefault="005B1400" w:rsidP="00C33C64">
      <w:pPr>
        <w:pStyle w:val="Textpoznpodarou"/>
        <w:ind w:left="284" w:hanging="284"/>
        <w:jc w:val="both"/>
      </w:pPr>
      <w:r>
        <w:rPr>
          <w:rStyle w:val="Znakapoznpodarou"/>
        </w:rPr>
        <w:footnoteRef/>
      </w:r>
      <w:r>
        <w:t> </w:t>
      </w:r>
      <w:r>
        <w:tab/>
        <w:t>Míra nesplnění monitorovacích indikátorů je čistě matematickým vyjádřením poměru nedosažených monitorovacích indikátorů k celku. Nevyjadřuje žádnou informaci o úspěšnosti splnění programu jako takového.</w:t>
      </w:r>
    </w:p>
  </w:footnote>
  <w:footnote w:id="23">
    <w:p w14:paraId="0A09163D" w14:textId="74E9AF1C" w:rsidR="005B1400" w:rsidRDefault="005B1400" w:rsidP="00C33C64">
      <w:pPr>
        <w:pStyle w:val="Textpoznpodarou"/>
        <w:ind w:left="284" w:hanging="284"/>
        <w:jc w:val="both"/>
      </w:pPr>
      <w:r>
        <w:rPr>
          <w:rStyle w:val="Znakapoznpodarou"/>
        </w:rPr>
        <w:footnoteRef/>
      </w:r>
      <w:r>
        <w:t xml:space="preserve"> </w:t>
      </w:r>
      <w:r>
        <w:tab/>
        <w:t>V případě 100% čerpání alokace programu CZ01. V době kontroly bylo čerpání programu na úrovni cca 66 %.</w:t>
      </w:r>
    </w:p>
  </w:footnote>
  <w:footnote w:id="24">
    <w:p w14:paraId="51D4766D" w14:textId="0CF12505" w:rsidR="005B1400" w:rsidRDefault="005B1400" w:rsidP="00C33C64">
      <w:pPr>
        <w:pStyle w:val="Textpoznpodarou"/>
        <w:ind w:left="284" w:hanging="284"/>
        <w:jc w:val="both"/>
      </w:pPr>
      <w:r>
        <w:rPr>
          <w:rStyle w:val="Znakapoznpodarou"/>
        </w:rPr>
        <w:footnoteRef/>
      </w:r>
      <w:r>
        <w:t xml:space="preserve"> </w:t>
      </w:r>
      <w:r>
        <w:tab/>
        <w:t>Články 4.1 odst. 2 písm. b) obou nařízení stanoví: „</w:t>
      </w:r>
      <w:r w:rsidRPr="00453D48">
        <w:rPr>
          <w:i/>
        </w:rPr>
        <w:t xml:space="preserve">Řídicí a kontrolní systémy musí zajistit: … b) dodržování zásady oddělení funkcí mezi takovými subjekty a v </w:t>
      </w:r>
      <w:r w:rsidRPr="00453D48">
        <w:rPr>
          <w:b/>
          <w:i/>
        </w:rPr>
        <w:t>rámci každého takového subjektu</w:t>
      </w:r>
      <w:r w:rsidRPr="00453D48">
        <w:rPr>
          <w:i/>
        </w:rPr>
        <w:t>.</w:t>
      </w:r>
      <w:r>
        <w:t>“</w:t>
      </w:r>
    </w:p>
  </w:footnote>
  <w:footnote w:id="25">
    <w:p w14:paraId="6C41BA69" w14:textId="65ADB3F1" w:rsidR="005B1400" w:rsidRDefault="005B1400" w:rsidP="00C33C64">
      <w:pPr>
        <w:pStyle w:val="Textpoznpodarou"/>
        <w:ind w:left="284" w:hanging="284"/>
        <w:jc w:val="both"/>
      </w:pPr>
      <w:r>
        <w:rPr>
          <w:rStyle w:val="Znakapoznpodarou"/>
        </w:rPr>
        <w:footnoteRef/>
      </w:r>
      <w:r>
        <w:t xml:space="preserve"> </w:t>
      </w:r>
      <w:r>
        <w:tab/>
        <w:t xml:space="preserve">Podmínky udržitelnosti spočívaly zejména v uchování a údržbě pořízeného movitého a nemovitého majetku, popř. též v jeho dalším rozvoji. </w:t>
      </w:r>
    </w:p>
  </w:footnote>
  <w:footnote w:id="26">
    <w:p w14:paraId="7AD203FD" w14:textId="2BC9C6EA" w:rsidR="005B1400" w:rsidRDefault="005B1400" w:rsidP="00C33C64">
      <w:pPr>
        <w:pStyle w:val="Textpoznpodarou"/>
        <w:ind w:left="284" w:hanging="284"/>
        <w:jc w:val="both"/>
      </w:pPr>
      <w:r>
        <w:rPr>
          <w:rStyle w:val="Znakapoznpodarou"/>
        </w:rPr>
        <w:footnoteRef/>
      </w:r>
      <w:r>
        <w:t xml:space="preserve"> </w:t>
      </w:r>
      <w:r>
        <w:tab/>
        <w:t>Ustanovení § 11 odst. 4 a § 25 odst. 1 písm. b) zákona č. 320/2001 Sb., o finanční kontrole ve veřejné správě a o změně některých zákonů (zákon o finanční kontrole).</w:t>
      </w:r>
    </w:p>
  </w:footnote>
  <w:footnote w:id="27">
    <w:p w14:paraId="3E24079A" w14:textId="53DD1265" w:rsidR="005B1400" w:rsidRPr="0065724A" w:rsidRDefault="005B1400" w:rsidP="00C33C64">
      <w:pPr>
        <w:pStyle w:val="Textpoznpodarou"/>
        <w:ind w:left="284" w:hanging="284"/>
        <w:jc w:val="both"/>
      </w:pPr>
      <w:r>
        <w:rPr>
          <w:rStyle w:val="Znakapoznpodarou"/>
        </w:rPr>
        <w:footnoteRef/>
      </w:r>
      <w:r>
        <w:t> </w:t>
      </w:r>
      <w:r>
        <w:tab/>
      </w:r>
      <w:r w:rsidRPr="0065724A">
        <w:t xml:space="preserve">Pro účely hodnocení projektů nebyly </w:t>
      </w:r>
      <w:r>
        <w:t>vy</w:t>
      </w:r>
      <w:r w:rsidRPr="0065724A">
        <w:t xml:space="preserve">pracovány manuály, které </w:t>
      </w:r>
      <w:r>
        <w:t xml:space="preserve">by zajistily </w:t>
      </w:r>
      <w:r w:rsidRPr="0065724A">
        <w:t>dodržení jednoznačného</w:t>
      </w:r>
      <w:r>
        <w:t xml:space="preserve"> a </w:t>
      </w:r>
      <w:r w:rsidRPr="0065724A">
        <w:t xml:space="preserve">jednotného výkladu </w:t>
      </w:r>
      <w:r>
        <w:t xml:space="preserve">hodnoticích </w:t>
      </w:r>
      <w:r w:rsidRPr="0065724A">
        <w:t>kritérií hodnotiteli a srovnatelnost hodnocení.</w:t>
      </w:r>
    </w:p>
  </w:footnote>
  <w:footnote w:id="28">
    <w:p w14:paraId="287F1708" w14:textId="3BA31CDA" w:rsidR="005B1400" w:rsidRDefault="005B1400" w:rsidP="00C33C64">
      <w:pPr>
        <w:pStyle w:val="Textpoznpodarou"/>
        <w:ind w:left="284" w:hanging="284"/>
      </w:pPr>
      <w:r>
        <w:rPr>
          <w:rStyle w:val="Znakapoznpodarou"/>
        </w:rPr>
        <w:footnoteRef/>
      </w:r>
      <w:r>
        <w:t xml:space="preserve"> </w:t>
      </w:r>
      <w:r>
        <w:tab/>
      </w:r>
      <w:r w:rsidRPr="00D44BAB">
        <w:t>32 999 Kč</w:t>
      </w:r>
      <w:r>
        <w:t>.</w:t>
      </w:r>
    </w:p>
  </w:footnote>
  <w:footnote w:id="29">
    <w:p w14:paraId="09ED2E34" w14:textId="4B06B651" w:rsidR="005B1400" w:rsidRDefault="005B1400" w:rsidP="00C33C64">
      <w:pPr>
        <w:pStyle w:val="Textpoznpodarou"/>
        <w:ind w:left="284" w:hanging="284"/>
      </w:pPr>
      <w:r>
        <w:rPr>
          <w:rStyle w:val="Znakapoznpodarou"/>
        </w:rPr>
        <w:footnoteRef/>
      </w:r>
      <w:r>
        <w:t xml:space="preserve"> </w:t>
      </w:r>
      <w:r>
        <w:tab/>
      </w:r>
      <w:r w:rsidRPr="00D44BAB">
        <w:t>783 529,84 Kč</w:t>
      </w:r>
      <w:r>
        <w:t>.</w:t>
      </w:r>
    </w:p>
  </w:footnote>
  <w:footnote w:id="30">
    <w:p w14:paraId="390557B0" w14:textId="23EC8011" w:rsidR="005B1400" w:rsidRDefault="005B1400" w:rsidP="00C33C64">
      <w:pPr>
        <w:pStyle w:val="Textpoznpodarou"/>
        <w:ind w:left="284" w:hanging="284"/>
        <w:jc w:val="both"/>
      </w:pPr>
      <w:r>
        <w:rPr>
          <w:rStyle w:val="Znakapoznpodarou"/>
        </w:rPr>
        <w:footnoteRef/>
      </w:r>
      <w:r>
        <w:t> </w:t>
      </w:r>
      <w:r>
        <w:tab/>
        <w:t xml:space="preserve">K vyplacení neoprávněné podpory došlo v důsledku nerespektování stanoveného podílu podpory podle rozhodnutí o poskytnutí institucionální podpory ve výši 72,87 %. </w:t>
      </w:r>
    </w:p>
  </w:footnote>
  <w:footnote w:id="31">
    <w:p w14:paraId="5D9A4668" w14:textId="6AEA2268" w:rsidR="005B1400" w:rsidRDefault="005B1400" w:rsidP="00C33C64">
      <w:pPr>
        <w:pStyle w:val="Textpoznpodarou"/>
        <w:ind w:left="284" w:hanging="284"/>
      </w:pPr>
      <w:r>
        <w:rPr>
          <w:rStyle w:val="Znakapoznpodarou"/>
        </w:rPr>
        <w:footnoteRef/>
      </w:r>
      <w:r>
        <w:t xml:space="preserve"> </w:t>
      </w:r>
      <w:r>
        <w:tab/>
      </w:r>
      <w:r w:rsidRPr="00D44BAB">
        <w:t>1 676 880 Kč</w:t>
      </w:r>
      <w:r>
        <w:t>.</w:t>
      </w:r>
    </w:p>
  </w:footnote>
  <w:footnote w:id="32">
    <w:p w14:paraId="324B0732" w14:textId="73D14B1E" w:rsidR="005B1400" w:rsidRDefault="005B1400" w:rsidP="00C33C64">
      <w:pPr>
        <w:pStyle w:val="Textpoznpodarou"/>
        <w:ind w:left="284" w:hanging="284"/>
      </w:pPr>
      <w:r>
        <w:rPr>
          <w:rStyle w:val="Znakapoznpodarou"/>
        </w:rPr>
        <w:footnoteRef/>
      </w:r>
      <w:r>
        <w:t xml:space="preserve"> </w:t>
      </w:r>
      <w:r>
        <w:tab/>
      </w:r>
      <w:r w:rsidRPr="00D44BAB">
        <w:t>2 517 408,84 Kč</w:t>
      </w:r>
      <w:r>
        <w:t>.</w:t>
      </w:r>
    </w:p>
  </w:footnote>
  <w:footnote w:id="33">
    <w:p w14:paraId="05A7836A" w14:textId="2FD5F17C" w:rsidR="005B1400" w:rsidRPr="00DE54AE" w:rsidRDefault="005B1400" w:rsidP="00C33C64">
      <w:pPr>
        <w:pStyle w:val="Textpoznpodarou"/>
        <w:ind w:left="284" w:hanging="284"/>
        <w:jc w:val="both"/>
      </w:pPr>
      <w:r w:rsidRPr="008C0EFD">
        <w:rPr>
          <w:rStyle w:val="Znakapoznpodarou"/>
        </w:rPr>
        <w:footnoteRef/>
      </w:r>
      <w:r w:rsidRPr="008C0EFD">
        <w:t xml:space="preserve"> </w:t>
      </w:r>
      <w:r>
        <w:tab/>
      </w:r>
      <w:r w:rsidRPr="008C0EFD">
        <w:t>Ustanovení § 11 zákona č. 320/2001 Sb.,</w:t>
      </w:r>
      <w:r w:rsidRPr="004263F1">
        <w:t xml:space="preserve"> o finanční kontrole ve veřejné správě a o změně některých zákonů (zákon o finanční kontrole)</w:t>
      </w:r>
      <w:r>
        <w:t>,</w:t>
      </w:r>
      <w:r w:rsidRPr="008C0EFD">
        <w:t xml:space="preserve"> a ustanovení § 14 vyhlášky č. 416/2004 Sb.</w:t>
      </w:r>
      <w:r>
        <w:t>, kterou se provádí zákon č. 320/2001 Sb.</w:t>
      </w:r>
    </w:p>
  </w:footnote>
  <w:footnote w:id="34">
    <w:p w14:paraId="587FC040" w14:textId="77777777" w:rsidR="005B1400" w:rsidRDefault="005B1400" w:rsidP="00D72AB2">
      <w:pPr>
        <w:pStyle w:val="Textpoznpodarou"/>
        <w:ind w:left="284" w:hanging="284"/>
        <w:jc w:val="both"/>
      </w:pPr>
      <w:r>
        <w:rPr>
          <w:rStyle w:val="Znakapoznpodarou"/>
        </w:rPr>
        <w:footnoteRef/>
      </w:r>
      <w:r>
        <w:t xml:space="preserve"> </w:t>
      </w:r>
      <w:r>
        <w:tab/>
        <w:t>Ustanovení § 17 vyhlášky č. 416/2004 Sb., kterou se provádí zákon č. 320/2001 Sb.</w:t>
      </w:r>
    </w:p>
  </w:footnote>
  <w:footnote w:id="35">
    <w:p w14:paraId="1D153FDA" w14:textId="44768915" w:rsidR="005B1400" w:rsidRDefault="005B1400" w:rsidP="00C33C64">
      <w:pPr>
        <w:pStyle w:val="Textpoznpodarou"/>
        <w:ind w:left="284" w:hanging="284"/>
      </w:pPr>
      <w:r>
        <w:rPr>
          <w:rStyle w:val="Znakapoznpodarou"/>
        </w:rPr>
        <w:footnoteRef/>
      </w:r>
      <w:r>
        <w:t xml:space="preserve"> </w:t>
      </w:r>
      <w:r>
        <w:tab/>
        <w:t>Zjištění se týkalo jednoho projektu z programu CZ06 a jednoho projektu z programu CZ15.</w:t>
      </w:r>
    </w:p>
  </w:footnote>
  <w:footnote w:id="36">
    <w:p w14:paraId="18254585" w14:textId="3D9DEB2D" w:rsidR="005B1400" w:rsidRDefault="005B1400" w:rsidP="00C33C64">
      <w:pPr>
        <w:pStyle w:val="Textpoznpodarou"/>
        <w:ind w:left="284" w:hanging="284"/>
        <w:jc w:val="both"/>
      </w:pPr>
      <w:r>
        <w:rPr>
          <w:rStyle w:val="Znakapoznpodarou"/>
        </w:rPr>
        <w:footnoteRef/>
      </w:r>
      <w:r>
        <w:t xml:space="preserve"> </w:t>
      </w:r>
      <w:r>
        <w:tab/>
        <w:t xml:space="preserve">V jednom případě např. zprostředkovatel programu (MŠMT) zahájil kontrolu projektu až po roce od zjištění nedostatku. </w:t>
      </w:r>
    </w:p>
  </w:footnote>
  <w:footnote w:id="37">
    <w:p w14:paraId="65FFDF88" w14:textId="10F5A6BD" w:rsidR="005B1400" w:rsidRDefault="005B1400" w:rsidP="00C33C64">
      <w:pPr>
        <w:pStyle w:val="Textpoznpodarou"/>
        <w:ind w:left="284" w:hanging="284"/>
      </w:pPr>
      <w:r>
        <w:rPr>
          <w:rStyle w:val="Znakapoznpodarou"/>
        </w:rPr>
        <w:footnoteRef/>
      </w:r>
      <w:r>
        <w:t xml:space="preserve"> </w:t>
      </w:r>
      <w:r>
        <w:tab/>
        <w:t>2 517 409 Kč.</w:t>
      </w:r>
    </w:p>
  </w:footnote>
  <w:footnote w:id="38">
    <w:p w14:paraId="4D7D1498" w14:textId="21CF42FB" w:rsidR="005B1400" w:rsidRDefault="005B1400" w:rsidP="00C33C64">
      <w:pPr>
        <w:pStyle w:val="Textpoznpodarou"/>
        <w:ind w:left="284" w:hanging="284"/>
        <w:jc w:val="both"/>
      </w:pPr>
      <w:r>
        <w:rPr>
          <w:rStyle w:val="Znakapoznpodarou"/>
        </w:rPr>
        <w:footnoteRef/>
      </w:r>
      <w:r>
        <w:t xml:space="preserve"> </w:t>
      </w:r>
      <w:r>
        <w:tab/>
        <w:t xml:space="preserve">Podpora byla proplacena ve výši 23 015 769,5 Kč, což bylo o 783 529,84 Kč více, než na kolik měl příjemce podpory nárok. </w:t>
      </w:r>
    </w:p>
  </w:footnote>
  <w:footnote w:id="39">
    <w:p w14:paraId="56ED1C6E" w14:textId="27495946" w:rsidR="005B1400" w:rsidRDefault="005B1400" w:rsidP="00C33C64">
      <w:pPr>
        <w:pStyle w:val="Textpoznpodarou"/>
        <w:ind w:left="284" w:hanging="284"/>
      </w:pPr>
      <w:r>
        <w:rPr>
          <w:rStyle w:val="Znakapoznpodarou"/>
        </w:rPr>
        <w:footnoteRef/>
      </w:r>
      <w:r>
        <w:t xml:space="preserve"> </w:t>
      </w:r>
      <w:r>
        <w:tab/>
        <w:t xml:space="preserve">1 676 880 Kč; jedná se o výši výdajů souvisejících s předmětnými veřejnými zakázkami malého rozsahu. </w:t>
      </w:r>
    </w:p>
  </w:footnote>
  <w:footnote w:id="40">
    <w:p w14:paraId="62965A10" w14:textId="47774357" w:rsidR="005B1400" w:rsidRDefault="005B1400" w:rsidP="00C33C64">
      <w:pPr>
        <w:pStyle w:val="Textpoznpodarou"/>
        <w:ind w:left="284" w:hanging="284"/>
        <w:jc w:val="both"/>
      </w:pPr>
      <w:r>
        <w:rPr>
          <w:rStyle w:val="Znakapoznpodarou"/>
        </w:rPr>
        <w:footnoteRef/>
      </w:r>
      <w:r>
        <w:t xml:space="preserve"> </w:t>
      </w:r>
      <w:r>
        <w:tab/>
        <w:t xml:space="preserve">Program podpoří institucionální spolupráci mezi </w:t>
      </w:r>
      <w:proofErr w:type="spellStart"/>
      <w:r>
        <w:t>donorskými</w:t>
      </w:r>
      <w:proofErr w:type="spellEnd"/>
      <w:r>
        <w:t xml:space="preserve"> státy a Českou republikou v oblasti vzdělávání. Program se zaměřuje na vznik vhodných základů pro úspěšné partnerství mezi institucemi a jednotlivci z </w:t>
      </w:r>
      <w:proofErr w:type="spellStart"/>
      <w:r>
        <w:t>donorských</w:t>
      </w:r>
      <w:proofErr w:type="spellEnd"/>
      <w:r>
        <w:t xml:space="preserve"> států a České republiky zapojenými v oblasti vzdělávání.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8563D"/>
    <w:multiLevelType w:val="hybridMultilevel"/>
    <w:tmpl w:val="E1646C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FE468B"/>
    <w:multiLevelType w:val="hybridMultilevel"/>
    <w:tmpl w:val="4F2EEE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8D29CA"/>
    <w:multiLevelType w:val="hybridMultilevel"/>
    <w:tmpl w:val="AD94A1D4"/>
    <w:lvl w:ilvl="0" w:tplc="60DEB610">
      <w:start w:val="1"/>
      <w:numFmt w:val="bullet"/>
      <w:lvlText w:val=""/>
      <w:lvlJc w:val="left"/>
      <w:pPr>
        <w:ind w:left="720" w:hanging="360"/>
      </w:pPr>
      <w:rPr>
        <w:rFonts w:ascii="Symbol" w:hAnsi="Symbol" w:hint="default"/>
      </w:rPr>
    </w:lvl>
    <w:lvl w:ilvl="1" w:tplc="1B70E974" w:tentative="1">
      <w:start w:val="1"/>
      <w:numFmt w:val="bullet"/>
      <w:lvlText w:val="o"/>
      <w:lvlJc w:val="left"/>
      <w:pPr>
        <w:ind w:left="1440" w:hanging="360"/>
      </w:pPr>
      <w:rPr>
        <w:rFonts w:ascii="Courier New" w:hAnsi="Courier New" w:cs="Courier New" w:hint="default"/>
      </w:rPr>
    </w:lvl>
    <w:lvl w:ilvl="2" w:tplc="CE4CF410" w:tentative="1">
      <w:start w:val="1"/>
      <w:numFmt w:val="bullet"/>
      <w:lvlText w:val=""/>
      <w:lvlJc w:val="left"/>
      <w:pPr>
        <w:ind w:left="2160" w:hanging="360"/>
      </w:pPr>
      <w:rPr>
        <w:rFonts w:ascii="Wingdings" w:hAnsi="Wingdings" w:hint="default"/>
      </w:rPr>
    </w:lvl>
    <w:lvl w:ilvl="3" w:tplc="A600CF40" w:tentative="1">
      <w:start w:val="1"/>
      <w:numFmt w:val="bullet"/>
      <w:lvlText w:val=""/>
      <w:lvlJc w:val="left"/>
      <w:pPr>
        <w:ind w:left="2880" w:hanging="360"/>
      </w:pPr>
      <w:rPr>
        <w:rFonts w:ascii="Symbol" w:hAnsi="Symbol" w:hint="default"/>
      </w:rPr>
    </w:lvl>
    <w:lvl w:ilvl="4" w:tplc="84089A82" w:tentative="1">
      <w:start w:val="1"/>
      <w:numFmt w:val="bullet"/>
      <w:lvlText w:val="o"/>
      <w:lvlJc w:val="left"/>
      <w:pPr>
        <w:ind w:left="3600" w:hanging="360"/>
      </w:pPr>
      <w:rPr>
        <w:rFonts w:ascii="Courier New" w:hAnsi="Courier New" w:cs="Courier New" w:hint="default"/>
      </w:rPr>
    </w:lvl>
    <w:lvl w:ilvl="5" w:tplc="D946045C" w:tentative="1">
      <w:start w:val="1"/>
      <w:numFmt w:val="bullet"/>
      <w:lvlText w:val=""/>
      <w:lvlJc w:val="left"/>
      <w:pPr>
        <w:ind w:left="4320" w:hanging="360"/>
      </w:pPr>
      <w:rPr>
        <w:rFonts w:ascii="Wingdings" w:hAnsi="Wingdings" w:hint="default"/>
      </w:rPr>
    </w:lvl>
    <w:lvl w:ilvl="6" w:tplc="A992E55A" w:tentative="1">
      <w:start w:val="1"/>
      <w:numFmt w:val="bullet"/>
      <w:lvlText w:val=""/>
      <w:lvlJc w:val="left"/>
      <w:pPr>
        <w:ind w:left="5040" w:hanging="360"/>
      </w:pPr>
      <w:rPr>
        <w:rFonts w:ascii="Symbol" w:hAnsi="Symbol" w:hint="default"/>
      </w:rPr>
    </w:lvl>
    <w:lvl w:ilvl="7" w:tplc="485421AC" w:tentative="1">
      <w:start w:val="1"/>
      <w:numFmt w:val="bullet"/>
      <w:lvlText w:val="o"/>
      <w:lvlJc w:val="left"/>
      <w:pPr>
        <w:ind w:left="5760" w:hanging="360"/>
      </w:pPr>
      <w:rPr>
        <w:rFonts w:ascii="Courier New" w:hAnsi="Courier New" w:cs="Courier New" w:hint="default"/>
      </w:rPr>
    </w:lvl>
    <w:lvl w:ilvl="8" w:tplc="15B629E4" w:tentative="1">
      <w:start w:val="1"/>
      <w:numFmt w:val="bullet"/>
      <w:lvlText w:val=""/>
      <w:lvlJc w:val="left"/>
      <w:pPr>
        <w:ind w:left="6480" w:hanging="360"/>
      </w:pPr>
      <w:rPr>
        <w:rFonts w:ascii="Wingdings" w:hAnsi="Wingdings" w:hint="default"/>
      </w:rPr>
    </w:lvl>
  </w:abstractNum>
  <w:abstractNum w:abstractNumId="3" w15:restartNumberingAfterBreak="0">
    <w:nsid w:val="079A3D48"/>
    <w:multiLevelType w:val="hybridMultilevel"/>
    <w:tmpl w:val="8B6E6EB2"/>
    <w:lvl w:ilvl="0" w:tplc="FB64C888">
      <w:start w:val="1"/>
      <w:numFmt w:val="bullet"/>
      <w:lvlText w:val=""/>
      <w:lvlJc w:val="left"/>
      <w:pPr>
        <w:ind w:left="780" w:hanging="360"/>
      </w:pPr>
      <w:rPr>
        <w:rFonts w:ascii="Symbol" w:hAnsi="Symbol" w:hint="default"/>
      </w:rPr>
    </w:lvl>
    <w:lvl w:ilvl="1" w:tplc="975AC1B8" w:tentative="1">
      <w:start w:val="1"/>
      <w:numFmt w:val="bullet"/>
      <w:lvlText w:val="o"/>
      <w:lvlJc w:val="left"/>
      <w:pPr>
        <w:ind w:left="1500" w:hanging="360"/>
      </w:pPr>
      <w:rPr>
        <w:rFonts w:ascii="Courier New" w:hAnsi="Courier New" w:cs="Courier New" w:hint="default"/>
      </w:rPr>
    </w:lvl>
    <w:lvl w:ilvl="2" w:tplc="276CA75A" w:tentative="1">
      <w:start w:val="1"/>
      <w:numFmt w:val="bullet"/>
      <w:lvlText w:val=""/>
      <w:lvlJc w:val="left"/>
      <w:pPr>
        <w:ind w:left="2220" w:hanging="360"/>
      </w:pPr>
      <w:rPr>
        <w:rFonts w:ascii="Wingdings" w:hAnsi="Wingdings" w:hint="default"/>
      </w:rPr>
    </w:lvl>
    <w:lvl w:ilvl="3" w:tplc="99806220" w:tentative="1">
      <w:start w:val="1"/>
      <w:numFmt w:val="bullet"/>
      <w:lvlText w:val=""/>
      <w:lvlJc w:val="left"/>
      <w:pPr>
        <w:ind w:left="2940" w:hanging="360"/>
      </w:pPr>
      <w:rPr>
        <w:rFonts w:ascii="Symbol" w:hAnsi="Symbol" w:hint="default"/>
      </w:rPr>
    </w:lvl>
    <w:lvl w:ilvl="4" w:tplc="F830D15A" w:tentative="1">
      <w:start w:val="1"/>
      <w:numFmt w:val="bullet"/>
      <w:lvlText w:val="o"/>
      <w:lvlJc w:val="left"/>
      <w:pPr>
        <w:ind w:left="3660" w:hanging="360"/>
      </w:pPr>
      <w:rPr>
        <w:rFonts w:ascii="Courier New" w:hAnsi="Courier New" w:cs="Courier New" w:hint="default"/>
      </w:rPr>
    </w:lvl>
    <w:lvl w:ilvl="5" w:tplc="08BA4ABA" w:tentative="1">
      <w:start w:val="1"/>
      <w:numFmt w:val="bullet"/>
      <w:lvlText w:val=""/>
      <w:lvlJc w:val="left"/>
      <w:pPr>
        <w:ind w:left="4380" w:hanging="360"/>
      </w:pPr>
      <w:rPr>
        <w:rFonts w:ascii="Wingdings" w:hAnsi="Wingdings" w:hint="default"/>
      </w:rPr>
    </w:lvl>
    <w:lvl w:ilvl="6" w:tplc="20D266F8" w:tentative="1">
      <w:start w:val="1"/>
      <w:numFmt w:val="bullet"/>
      <w:lvlText w:val=""/>
      <w:lvlJc w:val="left"/>
      <w:pPr>
        <w:ind w:left="5100" w:hanging="360"/>
      </w:pPr>
      <w:rPr>
        <w:rFonts w:ascii="Symbol" w:hAnsi="Symbol" w:hint="default"/>
      </w:rPr>
    </w:lvl>
    <w:lvl w:ilvl="7" w:tplc="93FC9302" w:tentative="1">
      <w:start w:val="1"/>
      <w:numFmt w:val="bullet"/>
      <w:lvlText w:val="o"/>
      <w:lvlJc w:val="left"/>
      <w:pPr>
        <w:ind w:left="5820" w:hanging="360"/>
      </w:pPr>
      <w:rPr>
        <w:rFonts w:ascii="Courier New" w:hAnsi="Courier New" w:cs="Courier New" w:hint="default"/>
      </w:rPr>
    </w:lvl>
    <w:lvl w:ilvl="8" w:tplc="2A50C384" w:tentative="1">
      <w:start w:val="1"/>
      <w:numFmt w:val="bullet"/>
      <w:lvlText w:val=""/>
      <w:lvlJc w:val="left"/>
      <w:pPr>
        <w:ind w:left="6540" w:hanging="360"/>
      </w:pPr>
      <w:rPr>
        <w:rFonts w:ascii="Wingdings" w:hAnsi="Wingdings" w:hint="default"/>
      </w:rPr>
    </w:lvl>
  </w:abstractNum>
  <w:abstractNum w:abstractNumId="4" w15:restartNumberingAfterBreak="0">
    <w:nsid w:val="0A325DF8"/>
    <w:multiLevelType w:val="hybridMultilevel"/>
    <w:tmpl w:val="55F62E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CB09B1"/>
    <w:multiLevelType w:val="hybridMultilevel"/>
    <w:tmpl w:val="144E5BFA"/>
    <w:lvl w:ilvl="0" w:tplc="F1F04DAC">
      <w:start w:val="1"/>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2B6F80"/>
    <w:multiLevelType w:val="hybridMultilevel"/>
    <w:tmpl w:val="8E6AF3F2"/>
    <w:lvl w:ilvl="0" w:tplc="5172F6A8">
      <w:start w:val="1"/>
      <w:numFmt w:val="bullet"/>
      <w:lvlText w:val=""/>
      <w:lvlJc w:val="left"/>
      <w:pPr>
        <w:ind w:left="720" w:hanging="360"/>
      </w:pPr>
      <w:rPr>
        <w:rFonts w:ascii="Wingdings" w:hAnsi="Wingdings" w:hint="default"/>
      </w:rPr>
    </w:lvl>
    <w:lvl w:ilvl="1" w:tplc="384C1756" w:tentative="1">
      <w:start w:val="1"/>
      <w:numFmt w:val="bullet"/>
      <w:lvlText w:val="o"/>
      <w:lvlJc w:val="left"/>
      <w:pPr>
        <w:ind w:left="1440" w:hanging="360"/>
      </w:pPr>
      <w:rPr>
        <w:rFonts w:ascii="Courier New" w:hAnsi="Courier New" w:cs="Courier New" w:hint="default"/>
      </w:rPr>
    </w:lvl>
    <w:lvl w:ilvl="2" w:tplc="93CEDCB8" w:tentative="1">
      <w:start w:val="1"/>
      <w:numFmt w:val="bullet"/>
      <w:lvlText w:val=""/>
      <w:lvlJc w:val="left"/>
      <w:pPr>
        <w:ind w:left="2160" w:hanging="360"/>
      </w:pPr>
      <w:rPr>
        <w:rFonts w:ascii="Wingdings" w:hAnsi="Wingdings" w:hint="default"/>
      </w:rPr>
    </w:lvl>
    <w:lvl w:ilvl="3" w:tplc="131EB7F4" w:tentative="1">
      <w:start w:val="1"/>
      <w:numFmt w:val="bullet"/>
      <w:lvlText w:val=""/>
      <w:lvlJc w:val="left"/>
      <w:pPr>
        <w:ind w:left="2880" w:hanging="360"/>
      </w:pPr>
      <w:rPr>
        <w:rFonts w:ascii="Symbol" w:hAnsi="Symbol" w:hint="default"/>
      </w:rPr>
    </w:lvl>
    <w:lvl w:ilvl="4" w:tplc="8B8ACA24" w:tentative="1">
      <w:start w:val="1"/>
      <w:numFmt w:val="bullet"/>
      <w:lvlText w:val="o"/>
      <w:lvlJc w:val="left"/>
      <w:pPr>
        <w:ind w:left="3600" w:hanging="360"/>
      </w:pPr>
      <w:rPr>
        <w:rFonts w:ascii="Courier New" w:hAnsi="Courier New" w:cs="Courier New" w:hint="default"/>
      </w:rPr>
    </w:lvl>
    <w:lvl w:ilvl="5" w:tplc="5706E00C" w:tentative="1">
      <w:start w:val="1"/>
      <w:numFmt w:val="bullet"/>
      <w:lvlText w:val=""/>
      <w:lvlJc w:val="left"/>
      <w:pPr>
        <w:ind w:left="4320" w:hanging="360"/>
      </w:pPr>
      <w:rPr>
        <w:rFonts w:ascii="Wingdings" w:hAnsi="Wingdings" w:hint="default"/>
      </w:rPr>
    </w:lvl>
    <w:lvl w:ilvl="6" w:tplc="B8BC81A0" w:tentative="1">
      <w:start w:val="1"/>
      <w:numFmt w:val="bullet"/>
      <w:lvlText w:val=""/>
      <w:lvlJc w:val="left"/>
      <w:pPr>
        <w:ind w:left="5040" w:hanging="360"/>
      </w:pPr>
      <w:rPr>
        <w:rFonts w:ascii="Symbol" w:hAnsi="Symbol" w:hint="default"/>
      </w:rPr>
    </w:lvl>
    <w:lvl w:ilvl="7" w:tplc="57A01B00" w:tentative="1">
      <w:start w:val="1"/>
      <w:numFmt w:val="bullet"/>
      <w:lvlText w:val="o"/>
      <w:lvlJc w:val="left"/>
      <w:pPr>
        <w:ind w:left="5760" w:hanging="360"/>
      </w:pPr>
      <w:rPr>
        <w:rFonts w:ascii="Courier New" w:hAnsi="Courier New" w:cs="Courier New" w:hint="default"/>
      </w:rPr>
    </w:lvl>
    <w:lvl w:ilvl="8" w:tplc="41B2C1DA" w:tentative="1">
      <w:start w:val="1"/>
      <w:numFmt w:val="bullet"/>
      <w:lvlText w:val=""/>
      <w:lvlJc w:val="left"/>
      <w:pPr>
        <w:ind w:left="6480" w:hanging="360"/>
      </w:pPr>
      <w:rPr>
        <w:rFonts w:ascii="Wingdings" w:hAnsi="Wingdings" w:hint="default"/>
      </w:rPr>
    </w:lvl>
  </w:abstractNum>
  <w:abstractNum w:abstractNumId="7" w15:restartNumberingAfterBreak="0">
    <w:nsid w:val="0D801A45"/>
    <w:multiLevelType w:val="hybridMultilevel"/>
    <w:tmpl w:val="0952DA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E561B64"/>
    <w:multiLevelType w:val="hybridMultilevel"/>
    <w:tmpl w:val="1C4AC11C"/>
    <w:lvl w:ilvl="0" w:tplc="6504B1B6">
      <w:start w:val="1"/>
      <w:numFmt w:val="bullet"/>
      <w:lvlText w:val=""/>
      <w:lvlJc w:val="left"/>
      <w:pPr>
        <w:ind w:left="720" w:hanging="360"/>
      </w:pPr>
      <w:rPr>
        <w:rFonts w:ascii="Wingdings" w:hAnsi="Wingdings" w:hint="default"/>
      </w:rPr>
    </w:lvl>
    <w:lvl w:ilvl="1" w:tplc="1AA6BD9A" w:tentative="1">
      <w:start w:val="1"/>
      <w:numFmt w:val="bullet"/>
      <w:lvlText w:val="o"/>
      <w:lvlJc w:val="left"/>
      <w:pPr>
        <w:ind w:left="1440" w:hanging="360"/>
      </w:pPr>
      <w:rPr>
        <w:rFonts w:ascii="Courier New" w:hAnsi="Courier New" w:cs="Courier New" w:hint="default"/>
      </w:rPr>
    </w:lvl>
    <w:lvl w:ilvl="2" w:tplc="5BEA8258" w:tentative="1">
      <w:start w:val="1"/>
      <w:numFmt w:val="bullet"/>
      <w:lvlText w:val=""/>
      <w:lvlJc w:val="left"/>
      <w:pPr>
        <w:ind w:left="2160" w:hanging="360"/>
      </w:pPr>
      <w:rPr>
        <w:rFonts w:ascii="Wingdings" w:hAnsi="Wingdings" w:hint="default"/>
      </w:rPr>
    </w:lvl>
    <w:lvl w:ilvl="3" w:tplc="064E1C4E" w:tentative="1">
      <w:start w:val="1"/>
      <w:numFmt w:val="bullet"/>
      <w:lvlText w:val=""/>
      <w:lvlJc w:val="left"/>
      <w:pPr>
        <w:ind w:left="2880" w:hanging="360"/>
      </w:pPr>
      <w:rPr>
        <w:rFonts w:ascii="Symbol" w:hAnsi="Symbol" w:hint="default"/>
      </w:rPr>
    </w:lvl>
    <w:lvl w:ilvl="4" w:tplc="3D7C2940" w:tentative="1">
      <w:start w:val="1"/>
      <w:numFmt w:val="bullet"/>
      <w:lvlText w:val="o"/>
      <w:lvlJc w:val="left"/>
      <w:pPr>
        <w:ind w:left="3600" w:hanging="360"/>
      </w:pPr>
      <w:rPr>
        <w:rFonts w:ascii="Courier New" w:hAnsi="Courier New" w:cs="Courier New" w:hint="default"/>
      </w:rPr>
    </w:lvl>
    <w:lvl w:ilvl="5" w:tplc="DA8A9266" w:tentative="1">
      <w:start w:val="1"/>
      <w:numFmt w:val="bullet"/>
      <w:lvlText w:val=""/>
      <w:lvlJc w:val="left"/>
      <w:pPr>
        <w:ind w:left="4320" w:hanging="360"/>
      </w:pPr>
      <w:rPr>
        <w:rFonts w:ascii="Wingdings" w:hAnsi="Wingdings" w:hint="default"/>
      </w:rPr>
    </w:lvl>
    <w:lvl w:ilvl="6" w:tplc="F6744F4C" w:tentative="1">
      <w:start w:val="1"/>
      <w:numFmt w:val="bullet"/>
      <w:lvlText w:val=""/>
      <w:lvlJc w:val="left"/>
      <w:pPr>
        <w:ind w:left="5040" w:hanging="360"/>
      </w:pPr>
      <w:rPr>
        <w:rFonts w:ascii="Symbol" w:hAnsi="Symbol" w:hint="default"/>
      </w:rPr>
    </w:lvl>
    <w:lvl w:ilvl="7" w:tplc="814251FE" w:tentative="1">
      <w:start w:val="1"/>
      <w:numFmt w:val="bullet"/>
      <w:lvlText w:val="o"/>
      <w:lvlJc w:val="left"/>
      <w:pPr>
        <w:ind w:left="5760" w:hanging="360"/>
      </w:pPr>
      <w:rPr>
        <w:rFonts w:ascii="Courier New" w:hAnsi="Courier New" w:cs="Courier New" w:hint="default"/>
      </w:rPr>
    </w:lvl>
    <w:lvl w:ilvl="8" w:tplc="01DE0310" w:tentative="1">
      <w:start w:val="1"/>
      <w:numFmt w:val="bullet"/>
      <w:lvlText w:val=""/>
      <w:lvlJc w:val="left"/>
      <w:pPr>
        <w:ind w:left="6480" w:hanging="360"/>
      </w:pPr>
      <w:rPr>
        <w:rFonts w:ascii="Wingdings" w:hAnsi="Wingdings" w:hint="default"/>
      </w:rPr>
    </w:lvl>
  </w:abstractNum>
  <w:abstractNum w:abstractNumId="9" w15:restartNumberingAfterBreak="0">
    <w:nsid w:val="0F124895"/>
    <w:multiLevelType w:val="hybridMultilevel"/>
    <w:tmpl w:val="F4B20AF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0134DDB"/>
    <w:multiLevelType w:val="hybridMultilevel"/>
    <w:tmpl w:val="6848308E"/>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1D70BD1"/>
    <w:multiLevelType w:val="hybridMultilevel"/>
    <w:tmpl w:val="1B88A5A8"/>
    <w:lvl w:ilvl="0" w:tplc="4B9AAFE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1F2234A"/>
    <w:multiLevelType w:val="hybridMultilevel"/>
    <w:tmpl w:val="10783578"/>
    <w:lvl w:ilvl="0" w:tplc="F9C4703C">
      <w:numFmt w:val="bullet"/>
      <w:lvlText w:val="-"/>
      <w:lvlJc w:val="left"/>
      <w:pPr>
        <w:ind w:left="720" w:hanging="360"/>
      </w:pPr>
      <w:rPr>
        <w:rFonts w:ascii="Calibri" w:eastAsia="Times New Roman" w:hAnsi="Calibri"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602747A"/>
    <w:multiLevelType w:val="hybridMultilevel"/>
    <w:tmpl w:val="DFB6DEB4"/>
    <w:lvl w:ilvl="0" w:tplc="E1704B02">
      <w:start w:val="1"/>
      <w:numFmt w:val="decimal"/>
      <w:lvlText w:val="%1)"/>
      <w:lvlJc w:val="left"/>
      <w:pPr>
        <w:ind w:left="720" w:hanging="360"/>
      </w:pPr>
      <w:rPr>
        <w:rFonts w:cstheme="minorHAns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7280F26"/>
    <w:multiLevelType w:val="hybridMultilevel"/>
    <w:tmpl w:val="A17816F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194C1CE0"/>
    <w:multiLevelType w:val="hybridMultilevel"/>
    <w:tmpl w:val="D752FA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9562391"/>
    <w:multiLevelType w:val="hybridMultilevel"/>
    <w:tmpl w:val="B6CC2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B937FE1"/>
    <w:multiLevelType w:val="hybridMultilevel"/>
    <w:tmpl w:val="75FCEA9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DFB631F"/>
    <w:multiLevelType w:val="hybridMultilevel"/>
    <w:tmpl w:val="C318E5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0BC128C"/>
    <w:multiLevelType w:val="hybridMultilevel"/>
    <w:tmpl w:val="746A9E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1602ADB"/>
    <w:multiLevelType w:val="hybridMultilevel"/>
    <w:tmpl w:val="6F847D48"/>
    <w:lvl w:ilvl="0" w:tplc="D5DE5928">
      <w:numFmt w:val="bullet"/>
      <w:lvlText w:val="•"/>
      <w:lvlJc w:val="left"/>
      <w:pPr>
        <w:ind w:left="1065" w:hanging="705"/>
      </w:pPr>
      <w:rPr>
        <w:rFonts w:ascii="Calibri" w:eastAsiaTheme="minorHAnsi" w:hAnsi="Calibri" w:cs="Calibri" w:hint="default"/>
      </w:rPr>
    </w:lvl>
    <w:lvl w:ilvl="1" w:tplc="E21A914E">
      <w:start w:val="1"/>
      <w:numFmt w:val="bullet"/>
      <w:lvlText w:val="o"/>
      <w:lvlJc w:val="left"/>
      <w:pPr>
        <w:ind w:left="1440" w:hanging="360"/>
      </w:pPr>
      <w:rPr>
        <w:rFonts w:ascii="Courier New" w:hAnsi="Courier New" w:cs="Courier New" w:hint="default"/>
      </w:rPr>
    </w:lvl>
    <w:lvl w:ilvl="2" w:tplc="E9F27D20" w:tentative="1">
      <w:start w:val="1"/>
      <w:numFmt w:val="bullet"/>
      <w:lvlText w:val=""/>
      <w:lvlJc w:val="left"/>
      <w:pPr>
        <w:ind w:left="2160" w:hanging="360"/>
      </w:pPr>
      <w:rPr>
        <w:rFonts w:ascii="Wingdings" w:hAnsi="Wingdings" w:hint="default"/>
      </w:rPr>
    </w:lvl>
    <w:lvl w:ilvl="3" w:tplc="BB3EE968" w:tentative="1">
      <w:start w:val="1"/>
      <w:numFmt w:val="bullet"/>
      <w:lvlText w:val=""/>
      <w:lvlJc w:val="left"/>
      <w:pPr>
        <w:ind w:left="2880" w:hanging="360"/>
      </w:pPr>
      <w:rPr>
        <w:rFonts w:ascii="Symbol" w:hAnsi="Symbol" w:hint="default"/>
      </w:rPr>
    </w:lvl>
    <w:lvl w:ilvl="4" w:tplc="F8520176" w:tentative="1">
      <w:start w:val="1"/>
      <w:numFmt w:val="bullet"/>
      <w:lvlText w:val="o"/>
      <w:lvlJc w:val="left"/>
      <w:pPr>
        <w:ind w:left="3600" w:hanging="360"/>
      </w:pPr>
      <w:rPr>
        <w:rFonts w:ascii="Courier New" w:hAnsi="Courier New" w:cs="Courier New" w:hint="default"/>
      </w:rPr>
    </w:lvl>
    <w:lvl w:ilvl="5" w:tplc="4C34FD82" w:tentative="1">
      <w:start w:val="1"/>
      <w:numFmt w:val="bullet"/>
      <w:lvlText w:val=""/>
      <w:lvlJc w:val="left"/>
      <w:pPr>
        <w:ind w:left="4320" w:hanging="360"/>
      </w:pPr>
      <w:rPr>
        <w:rFonts w:ascii="Wingdings" w:hAnsi="Wingdings" w:hint="default"/>
      </w:rPr>
    </w:lvl>
    <w:lvl w:ilvl="6" w:tplc="F19C79F0" w:tentative="1">
      <w:start w:val="1"/>
      <w:numFmt w:val="bullet"/>
      <w:lvlText w:val=""/>
      <w:lvlJc w:val="left"/>
      <w:pPr>
        <w:ind w:left="5040" w:hanging="360"/>
      </w:pPr>
      <w:rPr>
        <w:rFonts w:ascii="Symbol" w:hAnsi="Symbol" w:hint="default"/>
      </w:rPr>
    </w:lvl>
    <w:lvl w:ilvl="7" w:tplc="55842894" w:tentative="1">
      <w:start w:val="1"/>
      <w:numFmt w:val="bullet"/>
      <w:lvlText w:val="o"/>
      <w:lvlJc w:val="left"/>
      <w:pPr>
        <w:ind w:left="5760" w:hanging="360"/>
      </w:pPr>
      <w:rPr>
        <w:rFonts w:ascii="Courier New" w:hAnsi="Courier New" w:cs="Courier New" w:hint="default"/>
      </w:rPr>
    </w:lvl>
    <w:lvl w:ilvl="8" w:tplc="1A7A316E" w:tentative="1">
      <w:start w:val="1"/>
      <w:numFmt w:val="bullet"/>
      <w:lvlText w:val=""/>
      <w:lvlJc w:val="left"/>
      <w:pPr>
        <w:ind w:left="6480" w:hanging="360"/>
      </w:pPr>
      <w:rPr>
        <w:rFonts w:ascii="Wingdings" w:hAnsi="Wingdings" w:hint="default"/>
      </w:rPr>
    </w:lvl>
  </w:abstractNum>
  <w:abstractNum w:abstractNumId="21" w15:restartNumberingAfterBreak="0">
    <w:nsid w:val="23D606CA"/>
    <w:multiLevelType w:val="hybridMultilevel"/>
    <w:tmpl w:val="361C21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8B85F4D"/>
    <w:multiLevelType w:val="hybridMultilevel"/>
    <w:tmpl w:val="F4166FE4"/>
    <w:lvl w:ilvl="0" w:tplc="99946E6A">
      <w:start w:val="1"/>
      <w:numFmt w:val="bullet"/>
      <w:lvlText w:val=""/>
      <w:lvlJc w:val="left"/>
      <w:pPr>
        <w:ind w:left="720" w:hanging="360"/>
      </w:pPr>
      <w:rPr>
        <w:rFonts w:ascii="Symbol" w:hAnsi="Symbol" w:hint="default"/>
      </w:rPr>
    </w:lvl>
    <w:lvl w:ilvl="1" w:tplc="6B3675EA" w:tentative="1">
      <w:start w:val="1"/>
      <w:numFmt w:val="bullet"/>
      <w:lvlText w:val="o"/>
      <w:lvlJc w:val="left"/>
      <w:pPr>
        <w:ind w:left="1440" w:hanging="360"/>
      </w:pPr>
      <w:rPr>
        <w:rFonts w:ascii="Courier New" w:hAnsi="Courier New" w:cs="Courier New" w:hint="default"/>
      </w:rPr>
    </w:lvl>
    <w:lvl w:ilvl="2" w:tplc="1DF0CFC0" w:tentative="1">
      <w:start w:val="1"/>
      <w:numFmt w:val="bullet"/>
      <w:lvlText w:val=""/>
      <w:lvlJc w:val="left"/>
      <w:pPr>
        <w:ind w:left="2160" w:hanging="360"/>
      </w:pPr>
      <w:rPr>
        <w:rFonts w:ascii="Wingdings" w:hAnsi="Wingdings" w:hint="default"/>
      </w:rPr>
    </w:lvl>
    <w:lvl w:ilvl="3" w:tplc="98C0A3FE" w:tentative="1">
      <w:start w:val="1"/>
      <w:numFmt w:val="bullet"/>
      <w:lvlText w:val=""/>
      <w:lvlJc w:val="left"/>
      <w:pPr>
        <w:ind w:left="2880" w:hanging="360"/>
      </w:pPr>
      <w:rPr>
        <w:rFonts w:ascii="Symbol" w:hAnsi="Symbol" w:hint="default"/>
      </w:rPr>
    </w:lvl>
    <w:lvl w:ilvl="4" w:tplc="D1A68BFA" w:tentative="1">
      <w:start w:val="1"/>
      <w:numFmt w:val="bullet"/>
      <w:lvlText w:val="o"/>
      <w:lvlJc w:val="left"/>
      <w:pPr>
        <w:ind w:left="3600" w:hanging="360"/>
      </w:pPr>
      <w:rPr>
        <w:rFonts w:ascii="Courier New" w:hAnsi="Courier New" w:cs="Courier New" w:hint="default"/>
      </w:rPr>
    </w:lvl>
    <w:lvl w:ilvl="5" w:tplc="6D721F2E" w:tentative="1">
      <w:start w:val="1"/>
      <w:numFmt w:val="bullet"/>
      <w:lvlText w:val=""/>
      <w:lvlJc w:val="left"/>
      <w:pPr>
        <w:ind w:left="4320" w:hanging="360"/>
      </w:pPr>
      <w:rPr>
        <w:rFonts w:ascii="Wingdings" w:hAnsi="Wingdings" w:hint="default"/>
      </w:rPr>
    </w:lvl>
    <w:lvl w:ilvl="6" w:tplc="96FE2A3A" w:tentative="1">
      <w:start w:val="1"/>
      <w:numFmt w:val="bullet"/>
      <w:lvlText w:val=""/>
      <w:lvlJc w:val="left"/>
      <w:pPr>
        <w:ind w:left="5040" w:hanging="360"/>
      </w:pPr>
      <w:rPr>
        <w:rFonts w:ascii="Symbol" w:hAnsi="Symbol" w:hint="default"/>
      </w:rPr>
    </w:lvl>
    <w:lvl w:ilvl="7" w:tplc="6D360F7A" w:tentative="1">
      <w:start w:val="1"/>
      <w:numFmt w:val="bullet"/>
      <w:lvlText w:val="o"/>
      <w:lvlJc w:val="left"/>
      <w:pPr>
        <w:ind w:left="5760" w:hanging="360"/>
      </w:pPr>
      <w:rPr>
        <w:rFonts w:ascii="Courier New" w:hAnsi="Courier New" w:cs="Courier New" w:hint="default"/>
      </w:rPr>
    </w:lvl>
    <w:lvl w:ilvl="8" w:tplc="34C2591C" w:tentative="1">
      <w:start w:val="1"/>
      <w:numFmt w:val="bullet"/>
      <w:lvlText w:val=""/>
      <w:lvlJc w:val="left"/>
      <w:pPr>
        <w:ind w:left="6480" w:hanging="360"/>
      </w:pPr>
      <w:rPr>
        <w:rFonts w:ascii="Wingdings" w:hAnsi="Wingdings" w:hint="default"/>
      </w:rPr>
    </w:lvl>
  </w:abstractNum>
  <w:abstractNum w:abstractNumId="23" w15:restartNumberingAfterBreak="0">
    <w:nsid w:val="2EFE72C5"/>
    <w:multiLevelType w:val="hybridMultilevel"/>
    <w:tmpl w:val="1B88A5A8"/>
    <w:lvl w:ilvl="0" w:tplc="4B9AAFE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F4D5DA1"/>
    <w:multiLevelType w:val="hybridMultilevel"/>
    <w:tmpl w:val="7300629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31A01691"/>
    <w:multiLevelType w:val="hybridMultilevel"/>
    <w:tmpl w:val="BED6CD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328C6EA6"/>
    <w:multiLevelType w:val="hybridMultilevel"/>
    <w:tmpl w:val="43B6F1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84030AD"/>
    <w:multiLevelType w:val="hybridMultilevel"/>
    <w:tmpl w:val="35569D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A405ABF"/>
    <w:multiLevelType w:val="hybridMultilevel"/>
    <w:tmpl w:val="567A1E6E"/>
    <w:lvl w:ilvl="0" w:tplc="5066F0D0">
      <w:start w:val="2"/>
      <w:numFmt w:val="bullet"/>
      <w:lvlText w:val="-"/>
      <w:lvlJc w:val="left"/>
      <w:pPr>
        <w:ind w:left="720" w:hanging="360"/>
      </w:pPr>
      <w:rPr>
        <w:rFonts w:ascii="Calibri" w:eastAsiaTheme="minorHAnsi" w:hAnsi="Calibri" w:cstheme="minorBidi" w:hint="default"/>
      </w:rPr>
    </w:lvl>
    <w:lvl w:ilvl="1" w:tplc="0C8EE5B8" w:tentative="1">
      <w:start w:val="1"/>
      <w:numFmt w:val="bullet"/>
      <w:lvlText w:val="o"/>
      <w:lvlJc w:val="left"/>
      <w:pPr>
        <w:ind w:left="1440" w:hanging="360"/>
      </w:pPr>
      <w:rPr>
        <w:rFonts w:ascii="Courier New" w:hAnsi="Courier New" w:cs="Courier New" w:hint="default"/>
      </w:rPr>
    </w:lvl>
    <w:lvl w:ilvl="2" w:tplc="5E80EFB4" w:tentative="1">
      <w:start w:val="1"/>
      <w:numFmt w:val="bullet"/>
      <w:lvlText w:val=""/>
      <w:lvlJc w:val="left"/>
      <w:pPr>
        <w:ind w:left="2160" w:hanging="360"/>
      </w:pPr>
      <w:rPr>
        <w:rFonts w:ascii="Wingdings" w:hAnsi="Wingdings" w:hint="default"/>
      </w:rPr>
    </w:lvl>
    <w:lvl w:ilvl="3" w:tplc="833E6CDC" w:tentative="1">
      <w:start w:val="1"/>
      <w:numFmt w:val="bullet"/>
      <w:lvlText w:val=""/>
      <w:lvlJc w:val="left"/>
      <w:pPr>
        <w:ind w:left="2880" w:hanging="360"/>
      </w:pPr>
      <w:rPr>
        <w:rFonts w:ascii="Symbol" w:hAnsi="Symbol" w:hint="default"/>
      </w:rPr>
    </w:lvl>
    <w:lvl w:ilvl="4" w:tplc="D6D09714" w:tentative="1">
      <w:start w:val="1"/>
      <w:numFmt w:val="bullet"/>
      <w:lvlText w:val="o"/>
      <w:lvlJc w:val="left"/>
      <w:pPr>
        <w:ind w:left="3600" w:hanging="360"/>
      </w:pPr>
      <w:rPr>
        <w:rFonts w:ascii="Courier New" w:hAnsi="Courier New" w:cs="Courier New" w:hint="default"/>
      </w:rPr>
    </w:lvl>
    <w:lvl w:ilvl="5" w:tplc="6234CF72" w:tentative="1">
      <w:start w:val="1"/>
      <w:numFmt w:val="bullet"/>
      <w:lvlText w:val=""/>
      <w:lvlJc w:val="left"/>
      <w:pPr>
        <w:ind w:left="4320" w:hanging="360"/>
      </w:pPr>
      <w:rPr>
        <w:rFonts w:ascii="Wingdings" w:hAnsi="Wingdings" w:hint="default"/>
      </w:rPr>
    </w:lvl>
    <w:lvl w:ilvl="6" w:tplc="C22A78AA" w:tentative="1">
      <w:start w:val="1"/>
      <w:numFmt w:val="bullet"/>
      <w:lvlText w:val=""/>
      <w:lvlJc w:val="left"/>
      <w:pPr>
        <w:ind w:left="5040" w:hanging="360"/>
      </w:pPr>
      <w:rPr>
        <w:rFonts w:ascii="Symbol" w:hAnsi="Symbol" w:hint="default"/>
      </w:rPr>
    </w:lvl>
    <w:lvl w:ilvl="7" w:tplc="B34C1A14" w:tentative="1">
      <w:start w:val="1"/>
      <w:numFmt w:val="bullet"/>
      <w:lvlText w:val="o"/>
      <w:lvlJc w:val="left"/>
      <w:pPr>
        <w:ind w:left="5760" w:hanging="360"/>
      </w:pPr>
      <w:rPr>
        <w:rFonts w:ascii="Courier New" w:hAnsi="Courier New" w:cs="Courier New" w:hint="default"/>
      </w:rPr>
    </w:lvl>
    <w:lvl w:ilvl="8" w:tplc="E084C6C4" w:tentative="1">
      <w:start w:val="1"/>
      <w:numFmt w:val="bullet"/>
      <w:lvlText w:val=""/>
      <w:lvlJc w:val="left"/>
      <w:pPr>
        <w:ind w:left="6480" w:hanging="360"/>
      </w:pPr>
      <w:rPr>
        <w:rFonts w:ascii="Wingdings" w:hAnsi="Wingdings" w:hint="default"/>
      </w:rPr>
    </w:lvl>
  </w:abstractNum>
  <w:abstractNum w:abstractNumId="29" w15:restartNumberingAfterBreak="0">
    <w:nsid w:val="3D1A5150"/>
    <w:multiLevelType w:val="hybridMultilevel"/>
    <w:tmpl w:val="406AAAF6"/>
    <w:lvl w:ilvl="0" w:tplc="EF22A140">
      <w:start w:val="1"/>
      <w:numFmt w:val="bullet"/>
      <w:lvlText w:val=""/>
      <w:lvlJc w:val="left"/>
      <w:pPr>
        <w:ind w:left="780" w:hanging="360"/>
      </w:pPr>
      <w:rPr>
        <w:rFonts w:ascii="Symbol" w:hAnsi="Symbol" w:hint="default"/>
      </w:rPr>
    </w:lvl>
    <w:lvl w:ilvl="1" w:tplc="B4CC63F6" w:tentative="1">
      <w:start w:val="1"/>
      <w:numFmt w:val="bullet"/>
      <w:lvlText w:val="o"/>
      <w:lvlJc w:val="left"/>
      <w:pPr>
        <w:ind w:left="1500" w:hanging="360"/>
      </w:pPr>
      <w:rPr>
        <w:rFonts w:ascii="Courier New" w:hAnsi="Courier New" w:cs="Courier New" w:hint="default"/>
      </w:rPr>
    </w:lvl>
    <w:lvl w:ilvl="2" w:tplc="646ABA3C" w:tentative="1">
      <w:start w:val="1"/>
      <w:numFmt w:val="bullet"/>
      <w:lvlText w:val=""/>
      <w:lvlJc w:val="left"/>
      <w:pPr>
        <w:ind w:left="2220" w:hanging="360"/>
      </w:pPr>
      <w:rPr>
        <w:rFonts w:ascii="Wingdings" w:hAnsi="Wingdings" w:hint="default"/>
      </w:rPr>
    </w:lvl>
    <w:lvl w:ilvl="3" w:tplc="FE164D24" w:tentative="1">
      <w:start w:val="1"/>
      <w:numFmt w:val="bullet"/>
      <w:lvlText w:val=""/>
      <w:lvlJc w:val="left"/>
      <w:pPr>
        <w:ind w:left="2940" w:hanging="360"/>
      </w:pPr>
      <w:rPr>
        <w:rFonts w:ascii="Symbol" w:hAnsi="Symbol" w:hint="default"/>
      </w:rPr>
    </w:lvl>
    <w:lvl w:ilvl="4" w:tplc="F4F4D32A" w:tentative="1">
      <w:start w:val="1"/>
      <w:numFmt w:val="bullet"/>
      <w:lvlText w:val="o"/>
      <w:lvlJc w:val="left"/>
      <w:pPr>
        <w:ind w:left="3660" w:hanging="360"/>
      </w:pPr>
      <w:rPr>
        <w:rFonts w:ascii="Courier New" w:hAnsi="Courier New" w:cs="Courier New" w:hint="default"/>
      </w:rPr>
    </w:lvl>
    <w:lvl w:ilvl="5" w:tplc="6A523002" w:tentative="1">
      <w:start w:val="1"/>
      <w:numFmt w:val="bullet"/>
      <w:lvlText w:val=""/>
      <w:lvlJc w:val="left"/>
      <w:pPr>
        <w:ind w:left="4380" w:hanging="360"/>
      </w:pPr>
      <w:rPr>
        <w:rFonts w:ascii="Wingdings" w:hAnsi="Wingdings" w:hint="default"/>
      </w:rPr>
    </w:lvl>
    <w:lvl w:ilvl="6" w:tplc="3F4E13A0" w:tentative="1">
      <w:start w:val="1"/>
      <w:numFmt w:val="bullet"/>
      <w:lvlText w:val=""/>
      <w:lvlJc w:val="left"/>
      <w:pPr>
        <w:ind w:left="5100" w:hanging="360"/>
      </w:pPr>
      <w:rPr>
        <w:rFonts w:ascii="Symbol" w:hAnsi="Symbol" w:hint="default"/>
      </w:rPr>
    </w:lvl>
    <w:lvl w:ilvl="7" w:tplc="5E3E0D54" w:tentative="1">
      <w:start w:val="1"/>
      <w:numFmt w:val="bullet"/>
      <w:lvlText w:val="o"/>
      <w:lvlJc w:val="left"/>
      <w:pPr>
        <w:ind w:left="5820" w:hanging="360"/>
      </w:pPr>
      <w:rPr>
        <w:rFonts w:ascii="Courier New" w:hAnsi="Courier New" w:cs="Courier New" w:hint="default"/>
      </w:rPr>
    </w:lvl>
    <w:lvl w:ilvl="8" w:tplc="AC5CC302" w:tentative="1">
      <w:start w:val="1"/>
      <w:numFmt w:val="bullet"/>
      <w:lvlText w:val=""/>
      <w:lvlJc w:val="left"/>
      <w:pPr>
        <w:ind w:left="6540" w:hanging="360"/>
      </w:pPr>
      <w:rPr>
        <w:rFonts w:ascii="Wingdings" w:hAnsi="Wingdings" w:hint="default"/>
      </w:rPr>
    </w:lvl>
  </w:abstractNum>
  <w:abstractNum w:abstractNumId="30" w15:restartNumberingAfterBreak="0">
    <w:nsid w:val="4387537C"/>
    <w:multiLevelType w:val="hybridMultilevel"/>
    <w:tmpl w:val="F6B0649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40F4665"/>
    <w:multiLevelType w:val="hybridMultilevel"/>
    <w:tmpl w:val="EAA67446"/>
    <w:lvl w:ilvl="0" w:tplc="42B20AA8">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486A6089"/>
    <w:multiLevelType w:val="hybridMultilevel"/>
    <w:tmpl w:val="4BA68256"/>
    <w:lvl w:ilvl="0" w:tplc="372033B0">
      <w:numFmt w:val="bullet"/>
      <w:lvlText w:val="•"/>
      <w:lvlJc w:val="left"/>
      <w:pPr>
        <w:ind w:left="1065" w:hanging="705"/>
      </w:pPr>
      <w:rPr>
        <w:rFonts w:ascii="Calibri" w:eastAsiaTheme="minorHAnsi" w:hAnsi="Calibri" w:cs="Calibri" w:hint="default"/>
      </w:rPr>
    </w:lvl>
    <w:lvl w:ilvl="1" w:tplc="3F54F998" w:tentative="1">
      <w:start w:val="1"/>
      <w:numFmt w:val="bullet"/>
      <w:lvlText w:val="o"/>
      <w:lvlJc w:val="left"/>
      <w:pPr>
        <w:ind w:left="1440" w:hanging="360"/>
      </w:pPr>
      <w:rPr>
        <w:rFonts w:ascii="Courier New" w:hAnsi="Courier New" w:cs="Courier New" w:hint="default"/>
      </w:rPr>
    </w:lvl>
    <w:lvl w:ilvl="2" w:tplc="F33608D8" w:tentative="1">
      <w:start w:val="1"/>
      <w:numFmt w:val="bullet"/>
      <w:lvlText w:val=""/>
      <w:lvlJc w:val="left"/>
      <w:pPr>
        <w:ind w:left="2160" w:hanging="360"/>
      </w:pPr>
      <w:rPr>
        <w:rFonts w:ascii="Wingdings" w:hAnsi="Wingdings" w:hint="default"/>
      </w:rPr>
    </w:lvl>
    <w:lvl w:ilvl="3" w:tplc="9BA0B678" w:tentative="1">
      <w:start w:val="1"/>
      <w:numFmt w:val="bullet"/>
      <w:lvlText w:val=""/>
      <w:lvlJc w:val="left"/>
      <w:pPr>
        <w:ind w:left="2880" w:hanging="360"/>
      </w:pPr>
      <w:rPr>
        <w:rFonts w:ascii="Symbol" w:hAnsi="Symbol" w:hint="default"/>
      </w:rPr>
    </w:lvl>
    <w:lvl w:ilvl="4" w:tplc="9F60C9DE" w:tentative="1">
      <w:start w:val="1"/>
      <w:numFmt w:val="bullet"/>
      <w:lvlText w:val="o"/>
      <w:lvlJc w:val="left"/>
      <w:pPr>
        <w:ind w:left="3600" w:hanging="360"/>
      </w:pPr>
      <w:rPr>
        <w:rFonts w:ascii="Courier New" w:hAnsi="Courier New" w:cs="Courier New" w:hint="default"/>
      </w:rPr>
    </w:lvl>
    <w:lvl w:ilvl="5" w:tplc="C9BEFEC8" w:tentative="1">
      <w:start w:val="1"/>
      <w:numFmt w:val="bullet"/>
      <w:lvlText w:val=""/>
      <w:lvlJc w:val="left"/>
      <w:pPr>
        <w:ind w:left="4320" w:hanging="360"/>
      </w:pPr>
      <w:rPr>
        <w:rFonts w:ascii="Wingdings" w:hAnsi="Wingdings" w:hint="default"/>
      </w:rPr>
    </w:lvl>
    <w:lvl w:ilvl="6" w:tplc="C3E8124A" w:tentative="1">
      <w:start w:val="1"/>
      <w:numFmt w:val="bullet"/>
      <w:lvlText w:val=""/>
      <w:lvlJc w:val="left"/>
      <w:pPr>
        <w:ind w:left="5040" w:hanging="360"/>
      </w:pPr>
      <w:rPr>
        <w:rFonts w:ascii="Symbol" w:hAnsi="Symbol" w:hint="default"/>
      </w:rPr>
    </w:lvl>
    <w:lvl w:ilvl="7" w:tplc="17C43078" w:tentative="1">
      <w:start w:val="1"/>
      <w:numFmt w:val="bullet"/>
      <w:lvlText w:val="o"/>
      <w:lvlJc w:val="left"/>
      <w:pPr>
        <w:ind w:left="5760" w:hanging="360"/>
      </w:pPr>
      <w:rPr>
        <w:rFonts w:ascii="Courier New" w:hAnsi="Courier New" w:cs="Courier New" w:hint="default"/>
      </w:rPr>
    </w:lvl>
    <w:lvl w:ilvl="8" w:tplc="F5682396" w:tentative="1">
      <w:start w:val="1"/>
      <w:numFmt w:val="bullet"/>
      <w:lvlText w:val=""/>
      <w:lvlJc w:val="left"/>
      <w:pPr>
        <w:ind w:left="6480" w:hanging="360"/>
      </w:pPr>
      <w:rPr>
        <w:rFonts w:ascii="Wingdings" w:hAnsi="Wingdings" w:hint="default"/>
      </w:rPr>
    </w:lvl>
  </w:abstractNum>
  <w:abstractNum w:abstractNumId="33" w15:restartNumberingAfterBreak="0">
    <w:nsid w:val="4AF43222"/>
    <w:multiLevelType w:val="hybridMultilevel"/>
    <w:tmpl w:val="E4CAB7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B617D37"/>
    <w:multiLevelType w:val="hybridMultilevel"/>
    <w:tmpl w:val="0E8EB58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12543C6"/>
    <w:multiLevelType w:val="hybridMultilevel"/>
    <w:tmpl w:val="CDEA46E2"/>
    <w:lvl w:ilvl="0" w:tplc="AE92AAB2">
      <w:start w:val="1"/>
      <w:numFmt w:val="upperLetter"/>
      <w:pStyle w:val="Nadpis3"/>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1CB0C63"/>
    <w:multiLevelType w:val="hybridMultilevel"/>
    <w:tmpl w:val="C2B4FA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8B724DC"/>
    <w:multiLevelType w:val="hybridMultilevel"/>
    <w:tmpl w:val="A252D4E6"/>
    <w:lvl w:ilvl="0" w:tplc="386C0798">
      <w:start w:val="1"/>
      <w:numFmt w:val="bullet"/>
      <w:lvlText w:val=""/>
      <w:lvlJc w:val="left"/>
      <w:pPr>
        <w:ind w:left="720" w:hanging="360"/>
      </w:pPr>
      <w:rPr>
        <w:rFonts w:ascii="Symbol" w:hAnsi="Symbol" w:hint="default"/>
      </w:rPr>
    </w:lvl>
    <w:lvl w:ilvl="1" w:tplc="98D46F08" w:tentative="1">
      <w:start w:val="1"/>
      <w:numFmt w:val="bullet"/>
      <w:lvlText w:val="o"/>
      <w:lvlJc w:val="left"/>
      <w:pPr>
        <w:ind w:left="1440" w:hanging="360"/>
      </w:pPr>
      <w:rPr>
        <w:rFonts w:ascii="Courier New" w:hAnsi="Courier New" w:cs="Courier New" w:hint="default"/>
      </w:rPr>
    </w:lvl>
    <w:lvl w:ilvl="2" w:tplc="E15C086E" w:tentative="1">
      <w:start w:val="1"/>
      <w:numFmt w:val="bullet"/>
      <w:lvlText w:val=""/>
      <w:lvlJc w:val="left"/>
      <w:pPr>
        <w:ind w:left="2160" w:hanging="360"/>
      </w:pPr>
      <w:rPr>
        <w:rFonts w:ascii="Wingdings" w:hAnsi="Wingdings" w:hint="default"/>
      </w:rPr>
    </w:lvl>
    <w:lvl w:ilvl="3" w:tplc="E0C2389E" w:tentative="1">
      <w:start w:val="1"/>
      <w:numFmt w:val="bullet"/>
      <w:lvlText w:val=""/>
      <w:lvlJc w:val="left"/>
      <w:pPr>
        <w:ind w:left="2880" w:hanging="360"/>
      </w:pPr>
      <w:rPr>
        <w:rFonts w:ascii="Symbol" w:hAnsi="Symbol" w:hint="default"/>
      </w:rPr>
    </w:lvl>
    <w:lvl w:ilvl="4" w:tplc="55A88EE0" w:tentative="1">
      <w:start w:val="1"/>
      <w:numFmt w:val="bullet"/>
      <w:lvlText w:val="o"/>
      <w:lvlJc w:val="left"/>
      <w:pPr>
        <w:ind w:left="3600" w:hanging="360"/>
      </w:pPr>
      <w:rPr>
        <w:rFonts w:ascii="Courier New" w:hAnsi="Courier New" w:cs="Courier New" w:hint="default"/>
      </w:rPr>
    </w:lvl>
    <w:lvl w:ilvl="5" w:tplc="C122D6C2" w:tentative="1">
      <w:start w:val="1"/>
      <w:numFmt w:val="bullet"/>
      <w:lvlText w:val=""/>
      <w:lvlJc w:val="left"/>
      <w:pPr>
        <w:ind w:left="4320" w:hanging="360"/>
      </w:pPr>
      <w:rPr>
        <w:rFonts w:ascii="Wingdings" w:hAnsi="Wingdings" w:hint="default"/>
      </w:rPr>
    </w:lvl>
    <w:lvl w:ilvl="6" w:tplc="5F022892" w:tentative="1">
      <w:start w:val="1"/>
      <w:numFmt w:val="bullet"/>
      <w:lvlText w:val=""/>
      <w:lvlJc w:val="left"/>
      <w:pPr>
        <w:ind w:left="5040" w:hanging="360"/>
      </w:pPr>
      <w:rPr>
        <w:rFonts w:ascii="Symbol" w:hAnsi="Symbol" w:hint="default"/>
      </w:rPr>
    </w:lvl>
    <w:lvl w:ilvl="7" w:tplc="DBC843D0" w:tentative="1">
      <w:start w:val="1"/>
      <w:numFmt w:val="bullet"/>
      <w:lvlText w:val="o"/>
      <w:lvlJc w:val="left"/>
      <w:pPr>
        <w:ind w:left="5760" w:hanging="360"/>
      </w:pPr>
      <w:rPr>
        <w:rFonts w:ascii="Courier New" w:hAnsi="Courier New" w:cs="Courier New" w:hint="default"/>
      </w:rPr>
    </w:lvl>
    <w:lvl w:ilvl="8" w:tplc="08F4BE56" w:tentative="1">
      <w:start w:val="1"/>
      <w:numFmt w:val="bullet"/>
      <w:lvlText w:val=""/>
      <w:lvlJc w:val="left"/>
      <w:pPr>
        <w:ind w:left="6480" w:hanging="360"/>
      </w:pPr>
      <w:rPr>
        <w:rFonts w:ascii="Wingdings" w:hAnsi="Wingdings" w:hint="default"/>
      </w:rPr>
    </w:lvl>
  </w:abstractNum>
  <w:abstractNum w:abstractNumId="38" w15:restartNumberingAfterBreak="0">
    <w:nsid w:val="5AB92967"/>
    <w:multiLevelType w:val="hybridMultilevel"/>
    <w:tmpl w:val="341EDF54"/>
    <w:lvl w:ilvl="0" w:tplc="6E369D8E">
      <w:start w:val="1"/>
      <w:numFmt w:val="bullet"/>
      <w:lvlText w:val=""/>
      <w:lvlJc w:val="left"/>
      <w:pPr>
        <w:ind w:left="720" w:hanging="360"/>
      </w:pPr>
      <w:rPr>
        <w:rFonts w:ascii="Wingdings" w:hAnsi="Wingdings" w:hint="default"/>
      </w:rPr>
    </w:lvl>
    <w:lvl w:ilvl="1" w:tplc="DEEA6C4C" w:tentative="1">
      <w:start w:val="1"/>
      <w:numFmt w:val="bullet"/>
      <w:lvlText w:val="o"/>
      <w:lvlJc w:val="left"/>
      <w:pPr>
        <w:ind w:left="1440" w:hanging="360"/>
      </w:pPr>
      <w:rPr>
        <w:rFonts w:ascii="Courier New" w:hAnsi="Courier New" w:cs="Courier New" w:hint="default"/>
      </w:rPr>
    </w:lvl>
    <w:lvl w:ilvl="2" w:tplc="1F7AFAF2" w:tentative="1">
      <w:start w:val="1"/>
      <w:numFmt w:val="bullet"/>
      <w:lvlText w:val=""/>
      <w:lvlJc w:val="left"/>
      <w:pPr>
        <w:ind w:left="2160" w:hanging="360"/>
      </w:pPr>
      <w:rPr>
        <w:rFonts w:ascii="Wingdings" w:hAnsi="Wingdings" w:hint="default"/>
      </w:rPr>
    </w:lvl>
    <w:lvl w:ilvl="3" w:tplc="E3365158" w:tentative="1">
      <w:start w:val="1"/>
      <w:numFmt w:val="bullet"/>
      <w:lvlText w:val=""/>
      <w:lvlJc w:val="left"/>
      <w:pPr>
        <w:ind w:left="2880" w:hanging="360"/>
      </w:pPr>
      <w:rPr>
        <w:rFonts w:ascii="Symbol" w:hAnsi="Symbol" w:hint="default"/>
      </w:rPr>
    </w:lvl>
    <w:lvl w:ilvl="4" w:tplc="FA5E962E" w:tentative="1">
      <w:start w:val="1"/>
      <w:numFmt w:val="bullet"/>
      <w:lvlText w:val="o"/>
      <w:lvlJc w:val="left"/>
      <w:pPr>
        <w:ind w:left="3600" w:hanging="360"/>
      </w:pPr>
      <w:rPr>
        <w:rFonts w:ascii="Courier New" w:hAnsi="Courier New" w:cs="Courier New" w:hint="default"/>
      </w:rPr>
    </w:lvl>
    <w:lvl w:ilvl="5" w:tplc="04DE05FE" w:tentative="1">
      <w:start w:val="1"/>
      <w:numFmt w:val="bullet"/>
      <w:lvlText w:val=""/>
      <w:lvlJc w:val="left"/>
      <w:pPr>
        <w:ind w:left="4320" w:hanging="360"/>
      </w:pPr>
      <w:rPr>
        <w:rFonts w:ascii="Wingdings" w:hAnsi="Wingdings" w:hint="default"/>
      </w:rPr>
    </w:lvl>
    <w:lvl w:ilvl="6" w:tplc="587C0B0A" w:tentative="1">
      <w:start w:val="1"/>
      <w:numFmt w:val="bullet"/>
      <w:lvlText w:val=""/>
      <w:lvlJc w:val="left"/>
      <w:pPr>
        <w:ind w:left="5040" w:hanging="360"/>
      </w:pPr>
      <w:rPr>
        <w:rFonts w:ascii="Symbol" w:hAnsi="Symbol" w:hint="default"/>
      </w:rPr>
    </w:lvl>
    <w:lvl w:ilvl="7" w:tplc="D2B0384A" w:tentative="1">
      <w:start w:val="1"/>
      <w:numFmt w:val="bullet"/>
      <w:lvlText w:val="o"/>
      <w:lvlJc w:val="left"/>
      <w:pPr>
        <w:ind w:left="5760" w:hanging="360"/>
      </w:pPr>
      <w:rPr>
        <w:rFonts w:ascii="Courier New" w:hAnsi="Courier New" w:cs="Courier New" w:hint="default"/>
      </w:rPr>
    </w:lvl>
    <w:lvl w:ilvl="8" w:tplc="CE24D846" w:tentative="1">
      <w:start w:val="1"/>
      <w:numFmt w:val="bullet"/>
      <w:lvlText w:val=""/>
      <w:lvlJc w:val="left"/>
      <w:pPr>
        <w:ind w:left="6480" w:hanging="360"/>
      </w:pPr>
      <w:rPr>
        <w:rFonts w:ascii="Wingdings" w:hAnsi="Wingdings" w:hint="default"/>
      </w:rPr>
    </w:lvl>
  </w:abstractNum>
  <w:abstractNum w:abstractNumId="39" w15:restartNumberingAfterBreak="0">
    <w:nsid w:val="5ABA4A49"/>
    <w:multiLevelType w:val="hybridMultilevel"/>
    <w:tmpl w:val="B218C42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B5A5D71"/>
    <w:multiLevelType w:val="hybridMultilevel"/>
    <w:tmpl w:val="FAEA7E6E"/>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5B5D3CD1"/>
    <w:multiLevelType w:val="hybridMultilevel"/>
    <w:tmpl w:val="BCA6BA32"/>
    <w:lvl w:ilvl="0" w:tplc="D350197E">
      <w:start w:val="1"/>
      <w:numFmt w:val="bullet"/>
      <w:lvlText w:val=""/>
      <w:lvlJc w:val="left"/>
      <w:pPr>
        <w:ind w:left="720" w:hanging="360"/>
      </w:pPr>
      <w:rPr>
        <w:rFonts w:ascii="Wingdings" w:hAnsi="Wingdings" w:hint="default"/>
      </w:rPr>
    </w:lvl>
    <w:lvl w:ilvl="1" w:tplc="774C0FD4" w:tentative="1">
      <w:start w:val="1"/>
      <w:numFmt w:val="bullet"/>
      <w:lvlText w:val="o"/>
      <w:lvlJc w:val="left"/>
      <w:pPr>
        <w:ind w:left="1440" w:hanging="360"/>
      </w:pPr>
      <w:rPr>
        <w:rFonts w:ascii="Courier New" w:hAnsi="Courier New" w:cs="Courier New" w:hint="default"/>
      </w:rPr>
    </w:lvl>
    <w:lvl w:ilvl="2" w:tplc="AD8676A0" w:tentative="1">
      <w:start w:val="1"/>
      <w:numFmt w:val="bullet"/>
      <w:lvlText w:val=""/>
      <w:lvlJc w:val="left"/>
      <w:pPr>
        <w:ind w:left="2160" w:hanging="360"/>
      </w:pPr>
      <w:rPr>
        <w:rFonts w:ascii="Wingdings" w:hAnsi="Wingdings" w:hint="default"/>
      </w:rPr>
    </w:lvl>
    <w:lvl w:ilvl="3" w:tplc="43A2308E" w:tentative="1">
      <w:start w:val="1"/>
      <w:numFmt w:val="bullet"/>
      <w:lvlText w:val=""/>
      <w:lvlJc w:val="left"/>
      <w:pPr>
        <w:ind w:left="2880" w:hanging="360"/>
      </w:pPr>
      <w:rPr>
        <w:rFonts w:ascii="Symbol" w:hAnsi="Symbol" w:hint="default"/>
      </w:rPr>
    </w:lvl>
    <w:lvl w:ilvl="4" w:tplc="141A87EA" w:tentative="1">
      <w:start w:val="1"/>
      <w:numFmt w:val="bullet"/>
      <w:lvlText w:val="o"/>
      <w:lvlJc w:val="left"/>
      <w:pPr>
        <w:ind w:left="3600" w:hanging="360"/>
      </w:pPr>
      <w:rPr>
        <w:rFonts w:ascii="Courier New" w:hAnsi="Courier New" w:cs="Courier New" w:hint="default"/>
      </w:rPr>
    </w:lvl>
    <w:lvl w:ilvl="5" w:tplc="80F6E72A" w:tentative="1">
      <w:start w:val="1"/>
      <w:numFmt w:val="bullet"/>
      <w:lvlText w:val=""/>
      <w:lvlJc w:val="left"/>
      <w:pPr>
        <w:ind w:left="4320" w:hanging="360"/>
      </w:pPr>
      <w:rPr>
        <w:rFonts w:ascii="Wingdings" w:hAnsi="Wingdings" w:hint="default"/>
      </w:rPr>
    </w:lvl>
    <w:lvl w:ilvl="6" w:tplc="D0F01E22" w:tentative="1">
      <w:start w:val="1"/>
      <w:numFmt w:val="bullet"/>
      <w:lvlText w:val=""/>
      <w:lvlJc w:val="left"/>
      <w:pPr>
        <w:ind w:left="5040" w:hanging="360"/>
      </w:pPr>
      <w:rPr>
        <w:rFonts w:ascii="Symbol" w:hAnsi="Symbol" w:hint="default"/>
      </w:rPr>
    </w:lvl>
    <w:lvl w:ilvl="7" w:tplc="888AAEAE" w:tentative="1">
      <w:start w:val="1"/>
      <w:numFmt w:val="bullet"/>
      <w:lvlText w:val="o"/>
      <w:lvlJc w:val="left"/>
      <w:pPr>
        <w:ind w:left="5760" w:hanging="360"/>
      </w:pPr>
      <w:rPr>
        <w:rFonts w:ascii="Courier New" w:hAnsi="Courier New" w:cs="Courier New" w:hint="default"/>
      </w:rPr>
    </w:lvl>
    <w:lvl w:ilvl="8" w:tplc="D66EC736" w:tentative="1">
      <w:start w:val="1"/>
      <w:numFmt w:val="bullet"/>
      <w:lvlText w:val=""/>
      <w:lvlJc w:val="left"/>
      <w:pPr>
        <w:ind w:left="6480" w:hanging="360"/>
      </w:pPr>
      <w:rPr>
        <w:rFonts w:ascii="Wingdings" w:hAnsi="Wingdings" w:hint="default"/>
      </w:rPr>
    </w:lvl>
  </w:abstractNum>
  <w:abstractNum w:abstractNumId="42" w15:restartNumberingAfterBreak="0">
    <w:nsid w:val="5FAB5F06"/>
    <w:multiLevelType w:val="hybridMultilevel"/>
    <w:tmpl w:val="BC906CE2"/>
    <w:lvl w:ilvl="0" w:tplc="9FE0C458">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5442A67"/>
    <w:multiLevelType w:val="hybridMultilevel"/>
    <w:tmpl w:val="FBAED522"/>
    <w:lvl w:ilvl="0" w:tplc="0405000F">
      <w:start w:val="1"/>
      <w:numFmt w:val="decimal"/>
      <w:lvlText w:val="%1."/>
      <w:lvlJc w:val="left"/>
      <w:pPr>
        <w:ind w:left="360" w:hanging="360"/>
      </w:p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6B892AC7"/>
    <w:multiLevelType w:val="hybridMultilevel"/>
    <w:tmpl w:val="907E9C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EBC5ECB"/>
    <w:multiLevelType w:val="hybridMultilevel"/>
    <w:tmpl w:val="C26678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9F87DE4"/>
    <w:multiLevelType w:val="hybridMultilevel"/>
    <w:tmpl w:val="E0F0F4E6"/>
    <w:lvl w:ilvl="0" w:tplc="3EE091B8">
      <w:start w:val="1"/>
      <w:numFmt w:val="bullet"/>
      <w:lvlText w:val=""/>
      <w:lvlJc w:val="left"/>
      <w:pPr>
        <w:ind w:left="720" w:hanging="360"/>
      </w:pPr>
      <w:rPr>
        <w:rFonts w:ascii="Wingdings" w:hAnsi="Wingdings" w:hint="default"/>
      </w:rPr>
    </w:lvl>
    <w:lvl w:ilvl="1" w:tplc="ADD8D9D4" w:tentative="1">
      <w:start w:val="1"/>
      <w:numFmt w:val="bullet"/>
      <w:lvlText w:val="o"/>
      <w:lvlJc w:val="left"/>
      <w:pPr>
        <w:ind w:left="1440" w:hanging="360"/>
      </w:pPr>
      <w:rPr>
        <w:rFonts w:ascii="Courier New" w:hAnsi="Courier New" w:cs="Courier New" w:hint="default"/>
      </w:rPr>
    </w:lvl>
    <w:lvl w:ilvl="2" w:tplc="3DE6F56C" w:tentative="1">
      <w:start w:val="1"/>
      <w:numFmt w:val="bullet"/>
      <w:lvlText w:val=""/>
      <w:lvlJc w:val="left"/>
      <w:pPr>
        <w:ind w:left="2160" w:hanging="360"/>
      </w:pPr>
      <w:rPr>
        <w:rFonts w:ascii="Wingdings" w:hAnsi="Wingdings" w:hint="default"/>
      </w:rPr>
    </w:lvl>
    <w:lvl w:ilvl="3" w:tplc="EB6AF626" w:tentative="1">
      <w:start w:val="1"/>
      <w:numFmt w:val="bullet"/>
      <w:lvlText w:val=""/>
      <w:lvlJc w:val="left"/>
      <w:pPr>
        <w:ind w:left="2880" w:hanging="360"/>
      </w:pPr>
      <w:rPr>
        <w:rFonts w:ascii="Symbol" w:hAnsi="Symbol" w:hint="default"/>
      </w:rPr>
    </w:lvl>
    <w:lvl w:ilvl="4" w:tplc="CF0A3BC0" w:tentative="1">
      <w:start w:val="1"/>
      <w:numFmt w:val="bullet"/>
      <w:lvlText w:val="o"/>
      <w:lvlJc w:val="left"/>
      <w:pPr>
        <w:ind w:left="3600" w:hanging="360"/>
      </w:pPr>
      <w:rPr>
        <w:rFonts w:ascii="Courier New" w:hAnsi="Courier New" w:cs="Courier New" w:hint="default"/>
      </w:rPr>
    </w:lvl>
    <w:lvl w:ilvl="5" w:tplc="85B03A1C" w:tentative="1">
      <w:start w:val="1"/>
      <w:numFmt w:val="bullet"/>
      <w:lvlText w:val=""/>
      <w:lvlJc w:val="left"/>
      <w:pPr>
        <w:ind w:left="4320" w:hanging="360"/>
      </w:pPr>
      <w:rPr>
        <w:rFonts w:ascii="Wingdings" w:hAnsi="Wingdings" w:hint="default"/>
      </w:rPr>
    </w:lvl>
    <w:lvl w:ilvl="6" w:tplc="CCC08ADE" w:tentative="1">
      <w:start w:val="1"/>
      <w:numFmt w:val="bullet"/>
      <w:lvlText w:val=""/>
      <w:lvlJc w:val="left"/>
      <w:pPr>
        <w:ind w:left="5040" w:hanging="360"/>
      </w:pPr>
      <w:rPr>
        <w:rFonts w:ascii="Symbol" w:hAnsi="Symbol" w:hint="default"/>
      </w:rPr>
    </w:lvl>
    <w:lvl w:ilvl="7" w:tplc="C8505086" w:tentative="1">
      <w:start w:val="1"/>
      <w:numFmt w:val="bullet"/>
      <w:lvlText w:val="o"/>
      <w:lvlJc w:val="left"/>
      <w:pPr>
        <w:ind w:left="5760" w:hanging="360"/>
      </w:pPr>
      <w:rPr>
        <w:rFonts w:ascii="Courier New" w:hAnsi="Courier New" w:cs="Courier New" w:hint="default"/>
      </w:rPr>
    </w:lvl>
    <w:lvl w:ilvl="8" w:tplc="7D2438FA" w:tentative="1">
      <w:start w:val="1"/>
      <w:numFmt w:val="bullet"/>
      <w:lvlText w:val=""/>
      <w:lvlJc w:val="left"/>
      <w:pPr>
        <w:ind w:left="6480" w:hanging="360"/>
      </w:pPr>
      <w:rPr>
        <w:rFonts w:ascii="Wingdings" w:hAnsi="Wingdings" w:hint="default"/>
      </w:rPr>
    </w:lvl>
  </w:abstractNum>
  <w:abstractNum w:abstractNumId="47" w15:restartNumberingAfterBreak="0">
    <w:nsid w:val="7B4E2D4E"/>
    <w:multiLevelType w:val="hybridMultilevel"/>
    <w:tmpl w:val="9ACE4D6C"/>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8" w15:restartNumberingAfterBreak="0">
    <w:nsid w:val="7BDD1353"/>
    <w:multiLevelType w:val="hybridMultilevel"/>
    <w:tmpl w:val="77CE96E2"/>
    <w:lvl w:ilvl="0" w:tplc="7D6E88A6">
      <w:start w:val="1"/>
      <w:numFmt w:val="lowerLetter"/>
      <w:lvlText w:val="%1)"/>
      <w:lvlJc w:val="left"/>
      <w:pPr>
        <w:ind w:left="360" w:hanging="360"/>
      </w:pPr>
      <w:rPr>
        <w:rFonts w:hint="default"/>
      </w:rPr>
    </w:lvl>
    <w:lvl w:ilvl="1" w:tplc="C018097A" w:tentative="1">
      <w:start w:val="1"/>
      <w:numFmt w:val="lowerLetter"/>
      <w:lvlText w:val="%2."/>
      <w:lvlJc w:val="left"/>
      <w:pPr>
        <w:ind w:left="1080" w:hanging="360"/>
      </w:pPr>
    </w:lvl>
    <w:lvl w:ilvl="2" w:tplc="DB32C5CC" w:tentative="1">
      <w:start w:val="1"/>
      <w:numFmt w:val="lowerRoman"/>
      <w:lvlText w:val="%3."/>
      <w:lvlJc w:val="right"/>
      <w:pPr>
        <w:ind w:left="1800" w:hanging="180"/>
      </w:pPr>
    </w:lvl>
    <w:lvl w:ilvl="3" w:tplc="9A3EA9E4" w:tentative="1">
      <w:start w:val="1"/>
      <w:numFmt w:val="decimal"/>
      <w:lvlText w:val="%4."/>
      <w:lvlJc w:val="left"/>
      <w:pPr>
        <w:ind w:left="2520" w:hanging="360"/>
      </w:pPr>
    </w:lvl>
    <w:lvl w:ilvl="4" w:tplc="20CEDB7E" w:tentative="1">
      <w:start w:val="1"/>
      <w:numFmt w:val="lowerLetter"/>
      <w:lvlText w:val="%5."/>
      <w:lvlJc w:val="left"/>
      <w:pPr>
        <w:ind w:left="3240" w:hanging="360"/>
      </w:pPr>
    </w:lvl>
    <w:lvl w:ilvl="5" w:tplc="2AAC50B2" w:tentative="1">
      <w:start w:val="1"/>
      <w:numFmt w:val="lowerRoman"/>
      <w:lvlText w:val="%6."/>
      <w:lvlJc w:val="right"/>
      <w:pPr>
        <w:ind w:left="3960" w:hanging="180"/>
      </w:pPr>
    </w:lvl>
    <w:lvl w:ilvl="6" w:tplc="4C1E8A34" w:tentative="1">
      <w:start w:val="1"/>
      <w:numFmt w:val="decimal"/>
      <w:lvlText w:val="%7."/>
      <w:lvlJc w:val="left"/>
      <w:pPr>
        <w:ind w:left="4680" w:hanging="360"/>
      </w:pPr>
    </w:lvl>
    <w:lvl w:ilvl="7" w:tplc="5BF43CD4" w:tentative="1">
      <w:start w:val="1"/>
      <w:numFmt w:val="lowerLetter"/>
      <w:lvlText w:val="%8."/>
      <w:lvlJc w:val="left"/>
      <w:pPr>
        <w:ind w:left="5400" w:hanging="360"/>
      </w:pPr>
    </w:lvl>
    <w:lvl w:ilvl="8" w:tplc="E8A252EC" w:tentative="1">
      <w:start w:val="1"/>
      <w:numFmt w:val="lowerRoman"/>
      <w:lvlText w:val="%9."/>
      <w:lvlJc w:val="right"/>
      <w:pPr>
        <w:ind w:left="6120" w:hanging="180"/>
      </w:pPr>
    </w:lvl>
  </w:abstractNum>
  <w:abstractNum w:abstractNumId="49" w15:restartNumberingAfterBreak="0">
    <w:nsid w:val="7C870986"/>
    <w:multiLevelType w:val="hybridMultilevel"/>
    <w:tmpl w:val="52F888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D2368F6"/>
    <w:multiLevelType w:val="hybridMultilevel"/>
    <w:tmpl w:val="FF5C01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37"/>
  </w:num>
  <w:num w:numId="4">
    <w:abstractNumId w:val="29"/>
  </w:num>
  <w:num w:numId="5">
    <w:abstractNumId w:val="41"/>
  </w:num>
  <w:num w:numId="6">
    <w:abstractNumId w:val="8"/>
  </w:num>
  <w:num w:numId="7">
    <w:abstractNumId w:val="38"/>
  </w:num>
  <w:num w:numId="8">
    <w:abstractNumId w:val="5"/>
  </w:num>
  <w:num w:numId="9">
    <w:abstractNumId w:val="6"/>
  </w:num>
  <w:num w:numId="10">
    <w:abstractNumId w:val="1"/>
  </w:num>
  <w:num w:numId="11">
    <w:abstractNumId w:val="12"/>
  </w:num>
  <w:num w:numId="12">
    <w:abstractNumId w:val="46"/>
  </w:num>
  <w:num w:numId="13">
    <w:abstractNumId w:val="28"/>
  </w:num>
  <w:num w:numId="14">
    <w:abstractNumId w:val="20"/>
  </w:num>
  <w:num w:numId="15">
    <w:abstractNumId w:val="32"/>
  </w:num>
  <w:num w:numId="16">
    <w:abstractNumId w:val="0"/>
  </w:num>
  <w:num w:numId="17">
    <w:abstractNumId w:val="44"/>
  </w:num>
  <w:num w:numId="18">
    <w:abstractNumId w:val="31"/>
  </w:num>
  <w:num w:numId="19">
    <w:abstractNumId w:val="15"/>
  </w:num>
  <w:num w:numId="20">
    <w:abstractNumId w:val="24"/>
  </w:num>
  <w:num w:numId="21">
    <w:abstractNumId w:val="45"/>
  </w:num>
  <w:num w:numId="22">
    <w:abstractNumId w:val="14"/>
  </w:num>
  <w:num w:numId="23">
    <w:abstractNumId w:val="19"/>
  </w:num>
  <w:num w:numId="24">
    <w:abstractNumId w:val="47"/>
  </w:num>
  <w:num w:numId="25">
    <w:abstractNumId w:val="16"/>
  </w:num>
  <w:num w:numId="26">
    <w:abstractNumId w:val="9"/>
  </w:num>
  <w:num w:numId="27">
    <w:abstractNumId w:val="13"/>
  </w:num>
  <w:num w:numId="28">
    <w:abstractNumId w:val="22"/>
  </w:num>
  <w:num w:numId="29">
    <w:abstractNumId w:val="4"/>
  </w:num>
  <w:num w:numId="30">
    <w:abstractNumId w:val="23"/>
  </w:num>
  <w:num w:numId="31">
    <w:abstractNumId w:val="39"/>
  </w:num>
  <w:num w:numId="32">
    <w:abstractNumId w:val="50"/>
  </w:num>
  <w:num w:numId="33">
    <w:abstractNumId w:val="11"/>
  </w:num>
  <w:num w:numId="34">
    <w:abstractNumId w:val="7"/>
  </w:num>
  <w:num w:numId="35">
    <w:abstractNumId w:val="48"/>
  </w:num>
  <w:num w:numId="36">
    <w:abstractNumId w:val="36"/>
  </w:num>
  <w:num w:numId="37">
    <w:abstractNumId w:val="27"/>
  </w:num>
  <w:num w:numId="38">
    <w:abstractNumId w:val="17"/>
  </w:num>
  <w:num w:numId="39">
    <w:abstractNumId w:val="33"/>
  </w:num>
  <w:num w:numId="40">
    <w:abstractNumId w:val="43"/>
  </w:num>
  <w:num w:numId="41">
    <w:abstractNumId w:val="10"/>
  </w:num>
  <w:num w:numId="42">
    <w:abstractNumId w:val="30"/>
  </w:num>
  <w:num w:numId="43">
    <w:abstractNumId w:val="40"/>
  </w:num>
  <w:num w:numId="44">
    <w:abstractNumId w:val="49"/>
  </w:num>
  <w:num w:numId="45">
    <w:abstractNumId w:val="25"/>
  </w:num>
  <w:num w:numId="46">
    <w:abstractNumId w:val="26"/>
  </w:num>
  <w:num w:numId="47">
    <w:abstractNumId w:val="42"/>
  </w:num>
  <w:num w:numId="48">
    <w:abstractNumId w:val="34"/>
  </w:num>
  <w:num w:numId="49">
    <w:abstractNumId w:val="35"/>
  </w:num>
  <w:num w:numId="50">
    <w:abstractNumId w:val="35"/>
    <w:lvlOverride w:ilvl="0">
      <w:startOverride w:val="1"/>
    </w:lvlOverride>
  </w:num>
  <w:num w:numId="51">
    <w:abstractNumId w:val="18"/>
  </w:num>
  <w:num w:numId="52">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263"/>
    <w:rsid w:val="00000192"/>
    <w:rsid w:val="00000932"/>
    <w:rsid w:val="000015A0"/>
    <w:rsid w:val="00002A51"/>
    <w:rsid w:val="00004A85"/>
    <w:rsid w:val="00004DD2"/>
    <w:rsid w:val="00005898"/>
    <w:rsid w:val="00006515"/>
    <w:rsid w:val="000075DC"/>
    <w:rsid w:val="000103D2"/>
    <w:rsid w:val="00010B18"/>
    <w:rsid w:val="00010C87"/>
    <w:rsid w:val="0001660A"/>
    <w:rsid w:val="00016AA8"/>
    <w:rsid w:val="00020301"/>
    <w:rsid w:val="00020A4B"/>
    <w:rsid w:val="00021601"/>
    <w:rsid w:val="00021B61"/>
    <w:rsid w:val="00022765"/>
    <w:rsid w:val="00022AB8"/>
    <w:rsid w:val="000255C9"/>
    <w:rsid w:val="00025EE4"/>
    <w:rsid w:val="000300D4"/>
    <w:rsid w:val="000301A2"/>
    <w:rsid w:val="00030BA0"/>
    <w:rsid w:val="000315CA"/>
    <w:rsid w:val="00031D6A"/>
    <w:rsid w:val="00032116"/>
    <w:rsid w:val="00032A2F"/>
    <w:rsid w:val="0003342C"/>
    <w:rsid w:val="00036E98"/>
    <w:rsid w:val="00037555"/>
    <w:rsid w:val="00037A77"/>
    <w:rsid w:val="0004078C"/>
    <w:rsid w:val="00040808"/>
    <w:rsid w:val="00041569"/>
    <w:rsid w:val="00041A69"/>
    <w:rsid w:val="00042E50"/>
    <w:rsid w:val="00044858"/>
    <w:rsid w:val="00046EFE"/>
    <w:rsid w:val="0005054A"/>
    <w:rsid w:val="00050723"/>
    <w:rsid w:val="000520E2"/>
    <w:rsid w:val="0005371B"/>
    <w:rsid w:val="000540FC"/>
    <w:rsid w:val="00057447"/>
    <w:rsid w:val="00060429"/>
    <w:rsid w:val="00061C4B"/>
    <w:rsid w:val="00063131"/>
    <w:rsid w:val="0006438D"/>
    <w:rsid w:val="00064945"/>
    <w:rsid w:val="000658D1"/>
    <w:rsid w:val="00066240"/>
    <w:rsid w:val="00067DDE"/>
    <w:rsid w:val="00070A17"/>
    <w:rsid w:val="0007227E"/>
    <w:rsid w:val="00072511"/>
    <w:rsid w:val="00072EB7"/>
    <w:rsid w:val="000739AF"/>
    <w:rsid w:val="00073DB3"/>
    <w:rsid w:val="00073F1E"/>
    <w:rsid w:val="000752E1"/>
    <w:rsid w:val="00077F95"/>
    <w:rsid w:val="000802AE"/>
    <w:rsid w:val="00081E26"/>
    <w:rsid w:val="00083C5B"/>
    <w:rsid w:val="00083DBA"/>
    <w:rsid w:val="000915EF"/>
    <w:rsid w:val="00091E9C"/>
    <w:rsid w:val="00092CE3"/>
    <w:rsid w:val="00092E0F"/>
    <w:rsid w:val="0009336C"/>
    <w:rsid w:val="00095594"/>
    <w:rsid w:val="0009641B"/>
    <w:rsid w:val="00097F4E"/>
    <w:rsid w:val="000A0884"/>
    <w:rsid w:val="000A21B8"/>
    <w:rsid w:val="000A35D1"/>
    <w:rsid w:val="000A4227"/>
    <w:rsid w:val="000A4471"/>
    <w:rsid w:val="000A5351"/>
    <w:rsid w:val="000A56F7"/>
    <w:rsid w:val="000A6CAC"/>
    <w:rsid w:val="000B17E0"/>
    <w:rsid w:val="000B3F77"/>
    <w:rsid w:val="000B4E5B"/>
    <w:rsid w:val="000B4F18"/>
    <w:rsid w:val="000B5E04"/>
    <w:rsid w:val="000B7723"/>
    <w:rsid w:val="000C112B"/>
    <w:rsid w:val="000C1BE2"/>
    <w:rsid w:val="000C222F"/>
    <w:rsid w:val="000C418C"/>
    <w:rsid w:val="000D00BB"/>
    <w:rsid w:val="000D20AF"/>
    <w:rsid w:val="000D5819"/>
    <w:rsid w:val="000D6413"/>
    <w:rsid w:val="000E02D0"/>
    <w:rsid w:val="000E2A5C"/>
    <w:rsid w:val="000E2EBB"/>
    <w:rsid w:val="000E3A95"/>
    <w:rsid w:val="000E43EB"/>
    <w:rsid w:val="000E76A9"/>
    <w:rsid w:val="000F0799"/>
    <w:rsid w:val="000F0D5B"/>
    <w:rsid w:val="000F1E6C"/>
    <w:rsid w:val="000F329C"/>
    <w:rsid w:val="000F43A5"/>
    <w:rsid w:val="000F5079"/>
    <w:rsid w:val="000F54EC"/>
    <w:rsid w:val="000F6789"/>
    <w:rsid w:val="000F744A"/>
    <w:rsid w:val="001014A8"/>
    <w:rsid w:val="00101E07"/>
    <w:rsid w:val="00102E06"/>
    <w:rsid w:val="00103774"/>
    <w:rsid w:val="001038D3"/>
    <w:rsid w:val="0010397D"/>
    <w:rsid w:val="001043C9"/>
    <w:rsid w:val="00104EB1"/>
    <w:rsid w:val="001067DC"/>
    <w:rsid w:val="00106E63"/>
    <w:rsid w:val="00106F23"/>
    <w:rsid w:val="00110C30"/>
    <w:rsid w:val="00111226"/>
    <w:rsid w:val="00112BBB"/>
    <w:rsid w:val="00112DA8"/>
    <w:rsid w:val="00113D9D"/>
    <w:rsid w:val="0011658E"/>
    <w:rsid w:val="0011712B"/>
    <w:rsid w:val="00117453"/>
    <w:rsid w:val="00120567"/>
    <w:rsid w:val="00125D95"/>
    <w:rsid w:val="0013041E"/>
    <w:rsid w:val="001311BE"/>
    <w:rsid w:val="001325A2"/>
    <w:rsid w:val="00132777"/>
    <w:rsid w:val="00132D38"/>
    <w:rsid w:val="0013353D"/>
    <w:rsid w:val="00135624"/>
    <w:rsid w:val="00135676"/>
    <w:rsid w:val="0013651C"/>
    <w:rsid w:val="00137947"/>
    <w:rsid w:val="00141293"/>
    <w:rsid w:val="00141496"/>
    <w:rsid w:val="00141F66"/>
    <w:rsid w:val="00142408"/>
    <w:rsid w:val="001425FD"/>
    <w:rsid w:val="0014296D"/>
    <w:rsid w:val="00143408"/>
    <w:rsid w:val="00143C0C"/>
    <w:rsid w:val="00144E33"/>
    <w:rsid w:val="00146D43"/>
    <w:rsid w:val="00150034"/>
    <w:rsid w:val="00152F09"/>
    <w:rsid w:val="0015305D"/>
    <w:rsid w:val="00153F11"/>
    <w:rsid w:val="001549EA"/>
    <w:rsid w:val="00154BD0"/>
    <w:rsid w:val="001554E2"/>
    <w:rsid w:val="00156C53"/>
    <w:rsid w:val="00157D5D"/>
    <w:rsid w:val="00160281"/>
    <w:rsid w:val="001607AA"/>
    <w:rsid w:val="00160CDC"/>
    <w:rsid w:val="0016112D"/>
    <w:rsid w:val="001638D7"/>
    <w:rsid w:val="001645FE"/>
    <w:rsid w:val="00164EA0"/>
    <w:rsid w:val="00170C00"/>
    <w:rsid w:val="00171F47"/>
    <w:rsid w:val="001725BF"/>
    <w:rsid w:val="00176EF2"/>
    <w:rsid w:val="001808CC"/>
    <w:rsid w:val="00180E9D"/>
    <w:rsid w:val="001813D2"/>
    <w:rsid w:val="0018148A"/>
    <w:rsid w:val="00182270"/>
    <w:rsid w:val="00185D85"/>
    <w:rsid w:val="0018649B"/>
    <w:rsid w:val="00186D1F"/>
    <w:rsid w:val="00190B17"/>
    <w:rsid w:val="00191820"/>
    <w:rsid w:val="00192409"/>
    <w:rsid w:val="001937A5"/>
    <w:rsid w:val="00195255"/>
    <w:rsid w:val="00195563"/>
    <w:rsid w:val="00196CB7"/>
    <w:rsid w:val="001974EF"/>
    <w:rsid w:val="00197BBE"/>
    <w:rsid w:val="001A1844"/>
    <w:rsid w:val="001A44AD"/>
    <w:rsid w:val="001A470F"/>
    <w:rsid w:val="001A4F52"/>
    <w:rsid w:val="001A56EF"/>
    <w:rsid w:val="001A659D"/>
    <w:rsid w:val="001A6F98"/>
    <w:rsid w:val="001A6FD8"/>
    <w:rsid w:val="001B0011"/>
    <w:rsid w:val="001B1184"/>
    <w:rsid w:val="001B1CCF"/>
    <w:rsid w:val="001B1DEE"/>
    <w:rsid w:val="001B339C"/>
    <w:rsid w:val="001B66D7"/>
    <w:rsid w:val="001B72F6"/>
    <w:rsid w:val="001C1318"/>
    <w:rsid w:val="001C4520"/>
    <w:rsid w:val="001C4F93"/>
    <w:rsid w:val="001C6019"/>
    <w:rsid w:val="001C6636"/>
    <w:rsid w:val="001C7CA8"/>
    <w:rsid w:val="001C7CFA"/>
    <w:rsid w:val="001D102F"/>
    <w:rsid w:val="001D3108"/>
    <w:rsid w:val="001D34B4"/>
    <w:rsid w:val="001D380D"/>
    <w:rsid w:val="001D5841"/>
    <w:rsid w:val="001D65E2"/>
    <w:rsid w:val="001D7F03"/>
    <w:rsid w:val="001E0687"/>
    <w:rsid w:val="001E0975"/>
    <w:rsid w:val="001E09C2"/>
    <w:rsid w:val="001E0FB2"/>
    <w:rsid w:val="001E0FF6"/>
    <w:rsid w:val="001E1A03"/>
    <w:rsid w:val="001E1AC2"/>
    <w:rsid w:val="001E1F9A"/>
    <w:rsid w:val="001E1FC5"/>
    <w:rsid w:val="001E28B7"/>
    <w:rsid w:val="001E3C59"/>
    <w:rsid w:val="001E4D47"/>
    <w:rsid w:val="001E5C1D"/>
    <w:rsid w:val="001E6B5E"/>
    <w:rsid w:val="001E727C"/>
    <w:rsid w:val="001E7763"/>
    <w:rsid w:val="001E7C12"/>
    <w:rsid w:val="001F0105"/>
    <w:rsid w:val="001F27F0"/>
    <w:rsid w:val="001F46DC"/>
    <w:rsid w:val="001F48ED"/>
    <w:rsid w:val="001F4A2E"/>
    <w:rsid w:val="001F4DE1"/>
    <w:rsid w:val="001F6559"/>
    <w:rsid w:val="001F7210"/>
    <w:rsid w:val="002003AA"/>
    <w:rsid w:val="0020068C"/>
    <w:rsid w:val="00200F94"/>
    <w:rsid w:val="00201BEB"/>
    <w:rsid w:val="0020490C"/>
    <w:rsid w:val="00206AAE"/>
    <w:rsid w:val="0020708D"/>
    <w:rsid w:val="0020755C"/>
    <w:rsid w:val="00214E0B"/>
    <w:rsid w:val="0021516C"/>
    <w:rsid w:val="00220D75"/>
    <w:rsid w:val="002250BB"/>
    <w:rsid w:val="00226A4D"/>
    <w:rsid w:val="0023502E"/>
    <w:rsid w:val="0023533E"/>
    <w:rsid w:val="00240DF8"/>
    <w:rsid w:val="002413F9"/>
    <w:rsid w:val="00243C07"/>
    <w:rsid w:val="00243FE4"/>
    <w:rsid w:val="002451C5"/>
    <w:rsid w:val="00245856"/>
    <w:rsid w:val="0024600F"/>
    <w:rsid w:val="00250B7B"/>
    <w:rsid w:val="00252B71"/>
    <w:rsid w:val="00252CA2"/>
    <w:rsid w:val="002533F8"/>
    <w:rsid w:val="00253560"/>
    <w:rsid w:val="00253FBB"/>
    <w:rsid w:val="00257CA3"/>
    <w:rsid w:val="00260792"/>
    <w:rsid w:val="00260FE7"/>
    <w:rsid w:val="002616C5"/>
    <w:rsid w:val="00264646"/>
    <w:rsid w:val="00264ED6"/>
    <w:rsid w:val="0026560A"/>
    <w:rsid w:val="00266941"/>
    <w:rsid w:val="00274D36"/>
    <w:rsid w:val="00275E07"/>
    <w:rsid w:val="00276D65"/>
    <w:rsid w:val="00277148"/>
    <w:rsid w:val="00277615"/>
    <w:rsid w:val="00277FA4"/>
    <w:rsid w:val="00280592"/>
    <w:rsid w:val="00280782"/>
    <w:rsid w:val="00280863"/>
    <w:rsid w:val="00280CCE"/>
    <w:rsid w:val="00281579"/>
    <w:rsid w:val="00283146"/>
    <w:rsid w:val="00284FEC"/>
    <w:rsid w:val="00292C76"/>
    <w:rsid w:val="00293B21"/>
    <w:rsid w:val="00293F1E"/>
    <w:rsid w:val="002970D3"/>
    <w:rsid w:val="00297304"/>
    <w:rsid w:val="002978CB"/>
    <w:rsid w:val="00297A08"/>
    <w:rsid w:val="002A07D6"/>
    <w:rsid w:val="002A1785"/>
    <w:rsid w:val="002A233C"/>
    <w:rsid w:val="002A29F6"/>
    <w:rsid w:val="002A318B"/>
    <w:rsid w:val="002A37B6"/>
    <w:rsid w:val="002A40E6"/>
    <w:rsid w:val="002A52B4"/>
    <w:rsid w:val="002A56CC"/>
    <w:rsid w:val="002A59A3"/>
    <w:rsid w:val="002A5A47"/>
    <w:rsid w:val="002A5EF4"/>
    <w:rsid w:val="002A6714"/>
    <w:rsid w:val="002A68FA"/>
    <w:rsid w:val="002A7AA5"/>
    <w:rsid w:val="002B2C66"/>
    <w:rsid w:val="002B2EE7"/>
    <w:rsid w:val="002B44FE"/>
    <w:rsid w:val="002B5BB7"/>
    <w:rsid w:val="002B7942"/>
    <w:rsid w:val="002B7A89"/>
    <w:rsid w:val="002C0C75"/>
    <w:rsid w:val="002C0D33"/>
    <w:rsid w:val="002C1D07"/>
    <w:rsid w:val="002C1DB8"/>
    <w:rsid w:val="002C20E7"/>
    <w:rsid w:val="002C25D9"/>
    <w:rsid w:val="002C345C"/>
    <w:rsid w:val="002C4DDA"/>
    <w:rsid w:val="002C6FC2"/>
    <w:rsid w:val="002D1457"/>
    <w:rsid w:val="002D1B32"/>
    <w:rsid w:val="002D3136"/>
    <w:rsid w:val="002D40AC"/>
    <w:rsid w:val="002D41E9"/>
    <w:rsid w:val="002D578C"/>
    <w:rsid w:val="002D5DA9"/>
    <w:rsid w:val="002D7214"/>
    <w:rsid w:val="002D7D8B"/>
    <w:rsid w:val="002E046A"/>
    <w:rsid w:val="002E1D2E"/>
    <w:rsid w:val="002E1FBE"/>
    <w:rsid w:val="002E5F80"/>
    <w:rsid w:val="002E6450"/>
    <w:rsid w:val="002E691C"/>
    <w:rsid w:val="002E6A06"/>
    <w:rsid w:val="002F3C93"/>
    <w:rsid w:val="002F47B8"/>
    <w:rsid w:val="002F573B"/>
    <w:rsid w:val="002F7495"/>
    <w:rsid w:val="002F7C55"/>
    <w:rsid w:val="00302120"/>
    <w:rsid w:val="00302601"/>
    <w:rsid w:val="003028EA"/>
    <w:rsid w:val="00303E5F"/>
    <w:rsid w:val="00304A20"/>
    <w:rsid w:val="00306D30"/>
    <w:rsid w:val="00310D05"/>
    <w:rsid w:val="00310EED"/>
    <w:rsid w:val="003116BA"/>
    <w:rsid w:val="00311705"/>
    <w:rsid w:val="00312836"/>
    <w:rsid w:val="00312C9C"/>
    <w:rsid w:val="00313199"/>
    <w:rsid w:val="00314B4A"/>
    <w:rsid w:val="003153EB"/>
    <w:rsid w:val="00316C7A"/>
    <w:rsid w:val="003202FF"/>
    <w:rsid w:val="00320EE0"/>
    <w:rsid w:val="00323160"/>
    <w:rsid w:val="00323B15"/>
    <w:rsid w:val="00323B98"/>
    <w:rsid w:val="003243F9"/>
    <w:rsid w:val="003265B0"/>
    <w:rsid w:val="00330F14"/>
    <w:rsid w:val="00331690"/>
    <w:rsid w:val="00333E99"/>
    <w:rsid w:val="0033626F"/>
    <w:rsid w:val="003378D0"/>
    <w:rsid w:val="00337A41"/>
    <w:rsid w:val="003400FC"/>
    <w:rsid w:val="00340565"/>
    <w:rsid w:val="00340EBC"/>
    <w:rsid w:val="00341096"/>
    <w:rsid w:val="003417B6"/>
    <w:rsid w:val="00343320"/>
    <w:rsid w:val="00343563"/>
    <w:rsid w:val="0034379D"/>
    <w:rsid w:val="003447CB"/>
    <w:rsid w:val="0034607C"/>
    <w:rsid w:val="003465DC"/>
    <w:rsid w:val="003507D2"/>
    <w:rsid w:val="003516CE"/>
    <w:rsid w:val="00352836"/>
    <w:rsid w:val="00353783"/>
    <w:rsid w:val="00354107"/>
    <w:rsid w:val="0035485C"/>
    <w:rsid w:val="00354DC9"/>
    <w:rsid w:val="00355767"/>
    <w:rsid w:val="00357F49"/>
    <w:rsid w:val="003607FA"/>
    <w:rsid w:val="0036276A"/>
    <w:rsid w:val="00363ECA"/>
    <w:rsid w:val="00364B62"/>
    <w:rsid w:val="00364D2B"/>
    <w:rsid w:val="00365168"/>
    <w:rsid w:val="003669EF"/>
    <w:rsid w:val="00371A96"/>
    <w:rsid w:val="003723DB"/>
    <w:rsid w:val="0037342C"/>
    <w:rsid w:val="00373766"/>
    <w:rsid w:val="0037641D"/>
    <w:rsid w:val="0037666A"/>
    <w:rsid w:val="00376A1A"/>
    <w:rsid w:val="00376A68"/>
    <w:rsid w:val="00376C33"/>
    <w:rsid w:val="00382352"/>
    <w:rsid w:val="0038275B"/>
    <w:rsid w:val="00383329"/>
    <w:rsid w:val="00383ED6"/>
    <w:rsid w:val="00386C95"/>
    <w:rsid w:val="00387471"/>
    <w:rsid w:val="003874F0"/>
    <w:rsid w:val="00391B51"/>
    <w:rsid w:val="00393D50"/>
    <w:rsid w:val="00394AAC"/>
    <w:rsid w:val="00395A65"/>
    <w:rsid w:val="003978AF"/>
    <w:rsid w:val="003A1F00"/>
    <w:rsid w:val="003A1F4B"/>
    <w:rsid w:val="003A2709"/>
    <w:rsid w:val="003A3CBD"/>
    <w:rsid w:val="003A5076"/>
    <w:rsid w:val="003A55A5"/>
    <w:rsid w:val="003A7B37"/>
    <w:rsid w:val="003B0380"/>
    <w:rsid w:val="003B1C4E"/>
    <w:rsid w:val="003B2435"/>
    <w:rsid w:val="003B40E2"/>
    <w:rsid w:val="003B5119"/>
    <w:rsid w:val="003B53C5"/>
    <w:rsid w:val="003B62C4"/>
    <w:rsid w:val="003B6B77"/>
    <w:rsid w:val="003C0503"/>
    <w:rsid w:val="003C198B"/>
    <w:rsid w:val="003C2281"/>
    <w:rsid w:val="003C30B1"/>
    <w:rsid w:val="003C3B31"/>
    <w:rsid w:val="003C49FA"/>
    <w:rsid w:val="003C5AC9"/>
    <w:rsid w:val="003C7690"/>
    <w:rsid w:val="003D1368"/>
    <w:rsid w:val="003D2A24"/>
    <w:rsid w:val="003D41C0"/>
    <w:rsid w:val="003D79EB"/>
    <w:rsid w:val="003E0A7D"/>
    <w:rsid w:val="003E12CD"/>
    <w:rsid w:val="003E2E16"/>
    <w:rsid w:val="003E310B"/>
    <w:rsid w:val="003E548B"/>
    <w:rsid w:val="003E5C25"/>
    <w:rsid w:val="003E5EB2"/>
    <w:rsid w:val="003E5FA5"/>
    <w:rsid w:val="003E64B4"/>
    <w:rsid w:val="003E7FFE"/>
    <w:rsid w:val="003F0D6A"/>
    <w:rsid w:val="003F2B97"/>
    <w:rsid w:val="003F3299"/>
    <w:rsid w:val="003F3908"/>
    <w:rsid w:val="003F3E99"/>
    <w:rsid w:val="003F4704"/>
    <w:rsid w:val="003F5C5C"/>
    <w:rsid w:val="003F5E0A"/>
    <w:rsid w:val="003F758F"/>
    <w:rsid w:val="003F7ED4"/>
    <w:rsid w:val="00400024"/>
    <w:rsid w:val="004007DC"/>
    <w:rsid w:val="00400EBF"/>
    <w:rsid w:val="004024CF"/>
    <w:rsid w:val="00402B02"/>
    <w:rsid w:val="00403916"/>
    <w:rsid w:val="00404A8A"/>
    <w:rsid w:val="0040546F"/>
    <w:rsid w:val="00405755"/>
    <w:rsid w:val="00405F4F"/>
    <w:rsid w:val="00405F84"/>
    <w:rsid w:val="0040604E"/>
    <w:rsid w:val="004067CB"/>
    <w:rsid w:val="0040695C"/>
    <w:rsid w:val="004078F5"/>
    <w:rsid w:val="00410046"/>
    <w:rsid w:val="0041100F"/>
    <w:rsid w:val="004114D8"/>
    <w:rsid w:val="00413353"/>
    <w:rsid w:val="00413A0A"/>
    <w:rsid w:val="00414282"/>
    <w:rsid w:val="00416C50"/>
    <w:rsid w:val="004177C0"/>
    <w:rsid w:val="00417BC8"/>
    <w:rsid w:val="00420A2A"/>
    <w:rsid w:val="00420AC7"/>
    <w:rsid w:val="00421CE8"/>
    <w:rsid w:val="004236D4"/>
    <w:rsid w:val="00425712"/>
    <w:rsid w:val="004263F1"/>
    <w:rsid w:val="00426A01"/>
    <w:rsid w:val="00433FD7"/>
    <w:rsid w:val="0043439D"/>
    <w:rsid w:val="00434C3E"/>
    <w:rsid w:val="00434F90"/>
    <w:rsid w:val="00437AA7"/>
    <w:rsid w:val="0044058C"/>
    <w:rsid w:val="00440DCE"/>
    <w:rsid w:val="004423DA"/>
    <w:rsid w:val="00442772"/>
    <w:rsid w:val="00442A6D"/>
    <w:rsid w:val="00442C09"/>
    <w:rsid w:val="00444793"/>
    <w:rsid w:val="004460D0"/>
    <w:rsid w:val="00446E19"/>
    <w:rsid w:val="00450483"/>
    <w:rsid w:val="004516EC"/>
    <w:rsid w:val="00453001"/>
    <w:rsid w:val="00453729"/>
    <w:rsid w:val="00453D48"/>
    <w:rsid w:val="004548DC"/>
    <w:rsid w:val="00457E96"/>
    <w:rsid w:val="00460E90"/>
    <w:rsid w:val="004628CF"/>
    <w:rsid w:val="00462F78"/>
    <w:rsid w:val="00464892"/>
    <w:rsid w:val="00467AAF"/>
    <w:rsid w:val="004705E5"/>
    <w:rsid w:val="004714EF"/>
    <w:rsid w:val="0047255D"/>
    <w:rsid w:val="004727DB"/>
    <w:rsid w:val="00473835"/>
    <w:rsid w:val="00474851"/>
    <w:rsid w:val="0047496C"/>
    <w:rsid w:val="0047651E"/>
    <w:rsid w:val="0047789B"/>
    <w:rsid w:val="00480922"/>
    <w:rsid w:val="004815F5"/>
    <w:rsid w:val="00481E9C"/>
    <w:rsid w:val="00483201"/>
    <w:rsid w:val="0048548F"/>
    <w:rsid w:val="004859D7"/>
    <w:rsid w:val="004862A8"/>
    <w:rsid w:val="004863E8"/>
    <w:rsid w:val="004877B7"/>
    <w:rsid w:val="00487B6C"/>
    <w:rsid w:val="00490452"/>
    <w:rsid w:val="00492BE3"/>
    <w:rsid w:val="00493109"/>
    <w:rsid w:val="0049352F"/>
    <w:rsid w:val="00495239"/>
    <w:rsid w:val="004A05A2"/>
    <w:rsid w:val="004A16AE"/>
    <w:rsid w:val="004A3F76"/>
    <w:rsid w:val="004A5C5A"/>
    <w:rsid w:val="004A64FA"/>
    <w:rsid w:val="004A6D4E"/>
    <w:rsid w:val="004A7D0F"/>
    <w:rsid w:val="004B0B91"/>
    <w:rsid w:val="004B1773"/>
    <w:rsid w:val="004B3750"/>
    <w:rsid w:val="004B4FC0"/>
    <w:rsid w:val="004B5069"/>
    <w:rsid w:val="004B50D7"/>
    <w:rsid w:val="004B576B"/>
    <w:rsid w:val="004B595F"/>
    <w:rsid w:val="004B5E7F"/>
    <w:rsid w:val="004C0454"/>
    <w:rsid w:val="004C07DE"/>
    <w:rsid w:val="004C1394"/>
    <w:rsid w:val="004C1AD1"/>
    <w:rsid w:val="004C2DFA"/>
    <w:rsid w:val="004C34A0"/>
    <w:rsid w:val="004C4F67"/>
    <w:rsid w:val="004C5F90"/>
    <w:rsid w:val="004C78E7"/>
    <w:rsid w:val="004C7DAE"/>
    <w:rsid w:val="004D23D5"/>
    <w:rsid w:val="004D2A5E"/>
    <w:rsid w:val="004D325F"/>
    <w:rsid w:val="004D3266"/>
    <w:rsid w:val="004D40CF"/>
    <w:rsid w:val="004D537B"/>
    <w:rsid w:val="004D7AB3"/>
    <w:rsid w:val="004E0129"/>
    <w:rsid w:val="004E134C"/>
    <w:rsid w:val="004E31D6"/>
    <w:rsid w:val="004E3C1B"/>
    <w:rsid w:val="004E415C"/>
    <w:rsid w:val="004E790E"/>
    <w:rsid w:val="004F0757"/>
    <w:rsid w:val="004F2951"/>
    <w:rsid w:val="004F3805"/>
    <w:rsid w:val="004F42D1"/>
    <w:rsid w:val="004F5235"/>
    <w:rsid w:val="004F5A4E"/>
    <w:rsid w:val="004F6312"/>
    <w:rsid w:val="004F631B"/>
    <w:rsid w:val="00500162"/>
    <w:rsid w:val="005025BA"/>
    <w:rsid w:val="00502A41"/>
    <w:rsid w:val="0050388D"/>
    <w:rsid w:val="00505371"/>
    <w:rsid w:val="00505A43"/>
    <w:rsid w:val="00506262"/>
    <w:rsid w:val="00507FA4"/>
    <w:rsid w:val="00510194"/>
    <w:rsid w:val="00512467"/>
    <w:rsid w:val="00514108"/>
    <w:rsid w:val="00514F48"/>
    <w:rsid w:val="0051606F"/>
    <w:rsid w:val="00517AF2"/>
    <w:rsid w:val="00521E07"/>
    <w:rsid w:val="00522A49"/>
    <w:rsid w:val="00524B53"/>
    <w:rsid w:val="005264E5"/>
    <w:rsid w:val="0052675E"/>
    <w:rsid w:val="005274EB"/>
    <w:rsid w:val="00527521"/>
    <w:rsid w:val="00527B55"/>
    <w:rsid w:val="00534087"/>
    <w:rsid w:val="00534420"/>
    <w:rsid w:val="005356B5"/>
    <w:rsid w:val="00535E30"/>
    <w:rsid w:val="005370F4"/>
    <w:rsid w:val="0054002E"/>
    <w:rsid w:val="005419EC"/>
    <w:rsid w:val="00541EAF"/>
    <w:rsid w:val="00542313"/>
    <w:rsid w:val="00543057"/>
    <w:rsid w:val="005453FA"/>
    <w:rsid w:val="00546D79"/>
    <w:rsid w:val="00547269"/>
    <w:rsid w:val="00547969"/>
    <w:rsid w:val="00550FC6"/>
    <w:rsid w:val="0055243C"/>
    <w:rsid w:val="005532C1"/>
    <w:rsid w:val="005541D6"/>
    <w:rsid w:val="00554F6A"/>
    <w:rsid w:val="005578B5"/>
    <w:rsid w:val="005624A9"/>
    <w:rsid w:val="00562545"/>
    <w:rsid w:val="0056265E"/>
    <w:rsid w:val="0056332A"/>
    <w:rsid w:val="00564A2C"/>
    <w:rsid w:val="00565674"/>
    <w:rsid w:val="005673C1"/>
    <w:rsid w:val="00567DA9"/>
    <w:rsid w:val="0057094E"/>
    <w:rsid w:val="0057129E"/>
    <w:rsid w:val="00571462"/>
    <w:rsid w:val="00571766"/>
    <w:rsid w:val="005740C8"/>
    <w:rsid w:val="0057617A"/>
    <w:rsid w:val="00580956"/>
    <w:rsid w:val="005811CB"/>
    <w:rsid w:val="00582158"/>
    <w:rsid w:val="00582504"/>
    <w:rsid w:val="00582A7B"/>
    <w:rsid w:val="00582B89"/>
    <w:rsid w:val="005830ED"/>
    <w:rsid w:val="0058478B"/>
    <w:rsid w:val="00585270"/>
    <w:rsid w:val="005856EF"/>
    <w:rsid w:val="00586DA1"/>
    <w:rsid w:val="005878B3"/>
    <w:rsid w:val="0059012E"/>
    <w:rsid w:val="00591C87"/>
    <w:rsid w:val="005920F2"/>
    <w:rsid w:val="00592A4E"/>
    <w:rsid w:val="00593172"/>
    <w:rsid w:val="005973F4"/>
    <w:rsid w:val="005A0540"/>
    <w:rsid w:val="005A0783"/>
    <w:rsid w:val="005A1904"/>
    <w:rsid w:val="005A1C34"/>
    <w:rsid w:val="005A1D42"/>
    <w:rsid w:val="005A1EFC"/>
    <w:rsid w:val="005A3D14"/>
    <w:rsid w:val="005A4171"/>
    <w:rsid w:val="005A526F"/>
    <w:rsid w:val="005A580D"/>
    <w:rsid w:val="005B1400"/>
    <w:rsid w:val="005B1A88"/>
    <w:rsid w:val="005B3C75"/>
    <w:rsid w:val="005B3DFE"/>
    <w:rsid w:val="005C207E"/>
    <w:rsid w:val="005C2AD4"/>
    <w:rsid w:val="005C2B0B"/>
    <w:rsid w:val="005C352B"/>
    <w:rsid w:val="005C38F3"/>
    <w:rsid w:val="005C39FC"/>
    <w:rsid w:val="005C3F62"/>
    <w:rsid w:val="005C4598"/>
    <w:rsid w:val="005C48F9"/>
    <w:rsid w:val="005C4DD4"/>
    <w:rsid w:val="005C791F"/>
    <w:rsid w:val="005C7CF2"/>
    <w:rsid w:val="005D11D4"/>
    <w:rsid w:val="005D19AC"/>
    <w:rsid w:val="005D314D"/>
    <w:rsid w:val="005D3FC0"/>
    <w:rsid w:val="005D5060"/>
    <w:rsid w:val="005D541D"/>
    <w:rsid w:val="005E033D"/>
    <w:rsid w:val="005E0C6E"/>
    <w:rsid w:val="005E3AB9"/>
    <w:rsid w:val="005E5302"/>
    <w:rsid w:val="005E63E6"/>
    <w:rsid w:val="005F253B"/>
    <w:rsid w:val="005F46B4"/>
    <w:rsid w:val="005F4D1B"/>
    <w:rsid w:val="005F5932"/>
    <w:rsid w:val="005F7C8B"/>
    <w:rsid w:val="00601D85"/>
    <w:rsid w:val="00603F0B"/>
    <w:rsid w:val="00604F7A"/>
    <w:rsid w:val="00605290"/>
    <w:rsid w:val="00607D2B"/>
    <w:rsid w:val="006115E7"/>
    <w:rsid w:val="006117BB"/>
    <w:rsid w:val="00613335"/>
    <w:rsid w:val="0061366D"/>
    <w:rsid w:val="00613C61"/>
    <w:rsid w:val="006144EF"/>
    <w:rsid w:val="00614B68"/>
    <w:rsid w:val="00614E88"/>
    <w:rsid w:val="0061503A"/>
    <w:rsid w:val="00615D13"/>
    <w:rsid w:val="00615F44"/>
    <w:rsid w:val="0061653C"/>
    <w:rsid w:val="00616CC9"/>
    <w:rsid w:val="00616FA1"/>
    <w:rsid w:val="0061705D"/>
    <w:rsid w:val="00617A30"/>
    <w:rsid w:val="0062006C"/>
    <w:rsid w:val="006201EA"/>
    <w:rsid w:val="00620451"/>
    <w:rsid w:val="006204F8"/>
    <w:rsid w:val="006206C4"/>
    <w:rsid w:val="006224FB"/>
    <w:rsid w:val="00623020"/>
    <w:rsid w:val="006236F3"/>
    <w:rsid w:val="00624D5A"/>
    <w:rsid w:val="00625C93"/>
    <w:rsid w:val="0062657F"/>
    <w:rsid w:val="006266C2"/>
    <w:rsid w:val="00626E71"/>
    <w:rsid w:val="006270D5"/>
    <w:rsid w:val="006276D8"/>
    <w:rsid w:val="006278D2"/>
    <w:rsid w:val="00627960"/>
    <w:rsid w:val="00631197"/>
    <w:rsid w:val="006316EF"/>
    <w:rsid w:val="00631ABE"/>
    <w:rsid w:val="006331F1"/>
    <w:rsid w:val="0063341B"/>
    <w:rsid w:val="006346FD"/>
    <w:rsid w:val="00634CA6"/>
    <w:rsid w:val="00635221"/>
    <w:rsid w:val="0063551D"/>
    <w:rsid w:val="00637BB4"/>
    <w:rsid w:val="0064284D"/>
    <w:rsid w:val="00642B5A"/>
    <w:rsid w:val="00643176"/>
    <w:rsid w:val="0064321D"/>
    <w:rsid w:val="006439DB"/>
    <w:rsid w:val="00645BC3"/>
    <w:rsid w:val="006474F4"/>
    <w:rsid w:val="0065031E"/>
    <w:rsid w:val="00651A28"/>
    <w:rsid w:val="00651EE9"/>
    <w:rsid w:val="00653B6C"/>
    <w:rsid w:val="006543E2"/>
    <w:rsid w:val="00654A64"/>
    <w:rsid w:val="00655AC3"/>
    <w:rsid w:val="00655F63"/>
    <w:rsid w:val="00656333"/>
    <w:rsid w:val="0065724A"/>
    <w:rsid w:val="00660AAB"/>
    <w:rsid w:val="00661B01"/>
    <w:rsid w:val="00662429"/>
    <w:rsid w:val="00663AFE"/>
    <w:rsid w:val="0066452A"/>
    <w:rsid w:val="00664BD9"/>
    <w:rsid w:val="006655A8"/>
    <w:rsid w:val="006661A4"/>
    <w:rsid w:val="0066753D"/>
    <w:rsid w:val="00670444"/>
    <w:rsid w:val="00670891"/>
    <w:rsid w:val="00671193"/>
    <w:rsid w:val="00671D4B"/>
    <w:rsid w:val="00671DB6"/>
    <w:rsid w:val="006733FD"/>
    <w:rsid w:val="006738AD"/>
    <w:rsid w:val="00674B74"/>
    <w:rsid w:val="00675ABE"/>
    <w:rsid w:val="00676C2B"/>
    <w:rsid w:val="00676C6D"/>
    <w:rsid w:val="00676C7A"/>
    <w:rsid w:val="00677D8E"/>
    <w:rsid w:val="00680EEF"/>
    <w:rsid w:val="00681AC9"/>
    <w:rsid w:val="00682759"/>
    <w:rsid w:val="00682F4C"/>
    <w:rsid w:val="00683897"/>
    <w:rsid w:val="0068392E"/>
    <w:rsid w:val="00683CDD"/>
    <w:rsid w:val="00684FB0"/>
    <w:rsid w:val="00684FFC"/>
    <w:rsid w:val="006964DF"/>
    <w:rsid w:val="0069666C"/>
    <w:rsid w:val="00696739"/>
    <w:rsid w:val="00697B1C"/>
    <w:rsid w:val="00697DEC"/>
    <w:rsid w:val="006A09CF"/>
    <w:rsid w:val="006A0EE5"/>
    <w:rsid w:val="006A0FA0"/>
    <w:rsid w:val="006A1625"/>
    <w:rsid w:val="006A20C3"/>
    <w:rsid w:val="006A3393"/>
    <w:rsid w:val="006A35E3"/>
    <w:rsid w:val="006A374F"/>
    <w:rsid w:val="006A5383"/>
    <w:rsid w:val="006A7F10"/>
    <w:rsid w:val="006B0068"/>
    <w:rsid w:val="006B038C"/>
    <w:rsid w:val="006B08A0"/>
    <w:rsid w:val="006B3C24"/>
    <w:rsid w:val="006B4FAA"/>
    <w:rsid w:val="006B4FB1"/>
    <w:rsid w:val="006B5E3B"/>
    <w:rsid w:val="006B621B"/>
    <w:rsid w:val="006B7215"/>
    <w:rsid w:val="006B7E66"/>
    <w:rsid w:val="006C0633"/>
    <w:rsid w:val="006C159A"/>
    <w:rsid w:val="006C27C6"/>
    <w:rsid w:val="006C45E0"/>
    <w:rsid w:val="006D0D15"/>
    <w:rsid w:val="006D103F"/>
    <w:rsid w:val="006D131A"/>
    <w:rsid w:val="006D2902"/>
    <w:rsid w:val="006D306A"/>
    <w:rsid w:val="006D403E"/>
    <w:rsid w:val="006D43C5"/>
    <w:rsid w:val="006D4EAD"/>
    <w:rsid w:val="006D609C"/>
    <w:rsid w:val="006D7D02"/>
    <w:rsid w:val="006E16FB"/>
    <w:rsid w:val="006E4C5C"/>
    <w:rsid w:val="006E4FBF"/>
    <w:rsid w:val="006E5316"/>
    <w:rsid w:val="006E6629"/>
    <w:rsid w:val="006E6893"/>
    <w:rsid w:val="006F1820"/>
    <w:rsid w:val="006F187F"/>
    <w:rsid w:val="006F1E4E"/>
    <w:rsid w:val="006F2EF8"/>
    <w:rsid w:val="006F3075"/>
    <w:rsid w:val="006F30DF"/>
    <w:rsid w:val="006F3B5E"/>
    <w:rsid w:val="006F5CD2"/>
    <w:rsid w:val="006F7267"/>
    <w:rsid w:val="006F7302"/>
    <w:rsid w:val="006F761B"/>
    <w:rsid w:val="00701592"/>
    <w:rsid w:val="0070206F"/>
    <w:rsid w:val="00702C7A"/>
    <w:rsid w:val="00703546"/>
    <w:rsid w:val="00703FD9"/>
    <w:rsid w:val="007046D5"/>
    <w:rsid w:val="0070495B"/>
    <w:rsid w:val="00704FD5"/>
    <w:rsid w:val="007055CD"/>
    <w:rsid w:val="00706247"/>
    <w:rsid w:val="007102FC"/>
    <w:rsid w:val="00710AC4"/>
    <w:rsid w:val="00712296"/>
    <w:rsid w:val="007126C6"/>
    <w:rsid w:val="007128AD"/>
    <w:rsid w:val="0071331E"/>
    <w:rsid w:val="00714340"/>
    <w:rsid w:val="00714DC6"/>
    <w:rsid w:val="007158C4"/>
    <w:rsid w:val="00716011"/>
    <w:rsid w:val="007160C1"/>
    <w:rsid w:val="00716404"/>
    <w:rsid w:val="00716834"/>
    <w:rsid w:val="007177D5"/>
    <w:rsid w:val="00717DA2"/>
    <w:rsid w:val="00720246"/>
    <w:rsid w:val="007209EF"/>
    <w:rsid w:val="00720B2F"/>
    <w:rsid w:val="00722F5C"/>
    <w:rsid w:val="007241A1"/>
    <w:rsid w:val="00724260"/>
    <w:rsid w:val="007249DF"/>
    <w:rsid w:val="0072574B"/>
    <w:rsid w:val="00726C03"/>
    <w:rsid w:val="007319AD"/>
    <w:rsid w:val="00732AD5"/>
    <w:rsid w:val="007339A2"/>
    <w:rsid w:val="007347A4"/>
    <w:rsid w:val="00734E5D"/>
    <w:rsid w:val="007358A4"/>
    <w:rsid w:val="007365DB"/>
    <w:rsid w:val="00737B50"/>
    <w:rsid w:val="0074013A"/>
    <w:rsid w:val="007410AC"/>
    <w:rsid w:val="0074194E"/>
    <w:rsid w:val="007439BE"/>
    <w:rsid w:val="007441D8"/>
    <w:rsid w:val="007447AA"/>
    <w:rsid w:val="00745775"/>
    <w:rsid w:val="00745A4B"/>
    <w:rsid w:val="00745CEC"/>
    <w:rsid w:val="007466AF"/>
    <w:rsid w:val="00747150"/>
    <w:rsid w:val="0075217D"/>
    <w:rsid w:val="00752208"/>
    <w:rsid w:val="0075373E"/>
    <w:rsid w:val="007570DF"/>
    <w:rsid w:val="00762242"/>
    <w:rsid w:val="00764B1C"/>
    <w:rsid w:val="00764D99"/>
    <w:rsid w:val="007659C9"/>
    <w:rsid w:val="00766A08"/>
    <w:rsid w:val="00766C72"/>
    <w:rsid w:val="00770C87"/>
    <w:rsid w:val="00771079"/>
    <w:rsid w:val="00773F63"/>
    <w:rsid w:val="007745CC"/>
    <w:rsid w:val="007772D9"/>
    <w:rsid w:val="007816CB"/>
    <w:rsid w:val="00782B5D"/>
    <w:rsid w:val="00785491"/>
    <w:rsid w:val="0078595E"/>
    <w:rsid w:val="007860CE"/>
    <w:rsid w:val="00787808"/>
    <w:rsid w:val="007907B0"/>
    <w:rsid w:val="00790F2A"/>
    <w:rsid w:val="00791EBF"/>
    <w:rsid w:val="00792675"/>
    <w:rsid w:val="00792BCD"/>
    <w:rsid w:val="00792E4A"/>
    <w:rsid w:val="007933A1"/>
    <w:rsid w:val="0079463F"/>
    <w:rsid w:val="007954D7"/>
    <w:rsid w:val="00795F4B"/>
    <w:rsid w:val="00797B9D"/>
    <w:rsid w:val="007A13B9"/>
    <w:rsid w:val="007A2BE0"/>
    <w:rsid w:val="007A2D79"/>
    <w:rsid w:val="007A38D5"/>
    <w:rsid w:val="007A3EA5"/>
    <w:rsid w:val="007A4218"/>
    <w:rsid w:val="007A4F43"/>
    <w:rsid w:val="007A55A5"/>
    <w:rsid w:val="007A62BE"/>
    <w:rsid w:val="007B00D5"/>
    <w:rsid w:val="007B1946"/>
    <w:rsid w:val="007B2E9B"/>
    <w:rsid w:val="007B4548"/>
    <w:rsid w:val="007B544D"/>
    <w:rsid w:val="007B7C96"/>
    <w:rsid w:val="007C0DFD"/>
    <w:rsid w:val="007C0F54"/>
    <w:rsid w:val="007C19AA"/>
    <w:rsid w:val="007C259D"/>
    <w:rsid w:val="007C2EA8"/>
    <w:rsid w:val="007C2ECA"/>
    <w:rsid w:val="007C302C"/>
    <w:rsid w:val="007C4643"/>
    <w:rsid w:val="007C4BAD"/>
    <w:rsid w:val="007C7CB9"/>
    <w:rsid w:val="007D2D6E"/>
    <w:rsid w:val="007D4E14"/>
    <w:rsid w:val="007D63A9"/>
    <w:rsid w:val="007D65AD"/>
    <w:rsid w:val="007D792B"/>
    <w:rsid w:val="007D7DE6"/>
    <w:rsid w:val="007E1531"/>
    <w:rsid w:val="007E442B"/>
    <w:rsid w:val="007E49F9"/>
    <w:rsid w:val="007E4B23"/>
    <w:rsid w:val="007E4DC6"/>
    <w:rsid w:val="007E6F17"/>
    <w:rsid w:val="007E7AAC"/>
    <w:rsid w:val="007E7BA6"/>
    <w:rsid w:val="007F16E7"/>
    <w:rsid w:val="007F1C23"/>
    <w:rsid w:val="007F6370"/>
    <w:rsid w:val="007F77A0"/>
    <w:rsid w:val="00800351"/>
    <w:rsid w:val="008019EC"/>
    <w:rsid w:val="008031BC"/>
    <w:rsid w:val="00804838"/>
    <w:rsid w:val="008059C5"/>
    <w:rsid w:val="008069A4"/>
    <w:rsid w:val="00807316"/>
    <w:rsid w:val="008127D1"/>
    <w:rsid w:val="008136EB"/>
    <w:rsid w:val="00813E53"/>
    <w:rsid w:val="008143FD"/>
    <w:rsid w:val="0081594B"/>
    <w:rsid w:val="00815B41"/>
    <w:rsid w:val="00816604"/>
    <w:rsid w:val="00816779"/>
    <w:rsid w:val="00816C7C"/>
    <w:rsid w:val="008170F3"/>
    <w:rsid w:val="008171B5"/>
    <w:rsid w:val="00821D3B"/>
    <w:rsid w:val="00821F0E"/>
    <w:rsid w:val="00821F8F"/>
    <w:rsid w:val="00822BC5"/>
    <w:rsid w:val="00822DEF"/>
    <w:rsid w:val="008234F8"/>
    <w:rsid w:val="0082362D"/>
    <w:rsid w:val="008239F2"/>
    <w:rsid w:val="00823A23"/>
    <w:rsid w:val="00823A97"/>
    <w:rsid w:val="00824B59"/>
    <w:rsid w:val="00825E01"/>
    <w:rsid w:val="008268A9"/>
    <w:rsid w:val="00826EBD"/>
    <w:rsid w:val="008275A4"/>
    <w:rsid w:val="00832AA7"/>
    <w:rsid w:val="00833854"/>
    <w:rsid w:val="00833B63"/>
    <w:rsid w:val="008345AB"/>
    <w:rsid w:val="00834F2E"/>
    <w:rsid w:val="0083572D"/>
    <w:rsid w:val="00837DA0"/>
    <w:rsid w:val="0084141C"/>
    <w:rsid w:val="00841D0E"/>
    <w:rsid w:val="00842B83"/>
    <w:rsid w:val="00843425"/>
    <w:rsid w:val="00843E1C"/>
    <w:rsid w:val="008456C2"/>
    <w:rsid w:val="00846248"/>
    <w:rsid w:val="0084638D"/>
    <w:rsid w:val="00846B8A"/>
    <w:rsid w:val="00850018"/>
    <w:rsid w:val="008504CA"/>
    <w:rsid w:val="0085057E"/>
    <w:rsid w:val="00851242"/>
    <w:rsid w:val="008513ED"/>
    <w:rsid w:val="00851B0C"/>
    <w:rsid w:val="00851FD1"/>
    <w:rsid w:val="00852AD1"/>
    <w:rsid w:val="00852B06"/>
    <w:rsid w:val="00854541"/>
    <w:rsid w:val="00854CA9"/>
    <w:rsid w:val="008561C3"/>
    <w:rsid w:val="00857295"/>
    <w:rsid w:val="0085780B"/>
    <w:rsid w:val="00861FA4"/>
    <w:rsid w:val="00866248"/>
    <w:rsid w:val="0086658D"/>
    <w:rsid w:val="008671B5"/>
    <w:rsid w:val="00867848"/>
    <w:rsid w:val="008710E9"/>
    <w:rsid w:val="00871DAF"/>
    <w:rsid w:val="00871E2D"/>
    <w:rsid w:val="008730AE"/>
    <w:rsid w:val="0087316C"/>
    <w:rsid w:val="00873627"/>
    <w:rsid w:val="00873A5D"/>
    <w:rsid w:val="008747B7"/>
    <w:rsid w:val="00875733"/>
    <w:rsid w:val="00875C75"/>
    <w:rsid w:val="00876E03"/>
    <w:rsid w:val="00877C38"/>
    <w:rsid w:val="00877D8B"/>
    <w:rsid w:val="00877D90"/>
    <w:rsid w:val="00880CDC"/>
    <w:rsid w:val="008813DC"/>
    <w:rsid w:val="008818D2"/>
    <w:rsid w:val="00884271"/>
    <w:rsid w:val="00884FE5"/>
    <w:rsid w:val="00885A5B"/>
    <w:rsid w:val="0089183F"/>
    <w:rsid w:val="0089347E"/>
    <w:rsid w:val="008935E5"/>
    <w:rsid w:val="00893C46"/>
    <w:rsid w:val="0089463E"/>
    <w:rsid w:val="00896302"/>
    <w:rsid w:val="00896380"/>
    <w:rsid w:val="00897B7F"/>
    <w:rsid w:val="008A0335"/>
    <w:rsid w:val="008A152B"/>
    <w:rsid w:val="008A2D2F"/>
    <w:rsid w:val="008A3A38"/>
    <w:rsid w:val="008A42EC"/>
    <w:rsid w:val="008A4D5B"/>
    <w:rsid w:val="008A5449"/>
    <w:rsid w:val="008A5609"/>
    <w:rsid w:val="008A78C6"/>
    <w:rsid w:val="008B0ADD"/>
    <w:rsid w:val="008B32E4"/>
    <w:rsid w:val="008B42C9"/>
    <w:rsid w:val="008B47F9"/>
    <w:rsid w:val="008B55B1"/>
    <w:rsid w:val="008B5738"/>
    <w:rsid w:val="008B6373"/>
    <w:rsid w:val="008B64B6"/>
    <w:rsid w:val="008B70CB"/>
    <w:rsid w:val="008C0E21"/>
    <w:rsid w:val="008C0EFD"/>
    <w:rsid w:val="008C1BC2"/>
    <w:rsid w:val="008C2861"/>
    <w:rsid w:val="008C56B3"/>
    <w:rsid w:val="008C73F2"/>
    <w:rsid w:val="008D1C73"/>
    <w:rsid w:val="008D1CC9"/>
    <w:rsid w:val="008D3ADF"/>
    <w:rsid w:val="008D50B2"/>
    <w:rsid w:val="008D542E"/>
    <w:rsid w:val="008D60F1"/>
    <w:rsid w:val="008D68D1"/>
    <w:rsid w:val="008D70A1"/>
    <w:rsid w:val="008E0D4F"/>
    <w:rsid w:val="008E241B"/>
    <w:rsid w:val="008E533A"/>
    <w:rsid w:val="008E625D"/>
    <w:rsid w:val="008F04AE"/>
    <w:rsid w:val="008F1996"/>
    <w:rsid w:val="008F1F5C"/>
    <w:rsid w:val="008F329D"/>
    <w:rsid w:val="008F44BF"/>
    <w:rsid w:val="008F567E"/>
    <w:rsid w:val="008F6D33"/>
    <w:rsid w:val="00902F54"/>
    <w:rsid w:val="00903E6C"/>
    <w:rsid w:val="00904CB9"/>
    <w:rsid w:val="00906E8A"/>
    <w:rsid w:val="00906F59"/>
    <w:rsid w:val="009123CA"/>
    <w:rsid w:val="00912D58"/>
    <w:rsid w:val="00913744"/>
    <w:rsid w:val="00914377"/>
    <w:rsid w:val="00914957"/>
    <w:rsid w:val="00917408"/>
    <w:rsid w:val="00917628"/>
    <w:rsid w:val="00917BC4"/>
    <w:rsid w:val="0092249A"/>
    <w:rsid w:val="00923C3B"/>
    <w:rsid w:val="00925A4B"/>
    <w:rsid w:val="00926589"/>
    <w:rsid w:val="00926D06"/>
    <w:rsid w:val="0093097B"/>
    <w:rsid w:val="00931691"/>
    <w:rsid w:val="0093185E"/>
    <w:rsid w:val="00931CB6"/>
    <w:rsid w:val="00934B20"/>
    <w:rsid w:val="0093670C"/>
    <w:rsid w:val="009367F8"/>
    <w:rsid w:val="00936EA4"/>
    <w:rsid w:val="00937A38"/>
    <w:rsid w:val="009415E4"/>
    <w:rsid w:val="00941DCC"/>
    <w:rsid w:val="0094254D"/>
    <w:rsid w:val="00946EDF"/>
    <w:rsid w:val="00950A00"/>
    <w:rsid w:val="00951017"/>
    <w:rsid w:val="00951236"/>
    <w:rsid w:val="00951E37"/>
    <w:rsid w:val="00952ED5"/>
    <w:rsid w:val="00953074"/>
    <w:rsid w:val="00957373"/>
    <w:rsid w:val="009601CD"/>
    <w:rsid w:val="009602BA"/>
    <w:rsid w:val="00961282"/>
    <w:rsid w:val="0096225A"/>
    <w:rsid w:val="00962443"/>
    <w:rsid w:val="009624C5"/>
    <w:rsid w:val="009628AF"/>
    <w:rsid w:val="009638E5"/>
    <w:rsid w:val="00963D59"/>
    <w:rsid w:val="009641D0"/>
    <w:rsid w:val="00964F7C"/>
    <w:rsid w:val="0096554F"/>
    <w:rsid w:val="00965AF5"/>
    <w:rsid w:val="00967C46"/>
    <w:rsid w:val="009704D9"/>
    <w:rsid w:val="00971B97"/>
    <w:rsid w:val="009726DB"/>
    <w:rsid w:val="00972A72"/>
    <w:rsid w:val="00973134"/>
    <w:rsid w:val="00975B71"/>
    <w:rsid w:val="00975FD3"/>
    <w:rsid w:val="00976507"/>
    <w:rsid w:val="0097753F"/>
    <w:rsid w:val="00982018"/>
    <w:rsid w:val="00982282"/>
    <w:rsid w:val="0098242E"/>
    <w:rsid w:val="009833A5"/>
    <w:rsid w:val="00983862"/>
    <w:rsid w:val="00983BC4"/>
    <w:rsid w:val="00986078"/>
    <w:rsid w:val="00986408"/>
    <w:rsid w:val="00986A50"/>
    <w:rsid w:val="0098756F"/>
    <w:rsid w:val="00990C86"/>
    <w:rsid w:val="0099191B"/>
    <w:rsid w:val="00993884"/>
    <w:rsid w:val="00994BE6"/>
    <w:rsid w:val="0099529B"/>
    <w:rsid w:val="00996DC5"/>
    <w:rsid w:val="009A0A87"/>
    <w:rsid w:val="009A13A2"/>
    <w:rsid w:val="009A2986"/>
    <w:rsid w:val="009A3D81"/>
    <w:rsid w:val="009A5591"/>
    <w:rsid w:val="009A5690"/>
    <w:rsid w:val="009A65EB"/>
    <w:rsid w:val="009B1266"/>
    <w:rsid w:val="009B1C0B"/>
    <w:rsid w:val="009B3C01"/>
    <w:rsid w:val="009B4A8A"/>
    <w:rsid w:val="009B626F"/>
    <w:rsid w:val="009B63E6"/>
    <w:rsid w:val="009B6AF2"/>
    <w:rsid w:val="009B6FD1"/>
    <w:rsid w:val="009B700A"/>
    <w:rsid w:val="009B7409"/>
    <w:rsid w:val="009B79C5"/>
    <w:rsid w:val="009C10B3"/>
    <w:rsid w:val="009C1AFC"/>
    <w:rsid w:val="009C2CC3"/>
    <w:rsid w:val="009D0556"/>
    <w:rsid w:val="009D114E"/>
    <w:rsid w:val="009D2401"/>
    <w:rsid w:val="009D7A24"/>
    <w:rsid w:val="009E1070"/>
    <w:rsid w:val="009E19EF"/>
    <w:rsid w:val="009E252E"/>
    <w:rsid w:val="009E2E5C"/>
    <w:rsid w:val="009E3DFC"/>
    <w:rsid w:val="009E4198"/>
    <w:rsid w:val="009E528A"/>
    <w:rsid w:val="009E58A2"/>
    <w:rsid w:val="009E6EB0"/>
    <w:rsid w:val="009E7F1D"/>
    <w:rsid w:val="009F1164"/>
    <w:rsid w:val="009F2A37"/>
    <w:rsid w:val="009F4400"/>
    <w:rsid w:val="009F4C4D"/>
    <w:rsid w:val="009F4CCC"/>
    <w:rsid w:val="009F6657"/>
    <w:rsid w:val="00A03452"/>
    <w:rsid w:val="00A036EF"/>
    <w:rsid w:val="00A068F4"/>
    <w:rsid w:val="00A0736D"/>
    <w:rsid w:val="00A119FF"/>
    <w:rsid w:val="00A11F76"/>
    <w:rsid w:val="00A12465"/>
    <w:rsid w:val="00A12D7A"/>
    <w:rsid w:val="00A149FD"/>
    <w:rsid w:val="00A158BF"/>
    <w:rsid w:val="00A15B43"/>
    <w:rsid w:val="00A1608D"/>
    <w:rsid w:val="00A16D15"/>
    <w:rsid w:val="00A17247"/>
    <w:rsid w:val="00A17ACA"/>
    <w:rsid w:val="00A17EC9"/>
    <w:rsid w:val="00A22203"/>
    <w:rsid w:val="00A22C04"/>
    <w:rsid w:val="00A231B7"/>
    <w:rsid w:val="00A2355A"/>
    <w:rsid w:val="00A23AE7"/>
    <w:rsid w:val="00A240C2"/>
    <w:rsid w:val="00A24F6F"/>
    <w:rsid w:val="00A25293"/>
    <w:rsid w:val="00A26643"/>
    <w:rsid w:val="00A274BB"/>
    <w:rsid w:val="00A30176"/>
    <w:rsid w:val="00A30D5B"/>
    <w:rsid w:val="00A31C41"/>
    <w:rsid w:val="00A31F41"/>
    <w:rsid w:val="00A32A24"/>
    <w:rsid w:val="00A332BA"/>
    <w:rsid w:val="00A3341F"/>
    <w:rsid w:val="00A33AC1"/>
    <w:rsid w:val="00A33DF4"/>
    <w:rsid w:val="00A3582C"/>
    <w:rsid w:val="00A36946"/>
    <w:rsid w:val="00A40206"/>
    <w:rsid w:val="00A41582"/>
    <w:rsid w:val="00A41D86"/>
    <w:rsid w:val="00A42007"/>
    <w:rsid w:val="00A42009"/>
    <w:rsid w:val="00A422A3"/>
    <w:rsid w:val="00A43E3F"/>
    <w:rsid w:val="00A45599"/>
    <w:rsid w:val="00A50008"/>
    <w:rsid w:val="00A5087D"/>
    <w:rsid w:val="00A50D14"/>
    <w:rsid w:val="00A515ED"/>
    <w:rsid w:val="00A51930"/>
    <w:rsid w:val="00A528F5"/>
    <w:rsid w:val="00A5398E"/>
    <w:rsid w:val="00A575EB"/>
    <w:rsid w:val="00A6098A"/>
    <w:rsid w:val="00A61F4C"/>
    <w:rsid w:val="00A62196"/>
    <w:rsid w:val="00A62E29"/>
    <w:rsid w:val="00A635F1"/>
    <w:rsid w:val="00A641AB"/>
    <w:rsid w:val="00A64FAD"/>
    <w:rsid w:val="00A6642C"/>
    <w:rsid w:val="00A711C7"/>
    <w:rsid w:val="00A72442"/>
    <w:rsid w:val="00A724E1"/>
    <w:rsid w:val="00A74205"/>
    <w:rsid w:val="00A760D5"/>
    <w:rsid w:val="00A766EA"/>
    <w:rsid w:val="00A76BB1"/>
    <w:rsid w:val="00A77894"/>
    <w:rsid w:val="00A8068D"/>
    <w:rsid w:val="00A80B2D"/>
    <w:rsid w:val="00A81A5F"/>
    <w:rsid w:val="00A81EF3"/>
    <w:rsid w:val="00A833FA"/>
    <w:rsid w:val="00A839C4"/>
    <w:rsid w:val="00A83E31"/>
    <w:rsid w:val="00A84FE8"/>
    <w:rsid w:val="00A85021"/>
    <w:rsid w:val="00A857A6"/>
    <w:rsid w:val="00A86521"/>
    <w:rsid w:val="00A87589"/>
    <w:rsid w:val="00A904F3"/>
    <w:rsid w:val="00A9209B"/>
    <w:rsid w:val="00A93AE1"/>
    <w:rsid w:val="00A93F94"/>
    <w:rsid w:val="00A942E5"/>
    <w:rsid w:val="00A95D15"/>
    <w:rsid w:val="00A964F4"/>
    <w:rsid w:val="00A9681C"/>
    <w:rsid w:val="00A9692C"/>
    <w:rsid w:val="00A96FB9"/>
    <w:rsid w:val="00A974A3"/>
    <w:rsid w:val="00A97D53"/>
    <w:rsid w:val="00AA2B10"/>
    <w:rsid w:val="00AA3071"/>
    <w:rsid w:val="00AA3AC7"/>
    <w:rsid w:val="00AA3F3F"/>
    <w:rsid w:val="00AA4165"/>
    <w:rsid w:val="00AA4753"/>
    <w:rsid w:val="00AA4E07"/>
    <w:rsid w:val="00AA4F76"/>
    <w:rsid w:val="00AA7C0C"/>
    <w:rsid w:val="00AB0106"/>
    <w:rsid w:val="00AB0DB4"/>
    <w:rsid w:val="00AB0E45"/>
    <w:rsid w:val="00AB1011"/>
    <w:rsid w:val="00AB18E1"/>
    <w:rsid w:val="00AB2770"/>
    <w:rsid w:val="00AB2BC0"/>
    <w:rsid w:val="00AB40C3"/>
    <w:rsid w:val="00AB4D12"/>
    <w:rsid w:val="00AB5D7A"/>
    <w:rsid w:val="00AB6BBB"/>
    <w:rsid w:val="00AB7F93"/>
    <w:rsid w:val="00AC0657"/>
    <w:rsid w:val="00AC201A"/>
    <w:rsid w:val="00AC2270"/>
    <w:rsid w:val="00AC2EDA"/>
    <w:rsid w:val="00AC449E"/>
    <w:rsid w:val="00AC4F8C"/>
    <w:rsid w:val="00AC64F4"/>
    <w:rsid w:val="00AC6F72"/>
    <w:rsid w:val="00AC7865"/>
    <w:rsid w:val="00AD0DB0"/>
    <w:rsid w:val="00AD1AA9"/>
    <w:rsid w:val="00AD2B28"/>
    <w:rsid w:val="00AD3D0C"/>
    <w:rsid w:val="00AD3E2B"/>
    <w:rsid w:val="00AD68DD"/>
    <w:rsid w:val="00AD72F1"/>
    <w:rsid w:val="00AD7502"/>
    <w:rsid w:val="00AD7BD8"/>
    <w:rsid w:val="00AE1686"/>
    <w:rsid w:val="00AE1A76"/>
    <w:rsid w:val="00AE25E5"/>
    <w:rsid w:val="00AE27E5"/>
    <w:rsid w:val="00AE51C4"/>
    <w:rsid w:val="00AE7AD4"/>
    <w:rsid w:val="00AF1256"/>
    <w:rsid w:val="00AF4059"/>
    <w:rsid w:val="00AF4BAE"/>
    <w:rsid w:val="00AF61EE"/>
    <w:rsid w:val="00AF671A"/>
    <w:rsid w:val="00B00CBE"/>
    <w:rsid w:val="00B02581"/>
    <w:rsid w:val="00B029AD"/>
    <w:rsid w:val="00B03D9B"/>
    <w:rsid w:val="00B051ED"/>
    <w:rsid w:val="00B05FD9"/>
    <w:rsid w:val="00B06444"/>
    <w:rsid w:val="00B1113B"/>
    <w:rsid w:val="00B114B3"/>
    <w:rsid w:val="00B1572B"/>
    <w:rsid w:val="00B171D3"/>
    <w:rsid w:val="00B203F0"/>
    <w:rsid w:val="00B20900"/>
    <w:rsid w:val="00B21153"/>
    <w:rsid w:val="00B21D75"/>
    <w:rsid w:val="00B22450"/>
    <w:rsid w:val="00B22572"/>
    <w:rsid w:val="00B228B9"/>
    <w:rsid w:val="00B22915"/>
    <w:rsid w:val="00B22C92"/>
    <w:rsid w:val="00B265F1"/>
    <w:rsid w:val="00B26C47"/>
    <w:rsid w:val="00B27900"/>
    <w:rsid w:val="00B27C39"/>
    <w:rsid w:val="00B3216A"/>
    <w:rsid w:val="00B33924"/>
    <w:rsid w:val="00B3541E"/>
    <w:rsid w:val="00B36392"/>
    <w:rsid w:val="00B36394"/>
    <w:rsid w:val="00B374EB"/>
    <w:rsid w:val="00B37A4B"/>
    <w:rsid w:val="00B37CFC"/>
    <w:rsid w:val="00B37E0C"/>
    <w:rsid w:val="00B40443"/>
    <w:rsid w:val="00B4266C"/>
    <w:rsid w:val="00B42C0C"/>
    <w:rsid w:val="00B434F7"/>
    <w:rsid w:val="00B4355A"/>
    <w:rsid w:val="00B43DBE"/>
    <w:rsid w:val="00B45390"/>
    <w:rsid w:val="00B46385"/>
    <w:rsid w:val="00B46570"/>
    <w:rsid w:val="00B46D8C"/>
    <w:rsid w:val="00B508AB"/>
    <w:rsid w:val="00B50CFF"/>
    <w:rsid w:val="00B5251D"/>
    <w:rsid w:val="00B53EB7"/>
    <w:rsid w:val="00B53F28"/>
    <w:rsid w:val="00B545D2"/>
    <w:rsid w:val="00B54B49"/>
    <w:rsid w:val="00B578BB"/>
    <w:rsid w:val="00B57ECF"/>
    <w:rsid w:val="00B6010B"/>
    <w:rsid w:val="00B60819"/>
    <w:rsid w:val="00B60FDA"/>
    <w:rsid w:val="00B61503"/>
    <w:rsid w:val="00B636FB"/>
    <w:rsid w:val="00B6405B"/>
    <w:rsid w:val="00B64FA2"/>
    <w:rsid w:val="00B664A6"/>
    <w:rsid w:val="00B6797A"/>
    <w:rsid w:val="00B70816"/>
    <w:rsid w:val="00B70859"/>
    <w:rsid w:val="00B70FAC"/>
    <w:rsid w:val="00B7172C"/>
    <w:rsid w:val="00B718D3"/>
    <w:rsid w:val="00B72263"/>
    <w:rsid w:val="00B77F72"/>
    <w:rsid w:val="00B81410"/>
    <w:rsid w:val="00B8385C"/>
    <w:rsid w:val="00B849B2"/>
    <w:rsid w:val="00B850A8"/>
    <w:rsid w:val="00B87CAF"/>
    <w:rsid w:val="00B91637"/>
    <w:rsid w:val="00B91811"/>
    <w:rsid w:val="00B9254B"/>
    <w:rsid w:val="00B9348A"/>
    <w:rsid w:val="00B93C59"/>
    <w:rsid w:val="00B966CE"/>
    <w:rsid w:val="00B96739"/>
    <w:rsid w:val="00B96A8A"/>
    <w:rsid w:val="00B96A97"/>
    <w:rsid w:val="00B975F5"/>
    <w:rsid w:val="00BA09C6"/>
    <w:rsid w:val="00BA0ABE"/>
    <w:rsid w:val="00BA2AF6"/>
    <w:rsid w:val="00BA2F24"/>
    <w:rsid w:val="00BA323B"/>
    <w:rsid w:val="00BA3560"/>
    <w:rsid w:val="00BA36B7"/>
    <w:rsid w:val="00BA5937"/>
    <w:rsid w:val="00BA5CF5"/>
    <w:rsid w:val="00BA60CF"/>
    <w:rsid w:val="00BB07B9"/>
    <w:rsid w:val="00BB10D4"/>
    <w:rsid w:val="00BB2F18"/>
    <w:rsid w:val="00BB4806"/>
    <w:rsid w:val="00BB6E22"/>
    <w:rsid w:val="00BB6FB3"/>
    <w:rsid w:val="00BB7853"/>
    <w:rsid w:val="00BC097E"/>
    <w:rsid w:val="00BC209F"/>
    <w:rsid w:val="00BC360C"/>
    <w:rsid w:val="00BC3984"/>
    <w:rsid w:val="00BC44EA"/>
    <w:rsid w:val="00BC4E9D"/>
    <w:rsid w:val="00BC5001"/>
    <w:rsid w:val="00BC67B3"/>
    <w:rsid w:val="00BC753A"/>
    <w:rsid w:val="00BC7CD5"/>
    <w:rsid w:val="00BC7DA1"/>
    <w:rsid w:val="00BD11EF"/>
    <w:rsid w:val="00BD2079"/>
    <w:rsid w:val="00BD2E93"/>
    <w:rsid w:val="00BD31E8"/>
    <w:rsid w:val="00BD4954"/>
    <w:rsid w:val="00BD5E8F"/>
    <w:rsid w:val="00BE2FEF"/>
    <w:rsid w:val="00BE3246"/>
    <w:rsid w:val="00BE39F0"/>
    <w:rsid w:val="00BE4A04"/>
    <w:rsid w:val="00BE69B3"/>
    <w:rsid w:val="00BE73DD"/>
    <w:rsid w:val="00BE7429"/>
    <w:rsid w:val="00BE7995"/>
    <w:rsid w:val="00BF0B92"/>
    <w:rsid w:val="00BF1834"/>
    <w:rsid w:val="00BF196C"/>
    <w:rsid w:val="00BF1A98"/>
    <w:rsid w:val="00BF339B"/>
    <w:rsid w:val="00BF3CC2"/>
    <w:rsid w:val="00BF3DCE"/>
    <w:rsid w:val="00BF4D1B"/>
    <w:rsid w:val="00BF77AA"/>
    <w:rsid w:val="00BF7969"/>
    <w:rsid w:val="00BF7B03"/>
    <w:rsid w:val="00C00FE3"/>
    <w:rsid w:val="00C01923"/>
    <w:rsid w:val="00C02C84"/>
    <w:rsid w:val="00C06256"/>
    <w:rsid w:val="00C069BF"/>
    <w:rsid w:val="00C06DC4"/>
    <w:rsid w:val="00C0784F"/>
    <w:rsid w:val="00C07942"/>
    <w:rsid w:val="00C07CAF"/>
    <w:rsid w:val="00C11E4B"/>
    <w:rsid w:val="00C1276C"/>
    <w:rsid w:val="00C14E6D"/>
    <w:rsid w:val="00C154A6"/>
    <w:rsid w:val="00C172B7"/>
    <w:rsid w:val="00C20F46"/>
    <w:rsid w:val="00C22F3C"/>
    <w:rsid w:val="00C2441F"/>
    <w:rsid w:val="00C24543"/>
    <w:rsid w:val="00C25065"/>
    <w:rsid w:val="00C26084"/>
    <w:rsid w:val="00C27A29"/>
    <w:rsid w:val="00C27F7D"/>
    <w:rsid w:val="00C27F83"/>
    <w:rsid w:val="00C30C09"/>
    <w:rsid w:val="00C33C64"/>
    <w:rsid w:val="00C3430B"/>
    <w:rsid w:val="00C34B10"/>
    <w:rsid w:val="00C36041"/>
    <w:rsid w:val="00C36116"/>
    <w:rsid w:val="00C365AC"/>
    <w:rsid w:val="00C37CB6"/>
    <w:rsid w:val="00C402C8"/>
    <w:rsid w:val="00C40E00"/>
    <w:rsid w:val="00C423CF"/>
    <w:rsid w:val="00C45B91"/>
    <w:rsid w:val="00C45CC8"/>
    <w:rsid w:val="00C50799"/>
    <w:rsid w:val="00C5331A"/>
    <w:rsid w:val="00C53B22"/>
    <w:rsid w:val="00C54C4A"/>
    <w:rsid w:val="00C550B2"/>
    <w:rsid w:val="00C60B77"/>
    <w:rsid w:val="00C61E09"/>
    <w:rsid w:val="00C62D66"/>
    <w:rsid w:val="00C635B5"/>
    <w:rsid w:val="00C63F30"/>
    <w:rsid w:val="00C64216"/>
    <w:rsid w:val="00C64988"/>
    <w:rsid w:val="00C66908"/>
    <w:rsid w:val="00C67091"/>
    <w:rsid w:val="00C70AB6"/>
    <w:rsid w:val="00C71487"/>
    <w:rsid w:val="00C77309"/>
    <w:rsid w:val="00C77A8F"/>
    <w:rsid w:val="00C811F4"/>
    <w:rsid w:val="00C81F42"/>
    <w:rsid w:val="00C82DF3"/>
    <w:rsid w:val="00C83763"/>
    <w:rsid w:val="00C86FE3"/>
    <w:rsid w:val="00C87F38"/>
    <w:rsid w:val="00C90123"/>
    <w:rsid w:val="00C93738"/>
    <w:rsid w:val="00C93787"/>
    <w:rsid w:val="00C939EC"/>
    <w:rsid w:val="00C93AC2"/>
    <w:rsid w:val="00C93D48"/>
    <w:rsid w:val="00C948DD"/>
    <w:rsid w:val="00C954AD"/>
    <w:rsid w:val="00C9645F"/>
    <w:rsid w:val="00C96D6E"/>
    <w:rsid w:val="00C97BBA"/>
    <w:rsid w:val="00CA386C"/>
    <w:rsid w:val="00CA47EA"/>
    <w:rsid w:val="00CA4A6E"/>
    <w:rsid w:val="00CA4AFA"/>
    <w:rsid w:val="00CA4F81"/>
    <w:rsid w:val="00CA5007"/>
    <w:rsid w:val="00CB29BF"/>
    <w:rsid w:val="00CB49FF"/>
    <w:rsid w:val="00CB666B"/>
    <w:rsid w:val="00CB69F5"/>
    <w:rsid w:val="00CB788C"/>
    <w:rsid w:val="00CB7C0D"/>
    <w:rsid w:val="00CC0724"/>
    <w:rsid w:val="00CC165A"/>
    <w:rsid w:val="00CC1A00"/>
    <w:rsid w:val="00CC264F"/>
    <w:rsid w:val="00CC2A70"/>
    <w:rsid w:val="00CC3578"/>
    <w:rsid w:val="00CC41F9"/>
    <w:rsid w:val="00CC4E25"/>
    <w:rsid w:val="00CC7246"/>
    <w:rsid w:val="00CC7D8D"/>
    <w:rsid w:val="00CD1A90"/>
    <w:rsid w:val="00CD267F"/>
    <w:rsid w:val="00CD2D5A"/>
    <w:rsid w:val="00CD77A3"/>
    <w:rsid w:val="00CE0347"/>
    <w:rsid w:val="00CE2606"/>
    <w:rsid w:val="00CE2955"/>
    <w:rsid w:val="00CE3FCE"/>
    <w:rsid w:val="00CE4133"/>
    <w:rsid w:val="00CE4F10"/>
    <w:rsid w:val="00CE542D"/>
    <w:rsid w:val="00CE7F0A"/>
    <w:rsid w:val="00CF289D"/>
    <w:rsid w:val="00CF4D48"/>
    <w:rsid w:val="00CF60B7"/>
    <w:rsid w:val="00CF700C"/>
    <w:rsid w:val="00D01C4A"/>
    <w:rsid w:val="00D01F75"/>
    <w:rsid w:val="00D02C8F"/>
    <w:rsid w:val="00D0420A"/>
    <w:rsid w:val="00D06227"/>
    <w:rsid w:val="00D07269"/>
    <w:rsid w:val="00D112D6"/>
    <w:rsid w:val="00D11ACC"/>
    <w:rsid w:val="00D11BE2"/>
    <w:rsid w:val="00D11CF1"/>
    <w:rsid w:val="00D13902"/>
    <w:rsid w:val="00D13BF9"/>
    <w:rsid w:val="00D13C45"/>
    <w:rsid w:val="00D151D7"/>
    <w:rsid w:val="00D15E9C"/>
    <w:rsid w:val="00D16541"/>
    <w:rsid w:val="00D1657B"/>
    <w:rsid w:val="00D17BC0"/>
    <w:rsid w:val="00D202E2"/>
    <w:rsid w:val="00D20D2C"/>
    <w:rsid w:val="00D21D93"/>
    <w:rsid w:val="00D22700"/>
    <w:rsid w:val="00D23119"/>
    <w:rsid w:val="00D264F4"/>
    <w:rsid w:val="00D267F4"/>
    <w:rsid w:val="00D312EC"/>
    <w:rsid w:val="00D31FDA"/>
    <w:rsid w:val="00D34E97"/>
    <w:rsid w:val="00D35E45"/>
    <w:rsid w:val="00D3691A"/>
    <w:rsid w:val="00D37A83"/>
    <w:rsid w:val="00D415BC"/>
    <w:rsid w:val="00D43BF5"/>
    <w:rsid w:val="00D44BAB"/>
    <w:rsid w:val="00D44F5B"/>
    <w:rsid w:val="00D451FB"/>
    <w:rsid w:val="00D466E0"/>
    <w:rsid w:val="00D46FA6"/>
    <w:rsid w:val="00D47A9F"/>
    <w:rsid w:val="00D55949"/>
    <w:rsid w:val="00D5752B"/>
    <w:rsid w:val="00D5795B"/>
    <w:rsid w:val="00D60F7F"/>
    <w:rsid w:val="00D626B0"/>
    <w:rsid w:val="00D64C89"/>
    <w:rsid w:val="00D64D13"/>
    <w:rsid w:val="00D66589"/>
    <w:rsid w:val="00D7102F"/>
    <w:rsid w:val="00D72269"/>
    <w:rsid w:val="00D72AB2"/>
    <w:rsid w:val="00D733FA"/>
    <w:rsid w:val="00D77028"/>
    <w:rsid w:val="00D77A91"/>
    <w:rsid w:val="00D8126C"/>
    <w:rsid w:val="00D82D91"/>
    <w:rsid w:val="00D83249"/>
    <w:rsid w:val="00D836E5"/>
    <w:rsid w:val="00D856BC"/>
    <w:rsid w:val="00D861F0"/>
    <w:rsid w:val="00D86709"/>
    <w:rsid w:val="00D86824"/>
    <w:rsid w:val="00D86DC7"/>
    <w:rsid w:val="00D871B8"/>
    <w:rsid w:val="00D875FE"/>
    <w:rsid w:val="00D91924"/>
    <w:rsid w:val="00D92574"/>
    <w:rsid w:val="00D932E3"/>
    <w:rsid w:val="00D958CC"/>
    <w:rsid w:val="00D95FB4"/>
    <w:rsid w:val="00D96D76"/>
    <w:rsid w:val="00DA1B4D"/>
    <w:rsid w:val="00DA3D61"/>
    <w:rsid w:val="00DA40DC"/>
    <w:rsid w:val="00DA50A3"/>
    <w:rsid w:val="00DA622F"/>
    <w:rsid w:val="00DA7058"/>
    <w:rsid w:val="00DB1749"/>
    <w:rsid w:val="00DB1FCE"/>
    <w:rsid w:val="00DB2023"/>
    <w:rsid w:val="00DB2944"/>
    <w:rsid w:val="00DB2E40"/>
    <w:rsid w:val="00DB456D"/>
    <w:rsid w:val="00DB7331"/>
    <w:rsid w:val="00DC030A"/>
    <w:rsid w:val="00DC17D3"/>
    <w:rsid w:val="00DC5315"/>
    <w:rsid w:val="00DC6863"/>
    <w:rsid w:val="00DC730E"/>
    <w:rsid w:val="00DD05B0"/>
    <w:rsid w:val="00DD1056"/>
    <w:rsid w:val="00DD3A9B"/>
    <w:rsid w:val="00DD5424"/>
    <w:rsid w:val="00DD5777"/>
    <w:rsid w:val="00DD68EF"/>
    <w:rsid w:val="00DD730B"/>
    <w:rsid w:val="00DE023E"/>
    <w:rsid w:val="00DE07E8"/>
    <w:rsid w:val="00DE18E1"/>
    <w:rsid w:val="00DE1ADF"/>
    <w:rsid w:val="00DE200C"/>
    <w:rsid w:val="00DE2070"/>
    <w:rsid w:val="00DE345F"/>
    <w:rsid w:val="00DE46A4"/>
    <w:rsid w:val="00DE4A10"/>
    <w:rsid w:val="00DE54AE"/>
    <w:rsid w:val="00DE6088"/>
    <w:rsid w:val="00DE67CE"/>
    <w:rsid w:val="00DE7621"/>
    <w:rsid w:val="00DF0720"/>
    <w:rsid w:val="00DF377D"/>
    <w:rsid w:val="00DF4DB0"/>
    <w:rsid w:val="00DF4F6D"/>
    <w:rsid w:val="00DF61F9"/>
    <w:rsid w:val="00DF71CC"/>
    <w:rsid w:val="00E0357F"/>
    <w:rsid w:val="00E05265"/>
    <w:rsid w:val="00E05902"/>
    <w:rsid w:val="00E06E81"/>
    <w:rsid w:val="00E10189"/>
    <w:rsid w:val="00E10F2D"/>
    <w:rsid w:val="00E11DB8"/>
    <w:rsid w:val="00E12346"/>
    <w:rsid w:val="00E15260"/>
    <w:rsid w:val="00E161FF"/>
    <w:rsid w:val="00E16221"/>
    <w:rsid w:val="00E1634C"/>
    <w:rsid w:val="00E170FF"/>
    <w:rsid w:val="00E20264"/>
    <w:rsid w:val="00E20E84"/>
    <w:rsid w:val="00E2444F"/>
    <w:rsid w:val="00E24B30"/>
    <w:rsid w:val="00E24D6C"/>
    <w:rsid w:val="00E25112"/>
    <w:rsid w:val="00E25E29"/>
    <w:rsid w:val="00E26692"/>
    <w:rsid w:val="00E26C09"/>
    <w:rsid w:val="00E26E14"/>
    <w:rsid w:val="00E32031"/>
    <w:rsid w:val="00E322D7"/>
    <w:rsid w:val="00E3249C"/>
    <w:rsid w:val="00E33724"/>
    <w:rsid w:val="00E34EC0"/>
    <w:rsid w:val="00E35FEB"/>
    <w:rsid w:val="00E36417"/>
    <w:rsid w:val="00E36D52"/>
    <w:rsid w:val="00E3717A"/>
    <w:rsid w:val="00E40F35"/>
    <w:rsid w:val="00E41032"/>
    <w:rsid w:val="00E42E9C"/>
    <w:rsid w:val="00E43543"/>
    <w:rsid w:val="00E43F2A"/>
    <w:rsid w:val="00E45CCE"/>
    <w:rsid w:val="00E50ADB"/>
    <w:rsid w:val="00E51469"/>
    <w:rsid w:val="00E528DE"/>
    <w:rsid w:val="00E532DB"/>
    <w:rsid w:val="00E533F7"/>
    <w:rsid w:val="00E54288"/>
    <w:rsid w:val="00E55351"/>
    <w:rsid w:val="00E55FBC"/>
    <w:rsid w:val="00E56DE2"/>
    <w:rsid w:val="00E57BBF"/>
    <w:rsid w:val="00E6323C"/>
    <w:rsid w:val="00E633FF"/>
    <w:rsid w:val="00E63494"/>
    <w:rsid w:val="00E634B0"/>
    <w:rsid w:val="00E63D35"/>
    <w:rsid w:val="00E640AE"/>
    <w:rsid w:val="00E64E41"/>
    <w:rsid w:val="00E65C74"/>
    <w:rsid w:val="00E67119"/>
    <w:rsid w:val="00E70508"/>
    <w:rsid w:val="00E7090C"/>
    <w:rsid w:val="00E77357"/>
    <w:rsid w:val="00E809D2"/>
    <w:rsid w:val="00E81294"/>
    <w:rsid w:val="00E81AE4"/>
    <w:rsid w:val="00E84EDE"/>
    <w:rsid w:val="00E85A35"/>
    <w:rsid w:val="00E86FCE"/>
    <w:rsid w:val="00E90FC9"/>
    <w:rsid w:val="00E9148D"/>
    <w:rsid w:val="00E9440A"/>
    <w:rsid w:val="00E948C4"/>
    <w:rsid w:val="00E96531"/>
    <w:rsid w:val="00E9724D"/>
    <w:rsid w:val="00EA02C4"/>
    <w:rsid w:val="00EA0FE5"/>
    <w:rsid w:val="00EA1B22"/>
    <w:rsid w:val="00EA30F8"/>
    <w:rsid w:val="00EA3E84"/>
    <w:rsid w:val="00EA4A37"/>
    <w:rsid w:val="00EA4AB6"/>
    <w:rsid w:val="00EA5155"/>
    <w:rsid w:val="00EA6D77"/>
    <w:rsid w:val="00EB3BCF"/>
    <w:rsid w:val="00EB3C22"/>
    <w:rsid w:val="00EB3F58"/>
    <w:rsid w:val="00EB44BD"/>
    <w:rsid w:val="00EB4637"/>
    <w:rsid w:val="00EB694F"/>
    <w:rsid w:val="00EB6B2F"/>
    <w:rsid w:val="00EB6D2E"/>
    <w:rsid w:val="00EB7854"/>
    <w:rsid w:val="00EC1831"/>
    <w:rsid w:val="00EC2DC6"/>
    <w:rsid w:val="00EC3093"/>
    <w:rsid w:val="00EC341D"/>
    <w:rsid w:val="00EC4AA0"/>
    <w:rsid w:val="00EC4E13"/>
    <w:rsid w:val="00EC5C21"/>
    <w:rsid w:val="00EC7968"/>
    <w:rsid w:val="00EC7DFE"/>
    <w:rsid w:val="00ED0125"/>
    <w:rsid w:val="00ED2BE5"/>
    <w:rsid w:val="00ED36BF"/>
    <w:rsid w:val="00ED5F5F"/>
    <w:rsid w:val="00ED6369"/>
    <w:rsid w:val="00ED6D68"/>
    <w:rsid w:val="00ED6DBA"/>
    <w:rsid w:val="00ED7EB5"/>
    <w:rsid w:val="00EE00EE"/>
    <w:rsid w:val="00EE046C"/>
    <w:rsid w:val="00EE0683"/>
    <w:rsid w:val="00EE072C"/>
    <w:rsid w:val="00EE0911"/>
    <w:rsid w:val="00EE2DF0"/>
    <w:rsid w:val="00EE3501"/>
    <w:rsid w:val="00EE35EF"/>
    <w:rsid w:val="00EE4DC3"/>
    <w:rsid w:val="00EE4F75"/>
    <w:rsid w:val="00EE574D"/>
    <w:rsid w:val="00EE5B98"/>
    <w:rsid w:val="00EE6C5D"/>
    <w:rsid w:val="00EF14A2"/>
    <w:rsid w:val="00EF16E4"/>
    <w:rsid w:val="00EF24C1"/>
    <w:rsid w:val="00EF28B7"/>
    <w:rsid w:val="00EF362D"/>
    <w:rsid w:val="00EF4251"/>
    <w:rsid w:val="00EF477E"/>
    <w:rsid w:val="00EF4A55"/>
    <w:rsid w:val="00EF5AC4"/>
    <w:rsid w:val="00EF5C05"/>
    <w:rsid w:val="00EF6661"/>
    <w:rsid w:val="00EF782F"/>
    <w:rsid w:val="00EF7931"/>
    <w:rsid w:val="00EF7C67"/>
    <w:rsid w:val="00F011B3"/>
    <w:rsid w:val="00F01C62"/>
    <w:rsid w:val="00F023CC"/>
    <w:rsid w:val="00F03523"/>
    <w:rsid w:val="00F037DD"/>
    <w:rsid w:val="00F05BA5"/>
    <w:rsid w:val="00F05C7B"/>
    <w:rsid w:val="00F05E9C"/>
    <w:rsid w:val="00F07BC1"/>
    <w:rsid w:val="00F12155"/>
    <w:rsid w:val="00F15E7C"/>
    <w:rsid w:val="00F1607A"/>
    <w:rsid w:val="00F160E6"/>
    <w:rsid w:val="00F162B2"/>
    <w:rsid w:val="00F16D99"/>
    <w:rsid w:val="00F204DC"/>
    <w:rsid w:val="00F214DF"/>
    <w:rsid w:val="00F222D2"/>
    <w:rsid w:val="00F22C31"/>
    <w:rsid w:val="00F23384"/>
    <w:rsid w:val="00F245C4"/>
    <w:rsid w:val="00F2612A"/>
    <w:rsid w:val="00F2752C"/>
    <w:rsid w:val="00F2784F"/>
    <w:rsid w:val="00F27C52"/>
    <w:rsid w:val="00F27E69"/>
    <w:rsid w:val="00F3323B"/>
    <w:rsid w:val="00F3551B"/>
    <w:rsid w:val="00F37778"/>
    <w:rsid w:val="00F37C4A"/>
    <w:rsid w:val="00F37EBC"/>
    <w:rsid w:val="00F40788"/>
    <w:rsid w:val="00F41264"/>
    <w:rsid w:val="00F41523"/>
    <w:rsid w:val="00F416AB"/>
    <w:rsid w:val="00F43955"/>
    <w:rsid w:val="00F4471D"/>
    <w:rsid w:val="00F50A0D"/>
    <w:rsid w:val="00F50DCA"/>
    <w:rsid w:val="00F5103C"/>
    <w:rsid w:val="00F51539"/>
    <w:rsid w:val="00F51ADD"/>
    <w:rsid w:val="00F52965"/>
    <w:rsid w:val="00F541C3"/>
    <w:rsid w:val="00F5497E"/>
    <w:rsid w:val="00F55D46"/>
    <w:rsid w:val="00F56143"/>
    <w:rsid w:val="00F5766E"/>
    <w:rsid w:val="00F57CEF"/>
    <w:rsid w:val="00F57E1E"/>
    <w:rsid w:val="00F611AD"/>
    <w:rsid w:val="00F71132"/>
    <w:rsid w:val="00F713CF"/>
    <w:rsid w:val="00F719DA"/>
    <w:rsid w:val="00F72740"/>
    <w:rsid w:val="00F731B1"/>
    <w:rsid w:val="00F73E22"/>
    <w:rsid w:val="00F7456A"/>
    <w:rsid w:val="00F76DAA"/>
    <w:rsid w:val="00F76DD7"/>
    <w:rsid w:val="00F821B8"/>
    <w:rsid w:val="00F82FB5"/>
    <w:rsid w:val="00F83664"/>
    <w:rsid w:val="00F86E3B"/>
    <w:rsid w:val="00F87AB3"/>
    <w:rsid w:val="00F9055E"/>
    <w:rsid w:val="00F909FA"/>
    <w:rsid w:val="00F91430"/>
    <w:rsid w:val="00F914BB"/>
    <w:rsid w:val="00F916DF"/>
    <w:rsid w:val="00F922BA"/>
    <w:rsid w:val="00F9236F"/>
    <w:rsid w:val="00F92D14"/>
    <w:rsid w:val="00F92FB1"/>
    <w:rsid w:val="00F9416A"/>
    <w:rsid w:val="00F9431F"/>
    <w:rsid w:val="00F95592"/>
    <w:rsid w:val="00F96FB3"/>
    <w:rsid w:val="00F97B44"/>
    <w:rsid w:val="00F97BE1"/>
    <w:rsid w:val="00FA0913"/>
    <w:rsid w:val="00FA161F"/>
    <w:rsid w:val="00FA190B"/>
    <w:rsid w:val="00FA1D9A"/>
    <w:rsid w:val="00FA20E6"/>
    <w:rsid w:val="00FA2C5F"/>
    <w:rsid w:val="00FA74D9"/>
    <w:rsid w:val="00FB0C13"/>
    <w:rsid w:val="00FB15D4"/>
    <w:rsid w:val="00FB198E"/>
    <w:rsid w:val="00FB1A92"/>
    <w:rsid w:val="00FB2CBA"/>
    <w:rsid w:val="00FB2EF5"/>
    <w:rsid w:val="00FB3D68"/>
    <w:rsid w:val="00FB5DF0"/>
    <w:rsid w:val="00FB7A5E"/>
    <w:rsid w:val="00FB7E70"/>
    <w:rsid w:val="00FC094F"/>
    <w:rsid w:val="00FC0FA1"/>
    <w:rsid w:val="00FC196E"/>
    <w:rsid w:val="00FC2A92"/>
    <w:rsid w:val="00FC329E"/>
    <w:rsid w:val="00FC4428"/>
    <w:rsid w:val="00FC4689"/>
    <w:rsid w:val="00FC4FDA"/>
    <w:rsid w:val="00FC65C0"/>
    <w:rsid w:val="00FC65E3"/>
    <w:rsid w:val="00FC6DA1"/>
    <w:rsid w:val="00FC719B"/>
    <w:rsid w:val="00FD2BDB"/>
    <w:rsid w:val="00FD2DEB"/>
    <w:rsid w:val="00FD40EC"/>
    <w:rsid w:val="00FD43E8"/>
    <w:rsid w:val="00FD4F9F"/>
    <w:rsid w:val="00FD542C"/>
    <w:rsid w:val="00FD705A"/>
    <w:rsid w:val="00FD7170"/>
    <w:rsid w:val="00FE1045"/>
    <w:rsid w:val="00FE2323"/>
    <w:rsid w:val="00FE2D8B"/>
    <w:rsid w:val="00FE3C9B"/>
    <w:rsid w:val="00FE3EC4"/>
    <w:rsid w:val="00FE4EEC"/>
    <w:rsid w:val="00FE5AEA"/>
    <w:rsid w:val="00FF2ECA"/>
    <w:rsid w:val="00FF30D1"/>
    <w:rsid w:val="00FF53C3"/>
    <w:rsid w:val="00FF72D8"/>
    <w:rsid w:val="00FF7732"/>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0DE02"/>
  <w15:docId w15:val="{E79B39C5-6420-497C-AA12-7EBA8C958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5D13"/>
    <w:rPr>
      <w:rFonts w:asciiTheme="minorHAnsi" w:hAnsiTheme="minorHAnsi"/>
      <w:sz w:val="24"/>
      <w:szCs w:val="24"/>
    </w:rPr>
  </w:style>
  <w:style w:type="paragraph" w:styleId="Nadpis1">
    <w:name w:val="heading 1"/>
    <w:basedOn w:val="Normln"/>
    <w:next w:val="Normln"/>
    <w:qFormat/>
    <w:rsid w:val="00582A7B"/>
    <w:pPr>
      <w:keepNext/>
      <w:keepLines/>
      <w:suppressAutoHyphens/>
      <w:overflowPunct w:val="0"/>
      <w:autoSpaceDE w:val="0"/>
      <w:autoSpaceDN w:val="0"/>
      <w:adjustRightInd w:val="0"/>
      <w:spacing w:after="120"/>
      <w:jc w:val="center"/>
      <w:textAlignment w:val="baseline"/>
      <w:outlineLvl w:val="0"/>
    </w:pPr>
    <w:rPr>
      <w:b/>
      <w:kern w:val="36"/>
      <w:sz w:val="28"/>
      <w:szCs w:val="20"/>
    </w:rPr>
  </w:style>
  <w:style w:type="paragraph" w:styleId="Nadpis2">
    <w:name w:val="heading 2"/>
    <w:basedOn w:val="Normln"/>
    <w:next w:val="Normln"/>
    <w:qFormat/>
    <w:rsid w:val="001C7CA8"/>
    <w:pPr>
      <w:keepNext/>
      <w:spacing w:before="240" w:after="60"/>
      <w:outlineLvl w:val="1"/>
    </w:pPr>
    <w:rPr>
      <w:b/>
      <w:bCs/>
      <w:iCs/>
      <w:szCs w:val="28"/>
      <w:u w:val="single"/>
    </w:rPr>
  </w:style>
  <w:style w:type="paragraph" w:styleId="Nadpis3">
    <w:name w:val="heading 3"/>
    <w:basedOn w:val="Normln"/>
    <w:next w:val="Normln"/>
    <w:uiPriority w:val="9"/>
    <w:qFormat/>
    <w:rsid w:val="0009641B"/>
    <w:pPr>
      <w:keepNext/>
      <w:keepLines/>
      <w:numPr>
        <w:numId w:val="49"/>
      </w:numPr>
      <w:ind w:left="426"/>
      <w:outlineLvl w:val="2"/>
    </w:pPr>
    <w:rPr>
      <w:b/>
      <w:bCs/>
      <w:u w:val="single"/>
    </w:rPr>
  </w:style>
  <w:style w:type="paragraph" w:styleId="Nadpis4">
    <w:name w:val="heading 4"/>
    <w:basedOn w:val="Normln"/>
    <w:next w:val="Normln"/>
    <w:qFormat/>
    <w:rsid w:val="00074A01"/>
    <w:pPr>
      <w:keepNext/>
      <w:spacing w:before="240" w:after="60"/>
      <w:outlineLvl w:val="3"/>
    </w:pPr>
    <w:rPr>
      <w:rFonts w:ascii="Calibri" w:hAnsi="Calibri"/>
      <w:b/>
      <w:bCs/>
      <w:sz w:val="28"/>
      <w:szCs w:val="28"/>
    </w:rPr>
  </w:style>
  <w:style w:type="paragraph" w:styleId="Nadpis5">
    <w:name w:val="heading 5"/>
    <w:basedOn w:val="Normln"/>
    <w:next w:val="Normln"/>
    <w:qFormat/>
    <w:rsid w:val="00074A01"/>
    <w:pPr>
      <w:spacing w:before="240" w:after="60"/>
      <w:outlineLvl w:val="4"/>
    </w:pPr>
    <w:rPr>
      <w:rFonts w:ascii="Calibri" w:hAnsi="Calibri"/>
      <w:b/>
      <w:bCs/>
      <w:i/>
      <w:iCs/>
      <w:sz w:val="26"/>
      <w:szCs w:val="26"/>
    </w:rPr>
  </w:style>
  <w:style w:type="paragraph" w:styleId="Nadpis9">
    <w:name w:val="heading 9"/>
    <w:basedOn w:val="Normln"/>
    <w:next w:val="Normln"/>
    <w:qFormat/>
    <w:rsid w:val="00074A01"/>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rsid w:val="00074A01"/>
    <w:rPr>
      <w:rFonts w:ascii="Arial Narrow" w:hAnsi="Arial Narrow"/>
      <w:b/>
      <w:kern w:val="36"/>
      <w:sz w:val="36"/>
    </w:rPr>
  </w:style>
  <w:style w:type="character" w:customStyle="1" w:styleId="Nadpis2Char">
    <w:name w:val="Nadpis 2 Char"/>
    <w:basedOn w:val="Standardnpsmoodstavce"/>
    <w:rsid w:val="00074A01"/>
    <w:rPr>
      <w:rFonts w:ascii="Cambria" w:eastAsia="Times New Roman" w:hAnsi="Cambria" w:cs="Times New Roman"/>
      <w:b/>
      <w:bCs/>
      <w:i/>
      <w:iCs/>
      <w:sz w:val="28"/>
      <w:szCs w:val="28"/>
    </w:rPr>
  </w:style>
  <w:style w:type="paragraph" w:styleId="Vrazncitt">
    <w:name w:val="Intense Quote"/>
    <w:basedOn w:val="Normln"/>
    <w:next w:val="Normln"/>
    <w:qFormat/>
    <w:rsid w:val="00074A01"/>
    <w:pPr>
      <w:pBdr>
        <w:bottom w:val="single" w:sz="4" w:space="4" w:color="4F81BD"/>
      </w:pBdr>
      <w:spacing w:before="200" w:after="280"/>
      <w:ind w:left="936" w:right="936"/>
    </w:pPr>
    <w:rPr>
      <w:b/>
      <w:bCs/>
      <w:i/>
      <w:iCs/>
      <w:color w:val="4F81BD"/>
    </w:rPr>
  </w:style>
  <w:style w:type="character" w:customStyle="1" w:styleId="CitaceintenzivnChar">
    <w:name w:val="Citace – intenzivní Char"/>
    <w:basedOn w:val="Standardnpsmoodstavce"/>
    <w:rsid w:val="00074A01"/>
    <w:rPr>
      <w:b/>
      <w:bCs/>
      <w:i/>
      <w:iCs/>
      <w:color w:val="4F81BD"/>
      <w:sz w:val="24"/>
      <w:szCs w:val="24"/>
    </w:rPr>
  </w:style>
  <w:style w:type="character" w:styleId="Zdraznnintenzivn">
    <w:name w:val="Intense Emphasis"/>
    <w:basedOn w:val="Standardnpsmoodstavce"/>
    <w:qFormat/>
    <w:rsid w:val="00074A01"/>
    <w:rPr>
      <w:b/>
      <w:bCs/>
      <w:i/>
      <w:iCs/>
      <w:color w:val="4F81BD"/>
    </w:rPr>
  </w:style>
  <w:style w:type="paragraph" w:customStyle="1" w:styleId="Bn">
    <w:name w:val="Běžný"/>
    <w:basedOn w:val="Normln"/>
    <w:qFormat/>
    <w:rsid w:val="00074A01"/>
    <w:pPr>
      <w:spacing w:before="40" w:line="276" w:lineRule="auto"/>
      <w:ind w:firstLine="284"/>
      <w:jc w:val="both"/>
    </w:pPr>
    <w:rPr>
      <w:rFonts w:ascii="Palatino Linotype" w:eastAsia="Calibri" w:hAnsi="Palatino Linotype"/>
      <w:sz w:val="22"/>
      <w:szCs w:val="22"/>
    </w:rPr>
  </w:style>
  <w:style w:type="character" w:customStyle="1" w:styleId="Nadpis3Char">
    <w:name w:val="Nadpis 3 Char"/>
    <w:basedOn w:val="Standardnpsmoodstavce"/>
    <w:uiPriority w:val="9"/>
    <w:rsid w:val="00074A01"/>
    <w:rPr>
      <w:rFonts w:ascii="Cambria" w:eastAsia="Times New Roman" w:hAnsi="Cambria" w:cs="Times New Roman"/>
      <w:b/>
      <w:bCs/>
      <w:color w:val="4F81BD"/>
      <w:sz w:val="24"/>
      <w:szCs w:val="24"/>
    </w:rPr>
  </w:style>
  <w:style w:type="paragraph" w:styleId="Zkladntext3">
    <w:name w:val="Body Text 3"/>
    <w:basedOn w:val="Normln"/>
    <w:unhideWhenUsed/>
    <w:rsid w:val="00074A01"/>
    <w:pPr>
      <w:spacing w:after="120"/>
    </w:pPr>
    <w:rPr>
      <w:sz w:val="16"/>
      <w:szCs w:val="16"/>
      <w:lang w:eastAsia="en-US"/>
    </w:rPr>
  </w:style>
  <w:style w:type="character" w:customStyle="1" w:styleId="Zkladntext3Char">
    <w:name w:val="Základní text 3 Char"/>
    <w:basedOn w:val="Standardnpsmoodstavce"/>
    <w:rsid w:val="00074A01"/>
    <w:rPr>
      <w:sz w:val="16"/>
      <w:szCs w:val="16"/>
      <w:lang w:eastAsia="en-US"/>
    </w:rPr>
  </w:style>
  <w:style w:type="character" w:customStyle="1" w:styleId="Nadpis4Char">
    <w:name w:val="Nadpis 4 Char"/>
    <w:basedOn w:val="Standardnpsmoodstavce"/>
    <w:rsid w:val="00074A01"/>
    <w:rPr>
      <w:rFonts w:ascii="Calibri" w:eastAsia="Times New Roman" w:hAnsi="Calibri" w:cs="Times New Roman"/>
      <w:b/>
      <w:bCs/>
      <w:sz w:val="28"/>
      <w:szCs w:val="28"/>
    </w:rPr>
  </w:style>
  <w:style w:type="character" w:customStyle="1" w:styleId="Nadpis5Char">
    <w:name w:val="Nadpis 5 Char"/>
    <w:basedOn w:val="Standardnpsmoodstavce"/>
    <w:semiHidden/>
    <w:rsid w:val="00074A01"/>
    <w:rPr>
      <w:rFonts w:ascii="Calibri" w:eastAsia="Times New Roman" w:hAnsi="Calibri" w:cs="Times New Roman"/>
      <w:b/>
      <w:bCs/>
      <w:i/>
      <w:iCs/>
      <w:sz w:val="26"/>
      <w:szCs w:val="26"/>
    </w:rPr>
  </w:style>
  <w:style w:type="character" w:customStyle="1" w:styleId="Nadpis9Char">
    <w:name w:val="Nadpis 9 Char"/>
    <w:basedOn w:val="Standardnpsmoodstavce"/>
    <w:semiHidden/>
    <w:rsid w:val="00074A01"/>
    <w:rPr>
      <w:rFonts w:ascii="Cambria" w:eastAsia="Times New Roman" w:hAnsi="Cambria" w:cs="Times New Roman"/>
      <w:sz w:val="22"/>
      <w:szCs w:val="22"/>
    </w:rPr>
  </w:style>
  <w:style w:type="paragraph" w:styleId="Zkladntextodsazen">
    <w:name w:val="Body Text Indent"/>
    <w:basedOn w:val="Normln"/>
    <w:uiPriority w:val="99"/>
    <w:unhideWhenUsed/>
    <w:rsid w:val="00074A01"/>
    <w:pPr>
      <w:spacing w:after="120"/>
      <w:ind w:left="283"/>
    </w:pPr>
  </w:style>
  <w:style w:type="character" w:customStyle="1" w:styleId="ZkladntextodsazenChar">
    <w:name w:val="Základní text odsazený Char"/>
    <w:basedOn w:val="Standardnpsmoodstavce"/>
    <w:uiPriority w:val="99"/>
    <w:rsid w:val="00074A01"/>
    <w:rPr>
      <w:sz w:val="24"/>
      <w:szCs w:val="24"/>
    </w:rPr>
  </w:style>
  <w:style w:type="paragraph" w:customStyle="1" w:styleId="Zkladn">
    <w:name w:val="Základní"/>
    <w:basedOn w:val="Normln"/>
    <w:rsid w:val="00074A01"/>
    <w:pPr>
      <w:spacing w:before="120"/>
      <w:jc w:val="both"/>
    </w:pPr>
    <w:rPr>
      <w:lang w:eastAsia="en-US"/>
    </w:rPr>
  </w:style>
  <w:style w:type="paragraph" w:styleId="Textpoznpodarou">
    <w:name w:val="footnote text"/>
    <w:aliases w:val="fn,pozn. pod čarou,Schriftart: 9 pt,Schriftart: 10 pt,Schriftart: 8 pt,Podrozdział,Podrozdzia3"/>
    <w:basedOn w:val="Normln"/>
    <w:uiPriority w:val="99"/>
    <w:unhideWhenUsed/>
    <w:rsid w:val="00074A01"/>
    <w:rPr>
      <w:sz w:val="20"/>
      <w:szCs w:val="20"/>
    </w:rPr>
  </w:style>
  <w:style w:type="character" w:customStyle="1" w:styleId="TextpoznpodarouChar">
    <w:name w:val="Text pozn. pod čarou Char"/>
    <w:aliases w:val="fn Char1,pozn. pod čarou Char,Schriftart: 9 pt Char,Schriftart: 10 pt Char,Schriftart: 8 pt Char,Podrozdział Char,Podrozdzia3 Char,fn Char"/>
    <w:basedOn w:val="Standardnpsmoodstavce"/>
    <w:uiPriority w:val="99"/>
    <w:rsid w:val="00074A01"/>
  </w:style>
  <w:style w:type="character" w:styleId="Znakapoznpodarou">
    <w:name w:val="footnote reference"/>
    <w:aliases w:val="Footnote,Footnote call,PGI Fußnote Ziffer + Times New Roman,12 b.,Zúžené o ...,PGI Fußnote Ziffer"/>
    <w:basedOn w:val="Standardnpsmoodstavce"/>
    <w:uiPriority w:val="99"/>
    <w:unhideWhenUsed/>
    <w:rsid w:val="00074A01"/>
    <w:rPr>
      <w:vertAlign w:val="superscript"/>
    </w:rPr>
  </w:style>
  <w:style w:type="paragraph" w:styleId="Zhlav">
    <w:name w:val="header"/>
    <w:basedOn w:val="Normln"/>
    <w:uiPriority w:val="99"/>
    <w:unhideWhenUsed/>
    <w:rsid w:val="00074A01"/>
    <w:pPr>
      <w:tabs>
        <w:tab w:val="center" w:pos="4536"/>
        <w:tab w:val="right" w:pos="9072"/>
      </w:tabs>
    </w:pPr>
  </w:style>
  <w:style w:type="character" w:customStyle="1" w:styleId="ZhlavChar">
    <w:name w:val="Záhlaví Char"/>
    <w:basedOn w:val="Standardnpsmoodstavce"/>
    <w:uiPriority w:val="99"/>
    <w:rsid w:val="00074A01"/>
    <w:rPr>
      <w:sz w:val="24"/>
      <w:szCs w:val="24"/>
    </w:rPr>
  </w:style>
  <w:style w:type="paragraph" w:styleId="Zpat">
    <w:name w:val="footer"/>
    <w:basedOn w:val="Normln"/>
    <w:uiPriority w:val="99"/>
    <w:unhideWhenUsed/>
    <w:rsid w:val="00074A01"/>
    <w:pPr>
      <w:tabs>
        <w:tab w:val="center" w:pos="4536"/>
        <w:tab w:val="right" w:pos="9072"/>
      </w:tabs>
    </w:pPr>
  </w:style>
  <w:style w:type="character" w:customStyle="1" w:styleId="ZpatChar">
    <w:name w:val="Zápatí Char"/>
    <w:basedOn w:val="Standardnpsmoodstavce"/>
    <w:uiPriority w:val="99"/>
    <w:rsid w:val="00074A01"/>
    <w:rPr>
      <w:sz w:val="24"/>
      <w:szCs w:val="24"/>
    </w:rPr>
  </w:style>
  <w:style w:type="paragraph" w:styleId="Odstavecseseznamem">
    <w:name w:val="List Paragraph"/>
    <w:aliases w:val="odrážky,List Paragraph_0,List Paragraph_0_0,Nadpis pro KZ,Odstavec se seznamem1,Odstavec se seznamem2,List Paragraph"/>
    <w:basedOn w:val="Normln"/>
    <w:link w:val="OdstavecseseznamemChar"/>
    <w:uiPriority w:val="34"/>
    <w:qFormat/>
    <w:rsid w:val="00BA709C"/>
    <w:pPr>
      <w:ind w:left="708"/>
    </w:pPr>
  </w:style>
  <w:style w:type="character" w:styleId="Odkaznakoment">
    <w:name w:val="annotation reference"/>
    <w:basedOn w:val="Standardnpsmoodstavce"/>
    <w:uiPriority w:val="99"/>
    <w:semiHidden/>
    <w:unhideWhenUsed/>
    <w:rsid w:val="00B667E8"/>
    <w:rPr>
      <w:sz w:val="16"/>
      <w:szCs w:val="16"/>
    </w:rPr>
  </w:style>
  <w:style w:type="paragraph" w:styleId="Textkomente">
    <w:name w:val="annotation text"/>
    <w:basedOn w:val="Normln"/>
    <w:link w:val="TextkomenteChar"/>
    <w:uiPriority w:val="99"/>
    <w:unhideWhenUsed/>
    <w:rsid w:val="00B667E8"/>
    <w:rPr>
      <w:sz w:val="20"/>
      <w:szCs w:val="20"/>
    </w:rPr>
  </w:style>
  <w:style w:type="character" w:customStyle="1" w:styleId="TextkomenteChar">
    <w:name w:val="Text komentáře Char"/>
    <w:basedOn w:val="Standardnpsmoodstavce"/>
    <w:link w:val="Textkomente"/>
    <w:uiPriority w:val="99"/>
    <w:rsid w:val="00B667E8"/>
  </w:style>
  <w:style w:type="paragraph" w:styleId="Pedmtkomente">
    <w:name w:val="annotation subject"/>
    <w:basedOn w:val="Textkomente"/>
    <w:next w:val="Textkomente"/>
    <w:link w:val="PedmtkomenteChar"/>
    <w:uiPriority w:val="99"/>
    <w:semiHidden/>
    <w:unhideWhenUsed/>
    <w:rsid w:val="00B667E8"/>
    <w:rPr>
      <w:b/>
      <w:bCs/>
    </w:rPr>
  </w:style>
  <w:style w:type="character" w:customStyle="1" w:styleId="PedmtkomenteChar">
    <w:name w:val="Předmět komentáře Char"/>
    <w:basedOn w:val="TextkomenteChar"/>
    <w:link w:val="Pedmtkomente"/>
    <w:uiPriority w:val="99"/>
    <w:semiHidden/>
    <w:rsid w:val="00B667E8"/>
    <w:rPr>
      <w:b/>
      <w:bCs/>
    </w:rPr>
  </w:style>
  <w:style w:type="paragraph" w:styleId="Revize">
    <w:name w:val="Revision"/>
    <w:hidden/>
    <w:uiPriority w:val="99"/>
    <w:semiHidden/>
    <w:rsid w:val="00B667E8"/>
    <w:rPr>
      <w:sz w:val="24"/>
      <w:szCs w:val="24"/>
    </w:rPr>
  </w:style>
  <w:style w:type="paragraph" w:styleId="Textbubliny">
    <w:name w:val="Balloon Text"/>
    <w:basedOn w:val="Normln"/>
    <w:link w:val="TextbublinyChar"/>
    <w:uiPriority w:val="99"/>
    <w:semiHidden/>
    <w:unhideWhenUsed/>
    <w:rsid w:val="00B667E8"/>
    <w:rPr>
      <w:rFonts w:ascii="Tahoma" w:hAnsi="Tahoma" w:cs="Tahoma"/>
      <w:sz w:val="16"/>
      <w:szCs w:val="16"/>
    </w:rPr>
  </w:style>
  <w:style w:type="character" w:customStyle="1" w:styleId="TextbublinyChar">
    <w:name w:val="Text bubliny Char"/>
    <w:basedOn w:val="Standardnpsmoodstavce"/>
    <w:link w:val="Textbubliny"/>
    <w:uiPriority w:val="99"/>
    <w:semiHidden/>
    <w:rsid w:val="00B667E8"/>
    <w:rPr>
      <w:rFonts w:ascii="Tahoma" w:hAnsi="Tahoma" w:cs="Tahoma"/>
      <w:sz w:val="16"/>
      <w:szCs w:val="16"/>
    </w:rPr>
  </w:style>
  <w:style w:type="table" w:styleId="Mkatabulky">
    <w:name w:val="Table Grid"/>
    <w:basedOn w:val="Normlntabulka"/>
    <w:uiPriority w:val="39"/>
    <w:rsid w:val="00803A70"/>
    <w:rPr>
      <w:rFonts w:ascii="Arial" w:eastAsia="Calibri"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kladntext">
    <w:name w:val="Body Text"/>
    <w:basedOn w:val="Normln"/>
    <w:link w:val="ZkladntextChar"/>
    <w:uiPriority w:val="99"/>
    <w:rsid w:val="00C41D2F"/>
    <w:pPr>
      <w:jc w:val="both"/>
    </w:pPr>
    <w:rPr>
      <w:rFonts w:cs="Arial"/>
      <w:i/>
      <w:sz w:val="22"/>
      <w:lang w:eastAsia="en-US"/>
    </w:rPr>
  </w:style>
  <w:style w:type="character" w:customStyle="1" w:styleId="ZkladntextChar">
    <w:name w:val="Základní text Char"/>
    <w:basedOn w:val="Standardnpsmoodstavce"/>
    <w:link w:val="Zkladntext"/>
    <w:uiPriority w:val="99"/>
    <w:rsid w:val="00C41D2F"/>
    <w:rPr>
      <w:rFonts w:ascii="Arial" w:hAnsi="Arial" w:cs="Arial"/>
      <w:i/>
      <w:sz w:val="22"/>
      <w:szCs w:val="24"/>
      <w:lang w:eastAsia="en-US"/>
    </w:rPr>
  </w:style>
  <w:style w:type="paragraph" w:styleId="Prosttext">
    <w:name w:val="Plain Text"/>
    <w:basedOn w:val="Normln"/>
    <w:link w:val="ProsttextChar"/>
    <w:uiPriority w:val="99"/>
    <w:unhideWhenUsed/>
    <w:rsid w:val="00430278"/>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430278"/>
    <w:rPr>
      <w:rFonts w:ascii="Consolas" w:eastAsiaTheme="minorHAnsi" w:hAnsi="Consolas" w:cstheme="minorBidi"/>
      <w:sz w:val="21"/>
      <w:szCs w:val="21"/>
      <w:lang w:eastAsia="en-US"/>
    </w:rPr>
  </w:style>
  <w:style w:type="paragraph" w:styleId="Zkladntextodsazen3">
    <w:name w:val="Body Text Indent 3"/>
    <w:basedOn w:val="Normln"/>
    <w:link w:val="Zkladntextodsazen3Char"/>
    <w:uiPriority w:val="99"/>
    <w:unhideWhenUsed/>
    <w:rsid w:val="00695D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695DC0"/>
    <w:rPr>
      <w:rFonts w:ascii="Arial" w:hAnsi="Arial"/>
      <w:sz w:val="16"/>
      <w:szCs w:val="16"/>
    </w:rPr>
  </w:style>
  <w:style w:type="paragraph" w:customStyle="1" w:styleId="NadpisKZ">
    <w:name w:val="Nadpis KZ"/>
    <w:basedOn w:val="Zkladntext2"/>
    <w:rsid w:val="004827C3"/>
  </w:style>
  <w:style w:type="paragraph" w:styleId="Zkladntext2">
    <w:name w:val="Body Text 2"/>
    <w:basedOn w:val="Normln"/>
    <w:link w:val="Zkladntext2Char"/>
    <w:uiPriority w:val="99"/>
    <w:semiHidden/>
    <w:unhideWhenUsed/>
    <w:rsid w:val="004827C3"/>
    <w:pPr>
      <w:spacing w:after="120" w:line="480" w:lineRule="auto"/>
    </w:pPr>
  </w:style>
  <w:style w:type="character" w:customStyle="1" w:styleId="Zkladntext2Char">
    <w:name w:val="Základní text 2 Char"/>
    <w:basedOn w:val="Standardnpsmoodstavce"/>
    <w:link w:val="Zkladntext2"/>
    <w:uiPriority w:val="99"/>
    <w:semiHidden/>
    <w:rsid w:val="004827C3"/>
    <w:rPr>
      <w:rFonts w:ascii="Arial" w:hAnsi="Arial"/>
      <w:sz w:val="24"/>
      <w:szCs w:val="24"/>
    </w:rPr>
  </w:style>
  <w:style w:type="paragraph" w:customStyle="1" w:styleId="Char4CharCharCharCharCharCharCharCharCharChar">
    <w:name w:val="Char4 Char Char Char Char Char Char Char Char Char Char"/>
    <w:basedOn w:val="Normln"/>
    <w:rsid w:val="000F3776"/>
    <w:pPr>
      <w:spacing w:after="160" w:line="240" w:lineRule="exact"/>
    </w:pPr>
    <w:rPr>
      <w:rFonts w:ascii="Times New Roman Bold" w:hAnsi="Times New Roman Bold"/>
      <w:sz w:val="22"/>
      <w:szCs w:val="26"/>
      <w:lang w:val="sk-SK" w:eastAsia="en-US"/>
    </w:rPr>
  </w:style>
  <w:style w:type="character" w:styleId="Hypertextovodkaz">
    <w:name w:val="Hyperlink"/>
    <w:basedOn w:val="Standardnpsmoodstavce"/>
    <w:uiPriority w:val="99"/>
    <w:unhideWhenUsed/>
    <w:rsid w:val="00925EFE"/>
    <w:rPr>
      <w:color w:val="0000FF" w:themeColor="hyperlink"/>
      <w:u w:val="single"/>
    </w:rPr>
  </w:style>
  <w:style w:type="table" w:customStyle="1" w:styleId="Mkatabulky10">
    <w:name w:val="Mřížka tabulky10"/>
    <w:basedOn w:val="Normlntabulka"/>
    <w:next w:val="Mkatabulky"/>
    <w:uiPriority w:val="59"/>
    <w:rsid w:val="003A2E8D"/>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7A253E"/>
    <w:rPr>
      <w:rFonts w:ascii="Arial" w:eastAsia="Calibri"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E67B9"/>
    <w:pPr>
      <w:autoSpaceDE w:val="0"/>
      <w:autoSpaceDN w:val="0"/>
      <w:adjustRightInd w:val="0"/>
    </w:pPr>
    <w:rPr>
      <w:rFonts w:ascii="Calibri" w:hAnsi="Calibri" w:cs="Calibri"/>
      <w:color w:val="000000"/>
      <w:sz w:val="24"/>
      <w:szCs w:val="24"/>
    </w:rPr>
  </w:style>
  <w:style w:type="character" w:customStyle="1" w:styleId="apple-converted-space">
    <w:name w:val="apple-converted-space"/>
    <w:basedOn w:val="Standardnpsmoodstavce"/>
    <w:rsid w:val="003163D4"/>
  </w:style>
  <w:style w:type="paragraph" w:styleId="Normlnweb">
    <w:name w:val="Normal (Web)"/>
    <w:basedOn w:val="Normln"/>
    <w:uiPriority w:val="99"/>
    <w:semiHidden/>
    <w:unhideWhenUsed/>
    <w:rsid w:val="003163D4"/>
    <w:pPr>
      <w:spacing w:before="100" w:beforeAutospacing="1" w:after="100" w:afterAutospacing="1"/>
    </w:pPr>
    <w:rPr>
      <w:rFonts w:ascii="Times New Roman" w:hAnsi="Times New Roman"/>
    </w:rPr>
  </w:style>
  <w:style w:type="character" w:styleId="Siln">
    <w:name w:val="Strong"/>
    <w:basedOn w:val="Standardnpsmoodstavce"/>
    <w:uiPriority w:val="22"/>
    <w:qFormat/>
    <w:rsid w:val="003163D4"/>
    <w:rPr>
      <w:b/>
      <w:bCs/>
    </w:rPr>
  </w:style>
  <w:style w:type="paragraph" w:styleId="Textvysvtlivek">
    <w:name w:val="endnote text"/>
    <w:basedOn w:val="Normln"/>
    <w:link w:val="TextvysvtlivekChar"/>
    <w:uiPriority w:val="99"/>
    <w:semiHidden/>
    <w:unhideWhenUsed/>
    <w:rsid w:val="00667B99"/>
    <w:rPr>
      <w:sz w:val="20"/>
      <w:szCs w:val="20"/>
    </w:rPr>
  </w:style>
  <w:style w:type="character" w:customStyle="1" w:styleId="TextvysvtlivekChar">
    <w:name w:val="Text vysvětlivek Char"/>
    <w:basedOn w:val="Standardnpsmoodstavce"/>
    <w:link w:val="Textvysvtlivek"/>
    <w:uiPriority w:val="99"/>
    <w:semiHidden/>
    <w:rsid w:val="00667B99"/>
    <w:rPr>
      <w:rFonts w:ascii="Arial" w:hAnsi="Arial"/>
    </w:rPr>
  </w:style>
  <w:style w:type="character" w:styleId="Odkaznavysvtlivky">
    <w:name w:val="endnote reference"/>
    <w:basedOn w:val="Standardnpsmoodstavce"/>
    <w:uiPriority w:val="99"/>
    <w:semiHidden/>
    <w:unhideWhenUsed/>
    <w:rsid w:val="00667B99"/>
    <w:rPr>
      <w:vertAlign w:val="superscript"/>
    </w:rPr>
  </w:style>
  <w:style w:type="character" w:customStyle="1" w:styleId="A0">
    <w:name w:val="A0"/>
    <w:uiPriority w:val="99"/>
    <w:rsid w:val="00AD28AE"/>
    <w:rPr>
      <w:rFonts w:cs="Myriad Pro"/>
      <w:b/>
      <w:bCs/>
      <w:color w:val="000000"/>
      <w:sz w:val="26"/>
      <w:szCs w:val="26"/>
    </w:rPr>
  </w:style>
  <w:style w:type="character" w:customStyle="1" w:styleId="A2">
    <w:name w:val="A2"/>
    <w:uiPriority w:val="99"/>
    <w:rsid w:val="00AD28AE"/>
    <w:rPr>
      <w:rFonts w:cs="Myriad Pro"/>
      <w:b/>
      <w:bCs/>
      <w:color w:val="000000"/>
      <w:sz w:val="44"/>
      <w:szCs w:val="44"/>
    </w:rPr>
  </w:style>
  <w:style w:type="character" w:customStyle="1" w:styleId="st1">
    <w:name w:val="st1"/>
    <w:basedOn w:val="Standardnpsmoodstavce"/>
    <w:rsid w:val="009858DF"/>
  </w:style>
  <w:style w:type="character" w:customStyle="1" w:styleId="tgc">
    <w:name w:val="_tgc"/>
    <w:basedOn w:val="Standardnpsmoodstavce"/>
    <w:rsid w:val="00FC2078"/>
  </w:style>
  <w:style w:type="paragraph" w:styleId="Nzev">
    <w:name w:val="Title"/>
    <w:basedOn w:val="Normln"/>
    <w:link w:val="NzevChar"/>
    <w:qFormat/>
    <w:rsid w:val="008D4B89"/>
    <w:pPr>
      <w:jc w:val="center"/>
    </w:pPr>
    <w:rPr>
      <w:rFonts w:ascii="Times New Roman" w:hAnsi="Times New Roman"/>
      <w:sz w:val="28"/>
      <w:szCs w:val="28"/>
    </w:rPr>
  </w:style>
  <w:style w:type="character" w:customStyle="1" w:styleId="NzevChar">
    <w:name w:val="Název Char"/>
    <w:basedOn w:val="Standardnpsmoodstavce"/>
    <w:link w:val="Nzev"/>
    <w:rsid w:val="008D4B89"/>
    <w:rPr>
      <w:sz w:val="28"/>
      <w:szCs w:val="28"/>
    </w:rPr>
  </w:style>
  <w:style w:type="paragraph" w:customStyle="1" w:styleId="Pa18">
    <w:name w:val="Pa18"/>
    <w:basedOn w:val="Default"/>
    <w:next w:val="Default"/>
    <w:uiPriority w:val="99"/>
    <w:rsid w:val="009E75B5"/>
    <w:pPr>
      <w:spacing w:line="211" w:lineRule="atLeast"/>
    </w:pPr>
    <w:rPr>
      <w:rFonts w:cs="Times New Roman"/>
      <w:color w:val="auto"/>
    </w:rPr>
  </w:style>
  <w:style w:type="character" w:customStyle="1" w:styleId="A14">
    <w:name w:val="A14"/>
    <w:uiPriority w:val="99"/>
    <w:rsid w:val="009E75B5"/>
    <w:rPr>
      <w:rFonts w:cs="Calibri"/>
      <w:b/>
      <w:bCs/>
      <w:color w:val="000000"/>
      <w:sz w:val="54"/>
      <w:szCs w:val="54"/>
    </w:rPr>
  </w:style>
  <w:style w:type="character" w:customStyle="1" w:styleId="A15">
    <w:name w:val="A15"/>
    <w:uiPriority w:val="99"/>
    <w:rsid w:val="009E75B5"/>
    <w:rPr>
      <w:rFonts w:cs="Calibri"/>
      <w:color w:val="000000"/>
      <w:sz w:val="36"/>
      <w:szCs w:val="36"/>
    </w:rPr>
  </w:style>
  <w:style w:type="paragraph" w:customStyle="1" w:styleId="Pa19">
    <w:name w:val="Pa19"/>
    <w:basedOn w:val="Default"/>
    <w:next w:val="Default"/>
    <w:uiPriority w:val="99"/>
    <w:rsid w:val="009E75B5"/>
    <w:pPr>
      <w:spacing w:line="211" w:lineRule="atLeast"/>
    </w:pPr>
    <w:rPr>
      <w:rFonts w:cs="Times New Roman"/>
      <w:color w:val="auto"/>
    </w:rPr>
  </w:style>
  <w:style w:type="paragraph" w:customStyle="1" w:styleId="Pa6">
    <w:name w:val="Pa6"/>
    <w:basedOn w:val="Default"/>
    <w:next w:val="Default"/>
    <w:uiPriority w:val="99"/>
    <w:rsid w:val="007D792B"/>
    <w:pPr>
      <w:spacing w:line="211" w:lineRule="atLeast"/>
    </w:pPr>
    <w:rPr>
      <w:rFonts w:cs="Times New Roman"/>
      <w:color w:val="auto"/>
    </w:rPr>
  </w:style>
  <w:style w:type="character" w:customStyle="1" w:styleId="A12">
    <w:name w:val="A12"/>
    <w:uiPriority w:val="99"/>
    <w:rsid w:val="007D792B"/>
    <w:rPr>
      <w:rFonts w:cs="Calibri"/>
      <w:b/>
      <w:bCs/>
      <w:color w:val="000000"/>
      <w:sz w:val="34"/>
      <w:szCs w:val="34"/>
    </w:rPr>
  </w:style>
  <w:style w:type="paragraph" w:customStyle="1" w:styleId="Pa16">
    <w:name w:val="Pa16"/>
    <w:basedOn w:val="Default"/>
    <w:next w:val="Default"/>
    <w:uiPriority w:val="99"/>
    <w:rsid w:val="007D792B"/>
    <w:pPr>
      <w:spacing w:line="211" w:lineRule="atLeast"/>
    </w:pPr>
    <w:rPr>
      <w:rFonts w:cs="Times New Roman"/>
      <w:color w:val="auto"/>
    </w:rPr>
  </w:style>
  <w:style w:type="character" w:customStyle="1" w:styleId="A13">
    <w:name w:val="A13"/>
    <w:uiPriority w:val="99"/>
    <w:rsid w:val="007D792B"/>
    <w:rPr>
      <w:rFonts w:ascii="Arial" w:hAnsi="Arial" w:cs="Arial"/>
      <w:b/>
      <w:bCs/>
      <w:color w:val="000000"/>
      <w:sz w:val="19"/>
      <w:szCs w:val="19"/>
    </w:rPr>
  </w:style>
  <w:style w:type="character" w:customStyle="1" w:styleId="OdstavecseseznamemChar">
    <w:name w:val="Odstavec se seznamem Char"/>
    <w:aliases w:val="odrážky Char,List Paragraph_0 Char,List Paragraph_0_0 Char,Nadpis pro KZ Char,Odstavec se seznamem1 Char,Odstavec se seznamem2 Char,List Paragraph Char"/>
    <w:link w:val="Odstavecseseznamem"/>
    <w:uiPriority w:val="34"/>
    <w:rsid w:val="00F92FB1"/>
    <w:rPr>
      <w:rFonts w:ascii="Arial" w:hAnsi="Arial"/>
      <w:sz w:val="24"/>
      <w:szCs w:val="24"/>
    </w:rPr>
  </w:style>
  <w:style w:type="paragraph" w:styleId="Titulek">
    <w:name w:val="caption"/>
    <w:basedOn w:val="Normln"/>
    <w:next w:val="Normln"/>
    <w:uiPriority w:val="35"/>
    <w:unhideWhenUsed/>
    <w:qFormat/>
    <w:rsid w:val="00F92FB1"/>
    <w:pPr>
      <w:spacing w:after="200"/>
    </w:pPr>
    <w:rPr>
      <w:rFonts w:ascii="Times New Roman" w:hAnsi="Times New Roman"/>
      <w:i/>
      <w:iCs/>
      <w:color w:val="1F497D" w:themeColor="text2"/>
      <w:sz w:val="18"/>
      <w:szCs w:val="18"/>
      <w:lang w:eastAsia="en-US"/>
    </w:rPr>
  </w:style>
  <w:style w:type="paragraph" w:customStyle="1" w:styleId="Odstavec">
    <w:name w:val="Odstavec"/>
    <w:basedOn w:val="Normln"/>
    <w:rsid w:val="0033626F"/>
    <w:pPr>
      <w:spacing w:before="120"/>
      <w:ind w:firstLine="709"/>
      <w:jc w:val="both"/>
    </w:pPr>
    <w:rPr>
      <w:rFonts w:ascii="Times New Roman" w:hAnsi="Times New Roman"/>
      <w:szCs w:val="20"/>
    </w:rPr>
  </w:style>
  <w:style w:type="paragraph" w:customStyle="1" w:styleId="l3">
    <w:name w:val="l3"/>
    <w:basedOn w:val="Normln"/>
    <w:rsid w:val="00542313"/>
    <w:pPr>
      <w:spacing w:before="100" w:beforeAutospacing="1" w:after="100" w:afterAutospacing="1"/>
    </w:pPr>
    <w:rPr>
      <w:rFonts w:ascii="Times New Roman" w:hAnsi="Times New Roman"/>
    </w:rPr>
  </w:style>
  <w:style w:type="paragraph" w:customStyle="1" w:styleId="l2">
    <w:name w:val="l2"/>
    <w:basedOn w:val="Normln"/>
    <w:rsid w:val="00542313"/>
    <w:pPr>
      <w:spacing w:before="100" w:beforeAutospacing="1" w:after="100" w:afterAutospacing="1"/>
    </w:pPr>
    <w:rPr>
      <w:rFonts w:ascii="Times New Roman" w:hAnsi="Times New Roman"/>
    </w:rPr>
  </w:style>
  <w:style w:type="paragraph" w:customStyle="1" w:styleId="l4">
    <w:name w:val="l4"/>
    <w:basedOn w:val="Normln"/>
    <w:rsid w:val="00542313"/>
    <w:pPr>
      <w:spacing w:before="100" w:beforeAutospacing="1" w:after="100" w:afterAutospacing="1"/>
    </w:pPr>
    <w:rPr>
      <w:rFonts w:ascii="Times New Roman" w:hAnsi="Times New Roman"/>
    </w:rPr>
  </w:style>
  <w:style w:type="character" w:styleId="PromnnHTML">
    <w:name w:val="HTML Variable"/>
    <w:basedOn w:val="Standardnpsmoodstavce"/>
    <w:uiPriority w:val="99"/>
    <w:semiHidden/>
    <w:unhideWhenUsed/>
    <w:rsid w:val="00542313"/>
    <w:rPr>
      <w:i/>
      <w:iCs/>
    </w:rPr>
  </w:style>
  <w:style w:type="character" w:styleId="Zdraznn">
    <w:name w:val="Emphasis"/>
    <w:basedOn w:val="Standardnpsmoodstavce"/>
    <w:uiPriority w:val="20"/>
    <w:qFormat/>
    <w:rsid w:val="00512467"/>
    <w:rPr>
      <w:b/>
      <w:bCs/>
      <w:i w:val="0"/>
      <w:iCs w:val="0"/>
    </w:rPr>
  </w:style>
  <w:style w:type="paragraph" w:customStyle="1" w:styleId="l1">
    <w:name w:val="l1"/>
    <w:basedOn w:val="Normln"/>
    <w:rsid w:val="003D41C0"/>
    <w:pPr>
      <w:spacing w:before="100" w:beforeAutospacing="1" w:after="100" w:afterAutospacing="1"/>
    </w:pPr>
    <w:rPr>
      <w:rFonts w:ascii="Times New Roman" w:hAnsi="Times New Roman"/>
    </w:rPr>
  </w:style>
  <w:style w:type="character" w:customStyle="1" w:styleId="aural">
    <w:name w:val="aural"/>
    <w:basedOn w:val="Standardnpsmoodstavce"/>
    <w:rsid w:val="00E43543"/>
  </w:style>
  <w:style w:type="paragraph" w:customStyle="1" w:styleId="KPnormln">
    <w:name w:val="KP normální"/>
    <w:basedOn w:val="Normln"/>
    <w:link w:val="KPnormlnChar"/>
    <w:qFormat/>
    <w:rsid w:val="00C50799"/>
    <w:pPr>
      <w:spacing w:before="120" w:after="120"/>
      <w:ind w:firstLine="720"/>
      <w:jc w:val="both"/>
    </w:pPr>
    <w:rPr>
      <w:rFonts w:cstheme="minorHAnsi"/>
      <w:color w:val="000000"/>
      <w:szCs w:val="22"/>
      <w:lang w:eastAsia="en-US"/>
    </w:rPr>
  </w:style>
  <w:style w:type="character" w:customStyle="1" w:styleId="KPnormlnChar">
    <w:name w:val="KP normální Char"/>
    <w:basedOn w:val="Standardnpsmoodstavce"/>
    <w:link w:val="KPnormln"/>
    <w:rsid w:val="00C50799"/>
    <w:rPr>
      <w:rFonts w:asciiTheme="minorHAnsi" w:hAnsiTheme="minorHAnsi" w:cstheme="minorHAnsi"/>
      <w:color w:val="000000"/>
      <w:sz w:val="24"/>
      <w:szCs w:val="22"/>
      <w:lang w:eastAsia="en-US"/>
    </w:rPr>
  </w:style>
  <w:style w:type="table" w:customStyle="1" w:styleId="Mkatabulky2">
    <w:name w:val="Mřížka tabulky2"/>
    <w:basedOn w:val="Normlntabulka"/>
    <w:next w:val="Mkatabulky"/>
    <w:uiPriority w:val="39"/>
    <w:rsid w:val="00B636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4261">
      <w:bodyDiv w:val="1"/>
      <w:marLeft w:val="0"/>
      <w:marRight w:val="0"/>
      <w:marTop w:val="0"/>
      <w:marBottom w:val="0"/>
      <w:divBdr>
        <w:top w:val="none" w:sz="0" w:space="0" w:color="auto"/>
        <w:left w:val="none" w:sz="0" w:space="0" w:color="auto"/>
        <w:bottom w:val="none" w:sz="0" w:space="0" w:color="auto"/>
        <w:right w:val="none" w:sz="0" w:space="0" w:color="auto"/>
      </w:divBdr>
    </w:div>
    <w:div w:id="43532473">
      <w:bodyDiv w:val="1"/>
      <w:marLeft w:val="0"/>
      <w:marRight w:val="0"/>
      <w:marTop w:val="0"/>
      <w:marBottom w:val="0"/>
      <w:divBdr>
        <w:top w:val="none" w:sz="0" w:space="0" w:color="auto"/>
        <w:left w:val="none" w:sz="0" w:space="0" w:color="auto"/>
        <w:bottom w:val="none" w:sz="0" w:space="0" w:color="auto"/>
        <w:right w:val="none" w:sz="0" w:space="0" w:color="auto"/>
      </w:divBdr>
    </w:div>
    <w:div w:id="58554364">
      <w:bodyDiv w:val="1"/>
      <w:marLeft w:val="0"/>
      <w:marRight w:val="0"/>
      <w:marTop w:val="0"/>
      <w:marBottom w:val="0"/>
      <w:divBdr>
        <w:top w:val="none" w:sz="0" w:space="0" w:color="auto"/>
        <w:left w:val="none" w:sz="0" w:space="0" w:color="auto"/>
        <w:bottom w:val="none" w:sz="0" w:space="0" w:color="auto"/>
        <w:right w:val="none" w:sz="0" w:space="0" w:color="auto"/>
      </w:divBdr>
    </w:div>
    <w:div w:id="67308881">
      <w:bodyDiv w:val="1"/>
      <w:marLeft w:val="0"/>
      <w:marRight w:val="0"/>
      <w:marTop w:val="0"/>
      <w:marBottom w:val="0"/>
      <w:divBdr>
        <w:top w:val="none" w:sz="0" w:space="0" w:color="auto"/>
        <w:left w:val="none" w:sz="0" w:space="0" w:color="auto"/>
        <w:bottom w:val="none" w:sz="0" w:space="0" w:color="auto"/>
        <w:right w:val="none" w:sz="0" w:space="0" w:color="auto"/>
      </w:divBdr>
    </w:div>
    <w:div w:id="109713979">
      <w:bodyDiv w:val="1"/>
      <w:marLeft w:val="0"/>
      <w:marRight w:val="0"/>
      <w:marTop w:val="0"/>
      <w:marBottom w:val="0"/>
      <w:divBdr>
        <w:top w:val="none" w:sz="0" w:space="0" w:color="auto"/>
        <w:left w:val="none" w:sz="0" w:space="0" w:color="auto"/>
        <w:bottom w:val="none" w:sz="0" w:space="0" w:color="auto"/>
        <w:right w:val="none" w:sz="0" w:space="0" w:color="auto"/>
      </w:divBdr>
    </w:div>
    <w:div w:id="142356780">
      <w:bodyDiv w:val="1"/>
      <w:marLeft w:val="0"/>
      <w:marRight w:val="0"/>
      <w:marTop w:val="0"/>
      <w:marBottom w:val="0"/>
      <w:divBdr>
        <w:top w:val="none" w:sz="0" w:space="0" w:color="auto"/>
        <w:left w:val="none" w:sz="0" w:space="0" w:color="auto"/>
        <w:bottom w:val="none" w:sz="0" w:space="0" w:color="auto"/>
        <w:right w:val="none" w:sz="0" w:space="0" w:color="auto"/>
      </w:divBdr>
    </w:div>
    <w:div w:id="201744773">
      <w:bodyDiv w:val="1"/>
      <w:marLeft w:val="0"/>
      <w:marRight w:val="0"/>
      <w:marTop w:val="0"/>
      <w:marBottom w:val="0"/>
      <w:divBdr>
        <w:top w:val="none" w:sz="0" w:space="0" w:color="auto"/>
        <w:left w:val="none" w:sz="0" w:space="0" w:color="auto"/>
        <w:bottom w:val="none" w:sz="0" w:space="0" w:color="auto"/>
        <w:right w:val="none" w:sz="0" w:space="0" w:color="auto"/>
      </w:divBdr>
    </w:div>
    <w:div w:id="235669100">
      <w:bodyDiv w:val="1"/>
      <w:marLeft w:val="0"/>
      <w:marRight w:val="0"/>
      <w:marTop w:val="0"/>
      <w:marBottom w:val="0"/>
      <w:divBdr>
        <w:top w:val="none" w:sz="0" w:space="0" w:color="auto"/>
        <w:left w:val="none" w:sz="0" w:space="0" w:color="auto"/>
        <w:bottom w:val="none" w:sz="0" w:space="0" w:color="auto"/>
        <w:right w:val="none" w:sz="0" w:space="0" w:color="auto"/>
      </w:divBdr>
    </w:div>
    <w:div w:id="293995226">
      <w:bodyDiv w:val="1"/>
      <w:marLeft w:val="0"/>
      <w:marRight w:val="0"/>
      <w:marTop w:val="0"/>
      <w:marBottom w:val="0"/>
      <w:divBdr>
        <w:top w:val="none" w:sz="0" w:space="0" w:color="auto"/>
        <w:left w:val="none" w:sz="0" w:space="0" w:color="auto"/>
        <w:bottom w:val="none" w:sz="0" w:space="0" w:color="auto"/>
        <w:right w:val="none" w:sz="0" w:space="0" w:color="auto"/>
      </w:divBdr>
    </w:div>
    <w:div w:id="344065737">
      <w:bodyDiv w:val="1"/>
      <w:marLeft w:val="0"/>
      <w:marRight w:val="0"/>
      <w:marTop w:val="0"/>
      <w:marBottom w:val="0"/>
      <w:divBdr>
        <w:top w:val="none" w:sz="0" w:space="0" w:color="auto"/>
        <w:left w:val="none" w:sz="0" w:space="0" w:color="auto"/>
        <w:bottom w:val="none" w:sz="0" w:space="0" w:color="auto"/>
        <w:right w:val="none" w:sz="0" w:space="0" w:color="auto"/>
      </w:divBdr>
    </w:div>
    <w:div w:id="373307432">
      <w:bodyDiv w:val="1"/>
      <w:marLeft w:val="0"/>
      <w:marRight w:val="0"/>
      <w:marTop w:val="0"/>
      <w:marBottom w:val="0"/>
      <w:divBdr>
        <w:top w:val="none" w:sz="0" w:space="0" w:color="auto"/>
        <w:left w:val="none" w:sz="0" w:space="0" w:color="auto"/>
        <w:bottom w:val="none" w:sz="0" w:space="0" w:color="auto"/>
        <w:right w:val="none" w:sz="0" w:space="0" w:color="auto"/>
      </w:divBdr>
    </w:div>
    <w:div w:id="383212813">
      <w:bodyDiv w:val="1"/>
      <w:marLeft w:val="0"/>
      <w:marRight w:val="0"/>
      <w:marTop w:val="0"/>
      <w:marBottom w:val="0"/>
      <w:divBdr>
        <w:top w:val="none" w:sz="0" w:space="0" w:color="auto"/>
        <w:left w:val="none" w:sz="0" w:space="0" w:color="auto"/>
        <w:bottom w:val="none" w:sz="0" w:space="0" w:color="auto"/>
        <w:right w:val="none" w:sz="0" w:space="0" w:color="auto"/>
      </w:divBdr>
    </w:div>
    <w:div w:id="387800484">
      <w:bodyDiv w:val="1"/>
      <w:marLeft w:val="0"/>
      <w:marRight w:val="0"/>
      <w:marTop w:val="0"/>
      <w:marBottom w:val="0"/>
      <w:divBdr>
        <w:top w:val="none" w:sz="0" w:space="0" w:color="auto"/>
        <w:left w:val="none" w:sz="0" w:space="0" w:color="auto"/>
        <w:bottom w:val="none" w:sz="0" w:space="0" w:color="auto"/>
        <w:right w:val="none" w:sz="0" w:space="0" w:color="auto"/>
      </w:divBdr>
    </w:div>
    <w:div w:id="396821974">
      <w:bodyDiv w:val="1"/>
      <w:marLeft w:val="0"/>
      <w:marRight w:val="0"/>
      <w:marTop w:val="0"/>
      <w:marBottom w:val="0"/>
      <w:divBdr>
        <w:top w:val="none" w:sz="0" w:space="0" w:color="auto"/>
        <w:left w:val="none" w:sz="0" w:space="0" w:color="auto"/>
        <w:bottom w:val="none" w:sz="0" w:space="0" w:color="auto"/>
        <w:right w:val="none" w:sz="0" w:space="0" w:color="auto"/>
      </w:divBdr>
    </w:div>
    <w:div w:id="480342871">
      <w:bodyDiv w:val="1"/>
      <w:marLeft w:val="0"/>
      <w:marRight w:val="0"/>
      <w:marTop w:val="0"/>
      <w:marBottom w:val="0"/>
      <w:divBdr>
        <w:top w:val="none" w:sz="0" w:space="0" w:color="auto"/>
        <w:left w:val="none" w:sz="0" w:space="0" w:color="auto"/>
        <w:bottom w:val="none" w:sz="0" w:space="0" w:color="auto"/>
        <w:right w:val="none" w:sz="0" w:space="0" w:color="auto"/>
      </w:divBdr>
      <w:divsChild>
        <w:div w:id="1539783568">
          <w:marLeft w:val="0"/>
          <w:marRight w:val="0"/>
          <w:marTop w:val="0"/>
          <w:marBottom w:val="0"/>
          <w:divBdr>
            <w:top w:val="none" w:sz="0" w:space="0" w:color="auto"/>
            <w:left w:val="none" w:sz="0" w:space="0" w:color="auto"/>
            <w:bottom w:val="none" w:sz="0" w:space="0" w:color="auto"/>
            <w:right w:val="none" w:sz="0" w:space="0" w:color="auto"/>
          </w:divBdr>
          <w:divsChild>
            <w:div w:id="857279675">
              <w:marLeft w:val="0"/>
              <w:marRight w:val="0"/>
              <w:marTop w:val="0"/>
              <w:marBottom w:val="0"/>
              <w:divBdr>
                <w:top w:val="none" w:sz="0" w:space="0" w:color="auto"/>
                <w:left w:val="none" w:sz="0" w:space="0" w:color="auto"/>
                <w:bottom w:val="none" w:sz="0" w:space="0" w:color="auto"/>
                <w:right w:val="none" w:sz="0" w:space="0" w:color="auto"/>
              </w:divBdr>
              <w:divsChild>
                <w:div w:id="1224756264">
                  <w:marLeft w:val="0"/>
                  <w:marRight w:val="0"/>
                  <w:marTop w:val="0"/>
                  <w:marBottom w:val="0"/>
                  <w:divBdr>
                    <w:top w:val="none" w:sz="0" w:space="0" w:color="auto"/>
                    <w:left w:val="none" w:sz="0" w:space="0" w:color="auto"/>
                    <w:bottom w:val="none" w:sz="0" w:space="0" w:color="auto"/>
                    <w:right w:val="none" w:sz="0" w:space="0" w:color="auto"/>
                  </w:divBdr>
                  <w:divsChild>
                    <w:div w:id="45763518">
                      <w:marLeft w:val="0"/>
                      <w:marRight w:val="0"/>
                      <w:marTop w:val="0"/>
                      <w:marBottom w:val="0"/>
                      <w:divBdr>
                        <w:top w:val="none" w:sz="0" w:space="0" w:color="auto"/>
                        <w:left w:val="none" w:sz="0" w:space="0" w:color="auto"/>
                        <w:bottom w:val="none" w:sz="0" w:space="0" w:color="auto"/>
                        <w:right w:val="none" w:sz="0" w:space="0" w:color="auto"/>
                      </w:divBdr>
                      <w:divsChild>
                        <w:div w:id="117144394">
                          <w:marLeft w:val="0"/>
                          <w:marRight w:val="0"/>
                          <w:marTop w:val="0"/>
                          <w:marBottom w:val="0"/>
                          <w:divBdr>
                            <w:top w:val="none" w:sz="0" w:space="0" w:color="auto"/>
                            <w:left w:val="none" w:sz="0" w:space="0" w:color="auto"/>
                            <w:bottom w:val="none" w:sz="0" w:space="0" w:color="auto"/>
                            <w:right w:val="none" w:sz="0" w:space="0" w:color="auto"/>
                          </w:divBdr>
                          <w:divsChild>
                            <w:div w:id="86614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764879">
      <w:bodyDiv w:val="1"/>
      <w:marLeft w:val="0"/>
      <w:marRight w:val="0"/>
      <w:marTop w:val="0"/>
      <w:marBottom w:val="0"/>
      <w:divBdr>
        <w:top w:val="none" w:sz="0" w:space="0" w:color="auto"/>
        <w:left w:val="none" w:sz="0" w:space="0" w:color="auto"/>
        <w:bottom w:val="none" w:sz="0" w:space="0" w:color="auto"/>
        <w:right w:val="none" w:sz="0" w:space="0" w:color="auto"/>
      </w:divBdr>
      <w:divsChild>
        <w:div w:id="498497989">
          <w:marLeft w:val="0"/>
          <w:marRight w:val="0"/>
          <w:marTop w:val="0"/>
          <w:marBottom w:val="0"/>
          <w:divBdr>
            <w:top w:val="none" w:sz="0" w:space="0" w:color="auto"/>
            <w:left w:val="none" w:sz="0" w:space="0" w:color="auto"/>
            <w:bottom w:val="none" w:sz="0" w:space="0" w:color="auto"/>
            <w:right w:val="none" w:sz="0" w:space="0" w:color="auto"/>
          </w:divBdr>
          <w:divsChild>
            <w:div w:id="913205590">
              <w:marLeft w:val="0"/>
              <w:marRight w:val="0"/>
              <w:marTop w:val="0"/>
              <w:marBottom w:val="0"/>
              <w:divBdr>
                <w:top w:val="none" w:sz="0" w:space="0" w:color="auto"/>
                <w:left w:val="none" w:sz="0" w:space="0" w:color="auto"/>
                <w:bottom w:val="none" w:sz="0" w:space="0" w:color="auto"/>
                <w:right w:val="none" w:sz="0" w:space="0" w:color="auto"/>
              </w:divBdr>
              <w:divsChild>
                <w:div w:id="641891078">
                  <w:marLeft w:val="0"/>
                  <w:marRight w:val="0"/>
                  <w:marTop w:val="0"/>
                  <w:marBottom w:val="0"/>
                  <w:divBdr>
                    <w:top w:val="none" w:sz="0" w:space="0" w:color="auto"/>
                    <w:left w:val="none" w:sz="0" w:space="0" w:color="auto"/>
                    <w:bottom w:val="none" w:sz="0" w:space="0" w:color="auto"/>
                    <w:right w:val="none" w:sz="0" w:space="0" w:color="auto"/>
                  </w:divBdr>
                  <w:divsChild>
                    <w:div w:id="1825967916">
                      <w:marLeft w:val="0"/>
                      <w:marRight w:val="0"/>
                      <w:marTop w:val="0"/>
                      <w:marBottom w:val="0"/>
                      <w:divBdr>
                        <w:top w:val="none" w:sz="0" w:space="0" w:color="auto"/>
                        <w:left w:val="none" w:sz="0" w:space="0" w:color="auto"/>
                        <w:bottom w:val="none" w:sz="0" w:space="0" w:color="auto"/>
                        <w:right w:val="none" w:sz="0" w:space="0" w:color="auto"/>
                      </w:divBdr>
                      <w:divsChild>
                        <w:div w:id="1750075665">
                          <w:marLeft w:val="0"/>
                          <w:marRight w:val="0"/>
                          <w:marTop w:val="0"/>
                          <w:marBottom w:val="0"/>
                          <w:divBdr>
                            <w:top w:val="none" w:sz="0" w:space="0" w:color="auto"/>
                            <w:left w:val="none" w:sz="0" w:space="0" w:color="auto"/>
                            <w:bottom w:val="none" w:sz="0" w:space="0" w:color="auto"/>
                            <w:right w:val="none" w:sz="0" w:space="0" w:color="auto"/>
                          </w:divBdr>
                          <w:divsChild>
                            <w:div w:id="25109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061359">
      <w:bodyDiv w:val="1"/>
      <w:marLeft w:val="0"/>
      <w:marRight w:val="0"/>
      <w:marTop w:val="0"/>
      <w:marBottom w:val="0"/>
      <w:divBdr>
        <w:top w:val="none" w:sz="0" w:space="0" w:color="auto"/>
        <w:left w:val="none" w:sz="0" w:space="0" w:color="auto"/>
        <w:bottom w:val="none" w:sz="0" w:space="0" w:color="auto"/>
        <w:right w:val="none" w:sz="0" w:space="0" w:color="auto"/>
      </w:divBdr>
    </w:div>
    <w:div w:id="614606594">
      <w:bodyDiv w:val="1"/>
      <w:marLeft w:val="0"/>
      <w:marRight w:val="0"/>
      <w:marTop w:val="0"/>
      <w:marBottom w:val="0"/>
      <w:divBdr>
        <w:top w:val="none" w:sz="0" w:space="0" w:color="auto"/>
        <w:left w:val="none" w:sz="0" w:space="0" w:color="auto"/>
        <w:bottom w:val="none" w:sz="0" w:space="0" w:color="auto"/>
        <w:right w:val="none" w:sz="0" w:space="0" w:color="auto"/>
      </w:divBdr>
    </w:div>
    <w:div w:id="658459351">
      <w:bodyDiv w:val="1"/>
      <w:marLeft w:val="0"/>
      <w:marRight w:val="0"/>
      <w:marTop w:val="0"/>
      <w:marBottom w:val="0"/>
      <w:divBdr>
        <w:top w:val="none" w:sz="0" w:space="0" w:color="auto"/>
        <w:left w:val="none" w:sz="0" w:space="0" w:color="auto"/>
        <w:bottom w:val="none" w:sz="0" w:space="0" w:color="auto"/>
        <w:right w:val="none" w:sz="0" w:space="0" w:color="auto"/>
      </w:divBdr>
    </w:div>
    <w:div w:id="659820017">
      <w:bodyDiv w:val="1"/>
      <w:marLeft w:val="0"/>
      <w:marRight w:val="0"/>
      <w:marTop w:val="0"/>
      <w:marBottom w:val="0"/>
      <w:divBdr>
        <w:top w:val="none" w:sz="0" w:space="0" w:color="auto"/>
        <w:left w:val="none" w:sz="0" w:space="0" w:color="auto"/>
        <w:bottom w:val="none" w:sz="0" w:space="0" w:color="auto"/>
        <w:right w:val="none" w:sz="0" w:space="0" w:color="auto"/>
      </w:divBdr>
    </w:div>
    <w:div w:id="682315931">
      <w:bodyDiv w:val="1"/>
      <w:marLeft w:val="0"/>
      <w:marRight w:val="0"/>
      <w:marTop w:val="0"/>
      <w:marBottom w:val="0"/>
      <w:divBdr>
        <w:top w:val="none" w:sz="0" w:space="0" w:color="auto"/>
        <w:left w:val="none" w:sz="0" w:space="0" w:color="auto"/>
        <w:bottom w:val="none" w:sz="0" w:space="0" w:color="auto"/>
        <w:right w:val="none" w:sz="0" w:space="0" w:color="auto"/>
      </w:divBdr>
    </w:div>
    <w:div w:id="682703823">
      <w:bodyDiv w:val="1"/>
      <w:marLeft w:val="0"/>
      <w:marRight w:val="0"/>
      <w:marTop w:val="0"/>
      <w:marBottom w:val="0"/>
      <w:divBdr>
        <w:top w:val="none" w:sz="0" w:space="0" w:color="auto"/>
        <w:left w:val="none" w:sz="0" w:space="0" w:color="auto"/>
        <w:bottom w:val="none" w:sz="0" w:space="0" w:color="auto"/>
        <w:right w:val="none" w:sz="0" w:space="0" w:color="auto"/>
      </w:divBdr>
    </w:div>
    <w:div w:id="780345091">
      <w:bodyDiv w:val="1"/>
      <w:marLeft w:val="0"/>
      <w:marRight w:val="0"/>
      <w:marTop w:val="0"/>
      <w:marBottom w:val="0"/>
      <w:divBdr>
        <w:top w:val="none" w:sz="0" w:space="0" w:color="auto"/>
        <w:left w:val="none" w:sz="0" w:space="0" w:color="auto"/>
        <w:bottom w:val="none" w:sz="0" w:space="0" w:color="auto"/>
        <w:right w:val="none" w:sz="0" w:space="0" w:color="auto"/>
      </w:divBdr>
    </w:div>
    <w:div w:id="816531891">
      <w:bodyDiv w:val="1"/>
      <w:marLeft w:val="0"/>
      <w:marRight w:val="0"/>
      <w:marTop w:val="0"/>
      <w:marBottom w:val="0"/>
      <w:divBdr>
        <w:top w:val="none" w:sz="0" w:space="0" w:color="auto"/>
        <w:left w:val="none" w:sz="0" w:space="0" w:color="auto"/>
        <w:bottom w:val="none" w:sz="0" w:space="0" w:color="auto"/>
        <w:right w:val="none" w:sz="0" w:space="0" w:color="auto"/>
      </w:divBdr>
    </w:div>
    <w:div w:id="841579210">
      <w:bodyDiv w:val="1"/>
      <w:marLeft w:val="0"/>
      <w:marRight w:val="0"/>
      <w:marTop w:val="0"/>
      <w:marBottom w:val="0"/>
      <w:divBdr>
        <w:top w:val="none" w:sz="0" w:space="0" w:color="auto"/>
        <w:left w:val="none" w:sz="0" w:space="0" w:color="auto"/>
        <w:bottom w:val="none" w:sz="0" w:space="0" w:color="auto"/>
        <w:right w:val="none" w:sz="0" w:space="0" w:color="auto"/>
      </w:divBdr>
    </w:div>
    <w:div w:id="1094593685">
      <w:bodyDiv w:val="1"/>
      <w:marLeft w:val="0"/>
      <w:marRight w:val="0"/>
      <w:marTop w:val="0"/>
      <w:marBottom w:val="0"/>
      <w:divBdr>
        <w:top w:val="none" w:sz="0" w:space="0" w:color="auto"/>
        <w:left w:val="none" w:sz="0" w:space="0" w:color="auto"/>
        <w:bottom w:val="none" w:sz="0" w:space="0" w:color="auto"/>
        <w:right w:val="none" w:sz="0" w:space="0" w:color="auto"/>
      </w:divBdr>
    </w:div>
    <w:div w:id="1160121473">
      <w:bodyDiv w:val="1"/>
      <w:marLeft w:val="0"/>
      <w:marRight w:val="0"/>
      <w:marTop w:val="0"/>
      <w:marBottom w:val="0"/>
      <w:divBdr>
        <w:top w:val="none" w:sz="0" w:space="0" w:color="auto"/>
        <w:left w:val="none" w:sz="0" w:space="0" w:color="auto"/>
        <w:bottom w:val="none" w:sz="0" w:space="0" w:color="auto"/>
        <w:right w:val="none" w:sz="0" w:space="0" w:color="auto"/>
      </w:divBdr>
    </w:div>
    <w:div w:id="1209101273">
      <w:bodyDiv w:val="1"/>
      <w:marLeft w:val="0"/>
      <w:marRight w:val="0"/>
      <w:marTop w:val="0"/>
      <w:marBottom w:val="0"/>
      <w:divBdr>
        <w:top w:val="none" w:sz="0" w:space="0" w:color="auto"/>
        <w:left w:val="none" w:sz="0" w:space="0" w:color="auto"/>
        <w:bottom w:val="none" w:sz="0" w:space="0" w:color="auto"/>
        <w:right w:val="none" w:sz="0" w:space="0" w:color="auto"/>
      </w:divBdr>
    </w:div>
    <w:div w:id="1373385584">
      <w:bodyDiv w:val="1"/>
      <w:marLeft w:val="0"/>
      <w:marRight w:val="0"/>
      <w:marTop w:val="0"/>
      <w:marBottom w:val="0"/>
      <w:divBdr>
        <w:top w:val="none" w:sz="0" w:space="0" w:color="auto"/>
        <w:left w:val="none" w:sz="0" w:space="0" w:color="auto"/>
        <w:bottom w:val="none" w:sz="0" w:space="0" w:color="auto"/>
        <w:right w:val="none" w:sz="0" w:space="0" w:color="auto"/>
      </w:divBdr>
    </w:div>
    <w:div w:id="1375041181">
      <w:bodyDiv w:val="1"/>
      <w:marLeft w:val="0"/>
      <w:marRight w:val="0"/>
      <w:marTop w:val="0"/>
      <w:marBottom w:val="0"/>
      <w:divBdr>
        <w:top w:val="none" w:sz="0" w:space="0" w:color="auto"/>
        <w:left w:val="none" w:sz="0" w:space="0" w:color="auto"/>
        <w:bottom w:val="none" w:sz="0" w:space="0" w:color="auto"/>
        <w:right w:val="none" w:sz="0" w:space="0" w:color="auto"/>
      </w:divBdr>
    </w:div>
    <w:div w:id="1421104839">
      <w:bodyDiv w:val="1"/>
      <w:marLeft w:val="0"/>
      <w:marRight w:val="0"/>
      <w:marTop w:val="0"/>
      <w:marBottom w:val="0"/>
      <w:divBdr>
        <w:top w:val="none" w:sz="0" w:space="0" w:color="auto"/>
        <w:left w:val="none" w:sz="0" w:space="0" w:color="auto"/>
        <w:bottom w:val="none" w:sz="0" w:space="0" w:color="auto"/>
        <w:right w:val="none" w:sz="0" w:space="0" w:color="auto"/>
      </w:divBdr>
    </w:div>
    <w:div w:id="1436561087">
      <w:bodyDiv w:val="1"/>
      <w:marLeft w:val="0"/>
      <w:marRight w:val="0"/>
      <w:marTop w:val="0"/>
      <w:marBottom w:val="0"/>
      <w:divBdr>
        <w:top w:val="none" w:sz="0" w:space="0" w:color="auto"/>
        <w:left w:val="none" w:sz="0" w:space="0" w:color="auto"/>
        <w:bottom w:val="none" w:sz="0" w:space="0" w:color="auto"/>
        <w:right w:val="none" w:sz="0" w:space="0" w:color="auto"/>
      </w:divBdr>
      <w:divsChild>
        <w:div w:id="1097217026">
          <w:marLeft w:val="0"/>
          <w:marRight w:val="0"/>
          <w:marTop w:val="0"/>
          <w:marBottom w:val="0"/>
          <w:divBdr>
            <w:top w:val="none" w:sz="0" w:space="0" w:color="auto"/>
            <w:left w:val="none" w:sz="0" w:space="0" w:color="auto"/>
            <w:bottom w:val="none" w:sz="0" w:space="0" w:color="auto"/>
            <w:right w:val="none" w:sz="0" w:space="0" w:color="auto"/>
          </w:divBdr>
          <w:divsChild>
            <w:div w:id="1544445320">
              <w:marLeft w:val="0"/>
              <w:marRight w:val="0"/>
              <w:marTop w:val="0"/>
              <w:marBottom w:val="0"/>
              <w:divBdr>
                <w:top w:val="none" w:sz="0" w:space="0" w:color="auto"/>
                <w:left w:val="none" w:sz="0" w:space="0" w:color="auto"/>
                <w:bottom w:val="none" w:sz="0" w:space="0" w:color="auto"/>
                <w:right w:val="none" w:sz="0" w:space="0" w:color="auto"/>
              </w:divBdr>
              <w:divsChild>
                <w:div w:id="628321023">
                  <w:marLeft w:val="0"/>
                  <w:marRight w:val="0"/>
                  <w:marTop w:val="0"/>
                  <w:marBottom w:val="0"/>
                  <w:divBdr>
                    <w:top w:val="none" w:sz="0" w:space="0" w:color="auto"/>
                    <w:left w:val="none" w:sz="0" w:space="0" w:color="auto"/>
                    <w:bottom w:val="none" w:sz="0" w:space="0" w:color="auto"/>
                    <w:right w:val="none" w:sz="0" w:space="0" w:color="auto"/>
                  </w:divBdr>
                  <w:divsChild>
                    <w:div w:id="335309886">
                      <w:marLeft w:val="0"/>
                      <w:marRight w:val="0"/>
                      <w:marTop w:val="0"/>
                      <w:marBottom w:val="0"/>
                      <w:divBdr>
                        <w:top w:val="none" w:sz="0" w:space="0" w:color="auto"/>
                        <w:left w:val="none" w:sz="0" w:space="0" w:color="auto"/>
                        <w:bottom w:val="none" w:sz="0" w:space="0" w:color="auto"/>
                        <w:right w:val="none" w:sz="0" w:space="0" w:color="auto"/>
                      </w:divBdr>
                      <w:divsChild>
                        <w:div w:id="723606718">
                          <w:marLeft w:val="0"/>
                          <w:marRight w:val="0"/>
                          <w:marTop w:val="0"/>
                          <w:marBottom w:val="0"/>
                          <w:divBdr>
                            <w:top w:val="none" w:sz="0" w:space="0" w:color="auto"/>
                            <w:left w:val="none" w:sz="0" w:space="0" w:color="auto"/>
                            <w:bottom w:val="none" w:sz="0" w:space="0" w:color="auto"/>
                            <w:right w:val="none" w:sz="0" w:space="0" w:color="auto"/>
                          </w:divBdr>
                          <w:divsChild>
                            <w:div w:id="78061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958934">
      <w:bodyDiv w:val="1"/>
      <w:marLeft w:val="0"/>
      <w:marRight w:val="0"/>
      <w:marTop w:val="0"/>
      <w:marBottom w:val="0"/>
      <w:divBdr>
        <w:top w:val="none" w:sz="0" w:space="0" w:color="auto"/>
        <w:left w:val="none" w:sz="0" w:space="0" w:color="auto"/>
        <w:bottom w:val="none" w:sz="0" w:space="0" w:color="auto"/>
        <w:right w:val="none" w:sz="0" w:space="0" w:color="auto"/>
      </w:divBdr>
    </w:div>
    <w:div w:id="1492795585">
      <w:bodyDiv w:val="1"/>
      <w:marLeft w:val="0"/>
      <w:marRight w:val="0"/>
      <w:marTop w:val="0"/>
      <w:marBottom w:val="0"/>
      <w:divBdr>
        <w:top w:val="none" w:sz="0" w:space="0" w:color="auto"/>
        <w:left w:val="none" w:sz="0" w:space="0" w:color="auto"/>
        <w:bottom w:val="none" w:sz="0" w:space="0" w:color="auto"/>
        <w:right w:val="none" w:sz="0" w:space="0" w:color="auto"/>
      </w:divBdr>
    </w:div>
    <w:div w:id="1514340885">
      <w:bodyDiv w:val="1"/>
      <w:marLeft w:val="0"/>
      <w:marRight w:val="0"/>
      <w:marTop w:val="0"/>
      <w:marBottom w:val="0"/>
      <w:divBdr>
        <w:top w:val="none" w:sz="0" w:space="0" w:color="auto"/>
        <w:left w:val="none" w:sz="0" w:space="0" w:color="auto"/>
        <w:bottom w:val="none" w:sz="0" w:space="0" w:color="auto"/>
        <w:right w:val="none" w:sz="0" w:space="0" w:color="auto"/>
      </w:divBdr>
    </w:div>
    <w:div w:id="1572154999">
      <w:bodyDiv w:val="1"/>
      <w:marLeft w:val="0"/>
      <w:marRight w:val="0"/>
      <w:marTop w:val="0"/>
      <w:marBottom w:val="0"/>
      <w:divBdr>
        <w:top w:val="none" w:sz="0" w:space="0" w:color="auto"/>
        <w:left w:val="none" w:sz="0" w:space="0" w:color="auto"/>
        <w:bottom w:val="none" w:sz="0" w:space="0" w:color="auto"/>
        <w:right w:val="none" w:sz="0" w:space="0" w:color="auto"/>
      </w:divBdr>
    </w:div>
    <w:div w:id="1628314493">
      <w:bodyDiv w:val="1"/>
      <w:marLeft w:val="0"/>
      <w:marRight w:val="0"/>
      <w:marTop w:val="0"/>
      <w:marBottom w:val="0"/>
      <w:divBdr>
        <w:top w:val="none" w:sz="0" w:space="0" w:color="auto"/>
        <w:left w:val="none" w:sz="0" w:space="0" w:color="auto"/>
        <w:bottom w:val="none" w:sz="0" w:space="0" w:color="auto"/>
        <w:right w:val="none" w:sz="0" w:space="0" w:color="auto"/>
      </w:divBdr>
    </w:div>
    <w:div w:id="1773090789">
      <w:bodyDiv w:val="1"/>
      <w:marLeft w:val="0"/>
      <w:marRight w:val="0"/>
      <w:marTop w:val="0"/>
      <w:marBottom w:val="0"/>
      <w:divBdr>
        <w:top w:val="none" w:sz="0" w:space="0" w:color="auto"/>
        <w:left w:val="none" w:sz="0" w:space="0" w:color="auto"/>
        <w:bottom w:val="none" w:sz="0" w:space="0" w:color="auto"/>
        <w:right w:val="none" w:sz="0" w:space="0" w:color="auto"/>
      </w:divBdr>
      <w:divsChild>
        <w:div w:id="700592451">
          <w:marLeft w:val="0"/>
          <w:marRight w:val="0"/>
          <w:marTop w:val="0"/>
          <w:marBottom w:val="0"/>
          <w:divBdr>
            <w:top w:val="none" w:sz="0" w:space="0" w:color="auto"/>
            <w:left w:val="none" w:sz="0" w:space="0" w:color="auto"/>
            <w:bottom w:val="none" w:sz="0" w:space="0" w:color="auto"/>
            <w:right w:val="none" w:sz="0" w:space="0" w:color="auto"/>
          </w:divBdr>
          <w:divsChild>
            <w:div w:id="1301154527">
              <w:marLeft w:val="0"/>
              <w:marRight w:val="0"/>
              <w:marTop w:val="0"/>
              <w:marBottom w:val="0"/>
              <w:divBdr>
                <w:top w:val="none" w:sz="0" w:space="0" w:color="auto"/>
                <w:left w:val="none" w:sz="0" w:space="0" w:color="auto"/>
                <w:bottom w:val="none" w:sz="0" w:space="0" w:color="auto"/>
                <w:right w:val="none" w:sz="0" w:space="0" w:color="auto"/>
              </w:divBdr>
              <w:divsChild>
                <w:div w:id="409693887">
                  <w:marLeft w:val="0"/>
                  <w:marRight w:val="0"/>
                  <w:marTop w:val="0"/>
                  <w:marBottom w:val="0"/>
                  <w:divBdr>
                    <w:top w:val="none" w:sz="0" w:space="0" w:color="auto"/>
                    <w:left w:val="none" w:sz="0" w:space="0" w:color="auto"/>
                    <w:bottom w:val="none" w:sz="0" w:space="0" w:color="auto"/>
                    <w:right w:val="none" w:sz="0" w:space="0" w:color="auto"/>
                  </w:divBdr>
                  <w:divsChild>
                    <w:div w:id="725763611">
                      <w:marLeft w:val="0"/>
                      <w:marRight w:val="0"/>
                      <w:marTop w:val="0"/>
                      <w:marBottom w:val="0"/>
                      <w:divBdr>
                        <w:top w:val="none" w:sz="0" w:space="0" w:color="auto"/>
                        <w:left w:val="none" w:sz="0" w:space="0" w:color="auto"/>
                        <w:bottom w:val="none" w:sz="0" w:space="0" w:color="auto"/>
                        <w:right w:val="none" w:sz="0" w:space="0" w:color="auto"/>
                      </w:divBdr>
                      <w:divsChild>
                        <w:div w:id="577910922">
                          <w:marLeft w:val="0"/>
                          <w:marRight w:val="0"/>
                          <w:marTop w:val="0"/>
                          <w:marBottom w:val="0"/>
                          <w:divBdr>
                            <w:top w:val="none" w:sz="0" w:space="0" w:color="auto"/>
                            <w:left w:val="none" w:sz="0" w:space="0" w:color="auto"/>
                            <w:bottom w:val="none" w:sz="0" w:space="0" w:color="auto"/>
                            <w:right w:val="none" w:sz="0" w:space="0" w:color="auto"/>
                          </w:divBdr>
                          <w:divsChild>
                            <w:div w:id="13021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348889">
      <w:bodyDiv w:val="1"/>
      <w:marLeft w:val="0"/>
      <w:marRight w:val="0"/>
      <w:marTop w:val="0"/>
      <w:marBottom w:val="0"/>
      <w:divBdr>
        <w:top w:val="none" w:sz="0" w:space="0" w:color="auto"/>
        <w:left w:val="none" w:sz="0" w:space="0" w:color="auto"/>
        <w:bottom w:val="none" w:sz="0" w:space="0" w:color="auto"/>
        <w:right w:val="none" w:sz="0" w:space="0" w:color="auto"/>
      </w:divBdr>
      <w:divsChild>
        <w:div w:id="416096117">
          <w:marLeft w:val="0"/>
          <w:marRight w:val="0"/>
          <w:marTop w:val="0"/>
          <w:marBottom w:val="0"/>
          <w:divBdr>
            <w:top w:val="none" w:sz="0" w:space="0" w:color="auto"/>
            <w:left w:val="none" w:sz="0" w:space="0" w:color="auto"/>
            <w:bottom w:val="none" w:sz="0" w:space="0" w:color="auto"/>
            <w:right w:val="none" w:sz="0" w:space="0" w:color="auto"/>
          </w:divBdr>
          <w:divsChild>
            <w:div w:id="151206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247195">
      <w:bodyDiv w:val="1"/>
      <w:marLeft w:val="0"/>
      <w:marRight w:val="0"/>
      <w:marTop w:val="0"/>
      <w:marBottom w:val="0"/>
      <w:divBdr>
        <w:top w:val="none" w:sz="0" w:space="0" w:color="auto"/>
        <w:left w:val="none" w:sz="0" w:space="0" w:color="auto"/>
        <w:bottom w:val="none" w:sz="0" w:space="0" w:color="auto"/>
        <w:right w:val="none" w:sz="0" w:space="0" w:color="auto"/>
      </w:divBdr>
    </w:div>
    <w:div w:id="1832091144">
      <w:bodyDiv w:val="1"/>
      <w:marLeft w:val="0"/>
      <w:marRight w:val="0"/>
      <w:marTop w:val="0"/>
      <w:marBottom w:val="0"/>
      <w:divBdr>
        <w:top w:val="none" w:sz="0" w:space="0" w:color="auto"/>
        <w:left w:val="none" w:sz="0" w:space="0" w:color="auto"/>
        <w:bottom w:val="none" w:sz="0" w:space="0" w:color="auto"/>
        <w:right w:val="none" w:sz="0" w:space="0" w:color="auto"/>
      </w:divBdr>
    </w:div>
    <w:div w:id="1851408468">
      <w:bodyDiv w:val="1"/>
      <w:marLeft w:val="0"/>
      <w:marRight w:val="0"/>
      <w:marTop w:val="0"/>
      <w:marBottom w:val="0"/>
      <w:divBdr>
        <w:top w:val="none" w:sz="0" w:space="0" w:color="auto"/>
        <w:left w:val="none" w:sz="0" w:space="0" w:color="auto"/>
        <w:bottom w:val="none" w:sz="0" w:space="0" w:color="auto"/>
        <w:right w:val="none" w:sz="0" w:space="0" w:color="auto"/>
      </w:divBdr>
    </w:div>
    <w:div w:id="1860242501">
      <w:bodyDiv w:val="1"/>
      <w:marLeft w:val="0"/>
      <w:marRight w:val="0"/>
      <w:marTop w:val="0"/>
      <w:marBottom w:val="0"/>
      <w:divBdr>
        <w:top w:val="none" w:sz="0" w:space="0" w:color="auto"/>
        <w:left w:val="none" w:sz="0" w:space="0" w:color="auto"/>
        <w:bottom w:val="none" w:sz="0" w:space="0" w:color="auto"/>
        <w:right w:val="none" w:sz="0" w:space="0" w:color="auto"/>
      </w:divBdr>
      <w:divsChild>
        <w:div w:id="2100828028">
          <w:marLeft w:val="0"/>
          <w:marRight w:val="0"/>
          <w:marTop w:val="0"/>
          <w:marBottom w:val="0"/>
          <w:divBdr>
            <w:top w:val="none" w:sz="0" w:space="0" w:color="auto"/>
            <w:left w:val="none" w:sz="0" w:space="0" w:color="auto"/>
            <w:bottom w:val="none" w:sz="0" w:space="0" w:color="auto"/>
            <w:right w:val="none" w:sz="0" w:space="0" w:color="auto"/>
          </w:divBdr>
          <w:divsChild>
            <w:div w:id="1286042732">
              <w:marLeft w:val="0"/>
              <w:marRight w:val="0"/>
              <w:marTop w:val="0"/>
              <w:marBottom w:val="0"/>
              <w:divBdr>
                <w:top w:val="none" w:sz="0" w:space="0" w:color="auto"/>
                <w:left w:val="none" w:sz="0" w:space="0" w:color="auto"/>
                <w:bottom w:val="none" w:sz="0" w:space="0" w:color="auto"/>
                <w:right w:val="none" w:sz="0" w:space="0" w:color="auto"/>
              </w:divBdr>
              <w:divsChild>
                <w:div w:id="2076390963">
                  <w:marLeft w:val="0"/>
                  <w:marRight w:val="0"/>
                  <w:marTop w:val="0"/>
                  <w:marBottom w:val="0"/>
                  <w:divBdr>
                    <w:top w:val="none" w:sz="0" w:space="0" w:color="auto"/>
                    <w:left w:val="none" w:sz="0" w:space="0" w:color="auto"/>
                    <w:bottom w:val="none" w:sz="0" w:space="0" w:color="auto"/>
                    <w:right w:val="none" w:sz="0" w:space="0" w:color="auto"/>
                  </w:divBdr>
                  <w:divsChild>
                    <w:div w:id="556018417">
                      <w:marLeft w:val="0"/>
                      <w:marRight w:val="0"/>
                      <w:marTop w:val="0"/>
                      <w:marBottom w:val="0"/>
                      <w:divBdr>
                        <w:top w:val="none" w:sz="0" w:space="0" w:color="auto"/>
                        <w:left w:val="none" w:sz="0" w:space="0" w:color="auto"/>
                        <w:bottom w:val="none" w:sz="0" w:space="0" w:color="auto"/>
                        <w:right w:val="none" w:sz="0" w:space="0" w:color="auto"/>
                      </w:divBdr>
                      <w:divsChild>
                        <w:div w:id="174981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124805">
      <w:bodyDiv w:val="1"/>
      <w:marLeft w:val="0"/>
      <w:marRight w:val="0"/>
      <w:marTop w:val="0"/>
      <w:marBottom w:val="0"/>
      <w:divBdr>
        <w:top w:val="none" w:sz="0" w:space="0" w:color="auto"/>
        <w:left w:val="none" w:sz="0" w:space="0" w:color="auto"/>
        <w:bottom w:val="none" w:sz="0" w:space="0" w:color="auto"/>
        <w:right w:val="none" w:sz="0" w:space="0" w:color="auto"/>
      </w:divBdr>
    </w:div>
    <w:div w:id="1950505072">
      <w:bodyDiv w:val="1"/>
      <w:marLeft w:val="0"/>
      <w:marRight w:val="0"/>
      <w:marTop w:val="0"/>
      <w:marBottom w:val="0"/>
      <w:divBdr>
        <w:top w:val="none" w:sz="0" w:space="0" w:color="auto"/>
        <w:left w:val="none" w:sz="0" w:space="0" w:color="auto"/>
        <w:bottom w:val="none" w:sz="0" w:space="0" w:color="auto"/>
        <w:right w:val="none" w:sz="0" w:space="0" w:color="auto"/>
      </w:divBdr>
      <w:divsChild>
        <w:div w:id="1544831804">
          <w:marLeft w:val="0"/>
          <w:marRight w:val="0"/>
          <w:marTop w:val="0"/>
          <w:marBottom w:val="0"/>
          <w:divBdr>
            <w:top w:val="none" w:sz="0" w:space="0" w:color="auto"/>
            <w:left w:val="none" w:sz="0" w:space="0" w:color="auto"/>
            <w:bottom w:val="none" w:sz="0" w:space="0" w:color="auto"/>
            <w:right w:val="none" w:sz="0" w:space="0" w:color="auto"/>
          </w:divBdr>
          <w:divsChild>
            <w:div w:id="813722130">
              <w:marLeft w:val="0"/>
              <w:marRight w:val="0"/>
              <w:marTop w:val="0"/>
              <w:marBottom w:val="0"/>
              <w:divBdr>
                <w:top w:val="none" w:sz="0" w:space="0" w:color="auto"/>
                <w:left w:val="none" w:sz="0" w:space="0" w:color="auto"/>
                <w:bottom w:val="none" w:sz="0" w:space="0" w:color="auto"/>
                <w:right w:val="none" w:sz="0" w:space="0" w:color="auto"/>
              </w:divBdr>
              <w:divsChild>
                <w:div w:id="91752737">
                  <w:marLeft w:val="0"/>
                  <w:marRight w:val="0"/>
                  <w:marTop w:val="0"/>
                  <w:marBottom w:val="0"/>
                  <w:divBdr>
                    <w:top w:val="none" w:sz="0" w:space="0" w:color="auto"/>
                    <w:left w:val="none" w:sz="0" w:space="0" w:color="auto"/>
                    <w:bottom w:val="none" w:sz="0" w:space="0" w:color="auto"/>
                    <w:right w:val="none" w:sz="0" w:space="0" w:color="auto"/>
                  </w:divBdr>
                  <w:divsChild>
                    <w:div w:id="467549462">
                      <w:marLeft w:val="0"/>
                      <w:marRight w:val="0"/>
                      <w:marTop w:val="0"/>
                      <w:marBottom w:val="0"/>
                      <w:divBdr>
                        <w:top w:val="none" w:sz="0" w:space="0" w:color="auto"/>
                        <w:left w:val="none" w:sz="0" w:space="0" w:color="auto"/>
                        <w:bottom w:val="none" w:sz="0" w:space="0" w:color="auto"/>
                        <w:right w:val="none" w:sz="0" w:space="0" w:color="auto"/>
                      </w:divBdr>
                      <w:divsChild>
                        <w:div w:id="1155147626">
                          <w:marLeft w:val="0"/>
                          <w:marRight w:val="0"/>
                          <w:marTop w:val="0"/>
                          <w:marBottom w:val="0"/>
                          <w:divBdr>
                            <w:top w:val="none" w:sz="0" w:space="0" w:color="auto"/>
                            <w:left w:val="none" w:sz="0" w:space="0" w:color="auto"/>
                            <w:bottom w:val="none" w:sz="0" w:space="0" w:color="auto"/>
                            <w:right w:val="none" w:sz="0" w:space="0" w:color="auto"/>
                          </w:divBdr>
                          <w:divsChild>
                            <w:div w:id="20969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306813">
      <w:bodyDiv w:val="1"/>
      <w:marLeft w:val="0"/>
      <w:marRight w:val="0"/>
      <w:marTop w:val="0"/>
      <w:marBottom w:val="0"/>
      <w:divBdr>
        <w:top w:val="none" w:sz="0" w:space="0" w:color="auto"/>
        <w:left w:val="none" w:sz="0" w:space="0" w:color="auto"/>
        <w:bottom w:val="none" w:sz="0" w:space="0" w:color="auto"/>
        <w:right w:val="none" w:sz="0" w:space="0" w:color="auto"/>
      </w:divBdr>
    </w:div>
    <w:div w:id="2095080475">
      <w:bodyDiv w:val="1"/>
      <w:marLeft w:val="0"/>
      <w:marRight w:val="0"/>
      <w:marTop w:val="0"/>
      <w:marBottom w:val="0"/>
      <w:divBdr>
        <w:top w:val="none" w:sz="0" w:space="0" w:color="auto"/>
        <w:left w:val="none" w:sz="0" w:space="0" w:color="auto"/>
        <w:bottom w:val="none" w:sz="0" w:space="0" w:color="auto"/>
        <w:right w:val="none" w:sz="0" w:space="0" w:color="auto"/>
      </w:divBdr>
    </w:div>
    <w:div w:id="2130511152">
      <w:bodyDiv w:val="1"/>
      <w:marLeft w:val="0"/>
      <w:marRight w:val="0"/>
      <w:marTop w:val="0"/>
      <w:marBottom w:val="0"/>
      <w:divBdr>
        <w:top w:val="none" w:sz="0" w:space="0" w:color="auto"/>
        <w:left w:val="none" w:sz="0" w:space="0" w:color="auto"/>
        <w:bottom w:val="none" w:sz="0" w:space="0" w:color="auto"/>
        <w:right w:val="none" w:sz="0" w:space="0" w:color="auto"/>
      </w:divBdr>
    </w:div>
    <w:div w:id="214337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KOKRDA\AppData\Local\Microsoft\Windows\INetCache\Content.Outlook\XN3X16M3\&#268;erp&#225;n&#237;%20pro%20KP%20MF%20a%20KZ.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Podíl čerpání alokace</c:v>
          </c:tx>
          <c:spPr>
            <a:solidFill>
              <a:srgbClr val="004595"/>
            </a:solidFill>
            <a:ln>
              <a:noFill/>
            </a:ln>
            <a:effectLst/>
          </c:spPr>
          <c:invertIfNegative val="0"/>
          <c:dLbls>
            <c:numFmt formatCode="0\ %"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dk1">
                        <a:lumMod val="65000"/>
                        <a:lumOff val="3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ext>
            </c:extLst>
          </c:dLbls>
          <c:cat>
            <c:strRef>
              <c:f>'Sloučení NKÚ'!$A$150:$A$163</c:f>
              <c:strCache>
                <c:ptCount val="14"/>
                <c:pt idx="0">
                  <c:v>CZ06</c:v>
                </c:pt>
                <c:pt idx="1">
                  <c:v>CZ12</c:v>
                </c:pt>
                <c:pt idx="2">
                  <c:v>CZ14</c:v>
                </c:pt>
                <c:pt idx="3">
                  <c:v>CZ03</c:v>
                </c:pt>
                <c:pt idx="4">
                  <c:v>CZ11</c:v>
                </c:pt>
                <c:pt idx="5">
                  <c:v>CZ02</c:v>
                </c:pt>
                <c:pt idx="6">
                  <c:v>CZ08</c:v>
                </c:pt>
                <c:pt idx="7">
                  <c:v>CZ09*</c:v>
                </c:pt>
                <c:pt idx="8">
                  <c:v>CZ15</c:v>
                </c:pt>
                <c:pt idx="9">
                  <c:v>CZ07*</c:v>
                </c:pt>
                <c:pt idx="10">
                  <c:v>CZ05</c:v>
                </c:pt>
                <c:pt idx="11">
                  <c:v>CZ04</c:v>
                </c:pt>
                <c:pt idx="12">
                  <c:v>CZ10</c:v>
                </c:pt>
                <c:pt idx="13">
                  <c:v>CZ13</c:v>
                </c:pt>
              </c:strCache>
            </c:strRef>
          </c:cat>
          <c:val>
            <c:numRef>
              <c:f>'Sloučení NKÚ'!$F$150:$F$163</c:f>
              <c:numCache>
                <c:formatCode>0%</c:formatCode>
                <c:ptCount val="14"/>
                <c:pt idx="0">
                  <c:v>0.9698</c:v>
                </c:pt>
                <c:pt idx="1">
                  <c:v>0.93530000000000002</c:v>
                </c:pt>
                <c:pt idx="2">
                  <c:v>0.93489999999999995</c:v>
                </c:pt>
                <c:pt idx="3">
                  <c:v>0.93049999999999999</c:v>
                </c:pt>
                <c:pt idx="4">
                  <c:v>0.92290000000000005</c:v>
                </c:pt>
                <c:pt idx="5">
                  <c:v>0.91900000000000004</c:v>
                </c:pt>
                <c:pt idx="6">
                  <c:v>0.91849999999999998</c:v>
                </c:pt>
                <c:pt idx="7">
                  <c:v>0.90739999999999998</c:v>
                </c:pt>
                <c:pt idx="8">
                  <c:v>0.90390000000000004</c:v>
                </c:pt>
                <c:pt idx="9">
                  <c:v>0.80889999999999995</c:v>
                </c:pt>
                <c:pt idx="10">
                  <c:v>0.78669999999999995</c:v>
                </c:pt>
                <c:pt idx="11">
                  <c:v>0.74670000000000003</c:v>
                </c:pt>
                <c:pt idx="12">
                  <c:v>0.49680000000000002</c:v>
                </c:pt>
                <c:pt idx="13">
                  <c:v>0.4592</c:v>
                </c:pt>
              </c:numCache>
            </c:numRef>
          </c:val>
          <c:extLst>
            <c:ext xmlns:c16="http://schemas.microsoft.com/office/drawing/2014/chart" uri="{C3380CC4-5D6E-409C-BE32-E72D297353CC}">
              <c16:uniqueId val="{00000000-1171-470B-A595-578E0ED2215F}"/>
            </c:ext>
          </c:extLst>
        </c:ser>
        <c:dLbls>
          <c:showLegendKey val="0"/>
          <c:showVal val="0"/>
          <c:showCatName val="0"/>
          <c:showSerName val="0"/>
          <c:showPercent val="0"/>
          <c:showBubbleSize val="0"/>
        </c:dLbls>
        <c:gapWidth val="219"/>
        <c:overlap val="-27"/>
        <c:axId val="207313408"/>
        <c:axId val="207316320"/>
      </c:barChart>
      <c:catAx>
        <c:axId val="207313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crossAx val="207316320"/>
        <c:crossesAt val="0"/>
        <c:auto val="1"/>
        <c:lblAlgn val="ctr"/>
        <c:lblOffset val="100"/>
        <c:noMultiLvlLbl val="0"/>
      </c:catAx>
      <c:valAx>
        <c:axId val="207316320"/>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crossAx val="2073134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BEEB8F454E5BE499C3FD3DB15EDC901" ma:contentTypeVersion="0" ma:contentTypeDescription="Vytvoří nový dokument" ma:contentTypeScope="" ma:versionID="e9d0e73a705f0d14a01877587372a39d">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228B4-BA39-49C6-B50E-51DA7CF18AF6}">
  <ds:schemaRefs>
    <ds:schemaRef ds:uri="http://schemas.microsoft.com/office/2006/documentManagement/types"/>
    <ds:schemaRef ds:uri="http://purl.org/dc/elements/1.1/"/>
    <ds:schemaRef ds:uri="http://schemas.openxmlformats.org/package/2006/metadata/core-properties"/>
    <ds:schemaRef ds:uri="http://purl.org/dc/terms/"/>
    <ds:schemaRef ds:uri="http://schemas.microsoft.com/office/2006/metadata/propertie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21485009-AC3C-4BC7-9D8D-9BF2BBDC0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871347A-F5E8-4EAA-9ACC-BF9749B23F79}">
  <ds:schemaRefs>
    <ds:schemaRef ds:uri="http://schemas.microsoft.com/sharepoint/v3/contenttype/forms"/>
  </ds:schemaRefs>
</ds:datastoreItem>
</file>

<file path=customXml/itemProps4.xml><?xml version="1.0" encoding="utf-8"?>
<ds:datastoreItem xmlns:ds="http://schemas.openxmlformats.org/officeDocument/2006/customXml" ds:itemID="{E6486F4F-23D2-4AD2-8B11-C184B8AA77F5}">
  <ds:schemaRefs>
    <ds:schemaRef ds:uri="http://schemas.openxmlformats.org/officeDocument/2006/bibliography"/>
  </ds:schemaRefs>
</ds:datastoreItem>
</file>

<file path=customXml/itemProps5.xml><?xml version="1.0" encoding="utf-8"?>
<ds:datastoreItem xmlns:ds="http://schemas.openxmlformats.org/officeDocument/2006/customXml" ds:itemID="{D6D33B7F-92CB-4770-8F30-BA9C141EE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9FD60D8B</Template>
  <TotalTime>7</TotalTime>
  <Pages>25</Pages>
  <Words>6878</Words>
  <Characters>40585</Characters>
  <Application>Microsoft Office Word</Application>
  <DocSecurity>0</DocSecurity>
  <Lines>338</Lines>
  <Paragraphs>94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Kontrolní závěr z kontrolní akce NKÚ č. 17/25 - Peněžní prostředky poskytované České republice v rámci finančních mechanismů Evropského hospodářského prostoru a Norska</vt:lpstr>
      <vt:lpstr/>
    </vt:vector>
  </TitlesOfParts>
  <Company>Nejvyšší kontrolní úřad</Company>
  <LinksUpToDate>false</LinksUpToDate>
  <CharactersWithSpaces>47369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17/25 - Peněžní prostředky poskytované České republice v rámci finančních mechanismů Evropského hospodářského prostoru a Norska</dc:title>
  <dc:creator>Nejvyšší kontrolní úřad</dc:creator>
  <cp:keywords>kontrolní závěr;EHP; Norsko</cp:keywords>
  <cp:lastModifiedBy>KOKRDA Daniel</cp:lastModifiedBy>
  <cp:revision>3</cp:revision>
  <cp:lastPrinted>2018-06-04T11:43:00Z</cp:lastPrinted>
  <dcterms:created xsi:type="dcterms:W3CDTF">2018-06-04T11:43:00Z</dcterms:created>
  <dcterms:modified xsi:type="dcterms:W3CDTF">2018-06-04T11:49:00Z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J">
    <vt:lpwstr>111/17-NKU200/511/17</vt:lpwstr>
  </property>
  <property fmtid="{D5CDD505-2E9C-101B-9397-08002B2CF9AE}" pid="4" name="CJ_Spis_Pisemnost">
    <vt:lpwstr>CJ/SPIS/ROK</vt:lpwstr>
  </property>
  <property fmtid="{D5CDD505-2E9C-101B-9397-08002B2CF9AE}" pid="5" name="Contact_PostaOdes_All">
    <vt:lpwstr>ROZDĚLOVNÍK...</vt:lpwstr>
  </property>
  <property fmtid="{D5CDD505-2E9C-101B-9397-08002B2CF9AE}" pid="6" name="ContentTypeId">
    <vt:lpwstr>0x0101009BEEB8F454E5BE499C3FD3DB15EDC901</vt:lpwstr>
  </property>
  <property fmtid="{D5CDD505-2E9C-101B-9397-08002B2CF9AE}" pid="7" name="DatumPlatnosti_PisemnostTypZpristupneniInformaciZOSZ_Pisemnost">
    <vt:lpwstr>ZOSZ_DatumPlatnosti</vt:lpwstr>
  </property>
  <property fmtid="{D5CDD505-2E9C-101B-9397-08002B2CF9AE}" pid="8" name="DatumPoriz_Pisemnost">
    <vt:lpwstr>22.8.2017</vt:lpwstr>
  </property>
  <property fmtid="{D5CDD505-2E9C-101B-9397-08002B2CF9AE}" pid="9" name="DisplayName_CisloObalky_PostaOdes">
    <vt:lpwstr>{DisplayName_CisloObalky_PostaOdes}</vt:lpwstr>
  </property>
  <property fmtid="{D5CDD505-2E9C-101B-9397-08002B2CF9AE}" pid="10" name="DisplayName_SpisovyUzel_PoziceZodpo_Pisemnost">
    <vt:lpwstr>Sekce kontrolní</vt:lpwstr>
  </property>
  <property fmtid="{D5CDD505-2E9C-101B-9397-08002B2CF9AE}" pid="11" name="DisplayName_UserPoriz_Pisemnost">
    <vt:lpwstr>Jana Másílková</vt:lpwstr>
  </property>
  <property fmtid="{D5CDD505-2E9C-101B-9397-08002B2CF9AE}" pid="12" name="EC_Pisemnost">
    <vt:lpwstr>17-11137/NKU</vt:lpwstr>
  </property>
  <property fmtid="{D5CDD505-2E9C-101B-9397-08002B2CF9AE}" pid="13" name="Key_BarCode_Pisemnost">
    <vt:lpwstr>*B000296365*</vt:lpwstr>
  </property>
  <property fmtid="{D5CDD505-2E9C-101B-9397-08002B2CF9AE}" pid="14" name="KRukam">
    <vt:lpwstr>{KRukam}</vt:lpwstr>
  </property>
  <property fmtid="{D5CDD505-2E9C-101B-9397-08002B2CF9AE}" pid="15" name="Odkaz">
    <vt:lpwstr>ODKAZ</vt:lpwstr>
  </property>
  <property fmtid="{D5CDD505-2E9C-101B-9397-08002B2CF9AE}" pid="16" name="Password_PisemnostTypZpristupneniInformaciZOSZ_Pisemnost">
    <vt:lpwstr>ZOSZ_Password</vt:lpwstr>
  </property>
  <property fmtid="{D5CDD505-2E9C-101B-9397-08002B2CF9AE}" pid="17" name="PocetListuDokumentu_Pisemnost">
    <vt:lpwstr>1</vt:lpwstr>
  </property>
  <property fmtid="{D5CDD505-2E9C-101B-9397-08002B2CF9AE}" pid="18" name="PocetListu_Pisemnost">
    <vt:lpwstr>1</vt:lpwstr>
  </property>
  <property fmtid="{D5CDD505-2E9C-101B-9397-08002B2CF9AE}" pid="19" name="PocetPriloh_Pisemnost">
    <vt:lpwstr>0</vt:lpwstr>
  </property>
  <property fmtid="{D5CDD505-2E9C-101B-9397-08002B2CF9AE}" pid="20" name="Podpis">
    <vt:lpwstr/>
  </property>
  <property fmtid="{D5CDD505-2E9C-101B-9397-08002B2CF9AE}" pid="21" name="SkartacniZnakLhuta_PisemnostZnak">
    <vt:lpwstr>?/?</vt:lpwstr>
  </property>
  <property fmtid="{D5CDD505-2E9C-101B-9397-08002B2CF9AE}" pid="22" name="SmlouvaCislo">
    <vt:lpwstr>ČÍSLO SMLOUVY</vt:lpwstr>
  </property>
  <property fmtid="{D5CDD505-2E9C-101B-9397-08002B2CF9AE}" pid="23" name="SZ_Spis_Pisemnost">
    <vt:lpwstr>111/17</vt:lpwstr>
  </property>
  <property fmtid="{D5CDD505-2E9C-101B-9397-08002B2CF9AE}" pid="24" name="TEST">
    <vt:lpwstr>testovací pole</vt:lpwstr>
  </property>
  <property fmtid="{D5CDD505-2E9C-101B-9397-08002B2CF9AE}" pid="25" name="TypPrilohy_Pisemnost">
    <vt:lpwstr>1</vt:lpwstr>
  </property>
  <property fmtid="{D5CDD505-2E9C-101B-9397-08002B2CF9AE}" pid="26" name="UserName_PisemnostTypZpristupneniInformaciZOSZ_Pisemnost">
    <vt:lpwstr>ZOSZ_UserName</vt:lpwstr>
  </property>
  <property fmtid="{D5CDD505-2E9C-101B-9397-08002B2CF9AE}" pid="27" name="Vec_Pisemnost">
    <vt:lpwstr>Program KA 17/01 - připomínkové řízení </vt:lpwstr>
  </property>
  <property fmtid="{D5CDD505-2E9C-101B-9397-08002B2CF9AE}" pid="28" name="Zkratka_SpisovyUzel_PoziceZodpo_Pisemnost">
    <vt:lpwstr>200</vt:lpwstr>
  </property>
</Properties>
</file>