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FFB2D" w14:textId="1E290613" w:rsidR="00902074" w:rsidRDefault="00902074" w:rsidP="00FE5C8F">
      <w:pPr>
        <w:jc w:val="center"/>
        <w:rPr>
          <w:rFonts w:cs="Calibri"/>
          <w:b/>
          <w:szCs w:val="24"/>
        </w:rPr>
      </w:pPr>
      <w:bookmarkStart w:id="0" w:name="_GoBack"/>
      <w:bookmarkEnd w:id="0"/>
      <w:r>
        <w:rPr>
          <w:rFonts w:cs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10A62C2" wp14:editId="7C5AEFE4">
            <wp:simplePos x="0" y="0"/>
            <wp:positionH relativeFrom="margin">
              <wp:align>center</wp:align>
            </wp:positionH>
            <wp:positionV relativeFrom="paragraph">
              <wp:posOffset>11734</wp:posOffset>
            </wp:positionV>
            <wp:extent cx="787400" cy="564515"/>
            <wp:effectExtent l="0" t="0" r="0" b="698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46203" w14:textId="1DEC18A7" w:rsidR="00FE5C8F" w:rsidRDefault="00FE5C8F" w:rsidP="00FE5C8F">
      <w:pPr>
        <w:jc w:val="center"/>
        <w:rPr>
          <w:rFonts w:cs="Calibri"/>
          <w:b/>
          <w:szCs w:val="24"/>
        </w:rPr>
      </w:pPr>
    </w:p>
    <w:p w14:paraId="057A6E1A" w14:textId="77777777" w:rsidR="00902074" w:rsidRPr="006921D7" w:rsidRDefault="00902074" w:rsidP="00FE5C8F">
      <w:pPr>
        <w:jc w:val="center"/>
        <w:rPr>
          <w:rFonts w:cs="Calibri"/>
          <w:b/>
          <w:szCs w:val="24"/>
        </w:rPr>
      </w:pPr>
    </w:p>
    <w:p w14:paraId="11A1B33F" w14:textId="77777777" w:rsidR="00FE5C8F" w:rsidRPr="006921D7" w:rsidRDefault="00FE5C8F" w:rsidP="00FE5C8F">
      <w:pPr>
        <w:jc w:val="center"/>
        <w:rPr>
          <w:rFonts w:cs="Calibri"/>
          <w:b/>
          <w:bCs/>
          <w:color w:val="000000"/>
          <w:sz w:val="28"/>
          <w:szCs w:val="24"/>
        </w:rPr>
      </w:pPr>
      <w:r w:rsidRPr="006921D7">
        <w:rPr>
          <w:rFonts w:cs="Calibri"/>
          <w:b/>
          <w:bCs/>
          <w:color w:val="000000"/>
          <w:sz w:val="28"/>
          <w:szCs w:val="24"/>
        </w:rPr>
        <w:t>Kontrolní závěr z kontrolní akce</w:t>
      </w:r>
    </w:p>
    <w:p w14:paraId="4AF25495" w14:textId="77777777" w:rsidR="00902074" w:rsidRDefault="00902074" w:rsidP="00902074">
      <w:pPr>
        <w:jc w:val="center"/>
        <w:rPr>
          <w:rFonts w:cs="Calibri"/>
          <w:b/>
          <w:szCs w:val="24"/>
        </w:rPr>
      </w:pPr>
    </w:p>
    <w:p w14:paraId="039A0971" w14:textId="6D90166D" w:rsidR="00FE5C8F" w:rsidRPr="006921D7" w:rsidRDefault="00591FDD" w:rsidP="00FE5C8F">
      <w:pPr>
        <w:jc w:val="center"/>
        <w:rPr>
          <w:rFonts w:cs="Calibri"/>
          <w:b/>
          <w:bCs/>
          <w:color w:val="000000"/>
          <w:sz w:val="28"/>
          <w:szCs w:val="24"/>
        </w:rPr>
      </w:pPr>
      <w:r>
        <w:rPr>
          <w:rFonts w:cs="Calibri"/>
          <w:b/>
          <w:bCs/>
          <w:color w:val="000000"/>
          <w:sz w:val="28"/>
          <w:szCs w:val="24"/>
        </w:rPr>
        <w:t>17</w:t>
      </w:r>
      <w:r w:rsidR="00FE5C8F" w:rsidRPr="006921D7">
        <w:rPr>
          <w:rFonts w:cs="Calibri"/>
          <w:b/>
          <w:bCs/>
          <w:color w:val="000000"/>
          <w:sz w:val="28"/>
          <w:szCs w:val="24"/>
        </w:rPr>
        <w:t>/</w:t>
      </w:r>
      <w:r>
        <w:rPr>
          <w:rFonts w:cs="Calibri"/>
          <w:b/>
          <w:bCs/>
          <w:color w:val="000000"/>
          <w:sz w:val="28"/>
          <w:szCs w:val="24"/>
        </w:rPr>
        <w:t>17</w:t>
      </w:r>
    </w:p>
    <w:p w14:paraId="58BAB4E5" w14:textId="77777777" w:rsidR="00902074" w:rsidRDefault="00902074" w:rsidP="00902074">
      <w:pPr>
        <w:jc w:val="center"/>
        <w:rPr>
          <w:rFonts w:cs="Calibri"/>
          <w:b/>
          <w:szCs w:val="24"/>
        </w:rPr>
      </w:pPr>
    </w:p>
    <w:p w14:paraId="1DC38083" w14:textId="35D9B596" w:rsidR="00FE5C8F" w:rsidRPr="006921D7" w:rsidRDefault="00FE5C8F" w:rsidP="00FE5C8F">
      <w:pPr>
        <w:jc w:val="center"/>
        <w:rPr>
          <w:rFonts w:cs="Calibri"/>
          <w:b/>
          <w:bCs/>
          <w:color w:val="000000"/>
          <w:sz w:val="28"/>
          <w:szCs w:val="24"/>
        </w:rPr>
      </w:pPr>
      <w:r>
        <w:rPr>
          <w:rFonts w:cs="Calibri"/>
          <w:b/>
          <w:bCs/>
          <w:color w:val="000000"/>
          <w:sz w:val="28"/>
          <w:szCs w:val="24"/>
        </w:rPr>
        <w:t xml:space="preserve">Peněžní prostředky státu </w:t>
      </w:r>
      <w:r w:rsidR="00591FDD">
        <w:rPr>
          <w:rFonts w:cs="Calibri"/>
          <w:b/>
          <w:bCs/>
          <w:color w:val="000000"/>
          <w:sz w:val="28"/>
          <w:szCs w:val="24"/>
        </w:rPr>
        <w:t>poskytované na podporu práce s dětmi a mládeží</w:t>
      </w:r>
    </w:p>
    <w:p w14:paraId="7025E04D" w14:textId="713B0C70" w:rsidR="00FE5C8F" w:rsidRPr="00902074" w:rsidRDefault="00FE5C8F" w:rsidP="00902074">
      <w:pPr>
        <w:rPr>
          <w:rFonts w:cs="Calibri"/>
          <w:szCs w:val="24"/>
        </w:rPr>
      </w:pPr>
    </w:p>
    <w:p w14:paraId="01590892" w14:textId="4E0C558F" w:rsidR="00902074" w:rsidRPr="00902074" w:rsidRDefault="00902074" w:rsidP="00902074">
      <w:pPr>
        <w:rPr>
          <w:rFonts w:cs="Calibri"/>
          <w:szCs w:val="24"/>
        </w:rPr>
      </w:pPr>
    </w:p>
    <w:p w14:paraId="3BC76FD2" w14:textId="188D188B" w:rsidR="00FE5C8F" w:rsidRDefault="00FE5C8F" w:rsidP="00FE5C8F">
      <w:pPr>
        <w:rPr>
          <w:rFonts w:cs="Calibri"/>
          <w:szCs w:val="24"/>
        </w:rPr>
      </w:pPr>
      <w:r w:rsidRPr="000B4501">
        <w:rPr>
          <w:rFonts w:cs="Calibri"/>
          <w:szCs w:val="24"/>
        </w:rPr>
        <w:t>Kontrolní akce byla zařazena do plánu kontrolní činnosti Nejvyššího kontrolního úřadu (dále jen „NKÚ“) na rok 201</w:t>
      </w:r>
      <w:r w:rsidR="00591FDD">
        <w:rPr>
          <w:rFonts w:cs="Calibri"/>
          <w:szCs w:val="24"/>
        </w:rPr>
        <w:t>7</w:t>
      </w:r>
      <w:r w:rsidRPr="000B4501">
        <w:rPr>
          <w:rFonts w:cs="Calibri"/>
          <w:szCs w:val="24"/>
        </w:rPr>
        <w:t xml:space="preserve"> pod číslem 1</w:t>
      </w:r>
      <w:r w:rsidR="00591FDD">
        <w:rPr>
          <w:rFonts w:cs="Calibri"/>
          <w:szCs w:val="24"/>
        </w:rPr>
        <w:t>7</w:t>
      </w:r>
      <w:r w:rsidRPr="000B4501">
        <w:rPr>
          <w:rFonts w:cs="Calibri"/>
          <w:szCs w:val="24"/>
        </w:rPr>
        <w:t>/</w:t>
      </w:r>
      <w:r w:rsidR="00591FDD">
        <w:rPr>
          <w:rFonts w:cs="Calibri"/>
          <w:szCs w:val="24"/>
        </w:rPr>
        <w:t>17</w:t>
      </w:r>
      <w:r w:rsidRPr="000B4501">
        <w:rPr>
          <w:rFonts w:cs="Calibri"/>
          <w:szCs w:val="24"/>
        </w:rPr>
        <w:t>. Kontrolní akci řídil a kontrolní závěr vypracoval člen NKÚ Ing. </w:t>
      </w:r>
      <w:r w:rsidR="00591FDD">
        <w:rPr>
          <w:rFonts w:cs="Calibri"/>
          <w:szCs w:val="24"/>
        </w:rPr>
        <w:t>Adolf Beznoska</w:t>
      </w:r>
      <w:r w:rsidRPr="000B4501">
        <w:rPr>
          <w:rFonts w:cs="Calibri"/>
          <w:szCs w:val="24"/>
        </w:rPr>
        <w:t>.</w:t>
      </w:r>
    </w:p>
    <w:p w14:paraId="6D19AB6B" w14:textId="77777777" w:rsidR="00FE5C8F" w:rsidRPr="00CC4145" w:rsidRDefault="00FE5C8F" w:rsidP="00FE5C8F">
      <w:pPr>
        <w:rPr>
          <w:rFonts w:cs="Calibri"/>
          <w:sz w:val="22"/>
          <w:szCs w:val="24"/>
        </w:rPr>
      </w:pPr>
    </w:p>
    <w:p w14:paraId="5F22494C" w14:textId="388122EB" w:rsidR="00591FDD" w:rsidRDefault="00591FDD" w:rsidP="00FE5C8F">
      <w:pPr>
        <w:rPr>
          <w:rFonts w:cs="Calibri"/>
          <w:szCs w:val="24"/>
        </w:rPr>
      </w:pPr>
      <w:r>
        <w:rPr>
          <w:rFonts w:cs="Calibri"/>
          <w:szCs w:val="24"/>
        </w:rPr>
        <w:t>Cílem kontroly bylo p</w:t>
      </w:r>
      <w:r w:rsidRPr="00591FDD">
        <w:rPr>
          <w:rFonts w:cs="Calibri"/>
          <w:szCs w:val="24"/>
        </w:rPr>
        <w:t>rověřit u Ministerstva školství, mládeže a tělovýchovy a vybraných příjemců dotací poskytování a užití peněžních prostředků vynakládaných na programy podpory práce s dětmi a mládeží</w:t>
      </w:r>
      <w:r>
        <w:rPr>
          <w:rFonts w:cs="Calibri"/>
          <w:szCs w:val="24"/>
        </w:rPr>
        <w:t>.</w:t>
      </w:r>
    </w:p>
    <w:p w14:paraId="759A4FBF" w14:textId="77777777" w:rsidR="00FE5C8F" w:rsidRPr="00CC4145" w:rsidRDefault="00FE5C8F" w:rsidP="00FE5C8F">
      <w:pPr>
        <w:rPr>
          <w:rFonts w:cs="Calibri"/>
          <w:sz w:val="22"/>
          <w:szCs w:val="24"/>
        </w:rPr>
      </w:pPr>
    </w:p>
    <w:p w14:paraId="3BF24E05" w14:textId="6EB23F88" w:rsidR="00FE5C8F" w:rsidRPr="004C031F" w:rsidRDefault="00FE5C8F" w:rsidP="00FE5C8F">
      <w:pPr>
        <w:pStyle w:val="Zkladntextodsazen"/>
        <w:spacing w:after="0"/>
        <w:ind w:left="0"/>
        <w:rPr>
          <w:rFonts w:cs="Calibri"/>
        </w:rPr>
      </w:pPr>
      <w:r w:rsidRPr="004C031F">
        <w:rPr>
          <w:rFonts w:cs="Calibri"/>
        </w:rPr>
        <w:t>Kontrolováno bylo období</w:t>
      </w:r>
      <w:r>
        <w:rPr>
          <w:rFonts w:cs="Calibri"/>
        </w:rPr>
        <w:t xml:space="preserve"> let</w:t>
      </w:r>
      <w:r w:rsidRPr="004C031F">
        <w:rPr>
          <w:rFonts w:cs="Calibri"/>
        </w:rPr>
        <w:t xml:space="preserve"> 20</w:t>
      </w:r>
      <w:r>
        <w:rPr>
          <w:rFonts w:cs="Calibri"/>
        </w:rPr>
        <w:t>1</w:t>
      </w:r>
      <w:r w:rsidR="00591FDD">
        <w:rPr>
          <w:rFonts w:cs="Calibri"/>
        </w:rPr>
        <w:t>4</w:t>
      </w:r>
      <w:r w:rsidR="001E7809">
        <w:rPr>
          <w:rFonts w:cs="Calibri"/>
        </w:rPr>
        <w:t>–</w:t>
      </w:r>
      <w:r>
        <w:rPr>
          <w:rFonts w:cs="Calibri"/>
        </w:rPr>
        <w:t>2</w:t>
      </w:r>
      <w:r w:rsidRPr="004C031F">
        <w:rPr>
          <w:rFonts w:cs="Calibri"/>
        </w:rPr>
        <w:t>01</w:t>
      </w:r>
      <w:r w:rsidR="00591FDD">
        <w:rPr>
          <w:rFonts w:cs="Calibri"/>
        </w:rPr>
        <w:t>6</w:t>
      </w:r>
      <w:r w:rsidRPr="004C031F">
        <w:rPr>
          <w:rFonts w:cs="Calibri"/>
        </w:rPr>
        <w:t>,</w:t>
      </w:r>
      <w:r w:rsidRPr="004860A5">
        <w:rPr>
          <w:rFonts w:cs="Calibri"/>
          <w:sz w:val="22"/>
        </w:rPr>
        <w:t xml:space="preserve"> </w:t>
      </w:r>
      <w:r w:rsidRPr="004C031F">
        <w:rPr>
          <w:rFonts w:cs="Calibri"/>
        </w:rPr>
        <w:t xml:space="preserve">v případě věcných souvislostí i období </w:t>
      </w:r>
      <w:r>
        <w:rPr>
          <w:rFonts w:cs="Calibri"/>
        </w:rPr>
        <w:t>předcházející a </w:t>
      </w:r>
      <w:r w:rsidRPr="00D95701">
        <w:rPr>
          <w:rFonts w:cs="Calibri"/>
        </w:rPr>
        <w:t>následující</w:t>
      </w:r>
      <w:r w:rsidRPr="004C031F">
        <w:rPr>
          <w:rFonts w:cs="Calibri"/>
        </w:rPr>
        <w:t xml:space="preserve">. Kontrola byla prováděna u kontrolovaných osob od </w:t>
      </w:r>
      <w:r w:rsidR="00591FDD">
        <w:rPr>
          <w:rFonts w:cs="Calibri"/>
        </w:rPr>
        <w:t>května 2017</w:t>
      </w:r>
      <w:r w:rsidRPr="004C031F">
        <w:rPr>
          <w:rFonts w:cs="Calibri"/>
        </w:rPr>
        <w:t xml:space="preserve"> do </w:t>
      </w:r>
      <w:r>
        <w:rPr>
          <w:rFonts w:cs="Calibri"/>
        </w:rPr>
        <w:t>l</w:t>
      </w:r>
      <w:r w:rsidR="00591FDD">
        <w:rPr>
          <w:rFonts w:cs="Calibri"/>
        </w:rPr>
        <w:t xml:space="preserve">istopadu </w:t>
      </w:r>
      <w:r>
        <w:rPr>
          <w:rFonts w:cs="Calibri"/>
        </w:rPr>
        <w:t>2017</w:t>
      </w:r>
      <w:r w:rsidRPr="004C031F">
        <w:rPr>
          <w:rFonts w:cs="Calibri"/>
        </w:rPr>
        <w:t>.</w:t>
      </w:r>
    </w:p>
    <w:p w14:paraId="59A7E491" w14:textId="77777777" w:rsidR="00FE5C8F" w:rsidRPr="00ED25F1" w:rsidRDefault="00FE5C8F" w:rsidP="00FE5C8F">
      <w:pPr>
        <w:rPr>
          <w:rFonts w:cs="Calibri"/>
          <w:sz w:val="20"/>
          <w:szCs w:val="24"/>
        </w:rPr>
      </w:pPr>
    </w:p>
    <w:p w14:paraId="18F864D9" w14:textId="77777777" w:rsidR="00FE5C8F" w:rsidRDefault="00FE5C8F" w:rsidP="00FE5C8F">
      <w:pPr>
        <w:rPr>
          <w:rFonts w:cs="Calibri"/>
          <w:szCs w:val="24"/>
        </w:rPr>
      </w:pPr>
      <w:r w:rsidRPr="004E7726">
        <w:rPr>
          <w:rFonts w:cs="Calibri"/>
          <w:b/>
          <w:szCs w:val="24"/>
        </w:rPr>
        <w:t>Kontrolované osoby:</w:t>
      </w:r>
      <w:r w:rsidRPr="000B4501">
        <w:rPr>
          <w:rFonts w:cs="Calibri"/>
          <w:szCs w:val="24"/>
        </w:rPr>
        <w:t xml:space="preserve"> </w:t>
      </w:r>
    </w:p>
    <w:p w14:paraId="0C4187F7" w14:textId="6C336BFB" w:rsidR="00FE5C8F" w:rsidRPr="005872C0" w:rsidRDefault="00FE5C8F" w:rsidP="005872C0">
      <w:pPr>
        <w:rPr>
          <w:rFonts w:cs="Calibri"/>
          <w:szCs w:val="24"/>
        </w:rPr>
      </w:pPr>
      <w:r w:rsidRPr="000C6F33">
        <w:rPr>
          <w:rFonts w:cs="Calibri"/>
          <w:szCs w:val="24"/>
        </w:rPr>
        <w:t>Ministerstvo</w:t>
      </w:r>
      <w:r w:rsidRPr="005872C0">
        <w:rPr>
          <w:rFonts w:cs="Calibri"/>
          <w:szCs w:val="24"/>
        </w:rPr>
        <w:t xml:space="preserve"> </w:t>
      </w:r>
      <w:r w:rsidRPr="000C6F33">
        <w:rPr>
          <w:rFonts w:cs="Calibri"/>
          <w:szCs w:val="24"/>
        </w:rPr>
        <w:t>školství,</w:t>
      </w:r>
      <w:r w:rsidRPr="005872C0">
        <w:rPr>
          <w:rFonts w:cs="Calibri"/>
          <w:szCs w:val="24"/>
        </w:rPr>
        <w:t xml:space="preserve"> </w:t>
      </w:r>
      <w:r w:rsidRPr="000C6F33">
        <w:rPr>
          <w:rFonts w:cs="Calibri"/>
          <w:szCs w:val="24"/>
        </w:rPr>
        <w:t>mládeže</w:t>
      </w:r>
      <w:r w:rsidRPr="005872C0">
        <w:rPr>
          <w:rFonts w:cs="Calibri"/>
          <w:szCs w:val="24"/>
        </w:rPr>
        <w:t xml:space="preserve"> </w:t>
      </w:r>
      <w:r w:rsidRPr="000C6F33">
        <w:rPr>
          <w:rFonts w:cs="Calibri"/>
          <w:szCs w:val="24"/>
        </w:rPr>
        <w:t>a</w:t>
      </w:r>
      <w:r w:rsidRPr="005872C0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tělovýchovy</w:t>
      </w:r>
      <w:r w:rsidRPr="005872C0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(dále</w:t>
      </w:r>
      <w:r w:rsidRPr="005872C0">
        <w:rPr>
          <w:rFonts w:cs="Calibri"/>
          <w:szCs w:val="24"/>
        </w:rPr>
        <w:t xml:space="preserve"> </w:t>
      </w:r>
      <w:r w:rsidR="001E4863" w:rsidRPr="001E4863">
        <w:rPr>
          <w:rFonts w:cs="Calibri"/>
          <w:szCs w:val="24"/>
        </w:rPr>
        <w:t>jen</w:t>
      </w:r>
      <w:r w:rsidRPr="005872C0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„MŠMT“);</w:t>
      </w:r>
      <w:r w:rsidRPr="005872C0">
        <w:rPr>
          <w:rFonts w:cs="Calibri"/>
          <w:szCs w:val="24"/>
        </w:rPr>
        <w:t xml:space="preserve"> </w:t>
      </w:r>
      <w:r w:rsidR="005872C0" w:rsidRPr="005872C0">
        <w:rPr>
          <w:rFonts w:cs="Calibri"/>
          <w:szCs w:val="24"/>
        </w:rPr>
        <w:t xml:space="preserve">Asociace malých debrujárů České republiky, spolek, Uherský Brod; Asociace turistických oddílů mládeže České republiky, Roztoky; Česká rada dětí a mládeže, Praha; Hnutí Brontosaurus, Brno; Hnutí DUHA </w:t>
      </w:r>
      <w:r w:rsidR="00BB21FB">
        <w:rPr>
          <w:rFonts w:cs="Calibri"/>
          <w:szCs w:val="24"/>
        </w:rPr>
        <w:t>–</w:t>
      </w:r>
      <w:r w:rsidR="005872C0" w:rsidRPr="005872C0">
        <w:rPr>
          <w:rFonts w:cs="Calibri"/>
          <w:szCs w:val="24"/>
        </w:rPr>
        <w:t xml:space="preserve"> Friends of the Earth Czech Republic, Brno; Institut zážitkové pedagogiky, Trutnov; JEJDA</w:t>
      </w:r>
      <w:r w:rsidR="00BB21FB">
        <w:rPr>
          <w:rFonts w:cs="Calibri"/>
          <w:szCs w:val="24"/>
        </w:rPr>
        <w:t>…</w:t>
      </w:r>
      <w:r w:rsidR="005872C0" w:rsidRPr="005872C0">
        <w:rPr>
          <w:rFonts w:cs="Calibri"/>
          <w:szCs w:val="24"/>
        </w:rPr>
        <w:t xml:space="preserve">, z.s., Jihlava; Junák </w:t>
      </w:r>
      <w:r w:rsidR="00BB21FB">
        <w:rPr>
          <w:rFonts w:cs="Calibri"/>
          <w:szCs w:val="24"/>
        </w:rPr>
        <w:t>–</w:t>
      </w:r>
      <w:r w:rsidR="005872C0" w:rsidRPr="005872C0">
        <w:rPr>
          <w:rFonts w:cs="Calibri"/>
          <w:szCs w:val="24"/>
        </w:rPr>
        <w:t xml:space="preserve"> český skaut, z.s., Praha; KreBul, o.p.s., Prachatice; Pionýr, z.s., Praha; Přátelé dětí z.s., Prachatice; Rada dětí a mládeže kraje Vysočina, z.s., Třebíč;</w:t>
      </w:r>
      <w:r w:rsidR="00A963E4">
        <w:rPr>
          <w:rFonts w:cs="Calibri"/>
          <w:szCs w:val="24"/>
        </w:rPr>
        <w:t xml:space="preserve"> Sdružení hasičů Čech, Moravy a </w:t>
      </w:r>
      <w:r w:rsidR="005872C0" w:rsidRPr="005872C0">
        <w:rPr>
          <w:rFonts w:cs="Calibri"/>
          <w:szCs w:val="24"/>
        </w:rPr>
        <w:t xml:space="preserve">Slezska, Praha; Sion </w:t>
      </w:r>
      <w:r w:rsidR="00BB21FB">
        <w:rPr>
          <w:rFonts w:cs="Calibri"/>
          <w:szCs w:val="24"/>
        </w:rPr>
        <w:t>–</w:t>
      </w:r>
      <w:r w:rsidR="005872C0" w:rsidRPr="005872C0">
        <w:rPr>
          <w:rFonts w:cs="Calibri"/>
          <w:szCs w:val="24"/>
        </w:rPr>
        <w:t xml:space="preserve"> Nová generace, z.s., Hradec Králové</w:t>
      </w:r>
      <w:r w:rsidR="002A60B9">
        <w:rPr>
          <w:rFonts w:cs="Calibri"/>
          <w:szCs w:val="24"/>
        </w:rPr>
        <w:t>.</w:t>
      </w:r>
    </w:p>
    <w:p w14:paraId="4909CBDF" w14:textId="77777777" w:rsidR="00FE5C8F" w:rsidRPr="005872C0" w:rsidRDefault="00FE5C8F" w:rsidP="00FE5C8F">
      <w:pPr>
        <w:rPr>
          <w:rFonts w:cs="Calibri"/>
          <w:szCs w:val="24"/>
        </w:rPr>
      </w:pPr>
    </w:p>
    <w:p w14:paraId="7FB9307D" w14:textId="5CB06CA8" w:rsidR="00F53B44" w:rsidRDefault="00FE5C8F" w:rsidP="00FE5C8F">
      <w:pPr>
        <w:rPr>
          <w:rFonts w:cs="Calibri"/>
          <w:szCs w:val="24"/>
        </w:rPr>
      </w:pPr>
      <w:r w:rsidRPr="000B4501">
        <w:rPr>
          <w:rFonts w:cs="Calibri"/>
          <w:szCs w:val="24"/>
        </w:rPr>
        <w:t>Námitky proti kontrolnímu protokolu, které podal</w:t>
      </w:r>
      <w:r w:rsidR="00591FDD">
        <w:rPr>
          <w:rFonts w:cs="Calibri"/>
          <w:szCs w:val="24"/>
        </w:rPr>
        <w:t>o</w:t>
      </w:r>
      <w:r w:rsidRPr="000B4501">
        <w:rPr>
          <w:rFonts w:cs="Calibri"/>
          <w:szCs w:val="24"/>
        </w:rPr>
        <w:t xml:space="preserve"> M</w:t>
      </w:r>
      <w:r>
        <w:rPr>
          <w:rFonts w:cs="Calibri"/>
          <w:szCs w:val="24"/>
        </w:rPr>
        <w:t>ŠMT,</w:t>
      </w:r>
      <w:r w:rsidR="00591FDD">
        <w:rPr>
          <w:rFonts w:cs="Calibri"/>
          <w:szCs w:val="24"/>
        </w:rPr>
        <w:t xml:space="preserve"> vypořádala</w:t>
      </w:r>
      <w:r w:rsidRPr="000B4501">
        <w:rPr>
          <w:rFonts w:cs="Calibri"/>
          <w:szCs w:val="24"/>
        </w:rPr>
        <w:t xml:space="preserve"> vedoucí</w:t>
      </w:r>
      <w:r w:rsidRPr="00CC4145">
        <w:rPr>
          <w:rFonts w:cs="Calibri"/>
          <w:sz w:val="12"/>
          <w:szCs w:val="24"/>
        </w:rPr>
        <w:t xml:space="preserve"> </w:t>
      </w:r>
      <w:r w:rsidRPr="000B4501">
        <w:rPr>
          <w:rFonts w:cs="Calibri"/>
          <w:szCs w:val="24"/>
        </w:rPr>
        <w:t>skupin</w:t>
      </w:r>
      <w:r w:rsidR="00591FDD">
        <w:rPr>
          <w:rFonts w:cs="Calibri"/>
          <w:szCs w:val="24"/>
        </w:rPr>
        <w:t>y</w:t>
      </w:r>
      <w:r w:rsidRPr="00CC4145">
        <w:rPr>
          <w:rFonts w:cs="Calibri"/>
          <w:sz w:val="12"/>
          <w:szCs w:val="24"/>
        </w:rPr>
        <w:t xml:space="preserve"> </w:t>
      </w:r>
      <w:r w:rsidRPr="000B4501">
        <w:rPr>
          <w:rFonts w:cs="Calibri"/>
          <w:szCs w:val="24"/>
        </w:rPr>
        <w:t>kontrolujících</w:t>
      </w:r>
      <w:r w:rsidRPr="00CC4145">
        <w:rPr>
          <w:rFonts w:cs="Calibri"/>
          <w:sz w:val="12"/>
          <w:szCs w:val="24"/>
        </w:rPr>
        <w:t xml:space="preserve"> </w:t>
      </w:r>
      <w:r w:rsidRPr="000B4501">
        <w:rPr>
          <w:rFonts w:cs="Calibri"/>
          <w:szCs w:val="24"/>
        </w:rPr>
        <w:t>rozhodnutím</w:t>
      </w:r>
      <w:r w:rsidRPr="00CC4145">
        <w:rPr>
          <w:rFonts w:cs="Calibri"/>
          <w:sz w:val="12"/>
          <w:szCs w:val="24"/>
        </w:rPr>
        <w:t xml:space="preserve"> </w:t>
      </w:r>
      <w:r>
        <w:rPr>
          <w:rFonts w:cs="Calibri"/>
          <w:szCs w:val="24"/>
        </w:rPr>
        <w:t>o</w:t>
      </w:r>
      <w:r w:rsidRPr="00CC4145">
        <w:rPr>
          <w:rFonts w:cs="Calibri"/>
          <w:sz w:val="12"/>
          <w:szCs w:val="24"/>
        </w:rPr>
        <w:t xml:space="preserve"> </w:t>
      </w:r>
      <w:r>
        <w:rPr>
          <w:rFonts w:cs="Calibri"/>
          <w:szCs w:val="24"/>
        </w:rPr>
        <w:t>námitkách.</w:t>
      </w:r>
    </w:p>
    <w:p w14:paraId="77454C9C" w14:textId="77777777" w:rsidR="00F53B44" w:rsidRDefault="00F53B44" w:rsidP="00FE5C8F">
      <w:pPr>
        <w:rPr>
          <w:rFonts w:cs="Calibri"/>
          <w:szCs w:val="24"/>
        </w:rPr>
      </w:pPr>
    </w:p>
    <w:p w14:paraId="1A3AD8CB" w14:textId="445854F3" w:rsidR="00FE5C8F" w:rsidRPr="00394EFF" w:rsidRDefault="00FE5C8F" w:rsidP="00F53B44">
      <w:pPr>
        <w:spacing w:line="276" w:lineRule="auto"/>
        <w:rPr>
          <w:rFonts w:cs="Calibri"/>
          <w:szCs w:val="24"/>
        </w:rPr>
      </w:pPr>
      <w:r w:rsidRPr="000B4501">
        <w:rPr>
          <w:rFonts w:cs="Calibri"/>
          <w:b/>
          <w:bCs/>
          <w:i/>
          <w:iCs/>
          <w:szCs w:val="24"/>
        </w:rPr>
        <w:t>K o l e g i u m   N K Ú</w:t>
      </w:r>
      <w:r w:rsidRPr="000B4501">
        <w:rPr>
          <w:rFonts w:cs="Calibri"/>
          <w:b/>
          <w:bCs/>
          <w:iCs/>
          <w:szCs w:val="24"/>
        </w:rPr>
        <w:t xml:space="preserve">   </w:t>
      </w:r>
      <w:r w:rsidRPr="000B4501">
        <w:rPr>
          <w:rFonts w:cs="Calibri"/>
          <w:szCs w:val="24"/>
        </w:rPr>
        <w:t xml:space="preserve">na </w:t>
      </w:r>
      <w:r w:rsidRPr="00394EFF">
        <w:rPr>
          <w:rFonts w:cs="Calibri"/>
          <w:szCs w:val="24"/>
        </w:rPr>
        <w:t>svém</w:t>
      </w:r>
      <w:r w:rsidR="00394EFF">
        <w:rPr>
          <w:rFonts w:cs="Calibri"/>
          <w:szCs w:val="24"/>
        </w:rPr>
        <w:t xml:space="preserve"> I</w:t>
      </w:r>
      <w:r w:rsidRPr="00394EFF">
        <w:rPr>
          <w:rFonts w:cs="Calibri"/>
          <w:szCs w:val="24"/>
        </w:rPr>
        <w:t xml:space="preserve">. jednání, které se konalo dne </w:t>
      </w:r>
      <w:r w:rsidR="006D507E" w:rsidRPr="00394EFF">
        <w:rPr>
          <w:rFonts w:cs="Calibri"/>
          <w:szCs w:val="24"/>
        </w:rPr>
        <w:t>22</w:t>
      </w:r>
      <w:r w:rsidRPr="00394EFF">
        <w:rPr>
          <w:rFonts w:cs="Calibri"/>
          <w:szCs w:val="24"/>
        </w:rPr>
        <w:t xml:space="preserve">. </w:t>
      </w:r>
      <w:r w:rsidR="005872C0" w:rsidRPr="00394EFF">
        <w:rPr>
          <w:rFonts w:cs="Calibri"/>
          <w:szCs w:val="24"/>
        </w:rPr>
        <w:t>ledna 2018</w:t>
      </w:r>
      <w:r w:rsidRPr="00394EFF">
        <w:rPr>
          <w:rFonts w:cs="Calibri"/>
          <w:szCs w:val="24"/>
        </w:rPr>
        <w:t>,</w:t>
      </w:r>
    </w:p>
    <w:p w14:paraId="5E9BB591" w14:textId="29BE9819" w:rsidR="00FE5C8F" w:rsidRPr="000B4501" w:rsidRDefault="00FE5C8F" w:rsidP="00F53B44">
      <w:pPr>
        <w:spacing w:line="276" w:lineRule="auto"/>
        <w:rPr>
          <w:rFonts w:cs="Calibri"/>
          <w:szCs w:val="24"/>
        </w:rPr>
      </w:pPr>
      <w:r w:rsidRPr="00394EFF">
        <w:rPr>
          <w:rFonts w:cs="Calibri"/>
          <w:b/>
          <w:bCs/>
          <w:i/>
          <w:iCs/>
          <w:szCs w:val="24"/>
        </w:rPr>
        <w:t>s c h v á l i l o</w:t>
      </w:r>
      <w:r w:rsidRPr="00394EFF">
        <w:rPr>
          <w:rFonts w:cs="Calibri"/>
          <w:b/>
          <w:bCs/>
          <w:iCs/>
          <w:szCs w:val="24"/>
        </w:rPr>
        <w:t xml:space="preserve">   </w:t>
      </w:r>
      <w:r w:rsidRPr="00394EFF">
        <w:rPr>
          <w:rFonts w:cs="Calibri"/>
          <w:szCs w:val="24"/>
        </w:rPr>
        <w:t xml:space="preserve">usnesením č. </w:t>
      </w:r>
      <w:r w:rsidR="00FE76B9">
        <w:rPr>
          <w:rFonts w:cs="Calibri"/>
          <w:szCs w:val="24"/>
        </w:rPr>
        <w:t>10</w:t>
      </w:r>
      <w:r w:rsidRPr="00394EFF">
        <w:rPr>
          <w:rFonts w:cs="Calibri"/>
          <w:szCs w:val="24"/>
        </w:rPr>
        <w:t>/</w:t>
      </w:r>
      <w:r w:rsidR="00394EFF">
        <w:rPr>
          <w:rFonts w:cs="Calibri"/>
          <w:szCs w:val="24"/>
        </w:rPr>
        <w:t>I</w:t>
      </w:r>
      <w:r w:rsidRPr="00394EFF">
        <w:rPr>
          <w:rFonts w:cs="Calibri"/>
          <w:szCs w:val="24"/>
        </w:rPr>
        <w:t>/201</w:t>
      </w:r>
      <w:r w:rsidR="005872C0" w:rsidRPr="00394EFF">
        <w:rPr>
          <w:rFonts w:cs="Calibri"/>
          <w:szCs w:val="24"/>
        </w:rPr>
        <w:t>8</w:t>
      </w:r>
    </w:p>
    <w:p w14:paraId="16916301" w14:textId="5BEFCD1D" w:rsidR="00FE5C8F" w:rsidRDefault="00FE5C8F" w:rsidP="00F53B44">
      <w:pPr>
        <w:spacing w:line="276" w:lineRule="auto"/>
        <w:rPr>
          <w:rFonts w:cs="Calibri"/>
          <w:szCs w:val="24"/>
        </w:rPr>
      </w:pPr>
      <w:r w:rsidRPr="000B4501">
        <w:rPr>
          <w:rFonts w:cs="Calibri"/>
          <w:b/>
          <w:bCs/>
          <w:i/>
          <w:iCs/>
          <w:szCs w:val="24"/>
        </w:rPr>
        <w:t>k o n t r o l n í   z á v ě r</w:t>
      </w:r>
      <w:r w:rsidRPr="000B4501">
        <w:rPr>
          <w:rFonts w:cs="Calibri"/>
          <w:b/>
          <w:bCs/>
          <w:iCs/>
          <w:szCs w:val="24"/>
        </w:rPr>
        <w:t xml:space="preserve">   </w:t>
      </w:r>
      <w:r w:rsidRPr="000B4501">
        <w:rPr>
          <w:rFonts w:cs="Calibri"/>
          <w:szCs w:val="24"/>
        </w:rPr>
        <w:t>v tomto znění:</w:t>
      </w:r>
    </w:p>
    <w:p w14:paraId="199CB6B1" w14:textId="23BD9F7A" w:rsidR="00F53B44" w:rsidRDefault="00F53B44" w:rsidP="00FE5C8F">
      <w:pPr>
        <w:rPr>
          <w:rFonts w:cs="Calibri"/>
          <w:szCs w:val="24"/>
        </w:rPr>
      </w:pPr>
    </w:p>
    <w:p w14:paraId="3C9BBECC" w14:textId="77777777" w:rsidR="00F53B44" w:rsidRPr="000B4501" w:rsidRDefault="00F53B44" w:rsidP="00FE5C8F">
      <w:pPr>
        <w:rPr>
          <w:rFonts w:cs="Calibri"/>
          <w:szCs w:val="24"/>
        </w:rPr>
      </w:pPr>
    </w:p>
    <w:p w14:paraId="628FE358" w14:textId="67C832DC" w:rsidR="00FE5C8F" w:rsidRPr="00F53B44" w:rsidRDefault="00FE5C8F" w:rsidP="00F53B44">
      <w:pPr>
        <w:pStyle w:val="Nadpis1"/>
        <w:numPr>
          <w:ilvl w:val="0"/>
          <w:numId w:val="0"/>
        </w:numPr>
        <w:spacing w:after="0"/>
      </w:pPr>
      <w:r w:rsidRPr="000B4501">
        <w:rPr>
          <w:sz w:val="24"/>
          <w:szCs w:val="24"/>
        </w:rPr>
        <w:br w:type="page"/>
      </w:r>
      <w:r w:rsidR="00F53B44" w:rsidRPr="00F53B44">
        <w:lastRenderedPageBreak/>
        <w:t xml:space="preserve">I. </w:t>
      </w:r>
      <w:r w:rsidRPr="00F53B44">
        <w:t>Úvod</w:t>
      </w:r>
    </w:p>
    <w:p w14:paraId="1C3824CA" w14:textId="77777777" w:rsidR="00F53B44" w:rsidRPr="00F53B44" w:rsidRDefault="00F53B44" w:rsidP="00F53B44">
      <w:pPr>
        <w:rPr>
          <w:bCs/>
          <w:szCs w:val="22"/>
        </w:rPr>
      </w:pPr>
    </w:p>
    <w:p w14:paraId="451199D5" w14:textId="717189BF" w:rsidR="00FE5C8F" w:rsidRDefault="00FE5C8F" w:rsidP="00F53B44">
      <w:pPr>
        <w:rPr>
          <w:rFonts w:cs="Calibri"/>
          <w:szCs w:val="24"/>
        </w:rPr>
      </w:pPr>
      <w:r w:rsidRPr="00940F6E">
        <w:rPr>
          <w:b/>
          <w:bCs/>
          <w:szCs w:val="22"/>
        </w:rPr>
        <w:t>MŠMT</w:t>
      </w:r>
      <w:r>
        <w:rPr>
          <w:bCs/>
          <w:szCs w:val="22"/>
        </w:rPr>
        <w:t xml:space="preserve"> </w:t>
      </w:r>
      <w:r w:rsidRPr="00E70DF3">
        <w:rPr>
          <w:szCs w:val="22"/>
        </w:rPr>
        <w:t xml:space="preserve">je </w:t>
      </w:r>
      <w:r w:rsidR="00AF0DFA">
        <w:rPr>
          <w:szCs w:val="22"/>
        </w:rPr>
        <w:t>ústředním orgánem státní správy</w:t>
      </w:r>
      <w:r w:rsidR="00FB5C2F">
        <w:rPr>
          <w:szCs w:val="22"/>
        </w:rPr>
        <w:t xml:space="preserve"> </w:t>
      </w:r>
      <w:r w:rsidR="00FB5C2F">
        <w:t xml:space="preserve">mj. pro </w:t>
      </w:r>
      <w:r w:rsidR="00FB5C2F" w:rsidRPr="0065373F">
        <w:t>státní péči o děti, mládež, tělesnou výchovu, sport, turistiku a sportovní reprezentaci státu</w:t>
      </w:r>
      <w:r>
        <w:rPr>
          <w:rStyle w:val="Znakapoznpodarou"/>
          <w:szCs w:val="22"/>
        </w:rPr>
        <w:footnoteReference w:id="1"/>
      </w:r>
      <w:r w:rsidRPr="00E70DF3">
        <w:t>.</w:t>
      </w:r>
      <w:r>
        <w:t xml:space="preserve"> </w:t>
      </w:r>
      <w:r w:rsidRPr="00D029F5">
        <w:rPr>
          <w:rFonts w:cs="Calibri"/>
          <w:szCs w:val="24"/>
        </w:rPr>
        <w:t>MŠMT je správcem kapitoly státního rozpočtu 333</w:t>
      </w:r>
      <w:r w:rsidRPr="00D029F5">
        <w:rPr>
          <w:rFonts w:cs="Calibri"/>
          <w:i/>
          <w:szCs w:val="24"/>
        </w:rPr>
        <w:t xml:space="preserve"> – Ministerstvo školství, mládeže a </w:t>
      </w:r>
      <w:r w:rsidRPr="00476310">
        <w:rPr>
          <w:rFonts w:cs="Calibri"/>
          <w:i/>
          <w:szCs w:val="24"/>
        </w:rPr>
        <w:t>tělovýchovy.</w:t>
      </w:r>
    </w:p>
    <w:p w14:paraId="3E87AC59" w14:textId="0AEBD976" w:rsidR="00591FDD" w:rsidRDefault="00591FDD" w:rsidP="00F53B44">
      <w:pPr>
        <w:rPr>
          <w:rFonts w:cs="Calibri"/>
          <w:szCs w:val="24"/>
        </w:rPr>
      </w:pPr>
    </w:p>
    <w:p w14:paraId="5E505BF2" w14:textId="1D6A6DBA" w:rsidR="00F7553D" w:rsidRPr="00F7553D" w:rsidRDefault="00073F69" w:rsidP="00F53B44">
      <w:pPr>
        <w:rPr>
          <w:rFonts w:cs="Calibri"/>
          <w:noProof/>
          <w:highlight w:val="yellow"/>
        </w:rPr>
      </w:pPr>
      <w:r>
        <w:rPr>
          <w:rFonts w:cs="Calibri"/>
          <w:szCs w:val="24"/>
        </w:rPr>
        <w:t xml:space="preserve">Kontrola byla zaměřena na peněžní prostředky, které MŠMT poskytuje prostřednictvím </w:t>
      </w:r>
      <w:r w:rsidR="00E219B9" w:rsidRPr="00E219B9">
        <w:rPr>
          <w:rFonts w:cs="Calibri"/>
          <w:i/>
          <w:szCs w:val="24"/>
        </w:rPr>
        <w:t>P</w:t>
      </w:r>
      <w:r w:rsidRPr="00E219B9">
        <w:rPr>
          <w:rFonts w:cs="Calibri"/>
          <w:i/>
          <w:szCs w:val="24"/>
        </w:rPr>
        <w:t>rogramů státní podpory práce s dětmi a mládeží pro nestátní neziskové organizace</w:t>
      </w:r>
      <w:r w:rsidR="00BD09E8">
        <w:rPr>
          <w:rStyle w:val="Znakapoznpodarou"/>
          <w:szCs w:val="24"/>
        </w:rPr>
        <w:footnoteReference w:id="2"/>
      </w:r>
      <w:r w:rsidR="0006108D">
        <w:rPr>
          <w:rFonts w:cs="Calibri"/>
          <w:szCs w:val="24"/>
        </w:rPr>
        <w:t xml:space="preserve"> (dále jen „Programy“)</w:t>
      </w:r>
      <w:r w:rsidR="00D45913">
        <w:rPr>
          <w:rFonts w:cs="Calibri"/>
          <w:szCs w:val="24"/>
        </w:rPr>
        <w:t>.</w:t>
      </w:r>
      <w:r w:rsidR="00057731">
        <w:rPr>
          <w:rFonts w:cs="Calibri"/>
          <w:szCs w:val="24"/>
        </w:rPr>
        <w:t xml:space="preserve"> </w:t>
      </w:r>
      <w:r w:rsidR="00C347AC">
        <w:rPr>
          <w:rFonts w:cs="Calibri"/>
          <w:szCs w:val="24"/>
        </w:rPr>
        <w:t xml:space="preserve">Tyto </w:t>
      </w:r>
      <w:r w:rsidR="0006108D">
        <w:rPr>
          <w:rFonts w:cs="Calibri"/>
          <w:szCs w:val="24"/>
        </w:rPr>
        <w:t>P</w:t>
      </w:r>
      <w:r w:rsidR="00E02265">
        <w:rPr>
          <w:rFonts w:cs="Calibri"/>
          <w:szCs w:val="24"/>
        </w:rPr>
        <w:t xml:space="preserve">rogramy jsou vyjádřením požadavku státu </w:t>
      </w:r>
      <w:r w:rsidR="00C347AC">
        <w:rPr>
          <w:rFonts w:cs="Calibri"/>
          <w:szCs w:val="24"/>
        </w:rPr>
        <w:t>na</w:t>
      </w:r>
      <w:r w:rsidR="00FB5C2F">
        <w:rPr>
          <w:rFonts w:cs="Calibri"/>
          <w:szCs w:val="24"/>
        </w:rPr>
        <w:t xml:space="preserve"> </w:t>
      </w:r>
      <w:r w:rsidR="00E02265">
        <w:rPr>
          <w:rFonts w:cs="Calibri"/>
          <w:szCs w:val="24"/>
        </w:rPr>
        <w:t>zabezpečení péče o</w:t>
      </w:r>
      <w:r w:rsidR="001747B8">
        <w:rPr>
          <w:rFonts w:cs="Calibri"/>
          <w:szCs w:val="24"/>
        </w:rPr>
        <w:t> </w:t>
      </w:r>
      <w:r w:rsidR="00E02265">
        <w:rPr>
          <w:rFonts w:cs="Calibri"/>
          <w:szCs w:val="24"/>
        </w:rPr>
        <w:t xml:space="preserve">volný čas dětí a mládeže </w:t>
      </w:r>
      <w:r w:rsidR="001747B8">
        <w:rPr>
          <w:rFonts w:cs="Calibri"/>
          <w:szCs w:val="24"/>
        </w:rPr>
        <w:t>prostřednictvím nestátních neziskových organizací (dále jen „NNO“).</w:t>
      </w:r>
      <w:r w:rsidR="00E02265">
        <w:rPr>
          <w:szCs w:val="22"/>
        </w:rPr>
        <w:t xml:space="preserve"> </w:t>
      </w:r>
      <w:r w:rsidR="00E73A72">
        <w:rPr>
          <w:szCs w:val="22"/>
        </w:rPr>
        <w:t>Programy vychází</w:t>
      </w:r>
      <w:r w:rsidR="00E02265">
        <w:rPr>
          <w:szCs w:val="22"/>
        </w:rPr>
        <w:t xml:space="preserve"> z příslušných koncepcí státní politiky v </w:t>
      </w:r>
      <w:r w:rsidR="00E02265" w:rsidRPr="003E0A54">
        <w:rPr>
          <w:szCs w:val="22"/>
        </w:rPr>
        <w:t>oblast</w:t>
      </w:r>
      <w:r w:rsidR="00C347AC">
        <w:rPr>
          <w:szCs w:val="22"/>
        </w:rPr>
        <w:t>i dětí a </w:t>
      </w:r>
      <w:r w:rsidR="00E02265">
        <w:rPr>
          <w:szCs w:val="22"/>
        </w:rPr>
        <w:t xml:space="preserve">mládeže. </w:t>
      </w:r>
      <w:r w:rsidR="00057731">
        <w:rPr>
          <w:szCs w:val="22"/>
        </w:rPr>
        <w:t xml:space="preserve">V současné době </w:t>
      </w:r>
      <w:r w:rsidR="00D719A6">
        <w:rPr>
          <w:szCs w:val="22"/>
        </w:rPr>
        <w:t>je</w:t>
      </w:r>
      <w:r w:rsidR="00057731">
        <w:rPr>
          <w:szCs w:val="22"/>
        </w:rPr>
        <w:t xml:space="preserve"> podpora práce s dětm</w:t>
      </w:r>
      <w:r w:rsidR="00595526">
        <w:rPr>
          <w:szCs w:val="22"/>
        </w:rPr>
        <w:t xml:space="preserve">i a mládeží v České republice </w:t>
      </w:r>
      <w:r w:rsidR="00057731">
        <w:rPr>
          <w:szCs w:val="22"/>
        </w:rPr>
        <w:t xml:space="preserve">realizována na základě </w:t>
      </w:r>
      <w:r w:rsidR="00057731" w:rsidRPr="0065373F">
        <w:rPr>
          <w:rFonts w:cs="Calibri"/>
          <w:i/>
          <w:noProof/>
        </w:rPr>
        <w:t>Koncepce podpory mládeže na období 2014–2020</w:t>
      </w:r>
      <w:r w:rsidR="00057731">
        <w:rPr>
          <w:rFonts w:cs="Calibri"/>
          <w:noProof/>
        </w:rPr>
        <w:t xml:space="preserve"> (dále jen „Koncepce 2020“)</w:t>
      </w:r>
      <w:r w:rsidR="0081633D">
        <w:rPr>
          <w:rFonts w:cs="Calibri"/>
          <w:noProof/>
        </w:rPr>
        <w:t>, kterou</w:t>
      </w:r>
      <w:r w:rsidR="00E02265">
        <w:rPr>
          <w:rFonts w:cs="Calibri"/>
          <w:noProof/>
        </w:rPr>
        <w:t xml:space="preserve"> schválila vláda usnesením ze dne 12. května 2014</w:t>
      </w:r>
      <w:r w:rsidR="006B044B">
        <w:rPr>
          <w:rFonts w:cs="Calibri"/>
          <w:noProof/>
        </w:rPr>
        <w:t xml:space="preserve"> č. </w:t>
      </w:r>
      <w:r w:rsidR="00E02265" w:rsidRPr="00EC7957">
        <w:rPr>
          <w:rFonts w:cs="Calibri"/>
          <w:noProof/>
        </w:rPr>
        <w:t>342</w:t>
      </w:r>
      <w:r w:rsidR="00FB5C2F">
        <w:rPr>
          <w:rStyle w:val="Znakapoznpodarou"/>
          <w:noProof/>
        </w:rPr>
        <w:footnoteReference w:id="3"/>
      </w:r>
      <w:r w:rsidR="00C775E9">
        <w:rPr>
          <w:rFonts w:cs="Calibri"/>
          <w:noProof/>
        </w:rPr>
        <w:t>.</w:t>
      </w:r>
      <w:r w:rsidR="00BD09E8">
        <w:rPr>
          <w:rFonts w:cs="Calibri"/>
          <w:noProof/>
        </w:rPr>
        <w:t xml:space="preserve"> Koncepce 2020 je pro toto období základním strategickým dokumentem pro</w:t>
      </w:r>
      <w:r w:rsidR="00CA7985">
        <w:rPr>
          <w:rFonts w:cs="Calibri"/>
          <w:noProof/>
        </w:rPr>
        <w:t xml:space="preserve"> </w:t>
      </w:r>
      <w:r w:rsidR="00BD09E8">
        <w:rPr>
          <w:rFonts w:cs="Calibri"/>
          <w:noProof/>
        </w:rPr>
        <w:t xml:space="preserve">meziresortní realizaci státní politiky mládeže. </w:t>
      </w:r>
      <w:r w:rsidR="00B9118A">
        <w:rPr>
          <w:rFonts w:cs="Calibri"/>
          <w:noProof/>
        </w:rPr>
        <w:t>K</w:t>
      </w:r>
      <w:r w:rsidR="00BD09E8">
        <w:rPr>
          <w:rFonts w:cs="Calibri"/>
          <w:noProof/>
        </w:rPr>
        <w:t xml:space="preserve">oordinátorem </w:t>
      </w:r>
      <w:r w:rsidR="00B9118A">
        <w:rPr>
          <w:rFonts w:cs="Calibri"/>
          <w:noProof/>
        </w:rPr>
        <w:t xml:space="preserve">její implementace </w:t>
      </w:r>
      <w:r w:rsidR="00BD09E8">
        <w:rPr>
          <w:rFonts w:cs="Calibri"/>
          <w:noProof/>
        </w:rPr>
        <w:t xml:space="preserve">bylo </w:t>
      </w:r>
      <w:r w:rsidR="0063495E">
        <w:rPr>
          <w:rFonts w:cs="Calibri"/>
          <w:noProof/>
        </w:rPr>
        <w:t>u</w:t>
      </w:r>
      <w:r w:rsidR="00BD09E8">
        <w:rPr>
          <w:rFonts w:cs="Calibri"/>
          <w:noProof/>
        </w:rPr>
        <w:t>stanoveno MŠMT.</w:t>
      </w:r>
    </w:p>
    <w:p w14:paraId="5498A194" w14:textId="53E64BCE" w:rsidR="001747B8" w:rsidRDefault="001747B8" w:rsidP="00F53B44">
      <w:pPr>
        <w:rPr>
          <w:rFonts w:cs="Calibri"/>
          <w:szCs w:val="24"/>
        </w:rPr>
      </w:pPr>
    </w:p>
    <w:p w14:paraId="4CFCF019" w14:textId="638FF8D0" w:rsidR="00F93E92" w:rsidRDefault="0006108D" w:rsidP="00F53B44">
      <w:pPr>
        <w:rPr>
          <w:rFonts w:cs="Calibri"/>
          <w:szCs w:val="24"/>
        </w:rPr>
      </w:pPr>
      <w:r>
        <w:rPr>
          <w:rFonts w:cs="Calibri"/>
          <w:szCs w:val="24"/>
        </w:rPr>
        <w:t>Výdaje na kontrolované P</w:t>
      </w:r>
      <w:r w:rsidR="00F93E92">
        <w:rPr>
          <w:rFonts w:cs="Calibri"/>
          <w:szCs w:val="24"/>
        </w:rPr>
        <w:t xml:space="preserve">rogramy spadají do specifického </w:t>
      </w:r>
      <w:r w:rsidR="00D719A6">
        <w:rPr>
          <w:rFonts w:cs="Calibri"/>
          <w:szCs w:val="24"/>
        </w:rPr>
        <w:t xml:space="preserve">výdajového </w:t>
      </w:r>
      <w:r w:rsidR="00F93E92">
        <w:rPr>
          <w:rFonts w:cs="Calibri"/>
          <w:szCs w:val="24"/>
        </w:rPr>
        <w:t xml:space="preserve">ukazatele státního rozpočtu </w:t>
      </w:r>
      <w:r w:rsidR="00F93E92" w:rsidRPr="00373DA6">
        <w:rPr>
          <w:rFonts w:cs="Calibri"/>
          <w:i/>
          <w:szCs w:val="24"/>
        </w:rPr>
        <w:t>Podpora činnosti v oblasti mládeže</w:t>
      </w:r>
      <w:r w:rsidR="00373DA6">
        <w:rPr>
          <w:rFonts w:cs="Calibri"/>
          <w:szCs w:val="24"/>
        </w:rPr>
        <w:t>.</w:t>
      </w:r>
    </w:p>
    <w:p w14:paraId="4B4AA586" w14:textId="1E83916B" w:rsidR="00D45913" w:rsidRDefault="00D45913" w:rsidP="00F53B44">
      <w:pPr>
        <w:rPr>
          <w:rFonts w:cs="Calibri"/>
          <w:szCs w:val="24"/>
        </w:rPr>
      </w:pPr>
    </w:p>
    <w:p w14:paraId="64CFFCCB" w14:textId="6A1A02B2" w:rsidR="00D45913" w:rsidRDefault="00E01559" w:rsidP="00CC2C1D">
      <w:pPr>
        <w:pStyle w:val="Graf"/>
        <w:ind w:left="993" w:hanging="993"/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4F5A228" wp14:editId="7382E1EC">
            <wp:simplePos x="0" y="0"/>
            <wp:positionH relativeFrom="column">
              <wp:posOffset>-16510</wp:posOffset>
            </wp:positionH>
            <wp:positionV relativeFrom="paragraph">
              <wp:posOffset>630196</wp:posOffset>
            </wp:positionV>
            <wp:extent cx="5734050" cy="2228850"/>
            <wp:effectExtent l="0" t="0" r="0" b="0"/>
            <wp:wrapTopAndBottom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D45913" w:rsidRPr="00D45913">
        <w:t xml:space="preserve">Prostředky vynaložené v rámci </w:t>
      </w:r>
      <w:r w:rsidR="00D719A6">
        <w:t xml:space="preserve">specifického výdajového </w:t>
      </w:r>
      <w:r w:rsidR="00D45913" w:rsidRPr="00D45913">
        <w:t xml:space="preserve">ukazatele </w:t>
      </w:r>
      <w:r w:rsidR="00D45913" w:rsidRPr="00E73A72">
        <w:rPr>
          <w:i/>
        </w:rPr>
        <w:t>Podpor</w:t>
      </w:r>
      <w:r w:rsidR="00E73A72" w:rsidRPr="00E73A72">
        <w:rPr>
          <w:i/>
        </w:rPr>
        <w:t>a</w:t>
      </w:r>
      <w:r w:rsidR="00D45913" w:rsidRPr="00E73A72">
        <w:rPr>
          <w:i/>
        </w:rPr>
        <w:t xml:space="preserve"> činnosti v oblasti mládeže</w:t>
      </w:r>
      <w:r w:rsidR="00D45913">
        <w:t xml:space="preserve"> a z </w:t>
      </w:r>
      <w:r w:rsidR="00D45913" w:rsidRPr="00D45913">
        <w:t xml:space="preserve">toho </w:t>
      </w:r>
      <w:r w:rsidR="00A82821" w:rsidRPr="00A82821">
        <w:rPr>
          <w:i/>
        </w:rPr>
        <w:t>P</w:t>
      </w:r>
      <w:r w:rsidR="00D45913" w:rsidRPr="00A82821">
        <w:rPr>
          <w:i/>
        </w:rPr>
        <w:t>rogramy</w:t>
      </w:r>
      <w:r w:rsidR="00D719A6">
        <w:rPr>
          <w:i/>
        </w:rPr>
        <w:t xml:space="preserve"> státní podpory práce s dětmi a </w:t>
      </w:r>
      <w:r w:rsidR="00D45913" w:rsidRPr="00A82821">
        <w:rPr>
          <w:i/>
        </w:rPr>
        <w:t xml:space="preserve">mládeží pro </w:t>
      </w:r>
      <w:r w:rsidR="00CC2C1D" w:rsidRPr="00CC2C1D">
        <w:rPr>
          <w:i/>
        </w:rPr>
        <w:t>nestátní neziskové organizace</w:t>
      </w:r>
      <w:r w:rsidR="00A82821">
        <w:t xml:space="preserve"> (v mil</w:t>
      </w:r>
      <w:r w:rsidR="00D45913" w:rsidRPr="00D45913">
        <w:t>. Kč)</w:t>
      </w:r>
    </w:p>
    <w:p w14:paraId="7EBE69C6" w14:textId="1CCF7FCA" w:rsidR="00D45913" w:rsidRDefault="00D45913" w:rsidP="00934725">
      <w:pPr>
        <w:pStyle w:val="Poznmka"/>
      </w:pPr>
      <w:r w:rsidRPr="0053358B">
        <w:rPr>
          <w:b/>
        </w:rPr>
        <w:t>Zdroj:</w:t>
      </w:r>
      <w:r w:rsidR="007A70C2">
        <w:tab/>
      </w:r>
      <w:r w:rsidR="00A82821">
        <w:t>Přehledy skutečného čerpání z </w:t>
      </w:r>
      <w:r w:rsidR="00A82821" w:rsidRPr="00A82821">
        <w:rPr>
          <w:i/>
        </w:rPr>
        <w:t>Programů státní podpory práce s dětmi a mládeží pro NNO</w:t>
      </w:r>
      <w:r w:rsidR="00A82821" w:rsidRPr="00A82821">
        <w:t xml:space="preserve"> </w:t>
      </w:r>
      <w:r w:rsidR="007A70C2">
        <w:t>v letech</w:t>
      </w:r>
      <w:r w:rsidR="007A70C2">
        <w:br/>
      </w:r>
      <w:r w:rsidR="00FA2D2A">
        <w:t>2014–</w:t>
      </w:r>
      <w:r w:rsidR="00A82821">
        <w:t>2016 zpracované MŠMT</w:t>
      </w:r>
      <w:r w:rsidR="007A70C2">
        <w:t>;</w:t>
      </w:r>
      <w:r w:rsidR="00A82821">
        <w:t xml:space="preserve"> z</w:t>
      </w:r>
      <w:r w:rsidRPr="002535CC">
        <w:t>ávěrečn</w:t>
      </w:r>
      <w:r>
        <w:t>é</w:t>
      </w:r>
      <w:r w:rsidRPr="002535CC">
        <w:t xml:space="preserve"> účt</w:t>
      </w:r>
      <w:r>
        <w:t xml:space="preserve">y kapitoly 333 – </w:t>
      </w:r>
      <w:r w:rsidRPr="0053358B">
        <w:rPr>
          <w:i/>
        </w:rPr>
        <w:t>Ministerstvo školství, mládeže a tělovýchovy</w:t>
      </w:r>
      <w:r w:rsidR="00A82821">
        <w:t xml:space="preserve"> za </w:t>
      </w:r>
      <w:r w:rsidR="00FA2D2A">
        <w:t>roky 2014–</w:t>
      </w:r>
      <w:r>
        <w:t>2016.</w:t>
      </w:r>
    </w:p>
    <w:p w14:paraId="4EC69C21" w14:textId="34F082E9" w:rsidR="00050C66" w:rsidRDefault="00050C66" w:rsidP="00050C66"/>
    <w:p w14:paraId="2AD4A467" w14:textId="0D60879D" w:rsidR="00B05FDE" w:rsidRPr="003606EA" w:rsidRDefault="00595526" w:rsidP="00F53B44">
      <w:pPr>
        <w:pStyle w:val="Nzevtabulky"/>
        <w:keepLines/>
        <w:spacing w:after="40"/>
        <w:ind w:left="1276" w:hanging="1276"/>
      </w:pPr>
      <w:r>
        <w:lastRenderedPageBreak/>
        <w:t>Specifický výdajový u</w:t>
      </w:r>
      <w:r w:rsidR="00B05FDE" w:rsidRPr="003606EA">
        <w:t xml:space="preserve">kazatel </w:t>
      </w:r>
      <w:r w:rsidR="00B05FDE" w:rsidRPr="00555C22">
        <w:rPr>
          <w:i/>
        </w:rPr>
        <w:t>Podpor</w:t>
      </w:r>
      <w:r w:rsidR="00555C22" w:rsidRPr="00555C22">
        <w:rPr>
          <w:i/>
        </w:rPr>
        <w:t>a činnosti v oblasti mládeže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020"/>
        <w:gridCol w:w="1681"/>
        <w:gridCol w:w="1681"/>
        <w:gridCol w:w="1681"/>
      </w:tblGrid>
      <w:tr w:rsidR="00B05FDE" w:rsidRPr="00E01559" w14:paraId="520A3D0A" w14:textId="77777777" w:rsidTr="00E01559">
        <w:trPr>
          <w:trHeight w:val="283"/>
        </w:trPr>
        <w:tc>
          <w:tcPr>
            <w:tcW w:w="4123" w:type="dxa"/>
            <w:shd w:val="clear" w:color="auto" w:fill="E5F1FF"/>
            <w:noWrap/>
            <w:vAlign w:val="center"/>
            <w:hideMark/>
          </w:tcPr>
          <w:p w14:paraId="3AB3C01C" w14:textId="77777777" w:rsidR="00B05FDE" w:rsidRPr="00E01559" w:rsidRDefault="00B05FDE" w:rsidP="00E01559">
            <w:pPr>
              <w:pStyle w:val="tabulka"/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1721" w:type="dxa"/>
            <w:shd w:val="clear" w:color="auto" w:fill="E5F1FF"/>
            <w:noWrap/>
            <w:vAlign w:val="center"/>
            <w:hideMark/>
          </w:tcPr>
          <w:p w14:paraId="1CDDD0F5" w14:textId="77777777" w:rsidR="00B05FDE" w:rsidRPr="00E01559" w:rsidRDefault="00B05FDE" w:rsidP="00E01559">
            <w:pPr>
              <w:pStyle w:val="tabulka"/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 w:rsidRPr="00E01559">
              <w:rPr>
                <w:b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721" w:type="dxa"/>
            <w:shd w:val="clear" w:color="auto" w:fill="E5F1FF"/>
            <w:noWrap/>
            <w:vAlign w:val="center"/>
            <w:hideMark/>
          </w:tcPr>
          <w:p w14:paraId="04A6183B" w14:textId="77777777" w:rsidR="00B05FDE" w:rsidRPr="00E01559" w:rsidRDefault="00B05FDE" w:rsidP="00E01559">
            <w:pPr>
              <w:pStyle w:val="tabulka"/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 w:rsidRPr="00E01559">
              <w:rPr>
                <w:b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721" w:type="dxa"/>
            <w:shd w:val="clear" w:color="auto" w:fill="E5F1FF"/>
            <w:noWrap/>
            <w:vAlign w:val="center"/>
            <w:hideMark/>
          </w:tcPr>
          <w:p w14:paraId="72FC3F03" w14:textId="77777777" w:rsidR="00B05FDE" w:rsidRPr="00E01559" w:rsidRDefault="00B05FDE" w:rsidP="00E01559">
            <w:pPr>
              <w:pStyle w:val="tabulka"/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 w:rsidRPr="00E01559">
              <w:rPr>
                <w:b/>
                <w:sz w:val="20"/>
                <w:szCs w:val="20"/>
                <w:lang w:eastAsia="cs-CZ"/>
              </w:rPr>
              <w:t>2016</w:t>
            </w:r>
          </w:p>
        </w:tc>
      </w:tr>
      <w:tr w:rsidR="00B05FDE" w:rsidRPr="00E01559" w14:paraId="35775B7D" w14:textId="77777777" w:rsidTr="00E01559">
        <w:trPr>
          <w:trHeight w:val="283"/>
        </w:trPr>
        <w:tc>
          <w:tcPr>
            <w:tcW w:w="4123" w:type="dxa"/>
            <w:noWrap/>
            <w:vAlign w:val="center"/>
            <w:hideMark/>
          </w:tcPr>
          <w:p w14:paraId="6DD498A6" w14:textId="475D54F2" w:rsidR="00B05FDE" w:rsidRPr="00E01559" w:rsidRDefault="00B05FDE" w:rsidP="00CA7985">
            <w:pPr>
              <w:pStyle w:val="tabulka"/>
              <w:keepNext/>
              <w:keepLines/>
              <w:jc w:val="left"/>
              <w:rPr>
                <w:color w:val="000000"/>
                <w:sz w:val="20"/>
                <w:szCs w:val="20"/>
                <w:lang w:eastAsia="cs-CZ"/>
              </w:rPr>
            </w:pPr>
            <w:r w:rsidRPr="00E01559">
              <w:rPr>
                <w:color w:val="000000"/>
                <w:sz w:val="20"/>
                <w:szCs w:val="20"/>
                <w:lang w:eastAsia="cs-CZ"/>
              </w:rPr>
              <w:t>Mládež 6</w:t>
            </w:r>
            <w:r w:rsidR="00CA7985">
              <w:rPr>
                <w:color w:val="000000"/>
                <w:sz w:val="20"/>
                <w:szCs w:val="20"/>
                <w:lang w:eastAsia="cs-CZ"/>
              </w:rPr>
              <w:t>–</w:t>
            </w:r>
            <w:r w:rsidRPr="00E01559">
              <w:rPr>
                <w:color w:val="000000"/>
                <w:sz w:val="20"/>
                <w:szCs w:val="20"/>
                <w:lang w:eastAsia="cs-CZ"/>
              </w:rPr>
              <w:t>26</w:t>
            </w:r>
            <w:r w:rsidR="007A70C2" w:rsidRPr="00E01559">
              <w:rPr>
                <w:color w:val="000000"/>
                <w:sz w:val="20"/>
                <w:szCs w:val="20"/>
                <w:lang w:eastAsia="cs-CZ"/>
              </w:rPr>
              <w:t xml:space="preserve"> let v</w:t>
            </w:r>
            <w:r w:rsidR="00595526" w:rsidRPr="00E01559">
              <w:rPr>
                <w:color w:val="000000"/>
                <w:sz w:val="20"/>
                <w:szCs w:val="20"/>
                <w:lang w:eastAsia="cs-CZ"/>
              </w:rPr>
              <w:t> </w:t>
            </w:r>
            <w:r w:rsidR="007A70C2" w:rsidRPr="00E01559">
              <w:rPr>
                <w:color w:val="000000"/>
                <w:sz w:val="20"/>
                <w:szCs w:val="20"/>
                <w:lang w:eastAsia="cs-CZ"/>
              </w:rPr>
              <w:t>ČR</w:t>
            </w:r>
            <w:r w:rsidR="00595526" w:rsidRPr="00E01559">
              <w:rPr>
                <w:color w:val="000000"/>
                <w:sz w:val="20"/>
                <w:szCs w:val="20"/>
                <w:lang w:eastAsia="cs-CZ"/>
              </w:rPr>
              <w:t xml:space="preserve"> (počet osob)</w:t>
            </w:r>
          </w:p>
        </w:tc>
        <w:tc>
          <w:tcPr>
            <w:tcW w:w="1721" w:type="dxa"/>
            <w:noWrap/>
            <w:vAlign w:val="center"/>
            <w:hideMark/>
          </w:tcPr>
          <w:p w14:paraId="0FF1075A" w14:textId="77777777" w:rsidR="00B05FDE" w:rsidRPr="00E01559" w:rsidRDefault="00B05FDE" w:rsidP="0065373F">
            <w:pPr>
              <w:pStyle w:val="tabulka"/>
              <w:keepNext/>
              <w:keepLines/>
              <w:ind w:right="255" w:firstLine="17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01559">
              <w:rPr>
                <w:color w:val="000000"/>
                <w:sz w:val="20"/>
                <w:szCs w:val="20"/>
                <w:lang w:eastAsia="cs-CZ"/>
              </w:rPr>
              <w:t>2 282 535</w:t>
            </w:r>
          </w:p>
        </w:tc>
        <w:tc>
          <w:tcPr>
            <w:tcW w:w="1721" w:type="dxa"/>
            <w:noWrap/>
            <w:vAlign w:val="center"/>
            <w:hideMark/>
          </w:tcPr>
          <w:p w14:paraId="2CB3C2AA" w14:textId="77777777" w:rsidR="00B05FDE" w:rsidRPr="00E01559" w:rsidRDefault="00B05FDE" w:rsidP="0065373F">
            <w:pPr>
              <w:pStyle w:val="tabulka"/>
              <w:keepNext/>
              <w:keepLines/>
              <w:ind w:right="255" w:firstLine="17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01559">
              <w:rPr>
                <w:color w:val="000000"/>
                <w:sz w:val="20"/>
                <w:szCs w:val="20"/>
                <w:lang w:eastAsia="cs-CZ"/>
              </w:rPr>
              <w:t>2 271 676</w:t>
            </w:r>
          </w:p>
        </w:tc>
        <w:tc>
          <w:tcPr>
            <w:tcW w:w="1721" w:type="dxa"/>
            <w:noWrap/>
            <w:vAlign w:val="center"/>
            <w:hideMark/>
          </w:tcPr>
          <w:p w14:paraId="073FCBBA" w14:textId="77777777" w:rsidR="00B05FDE" w:rsidRPr="00E01559" w:rsidRDefault="00B05FDE" w:rsidP="0065373F">
            <w:pPr>
              <w:pStyle w:val="tabulka"/>
              <w:keepNext/>
              <w:keepLines/>
              <w:ind w:right="255" w:firstLine="17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01559">
              <w:rPr>
                <w:color w:val="000000"/>
                <w:sz w:val="20"/>
                <w:szCs w:val="20"/>
                <w:lang w:eastAsia="cs-CZ"/>
              </w:rPr>
              <w:t>2 264 824</w:t>
            </w:r>
          </w:p>
        </w:tc>
      </w:tr>
      <w:tr w:rsidR="00B05FDE" w:rsidRPr="00E01559" w14:paraId="6F90A853" w14:textId="77777777" w:rsidTr="00E01559">
        <w:trPr>
          <w:trHeight w:val="283"/>
        </w:trPr>
        <w:tc>
          <w:tcPr>
            <w:tcW w:w="4123" w:type="dxa"/>
            <w:noWrap/>
            <w:vAlign w:val="center"/>
            <w:hideMark/>
          </w:tcPr>
          <w:p w14:paraId="3EFD97BD" w14:textId="77777777" w:rsidR="00B05FDE" w:rsidRPr="00E01559" w:rsidRDefault="00B05FDE" w:rsidP="00E01559">
            <w:pPr>
              <w:pStyle w:val="tabulka"/>
              <w:keepNext/>
              <w:keepLines/>
              <w:jc w:val="left"/>
              <w:rPr>
                <w:color w:val="000000"/>
                <w:sz w:val="20"/>
                <w:szCs w:val="20"/>
                <w:lang w:eastAsia="cs-CZ"/>
              </w:rPr>
            </w:pPr>
            <w:r w:rsidRPr="00E01559">
              <w:rPr>
                <w:color w:val="000000"/>
                <w:sz w:val="20"/>
                <w:szCs w:val="20"/>
                <w:lang w:eastAsia="cs-CZ"/>
              </w:rPr>
              <w:t>Podpora činnosti v oblasti mládeže (v Kč)</w:t>
            </w:r>
          </w:p>
        </w:tc>
        <w:tc>
          <w:tcPr>
            <w:tcW w:w="1721" w:type="dxa"/>
            <w:noWrap/>
            <w:vAlign w:val="center"/>
            <w:hideMark/>
          </w:tcPr>
          <w:p w14:paraId="21B2F285" w14:textId="77777777" w:rsidR="00B05FDE" w:rsidRPr="00E01559" w:rsidRDefault="00B05FDE" w:rsidP="0065373F">
            <w:pPr>
              <w:pStyle w:val="tabulka"/>
              <w:keepNext/>
              <w:keepLines/>
              <w:ind w:right="255" w:firstLine="17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01559">
              <w:rPr>
                <w:color w:val="000000"/>
                <w:sz w:val="20"/>
                <w:szCs w:val="20"/>
                <w:lang w:eastAsia="cs-CZ"/>
              </w:rPr>
              <w:t>213 092 590</w:t>
            </w:r>
          </w:p>
        </w:tc>
        <w:tc>
          <w:tcPr>
            <w:tcW w:w="1721" w:type="dxa"/>
            <w:noWrap/>
            <w:vAlign w:val="center"/>
            <w:hideMark/>
          </w:tcPr>
          <w:p w14:paraId="690EAF62" w14:textId="77777777" w:rsidR="00B05FDE" w:rsidRPr="00E01559" w:rsidRDefault="00B05FDE" w:rsidP="0065373F">
            <w:pPr>
              <w:pStyle w:val="tabulka"/>
              <w:keepNext/>
              <w:keepLines/>
              <w:ind w:right="255" w:firstLine="17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01559">
              <w:rPr>
                <w:color w:val="000000"/>
                <w:sz w:val="20"/>
                <w:szCs w:val="20"/>
                <w:lang w:eastAsia="cs-CZ"/>
              </w:rPr>
              <w:t>224 649 740</w:t>
            </w:r>
          </w:p>
        </w:tc>
        <w:tc>
          <w:tcPr>
            <w:tcW w:w="1721" w:type="dxa"/>
            <w:noWrap/>
            <w:vAlign w:val="center"/>
            <w:hideMark/>
          </w:tcPr>
          <w:p w14:paraId="736B1EFC" w14:textId="77777777" w:rsidR="00B05FDE" w:rsidRPr="00E01559" w:rsidRDefault="00B05FDE" w:rsidP="0065373F">
            <w:pPr>
              <w:pStyle w:val="tabulka"/>
              <w:keepNext/>
              <w:keepLines/>
              <w:ind w:right="255" w:firstLine="17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01559">
              <w:rPr>
                <w:color w:val="000000"/>
                <w:sz w:val="20"/>
                <w:szCs w:val="20"/>
                <w:lang w:eastAsia="cs-CZ"/>
              </w:rPr>
              <w:t>255 385 360</w:t>
            </w:r>
          </w:p>
        </w:tc>
      </w:tr>
      <w:tr w:rsidR="00B05FDE" w:rsidRPr="00E01559" w14:paraId="272D347A" w14:textId="77777777" w:rsidTr="00E01559">
        <w:trPr>
          <w:trHeight w:val="283"/>
        </w:trPr>
        <w:tc>
          <w:tcPr>
            <w:tcW w:w="4123" w:type="dxa"/>
            <w:noWrap/>
            <w:vAlign w:val="center"/>
            <w:hideMark/>
          </w:tcPr>
          <w:p w14:paraId="1B965EE2" w14:textId="77777777" w:rsidR="00B05FDE" w:rsidRPr="00E01559" w:rsidRDefault="00B05FDE" w:rsidP="00E01559">
            <w:pPr>
              <w:pStyle w:val="tabulka"/>
              <w:keepNext/>
              <w:keepLines/>
              <w:jc w:val="left"/>
              <w:rPr>
                <w:color w:val="000000"/>
                <w:sz w:val="20"/>
                <w:szCs w:val="20"/>
                <w:lang w:eastAsia="cs-CZ"/>
              </w:rPr>
            </w:pPr>
            <w:r w:rsidRPr="00E01559">
              <w:rPr>
                <w:color w:val="000000"/>
                <w:sz w:val="20"/>
                <w:szCs w:val="20"/>
                <w:lang w:eastAsia="cs-CZ"/>
              </w:rPr>
              <w:t>Podpora činnosti (Kč/osoba)</w:t>
            </w:r>
          </w:p>
        </w:tc>
        <w:tc>
          <w:tcPr>
            <w:tcW w:w="1721" w:type="dxa"/>
            <w:noWrap/>
            <w:vAlign w:val="center"/>
            <w:hideMark/>
          </w:tcPr>
          <w:p w14:paraId="72C2B8C6" w14:textId="77777777" w:rsidR="00B05FDE" w:rsidRPr="00E01559" w:rsidRDefault="00B05FDE" w:rsidP="00E01559">
            <w:pPr>
              <w:pStyle w:val="tabulka"/>
              <w:keepNext/>
              <w:keepLines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01559">
              <w:rPr>
                <w:color w:val="000000"/>
                <w:sz w:val="20"/>
                <w:szCs w:val="20"/>
                <w:lang w:eastAsia="cs-CZ"/>
              </w:rPr>
              <w:t>93,36</w:t>
            </w:r>
          </w:p>
        </w:tc>
        <w:tc>
          <w:tcPr>
            <w:tcW w:w="1721" w:type="dxa"/>
            <w:noWrap/>
            <w:vAlign w:val="center"/>
            <w:hideMark/>
          </w:tcPr>
          <w:p w14:paraId="3337785F" w14:textId="77777777" w:rsidR="00B05FDE" w:rsidRPr="00E01559" w:rsidRDefault="00B05FDE" w:rsidP="00E01559">
            <w:pPr>
              <w:pStyle w:val="tabulka"/>
              <w:keepNext/>
              <w:keepLines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01559">
              <w:rPr>
                <w:color w:val="000000"/>
                <w:sz w:val="20"/>
                <w:szCs w:val="20"/>
                <w:lang w:eastAsia="cs-CZ"/>
              </w:rPr>
              <w:t>98,89</w:t>
            </w:r>
          </w:p>
        </w:tc>
        <w:tc>
          <w:tcPr>
            <w:tcW w:w="1721" w:type="dxa"/>
            <w:noWrap/>
            <w:vAlign w:val="center"/>
            <w:hideMark/>
          </w:tcPr>
          <w:p w14:paraId="7211927A" w14:textId="77777777" w:rsidR="00B05FDE" w:rsidRPr="00E01559" w:rsidRDefault="00B05FDE" w:rsidP="00E01559">
            <w:pPr>
              <w:pStyle w:val="tabulka"/>
              <w:keepNext/>
              <w:keepLines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01559">
              <w:rPr>
                <w:color w:val="000000"/>
                <w:sz w:val="20"/>
                <w:szCs w:val="20"/>
                <w:lang w:eastAsia="cs-CZ"/>
              </w:rPr>
              <w:t>112,76</w:t>
            </w:r>
          </w:p>
        </w:tc>
      </w:tr>
    </w:tbl>
    <w:p w14:paraId="5C7BA20D" w14:textId="6290922B" w:rsidR="004C2E3C" w:rsidRDefault="004C2E3C" w:rsidP="00F53B44">
      <w:pPr>
        <w:pStyle w:val="Poznmka"/>
      </w:pPr>
      <w:r w:rsidRPr="009D3E12">
        <w:rPr>
          <w:b/>
        </w:rPr>
        <w:t>Zdroj:</w:t>
      </w:r>
      <w:r>
        <w:t xml:space="preserve"> </w:t>
      </w:r>
      <w:r w:rsidR="00CA7985">
        <w:t>z</w:t>
      </w:r>
      <w:r w:rsidRPr="002535CC">
        <w:t>ávěrečn</w:t>
      </w:r>
      <w:r>
        <w:t>é</w:t>
      </w:r>
      <w:r w:rsidRPr="002535CC">
        <w:t xml:space="preserve"> účt</w:t>
      </w:r>
      <w:r>
        <w:t>y kapitoly 333</w:t>
      </w:r>
      <w:r w:rsidR="00DD1499">
        <w:t xml:space="preserve"> – </w:t>
      </w:r>
      <w:r w:rsidR="00DD1499" w:rsidRPr="0053358B">
        <w:rPr>
          <w:i/>
        </w:rPr>
        <w:t>Ministerstvo školství, mládeže a tělovýchovy</w:t>
      </w:r>
      <w:r w:rsidR="005808B1">
        <w:t xml:space="preserve"> za roky 2014–</w:t>
      </w:r>
      <w:r w:rsidR="00DD1499">
        <w:t>2016</w:t>
      </w:r>
      <w:r w:rsidR="00050212">
        <w:t xml:space="preserve">; Český statistický úřad – údaje o věkové struktuře obyvatel České republiky </w:t>
      </w:r>
      <w:r>
        <w:t>k 31. 12. příslušného roku</w:t>
      </w:r>
      <w:r w:rsidR="005808B1">
        <w:t>.</w:t>
      </w:r>
    </w:p>
    <w:p w14:paraId="27978F21" w14:textId="58415E11" w:rsidR="00C347AC" w:rsidRPr="00F7725F" w:rsidRDefault="00C347AC" w:rsidP="00F53B44">
      <w:pPr>
        <w:rPr>
          <w:rFonts w:cs="Calibri"/>
          <w:szCs w:val="24"/>
        </w:rPr>
      </w:pPr>
    </w:p>
    <w:p w14:paraId="327513CC" w14:textId="71710231" w:rsidR="001747B8" w:rsidRPr="00F7725F" w:rsidRDefault="00A54FFC" w:rsidP="00F53B44">
      <w:pPr>
        <w:rPr>
          <w:rFonts w:cs="Calibri"/>
          <w:b/>
          <w:szCs w:val="24"/>
        </w:rPr>
      </w:pPr>
      <w:r>
        <w:rPr>
          <w:rFonts w:cs="Calibri"/>
          <w:b/>
          <w:szCs w:val="24"/>
        </w:rPr>
        <w:t>Názvy</w:t>
      </w:r>
      <w:r w:rsidR="001747B8" w:rsidRPr="00F7725F">
        <w:rPr>
          <w:rFonts w:cs="Calibri"/>
          <w:b/>
          <w:szCs w:val="24"/>
        </w:rPr>
        <w:t xml:space="preserve"> </w:t>
      </w:r>
      <w:r w:rsidR="00E11E17" w:rsidRPr="00F7725F">
        <w:rPr>
          <w:rFonts w:cs="Calibri"/>
          <w:b/>
          <w:szCs w:val="24"/>
        </w:rPr>
        <w:t>vyhlášených P</w:t>
      </w:r>
      <w:r w:rsidR="001747B8" w:rsidRPr="00F7725F">
        <w:rPr>
          <w:rFonts w:cs="Calibri"/>
          <w:b/>
          <w:szCs w:val="24"/>
        </w:rPr>
        <w:t>rogramů se v jednotlivých letech kontrolovaného období lišil</w:t>
      </w:r>
      <w:r>
        <w:rPr>
          <w:rFonts w:cs="Calibri"/>
          <w:b/>
          <w:szCs w:val="24"/>
        </w:rPr>
        <w:t>y:</w:t>
      </w:r>
    </w:p>
    <w:p w14:paraId="50853B45" w14:textId="2D392DC8" w:rsidR="001747B8" w:rsidRPr="00F7725F" w:rsidRDefault="001747B8" w:rsidP="0065373F">
      <w:pPr>
        <w:pStyle w:val="Bezmezer"/>
        <w:numPr>
          <w:ilvl w:val="0"/>
          <w:numId w:val="49"/>
        </w:numPr>
        <w:ind w:left="284" w:hanging="284"/>
        <w:rPr>
          <w:rFonts w:ascii="Calibri" w:hAnsi="Calibri" w:cs="Calibri"/>
        </w:rPr>
      </w:pPr>
      <w:r w:rsidRPr="00F7725F">
        <w:rPr>
          <w:rFonts w:ascii="Calibri" w:hAnsi="Calibri" w:cs="Calibri"/>
        </w:rPr>
        <w:t>Rok 2014:</w:t>
      </w:r>
    </w:p>
    <w:p w14:paraId="223FAED1" w14:textId="176E0784" w:rsidR="001747B8" w:rsidRPr="00F7725F" w:rsidRDefault="001747B8" w:rsidP="00A54FF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rPr>
          <w:rFonts w:cs="Calibri"/>
          <w:sz w:val="24"/>
          <w:szCs w:val="24"/>
        </w:rPr>
      </w:pPr>
      <w:r w:rsidRPr="0065373F">
        <w:rPr>
          <w:rFonts w:cs="Calibri"/>
          <w:i/>
          <w:sz w:val="24"/>
          <w:szCs w:val="24"/>
        </w:rPr>
        <w:t>Zabezpečení pravidelné činnosti NNO pro organizované děti a mládež</w:t>
      </w:r>
      <w:r w:rsidR="00026069">
        <w:rPr>
          <w:rFonts w:cs="Calibri"/>
          <w:sz w:val="24"/>
          <w:szCs w:val="24"/>
        </w:rPr>
        <w:t>,</w:t>
      </w:r>
    </w:p>
    <w:p w14:paraId="00225F39" w14:textId="73231436" w:rsidR="001747B8" w:rsidRPr="00F7725F" w:rsidRDefault="001747B8" w:rsidP="00A54FF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rPr>
          <w:rFonts w:cs="Calibri"/>
          <w:sz w:val="24"/>
          <w:szCs w:val="24"/>
        </w:rPr>
      </w:pPr>
      <w:r w:rsidRPr="0065373F">
        <w:rPr>
          <w:rFonts w:cs="Calibri"/>
          <w:i/>
          <w:sz w:val="24"/>
          <w:szCs w:val="24"/>
        </w:rPr>
        <w:t>Podpora vybraných forem práce s neorganizovanými dětmi a mládeží</w:t>
      </w:r>
      <w:r w:rsidR="00026069">
        <w:rPr>
          <w:rFonts w:cs="Calibri"/>
          <w:sz w:val="24"/>
          <w:szCs w:val="24"/>
        </w:rPr>
        <w:t>,</w:t>
      </w:r>
    </w:p>
    <w:p w14:paraId="41ABB246" w14:textId="23CB63D7" w:rsidR="001747B8" w:rsidRPr="00F7725F" w:rsidRDefault="001747B8" w:rsidP="00A54FF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rPr>
          <w:rFonts w:cs="Calibri"/>
          <w:sz w:val="24"/>
          <w:szCs w:val="24"/>
        </w:rPr>
      </w:pPr>
      <w:r w:rsidRPr="0065373F">
        <w:rPr>
          <w:rFonts w:cs="Calibri"/>
          <w:i/>
          <w:sz w:val="24"/>
          <w:szCs w:val="24"/>
        </w:rPr>
        <w:t>Investiční rozvoj materiálně technické základny mimoškolních aktivit dětí a mládeže</w:t>
      </w:r>
      <w:r w:rsidR="00026069">
        <w:rPr>
          <w:rFonts w:cs="Calibri"/>
          <w:sz w:val="24"/>
          <w:szCs w:val="24"/>
        </w:rPr>
        <w:t>,</w:t>
      </w:r>
    </w:p>
    <w:p w14:paraId="72E2F37B" w14:textId="4CC1EB46" w:rsidR="001747B8" w:rsidRPr="00F7725F" w:rsidRDefault="001747B8" w:rsidP="00A54FF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rPr>
          <w:rFonts w:cs="Calibri"/>
          <w:sz w:val="24"/>
          <w:szCs w:val="24"/>
        </w:rPr>
      </w:pPr>
      <w:r w:rsidRPr="0065373F">
        <w:rPr>
          <w:rFonts w:cs="Calibri"/>
          <w:i/>
          <w:sz w:val="24"/>
          <w:szCs w:val="24"/>
        </w:rPr>
        <w:t>Mimořádné dotace</w:t>
      </w:r>
      <w:r w:rsidR="00026069">
        <w:rPr>
          <w:rFonts w:cs="Calibri"/>
          <w:sz w:val="24"/>
          <w:szCs w:val="24"/>
        </w:rPr>
        <w:t>,</w:t>
      </w:r>
    </w:p>
    <w:p w14:paraId="07A3ABED" w14:textId="466BB0CD" w:rsidR="001747B8" w:rsidRPr="00F7725F" w:rsidRDefault="001747B8" w:rsidP="00A54FF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rPr>
          <w:rFonts w:cs="Calibri"/>
          <w:sz w:val="24"/>
          <w:szCs w:val="24"/>
        </w:rPr>
      </w:pPr>
      <w:r w:rsidRPr="0065373F">
        <w:rPr>
          <w:rFonts w:cs="Calibri"/>
          <w:i/>
          <w:sz w:val="24"/>
          <w:szCs w:val="24"/>
        </w:rPr>
        <w:t xml:space="preserve">Podpora činnosti </w:t>
      </w:r>
      <w:r w:rsidR="00A54FFC" w:rsidRPr="0065373F">
        <w:rPr>
          <w:rFonts w:cs="Calibri"/>
          <w:i/>
          <w:sz w:val="24"/>
          <w:szCs w:val="24"/>
        </w:rPr>
        <w:t>i</w:t>
      </w:r>
      <w:r w:rsidRPr="0065373F">
        <w:rPr>
          <w:rFonts w:cs="Calibri"/>
          <w:i/>
          <w:sz w:val="24"/>
          <w:szCs w:val="24"/>
        </w:rPr>
        <w:t>nformačních center pro mládež</w:t>
      </w:r>
      <w:r w:rsidRPr="00F7725F">
        <w:rPr>
          <w:rFonts w:cs="Calibri"/>
          <w:sz w:val="24"/>
          <w:szCs w:val="24"/>
        </w:rPr>
        <w:t>.</w:t>
      </w:r>
    </w:p>
    <w:p w14:paraId="2D07487D" w14:textId="5120E856" w:rsidR="001747B8" w:rsidRPr="00F7725F" w:rsidRDefault="001747B8" w:rsidP="0065373F">
      <w:pPr>
        <w:pStyle w:val="Bezmezer"/>
        <w:numPr>
          <w:ilvl w:val="0"/>
          <w:numId w:val="49"/>
        </w:numPr>
        <w:ind w:left="284" w:hanging="284"/>
        <w:rPr>
          <w:rFonts w:ascii="Calibri" w:hAnsi="Calibri" w:cs="Calibri"/>
        </w:rPr>
      </w:pPr>
      <w:r w:rsidRPr="00F7725F">
        <w:rPr>
          <w:rFonts w:ascii="Calibri" w:hAnsi="Calibri" w:cs="Calibri"/>
        </w:rPr>
        <w:t>Rok 2015:</w:t>
      </w:r>
    </w:p>
    <w:p w14:paraId="0B74AF64" w14:textId="2C6A702E" w:rsidR="001747B8" w:rsidRPr="00F7725F" w:rsidRDefault="001747B8" w:rsidP="00A54FFC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rPr>
          <w:rFonts w:cs="Calibri"/>
          <w:sz w:val="24"/>
          <w:szCs w:val="24"/>
        </w:rPr>
      </w:pPr>
      <w:r w:rsidRPr="0065373F">
        <w:rPr>
          <w:rFonts w:cs="Calibri"/>
          <w:i/>
          <w:sz w:val="24"/>
          <w:szCs w:val="24"/>
        </w:rPr>
        <w:t>Zabezpečení pravidelné činnosti NNO pro organizované děti a mládež</w:t>
      </w:r>
      <w:r w:rsidR="00026069">
        <w:rPr>
          <w:rFonts w:cs="Calibri"/>
          <w:sz w:val="24"/>
          <w:szCs w:val="24"/>
        </w:rPr>
        <w:t>,</w:t>
      </w:r>
    </w:p>
    <w:p w14:paraId="167949DA" w14:textId="0A5E6809" w:rsidR="001747B8" w:rsidRPr="00F7725F" w:rsidRDefault="001747B8" w:rsidP="00A54FFC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rPr>
          <w:rFonts w:cs="Calibri"/>
          <w:sz w:val="24"/>
          <w:szCs w:val="24"/>
        </w:rPr>
      </w:pPr>
      <w:r w:rsidRPr="0065373F">
        <w:rPr>
          <w:rFonts w:cs="Calibri"/>
          <w:i/>
          <w:sz w:val="24"/>
          <w:szCs w:val="24"/>
        </w:rPr>
        <w:t>Podpora vybraných forem práce s neorganizovanými dětmi a mládeží</w:t>
      </w:r>
      <w:r w:rsidR="00026069">
        <w:rPr>
          <w:rFonts w:cs="Calibri"/>
          <w:sz w:val="24"/>
          <w:szCs w:val="24"/>
        </w:rPr>
        <w:t>,</w:t>
      </w:r>
    </w:p>
    <w:p w14:paraId="4612DE5A" w14:textId="62C9D425" w:rsidR="001747B8" w:rsidRPr="00F7725F" w:rsidRDefault="001747B8" w:rsidP="00A54FFC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rPr>
          <w:rFonts w:cs="Calibri"/>
          <w:sz w:val="24"/>
          <w:szCs w:val="24"/>
        </w:rPr>
      </w:pPr>
      <w:r w:rsidRPr="0065373F">
        <w:rPr>
          <w:rFonts w:cs="Calibri"/>
          <w:i/>
          <w:sz w:val="24"/>
          <w:szCs w:val="24"/>
        </w:rPr>
        <w:t>Tematické výzvy</w:t>
      </w:r>
      <w:r w:rsidR="00026069">
        <w:rPr>
          <w:rFonts w:cs="Calibri"/>
          <w:sz w:val="24"/>
          <w:szCs w:val="24"/>
        </w:rPr>
        <w:t>,</w:t>
      </w:r>
    </w:p>
    <w:p w14:paraId="5CE8F856" w14:textId="73DC7617" w:rsidR="001747B8" w:rsidRPr="00F7725F" w:rsidRDefault="001747B8" w:rsidP="00A54FFC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rPr>
          <w:rFonts w:cs="Calibri"/>
          <w:sz w:val="24"/>
          <w:szCs w:val="24"/>
        </w:rPr>
      </w:pPr>
      <w:r w:rsidRPr="0065373F">
        <w:rPr>
          <w:rFonts w:cs="Calibri"/>
          <w:i/>
          <w:sz w:val="24"/>
          <w:szCs w:val="24"/>
        </w:rPr>
        <w:t xml:space="preserve">Podpora činnosti </w:t>
      </w:r>
      <w:r w:rsidR="00A54FFC" w:rsidRPr="0065373F">
        <w:rPr>
          <w:rFonts w:cs="Calibri"/>
          <w:i/>
          <w:sz w:val="24"/>
          <w:szCs w:val="24"/>
        </w:rPr>
        <w:t>i</w:t>
      </w:r>
      <w:r w:rsidRPr="0065373F">
        <w:rPr>
          <w:rFonts w:cs="Calibri"/>
          <w:i/>
          <w:sz w:val="24"/>
          <w:szCs w:val="24"/>
        </w:rPr>
        <w:t>nformačních center pro mládež</w:t>
      </w:r>
      <w:r w:rsidRPr="00F7725F">
        <w:rPr>
          <w:rFonts w:cs="Calibri"/>
          <w:sz w:val="24"/>
          <w:szCs w:val="24"/>
        </w:rPr>
        <w:t>.</w:t>
      </w:r>
    </w:p>
    <w:p w14:paraId="4303CF90" w14:textId="0E2987EF" w:rsidR="001747B8" w:rsidRPr="00F7725F" w:rsidRDefault="001747B8" w:rsidP="0065373F">
      <w:pPr>
        <w:pStyle w:val="Bezmezer"/>
        <w:numPr>
          <w:ilvl w:val="0"/>
          <w:numId w:val="49"/>
        </w:numPr>
        <w:ind w:left="284" w:hanging="284"/>
        <w:rPr>
          <w:rFonts w:ascii="Calibri" w:hAnsi="Calibri" w:cs="Calibri"/>
        </w:rPr>
      </w:pPr>
      <w:r w:rsidRPr="00F7725F">
        <w:rPr>
          <w:rFonts w:ascii="Calibri" w:hAnsi="Calibri" w:cs="Calibri"/>
        </w:rPr>
        <w:t>Rok 2016:</w:t>
      </w:r>
    </w:p>
    <w:p w14:paraId="043EA700" w14:textId="6BAB4AB6" w:rsidR="001747B8" w:rsidRPr="00F7725F" w:rsidRDefault="001747B8" w:rsidP="00A54FF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rPr>
          <w:rFonts w:cs="Calibri"/>
          <w:sz w:val="24"/>
          <w:szCs w:val="24"/>
        </w:rPr>
      </w:pPr>
      <w:r w:rsidRPr="0065373F">
        <w:rPr>
          <w:rFonts w:cs="Calibri"/>
          <w:i/>
          <w:sz w:val="24"/>
          <w:szCs w:val="24"/>
        </w:rPr>
        <w:t>Program pro „NNO uznané MŠMT pro práci s dětmi a mládeží</w:t>
      </w:r>
      <w:r w:rsidR="0081633D" w:rsidRPr="0065373F">
        <w:rPr>
          <w:rFonts w:cs="Calibri"/>
          <w:i/>
          <w:sz w:val="24"/>
          <w:szCs w:val="24"/>
        </w:rPr>
        <w:t>“</w:t>
      </w:r>
      <w:r w:rsidR="00026069">
        <w:rPr>
          <w:rFonts w:cs="Calibri"/>
          <w:sz w:val="24"/>
          <w:szCs w:val="24"/>
        </w:rPr>
        <w:t>,</w:t>
      </w:r>
      <w:r w:rsidRPr="00F7725F">
        <w:rPr>
          <w:rFonts w:cs="Calibri"/>
          <w:sz w:val="24"/>
          <w:szCs w:val="24"/>
        </w:rPr>
        <w:t xml:space="preserve">  </w:t>
      </w:r>
    </w:p>
    <w:p w14:paraId="72995CC0" w14:textId="255E19C9" w:rsidR="001747B8" w:rsidRPr="00F7725F" w:rsidRDefault="001747B8" w:rsidP="00A54FF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rPr>
          <w:rFonts w:cs="Calibri"/>
          <w:sz w:val="24"/>
          <w:szCs w:val="24"/>
        </w:rPr>
      </w:pPr>
      <w:r w:rsidRPr="0065373F">
        <w:rPr>
          <w:rFonts w:cs="Calibri"/>
          <w:i/>
          <w:sz w:val="24"/>
          <w:szCs w:val="24"/>
        </w:rPr>
        <w:t>Program pro střešní organizace</w:t>
      </w:r>
      <w:r w:rsidR="00026069">
        <w:rPr>
          <w:rFonts w:cs="Calibri"/>
          <w:sz w:val="24"/>
          <w:szCs w:val="24"/>
        </w:rPr>
        <w:t>,</w:t>
      </w:r>
    </w:p>
    <w:p w14:paraId="008822F9" w14:textId="260FFCA1" w:rsidR="001747B8" w:rsidRPr="00F7725F" w:rsidRDefault="001747B8" w:rsidP="00A54FF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rPr>
          <w:rFonts w:cs="Calibri"/>
          <w:sz w:val="24"/>
          <w:szCs w:val="24"/>
        </w:rPr>
      </w:pPr>
      <w:r w:rsidRPr="0065373F">
        <w:rPr>
          <w:rFonts w:cs="Calibri"/>
          <w:i/>
          <w:sz w:val="24"/>
          <w:szCs w:val="24"/>
        </w:rPr>
        <w:t>Program pro NNO s pobočnými spolky</w:t>
      </w:r>
      <w:r w:rsidR="00026069">
        <w:rPr>
          <w:rFonts w:cs="Calibri"/>
          <w:sz w:val="24"/>
          <w:szCs w:val="24"/>
        </w:rPr>
        <w:t>,</w:t>
      </w:r>
      <w:r w:rsidRPr="00F7725F">
        <w:rPr>
          <w:rFonts w:cs="Calibri"/>
          <w:sz w:val="24"/>
          <w:szCs w:val="24"/>
        </w:rPr>
        <w:t xml:space="preserve">  </w:t>
      </w:r>
    </w:p>
    <w:p w14:paraId="01B24942" w14:textId="05E556F6" w:rsidR="001747B8" w:rsidRPr="00F7725F" w:rsidRDefault="001747B8" w:rsidP="00A54FF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rPr>
          <w:rFonts w:cs="Calibri"/>
          <w:sz w:val="24"/>
          <w:szCs w:val="24"/>
        </w:rPr>
      </w:pPr>
      <w:r w:rsidRPr="0065373F">
        <w:rPr>
          <w:rFonts w:cs="Calibri"/>
          <w:i/>
          <w:sz w:val="24"/>
          <w:szCs w:val="24"/>
        </w:rPr>
        <w:t>Program pro NNO bez pobočných spolků</w:t>
      </w:r>
      <w:r w:rsidRPr="00F7725F">
        <w:rPr>
          <w:rFonts w:cs="Calibri"/>
          <w:sz w:val="24"/>
          <w:szCs w:val="24"/>
        </w:rPr>
        <w:t>.</w:t>
      </w:r>
    </w:p>
    <w:p w14:paraId="2B261CFD" w14:textId="77777777" w:rsidR="001747B8" w:rsidRPr="00F7725F" w:rsidRDefault="001747B8" w:rsidP="00F53B44">
      <w:pPr>
        <w:rPr>
          <w:rFonts w:cs="Calibri"/>
          <w:szCs w:val="24"/>
        </w:rPr>
      </w:pPr>
    </w:p>
    <w:p w14:paraId="2DA89BEB" w14:textId="67EF676B" w:rsidR="00E02265" w:rsidRPr="00F7725F" w:rsidRDefault="00C347AC" w:rsidP="00F53B44">
      <w:pPr>
        <w:rPr>
          <w:rFonts w:cs="Calibri"/>
          <w:szCs w:val="24"/>
        </w:rPr>
      </w:pPr>
      <w:r w:rsidRPr="00F7725F">
        <w:rPr>
          <w:rFonts w:cs="Calibri"/>
          <w:szCs w:val="24"/>
        </w:rPr>
        <w:t>V roce 20</w:t>
      </w:r>
      <w:r w:rsidR="00FA465B" w:rsidRPr="00F7725F">
        <w:rPr>
          <w:rFonts w:cs="Calibri"/>
          <w:szCs w:val="24"/>
        </w:rPr>
        <w:t xml:space="preserve">14 byl </w:t>
      </w:r>
      <w:r w:rsidR="00057731" w:rsidRPr="00F7725F">
        <w:rPr>
          <w:rFonts w:cs="Calibri"/>
          <w:szCs w:val="24"/>
        </w:rPr>
        <w:t>součástí kontrolovaných</w:t>
      </w:r>
      <w:r w:rsidR="00E11E17" w:rsidRPr="00F7725F">
        <w:rPr>
          <w:rFonts w:cs="Calibri"/>
          <w:szCs w:val="24"/>
        </w:rPr>
        <w:t xml:space="preserve"> P</w:t>
      </w:r>
      <w:r w:rsidRPr="00F7725F">
        <w:rPr>
          <w:rFonts w:cs="Calibri"/>
          <w:szCs w:val="24"/>
        </w:rPr>
        <w:t>rogramů</w:t>
      </w:r>
      <w:r w:rsidR="000F0BAA" w:rsidRPr="00F7725F">
        <w:rPr>
          <w:rFonts w:cs="Calibri"/>
          <w:szCs w:val="24"/>
        </w:rPr>
        <w:t>, které měly vesměs neinvestiční charakter,</w:t>
      </w:r>
      <w:r w:rsidRPr="00F7725F">
        <w:rPr>
          <w:rFonts w:cs="Calibri"/>
          <w:szCs w:val="24"/>
        </w:rPr>
        <w:t xml:space="preserve"> i</w:t>
      </w:r>
      <w:r w:rsidR="008411D3">
        <w:rPr>
          <w:rFonts w:cs="Calibri"/>
          <w:szCs w:val="24"/>
        </w:rPr>
        <w:t> </w:t>
      </w:r>
      <w:r w:rsidRPr="00F7725F">
        <w:rPr>
          <w:rFonts w:cs="Calibri"/>
          <w:szCs w:val="24"/>
        </w:rPr>
        <w:t>jeden investiční</w:t>
      </w:r>
      <w:r w:rsidR="000F0BAA" w:rsidRPr="00F7725F">
        <w:rPr>
          <w:rFonts w:cs="Calibri"/>
          <w:szCs w:val="24"/>
        </w:rPr>
        <w:t xml:space="preserve"> program</w:t>
      </w:r>
      <w:r w:rsidRPr="00F7725F">
        <w:rPr>
          <w:rFonts w:cs="Calibri"/>
          <w:szCs w:val="24"/>
        </w:rPr>
        <w:t>. Od roku 2015 byl</w:t>
      </w:r>
      <w:r w:rsidR="000F0BAA" w:rsidRPr="00F7725F">
        <w:rPr>
          <w:rFonts w:cs="Calibri"/>
          <w:szCs w:val="24"/>
        </w:rPr>
        <w:t xml:space="preserve">a podpora investic v této oblasti realizována </w:t>
      </w:r>
      <w:r w:rsidR="0063495E" w:rsidRPr="00F7725F">
        <w:rPr>
          <w:rFonts w:cs="Calibri"/>
          <w:szCs w:val="24"/>
        </w:rPr>
        <w:t xml:space="preserve">v rámci programového financování </w:t>
      </w:r>
      <w:r w:rsidR="000F0BAA" w:rsidRPr="00F7725F">
        <w:rPr>
          <w:rFonts w:cs="Calibri"/>
          <w:szCs w:val="24"/>
        </w:rPr>
        <w:t>prostřednictvím s</w:t>
      </w:r>
      <w:r w:rsidRPr="00F7725F">
        <w:rPr>
          <w:rFonts w:cs="Calibri"/>
          <w:szCs w:val="24"/>
        </w:rPr>
        <w:t>amostatn</w:t>
      </w:r>
      <w:r w:rsidR="000F0BAA" w:rsidRPr="00F7725F">
        <w:rPr>
          <w:rFonts w:cs="Calibri"/>
          <w:szCs w:val="24"/>
        </w:rPr>
        <w:t>ého</w:t>
      </w:r>
      <w:r w:rsidRPr="00F7725F">
        <w:rPr>
          <w:rFonts w:cs="Calibri"/>
          <w:szCs w:val="24"/>
        </w:rPr>
        <w:t xml:space="preserve"> program</w:t>
      </w:r>
      <w:r w:rsidR="000F0BAA" w:rsidRPr="00F7725F">
        <w:rPr>
          <w:rFonts w:cs="Calibri"/>
          <w:szCs w:val="24"/>
        </w:rPr>
        <w:t>u</w:t>
      </w:r>
      <w:r w:rsidRPr="00F7725F">
        <w:rPr>
          <w:rFonts w:cs="Calibri"/>
          <w:szCs w:val="24"/>
        </w:rPr>
        <w:t xml:space="preserve"> 133</w:t>
      </w:r>
      <w:r w:rsidR="00CA7985">
        <w:rPr>
          <w:rFonts w:cs="Calibri"/>
          <w:szCs w:val="24"/>
        </w:rPr>
        <w:t> </w:t>
      </w:r>
      <w:r w:rsidRPr="00F7725F">
        <w:rPr>
          <w:rFonts w:cs="Calibri"/>
          <w:szCs w:val="24"/>
        </w:rPr>
        <w:t>710</w:t>
      </w:r>
      <w:r w:rsidR="00CA7985">
        <w:rPr>
          <w:rFonts w:cs="Calibri"/>
          <w:szCs w:val="24"/>
        </w:rPr>
        <w:t> –</w:t>
      </w:r>
      <w:r w:rsidRPr="00F7725F">
        <w:rPr>
          <w:rFonts w:cs="Calibri"/>
          <w:szCs w:val="24"/>
        </w:rPr>
        <w:t xml:space="preserve"> </w:t>
      </w:r>
      <w:r w:rsidRPr="00F7725F">
        <w:rPr>
          <w:rFonts w:cs="Calibri"/>
          <w:i/>
          <w:szCs w:val="24"/>
        </w:rPr>
        <w:t>Rozvoj materiálně technické základny mimoškolních aktivit dětí a mládeže</w:t>
      </w:r>
      <w:r w:rsidRPr="00F7725F">
        <w:rPr>
          <w:rFonts w:cs="Calibri"/>
          <w:szCs w:val="24"/>
        </w:rPr>
        <w:t>. Tento program nebyl předmětem kontroly NKÚ.</w:t>
      </w:r>
    </w:p>
    <w:p w14:paraId="047B5624" w14:textId="77777777" w:rsidR="00595526" w:rsidRPr="00F7725F" w:rsidRDefault="00595526" w:rsidP="00F53B44">
      <w:pPr>
        <w:rPr>
          <w:rFonts w:cs="Calibri"/>
          <w:szCs w:val="24"/>
        </w:rPr>
      </w:pPr>
    </w:p>
    <w:p w14:paraId="0AA45642" w14:textId="665F6071" w:rsidR="00595526" w:rsidRPr="00F7725F" w:rsidRDefault="00595526" w:rsidP="00F53B44">
      <w:pPr>
        <w:rPr>
          <w:rFonts w:cs="Calibri"/>
          <w:szCs w:val="24"/>
        </w:rPr>
      </w:pPr>
      <w:r w:rsidRPr="00F7725F">
        <w:rPr>
          <w:rFonts w:cs="Calibri"/>
          <w:szCs w:val="24"/>
        </w:rPr>
        <w:t>NKÚ prověřil 67 projektů, na jejichž realizaci MŠMT posk</w:t>
      </w:r>
      <w:r w:rsidR="007A3DDA" w:rsidRPr="00F7725F">
        <w:rPr>
          <w:rFonts w:cs="Calibri"/>
          <w:szCs w:val="24"/>
        </w:rPr>
        <w:t xml:space="preserve">ytlo </w:t>
      </w:r>
      <w:r w:rsidR="00CA7985" w:rsidRPr="00F7725F">
        <w:rPr>
          <w:rFonts w:cs="Calibri"/>
          <w:szCs w:val="24"/>
        </w:rPr>
        <w:t xml:space="preserve">14 příjemcům </w:t>
      </w:r>
      <w:r w:rsidR="007A3DDA" w:rsidRPr="00F7725F">
        <w:rPr>
          <w:rFonts w:cs="Calibri"/>
          <w:szCs w:val="24"/>
        </w:rPr>
        <w:t>podporu v celkové výši 355 </w:t>
      </w:r>
      <w:r w:rsidRPr="00F7725F">
        <w:rPr>
          <w:rFonts w:cs="Calibri"/>
          <w:szCs w:val="24"/>
        </w:rPr>
        <w:t>mil. Kč.</w:t>
      </w:r>
    </w:p>
    <w:p w14:paraId="770DD0B9" w14:textId="77777777" w:rsidR="00C347AC" w:rsidRPr="00F7725F" w:rsidRDefault="00C347AC" w:rsidP="00F53B44">
      <w:pPr>
        <w:rPr>
          <w:rFonts w:cs="Calibri"/>
          <w:szCs w:val="24"/>
        </w:rPr>
      </w:pPr>
    </w:p>
    <w:p w14:paraId="4F476BAD" w14:textId="4C955770" w:rsidR="00FE5C8F" w:rsidRPr="00F7725F" w:rsidRDefault="000F0BAA" w:rsidP="00F53B44">
      <w:pPr>
        <w:rPr>
          <w:rFonts w:cs="Calibri"/>
          <w:szCs w:val="24"/>
        </w:rPr>
      </w:pPr>
      <w:r w:rsidRPr="00F7725F">
        <w:rPr>
          <w:rFonts w:cs="Calibri"/>
          <w:szCs w:val="24"/>
        </w:rPr>
        <w:t>P</w:t>
      </w:r>
      <w:r w:rsidR="00E02265" w:rsidRPr="00F7725F">
        <w:rPr>
          <w:rFonts w:cs="Calibri"/>
          <w:szCs w:val="24"/>
        </w:rPr>
        <w:t>oslání</w:t>
      </w:r>
      <w:r w:rsidRPr="00F7725F">
        <w:rPr>
          <w:rFonts w:cs="Calibri"/>
          <w:szCs w:val="24"/>
        </w:rPr>
        <w:t xml:space="preserve"> a cíle </w:t>
      </w:r>
      <w:r w:rsidR="00E02265" w:rsidRPr="00F7725F">
        <w:rPr>
          <w:rFonts w:cs="Calibri"/>
          <w:szCs w:val="24"/>
        </w:rPr>
        <w:t>podpory</w:t>
      </w:r>
      <w:r w:rsidR="00E11E17" w:rsidRPr="00F7725F">
        <w:rPr>
          <w:rFonts w:cs="Calibri"/>
          <w:szCs w:val="24"/>
        </w:rPr>
        <w:t>, struktur</w:t>
      </w:r>
      <w:r w:rsidR="0063495E" w:rsidRPr="00F7725F">
        <w:rPr>
          <w:rFonts w:cs="Calibri"/>
          <w:szCs w:val="24"/>
        </w:rPr>
        <w:t>a</w:t>
      </w:r>
      <w:r w:rsidR="00E11E17" w:rsidRPr="00F7725F">
        <w:rPr>
          <w:rFonts w:cs="Calibri"/>
          <w:szCs w:val="24"/>
        </w:rPr>
        <w:t xml:space="preserve"> P</w:t>
      </w:r>
      <w:r w:rsidR="00E02265" w:rsidRPr="00F7725F">
        <w:rPr>
          <w:rFonts w:cs="Calibri"/>
          <w:szCs w:val="24"/>
        </w:rPr>
        <w:t>rogramů</w:t>
      </w:r>
      <w:r w:rsidR="00D45913" w:rsidRPr="00F7725F">
        <w:rPr>
          <w:rFonts w:cs="Calibri"/>
          <w:szCs w:val="24"/>
        </w:rPr>
        <w:t xml:space="preserve"> a p</w:t>
      </w:r>
      <w:r w:rsidR="001747B8" w:rsidRPr="00F7725F">
        <w:rPr>
          <w:rFonts w:cs="Calibri"/>
          <w:szCs w:val="24"/>
        </w:rPr>
        <w:t>odmínky poskytování této podpory byly v kontrolovaném období upraveny dokument</w:t>
      </w:r>
      <w:r w:rsidR="00CA7985">
        <w:rPr>
          <w:rFonts w:cs="Calibri"/>
          <w:szCs w:val="24"/>
        </w:rPr>
        <w:t>em</w:t>
      </w:r>
      <w:r w:rsidR="001747B8" w:rsidRPr="00F7725F">
        <w:rPr>
          <w:rFonts w:cs="Calibri"/>
          <w:szCs w:val="24"/>
        </w:rPr>
        <w:t xml:space="preserve"> </w:t>
      </w:r>
      <w:r w:rsidR="001747B8" w:rsidRPr="00F7725F">
        <w:rPr>
          <w:rFonts w:cs="Calibri"/>
          <w:i/>
          <w:szCs w:val="24"/>
        </w:rPr>
        <w:t>Programy státní podpory práce s dětmi a mládeží pro nestátní neziskové organizace</w:t>
      </w:r>
      <w:r w:rsidR="00BB083A">
        <w:rPr>
          <w:rFonts w:cs="Calibri"/>
          <w:szCs w:val="24"/>
        </w:rPr>
        <w:t xml:space="preserve"> (dále jen „</w:t>
      </w:r>
      <w:r w:rsidR="00BB083A" w:rsidRPr="00BB083A">
        <w:rPr>
          <w:rFonts w:cs="Calibri"/>
          <w:szCs w:val="24"/>
        </w:rPr>
        <w:t>Programy státní podpory práce s dětmi a mládeží pro NNO</w:t>
      </w:r>
      <w:r w:rsidR="00BB083A">
        <w:rPr>
          <w:rFonts w:cs="Calibri"/>
          <w:szCs w:val="24"/>
        </w:rPr>
        <w:t>“)</w:t>
      </w:r>
      <w:r w:rsidR="001747B8" w:rsidRPr="00F7725F">
        <w:rPr>
          <w:rFonts w:cs="Calibri"/>
          <w:szCs w:val="24"/>
        </w:rPr>
        <w:t xml:space="preserve"> ve znění </w:t>
      </w:r>
      <w:r w:rsidR="0063495E" w:rsidRPr="00F7725F">
        <w:rPr>
          <w:rFonts w:cs="Calibri"/>
          <w:szCs w:val="24"/>
        </w:rPr>
        <w:t>účinném</w:t>
      </w:r>
      <w:r w:rsidR="001747B8" w:rsidRPr="00F7725F">
        <w:rPr>
          <w:rFonts w:cs="Calibri"/>
          <w:szCs w:val="24"/>
        </w:rPr>
        <w:t xml:space="preserve"> </w:t>
      </w:r>
      <w:r w:rsidR="003543A6" w:rsidRPr="00F7725F">
        <w:rPr>
          <w:rFonts w:cs="Calibri"/>
          <w:szCs w:val="24"/>
        </w:rPr>
        <w:t>pro</w:t>
      </w:r>
      <w:r w:rsidR="00CA7985">
        <w:rPr>
          <w:rFonts w:cs="Calibri"/>
          <w:szCs w:val="24"/>
        </w:rPr>
        <w:t xml:space="preserve"> </w:t>
      </w:r>
      <w:r w:rsidR="00057731" w:rsidRPr="00F7725F">
        <w:rPr>
          <w:rFonts w:cs="Calibri"/>
          <w:szCs w:val="24"/>
        </w:rPr>
        <w:t>příslušný rok.</w:t>
      </w:r>
    </w:p>
    <w:p w14:paraId="67F43D4B" w14:textId="77777777" w:rsidR="00D45913" w:rsidRPr="00F7725F" w:rsidRDefault="00D45913" w:rsidP="00F53B44">
      <w:pPr>
        <w:rPr>
          <w:rFonts w:cs="Calibri"/>
          <w:szCs w:val="24"/>
        </w:rPr>
      </w:pPr>
    </w:p>
    <w:p w14:paraId="548C964D" w14:textId="77777777" w:rsidR="00F93E92" w:rsidRPr="00F7725F" w:rsidRDefault="00F93E92" w:rsidP="00F93E92">
      <w:pPr>
        <w:widowControl/>
        <w:rPr>
          <w:rFonts w:cs="Calibri"/>
          <w:color w:val="000000"/>
          <w:sz w:val="20"/>
          <w:szCs w:val="24"/>
        </w:rPr>
      </w:pPr>
      <w:r w:rsidRPr="00F7725F">
        <w:rPr>
          <w:rFonts w:cs="Calibri"/>
          <w:b/>
          <w:bCs/>
          <w:color w:val="000000"/>
          <w:sz w:val="20"/>
          <w:szCs w:val="24"/>
        </w:rPr>
        <w:t xml:space="preserve">Pozn.: </w:t>
      </w:r>
      <w:r w:rsidRPr="00F7725F">
        <w:rPr>
          <w:rFonts w:cs="Calibri"/>
          <w:color w:val="000000"/>
          <w:sz w:val="20"/>
          <w:szCs w:val="24"/>
        </w:rPr>
        <w:t>Právní předpisy jsou v tomto kontrolním závěru aplikovány ve znění účinném pro kontrolované období.</w:t>
      </w:r>
    </w:p>
    <w:p w14:paraId="0CFCD24C" w14:textId="6CE9BF23" w:rsidR="005E7B94" w:rsidRDefault="005E7B94" w:rsidP="003C2F8F">
      <w:pPr>
        <w:rPr>
          <w:szCs w:val="22"/>
        </w:rPr>
      </w:pPr>
    </w:p>
    <w:p w14:paraId="5E568452" w14:textId="77777777" w:rsidR="00F93E92" w:rsidRDefault="00F93E92" w:rsidP="003C2F8F">
      <w:pPr>
        <w:rPr>
          <w:szCs w:val="22"/>
        </w:rPr>
      </w:pPr>
    </w:p>
    <w:p w14:paraId="2F2F47D6" w14:textId="77777777" w:rsidR="001409EA" w:rsidRDefault="001409EA">
      <w:pPr>
        <w:widowControl/>
        <w:autoSpaceDE/>
        <w:autoSpaceDN/>
        <w:adjustRightInd/>
        <w:spacing w:after="160" w:line="259" w:lineRule="auto"/>
        <w:jc w:val="left"/>
        <w:rPr>
          <w:rFonts w:cs="Calibri"/>
          <w:b/>
          <w:bCs/>
          <w:sz w:val="28"/>
          <w:szCs w:val="28"/>
        </w:rPr>
      </w:pPr>
      <w:r>
        <w:br w:type="page"/>
      </w:r>
    </w:p>
    <w:p w14:paraId="3C1FE3A6" w14:textId="2E97791C" w:rsidR="00FE5C8F" w:rsidRPr="00825BEE" w:rsidRDefault="00F53B44" w:rsidP="00F53B44">
      <w:pPr>
        <w:pStyle w:val="Nadpis1"/>
        <w:numPr>
          <w:ilvl w:val="0"/>
          <w:numId w:val="0"/>
        </w:numPr>
        <w:spacing w:after="0"/>
      </w:pPr>
      <w:r>
        <w:lastRenderedPageBreak/>
        <w:t xml:space="preserve">II. </w:t>
      </w:r>
      <w:r w:rsidR="00FE5C8F" w:rsidRPr="00825BEE">
        <w:t>Shrnutí a vyhodnocení skutečností zjištěných při kontrole</w:t>
      </w:r>
    </w:p>
    <w:p w14:paraId="6128D5D5" w14:textId="77777777" w:rsidR="00F53B44" w:rsidRPr="00F53B44" w:rsidRDefault="00F53B44" w:rsidP="00F53B44">
      <w:pPr>
        <w:rPr>
          <w:rFonts w:cs="Calibri"/>
          <w:szCs w:val="24"/>
        </w:rPr>
      </w:pPr>
    </w:p>
    <w:p w14:paraId="05D251D9" w14:textId="6E0F6F2C" w:rsidR="00E219B9" w:rsidRPr="00F7725F" w:rsidRDefault="006B044B" w:rsidP="00F53B44">
      <w:pPr>
        <w:rPr>
          <w:rFonts w:cs="Calibri"/>
          <w:b/>
          <w:szCs w:val="24"/>
        </w:rPr>
      </w:pPr>
      <w:r w:rsidRPr="00F7725F">
        <w:rPr>
          <w:rFonts w:cs="Calibri"/>
          <w:b/>
          <w:szCs w:val="24"/>
        </w:rPr>
        <w:t>1.</w:t>
      </w:r>
      <w:r w:rsidR="00E219B9" w:rsidRPr="00F7725F">
        <w:rPr>
          <w:rFonts w:cs="Calibri"/>
          <w:b/>
          <w:szCs w:val="24"/>
        </w:rPr>
        <w:t xml:space="preserve"> </w:t>
      </w:r>
      <w:r w:rsidR="00DE072B" w:rsidRPr="00F7725F">
        <w:rPr>
          <w:rFonts w:cs="Calibri"/>
          <w:b/>
          <w:szCs w:val="24"/>
        </w:rPr>
        <w:t>Dopad Programů na cílovou skupinu nelze vyhodnotit.</w:t>
      </w:r>
    </w:p>
    <w:p w14:paraId="52113C3A" w14:textId="77777777" w:rsidR="00F53B44" w:rsidRPr="00F53B44" w:rsidRDefault="00F53B44" w:rsidP="00F53B44">
      <w:pPr>
        <w:rPr>
          <w:rFonts w:cs="Calibri"/>
          <w:szCs w:val="24"/>
        </w:rPr>
      </w:pPr>
    </w:p>
    <w:p w14:paraId="66BA71E7" w14:textId="5769CD05" w:rsidR="00DD067F" w:rsidRPr="00F7725F" w:rsidRDefault="00DD067F" w:rsidP="00F53B44">
      <w:pPr>
        <w:rPr>
          <w:rFonts w:cs="Calibri"/>
          <w:szCs w:val="24"/>
        </w:rPr>
      </w:pPr>
      <w:r w:rsidRPr="00F7725F">
        <w:rPr>
          <w:rFonts w:cs="Calibri"/>
          <w:b/>
          <w:szCs w:val="24"/>
        </w:rPr>
        <w:t xml:space="preserve">Koncepce 2020 </w:t>
      </w:r>
      <w:r w:rsidR="00E11E17" w:rsidRPr="00F7725F">
        <w:rPr>
          <w:rFonts w:cs="Calibri"/>
          <w:b/>
          <w:szCs w:val="24"/>
        </w:rPr>
        <w:t>ani P</w:t>
      </w:r>
      <w:r w:rsidRPr="00F7725F">
        <w:rPr>
          <w:rFonts w:cs="Calibri"/>
          <w:b/>
          <w:szCs w:val="24"/>
        </w:rPr>
        <w:t>rogramy státní podpory práce s dětmi a mládeží pro NNO nemají nastaveny žádné měřitelné cíle, indikátory nebo</w:t>
      </w:r>
      <w:r w:rsidR="00D834EF">
        <w:rPr>
          <w:rFonts w:cs="Calibri"/>
          <w:b/>
          <w:szCs w:val="24"/>
        </w:rPr>
        <w:t xml:space="preserve"> </w:t>
      </w:r>
      <w:r w:rsidRPr="00F7725F">
        <w:rPr>
          <w:rFonts w:cs="Calibri"/>
          <w:b/>
          <w:szCs w:val="24"/>
        </w:rPr>
        <w:t xml:space="preserve">jakékoliv jiné ukazatele, které by umožnily vyhodnocení dopadů poskytovaných dotací či naplňování strategických cílů státní politiky v oblasti podpory volného času dětí a mládeže. </w:t>
      </w:r>
      <w:r w:rsidRPr="00F7725F">
        <w:rPr>
          <w:rFonts w:cs="Calibri"/>
          <w:szCs w:val="24"/>
        </w:rPr>
        <w:t xml:space="preserve">V rámci </w:t>
      </w:r>
      <w:r w:rsidR="00E11E17" w:rsidRPr="00F7725F">
        <w:rPr>
          <w:rFonts w:cs="Calibri"/>
          <w:szCs w:val="24"/>
        </w:rPr>
        <w:t>P</w:t>
      </w:r>
      <w:r w:rsidRPr="00F7725F">
        <w:rPr>
          <w:rFonts w:cs="Calibri"/>
          <w:szCs w:val="24"/>
        </w:rPr>
        <w:t>rogramů</w:t>
      </w:r>
      <w:r w:rsidR="0063495E" w:rsidRPr="00F7725F">
        <w:rPr>
          <w:rFonts w:cs="Calibri"/>
          <w:szCs w:val="24"/>
        </w:rPr>
        <w:t xml:space="preserve"> je</w:t>
      </w:r>
      <w:r w:rsidRPr="00F7725F">
        <w:rPr>
          <w:rFonts w:cs="Calibri"/>
          <w:szCs w:val="24"/>
        </w:rPr>
        <w:t xml:space="preserve"> jediným sledovatelným ukazatel</w:t>
      </w:r>
      <w:r w:rsidR="0063495E" w:rsidRPr="00F7725F">
        <w:rPr>
          <w:rFonts w:cs="Calibri"/>
          <w:szCs w:val="24"/>
        </w:rPr>
        <w:t>em</w:t>
      </w:r>
      <w:r w:rsidRPr="00F7725F">
        <w:rPr>
          <w:rFonts w:cs="Calibri"/>
          <w:szCs w:val="24"/>
        </w:rPr>
        <w:t xml:space="preserve"> objem vyplacených finančních </w:t>
      </w:r>
      <w:r w:rsidR="00AB24E1" w:rsidRPr="00F7725F">
        <w:rPr>
          <w:rFonts w:cs="Calibri"/>
          <w:szCs w:val="24"/>
        </w:rPr>
        <w:t>prostředků ze státního rozpočtu</w:t>
      </w:r>
      <w:r w:rsidRPr="00F7725F">
        <w:rPr>
          <w:rFonts w:cs="Calibri"/>
          <w:szCs w:val="24"/>
        </w:rPr>
        <w:t>. T</w:t>
      </w:r>
      <w:r w:rsidR="0063495E" w:rsidRPr="00F7725F">
        <w:rPr>
          <w:rFonts w:cs="Calibri"/>
          <w:szCs w:val="24"/>
        </w:rPr>
        <w:t>ento</w:t>
      </w:r>
      <w:r w:rsidRPr="00F7725F">
        <w:rPr>
          <w:rFonts w:cs="Calibri"/>
          <w:szCs w:val="24"/>
        </w:rPr>
        <w:t xml:space="preserve"> údaj</w:t>
      </w:r>
      <w:r w:rsidR="00AB24E1" w:rsidRPr="00F7725F">
        <w:rPr>
          <w:rFonts w:cs="Calibri"/>
          <w:szCs w:val="24"/>
        </w:rPr>
        <w:t xml:space="preserve"> však</w:t>
      </w:r>
      <w:r w:rsidRPr="00F7725F">
        <w:rPr>
          <w:rFonts w:cs="Calibri"/>
          <w:szCs w:val="24"/>
        </w:rPr>
        <w:t xml:space="preserve"> bez dalšího kontextu neumožňuj</w:t>
      </w:r>
      <w:r w:rsidR="0063495E" w:rsidRPr="00F7725F">
        <w:rPr>
          <w:rFonts w:cs="Calibri"/>
          <w:szCs w:val="24"/>
        </w:rPr>
        <w:t>e</w:t>
      </w:r>
      <w:r w:rsidRPr="00F7725F">
        <w:rPr>
          <w:rFonts w:cs="Calibri"/>
          <w:szCs w:val="24"/>
        </w:rPr>
        <w:t xml:space="preserve"> MŠMT jakkoliv objektivně vyhodnotit dopady podpory mláde</w:t>
      </w:r>
      <w:r w:rsidR="00E11E17" w:rsidRPr="00F7725F">
        <w:rPr>
          <w:rFonts w:cs="Calibri"/>
          <w:szCs w:val="24"/>
        </w:rPr>
        <w:t>že realizované prostřednictvím P</w:t>
      </w:r>
      <w:r w:rsidRPr="00F7725F">
        <w:rPr>
          <w:rFonts w:cs="Calibri"/>
          <w:szCs w:val="24"/>
        </w:rPr>
        <w:t>rogramů a jejího vlivu na plnění Koncepce 2020.</w:t>
      </w:r>
    </w:p>
    <w:p w14:paraId="6D4AF6D7" w14:textId="7A57D10D" w:rsidR="00C12CBD" w:rsidRPr="00F7725F" w:rsidRDefault="00C12CBD" w:rsidP="00F53B44">
      <w:pPr>
        <w:rPr>
          <w:rFonts w:cs="Calibri"/>
          <w:szCs w:val="24"/>
        </w:rPr>
      </w:pPr>
    </w:p>
    <w:p w14:paraId="6EA1847A" w14:textId="431D5342" w:rsidR="00F458A7" w:rsidRPr="00F7725F" w:rsidRDefault="00F458A7" w:rsidP="00F53B44">
      <w:pPr>
        <w:rPr>
          <w:rFonts w:cs="Calibri"/>
          <w:szCs w:val="24"/>
        </w:rPr>
      </w:pPr>
      <w:r w:rsidRPr="00F7725F">
        <w:rPr>
          <w:rFonts w:cs="Calibri"/>
          <w:b/>
          <w:szCs w:val="24"/>
        </w:rPr>
        <w:t>Střednědobé vyhodnocení Koncepce 2020, které MŠMT předložilo v roce 2017 vládě ČR, neobsahovalo vyhodnocení reálného dopadu státní politiky v oblasti podpory mládeže na</w:t>
      </w:r>
      <w:r w:rsidR="00CC2C1D">
        <w:rPr>
          <w:rFonts w:cs="Calibri"/>
          <w:b/>
          <w:szCs w:val="24"/>
        </w:rPr>
        <w:t xml:space="preserve"> </w:t>
      </w:r>
      <w:r w:rsidRPr="00F7725F">
        <w:rPr>
          <w:rFonts w:cs="Calibri"/>
          <w:b/>
          <w:szCs w:val="24"/>
        </w:rPr>
        <w:t xml:space="preserve">cílovou skupinu. </w:t>
      </w:r>
      <w:r w:rsidRPr="00F7725F">
        <w:rPr>
          <w:rFonts w:cs="Calibri"/>
          <w:szCs w:val="24"/>
        </w:rPr>
        <w:t>MŠMT předložilo vládě ČR</w:t>
      </w:r>
      <w:r w:rsidR="00E11E17" w:rsidRPr="00F7725F">
        <w:rPr>
          <w:rFonts w:cs="Calibri"/>
          <w:szCs w:val="24"/>
        </w:rPr>
        <w:t xml:space="preserve"> materiál,</w:t>
      </w:r>
      <w:r w:rsidR="0063495E" w:rsidRPr="00F7725F">
        <w:rPr>
          <w:rFonts w:cs="Calibri"/>
          <w:szCs w:val="24"/>
        </w:rPr>
        <w:t xml:space="preserve"> ve kterém</w:t>
      </w:r>
      <w:r w:rsidR="00E11E17" w:rsidRPr="00F7725F">
        <w:rPr>
          <w:rFonts w:cs="Calibri"/>
          <w:szCs w:val="24"/>
        </w:rPr>
        <w:t xml:space="preserve"> v souvislosti s P</w:t>
      </w:r>
      <w:r w:rsidRPr="00F7725F">
        <w:rPr>
          <w:rFonts w:cs="Calibri"/>
          <w:szCs w:val="24"/>
        </w:rPr>
        <w:t>rogramy jako</w:t>
      </w:r>
      <w:r w:rsidR="00CC2C1D">
        <w:rPr>
          <w:rFonts w:cs="Calibri"/>
          <w:szCs w:val="24"/>
        </w:rPr>
        <w:t xml:space="preserve"> </w:t>
      </w:r>
      <w:r w:rsidRPr="00F7725F">
        <w:rPr>
          <w:rFonts w:cs="Calibri"/>
          <w:szCs w:val="24"/>
        </w:rPr>
        <w:t>hlavním implementačním nástrojem Koncepce 2020 informovalo o</w:t>
      </w:r>
      <w:r w:rsidR="00AB24E1" w:rsidRPr="00F7725F">
        <w:rPr>
          <w:rFonts w:cs="Calibri"/>
          <w:szCs w:val="24"/>
        </w:rPr>
        <w:t xml:space="preserve"> množství podaných a </w:t>
      </w:r>
      <w:r w:rsidRPr="00F7725F">
        <w:rPr>
          <w:rFonts w:cs="Calibri"/>
          <w:szCs w:val="24"/>
        </w:rPr>
        <w:t>podpořených žádostí a objemu finančních prostředků plynoucí</w:t>
      </w:r>
      <w:r w:rsidR="0063495E" w:rsidRPr="00F7725F">
        <w:rPr>
          <w:rFonts w:cs="Calibri"/>
          <w:szCs w:val="24"/>
        </w:rPr>
        <w:t>ch</w:t>
      </w:r>
      <w:r w:rsidRPr="00F7725F">
        <w:rPr>
          <w:rFonts w:cs="Calibri"/>
          <w:szCs w:val="24"/>
        </w:rPr>
        <w:t xml:space="preserve"> do NNO jejich prostřednictvím. Dopad takto vynaložených prostředků na cílovou skupinu uvedený materiál vůbec neřešil a navíc obsahoval chybné a nepřesné údaje o celkovém čerpání finančních prostředků. MŠMT </w:t>
      </w:r>
      <w:r w:rsidR="00CE171E" w:rsidRPr="00F7725F">
        <w:rPr>
          <w:rFonts w:cs="Calibri"/>
          <w:szCs w:val="24"/>
        </w:rPr>
        <w:t xml:space="preserve">se </w:t>
      </w:r>
      <w:r w:rsidRPr="00F7725F">
        <w:rPr>
          <w:rFonts w:cs="Calibri"/>
          <w:szCs w:val="24"/>
        </w:rPr>
        <w:t xml:space="preserve">tak </w:t>
      </w:r>
      <w:r w:rsidR="00CE171E" w:rsidRPr="00F7725F">
        <w:rPr>
          <w:rFonts w:cs="Calibri"/>
          <w:szCs w:val="24"/>
        </w:rPr>
        <w:t>neřídilo</w:t>
      </w:r>
      <w:r w:rsidR="00CE171E" w:rsidRPr="00F7725F">
        <w:rPr>
          <w:rStyle w:val="Znakapoznpodarou"/>
          <w:rFonts w:cs="Calibri"/>
          <w:szCs w:val="24"/>
        </w:rPr>
        <w:footnoteReference w:id="4"/>
      </w:r>
      <w:r w:rsidRPr="00F7725F">
        <w:rPr>
          <w:rFonts w:cs="Calibri"/>
          <w:szCs w:val="24"/>
        </w:rPr>
        <w:t xml:space="preserve"> usnesení</w:t>
      </w:r>
      <w:r w:rsidR="00CE171E" w:rsidRPr="00F7725F">
        <w:rPr>
          <w:rFonts w:cs="Calibri"/>
          <w:szCs w:val="24"/>
        </w:rPr>
        <w:t>m</w:t>
      </w:r>
      <w:r w:rsidRPr="00F7725F">
        <w:rPr>
          <w:rFonts w:cs="Calibri"/>
          <w:szCs w:val="24"/>
        </w:rPr>
        <w:t xml:space="preserve"> vlády</w:t>
      </w:r>
      <w:r w:rsidR="00CC2C1D" w:rsidRPr="00F7725F">
        <w:rPr>
          <w:rFonts w:cs="Calibri"/>
          <w:szCs w:val="24"/>
        </w:rPr>
        <w:t>, jímž byla Koncepce 2020 schválena</w:t>
      </w:r>
      <w:r w:rsidR="00CC2C1D" w:rsidRPr="00F7725F">
        <w:rPr>
          <w:rStyle w:val="Znakapoznpodarou"/>
          <w:rFonts w:cs="Calibri"/>
          <w:szCs w:val="24"/>
        </w:rPr>
        <w:t xml:space="preserve"> </w:t>
      </w:r>
      <w:r w:rsidR="00E11E17" w:rsidRPr="00F7725F">
        <w:rPr>
          <w:rStyle w:val="Znakapoznpodarou"/>
          <w:rFonts w:cs="Calibri"/>
          <w:szCs w:val="24"/>
        </w:rPr>
        <w:footnoteReference w:id="5"/>
      </w:r>
      <w:r w:rsidR="00A83561" w:rsidRPr="00F7725F">
        <w:rPr>
          <w:rFonts w:cs="Calibri"/>
          <w:szCs w:val="24"/>
        </w:rPr>
        <w:t>.</w:t>
      </w:r>
      <w:r w:rsidR="00E11E17" w:rsidRPr="00F7725F">
        <w:rPr>
          <w:rFonts w:cs="Calibri"/>
          <w:szCs w:val="24"/>
        </w:rPr>
        <w:t xml:space="preserve"> </w:t>
      </w:r>
      <w:r w:rsidR="00A83561" w:rsidRPr="00F7725F">
        <w:rPr>
          <w:rFonts w:cs="Calibri"/>
          <w:szCs w:val="24"/>
        </w:rPr>
        <w:t>To</w:t>
      </w:r>
      <w:r w:rsidR="00E11E17" w:rsidRPr="00F7725F">
        <w:rPr>
          <w:rFonts w:cs="Calibri"/>
          <w:szCs w:val="24"/>
        </w:rPr>
        <w:t xml:space="preserve"> mu stanovilo</w:t>
      </w:r>
      <w:r w:rsidRPr="00F7725F">
        <w:rPr>
          <w:rFonts w:cs="Calibri"/>
          <w:szCs w:val="24"/>
        </w:rPr>
        <w:t xml:space="preserve"> povinnost předložit </w:t>
      </w:r>
      <w:r w:rsidR="00A325EE" w:rsidRPr="00F7725F">
        <w:rPr>
          <w:rFonts w:cs="Calibri"/>
          <w:szCs w:val="24"/>
        </w:rPr>
        <w:t>střednědob</w:t>
      </w:r>
      <w:r w:rsidR="00512665" w:rsidRPr="00F7725F">
        <w:rPr>
          <w:rFonts w:cs="Calibri"/>
          <w:szCs w:val="24"/>
        </w:rPr>
        <w:t xml:space="preserve">é </w:t>
      </w:r>
      <w:r w:rsidRPr="00F7725F">
        <w:rPr>
          <w:rFonts w:cs="Calibri"/>
          <w:szCs w:val="24"/>
        </w:rPr>
        <w:t>vyhodnocení dopadu K</w:t>
      </w:r>
      <w:r w:rsidR="004C38AE" w:rsidRPr="00F7725F">
        <w:rPr>
          <w:rFonts w:cs="Calibri"/>
          <w:szCs w:val="24"/>
        </w:rPr>
        <w:t>oncepce 2020 na cílovou skupinu.</w:t>
      </w:r>
    </w:p>
    <w:p w14:paraId="29C418B3" w14:textId="77777777" w:rsidR="00F458A7" w:rsidRPr="00F7725F" w:rsidRDefault="00F458A7" w:rsidP="00F53B44">
      <w:pPr>
        <w:rPr>
          <w:rFonts w:cs="Calibri"/>
          <w:szCs w:val="24"/>
        </w:rPr>
      </w:pPr>
    </w:p>
    <w:p w14:paraId="63E8091B" w14:textId="1A5C39FC" w:rsidR="00DD067F" w:rsidRPr="00F7725F" w:rsidRDefault="00DD067F" w:rsidP="00F53B44">
      <w:pPr>
        <w:rPr>
          <w:rFonts w:cs="Calibri"/>
          <w:b/>
          <w:szCs w:val="24"/>
        </w:rPr>
      </w:pPr>
      <w:r w:rsidRPr="00F7725F">
        <w:rPr>
          <w:rFonts w:cs="Calibri"/>
          <w:b/>
          <w:szCs w:val="24"/>
        </w:rPr>
        <w:t xml:space="preserve">MŠMT nemá přehled o implementačních nástrojích </w:t>
      </w:r>
      <w:r w:rsidR="0078659D" w:rsidRPr="00F7725F">
        <w:rPr>
          <w:rFonts w:cs="Calibri"/>
          <w:b/>
          <w:szCs w:val="24"/>
        </w:rPr>
        <w:t xml:space="preserve">jiných resortů </w:t>
      </w:r>
      <w:r w:rsidRPr="00F7725F">
        <w:rPr>
          <w:rFonts w:cs="Calibri"/>
          <w:b/>
          <w:szCs w:val="24"/>
        </w:rPr>
        <w:t>používan</w:t>
      </w:r>
      <w:r w:rsidR="0078659D" w:rsidRPr="00F7725F">
        <w:rPr>
          <w:rFonts w:cs="Calibri"/>
          <w:b/>
          <w:szCs w:val="24"/>
        </w:rPr>
        <w:t>ých pro realizaci Koncepce 2020</w:t>
      </w:r>
      <w:r w:rsidRPr="00F7725F">
        <w:rPr>
          <w:rFonts w:cs="Calibri"/>
          <w:b/>
          <w:szCs w:val="24"/>
        </w:rPr>
        <w:t xml:space="preserve"> ani o objemu prostředků, které každoročně</w:t>
      </w:r>
      <w:r w:rsidR="00681470" w:rsidRPr="00F7725F">
        <w:rPr>
          <w:rFonts w:cs="Calibri"/>
          <w:b/>
          <w:szCs w:val="24"/>
        </w:rPr>
        <w:t xml:space="preserve"> plynou z veřejných rozpočtů do</w:t>
      </w:r>
      <w:r w:rsidR="00CC2C1D">
        <w:rPr>
          <w:rFonts w:cs="Calibri"/>
          <w:b/>
          <w:szCs w:val="24"/>
        </w:rPr>
        <w:t xml:space="preserve"> </w:t>
      </w:r>
      <w:r w:rsidRPr="00F7725F">
        <w:rPr>
          <w:rFonts w:cs="Calibri"/>
          <w:b/>
          <w:szCs w:val="24"/>
        </w:rPr>
        <w:t xml:space="preserve">oblasti podpory mládeže, </w:t>
      </w:r>
      <w:r w:rsidRPr="00F7725F">
        <w:rPr>
          <w:rFonts w:cs="Calibri"/>
          <w:szCs w:val="24"/>
        </w:rPr>
        <w:t xml:space="preserve">přestože by mělo </w:t>
      </w:r>
      <w:r w:rsidR="00CC2C1D" w:rsidRPr="00F7725F">
        <w:rPr>
          <w:rFonts w:cs="Calibri"/>
          <w:szCs w:val="24"/>
        </w:rPr>
        <w:t xml:space="preserve">koordinovat </w:t>
      </w:r>
      <w:r w:rsidRPr="00F7725F">
        <w:rPr>
          <w:rFonts w:cs="Calibri"/>
          <w:szCs w:val="24"/>
        </w:rPr>
        <w:t>implementaci Koncepce 2020, resp. realizaci politiky státu v oblasti dětí a mládeže.</w:t>
      </w:r>
    </w:p>
    <w:p w14:paraId="417E0552" w14:textId="7BDC2AB8" w:rsidR="00C25BFA" w:rsidRPr="00F7725F" w:rsidRDefault="00C25BFA" w:rsidP="00F53B44">
      <w:pPr>
        <w:rPr>
          <w:rFonts w:cs="Calibri"/>
          <w:szCs w:val="24"/>
        </w:rPr>
      </w:pPr>
    </w:p>
    <w:p w14:paraId="3304928B" w14:textId="365F5395" w:rsidR="00DE072B" w:rsidRPr="00F7725F" w:rsidRDefault="00A54AB2" w:rsidP="00F53B44">
      <w:pPr>
        <w:tabs>
          <w:tab w:val="left" w:pos="284"/>
        </w:tabs>
        <w:ind w:left="284" w:hanging="284"/>
        <w:rPr>
          <w:rFonts w:cs="Calibri"/>
          <w:b/>
          <w:szCs w:val="24"/>
        </w:rPr>
      </w:pPr>
      <w:r w:rsidRPr="00F7725F">
        <w:rPr>
          <w:rFonts w:cs="Calibri"/>
          <w:b/>
          <w:szCs w:val="24"/>
        </w:rPr>
        <w:t>2.</w:t>
      </w:r>
      <w:r w:rsidRPr="00F7725F">
        <w:rPr>
          <w:rFonts w:cs="Calibri"/>
          <w:b/>
          <w:szCs w:val="24"/>
        </w:rPr>
        <w:tab/>
      </w:r>
      <w:r w:rsidR="00DE072B" w:rsidRPr="00F7725F">
        <w:rPr>
          <w:rFonts w:cs="Calibri"/>
          <w:b/>
          <w:szCs w:val="24"/>
        </w:rPr>
        <w:t>Výběr projektů k podpoře byl ne</w:t>
      </w:r>
      <w:r w:rsidR="00010B73" w:rsidRPr="00F7725F">
        <w:rPr>
          <w:rFonts w:cs="Calibri"/>
          <w:b/>
          <w:szCs w:val="24"/>
        </w:rPr>
        <w:t>transparentní</w:t>
      </w:r>
      <w:r w:rsidR="0078659D" w:rsidRPr="00F7725F">
        <w:rPr>
          <w:rFonts w:cs="Calibri"/>
          <w:b/>
          <w:szCs w:val="24"/>
        </w:rPr>
        <w:t xml:space="preserve"> a</w:t>
      </w:r>
      <w:r w:rsidR="00DE072B" w:rsidRPr="00F7725F">
        <w:rPr>
          <w:rFonts w:cs="Calibri"/>
          <w:b/>
          <w:szCs w:val="24"/>
        </w:rPr>
        <w:t xml:space="preserve"> MŠMT při poskytování dotací porušovalo nastavená pravidla.</w:t>
      </w:r>
    </w:p>
    <w:p w14:paraId="7F59F300" w14:textId="77777777" w:rsidR="00F53B44" w:rsidRPr="00F53B44" w:rsidRDefault="00F53B44" w:rsidP="00F53B44">
      <w:pPr>
        <w:tabs>
          <w:tab w:val="left" w:pos="284"/>
        </w:tabs>
        <w:rPr>
          <w:rFonts w:cs="Calibri"/>
          <w:szCs w:val="24"/>
        </w:rPr>
      </w:pPr>
    </w:p>
    <w:p w14:paraId="075A9DD9" w14:textId="77DE5E59" w:rsidR="00AB6342" w:rsidRDefault="00500207" w:rsidP="00F53B44">
      <w:pPr>
        <w:tabs>
          <w:tab w:val="left" w:pos="284"/>
        </w:tabs>
        <w:rPr>
          <w:rFonts w:cs="Calibri"/>
          <w:szCs w:val="24"/>
        </w:rPr>
      </w:pPr>
      <w:r w:rsidRPr="00F7725F">
        <w:rPr>
          <w:rFonts w:cs="Calibri"/>
          <w:b/>
          <w:szCs w:val="24"/>
        </w:rPr>
        <w:t>Postup MŠMT při posuzování projektů na rok</w:t>
      </w:r>
      <w:r w:rsidR="00C126BC" w:rsidRPr="00F7725F">
        <w:rPr>
          <w:rFonts w:cs="Calibri"/>
          <w:b/>
          <w:szCs w:val="24"/>
        </w:rPr>
        <w:t>y</w:t>
      </w:r>
      <w:r w:rsidRPr="00F7725F">
        <w:rPr>
          <w:rFonts w:cs="Calibri"/>
          <w:b/>
          <w:szCs w:val="24"/>
        </w:rPr>
        <w:t xml:space="preserve"> 2014 a 2015 a</w:t>
      </w:r>
      <w:r w:rsidR="009D783D" w:rsidRPr="00F7725F">
        <w:rPr>
          <w:rFonts w:cs="Calibri"/>
          <w:b/>
          <w:szCs w:val="24"/>
        </w:rPr>
        <w:t xml:space="preserve"> jejich výběr k podpoře byl </w:t>
      </w:r>
      <w:r w:rsidRPr="00F7725F">
        <w:rPr>
          <w:rFonts w:cs="Calibri"/>
          <w:b/>
          <w:szCs w:val="24"/>
        </w:rPr>
        <w:t>netransparentní.</w:t>
      </w:r>
      <w:r w:rsidRPr="00F7725F">
        <w:rPr>
          <w:rFonts w:cs="Calibri"/>
          <w:szCs w:val="24"/>
        </w:rPr>
        <w:t xml:space="preserve"> </w:t>
      </w:r>
      <w:r w:rsidR="00AB6342" w:rsidRPr="00F7725F">
        <w:rPr>
          <w:rFonts w:cs="Calibri"/>
          <w:szCs w:val="24"/>
        </w:rPr>
        <w:t xml:space="preserve">Z dokumentace </w:t>
      </w:r>
      <w:r w:rsidR="00E11E17" w:rsidRPr="00F7725F">
        <w:rPr>
          <w:rFonts w:cs="Calibri"/>
          <w:szCs w:val="24"/>
        </w:rPr>
        <w:t>P</w:t>
      </w:r>
      <w:r w:rsidR="00AB6342" w:rsidRPr="00F7725F">
        <w:rPr>
          <w:rFonts w:cs="Calibri"/>
          <w:szCs w:val="24"/>
        </w:rPr>
        <w:t xml:space="preserve">rogramů </w:t>
      </w:r>
      <w:r w:rsidR="00836992" w:rsidRPr="00F7725F">
        <w:rPr>
          <w:rFonts w:cs="Calibri"/>
          <w:szCs w:val="24"/>
        </w:rPr>
        <w:t xml:space="preserve">na roky 2014 a </w:t>
      </w:r>
      <w:r w:rsidR="00AB6342" w:rsidRPr="00F7725F">
        <w:rPr>
          <w:rFonts w:cs="Calibri"/>
          <w:szCs w:val="24"/>
        </w:rPr>
        <w:t>2015 uveřejněných na</w:t>
      </w:r>
      <w:r w:rsidR="008411D3">
        <w:rPr>
          <w:rFonts w:cs="Calibri"/>
          <w:szCs w:val="24"/>
        </w:rPr>
        <w:t xml:space="preserve"> </w:t>
      </w:r>
      <w:r w:rsidR="00AB6342" w:rsidRPr="00F7725F">
        <w:rPr>
          <w:rFonts w:cs="Calibri"/>
          <w:szCs w:val="24"/>
        </w:rPr>
        <w:t>internetových stránkách MŠMT neměli žadatelé o dotac</w:t>
      </w:r>
      <w:r w:rsidR="000330A4" w:rsidRPr="00F7725F">
        <w:rPr>
          <w:rFonts w:cs="Calibri"/>
          <w:szCs w:val="24"/>
        </w:rPr>
        <w:t>e</w:t>
      </w:r>
      <w:r w:rsidR="00167909" w:rsidRPr="00F7725F">
        <w:rPr>
          <w:rFonts w:cs="Calibri"/>
          <w:szCs w:val="24"/>
        </w:rPr>
        <w:t xml:space="preserve"> možnost zjistit, podle</w:t>
      </w:r>
      <w:r w:rsidR="008411D3">
        <w:rPr>
          <w:rFonts w:cs="Calibri"/>
          <w:szCs w:val="24"/>
        </w:rPr>
        <w:t xml:space="preserve"> </w:t>
      </w:r>
      <w:r w:rsidR="00167909" w:rsidRPr="00F7725F">
        <w:rPr>
          <w:rFonts w:cs="Calibri"/>
          <w:szCs w:val="24"/>
        </w:rPr>
        <w:t>jakých</w:t>
      </w:r>
      <w:r w:rsidR="008411D3">
        <w:rPr>
          <w:rFonts w:cs="Calibri"/>
          <w:szCs w:val="24"/>
        </w:rPr>
        <w:t xml:space="preserve"> </w:t>
      </w:r>
      <w:r w:rsidR="00AB6342" w:rsidRPr="00F7725F">
        <w:rPr>
          <w:rFonts w:cs="Calibri"/>
          <w:szCs w:val="24"/>
        </w:rPr>
        <w:t>kritérií budou</w:t>
      </w:r>
      <w:r w:rsidR="000330A4" w:rsidRPr="00F7725F">
        <w:rPr>
          <w:rFonts w:cs="Calibri"/>
          <w:szCs w:val="24"/>
        </w:rPr>
        <w:t xml:space="preserve"> jejich</w:t>
      </w:r>
      <w:r w:rsidR="00AB6342" w:rsidRPr="00F7725F">
        <w:rPr>
          <w:rFonts w:cs="Calibri"/>
          <w:szCs w:val="24"/>
        </w:rPr>
        <w:t xml:space="preserve"> projekty hodnoceny. </w:t>
      </w:r>
      <w:r w:rsidR="000330A4" w:rsidRPr="00F7725F">
        <w:rPr>
          <w:rFonts w:cs="Calibri"/>
          <w:szCs w:val="24"/>
        </w:rPr>
        <w:t>Kromě dvou mimořádných programů, pro které byla metodika hodnocení uveřejněna, byla k</w:t>
      </w:r>
      <w:r w:rsidR="00AB6342" w:rsidRPr="00F7725F">
        <w:rPr>
          <w:rFonts w:cs="Calibri"/>
          <w:szCs w:val="24"/>
        </w:rPr>
        <w:t>ritéria hodnocení</w:t>
      </w:r>
      <w:r w:rsidR="000330A4" w:rsidRPr="00F7725F">
        <w:rPr>
          <w:rFonts w:cs="Calibri"/>
          <w:szCs w:val="24"/>
        </w:rPr>
        <w:t xml:space="preserve"> uvedena pouze v</w:t>
      </w:r>
      <w:r w:rsidR="008411D3">
        <w:rPr>
          <w:rFonts w:cs="Calibri"/>
          <w:szCs w:val="24"/>
        </w:rPr>
        <w:t> </w:t>
      </w:r>
      <w:r w:rsidR="00DA05E0" w:rsidRPr="00F7725F">
        <w:rPr>
          <w:rFonts w:cs="Calibri"/>
          <w:szCs w:val="24"/>
        </w:rPr>
        <w:t>interním</w:t>
      </w:r>
      <w:r w:rsidR="008411D3">
        <w:rPr>
          <w:rFonts w:cs="Calibri"/>
          <w:szCs w:val="24"/>
        </w:rPr>
        <w:t xml:space="preserve"> </w:t>
      </w:r>
      <w:r w:rsidR="000330A4" w:rsidRPr="00F7725F">
        <w:rPr>
          <w:rFonts w:cs="Calibri"/>
          <w:szCs w:val="24"/>
        </w:rPr>
        <w:t>jednacím řádu hodnot</w:t>
      </w:r>
      <w:r w:rsidR="00CC2C1D">
        <w:rPr>
          <w:rFonts w:cs="Calibri"/>
          <w:szCs w:val="24"/>
        </w:rPr>
        <w:t>i</w:t>
      </w:r>
      <w:r w:rsidR="000330A4" w:rsidRPr="00F7725F">
        <w:rPr>
          <w:rFonts w:cs="Calibri"/>
          <w:szCs w:val="24"/>
        </w:rPr>
        <w:t>cí komise</w:t>
      </w:r>
      <w:r w:rsidR="00091117" w:rsidRPr="00F7725F">
        <w:rPr>
          <w:rFonts w:cs="Calibri"/>
          <w:szCs w:val="24"/>
        </w:rPr>
        <w:t xml:space="preserve">, avšak ani ta </w:t>
      </w:r>
      <w:r w:rsidR="00D82566" w:rsidRPr="00F7725F">
        <w:rPr>
          <w:rFonts w:cs="Calibri"/>
          <w:szCs w:val="24"/>
        </w:rPr>
        <w:t>nebyla hodnot</w:t>
      </w:r>
      <w:r w:rsidR="00CC2C1D">
        <w:rPr>
          <w:rFonts w:cs="Calibri"/>
          <w:szCs w:val="24"/>
        </w:rPr>
        <w:t>i</w:t>
      </w:r>
      <w:r w:rsidR="00D82566" w:rsidRPr="00F7725F">
        <w:rPr>
          <w:rFonts w:cs="Calibri"/>
          <w:szCs w:val="24"/>
        </w:rPr>
        <w:t>cí komisí použita.</w:t>
      </w:r>
    </w:p>
    <w:p w14:paraId="3121E23A" w14:textId="77777777" w:rsidR="008411D3" w:rsidRPr="00F7725F" w:rsidRDefault="008411D3" w:rsidP="00F53B44">
      <w:pPr>
        <w:tabs>
          <w:tab w:val="left" w:pos="284"/>
        </w:tabs>
        <w:rPr>
          <w:rFonts w:cs="Calibri"/>
          <w:szCs w:val="24"/>
        </w:rPr>
      </w:pPr>
    </w:p>
    <w:p w14:paraId="75FAB9F8" w14:textId="28D67F62" w:rsidR="00836992" w:rsidRPr="00F7725F" w:rsidRDefault="00C126BC" w:rsidP="00F53B44">
      <w:pPr>
        <w:rPr>
          <w:rFonts w:cs="Calibri"/>
          <w:szCs w:val="24"/>
        </w:rPr>
      </w:pPr>
      <w:r w:rsidRPr="00F7725F">
        <w:rPr>
          <w:rFonts w:cs="Calibri"/>
          <w:szCs w:val="24"/>
        </w:rPr>
        <w:t>Pro rok</w:t>
      </w:r>
      <w:r w:rsidR="00836992" w:rsidRPr="00F7725F">
        <w:rPr>
          <w:rFonts w:cs="Calibri"/>
          <w:szCs w:val="24"/>
        </w:rPr>
        <w:t xml:space="preserve"> 2016 MŠMT zprůhlednilo výběr projektů uveřejněním </w:t>
      </w:r>
      <w:r w:rsidR="00D624C1" w:rsidRPr="00F7725F">
        <w:rPr>
          <w:rFonts w:cs="Calibri"/>
          <w:szCs w:val="24"/>
        </w:rPr>
        <w:t xml:space="preserve">obecné </w:t>
      </w:r>
      <w:r w:rsidR="00836992" w:rsidRPr="00F7725F">
        <w:rPr>
          <w:rFonts w:cs="Calibri"/>
          <w:szCs w:val="24"/>
        </w:rPr>
        <w:t>metodiky</w:t>
      </w:r>
      <w:r w:rsidRPr="00F7725F">
        <w:rPr>
          <w:rFonts w:cs="Calibri"/>
          <w:szCs w:val="24"/>
        </w:rPr>
        <w:t xml:space="preserve"> jejich</w:t>
      </w:r>
      <w:r w:rsidR="00836992" w:rsidRPr="00F7725F">
        <w:rPr>
          <w:rFonts w:cs="Calibri"/>
          <w:szCs w:val="24"/>
        </w:rPr>
        <w:t xml:space="preserve"> hodnocení</w:t>
      </w:r>
      <w:r w:rsidRPr="00F7725F">
        <w:rPr>
          <w:rFonts w:cs="Calibri"/>
          <w:szCs w:val="24"/>
        </w:rPr>
        <w:t xml:space="preserve"> včetně</w:t>
      </w:r>
      <w:r w:rsidR="00CC2C1D">
        <w:rPr>
          <w:rFonts w:cs="Calibri"/>
          <w:szCs w:val="24"/>
        </w:rPr>
        <w:t xml:space="preserve"> </w:t>
      </w:r>
      <w:r w:rsidR="00836992" w:rsidRPr="00F7725F">
        <w:rPr>
          <w:rFonts w:cs="Calibri"/>
          <w:szCs w:val="24"/>
        </w:rPr>
        <w:t>vypracová</w:t>
      </w:r>
      <w:r w:rsidRPr="00F7725F">
        <w:rPr>
          <w:rFonts w:cs="Calibri"/>
          <w:szCs w:val="24"/>
        </w:rPr>
        <w:t>vá</w:t>
      </w:r>
      <w:r w:rsidR="00836992" w:rsidRPr="00F7725F">
        <w:rPr>
          <w:rFonts w:cs="Calibri"/>
          <w:szCs w:val="24"/>
        </w:rPr>
        <w:t>ní</w:t>
      </w:r>
      <w:r w:rsidRPr="00F7725F">
        <w:rPr>
          <w:rFonts w:cs="Calibri"/>
          <w:szCs w:val="24"/>
        </w:rPr>
        <w:t xml:space="preserve"> posudků odbornými </w:t>
      </w:r>
      <w:r w:rsidR="00836992" w:rsidRPr="00F7725F">
        <w:rPr>
          <w:rFonts w:cs="Calibri"/>
          <w:szCs w:val="24"/>
        </w:rPr>
        <w:t>hodnotitel</w:t>
      </w:r>
      <w:r w:rsidRPr="00F7725F">
        <w:rPr>
          <w:rFonts w:cs="Calibri"/>
          <w:szCs w:val="24"/>
        </w:rPr>
        <w:t>i</w:t>
      </w:r>
      <w:r w:rsidR="00AA4C76" w:rsidRPr="00F7725F">
        <w:rPr>
          <w:rFonts w:cs="Calibri"/>
          <w:szCs w:val="24"/>
        </w:rPr>
        <w:t>.</w:t>
      </w:r>
    </w:p>
    <w:p w14:paraId="7ACAB875" w14:textId="3686112F" w:rsidR="00AB6342" w:rsidRPr="00F7725F" w:rsidRDefault="00AB6342" w:rsidP="00F53B44">
      <w:pPr>
        <w:rPr>
          <w:rFonts w:cs="Calibri"/>
          <w:szCs w:val="24"/>
        </w:rPr>
      </w:pPr>
    </w:p>
    <w:p w14:paraId="2FE6E632" w14:textId="5B6EAFB9" w:rsidR="008B2124" w:rsidRPr="00F7725F" w:rsidRDefault="00BB4795" w:rsidP="00F53B44">
      <w:pPr>
        <w:keepLines/>
        <w:widowControl/>
        <w:rPr>
          <w:rFonts w:cs="Calibri"/>
          <w:b/>
          <w:szCs w:val="24"/>
        </w:rPr>
      </w:pPr>
      <w:r w:rsidRPr="00F7725F">
        <w:rPr>
          <w:rFonts w:cs="Calibri"/>
          <w:b/>
          <w:szCs w:val="24"/>
        </w:rPr>
        <w:lastRenderedPageBreak/>
        <w:t>Vnitřní kontrolní sys</w:t>
      </w:r>
      <w:r w:rsidR="00AF2BCA" w:rsidRPr="00F7725F">
        <w:rPr>
          <w:rFonts w:cs="Calibri"/>
          <w:b/>
          <w:szCs w:val="24"/>
        </w:rPr>
        <w:t>tém</w:t>
      </w:r>
      <w:r w:rsidR="00AF2BCA" w:rsidRPr="00F7725F">
        <w:rPr>
          <w:rStyle w:val="Znakapoznpodarou"/>
          <w:rFonts w:cs="Calibri"/>
          <w:b/>
          <w:szCs w:val="24"/>
        </w:rPr>
        <w:footnoteReference w:id="6"/>
      </w:r>
      <w:r w:rsidR="00AF2BCA" w:rsidRPr="00F7725F">
        <w:rPr>
          <w:rFonts w:cs="Calibri"/>
          <w:b/>
          <w:szCs w:val="24"/>
        </w:rPr>
        <w:t xml:space="preserve"> MŠMT při administraci žádostí o podporu a při jejím poskytování nefungoval</w:t>
      </w:r>
      <w:r w:rsidR="0078659D" w:rsidRPr="00F7725F">
        <w:rPr>
          <w:rFonts w:cs="Calibri"/>
          <w:b/>
          <w:szCs w:val="24"/>
        </w:rPr>
        <w:t xml:space="preserve"> vzhledem k tomu, že</w:t>
      </w:r>
      <w:r w:rsidR="00AF2BCA" w:rsidRPr="00F7725F">
        <w:rPr>
          <w:rFonts w:cs="Calibri"/>
          <w:b/>
          <w:szCs w:val="24"/>
        </w:rPr>
        <w:t xml:space="preserve"> umožnil </w:t>
      </w:r>
      <w:r w:rsidR="0078659D" w:rsidRPr="00F7725F">
        <w:rPr>
          <w:rFonts w:cs="Calibri"/>
          <w:b/>
          <w:szCs w:val="24"/>
        </w:rPr>
        <w:t>řadu</w:t>
      </w:r>
      <w:r w:rsidR="00AF2BCA" w:rsidRPr="00F7725F">
        <w:rPr>
          <w:rFonts w:cs="Calibri"/>
          <w:b/>
          <w:szCs w:val="24"/>
        </w:rPr>
        <w:t xml:space="preserve"> </w:t>
      </w:r>
      <w:r w:rsidR="008B2124" w:rsidRPr="00F7725F">
        <w:rPr>
          <w:rFonts w:cs="Calibri"/>
          <w:b/>
          <w:szCs w:val="24"/>
        </w:rPr>
        <w:t>pochybení</w:t>
      </w:r>
      <w:r w:rsidR="00AF2BCA" w:rsidRPr="00F7725F">
        <w:rPr>
          <w:rFonts w:cs="Calibri"/>
          <w:b/>
          <w:szCs w:val="24"/>
        </w:rPr>
        <w:t>. MŠMT porušilo vlastní pravidla nebo právní předpisy</w:t>
      </w:r>
      <w:r w:rsidR="00E73A72" w:rsidRPr="00F7725F">
        <w:rPr>
          <w:rFonts w:cs="Calibri"/>
          <w:szCs w:val="24"/>
        </w:rPr>
        <w:t>, když</w:t>
      </w:r>
      <w:r w:rsidR="008B2124" w:rsidRPr="00F7725F">
        <w:rPr>
          <w:rFonts w:cs="Calibri"/>
          <w:szCs w:val="24"/>
        </w:rPr>
        <w:t>:</w:t>
      </w:r>
    </w:p>
    <w:p w14:paraId="00731BDA" w14:textId="38919DFD" w:rsidR="008B2124" w:rsidRPr="00F7725F" w:rsidRDefault="00D624C1" w:rsidP="00F53B44">
      <w:pPr>
        <w:pStyle w:val="Odstavecseseznamem"/>
        <w:numPr>
          <w:ilvl w:val="0"/>
          <w:numId w:val="4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F7725F">
        <w:rPr>
          <w:rFonts w:cs="Calibri"/>
          <w:sz w:val="24"/>
          <w:szCs w:val="24"/>
        </w:rPr>
        <w:t>p</w:t>
      </w:r>
      <w:r w:rsidR="000F0BAA" w:rsidRPr="00F7725F">
        <w:rPr>
          <w:rFonts w:cs="Calibri"/>
          <w:sz w:val="24"/>
          <w:szCs w:val="24"/>
        </w:rPr>
        <w:t>oskytlo dotaci příjemcům z programu</w:t>
      </w:r>
      <w:r w:rsidR="008B2124" w:rsidRPr="00F7725F">
        <w:rPr>
          <w:rFonts w:cs="Calibri"/>
          <w:sz w:val="24"/>
          <w:szCs w:val="24"/>
        </w:rPr>
        <w:t>, kte</w:t>
      </w:r>
      <w:r w:rsidR="000F0BAA" w:rsidRPr="00F7725F">
        <w:rPr>
          <w:rFonts w:cs="Calibri"/>
          <w:sz w:val="24"/>
          <w:szCs w:val="24"/>
        </w:rPr>
        <w:t>rý nebyl určen pro daný typ příjemce;</w:t>
      </w:r>
    </w:p>
    <w:p w14:paraId="6A7E56CF" w14:textId="6D56CAA1" w:rsidR="008B2124" w:rsidRPr="00F7725F" w:rsidRDefault="00D624C1" w:rsidP="00F53B44">
      <w:pPr>
        <w:pStyle w:val="Odstavecseseznamem"/>
        <w:numPr>
          <w:ilvl w:val="0"/>
          <w:numId w:val="4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F7725F">
        <w:rPr>
          <w:rFonts w:cs="Calibri"/>
          <w:sz w:val="24"/>
          <w:szCs w:val="24"/>
        </w:rPr>
        <w:t>p</w:t>
      </w:r>
      <w:r w:rsidR="008B2124" w:rsidRPr="00F7725F">
        <w:rPr>
          <w:rFonts w:cs="Calibri"/>
          <w:sz w:val="24"/>
          <w:szCs w:val="24"/>
        </w:rPr>
        <w:t xml:space="preserve">oskytlo dotaci příjemcům, kteří řádně nepředložili </w:t>
      </w:r>
      <w:r w:rsidR="00D903CE" w:rsidRPr="00F7725F">
        <w:rPr>
          <w:rFonts w:cs="Calibri"/>
          <w:sz w:val="24"/>
          <w:szCs w:val="24"/>
        </w:rPr>
        <w:t>u</w:t>
      </w:r>
      <w:r w:rsidR="00B319DB" w:rsidRPr="00F7725F">
        <w:rPr>
          <w:rFonts w:cs="Calibri"/>
          <w:sz w:val="24"/>
          <w:szCs w:val="24"/>
        </w:rPr>
        <w:t>pravený rozpočet projektů před</w:t>
      </w:r>
      <w:r w:rsidR="00CC2C1D">
        <w:rPr>
          <w:rFonts w:cs="Calibri"/>
          <w:sz w:val="24"/>
          <w:szCs w:val="24"/>
        </w:rPr>
        <w:t xml:space="preserve"> </w:t>
      </w:r>
      <w:r w:rsidR="00D903CE" w:rsidRPr="00F7725F">
        <w:rPr>
          <w:rFonts w:cs="Calibri"/>
          <w:sz w:val="24"/>
          <w:szCs w:val="24"/>
        </w:rPr>
        <w:t>vydáním rozhodnutí o poskytnutí dotace, přestože tuto podmínk</w:t>
      </w:r>
      <w:r w:rsidR="00E11E17" w:rsidRPr="00F7725F">
        <w:rPr>
          <w:rFonts w:cs="Calibri"/>
          <w:sz w:val="24"/>
          <w:szCs w:val="24"/>
        </w:rPr>
        <w:t>u stanovovala pravidla P</w:t>
      </w:r>
      <w:r w:rsidRPr="00F7725F">
        <w:rPr>
          <w:rFonts w:cs="Calibri"/>
          <w:sz w:val="24"/>
          <w:szCs w:val="24"/>
        </w:rPr>
        <w:t>rogramů;</w:t>
      </w:r>
    </w:p>
    <w:p w14:paraId="52E1065E" w14:textId="1A8E2A5D" w:rsidR="00500207" w:rsidRPr="00F7725F" w:rsidRDefault="00500207" w:rsidP="00F53B44">
      <w:pPr>
        <w:pStyle w:val="Odstavecseseznamem"/>
        <w:numPr>
          <w:ilvl w:val="0"/>
          <w:numId w:val="4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F7725F">
        <w:rPr>
          <w:rFonts w:cs="Calibri"/>
          <w:sz w:val="24"/>
          <w:szCs w:val="24"/>
        </w:rPr>
        <w:t>v </w:t>
      </w:r>
      <w:r w:rsidR="0078659D" w:rsidRPr="00F7725F">
        <w:rPr>
          <w:rFonts w:cs="Calibri"/>
          <w:sz w:val="24"/>
          <w:szCs w:val="24"/>
        </w:rPr>
        <w:t>šesti</w:t>
      </w:r>
      <w:r w:rsidRPr="00F7725F">
        <w:rPr>
          <w:rFonts w:cs="Calibri"/>
          <w:sz w:val="24"/>
          <w:szCs w:val="24"/>
        </w:rPr>
        <w:t xml:space="preserve"> případech </w:t>
      </w:r>
      <w:r w:rsidR="00DA05E0" w:rsidRPr="00F7725F">
        <w:rPr>
          <w:rFonts w:cs="Calibri"/>
          <w:sz w:val="24"/>
          <w:szCs w:val="24"/>
        </w:rPr>
        <w:t xml:space="preserve">z kontrolovaného vzorku </w:t>
      </w:r>
      <w:r w:rsidRPr="00F7725F">
        <w:rPr>
          <w:rFonts w:cs="Calibri"/>
          <w:sz w:val="24"/>
          <w:szCs w:val="24"/>
        </w:rPr>
        <w:t>poskytlo b</w:t>
      </w:r>
      <w:r w:rsidR="00DA05E0" w:rsidRPr="00F7725F">
        <w:rPr>
          <w:rFonts w:cs="Calibri"/>
          <w:sz w:val="24"/>
          <w:szCs w:val="24"/>
        </w:rPr>
        <w:t>ez řádného odůvodnění dotaci ve</w:t>
      </w:r>
      <w:r w:rsidR="00CC2C1D">
        <w:rPr>
          <w:rFonts w:cs="Calibri"/>
          <w:sz w:val="24"/>
          <w:szCs w:val="24"/>
        </w:rPr>
        <w:t xml:space="preserve"> </w:t>
      </w:r>
      <w:r w:rsidRPr="00F7725F">
        <w:rPr>
          <w:rFonts w:cs="Calibri"/>
          <w:sz w:val="24"/>
          <w:szCs w:val="24"/>
        </w:rPr>
        <w:t>vyšším podílu na</w:t>
      </w:r>
      <w:r w:rsidR="00CC2C1D">
        <w:rPr>
          <w:rFonts w:cs="Calibri"/>
          <w:sz w:val="24"/>
          <w:szCs w:val="24"/>
        </w:rPr>
        <w:t xml:space="preserve"> </w:t>
      </w:r>
      <w:r w:rsidRPr="00F7725F">
        <w:rPr>
          <w:rFonts w:cs="Calibri"/>
          <w:sz w:val="24"/>
          <w:szCs w:val="24"/>
        </w:rPr>
        <w:t>celkových nákladech projektu, než umožňovaly Zásady vlády;</w:t>
      </w:r>
    </w:p>
    <w:p w14:paraId="1DBE2795" w14:textId="2360027C" w:rsidR="00500207" w:rsidRPr="00F7725F" w:rsidRDefault="00500207" w:rsidP="00F53B44">
      <w:pPr>
        <w:pStyle w:val="Odstavecseseznamem"/>
        <w:numPr>
          <w:ilvl w:val="0"/>
          <w:numId w:val="4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F7725F">
        <w:rPr>
          <w:rFonts w:cs="Calibri"/>
          <w:sz w:val="24"/>
          <w:szCs w:val="24"/>
        </w:rPr>
        <w:t>v roce 2014 neodůvodněně p</w:t>
      </w:r>
      <w:r w:rsidR="00261B7C" w:rsidRPr="00F7725F">
        <w:rPr>
          <w:rFonts w:cs="Calibri"/>
          <w:sz w:val="24"/>
          <w:szCs w:val="24"/>
        </w:rPr>
        <w:t xml:space="preserve">oskytlo </w:t>
      </w:r>
      <w:r w:rsidR="0078659D" w:rsidRPr="00F7725F">
        <w:rPr>
          <w:rFonts w:cs="Calibri"/>
          <w:sz w:val="24"/>
          <w:szCs w:val="24"/>
        </w:rPr>
        <w:t>čtyřem</w:t>
      </w:r>
      <w:r w:rsidR="00261B7C" w:rsidRPr="00F7725F">
        <w:rPr>
          <w:rFonts w:cs="Calibri"/>
          <w:sz w:val="24"/>
          <w:szCs w:val="24"/>
        </w:rPr>
        <w:t xml:space="preserve"> subjektům až o </w:t>
      </w:r>
      <w:r w:rsidRPr="00F7725F">
        <w:rPr>
          <w:rFonts w:cs="Calibri"/>
          <w:sz w:val="24"/>
          <w:szCs w:val="24"/>
        </w:rPr>
        <w:t xml:space="preserve">stovky procent </w:t>
      </w:r>
      <w:r w:rsidR="0063495E" w:rsidRPr="00F7725F">
        <w:rPr>
          <w:rFonts w:cs="Calibri"/>
          <w:sz w:val="24"/>
          <w:szCs w:val="24"/>
        </w:rPr>
        <w:t>vyšší nárůst</w:t>
      </w:r>
      <w:r w:rsidR="007F581C" w:rsidRPr="00F7725F">
        <w:rPr>
          <w:rFonts w:cs="Calibri"/>
          <w:sz w:val="24"/>
          <w:szCs w:val="24"/>
        </w:rPr>
        <w:t xml:space="preserve"> dotací</w:t>
      </w:r>
      <w:r w:rsidRPr="00F7725F">
        <w:rPr>
          <w:rFonts w:cs="Calibri"/>
          <w:sz w:val="24"/>
          <w:szCs w:val="24"/>
        </w:rPr>
        <w:t>, než umožňovala nastavená pravidla;</w:t>
      </w:r>
    </w:p>
    <w:p w14:paraId="56E64435" w14:textId="1BFBB1B2" w:rsidR="00D903CE" w:rsidRPr="00F7725F" w:rsidRDefault="00D624C1" w:rsidP="00F53B44">
      <w:pPr>
        <w:pStyle w:val="Odstavecseseznamem"/>
        <w:numPr>
          <w:ilvl w:val="0"/>
          <w:numId w:val="4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F7725F">
        <w:rPr>
          <w:rFonts w:cs="Calibri"/>
          <w:sz w:val="24"/>
          <w:szCs w:val="24"/>
        </w:rPr>
        <w:t>v</w:t>
      </w:r>
      <w:r w:rsidR="00D903CE" w:rsidRPr="00F7725F">
        <w:rPr>
          <w:rFonts w:cs="Calibri"/>
          <w:sz w:val="24"/>
          <w:szCs w:val="24"/>
        </w:rPr>
        <w:t>ydávalo rozhodnutí o poskytnutí dotace, která neobsahovala všechny náležitosti stanovené zákonem</w:t>
      </w:r>
      <w:r w:rsidR="00D903CE" w:rsidRPr="00F7725F">
        <w:rPr>
          <w:rStyle w:val="Znakapoznpodarou"/>
          <w:rFonts w:cs="Calibri"/>
          <w:sz w:val="24"/>
          <w:szCs w:val="24"/>
        </w:rPr>
        <w:footnoteReference w:id="7"/>
      </w:r>
      <w:r w:rsidRPr="00F7725F">
        <w:rPr>
          <w:rFonts w:cs="Calibri"/>
          <w:sz w:val="24"/>
          <w:szCs w:val="24"/>
        </w:rPr>
        <w:t>;</w:t>
      </w:r>
    </w:p>
    <w:p w14:paraId="2727FDB3" w14:textId="2FD93321" w:rsidR="008B2124" w:rsidRPr="00F7725F" w:rsidRDefault="00D624C1" w:rsidP="00F53B44">
      <w:pPr>
        <w:pStyle w:val="Odstavecseseznamem"/>
        <w:numPr>
          <w:ilvl w:val="0"/>
          <w:numId w:val="4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F7725F">
        <w:rPr>
          <w:rFonts w:cs="Calibri"/>
          <w:sz w:val="24"/>
          <w:szCs w:val="24"/>
        </w:rPr>
        <w:t>v</w:t>
      </w:r>
      <w:r w:rsidR="00D903CE" w:rsidRPr="00F7725F">
        <w:rPr>
          <w:rFonts w:cs="Calibri"/>
          <w:sz w:val="24"/>
          <w:szCs w:val="24"/>
        </w:rPr>
        <w:t> rozporu se Zásadami vlády nevyplácelo důsledně příjemcům dotace do 31. března rozpočtového roku a</w:t>
      </w:r>
      <w:r w:rsidR="00512665" w:rsidRPr="00F7725F">
        <w:rPr>
          <w:rFonts w:cs="Calibri"/>
          <w:sz w:val="24"/>
          <w:szCs w:val="24"/>
        </w:rPr>
        <w:t xml:space="preserve"> v </w:t>
      </w:r>
      <w:r w:rsidR="00DA05E0" w:rsidRPr="00F7725F">
        <w:rPr>
          <w:rFonts w:cs="Calibri"/>
          <w:sz w:val="24"/>
          <w:szCs w:val="24"/>
        </w:rPr>
        <w:t>patnácti</w:t>
      </w:r>
      <w:r w:rsidR="00512665" w:rsidRPr="00F7725F">
        <w:rPr>
          <w:rFonts w:cs="Calibri"/>
          <w:sz w:val="24"/>
          <w:szCs w:val="24"/>
        </w:rPr>
        <w:t xml:space="preserve"> případech</w:t>
      </w:r>
      <w:r w:rsidR="00DA05E0" w:rsidRPr="00F7725F">
        <w:rPr>
          <w:rFonts w:cs="Calibri"/>
          <w:sz w:val="24"/>
          <w:szCs w:val="24"/>
        </w:rPr>
        <w:t xml:space="preserve"> z kontrolovaného vzorku</w:t>
      </w:r>
      <w:r w:rsidR="00D903CE" w:rsidRPr="00F7725F">
        <w:rPr>
          <w:rFonts w:cs="Calibri"/>
          <w:sz w:val="24"/>
          <w:szCs w:val="24"/>
        </w:rPr>
        <w:t xml:space="preserve"> do tohoto </w:t>
      </w:r>
      <w:r w:rsidRPr="00F7725F">
        <w:rPr>
          <w:rFonts w:cs="Calibri"/>
          <w:sz w:val="24"/>
          <w:szCs w:val="24"/>
        </w:rPr>
        <w:t>termínu nevydalo ani</w:t>
      </w:r>
      <w:r w:rsidR="00500207" w:rsidRPr="00F7725F">
        <w:rPr>
          <w:rFonts w:cs="Calibri"/>
          <w:sz w:val="24"/>
          <w:szCs w:val="24"/>
        </w:rPr>
        <w:t xml:space="preserve"> rozhodnutí</w:t>
      </w:r>
      <w:r w:rsidR="000F0BAA" w:rsidRPr="00F7725F">
        <w:rPr>
          <w:rFonts w:cs="Calibri"/>
          <w:sz w:val="24"/>
          <w:szCs w:val="24"/>
        </w:rPr>
        <w:t xml:space="preserve"> o poskytnutí dotace</w:t>
      </w:r>
      <w:r w:rsidR="00500207" w:rsidRPr="00F7725F">
        <w:rPr>
          <w:rFonts w:cs="Calibri"/>
          <w:sz w:val="24"/>
          <w:szCs w:val="24"/>
        </w:rPr>
        <w:t>.</w:t>
      </w:r>
    </w:p>
    <w:p w14:paraId="7EB6758F" w14:textId="77777777" w:rsidR="008B2124" w:rsidRPr="00F7725F" w:rsidRDefault="008B2124" w:rsidP="00F53B44">
      <w:pPr>
        <w:rPr>
          <w:rFonts w:cs="Calibri"/>
          <w:szCs w:val="24"/>
        </w:rPr>
      </w:pPr>
    </w:p>
    <w:p w14:paraId="3206D638" w14:textId="12E919D2" w:rsidR="003543A6" w:rsidRPr="00F7725F" w:rsidRDefault="003543A6" w:rsidP="00F53B44">
      <w:pPr>
        <w:rPr>
          <w:rFonts w:cs="Calibri"/>
          <w:b/>
          <w:szCs w:val="24"/>
        </w:rPr>
      </w:pPr>
      <w:r w:rsidRPr="00F7725F">
        <w:rPr>
          <w:rFonts w:cs="Calibri"/>
          <w:b/>
          <w:szCs w:val="24"/>
        </w:rPr>
        <w:t>MŠMT porušováním nastavených podmínek pro</w:t>
      </w:r>
      <w:r w:rsidR="00F53B44">
        <w:rPr>
          <w:rFonts w:cs="Calibri"/>
          <w:b/>
          <w:szCs w:val="24"/>
        </w:rPr>
        <w:t xml:space="preserve"> </w:t>
      </w:r>
      <w:r w:rsidRPr="00F7725F">
        <w:rPr>
          <w:rFonts w:cs="Calibri"/>
          <w:b/>
          <w:szCs w:val="24"/>
        </w:rPr>
        <w:t>poskytování dotací vytvářelo v kontrolovaném období netransparentní prostředí a nerovné podmínky pro</w:t>
      </w:r>
      <w:r w:rsidR="00F53B44">
        <w:rPr>
          <w:rFonts w:cs="Calibri"/>
          <w:b/>
          <w:szCs w:val="24"/>
        </w:rPr>
        <w:t xml:space="preserve"> </w:t>
      </w:r>
      <w:r w:rsidR="00D624C1" w:rsidRPr="00F7725F">
        <w:rPr>
          <w:rFonts w:cs="Calibri"/>
          <w:b/>
          <w:szCs w:val="24"/>
        </w:rPr>
        <w:t xml:space="preserve">žadatele, resp. pro </w:t>
      </w:r>
      <w:r w:rsidRPr="00F7725F">
        <w:rPr>
          <w:rFonts w:cs="Calibri"/>
          <w:b/>
          <w:szCs w:val="24"/>
        </w:rPr>
        <w:t>příjemce dotací.</w:t>
      </w:r>
    </w:p>
    <w:p w14:paraId="32B9CDED" w14:textId="583A9D04" w:rsidR="00594364" w:rsidRPr="00F7725F" w:rsidRDefault="00594364" w:rsidP="00F53B44">
      <w:pPr>
        <w:rPr>
          <w:rFonts w:cs="Calibri"/>
          <w:szCs w:val="24"/>
        </w:rPr>
      </w:pPr>
    </w:p>
    <w:p w14:paraId="5D155AFE" w14:textId="266ACD50" w:rsidR="00DE072B" w:rsidRPr="00F7725F" w:rsidRDefault="00A54AB2" w:rsidP="00F53B44">
      <w:pPr>
        <w:tabs>
          <w:tab w:val="left" w:pos="284"/>
        </w:tabs>
        <w:rPr>
          <w:rFonts w:cs="Calibri"/>
          <w:szCs w:val="24"/>
        </w:rPr>
      </w:pPr>
      <w:r w:rsidRPr="00F7725F">
        <w:rPr>
          <w:rFonts w:cs="Calibri"/>
          <w:b/>
          <w:szCs w:val="24"/>
        </w:rPr>
        <w:t>3.</w:t>
      </w:r>
      <w:r w:rsidR="00D42C76">
        <w:rPr>
          <w:rFonts w:cs="Calibri"/>
          <w:szCs w:val="24"/>
        </w:rPr>
        <w:t xml:space="preserve"> </w:t>
      </w:r>
      <w:r w:rsidR="00DE072B" w:rsidRPr="00F7725F">
        <w:rPr>
          <w:rFonts w:cs="Calibri"/>
          <w:b/>
          <w:szCs w:val="24"/>
        </w:rPr>
        <w:t>Následná kontrola</w:t>
      </w:r>
      <w:r w:rsidR="009D783D" w:rsidRPr="00F7725F">
        <w:rPr>
          <w:rFonts w:cs="Calibri"/>
          <w:b/>
          <w:szCs w:val="24"/>
        </w:rPr>
        <w:t xml:space="preserve"> podpořených projektů</w:t>
      </w:r>
      <w:r w:rsidR="00DE072B" w:rsidRPr="00F7725F">
        <w:rPr>
          <w:rFonts w:cs="Calibri"/>
          <w:b/>
          <w:szCs w:val="24"/>
        </w:rPr>
        <w:t xml:space="preserve"> nefungovala.</w:t>
      </w:r>
    </w:p>
    <w:p w14:paraId="24C8C125" w14:textId="77777777" w:rsidR="00F53B44" w:rsidRDefault="00F53B44" w:rsidP="00F53B44">
      <w:pPr>
        <w:rPr>
          <w:rFonts w:cs="Calibri"/>
          <w:b/>
          <w:szCs w:val="24"/>
        </w:rPr>
      </w:pPr>
    </w:p>
    <w:p w14:paraId="790BE9D5" w14:textId="56D42CD5" w:rsidR="00681ECE" w:rsidRPr="00F7725F" w:rsidRDefault="003874E4" w:rsidP="00F53B44">
      <w:pPr>
        <w:rPr>
          <w:rFonts w:cs="Calibri"/>
          <w:b/>
          <w:noProof/>
          <w:color w:val="000000"/>
          <w:szCs w:val="24"/>
        </w:rPr>
      </w:pPr>
      <w:r w:rsidRPr="00F7725F">
        <w:rPr>
          <w:rFonts w:cs="Calibri"/>
          <w:b/>
          <w:szCs w:val="24"/>
        </w:rPr>
        <w:t>Vnitřní kontrolní systém selhával</w:t>
      </w:r>
      <w:r w:rsidR="00650E27" w:rsidRPr="00F7725F">
        <w:rPr>
          <w:rFonts w:cs="Calibri"/>
          <w:b/>
          <w:szCs w:val="24"/>
        </w:rPr>
        <w:t xml:space="preserve"> i</w:t>
      </w:r>
      <w:r w:rsidRPr="00F7725F">
        <w:rPr>
          <w:rFonts w:cs="Calibri"/>
          <w:b/>
          <w:szCs w:val="24"/>
        </w:rPr>
        <w:t xml:space="preserve"> v případě následné kontroly realizovaných projektů. </w:t>
      </w:r>
      <w:r w:rsidR="00681ECE" w:rsidRPr="00F7725F">
        <w:rPr>
          <w:rFonts w:cs="Calibri"/>
          <w:b/>
          <w:noProof/>
          <w:color w:val="000000"/>
          <w:szCs w:val="24"/>
        </w:rPr>
        <w:t>MŠMT neprovádělo důsledně kontrolu vyúčtování po ukončení projektu.</w:t>
      </w:r>
    </w:p>
    <w:p w14:paraId="11E3106D" w14:textId="6EB863F7" w:rsidR="0078659D" w:rsidRPr="00F7725F" w:rsidRDefault="0078659D" w:rsidP="00F53B44">
      <w:pPr>
        <w:tabs>
          <w:tab w:val="left" w:pos="284"/>
        </w:tabs>
        <w:rPr>
          <w:rFonts w:cs="Calibri"/>
          <w:b/>
          <w:szCs w:val="24"/>
        </w:rPr>
      </w:pPr>
    </w:p>
    <w:p w14:paraId="5AB1400D" w14:textId="118762B9" w:rsidR="009D1B1F" w:rsidRPr="00F7725F" w:rsidRDefault="009D1B1F" w:rsidP="00F53B44">
      <w:pPr>
        <w:tabs>
          <w:tab w:val="left" w:pos="284"/>
        </w:tabs>
        <w:rPr>
          <w:rFonts w:cs="Calibri"/>
          <w:szCs w:val="24"/>
        </w:rPr>
      </w:pPr>
      <w:r w:rsidRPr="00F7725F">
        <w:rPr>
          <w:rFonts w:cs="Calibri"/>
          <w:szCs w:val="24"/>
        </w:rPr>
        <w:t xml:space="preserve">MŠMT </w:t>
      </w:r>
      <w:r w:rsidR="002B2424" w:rsidRPr="00F7725F">
        <w:rPr>
          <w:rFonts w:cs="Calibri"/>
          <w:szCs w:val="24"/>
        </w:rPr>
        <w:t xml:space="preserve">bez připomínek </w:t>
      </w:r>
      <w:r w:rsidRPr="00F7725F">
        <w:rPr>
          <w:rFonts w:cs="Calibri"/>
          <w:szCs w:val="24"/>
        </w:rPr>
        <w:t>akceptovalo</w:t>
      </w:r>
      <w:r w:rsidR="002B2424" w:rsidRPr="00F7725F">
        <w:rPr>
          <w:rFonts w:cs="Calibri"/>
          <w:szCs w:val="24"/>
        </w:rPr>
        <w:t xml:space="preserve"> vyúčtování, ze kterých vyplývalo, že</w:t>
      </w:r>
      <w:r w:rsidRPr="00F7725F">
        <w:rPr>
          <w:rFonts w:cs="Calibri"/>
          <w:szCs w:val="24"/>
        </w:rPr>
        <w:t>:</w:t>
      </w:r>
    </w:p>
    <w:p w14:paraId="21BEA8B2" w14:textId="1A33A207" w:rsidR="008F7ABF" w:rsidRPr="00F7725F" w:rsidRDefault="002B2424" w:rsidP="00F53B44">
      <w:pPr>
        <w:pStyle w:val="Odstavecseseznamem"/>
        <w:numPr>
          <w:ilvl w:val="0"/>
          <w:numId w:val="45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F7725F">
        <w:rPr>
          <w:rFonts w:cs="Calibri"/>
          <w:sz w:val="24"/>
          <w:szCs w:val="24"/>
        </w:rPr>
        <w:t>z</w:t>
      </w:r>
      <w:r w:rsidR="009D1B1F" w:rsidRPr="00F7725F">
        <w:rPr>
          <w:rFonts w:cs="Calibri"/>
          <w:sz w:val="24"/>
          <w:szCs w:val="24"/>
        </w:rPr>
        <w:t> dotačních prostředků byly hrazeny neuznatelné nákl</w:t>
      </w:r>
      <w:r w:rsidRPr="00F7725F">
        <w:rPr>
          <w:rFonts w:cs="Calibri"/>
          <w:sz w:val="24"/>
          <w:szCs w:val="24"/>
        </w:rPr>
        <w:t>ady;</w:t>
      </w:r>
    </w:p>
    <w:p w14:paraId="77C08AB7" w14:textId="2C35320C" w:rsidR="000D19E4" w:rsidRPr="00F7725F" w:rsidRDefault="002B2424" w:rsidP="00F53B44">
      <w:pPr>
        <w:pStyle w:val="Odstavecseseznamem"/>
        <w:numPr>
          <w:ilvl w:val="0"/>
          <w:numId w:val="45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F7725F">
        <w:rPr>
          <w:rFonts w:cs="Calibri"/>
          <w:sz w:val="24"/>
          <w:szCs w:val="24"/>
        </w:rPr>
        <w:t xml:space="preserve">nebyly dodrženy </w:t>
      </w:r>
      <w:r w:rsidR="00281681" w:rsidRPr="00F7725F">
        <w:rPr>
          <w:rFonts w:cs="Calibri"/>
          <w:sz w:val="24"/>
          <w:szCs w:val="24"/>
        </w:rPr>
        <w:t xml:space="preserve">jednotlivé </w:t>
      </w:r>
      <w:r w:rsidRPr="00F7725F">
        <w:rPr>
          <w:rFonts w:cs="Calibri"/>
          <w:sz w:val="24"/>
          <w:szCs w:val="24"/>
        </w:rPr>
        <w:t>polož</w:t>
      </w:r>
      <w:r w:rsidR="000D19E4" w:rsidRPr="00F7725F">
        <w:rPr>
          <w:rFonts w:cs="Calibri"/>
          <w:sz w:val="24"/>
          <w:szCs w:val="24"/>
        </w:rPr>
        <w:t>k</w:t>
      </w:r>
      <w:r w:rsidRPr="00F7725F">
        <w:rPr>
          <w:rFonts w:cs="Calibri"/>
          <w:sz w:val="24"/>
          <w:szCs w:val="24"/>
        </w:rPr>
        <w:t>y</w:t>
      </w:r>
      <w:r w:rsidR="000D19E4" w:rsidRPr="00F7725F">
        <w:rPr>
          <w:rFonts w:cs="Calibri"/>
          <w:sz w:val="24"/>
          <w:szCs w:val="24"/>
        </w:rPr>
        <w:t xml:space="preserve"> rozpočt</w:t>
      </w:r>
      <w:r w:rsidR="00281681" w:rsidRPr="00F7725F">
        <w:rPr>
          <w:rFonts w:cs="Calibri"/>
          <w:sz w:val="24"/>
          <w:szCs w:val="24"/>
        </w:rPr>
        <w:t>u</w:t>
      </w:r>
      <w:r w:rsidRPr="00F7725F">
        <w:rPr>
          <w:rFonts w:cs="Calibri"/>
          <w:sz w:val="24"/>
          <w:szCs w:val="24"/>
        </w:rPr>
        <w:t xml:space="preserve"> </w:t>
      </w:r>
      <w:r w:rsidR="000D19E4" w:rsidRPr="00F7725F">
        <w:rPr>
          <w:rFonts w:cs="Calibri"/>
          <w:sz w:val="24"/>
          <w:szCs w:val="24"/>
        </w:rPr>
        <w:t>a</w:t>
      </w:r>
      <w:r w:rsidR="000F0BAA" w:rsidRPr="00F7725F">
        <w:rPr>
          <w:rFonts w:cs="Calibri"/>
          <w:sz w:val="24"/>
          <w:szCs w:val="24"/>
        </w:rPr>
        <w:t>ni</w:t>
      </w:r>
      <w:r w:rsidR="000D19E4" w:rsidRPr="00F7725F">
        <w:rPr>
          <w:rFonts w:cs="Calibri"/>
          <w:sz w:val="24"/>
          <w:szCs w:val="24"/>
        </w:rPr>
        <w:t xml:space="preserve"> celkov</w:t>
      </w:r>
      <w:r w:rsidRPr="00F7725F">
        <w:rPr>
          <w:rFonts w:cs="Calibri"/>
          <w:sz w:val="24"/>
          <w:szCs w:val="24"/>
        </w:rPr>
        <w:t>é</w:t>
      </w:r>
      <w:r w:rsidR="000D19E4" w:rsidRPr="00F7725F">
        <w:rPr>
          <w:rFonts w:cs="Calibri"/>
          <w:sz w:val="24"/>
          <w:szCs w:val="24"/>
        </w:rPr>
        <w:t xml:space="preserve"> náklad</w:t>
      </w:r>
      <w:r w:rsidRPr="00F7725F">
        <w:rPr>
          <w:rFonts w:cs="Calibri"/>
          <w:sz w:val="24"/>
          <w:szCs w:val="24"/>
        </w:rPr>
        <w:t>y</w:t>
      </w:r>
      <w:r w:rsidR="00281681" w:rsidRPr="00F7725F">
        <w:rPr>
          <w:rFonts w:cs="Calibri"/>
          <w:sz w:val="24"/>
          <w:szCs w:val="24"/>
        </w:rPr>
        <w:t xml:space="preserve"> projektu</w:t>
      </w:r>
      <w:r w:rsidRPr="00F7725F">
        <w:rPr>
          <w:rFonts w:cs="Calibri"/>
          <w:sz w:val="24"/>
          <w:szCs w:val="24"/>
        </w:rPr>
        <w:t>;</w:t>
      </w:r>
    </w:p>
    <w:p w14:paraId="4C76CDDF" w14:textId="76C183B1" w:rsidR="002B2424" w:rsidRPr="00F7725F" w:rsidRDefault="00DA05E0" w:rsidP="00F53B44">
      <w:pPr>
        <w:pStyle w:val="Odstavecseseznamem"/>
        <w:numPr>
          <w:ilvl w:val="0"/>
          <w:numId w:val="45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F7725F">
        <w:rPr>
          <w:rFonts w:cs="Calibri"/>
          <w:sz w:val="24"/>
          <w:szCs w:val="24"/>
        </w:rPr>
        <w:t xml:space="preserve">vyúčtování </w:t>
      </w:r>
      <w:r w:rsidR="002B2424" w:rsidRPr="00F7725F">
        <w:rPr>
          <w:rFonts w:cs="Calibri"/>
          <w:sz w:val="24"/>
          <w:szCs w:val="24"/>
        </w:rPr>
        <w:t>byla</w:t>
      </w:r>
      <w:r w:rsidR="00281681" w:rsidRPr="00F7725F">
        <w:rPr>
          <w:rFonts w:cs="Calibri"/>
          <w:sz w:val="24"/>
          <w:szCs w:val="24"/>
        </w:rPr>
        <w:t xml:space="preserve"> </w:t>
      </w:r>
      <w:r w:rsidR="0063495E" w:rsidRPr="00F7725F">
        <w:rPr>
          <w:rFonts w:cs="Calibri"/>
          <w:sz w:val="24"/>
          <w:szCs w:val="24"/>
        </w:rPr>
        <w:t xml:space="preserve">neúplná nebo </w:t>
      </w:r>
      <w:r w:rsidR="00E710D3" w:rsidRPr="00F7725F">
        <w:rPr>
          <w:rFonts w:cs="Calibri"/>
          <w:sz w:val="24"/>
          <w:szCs w:val="24"/>
        </w:rPr>
        <w:t>nesprávná</w:t>
      </w:r>
      <w:r w:rsidR="002B2424" w:rsidRPr="00F7725F">
        <w:rPr>
          <w:rFonts w:cs="Calibri"/>
          <w:sz w:val="24"/>
          <w:szCs w:val="24"/>
        </w:rPr>
        <w:t>.</w:t>
      </w:r>
    </w:p>
    <w:p w14:paraId="056B7524" w14:textId="77777777" w:rsidR="002B2424" w:rsidRPr="00F7725F" w:rsidRDefault="002B2424" w:rsidP="00F53B44">
      <w:pPr>
        <w:rPr>
          <w:rFonts w:cs="Calibri"/>
          <w:szCs w:val="24"/>
        </w:rPr>
      </w:pPr>
    </w:p>
    <w:p w14:paraId="2B68E87E" w14:textId="2EAAF1D8" w:rsidR="000D19E4" w:rsidRPr="00F7725F" w:rsidRDefault="00D8070A" w:rsidP="00F53B44">
      <w:pPr>
        <w:rPr>
          <w:rFonts w:cs="Calibri"/>
          <w:szCs w:val="24"/>
        </w:rPr>
      </w:pPr>
      <w:r w:rsidRPr="00F7725F">
        <w:rPr>
          <w:rFonts w:cs="Calibri"/>
          <w:b/>
          <w:noProof/>
          <w:color w:val="000000"/>
          <w:szCs w:val="24"/>
        </w:rPr>
        <w:t>MŠMT tak nemohlo ověřit věcné dodržení projektu a dodržení jednotlivých položek rozpočtu.</w:t>
      </w:r>
      <w:r w:rsidRPr="00F7725F">
        <w:rPr>
          <w:rFonts w:cs="Calibri"/>
          <w:szCs w:val="24"/>
        </w:rPr>
        <w:t xml:space="preserve"> </w:t>
      </w:r>
      <w:r w:rsidR="00B319DB" w:rsidRPr="00F7725F">
        <w:rPr>
          <w:rFonts w:cs="Calibri"/>
          <w:szCs w:val="24"/>
        </w:rPr>
        <w:t>P</w:t>
      </w:r>
      <w:r w:rsidR="002B2424" w:rsidRPr="00F7725F">
        <w:rPr>
          <w:rFonts w:cs="Calibri"/>
          <w:szCs w:val="24"/>
        </w:rPr>
        <w:t xml:space="preserve">ři změnách celkových nákladů projektu v souvislosti </w:t>
      </w:r>
      <w:r w:rsidR="00B319DB" w:rsidRPr="00F7725F">
        <w:rPr>
          <w:rFonts w:cs="Calibri"/>
          <w:szCs w:val="24"/>
        </w:rPr>
        <w:t>se schválením nižší dotace, než</w:t>
      </w:r>
      <w:r w:rsidR="00902074" w:rsidRPr="00F7725F">
        <w:rPr>
          <w:rFonts w:cs="Calibri"/>
          <w:szCs w:val="24"/>
        </w:rPr>
        <w:t xml:space="preserve"> o </w:t>
      </w:r>
      <w:r w:rsidR="001D7BDD" w:rsidRPr="00F7725F">
        <w:rPr>
          <w:rFonts w:cs="Calibri"/>
          <w:szCs w:val="24"/>
        </w:rPr>
        <w:t xml:space="preserve">jakou </w:t>
      </w:r>
      <w:r w:rsidR="00DC4DDB" w:rsidRPr="00F7725F">
        <w:rPr>
          <w:rFonts w:cs="Calibri"/>
          <w:szCs w:val="24"/>
        </w:rPr>
        <w:t>NNO</w:t>
      </w:r>
      <w:r w:rsidR="002B2424" w:rsidRPr="00F7725F">
        <w:rPr>
          <w:rFonts w:cs="Calibri"/>
          <w:szCs w:val="24"/>
        </w:rPr>
        <w:t xml:space="preserve"> žádaly, </w:t>
      </w:r>
      <w:r w:rsidR="00B319DB" w:rsidRPr="00F7725F">
        <w:rPr>
          <w:rFonts w:cs="Calibri"/>
          <w:szCs w:val="24"/>
        </w:rPr>
        <w:t xml:space="preserve">MŠMT </w:t>
      </w:r>
      <w:r w:rsidR="002B2424" w:rsidRPr="00F7725F">
        <w:rPr>
          <w:rFonts w:cs="Calibri"/>
          <w:szCs w:val="24"/>
        </w:rPr>
        <w:t>nev</w:t>
      </w:r>
      <w:r w:rsidR="00FC7CC3" w:rsidRPr="00F7725F">
        <w:rPr>
          <w:rFonts w:cs="Calibri"/>
          <w:szCs w:val="24"/>
        </w:rPr>
        <w:t>yžadovalo informaci o tom, jaké</w:t>
      </w:r>
      <w:r w:rsidR="00902074" w:rsidRPr="00F7725F">
        <w:rPr>
          <w:rFonts w:cs="Calibri"/>
          <w:szCs w:val="24"/>
        </w:rPr>
        <w:t xml:space="preserve"> </w:t>
      </w:r>
      <w:r w:rsidR="002B2424" w:rsidRPr="00F7725F">
        <w:rPr>
          <w:rFonts w:cs="Calibri"/>
          <w:szCs w:val="24"/>
        </w:rPr>
        <w:t xml:space="preserve">části projektu nebudou realizovány. </w:t>
      </w:r>
      <w:r w:rsidR="00DC4DDB" w:rsidRPr="00F7725F">
        <w:rPr>
          <w:rFonts w:cs="Calibri"/>
          <w:szCs w:val="24"/>
        </w:rPr>
        <w:t>Požadovalo pouze úpravu</w:t>
      </w:r>
      <w:r w:rsidR="00063AD6" w:rsidRPr="00F7725F">
        <w:rPr>
          <w:rFonts w:cs="Calibri"/>
          <w:szCs w:val="24"/>
        </w:rPr>
        <w:t xml:space="preserve"> rozpočt</w:t>
      </w:r>
      <w:r w:rsidR="00DC4DDB" w:rsidRPr="00F7725F">
        <w:rPr>
          <w:rFonts w:cs="Calibri"/>
          <w:szCs w:val="24"/>
        </w:rPr>
        <w:t>u</w:t>
      </w:r>
      <w:r w:rsidR="00063AD6" w:rsidRPr="00F7725F">
        <w:rPr>
          <w:rFonts w:cs="Calibri"/>
          <w:szCs w:val="24"/>
        </w:rPr>
        <w:t xml:space="preserve">, přičemž </w:t>
      </w:r>
      <w:r w:rsidR="00DC4DDB" w:rsidRPr="00F7725F">
        <w:rPr>
          <w:rFonts w:cs="Calibri"/>
          <w:szCs w:val="24"/>
        </w:rPr>
        <w:t xml:space="preserve">akceptovalo </w:t>
      </w:r>
      <w:r w:rsidR="00281681" w:rsidRPr="00F7725F">
        <w:rPr>
          <w:rFonts w:cs="Calibri"/>
          <w:szCs w:val="24"/>
        </w:rPr>
        <w:t>také</w:t>
      </w:r>
      <w:r w:rsidR="00902074" w:rsidRPr="00F7725F">
        <w:rPr>
          <w:rFonts w:cs="Calibri"/>
          <w:szCs w:val="24"/>
        </w:rPr>
        <w:t xml:space="preserve"> </w:t>
      </w:r>
      <w:r w:rsidR="00DC4DDB" w:rsidRPr="00F7725F">
        <w:rPr>
          <w:rFonts w:cs="Calibri"/>
          <w:szCs w:val="24"/>
        </w:rPr>
        <w:t>změn</w:t>
      </w:r>
      <w:r w:rsidR="00083C67" w:rsidRPr="00F7725F">
        <w:rPr>
          <w:rFonts w:cs="Calibri"/>
          <w:szCs w:val="24"/>
        </w:rPr>
        <w:t xml:space="preserve">u částky celkových nákladů projektu bez </w:t>
      </w:r>
      <w:r w:rsidR="00DC4DDB" w:rsidRPr="00F7725F">
        <w:rPr>
          <w:rFonts w:cs="Calibri"/>
          <w:szCs w:val="24"/>
        </w:rPr>
        <w:t>podrobnějšího členění</w:t>
      </w:r>
      <w:r w:rsidR="00083C67" w:rsidRPr="00F7725F">
        <w:rPr>
          <w:rFonts w:cs="Calibri"/>
          <w:szCs w:val="24"/>
        </w:rPr>
        <w:t xml:space="preserve"> po </w:t>
      </w:r>
      <w:r w:rsidR="002E6D91" w:rsidRPr="00F7725F">
        <w:rPr>
          <w:rFonts w:cs="Calibri"/>
          <w:szCs w:val="24"/>
        </w:rPr>
        <w:t xml:space="preserve">jednotlivých </w:t>
      </w:r>
      <w:r w:rsidR="00083C67" w:rsidRPr="00F7725F">
        <w:rPr>
          <w:rFonts w:cs="Calibri"/>
          <w:szCs w:val="24"/>
        </w:rPr>
        <w:t>položkách.</w:t>
      </w:r>
      <w:r w:rsidR="00B319DB" w:rsidRPr="00F7725F">
        <w:rPr>
          <w:rFonts w:cs="Calibri"/>
          <w:szCs w:val="24"/>
        </w:rPr>
        <w:t xml:space="preserve"> </w:t>
      </w:r>
      <w:r w:rsidR="00281681" w:rsidRPr="00F7725F">
        <w:rPr>
          <w:rFonts w:cs="Calibri"/>
          <w:szCs w:val="24"/>
        </w:rPr>
        <w:t>V</w:t>
      </w:r>
      <w:r w:rsidR="00083C67" w:rsidRPr="00F7725F">
        <w:rPr>
          <w:rFonts w:cs="Calibri"/>
          <w:szCs w:val="24"/>
        </w:rPr>
        <w:t xml:space="preserve"> roce 2014 </w:t>
      </w:r>
      <w:r w:rsidR="00DC4DDB" w:rsidRPr="00F7725F">
        <w:rPr>
          <w:rFonts w:cs="Calibri"/>
          <w:szCs w:val="24"/>
        </w:rPr>
        <w:t xml:space="preserve">MŠMT </w:t>
      </w:r>
      <w:r w:rsidR="00083C67" w:rsidRPr="00F7725F">
        <w:rPr>
          <w:rFonts w:cs="Calibri"/>
          <w:szCs w:val="24"/>
        </w:rPr>
        <w:t>upravený ro</w:t>
      </w:r>
      <w:r w:rsidR="00167909" w:rsidRPr="00F7725F">
        <w:rPr>
          <w:rFonts w:cs="Calibri"/>
          <w:szCs w:val="24"/>
        </w:rPr>
        <w:t xml:space="preserve">zpočet </w:t>
      </w:r>
      <w:r w:rsidR="00DC4DDB" w:rsidRPr="00F7725F">
        <w:rPr>
          <w:rFonts w:cs="Calibri"/>
          <w:szCs w:val="24"/>
        </w:rPr>
        <w:t xml:space="preserve">po příjemcích </w:t>
      </w:r>
      <w:r w:rsidR="00167909" w:rsidRPr="00F7725F">
        <w:rPr>
          <w:rFonts w:cs="Calibri"/>
          <w:szCs w:val="24"/>
        </w:rPr>
        <w:t>nepožadovalo vůbec.</w:t>
      </w:r>
    </w:p>
    <w:p w14:paraId="0E5E2CEC" w14:textId="45EE6646" w:rsidR="000D19E4" w:rsidRPr="00F7725F" w:rsidRDefault="000D19E4" w:rsidP="00F53B44">
      <w:pPr>
        <w:rPr>
          <w:rFonts w:cs="Calibri"/>
          <w:szCs w:val="24"/>
        </w:rPr>
      </w:pPr>
    </w:p>
    <w:p w14:paraId="6842DEC6" w14:textId="0AC3D294" w:rsidR="00D43F11" w:rsidRPr="00F7725F" w:rsidRDefault="00D43F11" w:rsidP="00D42C76">
      <w:pPr>
        <w:widowControl/>
        <w:rPr>
          <w:rFonts w:cs="Calibri"/>
          <w:b/>
          <w:szCs w:val="24"/>
        </w:rPr>
      </w:pPr>
      <w:r w:rsidRPr="00F7725F">
        <w:rPr>
          <w:rFonts w:cs="Calibri"/>
          <w:szCs w:val="24"/>
        </w:rPr>
        <w:t xml:space="preserve">Vzhledem k tomu, že příjemci </w:t>
      </w:r>
      <w:r w:rsidR="00E2114B" w:rsidRPr="00F7725F">
        <w:rPr>
          <w:rFonts w:cs="Calibri"/>
          <w:szCs w:val="24"/>
        </w:rPr>
        <w:t xml:space="preserve">měli </w:t>
      </w:r>
      <w:r w:rsidRPr="00F7725F">
        <w:rPr>
          <w:rFonts w:cs="Calibri"/>
          <w:szCs w:val="24"/>
        </w:rPr>
        <w:t>povinnost ve vyúčtování p</w:t>
      </w:r>
      <w:r w:rsidR="00B319DB" w:rsidRPr="00F7725F">
        <w:rPr>
          <w:rFonts w:cs="Calibri"/>
          <w:szCs w:val="24"/>
        </w:rPr>
        <w:t>ředložit pouze soupis výdajů na</w:t>
      </w:r>
      <w:r w:rsidR="00902074" w:rsidRPr="00F7725F">
        <w:rPr>
          <w:rFonts w:cs="Calibri"/>
          <w:szCs w:val="24"/>
        </w:rPr>
        <w:t xml:space="preserve"> </w:t>
      </w:r>
      <w:r w:rsidRPr="00F7725F">
        <w:rPr>
          <w:rFonts w:cs="Calibri"/>
          <w:szCs w:val="24"/>
        </w:rPr>
        <w:t xml:space="preserve">projekt s identifikací </w:t>
      </w:r>
      <w:r w:rsidR="00D42C76">
        <w:rPr>
          <w:rFonts w:cs="Calibri"/>
          <w:szCs w:val="24"/>
        </w:rPr>
        <w:t>částky</w:t>
      </w:r>
      <w:r w:rsidRPr="00F7725F">
        <w:rPr>
          <w:rFonts w:cs="Calibri"/>
          <w:szCs w:val="24"/>
        </w:rPr>
        <w:t xml:space="preserve"> hrazené z</w:t>
      </w:r>
      <w:r w:rsidR="002B1615" w:rsidRPr="00F7725F">
        <w:rPr>
          <w:rFonts w:cs="Calibri"/>
          <w:szCs w:val="24"/>
        </w:rPr>
        <w:t> </w:t>
      </w:r>
      <w:r w:rsidRPr="00F7725F">
        <w:rPr>
          <w:rFonts w:cs="Calibri"/>
          <w:szCs w:val="24"/>
        </w:rPr>
        <w:t>dotace</w:t>
      </w:r>
      <w:r w:rsidR="002B1615" w:rsidRPr="00F7725F">
        <w:rPr>
          <w:rFonts w:cs="Calibri"/>
          <w:szCs w:val="24"/>
        </w:rPr>
        <w:t xml:space="preserve">, byla pro MŠMT </w:t>
      </w:r>
      <w:r w:rsidR="00E73A72" w:rsidRPr="00F7725F">
        <w:rPr>
          <w:rFonts w:cs="Calibri"/>
          <w:szCs w:val="24"/>
        </w:rPr>
        <w:t>jedinou možností ověření, jak</w:t>
      </w:r>
      <w:r w:rsidR="00902074" w:rsidRPr="00F7725F">
        <w:rPr>
          <w:rFonts w:cs="Calibri"/>
          <w:szCs w:val="24"/>
        </w:rPr>
        <w:t xml:space="preserve"> </w:t>
      </w:r>
      <w:r w:rsidR="002B1615" w:rsidRPr="00F7725F">
        <w:rPr>
          <w:rFonts w:cs="Calibri"/>
          <w:szCs w:val="24"/>
        </w:rPr>
        <w:t>byly prostředky skutečně využity</w:t>
      </w:r>
      <w:r w:rsidR="00DC4DDB" w:rsidRPr="00F7725F">
        <w:rPr>
          <w:rFonts w:cs="Calibri"/>
          <w:szCs w:val="24"/>
        </w:rPr>
        <w:t>,</w:t>
      </w:r>
      <w:r w:rsidR="00903BBE" w:rsidRPr="00F7725F">
        <w:rPr>
          <w:rFonts w:cs="Calibri"/>
          <w:szCs w:val="24"/>
        </w:rPr>
        <w:t xml:space="preserve"> </w:t>
      </w:r>
      <w:r w:rsidR="00B319DB" w:rsidRPr="00F7725F">
        <w:rPr>
          <w:rFonts w:cs="Calibri"/>
          <w:szCs w:val="24"/>
        </w:rPr>
        <w:t>kontrola přímo u </w:t>
      </w:r>
      <w:r w:rsidR="00D624C1" w:rsidRPr="00F7725F">
        <w:rPr>
          <w:rFonts w:cs="Calibri"/>
          <w:szCs w:val="24"/>
        </w:rPr>
        <w:t>příjemce</w:t>
      </w:r>
      <w:r w:rsidR="002B1615" w:rsidRPr="00F7725F">
        <w:rPr>
          <w:rFonts w:cs="Calibri"/>
          <w:szCs w:val="24"/>
        </w:rPr>
        <w:t>. NK</w:t>
      </w:r>
      <w:r w:rsidR="00903BBE" w:rsidRPr="00F7725F">
        <w:rPr>
          <w:rFonts w:cs="Calibri"/>
          <w:szCs w:val="24"/>
        </w:rPr>
        <w:t>Ú při</w:t>
      </w:r>
      <w:r w:rsidR="00D42C76">
        <w:rPr>
          <w:rFonts w:cs="Calibri"/>
          <w:szCs w:val="24"/>
        </w:rPr>
        <w:t xml:space="preserve"> </w:t>
      </w:r>
      <w:r w:rsidR="002B1615" w:rsidRPr="00F7725F">
        <w:rPr>
          <w:rFonts w:cs="Calibri"/>
          <w:szCs w:val="24"/>
        </w:rPr>
        <w:t xml:space="preserve">kontrole </w:t>
      </w:r>
      <w:r w:rsidR="00A429F7" w:rsidRPr="00F7725F">
        <w:rPr>
          <w:rFonts w:cs="Calibri"/>
          <w:szCs w:val="24"/>
        </w:rPr>
        <w:t>dvou</w:t>
      </w:r>
      <w:r w:rsidR="002B1615" w:rsidRPr="00F7725F">
        <w:rPr>
          <w:rFonts w:cs="Calibri"/>
          <w:szCs w:val="24"/>
        </w:rPr>
        <w:t xml:space="preserve"> z vy</w:t>
      </w:r>
      <w:r w:rsidR="00A429F7" w:rsidRPr="00F7725F">
        <w:rPr>
          <w:rFonts w:cs="Calibri"/>
          <w:szCs w:val="24"/>
        </w:rPr>
        <w:t>braných projektů zjistil, že je</w:t>
      </w:r>
      <w:r w:rsidR="002B1615" w:rsidRPr="00F7725F">
        <w:rPr>
          <w:rFonts w:cs="Calibri"/>
          <w:szCs w:val="24"/>
        </w:rPr>
        <w:t xml:space="preserve"> v rámci své kontrolní č</w:t>
      </w:r>
      <w:r w:rsidR="006B044B" w:rsidRPr="00F7725F">
        <w:rPr>
          <w:rFonts w:cs="Calibri"/>
          <w:szCs w:val="24"/>
        </w:rPr>
        <w:t>innosti u </w:t>
      </w:r>
      <w:r w:rsidR="0078659D" w:rsidRPr="00F7725F">
        <w:rPr>
          <w:rFonts w:cs="Calibri"/>
          <w:szCs w:val="24"/>
        </w:rPr>
        <w:t>příjemce prověřovalo i MŠMT.</w:t>
      </w:r>
      <w:r w:rsidR="001D7BDD" w:rsidRPr="00F7725F">
        <w:rPr>
          <w:rFonts w:cs="Calibri"/>
          <w:szCs w:val="24"/>
        </w:rPr>
        <w:t xml:space="preserve"> </w:t>
      </w:r>
      <w:r w:rsidR="002B1615" w:rsidRPr="00F7725F">
        <w:rPr>
          <w:rFonts w:cs="Calibri"/>
          <w:b/>
          <w:szCs w:val="24"/>
        </w:rPr>
        <w:t>Zatímco MŠMT neshledalo žádné nedostatky, NK</w:t>
      </w:r>
      <w:r w:rsidR="006B044B" w:rsidRPr="00F7725F">
        <w:rPr>
          <w:rFonts w:cs="Calibri"/>
          <w:b/>
          <w:szCs w:val="24"/>
        </w:rPr>
        <w:t>Ú při</w:t>
      </w:r>
      <w:r w:rsidR="00D42C76">
        <w:rPr>
          <w:rFonts w:cs="Calibri"/>
          <w:b/>
          <w:szCs w:val="24"/>
        </w:rPr>
        <w:t xml:space="preserve"> </w:t>
      </w:r>
      <w:r w:rsidR="002B1615" w:rsidRPr="00F7725F">
        <w:rPr>
          <w:rFonts w:cs="Calibri"/>
          <w:b/>
          <w:szCs w:val="24"/>
        </w:rPr>
        <w:t xml:space="preserve">kontrole </w:t>
      </w:r>
      <w:r w:rsidR="001D7BDD" w:rsidRPr="00F7725F">
        <w:rPr>
          <w:rFonts w:cs="Calibri"/>
          <w:b/>
          <w:szCs w:val="24"/>
        </w:rPr>
        <w:t>stejných</w:t>
      </w:r>
      <w:r w:rsidR="002B1615" w:rsidRPr="00F7725F">
        <w:rPr>
          <w:rFonts w:cs="Calibri"/>
          <w:b/>
          <w:szCs w:val="24"/>
        </w:rPr>
        <w:t xml:space="preserve"> dokladů </w:t>
      </w:r>
      <w:r w:rsidR="002B1615" w:rsidRPr="00F7725F">
        <w:rPr>
          <w:rFonts w:cs="Calibri"/>
          <w:b/>
          <w:szCs w:val="24"/>
        </w:rPr>
        <w:lastRenderedPageBreak/>
        <w:t xml:space="preserve">nedodržení stanovených podmínek zjistil. </w:t>
      </w:r>
      <w:r w:rsidR="00D8070A" w:rsidRPr="00F7725F">
        <w:rPr>
          <w:rFonts w:cs="Calibri"/>
          <w:b/>
          <w:noProof/>
          <w:color w:val="000000"/>
          <w:szCs w:val="24"/>
        </w:rPr>
        <w:t>MŠMT provádělo kontrolu přímo u příjemců nedůsledně.</w:t>
      </w:r>
    </w:p>
    <w:p w14:paraId="509A9631" w14:textId="77777777" w:rsidR="00DB41C9" w:rsidRPr="00F7725F" w:rsidRDefault="00DB41C9" w:rsidP="00F53B44">
      <w:pPr>
        <w:rPr>
          <w:rFonts w:cs="Calibri"/>
          <w:szCs w:val="24"/>
        </w:rPr>
      </w:pPr>
    </w:p>
    <w:p w14:paraId="0582F06E" w14:textId="2F0EDD4A" w:rsidR="00DE072B" w:rsidRPr="00F7725F" w:rsidRDefault="004878A8" w:rsidP="00F53B44">
      <w:pPr>
        <w:keepNext/>
        <w:rPr>
          <w:rFonts w:cs="Calibri"/>
          <w:b/>
          <w:szCs w:val="24"/>
        </w:rPr>
      </w:pPr>
      <w:r w:rsidRPr="00F7725F">
        <w:rPr>
          <w:rFonts w:cs="Calibri"/>
          <w:b/>
          <w:szCs w:val="24"/>
        </w:rPr>
        <w:t xml:space="preserve">4. </w:t>
      </w:r>
      <w:r w:rsidR="00DE072B" w:rsidRPr="00F7725F">
        <w:rPr>
          <w:rFonts w:cs="Calibri"/>
          <w:b/>
          <w:szCs w:val="24"/>
        </w:rPr>
        <w:t>Podpořené NNO</w:t>
      </w:r>
      <w:r w:rsidR="009D783D" w:rsidRPr="00F7725F">
        <w:rPr>
          <w:rFonts w:cs="Calibri"/>
          <w:b/>
          <w:szCs w:val="24"/>
        </w:rPr>
        <w:t xml:space="preserve"> při realizaci projektů</w:t>
      </w:r>
      <w:r w:rsidR="00DE072B" w:rsidRPr="00F7725F">
        <w:rPr>
          <w:rFonts w:cs="Calibri"/>
          <w:b/>
          <w:szCs w:val="24"/>
        </w:rPr>
        <w:t xml:space="preserve"> </w:t>
      </w:r>
      <w:r w:rsidR="009D783D" w:rsidRPr="00F7725F">
        <w:rPr>
          <w:rFonts w:cs="Calibri"/>
          <w:b/>
          <w:szCs w:val="24"/>
        </w:rPr>
        <w:t>chybovaly.</w:t>
      </w:r>
    </w:p>
    <w:p w14:paraId="3BEC9F21" w14:textId="77777777" w:rsidR="00F53B44" w:rsidRDefault="00F53B44" w:rsidP="00F53B44">
      <w:pPr>
        <w:tabs>
          <w:tab w:val="left" w:pos="284"/>
        </w:tabs>
        <w:rPr>
          <w:rFonts w:cs="Calibri"/>
          <w:b/>
          <w:szCs w:val="24"/>
        </w:rPr>
      </w:pPr>
    </w:p>
    <w:p w14:paraId="3B879C7F" w14:textId="32C4677F" w:rsidR="003052AB" w:rsidRPr="00F7725F" w:rsidRDefault="00F50A62" w:rsidP="00F53B44">
      <w:pPr>
        <w:tabs>
          <w:tab w:val="left" w:pos="284"/>
        </w:tabs>
        <w:rPr>
          <w:rFonts w:cs="Calibri"/>
          <w:szCs w:val="24"/>
        </w:rPr>
      </w:pPr>
      <w:r w:rsidRPr="00F7725F">
        <w:rPr>
          <w:rFonts w:cs="Calibri"/>
          <w:b/>
          <w:szCs w:val="24"/>
        </w:rPr>
        <w:t xml:space="preserve">NKÚ kontrolou 67 projektů u 14 příjemců dotací zjistil, že </w:t>
      </w:r>
      <w:r w:rsidR="007459D2" w:rsidRPr="00F7725F">
        <w:rPr>
          <w:rFonts w:cs="Calibri"/>
          <w:b/>
          <w:szCs w:val="24"/>
        </w:rPr>
        <w:t>osm</w:t>
      </w:r>
      <w:r w:rsidR="0072668B" w:rsidRPr="00F7725F">
        <w:rPr>
          <w:rFonts w:cs="Calibri"/>
          <w:b/>
          <w:szCs w:val="24"/>
        </w:rPr>
        <w:t xml:space="preserve"> z nich</w:t>
      </w:r>
      <w:r w:rsidRPr="00F7725F">
        <w:rPr>
          <w:rFonts w:cs="Calibri"/>
          <w:b/>
          <w:szCs w:val="24"/>
        </w:rPr>
        <w:t xml:space="preserve"> </w:t>
      </w:r>
      <w:r w:rsidR="00D42C76" w:rsidRPr="00F7725F">
        <w:rPr>
          <w:rFonts w:cs="Calibri"/>
          <w:b/>
          <w:szCs w:val="24"/>
        </w:rPr>
        <w:t xml:space="preserve">se </w:t>
      </w:r>
      <w:r w:rsidRPr="00F7725F">
        <w:rPr>
          <w:rFonts w:cs="Calibri"/>
          <w:b/>
          <w:szCs w:val="24"/>
        </w:rPr>
        <w:t>dopustil</w:t>
      </w:r>
      <w:r w:rsidR="0072668B" w:rsidRPr="00F7725F">
        <w:rPr>
          <w:rFonts w:cs="Calibri"/>
          <w:b/>
          <w:szCs w:val="24"/>
        </w:rPr>
        <w:t>o</w:t>
      </w:r>
      <w:r w:rsidRPr="00F7725F">
        <w:rPr>
          <w:rFonts w:cs="Calibri"/>
          <w:b/>
          <w:szCs w:val="24"/>
        </w:rPr>
        <w:t xml:space="preserve"> porušení podmínek, za kterých jim byly </w:t>
      </w:r>
      <w:r w:rsidR="001D7BDD" w:rsidRPr="00F7725F">
        <w:rPr>
          <w:rFonts w:cs="Calibri"/>
          <w:b/>
          <w:szCs w:val="24"/>
        </w:rPr>
        <w:t>prostředky ze státního rozpočtu</w:t>
      </w:r>
      <w:r w:rsidR="003052AB" w:rsidRPr="00F7725F">
        <w:rPr>
          <w:rFonts w:cs="Calibri"/>
          <w:b/>
          <w:szCs w:val="24"/>
        </w:rPr>
        <w:t xml:space="preserve"> poskytnuty. </w:t>
      </w:r>
      <w:r w:rsidR="00FC7CC3" w:rsidRPr="00F7725F">
        <w:rPr>
          <w:rFonts w:cs="Calibri"/>
          <w:szCs w:val="24"/>
        </w:rPr>
        <w:t>Příjemci</w:t>
      </w:r>
      <w:r w:rsidR="003052AB" w:rsidRPr="00F7725F">
        <w:rPr>
          <w:rFonts w:cs="Calibri"/>
          <w:szCs w:val="24"/>
        </w:rPr>
        <w:t>:</w:t>
      </w:r>
    </w:p>
    <w:p w14:paraId="5E6A7B1C" w14:textId="77777777" w:rsidR="003052AB" w:rsidRPr="00F7725F" w:rsidRDefault="00F50A62" w:rsidP="00F53B44">
      <w:pPr>
        <w:pStyle w:val="Odstavecseseznamem"/>
        <w:numPr>
          <w:ilvl w:val="0"/>
          <w:numId w:val="46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F7725F">
        <w:rPr>
          <w:rFonts w:cs="Calibri"/>
          <w:sz w:val="24"/>
          <w:szCs w:val="24"/>
        </w:rPr>
        <w:t xml:space="preserve">hradili </w:t>
      </w:r>
      <w:r w:rsidR="003052AB" w:rsidRPr="00F7725F">
        <w:rPr>
          <w:rFonts w:cs="Calibri"/>
          <w:sz w:val="24"/>
          <w:szCs w:val="24"/>
        </w:rPr>
        <w:t xml:space="preserve">z dotace </w:t>
      </w:r>
      <w:r w:rsidRPr="00F7725F">
        <w:rPr>
          <w:rFonts w:cs="Calibri"/>
          <w:sz w:val="24"/>
          <w:szCs w:val="24"/>
        </w:rPr>
        <w:t>neuznatelné náklady</w:t>
      </w:r>
      <w:r w:rsidR="003052AB" w:rsidRPr="00F7725F">
        <w:rPr>
          <w:rFonts w:cs="Calibri"/>
          <w:sz w:val="24"/>
          <w:szCs w:val="24"/>
        </w:rPr>
        <w:t>;</w:t>
      </w:r>
    </w:p>
    <w:p w14:paraId="7F024AA2" w14:textId="77D2EC32" w:rsidR="003052AB" w:rsidRPr="00F7725F" w:rsidRDefault="003052AB" w:rsidP="00F53B44">
      <w:pPr>
        <w:pStyle w:val="Odstavecseseznamem"/>
        <w:numPr>
          <w:ilvl w:val="0"/>
          <w:numId w:val="46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F7725F">
        <w:rPr>
          <w:rFonts w:cs="Calibri"/>
          <w:sz w:val="24"/>
          <w:szCs w:val="24"/>
        </w:rPr>
        <w:t xml:space="preserve">nepoužili </w:t>
      </w:r>
      <w:r w:rsidR="003402E1" w:rsidRPr="00F7725F">
        <w:rPr>
          <w:rFonts w:cs="Calibri"/>
          <w:sz w:val="24"/>
          <w:szCs w:val="24"/>
        </w:rPr>
        <w:t xml:space="preserve">část </w:t>
      </w:r>
      <w:r w:rsidR="009161CC" w:rsidRPr="00F7725F">
        <w:rPr>
          <w:rFonts w:cs="Calibri"/>
          <w:sz w:val="24"/>
          <w:szCs w:val="24"/>
        </w:rPr>
        <w:t>dotac</w:t>
      </w:r>
      <w:r w:rsidR="003402E1" w:rsidRPr="00F7725F">
        <w:rPr>
          <w:rFonts w:cs="Calibri"/>
          <w:sz w:val="24"/>
          <w:szCs w:val="24"/>
        </w:rPr>
        <w:t>e</w:t>
      </w:r>
      <w:r w:rsidR="009161CC" w:rsidRPr="00F7725F">
        <w:rPr>
          <w:rFonts w:cs="Calibri"/>
          <w:sz w:val="24"/>
          <w:szCs w:val="24"/>
        </w:rPr>
        <w:t xml:space="preserve"> </w:t>
      </w:r>
      <w:r w:rsidRPr="00F7725F">
        <w:rPr>
          <w:rFonts w:cs="Calibri"/>
          <w:sz w:val="24"/>
          <w:szCs w:val="24"/>
        </w:rPr>
        <w:t>na realizaci schváleného projektu;</w:t>
      </w:r>
    </w:p>
    <w:p w14:paraId="3C5967B0" w14:textId="5C2F2472" w:rsidR="003052AB" w:rsidRPr="00F7725F" w:rsidRDefault="003052AB" w:rsidP="00F53B44">
      <w:pPr>
        <w:pStyle w:val="Odstavecseseznamem"/>
        <w:numPr>
          <w:ilvl w:val="0"/>
          <w:numId w:val="46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F7725F">
        <w:rPr>
          <w:rFonts w:cs="Calibri"/>
          <w:sz w:val="24"/>
          <w:szCs w:val="24"/>
        </w:rPr>
        <w:t>ne</w:t>
      </w:r>
      <w:r w:rsidR="00F50A62" w:rsidRPr="00F7725F">
        <w:rPr>
          <w:rFonts w:cs="Calibri"/>
          <w:sz w:val="24"/>
          <w:szCs w:val="24"/>
        </w:rPr>
        <w:t>dodrže</w:t>
      </w:r>
      <w:r w:rsidRPr="00F7725F">
        <w:rPr>
          <w:rFonts w:cs="Calibri"/>
          <w:sz w:val="24"/>
          <w:szCs w:val="24"/>
        </w:rPr>
        <w:t>li</w:t>
      </w:r>
      <w:r w:rsidR="00F50A62" w:rsidRPr="00F7725F">
        <w:rPr>
          <w:rFonts w:cs="Calibri"/>
          <w:sz w:val="24"/>
          <w:szCs w:val="24"/>
        </w:rPr>
        <w:t xml:space="preserve"> základní parametry projek</w:t>
      </w:r>
      <w:r w:rsidR="00B319DB" w:rsidRPr="00F7725F">
        <w:rPr>
          <w:rFonts w:cs="Calibri"/>
          <w:sz w:val="24"/>
          <w:szCs w:val="24"/>
        </w:rPr>
        <w:t>tů, jako jsou celkové náklady a </w:t>
      </w:r>
      <w:r w:rsidR="00F50A62" w:rsidRPr="00F7725F">
        <w:rPr>
          <w:rFonts w:cs="Calibri"/>
          <w:sz w:val="24"/>
          <w:szCs w:val="24"/>
        </w:rPr>
        <w:t xml:space="preserve">v souvislosti s tím také podíl </w:t>
      </w:r>
      <w:r w:rsidR="003402E1" w:rsidRPr="00F7725F">
        <w:rPr>
          <w:rFonts w:cs="Calibri"/>
          <w:sz w:val="24"/>
          <w:szCs w:val="24"/>
        </w:rPr>
        <w:t xml:space="preserve">své </w:t>
      </w:r>
      <w:r w:rsidR="00F50A62" w:rsidRPr="00F7725F">
        <w:rPr>
          <w:rFonts w:cs="Calibri"/>
          <w:sz w:val="24"/>
          <w:szCs w:val="24"/>
        </w:rPr>
        <w:t>spol</w:t>
      </w:r>
      <w:r w:rsidRPr="00F7725F">
        <w:rPr>
          <w:rFonts w:cs="Calibri"/>
          <w:sz w:val="24"/>
          <w:szCs w:val="24"/>
        </w:rPr>
        <w:t>uúčasti na financování;</w:t>
      </w:r>
    </w:p>
    <w:p w14:paraId="1E90FD98" w14:textId="2AB46132" w:rsidR="00F50A62" w:rsidRPr="00F7725F" w:rsidRDefault="003052AB" w:rsidP="00F53B44">
      <w:pPr>
        <w:pStyle w:val="Odstavecseseznamem"/>
        <w:numPr>
          <w:ilvl w:val="0"/>
          <w:numId w:val="46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F7725F">
        <w:rPr>
          <w:rFonts w:cs="Calibri"/>
          <w:sz w:val="24"/>
          <w:szCs w:val="24"/>
        </w:rPr>
        <w:t>nevedli účetnictví tak, aby v něm bylo</w:t>
      </w:r>
      <w:r w:rsidR="00F50A62" w:rsidRPr="00F7725F">
        <w:rPr>
          <w:rFonts w:cs="Calibri"/>
          <w:sz w:val="24"/>
          <w:szCs w:val="24"/>
        </w:rPr>
        <w:t xml:space="preserve"> možné dohledat, jakým způsobem byly dotační prostředky použity.</w:t>
      </w:r>
    </w:p>
    <w:p w14:paraId="6501966D" w14:textId="77777777" w:rsidR="002C548A" w:rsidRPr="00F7725F" w:rsidRDefault="002C548A" w:rsidP="00F53B44">
      <w:pPr>
        <w:ind w:left="69"/>
        <w:rPr>
          <w:rFonts w:cs="Calibri"/>
          <w:szCs w:val="24"/>
        </w:rPr>
      </w:pPr>
    </w:p>
    <w:p w14:paraId="33A07ABB" w14:textId="656D274F" w:rsidR="00713E76" w:rsidRPr="00F7725F" w:rsidRDefault="00713E76" w:rsidP="00F53B44">
      <w:pPr>
        <w:rPr>
          <w:rFonts w:cs="Calibri"/>
          <w:b/>
          <w:szCs w:val="24"/>
        </w:rPr>
      </w:pPr>
      <w:r w:rsidRPr="00F7725F">
        <w:rPr>
          <w:rFonts w:cs="Calibri"/>
          <w:b/>
          <w:szCs w:val="24"/>
        </w:rPr>
        <w:t xml:space="preserve">U </w:t>
      </w:r>
      <w:r w:rsidR="002A60B9" w:rsidRPr="00F7725F">
        <w:rPr>
          <w:rFonts w:cs="Calibri"/>
          <w:b/>
          <w:szCs w:val="24"/>
        </w:rPr>
        <w:t>šesti</w:t>
      </w:r>
      <w:r w:rsidRPr="00F7725F">
        <w:rPr>
          <w:rFonts w:cs="Calibri"/>
          <w:b/>
          <w:szCs w:val="24"/>
        </w:rPr>
        <w:t xml:space="preserve"> příjemců NKÚ zjištěné nedostatky vyhodnotil jako porušení rozpočtové kázně</w:t>
      </w:r>
      <w:r w:rsidRPr="00F7725F">
        <w:rPr>
          <w:rStyle w:val="Znakapoznpodarou"/>
          <w:rFonts w:cs="Calibri"/>
          <w:b/>
          <w:szCs w:val="24"/>
        </w:rPr>
        <w:footnoteReference w:id="8"/>
      </w:r>
      <w:r w:rsidR="00212165" w:rsidRPr="00F7725F">
        <w:rPr>
          <w:rFonts w:cs="Calibri"/>
          <w:b/>
          <w:szCs w:val="24"/>
        </w:rPr>
        <w:t xml:space="preserve"> a </w:t>
      </w:r>
      <w:r w:rsidR="0068546E" w:rsidRPr="00F7725F">
        <w:rPr>
          <w:rFonts w:cs="Calibri"/>
          <w:b/>
          <w:szCs w:val="24"/>
        </w:rPr>
        <w:t>předal</w:t>
      </w:r>
      <w:r w:rsidRPr="00F7725F">
        <w:rPr>
          <w:rFonts w:cs="Calibri"/>
          <w:b/>
          <w:szCs w:val="24"/>
        </w:rPr>
        <w:t xml:space="preserve"> oznámení příslušnému správci daně.</w:t>
      </w:r>
    </w:p>
    <w:p w14:paraId="335CB5A9" w14:textId="036FA114" w:rsidR="005872C0" w:rsidRPr="00F7725F" w:rsidRDefault="005872C0" w:rsidP="00F53B44">
      <w:pPr>
        <w:rPr>
          <w:rFonts w:cs="Calibri"/>
          <w:szCs w:val="24"/>
        </w:rPr>
      </w:pPr>
    </w:p>
    <w:p w14:paraId="18F667B4" w14:textId="20D8F3BC" w:rsidR="00331AC6" w:rsidRPr="00F7725F" w:rsidRDefault="005E5F8A" w:rsidP="00F53B44">
      <w:pPr>
        <w:rPr>
          <w:rFonts w:cs="Calibri"/>
          <w:b/>
          <w:szCs w:val="24"/>
        </w:rPr>
      </w:pPr>
      <w:r w:rsidRPr="00F7725F">
        <w:rPr>
          <w:rFonts w:cs="Calibri"/>
          <w:b/>
          <w:szCs w:val="24"/>
        </w:rPr>
        <w:t xml:space="preserve">5. </w:t>
      </w:r>
      <w:r w:rsidR="0002178C" w:rsidRPr="00F7725F">
        <w:rPr>
          <w:rFonts w:cs="Calibri"/>
          <w:b/>
          <w:szCs w:val="24"/>
        </w:rPr>
        <w:t xml:space="preserve">NKÚ doporučuje </w:t>
      </w:r>
      <w:r w:rsidR="00AB5F6D" w:rsidRPr="00F7725F">
        <w:rPr>
          <w:rFonts w:cs="Calibri"/>
          <w:b/>
          <w:szCs w:val="24"/>
        </w:rPr>
        <w:t>zvýšit účinnost</w:t>
      </w:r>
      <w:r w:rsidR="0002178C" w:rsidRPr="00F7725F">
        <w:rPr>
          <w:rFonts w:cs="Calibri"/>
          <w:b/>
          <w:szCs w:val="24"/>
        </w:rPr>
        <w:t xml:space="preserve"> </w:t>
      </w:r>
      <w:r w:rsidR="00AB5F6D" w:rsidRPr="00F7725F">
        <w:rPr>
          <w:rFonts w:cs="Calibri"/>
          <w:b/>
          <w:szCs w:val="24"/>
        </w:rPr>
        <w:t>vnitřního kontrolního systému</w:t>
      </w:r>
      <w:r w:rsidR="0002178C" w:rsidRPr="00F7725F">
        <w:rPr>
          <w:rFonts w:cs="Calibri"/>
          <w:b/>
          <w:szCs w:val="24"/>
        </w:rPr>
        <w:t xml:space="preserve"> MŠMT.</w:t>
      </w:r>
    </w:p>
    <w:p w14:paraId="74ECAF25" w14:textId="77777777" w:rsidR="00F53B44" w:rsidRDefault="00F53B44" w:rsidP="00F53B44">
      <w:pPr>
        <w:rPr>
          <w:rFonts w:cs="Calibri"/>
          <w:szCs w:val="24"/>
        </w:rPr>
      </w:pPr>
    </w:p>
    <w:p w14:paraId="08C3C9AD" w14:textId="3AE1C7C8" w:rsidR="00331AC6" w:rsidRPr="00F7725F" w:rsidRDefault="00331AC6" w:rsidP="00F53B44">
      <w:pPr>
        <w:rPr>
          <w:rFonts w:cs="Calibri"/>
          <w:b/>
          <w:szCs w:val="24"/>
        </w:rPr>
      </w:pPr>
      <w:r w:rsidRPr="00F7725F">
        <w:rPr>
          <w:rFonts w:cs="Calibri"/>
          <w:szCs w:val="24"/>
        </w:rPr>
        <w:t>Vzhledem k řadě závažných pochybení</w:t>
      </w:r>
      <w:r w:rsidR="0002178C" w:rsidRPr="00F7725F">
        <w:rPr>
          <w:rFonts w:cs="Calibri"/>
          <w:szCs w:val="24"/>
        </w:rPr>
        <w:t xml:space="preserve"> při administraci Programů</w:t>
      </w:r>
      <w:r w:rsidRPr="00F7725F">
        <w:rPr>
          <w:rFonts w:cs="Calibri"/>
          <w:szCs w:val="24"/>
        </w:rPr>
        <w:t xml:space="preserve"> způsobených </w:t>
      </w:r>
      <w:r w:rsidR="0002178C" w:rsidRPr="00F7725F">
        <w:rPr>
          <w:rFonts w:cs="Calibri"/>
          <w:szCs w:val="24"/>
        </w:rPr>
        <w:t>selháváním</w:t>
      </w:r>
      <w:r w:rsidRPr="00F7725F">
        <w:rPr>
          <w:rFonts w:cs="Calibri"/>
          <w:szCs w:val="24"/>
        </w:rPr>
        <w:t xml:space="preserve"> </w:t>
      </w:r>
      <w:r w:rsidR="0002178C" w:rsidRPr="00F7725F">
        <w:rPr>
          <w:rFonts w:cs="Calibri"/>
          <w:szCs w:val="24"/>
        </w:rPr>
        <w:t xml:space="preserve">kontrolních mechanismů doporučuje NKÚ, aby se MŠMT primárně zaměřilo na správné nastavení a funkčnost svého </w:t>
      </w:r>
      <w:r w:rsidRPr="00F7725F">
        <w:rPr>
          <w:rFonts w:cs="Calibri"/>
          <w:szCs w:val="24"/>
        </w:rPr>
        <w:t>vnitřního kontrolního systému</w:t>
      </w:r>
      <w:r w:rsidR="00B3174E">
        <w:rPr>
          <w:rFonts w:cs="Calibri"/>
          <w:szCs w:val="24"/>
        </w:rPr>
        <w:t>,</w:t>
      </w:r>
      <w:r w:rsidRPr="00F7725F">
        <w:rPr>
          <w:rFonts w:cs="Calibri"/>
          <w:szCs w:val="24"/>
        </w:rPr>
        <w:t xml:space="preserve"> a </w:t>
      </w:r>
      <w:r w:rsidR="0002178C" w:rsidRPr="00F7725F">
        <w:rPr>
          <w:rFonts w:cs="Calibri"/>
          <w:szCs w:val="24"/>
        </w:rPr>
        <w:t xml:space="preserve">důsledně tak </w:t>
      </w:r>
      <w:r w:rsidRPr="00F7725F">
        <w:rPr>
          <w:rFonts w:cs="Calibri"/>
          <w:szCs w:val="24"/>
        </w:rPr>
        <w:t xml:space="preserve">dbalo dodržování zákona </w:t>
      </w:r>
      <w:r w:rsidR="0002178C" w:rsidRPr="00F7725F">
        <w:rPr>
          <w:rFonts w:cs="Calibri"/>
          <w:szCs w:val="24"/>
        </w:rPr>
        <w:t>o </w:t>
      </w:r>
      <w:r w:rsidRPr="00F7725F">
        <w:rPr>
          <w:rFonts w:cs="Calibri"/>
          <w:szCs w:val="24"/>
        </w:rPr>
        <w:t>finanční kontrole.</w:t>
      </w:r>
    </w:p>
    <w:p w14:paraId="77293ADF" w14:textId="77777777" w:rsidR="00650E27" w:rsidRPr="00F7725F" w:rsidRDefault="00650E27" w:rsidP="00F53B44">
      <w:pPr>
        <w:rPr>
          <w:rFonts w:cs="Calibri"/>
          <w:szCs w:val="24"/>
        </w:rPr>
      </w:pPr>
    </w:p>
    <w:p w14:paraId="4D6FE02E" w14:textId="03C468C3" w:rsidR="003874E4" w:rsidRPr="00F7725F" w:rsidRDefault="00650E27" w:rsidP="00F53B44">
      <w:pPr>
        <w:tabs>
          <w:tab w:val="left" w:pos="284"/>
        </w:tabs>
        <w:rPr>
          <w:rFonts w:cs="Calibri"/>
          <w:b/>
          <w:szCs w:val="24"/>
        </w:rPr>
      </w:pPr>
      <w:r w:rsidRPr="00F7725F">
        <w:rPr>
          <w:rFonts w:cs="Calibri"/>
          <w:b/>
          <w:szCs w:val="24"/>
        </w:rPr>
        <w:t xml:space="preserve">6. </w:t>
      </w:r>
      <w:r w:rsidR="00591B94" w:rsidRPr="00F7725F">
        <w:rPr>
          <w:rFonts w:cs="Calibri"/>
          <w:b/>
          <w:szCs w:val="24"/>
        </w:rPr>
        <w:t>NKÚ vnímá pozitivně tendence MŠMT ke stabilizaci oblasti práce s dětmi a mládeží.</w:t>
      </w:r>
    </w:p>
    <w:p w14:paraId="2A8F7489" w14:textId="77777777" w:rsidR="00F53B44" w:rsidRDefault="00F53B44" w:rsidP="00F53B44">
      <w:pPr>
        <w:rPr>
          <w:rFonts w:cs="Calibri"/>
          <w:szCs w:val="24"/>
        </w:rPr>
      </w:pPr>
    </w:p>
    <w:p w14:paraId="77EAFC9B" w14:textId="703A8998" w:rsidR="005E5F8A" w:rsidRPr="00F7725F" w:rsidRDefault="005E5F8A" w:rsidP="00F53B44">
      <w:pPr>
        <w:rPr>
          <w:rFonts w:cs="Calibri"/>
          <w:szCs w:val="24"/>
        </w:rPr>
      </w:pPr>
      <w:r w:rsidRPr="00F7725F">
        <w:rPr>
          <w:rFonts w:cs="Calibri"/>
          <w:szCs w:val="24"/>
        </w:rPr>
        <w:t>MŠMT v poslední době učinilo kroky</w:t>
      </w:r>
      <w:r w:rsidR="001D7BDD" w:rsidRPr="00F7725F">
        <w:rPr>
          <w:rFonts w:cs="Calibri"/>
          <w:szCs w:val="24"/>
        </w:rPr>
        <w:t xml:space="preserve"> vedoucí k vyšší</w:t>
      </w:r>
      <w:r w:rsidRPr="00F7725F">
        <w:rPr>
          <w:rFonts w:cs="Calibri"/>
          <w:szCs w:val="24"/>
        </w:rPr>
        <w:t xml:space="preserve"> stabilit</w:t>
      </w:r>
      <w:r w:rsidR="001D7BDD" w:rsidRPr="00F7725F">
        <w:rPr>
          <w:rFonts w:cs="Calibri"/>
          <w:szCs w:val="24"/>
        </w:rPr>
        <w:t>ě</w:t>
      </w:r>
      <w:r w:rsidRPr="00F7725F">
        <w:rPr>
          <w:rFonts w:cs="Calibri"/>
          <w:szCs w:val="24"/>
        </w:rPr>
        <w:t xml:space="preserve"> klíčových NNO v oblasti práce s dětmi a mládeží, které na základě splnění stanovených kritérií získaly titul </w:t>
      </w:r>
      <w:r w:rsidR="00B3174E">
        <w:rPr>
          <w:rFonts w:cs="Calibri"/>
          <w:i/>
          <w:szCs w:val="24"/>
        </w:rPr>
        <w:t>u</w:t>
      </w:r>
      <w:r w:rsidRPr="00F7725F">
        <w:rPr>
          <w:rFonts w:cs="Calibri"/>
          <w:i/>
          <w:szCs w:val="24"/>
        </w:rPr>
        <w:t>znané organizace pro práci s dětmi a mládeží</w:t>
      </w:r>
      <w:r w:rsidRPr="00F7725F">
        <w:rPr>
          <w:rFonts w:cs="Calibri"/>
          <w:szCs w:val="24"/>
        </w:rPr>
        <w:t>. S těmito NNO uzavřelo v říjnu 2017 smlouvy o</w:t>
      </w:r>
      <w:r w:rsidR="00A963E4" w:rsidRPr="00F7725F">
        <w:rPr>
          <w:rFonts w:cs="Calibri"/>
          <w:szCs w:val="24"/>
        </w:rPr>
        <w:t> </w:t>
      </w:r>
      <w:r w:rsidRPr="00F7725F">
        <w:rPr>
          <w:rFonts w:cs="Calibri"/>
          <w:szCs w:val="24"/>
        </w:rPr>
        <w:t>dlouhodobé spolupráci, které jim</w:t>
      </w:r>
      <w:r w:rsidR="00063AD6" w:rsidRPr="00F7725F">
        <w:rPr>
          <w:rFonts w:cs="Calibri"/>
          <w:szCs w:val="24"/>
        </w:rPr>
        <w:t xml:space="preserve"> na</w:t>
      </w:r>
      <w:r w:rsidRPr="00F7725F">
        <w:rPr>
          <w:rFonts w:cs="Calibri"/>
          <w:szCs w:val="24"/>
        </w:rPr>
        <w:t xml:space="preserve"> stanovené období garantují určitou minimální výši dotace. </w:t>
      </w:r>
      <w:r w:rsidR="007459D2" w:rsidRPr="00F7725F">
        <w:rPr>
          <w:rFonts w:cs="Calibri"/>
          <w:szCs w:val="24"/>
        </w:rPr>
        <w:t>Tyto v</w:t>
      </w:r>
      <w:r w:rsidRPr="00F7725F">
        <w:rPr>
          <w:rFonts w:cs="Calibri"/>
          <w:szCs w:val="24"/>
        </w:rPr>
        <w:t>íceleté kontrakty jsou využívány i v některých dalších zemích Evropské unie</w:t>
      </w:r>
      <w:r w:rsidR="001D7BDD" w:rsidRPr="00F7725F">
        <w:rPr>
          <w:rFonts w:cs="Calibri"/>
          <w:szCs w:val="24"/>
        </w:rPr>
        <w:t>, jako např. v </w:t>
      </w:r>
      <w:r w:rsidR="007459D2" w:rsidRPr="00F7725F">
        <w:rPr>
          <w:rFonts w:cs="Calibri"/>
          <w:szCs w:val="24"/>
        </w:rPr>
        <w:t>Belgii</w:t>
      </w:r>
      <w:r w:rsidRPr="00F7725F">
        <w:rPr>
          <w:rFonts w:cs="Calibri"/>
          <w:szCs w:val="24"/>
        </w:rPr>
        <w:t>.</w:t>
      </w:r>
      <w:r w:rsidR="0072668B" w:rsidRPr="00F7725F">
        <w:rPr>
          <w:rFonts w:cs="Calibri"/>
          <w:szCs w:val="24"/>
        </w:rPr>
        <w:t xml:space="preserve"> NKÚ považuje snahu MŠMT o vyšší míru finanční jistoty </w:t>
      </w:r>
      <w:r w:rsidR="00DC4DDB" w:rsidRPr="00F7725F">
        <w:rPr>
          <w:rFonts w:cs="Calibri"/>
          <w:szCs w:val="24"/>
        </w:rPr>
        <w:t>pro NNO působící</w:t>
      </w:r>
      <w:r w:rsidR="0072668B" w:rsidRPr="00F7725F">
        <w:rPr>
          <w:rFonts w:cs="Calibri"/>
          <w:szCs w:val="24"/>
        </w:rPr>
        <w:t xml:space="preserve"> v oblasti práce s dětmi a</w:t>
      </w:r>
      <w:r w:rsidR="00063AD6" w:rsidRPr="00F7725F">
        <w:rPr>
          <w:rFonts w:cs="Calibri"/>
          <w:szCs w:val="24"/>
        </w:rPr>
        <w:t> </w:t>
      </w:r>
      <w:r w:rsidR="0072668B" w:rsidRPr="00F7725F">
        <w:rPr>
          <w:rFonts w:cs="Calibri"/>
          <w:szCs w:val="24"/>
        </w:rPr>
        <w:t xml:space="preserve">mládeží za </w:t>
      </w:r>
      <w:r w:rsidR="00DC4DDB" w:rsidRPr="00F7725F">
        <w:rPr>
          <w:rFonts w:cs="Calibri"/>
          <w:szCs w:val="24"/>
        </w:rPr>
        <w:t>správný krok směrem ke stabilizaci</w:t>
      </w:r>
      <w:r w:rsidR="0072668B" w:rsidRPr="00F7725F">
        <w:rPr>
          <w:rFonts w:cs="Calibri"/>
          <w:szCs w:val="24"/>
        </w:rPr>
        <w:t>.</w:t>
      </w:r>
    </w:p>
    <w:p w14:paraId="4990AC2B" w14:textId="77777777" w:rsidR="002C548A" w:rsidRPr="00F7725F" w:rsidRDefault="002C548A" w:rsidP="00F53B44">
      <w:pPr>
        <w:rPr>
          <w:rFonts w:cs="Calibri"/>
          <w:szCs w:val="24"/>
        </w:rPr>
      </w:pPr>
    </w:p>
    <w:p w14:paraId="6C832805" w14:textId="1B246F60" w:rsidR="005E5F8A" w:rsidRPr="00F7725F" w:rsidRDefault="0025324F" w:rsidP="00F53B44">
      <w:pPr>
        <w:rPr>
          <w:rFonts w:cs="Calibri"/>
          <w:b/>
          <w:szCs w:val="24"/>
        </w:rPr>
      </w:pPr>
      <w:r w:rsidRPr="00F7725F">
        <w:rPr>
          <w:rFonts w:cs="Calibri"/>
          <w:szCs w:val="24"/>
        </w:rPr>
        <w:t>NKÚ</w:t>
      </w:r>
      <w:r w:rsidR="001409EA" w:rsidRPr="00F7725F">
        <w:rPr>
          <w:rFonts w:cs="Calibri"/>
          <w:szCs w:val="24"/>
        </w:rPr>
        <w:t xml:space="preserve"> dále</w:t>
      </w:r>
      <w:r w:rsidRPr="00F7725F">
        <w:rPr>
          <w:rFonts w:cs="Calibri"/>
          <w:szCs w:val="24"/>
        </w:rPr>
        <w:t xml:space="preserve"> doporučuje zvážit vytvoření zákonné úpravy v oblasti </w:t>
      </w:r>
      <w:r w:rsidR="00B3174E">
        <w:rPr>
          <w:rFonts w:cs="Calibri"/>
          <w:szCs w:val="24"/>
        </w:rPr>
        <w:t>práce s </w:t>
      </w:r>
      <w:r w:rsidRPr="00F7725F">
        <w:rPr>
          <w:rFonts w:cs="Calibri"/>
          <w:szCs w:val="24"/>
        </w:rPr>
        <w:t>dět</w:t>
      </w:r>
      <w:r w:rsidR="00B3174E">
        <w:rPr>
          <w:rFonts w:cs="Calibri"/>
          <w:szCs w:val="24"/>
        </w:rPr>
        <w:t>mi</w:t>
      </w:r>
      <w:r w:rsidRPr="00F7725F">
        <w:rPr>
          <w:rFonts w:cs="Calibri"/>
          <w:szCs w:val="24"/>
        </w:rPr>
        <w:t xml:space="preserve"> a mládež</w:t>
      </w:r>
      <w:r w:rsidR="00B3174E">
        <w:rPr>
          <w:rFonts w:cs="Calibri"/>
          <w:szCs w:val="24"/>
        </w:rPr>
        <w:t>í</w:t>
      </w:r>
      <w:r w:rsidRPr="00F7725F">
        <w:rPr>
          <w:rFonts w:cs="Calibri"/>
          <w:szCs w:val="24"/>
        </w:rPr>
        <w:t xml:space="preserve">, nebo alespoň podpory práce s dětmi a mládeží, jako je tomu </w:t>
      </w:r>
      <w:r w:rsidR="00BB09D6" w:rsidRPr="00F7725F">
        <w:rPr>
          <w:rFonts w:cs="Calibri"/>
          <w:szCs w:val="24"/>
        </w:rPr>
        <w:t>i v jiných státech Evropy</w:t>
      </w:r>
      <w:r w:rsidRPr="00F7725F">
        <w:rPr>
          <w:rStyle w:val="Znakapoznpodarou"/>
          <w:rFonts w:cs="Calibri"/>
          <w:szCs w:val="24"/>
        </w:rPr>
        <w:footnoteReference w:id="9"/>
      </w:r>
      <w:r w:rsidRPr="00F7725F">
        <w:rPr>
          <w:rFonts w:cs="Calibri"/>
          <w:szCs w:val="24"/>
        </w:rPr>
        <w:t>.</w:t>
      </w:r>
    </w:p>
    <w:p w14:paraId="68D929FC" w14:textId="1ADE6D6F" w:rsidR="0025324F" w:rsidRDefault="0025324F" w:rsidP="00F53B44">
      <w:pPr>
        <w:rPr>
          <w:rFonts w:cs="Calibri"/>
          <w:szCs w:val="24"/>
        </w:rPr>
      </w:pPr>
    </w:p>
    <w:p w14:paraId="6218F996" w14:textId="77777777" w:rsidR="00F7725F" w:rsidRPr="00F7725F" w:rsidRDefault="00F7725F" w:rsidP="004878A8">
      <w:pPr>
        <w:rPr>
          <w:rFonts w:cs="Calibri"/>
          <w:szCs w:val="24"/>
        </w:rPr>
      </w:pPr>
    </w:p>
    <w:p w14:paraId="40A464FE" w14:textId="77777777" w:rsidR="00F53B44" w:rsidRDefault="00F53B44">
      <w:pPr>
        <w:widowControl/>
        <w:autoSpaceDE/>
        <w:autoSpaceDN/>
        <w:adjustRightInd/>
        <w:spacing w:after="160" w:line="259" w:lineRule="auto"/>
        <w:jc w:val="left"/>
        <w:rPr>
          <w:rFonts w:cs="Calibri"/>
          <w:b/>
          <w:bCs/>
          <w:sz w:val="28"/>
          <w:szCs w:val="28"/>
        </w:rPr>
      </w:pPr>
      <w:r>
        <w:br w:type="page"/>
      </w:r>
    </w:p>
    <w:p w14:paraId="0F206E30" w14:textId="506EAB09" w:rsidR="00804C37" w:rsidRPr="00825BEE" w:rsidRDefault="00F53B44" w:rsidP="00F53B44">
      <w:pPr>
        <w:pStyle w:val="Nadpis1"/>
        <w:numPr>
          <w:ilvl w:val="0"/>
          <w:numId w:val="0"/>
        </w:numPr>
        <w:spacing w:after="0"/>
      </w:pPr>
      <w:r>
        <w:lastRenderedPageBreak/>
        <w:t xml:space="preserve">III. </w:t>
      </w:r>
      <w:r w:rsidR="00804C37" w:rsidRPr="00825BEE">
        <w:t>Podrobné informace ke skutečnostem zjištěným při kontrole</w:t>
      </w:r>
      <w:r w:rsidR="00A0600E">
        <w:t xml:space="preserve"> </w:t>
      </w:r>
    </w:p>
    <w:p w14:paraId="3575B997" w14:textId="77777777" w:rsidR="00F7725F" w:rsidRPr="00F7725F" w:rsidRDefault="00F7725F" w:rsidP="00F7725F"/>
    <w:p w14:paraId="4A5D5F89" w14:textId="146302F9" w:rsidR="00FE5C8F" w:rsidRPr="00F7725F" w:rsidRDefault="004878A8" w:rsidP="00F7725F">
      <w:pPr>
        <w:pStyle w:val="Nadpis2"/>
        <w:numPr>
          <w:ilvl w:val="0"/>
          <w:numId w:val="0"/>
        </w:numPr>
        <w:spacing w:after="0"/>
        <w:rPr>
          <w:sz w:val="24"/>
        </w:rPr>
      </w:pPr>
      <w:r w:rsidRPr="00F7725F">
        <w:rPr>
          <w:sz w:val="24"/>
        </w:rPr>
        <w:t xml:space="preserve">1. </w:t>
      </w:r>
      <w:r w:rsidR="00B319DB" w:rsidRPr="00F7725F">
        <w:rPr>
          <w:sz w:val="24"/>
        </w:rPr>
        <w:t>Koncepční rámec a cíle programů</w:t>
      </w:r>
    </w:p>
    <w:p w14:paraId="0EEC822A" w14:textId="77777777" w:rsidR="00F7725F" w:rsidRDefault="00F7725F" w:rsidP="00F7725F">
      <w:pPr>
        <w:rPr>
          <w:szCs w:val="24"/>
        </w:rPr>
      </w:pPr>
    </w:p>
    <w:p w14:paraId="663C4872" w14:textId="5673980A" w:rsidR="00C25BFA" w:rsidRDefault="00C25BFA" w:rsidP="00F7725F">
      <w:pPr>
        <w:rPr>
          <w:szCs w:val="24"/>
        </w:rPr>
      </w:pPr>
      <w:r w:rsidRPr="00F7725F">
        <w:rPr>
          <w:szCs w:val="24"/>
        </w:rPr>
        <w:t xml:space="preserve">Podpora práce s dětmi a mládeží v ČR </w:t>
      </w:r>
      <w:r w:rsidR="00186051" w:rsidRPr="00F7725F">
        <w:rPr>
          <w:szCs w:val="24"/>
        </w:rPr>
        <w:t>je</w:t>
      </w:r>
      <w:r w:rsidRPr="00F7725F">
        <w:rPr>
          <w:szCs w:val="24"/>
        </w:rPr>
        <w:t xml:space="preserve"> na centrální i </w:t>
      </w:r>
      <w:r w:rsidR="007F581C" w:rsidRPr="00F7725F">
        <w:rPr>
          <w:szCs w:val="24"/>
        </w:rPr>
        <w:t>regionální</w:t>
      </w:r>
      <w:r w:rsidRPr="00F7725F">
        <w:rPr>
          <w:szCs w:val="24"/>
        </w:rPr>
        <w:t xml:space="preserve"> úrovni realizována na</w:t>
      </w:r>
      <w:r w:rsidR="008411D3">
        <w:rPr>
          <w:szCs w:val="24"/>
        </w:rPr>
        <w:t xml:space="preserve"> </w:t>
      </w:r>
      <w:r w:rsidRPr="00F7725F">
        <w:rPr>
          <w:szCs w:val="24"/>
        </w:rPr>
        <w:t>základě vládou schválené Koncepce 2020, která je základním</w:t>
      </w:r>
      <w:r w:rsidR="00436B21" w:rsidRPr="00F7725F">
        <w:rPr>
          <w:szCs w:val="24"/>
        </w:rPr>
        <w:t xml:space="preserve"> strategickým dokumentem ČR pro</w:t>
      </w:r>
      <w:r w:rsidR="008411D3">
        <w:rPr>
          <w:szCs w:val="24"/>
        </w:rPr>
        <w:t xml:space="preserve"> </w:t>
      </w:r>
      <w:r w:rsidRPr="00F7725F">
        <w:rPr>
          <w:szCs w:val="24"/>
        </w:rPr>
        <w:t xml:space="preserve">meziresortní realizaci státní politiky </w:t>
      </w:r>
      <w:r w:rsidR="007F581C" w:rsidRPr="00F7725F">
        <w:rPr>
          <w:szCs w:val="24"/>
        </w:rPr>
        <w:t xml:space="preserve">v oblasti </w:t>
      </w:r>
      <w:r w:rsidRPr="00F7725F">
        <w:rPr>
          <w:szCs w:val="24"/>
        </w:rPr>
        <w:t>mládeže. Vláda ČR uložila jednotlivým vyjmenovaným ministerstvům naplňovat průběžně cíle obsažené</w:t>
      </w:r>
      <w:r w:rsidR="007F581C" w:rsidRPr="00F7725F">
        <w:rPr>
          <w:szCs w:val="24"/>
        </w:rPr>
        <w:t xml:space="preserve"> v Koncepci 2020 a </w:t>
      </w:r>
      <w:r w:rsidRPr="00F7725F">
        <w:rPr>
          <w:szCs w:val="24"/>
        </w:rPr>
        <w:t>zabezpečit i plnění konkrétních opatření včetně zajištění finančních prostředků z jejich vlastních zdrojů. Hlavním koordinátorem realizace Koncepce 2020 bylo ustanoveno MŠMT.</w:t>
      </w:r>
      <w:r w:rsidR="002C548A" w:rsidRPr="00F7725F">
        <w:rPr>
          <w:szCs w:val="24"/>
        </w:rPr>
        <w:t xml:space="preserve"> </w:t>
      </w:r>
      <w:r w:rsidRPr="00F7725F">
        <w:rPr>
          <w:szCs w:val="24"/>
        </w:rPr>
        <w:t>P</w:t>
      </w:r>
      <w:r w:rsidR="00F7553D" w:rsidRPr="00F7725F">
        <w:rPr>
          <w:szCs w:val="24"/>
        </w:rPr>
        <w:t>oskytování p</w:t>
      </w:r>
      <w:r w:rsidRPr="00F7725F">
        <w:rPr>
          <w:szCs w:val="24"/>
        </w:rPr>
        <w:t>odpor</w:t>
      </w:r>
      <w:r w:rsidR="00F7553D" w:rsidRPr="00F7725F">
        <w:rPr>
          <w:szCs w:val="24"/>
        </w:rPr>
        <w:t xml:space="preserve">y NNO v rámci </w:t>
      </w:r>
      <w:r w:rsidRPr="00F7725F">
        <w:rPr>
          <w:szCs w:val="24"/>
        </w:rPr>
        <w:t>Programů je v souladu s plněním strategických i dílčích cílů Koncepce 2020</w:t>
      </w:r>
      <w:r w:rsidR="00BC3A46" w:rsidRPr="00F7725F">
        <w:rPr>
          <w:szCs w:val="24"/>
        </w:rPr>
        <w:t>. V</w:t>
      </w:r>
      <w:r w:rsidRPr="00F7725F">
        <w:rPr>
          <w:szCs w:val="24"/>
        </w:rPr>
        <w:t> textu Koncepce 2020 ani Programů však nejsou uvedeny žádné měřitelné cíle, indikátory nebo jakékoliv jiné ukazatele, které by umožnily vyhodnocení dopadů takto poskytované podpory či naplňování strategických cílů státní politiky v oblasti podpory volného času dětí a mládeže. Jediným sledovatelným ukazatelem je samotný objem vyplacených finančních prostředků ze státního rozpočtu prostřednictvím Prog</w:t>
      </w:r>
      <w:r w:rsidR="00BC3A46" w:rsidRPr="00F7725F">
        <w:rPr>
          <w:szCs w:val="24"/>
        </w:rPr>
        <w:t>ramů</w:t>
      </w:r>
      <w:r w:rsidRPr="00F7725F">
        <w:rPr>
          <w:szCs w:val="24"/>
        </w:rPr>
        <w:t>. Současné nastavení Programů a Koncepce 2020 proto neumožňuje jakkoliv objektivně vyhodnotit jejich účinnost.</w:t>
      </w:r>
    </w:p>
    <w:p w14:paraId="2B9C8DA7" w14:textId="77777777" w:rsidR="008411D3" w:rsidRPr="00F7725F" w:rsidRDefault="008411D3" w:rsidP="00F7725F">
      <w:pPr>
        <w:rPr>
          <w:szCs w:val="24"/>
        </w:rPr>
      </w:pPr>
    </w:p>
    <w:p w14:paraId="31B421BF" w14:textId="3697A17D" w:rsidR="00C25BFA" w:rsidRPr="00F7725F" w:rsidRDefault="00C25BFA" w:rsidP="00F7725F">
      <w:pPr>
        <w:rPr>
          <w:b/>
          <w:szCs w:val="24"/>
        </w:rPr>
      </w:pPr>
      <w:r w:rsidRPr="00F7725F">
        <w:rPr>
          <w:b/>
          <w:szCs w:val="24"/>
        </w:rPr>
        <w:t xml:space="preserve">MŠMT nestanovilo a nesledovalo plnění konkrétních ukazatelů, které by </w:t>
      </w:r>
      <w:r w:rsidR="00F7553D" w:rsidRPr="00F7725F">
        <w:rPr>
          <w:b/>
          <w:szCs w:val="24"/>
        </w:rPr>
        <w:t>umožňovaly vyhodnocení</w:t>
      </w:r>
      <w:r w:rsidRPr="00F7725F">
        <w:rPr>
          <w:b/>
          <w:szCs w:val="24"/>
        </w:rPr>
        <w:t xml:space="preserve"> plnění cílů Programů, resp. strategických cílů státní politiky v oblasti podpory volného času dětí a mládeže</w:t>
      </w:r>
      <w:r w:rsidR="000D4D4E">
        <w:rPr>
          <w:b/>
          <w:szCs w:val="24"/>
        </w:rPr>
        <w:t>,</w:t>
      </w:r>
      <w:r w:rsidRPr="00F7725F">
        <w:rPr>
          <w:b/>
          <w:szCs w:val="24"/>
        </w:rPr>
        <w:t xml:space="preserve"> vyjma objemu</w:t>
      </w:r>
      <w:r w:rsidR="00BC3A46" w:rsidRPr="00F7725F">
        <w:rPr>
          <w:b/>
          <w:szCs w:val="24"/>
        </w:rPr>
        <w:t xml:space="preserve"> </w:t>
      </w:r>
      <w:r w:rsidRPr="00F7725F">
        <w:rPr>
          <w:b/>
          <w:szCs w:val="24"/>
        </w:rPr>
        <w:t>vyplacených finančních prostředků ze státního rozpočtu.</w:t>
      </w:r>
    </w:p>
    <w:p w14:paraId="667F582D" w14:textId="77777777" w:rsidR="00C25BFA" w:rsidRPr="00F7725F" w:rsidRDefault="00C25BFA" w:rsidP="00F7725F">
      <w:pPr>
        <w:rPr>
          <w:szCs w:val="24"/>
        </w:rPr>
      </w:pPr>
    </w:p>
    <w:p w14:paraId="3E66B49A" w14:textId="38D9581E" w:rsidR="00C25BFA" w:rsidRPr="00F7725F" w:rsidRDefault="00C25BFA" w:rsidP="00F7725F">
      <w:pPr>
        <w:rPr>
          <w:szCs w:val="24"/>
        </w:rPr>
      </w:pPr>
      <w:r w:rsidRPr="00F7725F">
        <w:rPr>
          <w:b/>
          <w:szCs w:val="24"/>
        </w:rPr>
        <w:t>MŠMT nemělo od počátku účinnosti Koncepce 2020 úplný přehled o všech implementačních nástrojích používaných pro její realizaci ani o objemu prostředků, které každoročně plynou ze státního rozpočtu, rozpočtu Evropské unie, příp. dalších veřejných rozpočtů do oblasti podpory mládeže.</w:t>
      </w:r>
      <w:r w:rsidRPr="00F7725F">
        <w:rPr>
          <w:szCs w:val="24"/>
        </w:rPr>
        <w:t xml:space="preserve"> Tento přehled nem</w:t>
      </w:r>
      <w:r w:rsidR="002F606F" w:rsidRPr="00F7725F">
        <w:rPr>
          <w:szCs w:val="24"/>
        </w:rPr>
        <w:t>ělo</w:t>
      </w:r>
      <w:r w:rsidRPr="00F7725F">
        <w:rPr>
          <w:szCs w:val="24"/>
        </w:rPr>
        <w:t xml:space="preserve"> v kompletní podobě ani v roce 2017, tedy v polovině období účinnosti Koncepce 2020, přestože </w:t>
      </w:r>
      <w:r w:rsidR="00186051" w:rsidRPr="00F7725F">
        <w:rPr>
          <w:szCs w:val="24"/>
        </w:rPr>
        <w:t>má</w:t>
      </w:r>
      <w:r w:rsidRPr="00F7725F">
        <w:rPr>
          <w:szCs w:val="24"/>
        </w:rPr>
        <w:t xml:space="preserve"> její implementaci, resp. realizaci politiky státu v oblasti dětí a mládeže koordinovat.</w:t>
      </w:r>
    </w:p>
    <w:p w14:paraId="6C6E9686" w14:textId="77777777" w:rsidR="002C548A" w:rsidRPr="00F7725F" w:rsidRDefault="002C548A" w:rsidP="00F7725F">
      <w:pPr>
        <w:rPr>
          <w:szCs w:val="24"/>
        </w:rPr>
      </w:pPr>
    </w:p>
    <w:p w14:paraId="052B5443" w14:textId="3F136651" w:rsidR="00C25BFA" w:rsidRPr="00F7725F" w:rsidRDefault="00C25BFA" w:rsidP="00F7725F">
      <w:pPr>
        <w:rPr>
          <w:szCs w:val="24"/>
        </w:rPr>
      </w:pPr>
      <w:r w:rsidRPr="00F7725F">
        <w:rPr>
          <w:szCs w:val="24"/>
        </w:rPr>
        <w:t>K vyhodnocení účinnosti Koncepce 2020 a jejích implementačních nástrojů</w:t>
      </w:r>
      <w:r w:rsidR="001B7D8B" w:rsidRPr="00F7725F">
        <w:rPr>
          <w:szCs w:val="24"/>
        </w:rPr>
        <w:t xml:space="preserve"> </w:t>
      </w:r>
      <w:r w:rsidRPr="00F7725F">
        <w:rPr>
          <w:szCs w:val="24"/>
        </w:rPr>
        <w:t xml:space="preserve">mělo dle usnesení vlády dojít v roce 2017 a následně po skončení její platnosti. </w:t>
      </w:r>
      <w:r w:rsidRPr="00F7725F">
        <w:rPr>
          <w:b/>
          <w:szCs w:val="24"/>
        </w:rPr>
        <w:t xml:space="preserve">Střednědobé vyhodnocení Koncepce podpory mládeže 2014–2020 </w:t>
      </w:r>
      <w:r w:rsidR="000D4D4E">
        <w:rPr>
          <w:b/>
          <w:szCs w:val="24"/>
        </w:rPr>
        <w:t>–</w:t>
      </w:r>
      <w:r w:rsidRPr="00F7725F">
        <w:rPr>
          <w:b/>
          <w:szCs w:val="24"/>
        </w:rPr>
        <w:t xml:space="preserve"> </w:t>
      </w:r>
      <w:r w:rsidRPr="00110938">
        <w:rPr>
          <w:b/>
          <w:i/>
          <w:szCs w:val="24"/>
        </w:rPr>
        <w:t>Zpráva o mládeži a její meziresortní podpoře</w:t>
      </w:r>
      <w:r w:rsidRPr="000D4D4E">
        <w:rPr>
          <w:b/>
          <w:szCs w:val="24"/>
        </w:rPr>
        <w:t xml:space="preserve"> </w:t>
      </w:r>
      <w:r w:rsidRPr="00F7725F">
        <w:rPr>
          <w:b/>
          <w:szCs w:val="24"/>
        </w:rPr>
        <w:t>(dále jen „Zpráva o mládeži 2017“), kter</w:t>
      </w:r>
      <w:r w:rsidR="000D4D4E">
        <w:rPr>
          <w:b/>
          <w:szCs w:val="24"/>
        </w:rPr>
        <w:t>ou</w:t>
      </w:r>
      <w:r w:rsidRPr="00F7725F">
        <w:rPr>
          <w:b/>
          <w:szCs w:val="24"/>
        </w:rPr>
        <w:t xml:space="preserve"> MŠMT předložilo vládě ČR, neobsahuje vyhodnocení reálného dopadu implementace Koncepce 2020 na cílovou skupinu a vlivu prostředků vynakládaných každoročně ze státního rozpočtu na tuto oblast.</w:t>
      </w:r>
      <w:r w:rsidRPr="00F7725F">
        <w:rPr>
          <w:szCs w:val="24"/>
        </w:rPr>
        <w:t xml:space="preserve"> </w:t>
      </w:r>
      <w:r w:rsidR="00B008DE" w:rsidRPr="00F7725F">
        <w:rPr>
          <w:szCs w:val="24"/>
        </w:rPr>
        <w:t>MŠMT ve Zprávě o mládeži 2017 bez jakékoliv interpretace uvádí jako jediné ukazatele v</w:t>
      </w:r>
      <w:r w:rsidR="008264DD" w:rsidRPr="00F7725F">
        <w:rPr>
          <w:szCs w:val="24"/>
        </w:rPr>
        <w:t>ztahující se k Programům, které</w:t>
      </w:r>
      <w:r w:rsidR="000D4D4E">
        <w:rPr>
          <w:szCs w:val="24"/>
        </w:rPr>
        <w:t xml:space="preserve"> </w:t>
      </w:r>
      <w:r w:rsidR="00B008DE" w:rsidRPr="00F7725F">
        <w:rPr>
          <w:szCs w:val="24"/>
        </w:rPr>
        <w:t>mají funkci základního implementačního nástroje MŠMT pro plnění cílů Koncepce 2020, množství podaných a podpořených žádostí v rámci Programů a objem finančních prostředků plynoucích NNO z Programů.</w:t>
      </w:r>
      <w:r w:rsidRPr="00F7725F">
        <w:rPr>
          <w:szCs w:val="24"/>
        </w:rPr>
        <w:t xml:space="preserve"> MŠMT tedy nepředložilo vládě ČR materiál, který</w:t>
      </w:r>
      <w:r w:rsidR="00186051" w:rsidRPr="00F7725F">
        <w:rPr>
          <w:szCs w:val="24"/>
        </w:rPr>
        <w:t>m</w:t>
      </w:r>
      <w:r w:rsidRPr="00F7725F">
        <w:rPr>
          <w:szCs w:val="24"/>
        </w:rPr>
        <w:t xml:space="preserve"> by </w:t>
      </w:r>
      <w:r w:rsidR="00186051" w:rsidRPr="00F7725F">
        <w:rPr>
          <w:szCs w:val="24"/>
        </w:rPr>
        <w:t>naplnilo</w:t>
      </w:r>
      <w:r w:rsidRPr="00F7725F">
        <w:rPr>
          <w:szCs w:val="24"/>
        </w:rPr>
        <w:t xml:space="preserve"> </w:t>
      </w:r>
      <w:r w:rsidR="00186051" w:rsidRPr="00F7725F">
        <w:rPr>
          <w:szCs w:val="24"/>
        </w:rPr>
        <w:t xml:space="preserve">usnesení vlády ze dne 12. května 2014 č. 342 a požadavek stanovený </w:t>
      </w:r>
      <w:r w:rsidRPr="00F7725F">
        <w:rPr>
          <w:szCs w:val="24"/>
        </w:rPr>
        <w:t>Koncepc</w:t>
      </w:r>
      <w:r w:rsidR="00186051" w:rsidRPr="00F7725F">
        <w:rPr>
          <w:szCs w:val="24"/>
        </w:rPr>
        <w:t>í</w:t>
      </w:r>
      <w:r w:rsidRPr="00F7725F">
        <w:rPr>
          <w:szCs w:val="24"/>
        </w:rPr>
        <w:t xml:space="preserve"> 2020. Tento materiál navíc obsahoval chyby a nepřesnosti, protože </w:t>
      </w:r>
      <w:r w:rsidR="00E11E17" w:rsidRPr="00F7725F">
        <w:rPr>
          <w:szCs w:val="24"/>
        </w:rPr>
        <w:t>data uvedená ve Zprávě o </w:t>
      </w:r>
      <w:r w:rsidRPr="00F7725F">
        <w:rPr>
          <w:szCs w:val="24"/>
        </w:rPr>
        <w:t>mládeži</w:t>
      </w:r>
      <w:r w:rsidR="002F606F" w:rsidRPr="00F7725F">
        <w:rPr>
          <w:szCs w:val="24"/>
        </w:rPr>
        <w:t xml:space="preserve"> 2017</w:t>
      </w:r>
      <w:r w:rsidRPr="00F7725F">
        <w:rPr>
          <w:szCs w:val="24"/>
        </w:rPr>
        <w:t xml:space="preserve"> se nevztahují ke skutečnému čerpání poskytnuté podpor</w:t>
      </w:r>
      <w:r w:rsidR="007A3DDA" w:rsidRPr="00F7725F">
        <w:rPr>
          <w:szCs w:val="24"/>
        </w:rPr>
        <w:t>y, ale k alokaci prostředků dle</w:t>
      </w:r>
      <w:r w:rsidR="000D4D4E">
        <w:rPr>
          <w:szCs w:val="24"/>
        </w:rPr>
        <w:t xml:space="preserve"> </w:t>
      </w:r>
      <w:r w:rsidRPr="00F7725F">
        <w:rPr>
          <w:szCs w:val="24"/>
        </w:rPr>
        <w:t>vydaných rozhodnutí</w:t>
      </w:r>
      <w:r w:rsidR="00F7553D" w:rsidRPr="00F7725F">
        <w:rPr>
          <w:szCs w:val="24"/>
        </w:rPr>
        <w:t xml:space="preserve"> o poskytnutí dotace</w:t>
      </w:r>
      <w:r w:rsidRPr="00F7725F">
        <w:rPr>
          <w:szCs w:val="24"/>
        </w:rPr>
        <w:t>, kde navíc není zohledněno navýšení dotací, které proběhlo v roce 2014.</w:t>
      </w:r>
    </w:p>
    <w:p w14:paraId="3018B34A" w14:textId="77777777" w:rsidR="0007011A" w:rsidRPr="00F7725F" w:rsidRDefault="0007011A" w:rsidP="00F7725F">
      <w:pPr>
        <w:rPr>
          <w:szCs w:val="24"/>
        </w:rPr>
      </w:pPr>
    </w:p>
    <w:p w14:paraId="6A976466" w14:textId="7C02CAB7" w:rsidR="00B319DB" w:rsidRDefault="000F6176" w:rsidP="008411D3">
      <w:pPr>
        <w:pStyle w:val="Nadpis2"/>
        <w:keepLines/>
        <w:widowControl/>
        <w:numPr>
          <w:ilvl w:val="0"/>
          <w:numId w:val="0"/>
        </w:numPr>
        <w:spacing w:after="0"/>
        <w:rPr>
          <w:sz w:val="24"/>
        </w:rPr>
      </w:pPr>
      <w:r w:rsidRPr="00F7725F">
        <w:rPr>
          <w:sz w:val="24"/>
        </w:rPr>
        <w:lastRenderedPageBreak/>
        <w:t>2.</w:t>
      </w:r>
      <w:r w:rsidR="008F7ABF" w:rsidRPr="00F7725F">
        <w:rPr>
          <w:sz w:val="24"/>
        </w:rPr>
        <w:t xml:space="preserve"> </w:t>
      </w:r>
      <w:r w:rsidR="00B319DB" w:rsidRPr="00F7725F">
        <w:rPr>
          <w:sz w:val="24"/>
        </w:rPr>
        <w:t>Rozhodování o podpoře</w:t>
      </w:r>
    </w:p>
    <w:p w14:paraId="1227D368" w14:textId="77777777" w:rsidR="00F7725F" w:rsidRPr="00F7725F" w:rsidRDefault="00F7725F" w:rsidP="008411D3">
      <w:pPr>
        <w:keepNext/>
        <w:keepLines/>
        <w:widowControl/>
      </w:pPr>
    </w:p>
    <w:p w14:paraId="365106D6" w14:textId="4948B346" w:rsidR="0007011A" w:rsidRPr="00F7725F" w:rsidRDefault="000F6176" w:rsidP="008411D3">
      <w:pPr>
        <w:pStyle w:val="Nadpis3"/>
        <w:keepLines/>
        <w:widowControl/>
        <w:numPr>
          <w:ilvl w:val="0"/>
          <w:numId w:val="0"/>
        </w:numPr>
        <w:spacing w:after="0"/>
        <w:ind w:left="-6"/>
        <w:rPr>
          <w:sz w:val="24"/>
          <w:szCs w:val="24"/>
        </w:rPr>
      </w:pPr>
      <w:r w:rsidRPr="00F7725F">
        <w:rPr>
          <w:sz w:val="24"/>
          <w:szCs w:val="24"/>
        </w:rPr>
        <w:t xml:space="preserve">2.1 </w:t>
      </w:r>
      <w:r w:rsidR="0007011A" w:rsidRPr="00F7725F">
        <w:rPr>
          <w:sz w:val="24"/>
          <w:szCs w:val="24"/>
        </w:rPr>
        <w:t>Hodnocení projektů</w:t>
      </w:r>
    </w:p>
    <w:p w14:paraId="452C83C4" w14:textId="77777777" w:rsidR="00F7725F" w:rsidRDefault="00F7725F" w:rsidP="008411D3">
      <w:pPr>
        <w:keepNext/>
        <w:keepLines/>
        <w:widowControl/>
        <w:rPr>
          <w:szCs w:val="24"/>
        </w:rPr>
      </w:pPr>
    </w:p>
    <w:p w14:paraId="7B63014C" w14:textId="3E293C05" w:rsidR="004C04A0" w:rsidRPr="00F7725F" w:rsidRDefault="005808B1" w:rsidP="008411D3">
      <w:pPr>
        <w:keepNext/>
        <w:keepLines/>
        <w:widowControl/>
        <w:rPr>
          <w:szCs w:val="24"/>
        </w:rPr>
      </w:pPr>
      <w:r w:rsidRPr="00F7725F">
        <w:rPr>
          <w:szCs w:val="24"/>
        </w:rPr>
        <w:t xml:space="preserve">V letech </w:t>
      </w:r>
      <w:r w:rsidR="000D4D4E">
        <w:rPr>
          <w:szCs w:val="24"/>
        </w:rPr>
        <w:t>2014</w:t>
      </w:r>
      <w:r w:rsidRPr="00F7725F">
        <w:rPr>
          <w:szCs w:val="24"/>
        </w:rPr>
        <w:t>–</w:t>
      </w:r>
      <w:r w:rsidR="004C04A0" w:rsidRPr="00F7725F">
        <w:rPr>
          <w:szCs w:val="24"/>
        </w:rPr>
        <w:t>2016 bylo z </w:t>
      </w:r>
      <w:r w:rsidR="00E11E17" w:rsidRPr="00F7725F">
        <w:rPr>
          <w:szCs w:val="24"/>
        </w:rPr>
        <w:t>P</w:t>
      </w:r>
      <w:r w:rsidR="004C04A0" w:rsidRPr="00F7725F">
        <w:rPr>
          <w:szCs w:val="24"/>
        </w:rPr>
        <w:t>rogramů celkově skutečně vyplaceno</w:t>
      </w:r>
      <w:r w:rsidR="0072668B" w:rsidRPr="00F7725F">
        <w:rPr>
          <w:szCs w:val="24"/>
        </w:rPr>
        <w:t xml:space="preserve"> téměř 509 mil.</w:t>
      </w:r>
      <w:r w:rsidR="004C04A0" w:rsidRPr="00F7725F">
        <w:rPr>
          <w:szCs w:val="24"/>
        </w:rPr>
        <w:t xml:space="preserve"> Kč.</w:t>
      </w:r>
    </w:p>
    <w:p w14:paraId="17D02F63" w14:textId="77777777" w:rsidR="000F6176" w:rsidRPr="00F7725F" w:rsidRDefault="000F6176" w:rsidP="00F7725F">
      <w:pPr>
        <w:rPr>
          <w:szCs w:val="24"/>
        </w:rPr>
      </w:pPr>
    </w:p>
    <w:p w14:paraId="22DE5137" w14:textId="656DF24E" w:rsidR="00B05FDE" w:rsidRPr="00F7725F" w:rsidRDefault="00CB304A" w:rsidP="00804542">
      <w:pPr>
        <w:pStyle w:val="Nzevtabulky"/>
        <w:keepLines/>
        <w:ind w:left="1304" w:hanging="1304"/>
        <w:rPr>
          <w:szCs w:val="24"/>
        </w:rPr>
      </w:pPr>
      <w:r w:rsidRPr="00F7725F">
        <w:rPr>
          <w:szCs w:val="24"/>
        </w:rPr>
        <w:t>Žádosti o podporu z</w:t>
      </w:r>
      <w:r w:rsidR="00F26425" w:rsidRPr="00F7725F">
        <w:rPr>
          <w:szCs w:val="24"/>
        </w:rPr>
        <w:t> </w:t>
      </w:r>
      <w:r w:rsidRPr="00F7725F">
        <w:rPr>
          <w:szCs w:val="24"/>
        </w:rPr>
        <w:t>Programů</w:t>
      </w:r>
      <w:r w:rsidR="00F26425" w:rsidRPr="00F7725F">
        <w:rPr>
          <w:szCs w:val="24"/>
        </w:rPr>
        <w:t xml:space="preserve"> a alokované prostředky na projekty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86"/>
        <w:gridCol w:w="1359"/>
        <w:gridCol w:w="1359"/>
        <w:gridCol w:w="1359"/>
      </w:tblGrid>
      <w:tr w:rsidR="00B05FDE" w:rsidRPr="004C2E3C" w14:paraId="3C73D8B4" w14:textId="77777777" w:rsidTr="000F6176">
        <w:trPr>
          <w:trHeight w:val="283"/>
        </w:trPr>
        <w:tc>
          <w:tcPr>
            <w:tcW w:w="2750" w:type="pct"/>
            <w:shd w:val="clear" w:color="auto" w:fill="E5F1FF"/>
            <w:vAlign w:val="center"/>
          </w:tcPr>
          <w:p w14:paraId="45DE602E" w14:textId="77777777" w:rsidR="00B05FDE" w:rsidRPr="004C2E3C" w:rsidRDefault="00B05FDE" w:rsidP="000F6176">
            <w:pPr>
              <w:keepNext/>
              <w:keepLines/>
              <w:widowControl/>
              <w:jc w:val="center"/>
            </w:pPr>
          </w:p>
        </w:tc>
        <w:tc>
          <w:tcPr>
            <w:tcW w:w="750" w:type="pct"/>
            <w:shd w:val="clear" w:color="auto" w:fill="E5F1FF"/>
            <w:vAlign w:val="center"/>
          </w:tcPr>
          <w:p w14:paraId="7F1C9D33" w14:textId="77777777" w:rsidR="00B05FDE" w:rsidRPr="004C2E3C" w:rsidRDefault="00B05FDE" w:rsidP="000F6176">
            <w:pPr>
              <w:keepNext/>
              <w:keepLines/>
              <w:widowControl/>
              <w:jc w:val="center"/>
            </w:pPr>
            <w:r w:rsidRPr="004C2E3C">
              <w:rPr>
                <w:rFonts w:cs="Calibri"/>
                <w:b/>
                <w:bCs/>
                <w:sz w:val="22"/>
                <w:szCs w:val="22"/>
              </w:rPr>
              <w:t>2014</w:t>
            </w:r>
          </w:p>
        </w:tc>
        <w:tc>
          <w:tcPr>
            <w:tcW w:w="750" w:type="pct"/>
            <w:shd w:val="clear" w:color="auto" w:fill="E5F1FF"/>
            <w:vAlign w:val="center"/>
          </w:tcPr>
          <w:p w14:paraId="07C79B3A" w14:textId="77777777" w:rsidR="00B05FDE" w:rsidRPr="004C2E3C" w:rsidRDefault="00B05FDE" w:rsidP="000F6176">
            <w:pPr>
              <w:keepNext/>
              <w:keepLines/>
              <w:widowControl/>
              <w:jc w:val="center"/>
            </w:pPr>
            <w:r w:rsidRPr="004C2E3C">
              <w:rPr>
                <w:rFonts w:cs="Calibri"/>
                <w:b/>
                <w:bCs/>
                <w:sz w:val="22"/>
                <w:szCs w:val="22"/>
              </w:rPr>
              <w:t>2015</w:t>
            </w:r>
          </w:p>
        </w:tc>
        <w:tc>
          <w:tcPr>
            <w:tcW w:w="750" w:type="pct"/>
            <w:shd w:val="clear" w:color="auto" w:fill="E5F1FF"/>
            <w:vAlign w:val="center"/>
          </w:tcPr>
          <w:p w14:paraId="0F9AB08D" w14:textId="77777777" w:rsidR="00B05FDE" w:rsidRPr="004C2E3C" w:rsidRDefault="00B05FDE" w:rsidP="000F6176">
            <w:pPr>
              <w:keepNext/>
              <w:keepLines/>
              <w:widowControl/>
              <w:jc w:val="center"/>
            </w:pPr>
            <w:r w:rsidRPr="004C2E3C">
              <w:rPr>
                <w:rFonts w:cs="Calibri"/>
                <w:b/>
                <w:bCs/>
                <w:sz w:val="22"/>
                <w:szCs w:val="22"/>
              </w:rPr>
              <w:t>2016</w:t>
            </w:r>
          </w:p>
        </w:tc>
      </w:tr>
      <w:tr w:rsidR="00B05FDE" w14:paraId="004E4ABE" w14:textId="77777777" w:rsidTr="000F6176">
        <w:trPr>
          <w:trHeight w:val="283"/>
        </w:trPr>
        <w:tc>
          <w:tcPr>
            <w:tcW w:w="2750" w:type="pct"/>
            <w:vAlign w:val="center"/>
          </w:tcPr>
          <w:p w14:paraId="434D562B" w14:textId="77777777" w:rsidR="00B05FDE" w:rsidRDefault="00B05FDE" w:rsidP="000F6176">
            <w:pPr>
              <w:keepNext/>
              <w:keepLines/>
              <w:widowControl/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Počet přijatých žádostí</w:t>
            </w:r>
          </w:p>
        </w:tc>
        <w:tc>
          <w:tcPr>
            <w:tcW w:w="750" w:type="pct"/>
            <w:vAlign w:val="center"/>
          </w:tcPr>
          <w:p w14:paraId="08EF953A" w14:textId="77777777" w:rsidR="00B05FDE" w:rsidRDefault="00B05FDE" w:rsidP="00110938">
            <w:pPr>
              <w:keepNext/>
              <w:keepLines/>
              <w:widowControl/>
              <w:ind w:right="289"/>
              <w:jc w:val="right"/>
            </w:pPr>
            <w:r>
              <w:rPr>
                <w:rFonts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750" w:type="pct"/>
            <w:vAlign w:val="center"/>
          </w:tcPr>
          <w:p w14:paraId="6A3C913C" w14:textId="77777777" w:rsidR="00B05FDE" w:rsidRDefault="00B05FDE" w:rsidP="00110938">
            <w:pPr>
              <w:keepNext/>
              <w:keepLines/>
              <w:widowControl/>
              <w:ind w:right="289"/>
              <w:jc w:val="right"/>
            </w:pPr>
            <w:r>
              <w:rPr>
                <w:rFonts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750" w:type="pct"/>
            <w:vAlign w:val="center"/>
          </w:tcPr>
          <w:p w14:paraId="309C895C" w14:textId="77777777" w:rsidR="00B05FDE" w:rsidRDefault="00B05FDE" w:rsidP="00110938">
            <w:pPr>
              <w:keepNext/>
              <w:keepLines/>
              <w:widowControl/>
              <w:ind w:right="289"/>
              <w:jc w:val="right"/>
            </w:pPr>
            <w:r>
              <w:rPr>
                <w:rFonts w:cs="Calibri"/>
                <w:color w:val="000000"/>
                <w:sz w:val="22"/>
                <w:szCs w:val="22"/>
              </w:rPr>
              <w:t>219</w:t>
            </w:r>
          </w:p>
        </w:tc>
      </w:tr>
      <w:tr w:rsidR="00B05FDE" w14:paraId="627A20E6" w14:textId="77777777" w:rsidTr="000F6176">
        <w:trPr>
          <w:trHeight w:val="283"/>
        </w:trPr>
        <w:tc>
          <w:tcPr>
            <w:tcW w:w="2750" w:type="pct"/>
            <w:vAlign w:val="center"/>
          </w:tcPr>
          <w:p w14:paraId="569616F7" w14:textId="77777777" w:rsidR="00B05FDE" w:rsidRDefault="00B05FDE" w:rsidP="000F6176">
            <w:pPr>
              <w:keepNext/>
              <w:keepLines/>
              <w:widowControl/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Počet podpořených projektů (vydaná rozhodnutí)</w:t>
            </w:r>
          </w:p>
        </w:tc>
        <w:tc>
          <w:tcPr>
            <w:tcW w:w="750" w:type="pct"/>
            <w:vAlign w:val="center"/>
          </w:tcPr>
          <w:p w14:paraId="56FBE78F" w14:textId="77777777" w:rsidR="00B05FDE" w:rsidRDefault="00B05FDE" w:rsidP="00110938">
            <w:pPr>
              <w:keepNext/>
              <w:keepLines/>
              <w:widowControl/>
              <w:ind w:right="289"/>
              <w:jc w:val="right"/>
            </w:pPr>
            <w:r>
              <w:rPr>
                <w:rFonts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50" w:type="pct"/>
            <w:vAlign w:val="center"/>
          </w:tcPr>
          <w:p w14:paraId="18EF3B68" w14:textId="77777777" w:rsidR="00B05FDE" w:rsidRDefault="00B05FDE" w:rsidP="00110938">
            <w:pPr>
              <w:keepNext/>
              <w:keepLines/>
              <w:widowControl/>
              <w:ind w:right="289"/>
              <w:jc w:val="right"/>
            </w:pPr>
            <w:r>
              <w:rPr>
                <w:rFonts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750" w:type="pct"/>
            <w:vAlign w:val="center"/>
          </w:tcPr>
          <w:p w14:paraId="2CC6D22F" w14:textId="77777777" w:rsidR="00B05FDE" w:rsidRDefault="00B05FDE" w:rsidP="00110938">
            <w:pPr>
              <w:keepNext/>
              <w:keepLines/>
              <w:widowControl/>
              <w:ind w:right="289"/>
              <w:jc w:val="right"/>
            </w:pPr>
            <w:r>
              <w:rPr>
                <w:rFonts w:cs="Calibri"/>
                <w:color w:val="000000"/>
                <w:sz w:val="22"/>
                <w:szCs w:val="22"/>
              </w:rPr>
              <w:t>128</w:t>
            </w:r>
          </w:p>
        </w:tc>
      </w:tr>
      <w:tr w:rsidR="00B05FDE" w14:paraId="30B8D482" w14:textId="77777777" w:rsidTr="000F6176">
        <w:trPr>
          <w:trHeight w:val="283"/>
        </w:trPr>
        <w:tc>
          <w:tcPr>
            <w:tcW w:w="2750" w:type="pct"/>
            <w:vAlign w:val="center"/>
          </w:tcPr>
          <w:p w14:paraId="024D10DE" w14:textId="77777777" w:rsidR="00B05FDE" w:rsidRDefault="00B05FDE" w:rsidP="000F6176">
            <w:pPr>
              <w:keepNext/>
              <w:keepLines/>
              <w:widowControl/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Alokované prostředky na projekty (v mil. Kč)</w:t>
            </w:r>
          </w:p>
        </w:tc>
        <w:tc>
          <w:tcPr>
            <w:tcW w:w="750" w:type="pct"/>
            <w:vAlign w:val="center"/>
          </w:tcPr>
          <w:p w14:paraId="618CCB0B" w14:textId="77777777" w:rsidR="00B05FDE" w:rsidRDefault="00B05FDE" w:rsidP="00110938">
            <w:pPr>
              <w:keepNext/>
              <w:keepLines/>
              <w:widowControl/>
              <w:jc w:val="right"/>
            </w:pPr>
            <w:r>
              <w:rPr>
                <w:rFonts w:cs="Calibri"/>
                <w:color w:val="000000"/>
                <w:sz w:val="22"/>
                <w:szCs w:val="22"/>
              </w:rPr>
              <w:t>186,32</w:t>
            </w:r>
          </w:p>
        </w:tc>
        <w:tc>
          <w:tcPr>
            <w:tcW w:w="750" w:type="pct"/>
            <w:vAlign w:val="center"/>
          </w:tcPr>
          <w:p w14:paraId="71566041" w14:textId="77777777" w:rsidR="00B05FDE" w:rsidRDefault="00B05FDE" w:rsidP="00110938">
            <w:pPr>
              <w:keepNext/>
              <w:keepLines/>
              <w:widowControl/>
              <w:jc w:val="right"/>
            </w:pPr>
            <w:r>
              <w:rPr>
                <w:rFonts w:cs="Calibri"/>
                <w:color w:val="000000"/>
                <w:sz w:val="22"/>
                <w:szCs w:val="22"/>
              </w:rPr>
              <w:t>162,26</w:t>
            </w:r>
          </w:p>
        </w:tc>
        <w:tc>
          <w:tcPr>
            <w:tcW w:w="750" w:type="pct"/>
            <w:vAlign w:val="center"/>
          </w:tcPr>
          <w:p w14:paraId="19B786BE" w14:textId="77777777" w:rsidR="00B05FDE" w:rsidRDefault="00B05FDE" w:rsidP="00110938">
            <w:pPr>
              <w:keepNext/>
              <w:keepLines/>
              <w:widowControl/>
              <w:jc w:val="right"/>
            </w:pPr>
            <w:r>
              <w:rPr>
                <w:rFonts w:cs="Calibri"/>
                <w:color w:val="000000"/>
                <w:sz w:val="22"/>
                <w:szCs w:val="22"/>
              </w:rPr>
              <w:t>167,74</w:t>
            </w:r>
          </w:p>
        </w:tc>
      </w:tr>
    </w:tbl>
    <w:p w14:paraId="4BF31D9E" w14:textId="5F93B1A9" w:rsidR="004C2E3C" w:rsidRPr="007D5C7E" w:rsidRDefault="007D5C7E" w:rsidP="00F7725F">
      <w:pPr>
        <w:keepNext/>
        <w:keepLines/>
        <w:widowControl/>
        <w:spacing w:before="20"/>
        <w:rPr>
          <w:sz w:val="20"/>
        </w:rPr>
      </w:pPr>
      <w:r w:rsidRPr="007D5C7E">
        <w:rPr>
          <w:b/>
          <w:sz w:val="20"/>
        </w:rPr>
        <w:t>Zdroj:</w:t>
      </w:r>
      <w:r w:rsidRPr="007D5C7E">
        <w:rPr>
          <w:sz w:val="20"/>
        </w:rPr>
        <w:t xml:space="preserve"> informace MŠMT, zápisy z jednání hodnot</w:t>
      </w:r>
      <w:r w:rsidR="000D4D4E">
        <w:rPr>
          <w:sz w:val="20"/>
        </w:rPr>
        <w:t>i</w:t>
      </w:r>
      <w:r w:rsidRPr="007D5C7E">
        <w:rPr>
          <w:sz w:val="20"/>
        </w:rPr>
        <w:t>cí komise.</w:t>
      </w:r>
    </w:p>
    <w:p w14:paraId="0B84EAE7" w14:textId="2E2B6428" w:rsidR="000F6176" w:rsidRDefault="000F6176" w:rsidP="003C2F8F"/>
    <w:p w14:paraId="6E3CDCD6" w14:textId="4A5E5244" w:rsidR="004C04A0" w:rsidRDefault="00F7553D" w:rsidP="003C2F8F">
      <w:r>
        <w:t>NNO</w:t>
      </w:r>
      <w:r w:rsidR="00422483">
        <w:t xml:space="preserve"> každoročně podával</w:t>
      </w:r>
      <w:r>
        <w:t>y</w:t>
      </w:r>
      <w:r w:rsidR="00422483">
        <w:t xml:space="preserve"> žádosti o poskytnutí dotace do konce října </w:t>
      </w:r>
      <w:r w:rsidR="0072668B">
        <w:t>předcházejícího</w:t>
      </w:r>
      <w:r w:rsidR="00422483">
        <w:t xml:space="preserve"> roku, na který pod</w:t>
      </w:r>
      <w:r w:rsidR="007A0B77">
        <w:t>poru chtěl</w:t>
      </w:r>
      <w:r>
        <w:t>y</w:t>
      </w:r>
      <w:r w:rsidR="007A0B77">
        <w:t xml:space="preserve"> získat. Po provedení</w:t>
      </w:r>
      <w:r w:rsidR="00422483">
        <w:t xml:space="preserve"> formální kontroly žádostí probíhalo posouzení projektů odbornými hodnotiteli a následně </w:t>
      </w:r>
      <w:r w:rsidR="00B171E4">
        <w:t>v</w:t>
      </w:r>
      <w:r w:rsidR="00422483">
        <w:t xml:space="preserve"> hodnot</w:t>
      </w:r>
      <w:r w:rsidR="000D4D4E">
        <w:t>i</w:t>
      </w:r>
      <w:r w:rsidR="00422483">
        <w:t>cí komis</w:t>
      </w:r>
      <w:r w:rsidR="00B171E4">
        <w:t>i</w:t>
      </w:r>
      <w:r w:rsidR="00422483">
        <w:t>. Konečné rozhodnutí o</w:t>
      </w:r>
      <w:r w:rsidR="000D4D4E">
        <w:t> </w:t>
      </w:r>
      <w:r w:rsidR="00422483">
        <w:t>přidělení dotací pak bylo po projednání vedením MŠMT v kompetenci ministra/ministryně.</w:t>
      </w:r>
    </w:p>
    <w:p w14:paraId="6F252244" w14:textId="1AC66883" w:rsidR="00EF1ED5" w:rsidRDefault="00EF1ED5" w:rsidP="003C2F8F"/>
    <w:p w14:paraId="48A42648" w14:textId="114FD8C9" w:rsidR="00EF1ED5" w:rsidRDefault="0072668B" w:rsidP="003C2F8F">
      <w:r>
        <w:t xml:space="preserve">Pravidla </w:t>
      </w:r>
      <w:r w:rsidR="00E11E17">
        <w:t>P</w:t>
      </w:r>
      <w:r>
        <w:t xml:space="preserve">rogramů </w:t>
      </w:r>
      <w:r w:rsidR="00EF1ED5">
        <w:t xml:space="preserve">na roky 2014 a 2015 </w:t>
      </w:r>
      <w:r w:rsidR="002F606F">
        <w:t>neobsahovala</w:t>
      </w:r>
      <w:r w:rsidR="00EF1ED5">
        <w:t xml:space="preserve"> </w:t>
      </w:r>
      <w:r w:rsidR="007A0B77">
        <w:t>žádné informace o </w:t>
      </w:r>
      <w:r w:rsidR="00AA326A">
        <w:t>tom, jak</w:t>
      </w:r>
      <w:r w:rsidR="00B31FF4">
        <w:t xml:space="preserve"> </w:t>
      </w:r>
      <w:r w:rsidR="00DF03B2">
        <w:t>budou podané projekty posuzovány a vybírány k podpoře. MŠMT neuveřej</w:t>
      </w:r>
      <w:r w:rsidR="000A1DCD">
        <w:t xml:space="preserve">ňovalo </w:t>
      </w:r>
      <w:r w:rsidR="00354044">
        <w:t>žádná kritéria hodnocení. I</w:t>
      </w:r>
      <w:r w:rsidR="000A1DCD">
        <w:t xml:space="preserve">nformaci </w:t>
      </w:r>
      <w:r w:rsidR="00354044">
        <w:t>o hodnot</w:t>
      </w:r>
      <w:r w:rsidR="002F606F">
        <w:t>i</w:t>
      </w:r>
      <w:r w:rsidR="00354044">
        <w:t xml:space="preserve">cích kritériích </w:t>
      </w:r>
      <w:r w:rsidR="000A1DCD">
        <w:t xml:space="preserve">obsahovaly pouze dvě mimořádné výzvy v rámci programu č. 4 </w:t>
      </w:r>
      <w:r w:rsidR="00776B61">
        <w:t>pro</w:t>
      </w:r>
      <w:r w:rsidR="008411D3">
        <w:t xml:space="preserve"> </w:t>
      </w:r>
      <w:r w:rsidR="00776B61">
        <w:t>rok</w:t>
      </w:r>
      <w:r w:rsidR="000A1DCD">
        <w:t xml:space="preserve"> 2014. MŠMT mělo kritéria pro hodnocení uvedena v jednacím řádu hodnot</w:t>
      </w:r>
      <w:r w:rsidR="00B31FF4">
        <w:t>i</w:t>
      </w:r>
      <w:r w:rsidR="000A1DCD">
        <w:t>cí komise</w:t>
      </w:r>
      <w:r w:rsidR="007A0B77">
        <w:t xml:space="preserve">, tedy v interním materiálu. </w:t>
      </w:r>
      <w:r w:rsidR="000A1DCD">
        <w:t>Samotné hodnocení projektů však nakonec pro</w:t>
      </w:r>
      <w:r w:rsidR="00826B13">
        <w:t>bíhalo podle jiné sady kritérií</w:t>
      </w:r>
      <w:r w:rsidR="00354044">
        <w:t>, přičemž hodnotitelé využívali</w:t>
      </w:r>
      <w:r w:rsidR="00826B13">
        <w:t xml:space="preserve"> školní známkování za </w:t>
      </w:r>
      <w:r w:rsidR="00354044">
        <w:t>plnění každého z nich</w:t>
      </w:r>
      <w:r w:rsidR="00826B13">
        <w:t>.</w:t>
      </w:r>
    </w:p>
    <w:p w14:paraId="6A18462D" w14:textId="13CD34CE" w:rsidR="00826B13" w:rsidRDefault="00826B13" w:rsidP="003C2F8F"/>
    <w:p w14:paraId="426F7E8E" w14:textId="2F80BA39" w:rsidR="00826B13" w:rsidRDefault="00826B13" w:rsidP="003C2F8F">
      <w:pPr>
        <w:rPr>
          <w:b/>
        </w:rPr>
      </w:pPr>
      <w:r w:rsidRPr="00826B13">
        <w:rPr>
          <w:b/>
        </w:rPr>
        <w:t xml:space="preserve">Postup MŠMT při posuzování projektů a jejich výběru k podpoře byl v letech 2014 a 2015 pro příjemce podpory netransparentní. </w:t>
      </w:r>
    </w:p>
    <w:p w14:paraId="7874E1B6" w14:textId="2199557F" w:rsidR="00826B13" w:rsidRPr="00826B13" w:rsidRDefault="00826B13" w:rsidP="003C2F8F"/>
    <w:p w14:paraId="1271A8E7" w14:textId="707AF84C" w:rsidR="00826B13" w:rsidRDefault="00826B13" w:rsidP="003C2F8F">
      <w:r w:rsidRPr="004C2E3C">
        <w:t>Výběr projektů k podpoře na rok 2016 již MŠMT zprůhlednilo</w:t>
      </w:r>
      <w:r w:rsidR="0007011A" w:rsidRPr="004C2E3C">
        <w:t>.</w:t>
      </w:r>
      <w:r w:rsidR="0007011A">
        <w:t xml:space="preserve"> </w:t>
      </w:r>
      <w:r w:rsidR="00A83FDB">
        <w:t xml:space="preserve">Na svých </w:t>
      </w:r>
      <w:r w:rsidR="008264DD">
        <w:t xml:space="preserve">internetových </w:t>
      </w:r>
      <w:r w:rsidR="00A83FDB">
        <w:t>stránkách u</w:t>
      </w:r>
      <w:r w:rsidR="0007011A">
        <w:t>veřejnilo metodiku hodnocení projektů</w:t>
      </w:r>
      <w:r w:rsidR="00AA4C76">
        <w:t xml:space="preserve">. Tato metodika obsahovala výčet výběrových kritérií, včetně jejich vah a </w:t>
      </w:r>
      <w:r w:rsidR="00C54FE7" w:rsidRPr="00AE57C6">
        <w:t>popis procesu evaluace.</w:t>
      </w:r>
    </w:p>
    <w:p w14:paraId="7FB8571C" w14:textId="5F44BA8D" w:rsidR="004C04A0" w:rsidRDefault="004C04A0" w:rsidP="003C2F8F"/>
    <w:p w14:paraId="7A775A50" w14:textId="455CB63F" w:rsidR="00F14A23" w:rsidRDefault="00E01559" w:rsidP="00804542">
      <w:pPr>
        <w:pStyle w:val="Graf"/>
        <w:ind w:left="964" w:hanging="964"/>
      </w:pPr>
      <w:r>
        <w:rPr>
          <w:b w:val="0"/>
          <w:noProof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7CF5AF14" wp14:editId="6088DDF0">
            <wp:simplePos x="0" y="0"/>
            <wp:positionH relativeFrom="column">
              <wp:posOffset>-1905</wp:posOffset>
            </wp:positionH>
            <wp:positionV relativeFrom="paragraph">
              <wp:posOffset>328295</wp:posOffset>
            </wp:positionV>
            <wp:extent cx="5764530" cy="3084195"/>
            <wp:effectExtent l="0" t="0" r="7620" b="1905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Z 17- 17 do komunika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23C">
        <w:t>Deset příjemců čerpajících největší objem dotací kumulativně za roky 2014</w:t>
      </w:r>
      <w:r w:rsidR="00B31FF4">
        <w:t>–</w:t>
      </w:r>
      <w:r w:rsidR="00D4423C">
        <w:t>2016</w:t>
      </w:r>
    </w:p>
    <w:p w14:paraId="6EF6C06A" w14:textId="76AAD207" w:rsidR="00F14A23" w:rsidRPr="00D4423C" w:rsidRDefault="00D4423C" w:rsidP="003C2F8F">
      <w:pPr>
        <w:rPr>
          <w:sz w:val="20"/>
        </w:rPr>
      </w:pPr>
      <w:r w:rsidRPr="00D4423C">
        <w:rPr>
          <w:b/>
          <w:sz w:val="20"/>
        </w:rPr>
        <w:t>Zdroj:</w:t>
      </w:r>
      <w:r w:rsidRPr="00D4423C">
        <w:rPr>
          <w:sz w:val="20"/>
        </w:rPr>
        <w:t xml:space="preserve"> informace MŠMT.</w:t>
      </w:r>
    </w:p>
    <w:p w14:paraId="18096117" w14:textId="7D0AF23B" w:rsidR="00D4423C" w:rsidRPr="00F7725F" w:rsidRDefault="00D4423C" w:rsidP="00F7725F">
      <w:pPr>
        <w:rPr>
          <w:szCs w:val="24"/>
        </w:rPr>
      </w:pPr>
    </w:p>
    <w:p w14:paraId="27FBC335" w14:textId="10C8747E" w:rsidR="0007011A" w:rsidRPr="00F7725F" w:rsidRDefault="00BB09D6" w:rsidP="00F7725F">
      <w:pPr>
        <w:rPr>
          <w:szCs w:val="24"/>
        </w:rPr>
      </w:pPr>
      <w:r w:rsidRPr="00F7725F">
        <w:rPr>
          <w:szCs w:val="24"/>
        </w:rPr>
        <w:t>Pod</w:t>
      </w:r>
      <w:r w:rsidR="00E11E17" w:rsidRPr="00F7725F">
        <w:rPr>
          <w:szCs w:val="24"/>
        </w:rPr>
        <w:t>poru z kontrolovaných P</w:t>
      </w:r>
      <w:r w:rsidR="000C4F6A" w:rsidRPr="00F7725F">
        <w:rPr>
          <w:szCs w:val="24"/>
        </w:rPr>
        <w:t>rogramů pravidelně</w:t>
      </w:r>
      <w:r w:rsidR="000A6378" w:rsidRPr="00F7725F">
        <w:rPr>
          <w:szCs w:val="24"/>
        </w:rPr>
        <w:t xml:space="preserve"> získává víc</w:t>
      </w:r>
      <w:r w:rsidR="00354044" w:rsidRPr="00F7725F">
        <w:rPr>
          <w:szCs w:val="24"/>
        </w:rPr>
        <w:t>e než stovka organizací. P</w:t>
      </w:r>
      <w:r w:rsidR="000A6378" w:rsidRPr="00F7725F">
        <w:rPr>
          <w:szCs w:val="24"/>
        </w:rPr>
        <w:t>olovinu všech prost</w:t>
      </w:r>
      <w:r w:rsidR="005808B1" w:rsidRPr="00F7725F">
        <w:rPr>
          <w:szCs w:val="24"/>
        </w:rPr>
        <w:t>ředků rozdělených v letech 2014–</w:t>
      </w:r>
      <w:r w:rsidR="000A6378" w:rsidRPr="00F7725F">
        <w:rPr>
          <w:szCs w:val="24"/>
        </w:rPr>
        <w:t xml:space="preserve">2016 </w:t>
      </w:r>
      <w:r w:rsidRPr="00F7725F">
        <w:rPr>
          <w:szCs w:val="24"/>
        </w:rPr>
        <w:t>čerpaly tři organizace, přičemž</w:t>
      </w:r>
      <w:r w:rsidR="00B31FF4">
        <w:rPr>
          <w:szCs w:val="24"/>
        </w:rPr>
        <w:t xml:space="preserve"> </w:t>
      </w:r>
      <w:r w:rsidR="000A6378" w:rsidRPr="00F7725F">
        <w:rPr>
          <w:szCs w:val="24"/>
        </w:rPr>
        <w:t>největší</w:t>
      </w:r>
      <w:r w:rsidR="000C4F6A" w:rsidRPr="00F7725F">
        <w:rPr>
          <w:szCs w:val="24"/>
        </w:rPr>
        <w:t xml:space="preserve"> objem dotací</w:t>
      </w:r>
      <w:r w:rsidR="000A6378" w:rsidRPr="00F7725F">
        <w:rPr>
          <w:szCs w:val="24"/>
        </w:rPr>
        <w:t xml:space="preserve"> obdržel </w:t>
      </w:r>
      <w:r w:rsidR="000C4F6A" w:rsidRPr="00F7725F">
        <w:rPr>
          <w:szCs w:val="24"/>
        </w:rPr>
        <w:t xml:space="preserve">každoročně </w:t>
      </w:r>
      <w:r w:rsidR="006D0DBD" w:rsidRPr="00F7725F">
        <w:rPr>
          <w:szCs w:val="24"/>
        </w:rPr>
        <w:t xml:space="preserve">Junák – český </w:t>
      </w:r>
      <w:r w:rsidR="000A6378" w:rsidRPr="00F7725F">
        <w:rPr>
          <w:szCs w:val="24"/>
        </w:rPr>
        <w:t>skaut, z. s.</w:t>
      </w:r>
    </w:p>
    <w:p w14:paraId="1DC589B7" w14:textId="28C04B43" w:rsidR="0007011A" w:rsidRPr="00F7725F" w:rsidRDefault="0007011A" w:rsidP="00F7725F">
      <w:pPr>
        <w:rPr>
          <w:szCs w:val="24"/>
        </w:rPr>
      </w:pPr>
    </w:p>
    <w:p w14:paraId="74140F52" w14:textId="15CFAA44" w:rsidR="00530B11" w:rsidRPr="00F7725F" w:rsidRDefault="00530B11" w:rsidP="00F7725F">
      <w:pPr>
        <w:rPr>
          <w:b/>
          <w:szCs w:val="24"/>
        </w:rPr>
      </w:pPr>
      <w:r w:rsidRPr="00F7725F">
        <w:rPr>
          <w:szCs w:val="24"/>
        </w:rPr>
        <w:t xml:space="preserve">Při prověřování rozhodování o podpoře bylo mj. zjištěno, že v roce 2014 </w:t>
      </w:r>
      <w:r w:rsidR="004C2E3C" w:rsidRPr="00F7725F">
        <w:rPr>
          <w:szCs w:val="24"/>
        </w:rPr>
        <w:t>poskytlo</w:t>
      </w:r>
      <w:r w:rsidR="00B31FF4" w:rsidRPr="00B31FF4">
        <w:rPr>
          <w:szCs w:val="24"/>
        </w:rPr>
        <w:t xml:space="preserve"> </w:t>
      </w:r>
      <w:r w:rsidR="00B31FF4" w:rsidRPr="00F7725F">
        <w:rPr>
          <w:szCs w:val="24"/>
        </w:rPr>
        <w:t>MŠMT</w:t>
      </w:r>
      <w:r w:rsidR="004C2E3C" w:rsidRPr="00F7725F">
        <w:rPr>
          <w:szCs w:val="24"/>
        </w:rPr>
        <w:t xml:space="preserve"> částku </w:t>
      </w:r>
      <w:r w:rsidR="004C2E3C" w:rsidRPr="00F7725F">
        <w:rPr>
          <w:b/>
          <w:szCs w:val="24"/>
        </w:rPr>
        <w:t>312 tis. Kč na podporu činnosti informačního centra pro mládež příjemci</w:t>
      </w:r>
      <w:r w:rsidRPr="00F7725F">
        <w:rPr>
          <w:b/>
          <w:szCs w:val="24"/>
        </w:rPr>
        <w:t>, který z hlediska své právní formy neměl dle nastavených pravidel prostředky získat.</w:t>
      </w:r>
    </w:p>
    <w:p w14:paraId="5067CB29" w14:textId="7F67DDBD" w:rsidR="00530B11" w:rsidRPr="00F7725F" w:rsidRDefault="00530B11" w:rsidP="00F7725F">
      <w:pPr>
        <w:rPr>
          <w:szCs w:val="24"/>
        </w:rPr>
      </w:pPr>
    </w:p>
    <w:p w14:paraId="5E397BB2" w14:textId="3313879F" w:rsidR="00530B11" w:rsidRPr="00F7725F" w:rsidRDefault="00530B11" w:rsidP="00F7725F">
      <w:pPr>
        <w:rPr>
          <w:b/>
          <w:szCs w:val="24"/>
        </w:rPr>
      </w:pPr>
      <w:r w:rsidRPr="00F7725F">
        <w:rPr>
          <w:szCs w:val="24"/>
        </w:rPr>
        <w:t>V</w:t>
      </w:r>
      <w:r w:rsidR="007736DB" w:rsidRPr="00F7725F">
        <w:rPr>
          <w:szCs w:val="24"/>
        </w:rPr>
        <w:t xml:space="preserve"> průběhu </w:t>
      </w:r>
      <w:r w:rsidRPr="00F7725F">
        <w:rPr>
          <w:szCs w:val="24"/>
        </w:rPr>
        <w:t>ro</w:t>
      </w:r>
      <w:r w:rsidR="007736DB" w:rsidRPr="00F7725F">
        <w:rPr>
          <w:szCs w:val="24"/>
        </w:rPr>
        <w:t>ku</w:t>
      </w:r>
      <w:r w:rsidRPr="00F7725F">
        <w:rPr>
          <w:szCs w:val="24"/>
        </w:rPr>
        <w:t xml:space="preserve"> 2014 došlo k navýšení prostředků pro </w:t>
      </w:r>
      <w:r w:rsidR="007736DB" w:rsidRPr="00F7725F">
        <w:rPr>
          <w:szCs w:val="24"/>
        </w:rPr>
        <w:t>P</w:t>
      </w:r>
      <w:r w:rsidRPr="00F7725F">
        <w:rPr>
          <w:szCs w:val="24"/>
        </w:rPr>
        <w:t>rogramy</w:t>
      </w:r>
      <w:r w:rsidR="0060319D" w:rsidRPr="00F7725F">
        <w:rPr>
          <w:szCs w:val="24"/>
        </w:rPr>
        <w:t xml:space="preserve"> o 15 mil. Kč</w:t>
      </w:r>
      <w:r w:rsidRPr="00F7725F">
        <w:rPr>
          <w:szCs w:val="24"/>
        </w:rPr>
        <w:t xml:space="preserve">. MŠMT stanovilo pravidla, podle kterých bude navýšení dotací provádět. Tato pravidla však samo nedodrželo. Příjemci dotací z programu č. 1 a 2 mohli při respektování dalších podmínek žádat o navýšení maximálně 10 % (program č. 1), resp. 20 % (program č. 2) z již schválené podpory. MŠMT pak zpracovalo průměrné procento, o které </w:t>
      </w:r>
      <w:r w:rsidR="006D26A6" w:rsidRPr="00F7725F">
        <w:rPr>
          <w:szCs w:val="24"/>
        </w:rPr>
        <w:t xml:space="preserve">původní dotace </w:t>
      </w:r>
      <w:r w:rsidR="00776644" w:rsidRPr="00F7725F">
        <w:rPr>
          <w:szCs w:val="24"/>
        </w:rPr>
        <w:t>posíl</w:t>
      </w:r>
      <w:r w:rsidR="006D26A6" w:rsidRPr="00F7725F">
        <w:rPr>
          <w:szCs w:val="24"/>
        </w:rPr>
        <w:t xml:space="preserve">ilo. </w:t>
      </w:r>
      <w:r w:rsidRPr="00F7725F">
        <w:rPr>
          <w:szCs w:val="24"/>
        </w:rPr>
        <w:t xml:space="preserve">Ve čtyřech případech si </w:t>
      </w:r>
      <w:r w:rsidR="00BB09D6" w:rsidRPr="00F7725F">
        <w:rPr>
          <w:szCs w:val="24"/>
        </w:rPr>
        <w:t xml:space="preserve">však </w:t>
      </w:r>
      <w:r w:rsidRPr="00F7725F">
        <w:rPr>
          <w:szCs w:val="24"/>
        </w:rPr>
        <w:t>příjemci požádali o</w:t>
      </w:r>
      <w:r w:rsidR="008E63A3" w:rsidRPr="00F7725F">
        <w:rPr>
          <w:szCs w:val="24"/>
        </w:rPr>
        <w:t xml:space="preserve"> vyšší</w:t>
      </w:r>
      <w:r w:rsidRPr="00F7725F">
        <w:rPr>
          <w:szCs w:val="24"/>
        </w:rPr>
        <w:t xml:space="preserve"> </w:t>
      </w:r>
      <w:r w:rsidR="007736DB" w:rsidRPr="00F7725F">
        <w:rPr>
          <w:szCs w:val="24"/>
        </w:rPr>
        <w:t>podíl původní dotace</w:t>
      </w:r>
      <w:r w:rsidR="006D26A6" w:rsidRPr="00F7725F">
        <w:rPr>
          <w:szCs w:val="24"/>
        </w:rPr>
        <w:t xml:space="preserve">. Výsledkem pak bylo, že těmto příjemcům byla dotace navýšena o 86 %, 93 %, 94 % a 360 % původní </w:t>
      </w:r>
      <w:r w:rsidR="00BB09D6" w:rsidRPr="00F7725F">
        <w:rPr>
          <w:szCs w:val="24"/>
        </w:rPr>
        <w:t>částky</w:t>
      </w:r>
      <w:r w:rsidR="006D26A6" w:rsidRPr="00F7725F">
        <w:rPr>
          <w:szCs w:val="24"/>
        </w:rPr>
        <w:t xml:space="preserve">. Tuto odchylku od nastavených pravidel MŠMT nijak nezdůvodnilo. </w:t>
      </w:r>
      <w:r w:rsidR="006D26A6" w:rsidRPr="00F7725F">
        <w:rPr>
          <w:b/>
          <w:szCs w:val="24"/>
        </w:rPr>
        <w:t>Zvýhodněním těchto čtyř příjemců oproti ostatním MŠMT vytvářelo nerovné podmínky.</w:t>
      </w:r>
    </w:p>
    <w:p w14:paraId="13799345" w14:textId="77777777" w:rsidR="00530B11" w:rsidRPr="00F7725F" w:rsidRDefault="00530B11" w:rsidP="00F7725F">
      <w:pPr>
        <w:rPr>
          <w:szCs w:val="24"/>
        </w:rPr>
      </w:pPr>
    </w:p>
    <w:p w14:paraId="03407133" w14:textId="16C709F9" w:rsidR="0007011A" w:rsidRPr="00F7725F" w:rsidRDefault="00902074" w:rsidP="00F7725F">
      <w:pPr>
        <w:pStyle w:val="Nadpis3"/>
        <w:numPr>
          <w:ilvl w:val="0"/>
          <w:numId w:val="0"/>
        </w:numPr>
        <w:spacing w:after="0"/>
        <w:ind w:left="-6"/>
        <w:rPr>
          <w:sz w:val="24"/>
          <w:szCs w:val="24"/>
        </w:rPr>
      </w:pPr>
      <w:r w:rsidRPr="00F7725F">
        <w:rPr>
          <w:sz w:val="24"/>
          <w:szCs w:val="24"/>
        </w:rPr>
        <w:t xml:space="preserve">2.2 </w:t>
      </w:r>
      <w:r w:rsidR="00530B11" w:rsidRPr="00F7725F">
        <w:rPr>
          <w:sz w:val="24"/>
          <w:szCs w:val="24"/>
        </w:rPr>
        <w:t>Skutečnosti zjištěné na vybraném vzorku projektů</w:t>
      </w:r>
      <w:r w:rsidR="00F568A2" w:rsidRPr="00F7725F">
        <w:rPr>
          <w:sz w:val="24"/>
          <w:szCs w:val="24"/>
        </w:rPr>
        <w:t xml:space="preserve"> u MŠMT</w:t>
      </w:r>
    </w:p>
    <w:p w14:paraId="4F133AEB" w14:textId="77777777" w:rsidR="00F7725F" w:rsidRDefault="00F7725F" w:rsidP="00F7725F">
      <w:pPr>
        <w:rPr>
          <w:szCs w:val="24"/>
        </w:rPr>
      </w:pPr>
    </w:p>
    <w:p w14:paraId="49A5A7D7" w14:textId="655B5ED5" w:rsidR="00766588" w:rsidRPr="00F7725F" w:rsidRDefault="00766588" w:rsidP="00F7725F">
      <w:pPr>
        <w:rPr>
          <w:szCs w:val="24"/>
        </w:rPr>
      </w:pPr>
      <w:r w:rsidRPr="00F7725F">
        <w:rPr>
          <w:szCs w:val="24"/>
        </w:rPr>
        <w:t>Kontrolou u MŠMT a současně u příjemců dotací byl</w:t>
      </w:r>
      <w:r w:rsidR="0060319D" w:rsidRPr="00F7725F">
        <w:rPr>
          <w:szCs w:val="24"/>
        </w:rPr>
        <w:t>o</w:t>
      </w:r>
      <w:r w:rsidRPr="00F7725F">
        <w:rPr>
          <w:szCs w:val="24"/>
        </w:rPr>
        <w:t xml:space="preserve"> prověřen</w:t>
      </w:r>
      <w:r w:rsidR="0060319D" w:rsidRPr="00F7725F">
        <w:rPr>
          <w:szCs w:val="24"/>
        </w:rPr>
        <w:t>o</w:t>
      </w:r>
      <w:r w:rsidRPr="00F7725F">
        <w:rPr>
          <w:szCs w:val="24"/>
        </w:rPr>
        <w:t xml:space="preserve"> 67 projektů, které </w:t>
      </w:r>
      <w:r w:rsidR="00A32CF2" w:rsidRPr="00F7725F">
        <w:rPr>
          <w:szCs w:val="24"/>
        </w:rPr>
        <w:t xml:space="preserve">byly realizovány 14 příjemci. </w:t>
      </w:r>
      <w:r w:rsidR="002F606F" w:rsidRPr="00F7725F">
        <w:rPr>
          <w:szCs w:val="24"/>
        </w:rPr>
        <w:t>K podpoře</w:t>
      </w:r>
      <w:r w:rsidR="00A32CF2" w:rsidRPr="00F7725F">
        <w:rPr>
          <w:szCs w:val="24"/>
        </w:rPr>
        <w:t xml:space="preserve"> těchto projektů MŠMT poskytlo téměř 355 mil. Kč.</w:t>
      </w:r>
      <w:r w:rsidR="00BB09D6" w:rsidRPr="00F7725F">
        <w:rPr>
          <w:szCs w:val="24"/>
        </w:rPr>
        <w:t xml:space="preserve"> Na</w:t>
      </w:r>
      <w:r w:rsidR="00B31FF4">
        <w:rPr>
          <w:szCs w:val="24"/>
        </w:rPr>
        <w:t xml:space="preserve"> </w:t>
      </w:r>
      <w:r w:rsidR="00BB09D6" w:rsidRPr="00F7725F">
        <w:rPr>
          <w:szCs w:val="24"/>
        </w:rPr>
        <w:t>t</w:t>
      </w:r>
      <w:r w:rsidR="00E219B9" w:rsidRPr="00F7725F">
        <w:rPr>
          <w:szCs w:val="24"/>
        </w:rPr>
        <w:t>omto vzorku NKÚ zjistil porušení</w:t>
      </w:r>
      <w:r w:rsidR="00BB09D6" w:rsidRPr="00F7725F">
        <w:rPr>
          <w:szCs w:val="24"/>
        </w:rPr>
        <w:t xml:space="preserve"> nastavených pravidel a právních předpisů.</w:t>
      </w:r>
    </w:p>
    <w:p w14:paraId="0DE96DE1" w14:textId="77777777" w:rsidR="00766588" w:rsidRPr="00F7725F" w:rsidRDefault="00766588" w:rsidP="00F7725F">
      <w:pPr>
        <w:rPr>
          <w:szCs w:val="24"/>
        </w:rPr>
      </w:pPr>
    </w:p>
    <w:p w14:paraId="276FB87E" w14:textId="12922C1F" w:rsidR="00D60C4D" w:rsidRPr="00F7725F" w:rsidRDefault="004D33F6" w:rsidP="00B31FF4">
      <w:pPr>
        <w:widowControl/>
        <w:rPr>
          <w:szCs w:val="24"/>
        </w:rPr>
      </w:pPr>
      <w:r w:rsidRPr="00F7725F">
        <w:rPr>
          <w:szCs w:val="24"/>
        </w:rPr>
        <w:t xml:space="preserve">MŠMT podpořilo projekty dvou příjemců, kteří podali žádost do programu pro </w:t>
      </w:r>
      <w:r w:rsidR="007736DB" w:rsidRPr="00F7725F">
        <w:rPr>
          <w:szCs w:val="24"/>
        </w:rPr>
        <w:t>NNO</w:t>
      </w:r>
      <w:r w:rsidRPr="00F7725F">
        <w:rPr>
          <w:szCs w:val="24"/>
        </w:rPr>
        <w:t xml:space="preserve"> s pobočnými spolky, přestože tito dva příjemci pobočné spolky neměli. Takový postup byl v rozporu s nastavenými pravidly, kter</w:t>
      </w:r>
      <w:r w:rsidR="006F7AE7" w:rsidRPr="00F7725F">
        <w:rPr>
          <w:szCs w:val="24"/>
        </w:rPr>
        <w:t>á</w:t>
      </w:r>
      <w:r w:rsidRPr="00F7725F">
        <w:rPr>
          <w:szCs w:val="24"/>
        </w:rPr>
        <w:t xml:space="preserve"> jasně stanovil</w:t>
      </w:r>
      <w:r w:rsidR="006F7AE7" w:rsidRPr="00F7725F">
        <w:rPr>
          <w:szCs w:val="24"/>
        </w:rPr>
        <w:t>a</w:t>
      </w:r>
      <w:r w:rsidRPr="00F7725F">
        <w:rPr>
          <w:szCs w:val="24"/>
        </w:rPr>
        <w:t xml:space="preserve">, že žádosti podané do nesprávného </w:t>
      </w:r>
      <w:r w:rsidRPr="00F7725F">
        <w:rPr>
          <w:szCs w:val="24"/>
        </w:rPr>
        <w:lastRenderedPageBreak/>
        <w:t xml:space="preserve">programu budou vyřazeny. </w:t>
      </w:r>
      <w:r w:rsidRPr="00F7725F">
        <w:rPr>
          <w:b/>
          <w:szCs w:val="24"/>
        </w:rPr>
        <w:t xml:space="preserve">MŠMT tím, že těmto dvěma příjemcům poskytlo dotaci v celkové výši 2 150 000 Kč, porušilo </w:t>
      </w:r>
      <w:r w:rsidR="007736DB" w:rsidRPr="00F7725F">
        <w:rPr>
          <w:b/>
          <w:szCs w:val="24"/>
        </w:rPr>
        <w:t>pravidla, která samo nastavilo.</w:t>
      </w:r>
    </w:p>
    <w:p w14:paraId="5992A721" w14:textId="2DE385E5" w:rsidR="008C446E" w:rsidRPr="00F7725F" w:rsidRDefault="008C446E" w:rsidP="00F7725F">
      <w:pPr>
        <w:rPr>
          <w:szCs w:val="24"/>
        </w:rPr>
      </w:pPr>
    </w:p>
    <w:p w14:paraId="6BD5C6D8" w14:textId="573B3FB1" w:rsidR="00236EB3" w:rsidRPr="00F7725F" w:rsidRDefault="00EA0D45" w:rsidP="00F7725F">
      <w:pPr>
        <w:rPr>
          <w:szCs w:val="24"/>
        </w:rPr>
      </w:pPr>
      <w:r w:rsidRPr="00F7725F">
        <w:rPr>
          <w:szCs w:val="24"/>
        </w:rPr>
        <w:t>Pravidla pro rok 2014 stanov</w:t>
      </w:r>
      <w:r w:rsidR="007736DB" w:rsidRPr="00F7725F">
        <w:rPr>
          <w:szCs w:val="24"/>
        </w:rPr>
        <w:t>i</w:t>
      </w:r>
      <w:r w:rsidRPr="00F7725F">
        <w:rPr>
          <w:szCs w:val="24"/>
        </w:rPr>
        <w:t>la, že v případě schválení</w:t>
      </w:r>
      <w:r w:rsidR="00BB09D6" w:rsidRPr="00F7725F">
        <w:rPr>
          <w:szCs w:val="24"/>
        </w:rPr>
        <w:t xml:space="preserve"> dotace</w:t>
      </w:r>
      <w:r w:rsidRPr="00F7725F">
        <w:rPr>
          <w:szCs w:val="24"/>
        </w:rPr>
        <w:t xml:space="preserve"> v nižší částce, než byla požadována, je žadatel povinen do daného termínu předložit upravený rozpočet, jinak NNO zaniká nárok na poskytnutí dotace</w:t>
      </w:r>
      <w:r w:rsidRPr="00110938">
        <w:rPr>
          <w:szCs w:val="24"/>
        </w:rPr>
        <w:t xml:space="preserve">. </w:t>
      </w:r>
      <w:r w:rsidR="00236EB3" w:rsidRPr="00F7725F">
        <w:rPr>
          <w:b/>
          <w:szCs w:val="24"/>
        </w:rPr>
        <w:t>MŠMT schválilo poskytnutí dotace v celkové výši 61 485 000 Kč na realizaci osmi projektů, přestože žadatelé nezaslali upravený rozpočet ve</w:t>
      </w:r>
      <w:r w:rsidR="003F2B2C">
        <w:rPr>
          <w:b/>
          <w:szCs w:val="24"/>
        </w:rPr>
        <w:t xml:space="preserve"> </w:t>
      </w:r>
      <w:r w:rsidR="00236EB3" w:rsidRPr="00F7725F">
        <w:rPr>
          <w:b/>
          <w:szCs w:val="24"/>
        </w:rPr>
        <w:t>správné podobě nebo nedodrželi stanovený termín pro</w:t>
      </w:r>
      <w:r w:rsidR="003F2B2C">
        <w:rPr>
          <w:b/>
          <w:szCs w:val="24"/>
        </w:rPr>
        <w:t xml:space="preserve"> </w:t>
      </w:r>
      <w:r w:rsidR="00236EB3" w:rsidRPr="00F7725F">
        <w:rPr>
          <w:b/>
          <w:szCs w:val="24"/>
        </w:rPr>
        <w:t>jeho předložení.</w:t>
      </w:r>
    </w:p>
    <w:p w14:paraId="033A3945" w14:textId="77777777" w:rsidR="00236EB3" w:rsidRPr="00F7725F" w:rsidRDefault="00236EB3" w:rsidP="00F7725F">
      <w:pPr>
        <w:rPr>
          <w:szCs w:val="24"/>
        </w:rPr>
      </w:pPr>
    </w:p>
    <w:p w14:paraId="56EEB530" w14:textId="17074504" w:rsidR="007736DB" w:rsidRPr="00F7725F" w:rsidRDefault="00766588" w:rsidP="00F7725F">
      <w:pPr>
        <w:rPr>
          <w:szCs w:val="24"/>
        </w:rPr>
      </w:pPr>
      <w:r w:rsidRPr="00F7725F">
        <w:rPr>
          <w:szCs w:val="24"/>
        </w:rPr>
        <w:t>Zásady vlády stanovují, že</w:t>
      </w:r>
      <w:r w:rsidR="000408D6" w:rsidRPr="00F7725F">
        <w:rPr>
          <w:szCs w:val="24"/>
        </w:rPr>
        <w:t xml:space="preserve"> prostředky ze státního rozpočtu</w:t>
      </w:r>
      <w:r w:rsidRPr="00F7725F">
        <w:rPr>
          <w:szCs w:val="24"/>
        </w:rPr>
        <w:t xml:space="preserve"> lze poskytnout maximálně ve výši 70 % celkových nákladů projektu, více pouze v odůvodněných případech. Na vybraném vzorku </w:t>
      </w:r>
      <w:r w:rsidR="000408D6" w:rsidRPr="00F7725F">
        <w:rPr>
          <w:szCs w:val="24"/>
        </w:rPr>
        <w:t xml:space="preserve">projektů </w:t>
      </w:r>
      <w:r w:rsidRPr="00F7725F">
        <w:rPr>
          <w:szCs w:val="24"/>
        </w:rPr>
        <w:t>bylo zjištěno, že</w:t>
      </w:r>
      <w:r w:rsidR="00A32CF2" w:rsidRPr="00F7725F">
        <w:rPr>
          <w:szCs w:val="24"/>
        </w:rPr>
        <w:t xml:space="preserve"> v šesti případech byl tento podíl vyšší</w:t>
      </w:r>
      <w:r w:rsidR="003F2B2C">
        <w:rPr>
          <w:szCs w:val="24"/>
        </w:rPr>
        <w:t>;</w:t>
      </w:r>
      <w:r w:rsidR="00A32CF2" w:rsidRPr="00F7725F">
        <w:rPr>
          <w:szCs w:val="24"/>
        </w:rPr>
        <w:t xml:space="preserve"> dosahoval až 100 %, aniž by byly tyto výjimky odůvodněny.</w:t>
      </w:r>
    </w:p>
    <w:p w14:paraId="0519C7E0" w14:textId="77777777" w:rsidR="007736DB" w:rsidRPr="00F7725F" w:rsidRDefault="007736DB" w:rsidP="00F7725F">
      <w:pPr>
        <w:rPr>
          <w:szCs w:val="24"/>
        </w:rPr>
      </w:pPr>
    </w:p>
    <w:p w14:paraId="0B291E25" w14:textId="10BDB0E1" w:rsidR="00D60C4D" w:rsidRPr="00F7725F" w:rsidRDefault="000408D6" w:rsidP="00F7725F">
      <w:pPr>
        <w:rPr>
          <w:szCs w:val="24"/>
        </w:rPr>
      </w:pPr>
      <w:r w:rsidRPr="00F7725F">
        <w:rPr>
          <w:b/>
          <w:szCs w:val="24"/>
        </w:rPr>
        <w:t>MŠMT</w:t>
      </w:r>
      <w:r w:rsidR="007736DB" w:rsidRPr="00F7725F">
        <w:rPr>
          <w:b/>
          <w:szCs w:val="24"/>
        </w:rPr>
        <w:t xml:space="preserve"> porušováním nastavených pravidel vytvářelo </w:t>
      </w:r>
      <w:r w:rsidR="00D60C4D" w:rsidRPr="00F7725F">
        <w:rPr>
          <w:b/>
          <w:szCs w:val="24"/>
        </w:rPr>
        <w:t>netransparentní prostředí a nerovné podmínky</w:t>
      </w:r>
      <w:r w:rsidR="00AE3DAC" w:rsidRPr="00F7725F">
        <w:rPr>
          <w:b/>
          <w:szCs w:val="24"/>
        </w:rPr>
        <w:t xml:space="preserve"> pro žadatele, resp. příjemce</w:t>
      </w:r>
      <w:r w:rsidR="00D60C4D" w:rsidRPr="00F7725F">
        <w:rPr>
          <w:szCs w:val="24"/>
        </w:rPr>
        <w:t>.</w:t>
      </w:r>
    </w:p>
    <w:p w14:paraId="3C01B36A" w14:textId="62BDD713" w:rsidR="00766588" w:rsidRPr="00F7725F" w:rsidRDefault="00766588" w:rsidP="00F7725F">
      <w:pPr>
        <w:rPr>
          <w:szCs w:val="24"/>
        </w:rPr>
      </w:pPr>
    </w:p>
    <w:p w14:paraId="7986799D" w14:textId="77777777" w:rsidR="009A36A2" w:rsidRPr="00F7725F" w:rsidRDefault="000408D6" w:rsidP="00F7725F">
      <w:pPr>
        <w:rPr>
          <w:szCs w:val="24"/>
        </w:rPr>
      </w:pPr>
      <w:r w:rsidRPr="00F7725F">
        <w:rPr>
          <w:szCs w:val="24"/>
        </w:rPr>
        <w:t>Vydaná</w:t>
      </w:r>
      <w:r w:rsidR="0006583D" w:rsidRPr="00F7725F">
        <w:rPr>
          <w:szCs w:val="24"/>
        </w:rPr>
        <w:t xml:space="preserve"> rozhodnutí o poskytnutí dotace </w:t>
      </w:r>
      <w:r w:rsidR="009A36A2" w:rsidRPr="00F7725F">
        <w:rPr>
          <w:szCs w:val="24"/>
        </w:rPr>
        <w:t xml:space="preserve">v kontrolovaném vzorku </w:t>
      </w:r>
      <w:r w:rsidR="0006583D" w:rsidRPr="00F7725F">
        <w:rPr>
          <w:szCs w:val="24"/>
        </w:rPr>
        <w:t>nesplňovala požadavky stanovené zákonem</w:t>
      </w:r>
      <w:r w:rsidR="0006583D" w:rsidRPr="00F7725F">
        <w:rPr>
          <w:rStyle w:val="Znakapoznpodarou"/>
          <w:szCs w:val="24"/>
        </w:rPr>
        <w:footnoteReference w:id="10"/>
      </w:r>
      <w:r w:rsidR="009A36A2" w:rsidRPr="00F7725F">
        <w:rPr>
          <w:szCs w:val="24"/>
        </w:rPr>
        <w:t>:</w:t>
      </w:r>
    </w:p>
    <w:p w14:paraId="46DBD95E" w14:textId="57D62F68" w:rsidR="009A36A2" w:rsidRPr="00F7725F" w:rsidRDefault="000408D6" w:rsidP="00F7725F">
      <w:pPr>
        <w:pStyle w:val="Odstavecseseznamem"/>
        <w:numPr>
          <w:ilvl w:val="0"/>
          <w:numId w:val="47"/>
        </w:numPr>
        <w:spacing w:after="0" w:line="240" w:lineRule="auto"/>
        <w:ind w:left="284" w:hanging="284"/>
        <w:contextualSpacing w:val="0"/>
        <w:rPr>
          <w:sz w:val="24"/>
          <w:szCs w:val="24"/>
        </w:rPr>
      </w:pPr>
      <w:r w:rsidRPr="00F7725F">
        <w:rPr>
          <w:sz w:val="24"/>
          <w:szCs w:val="24"/>
        </w:rPr>
        <w:t>ve</w:t>
      </w:r>
      <w:r w:rsidR="003F2B2C">
        <w:rPr>
          <w:sz w:val="24"/>
          <w:szCs w:val="24"/>
        </w:rPr>
        <w:t xml:space="preserve"> </w:t>
      </w:r>
      <w:r w:rsidR="0006583D" w:rsidRPr="00F7725F">
        <w:rPr>
          <w:sz w:val="24"/>
          <w:szCs w:val="24"/>
        </w:rPr>
        <w:t xml:space="preserve">čtyřech případech neobsahovala </w:t>
      </w:r>
      <w:r w:rsidR="003F2B2C">
        <w:rPr>
          <w:sz w:val="24"/>
          <w:szCs w:val="24"/>
        </w:rPr>
        <w:t>datum</w:t>
      </w:r>
      <w:r w:rsidR="0006583D" w:rsidRPr="00F7725F">
        <w:rPr>
          <w:sz w:val="24"/>
          <w:szCs w:val="24"/>
        </w:rPr>
        <w:t xml:space="preserve"> vydání rozhodnutí</w:t>
      </w:r>
      <w:r w:rsidR="009A36A2" w:rsidRPr="00F7725F">
        <w:rPr>
          <w:sz w:val="24"/>
          <w:szCs w:val="24"/>
        </w:rPr>
        <w:t>;</w:t>
      </w:r>
    </w:p>
    <w:p w14:paraId="474EA1D0" w14:textId="5BD4299E" w:rsidR="009A36A2" w:rsidRPr="00F7725F" w:rsidRDefault="009A36A2" w:rsidP="00F7725F">
      <w:pPr>
        <w:pStyle w:val="Odstavecseseznamem"/>
        <w:numPr>
          <w:ilvl w:val="0"/>
          <w:numId w:val="47"/>
        </w:numPr>
        <w:spacing w:after="0" w:line="240" w:lineRule="auto"/>
        <w:ind w:left="284" w:hanging="284"/>
        <w:contextualSpacing w:val="0"/>
        <w:rPr>
          <w:sz w:val="24"/>
          <w:szCs w:val="24"/>
        </w:rPr>
      </w:pPr>
      <w:r w:rsidRPr="00F7725F">
        <w:rPr>
          <w:sz w:val="24"/>
          <w:szCs w:val="24"/>
        </w:rPr>
        <w:t xml:space="preserve">ve čtyřech případech </w:t>
      </w:r>
      <w:r w:rsidR="000408D6" w:rsidRPr="00F7725F">
        <w:rPr>
          <w:sz w:val="24"/>
          <w:szCs w:val="24"/>
        </w:rPr>
        <w:t>obsahovala</w:t>
      </w:r>
      <w:r w:rsidR="0006583D" w:rsidRPr="00F7725F">
        <w:rPr>
          <w:sz w:val="24"/>
          <w:szCs w:val="24"/>
        </w:rPr>
        <w:t xml:space="preserve"> adresu příjemce, která nebyla sídlem příslušné NNO</w:t>
      </w:r>
      <w:r w:rsidRPr="00F7725F">
        <w:rPr>
          <w:sz w:val="24"/>
          <w:szCs w:val="24"/>
        </w:rPr>
        <w:t>.</w:t>
      </w:r>
    </w:p>
    <w:p w14:paraId="588E7650" w14:textId="77777777" w:rsidR="00632833" w:rsidRPr="00F7725F" w:rsidRDefault="00632833" w:rsidP="00F7725F">
      <w:pPr>
        <w:rPr>
          <w:szCs w:val="24"/>
        </w:rPr>
      </w:pPr>
    </w:p>
    <w:p w14:paraId="27F0CF51" w14:textId="14BAAD13" w:rsidR="0006583D" w:rsidRPr="00F7725F" w:rsidRDefault="0006583D" w:rsidP="00F7725F">
      <w:pPr>
        <w:rPr>
          <w:szCs w:val="24"/>
        </w:rPr>
      </w:pPr>
      <w:r w:rsidRPr="00F7725F">
        <w:rPr>
          <w:szCs w:val="24"/>
        </w:rPr>
        <w:t>MŠMT v rozhodnutích neuvádělo konkrétní účel, ale pouze typy výdajů (</w:t>
      </w:r>
      <w:r w:rsidR="00D60C4D" w:rsidRPr="00F7725F">
        <w:rPr>
          <w:szCs w:val="24"/>
        </w:rPr>
        <w:t>investiční/</w:t>
      </w:r>
      <w:r w:rsidR="000408D6" w:rsidRPr="00F7725F">
        <w:rPr>
          <w:szCs w:val="24"/>
        </w:rPr>
        <w:t>neinvestiční a </w:t>
      </w:r>
      <w:r w:rsidRPr="00F7725F">
        <w:rPr>
          <w:szCs w:val="24"/>
        </w:rPr>
        <w:t xml:space="preserve">z toho </w:t>
      </w:r>
      <w:r w:rsidR="00AF383E" w:rsidRPr="00F7725F">
        <w:rPr>
          <w:szCs w:val="24"/>
        </w:rPr>
        <w:t>osobní náklady</w:t>
      </w:r>
      <w:r w:rsidRPr="00F7725F">
        <w:rPr>
          <w:szCs w:val="24"/>
        </w:rPr>
        <w:t>)</w:t>
      </w:r>
      <w:r w:rsidR="00D60C4D" w:rsidRPr="00F7725F">
        <w:rPr>
          <w:szCs w:val="24"/>
        </w:rPr>
        <w:t xml:space="preserve">, na které lze </w:t>
      </w:r>
      <w:r w:rsidR="00EE38F6" w:rsidRPr="00F7725F">
        <w:rPr>
          <w:szCs w:val="24"/>
        </w:rPr>
        <w:t>stanovené</w:t>
      </w:r>
      <w:r w:rsidR="000408D6" w:rsidRPr="00F7725F">
        <w:rPr>
          <w:szCs w:val="24"/>
        </w:rPr>
        <w:t xml:space="preserve"> částky</w:t>
      </w:r>
      <w:r w:rsidR="00D60C4D" w:rsidRPr="00F7725F">
        <w:rPr>
          <w:szCs w:val="24"/>
        </w:rPr>
        <w:t xml:space="preserve"> použít</w:t>
      </w:r>
      <w:r w:rsidR="000408D6" w:rsidRPr="00F7725F">
        <w:rPr>
          <w:szCs w:val="24"/>
        </w:rPr>
        <w:t>.</w:t>
      </w:r>
      <w:r w:rsidR="00D60C4D" w:rsidRPr="00F7725F">
        <w:rPr>
          <w:szCs w:val="24"/>
        </w:rPr>
        <w:t xml:space="preserve"> </w:t>
      </w:r>
      <w:r w:rsidR="000408D6" w:rsidRPr="00F7725F">
        <w:rPr>
          <w:szCs w:val="24"/>
        </w:rPr>
        <w:t>To</w:t>
      </w:r>
      <w:r w:rsidR="00D60C4D" w:rsidRPr="00F7725F">
        <w:rPr>
          <w:szCs w:val="24"/>
        </w:rPr>
        <w:t xml:space="preserve"> však nelze považovat za účel dotace ve smyslu příslušného ustanovení zákona</w:t>
      </w:r>
      <w:r w:rsidR="00D60C4D" w:rsidRPr="00F7725F">
        <w:rPr>
          <w:rStyle w:val="Znakapoznpodarou"/>
          <w:szCs w:val="24"/>
        </w:rPr>
        <w:footnoteReference w:id="11"/>
      </w:r>
      <w:r w:rsidR="00D60C4D" w:rsidRPr="00F7725F">
        <w:rPr>
          <w:szCs w:val="24"/>
        </w:rPr>
        <w:t>.</w:t>
      </w:r>
    </w:p>
    <w:p w14:paraId="63E242D9" w14:textId="77777777" w:rsidR="00A32CF2" w:rsidRPr="00F7725F" w:rsidRDefault="00A32CF2" w:rsidP="00F7725F">
      <w:pPr>
        <w:rPr>
          <w:szCs w:val="24"/>
        </w:rPr>
      </w:pPr>
    </w:p>
    <w:p w14:paraId="557C2D43" w14:textId="410FAFCE" w:rsidR="00A32CF2" w:rsidRPr="00F7725F" w:rsidRDefault="00A32CF2" w:rsidP="00F7725F">
      <w:pPr>
        <w:rPr>
          <w:szCs w:val="24"/>
        </w:rPr>
      </w:pPr>
      <w:r w:rsidRPr="00F7725F">
        <w:rPr>
          <w:szCs w:val="24"/>
        </w:rPr>
        <w:t xml:space="preserve">MŠMT nedodržovalo termíny pro vyplácení dotací, které mu stanovily Zásady vlády. Podle nich měly být dotace na kalendářní rok vyplaceny nejpozději do konce března příslušného období. </w:t>
      </w:r>
      <w:r w:rsidR="0006583D" w:rsidRPr="00F7725F">
        <w:rPr>
          <w:szCs w:val="24"/>
        </w:rPr>
        <w:t xml:space="preserve">Ve více než polovině případů však MŠMT </w:t>
      </w:r>
      <w:r w:rsidR="004712AF" w:rsidRPr="00F7725F">
        <w:rPr>
          <w:szCs w:val="24"/>
        </w:rPr>
        <w:t xml:space="preserve">finanční prostředky </w:t>
      </w:r>
      <w:r w:rsidR="0006583D" w:rsidRPr="00F7725F">
        <w:rPr>
          <w:szCs w:val="24"/>
        </w:rPr>
        <w:t>na účet příjemců zaslalo až v du</w:t>
      </w:r>
      <w:r w:rsidR="004712AF" w:rsidRPr="00F7725F">
        <w:rPr>
          <w:szCs w:val="24"/>
        </w:rPr>
        <w:t>bnu. U patnácti projektů byla</w:t>
      </w:r>
      <w:r w:rsidR="00EE38F6" w:rsidRPr="00F7725F">
        <w:rPr>
          <w:szCs w:val="24"/>
        </w:rPr>
        <w:t xml:space="preserve"> dokonce</w:t>
      </w:r>
      <w:r w:rsidR="004712AF" w:rsidRPr="00F7725F">
        <w:rPr>
          <w:szCs w:val="24"/>
        </w:rPr>
        <w:t xml:space="preserve"> </w:t>
      </w:r>
      <w:r w:rsidR="00EE38F6" w:rsidRPr="00F7725F">
        <w:rPr>
          <w:szCs w:val="24"/>
        </w:rPr>
        <w:t xml:space="preserve">i </w:t>
      </w:r>
      <w:r w:rsidR="0006583D" w:rsidRPr="00F7725F">
        <w:rPr>
          <w:szCs w:val="24"/>
        </w:rPr>
        <w:t>rozhodnutí o poskytnutí dotací</w:t>
      </w:r>
      <w:r w:rsidR="004712AF" w:rsidRPr="00F7725F">
        <w:rPr>
          <w:szCs w:val="24"/>
        </w:rPr>
        <w:t xml:space="preserve"> vydána </w:t>
      </w:r>
      <w:r w:rsidR="00EE38F6" w:rsidRPr="00F7725F">
        <w:rPr>
          <w:szCs w:val="24"/>
        </w:rPr>
        <w:t>po tomto termínu</w:t>
      </w:r>
      <w:r w:rsidR="0006583D" w:rsidRPr="00F7725F">
        <w:rPr>
          <w:szCs w:val="24"/>
        </w:rPr>
        <w:t>.</w:t>
      </w:r>
    </w:p>
    <w:p w14:paraId="4819CBC7" w14:textId="63CF9328" w:rsidR="00766588" w:rsidRPr="00F7725F" w:rsidRDefault="00766588" w:rsidP="00F7725F">
      <w:pPr>
        <w:rPr>
          <w:szCs w:val="24"/>
        </w:rPr>
      </w:pPr>
    </w:p>
    <w:p w14:paraId="452BAF89" w14:textId="0DA2468E" w:rsidR="004712AF" w:rsidRPr="00F7725F" w:rsidRDefault="004712AF" w:rsidP="00F7725F">
      <w:pPr>
        <w:rPr>
          <w:szCs w:val="24"/>
        </w:rPr>
      </w:pPr>
      <w:r w:rsidRPr="00F7725F">
        <w:rPr>
          <w:b/>
          <w:szCs w:val="24"/>
        </w:rPr>
        <w:t>Na</w:t>
      </w:r>
      <w:r w:rsidR="005808B1" w:rsidRPr="00F7725F">
        <w:rPr>
          <w:b/>
          <w:szCs w:val="24"/>
        </w:rPr>
        <w:t xml:space="preserve"> MŠMT neexistoval v letech 2014–</w:t>
      </w:r>
      <w:r w:rsidRPr="00F7725F">
        <w:rPr>
          <w:b/>
          <w:szCs w:val="24"/>
        </w:rPr>
        <w:t xml:space="preserve">2016 </w:t>
      </w:r>
      <w:r w:rsidR="00B2071C" w:rsidRPr="00F7725F">
        <w:rPr>
          <w:b/>
          <w:szCs w:val="24"/>
        </w:rPr>
        <w:t>v oblasti poskytování dotací pro NNO na podporu práce s dětmi a mládeží vnitřní kontrolní systém</w:t>
      </w:r>
      <w:r w:rsidRPr="00F7725F">
        <w:rPr>
          <w:b/>
          <w:szCs w:val="24"/>
        </w:rPr>
        <w:t xml:space="preserve">, který by </w:t>
      </w:r>
      <w:r w:rsidR="00B2071C" w:rsidRPr="00F7725F">
        <w:rPr>
          <w:b/>
          <w:szCs w:val="24"/>
        </w:rPr>
        <w:t>při provádění předběžné říd</w:t>
      </w:r>
      <w:r w:rsidR="003F2B2C">
        <w:rPr>
          <w:b/>
          <w:szCs w:val="24"/>
        </w:rPr>
        <w:t>i</w:t>
      </w:r>
      <w:r w:rsidR="00B2071C" w:rsidRPr="00F7725F">
        <w:rPr>
          <w:b/>
          <w:szCs w:val="24"/>
        </w:rPr>
        <w:t>cí kontroly detekoval nedostatky následně zjištěné kontrolou NKÚ.</w:t>
      </w:r>
    </w:p>
    <w:p w14:paraId="0D146B88" w14:textId="77777777" w:rsidR="00EA0D45" w:rsidRPr="00F7725F" w:rsidRDefault="00EA0D45" w:rsidP="00F7725F">
      <w:pPr>
        <w:rPr>
          <w:szCs w:val="24"/>
        </w:rPr>
      </w:pPr>
    </w:p>
    <w:p w14:paraId="22141A61" w14:textId="7F9BCB23" w:rsidR="005872C0" w:rsidRDefault="00902074" w:rsidP="00F7725F">
      <w:pPr>
        <w:pStyle w:val="Nadpis2"/>
        <w:numPr>
          <w:ilvl w:val="0"/>
          <w:numId w:val="0"/>
        </w:numPr>
        <w:spacing w:after="0"/>
        <w:rPr>
          <w:sz w:val="24"/>
        </w:rPr>
      </w:pPr>
      <w:r w:rsidRPr="00F7725F">
        <w:rPr>
          <w:sz w:val="24"/>
        </w:rPr>
        <w:t xml:space="preserve">3. </w:t>
      </w:r>
      <w:r w:rsidR="00B319DB" w:rsidRPr="00F7725F">
        <w:rPr>
          <w:sz w:val="24"/>
        </w:rPr>
        <w:t>Kontrola projektů ze strany MŠMT</w:t>
      </w:r>
    </w:p>
    <w:p w14:paraId="16CCE9C4" w14:textId="77777777" w:rsidR="00F7725F" w:rsidRPr="00F7725F" w:rsidRDefault="00F7725F" w:rsidP="00F7725F"/>
    <w:p w14:paraId="71E8E478" w14:textId="2579616C" w:rsidR="002826B8" w:rsidRPr="00F7725F" w:rsidRDefault="00902074" w:rsidP="00F7725F">
      <w:pPr>
        <w:pStyle w:val="Nadpis3"/>
        <w:numPr>
          <w:ilvl w:val="0"/>
          <w:numId w:val="0"/>
        </w:numPr>
        <w:spacing w:after="0"/>
        <w:ind w:left="-6"/>
        <w:rPr>
          <w:sz w:val="24"/>
          <w:szCs w:val="24"/>
        </w:rPr>
      </w:pPr>
      <w:r w:rsidRPr="00F7725F">
        <w:rPr>
          <w:sz w:val="24"/>
          <w:szCs w:val="24"/>
        </w:rPr>
        <w:t xml:space="preserve">3.1 </w:t>
      </w:r>
      <w:r w:rsidR="002826B8" w:rsidRPr="00F7725F">
        <w:rPr>
          <w:sz w:val="24"/>
          <w:szCs w:val="24"/>
        </w:rPr>
        <w:t>Kontrola vyúčtování</w:t>
      </w:r>
    </w:p>
    <w:p w14:paraId="541BD5DD" w14:textId="77777777" w:rsidR="00F7725F" w:rsidRDefault="00F7725F" w:rsidP="00F7725F">
      <w:pPr>
        <w:rPr>
          <w:szCs w:val="24"/>
        </w:rPr>
      </w:pPr>
    </w:p>
    <w:p w14:paraId="032C9329" w14:textId="6221801A" w:rsidR="00D54AA7" w:rsidRPr="00F7725F" w:rsidRDefault="00D54AA7" w:rsidP="008411D3">
      <w:pPr>
        <w:widowControl/>
        <w:rPr>
          <w:szCs w:val="24"/>
        </w:rPr>
      </w:pPr>
      <w:r w:rsidRPr="00F7725F">
        <w:rPr>
          <w:szCs w:val="24"/>
        </w:rPr>
        <w:t>Pro příjemce dotací z Programů na rok 2014 nebyly stanoveny pokyny k vyplnění jednotlivých částí vyúčtování dotace, což jim mohlo způsobit problémy při jejich zpracování a následně komplikovalo vyhodnocení plnění projektů, resp. jejich rozpočtů, samotnému MŠMT. V roce 2014 MŠMT navíc po</w:t>
      </w:r>
      <w:r w:rsidR="003F2B2C">
        <w:rPr>
          <w:szCs w:val="24"/>
        </w:rPr>
        <w:t xml:space="preserve"> </w:t>
      </w:r>
      <w:r w:rsidRPr="00F7725F">
        <w:rPr>
          <w:szCs w:val="24"/>
        </w:rPr>
        <w:t xml:space="preserve">navýšení dotací nevyžadovalo od příjemců upravené rozpočty projektů, </w:t>
      </w:r>
      <w:r w:rsidRPr="00F7725F">
        <w:rPr>
          <w:szCs w:val="24"/>
        </w:rPr>
        <w:lastRenderedPageBreak/>
        <w:t>což</w:t>
      </w:r>
      <w:r w:rsidR="003F2B2C">
        <w:rPr>
          <w:szCs w:val="24"/>
        </w:rPr>
        <w:t xml:space="preserve"> </w:t>
      </w:r>
      <w:r w:rsidRPr="00F7725F">
        <w:rPr>
          <w:szCs w:val="24"/>
        </w:rPr>
        <w:t>zcela znemožnilo následné ověření dodržení rozpočtu ve</w:t>
      </w:r>
      <w:r w:rsidR="003F2B2C">
        <w:rPr>
          <w:szCs w:val="24"/>
        </w:rPr>
        <w:t xml:space="preserve"> </w:t>
      </w:r>
      <w:r w:rsidRPr="00F7725F">
        <w:rPr>
          <w:szCs w:val="24"/>
        </w:rPr>
        <w:t>vyúčtování</w:t>
      </w:r>
      <w:r w:rsidR="00E710D3" w:rsidRPr="00F7725F">
        <w:rPr>
          <w:szCs w:val="24"/>
        </w:rPr>
        <w:t>ch</w:t>
      </w:r>
      <w:r w:rsidRPr="00F7725F">
        <w:rPr>
          <w:szCs w:val="24"/>
        </w:rPr>
        <w:t xml:space="preserve"> prakticky u všech dotací, které byly navýšeny. </w:t>
      </w:r>
      <w:r w:rsidRPr="00F7725F">
        <w:rPr>
          <w:b/>
          <w:szCs w:val="24"/>
        </w:rPr>
        <w:t xml:space="preserve">Zveřejněním podrobných návodů k vyplnění formulářů v letech 2015 a 2016 se dle NKÚ možnost objektivně vyhodnotit vyúčtování </w:t>
      </w:r>
      <w:r w:rsidR="003F2B2C">
        <w:rPr>
          <w:b/>
          <w:szCs w:val="24"/>
        </w:rPr>
        <w:t>zlepšila</w:t>
      </w:r>
      <w:r w:rsidRPr="00F7725F">
        <w:rPr>
          <w:b/>
          <w:szCs w:val="24"/>
        </w:rPr>
        <w:t>.</w:t>
      </w:r>
    </w:p>
    <w:p w14:paraId="6016510D" w14:textId="77777777" w:rsidR="00D54AA7" w:rsidRPr="00F7725F" w:rsidRDefault="00D54AA7" w:rsidP="00F7725F">
      <w:pPr>
        <w:rPr>
          <w:rFonts w:cs="Calibri"/>
          <w:szCs w:val="24"/>
        </w:rPr>
      </w:pPr>
    </w:p>
    <w:p w14:paraId="7FE026A9" w14:textId="6117DBB9" w:rsidR="00D54AA7" w:rsidRDefault="00D54AA7" w:rsidP="00F7725F">
      <w:pPr>
        <w:rPr>
          <w:rFonts w:cs="Calibri"/>
          <w:szCs w:val="24"/>
        </w:rPr>
      </w:pPr>
      <w:r w:rsidRPr="00F7725F">
        <w:rPr>
          <w:rFonts w:cs="Calibri"/>
          <w:szCs w:val="24"/>
        </w:rPr>
        <w:t>Při změnách celkových nákladů projektu v souvislosti se schválením nižší</w:t>
      </w:r>
      <w:r w:rsidR="00D64DE3" w:rsidRPr="00F7725F">
        <w:rPr>
          <w:rFonts w:cs="Calibri"/>
          <w:szCs w:val="24"/>
        </w:rPr>
        <w:t xml:space="preserve"> částky dotace oproti</w:t>
      </w:r>
      <w:r w:rsidR="008411D3">
        <w:rPr>
          <w:rFonts w:cs="Calibri"/>
          <w:szCs w:val="24"/>
        </w:rPr>
        <w:t xml:space="preserve"> </w:t>
      </w:r>
      <w:r w:rsidRPr="00F7725F">
        <w:rPr>
          <w:rFonts w:cs="Calibri"/>
          <w:szCs w:val="24"/>
        </w:rPr>
        <w:t>žádosti nevyžadovalo MŠMT od příjemců dotací informaci o tom, jaké části projektu nebudou realizovány. Požadovalo pouze úpravu rozpočtu, přičemž akceptovalo jen</w:t>
      </w:r>
      <w:r w:rsidR="008411D3">
        <w:rPr>
          <w:rFonts w:cs="Calibri"/>
          <w:szCs w:val="24"/>
        </w:rPr>
        <w:t xml:space="preserve"> </w:t>
      </w:r>
      <w:r w:rsidRPr="00F7725F">
        <w:rPr>
          <w:rFonts w:cs="Calibri"/>
          <w:szCs w:val="24"/>
        </w:rPr>
        <w:t>změnu částky celkových nákladů projektu bez podrobnějšího členění po položkách. Po</w:t>
      </w:r>
      <w:r w:rsidR="008411D3">
        <w:rPr>
          <w:rFonts w:cs="Calibri"/>
          <w:szCs w:val="24"/>
        </w:rPr>
        <w:t xml:space="preserve"> </w:t>
      </w:r>
      <w:r w:rsidRPr="00F7725F">
        <w:rPr>
          <w:rFonts w:cs="Calibri"/>
          <w:szCs w:val="24"/>
        </w:rPr>
        <w:t>navýšení dotací v roce 2014 MŠMT upravený rozpočet po příjemcích nepožadovalo vůbec.</w:t>
      </w:r>
    </w:p>
    <w:p w14:paraId="62C59C24" w14:textId="77777777" w:rsidR="00F7725F" w:rsidRPr="00F7725F" w:rsidRDefault="00F7725F" w:rsidP="00F7725F">
      <w:pPr>
        <w:rPr>
          <w:rFonts w:cs="Calibri"/>
          <w:szCs w:val="24"/>
        </w:rPr>
      </w:pPr>
    </w:p>
    <w:p w14:paraId="6F450745" w14:textId="1A5E806D" w:rsidR="00462E43" w:rsidRPr="00F7725F" w:rsidRDefault="00462E43" w:rsidP="00F7725F">
      <w:pPr>
        <w:tabs>
          <w:tab w:val="left" w:pos="284"/>
        </w:tabs>
        <w:rPr>
          <w:rFonts w:cstheme="minorHAnsi"/>
          <w:b/>
          <w:noProof/>
          <w:color w:val="000000"/>
          <w:szCs w:val="24"/>
        </w:rPr>
      </w:pPr>
      <w:r w:rsidRPr="00F7725F">
        <w:rPr>
          <w:rFonts w:cstheme="minorHAnsi"/>
          <w:b/>
          <w:noProof/>
          <w:color w:val="000000"/>
          <w:szCs w:val="24"/>
        </w:rPr>
        <w:t>Za těchto podmínek MŠMT nemohlo následně v rámci kontroly vyúčtování ověřovat věcné dodržení projektu a dodržení roz</w:t>
      </w:r>
      <w:r w:rsidR="00A0789C" w:rsidRPr="00F7725F">
        <w:rPr>
          <w:rFonts w:cstheme="minorHAnsi"/>
          <w:b/>
          <w:noProof/>
          <w:color w:val="000000"/>
          <w:szCs w:val="24"/>
        </w:rPr>
        <w:t>p</w:t>
      </w:r>
      <w:r w:rsidRPr="00F7725F">
        <w:rPr>
          <w:rFonts w:cstheme="minorHAnsi"/>
          <w:b/>
          <w:noProof/>
          <w:color w:val="000000"/>
          <w:szCs w:val="24"/>
        </w:rPr>
        <w:t>očtu i jeho jednotlivých položek.</w:t>
      </w:r>
    </w:p>
    <w:p w14:paraId="3A0AECEF" w14:textId="77777777" w:rsidR="00462E43" w:rsidRPr="00F7725F" w:rsidRDefault="00462E43" w:rsidP="00F7725F">
      <w:pPr>
        <w:tabs>
          <w:tab w:val="left" w:pos="284"/>
        </w:tabs>
        <w:rPr>
          <w:rFonts w:cs="Calibri"/>
          <w:szCs w:val="24"/>
        </w:rPr>
      </w:pPr>
    </w:p>
    <w:p w14:paraId="0E91C3BC" w14:textId="493A393B" w:rsidR="002826B8" w:rsidRPr="00F7725F" w:rsidRDefault="000A6378" w:rsidP="00F7725F">
      <w:pPr>
        <w:tabs>
          <w:tab w:val="left" w:pos="284"/>
        </w:tabs>
        <w:rPr>
          <w:rFonts w:cs="Calibri"/>
          <w:szCs w:val="24"/>
        </w:rPr>
      </w:pPr>
      <w:r w:rsidRPr="00F7725F">
        <w:rPr>
          <w:rFonts w:cs="Calibri"/>
          <w:szCs w:val="24"/>
        </w:rPr>
        <w:t>Na vzorku dotací</w:t>
      </w:r>
      <w:r w:rsidR="00B10650" w:rsidRPr="00F7725F">
        <w:rPr>
          <w:rFonts w:cs="Calibri"/>
          <w:szCs w:val="24"/>
        </w:rPr>
        <w:t xml:space="preserve"> kontrolovaných </w:t>
      </w:r>
      <w:r w:rsidRPr="00F7725F">
        <w:rPr>
          <w:rFonts w:cs="Calibri"/>
          <w:szCs w:val="24"/>
        </w:rPr>
        <w:t>NKÚ byla z</w:t>
      </w:r>
      <w:r w:rsidR="002826B8" w:rsidRPr="00F7725F">
        <w:rPr>
          <w:rFonts w:cs="Calibri"/>
          <w:szCs w:val="24"/>
        </w:rPr>
        <w:t> vyúčtov</w:t>
      </w:r>
      <w:r w:rsidR="000E271D" w:rsidRPr="00F7725F">
        <w:rPr>
          <w:rFonts w:cs="Calibri"/>
          <w:szCs w:val="24"/>
        </w:rPr>
        <w:t>ání podpořených projektů, kter</w:t>
      </w:r>
      <w:r w:rsidR="00B10650" w:rsidRPr="00F7725F">
        <w:rPr>
          <w:rFonts w:cs="Calibri"/>
          <w:szCs w:val="24"/>
        </w:rPr>
        <w:t>á</w:t>
      </w:r>
      <w:r w:rsidR="008411D3">
        <w:rPr>
          <w:rFonts w:cs="Calibri"/>
          <w:szCs w:val="24"/>
        </w:rPr>
        <w:t xml:space="preserve"> </w:t>
      </w:r>
      <w:r w:rsidR="002826B8" w:rsidRPr="00F7725F">
        <w:rPr>
          <w:rFonts w:cs="Calibri"/>
          <w:szCs w:val="24"/>
        </w:rPr>
        <w:t>příjemci dotací povinně zasílali MŠMT, patrná řad</w:t>
      </w:r>
      <w:r w:rsidR="00B10650" w:rsidRPr="00F7725F">
        <w:rPr>
          <w:rFonts w:cs="Calibri"/>
          <w:szCs w:val="24"/>
        </w:rPr>
        <w:t xml:space="preserve">a skutečností </w:t>
      </w:r>
      <w:r w:rsidRPr="00F7725F">
        <w:rPr>
          <w:rFonts w:cs="Calibri"/>
          <w:szCs w:val="24"/>
        </w:rPr>
        <w:t>svědč</w:t>
      </w:r>
      <w:r w:rsidR="00B10650" w:rsidRPr="00F7725F">
        <w:rPr>
          <w:rFonts w:cs="Calibri"/>
          <w:szCs w:val="24"/>
        </w:rPr>
        <w:t>ících</w:t>
      </w:r>
      <w:r w:rsidRPr="00F7725F">
        <w:rPr>
          <w:rFonts w:cs="Calibri"/>
          <w:szCs w:val="24"/>
        </w:rPr>
        <w:t xml:space="preserve"> o </w:t>
      </w:r>
      <w:r w:rsidR="002826B8" w:rsidRPr="00F7725F">
        <w:rPr>
          <w:rFonts w:cs="Calibri"/>
          <w:szCs w:val="24"/>
        </w:rPr>
        <w:t>nedodržení podmínek poskytnutí dotace.</w:t>
      </w:r>
    </w:p>
    <w:p w14:paraId="090ECBC2" w14:textId="77777777" w:rsidR="002826B8" w:rsidRPr="00F7725F" w:rsidRDefault="002826B8" w:rsidP="00F7725F">
      <w:pPr>
        <w:tabs>
          <w:tab w:val="left" w:pos="284"/>
        </w:tabs>
        <w:rPr>
          <w:rFonts w:cs="Calibri"/>
          <w:b/>
          <w:szCs w:val="24"/>
        </w:rPr>
      </w:pPr>
    </w:p>
    <w:p w14:paraId="201C3A3C" w14:textId="3936CC2B" w:rsidR="006F7AE7" w:rsidRPr="00F7725F" w:rsidRDefault="00902074" w:rsidP="00F7725F">
      <w:pPr>
        <w:pStyle w:val="Nadpis4"/>
        <w:numPr>
          <w:ilvl w:val="0"/>
          <w:numId w:val="0"/>
        </w:numPr>
        <w:spacing w:after="0"/>
        <w:contextualSpacing w:val="0"/>
      </w:pPr>
      <w:r w:rsidRPr="00F7725F">
        <w:t xml:space="preserve">3.1.1 </w:t>
      </w:r>
      <w:r w:rsidR="006F7AE7" w:rsidRPr="00F7725F">
        <w:t>Neuznatelné náklady</w:t>
      </w:r>
    </w:p>
    <w:p w14:paraId="37E0291E" w14:textId="77777777" w:rsidR="00F7725F" w:rsidRDefault="00F7725F" w:rsidP="00F7725F">
      <w:pPr>
        <w:rPr>
          <w:szCs w:val="24"/>
        </w:rPr>
      </w:pPr>
    </w:p>
    <w:p w14:paraId="28100DB9" w14:textId="208FB33E" w:rsidR="002826B8" w:rsidRPr="00F7725F" w:rsidRDefault="002826B8" w:rsidP="00F7725F">
      <w:pPr>
        <w:rPr>
          <w:szCs w:val="24"/>
        </w:rPr>
      </w:pPr>
      <w:r w:rsidRPr="00F7725F">
        <w:rPr>
          <w:szCs w:val="24"/>
        </w:rPr>
        <w:t xml:space="preserve">MŠMT v rozhodnutích o poskytnutí dotace mj. stanovilo příjemcům lhůtu, </w:t>
      </w:r>
      <w:r w:rsidR="0022221D">
        <w:rPr>
          <w:szCs w:val="24"/>
        </w:rPr>
        <w:t>do kdy</w:t>
      </w:r>
      <w:r w:rsidRPr="00F7725F">
        <w:rPr>
          <w:szCs w:val="24"/>
        </w:rPr>
        <w:t xml:space="preserve"> má být daný projekt realizován, a prostřednictvím podmínek rozhodnut</w:t>
      </w:r>
      <w:r w:rsidR="00FC7CC3" w:rsidRPr="00F7725F">
        <w:rPr>
          <w:szCs w:val="24"/>
        </w:rPr>
        <w:t>í stanovilo také náklady, které</w:t>
      </w:r>
      <w:r w:rsidR="008411D3">
        <w:rPr>
          <w:szCs w:val="24"/>
        </w:rPr>
        <w:t xml:space="preserve"> </w:t>
      </w:r>
      <w:r w:rsidRPr="00F7725F">
        <w:rPr>
          <w:szCs w:val="24"/>
        </w:rPr>
        <w:t>nemohou být z dotace hrazeny. MŠMT přesto bez při</w:t>
      </w:r>
      <w:r w:rsidR="003B0352" w:rsidRPr="00F7725F">
        <w:rPr>
          <w:szCs w:val="24"/>
        </w:rPr>
        <w:t>pomínek akceptovalo případ, kdy</w:t>
      </w:r>
      <w:r w:rsidR="008411D3">
        <w:rPr>
          <w:szCs w:val="24"/>
        </w:rPr>
        <w:t xml:space="preserve"> </w:t>
      </w:r>
      <w:r w:rsidRPr="00F7725F">
        <w:rPr>
          <w:szCs w:val="24"/>
        </w:rPr>
        <w:t xml:space="preserve">příjemce dotace dle vyúčtování zařadil do nákladů </w:t>
      </w:r>
      <w:r w:rsidR="000E271D" w:rsidRPr="00F7725F">
        <w:rPr>
          <w:szCs w:val="24"/>
        </w:rPr>
        <w:t xml:space="preserve">projektu </w:t>
      </w:r>
      <w:r w:rsidRPr="00F7725F">
        <w:rPr>
          <w:szCs w:val="24"/>
        </w:rPr>
        <w:t xml:space="preserve">mzdy </w:t>
      </w:r>
      <w:r w:rsidR="00FC7CC3" w:rsidRPr="00F7725F">
        <w:rPr>
          <w:szCs w:val="24"/>
        </w:rPr>
        <w:t>za prosinec roku 2013, přestože</w:t>
      </w:r>
      <w:r w:rsidR="008411D3">
        <w:rPr>
          <w:szCs w:val="24"/>
        </w:rPr>
        <w:t xml:space="preserve"> </w:t>
      </w:r>
      <w:r w:rsidRPr="00F7725F">
        <w:rPr>
          <w:szCs w:val="24"/>
        </w:rPr>
        <w:t>se jednalo o pr</w:t>
      </w:r>
      <w:r w:rsidR="000E271D" w:rsidRPr="00F7725F">
        <w:rPr>
          <w:szCs w:val="24"/>
        </w:rPr>
        <w:t>ojekt realizovaný od 1. 1. 2014.</w:t>
      </w:r>
      <w:r w:rsidRPr="00F7725F">
        <w:rPr>
          <w:szCs w:val="24"/>
        </w:rPr>
        <w:t xml:space="preserve"> </w:t>
      </w:r>
      <w:r w:rsidR="000E271D" w:rsidRPr="00F7725F">
        <w:rPr>
          <w:szCs w:val="24"/>
        </w:rPr>
        <w:t>Dále NKÚ zjistil</w:t>
      </w:r>
      <w:r w:rsidR="009A36A2" w:rsidRPr="00F7725F">
        <w:rPr>
          <w:szCs w:val="24"/>
        </w:rPr>
        <w:t xml:space="preserve"> dva případy </w:t>
      </w:r>
      <w:r w:rsidR="000A6378" w:rsidRPr="00F7725F">
        <w:rPr>
          <w:szCs w:val="24"/>
        </w:rPr>
        <w:t>příjemců</w:t>
      </w:r>
      <w:r w:rsidR="00E54A8E" w:rsidRPr="00F7725F">
        <w:rPr>
          <w:szCs w:val="24"/>
        </w:rPr>
        <w:t>, kteří</w:t>
      </w:r>
      <w:r w:rsidR="008411D3">
        <w:rPr>
          <w:szCs w:val="24"/>
        </w:rPr>
        <w:t xml:space="preserve"> </w:t>
      </w:r>
      <w:r w:rsidR="009A36A2" w:rsidRPr="00F7725F">
        <w:rPr>
          <w:szCs w:val="24"/>
        </w:rPr>
        <w:t>z prostředků dotace</w:t>
      </w:r>
      <w:r w:rsidRPr="00F7725F">
        <w:rPr>
          <w:szCs w:val="24"/>
        </w:rPr>
        <w:t xml:space="preserve"> uhra</w:t>
      </w:r>
      <w:r w:rsidR="009A36A2" w:rsidRPr="00F7725F">
        <w:rPr>
          <w:szCs w:val="24"/>
        </w:rPr>
        <w:t>dili</w:t>
      </w:r>
      <w:r w:rsidRPr="00F7725F">
        <w:rPr>
          <w:szCs w:val="24"/>
        </w:rPr>
        <w:t xml:space="preserve"> pohoštění, přestože to podmínky přidělení dotace výslovně zakazovaly.</w:t>
      </w:r>
      <w:r w:rsidR="00F7725F">
        <w:rPr>
          <w:szCs w:val="24"/>
        </w:rPr>
        <w:t xml:space="preserve"> </w:t>
      </w:r>
      <w:r w:rsidRPr="00F7725F">
        <w:rPr>
          <w:szCs w:val="24"/>
        </w:rPr>
        <w:t>MŠMT tak nerozporova</w:t>
      </w:r>
      <w:r w:rsidR="006977C6" w:rsidRPr="00F7725F">
        <w:rPr>
          <w:szCs w:val="24"/>
        </w:rPr>
        <w:t>lo neoprávněné použití více než</w:t>
      </w:r>
      <w:r w:rsidR="008411D3">
        <w:rPr>
          <w:szCs w:val="24"/>
        </w:rPr>
        <w:t xml:space="preserve"> </w:t>
      </w:r>
      <w:r w:rsidR="005139DA" w:rsidRPr="00F7725F">
        <w:rPr>
          <w:szCs w:val="24"/>
        </w:rPr>
        <w:t>100 </w:t>
      </w:r>
      <w:r w:rsidR="00B559B4" w:rsidRPr="00F7725F">
        <w:rPr>
          <w:szCs w:val="24"/>
        </w:rPr>
        <w:t>tis. </w:t>
      </w:r>
      <w:r w:rsidRPr="00F7725F">
        <w:rPr>
          <w:szCs w:val="24"/>
        </w:rPr>
        <w:t>Kč z dotací.</w:t>
      </w:r>
    </w:p>
    <w:p w14:paraId="0AEB363F" w14:textId="77777777" w:rsidR="002826B8" w:rsidRPr="00F7725F" w:rsidRDefault="002826B8" w:rsidP="00F7725F">
      <w:pPr>
        <w:rPr>
          <w:szCs w:val="24"/>
        </w:rPr>
      </w:pPr>
    </w:p>
    <w:p w14:paraId="57C16CE5" w14:textId="513EE620" w:rsidR="006F7AE7" w:rsidRPr="00F7725F" w:rsidRDefault="00902074" w:rsidP="00F7725F">
      <w:pPr>
        <w:pStyle w:val="Nadpis4"/>
        <w:numPr>
          <w:ilvl w:val="0"/>
          <w:numId w:val="0"/>
        </w:numPr>
        <w:spacing w:after="0"/>
        <w:contextualSpacing w:val="0"/>
      </w:pPr>
      <w:r w:rsidRPr="00F7725F">
        <w:t xml:space="preserve">3.1.2 </w:t>
      </w:r>
      <w:r w:rsidR="005139DA" w:rsidRPr="00F7725F">
        <w:t>Nedodržení rozpočtu</w:t>
      </w:r>
    </w:p>
    <w:p w14:paraId="5E27CDC3" w14:textId="77777777" w:rsidR="00F7725F" w:rsidRDefault="00F7725F" w:rsidP="00F7725F">
      <w:pPr>
        <w:rPr>
          <w:szCs w:val="24"/>
        </w:rPr>
      </w:pPr>
    </w:p>
    <w:p w14:paraId="3EA1C01D" w14:textId="4F50D4CE" w:rsidR="002826B8" w:rsidRPr="00F7725F" w:rsidRDefault="002826B8" w:rsidP="00F7725F">
      <w:pPr>
        <w:rPr>
          <w:szCs w:val="24"/>
        </w:rPr>
      </w:pPr>
      <w:r w:rsidRPr="00F7725F">
        <w:rPr>
          <w:szCs w:val="24"/>
        </w:rPr>
        <w:t>MŠMT v rozhodnutích o poskytnutí dotace stanovilo ve</w:t>
      </w:r>
      <w:r w:rsidR="00C53892" w:rsidRPr="00F7725F">
        <w:rPr>
          <w:szCs w:val="24"/>
        </w:rPr>
        <w:t>dle částky dotace také celkový finanční rámec</w:t>
      </w:r>
      <w:r w:rsidRPr="00F7725F">
        <w:rPr>
          <w:szCs w:val="24"/>
        </w:rPr>
        <w:t xml:space="preserve"> podpořeného projektu, resp. procento celkových nákladů, které má tvořit dotace. V podmínkách rozhodnutí o poskytnutí dotace dále stanovilo, že se příjemci dotací nesmí odchýlit od projektu</w:t>
      </w:r>
      <w:r w:rsidR="00D64DE3" w:rsidRPr="00F7725F">
        <w:rPr>
          <w:szCs w:val="24"/>
        </w:rPr>
        <w:t xml:space="preserve"> a</w:t>
      </w:r>
      <w:r w:rsidRPr="00F7725F">
        <w:rPr>
          <w:szCs w:val="24"/>
        </w:rPr>
        <w:t xml:space="preserve"> jeho rozpočtu bez schvál</w:t>
      </w:r>
      <w:r w:rsidR="003B0352" w:rsidRPr="00F7725F">
        <w:rPr>
          <w:szCs w:val="24"/>
        </w:rPr>
        <w:t>ení MŠMT</w:t>
      </w:r>
      <w:r w:rsidR="005A770C" w:rsidRPr="00F7725F">
        <w:rPr>
          <w:szCs w:val="24"/>
        </w:rPr>
        <w:t>. V</w:t>
      </w:r>
      <w:r w:rsidR="003B0352" w:rsidRPr="00F7725F">
        <w:rPr>
          <w:szCs w:val="24"/>
        </w:rPr>
        <w:t xml:space="preserve"> rámci postupu pro</w:t>
      </w:r>
      <w:r w:rsidR="007F2E68">
        <w:rPr>
          <w:szCs w:val="24"/>
        </w:rPr>
        <w:t xml:space="preserve"> </w:t>
      </w:r>
      <w:r w:rsidRPr="00F7725F">
        <w:rPr>
          <w:szCs w:val="24"/>
        </w:rPr>
        <w:t xml:space="preserve">vyúčtování MŠMT dále upřesnilo výši možných odchylek, o které se mohou lišit jednotlivé položky konečného rozpočtu předkládaného v rámci vyúčtování od </w:t>
      </w:r>
      <w:r w:rsidR="00C53892" w:rsidRPr="00F7725F">
        <w:rPr>
          <w:szCs w:val="24"/>
        </w:rPr>
        <w:t xml:space="preserve">jejich </w:t>
      </w:r>
      <w:r w:rsidRPr="00F7725F">
        <w:rPr>
          <w:szCs w:val="24"/>
        </w:rPr>
        <w:t>schválené</w:t>
      </w:r>
      <w:r w:rsidR="00C53892" w:rsidRPr="00F7725F">
        <w:rPr>
          <w:szCs w:val="24"/>
        </w:rPr>
        <w:t xml:space="preserve"> výše</w:t>
      </w:r>
      <w:r w:rsidRPr="00F7725F">
        <w:rPr>
          <w:szCs w:val="24"/>
        </w:rPr>
        <w:t>. MŠMT pře</w:t>
      </w:r>
      <w:r w:rsidR="0003105F" w:rsidRPr="00F7725F">
        <w:rPr>
          <w:szCs w:val="24"/>
        </w:rPr>
        <w:t>sto</w:t>
      </w:r>
      <w:r w:rsidR="008411D3">
        <w:rPr>
          <w:szCs w:val="24"/>
        </w:rPr>
        <w:t xml:space="preserve"> </w:t>
      </w:r>
      <w:r w:rsidR="00223E77" w:rsidRPr="00F7725F">
        <w:rPr>
          <w:szCs w:val="24"/>
        </w:rPr>
        <w:t>bez připomínek akceptovalo čtyři</w:t>
      </w:r>
      <w:r w:rsidRPr="00F7725F">
        <w:rPr>
          <w:szCs w:val="24"/>
        </w:rPr>
        <w:t xml:space="preserve"> vyúčtování</w:t>
      </w:r>
      <w:r w:rsidR="00F63043" w:rsidRPr="00F7725F">
        <w:rPr>
          <w:szCs w:val="24"/>
        </w:rPr>
        <w:t xml:space="preserve"> z kontrolovaného vzorku, ze</w:t>
      </w:r>
      <w:r w:rsidR="008411D3">
        <w:rPr>
          <w:szCs w:val="24"/>
        </w:rPr>
        <w:t xml:space="preserve"> </w:t>
      </w:r>
      <w:r w:rsidR="00F63043" w:rsidRPr="00F7725F">
        <w:rPr>
          <w:szCs w:val="24"/>
        </w:rPr>
        <w:t>kterých</w:t>
      </w:r>
      <w:r w:rsidR="008411D3">
        <w:rPr>
          <w:szCs w:val="24"/>
        </w:rPr>
        <w:t xml:space="preserve"> </w:t>
      </w:r>
      <w:r w:rsidRPr="00F7725F">
        <w:rPr>
          <w:szCs w:val="24"/>
        </w:rPr>
        <w:t>bylo patrné, že příjemci nedodrželi stanovený celko</w:t>
      </w:r>
      <w:r w:rsidR="00223E77" w:rsidRPr="00F7725F">
        <w:rPr>
          <w:szCs w:val="24"/>
        </w:rPr>
        <w:t>vý rozpočet projektu. Celkem v devíti</w:t>
      </w:r>
      <w:r w:rsidRPr="00F7725F">
        <w:rPr>
          <w:szCs w:val="24"/>
        </w:rPr>
        <w:t xml:space="preserve"> případech se konečný rozpočet projektu předložený ve vyúčtování neshodoval v jednotlivých položkách se schváleným ani při zohlednění možných od</w:t>
      </w:r>
      <w:r w:rsidR="00AE57C6" w:rsidRPr="00F7725F">
        <w:rPr>
          <w:szCs w:val="24"/>
        </w:rPr>
        <w:t>chylek. Přestože ani v jednom z </w:t>
      </w:r>
      <w:r w:rsidRPr="00F7725F">
        <w:rPr>
          <w:szCs w:val="24"/>
        </w:rPr>
        <w:t xml:space="preserve">uvedených případů příjemci dotací nežádali MŠMT o povolení úprav celkových nákladů </w:t>
      </w:r>
      <w:r w:rsidR="00AE57C6" w:rsidRPr="00F7725F">
        <w:rPr>
          <w:szCs w:val="24"/>
        </w:rPr>
        <w:t>či </w:t>
      </w:r>
      <w:r w:rsidRPr="00F7725F">
        <w:rPr>
          <w:szCs w:val="24"/>
        </w:rPr>
        <w:t>jednotlivých položek schválených rozpočtů a podmínky poskytnutí dotace nedodrželi, MŠMT</w:t>
      </w:r>
      <w:r w:rsidR="003B0352" w:rsidRPr="00F7725F">
        <w:rPr>
          <w:szCs w:val="24"/>
        </w:rPr>
        <w:t xml:space="preserve"> vyúčtování bez</w:t>
      </w:r>
      <w:r w:rsidR="008411D3">
        <w:rPr>
          <w:szCs w:val="24"/>
        </w:rPr>
        <w:t xml:space="preserve"> </w:t>
      </w:r>
      <w:r w:rsidRPr="00F7725F">
        <w:rPr>
          <w:szCs w:val="24"/>
        </w:rPr>
        <w:t>připomínek akceptovalo.</w:t>
      </w:r>
    </w:p>
    <w:p w14:paraId="5E53ECFA" w14:textId="77777777" w:rsidR="002826B8" w:rsidRPr="00F7725F" w:rsidRDefault="002826B8" w:rsidP="00F7725F">
      <w:pPr>
        <w:rPr>
          <w:szCs w:val="24"/>
        </w:rPr>
      </w:pPr>
    </w:p>
    <w:p w14:paraId="07B77060" w14:textId="2F49EDA0" w:rsidR="006F7AE7" w:rsidRPr="00F7725F" w:rsidRDefault="00902074" w:rsidP="00F7725F">
      <w:pPr>
        <w:pStyle w:val="Nadpis4"/>
        <w:numPr>
          <w:ilvl w:val="0"/>
          <w:numId w:val="0"/>
        </w:numPr>
        <w:spacing w:after="0"/>
        <w:contextualSpacing w:val="0"/>
      </w:pPr>
      <w:r w:rsidRPr="00F7725F">
        <w:t xml:space="preserve">3.1.3 </w:t>
      </w:r>
      <w:r w:rsidR="00C53892" w:rsidRPr="00F7725F">
        <w:t>Neúplná a chybná</w:t>
      </w:r>
      <w:r w:rsidR="006F7AE7" w:rsidRPr="00F7725F">
        <w:t xml:space="preserve"> vyúčtování</w:t>
      </w:r>
    </w:p>
    <w:p w14:paraId="4A2A1DED" w14:textId="77777777" w:rsidR="00F7725F" w:rsidRDefault="00F7725F" w:rsidP="00F7725F">
      <w:pPr>
        <w:rPr>
          <w:szCs w:val="24"/>
        </w:rPr>
      </w:pPr>
    </w:p>
    <w:p w14:paraId="1180F220" w14:textId="39CC46C9" w:rsidR="002826B8" w:rsidRPr="00F7725F" w:rsidRDefault="002826B8" w:rsidP="00F7725F">
      <w:pPr>
        <w:rPr>
          <w:szCs w:val="24"/>
        </w:rPr>
      </w:pPr>
      <w:r w:rsidRPr="00F7725F">
        <w:rPr>
          <w:szCs w:val="24"/>
        </w:rPr>
        <w:t>Pro vyúčtování projektů měl</w:t>
      </w:r>
      <w:r w:rsidR="005808B1" w:rsidRPr="00F7725F">
        <w:rPr>
          <w:szCs w:val="24"/>
        </w:rPr>
        <w:t>i příjemci dotací v letech 2014–</w:t>
      </w:r>
      <w:r w:rsidRPr="00F7725F">
        <w:rPr>
          <w:szCs w:val="24"/>
        </w:rPr>
        <w:t>2016 využívat standardizované formuláře, které MŠMT zveřejňovalo n</w:t>
      </w:r>
      <w:r w:rsidR="006F7AE7" w:rsidRPr="00F7725F">
        <w:rPr>
          <w:szCs w:val="24"/>
        </w:rPr>
        <w:t>a svých internetových stránkách.</w:t>
      </w:r>
      <w:r w:rsidRPr="00F7725F">
        <w:rPr>
          <w:szCs w:val="24"/>
        </w:rPr>
        <w:t xml:space="preserve"> </w:t>
      </w:r>
      <w:r w:rsidR="006F7AE7" w:rsidRPr="00F7725F">
        <w:rPr>
          <w:szCs w:val="24"/>
        </w:rPr>
        <w:t>P</w:t>
      </w:r>
      <w:r w:rsidRPr="00F7725F">
        <w:rPr>
          <w:szCs w:val="24"/>
        </w:rPr>
        <w:t xml:space="preserve">ovinnou součástí </w:t>
      </w:r>
      <w:r w:rsidRPr="00F7725F">
        <w:rPr>
          <w:szCs w:val="24"/>
        </w:rPr>
        <w:lastRenderedPageBreak/>
        <w:t xml:space="preserve">vyúčtování byla také závěrečná zpráva zahrnující věcné zhodnocení realizace projektu. V letech 2015 a 2016 MŠMT spolu s formuláři pro vyúčtování zveřejnilo také podrobný postup pro jejich vyplnění. </w:t>
      </w:r>
      <w:r w:rsidR="005A770C" w:rsidRPr="00F7725F">
        <w:rPr>
          <w:szCs w:val="24"/>
        </w:rPr>
        <w:t xml:space="preserve">MŠMT nepožadovalo po příjemcích účetní doklady související s realizací projektu, resp. využitím dotace, ale pouze jejich přehledy na stanovených formulářích. </w:t>
      </w:r>
      <w:r w:rsidRPr="00F7725F">
        <w:rPr>
          <w:szCs w:val="24"/>
        </w:rPr>
        <w:t>MŠMT při vyúčtování dotací poskytnutých na roky 2015 a 2016 v </w:t>
      </w:r>
      <w:r w:rsidR="00223E77" w:rsidRPr="00F7725F">
        <w:rPr>
          <w:szCs w:val="24"/>
        </w:rPr>
        <w:t>pěti</w:t>
      </w:r>
      <w:r w:rsidRPr="00F7725F">
        <w:rPr>
          <w:szCs w:val="24"/>
        </w:rPr>
        <w:t xml:space="preserve"> případech </w:t>
      </w:r>
      <w:r w:rsidR="00F63043" w:rsidRPr="00F7725F">
        <w:rPr>
          <w:szCs w:val="24"/>
        </w:rPr>
        <w:t xml:space="preserve">z kontrolovaného vzorku </w:t>
      </w:r>
      <w:r w:rsidRPr="00F7725F">
        <w:rPr>
          <w:szCs w:val="24"/>
        </w:rPr>
        <w:t>akceptov</w:t>
      </w:r>
      <w:r w:rsidR="00B10650" w:rsidRPr="00F7725F">
        <w:rPr>
          <w:szCs w:val="24"/>
        </w:rPr>
        <w:t>alo neúplná a chybná vyúčtování.</w:t>
      </w:r>
      <w:r w:rsidR="00A5091B" w:rsidRPr="00F7725F">
        <w:rPr>
          <w:szCs w:val="24"/>
        </w:rPr>
        <w:t xml:space="preserve"> Ve třech</w:t>
      </w:r>
      <w:r w:rsidRPr="00F7725F">
        <w:rPr>
          <w:szCs w:val="24"/>
        </w:rPr>
        <w:t xml:space="preserve"> případech bez</w:t>
      </w:r>
      <w:r w:rsidR="007F2E68">
        <w:rPr>
          <w:szCs w:val="24"/>
        </w:rPr>
        <w:t xml:space="preserve"> </w:t>
      </w:r>
      <w:r w:rsidRPr="00F7725F">
        <w:rPr>
          <w:szCs w:val="24"/>
        </w:rPr>
        <w:t>připomínek akceptovalo závěrečné zprávy</w:t>
      </w:r>
      <w:r w:rsidR="001053E8" w:rsidRPr="00F7725F">
        <w:rPr>
          <w:szCs w:val="24"/>
        </w:rPr>
        <w:t>, které s realizovanými projekty</w:t>
      </w:r>
      <w:r w:rsidRPr="00F7725F">
        <w:rPr>
          <w:szCs w:val="24"/>
        </w:rPr>
        <w:t xml:space="preserve"> nesouvisely</w:t>
      </w:r>
      <w:r w:rsidR="000E271D" w:rsidRPr="00F7725F">
        <w:rPr>
          <w:szCs w:val="24"/>
        </w:rPr>
        <w:t>.</w:t>
      </w:r>
      <w:r w:rsidR="0054276A" w:rsidRPr="00F7725F">
        <w:rPr>
          <w:noProof/>
          <w:szCs w:val="24"/>
        </w:rPr>
        <w:t xml:space="preserve"> </w:t>
      </w:r>
    </w:p>
    <w:p w14:paraId="2C8D71B3" w14:textId="77777777" w:rsidR="00D54AA7" w:rsidRPr="00F7725F" w:rsidRDefault="00D54AA7" w:rsidP="00F7725F">
      <w:pPr>
        <w:rPr>
          <w:szCs w:val="24"/>
        </w:rPr>
      </w:pPr>
    </w:p>
    <w:p w14:paraId="66187356" w14:textId="6DA6B2DD" w:rsidR="009073EE" w:rsidRPr="00F7725F" w:rsidRDefault="009073EE" w:rsidP="00F7725F">
      <w:pPr>
        <w:rPr>
          <w:rFonts w:cs="Calibri"/>
          <w:b/>
          <w:szCs w:val="24"/>
        </w:rPr>
      </w:pPr>
      <w:r w:rsidRPr="00F7725F">
        <w:rPr>
          <w:rFonts w:cs="Calibri"/>
          <w:szCs w:val="24"/>
        </w:rPr>
        <w:t xml:space="preserve">Z vyúčtování projektů bylo patrné, že někteří příjemci </w:t>
      </w:r>
      <w:r w:rsidR="007F2E68" w:rsidRPr="00F7725F">
        <w:rPr>
          <w:szCs w:val="24"/>
        </w:rPr>
        <w:t xml:space="preserve">nedodrželi </w:t>
      </w:r>
      <w:r w:rsidRPr="00F7725F">
        <w:rPr>
          <w:szCs w:val="24"/>
        </w:rPr>
        <w:t>podmínky poskytnutí dotace. MŠMT je přesto nevyzvalo k nápravě či vrácení dotace nebo její části, ani</w:t>
      </w:r>
      <w:r w:rsidR="007F2E68">
        <w:rPr>
          <w:szCs w:val="24"/>
        </w:rPr>
        <w:t xml:space="preserve"> </w:t>
      </w:r>
      <w:r w:rsidRPr="00F7725F">
        <w:rPr>
          <w:szCs w:val="24"/>
        </w:rPr>
        <w:t>neinformovalo příslušný finanční úřad. Přes</w:t>
      </w:r>
      <w:r w:rsidR="007F2E68">
        <w:rPr>
          <w:szCs w:val="24"/>
        </w:rPr>
        <w:t xml:space="preserve"> </w:t>
      </w:r>
      <w:r w:rsidRPr="00F7725F">
        <w:rPr>
          <w:szCs w:val="24"/>
        </w:rPr>
        <w:t xml:space="preserve">uvedené vady byla vyúčtování MŠMT přijata a odsouhlasena. </w:t>
      </w:r>
      <w:r w:rsidRPr="00F7725F">
        <w:rPr>
          <w:b/>
          <w:szCs w:val="24"/>
        </w:rPr>
        <w:t>MŠMT tak akceptovalo porušení podmínek poskytn</w:t>
      </w:r>
      <w:r w:rsidR="001053E8" w:rsidRPr="00F7725F">
        <w:rPr>
          <w:b/>
          <w:szCs w:val="24"/>
        </w:rPr>
        <w:t>utí dotace ze strany příjemců</w:t>
      </w:r>
      <w:r w:rsidRPr="00F7725F">
        <w:rPr>
          <w:b/>
          <w:szCs w:val="24"/>
        </w:rPr>
        <w:t xml:space="preserve"> a nevyvodilo z nich patřičné důsledky.</w:t>
      </w:r>
      <w:r w:rsidRPr="00F7725F">
        <w:rPr>
          <w:rFonts w:cs="Calibri"/>
          <w:b/>
          <w:szCs w:val="24"/>
        </w:rPr>
        <w:t xml:space="preserve"> </w:t>
      </w:r>
      <w:r w:rsidR="00462E43" w:rsidRPr="00F7725F">
        <w:rPr>
          <w:rFonts w:cstheme="minorHAnsi"/>
          <w:b/>
          <w:noProof/>
          <w:color w:val="000000"/>
          <w:szCs w:val="24"/>
        </w:rPr>
        <w:t>Vzhledem k množství pochybení ve vyúčtování je prokazatelné, že MŠMT kontrolu vyúčtování provádělo nedůsledně.</w:t>
      </w:r>
      <w:r w:rsidR="00462E43" w:rsidRPr="00F7725F">
        <w:rPr>
          <w:rFonts w:cs="Calibri"/>
          <w:b/>
          <w:szCs w:val="24"/>
        </w:rPr>
        <w:t xml:space="preserve"> </w:t>
      </w:r>
      <w:r w:rsidR="001409EA" w:rsidRPr="00F7725F">
        <w:rPr>
          <w:rFonts w:cs="Calibri"/>
          <w:b/>
          <w:szCs w:val="24"/>
        </w:rPr>
        <w:t>MŠMT tak nepostupovalo podle zákona</w:t>
      </w:r>
      <w:r w:rsidR="001409EA" w:rsidRPr="00F7725F">
        <w:rPr>
          <w:rStyle w:val="Znakapoznpodarou"/>
          <w:b/>
          <w:szCs w:val="24"/>
        </w:rPr>
        <w:footnoteReference w:id="12"/>
      </w:r>
      <w:r w:rsidR="001409EA" w:rsidRPr="00F7725F">
        <w:rPr>
          <w:rFonts w:cs="Calibri"/>
          <w:b/>
          <w:szCs w:val="24"/>
        </w:rPr>
        <w:t xml:space="preserve"> a současně</w:t>
      </w:r>
      <w:r w:rsidRPr="00F7725F">
        <w:rPr>
          <w:b/>
          <w:szCs w:val="24"/>
        </w:rPr>
        <w:t xml:space="preserve"> vytvářelo nerovné podmínky pro</w:t>
      </w:r>
      <w:r w:rsidR="007F2E68">
        <w:rPr>
          <w:b/>
          <w:szCs w:val="24"/>
        </w:rPr>
        <w:t xml:space="preserve"> </w:t>
      </w:r>
      <w:r w:rsidRPr="00F7725F">
        <w:rPr>
          <w:b/>
          <w:szCs w:val="24"/>
        </w:rPr>
        <w:t>příjemce dotací.</w:t>
      </w:r>
    </w:p>
    <w:p w14:paraId="530D9D2E" w14:textId="77777777" w:rsidR="009073EE" w:rsidRPr="00F7725F" w:rsidRDefault="009073EE" w:rsidP="00F7725F">
      <w:pPr>
        <w:rPr>
          <w:szCs w:val="24"/>
        </w:rPr>
      </w:pPr>
    </w:p>
    <w:p w14:paraId="4C53DFFA" w14:textId="387C1A65" w:rsidR="009073EE" w:rsidRPr="00F7725F" w:rsidRDefault="009073EE" w:rsidP="00F7725F">
      <w:pPr>
        <w:rPr>
          <w:rFonts w:cs="Calibri"/>
          <w:szCs w:val="24"/>
        </w:rPr>
      </w:pPr>
      <w:r w:rsidRPr="00F7725F">
        <w:rPr>
          <w:b/>
          <w:szCs w:val="24"/>
        </w:rPr>
        <w:t>Na MŠMT nefungoval v letech 2014</w:t>
      </w:r>
      <w:r w:rsidR="007F2E68">
        <w:rPr>
          <w:b/>
          <w:szCs w:val="24"/>
        </w:rPr>
        <w:t>–</w:t>
      </w:r>
      <w:r w:rsidRPr="00F7725F">
        <w:rPr>
          <w:b/>
          <w:szCs w:val="24"/>
        </w:rPr>
        <w:t>2016 v oblasti poskytování dotací pro NNO na podporu práce s dětmi a mládeží vnitřní kontrolní systém</w:t>
      </w:r>
      <w:r w:rsidRPr="00F7725F">
        <w:rPr>
          <w:rStyle w:val="Znakapoznpodarou"/>
          <w:b/>
          <w:szCs w:val="24"/>
        </w:rPr>
        <w:footnoteReference w:id="13"/>
      </w:r>
      <w:r w:rsidRPr="00F7725F">
        <w:rPr>
          <w:b/>
          <w:szCs w:val="24"/>
        </w:rPr>
        <w:t>, když při provádění následné říd</w:t>
      </w:r>
      <w:r w:rsidR="007F2E68">
        <w:rPr>
          <w:b/>
          <w:szCs w:val="24"/>
        </w:rPr>
        <w:t>i</w:t>
      </w:r>
      <w:r w:rsidRPr="00F7725F">
        <w:rPr>
          <w:b/>
          <w:szCs w:val="24"/>
        </w:rPr>
        <w:t>cí kontroly nedetekoval nedostatky zjištěné kontrolou NKÚ.</w:t>
      </w:r>
    </w:p>
    <w:p w14:paraId="3EB4ABA4" w14:textId="77777777" w:rsidR="002826B8" w:rsidRPr="00F7725F" w:rsidRDefault="002826B8" w:rsidP="00F7725F">
      <w:pPr>
        <w:rPr>
          <w:rFonts w:cs="Calibri"/>
          <w:szCs w:val="24"/>
        </w:rPr>
      </w:pPr>
    </w:p>
    <w:p w14:paraId="34298646" w14:textId="6025F318" w:rsidR="002826B8" w:rsidRPr="00F7725F" w:rsidRDefault="00902074" w:rsidP="00F7725F">
      <w:pPr>
        <w:pStyle w:val="Nadpis3"/>
        <w:numPr>
          <w:ilvl w:val="0"/>
          <w:numId w:val="0"/>
        </w:numPr>
        <w:spacing w:after="0"/>
        <w:ind w:left="-6"/>
        <w:rPr>
          <w:sz w:val="24"/>
          <w:szCs w:val="24"/>
        </w:rPr>
      </w:pPr>
      <w:r w:rsidRPr="00F7725F">
        <w:rPr>
          <w:sz w:val="24"/>
          <w:szCs w:val="24"/>
        </w:rPr>
        <w:t xml:space="preserve">3.2 </w:t>
      </w:r>
      <w:r w:rsidR="002826B8" w:rsidRPr="00F7725F">
        <w:rPr>
          <w:sz w:val="24"/>
          <w:szCs w:val="24"/>
        </w:rPr>
        <w:t>Kontrola MŠMT u příjemců</w:t>
      </w:r>
    </w:p>
    <w:p w14:paraId="317D149F" w14:textId="77777777" w:rsidR="00F7725F" w:rsidRDefault="00F7725F" w:rsidP="00F7725F">
      <w:pPr>
        <w:rPr>
          <w:rFonts w:cs="Calibri"/>
          <w:szCs w:val="24"/>
        </w:rPr>
      </w:pPr>
    </w:p>
    <w:p w14:paraId="38110126" w14:textId="7E7C576F" w:rsidR="002826B8" w:rsidRPr="00F7725F" w:rsidRDefault="00D22830" w:rsidP="00F7725F">
      <w:pPr>
        <w:rPr>
          <w:rFonts w:cs="Calibri"/>
          <w:szCs w:val="24"/>
        </w:rPr>
      </w:pPr>
      <w:r w:rsidRPr="00F7725F">
        <w:rPr>
          <w:rFonts w:cs="Calibri"/>
          <w:szCs w:val="24"/>
        </w:rPr>
        <w:t>P</w:t>
      </w:r>
      <w:r w:rsidR="002826B8" w:rsidRPr="00F7725F">
        <w:rPr>
          <w:rFonts w:cs="Calibri"/>
          <w:szCs w:val="24"/>
        </w:rPr>
        <w:t>říjemci</w:t>
      </w:r>
      <w:r w:rsidR="006F7AE7" w:rsidRPr="00F7725F">
        <w:rPr>
          <w:rFonts w:cs="Calibri"/>
          <w:szCs w:val="24"/>
        </w:rPr>
        <w:t xml:space="preserve"> měli</w:t>
      </w:r>
      <w:r w:rsidR="002826B8" w:rsidRPr="00F7725F">
        <w:rPr>
          <w:rFonts w:cs="Calibri"/>
          <w:szCs w:val="24"/>
        </w:rPr>
        <w:t xml:space="preserve"> povinnost ve vyúčtování předložit pouze soupis výdajů</w:t>
      </w:r>
      <w:r w:rsidRPr="00F7725F">
        <w:rPr>
          <w:rFonts w:cs="Calibri"/>
          <w:szCs w:val="24"/>
        </w:rPr>
        <w:t xml:space="preserve"> na</w:t>
      </w:r>
      <w:r w:rsidR="007F2E68">
        <w:rPr>
          <w:rFonts w:cs="Calibri"/>
          <w:szCs w:val="24"/>
        </w:rPr>
        <w:t xml:space="preserve"> </w:t>
      </w:r>
      <w:r w:rsidRPr="00F7725F">
        <w:rPr>
          <w:rFonts w:cs="Calibri"/>
          <w:szCs w:val="24"/>
        </w:rPr>
        <w:t>projekt s identifikací těch, které byly hrazeny</w:t>
      </w:r>
      <w:r w:rsidR="002826B8" w:rsidRPr="00F7725F">
        <w:rPr>
          <w:rFonts w:cs="Calibri"/>
          <w:szCs w:val="24"/>
        </w:rPr>
        <w:t xml:space="preserve"> z</w:t>
      </w:r>
      <w:r w:rsidRPr="00F7725F">
        <w:rPr>
          <w:rFonts w:cs="Calibri"/>
          <w:szCs w:val="24"/>
        </w:rPr>
        <w:t> </w:t>
      </w:r>
      <w:r w:rsidR="002826B8" w:rsidRPr="00F7725F">
        <w:rPr>
          <w:rFonts w:cs="Calibri"/>
          <w:szCs w:val="24"/>
        </w:rPr>
        <w:t>dotace</w:t>
      </w:r>
      <w:r w:rsidRPr="00F7725F">
        <w:rPr>
          <w:rFonts w:cs="Calibri"/>
          <w:szCs w:val="24"/>
        </w:rPr>
        <w:t>. P</w:t>
      </w:r>
      <w:r w:rsidR="002826B8" w:rsidRPr="00F7725F">
        <w:rPr>
          <w:rFonts w:cs="Calibri"/>
          <w:szCs w:val="24"/>
        </w:rPr>
        <w:t xml:space="preserve">ro MŠMT </w:t>
      </w:r>
      <w:r w:rsidRPr="00F7725F">
        <w:rPr>
          <w:rFonts w:cs="Calibri"/>
          <w:szCs w:val="24"/>
        </w:rPr>
        <w:t xml:space="preserve">tak byla </w:t>
      </w:r>
      <w:r w:rsidR="002826B8" w:rsidRPr="00F7725F">
        <w:rPr>
          <w:rFonts w:cs="Calibri"/>
          <w:szCs w:val="24"/>
        </w:rPr>
        <w:t>jedinou možností ověření</w:t>
      </w:r>
      <w:r w:rsidRPr="00F7725F">
        <w:rPr>
          <w:rFonts w:cs="Calibri"/>
          <w:szCs w:val="24"/>
        </w:rPr>
        <w:t xml:space="preserve"> využití prostředků dotace </w:t>
      </w:r>
      <w:r w:rsidR="002826B8" w:rsidRPr="00F7725F">
        <w:rPr>
          <w:rFonts w:cs="Calibri"/>
          <w:szCs w:val="24"/>
        </w:rPr>
        <w:t>kontrola přímo u příjemce.</w:t>
      </w:r>
    </w:p>
    <w:p w14:paraId="3D731B0F" w14:textId="77777777" w:rsidR="00902074" w:rsidRPr="00F7725F" w:rsidRDefault="00902074" w:rsidP="00F7725F">
      <w:pPr>
        <w:rPr>
          <w:rFonts w:cs="Calibri"/>
          <w:szCs w:val="24"/>
        </w:rPr>
      </w:pPr>
    </w:p>
    <w:p w14:paraId="7F65E0D9" w14:textId="55A69D40" w:rsidR="002826B8" w:rsidRPr="00F7725F" w:rsidRDefault="005808B1" w:rsidP="00F7725F">
      <w:pPr>
        <w:rPr>
          <w:szCs w:val="24"/>
        </w:rPr>
      </w:pPr>
      <w:r w:rsidRPr="00F7725F">
        <w:rPr>
          <w:szCs w:val="24"/>
        </w:rPr>
        <w:t>V letech 2014–</w:t>
      </w:r>
      <w:r w:rsidR="002826B8" w:rsidRPr="00F7725F">
        <w:rPr>
          <w:szCs w:val="24"/>
        </w:rPr>
        <w:t>2016 provedlo MŠMT veřejnosprávní kontrol</w:t>
      </w:r>
      <w:r w:rsidR="00261B7C" w:rsidRPr="00F7725F">
        <w:rPr>
          <w:szCs w:val="24"/>
        </w:rPr>
        <w:t>u 41 příjemců dotací, u kterých</w:t>
      </w:r>
      <w:r w:rsidR="008411D3">
        <w:rPr>
          <w:szCs w:val="24"/>
        </w:rPr>
        <w:t xml:space="preserve"> </w:t>
      </w:r>
      <w:r w:rsidR="002826B8" w:rsidRPr="00F7725F">
        <w:rPr>
          <w:szCs w:val="24"/>
        </w:rPr>
        <w:t xml:space="preserve">prověřilo celkem 48 projektů, na které bylo </w:t>
      </w:r>
      <w:r w:rsidR="0064054A" w:rsidRPr="00F7725F">
        <w:rPr>
          <w:szCs w:val="24"/>
        </w:rPr>
        <w:t>v letech</w:t>
      </w:r>
      <w:r w:rsidR="00065CCB" w:rsidRPr="00F7725F">
        <w:rPr>
          <w:szCs w:val="24"/>
        </w:rPr>
        <w:t xml:space="preserve"> 2013–</w:t>
      </w:r>
      <w:r w:rsidR="0064054A" w:rsidRPr="00F7725F">
        <w:rPr>
          <w:szCs w:val="24"/>
        </w:rPr>
        <w:t xml:space="preserve">2016 </w:t>
      </w:r>
      <w:r w:rsidR="002826B8" w:rsidRPr="00F7725F">
        <w:rPr>
          <w:szCs w:val="24"/>
        </w:rPr>
        <w:t>poskytnuto celkem 17 816</w:t>
      </w:r>
      <w:r w:rsidR="008411D3">
        <w:rPr>
          <w:szCs w:val="24"/>
        </w:rPr>
        <w:t> </w:t>
      </w:r>
      <w:r w:rsidR="002826B8" w:rsidRPr="00F7725F">
        <w:rPr>
          <w:szCs w:val="24"/>
        </w:rPr>
        <w:t>500</w:t>
      </w:r>
      <w:r w:rsidR="008411D3">
        <w:rPr>
          <w:szCs w:val="24"/>
        </w:rPr>
        <w:t> </w:t>
      </w:r>
      <w:r w:rsidR="002826B8" w:rsidRPr="00F7725F">
        <w:rPr>
          <w:szCs w:val="24"/>
        </w:rPr>
        <w:t>Kč. Jednalo se o kontroly následné i průběžné obvykle prováděné v rozsahu jednoho dne. V případě tří projektů, na</w:t>
      </w:r>
      <w:r w:rsidR="007F2E68">
        <w:rPr>
          <w:szCs w:val="24"/>
        </w:rPr>
        <w:t xml:space="preserve"> </w:t>
      </w:r>
      <w:r w:rsidR="002826B8" w:rsidRPr="00F7725F">
        <w:rPr>
          <w:szCs w:val="24"/>
        </w:rPr>
        <w:t xml:space="preserve">které byla poskytnuta celková dotace </w:t>
      </w:r>
      <w:r w:rsidR="003B0352" w:rsidRPr="00F7725F">
        <w:rPr>
          <w:szCs w:val="24"/>
        </w:rPr>
        <w:t>1 650</w:t>
      </w:r>
      <w:r w:rsidR="002826B8" w:rsidRPr="00F7725F">
        <w:rPr>
          <w:szCs w:val="24"/>
        </w:rPr>
        <w:t> 000 Kč, nebyly v době provádění kontroly prostředky dotace ještě vůbec použity. V roce 2017 nebyla do 30.</w:t>
      </w:r>
      <w:r w:rsidR="008411D3">
        <w:rPr>
          <w:szCs w:val="24"/>
        </w:rPr>
        <w:t> </w:t>
      </w:r>
      <w:r w:rsidR="002826B8" w:rsidRPr="00F7725F">
        <w:rPr>
          <w:szCs w:val="24"/>
        </w:rPr>
        <w:t>9. provedena žádná kontrola</w:t>
      </w:r>
      <w:r w:rsidR="00D22830" w:rsidRPr="00F7725F">
        <w:rPr>
          <w:szCs w:val="24"/>
        </w:rPr>
        <w:t>. D</w:t>
      </w:r>
      <w:r w:rsidR="002826B8" w:rsidRPr="00F7725F">
        <w:rPr>
          <w:szCs w:val="24"/>
        </w:rPr>
        <w:t>le</w:t>
      </w:r>
      <w:r w:rsidR="007F2E68">
        <w:rPr>
          <w:szCs w:val="24"/>
        </w:rPr>
        <w:t xml:space="preserve"> </w:t>
      </w:r>
      <w:r w:rsidR="002826B8" w:rsidRPr="00F7725F">
        <w:rPr>
          <w:szCs w:val="24"/>
        </w:rPr>
        <w:t>předlože</w:t>
      </w:r>
      <w:r w:rsidR="00FC7CC3" w:rsidRPr="00F7725F">
        <w:rPr>
          <w:szCs w:val="24"/>
        </w:rPr>
        <w:t>ného plánu kontrol MŠMT mělo do</w:t>
      </w:r>
      <w:r w:rsidR="008411D3">
        <w:rPr>
          <w:szCs w:val="24"/>
        </w:rPr>
        <w:t xml:space="preserve"> </w:t>
      </w:r>
      <w:r w:rsidR="002826B8" w:rsidRPr="00F7725F">
        <w:rPr>
          <w:szCs w:val="24"/>
        </w:rPr>
        <w:t xml:space="preserve">konce roku 2017 provést kontrolu šesti projektů u šesti příjemců, kterým bylo </w:t>
      </w:r>
      <w:r w:rsidR="00D22830" w:rsidRPr="00F7725F">
        <w:rPr>
          <w:szCs w:val="24"/>
        </w:rPr>
        <w:t>poskytnuto celkem 2 352</w:t>
      </w:r>
      <w:r w:rsidR="008411D3">
        <w:rPr>
          <w:szCs w:val="24"/>
        </w:rPr>
        <w:t> </w:t>
      </w:r>
      <w:r w:rsidR="00D22830" w:rsidRPr="00F7725F">
        <w:rPr>
          <w:szCs w:val="24"/>
        </w:rPr>
        <w:t>000</w:t>
      </w:r>
      <w:r w:rsidR="008411D3">
        <w:rPr>
          <w:szCs w:val="24"/>
        </w:rPr>
        <w:t> </w:t>
      </w:r>
      <w:r w:rsidR="00D22830" w:rsidRPr="00F7725F">
        <w:rPr>
          <w:szCs w:val="24"/>
        </w:rPr>
        <w:t>Kč.</w:t>
      </w:r>
    </w:p>
    <w:p w14:paraId="4B96D449" w14:textId="77777777" w:rsidR="00902074" w:rsidRPr="00F7725F" w:rsidRDefault="00902074" w:rsidP="00F7725F">
      <w:pPr>
        <w:rPr>
          <w:szCs w:val="24"/>
        </w:rPr>
      </w:pPr>
    </w:p>
    <w:p w14:paraId="04457002" w14:textId="208DA078" w:rsidR="00702808" w:rsidRPr="00F7725F" w:rsidRDefault="00702808" w:rsidP="00F7725F">
      <w:pPr>
        <w:rPr>
          <w:rFonts w:cs="Calibri"/>
          <w:szCs w:val="24"/>
        </w:rPr>
      </w:pPr>
      <w:r w:rsidRPr="00F7725F">
        <w:rPr>
          <w:rFonts w:cs="Calibri"/>
          <w:szCs w:val="24"/>
        </w:rPr>
        <w:t>NKÚ při</w:t>
      </w:r>
      <w:r w:rsidR="007F2E68">
        <w:rPr>
          <w:rFonts w:cs="Calibri"/>
          <w:szCs w:val="24"/>
        </w:rPr>
        <w:t xml:space="preserve"> </w:t>
      </w:r>
      <w:r w:rsidRPr="00F7725F">
        <w:rPr>
          <w:rFonts w:cs="Calibri"/>
          <w:szCs w:val="24"/>
        </w:rPr>
        <w:t xml:space="preserve">kontrole </w:t>
      </w:r>
      <w:r w:rsidR="00F37F68" w:rsidRPr="00F7725F">
        <w:rPr>
          <w:rFonts w:cs="Calibri"/>
          <w:szCs w:val="24"/>
        </w:rPr>
        <w:t>dvou</w:t>
      </w:r>
      <w:r w:rsidRPr="00F7725F">
        <w:rPr>
          <w:rFonts w:cs="Calibri"/>
          <w:szCs w:val="24"/>
        </w:rPr>
        <w:t xml:space="preserve"> z vybraných projektů</w:t>
      </w:r>
      <w:r w:rsidR="00D22830" w:rsidRPr="00F7725F">
        <w:rPr>
          <w:rFonts w:cs="Calibri"/>
          <w:szCs w:val="24"/>
        </w:rPr>
        <w:t>,</w:t>
      </w:r>
      <w:r w:rsidRPr="00F7725F">
        <w:rPr>
          <w:rFonts w:cs="Calibri"/>
          <w:szCs w:val="24"/>
        </w:rPr>
        <w:t xml:space="preserve"> </w:t>
      </w:r>
      <w:r w:rsidR="007F2E68">
        <w:rPr>
          <w:rFonts w:cs="Calibri"/>
          <w:szCs w:val="24"/>
        </w:rPr>
        <w:t xml:space="preserve">a to </w:t>
      </w:r>
      <w:r w:rsidRPr="00F7725F">
        <w:rPr>
          <w:rFonts w:cs="Calibri"/>
          <w:szCs w:val="24"/>
        </w:rPr>
        <w:t>u příjemce</w:t>
      </w:r>
      <w:r w:rsidR="0064054A" w:rsidRPr="00F7725F">
        <w:rPr>
          <w:rFonts w:cs="Calibri"/>
          <w:szCs w:val="24"/>
        </w:rPr>
        <w:t xml:space="preserve"> dotace Asociace malých debrujárů České republiky, spolek</w:t>
      </w:r>
      <w:r w:rsidR="006F7AE7" w:rsidRPr="00F7725F">
        <w:rPr>
          <w:rFonts w:cs="Calibri"/>
          <w:szCs w:val="24"/>
        </w:rPr>
        <w:t>,</w:t>
      </w:r>
      <w:r w:rsidRPr="00F7725F">
        <w:rPr>
          <w:rFonts w:cs="Calibri"/>
          <w:szCs w:val="24"/>
        </w:rPr>
        <w:t xml:space="preserve"> zjistil, že je v rámci své kontrolní činnosti prověřovalo i</w:t>
      </w:r>
      <w:r w:rsidR="007F2E68">
        <w:rPr>
          <w:rFonts w:cs="Calibri"/>
          <w:szCs w:val="24"/>
        </w:rPr>
        <w:t> </w:t>
      </w:r>
      <w:r w:rsidRPr="00F7725F">
        <w:rPr>
          <w:rFonts w:cs="Calibri"/>
          <w:szCs w:val="24"/>
        </w:rPr>
        <w:t>MŠMT. Zatímco MŠMT neshledalo žádné nedostatky, NKÚ</w:t>
      </w:r>
      <w:r w:rsidR="00E53209" w:rsidRPr="00F7725F">
        <w:rPr>
          <w:rFonts w:cs="Calibri"/>
          <w:szCs w:val="24"/>
        </w:rPr>
        <w:t xml:space="preserve"> závažná pochybení</w:t>
      </w:r>
      <w:r w:rsidRPr="00F7725F">
        <w:rPr>
          <w:rFonts w:cs="Calibri"/>
          <w:szCs w:val="24"/>
        </w:rPr>
        <w:t xml:space="preserve"> </w:t>
      </w:r>
      <w:r w:rsidR="00D22830" w:rsidRPr="00F7725F">
        <w:rPr>
          <w:rFonts w:cs="Calibri"/>
          <w:szCs w:val="24"/>
        </w:rPr>
        <w:t>zjistil</w:t>
      </w:r>
      <w:r w:rsidR="00E53209" w:rsidRPr="00F7725F">
        <w:rPr>
          <w:rFonts w:cs="Calibri"/>
          <w:szCs w:val="24"/>
        </w:rPr>
        <w:t>, jako</w:t>
      </w:r>
      <w:r w:rsidR="00D22830" w:rsidRPr="00F7725F">
        <w:rPr>
          <w:rFonts w:cs="Calibri"/>
          <w:szCs w:val="24"/>
        </w:rPr>
        <w:t xml:space="preserve"> n</w:t>
      </w:r>
      <w:r w:rsidR="00F37F68" w:rsidRPr="00F7725F">
        <w:rPr>
          <w:rFonts w:cs="Calibri"/>
          <w:szCs w:val="24"/>
        </w:rPr>
        <w:t>apř. nezajištění odděleného sledování př</w:t>
      </w:r>
      <w:r w:rsidR="00D22830" w:rsidRPr="00F7725F">
        <w:rPr>
          <w:rFonts w:cs="Calibri"/>
          <w:szCs w:val="24"/>
        </w:rPr>
        <w:t>ijatých dotací v účetnictví NNO</w:t>
      </w:r>
      <w:r w:rsidR="00E53209" w:rsidRPr="00F7725F">
        <w:rPr>
          <w:rFonts w:cs="Calibri"/>
          <w:szCs w:val="24"/>
        </w:rPr>
        <w:t xml:space="preserve">. </w:t>
      </w:r>
      <w:r w:rsidR="00607C26" w:rsidRPr="00F7725F">
        <w:rPr>
          <w:rFonts w:cstheme="minorHAnsi"/>
          <w:noProof/>
          <w:color w:val="000000"/>
          <w:szCs w:val="24"/>
        </w:rPr>
        <w:t>Z uvedeného plyne, že MŠMT provádělo kontrolu přímo u příjemců nedůsledně.</w:t>
      </w:r>
    </w:p>
    <w:p w14:paraId="7FB356B7" w14:textId="77777777" w:rsidR="007D5C7E" w:rsidRPr="00F7725F" w:rsidRDefault="007D5C7E" w:rsidP="00F7725F">
      <w:pPr>
        <w:rPr>
          <w:rFonts w:cs="Calibri"/>
          <w:szCs w:val="24"/>
        </w:rPr>
      </w:pPr>
    </w:p>
    <w:p w14:paraId="76E6B0CC" w14:textId="2FAAE77D" w:rsidR="00702808" w:rsidRPr="00F7725F" w:rsidRDefault="00F63043" w:rsidP="00F7725F">
      <w:pPr>
        <w:rPr>
          <w:szCs w:val="24"/>
        </w:rPr>
      </w:pPr>
      <w:r w:rsidRPr="00F7725F">
        <w:rPr>
          <w:b/>
          <w:szCs w:val="24"/>
        </w:rPr>
        <w:t>V</w:t>
      </w:r>
      <w:r w:rsidR="00702808" w:rsidRPr="00F7725F">
        <w:rPr>
          <w:b/>
          <w:szCs w:val="24"/>
        </w:rPr>
        <w:t>zhledem</w:t>
      </w:r>
      <w:r w:rsidR="007F2E68">
        <w:rPr>
          <w:b/>
          <w:szCs w:val="24"/>
        </w:rPr>
        <w:t xml:space="preserve"> </w:t>
      </w:r>
      <w:r w:rsidR="00702808" w:rsidRPr="00F7725F">
        <w:rPr>
          <w:b/>
          <w:szCs w:val="24"/>
        </w:rPr>
        <w:t xml:space="preserve">k množství </w:t>
      </w:r>
      <w:r w:rsidR="005A770C" w:rsidRPr="00F7725F">
        <w:rPr>
          <w:b/>
          <w:szCs w:val="24"/>
        </w:rPr>
        <w:t>pochybení</w:t>
      </w:r>
      <w:r w:rsidR="00702808" w:rsidRPr="00F7725F">
        <w:rPr>
          <w:b/>
          <w:szCs w:val="24"/>
        </w:rPr>
        <w:t xml:space="preserve">, které NKÚ odhalil, ať už </w:t>
      </w:r>
      <w:r w:rsidR="00F40EB9" w:rsidRPr="00F7725F">
        <w:rPr>
          <w:b/>
          <w:szCs w:val="24"/>
        </w:rPr>
        <w:t>prověřováním</w:t>
      </w:r>
      <w:r w:rsidR="00702808" w:rsidRPr="00F7725F">
        <w:rPr>
          <w:b/>
          <w:szCs w:val="24"/>
        </w:rPr>
        <w:t xml:space="preserve"> vyúčtování projektů na MŠMT nebo</w:t>
      </w:r>
      <w:r w:rsidR="00D22830" w:rsidRPr="00F7725F">
        <w:rPr>
          <w:b/>
          <w:szCs w:val="24"/>
        </w:rPr>
        <w:t xml:space="preserve"> kontrolou</w:t>
      </w:r>
      <w:r w:rsidR="00702808" w:rsidRPr="00F7725F">
        <w:rPr>
          <w:b/>
          <w:szCs w:val="24"/>
        </w:rPr>
        <w:t xml:space="preserve"> u příjemců dotací </w:t>
      </w:r>
      <w:r w:rsidR="007F2E68">
        <w:rPr>
          <w:b/>
          <w:szCs w:val="24"/>
        </w:rPr>
        <w:t>(</w:t>
      </w:r>
      <w:r w:rsidR="00702808" w:rsidRPr="00F7725F">
        <w:rPr>
          <w:b/>
          <w:szCs w:val="24"/>
        </w:rPr>
        <w:t>viz dále</w:t>
      </w:r>
      <w:r w:rsidR="007F2E68">
        <w:rPr>
          <w:b/>
          <w:szCs w:val="24"/>
        </w:rPr>
        <w:t>)</w:t>
      </w:r>
      <w:r w:rsidR="00702808" w:rsidRPr="00F7725F">
        <w:rPr>
          <w:b/>
          <w:szCs w:val="24"/>
        </w:rPr>
        <w:t xml:space="preserve">, </w:t>
      </w:r>
      <w:r w:rsidR="0064054A" w:rsidRPr="00F7725F">
        <w:rPr>
          <w:b/>
          <w:szCs w:val="24"/>
        </w:rPr>
        <w:t xml:space="preserve">nebyla </w:t>
      </w:r>
      <w:r w:rsidR="00702808" w:rsidRPr="00F7725F">
        <w:rPr>
          <w:b/>
          <w:szCs w:val="24"/>
        </w:rPr>
        <w:t xml:space="preserve">dle NKÚ kontrola </w:t>
      </w:r>
      <w:r w:rsidR="00F40EB9" w:rsidRPr="00F7725F">
        <w:rPr>
          <w:b/>
          <w:szCs w:val="24"/>
        </w:rPr>
        <w:t xml:space="preserve">ze strany </w:t>
      </w:r>
      <w:r w:rsidR="00702808" w:rsidRPr="00F7725F">
        <w:rPr>
          <w:rFonts w:cs="Calibri"/>
          <w:b/>
          <w:szCs w:val="24"/>
        </w:rPr>
        <w:t>MŠMT prováděna v potřebné kvalitě</w:t>
      </w:r>
      <w:r w:rsidR="00702808" w:rsidRPr="00F7725F">
        <w:rPr>
          <w:b/>
          <w:szCs w:val="24"/>
        </w:rPr>
        <w:t>.</w:t>
      </w:r>
    </w:p>
    <w:p w14:paraId="0B62E3A5" w14:textId="004191D5" w:rsidR="002826B8" w:rsidRPr="00F7725F" w:rsidRDefault="002826B8" w:rsidP="00F7725F">
      <w:pPr>
        <w:rPr>
          <w:szCs w:val="24"/>
        </w:rPr>
      </w:pPr>
    </w:p>
    <w:p w14:paraId="7EF5070F" w14:textId="40C95E76" w:rsidR="003C2F8F" w:rsidRPr="00F7725F" w:rsidRDefault="00902074" w:rsidP="008411D3">
      <w:pPr>
        <w:pStyle w:val="Nadpis2"/>
        <w:keepLines/>
        <w:widowControl/>
        <w:numPr>
          <w:ilvl w:val="0"/>
          <w:numId w:val="0"/>
        </w:numPr>
        <w:spacing w:after="0"/>
        <w:rPr>
          <w:sz w:val="24"/>
        </w:rPr>
      </w:pPr>
      <w:r w:rsidRPr="00F7725F">
        <w:rPr>
          <w:sz w:val="24"/>
        </w:rPr>
        <w:t xml:space="preserve">4. </w:t>
      </w:r>
      <w:r w:rsidR="00B319DB" w:rsidRPr="00F7725F">
        <w:rPr>
          <w:sz w:val="24"/>
        </w:rPr>
        <w:t>Skutečnosti zjištěné na vybraném vzorku projektů u příjemců dotací</w:t>
      </w:r>
    </w:p>
    <w:p w14:paraId="63DCBEF4" w14:textId="77777777" w:rsidR="00F7725F" w:rsidRDefault="00F7725F" w:rsidP="008411D3">
      <w:pPr>
        <w:keepNext/>
        <w:keepLines/>
        <w:widowControl/>
        <w:rPr>
          <w:rFonts w:cs="Calibri"/>
          <w:szCs w:val="24"/>
          <w:lang w:eastAsia="en-US"/>
        </w:rPr>
      </w:pPr>
    </w:p>
    <w:p w14:paraId="71F3CE49" w14:textId="5C3E7A0A" w:rsidR="002826B8" w:rsidRPr="00F7725F" w:rsidRDefault="002826B8" w:rsidP="008411D3">
      <w:pPr>
        <w:keepNext/>
        <w:keepLines/>
        <w:widowControl/>
        <w:rPr>
          <w:rFonts w:cs="Calibri"/>
          <w:szCs w:val="24"/>
          <w:lang w:eastAsia="en-US"/>
        </w:rPr>
      </w:pPr>
      <w:r w:rsidRPr="00F7725F">
        <w:rPr>
          <w:rFonts w:cs="Calibri"/>
          <w:szCs w:val="24"/>
          <w:lang w:eastAsia="en-US"/>
        </w:rPr>
        <w:t>Kontrola byla provedena u 14 příjemců dotací, kt</w:t>
      </w:r>
      <w:r w:rsidR="00390D57" w:rsidRPr="00F7725F">
        <w:rPr>
          <w:rFonts w:cs="Calibri"/>
          <w:szCs w:val="24"/>
          <w:lang w:eastAsia="en-US"/>
        </w:rPr>
        <w:t>erým byly v letech 2014–</w:t>
      </w:r>
      <w:r w:rsidR="00E11E17" w:rsidRPr="00F7725F">
        <w:rPr>
          <w:rFonts w:cs="Calibri"/>
          <w:szCs w:val="24"/>
          <w:lang w:eastAsia="en-US"/>
        </w:rPr>
        <w:t>2016 z P</w:t>
      </w:r>
      <w:r w:rsidRPr="00F7725F">
        <w:rPr>
          <w:rFonts w:cs="Calibri"/>
          <w:szCs w:val="24"/>
          <w:lang w:eastAsia="en-US"/>
        </w:rPr>
        <w:t>rogramů poskytnuty prostředky na realizaci vybraných 67 projektů.</w:t>
      </w:r>
      <w:r w:rsidR="00C25BFA" w:rsidRPr="00F7725F">
        <w:rPr>
          <w:rFonts w:cs="Calibri"/>
          <w:szCs w:val="24"/>
          <w:lang w:eastAsia="en-US"/>
        </w:rPr>
        <w:t xml:space="preserve"> </w:t>
      </w:r>
      <w:r w:rsidRPr="00F7725F">
        <w:rPr>
          <w:rFonts w:cs="Calibri"/>
          <w:szCs w:val="24"/>
          <w:lang w:eastAsia="en-US"/>
        </w:rPr>
        <w:t xml:space="preserve">Na </w:t>
      </w:r>
      <w:r w:rsidR="00DD39F8" w:rsidRPr="00F7725F">
        <w:rPr>
          <w:rFonts w:cs="Calibri"/>
          <w:szCs w:val="24"/>
          <w:lang w:eastAsia="en-US"/>
        </w:rPr>
        <w:t>tomto</w:t>
      </w:r>
      <w:r w:rsidRPr="00F7725F">
        <w:rPr>
          <w:rFonts w:cs="Calibri"/>
          <w:szCs w:val="24"/>
          <w:lang w:eastAsia="en-US"/>
        </w:rPr>
        <w:t xml:space="preserve"> vzorku projektů bylo zjištěno, že se</w:t>
      </w:r>
      <w:r w:rsidR="00F63043" w:rsidRPr="00F7725F">
        <w:rPr>
          <w:rFonts w:cs="Calibri"/>
          <w:szCs w:val="24"/>
          <w:lang w:eastAsia="en-US"/>
        </w:rPr>
        <w:t xml:space="preserve"> někteří</w:t>
      </w:r>
      <w:r w:rsidRPr="00F7725F">
        <w:rPr>
          <w:rFonts w:cs="Calibri"/>
          <w:szCs w:val="24"/>
          <w:lang w:eastAsia="en-US"/>
        </w:rPr>
        <w:t xml:space="preserve"> příjemci dotací dopustili porušení ustanovení závazných podmínek, k</w:t>
      </w:r>
      <w:r w:rsidR="006F41EB" w:rsidRPr="00F7725F">
        <w:rPr>
          <w:rFonts w:cs="Calibri"/>
          <w:szCs w:val="24"/>
          <w:lang w:eastAsia="en-US"/>
        </w:rPr>
        <w:t>teré byly součástí rozhodnutí o </w:t>
      </w:r>
      <w:r w:rsidRPr="00F7725F">
        <w:rPr>
          <w:rFonts w:cs="Calibri"/>
          <w:szCs w:val="24"/>
          <w:lang w:eastAsia="en-US"/>
        </w:rPr>
        <w:t>poskytnutí dotace.</w:t>
      </w:r>
    </w:p>
    <w:p w14:paraId="313DBD22" w14:textId="77777777" w:rsidR="002826B8" w:rsidRPr="00F7725F" w:rsidRDefault="002826B8" w:rsidP="00F7725F">
      <w:pPr>
        <w:rPr>
          <w:rFonts w:cs="Calibri"/>
          <w:szCs w:val="24"/>
          <w:lang w:eastAsia="en-US"/>
        </w:rPr>
      </w:pPr>
    </w:p>
    <w:p w14:paraId="58E116FE" w14:textId="3CB52C5F" w:rsidR="002826B8" w:rsidRPr="00F7725F" w:rsidRDefault="007F2E68" w:rsidP="007F2E68">
      <w:pPr>
        <w:pStyle w:val="Nadpis3"/>
        <w:numPr>
          <w:ilvl w:val="0"/>
          <w:numId w:val="0"/>
        </w:numPr>
        <w:spacing w:after="0"/>
        <w:ind w:left="-6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4.1 </w:t>
      </w:r>
      <w:r w:rsidR="002826B8" w:rsidRPr="00F7725F">
        <w:rPr>
          <w:rFonts w:eastAsiaTheme="minorHAnsi"/>
          <w:sz w:val="24"/>
          <w:szCs w:val="24"/>
        </w:rPr>
        <w:t>Příjemci dotací zahrnuli stejné doklady do více projektů</w:t>
      </w:r>
    </w:p>
    <w:p w14:paraId="748EE5F7" w14:textId="77777777" w:rsidR="00F7725F" w:rsidRPr="00F7725F" w:rsidRDefault="00F7725F" w:rsidP="00F7725F">
      <w:pPr>
        <w:rPr>
          <w:rFonts w:eastAsiaTheme="minorHAnsi" w:cs="Calibri"/>
          <w:szCs w:val="24"/>
        </w:rPr>
      </w:pPr>
    </w:p>
    <w:p w14:paraId="4CBFBE08" w14:textId="0C566992" w:rsidR="00AE57C6" w:rsidRPr="00F7725F" w:rsidRDefault="00AE57C6" w:rsidP="00F7725F">
      <w:pPr>
        <w:rPr>
          <w:rFonts w:eastAsiaTheme="minorHAnsi" w:cs="Calibri"/>
          <w:szCs w:val="24"/>
        </w:rPr>
      </w:pPr>
      <w:r w:rsidRPr="00F7725F">
        <w:rPr>
          <w:rFonts w:eastAsiaTheme="minorHAnsi" w:cs="Calibri"/>
          <w:b/>
          <w:szCs w:val="24"/>
        </w:rPr>
        <w:t>Asociace malých debrujárů České republiky, spolek</w:t>
      </w:r>
      <w:r w:rsidRPr="00110938">
        <w:rPr>
          <w:rFonts w:eastAsiaTheme="minorHAnsi" w:cs="Calibri"/>
          <w:b/>
          <w:szCs w:val="24"/>
        </w:rPr>
        <w:t>,</w:t>
      </w:r>
      <w:r w:rsidRPr="00F7725F">
        <w:rPr>
          <w:rFonts w:eastAsiaTheme="minorHAnsi" w:cs="Calibri"/>
          <w:szCs w:val="24"/>
        </w:rPr>
        <w:t xml:space="preserve"> zahrnula do vyúčtování podpořených projektů </w:t>
      </w:r>
      <w:r w:rsidRPr="00F7725F">
        <w:rPr>
          <w:rFonts w:eastAsiaTheme="minorHAnsi" w:cs="Calibri"/>
          <w:i/>
          <w:szCs w:val="24"/>
        </w:rPr>
        <w:t>Debrujáři v roce 2014</w:t>
      </w:r>
      <w:r w:rsidRPr="00F7725F">
        <w:rPr>
          <w:rFonts w:eastAsiaTheme="minorHAnsi" w:cs="Calibri"/>
          <w:szCs w:val="24"/>
        </w:rPr>
        <w:t xml:space="preserve"> a </w:t>
      </w:r>
      <w:r w:rsidRPr="00F7725F">
        <w:rPr>
          <w:rFonts w:eastAsiaTheme="minorHAnsi" w:cs="Calibri"/>
          <w:i/>
          <w:szCs w:val="24"/>
        </w:rPr>
        <w:t>Debrujáři veřejnosti v roce 2014</w:t>
      </w:r>
      <w:r w:rsidRPr="00F7725F">
        <w:rPr>
          <w:rFonts w:eastAsiaTheme="minorHAnsi" w:cs="Calibri"/>
          <w:szCs w:val="24"/>
        </w:rPr>
        <w:t xml:space="preserve"> stejné mzdové náklady. Neoprávněně tak navýšila celkové náklady projektů a náklady hrazené z dotace o 154 413 Kč. Obdobně v podpořených projektech </w:t>
      </w:r>
      <w:r w:rsidRPr="00F7725F">
        <w:rPr>
          <w:rFonts w:eastAsiaTheme="minorHAnsi" w:cs="Calibri"/>
          <w:i/>
          <w:szCs w:val="24"/>
        </w:rPr>
        <w:t>Za vědou!</w:t>
      </w:r>
      <w:r w:rsidRPr="00F7725F">
        <w:rPr>
          <w:rFonts w:eastAsiaTheme="minorHAnsi" w:cs="Calibri"/>
          <w:szCs w:val="24"/>
        </w:rPr>
        <w:t xml:space="preserve"> a </w:t>
      </w:r>
      <w:r w:rsidRPr="00F7725F">
        <w:rPr>
          <w:rFonts w:eastAsiaTheme="minorHAnsi" w:cs="Calibri"/>
          <w:i/>
          <w:szCs w:val="24"/>
        </w:rPr>
        <w:t>Debrujáři v roce 2014</w:t>
      </w:r>
      <w:r w:rsidRPr="00F7725F">
        <w:rPr>
          <w:rFonts w:eastAsiaTheme="minorHAnsi" w:cs="Calibri"/>
          <w:szCs w:val="24"/>
        </w:rPr>
        <w:t xml:space="preserve"> zahrnula stejné účetní doklady vztahující se k nákupu materiálu a cestovnému. Navýšila tak celkové náklady projektů o 54 150 Kč a vykázala, že</w:t>
      </w:r>
      <w:r w:rsidR="006E1F31">
        <w:rPr>
          <w:rFonts w:eastAsiaTheme="minorHAnsi" w:cs="Calibri"/>
          <w:szCs w:val="24"/>
        </w:rPr>
        <w:t xml:space="preserve"> </w:t>
      </w:r>
      <w:r w:rsidRPr="00F7725F">
        <w:rPr>
          <w:rFonts w:eastAsiaTheme="minorHAnsi" w:cs="Calibri"/>
          <w:szCs w:val="24"/>
        </w:rPr>
        <w:t xml:space="preserve">z prostředků dotace uhradila oproti skutečnosti o 41 000 Kč více. Dvojí vykázání mzdových nákladů se u tohoto příjemce dotace objevilo i ve vyúčtováních podpořených projektů </w:t>
      </w:r>
      <w:r w:rsidRPr="00F7725F">
        <w:rPr>
          <w:rFonts w:eastAsiaTheme="minorHAnsi" w:cs="Calibri"/>
          <w:i/>
          <w:szCs w:val="24"/>
        </w:rPr>
        <w:t>Debrujáři v roce 2015</w:t>
      </w:r>
      <w:r w:rsidRPr="00F7725F">
        <w:rPr>
          <w:rFonts w:eastAsiaTheme="minorHAnsi" w:cs="Calibri"/>
          <w:szCs w:val="24"/>
        </w:rPr>
        <w:t xml:space="preserve"> a </w:t>
      </w:r>
      <w:r w:rsidRPr="00F7725F">
        <w:rPr>
          <w:rFonts w:eastAsiaTheme="minorHAnsi" w:cs="Calibri"/>
          <w:i/>
          <w:szCs w:val="24"/>
        </w:rPr>
        <w:t>Debrujáři veřejnosti v roce 2015</w:t>
      </w:r>
      <w:r w:rsidRPr="00F7725F">
        <w:rPr>
          <w:rFonts w:eastAsiaTheme="minorHAnsi" w:cs="Calibri"/>
          <w:szCs w:val="24"/>
        </w:rPr>
        <w:t xml:space="preserve">. Příjemce dotace navýšil celkové náklady projektů a náklady hrazené z </w:t>
      </w:r>
      <w:r w:rsidR="001409EA" w:rsidRPr="00F7725F">
        <w:rPr>
          <w:rFonts w:eastAsiaTheme="minorHAnsi" w:cs="Calibri"/>
          <w:szCs w:val="24"/>
        </w:rPr>
        <w:t>dotace o 105 863 Kč.</w:t>
      </w:r>
    </w:p>
    <w:p w14:paraId="7AC66F0C" w14:textId="77777777" w:rsidR="00902074" w:rsidRPr="00F7725F" w:rsidRDefault="00902074" w:rsidP="00F7725F">
      <w:pPr>
        <w:rPr>
          <w:rFonts w:eastAsiaTheme="minorHAnsi" w:cs="Calibri"/>
          <w:szCs w:val="24"/>
        </w:rPr>
      </w:pPr>
    </w:p>
    <w:p w14:paraId="71EE4C9E" w14:textId="738D961A" w:rsidR="008A1A37" w:rsidRPr="00F7725F" w:rsidRDefault="008A1A37" w:rsidP="00F7725F">
      <w:pPr>
        <w:rPr>
          <w:rFonts w:eastAsiaTheme="minorHAnsi" w:cs="Calibri"/>
          <w:szCs w:val="24"/>
        </w:rPr>
      </w:pPr>
      <w:r w:rsidRPr="00F7725F">
        <w:rPr>
          <w:rFonts w:cs="Calibri"/>
          <w:b/>
          <w:szCs w:val="24"/>
          <w:lang w:eastAsia="en-US"/>
        </w:rPr>
        <w:t>Pionýr, z. s.</w:t>
      </w:r>
      <w:r w:rsidRPr="00110938">
        <w:rPr>
          <w:rFonts w:cs="Calibri"/>
          <w:b/>
          <w:szCs w:val="24"/>
          <w:lang w:eastAsia="en-US"/>
        </w:rPr>
        <w:t>,</w:t>
      </w:r>
      <w:r w:rsidRPr="00F7725F">
        <w:rPr>
          <w:rFonts w:cs="Calibri"/>
          <w:szCs w:val="24"/>
          <w:lang w:eastAsia="en-US"/>
        </w:rPr>
        <w:t xml:space="preserve"> zahrnul daňový </w:t>
      </w:r>
      <w:r w:rsidRPr="00F7725F">
        <w:rPr>
          <w:rFonts w:eastAsiaTheme="minorHAnsi" w:cs="Calibri"/>
          <w:szCs w:val="24"/>
        </w:rPr>
        <w:t>doklad za nákup materiálu na celkovou částku 97</w:t>
      </w:r>
      <w:r w:rsidR="003C104E">
        <w:rPr>
          <w:rFonts w:eastAsiaTheme="minorHAnsi" w:cs="Calibri"/>
          <w:szCs w:val="24"/>
        </w:rPr>
        <w:t> </w:t>
      </w:r>
      <w:r w:rsidRPr="00F7725F">
        <w:rPr>
          <w:rFonts w:eastAsiaTheme="minorHAnsi" w:cs="Calibri"/>
          <w:szCs w:val="24"/>
        </w:rPr>
        <w:t>218</w:t>
      </w:r>
      <w:r w:rsidR="003C104E">
        <w:rPr>
          <w:rFonts w:eastAsiaTheme="minorHAnsi" w:cs="Calibri"/>
          <w:szCs w:val="24"/>
        </w:rPr>
        <w:t> </w:t>
      </w:r>
      <w:r w:rsidRPr="00F7725F">
        <w:rPr>
          <w:rFonts w:eastAsiaTheme="minorHAnsi" w:cs="Calibri"/>
          <w:szCs w:val="24"/>
        </w:rPr>
        <w:t>Kč do</w:t>
      </w:r>
      <w:r w:rsidR="003C104E">
        <w:rPr>
          <w:rFonts w:eastAsiaTheme="minorHAnsi" w:cs="Calibri"/>
          <w:szCs w:val="24"/>
        </w:rPr>
        <w:t xml:space="preserve"> </w:t>
      </w:r>
      <w:r w:rsidRPr="00F7725F">
        <w:rPr>
          <w:rFonts w:eastAsiaTheme="minorHAnsi" w:cs="Calibri"/>
          <w:szCs w:val="24"/>
        </w:rPr>
        <w:t xml:space="preserve">vyúčtování podpořeného projektu </w:t>
      </w:r>
      <w:r w:rsidRPr="00F7725F">
        <w:rPr>
          <w:rFonts w:eastAsiaTheme="minorHAnsi" w:cs="Calibri"/>
          <w:i/>
          <w:szCs w:val="24"/>
        </w:rPr>
        <w:t>Dobrodružství na míru 2014.</w:t>
      </w:r>
      <w:r w:rsidRPr="00F7725F">
        <w:rPr>
          <w:rFonts w:eastAsiaTheme="minorHAnsi" w:cs="Calibri"/>
          <w:szCs w:val="24"/>
        </w:rPr>
        <w:t xml:space="preserve"> Z něho neoprávněně uhradil z dotace 79 000 Kč, protože</w:t>
      </w:r>
      <w:r w:rsidR="003C104E">
        <w:rPr>
          <w:rFonts w:eastAsiaTheme="minorHAnsi" w:cs="Calibri"/>
          <w:szCs w:val="24"/>
        </w:rPr>
        <w:t xml:space="preserve"> </w:t>
      </w:r>
      <w:r w:rsidRPr="00F7725F">
        <w:rPr>
          <w:rFonts w:eastAsiaTheme="minorHAnsi" w:cs="Calibri"/>
          <w:szCs w:val="24"/>
        </w:rPr>
        <w:t>byl tento doklad zcela uhrazen z dotací v rámci jiných dvou podpořených projektů.</w:t>
      </w:r>
    </w:p>
    <w:p w14:paraId="6122D620" w14:textId="77777777" w:rsidR="00902074" w:rsidRPr="00F7725F" w:rsidRDefault="00902074" w:rsidP="00F7725F">
      <w:pPr>
        <w:rPr>
          <w:rFonts w:eastAsiaTheme="minorHAnsi" w:cs="Calibri"/>
          <w:szCs w:val="24"/>
        </w:rPr>
      </w:pPr>
    </w:p>
    <w:p w14:paraId="2FBA2D9F" w14:textId="762052E1" w:rsidR="002826B8" w:rsidRPr="00F7725F" w:rsidRDefault="002826B8" w:rsidP="00F7725F">
      <w:pPr>
        <w:rPr>
          <w:rFonts w:eastAsiaTheme="minorHAnsi" w:cs="Calibri"/>
          <w:szCs w:val="24"/>
        </w:rPr>
      </w:pPr>
      <w:r w:rsidRPr="00F7725F">
        <w:rPr>
          <w:rFonts w:cs="Calibri"/>
          <w:b/>
          <w:szCs w:val="24"/>
          <w:lang w:eastAsia="en-US"/>
        </w:rPr>
        <w:t>KreBul, o.p.s.</w:t>
      </w:r>
      <w:r w:rsidR="003D3618" w:rsidRPr="00110938">
        <w:rPr>
          <w:rFonts w:cs="Calibri"/>
          <w:b/>
          <w:szCs w:val="24"/>
          <w:lang w:eastAsia="en-US"/>
        </w:rPr>
        <w:t>,</w:t>
      </w:r>
      <w:r w:rsidRPr="00F7725F">
        <w:rPr>
          <w:rFonts w:cs="Calibri"/>
          <w:szCs w:val="24"/>
          <w:lang w:eastAsia="en-US"/>
        </w:rPr>
        <w:t xml:space="preserve"> </w:t>
      </w:r>
      <w:r w:rsidRPr="00F7725F">
        <w:rPr>
          <w:rFonts w:eastAsiaTheme="minorHAnsi" w:cs="Calibri"/>
          <w:szCs w:val="24"/>
        </w:rPr>
        <w:t xml:space="preserve">zahrnul do vyúčtování tří podpořených projektů </w:t>
      </w:r>
      <w:r w:rsidRPr="00F7725F">
        <w:rPr>
          <w:rFonts w:cs="Calibri"/>
          <w:i/>
          <w:szCs w:val="24"/>
          <w:lang w:eastAsia="en-US"/>
        </w:rPr>
        <w:t>Volnočas v Prachaticích</w:t>
      </w:r>
      <w:r w:rsidRPr="00F7725F">
        <w:rPr>
          <w:rFonts w:cs="Calibri"/>
          <w:szCs w:val="24"/>
          <w:lang w:eastAsia="en-US"/>
        </w:rPr>
        <w:t xml:space="preserve">, </w:t>
      </w:r>
      <w:r w:rsidRPr="00F7725F">
        <w:rPr>
          <w:rFonts w:cs="Calibri"/>
          <w:i/>
          <w:szCs w:val="24"/>
          <w:lang w:eastAsia="en-US"/>
        </w:rPr>
        <w:t>Počítáme s vámi</w:t>
      </w:r>
      <w:r w:rsidRPr="00F7725F">
        <w:rPr>
          <w:rFonts w:cs="Calibri"/>
          <w:szCs w:val="24"/>
          <w:lang w:eastAsia="en-US"/>
        </w:rPr>
        <w:t xml:space="preserve"> a </w:t>
      </w:r>
      <w:r w:rsidRPr="00F7725F">
        <w:rPr>
          <w:rFonts w:cs="Calibri"/>
          <w:i/>
          <w:szCs w:val="24"/>
          <w:lang w:eastAsia="en-US"/>
        </w:rPr>
        <w:t>ICM Prachatice</w:t>
      </w:r>
      <w:r w:rsidRPr="00F7725F">
        <w:rPr>
          <w:rFonts w:cs="Calibri"/>
          <w:szCs w:val="24"/>
          <w:lang w:eastAsia="en-US"/>
        </w:rPr>
        <w:t xml:space="preserve"> v roce 2014 třikrát stejné </w:t>
      </w:r>
      <w:r w:rsidRPr="00F7725F">
        <w:rPr>
          <w:szCs w:val="24"/>
        </w:rPr>
        <w:t xml:space="preserve">náklady na energie v celkové hodnotě 62 624 Kč. </w:t>
      </w:r>
      <w:r w:rsidR="00DD39F8" w:rsidRPr="00F7725F">
        <w:rPr>
          <w:szCs w:val="24"/>
        </w:rPr>
        <w:t>Neoprávněně tak n</w:t>
      </w:r>
      <w:r w:rsidRPr="00F7725F">
        <w:rPr>
          <w:rFonts w:eastAsiaTheme="minorHAnsi" w:cs="Calibri"/>
          <w:szCs w:val="24"/>
        </w:rPr>
        <w:t>avýšil celkové náklady projek</w:t>
      </w:r>
      <w:r w:rsidR="00DD39F8" w:rsidRPr="00F7725F">
        <w:rPr>
          <w:rFonts w:eastAsiaTheme="minorHAnsi" w:cs="Calibri"/>
          <w:szCs w:val="24"/>
        </w:rPr>
        <w:t xml:space="preserve">tů </w:t>
      </w:r>
      <w:r w:rsidR="00F63043" w:rsidRPr="00F7725F">
        <w:rPr>
          <w:rFonts w:eastAsiaTheme="minorHAnsi" w:cs="Calibri"/>
          <w:szCs w:val="24"/>
        </w:rPr>
        <w:t>o </w:t>
      </w:r>
      <w:r w:rsidR="00F63043" w:rsidRPr="00F7725F">
        <w:rPr>
          <w:iCs/>
          <w:szCs w:val="24"/>
        </w:rPr>
        <w:t>125 248 </w:t>
      </w:r>
      <w:r w:rsidRPr="00F7725F">
        <w:rPr>
          <w:iCs/>
          <w:szCs w:val="24"/>
        </w:rPr>
        <w:t>Kč</w:t>
      </w:r>
      <w:r w:rsidR="00335CE9" w:rsidRPr="00F7725F">
        <w:rPr>
          <w:iCs/>
          <w:szCs w:val="24"/>
        </w:rPr>
        <w:t>.</w:t>
      </w:r>
    </w:p>
    <w:p w14:paraId="0DC50778" w14:textId="77777777" w:rsidR="002826B8" w:rsidRPr="00F7725F" w:rsidRDefault="002826B8" w:rsidP="00F7725F">
      <w:pPr>
        <w:rPr>
          <w:rFonts w:cs="Calibri"/>
          <w:b/>
          <w:szCs w:val="24"/>
          <w:lang w:eastAsia="en-US"/>
        </w:rPr>
      </w:pPr>
    </w:p>
    <w:p w14:paraId="5ABC2E28" w14:textId="3E54B605" w:rsidR="002826B8" w:rsidRPr="00F7725F" w:rsidRDefault="00902074" w:rsidP="00F7725F">
      <w:pPr>
        <w:pStyle w:val="Nadpis3"/>
        <w:numPr>
          <w:ilvl w:val="0"/>
          <w:numId w:val="0"/>
        </w:numPr>
        <w:spacing w:after="0"/>
        <w:ind w:left="-6"/>
        <w:rPr>
          <w:rFonts w:eastAsiaTheme="minorHAnsi"/>
          <w:sz w:val="24"/>
          <w:szCs w:val="24"/>
        </w:rPr>
      </w:pPr>
      <w:r w:rsidRPr="00F7725F">
        <w:rPr>
          <w:rFonts w:eastAsiaTheme="minorHAnsi"/>
          <w:sz w:val="24"/>
          <w:szCs w:val="24"/>
        </w:rPr>
        <w:t xml:space="preserve">4.2 </w:t>
      </w:r>
      <w:r w:rsidR="002826B8" w:rsidRPr="00F7725F">
        <w:rPr>
          <w:rFonts w:eastAsiaTheme="minorHAnsi"/>
          <w:sz w:val="24"/>
          <w:szCs w:val="24"/>
        </w:rPr>
        <w:t xml:space="preserve">Příjemci </w:t>
      </w:r>
      <w:r w:rsidR="00A5481D" w:rsidRPr="00F7725F">
        <w:rPr>
          <w:rFonts w:eastAsiaTheme="minorHAnsi"/>
          <w:sz w:val="24"/>
          <w:szCs w:val="24"/>
        </w:rPr>
        <w:t>hradili z dotací</w:t>
      </w:r>
      <w:r w:rsidR="002826B8" w:rsidRPr="00F7725F">
        <w:rPr>
          <w:rFonts w:eastAsiaTheme="minorHAnsi"/>
          <w:sz w:val="24"/>
          <w:szCs w:val="24"/>
        </w:rPr>
        <w:t xml:space="preserve"> neuznatelné náklady</w:t>
      </w:r>
    </w:p>
    <w:p w14:paraId="5E9C6A19" w14:textId="77777777" w:rsidR="00F7725F" w:rsidRDefault="00F7725F" w:rsidP="00F7725F">
      <w:pPr>
        <w:rPr>
          <w:rFonts w:eastAsiaTheme="minorHAnsi" w:cs="Calibri"/>
          <w:b/>
          <w:szCs w:val="24"/>
        </w:rPr>
      </w:pPr>
    </w:p>
    <w:p w14:paraId="74BE96C5" w14:textId="1D2CE6BC" w:rsidR="0030716F" w:rsidRPr="00F7725F" w:rsidRDefault="0030716F" w:rsidP="00F7725F">
      <w:pPr>
        <w:rPr>
          <w:rFonts w:eastAsiaTheme="minorHAnsi" w:cstheme="minorHAnsi"/>
          <w:szCs w:val="24"/>
        </w:rPr>
      </w:pPr>
      <w:r w:rsidRPr="00F7725F">
        <w:rPr>
          <w:rFonts w:eastAsiaTheme="minorHAnsi" w:cs="Calibri"/>
          <w:b/>
          <w:szCs w:val="24"/>
        </w:rPr>
        <w:t>Asociace turistických oddílů mládeže České republiky</w:t>
      </w:r>
      <w:r w:rsidRPr="00F7725F">
        <w:rPr>
          <w:rFonts w:eastAsiaTheme="minorHAnsi" w:cs="Calibri"/>
          <w:szCs w:val="24"/>
        </w:rPr>
        <w:t xml:space="preserve"> uhradila z dotace určené na podporu projektu </w:t>
      </w:r>
      <w:r w:rsidRPr="00F7725F">
        <w:rPr>
          <w:rFonts w:cstheme="minorHAnsi"/>
          <w:i/>
          <w:szCs w:val="24"/>
        </w:rPr>
        <w:t>Tomíci v roce 2016</w:t>
      </w:r>
      <w:r w:rsidRPr="00F7725F">
        <w:rPr>
          <w:rFonts w:eastAsiaTheme="minorHAnsi" w:cstheme="minorHAnsi"/>
          <w:szCs w:val="24"/>
        </w:rPr>
        <w:t xml:space="preserve"> </w:t>
      </w:r>
      <w:r w:rsidRPr="00F7725F">
        <w:rPr>
          <w:rFonts w:eastAsiaTheme="minorHAnsi" w:cs="Calibri"/>
          <w:szCs w:val="24"/>
        </w:rPr>
        <w:t xml:space="preserve">v rozporu s jejími podmínkami </w:t>
      </w:r>
      <w:r w:rsidRPr="00F7725F">
        <w:rPr>
          <w:rFonts w:eastAsiaTheme="minorHAnsi" w:cstheme="minorHAnsi"/>
          <w:szCs w:val="24"/>
        </w:rPr>
        <w:t>náklady na pohoštění ve výši 70 340,20 Kč.</w:t>
      </w:r>
    </w:p>
    <w:p w14:paraId="16C5851A" w14:textId="77777777" w:rsidR="00902074" w:rsidRPr="00F7725F" w:rsidRDefault="00902074" w:rsidP="00F7725F">
      <w:pPr>
        <w:rPr>
          <w:rFonts w:eastAsiaTheme="minorHAnsi" w:cs="Calibri"/>
          <w:szCs w:val="24"/>
        </w:rPr>
      </w:pPr>
    </w:p>
    <w:p w14:paraId="00438AC7" w14:textId="0C0E5142" w:rsidR="002826B8" w:rsidRPr="00F7725F" w:rsidRDefault="002826B8" w:rsidP="00F7725F">
      <w:pPr>
        <w:rPr>
          <w:rFonts w:eastAsiaTheme="minorHAnsi" w:cs="Calibri"/>
          <w:szCs w:val="24"/>
        </w:rPr>
      </w:pPr>
      <w:r w:rsidRPr="00F7725F">
        <w:rPr>
          <w:rFonts w:eastAsiaTheme="minorHAnsi" w:cs="Calibri"/>
          <w:b/>
          <w:szCs w:val="24"/>
        </w:rPr>
        <w:t>Asociace malých debrujárů České republiky, spolek</w:t>
      </w:r>
      <w:r w:rsidR="003D3618" w:rsidRPr="00110938">
        <w:rPr>
          <w:rFonts w:eastAsiaTheme="minorHAnsi" w:cs="Calibri"/>
          <w:b/>
          <w:szCs w:val="24"/>
        </w:rPr>
        <w:t>,</w:t>
      </w:r>
      <w:r w:rsidR="00335CE9" w:rsidRPr="00F7725F">
        <w:rPr>
          <w:rFonts w:eastAsiaTheme="minorHAnsi" w:cs="Calibri"/>
          <w:szCs w:val="24"/>
        </w:rPr>
        <w:t xml:space="preserve"> </w:t>
      </w:r>
      <w:r w:rsidR="00A5481D" w:rsidRPr="00F7725F">
        <w:rPr>
          <w:rFonts w:eastAsiaTheme="minorHAnsi" w:cs="Calibri"/>
          <w:szCs w:val="24"/>
        </w:rPr>
        <w:t xml:space="preserve">neoprávněně </w:t>
      </w:r>
      <w:r w:rsidR="00335CE9" w:rsidRPr="00F7725F">
        <w:rPr>
          <w:rFonts w:eastAsiaTheme="minorHAnsi" w:cs="Calibri"/>
          <w:szCs w:val="24"/>
        </w:rPr>
        <w:t>uhradil</w:t>
      </w:r>
      <w:r w:rsidR="00261B7C" w:rsidRPr="00F7725F">
        <w:rPr>
          <w:rFonts w:eastAsiaTheme="minorHAnsi" w:cs="Calibri"/>
          <w:szCs w:val="24"/>
        </w:rPr>
        <w:t>a</w:t>
      </w:r>
      <w:r w:rsidR="00335CE9" w:rsidRPr="00F7725F">
        <w:rPr>
          <w:rFonts w:eastAsiaTheme="minorHAnsi" w:cs="Calibri"/>
          <w:szCs w:val="24"/>
        </w:rPr>
        <w:t xml:space="preserve"> z dotace na</w:t>
      </w:r>
      <w:r w:rsidR="003C104E">
        <w:rPr>
          <w:rFonts w:eastAsiaTheme="minorHAnsi" w:cs="Calibri"/>
          <w:szCs w:val="24"/>
        </w:rPr>
        <w:t xml:space="preserve"> </w:t>
      </w:r>
      <w:r w:rsidRPr="00F7725F">
        <w:rPr>
          <w:rFonts w:eastAsiaTheme="minorHAnsi" w:cs="Calibri"/>
          <w:szCs w:val="24"/>
        </w:rPr>
        <w:t xml:space="preserve">podporu projektu </w:t>
      </w:r>
      <w:r w:rsidRPr="00F7725F">
        <w:rPr>
          <w:rFonts w:eastAsiaTheme="minorHAnsi" w:cs="Calibri"/>
          <w:i/>
          <w:szCs w:val="24"/>
        </w:rPr>
        <w:t>Debrujáři v roce 2014</w:t>
      </w:r>
      <w:r w:rsidRPr="00F7725F">
        <w:rPr>
          <w:rFonts w:eastAsiaTheme="minorHAnsi" w:cs="Calibri"/>
          <w:szCs w:val="24"/>
        </w:rPr>
        <w:t xml:space="preserve"> mzdu za prosinec 2013 v celkové výši 31 339 Kč. Tento náklad nebyl uznatelným pro projekt, jehož realizace b</w:t>
      </w:r>
      <w:r w:rsidR="00FC7CC3" w:rsidRPr="00F7725F">
        <w:rPr>
          <w:rFonts w:eastAsiaTheme="minorHAnsi" w:cs="Calibri"/>
          <w:szCs w:val="24"/>
        </w:rPr>
        <w:t xml:space="preserve">yla rozhodnutím stanovena na období </w:t>
      </w:r>
      <w:r w:rsidR="00A5481D" w:rsidRPr="00F7725F">
        <w:rPr>
          <w:rFonts w:eastAsiaTheme="minorHAnsi" w:cs="Calibri"/>
          <w:szCs w:val="24"/>
        </w:rPr>
        <w:t>roku</w:t>
      </w:r>
      <w:r w:rsidRPr="00F7725F">
        <w:rPr>
          <w:rFonts w:eastAsiaTheme="minorHAnsi" w:cs="Calibri"/>
          <w:szCs w:val="24"/>
        </w:rPr>
        <w:t xml:space="preserve"> 2014, protože časově a věcně nesouvisel s jeho </w:t>
      </w:r>
      <w:r w:rsidR="00335CE9" w:rsidRPr="00F7725F">
        <w:rPr>
          <w:rFonts w:eastAsiaTheme="minorHAnsi" w:cs="Calibri"/>
          <w:szCs w:val="24"/>
        </w:rPr>
        <w:t>realizací.</w:t>
      </w:r>
    </w:p>
    <w:p w14:paraId="742F0BE4" w14:textId="77777777" w:rsidR="00902074" w:rsidRPr="00F7725F" w:rsidRDefault="00902074" w:rsidP="00F7725F">
      <w:pPr>
        <w:rPr>
          <w:rFonts w:eastAsiaTheme="minorHAnsi" w:cs="Calibri"/>
          <w:szCs w:val="24"/>
        </w:rPr>
      </w:pPr>
    </w:p>
    <w:p w14:paraId="51A89DB6" w14:textId="7AD1CDCF" w:rsidR="002826B8" w:rsidRPr="00F7725F" w:rsidRDefault="002826B8" w:rsidP="00F7725F">
      <w:pPr>
        <w:rPr>
          <w:rFonts w:eastAsiaTheme="minorHAnsi" w:cs="Calibri"/>
          <w:szCs w:val="24"/>
        </w:rPr>
      </w:pPr>
      <w:r w:rsidRPr="00F7725F">
        <w:rPr>
          <w:rFonts w:eastAsiaTheme="minorHAnsi" w:cs="Calibri"/>
          <w:b/>
          <w:szCs w:val="24"/>
        </w:rPr>
        <w:t>Asociace malých debrujárů České republiky, spolek</w:t>
      </w:r>
      <w:r w:rsidR="003D3618" w:rsidRPr="00110938">
        <w:rPr>
          <w:rFonts w:eastAsiaTheme="minorHAnsi" w:cs="Calibri"/>
          <w:b/>
          <w:szCs w:val="24"/>
        </w:rPr>
        <w:t>,</w:t>
      </w:r>
      <w:r w:rsidRPr="00F7725F">
        <w:rPr>
          <w:rFonts w:eastAsiaTheme="minorHAnsi" w:cs="Calibri"/>
          <w:szCs w:val="24"/>
        </w:rPr>
        <w:t xml:space="preserve"> </w:t>
      </w:r>
      <w:r w:rsidR="0064054A" w:rsidRPr="00F7725F">
        <w:rPr>
          <w:rFonts w:eastAsiaTheme="minorHAnsi" w:cs="Calibri"/>
          <w:szCs w:val="24"/>
        </w:rPr>
        <w:t xml:space="preserve">také </w:t>
      </w:r>
      <w:r w:rsidR="00A5481D" w:rsidRPr="00F7725F">
        <w:rPr>
          <w:rFonts w:eastAsiaTheme="minorHAnsi" w:cs="Calibri"/>
          <w:szCs w:val="24"/>
        </w:rPr>
        <w:t>ne</w:t>
      </w:r>
      <w:r w:rsidR="008A1A37" w:rsidRPr="00F7725F">
        <w:rPr>
          <w:rFonts w:eastAsiaTheme="minorHAnsi" w:cs="Calibri"/>
          <w:szCs w:val="24"/>
        </w:rPr>
        <w:t>správ</w:t>
      </w:r>
      <w:r w:rsidR="00A5481D" w:rsidRPr="00F7725F">
        <w:rPr>
          <w:rFonts w:eastAsiaTheme="minorHAnsi" w:cs="Calibri"/>
          <w:szCs w:val="24"/>
        </w:rPr>
        <w:t xml:space="preserve">ně </w:t>
      </w:r>
      <w:r w:rsidRPr="00F7725F">
        <w:rPr>
          <w:rFonts w:eastAsiaTheme="minorHAnsi" w:cs="Calibri"/>
          <w:szCs w:val="24"/>
        </w:rPr>
        <w:t>uhradil</w:t>
      </w:r>
      <w:r w:rsidR="00261B7C" w:rsidRPr="00F7725F">
        <w:rPr>
          <w:rFonts w:eastAsiaTheme="minorHAnsi" w:cs="Calibri"/>
          <w:szCs w:val="24"/>
        </w:rPr>
        <w:t>a</w:t>
      </w:r>
      <w:r w:rsidR="00F961F2" w:rsidRPr="00F7725F">
        <w:rPr>
          <w:rFonts w:eastAsiaTheme="minorHAnsi" w:cs="Calibri"/>
          <w:szCs w:val="24"/>
        </w:rPr>
        <w:t xml:space="preserve"> z dotace určené na</w:t>
      </w:r>
      <w:r w:rsidR="00D772E3">
        <w:rPr>
          <w:rFonts w:eastAsiaTheme="minorHAnsi" w:cs="Calibri"/>
          <w:szCs w:val="24"/>
        </w:rPr>
        <w:t xml:space="preserve"> </w:t>
      </w:r>
      <w:r w:rsidRPr="00F7725F">
        <w:rPr>
          <w:rFonts w:eastAsiaTheme="minorHAnsi" w:cs="Calibri"/>
          <w:szCs w:val="24"/>
        </w:rPr>
        <w:t xml:space="preserve">podporu projektu </w:t>
      </w:r>
      <w:r w:rsidRPr="00F7725F">
        <w:rPr>
          <w:rFonts w:eastAsiaTheme="minorHAnsi" w:cs="Calibri"/>
          <w:i/>
          <w:szCs w:val="24"/>
        </w:rPr>
        <w:t>Debrujáři v roce 2015</w:t>
      </w:r>
      <w:r w:rsidRPr="00F7725F">
        <w:rPr>
          <w:rFonts w:eastAsiaTheme="minorHAnsi" w:cs="Calibri"/>
          <w:szCs w:val="24"/>
        </w:rPr>
        <w:t xml:space="preserve"> v rozporu s jejími podmínkami členské příspěvky střešní orga</w:t>
      </w:r>
      <w:r w:rsidR="00335CE9" w:rsidRPr="00F7725F">
        <w:rPr>
          <w:rFonts w:eastAsiaTheme="minorHAnsi" w:cs="Calibri"/>
          <w:szCs w:val="24"/>
        </w:rPr>
        <w:t>nizaci v celkové výši 1 318 Kč.</w:t>
      </w:r>
    </w:p>
    <w:p w14:paraId="3DA96674" w14:textId="77777777" w:rsidR="002826B8" w:rsidRPr="00F7725F" w:rsidRDefault="002826B8" w:rsidP="00F7725F">
      <w:pPr>
        <w:rPr>
          <w:rFonts w:eastAsiaTheme="minorHAnsi" w:cstheme="minorHAnsi"/>
          <w:szCs w:val="24"/>
        </w:rPr>
      </w:pPr>
    </w:p>
    <w:p w14:paraId="26CC3F0B" w14:textId="095F69A9" w:rsidR="002826B8" w:rsidRPr="00F7725F" w:rsidRDefault="00902074" w:rsidP="00F7725F">
      <w:pPr>
        <w:pStyle w:val="Nadpis3"/>
        <w:keepLines/>
        <w:widowControl/>
        <w:numPr>
          <w:ilvl w:val="0"/>
          <w:numId w:val="0"/>
        </w:numPr>
        <w:spacing w:after="0"/>
        <w:ind w:left="-6"/>
        <w:rPr>
          <w:rFonts w:eastAsiaTheme="minorHAnsi"/>
          <w:sz w:val="24"/>
          <w:szCs w:val="24"/>
        </w:rPr>
      </w:pPr>
      <w:r w:rsidRPr="00F7725F">
        <w:rPr>
          <w:rFonts w:eastAsiaTheme="minorHAnsi"/>
          <w:sz w:val="24"/>
          <w:szCs w:val="24"/>
        </w:rPr>
        <w:lastRenderedPageBreak/>
        <w:t xml:space="preserve">4.3 </w:t>
      </w:r>
      <w:r w:rsidR="002826B8" w:rsidRPr="00F7725F">
        <w:rPr>
          <w:rFonts w:eastAsiaTheme="minorHAnsi"/>
          <w:sz w:val="24"/>
          <w:szCs w:val="24"/>
        </w:rPr>
        <w:t>Příjemci dotací nepoužili část dotace k</w:t>
      </w:r>
      <w:r w:rsidR="00AE3DAC" w:rsidRPr="00F7725F">
        <w:rPr>
          <w:rFonts w:eastAsiaTheme="minorHAnsi"/>
          <w:sz w:val="24"/>
          <w:szCs w:val="24"/>
        </w:rPr>
        <w:t> realizaci schváleného projektu</w:t>
      </w:r>
      <w:r w:rsidR="006F41EB" w:rsidRPr="00F7725F">
        <w:rPr>
          <w:rFonts w:eastAsiaTheme="minorHAnsi"/>
          <w:sz w:val="24"/>
          <w:szCs w:val="24"/>
        </w:rPr>
        <w:t>.</w:t>
      </w:r>
    </w:p>
    <w:p w14:paraId="7F60C478" w14:textId="77777777" w:rsidR="00F7725F" w:rsidRPr="00F7725F" w:rsidRDefault="00F7725F" w:rsidP="00F7725F">
      <w:pPr>
        <w:keepNext/>
        <w:keepLines/>
        <w:widowControl/>
        <w:rPr>
          <w:rFonts w:eastAsiaTheme="minorHAnsi"/>
          <w:szCs w:val="24"/>
        </w:rPr>
      </w:pPr>
    </w:p>
    <w:p w14:paraId="7C94DA2B" w14:textId="1351F5F0" w:rsidR="008A1A37" w:rsidRPr="00F7725F" w:rsidRDefault="008A1A37" w:rsidP="00F7725F">
      <w:pPr>
        <w:keepNext/>
        <w:keepLines/>
        <w:widowControl/>
        <w:rPr>
          <w:rFonts w:eastAsiaTheme="minorHAnsi"/>
          <w:szCs w:val="24"/>
        </w:rPr>
      </w:pPr>
      <w:r w:rsidRPr="00F7725F">
        <w:rPr>
          <w:rFonts w:eastAsiaTheme="minorHAnsi"/>
          <w:b/>
          <w:szCs w:val="24"/>
        </w:rPr>
        <w:t>Pionýr, z. s.</w:t>
      </w:r>
      <w:r w:rsidRPr="00110938">
        <w:rPr>
          <w:rFonts w:eastAsiaTheme="minorHAnsi"/>
          <w:b/>
          <w:szCs w:val="24"/>
        </w:rPr>
        <w:t>,</w:t>
      </w:r>
      <w:r w:rsidRPr="00F7725F">
        <w:rPr>
          <w:rFonts w:eastAsiaTheme="minorHAnsi"/>
          <w:szCs w:val="24"/>
        </w:rPr>
        <w:t xml:space="preserve"> vykázal ve vyúčtování dotace určené na projekt </w:t>
      </w:r>
      <w:r w:rsidRPr="00F7725F">
        <w:rPr>
          <w:rFonts w:eastAsiaTheme="minorHAnsi"/>
          <w:i/>
          <w:szCs w:val="24"/>
        </w:rPr>
        <w:t>Rosteme s dětmi 2014</w:t>
      </w:r>
      <w:r w:rsidRPr="00F7725F">
        <w:rPr>
          <w:rFonts w:eastAsiaTheme="minorHAnsi"/>
          <w:szCs w:val="24"/>
        </w:rPr>
        <w:t xml:space="preserve"> náklady na</w:t>
      </w:r>
      <w:r w:rsidR="00D772E3">
        <w:rPr>
          <w:rFonts w:eastAsiaTheme="minorHAnsi"/>
          <w:szCs w:val="24"/>
        </w:rPr>
        <w:t xml:space="preserve"> </w:t>
      </w:r>
      <w:r w:rsidRPr="00F7725F">
        <w:rPr>
          <w:rFonts w:eastAsiaTheme="minorHAnsi"/>
          <w:szCs w:val="24"/>
        </w:rPr>
        <w:t>energie a služby o 306 984 Kč v</w:t>
      </w:r>
      <w:r w:rsidR="006A59B1" w:rsidRPr="00F7725F">
        <w:rPr>
          <w:rFonts w:eastAsiaTheme="minorHAnsi"/>
          <w:szCs w:val="24"/>
        </w:rPr>
        <w:t>yšší oproti skutečným nákladům</w:t>
      </w:r>
      <w:r w:rsidR="00B633D0" w:rsidRPr="00F7725F">
        <w:rPr>
          <w:rFonts w:eastAsiaTheme="minorHAnsi"/>
          <w:szCs w:val="24"/>
        </w:rPr>
        <w:t>, které uhradil za rok 2014,</w:t>
      </w:r>
      <w:r w:rsidRPr="00F7725F">
        <w:rPr>
          <w:rFonts w:eastAsiaTheme="minorHAnsi"/>
          <w:szCs w:val="24"/>
        </w:rPr>
        <w:t xml:space="preserve"> a</w:t>
      </w:r>
      <w:r w:rsidR="00121600">
        <w:rPr>
          <w:rFonts w:eastAsiaTheme="minorHAnsi"/>
          <w:szCs w:val="24"/>
        </w:rPr>
        <w:t> </w:t>
      </w:r>
      <w:r w:rsidRPr="00F7725F">
        <w:rPr>
          <w:rFonts w:eastAsiaTheme="minorHAnsi"/>
          <w:szCs w:val="24"/>
        </w:rPr>
        <w:t xml:space="preserve">obdobně u projektu </w:t>
      </w:r>
      <w:r w:rsidRPr="00F7725F">
        <w:rPr>
          <w:rFonts w:eastAsiaTheme="minorHAnsi"/>
          <w:i/>
          <w:szCs w:val="24"/>
        </w:rPr>
        <w:t>Rosteme s dětmi 2015</w:t>
      </w:r>
      <w:r w:rsidRPr="00F7725F">
        <w:rPr>
          <w:rFonts w:eastAsiaTheme="minorHAnsi"/>
          <w:szCs w:val="24"/>
        </w:rPr>
        <w:t xml:space="preserve"> vykázal ve vyúčtování dotace náklady na energie a služby o 84 143 Kč </w:t>
      </w:r>
      <w:r w:rsidR="006A59B1" w:rsidRPr="00F7725F">
        <w:rPr>
          <w:rFonts w:eastAsiaTheme="minorHAnsi"/>
          <w:szCs w:val="24"/>
        </w:rPr>
        <w:t>vyšší oproti skutečným nákladům</w:t>
      </w:r>
      <w:r w:rsidR="00B633D0" w:rsidRPr="00F7725F">
        <w:rPr>
          <w:rFonts w:eastAsiaTheme="minorHAnsi"/>
          <w:szCs w:val="24"/>
        </w:rPr>
        <w:t>, které uhradil za rok 2015</w:t>
      </w:r>
      <w:r w:rsidRPr="00F7725F">
        <w:rPr>
          <w:rFonts w:eastAsiaTheme="minorHAnsi"/>
          <w:szCs w:val="24"/>
        </w:rPr>
        <w:t>.</w:t>
      </w:r>
    </w:p>
    <w:p w14:paraId="1ED8D21A" w14:textId="77777777" w:rsidR="00902074" w:rsidRPr="00F7725F" w:rsidRDefault="00902074" w:rsidP="00F7725F">
      <w:pPr>
        <w:rPr>
          <w:rFonts w:eastAsiaTheme="minorHAnsi"/>
          <w:szCs w:val="24"/>
        </w:rPr>
      </w:pPr>
    </w:p>
    <w:p w14:paraId="2D80A219" w14:textId="18F8D2FF" w:rsidR="008A1A37" w:rsidRPr="00F7725F" w:rsidRDefault="008A1A37" w:rsidP="00F7725F">
      <w:pPr>
        <w:rPr>
          <w:rFonts w:eastAsiaTheme="minorHAnsi"/>
          <w:szCs w:val="24"/>
        </w:rPr>
      </w:pPr>
      <w:r w:rsidRPr="00F7725F">
        <w:rPr>
          <w:rFonts w:eastAsiaTheme="minorHAnsi"/>
          <w:b/>
          <w:szCs w:val="24"/>
        </w:rPr>
        <w:t>Česká rada dětí a mládeže</w:t>
      </w:r>
      <w:r w:rsidRPr="00F7725F">
        <w:rPr>
          <w:rFonts w:eastAsiaTheme="minorHAnsi"/>
          <w:szCs w:val="24"/>
        </w:rPr>
        <w:t xml:space="preserve"> vykázala ve vyúčtování dotace určené na projekt </w:t>
      </w:r>
      <w:r w:rsidRPr="00F7725F">
        <w:rPr>
          <w:rFonts w:eastAsiaTheme="minorHAnsi"/>
          <w:i/>
          <w:szCs w:val="24"/>
        </w:rPr>
        <w:t>Česká rada dětí a mládeže v roce 2014</w:t>
      </w:r>
      <w:r w:rsidRPr="00F7725F">
        <w:rPr>
          <w:rFonts w:eastAsiaTheme="minorHAnsi"/>
          <w:szCs w:val="24"/>
        </w:rPr>
        <w:t xml:space="preserve"> náklady na energie a služby o 81 036,90 Kč vyšší oproti</w:t>
      </w:r>
      <w:r w:rsidR="00D772E3">
        <w:rPr>
          <w:rFonts w:eastAsiaTheme="minorHAnsi"/>
          <w:szCs w:val="24"/>
        </w:rPr>
        <w:t xml:space="preserve"> </w:t>
      </w:r>
      <w:r w:rsidRPr="00F7725F">
        <w:rPr>
          <w:rFonts w:eastAsiaTheme="minorHAnsi"/>
          <w:szCs w:val="24"/>
        </w:rPr>
        <w:t>skutečným nákladům.</w:t>
      </w:r>
    </w:p>
    <w:p w14:paraId="485FE4BE" w14:textId="77777777" w:rsidR="00902074" w:rsidRPr="00F7725F" w:rsidRDefault="00902074" w:rsidP="00F7725F">
      <w:pPr>
        <w:rPr>
          <w:rFonts w:eastAsiaTheme="minorHAnsi"/>
          <w:szCs w:val="24"/>
        </w:rPr>
      </w:pPr>
    </w:p>
    <w:p w14:paraId="049B46BE" w14:textId="644E001B" w:rsidR="002826B8" w:rsidRPr="00F7725F" w:rsidRDefault="002826B8" w:rsidP="00F7725F">
      <w:pPr>
        <w:rPr>
          <w:rFonts w:eastAsiaTheme="minorHAnsi"/>
          <w:szCs w:val="24"/>
        </w:rPr>
      </w:pPr>
      <w:r w:rsidRPr="00F7725F">
        <w:rPr>
          <w:rFonts w:eastAsiaTheme="minorHAnsi"/>
          <w:b/>
          <w:szCs w:val="24"/>
        </w:rPr>
        <w:t xml:space="preserve">Junák </w:t>
      </w:r>
      <w:r w:rsidR="00D772E3">
        <w:rPr>
          <w:rFonts w:eastAsiaTheme="minorHAnsi"/>
          <w:b/>
          <w:szCs w:val="24"/>
        </w:rPr>
        <w:t>–</w:t>
      </w:r>
      <w:r w:rsidRPr="00F7725F">
        <w:rPr>
          <w:rFonts w:eastAsiaTheme="minorHAnsi"/>
          <w:b/>
          <w:szCs w:val="24"/>
        </w:rPr>
        <w:t xml:space="preserve"> český skaut, z. s.</w:t>
      </w:r>
      <w:r w:rsidR="003D3618" w:rsidRPr="00110938">
        <w:rPr>
          <w:rFonts w:eastAsiaTheme="minorHAnsi"/>
          <w:b/>
          <w:szCs w:val="24"/>
        </w:rPr>
        <w:t>,</w:t>
      </w:r>
      <w:r w:rsidRPr="00F7725F">
        <w:rPr>
          <w:rFonts w:eastAsiaTheme="minorHAnsi"/>
          <w:szCs w:val="24"/>
        </w:rPr>
        <w:t xml:space="preserve"> vykázal ve vyúčtování dotace určené na podporu projektu </w:t>
      </w:r>
      <w:r w:rsidRPr="00F7725F">
        <w:rPr>
          <w:rFonts w:eastAsiaTheme="minorHAnsi"/>
          <w:i/>
          <w:szCs w:val="24"/>
        </w:rPr>
        <w:t xml:space="preserve">Inspirovat skautingem </w:t>
      </w:r>
      <w:r w:rsidRPr="00F7725F">
        <w:rPr>
          <w:rFonts w:eastAsiaTheme="minorHAnsi"/>
          <w:szCs w:val="24"/>
        </w:rPr>
        <w:t>náklady na spotřebu el. energie o 20 326 Kč vyš</w:t>
      </w:r>
      <w:r w:rsidR="00FC7CC3" w:rsidRPr="00F7725F">
        <w:rPr>
          <w:rFonts w:eastAsiaTheme="minorHAnsi"/>
          <w:szCs w:val="24"/>
        </w:rPr>
        <w:t>ší oproti</w:t>
      </w:r>
      <w:r w:rsidR="00D772E3">
        <w:rPr>
          <w:rFonts w:eastAsiaTheme="minorHAnsi"/>
          <w:szCs w:val="24"/>
        </w:rPr>
        <w:t xml:space="preserve"> </w:t>
      </w:r>
      <w:r w:rsidR="00EB7114" w:rsidRPr="00F7725F">
        <w:rPr>
          <w:rFonts w:eastAsiaTheme="minorHAnsi"/>
          <w:szCs w:val="24"/>
        </w:rPr>
        <w:t>skutečným nákladům.</w:t>
      </w:r>
    </w:p>
    <w:p w14:paraId="24747B56" w14:textId="77777777" w:rsidR="004B7F0F" w:rsidRPr="00F7725F" w:rsidRDefault="004B7F0F" w:rsidP="00F7725F">
      <w:pPr>
        <w:rPr>
          <w:rFonts w:eastAsiaTheme="minorHAnsi"/>
          <w:b/>
          <w:szCs w:val="24"/>
        </w:rPr>
      </w:pPr>
    </w:p>
    <w:p w14:paraId="75161538" w14:textId="6463C087" w:rsidR="002826B8" w:rsidRPr="00F7725F" w:rsidRDefault="002826B8" w:rsidP="00F7725F">
      <w:pPr>
        <w:rPr>
          <w:rFonts w:eastAsiaTheme="minorHAnsi"/>
          <w:b/>
          <w:szCs w:val="24"/>
        </w:rPr>
      </w:pPr>
      <w:r w:rsidRPr="00F7725F">
        <w:rPr>
          <w:rFonts w:eastAsiaTheme="minorHAnsi"/>
          <w:b/>
          <w:szCs w:val="24"/>
        </w:rPr>
        <w:t>Příjemci dotace ve všech uvedených případech nepoužili</w:t>
      </w:r>
      <w:r w:rsidR="00AE3DAC" w:rsidRPr="00F7725F">
        <w:rPr>
          <w:rFonts w:eastAsiaTheme="minorHAnsi"/>
          <w:b/>
          <w:szCs w:val="24"/>
        </w:rPr>
        <w:t xml:space="preserve"> část dotace na realizaci schváleného projektu</w:t>
      </w:r>
      <w:r w:rsidRPr="00F7725F">
        <w:rPr>
          <w:rFonts w:eastAsiaTheme="minorHAnsi"/>
          <w:b/>
          <w:szCs w:val="24"/>
        </w:rPr>
        <w:t xml:space="preserve"> a nevrátili j</w:t>
      </w:r>
      <w:r w:rsidR="00AE3DAC" w:rsidRPr="00F7725F">
        <w:rPr>
          <w:rFonts w:eastAsiaTheme="minorHAnsi"/>
          <w:b/>
          <w:szCs w:val="24"/>
        </w:rPr>
        <w:t>i</w:t>
      </w:r>
      <w:r w:rsidRPr="00F7725F">
        <w:rPr>
          <w:rFonts w:eastAsiaTheme="minorHAnsi"/>
          <w:b/>
          <w:szCs w:val="24"/>
        </w:rPr>
        <w:t xml:space="preserve"> do státního rozpočtu.</w:t>
      </w:r>
    </w:p>
    <w:p w14:paraId="6B3904CB" w14:textId="77777777" w:rsidR="002826B8" w:rsidRPr="00F7725F" w:rsidRDefault="002826B8" w:rsidP="00F7725F">
      <w:pPr>
        <w:rPr>
          <w:rFonts w:cs="Calibri"/>
          <w:b/>
          <w:szCs w:val="24"/>
          <w:lang w:eastAsia="en-US"/>
        </w:rPr>
      </w:pPr>
    </w:p>
    <w:p w14:paraId="0579DEE7" w14:textId="3CCFE1AE" w:rsidR="002826B8" w:rsidRPr="00F7725F" w:rsidRDefault="00902074" w:rsidP="00F7725F">
      <w:pPr>
        <w:pStyle w:val="Nadpis3"/>
        <w:numPr>
          <w:ilvl w:val="0"/>
          <w:numId w:val="0"/>
        </w:numPr>
        <w:spacing w:after="0"/>
        <w:ind w:left="-6"/>
        <w:rPr>
          <w:rStyle w:val="Nadpis2Char"/>
          <w:rFonts w:eastAsiaTheme="majorEastAsia" w:cstheme="majorBidi"/>
          <w:b/>
          <w:bCs w:val="0"/>
          <w:sz w:val="24"/>
        </w:rPr>
      </w:pPr>
      <w:r w:rsidRPr="00F7725F">
        <w:rPr>
          <w:rStyle w:val="Nadpis2Char"/>
          <w:rFonts w:eastAsiaTheme="majorEastAsia" w:cstheme="majorBidi"/>
          <w:b/>
          <w:bCs w:val="0"/>
          <w:sz w:val="24"/>
        </w:rPr>
        <w:t xml:space="preserve">4.4 </w:t>
      </w:r>
      <w:r w:rsidR="002826B8" w:rsidRPr="00F7725F">
        <w:rPr>
          <w:rStyle w:val="Nadpis2Char"/>
          <w:rFonts w:eastAsiaTheme="majorEastAsia" w:cstheme="majorBidi"/>
          <w:b/>
          <w:bCs w:val="0"/>
          <w:sz w:val="24"/>
        </w:rPr>
        <w:t>Příjemci nedo</w:t>
      </w:r>
      <w:r w:rsidR="00E53209" w:rsidRPr="00F7725F">
        <w:rPr>
          <w:rStyle w:val="Nadpis2Char"/>
          <w:rFonts w:eastAsiaTheme="majorEastAsia" w:cstheme="majorBidi"/>
          <w:b/>
          <w:bCs w:val="0"/>
          <w:sz w:val="24"/>
        </w:rPr>
        <w:t>drželi celkový rozpočet projektu, přesto dotaci čerpali v plné výši</w:t>
      </w:r>
      <w:r w:rsidR="00335CE9" w:rsidRPr="00F7725F">
        <w:rPr>
          <w:rStyle w:val="Nadpis2Char"/>
          <w:rFonts w:eastAsiaTheme="majorEastAsia" w:cstheme="majorBidi"/>
          <w:b/>
          <w:bCs w:val="0"/>
          <w:sz w:val="24"/>
        </w:rPr>
        <w:t>.</w:t>
      </w:r>
    </w:p>
    <w:p w14:paraId="4CA0ABE7" w14:textId="77777777" w:rsidR="00F7725F" w:rsidRPr="00F7725F" w:rsidRDefault="00F7725F" w:rsidP="00F7725F">
      <w:pPr>
        <w:rPr>
          <w:rFonts w:eastAsiaTheme="minorHAnsi"/>
          <w:szCs w:val="24"/>
          <w:lang w:eastAsia="en-US"/>
        </w:rPr>
      </w:pPr>
    </w:p>
    <w:p w14:paraId="2F6900D6" w14:textId="5C4E0ABA" w:rsidR="002826B8" w:rsidRPr="00F7725F" w:rsidRDefault="002826B8" w:rsidP="00F7725F">
      <w:pPr>
        <w:rPr>
          <w:rFonts w:eastAsiaTheme="minorHAnsi"/>
          <w:szCs w:val="24"/>
        </w:rPr>
      </w:pPr>
      <w:r w:rsidRPr="00F7725F">
        <w:rPr>
          <w:rFonts w:eastAsiaTheme="minorHAnsi"/>
          <w:b/>
          <w:szCs w:val="24"/>
          <w:lang w:eastAsia="en-US"/>
        </w:rPr>
        <w:t>Asociace malých debrujárů České republiky, spolek</w:t>
      </w:r>
      <w:r w:rsidR="003D3618" w:rsidRPr="00110938">
        <w:rPr>
          <w:rFonts w:eastAsiaTheme="minorHAnsi"/>
          <w:b/>
          <w:szCs w:val="24"/>
          <w:lang w:eastAsia="en-US"/>
        </w:rPr>
        <w:t>,</w:t>
      </w:r>
      <w:r w:rsidRPr="00F7725F">
        <w:rPr>
          <w:rFonts w:eastAsiaTheme="minorHAnsi"/>
          <w:szCs w:val="24"/>
          <w:lang w:eastAsia="en-US"/>
        </w:rPr>
        <w:t xml:space="preserve"> nedodržel</w:t>
      </w:r>
      <w:r w:rsidR="00261B7C" w:rsidRPr="00F7725F">
        <w:rPr>
          <w:rFonts w:eastAsiaTheme="minorHAnsi"/>
          <w:szCs w:val="24"/>
          <w:lang w:eastAsia="en-US"/>
        </w:rPr>
        <w:t>a</w:t>
      </w:r>
      <w:r w:rsidRPr="00F7725F">
        <w:rPr>
          <w:rFonts w:eastAsiaTheme="minorHAnsi"/>
          <w:szCs w:val="24"/>
          <w:lang w:eastAsia="en-US"/>
        </w:rPr>
        <w:t xml:space="preserve"> </w:t>
      </w:r>
      <w:r w:rsidR="00335CE9" w:rsidRPr="00F7725F">
        <w:rPr>
          <w:rFonts w:eastAsiaTheme="minorHAnsi"/>
          <w:szCs w:val="24"/>
        </w:rPr>
        <w:t>u </w:t>
      </w:r>
      <w:r w:rsidRPr="00F7725F">
        <w:rPr>
          <w:rFonts w:eastAsiaTheme="minorHAnsi"/>
          <w:szCs w:val="24"/>
          <w:lang w:eastAsia="en-US"/>
        </w:rPr>
        <w:t xml:space="preserve">podpořeného projektu </w:t>
      </w:r>
      <w:r w:rsidR="00261B7C" w:rsidRPr="00F7725F">
        <w:rPr>
          <w:rFonts w:eastAsiaTheme="minorHAnsi"/>
          <w:i/>
          <w:szCs w:val="24"/>
        </w:rPr>
        <w:t>Za </w:t>
      </w:r>
      <w:r w:rsidRPr="00F7725F">
        <w:rPr>
          <w:rFonts w:eastAsiaTheme="minorHAnsi"/>
          <w:i/>
          <w:szCs w:val="24"/>
        </w:rPr>
        <w:t>vědou</w:t>
      </w:r>
      <w:r w:rsidR="00AE57C6" w:rsidRPr="00F7725F">
        <w:rPr>
          <w:rFonts w:eastAsiaTheme="minorHAnsi"/>
          <w:i/>
          <w:szCs w:val="24"/>
        </w:rPr>
        <w:t>!</w:t>
      </w:r>
      <w:r w:rsidRPr="00F7725F">
        <w:rPr>
          <w:rFonts w:eastAsiaTheme="minorHAnsi"/>
          <w:szCs w:val="24"/>
        </w:rPr>
        <w:t xml:space="preserve"> parametry r</w:t>
      </w:r>
      <w:r w:rsidRPr="00F7725F">
        <w:rPr>
          <w:rFonts w:eastAsiaTheme="minorHAnsi"/>
          <w:szCs w:val="24"/>
          <w:lang w:eastAsia="en-US"/>
        </w:rPr>
        <w:t>ozhodnutí</w:t>
      </w:r>
      <w:r w:rsidR="00335CE9" w:rsidRPr="00F7725F">
        <w:rPr>
          <w:rFonts w:eastAsiaTheme="minorHAnsi"/>
          <w:szCs w:val="24"/>
        </w:rPr>
        <w:t xml:space="preserve"> o přidělení dotace, které</w:t>
      </w:r>
      <w:r w:rsidR="00D772E3">
        <w:rPr>
          <w:rFonts w:eastAsiaTheme="minorHAnsi"/>
          <w:szCs w:val="24"/>
        </w:rPr>
        <w:t xml:space="preserve"> </w:t>
      </w:r>
      <w:r w:rsidRPr="00F7725F">
        <w:rPr>
          <w:rFonts w:eastAsiaTheme="minorHAnsi"/>
          <w:szCs w:val="24"/>
          <w:lang w:eastAsia="en-US"/>
        </w:rPr>
        <w:t xml:space="preserve">stanovilo, že </w:t>
      </w:r>
      <w:r w:rsidRPr="00F7725F">
        <w:rPr>
          <w:rFonts w:eastAsiaTheme="minorHAnsi"/>
          <w:szCs w:val="24"/>
        </w:rPr>
        <w:t>celkové náklady projektu měly být ve výši 430 000 Kč a dotace měla tvořit</w:t>
      </w:r>
      <w:r w:rsidR="00335CE9" w:rsidRPr="00F7725F">
        <w:rPr>
          <w:rFonts w:eastAsiaTheme="minorHAnsi"/>
          <w:szCs w:val="24"/>
        </w:rPr>
        <w:t xml:space="preserve"> 29 </w:t>
      </w:r>
      <w:r w:rsidR="00FC7CC3" w:rsidRPr="00F7725F">
        <w:rPr>
          <w:rFonts w:eastAsiaTheme="minorHAnsi"/>
          <w:szCs w:val="24"/>
        </w:rPr>
        <w:t>% rozpočtu projektu. Z </w:t>
      </w:r>
      <w:r w:rsidRPr="00F7725F">
        <w:rPr>
          <w:rFonts w:eastAsiaTheme="minorHAnsi"/>
          <w:szCs w:val="24"/>
        </w:rPr>
        <w:t>vyúčtování dotace bylo zjištěno, že skutečné celkové náklady proj</w:t>
      </w:r>
      <w:r w:rsidR="00FC7CC3" w:rsidRPr="00F7725F">
        <w:rPr>
          <w:rFonts w:eastAsiaTheme="minorHAnsi"/>
          <w:szCs w:val="24"/>
        </w:rPr>
        <w:t>ektu byly pouze 184 </w:t>
      </w:r>
      <w:r w:rsidR="00261B7C" w:rsidRPr="00F7725F">
        <w:rPr>
          <w:rFonts w:eastAsiaTheme="minorHAnsi"/>
          <w:szCs w:val="24"/>
        </w:rPr>
        <w:t>538 Kč a </w:t>
      </w:r>
      <w:r w:rsidRPr="00F7725F">
        <w:rPr>
          <w:rFonts w:eastAsiaTheme="minorHAnsi"/>
          <w:szCs w:val="24"/>
        </w:rPr>
        <w:t>dotace tvořila 68 % rozpočtu projektu. Příjemce tak nedodržel stanoven</w:t>
      </w:r>
      <w:r w:rsidR="00F15712" w:rsidRPr="00F7725F">
        <w:rPr>
          <w:rFonts w:eastAsiaTheme="minorHAnsi"/>
          <w:szCs w:val="24"/>
        </w:rPr>
        <w:t>é</w:t>
      </w:r>
      <w:r w:rsidRPr="00F7725F">
        <w:rPr>
          <w:rFonts w:eastAsiaTheme="minorHAnsi"/>
          <w:szCs w:val="24"/>
        </w:rPr>
        <w:t xml:space="preserve"> celkov</w:t>
      </w:r>
      <w:r w:rsidR="00F15712" w:rsidRPr="00F7725F">
        <w:rPr>
          <w:rFonts w:eastAsiaTheme="minorHAnsi"/>
          <w:szCs w:val="24"/>
        </w:rPr>
        <w:t>é náklady projektu o 245 462 Kč</w:t>
      </w:r>
      <w:r w:rsidR="004D0A56" w:rsidRPr="00F7725F">
        <w:rPr>
          <w:rFonts w:eastAsiaTheme="minorHAnsi"/>
          <w:szCs w:val="24"/>
        </w:rPr>
        <w:t>, ale dotaci vyčerpal v plné výši.</w:t>
      </w:r>
    </w:p>
    <w:p w14:paraId="07E32CB3" w14:textId="77777777" w:rsidR="00902074" w:rsidRPr="00F7725F" w:rsidRDefault="00902074" w:rsidP="00F7725F">
      <w:pPr>
        <w:rPr>
          <w:rFonts w:eastAsiaTheme="minorHAnsi"/>
          <w:szCs w:val="24"/>
        </w:rPr>
      </w:pPr>
    </w:p>
    <w:p w14:paraId="61E77A65" w14:textId="1124E660" w:rsidR="002826B8" w:rsidRPr="00F7725F" w:rsidRDefault="002826B8" w:rsidP="00F7725F">
      <w:pPr>
        <w:rPr>
          <w:rFonts w:eastAsiaTheme="minorHAnsi"/>
          <w:szCs w:val="24"/>
        </w:rPr>
      </w:pPr>
      <w:r w:rsidRPr="00F7725F">
        <w:rPr>
          <w:rFonts w:eastAsiaTheme="minorHAnsi"/>
          <w:b/>
          <w:szCs w:val="24"/>
          <w:lang w:eastAsia="en-US"/>
        </w:rPr>
        <w:t>Institut zážitkové pedagogiky</w:t>
      </w:r>
      <w:r w:rsidRPr="00F7725F">
        <w:rPr>
          <w:rFonts w:eastAsiaTheme="minorHAnsi"/>
          <w:szCs w:val="24"/>
          <w:lang w:eastAsia="en-US"/>
        </w:rPr>
        <w:t xml:space="preserve"> nedodržel u podpořeného projektu </w:t>
      </w:r>
      <w:r w:rsidRPr="00F7725F">
        <w:rPr>
          <w:rFonts w:eastAsiaTheme="minorHAnsi"/>
          <w:i/>
          <w:szCs w:val="24"/>
        </w:rPr>
        <w:t>Všeználek 2016</w:t>
      </w:r>
      <w:r w:rsidRPr="00F7725F">
        <w:rPr>
          <w:rFonts w:eastAsiaTheme="minorHAnsi"/>
          <w:szCs w:val="24"/>
        </w:rPr>
        <w:t xml:space="preserve"> parametry r</w:t>
      </w:r>
      <w:r w:rsidRPr="00F7725F">
        <w:rPr>
          <w:rFonts w:eastAsiaTheme="minorHAnsi"/>
          <w:szCs w:val="24"/>
          <w:lang w:eastAsia="en-US"/>
        </w:rPr>
        <w:t xml:space="preserve">ozhodnutí o přidělení dotace, které stanovilo, že </w:t>
      </w:r>
      <w:r w:rsidRPr="00F7725F">
        <w:rPr>
          <w:rFonts w:eastAsiaTheme="minorHAnsi"/>
          <w:szCs w:val="24"/>
        </w:rPr>
        <w:t xml:space="preserve">celkové náklady projektu měly být ve výši 1 423 710 Kč. Z vyúčtování dotace </w:t>
      </w:r>
      <w:r w:rsidR="00335CE9" w:rsidRPr="00F7725F">
        <w:rPr>
          <w:rFonts w:eastAsiaTheme="minorHAnsi"/>
          <w:szCs w:val="24"/>
        </w:rPr>
        <w:t>bylo zjištěno, že</w:t>
      </w:r>
      <w:r w:rsidR="000B3F8D">
        <w:rPr>
          <w:rFonts w:eastAsiaTheme="minorHAnsi"/>
          <w:szCs w:val="24"/>
        </w:rPr>
        <w:t xml:space="preserve"> </w:t>
      </w:r>
      <w:r w:rsidRPr="00F7725F">
        <w:rPr>
          <w:rFonts w:eastAsiaTheme="minorHAnsi"/>
          <w:szCs w:val="24"/>
        </w:rPr>
        <w:t>skutečné celkové náklady projektu byly pouze 1 381 766 Kč. Příj</w:t>
      </w:r>
      <w:r w:rsidR="00F15712" w:rsidRPr="00F7725F">
        <w:rPr>
          <w:rFonts w:eastAsiaTheme="minorHAnsi"/>
          <w:szCs w:val="24"/>
        </w:rPr>
        <w:t>emce tak nedodržel stanovené</w:t>
      </w:r>
      <w:r w:rsidRPr="00F7725F">
        <w:rPr>
          <w:rFonts w:eastAsiaTheme="minorHAnsi"/>
          <w:szCs w:val="24"/>
        </w:rPr>
        <w:t xml:space="preserve"> celkov</w:t>
      </w:r>
      <w:r w:rsidR="00F15712" w:rsidRPr="00F7725F">
        <w:rPr>
          <w:rFonts w:eastAsiaTheme="minorHAnsi"/>
          <w:szCs w:val="24"/>
        </w:rPr>
        <w:t>é</w:t>
      </w:r>
      <w:r w:rsidRPr="00F7725F">
        <w:rPr>
          <w:rFonts w:eastAsiaTheme="minorHAnsi"/>
          <w:szCs w:val="24"/>
        </w:rPr>
        <w:t xml:space="preserve"> náklad</w:t>
      </w:r>
      <w:r w:rsidR="00F15712" w:rsidRPr="00F7725F">
        <w:rPr>
          <w:rFonts w:eastAsiaTheme="minorHAnsi"/>
          <w:szCs w:val="24"/>
        </w:rPr>
        <w:t>y</w:t>
      </w:r>
      <w:r w:rsidRPr="00F7725F">
        <w:rPr>
          <w:rFonts w:eastAsiaTheme="minorHAnsi"/>
          <w:szCs w:val="24"/>
        </w:rPr>
        <w:t xml:space="preserve"> projektu o 41 944 Kč</w:t>
      </w:r>
      <w:r w:rsidR="004D0A56" w:rsidRPr="00F7725F">
        <w:rPr>
          <w:rFonts w:eastAsiaTheme="minorHAnsi"/>
          <w:szCs w:val="24"/>
        </w:rPr>
        <w:t>, ale dotaci vyčerpal v plné výši.</w:t>
      </w:r>
    </w:p>
    <w:p w14:paraId="4E0CA2D2" w14:textId="77777777" w:rsidR="00902074" w:rsidRPr="00F7725F" w:rsidRDefault="00902074" w:rsidP="00F7725F">
      <w:pPr>
        <w:rPr>
          <w:rFonts w:eastAsiaTheme="minorHAnsi"/>
          <w:szCs w:val="24"/>
        </w:rPr>
      </w:pPr>
    </w:p>
    <w:p w14:paraId="6AD9EBA5" w14:textId="452812FB" w:rsidR="002826B8" w:rsidRPr="00F7725F" w:rsidRDefault="002826B8" w:rsidP="00F7725F">
      <w:pPr>
        <w:rPr>
          <w:rFonts w:eastAsiaTheme="minorHAnsi"/>
          <w:szCs w:val="24"/>
        </w:rPr>
      </w:pPr>
      <w:r w:rsidRPr="00F7725F">
        <w:rPr>
          <w:rFonts w:eastAsiaTheme="minorHAnsi"/>
          <w:b/>
          <w:szCs w:val="24"/>
        </w:rPr>
        <w:t>KreBul, o.p.s.</w:t>
      </w:r>
      <w:r w:rsidR="003D3618" w:rsidRPr="00110938">
        <w:rPr>
          <w:rFonts w:eastAsiaTheme="minorHAnsi"/>
          <w:b/>
          <w:szCs w:val="24"/>
        </w:rPr>
        <w:t>,</w:t>
      </w:r>
      <w:r w:rsidRPr="00F7725F">
        <w:rPr>
          <w:rFonts w:eastAsiaTheme="minorHAnsi"/>
          <w:szCs w:val="24"/>
        </w:rPr>
        <w:t xml:space="preserve"> nedodržel u podpořeného projektu </w:t>
      </w:r>
      <w:r w:rsidRPr="00F7725F">
        <w:rPr>
          <w:rFonts w:eastAsiaTheme="minorHAnsi"/>
          <w:i/>
          <w:szCs w:val="24"/>
        </w:rPr>
        <w:t>Volnočas v Prachaticích 2016</w:t>
      </w:r>
      <w:r w:rsidRPr="00F7725F">
        <w:rPr>
          <w:rFonts w:eastAsiaTheme="minorHAnsi"/>
          <w:szCs w:val="24"/>
        </w:rPr>
        <w:t xml:space="preserve"> parametry rozhodnutí o přidělení dotace, které stanovilo, že celkové náklady projektu měly být </w:t>
      </w:r>
      <w:r w:rsidRPr="00F7725F">
        <w:rPr>
          <w:rFonts w:eastAsiaTheme="minorHAnsi"/>
          <w:szCs w:val="24"/>
          <w:lang w:eastAsia="en-US"/>
        </w:rPr>
        <w:t xml:space="preserve">ve výši </w:t>
      </w:r>
      <w:r w:rsidRPr="00F7725F">
        <w:rPr>
          <w:rFonts w:eastAsiaTheme="minorHAnsi"/>
          <w:szCs w:val="24"/>
        </w:rPr>
        <w:t>294 720 Kč a dotace měla tvořit 54</w:t>
      </w:r>
      <w:r w:rsidR="00335CE9" w:rsidRPr="00F7725F">
        <w:rPr>
          <w:rFonts w:eastAsiaTheme="minorHAnsi"/>
          <w:szCs w:val="24"/>
        </w:rPr>
        <w:t xml:space="preserve"> % rozpočtu projektu. Z </w:t>
      </w:r>
      <w:r w:rsidRPr="00F7725F">
        <w:rPr>
          <w:rFonts w:eastAsiaTheme="minorHAnsi"/>
          <w:szCs w:val="24"/>
        </w:rPr>
        <w:t>vyúč</w:t>
      </w:r>
      <w:r w:rsidR="00261B7C" w:rsidRPr="00F7725F">
        <w:rPr>
          <w:rFonts w:eastAsiaTheme="minorHAnsi"/>
          <w:szCs w:val="24"/>
        </w:rPr>
        <w:t>tování dotace bylo zjištěno, že</w:t>
      </w:r>
      <w:r w:rsidR="000B3F8D">
        <w:rPr>
          <w:rFonts w:eastAsiaTheme="minorHAnsi"/>
          <w:szCs w:val="24"/>
        </w:rPr>
        <w:t xml:space="preserve"> </w:t>
      </w:r>
      <w:r w:rsidRPr="00F7725F">
        <w:rPr>
          <w:rFonts w:eastAsiaTheme="minorHAnsi"/>
          <w:szCs w:val="24"/>
        </w:rPr>
        <w:t>skutečné celkové náklady projektu byly pouze 274 449 Kč a dotace tvořila 58 % rozpočtu projektu. P</w:t>
      </w:r>
      <w:r w:rsidR="00F15712" w:rsidRPr="00F7725F">
        <w:rPr>
          <w:rFonts w:eastAsiaTheme="minorHAnsi"/>
          <w:szCs w:val="24"/>
        </w:rPr>
        <w:t>říjemce tak nedodržel stanovené</w:t>
      </w:r>
      <w:r w:rsidRPr="00F7725F">
        <w:rPr>
          <w:rFonts w:eastAsiaTheme="minorHAnsi"/>
          <w:szCs w:val="24"/>
        </w:rPr>
        <w:t xml:space="preserve"> celkov</w:t>
      </w:r>
      <w:r w:rsidR="00F15712" w:rsidRPr="00F7725F">
        <w:rPr>
          <w:rFonts w:eastAsiaTheme="minorHAnsi"/>
          <w:szCs w:val="24"/>
        </w:rPr>
        <w:t>é</w:t>
      </w:r>
      <w:r w:rsidR="00261B7C" w:rsidRPr="00F7725F">
        <w:rPr>
          <w:rFonts w:eastAsiaTheme="minorHAnsi"/>
          <w:szCs w:val="24"/>
        </w:rPr>
        <w:t xml:space="preserve"> náklad</w:t>
      </w:r>
      <w:r w:rsidR="00F15712" w:rsidRPr="00F7725F">
        <w:rPr>
          <w:rFonts w:eastAsiaTheme="minorHAnsi"/>
          <w:szCs w:val="24"/>
        </w:rPr>
        <w:t>y</w:t>
      </w:r>
      <w:r w:rsidR="00261B7C" w:rsidRPr="00F7725F">
        <w:rPr>
          <w:rFonts w:eastAsiaTheme="minorHAnsi"/>
          <w:szCs w:val="24"/>
        </w:rPr>
        <w:t xml:space="preserve"> projektu o 20 </w:t>
      </w:r>
      <w:r w:rsidR="00F15712" w:rsidRPr="00F7725F">
        <w:rPr>
          <w:rFonts w:eastAsiaTheme="minorHAnsi"/>
          <w:szCs w:val="24"/>
        </w:rPr>
        <w:t>271 Kč, ale</w:t>
      </w:r>
      <w:r w:rsidR="000B3F8D">
        <w:rPr>
          <w:rFonts w:eastAsiaTheme="minorHAnsi"/>
          <w:szCs w:val="24"/>
        </w:rPr>
        <w:t xml:space="preserve"> </w:t>
      </w:r>
      <w:r w:rsidR="004D0A56" w:rsidRPr="00F7725F">
        <w:rPr>
          <w:rFonts w:eastAsiaTheme="minorHAnsi"/>
          <w:szCs w:val="24"/>
        </w:rPr>
        <w:t>dotaci vyčerpal v plné výši.</w:t>
      </w:r>
    </w:p>
    <w:p w14:paraId="2BDA186D" w14:textId="77777777" w:rsidR="00902074" w:rsidRPr="00F7725F" w:rsidRDefault="00902074" w:rsidP="00F7725F">
      <w:pPr>
        <w:rPr>
          <w:rFonts w:eastAsiaTheme="minorHAnsi"/>
          <w:szCs w:val="24"/>
        </w:rPr>
      </w:pPr>
    </w:p>
    <w:p w14:paraId="2DC4D492" w14:textId="483D945F" w:rsidR="002826B8" w:rsidRPr="00F7725F" w:rsidRDefault="002826B8" w:rsidP="00F7725F">
      <w:pPr>
        <w:rPr>
          <w:rFonts w:eastAsiaTheme="minorHAnsi"/>
          <w:szCs w:val="24"/>
        </w:rPr>
      </w:pPr>
      <w:r w:rsidRPr="00F7725F">
        <w:rPr>
          <w:rFonts w:eastAsiaTheme="minorHAnsi"/>
          <w:b/>
          <w:szCs w:val="24"/>
          <w:lang w:eastAsia="en-US"/>
        </w:rPr>
        <w:t>Rada dětí a mládeže kraje Vysočina, z. s.</w:t>
      </w:r>
      <w:r w:rsidR="003D3618" w:rsidRPr="00110938">
        <w:rPr>
          <w:rFonts w:eastAsiaTheme="minorHAnsi"/>
          <w:b/>
          <w:szCs w:val="24"/>
          <w:lang w:eastAsia="en-US"/>
        </w:rPr>
        <w:t>,</w:t>
      </w:r>
      <w:r w:rsidRPr="00F7725F">
        <w:rPr>
          <w:rFonts w:eastAsiaTheme="minorHAnsi"/>
          <w:szCs w:val="24"/>
          <w:lang w:eastAsia="en-US"/>
        </w:rPr>
        <w:t xml:space="preserve"> nedodržel</w:t>
      </w:r>
      <w:r w:rsidR="00261B7C" w:rsidRPr="00F7725F">
        <w:rPr>
          <w:rFonts w:eastAsiaTheme="minorHAnsi"/>
          <w:szCs w:val="24"/>
          <w:lang w:eastAsia="en-US"/>
        </w:rPr>
        <w:t>a</w:t>
      </w:r>
      <w:r w:rsidRPr="00F7725F">
        <w:rPr>
          <w:rFonts w:eastAsiaTheme="minorHAnsi"/>
          <w:szCs w:val="24"/>
          <w:lang w:eastAsia="en-US"/>
        </w:rPr>
        <w:t xml:space="preserve"> u podpořeného projektu </w:t>
      </w:r>
      <w:r w:rsidRPr="00F7725F">
        <w:rPr>
          <w:rFonts w:eastAsiaTheme="minorHAnsi"/>
          <w:i/>
          <w:szCs w:val="24"/>
          <w:lang w:eastAsia="en-US"/>
        </w:rPr>
        <w:t>RDM</w:t>
      </w:r>
      <w:r w:rsidR="0030716F" w:rsidRPr="00F7725F">
        <w:rPr>
          <w:rFonts w:eastAsiaTheme="minorHAnsi"/>
          <w:i/>
          <w:szCs w:val="24"/>
          <w:lang w:eastAsia="en-US"/>
        </w:rPr>
        <w:t>K</w:t>
      </w:r>
      <w:r w:rsidRPr="00F7725F">
        <w:rPr>
          <w:rFonts w:eastAsiaTheme="minorHAnsi"/>
          <w:i/>
          <w:szCs w:val="24"/>
          <w:lang w:eastAsia="en-US"/>
        </w:rPr>
        <w:t>V 2016</w:t>
      </w:r>
      <w:r w:rsidRPr="00F7725F">
        <w:rPr>
          <w:rFonts w:eastAsiaTheme="minorHAnsi"/>
          <w:szCs w:val="24"/>
        </w:rPr>
        <w:t xml:space="preserve"> parametry r</w:t>
      </w:r>
      <w:r w:rsidRPr="00F7725F">
        <w:rPr>
          <w:rFonts w:eastAsiaTheme="minorHAnsi"/>
          <w:szCs w:val="24"/>
          <w:lang w:eastAsia="en-US"/>
        </w:rPr>
        <w:t>ozhodnutí o přiděl</w:t>
      </w:r>
      <w:r w:rsidR="00335CE9" w:rsidRPr="00F7725F">
        <w:rPr>
          <w:rFonts w:eastAsiaTheme="minorHAnsi"/>
          <w:szCs w:val="24"/>
        </w:rPr>
        <w:t>ení dotace, které stanovilo, že</w:t>
      </w:r>
      <w:r w:rsidR="000B3F8D">
        <w:rPr>
          <w:rFonts w:eastAsiaTheme="minorHAnsi"/>
          <w:szCs w:val="24"/>
        </w:rPr>
        <w:t xml:space="preserve"> </w:t>
      </w:r>
      <w:r w:rsidRPr="00F7725F">
        <w:rPr>
          <w:rFonts w:eastAsiaTheme="minorHAnsi"/>
          <w:szCs w:val="24"/>
        </w:rPr>
        <w:t xml:space="preserve">celkové náklady projektu měly být ve výši </w:t>
      </w:r>
      <w:r w:rsidRPr="00F7725F">
        <w:rPr>
          <w:rFonts w:eastAsiaTheme="minorHAnsi"/>
          <w:szCs w:val="24"/>
          <w:lang w:eastAsia="en-US"/>
        </w:rPr>
        <w:t>1 385 600</w:t>
      </w:r>
      <w:r w:rsidRPr="00F7725F">
        <w:rPr>
          <w:rFonts w:eastAsiaTheme="minorHAnsi"/>
          <w:szCs w:val="24"/>
        </w:rPr>
        <w:t xml:space="preserve"> Kč. Z vyúčtování dotace bylo zjištěno, že skutečné celkové náklady projektu byly pouze </w:t>
      </w:r>
      <w:r w:rsidRPr="00F7725F">
        <w:rPr>
          <w:rFonts w:eastAsiaTheme="minorHAnsi"/>
          <w:szCs w:val="24"/>
          <w:lang w:eastAsia="en-US"/>
        </w:rPr>
        <w:t>1 381 515</w:t>
      </w:r>
      <w:r w:rsidRPr="00F7725F">
        <w:rPr>
          <w:rFonts w:eastAsiaTheme="minorHAnsi"/>
          <w:szCs w:val="24"/>
        </w:rPr>
        <w:t xml:space="preserve"> Kč. Příjemce tak nedodržel stanoven</w:t>
      </w:r>
      <w:r w:rsidR="00F15712" w:rsidRPr="00F7725F">
        <w:rPr>
          <w:rFonts w:eastAsiaTheme="minorHAnsi"/>
          <w:szCs w:val="24"/>
        </w:rPr>
        <w:t>é</w:t>
      </w:r>
      <w:r w:rsidRPr="00F7725F">
        <w:rPr>
          <w:rFonts w:eastAsiaTheme="minorHAnsi"/>
          <w:szCs w:val="24"/>
        </w:rPr>
        <w:t xml:space="preserve"> celkov</w:t>
      </w:r>
      <w:r w:rsidR="00F15712" w:rsidRPr="00F7725F">
        <w:rPr>
          <w:rFonts w:eastAsiaTheme="minorHAnsi"/>
          <w:szCs w:val="24"/>
        </w:rPr>
        <w:t>é</w:t>
      </w:r>
      <w:r w:rsidRPr="00F7725F">
        <w:rPr>
          <w:rFonts w:eastAsiaTheme="minorHAnsi"/>
          <w:szCs w:val="24"/>
        </w:rPr>
        <w:t xml:space="preserve"> náklad</w:t>
      </w:r>
      <w:r w:rsidR="00F15712" w:rsidRPr="00F7725F">
        <w:rPr>
          <w:rFonts w:eastAsiaTheme="minorHAnsi"/>
          <w:szCs w:val="24"/>
        </w:rPr>
        <w:t>y</w:t>
      </w:r>
      <w:r w:rsidRPr="00F7725F">
        <w:rPr>
          <w:rFonts w:eastAsiaTheme="minorHAnsi"/>
          <w:szCs w:val="24"/>
        </w:rPr>
        <w:t xml:space="preserve"> projektu o 4 085 Kč</w:t>
      </w:r>
      <w:r w:rsidR="004D0A56" w:rsidRPr="00F7725F">
        <w:rPr>
          <w:rFonts w:eastAsiaTheme="minorHAnsi"/>
          <w:szCs w:val="24"/>
        </w:rPr>
        <w:t>, ale dotaci vyčerpal v plné výši.</w:t>
      </w:r>
    </w:p>
    <w:p w14:paraId="6E1B2C31" w14:textId="77777777" w:rsidR="00902074" w:rsidRPr="00F7725F" w:rsidRDefault="00902074" w:rsidP="00F7725F">
      <w:pPr>
        <w:rPr>
          <w:rFonts w:eastAsiaTheme="minorHAnsi"/>
          <w:szCs w:val="24"/>
        </w:rPr>
      </w:pPr>
    </w:p>
    <w:p w14:paraId="4AB2458A" w14:textId="62152C57" w:rsidR="00CC6B75" w:rsidRPr="00F7725F" w:rsidRDefault="001053E8" w:rsidP="001B0C71">
      <w:pPr>
        <w:widowControl/>
        <w:rPr>
          <w:rFonts w:eastAsiaTheme="minorHAnsi"/>
          <w:b/>
          <w:szCs w:val="24"/>
        </w:rPr>
      </w:pPr>
      <w:r w:rsidRPr="00F7725F">
        <w:rPr>
          <w:rFonts w:eastAsiaTheme="minorHAnsi"/>
          <w:szCs w:val="24"/>
        </w:rPr>
        <w:lastRenderedPageBreak/>
        <w:t>T</w:t>
      </w:r>
      <w:r w:rsidR="004D0A56" w:rsidRPr="00F7725F">
        <w:rPr>
          <w:rFonts w:eastAsiaTheme="minorHAnsi"/>
          <w:szCs w:val="24"/>
        </w:rPr>
        <w:t>aké v některých případech, kde došlo k násobnému vykazování stejných dokladů u více projektů, případně k </w:t>
      </w:r>
      <w:r w:rsidR="00343823" w:rsidRPr="00F7725F">
        <w:rPr>
          <w:rFonts w:eastAsiaTheme="minorHAnsi"/>
          <w:szCs w:val="24"/>
        </w:rPr>
        <w:t>uvedení</w:t>
      </w:r>
      <w:r w:rsidR="004D0A56" w:rsidRPr="00F7725F">
        <w:rPr>
          <w:rFonts w:eastAsiaTheme="minorHAnsi"/>
          <w:szCs w:val="24"/>
        </w:rPr>
        <w:t xml:space="preserve"> vyšších nákladů oproti</w:t>
      </w:r>
      <w:r w:rsidR="006E1F31">
        <w:rPr>
          <w:rFonts w:eastAsiaTheme="minorHAnsi"/>
          <w:szCs w:val="24"/>
        </w:rPr>
        <w:t xml:space="preserve"> </w:t>
      </w:r>
      <w:r w:rsidR="004D0A56" w:rsidRPr="00F7725F">
        <w:rPr>
          <w:rFonts w:eastAsiaTheme="minorHAnsi"/>
          <w:szCs w:val="24"/>
        </w:rPr>
        <w:t>skutečnosti</w:t>
      </w:r>
      <w:r w:rsidR="00F15712" w:rsidRPr="00F7725F">
        <w:rPr>
          <w:rFonts w:eastAsiaTheme="minorHAnsi"/>
          <w:szCs w:val="24"/>
        </w:rPr>
        <w:t xml:space="preserve"> </w:t>
      </w:r>
      <w:r w:rsidR="000B3F8D">
        <w:rPr>
          <w:rFonts w:eastAsiaTheme="minorHAnsi"/>
          <w:szCs w:val="24"/>
        </w:rPr>
        <w:t>(</w:t>
      </w:r>
      <w:r w:rsidR="00F15712" w:rsidRPr="00F7725F">
        <w:rPr>
          <w:rFonts w:eastAsiaTheme="minorHAnsi"/>
          <w:szCs w:val="24"/>
        </w:rPr>
        <w:t xml:space="preserve">viz </w:t>
      </w:r>
      <w:r w:rsidRPr="00F7725F">
        <w:rPr>
          <w:rFonts w:eastAsiaTheme="minorHAnsi"/>
          <w:szCs w:val="24"/>
        </w:rPr>
        <w:t>kapitol</w:t>
      </w:r>
      <w:r w:rsidR="00CC6B75" w:rsidRPr="00F7725F">
        <w:rPr>
          <w:rFonts w:eastAsiaTheme="minorHAnsi"/>
          <w:szCs w:val="24"/>
        </w:rPr>
        <w:t>y</w:t>
      </w:r>
      <w:r w:rsidRPr="00F7725F">
        <w:rPr>
          <w:rFonts w:eastAsiaTheme="minorHAnsi"/>
          <w:szCs w:val="24"/>
        </w:rPr>
        <w:t xml:space="preserve"> 4.1</w:t>
      </w:r>
      <w:r w:rsidR="00CC6B75" w:rsidRPr="00F7725F">
        <w:rPr>
          <w:rFonts w:eastAsiaTheme="minorHAnsi"/>
          <w:szCs w:val="24"/>
        </w:rPr>
        <w:t xml:space="preserve"> až 4.3</w:t>
      </w:r>
      <w:r w:rsidR="000B3F8D">
        <w:rPr>
          <w:rFonts w:eastAsiaTheme="minorHAnsi"/>
          <w:szCs w:val="24"/>
        </w:rPr>
        <w:t>)</w:t>
      </w:r>
      <w:r w:rsidR="00CC6B75" w:rsidRPr="00F7725F">
        <w:rPr>
          <w:rFonts w:eastAsiaTheme="minorHAnsi"/>
          <w:szCs w:val="24"/>
        </w:rPr>
        <w:t>,</w:t>
      </w:r>
      <w:r w:rsidRPr="00F7725F">
        <w:rPr>
          <w:rFonts w:eastAsiaTheme="minorHAnsi"/>
          <w:szCs w:val="24"/>
        </w:rPr>
        <w:t xml:space="preserve"> </w:t>
      </w:r>
      <w:r w:rsidR="00CC6B75" w:rsidRPr="00F7725F">
        <w:rPr>
          <w:rFonts w:eastAsiaTheme="minorHAnsi"/>
          <w:szCs w:val="24"/>
        </w:rPr>
        <w:t>příjemci dotací zkreslili údaje o skutečných celkových nákladech projektu a podílu dotací</w:t>
      </w:r>
      <w:r w:rsidR="004D0A56" w:rsidRPr="00F7725F">
        <w:rPr>
          <w:rFonts w:eastAsiaTheme="minorHAnsi"/>
          <w:szCs w:val="24"/>
        </w:rPr>
        <w:t>.</w:t>
      </w:r>
    </w:p>
    <w:p w14:paraId="0269CEBE" w14:textId="77777777" w:rsidR="00632833" w:rsidRPr="00F7725F" w:rsidRDefault="00632833" w:rsidP="00F7725F">
      <w:pPr>
        <w:rPr>
          <w:rFonts w:eastAsiaTheme="minorHAnsi"/>
          <w:b/>
          <w:szCs w:val="24"/>
        </w:rPr>
      </w:pPr>
    </w:p>
    <w:p w14:paraId="691A7743" w14:textId="7CE4E1A2" w:rsidR="004D0A56" w:rsidRPr="00F7725F" w:rsidRDefault="004D0A56" w:rsidP="00F7725F">
      <w:pPr>
        <w:rPr>
          <w:rFonts w:eastAsiaTheme="minorHAnsi"/>
          <w:b/>
          <w:szCs w:val="24"/>
        </w:rPr>
      </w:pPr>
      <w:r w:rsidRPr="00F7725F">
        <w:rPr>
          <w:rFonts w:eastAsiaTheme="minorHAnsi"/>
          <w:b/>
          <w:szCs w:val="24"/>
        </w:rPr>
        <w:t>Přestože</w:t>
      </w:r>
      <w:r w:rsidR="00902074" w:rsidRPr="00F7725F">
        <w:rPr>
          <w:rFonts w:eastAsiaTheme="minorHAnsi"/>
          <w:b/>
          <w:szCs w:val="24"/>
        </w:rPr>
        <w:t xml:space="preserve"> </w:t>
      </w:r>
      <w:r w:rsidR="00F15712" w:rsidRPr="00F7725F">
        <w:rPr>
          <w:rFonts w:eastAsiaTheme="minorHAnsi"/>
          <w:b/>
          <w:szCs w:val="24"/>
        </w:rPr>
        <w:t>příjemci ve</w:t>
      </w:r>
      <w:r w:rsidR="006E1F31">
        <w:rPr>
          <w:rFonts w:eastAsiaTheme="minorHAnsi"/>
          <w:b/>
          <w:szCs w:val="24"/>
        </w:rPr>
        <w:t xml:space="preserve"> </w:t>
      </w:r>
      <w:r w:rsidRPr="00F7725F">
        <w:rPr>
          <w:rFonts w:eastAsiaTheme="minorHAnsi"/>
          <w:b/>
          <w:szCs w:val="24"/>
        </w:rPr>
        <w:t>výše uvedených případech zkrátili celkový rozpočet projektu, dotaci vyčerpali v plné výši.</w:t>
      </w:r>
    </w:p>
    <w:p w14:paraId="1EB17FFA" w14:textId="77777777" w:rsidR="002C548A" w:rsidRPr="00F7725F" w:rsidRDefault="002C548A" w:rsidP="00F7725F">
      <w:pPr>
        <w:rPr>
          <w:rFonts w:eastAsiaTheme="minorHAnsi"/>
          <w:szCs w:val="24"/>
        </w:rPr>
      </w:pPr>
    </w:p>
    <w:p w14:paraId="53C650E8" w14:textId="2AF62C1B" w:rsidR="002826B8" w:rsidRPr="00F7725F" w:rsidRDefault="00902074" w:rsidP="00F7725F">
      <w:pPr>
        <w:pStyle w:val="Nadpis3"/>
        <w:numPr>
          <w:ilvl w:val="0"/>
          <w:numId w:val="0"/>
        </w:numPr>
        <w:spacing w:after="0"/>
        <w:ind w:left="-6"/>
        <w:rPr>
          <w:sz w:val="24"/>
          <w:szCs w:val="24"/>
          <w:lang w:eastAsia="en-US"/>
        </w:rPr>
      </w:pPr>
      <w:r w:rsidRPr="00F7725F">
        <w:rPr>
          <w:sz w:val="24"/>
          <w:szCs w:val="24"/>
          <w:lang w:eastAsia="en-US"/>
        </w:rPr>
        <w:t xml:space="preserve">4.5 </w:t>
      </w:r>
      <w:r w:rsidR="002826B8" w:rsidRPr="00F7725F">
        <w:rPr>
          <w:sz w:val="24"/>
          <w:szCs w:val="24"/>
          <w:lang w:eastAsia="en-US"/>
        </w:rPr>
        <w:t>Příjemc</w:t>
      </w:r>
      <w:r w:rsidR="00E11E17" w:rsidRPr="00F7725F">
        <w:rPr>
          <w:sz w:val="24"/>
          <w:szCs w:val="24"/>
          <w:lang w:eastAsia="en-US"/>
        </w:rPr>
        <w:t>e neoddělil</w:t>
      </w:r>
      <w:r w:rsidR="002826B8" w:rsidRPr="00F7725F">
        <w:rPr>
          <w:sz w:val="24"/>
          <w:szCs w:val="24"/>
          <w:lang w:eastAsia="en-US"/>
        </w:rPr>
        <w:t xml:space="preserve"> v účetnictví náklady hrazené z dotace</w:t>
      </w:r>
      <w:r w:rsidR="00335CE9" w:rsidRPr="00F7725F">
        <w:rPr>
          <w:sz w:val="24"/>
          <w:szCs w:val="24"/>
          <w:lang w:eastAsia="en-US"/>
        </w:rPr>
        <w:t>.</w:t>
      </w:r>
    </w:p>
    <w:p w14:paraId="40EF8E37" w14:textId="77777777" w:rsidR="00F7725F" w:rsidRPr="00F7725F" w:rsidRDefault="00F7725F" w:rsidP="00F7725F">
      <w:pPr>
        <w:rPr>
          <w:szCs w:val="24"/>
          <w:lang w:eastAsia="en-US"/>
        </w:rPr>
      </w:pPr>
    </w:p>
    <w:p w14:paraId="7A1AB3D0" w14:textId="381FE67E" w:rsidR="002826B8" w:rsidRPr="00F7725F" w:rsidRDefault="002826B8" w:rsidP="00F7725F">
      <w:pPr>
        <w:rPr>
          <w:rFonts w:eastAsiaTheme="minorHAnsi"/>
          <w:szCs w:val="24"/>
        </w:rPr>
      </w:pPr>
      <w:r w:rsidRPr="00F7725F">
        <w:rPr>
          <w:b/>
          <w:szCs w:val="24"/>
          <w:lang w:eastAsia="en-US"/>
        </w:rPr>
        <w:t>Asociace malých debrujárů České republiky, spolek</w:t>
      </w:r>
      <w:r w:rsidR="003D3618" w:rsidRPr="00110938">
        <w:rPr>
          <w:b/>
          <w:szCs w:val="24"/>
          <w:lang w:eastAsia="en-US"/>
        </w:rPr>
        <w:t>,</w:t>
      </w:r>
      <w:r w:rsidRPr="00110938">
        <w:rPr>
          <w:rFonts w:eastAsiaTheme="minorHAnsi"/>
          <w:b/>
          <w:szCs w:val="24"/>
        </w:rPr>
        <w:t xml:space="preserve"> </w:t>
      </w:r>
      <w:r w:rsidRPr="00F7725F">
        <w:rPr>
          <w:rFonts w:eastAsiaTheme="minorHAnsi"/>
          <w:szCs w:val="24"/>
        </w:rPr>
        <w:t xml:space="preserve">u podpořených projektů </w:t>
      </w:r>
      <w:r w:rsidRPr="00F7725F">
        <w:rPr>
          <w:i/>
          <w:szCs w:val="24"/>
          <w:lang w:eastAsia="en-US"/>
        </w:rPr>
        <w:t>Debrujáři v roce 2014</w:t>
      </w:r>
      <w:r w:rsidRPr="00F7725F">
        <w:rPr>
          <w:szCs w:val="24"/>
          <w:lang w:eastAsia="en-US"/>
        </w:rPr>
        <w:t xml:space="preserve">, </w:t>
      </w:r>
      <w:r w:rsidRPr="00F7725F">
        <w:rPr>
          <w:i/>
          <w:szCs w:val="24"/>
          <w:lang w:eastAsia="en-US"/>
        </w:rPr>
        <w:t>Debrujáři veřejnosti v roce 2014</w:t>
      </w:r>
      <w:r w:rsidRPr="00F7725F">
        <w:rPr>
          <w:szCs w:val="24"/>
          <w:lang w:eastAsia="en-US"/>
        </w:rPr>
        <w:t xml:space="preserve">, </w:t>
      </w:r>
      <w:r w:rsidR="00AE57C6" w:rsidRPr="00F7725F">
        <w:rPr>
          <w:rFonts w:eastAsiaTheme="minorHAnsi"/>
          <w:i/>
          <w:szCs w:val="24"/>
        </w:rPr>
        <w:t>Za vědou!</w:t>
      </w:r>
      <w:r w:rsidRPr="00F7725F">
        <w:rPr>
          <w:rFonts w:eastAsiaTheme="minorHAnsi"/>
          <w:szCs w:val="24"/>
        </w:rPr>
        <w:t xml:space="preserve">, </w:t>
      </w:r>
      <w:r w:rsidRPr="00F7725F">
        <w:rPr>
          <w:rFonts w:eastAsiaTheme="minorHAnsi"/>
          <w:i/>
          <w:szCs w:val="24"/>
        </w:rPr>
        <w:t>Debrujáři v roce 2015</w:t>
      </w:r>
      <w:r w:rsidRPr="00F7725F">
        <w:rPr>
          <w:rFonts w:eastAsiaTheme="minorHAnsi"/>
          <w:szCs w:val="24"/>
        </w:rPr>
        <w:t xml:space="preserve">, </w:t>
      </w:r>
      <w:r w:rsidRPr="00F7725F">
        <w:rPr>
          <w:rFonts w:eastAsiaTheme="minorHAnsi"/>
          <w:i/>
          <w:szCs w:val="24"/>
        </w:rPr>
        <w:t>Debrujáři veřejnosti v roce 2015</w:t>
      </w:r>
      <w:r w:rsidRPr="00F7725F">
        <w:rPr>
          <w:rFonts w:eastAsiaTheme="minorHAnsi"/>
          <w:szCs w:val="24"/>
        </w:rPr>
        <w:t xml:space="preserve"> neměl</w:t>
      </w:r>
      <w:r w:rsidR="00261B7C" w:rsidRPr="00F7725F">
        <w:rPr>
          <w:rFonts w:eastAsiaTheme="minorHAnsi"/>
          <w:szCs w:val="24"/>
        </w:rPr>
        <w:t>a</w:t>
      </w:r>
      <w:r w:rsidRPr="00F7725F">
        <w:rPr>
          <w:rFonts w:eastAsiaTheme="minorHAnsi"/>
          <w:szCs w:val="24"/>
        </w:rPr>
        <w:t xml:space="preserve"> žádným způsobem označeny doklady p</w:t>
      </w:r>
      <w:r w:rsidR="00717461" w:rsidRPr="00F7725F">
        <w:rPr>
          <w:rFonts w:eastAsiaTheme="minorHAnsi"/>
          <w:szCs w:val="24"/>
        </w:rPr>
        <w:t>rokazující využití dotace</w:t>
      </w:r>
      <w:r w:rsidR="00F15712" w:rsidRPr="00F7725F">
        <w:rPr>
          <w:rFonts w:eastAsiaTheme="minorHAnsi"/>
          <w:szCs w:val="24"/>
        </w:rPr>
        <w:t>.</w:t>
      </w:r>
      <w:r w:rsidR="00717461" w:rsidRPr="00F7725F">
        <w:rPr>
          <w:rFonts w:eastAsiaTheme="minorHAnsi"/>
          <w:szCs w:val="24"/>
        </w:rPr>
        <w:t xml:space="preserve"> </w:t>
      </w:r>
      <w:r w:rsidR="00F15712" w:rsidRPr="00F7725F">
        <w:rPr>
          <w:rFonts w:eastAsiaTheme="minorHAnsi"/>
          <w:szCs w:val="24"/>
        </w:rPr>
        <w:t>P</w:t>
      </w:r>
      <w:r w:rsidR="00AE57C6" w:rsidRPr="00F7725F">
        <w:rPr>
          <w:rFonts w:eastAsiaTheme="minorHAnsi"/>
          <w:szCs w:val="24"/>
        </w:rPr>
        <w:t>ři</w:t>
      </w:r>
      <w:r w:rsidR="001B0C71">
        <w:rPr>
          <w:rFonts w:eastAsiaTheme="minorHAnsi"/>
          <w:szCs w:val="24"/>
        </w:rPr>
        <w:t xml:space="preserve"> </w:t>
      </w:r>
      <w:r w:rsidRPr="00F7725F">
        <w:rPr>
          <w:rFonts w:eastAsiaTheme="minorHAnsi"/>
          <w:szCs w:val="24"/>
        </w:rPr>
        <w:t>účtování</w:t>
      </w:r>
      <w:r w:rsidR="00464AE8" w:rsidRPr="00F7725F">
        <w:rPr>
          <w:rFonts w:eastAsiaTheme="minorHAnsi"/>
          <w:szCs w:val="24"/>
        </w:rPr>
        <w:t xml:space="preserve"> o dotaci</w:t>
      </w:r>
      <w:r w:rsidRPr="00F7725F">
        <w:rPr>
          <w:rFonts w:eastAsiaTheme="minorHAnsi"/>
          <w:szCs w:val="24"/>
        </w:rPr>
        <w:t xml:space="preserve"> nepoužíval</w:t>
      </w:r>
      <w:r w:rsidR="00E11E17" w:rsidRPr="00F7725F">
        <w:rPr>
          <w:rFonts w:eastAsiaTheme="minorHAnsi"/>
          <w:szCs w:val="24"/>
        </w:rPr>
        <w:t>a</w:t>
      </w:r>
      <w:r w:rsidRPr="00F7725F">
        <w:rPr>
          <w:rFonts w:eastAsiaTheme="minorHAnsi"/>
          <w:szCs w:val="24"/>
        </w:rPr>
        <w:t xml:space="preserve"> u zúčtovacích plateb specifický symbo</w:t>
      </w:r>
      <w:r w:rsidR="00EB7114" w:rsidRPr="00F7725F">
        <w:rPr>
          <w:rFonts w:eastAsiaTheme="minorHAnsi"/>
          <w:szCs w:val="24"/>
        </w:rPr>
        <w:t>l odpovídající číslu rozhodnutí a</w:t>
      </w:r>
      <w:r w:rsidRPr="00F7725F">
        <w:rPr>
          <w:rFonts w:eastAsiaTheme="minorHAnsi"/>
          <w:szCs w:val="24"/>
        </w:rPr>
        <w:t xml:space="preserve"> nesledoval</w:t>
      </w:r>
      <w:r w:rsidR="00261B7C" w:rsidRPr="00F7725F">
        <w:rPr>
          <w:rFonts w:eastAsiaTheme="minorHAnsi"/>
          <w:szCs w:val="24"/>
        </w:rPr>
        <w:t>a</w:t>
      </w:r>
      <w:r w:rsidRPr="00F7725F">
        <w:rPr>
          <w:rFonts w:eastAsiaTheme="minorHAnsi"/>
          <w:szCs w:val="24"/>
        </w:rPr>
        <w:t xml:space="preserve"> řádně a odděleně přijat</w:t>
      </w:r>
      <w:r w:rsidR="00F15712" w:rsidRPr="00F7725F">
        <w:rPr>
          <w:rFonts w:eastAsiaTheme="minorHAnsi"/>
          <w:szCs w:val="24"/>
        </w:rPr>
        <w:t xml:space="preserve">é a použité </w:t>
      </w:r>
      <w:r w:rsidR="00464AE8" w:rsidRPr="00F7725F">
        <w:rPr>
          <w:rFonts w:eastAsiaTheme="minorHAnsi"/>
          <w:szCs w:val="24"/>
        </w:rPr>
        <w:t>prostředky</w:t>
      </w:r>
      <w:r w:rsidR="00F15712" w:rsidRPr="00F7725F">
        <w:rPr>
          <w:rFonts w:eastAsiaTheme="minorHAnsi"/>
          <w:szCs w:val="24"/>
        </w:rPr>
        <w:t xml:space="preserve"> v účetnictví.</w:t>
      </w:r>
      <w:r w:rsidRPr="00F7725F">
        <w:rPr>
          <w:rFonts w:eastAsiaTheme="minorHAnsi"/>
          <w:szCs w:val="24"/>
        </w:rPr>
        <w:t xml:space="preserve"> </w:t>
      </w:r>
      <w:r w:rsidR="00F15712" w:rsidRPr="00F7725F">
        <w:rPr>
          <w:rFonts w:eastAsiaTheme="minorHAnsi"/>
          <w:szCs w:val="24"/>
        </w:rPr>
        <w:t>Z</w:t>
      </w:r>
      <w:r w:rsidRPr="00F7725F">
        <w:rPr>
          <w:rFonts w:eastAsiaTheme="minorHAnsi"/>
          <w:szCs w:val="24"/>
        </w:rPr>
        <w:t>pětně tedy nelze dohl</w:t>
      </w:r>
      <w:r w:rsidR="00464AE8" w:rsidRPr="00F7725F">
        <w:rPr>
          <w:rFonts w:eastAsiaTheme="minorHAnsi"/>
          <w:szCs w:val="24"/>
        </w:rPr>
        <w:t>edat, zda byly vůbec využity</w:t>
      </w:r>
      <w:r w:rsidRPr="00F7725F">
        <w:rPr>
          <w:rFonts w:eastAsiaTheme="minorHAnsi"/>
          <w:szCs w:val="24"/>
        </w:rPr>
        <w:t xml:space="preserve"> pro daný účel. V případě projektu </w:t>
      </w:r>
      <w:r w:rsidRPr="00F7725F">
        <w:rPr>
          <w:rFonts w:eastAsiaTheme="minorHAnsi"/>
          <w:i/>
          <w:szCs w:val="24"/>
        </w:rPr>
        <w:t>Debrujáři veřejnosti v roce 2014</w:t>
      </w:r>
      <w:r w:rsidRPr="00F7725F">
        <w:rPr>
          <w:rFonts w:eastAsiaTheme="minorHAnsi"/>
          <w:szCs w:val="24"/>
        </w:rPr>
        <w:t xml:space="preserve"> příjemce nedolož</w:t>
      </w:r>
      <w:r w:rsidR="00E11E17" w:rsidRPr="00F7725F">
        <w:rPr>
          <w:rFonts w:eastAsiaTheme="minorHAnsi"/>
          <w:szCs w:val="24"/>
        </w:rPr>
        <w:t>il písemné doklady související s</w:t>
      </w:r>
      <w:r w:rsidR="006E1F31">
        <w:rPr>
          <w:rFonts w:eastAsiaTheme="minorHAnsi"/>
          <w:szCs w:val="24"/>
        </w:rPr>
        <w:t> </w:t>
      </w:r>
      <w:r w:rsidR="00E11E17" w:rsidRPr="00F7725F">
        <w:rPr>
          <w:rFonts w:eastAsiaTheme="minorHAnsi"/>
          <w:szCs w:val="24"/>
        </w:rPr>
        <w:t>realizací</w:t>
      </w:r>
      <w:r w:rsidR="006E1F31">
        <w:rPr>
          <w:rFonts w:eastAsiaTheme="minorHAnsi"/>
          <w:szCs w:val="24"/>
        </w:rPr>
        <w:t xml:space="preserve"> </w:t>
      </w:r>
      <w:r w:rsidR="00E11E17" w:rsidRPr="00F7725F">
        <w:rPr>
          <w:rFonts w:eastAsiaTheme="minorHAnsi"/>
          <w:szCs w:val="24"/>
        </w:rPr>
        <w:t>projektu</w:t>
      </w:r>
      <w:r w:rsidRPr="00F7725F">
        <w:rPr>
          <w:rFonts w:eastAsiaTheme="minorHAnsi"/>
          <w:szCs w:val="24"/>
        </w:rPr>
        <w:t xml:space="preserve"> vůbec.</w:t>
      </w:r>
    </w:p>
    <w:p w14:paraId="02F56970" w14:textId="77777777" w:rsidR="002826B8" w:rsidRPr="00F7725F" w:rsidRDefault="002826B8" w:rsidP="00F7725F">
      <w:pPr>
        <w:rPr>
          <w:rFonts w:cs="Calibri"/>
          <w:szCs w:val="24"/>
          <w:lang w:eastAsia="en-US"/>
        </w:rPr>
      </w:pPr>
    </w:p>
    <w:p w14:paraId="37CE00E5" w14:textId="4FD417A3" w:rsidR="002826B8" w:rsidRPr="00F7725F" w:rsidRDefault="002826B8" w:rsidP="00F7725F">
      <w:pPr>
        <w:rPr>
          <w:szCs w:val="24"/>
        </w:rPr>
      </w:pPr>
      <w:r w:rsidRPr="00F7725F">
        <w:rPr>
          <w:rFonts w:cs="Calibri"/>
          <w:b/>
          <w:szCs w:val="24"/>
          <w:lang w:eastAsia="en-US"/>
        </w:rPr>
        <w:t>U šesti příjemců dotací NKÚ zjištěné nedostatky vyhodnotil jako porušení rozpočtové kázně a předal oznámení příslušnému správci daně.</w:t>
      </w:r>
    </w:p>
    <w:sectPr w:rsidR="002826B8" w:rsidRPr="00F7725F" w:rsidSect="006537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8" w:code="9"/>
      <w:pgMar w:top="1418" w:right="1418" w:bottom="1418" w:left="1418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D7410" w14:textId="77777777" w:rsidR="0022221D" w:rsidRDefault="0022221D" w:rsidP="00FE5C8F">
      <w:r>
        <w:separator/>
      </w:r>
    </w:p>
  </w:endnote>
  <w:endnote w:type="continuationSeparator" w:id="0">
    <w:p w14:paraId="14A7D570" w14:textId="77777777" w:rsidR="0022221D" w:rsidRDefault="0022221D" w:rsidP="00FE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B7584" w14:textId="77777777" w:rsidR="00384C64" w:rsidRDefault="00384C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276069"/>
      <w:docPartObj>
        <w:docPartGallery w:val="Page Numbers (Bottom of Page)"/>
        <w:docPartUnique/>
      </w:docPartObj>
    </w:sdtPr>
    <w:sdtEndPr/>
    <w:sdtContent>
      <w:p w14:paraId="12343447" w14:textId="4222FE9E" w:rsidR="0022221D" w:rsidRDefault="0022221D" w:rsidP="009347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C64">
          <w:rPr>
            <w:noProof/>
          </w:rPr>
          <w:t>15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DB23C" w14:textId="77777777" w:rsidR="00384C64" w:rsidRDefault="00384C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37C5C" w14:textId="77777777" w:rsidR="0022221D" w:rsidRDefault="0022221D" w:rsidP="00FE5C8F">
      <w:r>
        <w:separator/>
      </w:r>
    </w:p>
  </w:footnote>
  <w:footnote w:type="continuationSeparator" w:id="0">
    <w:p w14:paraId="75592D8C" w14:textId="77777777" w:rsidR="0022221D" w:rsidRDefault="0022221D" w:rsidP="00FE5C8F">
      <w:r>
        <w:continuationSeparator/>
      </w:r>
    </w:p>
  </w:footnote>
  <w:footnote w:id="1">
    <w:p w14:paraId="17DB3CCE" w14:textId="0A55AAFC" w:rsidR="0022221D" w:rsidRPr="00F53B44" w:rsidRDefault="0022221D" w:rsidP="005A38BA">
      <w:pPr>
        <w:pStyle w:val="Textpoznpodarou"/>
        <w:ind w:left="284" w:hanging="284"/>
        <w:rPr>
          <w:rFonts w:ascii="Calibri" w:hAnsi="Calibri"/>
          <w:sz w:val="20"/>
          <w:szCs w:val="20"/>
        </w:rPr>
      </w:pPr>
      <w:r w:rsidRPr="00F53B44">
        <w:rPr>
          <w:rStyle w:val="Znakapoznpodarou"/>
          <w:rFonts w:ascii="Calibri" w:hAnsi="Calibri"/>
          <w:sz w:val="20"/>
          <w:szCs w:val="20"/>
        </w:rPr>
        <w:footnoteRef/>
      </w:r>
      <w:r w:rsidRPr="00F53B44">
        <w:rPr>
          <w:rFonts w:ascii="Calibri" w:hAnsi="Calibri"/>
          <w:sz w:val="20"/>
          <w:szCs w:val="20"/>
        </w:rPr>
        <w:t xml:space="preserve"> </w:t>
      </w:r>
      <w:r w:rsidRPr="00F53B44">
        <w:rPr>
          <w:rFonts w:ascii="Calibri" w:hAnsi="Calibri"/>
          <w:sz w:val="20"/>
          <w:szCs w:val="20"/>
        </w:rPr>
        <w:tab/>
        <w:t>Ustanovení § 7 odst. 1 zákona České národní rady č. 2/1969 Sb., o zřízení ministerstev a jiných ústředních orgánů státní správy České republiky.</w:t>
      </w:r>
    </w:p>
  </w:footnote>
  <w:footnote w:id="2">
    <w:p w14:paraId="47B4DEAD" w14:textId="6A96912A" w:rsidR="0022221D" w:rsidRPr="00F53B44" w:rsidRDefault="0022221D" w:rsidP="00BD09E8">
      <w:pPr>
        <w:pStyle w:val="Textpoznpodarou"/>
        <w:ind w:left="284" w:hanging="284"/>
        <w:rPr>
          <w:rFonts w:ascii="Calibri" w:hAnsi="Calibri"/>
          <w:sz w:val="20"/>
          <w:szCs w:val="20"/>
        </w:rPr>
      </w:pPr>
      <w:r w:rsidRPr="00F53B44">
        <w:rPr>
          <w:rStyle w:val="Znakapoznpodarou"/>
          <w:rFonts w:ascii="Calibri" w:hAnsi="Calibri"/>
          <w:sz w:val="20"/>
          <w:szCs w:val="20"/>
        </w:rPr>
        <w:footnoteRef/>
      </w:r>
      <w:r w:rsidRPr="00F53B44">
        <w:rPr>
          <w:rFonts w:ascii="Calibri" w:hAnsi="Calibri"/>
          <w:sz w:val="20"/>
          <w:szCs w:val="20"/>
        </w:rPr>
        <w:t xml:space="preserve"> </w:t>
      </w:r>
      <w:r w:rsidRPr="00F53B44">
        <w:rPr>
          <w:rFonts w:ascii="Calibri" w:hAnsi="Calibri"/>
          <w:sz w:val="20"/>
          <w:szCs w:val="20"/>
        </w:rPr>
        <w:tab/>
        <w:t xml:space="preserve">Základní právní rámec pro vyhlašování Programů tvořil zákon č. 218/2000 Sb., o rozpočtových pravidlech a o změně některých souvisejících zákonů (rozpočtová pravidla), a také </w:t>
      </w:r>
      <w:r w:rsidRPr="0065373F">
        <w:rPr>
          <w:rFonts w:ascii="Calibri" w:hAnsi="Calibri"/>
          <w:i/>
          <w:sz w:val="20"/>
          <w:szCs w:val="20"/>
        </w:rPr>
        <w:t>Zásady vlády pro poskytování dotací ze státního rozpočtu České republiky nestátním neziskovým organizacím ústředními orgány státní správy</w:t>
      </w:r>
      <w:r w:rsidRPr="00F53B44">
        <w:rPr>
          <w:rFonts w:ascii="Calibri" w:hAnsi="Calibri"/>
          <w:sz w:val="20"/>
          <w:szCs w:val="20"/>
        </w:rPr>
        <w:t xml:space="preserve"> (dále jen „Zásady vlády“) schválené usnesením vlády ze dne 1. února 2010 č. 92 v platném znění.</w:t>
      </w:r>
    </w:p>
  </w:footnote>
  <w:footnote w:id="3">
    <w:p w14:paraId="4CF144F3" w14:textId="2C3EAB11" w:rsidR="0022221D" w:rsidRPr="00FB5C2F" w:rsidRDefault="0022221D" w:rsidP="00FB5C2F">
      <w:pPr>
        <w:pStyle w:val="Textpoznpodarou"/>
        <w:ind w:left="284" w:hanging="284"/>
        <w:rPr>
          <w:sz w:val="20"/>
        </w:rPr>
      </w:pPr>
      <w:r w:rsidRPr="00FB5C2F">
        <w:rPr>
          <w:rStyle w:val="Znakapoznpodarou"/>
          <w:sz w:val="20"/>
        </w:rPr>
        <w:footnoteRef/>
      </w:r>
      <w:r w:rsidRPr="00FB5C2F">
        <w:rPr>
          <w:sz w:val="20"/>
        </w:rPr>
        <w:t xml:space="preserve"> </w:t>
      </w:r>
      <w:r>
        <w:rPr>
          <w:sz w:val="20"/>
        </w:rPr>
        <w:tab/>
        <w:t xml:space="preserve">Usnesení vlády ČR ze dne 12. května 2014 č. 342, </w:t>
      </w:r>
      <w:r w:rsidRPr="00FB5C2F">
        <w:rPr>
          <w:i/>
          <w:sz w:val="20"/>
        </w:rPr>
        <w:t>k vyhodnocení Koncepce státní politiky pro oblast dětí a</w:t>
      </w:r>
      <w:r>
        <w:rPr>
          <w:i/>
          <w:sz w:val="20"/>
        </w:rPr>
        <w:t> </w:t>
      </w:r>
      <w:r w:rsidRPr="00FB5C2F">
        <w:rPr>
          <w:i/>
          <w:sz w:val="20"/>
        </w:rPr>
        <w:t>mládeže na období 2007–2013 a k návrhu Koncepce podpory mládeže na období 2014–2020</w:t>
      </w:r>
      <w:r>
        <w:rPr>
          <w:sz w:val="20"/>
        </w:rPr>
        <w:t>.</w:t>
      </w:r>
    </w:p>
  </w:footnote>
  <w:footnote w:id="4">
    <w:p w14:paraId="408C28D3" w14:textId="504A1F9F" w:rsidR="0022221D" w:rsidRPr="00F53B44" w:rsidRDefault="0022221D" w:rsidP="00A325EE">
      <w:pPr>
        <w:pStyle w:val="Textpoznpodarou"/>
        <w:ind w:left="284" w:hanging="284"/>
        <w:rPr>
          <w:rFonts w:ascii="Calibri" w:hAnsi="Calibri"/>
          <w:sz w:val="20"/>
          <w:szCs w:val="20"/>
        </w:rPr>
      </w:pPr>
      <w:r w:rsidRPr="00F53B44">
        <w:rPr>
          <w:rStyle w:val="Znakapoznpodarou"/>
          <w:rFonts w:ascii="Calibri" w:hAnsi="Calibri"/>
          <w:sz w:val="20"/>
          <w:szCs w:val="20"/>
        </w:rPr>
        <w:footnoteRef/>
      </w:r>
      <w:r w:rsidRPr="00F53B44">
        <w:rPr>
          <w:rFonts w:ascii="Calibri" w:hAnsi="Calibri"/>
          <w:sz w:val="20"/>
          <w:szCs w:val="20"/>
        </w:rPr>
        <w:t xml:space="preserve"> </w:t>
      </w:r>
      <w:r w:rsidRPr="00F53B44">
        <w:rPr>
          <w:rFonts w:ascii="Calibri" w:hAnsi="Calibri"/>
          <w:sz w:val="20"/>
          <w:szCs w:val="20"/>
        </w:rPr>
        <w:tab/>
        <w:t>Ustanovení § 21 zákona č. 2/1969 Sb., o zřízení ministerstev a jiných ústředních orgánů státní správy České republiky.</w:t>
      </w:r>
    </w:p>
  </w:footnote>
  <w:footnote w:id="5">
    <w:p w14:paraId="68124A1D" w14:textId="3BE192D2" w:rsidR="0022221D" w:rsidRPr="00F53B44" w:rsidRDefault="0022221D" w:rsidP="00A83561">
      <w:pPr>
        <w:pStyle w:val="Textpoznpodarou"/>
        <w:ind w:left="284" w:hanging="284"/>
        <w:rPr>
          <w:rFonts w:ascii="Calibri" w:hAnsi="Calibri"/>
          <w:sz w:val="20"/>
          <w:szCs w:val="20"/>
        </w:rPr>
      </w:pPr>
      <w:r w:rsidRPr="00F53B44">
        <w:rPr>
          <w:rStyle w:val="Znakapoznpodarou"/>
          <w:rFonts w:ascii="Calibri" w:hAnsi="Calibri"/>
          <w:sz w:val="20"/>
          <w:szCs w:val="20"/>
        </w:rPr>
        <w:footnoteRef/>
      </w:r>
      <w:r w:rsidRPr="00F53B44">
        <w:rPr>
          <w:rFonts w:ascii="Calibri" w:hAnsi="Calibri"/>
          <w:sz w:val="20"/>
          <w:szCs w:val="20"/>
        </w:rPr>
        <w:t xml:space="preserve"> </w:t>
      </w:r>
      <w:r w:rsidRPr="00F53B44">
        <w:rPr>
          <w:rFonts w:ascii="Calibri" w:hAnsi="Calibri"/>
          <w:sz w:val="20"/>
          <w:szCs w:val="20"/>
        </w:rPr>
        <w:tab/>
        <w:t xml:space="preserve">Usnesení vlády ČR ze dne 12. května 2014 č. 342, </w:t>
      </w:r>
      <w:r w:rsidRPr="0065373F">
        <w:rPr>
          <w:rFonts w:ascii="Calibri" w:hAnsi="Calibri"/>
          <w:i/>
          <w:sz w:val="20"/>
          <w:szCs w:val="20"/>
        </w:rPr>
        <w:t>k vyhodnocení Koncepce státní politiky pro oblast dětí a mládeže na období 2007–2013 a k návrhu Koncepce podpory mládeže na období 2014–2020</w:t>
      </w:r>
      <w:r w:rsidRPr="00F53B44">
        <w:rPr>
          <w:rFonts w:ascii="Calibri" w:hAnsi="Calibri"/>
          <w:sz w:val="20"/>
          <w:szCs w:val="20"/>
        </w:rPr>
        <w:t>.</w:t>
      </w:r>
    </w:p>
  </w:footnote>
  <w:footnote w:id="6">
    <w:p w14:paraId="093F12F6" w14:textId="77777777" w:rsidR="0022221D" w:rsidRDefault="0022221D" w:rsidP="00AF2BC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1205D5">
        <w:rPr>
          <w:sz w:val="20"/>
        </w:rPr>
        <w:t>Ustanovení části čtvrté zákona č. 320/2001 Sb., o finanční kontrole ve veřejné správě a o změně některých zákonů (zákon o finanční kontrole).</w:t>
      </w:r>
    </w:p>
  </w:footnote>
  <w:footnote w:id="7">
    <w:p w14:paraId="021542D7" w14:textId="64FBE4FC" w:rsidR="0022221D" w:rsidRDefault="0022221D" w:rsidP="00AB24E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D903CE">
        <w:rPr>
          <w:sz w:val="20"/>
        </w:rPr>
        <w:t>Ustanovení § 14 odst. 4 zákona č. 218/2000 Sb.</w:t>
      </w:r>
    </w:p>
  </w:footnote>
  <w:footnote w:id="8">
    <w:p w14:paraId="2E913632" w14:textId="507B8446" w:rsidR="0022221D" w:rsidRDefault="0022221D" w:rsidP="00073F6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073F69">
        <w:rPr>
          <w:sz w:val="20"/>
          <w:szCs w:val="20"/>
        </w:rPr>
        <w:t>Ustanovení § 44 odst. 1 písm. b) zákona č. 218/2000 Sb.</w:t>
      </w:r>
    </w:p>
  </w:footnote>
  <w:footnote w:id="9">
    <w:p w14:paraId="7BBC73E4" w14:textId="3A996E12" w:rsidR="0022221D" w:rsidRDefault="0022221D" w:rsidP="0025324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sz w:val="20"/>
          <w:szCs w:val="20"/>
        </w:rPr>
        <w:t>Např. slovenský z</w:t>
      </w:r>
      <w:r w:rsidRPr="0025324F">
        <w:rPr>
          <w:sz w:val="20"/>
          <w:szCs w:val="20"/>
        </w:rPr>
        <w:t>ákon č. 282/2008 Z. z., o podpore práce s mládežou</w:t>
      </w:r>
      <w:r>
        <w:rPr>
          <w:sz w:val="20"/>
          <w:szCs w:val="20"/>
        </w:rPr>
        <w:t xml:space="preserve"> a o zmene a doplnení zákona č. 131/2002 </w:t>
      </w:r>
      <w:r w:rsidRPr="0025324F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25324F">
        <w:rPr>
          <w:sz w:val="20"/>
          <w:szCs w:val="20"/>
        </w:rPr>
        <w:t>z.</w:t>
      </w:r>
      <w:r>
        <w:rPr>
          <w:sz w:val="20"/>
          <w:szCs w:val="20"/>
        </w:rPr>
        <w:t>,</w:t>
      </w:r>
      <w:r w:rsidRPr="0025324F">
        <w:rPr>
          <w:sz w:val="20"/>
          <w:szCs w:val="20"/>
        </w:rPr>
        <w:t xml:space="preserve"> o vysokých školách a o zmene a doplnení niektorých zákon</w:t>
      </w:r>
      <w:r>
        <w:rPr>
          <w:sz w:val="20"/>
          <w:szCs w:val="20"/>
        </w:rPr>
        <w:t>ov v znení neskorších predpisov;</w:t>
      </w:r>
      <w:r w:rsidRPr="0025324F">
        <w:rPr>
          <w:sz w:val="20"/>
          <w:szCs w:val="20"/>
        </w:rPr>
        <w:t xml:space="preserve"> německá </w:t>
      </w:r>
      <w:r w:rsidRPr="00FD1D94">
        <w:rPr>
          <w:i/>
          <w:sz w:val="20"/>
          <w:szCs w:val="20"/>
        </w:rPr>
        <w:t>Osmá kniha sociálního zákoníku – Pomoc dětem a mládeži</w:t>
      </w:r>
      <w:r w:rsidRPr="0025324F">
        <w:rPr>
          <w:sz w:val="20"/>
          <w:szCs w:val="20"/>
        </w:rPr>
        <w:t xml:space="preserve"> (</w:t>
      </w:r>
      <w:r w:rsidRPr="00FD1D94">
        <w:rPr>
          <w:i/>
          <w:sz w:val="20"/>
          <w:szCs w:val="20"/>
        </w:rPr>
        <w:t>Sozialgesetzbuch /SGB/ Achtes Buch (VIII) – Kinder- und Jugendhilfe</w:t>
      </w:r>
      <w:r w:rsidRPr="0025324F">
        <w:rPr>
          <w:sz w:val="20"/>
          <w:szCs w:val="20"/>
        </w:rPr>
        <w:t>)</w:t>
      </w:r>
      <w:r>
        <w:rPr>
          <w:sz w:val="20"/>
          <w:szCs w:val="20"/>
        </w:rPr>
        <w:t>;</w:t>
      </w:r>
      <w:r w:rsidRPr="0025324F">
        <w:rPr>
          <w:sz w:val="20"/>
          <w:szCs w:val="20"/>
        </w:rPr>
        <w:t xml:space="preserve"> rakouský spolkový zákon o zásadách pro pomoc rodinám a vzdělávací podpoře pro</w:t>
      </w:r>
      <w:r>
        <w:rPr>
          <w:sz w:val="20"/>
          <w:szCs w:val="20"/>
        </w:rPr>
        <w:t xml:space="preserve"> děti a </w:t>
      </w:r>
      <w:r w:rsidRPr="0025324F">
        <w:rPr>
          <w:sz w:val="20"/>
          <w:szCs w:val="20"/>
        </w:rPr>
        <w:t>mládež (</w:t>
      </w:r>
      <w:r w:rsidRPr="00FD1D94">
        <w:rPr>
          <w:i/>
          <w:sz w:val="20"/>
          <w:szCs w:val="20"/>
        </w:rPr>
        <w:t xml:space="preserve">Bundesgesetz über die Grundsätze für Hilfen für Familien und Erziehungshilfen für Kinder und Jugendliche </w:t>
      </w:r>
      <w:r>
        <w:rPr>
          <w:i/>
          <w:sz w:val="20"/>
          <w:szCs w:val="20"/>
        </w:rPr>
        <w:t>/</w:t>
      </w:r>
      <w:r w:rsidRPr="00FD1D94">
        <w:rPr>
          <w:i/>
          <w:sz w:val="20"/>
          <w:szCs w:val="20"/>
        </w:rPr>
        <w:t>Bundes-Kinder- und Jugendhilfegesetz 2013 – B-KJHG 2013</w:t>
      </w:r>
      <w:r>
        <w:rPr>
          <w:i/>
          <w:sz w:val="20"/>
          <w:szCs w:val="20"/>
        </w:rPr>
        <w:t>/</w:t>
      </w:r>
      <w:r w:rsidRPr="0025324F">
        <w:rPr>
          <w:sz w:val="20"/>
          <w:szCs w:val="20"/>
        </w:rPr>
        <w:t>).</w:t>
      </w:r>
    </w:p>
  </w:footnote>
  <w:footnote w:id="10">
    <w:p w14:paraId="1F7E10AB" w14:textId="04F12C3C" w:rsidR="0022221D" w:rsidRDefault="0022221D" w:rsidP="00232B4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06583D">
        <w:rPr>
          <w:sz w:val="20"/>
        </w:rPr>
        <w:t>Ustanovení § 14 odst. 4 zákona č. 218/2000 Sb.</w:t>
      </w:r>
    </w:p>
  </w:footnote>
  <w:footnote w:id="11">
    <w:p w14:paraId="5E198BA0" w14:textId="3C3D737A" w:rsidR="0022221D" w:rsidRDefault="0022221D" w:rsidP="00232B4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D60C4D">
        <w:rPr>
          <w:sz w:val="20"/>
        </w:rPr>
        <w:t>Ustanove</w:t>
      </w:r>
      <w:r>
        <w:rPr>
          <w:sz w:val="20"/>
        </w:rPr>
        <w:t>ní</w:t>
      </w:r>
      <w:r w:rsidRPr="00D60C4D">
        <w:rPr>
          <w:sz w:val="20"/>
        </w:rPr>
        <w:t xml:space="preserve"> § 14 odst. 4 písm. d) zákona č. 218/2000 Sb.</w:t>
      </w:r>
    </w:p>
  </w:footnote>
  <w:footnote w:id="12">
    <w:p w14:paraId="5746C01A" w14:textId="77777777" w:rsidR="0022221D" w:rsidRDefault="0022221D" w:rsidP="001409E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A36A2">
        <w:rPr>
          <w:sz w:val="20"/>
        </w:rPr>
        <w:t>Ustanovení § 14f zákona č. 218/2000 Sb.</w:t>
      </w:r>
    </w:p>
  </w:footnote>
  <w:footnote w:id="13">
    <w:p w14:paraId="2ECD2BF0" w14:textId="77777777" w:rsidR="0022221D" w:rsidRDefault="0022221D" w:rsidP="009073E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Pr="005139DA">
        <w:rPr>
          <w:sz w:val="20"/>
        </w:rPr>
        <w:tab/>
        <w:t>Zákon č. 320/2001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0C3CA" w14:textId="77777777" w:rsidR="00384C64" w:rsidRDefault="00384C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BCD01" w14:textId="77777777" w:rsidR="00384C64" w:rsidRDefault="00384C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1213F" w14:textId="77777777" w:rsidR="00384C64" w:rsidRDefault="00384C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18D"/>
    <w:multiLevelType w:val="hybridMultilevel"/>
    <w:tmpl w:val="865A8E5A"/>
    <w:lvl w:ilvl="0" w:tplc="B79C9570">
      <w:start w:val="1"/>
      <w:numFmt w:val="decimal"/>
      <w:pStyle w:val="Obrzek"/>
      <w:lvlText w:val="Obrázek č. %1:"/>
      <w:lvlJc w:val="right"/>
      <w:pPr>
        <w:ind w:left="1285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005" w:hanging="360"/>
      </w:pPr>
    </w:lvl>
    <w:lvl w:ilvl="2" w:tplc="0405001B" w:tentative="1">
      <w:start w:val="1"/>
      <w:numFmt w:val="lowerRoman"/>
      <w:lvlText w:val="%3."/>
      <w:lvlJc w:val="right"/>
      <w:pPr>
        <w:ind w:left="2725" w:hanging="180"/>
      </w:pPr>
    </w:lvl>
    <w:lvl w:ilvl="3" w:tplc="0405000F" w:tentative="1">
      <w:start w:val="1"/>
      <w:numFmt w:val="decimal"/>
      <w:lvlText w:val="%4."/>
      <w:lvlJc w:val="left"/>
      <w:pPr>
        <w:ind w:left="3445" w:hanging="360"/>
      </w:pPr>
    </w:lvl>
    <w:lvl w:ilvl="4" w:tplc="04050019" w:tentative="1">
      <w:start w:val="1"/>
      <w:numFmt w:val="lowerLetter"/>
      <w:lvlText w:val="%5."/>
      <w:lvlJc w:val="left"/>
      <w:pPr>
        <w:ind w:left="4165" w:hanging="360"/>
      </w:pPr>
    </w:lvl>
    <w:lvl w:ilvl="5" w:tplc="0405001B" w:tentative="1">
      <w:start w:val="1"/>
      <w:numFmt w:val="lowerRoman"/>
      <w:lvlText w:val="%6."/>
      <w:lvlJc w:val="right"/>
      <w:pPr>
        <w:ind w:left="4885" w:hanging="180"/>
      </w:pPr>
    </w:lvl>
    <w:lvl w:ilvl="6" w:tplc="0405000F" w:tentative="1">
      <w:start w:val="1"/>
      <w:numFmt w:val="decimal"/>
      <w:lvlText w:val="%7."/>
      <w:lvlJc w:val="left"/>
      <w:pPr>
        <w:ind w:left="5605" w:hanging="360"/>
      </w:pPr>
    </w:lvl>
    <w:lvl w:ilvl="7" w:tplc="04050019" w:tentative="1">
      <w:start w:val="1"/>
      <w:numFmt w:val="lowerLetter"/>
      <w:lvlText w:val="%8."/>
      <w:lvlJc w:val="left"/>
      <w:pPr>
        <w:ind w:left="6325" w:hanging="360"/>
      </w:pPr>
    </w:lvl>
    <w:lvl w:ilvl="8" w:tplc="040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" w15:restartNumberingAfterBreak="0">
    <w:nsid w:val="02DB4870"/>
    <w:multiLevelType w:val="hybridMultilevel"/>
    <w:tmpl w:val="6AF6BF54"/>
    <w:lvl w:ilvl="0" w:tplc="B3DC788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135ADD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7DAD"/>
    <w:multiLevelType w:val="hybridMultilevel"/>
    <w:tmpl w:val="B9D25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7C9C1A"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1987"/>
    <w:multiLevelType w:val="hybridMultilevel"/>
    <w:tmpl w:val="31CE1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359BC"/>
    <w:multiLevelType w:val="hybridMultilevel"/>
    <w:tmpl w:val="3AF64DB2"/>
    <w:lvl w:ilvl="0" w:tplc="156059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03163"/>
    <w:multiLevelType w:val="hybridMultilevel"/>
    <w:tmpl w:val="9D1833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D52E48"/>
    <w:multiLevelType w:val="hybridMultilevel"/>
    <w:tmpl w:val="7654D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E6B59"/>
    <w:multiLevelType w:val="hybridMultilevel"/>
    <w:tmpl w:val="ED2A132C"/>
    <w:lvl w:ilvl="0" w:tplc="A5007E3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F6236"/>
    <w:multiLevelType w:val="hybridMultilevel"/>
    <w:tmpl w:val="DD665406"/>
    <w:lvl w:ilvl="0" w:tplc="EB82586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3923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304A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AA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09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86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2C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40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B6D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32A0B"/>
    <w:multiLevelType w:val="hybridMultilevel"/>
    <w:tmpl w:val="62280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D0E9A"/>
    <w:multiLevelType w:val="hybridMultilevel"/>
    <w:tmpl w:val="AF5C0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7C9C1A"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2874"/>
    <w:multiLevelType w:val="hybridMultilevel"/>
    <w:tmpl w:val="82B6E81A"/>
    <w:lvl w:ilvl="0" w:tplc="D94AA3C6">
      <w:start w:val="1"/>
      <w:numFmt w:val="decimal"/>
      <w:pStyle w:val="Nzevtabulky"/>
      <w:lvlText w:val="Tabulka č. %1:"/>
      <w:lvlJc w:val="left"/>
      <w:pPr>
        <w:ind w:left="4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640A1"/>
    <w:multiLevelType w:val="hybridMultilevel"/>
    <w:tmpl w:val="1FDA5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64FA6"/>
    <w:multiLevelType w:val="hybridMultilevel"/>
    <w:tmpl w:val="9A7C16B8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36B43"/>
    <w:multiLevelType w:val="hybridMultilevel"/>
    <w:tmpl w:val="52588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E4FAA"/>
    <w:multiLevelType w:val="hybridMultilevel"/>
    <w:tmpl w:val="0470B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21483"/>
    <w:multiLevelType w:val="hybridMultilevel"/>
    <w:tmpl w:val="B3565872"/>
    <w:lvl w:ilvl="0" w:tplc="35D4709C">
      <w:start w:val="1"/>
      <w:numFmt w:val="decimal"/>
      <w:lvlText w:val="Tabulka č. %1: X"/>
      <w:lvlJc w:val="left"/>
      <w:pPr>
        <w:ind w:left="720" w:hanging="360"/>
      </w:pPr>
      <w:rPr>
        <w:rFonts w:hint="default"/>
      </w:rPr>
    </w:lvl>
    <w:lvl w:ilvl="1" w:tplc="A676B0C0">
      <w:start w:val="1"/>
      <w:numFmt w:val="decimal"/>
      <w:suff w:val="space"/>
      <w:lvlText w:val="Tabulka č. %2:"/>
      <w:lvlJc w:val="left"/>
      <w:pPr>
        <w:ind w:left="567" w:hanging="567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0CE40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36A12"/>
    <w:multiLevelType w:val="hybridMultilevel"/>
    <w:tmpl w:val="DFA44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D4223"/>
    <w:multiLevelType w:val="hybridMultilevel"/>
    <w:tmpl w:val="ECA62D50"/>
    <w:lvl w:ilvl="0" w:tplc="3A40F186">
      <w:numFmt w:val="bullet"/>
      <w:lvlText w:val="◦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6E0BF4"/>
    <w:multiLevelType w:val="hybridMultilevel"/>
    <w:tmpl w:val="84B0F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87D"/>
    <w:multiLevelType w:val="hybridMultilevel"/>
    <w:tmpl w:val="EF321920"/>
    <w:lvl w:ilvl="0" w:tplc="B226D0B0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817B44"/>
    <w:multiLevelType w:val="hybridMultilevel"/>
    <w:tmpl w:val="E29059DA"/>
    <w:lvl w:ilvl="0" w:tplc="D80CCB40">
      <w:start w:val="1"/>
      <w:numFmt w:val="decimal"/>
      <w:pStyle w:val="Graf"/>
      <w:lvlText w:val="Graf č. %1: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754CD"/>
    <w:multiLevelType w:val="multilevel"/>
    <w:tmpl w:val="08DE9E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2" w:hanging="1800"/>
      </w:pPr>
      <w:rPr>
        <w:rFonts w:hint="default"/>
      </w:rPr>
    </w:lvl>
  </w:abstractNum>
  <w:abstractNum w:abstractNumId="23" w15:restartNumberingAfterBreak="0">
    <w:nsid w:val="4B0A7847"/>
    <w:multiLevelType w:val="hybridMultilevel"/>
    <w:tmpl w:val="1EAE65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211EC3"/>
    <w:multiLevelType w:val="hybridMultilevel"/>
    <w:tmpl w:val="A33475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A10E54"/>
    <w:multiLevelType w:val="hybridMultilevel"/>
    <w:tmpl w:val="BFF81B16"/>
    <w:lvl w:ilvl="0" w:tplc="7EB42F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3F2B37A">
      <w:numFmt w:val="bullet"/>
      <w:lvlText w:val="•"/>
      <w:lvlJc w:val="left"/>
      <w:pPr>
        <w:ind w:left="1785" w:hanging="705"/>
      </w:pPr>
      <w:rPr>
        <w:rFonts w:ascii="Calibri" w:eastAsia="Times New Roman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82535"/>
    <w:multiLevelType w:val="hybridMultilevel"/>
    <w:tmpl w:val="12A8F9D4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45B26"/>
    <w:multiLevelType w:val="hybridMultilevel"/>
    <w:tmpl w:val="27289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74E22"/>
    <w:multiLevelType w:val="hybridMultilevel"/>
    <w:tmpl w:val="C6927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52778"/>
    <w:multiLevelType w:val="hybridMultilevel"/>
    <w:tmpl w:val="DD743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43E2A"/>
    <w:multiLevelType w:val="hybridMultilevel"/>
    <w:tmpl w:val="5DE81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FDC8158">
      <w:start w:val="1"/>
      <w:numFmt w:val="decimal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40AB6"/>
    <w:multiLevelType w:val="hybridMultilevel"/>
    <w:tmpl w:val="1E3AD9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7520BF"/>
    <w:multiLevelType w:val="hybridMultilevel"/>
    <w:tmpl w:val="B9D25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7C9C1A"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731A9"/>
    <w:multiLevelType w:val="hybridMultilevel"/>
    <w:tmpl w:val="B60A4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D1B63"/>
    <w:multiLevelType w:val="hybridMultilevel"/>
    <w:tmpl w:val="D2F82C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647B4"/>
    <w:multiLevelType w:val="hybridMultilevel"/>
    <w:tmpl w:val="0C1CC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D22BC"/>
    <w:multiLevelType w:val="hybridMultilevel"/>
    <w:tmpl w:val="249250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B229E"/>
    <w:multiLevelType w:val="hybridMultilevel"/>
    <w:tmpl w:val="79B82B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D72C83"/>
    <w:multiLevelType w:val="hybridMultilevel"/>
    <w:tmpl w:val="8D14CC20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82AC1"/>
    <w:multiLevelType w:val="hybridMultilevel"/>
    <w:tmpl w:val="CF8E3662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B11EB"/>
    <w:multiLevelType w:val="hybridMultilevel"/>
    <w:tmpl w:val="4EC07A1E"/>
    <w:lvl w:ilvl="0" w:tplc="6CC89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C22AD2"/>
    <w:multiLevelType w:val="hybridMultilevel"/>
    <w:tmpl w:val="01580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40EA1"/>
    <w:multiLevelType w:val="hybridMultilevel"/>
    <w:tmpl w:val="B302F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62CE1"/>
    <w:multiLevelType w:val="multilevel"/>
    <w:tmpl w:val="B6EC0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7B06484"/>
    <w:multiLevelType w:val="hybridMultilevel"/>
    <w:tmpl w:val="B9D25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7C9C1A"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23CD5"/>
    <w:multiLevelType w:val="hybridMultilevel"/>
    <w:tmpl w:val="F804326E"/>
    <w:lvl w:ilvl="0" w:tplc="7DAE0F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D71355B"/>
    <w:multiLevelType w:val="hybridMultilevel"/>
    <w:tmpl w:val="365CD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96932"/>
    <w:multiLevelType w:val="hybridMultilevel"/>
    <w:tmpl w:val="D4F09AF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30"/>
  </w:num>
  <w:num w:numId="4">
    <w:abstractNumId w:val="31"/>
  </w:num>
  <w:num w:numId="5">
    <w:abstractNumId w:val="11"/>
  </w:num>
  <w:num w:numId="6">
    <w:abstractNumId w:val="40"/>
  </w:num>
  <w:num w:numId="7">
    <w:abstractNumId w:val="43"/>
  </w:num>
  <w:num w:numId="8">
    <w:abstractNumId w:val="37"/>
  </w:num>
  <w:num w:numId="9">
    <w:abstractNumId w:val="29"/>
  </w:num>
  <w:num w:numId="10">
    <w:abstractNumId w:val="23"/>
  </w:num>
  <w:num w:numId="11">
    <w:abstractNumId w:val="36"/>
  </w:num>
  <w:num w:numId="12">
    <w:abstractNumId w:val="12"/>
  </w:num>
  <w:num w:numId="13">
    <w:abstractNumId w:val="6"/>
  </w:num>
  <w:num w:numId="14">
    <w:abstractNumId w:val="34"/>
  </w:num>
  <w:num w:numId="15">
    <w:abstractNumId w:val="24"/>
  </w:num>
  <w:num w:numId="16">
    <w:abstractNumId w:val="5"/>
  </w:num>
  <w:num w:numId="17">
    <w:abstractNumId w:val="0"/>
  </w:num>
  <w:num w:numId="18">
    <w:abstractNumId w:val="19"/>
  </w:num>
  <w:num w:numId="19">
    <w:abstractNumId w:val="47"/>
  </w:num>
  <w:num w:numId="20">
    <w:abstractNumId w:val="20"/>
  </w:num>
  <w:num w:numId="21">
    <w:abstractNumId w:val="18"/>
  </w:num>
  <w:num w:numId="22">
    <w:abstractNumId w:val="33"/>
  </w:num>
  <w:num w:numId="23">
    <w:abstractNumId w:val="14"/>
  </w:num>
  <w:num w:numId="24">
    <w:abstractNumId w:val="16"/>
  </w:num>
  <w:num w:numId="25">
    <w:abstractNumId w:val="10"/>
  </w:num>
  <w:num w:numId="26">
    <w:abstractNumId w:val="4"/>
  </w:num>
  <w:num w:numId="27">
    <w:abstractNumId w:val="11"/>
  </w:num>
  <w:num w:numId="28">
    <w:abstractNumId w:val="44"/>
  </w:num>
  <w:num w:numId="29">
    <w:abstractNumId w:val="32"/>
  </w:num>
  <w:num w:numId="30">
    <w:abstractNumId w:val="2"/>
  </w:num>
  <w:num w:numId="31">
    <w:abstractNumId w:val="25"/>
  </w:num>
  <w:num w:numId="32">
    <w:abstractNumId w:val="41"/>
  </w:num>
  <w:num w:numId="33">
    <w:abstractNumId w:val="3"/>
  </w:num>
  <w:num w:numId="34">
    <w:abstractNumId w:val="17"/>
  </w:num>
  <w:num w:numId="35">
    <w:abstractNumId w:val="15"/>
  </w:num>
  <w:num w:numId="36">
    <w:abstractNumId w:val="28"/>
  </w:num>
  <w:num w:numId="37">
    <w:abstractNumId w:val="9"/>
  </w:num>
  <w:num w:numId="38">
    <w:abstractNumId w:val="35"/>
  </w:num>
  <w:num w:numId="39">
    <w:abstractNumId w:val="42"/>
  </w:num>
  <w:num w:numId="40">
    <w:abstractNumId w:val="7"/>
  </w:num>
  <w:num w:numId="41">
    <w:abstractNumId w:val="46"/>
  </w:num>
  <w:num w:numId="42">
    <w:abstractNumId w:val="27"/>
  </w:num>
  <w:num w:numId="43">
    <w:abstractNumId w:val="8"/>
  </w:num>
  <w:num w:numId="44">
    <w:abstractNumId w:val="39"/>
  </w:num>
  <w:num w:numId="45">
    <w:abstractNumId w:val="26"/>
  </w:num>
  <w:num w:numId="46">
    <w:abstractNumId w:val="38"/>
  </w:num>
  <w:num w:numId="47">
    <w:abstractNumId w:val="13"/>
  </w:num>
  <w:num w:numId="48">
    <w:abstractNumId w:val="22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8F"/>
    <w:rsid w:val="00000FFE"/>
    <w:rsid w:val="000015CC"/>
    <w:rsid w:val="00010B73"/>
    <w:rsid w:val="000216FB"/>
    <w:rsid w:val="0002178C"/>
    <w:rsid w:val="00026069"/>
    <w:rsid w:val="0003105F"/>
    <w:rsid w:val="00032ED4"/>
    <w:rsid w:val="000330A4"/>
    <w:rsid w:val="000408D6"/>
    <w:rsid w:val="00050212"/>
    <w:rsid w:val="00050C66"/>
    <w:rsid w:val="00055AC4"/>
    <w:rsid w:val="000574AB"/>
    <w:rsid w:val="00057731"/>
    <w:rsid w:val="0006108D"/>
    <w:rsid w:val="00063AD6"/>
    <w:rsid w:val="000640EC"/>
    <w:rsid w:val="0006583D"/>
    <w:rsid w:val="00065CCB"/>
    <w:rsid w:val="00066E28"/>
    <w:rsid w:val="0007011A"/>
    <w:rsid w:val="00073F69"/>
    <w:rsid w:val="00074C5C"/>
    <w:rsid w:val="00075B4D"/>
    <w:rsid w:val="00075DA8"/>
    <w:rsid w:val="000821C1"/>
    <w:rsid w:val="00083C67"/>
    <w:rsid w:val="0008633C"/>
    <w:rsid w:val="00091117"/>
    <w:rsid w:val="000952F4"/>
    <w:rsid w:val="00097B44"/>
    <w:rsid w:val="000A1DCD"/>
    <w:rsid w:val="000A6378"/>
    <w:rsid w:val="000A791D"/>
    <w:rsid w:val="000B3F8D"/>
    <w:rsid w:val="000C21A4"/>
    <w:rsid w:val="000C4F6A"/>
    <w:rsid w:val="000D19E4"/>
    <w:rsid w:val="000D4D4E"/>
    <w:rsid w:val="000E271D"/>
    <w:rsid w:val="000E65ED"/>
    <w:rsid w:val="000E7260"/>
    <w:rsid w:val="000F0BAA"/>
    <w:rsid w:val="000F36E1"/>
    <w:rsid w:val="000F4867"/>
    <w:rsid w:val="000F6176"/>
    <w:rsid w:val="001030E8"/>
    <w:rsid w:val="001053E8"/>
    <w:rsid w:val="001106ED"/>
    <w:rsid w:val="00110938"/>
    <w:rsid w:val="00111B81"/>
    <w:rsid w:val="00114029"/>
    <w:rsid w:val="00114194"/>
    <w:rsid w:val="001205D5"/>
    <w:rsid w:val="00121197"/>
    <w:rsid w:val="00121600"/>
    <w:rsid w:val="00134A7C"/>
    <w:rsid w:val="001409EA"/>
    <w:rsid w:val="00144BEF"/>
    <w:rsid w:val="001516DD"/>
    <w:rsid w:val="00151C17"/>
    <w:rsid w:val="00155EBD"/>
    <w:rsid w:val="00166387"/>
    <w:rsid w:val="00167909"/>
    <w:rsid w:val="00171221"/>
    <w:rsid w:val="001747B8"/>
    <w:rsid w:val="0017660C"/>
    <w:rsid w:val="00186051"/>
    <w:rsid w:val="001A2F1D"/>
    <w:rsid w:val="001A3787"/>
    <w:rsid w:val="001A7D02"/>
    <w:rsid w:val="001B0C71"/>
    <w:rsid w:val="001B0CED"/>
    <w:rsid w:val="001B7D8B"/>
    <w:rsid w:val="001C096D"/>
    <w:rsid w:val="001D7BDD"/>
    <w:rsid w:val="001E16C5"/>
    <w:rsid w:val="001E2EC0"/>
    <w:rsid w:val="001E2F6C"/>
    <w:rsid w:val="001E4863"/>
    <w:rsid w:val="001E757E"/>
    <w:rsid w:val="001E7809"/>
    <w:rsid w:val="001E7DC9"/>
    <w:rsid w:val="00204C5B"/>
    <w:rsid w:val="00212165"/>
    <w:rsid w:val="00215FA5"/>
    <w:rsid w:val="00216687"/>
    <w:rsid w:val="0022221D"/>
    <w:rsid w:val="00223E77"/>
    <w:rsid w:val="00225000"/>
    <w:rsid w:val="00230B24"/>
    <w:rsid w:val="002316B3"/>
    <w:rsid w:val="00232B42"/>
    <w:rsid w:val="00236EB3"/>
    <w:rsid w:val="00241E74"/>
    <w:rsid w:val="00243441"/>
    <w:rsid w:val="00252898"/>
    <w:rsid w:val="0025324F"/>
    <w:rsid w:val="00261B7C"/>
    <w:rsid w:val="00263932"/>
    <w:rsid w:val="00271C92"/>
    <w:rsid w:val="0027391B"/>
    <w:rsid w:val="00281681"/>
    <w:rsid w:val="002826B8"/>
    <w:rsid w:val="002878D7"/>
    <w:rsid w:val="00295D32"/>
    <w:rsid w:val="002A284B"/>
    <w:rsid w:val="002A5221"/>
    <w:rsid w:val="002A60B9"/>
    <w:rsid w:val="002B1615"/>
    <w:rsid w:val="002B2424"/>
    <w:rsid w:val="002B60A2"/>
    <w:rsid w:val="002B75D8"/>
    <w:rsid w:val="002C0D5F"/>
    <w:rsid w:val="002C4768"/>
    <w:rsid w:val="002C548A"/>
    <w:rsid w:val="002D38D6"/>
    <w:rsid w:val="002E1E8B"/>
    <w:rsid w:val="002E626E"/>
    <w:rsid w:val="002E6D91"/>
    <w:rsid w:val="002F22AA"/>
    <w:rsid w:val="002F4BA3"/>
    <w:rsid w:val="002F606F"/>
    <w:rsid w:val="003006CC"/>
    <w:rsid w:val="0030181A"/>
    <w:rsid w:val="003052AB"/>
    <w:rsid w:val="003063CC"/>
    <w:rsid w:val="003065A7"/>
    <w:rsid w:val="0030716F"/>
    <w:rsid w:val="00316D6A"/>
    <w:rsid w:val="00322CD9"/>
    <w:rsid w:val="00326EB8"/>
    <w:rsid w:val="00331AC6"/>
    <w:rsid w:val="003359F6"/>
    <w:rsid w:val="00335CE9"/>
    <w:rsid w:val="003402E1"/>
    <w:rsid w:val="00343823"/>
    <w:rsid w:val="00345B65"/>
    <w:rsid w:val="0034687B"/>
    <w:rsid w:val="00347634"/>
    <w:rsid w:val="00354044"/>
    <w:rsid w:val="003543A6"/>
    <w:rsid w:val="00355A1E"/>
    <w:rsid w:val="00356277"/>
    <w:rsid w:val="003572B2"/>
    <w:rsid w:val="00361CEF"/>
    <w:rsid w:val="0036486B"/>
    <w:rsid w:val="003653D7"/>
    <w:rsid w:val="00371E87"/>
    <w:rsid w:val="00373DA6"/>
    <w:rsid w:val="00382755"/>
    <w:rsid w:val="00384C64"/>
    <w:rsid w:val="003874E4"/>
    <w:rsid w:val="003905E0"/>
    <w:rsid w:val="00390D57"/>
    <w:rsid w:val="00392404"/>
    <w:rsid w:val="00394AA8"/>
    <w:rsid w:val="00394EFF"/>
    <w:rsid w:val="00395450"/>
    <w:rsid w:val="00396EA5"/>
    <w:rsid w:val="003A18C4"/>
    <w:rsid w:val="003A3420"/>
    <w:rsid w:val="003A655E"/>
    <w:rsid w:val="003A656C"/>
    <w:rsid w:val="003A76EC"/>
    <w:rsid w:val="003B0352"/>
    <w:rsid w:val="003B1FD7"/>
    <w:rsid w:val="003B30B9"/>
    <w:rsid w:val="003B3E44"/>
    <w:rsid w:val="003B6041"/>
    <w:rsid w:val="003C104E"/>
    <w:rsid w:val="003C2F8F"/>
    <w:rsid w:val="003C4AF2"/>
    <w:rsid w:val="003C5A48"/>
    <w:rsid w:val="003C7776"/>
    <w:rsid w:val="003D3618"/>
    <w:rsid w:val="003D6612"/>
    <w:rsid w:val="003E0054"/>
    <w:rsid w:val="003E6D5E"/>
    <w:rsid w:val="003E7B2D"/>
    <w:rsid w:val="003F2B2C"/>
    <w:rsid w:val="003F646A"/>
    <w:rsid w:val="004020CA"/>
    <w:rsid w:val="004132CF"/>
    <w:rsid w:val="00422483"/>
    <w:rsid w:val="004272C0"/>
    <w:rsid w:val="00431B26"/>
    <w:rsid w:val="00434516"/>
    <w:rsid w:val="00435A86"/>
    <w:rsid w:val="00436B21"/>
    <w:rsid w:val="00462E43"/>
    <w:rsid w:val="00464AE8"/>
    <w:rsid w:val="004707E7"/>
    <w:rsid w:val="004712AF"/>
    <w:rsid w:val="0047267B"/>
    <w:rsid w:val="004878A8"/>
    <w:rsid w:val="0049135F"/>
    <w:rsid w:val="00492019"/>
    <w:rsid w:val="004920DF"/>
    <w:rsid w:val="0049314F"/>
    <w:rsid w:val="00495885"/>
    <w:rsid w:val="004969CF"/>
    <w:rsid w:val="004B0F97"/>
    <w:rsid w:val="004B7F0F"/>
    <w:rsid w:val="004C0375"/>
    <w:rsid w:val="004C04A0"/>
    <w:rsid w:val="004C23C8"/>
    <w:rsid w:val="004C2E3C"/>
    <w:rsid w:val="004C38AE"/>
    <w:rsid w:val="004C53ED"/>
    <w:rsid w:val="004D0A56"/>
    <w:rsid w:val="004D33F6"/>
    <w:rsid w:val="004E393C"/>
    <w:rsid w:val="004F2935"/>
    <w:rsid w:val="004F77A7"/>
    <w:rsid w:val="004F7943"/>
    <w:rsid w:val="00500207"/>
    <w:rsid w:val="00500BB4"/>
    <w:rsid w:val="00510852"/>
    <w:rsid w:val="0051155E"/>
    <w:rsid w:val="00512665"/>
    <w:rsid w:val="00513540"/>
    <w:rsid w:val="005139DA"/>
    <w:rsid w:val="00514497"/>
    <w:rsid w:val="00526333"/>
    <w:rsid w:val="00530B11"/>
    <w:rsid w:val="0053273C"/>
    <w:rsid w:val="0053358B"/>
    <w:rsid w:val="00535186"/>
    <w:rsid w:val="0054276A"/>
    <w:rsid w:val="00555C22"/>
    <w:rsid w:val="0056160B"/>
    <w:rsid w:val="005808B1"/>
    <w:rsid w:val="005818DA"/>
    <w:rsid w:val="005872C0"/>
    <w:rsid w:val="00591B94"/>
    <w:rsid w:val="00591FDD"/>
    <w:rsid w:val="00594364"/>
    <w:rsid w:val="00595526"/>
    <w:rsid w:val="00597075"/>
    <w:rsid w:val="005A330B"/>
    <w:rsid w:val="005A3540"/>
    <w:rsid w:val="005A38BA"/>
    <w:rsid w:val="005A3F85"/>
    <w:rsid w:val="005A770C"/>
    <w:rsid w:val="005A7CC8"/>
    <w:rsid w:val="005E07FD"/>
    <w:rsid w:val="005E5081"/>
    <w:rsid w:val="005E5F8A"/>
    <w:rsid w:val="005E7B94"/>
    <w:rsid w:val="005F7323"/>
    <w:rsid w:val="00602673"/>
    <w:rsid w:val="0060319D"/>
    <w:rsid w:val="00604AC4"/>
    <w:rsid w:val="00607C26"/>
    <w:rsid w:val="00611B00"/>
    <w:rsid w:val="006275C4"/>
    <w:rsid w:val="00632833"/>
    <w:rsid w:val="0063495E"/>
    <w:rsid w:val="00634DA8"/>
    <w:rsid w:val="0064054A"/>
    <w:rsid w:val="00647A01"/>
    <w:rsid w:val="00650E27"/>
    <w:rsid w:val="006525AC"/>
    <w:rsid w:val="00652606"/>
    <w:rsid w:val="00653636"/>
    <w:rsid w:val="0065373F"/>
    <w:rsid w:val="0066723A"/>
    <w:rsid w:val="00671458"/>
    <w:rsid w:val="00675498"/>
    <w:rsid w:val="00675D39"/>
    <w:rsid w:val="00676EBE"/>
    <w:rsid w:val="006770F8"/>
    <w:rsid w:val="0067723C"/>
    <w:rsid w:val="00681470"/>
    <w:rsid w:val="00681ECE"/>
    <w:rsid w:val="0068546E"/>
    <w:rsid w:val="00693E4D"/>
    <w:rsid w:val="006977C6"/>
    <w:rsid w:val="006A59B1"/>
    <w:rsid w:val="006A7F3B"/>
    <w:rsid w:val="006B044B"/>
    <w:rsid w:val="006B6E15"/>
    <w:rsid w:val="006C746A"/>
    <w:rsid w:val="006D0DB3"/>
    <w:rsid w:val="006D0DBD"/>
    <w:rsid w:val="006D231C"/>
    <w:rsid w:val="006D26A6"/>
    <w:rsid w:val="006D39EE"/>
    <w:rsid w:val="006D507E"/>
    <w:rsid w:val="006D6E9C"/>
    <w:rsid w:val="006E1F31"/>
    <w:rsid w:val="006E5C32"/>
    <w:rsid w:val="006E6BAC"/>
    <w:rsid w:val="006F1AEC"/>
    <w:rsid w:val="006F2081"/>
    <w:rsid w:val="006F41EB"/>
    <w:rsid w:val="006F7AE7"/>
    <w:rsid w:val="007016D7"/>
    <w:rsid w:val="00702808"/>
    <w:rsid w:val="00707C04"/>
    <w:rsid w:val="00713E76"/>
    <w:rsid w:val="00715C02"/>
    <w:rsid w:val="00717461"/>
    <w:rsid w:val="00717FC8"/>
    <w:rsid w:val="00721668"/>
    <w:rsid w:val="00723265"/>
    <w:rsid w:val="0072334E"/>
    <w:rsid w:val="0072668B"/>
    <w:rsid w:val="00726E55"/>
    <w:rsid w:val="007459D2"/>
    <w:rsid w:val="0075571E"/>
    <w:rsid w:val="00755785"/>
    <w:rsid w:val="00765E04"/>
    <w:rsid w:val="00766588"/>
    <w:rsid w:val="00771FDC"/>
    <w:rsid w:val="007736DB"/>
    <w:rsid w:val="00774253"/>
    <w:rsid w:val="00776644"/>
    <w:rsid w:val="00776B61"/>
    <w:rsid w:val="007817BB"/>
    <w:rsid w:val="00784D73"/>
    <w:rsid w:val="0078659D"/>
    <w:rsid w:val="00794C09"/>
    <w:rsid w:val="00795034"/>
    <w:rsid w:val="007A0B77"/>
    <w:rsid w:val="007A3DDA"/>
    <w:rsid w:val="007A480A"/>
    <w:rsid w:val="007A70C2"/>
    <w:rsid w:val="007A7618"/>
    <w:rsid w:val="007B1586"/>
    <w:rsid w:val="007B260F"/>
    <w:rsid w:val="007B30BE"/>
    <w:rsid w:val="007B50F6"/>
    <w:rsid w:val="007B567A"/>
    <w:rsid w:val="007B6600"/>
    <w:rsid w:val="007C27B2"/>
    <w:rsid w:val="007C6FD1"/>
    <w:rsid w:val="007D5C7E"/>
    <w:rsid w:val="007D5E53"/>
    <w:rsid w:val="007D6D40"/>
    <w:rsid w:val="007D6F7D"/>
    <w:rsid w:val="007E3DD8"/>
    <w:rsid w:val="007F0175"/>
    <w:rsid w:val="007F1512"/>
    <w:rsid w:val="007F2E68"/>
    <w:rsid w:val="007F3027"/>
    <w:rsid w:val="007F3FF7"/>
    <w:rsid w:val="007F563F"/>
    <w:rsid w:val="007F581C"/>
    <w:rsid w:val="007F717D"/>
    <w:rsid w:val="008032DC"/>
    <w:rsid w:val="00804542"/>
    <w:rsid w:val="00804764"/>
    <w:rsid w:val="00804C37"/>
    <w:rsid w:val="008136C2"/>
    <w:rsid w:val="0081633D"/>
    <w:rsid w:val="00820FCA"/>
    <w:rsid w:val="00821781"/>
    <w:rsid w:val="0082276C"/>
    <w:rsid w:val="00822EE4"/>
    <w:rsid w:val="00822F41"/>
    <w:rsid w:val="008264DD"/>
    <w:rsid w:val="00826B13"/>
    <w:rsid w:val="00832633"/>
    <w:rsid w:val="00836992"/>
    <w:rsid w:val="008407AD"/>
    <w:rsid w:val="008411D3"/>
    <w:rsid w:val="00852899"/>
    <w:rsid w:val="0087019B"/>
    <w:rsid w:val="00870D39"/>
    <w:rsid w:val="00873C98"/>
    <w:rsid w:val="0087673B"/>
    <w:rsid w:val="00877079"/>
    <w:rsid w:val="00886711"/>
    <w:rsid w:val="00887618"/>
    <w:rsid w:val="00897F54"/>
    <w:rsid w:val="008A1A37"/>
    <w:rsid w:val="008A27F8"/>
    <w:rsid w:val="008A5248"/>
    <w:rsid w:val="008B12AB"/>
    <w:rsid w:val="008B2124"/>
    <w:rsid w:val="008C1BD2"/>
    <w:rsid w:val="008C1CDF"/>
    <w:rsid w:val="008C446E"/>
    <w:rsid w:val="008C6401"/>
    <w:rsid w:val="008C7D20"/>
    <w:rsid w:val="008D0687"/>
    <w:rsid w:val="008D1AC0"/>
    <w:rsid w:val="008D2B58"/>
    <w:rsid w:val="008D5700"/>
    <w:rsid w:val="008D68B9"/>
    <w:rsid w:val="008D7016"/>
    <w:rsid w:val="008E63A3"/>
    <w:rsid w:val="008E66BA"/>
    <w:rsid w:val="008F05CC"/>
    <w:rsid w:val="008F4D29"/>
    <w:rsid w:val="008F7ABF"/>
    <w:rsid w:val="00902074"/>
    <w:rsid w:val="00903BBE"/>
    <w:rsid w:val="009073EE"/>
    <w:rsid w:val="00907AF8"/>
    <w:rsid w:val="00915AE8"/>
    <w:rsid w:val="009161CC"/>
    <w:rsid w:val="0092651A"/>
    <w:rsid w:val="00927CF3"/>
    <w:rsid w:val="00934725"/>
    <w:rsid w:val="00940F6E"/>
    <w:rsid w:val="00941466"/>
    <w:rsid w:val="009425A5"/>
    <w:rsid w:val="00944FB4"/>
    <w:rsid w:val="00945C61"/>
    <w:rsid w:val="009472D6"/>
    <w:rsid w:val="00952155"/>
    <w:rsid w:val="00952C53"/>
    <w:rsid w:val="00966FCA"/>
    <w:rsid w:val="0096780A"/>
    <w:rsid w:val="009A03C0"/>
    <w:rsid w:val="009A11DB"/>
    <w:rsid w:val="009A2EE8"/>
    <w:rsid w:val="009A36A2"/>
    <w:rsid w:val="009A5B12"/>
    <w:rsid w:val="009B16C9"/>
    <w:rsid w:val="009B3CED"/>
    <w:rsid w:val="009D1B1F"/>
    <w:rsid w:val="009D3E12"/>
    <w:rsid w:val="009D68FA"/>
    <w:rsid w:val="009D783D"/>
    <w:rsid w:val="009E2DCC"/>
    <w:rsid w:val="009E366B"/>
    <w:rsid w:val="009E4D76"/>
    <w:rsid w:val="00A011DB"/>
    <w:rsid w:val="00A040B2"/>
    <w:rsid w:val="00A05D58"/>
    <w:rsid w:val="00A0600E"/>
    <w:rsid w:val="00A0789C"/>
    <w:rsid w:val="00A26B8D"/>
    <w:rsid w:val="00A325EE"/>
    <w:rsid w:val="00A32CF2"/>
    <w:rsid w:val="00A365C1"/>
    <w:rsid w:val="00A429F7"/>
    <w:rsid w:val="00A5091B"/>
    <w:rsid w:val="00A50A50"/>
    <w:rsid w:val="00A53E7E"/>
    <w:rsid w:val="00A5481D"/>
    <w:rsid w:val="00A54AB2"/>
    <w:rsid w:val="00A54FFC"/>
    <w:rsid w:val="00A57787"/>
    <w:rsid w:val="00A610A0"/>
    <w:rsid w:val="00A6209F"/>
    <w:rsid w:val="00A66404"/>
    <w:rsid w:val="00A808FF"/>
    <w:rsid w:val="00A82821"/>
    <w:rsid w:val="00A83561"/>
    <w:rsid w:val="00A83FDB"/>
    <w:rsid w:val="00A90CF9"/>
    <w:rsid w:val="00A94750"/>
    <w:rsid w:val="00A963E4"/>
    <w:rsid w:val="00AA2467"/>
    <w:rsid w:val="00AA326A"/>
    <w:rsid w:val="00AA475D"/>
    <w:rsid w:val="00AA483F"/>
    <w:rsid w:val="00AA4C76"/>
    <w:rsid w:val="00AB24E1"/>
    <w:rsid w:val="00AB5F6D"/>
    <w:rsid w:val="00AB6342"/>
    <w:rsid w:val="00AC271A"/>
    <w:rsid w:val="00AC797B"/>
    <w:rsid w:val="00AD3C1B"/>
    <w:rsid w:val="00AD7AD3"/>
    <w:rsid w:val="00AE0CAF"/>
    <w:rsid w:val="00AE3DAC"/>
    <w:rsid w:val="00AE57C6"/>
    <w:rsid w:val="00AF0DFA"/>
    <w:rsid w:val="00AF26CD"/>
    <w:rsid w:val="00AF2BCA"/>
    <w:rsid w:val="00AF383E"/>
    <w:rsid w:val="00AF5326"/>
    <w:rsid w:val="00AF7C17"/>
    <w:rsid w:val="00B008DE"/>
    <w:rsid w:val="00B00AF2"/>
    <w:rsid w:val="00B05FDE"/>
    <w:rsid w:val="00B0620A"/>
    <w:rsid w:val="00B10650"/>
    <w:rsid w:val="00B171E4"/>
    <w:rsid w:val="00B2071C"/>
    <w:rsid w:val="00B242FA"/>
    <w:rsid w:val="00B247DD"/>
    <w:rsid w:val="00B3174E"/>
    <w:rsid w:val="00B319DB"/>
    <w:rsid w:val="00B31FF4"/>
    <w:rsid w:val="00B322FC"/>
    <w:rsid w:val="00B32A2A"/>
    <w:rsid w:val="00B344D9"/>
    <w:rsid w:val="00B371B4"/>
    <w:rsid w:val="00B37891"/>
    <w:rsid w:val="00B40BC6"/>
    <w:rsid w:val="00B559B4"/>
    <w:rsid w:val="00B62039"/>
    <w:rsid w:val="00B633D0"/>
    <w:rsid w:val="00B65405"/>
    <w:rsid w:val="00B75C18"/>
    <w:rsid w:val="00B75DD2"/>
    <w:rsid w:val="00B77CD8"/>
    <w:rsid w:val="00B841BC"/>
    <w:rsid w:val="00B86AC6"/>
    <w:rsid w:val="00B9118A"/>
    <w:rsid w:val="00B9510E"/>
    <w:rsid w:val="00BA08BE"/>
    <w:rsid w:val="00BB083A"/>
    <w:rsid w:val="00BB09D6"/>
    <w:rsid w:val="00BB21FB"/>
    <w:rsid w:val="00BB4795"/>
    <w:rsid w:val="00BC01B1"/>
    <w:rsid w:val="00BC3A46"/>
    <w:rsid w:val="00BC638B"/>
    <w:rsid w:val="00BD09E8"/>
    <w:rsid w:val="00BD5DB5"/>
    <w:rsid w:val="00BD67CF"/>
    <w:rsid w:val="00BE1713"/>
    <w:rsid w:val="00C0197B"/>
    <w:rsid w:val="00C126BC"/>
    <w:rsid w:val="00C12CBD"/>
    <w:rsid w:val="00C24A5B"/>
    <w:rsid w:val="00C25BFA"/>
    <w:rsid w:val="00C30734"/>
    <w:rsid w:val="00C3301A"/>
    <w:rsid w:val="00C347AC"/>
    <w:rsid w:val="00C3512B"/>
    <w:rsid w:val="00C359C7"/>
    <w:rsid w:val="00C408C4"/>
    <w:rsid w:val="00C42390"/>
    <w:rsid w:val="00C44FC6"/>
    <w:rsid w:val="00C53892"/>
    <w:rsid w:val="00C54FE7"/>
    <w:rsid w:val="00C61879"/>
    <w:rsid w:val="00C66B99"/>
    <w:rsid w:val="00C67CED"/>
    <w:rsid w:val="00C73868"/>
    <w:rsid w:val="00C775E9"/>
    <w:rsid w:val="00C82708"/>
    <w:rsid w:val="00C84DBA"/>
    <w:rsid w:val="00C95AFF"/>
    <w:rsid w:val="00C96ACA"/>
    <w:rsid w:val="00CA7985"/>
    <w:rsid w:val="00CB304A"/>
    <w:rsid w:val="00CB3202"/>
    <w:rsid w:val="00CB542F"/>
    <w:rsid w:val="00CC09E7"/>
    <w:rsid w:val="00CC0B5F"/>
    <w:rsid w:val="00CC2C1D"/>
    <w:rsid w:val="00CC4145"/>
    <w:rsid w:val="00CC6B75"/>
    <w:rsid w:val="00CD7B65"/>
    <w:rsid w:val="00CE171E"/>
    <w:rsid w:val="00CE75EC"/>
    <w:rsid w:val="00CE7B19"/>
    <w:rsid w:val="00CF04E3"/>
    <w:rsid w:val="00D110DA"/>
    <w:rsid w:val="00D16ACA"/>
    <w:rsid w:val="00D22830"/>
    <w:rsid w:val="00D34F0E"/>
    <w:rsid w:val="00D42C76"/>
    <w:rsid w:val="00D43F11"/>
    <w:rsid w:val="00D4423C"/>
    <w:rsid w:val="00D45913"/>
    <w:rsid w:val="00D46C92"/>
    <w:rsid w:val="00D47F11"/>
    <w:rsid w:val="00D54AA7"/>
    <w:rsid w:val="00D60C4D"/>
    <w:rsid w:val="00D60F7B"/>
    <w:rsid w:val="00D61065"/>
    <w:rsid w:val="00D624C1"/>
    <w:rsid w:val="00D64DE3"/>
    <w:rsid w:val="00D719A6"/>
    <w:rsid w:val="00D7301B"/>
    <w:rsid w:val="00D772E3"/>
    <w:rsid w:val="00D8070A"/>
    <w:rsid w:val="00D82566"/>
    <w:rsid w:val="00D82F38"/>
    <w:rsid w:val="00D834EF"/>
    <w:rsid w:val="00D901EB"/>
    <w:rsid w:val="00D903CE"/>
    <w:rsid w:val="00D93DBC"/>
    <w:rsid w:val="00D96144"/>
    <w:rsid w:val="00D9617B"/>
    <w:rsid w:val="00DA05E0"/>
    <w:rsid w:val="00DB41C9"/>
    <w:rsid w:val="00DC4A84"/>
    <w:rsid w:val="00DC4DDB"/>
    <w:rsid w:val="00DC663F"/>
    <w:rsid w:val="00DD067F"/>
    <w:rsid w:val="00DD1499"/>
    <w:rsid w:val="00DD39F8"/>
    <w:rsid w:val="00DD41C4"/>
    <w:rsid w:val="00DE072B"/>
    <w:rsid w:val="00DE509E"/>
    <w:rsid w:val="00DE5C63"/>
    <w:rsid w:val="00DF03B2"/>
    <w:rsid w:val="00DF706D"/>
    <w:rsid w:val="00E00900"/>
    <w:rsid w:val="00E01559"/>
    <w:rsid w:val="00E01752"/>
    <w:rsid w:val="00E02265"/>
    <w:rsid w:val="00E11E17"/>
    <w:rsid w:val="00E13E8F"/>
    <w:rsid w:val="00E2114B"/>
    <w:rsid w:val="00E219B9"/>
    <w:rsid w:val="00E25BD5"/>
    <w:rsid w:val="00E31069"/>
    <w:rsid w:val="00E35466"/>
    <w:rsid w:val="00E414ED"/>
    <w:rsid w:val="00E53209"/>
    <w:rsid w:val="00E54A8E"/>
    <w:rsid w:val="00E54F91"/>
    <w:rsid w:val="00E60948"/>
    <w:rsid w:val="00E6391E"/>
    <w:rsid w:val="00E70493"/>
    <w:rsid w:val="00E7105A"/>
    <w:rsid w:val="00E710D3"/>
    <w:rsid w:val="00E72F66"/>
    <w:rsid w:val="00E73A72"/>
    <w:rsid w:val="00E76D02"/>
    <w:rsid w:val="00E90EC9"/>
    <w:rsid w:val="00EA0D45"/>
    <w:rsid w:val="00EB7114"/>
    <w:rsid w:val="00EC64A2"/>
    <w:rsid w:val="00ED25F1"/>
    <w:rsid w:val="00ED44CB"/>
    <w:rsid w:val="00ED52D9"/>
    <w:rsid w:val="00ED56E5"/>
    <w:rsid w:val="00ED6901"/>
    <w:rsid w:val="00EE1FF0"/>
    <w:rsid w:val="00EE38F6"/>
    <w:rsid w:val="00EF1ED5"/>
    <w:rsid w:val="00EF2F8F"/>
    <w:rsid w:val="00EF76A0"/>
    <w:rsid w:val="00F02649"/>
    <w:rsid w:val="00F02897"/>
    <w:rsid w:val="00F0778A"/>
    <w:rsid w:val="00F14A23"/>
    <w:rsid w:val="00F15712"/>
    <w:rsid w:val="00F17EE8"/>
    <w:rsid w:val="00F24ABF"/>
    <w:rsid w:val="00F26425"/>
    <w:rsid w:val="00F3388E"/>
    <w:rsid w:val="00F3770F"/>
    <w:rsid w:val="00F37F68"/>
    <w:rsid w:val="00F40EB9"/>
    <w:rsid w:val="00F4141B"/>
    <w:rsid w:val="00F458A7"/>
    <w:rsid w:val="00F4778B"/>
    <w:rsid w:val="00F5099D"/>
    <w:rsid w:val="00F50A62"/>
    <w:rsid w:val="00F53B44"/>
    <w:rsid w:val="00F54269"/>
    <w:rsid w:val="00F542E8"/>
    <w:rsid w:val="00F568A2"/>
    <w:rsid w:val="00F63043"/>
    <w:rsid w:val="00F63715"/>
    <w:rsid w:val="00F74D52"/>
    <w:rsid w:val="00F7553D"/>
    <w:rsid w:val="00F7725F"/>
    <w:rsid w:val="00F80B71"/>
    <w:rsid w:val="00F93E92"/>
    <w:rsid w:val="00F961F2"/>
    <w:rsid w:val="00F9673C"/>
    <w:rsid w:val="00FA2D2A"/>
    <w:rsid w:val="00FA465B"/>
    <w:rsid w:val="00FB5C2F"/>
    <w:rsid w:val="00FB643F"/>
    <w:rsid w:val="00FC33D5"/>
    <w:rsid w:val="00FC7CC3"/>
    <w:rsid w:val="00FC7D78"/>
    <w:rsid w:val="00FD11CA"/>
    <w:rsid w:val="00FD1D94"/>
    <w:rsid w:val="00FD4E18"/>
    <w:rsid w:val="00FE31ED"/>
    <w:rsid w:val="00FE5C8F"/>
    <w:rsid w:val="00FE76B9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08FBA"/>
  <w15:chartTrackingRefBased/>
  <w15:docId w15:val="{E9C16F7D-2898-45EC-89CC-9935D52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5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Arial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32633"/>
    <w:pPr>
      <w:numPr>
        <w:numId w:val="2"/>
      </w:numPr>
      <w:spacing w:after="240"/>
      <w:ind w:left="425" w:hanging="68"/>
      <w:jc w:val="center"/>
      <w:outlineLvl w:val="0"/>
    </w:pPr>
    <w:rPr>
      <w:rFonts w:cs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0900"/>
    <w:pPr>
      <w:keepNext/>
      <w:numPr>
        <w:ilvl w:val="1"/>
        <w:numId w:val="3"/>
      </w:numPr>
      <w:spacing w:after="120"/>
      <w:ind w:left="357" w:hanging="357"/>
      <w:outlineLvl w:val="1"/>
    </w:pPr>
    <w:rPr>
      <w:rFonts w:cs="Calibri"/>
      <w:b/>
      <w:bCs/>
      <w:color w:val="000000"/>
      <w:sz w:val="28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DD39F8"/>
    <w:pPr>
      <w:numPr>
        <w:numId w:val="7"/>
      </w:numPr>
      <w:ind w:left="425" w:hanging="431"/>
      <w:outlineLvl w:val="2"/>
    </w:pPr>
    <w:rPr>
      <w:rFonts w:eastAsiaTheme="majorEastAsia" w:cstheme="majorBidi"/>
      <w:bCs w:val="0"/>
      <w:sz w:val="26"/>
      <w:szCs w:val="26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9D3E12"/>
    <w:pPr>
      <w:numPr>
        <w:ilvl w:val="2"/>
        <w:numId w:val="7"/>
      </w:numPr>
      <w:spacing w:after="60" w:line="240" w:lineRule="auto"/>
      <w:ind w:left="505" w:hanging="505"/>
      <w:outlineLvl w:val="3"/>
    </w:pPr>
    <w:rPr>
      <w:b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raf">
    <w:name w:val="Graf"/>
    <w:basedOn w:val="Normln"/>
    <w:qFormat/>
    <w:rsid w:val="00721668"/>
    <w:pPr>
      <w:keepNext/>
      <w:numPr>
        <w:numId w:val="1"/>
      </w:numPr>
      <w:ind w:left="357" w:hanging="357"/>
    </w:pPr>
    <w:rPr>
      <w:b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832633"/>
    <w:rPr>
      <w:rFonts w:ascii="Calibri" w:eastAsia="Times New Roman" w:hAnsi="Calibri" w:cs="Calibri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00900"/>
    <w:rPr>
      <w:rFonts w:ascii="Calibri" w:eastAsia="Times New Roman" w:hAnsi="Calibri" w:cs="Calibri"/>
      <w:b/>
      <w:bCs/>
      <w:color w:val="000000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D39F8"/>
    <w:rPr>
      <w:rFonts w:ascii="Calibri" w:eastAsiaTheme="majorEastAsia" w:hAnsi="Calibri" w:cstheme="majorBidi"/>
      <w:b/>
      <w:color w:val="000000"/>
      <w:sz w:val="26"/>
      <w:szCs w:val="26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link w:val="Textpoznpodarou"/>
    <w:uiPriority w:val="99"/>
    <w:locked/>
    <w:rsid w:val="00FE5C8F"/>
    <w:rPr>
      <w:rFonts w:cs="Times New Roman"/>
    </w:r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unhideWhenUsed/>
    <w:rsid w:val="00FE5C8F"/>
    <w:pPr>
      <w:widowControl/>
      <w:autoSpaceDE/>
      <w:autoSpaceDN/>
      <w:adjustRightInd/>
    </w:pPr>
    <w:rPr>
      <w:rFonts w:asciiTheme="minorHAnsi" w:eastAsiaTheme="minorHAnsi" w:hAnsiTheme="minorHAnsi" w:cs="Times New Roman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E5C8F"/>
    <w:rPr>
      <w:rFonts w:ascii="Calibri" w:eastAsia="Times New Roman" w:hAnsi="Calibri" w:cs="Arial"/>
      <w:sz w:val="20"/>
      <w:szCs w:val="20"/>
      <w:lang w:eastAsia="cs-CZ"/>
    </w:rPr>
  </w:style>
  <w:style w:type="character" w:styleId="Znakapoznpodarou">
    <w:name w:val="footnote reference"/>
    <w:aliases w:val="PGI Fußnote Ziffer"/>
    <w:uiPriority w:val="99"/>
    <w:rsid w:val="00FE5C8F"/>
    <w:rPr>
      <w:rFonts w:cs="Times New Roman"/>
      <w:vertAlign w:val="superscript"/>
    </w:rPr>
  </w:style>
  <w:style w:type="paragraph" w:styleId="Odstavecseseznamem">
    <w:name w:val="List Paragraph"/>
    <w:aliases w:val="odrážky,List Paragraph_0,List Paragraph_1,Nadpis pro KZ,Odstavec se seznamem1,Odstavec se seznamem2,List Paragraph,můj Nadpis 2"/>
    <w:basedOn w:val="Normln"/>
    <w:link w:val="OdstavecseseznamemChar"/>
    <w:uiPriority w:val="34"/>
    <w:qFormat/>
    <w:rsid w:val="00FE5C8F"/>
    <w:pPr>
      <w:widowControl/>
      <w:autoSpaceDE/>
      <w:autoSpaceDN/>
      <w:adjustRightInd/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rážky Char,List Paragraph_0 Char,List Paragraph_1 Char,Nadpis pro KZ Char,Odstavec se seznamem1 Char,Odstavec se seznamem2 Char,List Paragraph Char,můj Nadpis 2 Char"/>
    <w:link w:val="Odstavecseseznamem"/>
    <w:uiPriority w:val="34"/>
    <w:locked/>
    <w:rsid w:val="00FE5C8F"/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FE5C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E5C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5C8F"/>
    <w:rPr>
      <w:rFonts w:ascii="Calibri" w:eastAsia="Times New Roman" w:hAnsi="Calibri" w:cs="Arial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5C8F"/>
    <w:pPr>
      <w:widowControl/>
      <w:autoSpaceDE/>
      <w:autoSpaceDN/>
      <w:adjustRightInd/>
      <w:spacing w:after="120"/>
      <w:ind w:left="283"/>
    </w:pPr>
    <w:rPr>
      <w:rFonts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5C8F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tabulka">
    <w:name w:val="tabulka"/>
    <w:basedOn w:val="Normln"/>
    <w:link w:val="tabulkaChar"/>
    <w:qFormat/>
    <w:rsid w:val="00FE5C8F"/>
    <w:pPr>
      <w:widowControl/>
      <w:autoSpaceDE/>
      <w:autoSpaceDN/>
      <w:adjustRightInd/>
    </w:pPr>
    <w:rPr>
      <w:sz w:val="22"/>
      <w:szCs w:val="18"/>
      <w:lang w:eastAsia="en-US"/>
    </w:rPr>
  </w:style>
  <w:style w:type="character" w:customStyle="1" w:styleId="tabulkaChar">
    <w:name w:val="tabulka Char"/>
    <w:link w:val="tabulka"/>
    <w:rsid w:val="00FE5C8F"/>
    <w:rPr>
      <w:rFonts w:ascii="Calibri" w:eastAsia="Times New Roman" w:hAnsi="Calibri" w:cs="Arial"/>
      <w:szCs w:val="18"/>
    </w:rPr>
  </w:style>
  <w:style w:type="paragraph" w:customStyle="1" w:styleId="Poznmka">
    <w:name w:val="Poznámka"/>
    <w:basedOn w:val="Normln"/>
    <w:link w:val="PoznmkaChar"/>
    <w:autoRedefine/>
    <w:qFormat/>
    <w:rsid w:val="00E01559"/>
    <w:pPr>
      <w:keepNext/>
      <w:keepLines/>
      <w:widowControl/>
      <w:autoSpaceDE/>
      <w:autoSpaceDN/>
      <w:adjustRightInd/>
      <w:spacing w:before="20"/>
      <w:ind w:left="567" w:hanging="567"/>
    </w:pPr>
    <w:rPr>
      <w:rFonts w:cs="Times New Roman"/>
      <w:sz w:val="20"/>
      <w:szCs w:val="18"/>
    </w:rPr>
  </w:style>
  <w:style w:type="character" w:customStyle="1" w:styleId="PoznmkaChar">
    <w:name w:val="Poznámka Char"/>
    <w:link w:val="Poznmka"/>
    <w:rsid w:val="00E01559"/>
    <w:rPr>
      <w:rFonts w:ascii="Calibri" w:eastAsia="Times New Roman" w:hAnsi="Calibri" w:cs="Times New Roman"/>
      <w:sz w:val="20"/>
      <w:szCs w:val="18"/>
      <w:lang w:eastAsia="cs-CZ"/>
    </w:rPr>
  </w:style>
  <w:style w:type="paragraph" w:customStyle="1" w:styleId="Nzevtabulky">
    <w:name w:val="Název tabulky"/>
    <w:basedOn w:val="Normln"/>
    <w:qFormat/>
    <w:rsid w:val="00B05FDE"/>
    <w:pPr>
      <w:keepNext/>
      <w:widowControl/>
      <w:numPr>
        <w:numId w:val="5"/>
      </w:numPr>
      <w:autoSpaceDE/>
      <w:autoSpaceDN/>
      <w:adjustRightInd/>
    </w:pPr>
    <w:rPr>
      <w:b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636"/>
    <w:rPr>
      <w:rFonts w:ascii="Arial" w:hAnsi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636"/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1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1512"/>
    <w:rPr>
      <w:rFonts w:ascii="Calibri" w:eastAsia="Times New Roman" w:hAnsi="Calibri" w:cs="Arial"/>
      <w:sz w:val="24"/>
      <w:szCs w:val="20"/>
      <w:lang w:eastAsia="cs-CZ"/>
    </w:rPr>
  </w:style>
  <w:style w:type="paragraph" w:customStyle="1" w:styleId="Obrzek">
    <w:name w:val="Obrázek"/>
    <w:basedOn w:val="Graf"/>
    <w:qFormat/>
    <w:rsid w:val="006D0DB3"/>
    <w:pPr>
      <w:numPr>
        <w:numId w:val="17"/>
      </w:numPr>
      <w:ind w:left="1560" w:hanging="153"/>
    </w:pPr>
  </w:style>
  <w:style w:type="character" w:styleId="Odkaznakoment">
    <w:name w:val="annotation reference"/>
    <w:basedOn w:val="Standardnpsmoodstavce"/>
    <w:uiPriority w:val="99"/>
    <w:semiHidden/>
    <w:unhideWhenUsed/>
    <w:rsid w:val="009678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780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780A"/>
    <w:rPr>
      <w:rFonts w:ascii="Calibri" w:eastAsia="Times New Roman" w:hAnsi="Calibri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0F97"/>
    <w:rPr>
      <w:rFonts w:ascii="Calibri" w:eastAsia="Times New Roman" w:hAnsi="Calibri" w:cs="Arial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E02265"/>
    <w:pPr>
      <w:spacing w:after="0" w:line="240" w:lineRule="auto"/>
      <w:jc w:val="both"/>
    </w:pPr>
    <w:rPr>
      <w:rFonts w:eastAsia="Times New Roman" w:cs="Arial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D3E12"/>
    <w:rPr>
      <w:rFonts w:ascii="Calibri" w:eastAsia="Times New Roman" w:hAnsi="Calibri" w:cs="Times New Roman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287118179994948E-2"/>
          <c:y val="6.2678062678062682E-2"/>
          <c:w val="0.92671288182000511"/>
          <c:h val="0.7443013213091953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Programy státní podpory práce s dětmi a mládeží pro NNO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List1!$B$2:$B$4</c:f>
              <c:numCache>
                <c:formatCode>0.00</c:formatCode>
                <c:ptCount val="3"/>
                <c:pt idx="0">
                  <c:v>179.45066</c:v>
                </c:pt>
                <c:pt idx="1">
                  <c:v>161.87665000000001</c:v>
                </c:pt>
                <c:pt idx="2">
                  <c:v>167.35559000000001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C7-4AD2-84AD-AADCFE347A4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Podpora činnosti v oblasti mládeže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List1!$C$2:$C$4</c:f>
              <c:numCache>
                <c:formatCode>0.00</c:formatCode>
                <c:ptCount val="3"/>
                <c:pt idx="0">
                  <c:v>213.09259</c:v>
                </c:pt>
                <c:pt idx="1">
                  <c:v>224.64974000000001</c:v>
                </c:pt>
                <c:pt idx="2">
                  <c:v>255.38535999999999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C7-4AD2-84AD-AADCFE347A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20"/>
        <c:axId val="262720688"/>
        <c:axId val="262721080"/>
      </c:barChart>
      <c:catAx>
        <c:axId val="262720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62721080"/>
        <c:crosses val="autoZero"/>
        <c:auto val="1"/>
        <c:lblAlgn val="ctr"/>
        <c:lblOffset val="100"/>
        <c:noMultiLvlLbl val="0"/>
      </c:catAx>
      <c:valAx>
        <c:axId val="262721080"/>
        <c:scaling>
          <c:orientation val="minMax"/>
        </c:scaling>
        <c:delete val="1"/>
        <c:axPos val="b"/>
        <c:numFmt formatCode="0.00" sourceLinked="1"/>
        <c:majorTickMark val="none"/>
        <c:minorTickMark val="none"/>
        <c:tickLblPos val="nextTo"/>
        <c:crossAx val="262720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6965744666532063"/>
          <c:w val="0.9797342192691032"/>
          <c:h val="9.61545191466451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D5A74-DF2B-49E6-8BB6-A55CA56D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49C1E438.dotm</Template>
  <TotalTime>2</TotalTime>
  <Pages>15</Pages>
  <Words>5017</Words>
  <Characters>29602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17/17 - Peněžní prostředky státu poskytované na podporu práce s dětmi a mládeží</vt:lpstr>
    </vt:vector>
  </TitlesOfParts>
  <Company>NKU</Company>
  <LinksUpToDate>false</LinksUpToDate>
  <CharactersWithSpaces>34550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17/17 - Peněžní prostředky státu poskytované na podporu práce s dětmi a mládeží</dc:title>
  <dc:subject/>
  <dc:creator>Nejvyšší kontrolní úřad</dc:creator>
  <cp:keywords>kontrolní závěr;dotace;podpora dětí a mládeže;děti;mládež</cp:keywords>
  <dc:description/>
  <cp:lastModifiedBy>KOKRDA Daniel</cp:lastModifiedBy>
  <cp:revision>3</cp:revision>
  <cp:lastPrinted>2017-12-18T07:25:00Z</cp:lastPrinted>
  <dcterms:created xsi:type="dcterms:W3CDTF">2018-02-07T09:46:00Z</dcterms:created>
  <dcterms:modified xsi:type="dcterms:W3CDTF">2018-02-07T09:51:00Z</dcterms:modified>
</cp:coreProperties>
</file>