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A1006" w14:textId="77777777" w:rsidR="00562DCE" w:rsidRPr="00EB1327" w:rsidRDefault="00562DCE" w:rsidP="0066675E">
      <w:pPr>
        <w:jc w:val="center"/>
        <w:rPr>
          <w:rFonts w:asciiTheme="minorHAnsi" w:hAnsiTheme="minorHAnsi" w:cstheme="minorHAnsi"/>
          <w:color w:val="000000" w:themeColor="text1"/>
          <w:sz w:val="22"/>
        </w:rPr>
      </w:pPr>
      <w:r w:rsidRPr="00EB1327">
        <w:rPr>
          <w:rFonts w:asciiTheme="minorHAnsi" w:hAnsiTheme="minorHAnsi" w:cstheme="minorHAnsi"/>
          <w:color w:val="000000" w:themeColor="text1"/>
          <w:sz w:val="22"/>
          <w:shd w:val="clear" w:color="auto" w:fill="FFF2CC" w:themeFill="accent4" w:themeFillTint="33"/>
          <w:lang w:eastAsia="cs-CZ"/>
        </w:rPr>
        <w:drawing>
          <wp:anchor distT="0" distB="0" distL="114300" distR="114300" simplePos="0" relativeHeight="251659264" behindDoc="0" locked="0" layoutInCell="1" allowOverlap="1" wp14:anchorId="1959529B" wp14:editId="12C2B16B">
            <wp:simplePos x="0" y="0"/>
            <wp:positionH relativeFrom="column">
              <wp:posOffset>2514600</wp:posOffset>
            </wp:positionH>
            <wp:positionV relativeFrom="paragraph">
              <wp:posOffset>13640</wp:posOffset>
            </wp:positionV>
            <wp:extent cx="763270" cy="539750"/>
            <wp:effectExtent l="0" t="0" r="0" b="0"/>
            <wp:wrapTopAndBottom/>
            <wp:docPr id="38" name="obrázek 2"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40330" name="obrázek 2" descr="NKU_LOGO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3270" cy="539750"/>
                    </a:xfrm>
                    <a:prstGeom prst="rect">
                      <a:avLst/>
                    </a:prstGeom>
                    <a:noFill/>
                  </pic:spPr>
                </pic:pic>
              </a:graphicData>
            </a:graphic>
            <wp14:sizeRelH relativeFrom="page">
              <wp14:pctWidth>0</wp14:pctWidth>
            </wp14:sizeRelH>
            <wp14:sizeRelV relativeFrom="page">
              <wp14:pctHeight>0</wp14:pctHeight>
            </wp14:sizeRelV>
          </wp:anchor>
        </w:drawing>
      </w:r>
    </w:p>
    <w:p w14:paraId="2BD59DBB" w14:textId="77777777" w:rsidR="00D62652" w:rsidRPr="00EB1327" w:rsidRDefault="00D62652" w:rsidP="0066675E">
      <w:pPr>
        <w:jc w:val="center"/>
        <w:rPr>
          <w:rFonts w:asciiTheme="minorHAnsi" w:hAnsiTheme="minorHAnsi" w:cstheme="minorHAnsi"/>
          <w:color w:val="000000" w:themeColor="text1"/>
          <w:sz w:val="22"/>
        </w:rPr>
      </w:pPr>
    </w:p>
    <w:p w14:paraId="3D10E9D2" w14:textId="77777777" w:rsidR="005223E0" w:rsidRPr="00EB1327" w:rsidRDefault="005223E0" w:rsidP="0066675E">
      <w:pPr>
        <w:jc w:val="center"/>
        <w:rPr>
          <w:rFonts w:asciiTheme="minorHAnsi" w:hAnsiTheme="minorHAnsi" w:cstheme="minorHAnsi"/>
          <w:color w:val="000000" w:themeColor="text1"/>
          <w:sz w:val="22"/>
        </w:rPr>
      </w:pPr>
    </w:p>
    <w:p w14:paraId="4CE703CA" w14:textId="77777777" w:rsidR="00204195" w:rsidRPr="00EB1327" w:rsidRDefault="00204195" w:rsidP="0066675E">
      <w:pPr>
        <w:jc w:val="center"/>
        <w:rPr>
          <w:rFonts w:asciiTheme="minorHAnsi" w:hAnsiTheme="minorHAnsi" w:cstheme="minorHAnsi"/>
          <w:b/>
          <w:color w:val="000000" w:themeColor="text1"/>
          <w:sz w:val="28"/>
          <w:szCs w:val="28"/>
        </w:rPr>
      </w:pPr>
      <w:bookmarkStart w:id="0" w:name="_GoBack"/>
      <w:r w:rsidRPr="00EB1327">
        <w:rPr>
          <w:rFonts w:asciiTheme="minorHAnsi" w:hAnsiTheme="minorHAnsi" w:cstheme="minorHAnsi"/>
          <w:b/>
          <w:color w:val="000000" w:themeColor="text1"/>
          <w:sz w:val="28"/>
          <w:szCs w:val="28"/>
        </w:rPr>
        <w:t>Kontrolní závěr z kontrolní akce</w:t>
      </w:r>
    </w:p>
    <w:p w14:paraId="558948CE" w14:textId="77777777" w:rsidR="00204195" w:rsidRPr="00EB1327" w:rsidRDefault="00204195" w:rsidP="0066675E">
      <w:pPr>
        <w:jc w:val="center"/>
        <w:rPr>
          <w:rFonts w:asciiTheme="minorHAnsi" w:hAnsiTheme="minorHAnsi" w:cstheme="minorHAnsi"/>
          <w:b/>
          <w:color w:val="000000" w:themeColor="text1"/>
          <w:szCs w:val="28"/>
        </w:rPr>
      </w:pPr>
    </w:p>
    <w:p w14:paraId="0EBADA4F" w14:textId="77777777" w:rsidR="00204195" w:rsidRPr="00EB1327" w:rsidRDefault="00204195" w:rsidP="0066675E">
      <w:pPr>
        <w:jc w:val="center"/>
        <w:rPr>
          <w:rFonts w:asciiTheme="minorHAnsi" w:hAnsiTheme="minorHAnsi" w:cstheme="minorHAnsi"/>
          <w:b/>
          <w:bCs/>
          <w:color w:val="000000" w:themeColor="text1"/>
          <w:sz w:val="28"/>
          <w:szCs w:val="28"/>
        </w:rPr>
      </w:pPr>
      <w:r w:rsidRPr="00EB1327">
        <w:rPr>
          <w:rFonts w:asciiTheme="minorHAnsi" w:hAnsiTheme="minorHAnsi" w:cstheme="minorHAnsi"/>
          <w:b/>
          <w:bCs/>
          <w:color w:val="000000" w:themeColor="text1"/>
          <w:sz w:val="28"/>
          <w:szCs w:val="28"/>
        </w:rPr>
        <w:t>17/14</w:t>
      </w:r>
    </w:p>
    <w:p w14:paraId="3155C983" w14:textId="77777777" w:rsidR="00204195" w:rsidRPr="00EB1327" w:rsidRDefault="00204195" w:rsidP="0066675E">
      <w:pPr>
        <w:jc w:val="center"/>
        <w:rPr>
          <w:rFonts w:asciiTheme="minorHAnsi" w:hAnsiTheme="minorHAnsi" w:cstheme="minorHAnsi"/>
          <w:b/>
          <w:bCs/>
          <w:color w:val="000000" w:themeColor="text1"/>
          <w:szCs w:val="28"/>
        </w:rPr>
      </w:pPr>
    </w:p>
    <w:p w14:paraId="43208500" w14:textId="77777777" w:rsidR="00204195" w:rsidRPr="00EB1327" w:rsidRDefault="00204195" w:rsidP="0066675E">
      <w:pPr>
        <w:jc w:val="center"/>
        <w:rPr>
          <w:rFonts w:asciiTheme="minorHAnsi" w:hAnsiTheme="minorHAnsi" w:cstheme="minorHAnsi"/>
          <w:bCs/>
          <w:color w:val="000000" w:themeColor="text1"/>
          <w:sz w:val="28"/>
          <w:szCs w:val="28"/>
        </w:rPr>
      </w:pPr>
      <w:r w:rsidRPr="00EB1327">
        <w:rPr>
          <w:rFonts w:asciiTheme="minorHAnsi" w:hAnsiTheme="minorHAnsi" w:cstheme="minorHAnsi"/>
          <w:b/>
          <w:snapToGrid w:val="0"/>
          <w:color w:val="000000" w:themeColor="text1"/>
          <w:sz w:val="28"/>
          <w:szCs w:val="28"/>
        </w:rPr>
        <w:t>Majetek a peněžní prostředky státu, se kterými je příslušná hospodařit</w:t>
      </w:r>
      <w:r w:rsidR="00562DCE" w:rsidRPr="00EB1327">
        <w:rPr>
          <w:rFonts w:asciiTheme="minorHAnsi" w:hAnsiTheme="minorHAnsi" w:cstheme="minorHAnsi"/>
          <w:b/>
          <w:snapToGrid w:val="0"/>
          <w:color w:val="000000" w:themeColor="text1"/>
          <w:sz w:val="28"/>
          <w:szCs w:val="28"/>
        </w:rPr>
        <w:br/>
      </w:r>
      <w:r w:rsidRPr="00EB1327">
        <w:rPr>
          <w:rFonts w:asciiTheme="minorHAnsi" w:hAnsiTheme="minorHAnsi" w:cstheme="minorHAnsi"/>
          <w:b/>
          <w:snapToGrid w:val="0"/>
          <w:color w:val="000000" w:themeColor="text1"/>
          <w:sz w:val="28"/>
          <w:szCs w:val="28"/>
        </w:rPr>
        <w:t>příspěvková organizace Národní ústav duševního zdraví</w:t>
      </w:r>
    </w:p>
    <w:bookmarkEnd w:id="0"/>
    <w:p w14:paraId="519B25BE" w14:textId="77777777" w:rsidR="00204195" w:rsidRPr="00EB1327" w:rsidRDefault="00204195" w:rsidP="0066675E">
      <w:pPr>
        <w:rPr>
          <w:rFonts w:asciiTheme="minorHAnsi" w:hAnsiTheme="minorHAnsi" w:cstheme="minorHAnsi"/>
          <w:bCs/>
          <w:color w:val="000000" w:themeColor="text1"/>
          <w:szCs w:val="28"/>
        </w:rPr>
      </w:pPr>
    </w:p>
    <w:p w14:paraId="4803D492" w14:textId="77777777" w:rsidR="00204195" w:rsidRPr="00EB1327" w:rsidRDefault="00204195" w:rsidP="0066675E">
      <w:pPr>
        <w:jc w:val="both"/>
        <w:rPr>
          <w:rFonts w:asciiTheme="minorHAnsi" w:hAnsiTheme="minorHAnsi" w:cstheme="minorHAnsi"/>
          <w:bCs/>
          <w:color w:val="000000" w:themeColor="text1"/>
          <w:szCs w:val="28"/>
        </w:rPr>
      </w:pPr>
    </w:p>
    <w:p w14:paraId="55FECA1E" w14:textId="77777777" w:rsidR="00204195" w:rsidRPr="00EB1327" w:rsidRDefault="00204195" w:rsidP="0066675E">
      <w:pPr>
        <w:jc w:val="both"/>
        <w:rPr>
          <w:rFonts w:asciiTheme="minorHAnsi" w:hAnsiTheme="minorHAnsi" w:cstheme="minorHAnsi"/>
          <w:color w:val="000000" w:themeColor="text1"/>
        </w:rPr>
      </w:pPr>
      <w:r w:rsidRPr="00EB1327">
        <w:rPr>
          <w:rFonts w:asciiTheme="minorHAnsi" w:hAnsiTheme="minorHAnsi" w:cstheme="minorHAnsi"/>
          <w:color w:val="000000" w:themeColor="text1"/>
        </w:rPr>
        <w:t>Kontrolní akce byla zařazena do plánu kontrolní činnosti Nej</w:t>
      </w:r>
      <w:r w:rsidR="00326816" w:rsidRPr="00EB1327">
        <w:rPr>
          <w:rFonts w:asciiTheme="minorHAnsi" w:hAnsiTheme="minorHAnsi" w:cstheme="minorHAnsi"/>
          <w:color w:val="000000" w:themeColor="text1"/>
        </w:rPr>
        <w:t>vyššího kontrolního úřadu (dále </w:t>
      </w:r>
      <w:r w:rsidRPr="00EB1327">
        <w:rPr>
          <w:rFonts w:asciiTheme="minorHAnsi" w:hAnsiTheme="minorHAnsi" w:cstheme="minorHAnsi"/>
          <w:color w:val="000000" w:themeColor="text1"/>
        </w:rPr>
        <w:t xml:space="preserve">jen „NKÚ“) na rok 2017 pod číslem 17/14. Kontrolní akci řídil a </w:t>
      </w:r>
      <w:r w:rsidR="005223E0" w:rsidRPr="00EB1327">
        <w:rPr>
          <w:rFonts w:asciiTheme="minorHAnsi" w:hAnsiTheme="minorHAnsi" w:cstheme="minorHAnsi"/>
          <w:color w:val="000000" w:themeColor="text1"/>
        </w:rPr>
        <w:t>kontrolní závěr vypracoval člen </w:t>
      </w:r>
      <w:r w:rsidRPr="00EB1327">
        <w:rPr>
          <w:rFonts w:asciiTheme="minorHAnsi" w:hAnsiTheme="minorHAnsi" w:cstheme="minorHAnsi"/>
          <w:color w:val="000000" w:themeColor="text1"/>
        </w:rPr>
        <w:t>NKÚ Ing. Jan Vedral.</w:t>
      </w:r>
    </w:p>
    <w:p w14:paraId="2A9CBC03" w14:textId="77777777" w:rsidR="00204195" w:rsidRPr="00EB1327" w:rsidRDefault="00204195" w:rsidP="0066675E">
      <w:pPr>
        <w:pStyle w:val="Pa10"/>
        <w:spacing w:before="0" w:after="0" w:line="240" w:lineRule="auto"/>
        <w:rPr>
          <w:rFonts w:asciiTheme="minorHAnsi" w:hAnsiTheme="minorHAnsi" w:cstheme="minorHAnsi"/>
          <w:color w:val="000000" w:themeColor="text1"/>
          <w:sz w:val="24"/>
        </w:rPr>
      </w:pPr>
    </w:p>
    <w:p w14:paraId="59E59422" w14:textId="77777777" w:rsidR="00204195" w:rsidRPr="00EB1327" w:rsidRDefault="00204195" w:rsidP="0066675E">
      <w:pPr>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Cílem kontroly bylo prověřit </w:t>
      </w:r>
      <w:r w:rsidRPr="00EB1327">
        <w:rPr>
          <w:rFonts w:asciiTheme="minorHAnsi" w:eastAsia="Calibri" w:hAnsiTheme="minorHAnsi" w:cstheme="minorHAnsi"/>
          <w:color w:val="000000" w:themeColor="text1"/>
          <w:lang w:eastAsia="cs-CZ"/>
        </w:rPr>
        <w:t>hospodaření s majetkem a</w:t>
      </w:r>
      <w:r w:rsidR="005223E0" w:rsidRPr="00EB1327">
        <w:rPr>
          <w:rFonts w:asciiTheme="minorHAnsi" w:eastAsia="Calibri" w:hAnsiTheme="minorHAnsi" w:cstheme="minorHAnsi"/>
          <w:color w:val="000000" w:themeColor="text1"/>
          <w:lang w:eastAsia="cs-CZ"/>
        </w:rPr>
        <w:t xml:space="preserve"> peněžními prostředky státu, se </w:t>
      </w:r>
      <w:r w:rsidRPr="00EB1327">
        <w:rPr>
          <w:rFonts w:asciiTheme="minorHAnsi" w:eastAsia="Calibri" w:hAnsiTheme="minorHAnsi" w:cstheme="minorHAnsi"/>
          <w:color w:val="000000" w:themeColor="text1"/>
          <w:lang w:eastAsia="cs-CZ"/>
        </w:rPr>
        <w:t xml:space="preserve">kterými je příslušná hospodařit příspěvková organizace Národní ústav duševního zdraví. </w:t>
      </w:r>
    </w:p>
    <w:p w14:paraId="5770BC69" w14:textId="77777777" w:rsidR="00204195" w:rsidRPr="00EB1327" w:rsidRDefault="00204195" w:rsidP="0066675E">
      <w:pPr>
        <w:jc w:val="both"/>
        <w:rPr>
          <w:rFonts w:asciiTheme="minorHAnsi" w:hAnsiTheme="minorHAnsi" w:cstheme="minorHAnsi"/>
          <w:color w:val="000000" w:themeColor="text1"/>
        </w:rPr>
      </w:pPr>
    </w:p>
    <w:p w14:paraId="1AF8DCBE" w14:textId="77777777" w:rsidR="00204195" w:rsidRPr="00EB1327" w:rsidRDefault="00204195" w:rsidP="0066675E">
      <w:pPr>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Kontrola byla prováděna u kontrolované osoby v době od dubna do října 2017. </w:t>
      </w:r>
    </w:p>
    <w:p w14:paraId="58391B45" w14:textId="77777777" w:rsidR="00204195" w:rsidRPr="00EB1327" w:rsidRDefault="00204195" w:rsidP="0066675E">
      <w:pPr>
        <w:jc w:val="both"/>
        <w:rPr>
          <w:rFonts w:asciiTheme="minorHAnsi" w:hAnsiTheme="minorHAnsi" w:cstheme="minorHAnsi"/>
          <w:color w:val="000000" w:themeColor="text1"/>
        </w:rPr>
      </w:pPr>
    </w:p>
    <w:p w14:paraId="21D81364" w14:textId="77777777" w:rsidR="00204195" w:rsidRPr="00EB1327" w:rsidRDefault="00204195" w:rsidP="0066675E">
      <w:pPr>
        <w:jc w:val="both"/>
        <w:rPr>
          <w:rFonts w:asciiTheme="minorHAnsi" w:hAnsiTheme="minorHAnsi" w:cstheme="minorHAnsi"/>
          <w:color w:val="000000" w:themeColor="text1"/>
        </w:rPr>
      </w:pPr>
      <w:r w:rsidRPr="00EB1327">
        <w:rPr>
          <w:rFonts w:asciiTheme="minorHAnsi" w:hAnsiTheme="minorHAnsi" w:cstheme="minorHAnsi"/>
          <w:color w:val="000000" w:themeColor="text1"/>
        </w:rPr>
        <w:t>Kontrolovaným obdobím byly roky 2014 až 2016, v případě věcných souvislostí i období předcházející a následující.</w:t>
      </w:r>
    </w:p>
    <w:p w14:paraId="796C9753" w14:textId="77777777" w:rsidR="00204195" w:rsidRPr="00EB1327" w:rsidRDefault="00204195" w:rsidP="0066675E">
      <w:pPr>
        <w:jc w:val="both"/>
        <w:rPr>
          <w:rFonts w:asciiTheme="minorHAnsi" w:hAnsiTheme="minorHAnsi" w:cstheme="minorHAnsi"/>
          <w:color w:val="000000" w:themeColor="text1"/>
        </w:rPr>
      </w:pPr>
    </w:p>
    <w:p w14:paraId="55F64D9A" w14:textId="1C1B82D6" w:rsidR="00204195" w:rsidRPr="00EB1327" w:rsidRDefault="00204195" w:rsidP="0066675E">
      <w:pPr>
        <w:pStyle w:val="Zkladntext"/>
        <w:rPr>
          <w:rFonts w:asciiTheme="minorHAnsi" w:hAnsiTheme="minorHAnsi" w:cstheme="minorHAnsi"/>
          <w:b/>
          <w:color w:val="000000" w:themeColor="text1"/>
          <w:szCs w:val="24"/>
          <w:lang w:eastAsia="en-US"/>
        </w:rPr>
      </w:pPr>
      <w:r w:rsidRPr="00EB1327">
        <w:rPr>
          <w:rFonts w:asciiTheme="minorHAnsi" w:hAnsiTheme="minorHAnsi" w:cstheme="minorHAnsi"/>
          <w:b/>
          <w:color w:val="000000" w:themeColor="text1"/>
          <w:szCs w:val="24"/>
          <w:lang w:eastAsia="en-US"/>
        </w:rPr>
        <w:t>Kontrolovan</w:t>
      </w:r>
      <w:r w:rsidR="00672C7F">
        <w:rPr>
          <w:rFonts w:asciiTheme="minorHAnsi" w:hAnsiTheme="minorHAnsi" w:cstheme="minorHAnsi"/>
          <w:b/>
          <w:color w:val="000000" w:themeColor="text1"/>
          <w:szCs w:val="24"/>
          <w:lang w:eastAsia="en-US"/>
        </w:rPr>
        <w:t>é</w:t>
      </w:r>
      <w:r w:rsidRPr="00EB1327">
        <w:rPr>
          <w:rFonts w:asciiTheme="minorHAnsi" w:hAnsiTheme="minorHAnsi" w:cstheme="minorHAnsi"/>
          <w:b/>
          <w:color w:val="000000" w:themeColor="text1"/>
          <w:szCs w:val="24"/>
          <w:lang w:eastAsia="en-US"/>
        </w:rPr>
        <w:t xml:space="preserve"> osob</w:t>
      </w:r>
      <w:r w:rsidR="00672C7F">
        <w:rPr>
          <w:rFonts w:asciiTheme="minorHAnsi" w:hAnsiTheme="minorHAnsi" w:cstheme="minorHAnsi"/>
          <w:b/>
          <w:color w:val="000000" w:themeColor="text1"/>
          <w:szCs w:val="24"/>
          <w:lang w:eastAsia="en-US"/>
        </w:rPr>
        <w:t>y</w:t>
      </w:r>
      <w:r w:rsidRPr="00EB1327">
        <w:rPr>
          <w:rFonts w:asciiTheme="minorHAnsi" w:hAnsiTheme="minorHAnsi" w:cstheme="minorHAnsi"/>
          <w:b/>
          <w:color w:val="000000" w:themeColor="text1"/>
          <w:szCs w:val="24"/>
          <w:lang w:eastAsia="en-US"/>
        </w:rPr>
        <w:t>:</w:t>
      </w:r>
    </w:p>
    <w:p w14:paraId="650BEFEC" w14:textId="77777777" w:rsidR="00204195" w:rsidRPr="00EB1327" w:rsidRDefault="00204195" w:rsidP="0066675E">
      <w:pPr>
        <w:jc w:val="both"/>
        <w:rPr>
          <w:rFonts w:asciiTheme="minorHAnsi" w:hAnsiTheme="minorHAnsi" w:cstheme="minorHAnsi"/>
          <w:color w:val="000000" w:themeColor="text1"/>
        </w:rPr>
      </w:pPr>
      <w:r w:rsidRPr="00EB1327">
        <w:rPr>
          <w:rFonts w:asciiTheme="minorHAnsi" w:hAnsiTheme="minorHAnsi" w:cstheme="minorHAnsi"/>
          <w:color w:val="000000" w:themeColor="text1"/>
        </w:rPr>
        <w:t>Národní ústav duševního zdraví, Klecany (dále také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w:t>
      </w:r>
    </w:p>
    <w:p w14:paraId="16002EEB" w14:textId="66771A91" w:rsidR="00204195" w:rsidRPr="00EB1327" w:rsidRDefault="00204195" w:rsidP="0066675E">
      <w:pPr>
        <w:pStyle w:val="Zkladntext"/>
        <w:shd w:val="clear" w:color="auto" w:fill="FFFFFF" w:themeFill="background1"/>
        <w:rPr>
          <w:rFonts w:asciiTheme="minorHAnsi" w:hAnsiTheme="minorHAnsi" w:cstheme="minorHAnsi"/>
          <w:color w:val="000000" w:themeColor="text1"/>
          <w:szCs w:val="24"/>
          <w:highlight w:val="green"/>
        </w:rPr>
      </w:pPr>
      <w:r w:rsidRPr="00EB1327">
        <w:rPr>
          <w:rFonts w:asciiTheme="minorHAnsi" w:hAnsiTheme="minorHAnsi" w:cstheme="minorHAnsi"/>
          <w:color w:val="000000" w:themeColor="text1"/>
          <w:szCs w:val="24"/>
        </w:rPr>
        <w:t>Ministerstvo zdravotnictví (dále také „MZd“</w:t>
      </w:r>
      <w:r w:rsidR="00BB6FDA" w:rsidRPr="00EB1327">
        <w:rPr>
          <w:rFonts w:asciiTheme="minorHAnsi" w:hAnsiTheme="minorHAnsi" w:cstheme="minorHAnsi"/>
          <w:color w:val="000000" w:themeColor="text1"/>
          <w:szCs w:val="24"/>
        </w:rPr>
        <w:t xml:space="preserve"> </w:t>
      </w:r>
      <w:r w:rsidR="00BB6FDA" w:rsidRPr="00EB1327">
        <w:rPr>
          <w:rFonts w:asciiTheme="minorHAnsi" w:hAnsiTheme="minorHAnsi" w:cstheme="minorHAnsi"/>
          <w:color w:val="000000" w:themeColor="text1"/>
          <w:szCs w:val="24"/>
          <w:shd w:val="clear" w:color="auto" w:fill="FFFFFF" w:themeFill="background1"/>
        </w:rPr>
        <w:t>nebo „</w:t>
      </w:r>
      <w:r w:rsidR="00672C7F">
        <w:rPr>
          <w:rFonts w:asciiTheme="minorHAnsi" w:hAnsiTheme="minorHAnsi" w:cstheme="minorHAnsi"/>
          <w:color w:val="000000" w:themeColor="text1"/>
          <w:szCs w:val="24"/>
          <w:shd w:val="clear" w:color="auto" w:fill="FFFFFF" w:themeFill="background1"/>
        </w:rPr>
        <w:t>m</w:t>
      </w:r>
      <w:r w:rsidR="00BB6FDA" w:rsidRPr="00EB1327">
        <w:rPr>
          <w:rFonts w:asciiTheme="minorHAnsi" w:hAnsiTheme="minorHAnsi" w:cstheme="minorHAnsi"/>
          <w:color w:val="000000" w:themeColor="text1"/>
          <w:szCs w:val="24"/>
          <w:shd w:val="clear" w:color="auto" w:fill="FFFFFF" w:themeFill="background1"/>
        </w:rPr>
        <w:t>inisterstvo“</w:t>
      </w:r>
      <w:r w:rsidRPr="00EB1327">
        <w:rPr>
          <w:rFonts w:asciiTheme="minorHAnsi" w:hAnsiTheme="minorHAnsi" w:cstheme="minorHAnsi"/>
          <w:color w:val="000000" w:themeColor="text1"/>
          <w:szCs w:val="24"/>
          <w:shd w:val="clear" w:color="auto" w:fill="FFFFFF" w:themeFill="background1"/>
        </w:rPr>
        <w:t>).</w:t>
      </w:r>
    </w:p>
    <w:p w14:paraId="20149C5A" w14:textId="77777777" w:rsidR="00204195" w:rsidRPr="00EB1327" w:rsidRDefault="00204195" w:rsidP="0066675E">
      <w:pPr>
        <w:pStyle w:val="Zkladntext"/>
        <w:rPr>
          <w:rFonts w:asciiTheme="minorHAnsi" w:hAnsiTheme="minorHAnsi" w:cstheme="minorHAnsi"/>
          <w:color w:val="000000" w:themeColor="text1"/>
          <w:szCs w:val="24"/>
          <w:highlight w:val="green"/>
        </w:rPr>
      </w:pPr>
    </w:p>
    <w:p w14:paraId="51BEFE43" w14:textId="77777777" w:rsidR="00562DCE" w:rsidRPr="00EB1327" w:rsidRDefault="00562DCE" w:rsidP="0066675E">
      <w:pPr>
        <w:pStyle w:val="Zkladntext"/>
        <w:rPr>
          <w:rFonts w:asciiTheme="minorHAnsi" w:hAnsiTheme="minorHAnsi" w:cstheme="minorHAnsi"/>
          <w:color w:val="000000" w:themeColor="text1"/>
          <w:szCs w:val="24"/>
          <w:highlight w:val="green"/>
        </w:rPr>
      </w:pPr>
    </w:p>
    <w:p w14:paraId="272D3AD1" w14:textId="024309D1" w:rsidR="00204195" w:rsidRPr="00EB1327" w:rsidRDefault="00204195" w:rsidP="0066675E">
      <w:pPr>
        <w:pStyle w:val="Zkladntext"/>
        <w:spacing w:before="120" w:after="120"/>
        <w:rPr>
          <w:rFonts w:asciiTheme="minorHAnsi" w:hAnsiTheme="minorHAnsi" w:cstheme="minorHAnsi"/>
          <w:color w:val="000000" w:themeColor="text1"/>
          <w:szCs w:val="24"/>
        </w:rPr>
      </w:pPr>
      <w:r w:rsidRPr="00EB1327">
        <w:rPr>
          <w:rFonts w:asciiTheme="minorHAnsi" w:hAnsiTheme="minorHAnsi" w:cstheme="minorHAnsi"/>
          <w:b/>
          <w:bCs/>
          <w:i/>
          <w:iCs/>
          <w:color w:val="000000" w:themeColor="text1"/>
          <w:szCs w:val="24"/>
        </w:rPr>
        <w:t xml:space="preserve">K o l e g i u m   N K Ú   </w:t>
      </w:r>
      <w:r w:rsidRPr="00EB1327">
        <w:rPr>
          <w:rFonts w:asciiTheme="minorHAnsi" w:hAnsiTheme="minorHAnsi" w:cstheme="minorHAnsi"/>
          <w:color w:val="000000" w:themeColor="text1"/>
          <w:szCs w:val="24"/>
        </w:rPr>
        <w:t xml:space="preserve">na svém </w:t>
      </w:r>
      <w:r w:rsidR="0017047C" w:rsidRPr="00EB1327">
        <w:rPr>
          <w:rFonts w:asciiTheme="minorHAnsi" w:hAnsiTheme="minorHAnsi" w:cstheme="minorHAnsi"/>
          <w:color w:val="000000" w:themeColor="text1"/>
          <w:szCs w:val="24"/>
        </w:rPr>
        <w:t>I</w:t>
      </w:r>
      <w:r w:rsidRPr="00EB1327">
        <w:rPr>
          <w:rFonts w:asciiTheme="minorHAnsi" w:hAnsiTheme="minorHAnsi" w:cstheme="minorHAnsi"/>
          <w:color w:val="000000" w:themeColor="text1"/>
          <w:szCs w:val="24"/>
        </w:rPr>
        <w:t xml:space="preserve">. jednání, které se konalo dne </w:t>
      </w:r>
      <w:r w:rsidR="0017047C" w:rsidRPr="00EB1327">
        <w:rPr>
          <w:rFonts w:asciiTheme="minorHAnsi" w:hAnsiTheme="minorHAnsi" w:cstheme="minorHAnsi"/>
          <w:color w:val="000000" w:themeColor="text1"/>
          <w:szCs w:val="24"/>
        </w:rPr>
        <w:t>22. ledna</w:t>
      </w:r>
      <w:r w:rsidRPr="00EB1327">
        <w:rPr>
          <w:rFonts w:asciiTheme="minorHAnsi" w:hAnsiTheme="minorHAnsi" w:cstheme="minorHAnsi"/>
          <w:color w:val="000000" w:themeColor="text1"/>
          <w:szCs w:val="24"/>
        </w:rPr>
        <w:t xml:space="preserve"> </w:t>
      </w:r>
      <w:r w:rsidRPr="00EB1327">
        <w:rPr>
          <w:rFonts w:asciiTheme="minorHAnsi" w:hAnsiTheme="minorHAnsi" w:cstheme="minorHAnsi"/>
          <w:color w:val="000000" w:themeColor="text1"/>
          <w:szCs w:val="24"/>
          <w:shd w:val="clear" w:color="auto" w:fill="FFFFFF" w:themeFill="background1"/>
        </w:rPr>
        <w:t>201</w:t>
      </w:r>
      <w:r w:rsidR="002D44A4" w:rsidRPr="00EB1327">
        <w:rPr>
          <w:rFonts w:asciiTheme="minorHAnsi" w:hAnsiTheme="minorHAnsi" w:cstheme="minorHAnsi"/>
          <w:color w:val="000000" w:themeColor="text1"/>
          <w:szCs w:val="24"/>
          <w:shd w:val="clear" w:color="auto" w:fill="FFFFFF" w:themeFill="background1"/>
        </w:rPr>
        <w:t>8</w:t>
      </w:r>
      <w:r w:rsidRPr="00EB1327">
        <w:rPr>
          <w:rFonts w:asciiTheme="minorHAnsi" w:hAnsiTheme="minorHAnsi" w:cstheme="minorHAnsi"/>
          <w:color w:val="000000" w:themeColor="text1"/>
          <w:szCs w:val="24"/>
          <w:shd w:val="clear" w:color="auto" w:fill="FFFFFF" w:themeFill="background1"/>
        </w:rPr>
        <w:t>,</w:t>
      </w:r>
    </w:p>
    <w:p w14:paraId="0D361BAD" w14:textId="77777777" w:rsidR="00204195" w:rsidRPr="00EB1327" w:rsidRDefault="00204195" w:rsidP="0066675E">
      <w:pPr>
        <w:pStyle w:val="NormlnKZ"/>
        <w:spacing w:before="120" w:after="120"/>
        <w:rPr>
          <w:rFonts w:asciiTheme="minorHAnsi" w:hAnsiTheme="minorHAnsi" w:cstheme="minorHAnsi"/>
          <w:color w:val="000000" w:themeColor="text1"/>
        </w:rPr>
      </w:pPr>
      <w:r w:rsidRPr="00EB1327">
        <w:rPr>
          <w:rFonts w:asciiTheme="minorHAnsi" w:hAnsiTheme="minorHAnsi" w:cstheme="minorHAnsi"/>
          <w:b/>
          <w:bCs/>
          <w:i/>
          <w:iCs/>
          <w:color w:val="000000" w:themeColor="text1"/>
        </w:rPr>
        <w:t xml:space="preserve">s c h v á l i l o   </w:t>
      </w:r>
      <w:r w:rsidRPr="00EB1327">
        <w:rPr>
          <w:rFonts w:asciiTheme="minorHAnsi" w:hAnsiTheme="minorHAnsi" w:cstheme="minorHAnsi"/>
          <w:color w:val="000000" w:themeColor="text1"/>
        </w:rPr>
        <w:t xml:space="preserve">usnesením č. </w:t>
      </w:r>
      <w:r w:rsidR="00B76309" w:rsidRPr="00EB1327">
        <w:rPr>
          <w:rFonts w:asciiTheme="minorHAnsi" w:hAnsiTheme="minorHAnsi" w:cstheme="minorHAnsi"/>
          <w:color w:val="000000" w:themeColor="text1"/>
        </w:rPr>
        <w:t>8</w:t>
      </w:r>
      <w:r w:rsidRPr="00EB1327">
        <w:rPr>
          <w:rFonts w:asciiTheme="minorHAnsi" w:hAnsiTheme="minorHAnsi" w:cstheme="minorHAnsi"/>
          <w:color w:val="000000" w:themeColor="text1"/>
        </w:rPr>
        <w:t>/</w:t>
      </w:r>
      <w:r w:rsidR="0017047C" w:rsidRPr="00EB1327">
        <w:rPr>
          <w:rFonts w:asciiTheme="minorHAnsi" w:hAnsiTheme="minorHAnsi" w:cstheme="minorHAnsi"/>
          <w:color w:val="000000" w:themeColor="text1"/>
        </w:rPr>
        <w:t>I</w:t>
      </w:r>
      <w:r w:rsidRPr="00EB1327">
        <w:rPr>
          <w:rFonts w:asciiTheme="minorHAnsi" w:hAnsiTheme="minorHAnsi" w:cstheme="minorHAnsi"/>
          <w:color w:val="000000" w:themeColor="text1"/>
        </w:rPr>
        <w:t>/201</w:t>
      </w:r>
      <w:r w:rsidR="00326816" w:rsidRPr="00EB1327">
        <w:rPr>
          <w:rFonts w:asciiTheme="minorHAnsi" w:hAnsiTheme="minorHAnsi" w:cstheme="minorHAnsi"/>
          <w:color w:val="000000" w:themeColor="text1"/>
        </w:rPr>
        <w:t>8</w:t>
      </w:r>
    </w:p>
    <w:p w14:paraId="6FD074B7" w14:textId="77777777" w:rsidR="00204195" w:rsidRPr="00EB1327" w:rsidRDefault="00204195" w:rsidP="0066675E">
      <w:pPr>
        <w:pStyle w:val="NormlnKZ"/>
        <w:spacing w:before="120" w:after="120"/>
        <w:rPr>
          <w:rFonts w:asciiTheme="minorHAnsi" w:hAnsiTheme="minorHAnsi" w:cstheme="minorHAnsi"/>
          <w:color w:val="000000" w:themeColor="text1"/>
        </w:rPr>
      </w:pPr>
      <w:r w:rsidRPr="00EB1327">
        <w:rPr>
          <w:rFonts w:asciiTheme="minorHAnsi" w:hAnsiTheme="minorHAnsi" w:cstheme="minorHAnsi"/>
          <w:b/>
          <w:i/>
          <w:color w:val="000000" w:themeColor="text1"/>
        </w:rPr>
        <w:t>k o n t r o l n í   z á v ě r</w:t>
      </w:r>
      <w:r w:rsidRPr="00EB1327">
        <w:rPr>
          <w:rFonts w:asciiTheme="minorHAnsi" w:hAnsiTheme="minorHAnsi" w:cstheme="minorHAnsi"/>
          <w:color w:val="000000" w:themeColor="text1"/>
        </w:rPr>
        <w:t xml:space="preserve">   v tomto znění:</w:t>
      </w:r>
    </w:p>
    <w:p w14:paraId="2B1A8B84" w14:textId="77777777" w:rsidR="005223E0" w:rsidRPr="00EB1327" w:rsidRDefault="00326816" w:rsidP="0066675E">
      <w:pPr>
        <w:spacing w:after="160" w:line="259" w:lineRule="auto"/>
        <w:rPr>
          <w:rFonts w:asciiTheme="minorHAnsi" w:hAnsiTheme="minorHAnsi" w:cstheme="minorHAnsi"/>
          <w:color w:val="000000" w:themeColor="text1"/>
          <w:lang w:eastAsia="cs-CZ"/>
        </w:rPr>
      </w:pPr>
      <w:r w:rsidRPr="00EB1327">
        <w:rPr>
          <w:rFonts w:asciiTheme="minorHAnsi" w:hAnsiTheme="minorHAnsi" w:cstheme="minorHAnsi"/>
          <w:color w:val="000000" w:themeColor="text1"/>
        </w:rPr>
        <w:br w:type="page"/>
      </w:r>
    </w:p>
    <w:p w14:paraId="34670452" w14:textId="77777777" w:rsidR="00204195" w:rsidRPr="00EB1327" w:rsidRDefault="00204195" w:rsidP="0066675E">
      <w:pPr>
        <w:spacing w:before="40" w:after="200"/>
        <w:jc w:val="center"/>
        <w:rPr>
          <w:rFonts w:asciiTheme="minorHAnsi" w:hAnsiTheme="minorHAnsi" w:cs="Calibri"/>
          <w:b/>
          <w:noProof w:val="0"/>
          <w:color w:val="000000" w:themeColor="text1"/>
          <w:lang w:eastAsia="cs-CZ"/>
        </w:rPr>
      </w:pPr>
      <w:r w:rsidRPr="00EB1327">
        <w:rPr>
          <w:rFonts w:asciiTheme="minorHAnsi" w:hAnsiTheme="minorHAnsi" w:cs="Calibri"/>
          <w:b/>
          <w:noProof w:val="0"/>
          <w:color w:val="000000" w:themeColor="text1"/>
          <w:lang w:eastAsia="cs-CZ"/>
        </w:rPr>
        <w:lastRenderedPageBreak/>
        <w:t>Klíčová fakta o kontrole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5272"/>
      </w:tblGrid>
      <w:tr w:rsidR="00EB1327" w:rsidRPr="00EB1327" w14:paraId="13D96A97" w14:textId="77777777" w:rsidTr="003D3605">
        <w:trPr>
          <w:jc w:val="center"/>
        </w:trPr>
        <w:tc>
          <w:tcPr>
            <w:tcW w:w="3628" w:type="dxa"/>
          </w:tcPr>
          <w:p w14:paraId="6F1D8E8F" w14:textId="77777777" w:rsidR="000A540E" w:rsidRPr="00EB1327" w:rsidRDefault="000A540E" w:rsidP="0066675E">
            <w:pPr>
              <w:autoSpaceDE w:val="0"/>
              <w:autoSpaceDN w:val="0"/>
              <w:adjustRightInd w:val="0"/>
              <w:spacing w:after="200"/>
              <w:rPr>
                <w:rFonts w:asciiTheme="minorHAnsi" w:hAnsiTheme="minorHAnsi" w:cstheme="minorHAnsi"/>
                <w:bCs/>
                <w:color w:val="000000" w:themeColor="text1"/>
              </w:rPr>
            </w:pPr>
            <w:r w:rsidRPr="00EB1327">
              <w:rPr>
                <w:rFonts w:asciiTheme="minorHAnsi" w:hAnsiTheme="minorHAnsi" w:cstheme="minorHAnsi"/>
                <w:b/>
                <w:bCs/>
                <w:color w:val="000000" w:themeColor="text1"/>
              </w:rPr>
              <w:t>NÚDZ hospodaří bez příspěvku</w:t>
            </w:r>
            <w:r w:rsidRPr="00EB1327">
              <w:rPr>
                <w:rFonts w:asciiTheme="minorHAnsi" w:hAnsiTheme="minorHAnsi" w:cstheme="minorHAnsi"/>
                <w:bCs/>
                <w:color w:val="000000" w:themeColor="text1"/>
              </w:rPr>
              <w:t xml:space="preserve"> </w:t>
            </w:r>
            <w:r w:rsidRPr="00EB1327">
              <w:rPr>
                <w:rFonts w:asciiTheme="minorHAnsi" w:hAnsiTheme="minorHAnsi" w:cstheme="minorHAnsi"/>
                <w:b/>
                <w:bCs/>
                <w:color w:val="000000" w:themeColor="text1"/>
              </w:rPr>
              <w:t>na provoz od zřizovatele</w:t>
            </w:r>
          </w:p>
        </w:tc>
        <w:tc>
          <w:tcPr>
            <w:tcW w:w="5272" w:type="dxa"/>
          </w:tcPr>
          <w:p w14:paraId="5BF2FCCF" w14:textId="77777777" w:rsidR="000A540E" w:rsidRPr="00EB1327" w:rsidRDefault="000A540E" w:rsidP="0066675E">
            <w:pPr>
              <w:autoSpaceDE w:val="0"/>
              <w:autoSpaceDN w:val="0"/>
              <w:adjustRightInd w:val="0"/>
              <w:spacing w:after="200"/>
              <w:jc w:val="both"/>
              <w:rPr>
                <w:rFonts w:asciiTheme="minorHAnsi" w:hAnsiTheme="minorHAnsi" w:cstheme="minorHAnsi"/>
                <w:bCs/>
                <w:color w:val="000000" w:themeColor="text1"/>
              </w:rPr>
            </w:pPr>
            <w:r w:rsidRPr="00EB1327">
              <w:rPr>
                <w:rFonts w:asciiTheme="minorHAnsi" w:hAnsiTheme="minorHAnsi" w:cstheme="minorHAnsi"/>
                <w:bCs/>
                <w:color w:val="000000" w:themeColor="text1"/>
              </w:rPr>
              <w:t>Ministerstvo zdravotnictví neposkytovalo v letech 2014 až 2016</w:t>
            </w:r>
            <w:r w:rsidRPr="000A54DD">
              <w:rPr>
                <w:rFonts w:asciiTheme="minorHAnsi" w:hAnsiTheme="minorHAnsi" w:cstheme="minorHAnsi"/>
                <w:bCs/>
                <w:color w:val="000000" w:themeColor="text1"/>
              </w:rPr>
              <w:t xml:space="preserve"> </w:t>
            </w:r>
            <w:r w:rsidRPr="00EB1327">
              <w:rPr>
                <w:rFonts w:asciiTheme="minorHAnsi" w:hAnsiTheme="minorHAnsi" w:cstheme="minorHAnsi"/>
                <w:bCs/>
                <w:color w:val="000000" w:themeColor="text1"/>
              </w:rPr>
              <w:t>příspěvek na provoz,</w:t>
            </w:r>
            <w:r w:rsidRPr="000A54DD">
              <w:rPr>
                <w:rFonts w:asciiTheme="minorHAnsi" w:hAnsiTheme="minorHAnsi" w:cstheme="minorHAnsi"/>
                <w:bCs/>
                <w:color w:val="000000" w:themeColor="text1"/>
              </w:rPr>
              <w:t xml:space="preserve"> </w:t>
            </w:r>
            <w:r w:rsidRPr="00EB1327">
              <w:rPr>
                <w:rFonts w:asciiTheme="minorHAnsi" w:hAnsiTheme="minorHAnsi" w:cstheme="minorHAnsi"/>
                <w:bCs/>
                <w:color w:val="000000" w:themeColor="text1"/>
              </w:rPr>
              <w:t>s výjimkou roku 2016, kdy poskytlo jednorázový příspěvek ve výši 25</w:t>
            </w:r>
            <w:r w:rsidR="003D3605" w:rsidRPr="00EB1327">
              <w:rPr>
                <w:rFonts w:asciiTheme="minorHAnsi" w:hAnsiTheme="minorHAnsi" w:cstheme="minorHAnsi"/>
                <w:bCs/>
                <w:color w:val="000000" w:themeColor="text1"/>
              </w:rPr>
              <w:t> </w:t>
            </w:r>
            <w:r w:rsidRPr="00EB1327">
              <w:rPr>
                <w:rFonts w:asciiTheme="minorHAnsi" w:hAnsiTheme="minorHAnsi" w:cstheme="minorHAnsi"/>
                <w:bCs/>
                <w:color w:val="000000" w:themeColor="text1"/>
              </w:rPr>
              <w:t>mil. Kč.</w:t>
            </w:r>
          </w:p>
        </w:tc>
      </w:tr>
      <w:tr w:rsidR="00EB1327" w:rsidRPr="00EB1327" w14:paraId="32804194" w14:textId="77777777" w:rsidTr="003D3605">
        <w:trPr>
          <w:jc w:val="center"/>
        </w:trPr>
        <w:tc>
          <w:tcPr>
            <w:tcW w:w="3628" w:type="dxa"/>
          </w:tcPr>
          <w:p w14:paraId="16DAF115" w14:textId="77777777" w:rsidR="000A540E" w:rsidRPr="00EB1327" w:rsidRDefault="000A540E" w:rsidP="0066675E">
            <w:pPr>
              <w:autoSpaceDE w:val="0"/>
              <w:autoSpaceDN w:val="0"/>
              <w:adjustRightInd w:val="0"/>
              <w:spacing w:after="200"/>
              <w:rPr>
                <w:rFonts w:asciiTheme="minorHAnsi" w:hAnsiTheme="minorHAnsi" w:cstheme="minorHAnsi"/>
                <w:b/>
                <w:bCs/>
                <w:color w:val="000000" w:themeColor="text1"/>
              </w:rPr>
            </w:pPr>
            <w:r w:rsidRPr="00EB1327">
              <w:rPr>
                <w:rFonts w:asciiTheme="minorHAnsi" w:hAnsiTheme="minorHAnsi" w:cstheme="minorHAnsi"/>
                <w:b/>
                <w:bCs/>
                <w:color w:val="000000" w:themeColor="text1"/>
              </w:rPr>
              <w:t>222 mil. Kč</w:t>
            </w:r>
          </w:p>
        </w:tc>
        <w:tc>
          <w:tcPr>
            <w:tcW w:w="5272" w:type="dxa"/>
          </w:tcPr>
          <w:p w14:paraId="685F7E61" w14:textId="77777777" w:rsidR="000A540E" w:rsidRPr="00EB1327" w:rsidRDefault="000A540E" w:rsidP="0066675E">
            <w:pPr>
              <w:autoSpaceDE w:val="0"/>
              <w:autoSpaceDN w:val="0"/>
              <w:adjustRightInd w:val="0"/>
              <w:spacing w:after="200"/>
              <w:jc w:val="both"/>
              <w:rPr>
                <w:rFonts w:asciiTheme="minorHAnsi" w:hAnsiTheme="minorHAnsi" w:cstheme="minorHAnsi"/>
                <w:bCs/>
                <w:color w:val="000000" w:themeColor="text1"/>
              </w:rPr>
            </w:pPr>
            <w:r w:rsidRPr="00EB1327">
              <w:rPr>
                <w:rFonts w:asciiTheme="minorHAnsi" w:hAnsiTheme="minorHAnsi" w:cstheme="minorHAnsi"/>
                <w:bCs/>
                <w:color w:val="000000" w:themeColor="text1"/>
              </w:rPr>
              <w:t>Celkové náklady NÚDZ v roce 2016.</w:t>
            </w:r>
          </w:p>
        </w:tc>
      </w:tr>
      <w:tr w:rsidR="00EB1327" w:rsidRPr="00EB1327" w14:paraId="74BC1B4B" w14:textId="77777777" w:rsidTr="003D3605">
        <w:trPr>
          <w:jc w:val="center"/>
        </w:trPr>
        <w:tc>
          <w:tcPr>
            <w:tcW w:w="3628" w:type="dxa"/>
          </w:tcPr>
          <w:p w14:paraId="7D60ABA5" w14:textId="77777777" w:rsidR="000A540E" w:rsidRPr="00EB1327" w:rsidRDefault="000A540E" w:rsidP="0066675E">
            <w:pPr>
              <w:autoSpaceDE w:val="0"/>
              <w:autoSpaceDN w:val="0"/>
              <w:adjustRightInd w:val="0"/>
              <w:spacing w:after="200"/>
              <w:rPr>
                <w:rFonts w:asciiTheme="minorHAnsi" w:hAnsiTheme="minorHAnsi" w:cstheme="minorHAnsi"/>
                <w:b/>
                <w:bCs/>
                <w:color w:val="000000" w:themeColor="text1"/>
              </w:rPr>
            </w:pPr>
            <w:r w:rsidRPr="00EB1327">
              <w:rPr>
                <w:rFonts w:asciiTheme="minorHAnsi" w:hAnsiTheme="minorHAnsi" w:cstheme="minorHAnsi"/>
                <w:b/>
                <w:bCs/>
                <w:color w:val="000000" w:themeColor="text1"/>
              </w:rPr>
              <w:t>Projekty</w:t>
            </w:r>
          </w:p>
        </w:tc>
        <w:tc>
          <w:tcPr>
            <w:tcW w:w="5272" w:type="dxa"/>
          </w:tcPr>
          <w:p w14:paraId="00A5D3D4" w14:textId="6D2F31E8" w:rsidR="000A540E" w:rsidRPr="00EB1327" w:rsidRDefault="000A540E" w:rsidP="0066675E">
            <w:pPr>
              <w:autoSpaceDE w:val="0"/>
              <w:autoSpaceDN w:val="0"/>
              <w:adjustRightInd w:val="0"/>
              <w:spacing w:after="200"/>
              <w:jc w:val="both"/>
              <w:rPr>
                <w:rFonts w:asciiTheme="minorHAnsi" w:hAnsiTheme="minorHAnsi" w:cstheme="minorHAnsi"/>
                <w:bCs/>
                <w:color w:val="000000" w:themeColor="text1"/>
              </w:rPr>
            </w:pPr>
            <w:r w:rsidRPr="00EB1327">
              <w:rPr>
                <w:rFonts w:asciiTheme="minorHAnsi" w:hAnsiTheme="minorHAnsi" w:cstheme="minorHAnsi"/>
                <w:bCs/>
                <w:color w:val="000000" w:themeColor="text1"/>
              </w:rPr>
              <w:t>Dotace získané na základě úspěšnosti v grantových řízeních tvořily</w:t>
            </w:r>
            <w:r w:rsidR="00672C7F">
              <w:rPr>
                <w:rFonts w:asciiTheme="minorHAnsi" w:hAnsiTheme="minorHAnsi" w:cstheme="minorHAnsi"/>
                <w:bCs/>
                <w:color w:val="000000" w:themeColor="text1"/>
              </w:rPr>
              <w:t xml:space="preserve"> </w:t>
            </w:r>
            <w:r w:rsidRPr="00EB1327">
              <w:rPr>
                <w:rFonts w:asciiTheme="minorHAnsi" w:hAnsiTheme="minorHAnsi" w:cstheme="minorHAnsi"/>
                <w:bCs/>
                <w:color w:val="000000" w:themeColor="text1"/>
              </w:rPr>
              <w:t>v roce 2016 celkem 78 % všech příjmů organizace, k nejvýznamějším patří dotace od GA ČR</w:t>
            </w:r>
            <w:r w:rsidRPr="00EB1327">
              <w:rPr>
                <w:rStyle w:val="Znakapoznpodarou"/>
                <w:rFonts w:asciiTheme="minorHAnsi" w:eastAsiaTheme="majorEastAsia" w:hAnsiTheme="minorHAnsi" w:cstheme="minorHAnsi"/>
                <w:bCs/>
                <w:color w:val="000000" w:themeColor="text1"/>
              </w:rPr>
              <w:footnoteReference w:id="1"/>
            </w:r>
            <w:r w:rsidRPr="00EB1327">
              <w:rPr>
                <w:rFonts w:asciiTheme="minorHAnsi" w:hAnsiTheme="minorHAnsi" w:cstheme="minorHAnsi"/>
                <w:bCs/>
                <w:color w:val="000000" w:themeColor="text1"/>
              </w:rPr>
              <w:t>, dotace z RVO</w:t>
            </w:r>
            <w:r w:rsidRPr="00EB1327">
              <w:rPr>
                <w:rStyle w:val="Znakapoznpodarou"/>
                <w:rFonts w:asciiTheme="minorHAnsi" w:eastAsiaTheme="majorEastAsia" w:hAnsiTheme="minorHAnsi" w:cstheme="minorHAnsi"/>
                <w:bCs/>
                <w:color w:val="000000" w:themeColor="text1"/>
              </w:rPr>
              <w:footnoteReference w:id="2"/>
            </w:r>
            <w:r w:rsidRPr="00EB1327">
              <w:rPr>
                <w:rFonts w:asciiTheme="minorHAnsi" w:hAnsiTheme="minorHAnsi" w:cstheme="minorHAnsi"/>
                <w:bCs/>
                <w:color w:val="000000" w:themeColor="text1"/>
              </w:rPr>
              <w:t>, AZV</w:t>
            </w:r>
            <w:r w:rsidRPr="00EB1327">
              <w:rPr>
                <w:rStyle w:val="Znakapoznpodarou"/>
                <w:rFonts w:asciiTheme="minorHAnsi" w:eastAsiaTheme="majorEastAsia" w:hAnsiTheme="minorHAnsi" w:cstheme="minorHAnsi"/>
                <w:bCs/>
                <w:color w:val="000000" w:themeColor="text1"/>
              </w:rPr>
              <w:footnoteReference w:id="3"/>
            </w:r>
            <w:r w:rsidRPr="00EB1327">
              <w:rPr>
                <w:rFonts w:asciiTheme="minorHAnsi" w:hAnsiTheme="minorHAnsi" w:cstheme="minorHAnsi"/>
                <w:bCs/>
                <w:color w:val="000000" w:themeColor="text1"/>
              </w:rPr>
              <w:t xml:space="preserve"> a z </w:t>
            </w:r>
            <w:r w:rsidR="00E46698">
              <w:rPr>
                <w:rFonts w:asciiTheme="minorHAnsi" w:hAnsiTheme="minorHAnsi" w:cstheme="minorHAnsi"/>
                <w:bCs/>
                <w:color w:val="000000" w:themeColor="text1"/>
              </w:rPr>
              <w:t>p</w:t>
            </w:r>
            <w:r w:rsidRPr="00EB1327">
              <w:rPr>
                <w:rFonts w:asciiTheme="minorHAnsi" w:hAnsiTheme="minorHAnsi" w:cstheme="minorHAnsi"/>
                <w:bCs/>
                <w:color w:val="000000" w:themeColor="text1"/>
              </w:rPr>
              <w:t>rogramu NPU</w:t>
            </w:r>
            <w:r w:rsidR="00E46698">
              <w:rPr>
                <w:rFonts w:asciiTheme="minorHAnsi" w:hAnsiTheme="minorHAnsi" w:cstheme="minorHAnsi"/>
                <w:bCs/>
                <w:color w:val="000000" w:themeColor="text1"/>
              </w:rPr>
              <w:t> </w:t>
            </w:r>
            <w:r w:rsidRPr="00EB1327">
              <w:rPr>
                <w:rFonts w:asciiTheme="minorHAnsi" w:hAnsiTheme="minorHAnsi" w:cstheme="minorHAnsi"/>
                <w:bCs/>
                <w:color w:val="000000" w:themeColor="text1"/>
              </w:rPr>
              <w:t>I</w:t>
            </w:r>
            <w:r w:rsidRPr="00EB1327">
              <w:rPr>
                <w:rStyle w:val="Znakapoznpodarou"/>
                <w:rFonts w:asciiTheme="minorHAnsi" w:hAnsiTheme="minorHAnsi" w:cstheme="minorHAnsi"/>
                <w:bCs/>
                <w:color w:val="000000" w:themeColor="text1"/>
              </w:rPr>
              <w:footnoteReference w:id="4"/>
            </w:r>
            <w:r w:rsidRPr="00EB1327">
              <w:rPr>
                <w:rFonts w:asciiTheme="minorHAnsi" w:hAnsiTheme="minorHAnsi" w:cstheme="minorHAnsi"/>
                <w:bCs/>
                <w:color w:val="000000" w:themeColor="text1"/>
              </w:rPr>
              <w:t>.</w:t>
            </w:r>
          </w:p>
        </w:tc>
      </w:tr>
      <w:tr w:rsidR="00EB1327" w:rsidRPr="00EB1327" w14:paraId="3C5769DE" w14:textId="77777777" w:rsidTr="003D3605">
        <w:trPr>
          <w:jc w:val="center"/>
        </w:trPr>
        <w:tc>
          <w:tcPr>
            <w:tcW w:w="3628" w:type="dxa"/>
          </w:tcPr>
          <w:p w14:paraId="6F6FFDB0" w14:textId="77777777" w:rsidR="000A540E" w:rsidRPr="00EB1327" w:rsidRDefault="000A540E" w:rsidP="0066675E">
            <w:pPr>
              <w:autoSpaceDE w:val="0"/>
              <w:autoSpaceDN w:val="0"/>
              <w:adjustRightInd w:val="0"/>
              <w:spacing w:after="200"/>
              <w:rPr>
                <w:rFonts w:asciiTheme="minorHAnsi" w:hAnsiTheme="minorHAnsi" w:cstheme="minorHAnsi"/>
                <w:b/>
                <w:bCs/>
                <w:color w:val="000000" w:themeColor="text1"/>
              </w:rPr>
            </w:pPr>
            <w:r w:rsidRPr="00EB1327">
              <w:rPr>
                <w:rFonts w:asciiTheme="minorHAnsi" w:hAnsiTheme="minorHAnsi" w:cstheme="minorHAnsi"/>
                <w:b/>
                <w:bCs/>
                <w:color w:val="000000" w:themeColor="text1"/>
              </w:rPr>
              <w:t>Finanční nejistota po roce 2020</w:t>
            </w:r>
          </w:p>
        </w:tc>
        <w:tc>
          <w:tcPr>
            <w:tcW w:w="5272" w:type="dxa"/>
          </w:tcPr>
          <w:p w14:paraId="36642E77" w14:textId="0056EF02" w:rsidR="000A540E" w:rsidRPr="00EB1327" w:rsidRDefault="000A540E" w:rsidP="0066675E">
            <w:pPr>
              <w:autoSpaceDE w:val="0"/>
              <w:autoSpaceDN w:val="0"/>
              <w:adjustRightInd w:val="0"/>
              <w:spacing w:after="200"/>
              <w:jc w:val="both"/>
              <w:rPr>
                <w:rFonts w:asciiTheme="minorHAnsi" w:hAnsiTheme="minorHAnsi" w:cstheme="minorHAnsi"/>
                <w:bCs/>
                <w:color w:val="000000" w:themeColor="text1"/>
              </w:rPr>
            </w:pPr>
            <w:r w:rsidRPr="00EB1327">
              <w:rPr>
                <w:rFonts w:asciiTheme="minorHAnsi" w:hAnsiTheme="minorHAnsi" w:cstheme="minorHAnsi"/>
                <w:bCs/>
                <w:color w:val="000000" w:themeColor="text1"/>
              </w:rPr>
              <w:t xml:space="preserve">Stěžejní část výnosů představují finanční prostředky z programu </w:t>
            </w:r>
            <w:r w:rsidRPr="000A54DD">
              <w:rPr>
                <w:rFonts w:asciiTheme="minorHAnsi" w:hAnsiTheme="minorHAnsi" w:cstheme="minorHAnsi"/>
                <w:bCs/>
                <w:i/>
                <w:color w:val="000000" w:themeColor="text1"/>
              </w:rPr>
              <w:t>Národní program udržitelnosti I</w:t>
            </w:r>
            <w:r w:rsidRPr="00EB1327">
              <w:rPr>
                <w:rFonts w:asciiTheme="minorHAnsi" w:hAnsiTheme="minorHAnsi" w:cstheme="minorHAnsi"/>
                <w:bCs/>
                <w:color w:val="000000" w:themeColor="text1"/>
              </w:rPr>
              <w:t xml:space="preserve">, jehož čerpání končí v roce 2020. Další prostředky na provoz nejsou garantovány. </w:t>
            </w:r>
          </w:p>
        </w:tc>
      </w:tr>
      <w:tr w:rsidR="00EB1327" w:rsidRPr="00EB1327" w14:paraId="43C251EE" w14:textId="77777777" w:rsidTr="003D3605">
        <w:trPr>
          <w:jc w:val="center"/>
        </w:trPr>
        <w:tc>
          <w:tcPr>
            <w:tcW w:w="3628" w:type="dxa"/>
          </w:tcPr>
          <w:p w14:paraId="00852CF0" w14:textId="77777777" w:rsidR="000A540E" w:rsidRPr="00EB1327" w:rsidRDefault="000A540E" w:rsidP="0066675E">
            <w:pPr>
              <w:autoSpaceDE w:val="0"/>
              <w:autoSpaceDN w:val="0"/>
              <w:adjustRightInd w:val="0"/>
              <w:spacing w:after="200"/>
              <w:rPr>
                <w:rFonts w:asciiTheme="minorHAnsi" w:hAnsiTheme="minorHAnsi" w:cstheme="minorHAnsi"/>
                <w:b/>
                <w:bCs/>
                <w:color w:val="000000" w:themeColor="text1"/>
              </w:rPr>
            </w:pPr>
            <w:r w:rsidRPr="00EB1327">
              <w:rPr>
                <w:rFonts w:asciiTheme="minorHAnsi" w:hAnsiTheme="minorHAnsi" w:cstheme="minorHAnsi"/>
                <w:b/>
                <w:bCs/>
                <w:color w:val="000000" w:themeColor="text1"/>
              </w:rPr>
              <w:t xml:space="preserve">Chyby v účetnictví organizace </w:t>
            </w:r>
          </w:p>
        </w:tc>
        <w:tc>
          <w:tcPr>
            <w:tcW w:w="5272" w:type="dxa"/>
          </w:tcPr>
          <w:p w14:paraId="1019AB03" w14:textId="221BE171" w:rsidR="000A540E" w:rsidRPr="00EB1327" w:rsidRDefault="000A540E" w:rsidP="0066675E">
            <w:pPr>
              <w:autoSpaceDE w:val="0"/>
              <w:autoSpaceDN w:val="0"/>
              <w:adjustRightInd w:val="0"/>
              <w:spacing w:after="200"/>
              <w:jc w:val="both"/>
              <w:rPr>
                <w:rFonts w:asciiTheme="minorHAnsi" w:hAnsiTheme="minorHAnsi" w:cstheme="minorHAnsi"/>
                <w:bCs/>
                <w:color w:val="000000" w:themeColor="text1"/>
              </w:rPr>
            </w:pPr>
            <w:r w:rsidRPr="00EB1327">
              <w:rPr>
                <w:rFonts w:asciiTheme="minorHAnsi" w:hAnsiTheme="minorHAnsi" w:cstheme="minorHAnsi"/>
                <w:bCs/>
                <w:color w:val="000000" w:themeColor="text1"/>
              </w:rPr>
              <w:t>V letech 2014 až 2016 nevedl NÚDZ správné a úplné účetnictví.</w:t>
            </w:r>
          </w:p>
        </w:tc>
      </w:tr>
      <w:tr w:rsidR="00EB1327" w:rsidRPr="00EB1327" w14:paraId="513E7F0A" w14:textId="77777777" w:rsidTr="003D3605">
        <w:trPr>
          <w:jc w:val="center"/>
        </w:trPr>
        <w:tc>
          <w:tcPr>
            <w:tcW w:w="3628" w:type="dxa"/>
          </w:tcPr>
          <w:p w14:paraId="10CDF383" w14:textId="77777777" w:rsidR="000A540E" w:rsidRPr="00EB1327" w:rsidRDefault="000A540E" w:rsidP="0066675E">
            <w:pPr>
              <w:autoSpaceDE w:val="0"/>
              <w:autoSpaceDN w:val="0"/>
              <w:adjustRightInd w:val="0"/>
              <w:spacing w:after="200"/>
              <w:rPr>
                <w:rFonts w:asciiTheme="minorHAnsi" w:hAnsiTheme="minorHAnsi" w:cstheme="minorHAnsi"/>
                <w:b/>
                <w:bCs/>
                <w:color w:val="000000" w:themeColor="text1"/>
              </w:rPr>
            </w:pPr>
            <w:r w:rsidRPr="00EB1327">
              <w:rPr>
                <w:rFonts w:asciiTheme="minorHAnsi" w:hAnsiTheme="minorHAnsi" w:cstheme="minorHAnsi"/>
                <w:b/>
                <w:bCs/>
                <w:color w:val="000000" w:themeColor="text1"/>
              </w:rPr>
              <w:t>Chybné ocenění nového objektu</w:t>
            </w:r>
            <w:r w:rsidR="003D3605" w:rsidRPr="00EB1327">
              <w:rPr>
                <w:rFonts w:asciiTheme="minorHAnsi" w:hAnsiTheme="minorHAnsi" w:cstheme="minorHAnsi"/>
                <w:b/>
                <w:bCs/>
                <w:color w:val="000000" w:themeColor="text1"/>
              </w:rPr>
              <w:t xml:space="preserve"> v Klecanech</w:t>
            </w:r>
          </w:p>
        </w:tc>
        <w:tc>
          <w:tcPr>
            <w:tcW w:w="5272" w:type="dxa"/>
          </w:tcPr>
          <w:p w14:paraId="4803B4DE" w14:textId="77777777" w:rsidR="000A540E" w:rsidRPr="00EB1327" w:rsidRDefault="000A540E" w:rsidP="0066675E">
            <w:pPr>
              <w:autoSpaceDE w:val="0"/>
              <w:autoSpaceDN w:val="0"/>
              <w:adjustRightInd w:val="0"/>
              <w:spacing w:after="200"/>
              <w:jc w:val="both"/>
              <w:rPr>
                <w:rFonts w:asciiTheme="minorHAnsi" w:hAnsiTheme="minorHAnsi" w:cstheme="minorHAnsi"/>
                <w:b/>
                <w:bCs/>
                <w:color w:val="000000" w:themeColor="text1"/>
              </w:rPr>
            </w:pPr>
            <w:r w:rsidRPr="00EB1327">
              <w:rPr>
                <w:rFonts w:asciiTheme="minorHAnsi" w:hAnsiTheme="minorHAnsi" w:cstheme="minorHAnsi"/>
                <w:bCs/>
                <w:color w:val="000000" w:themeColor="text1"/>
              </w:rPr>
              <w:t>NÚDZ účtoval o pořízení stavby svého sídla pozdě</w:t>
            </w:r>
            <w:r w:rsidR="003D3605" w:rsidRPr="00EB1327">
              <w:rPr>
                <w:rFonts w:asciiTheme="minorHAnsi" w:hAnsiTheme="minorHAnsi" w:cstheme="minorHAnsi"/>
                <w:bCs/>
                <w:color w:val="000000" w:themeColor="text1"/>
              </w:rPr>
              <w:t xml:space="preserve"> a v nesprávné výši.</w:t>
            </w:r>
          </w:p>
        </w:tc>
      </w:tr>
      <w:tr w:rsidR="00EB1327" w:rsidRPr="00EB1327" w14:paraId="13A806B8" w14:textId="77777777" w:rsidTr="003D3605">
        <w:trPr>
          <w:jc w:val="center"/>
        </w:trPr>
        <w:tc>
          <w:tcPr>
            <w:tcW w:w="3628" w:type="dxa"/>
          </w:tcPr>
          <w:p w14:paraId="659C8D07" w14:textId="77777777" w:rsidR="000A540E" w:rsidRPr="00EB1327" w:rsidRDefault="000A540E" w:rsidP="0066675E">
            <w:pPr>
              <w:autoSpaceDE w:val="0"/>
              <w:autoSpaceDN w:val="0"/>
              <w:adjustRightInd w:val="0"/>
              <w:spacing w:after="200"/>
              <w:rPr>
                <w:rFonts w:asciiTheme="minorHAnsi" w:hAnsiTheme="minorHAnsi" w:cstheme="minorHAnsi"/>
                <w:b/>
                <w:bCs/>
                <w:color w:val="000000" w:themeColor="text1"/>
              </w:rPr>
            </w:pPr>
            <w:r w:rsidRPr="00EB1327">
              <w:rPr>
                <w:rFonts w:asciiTheme="minorHAnsi" w:hAnsiTheme="minorHAnsi" w:cstheme="minorHAnsi"/>
                <w:b/>
                <w:bCs/>
                <w:color w:val="000000" w:themeColor="text1"/>
              </w:rPr>
              <w:t>NÚDZ nemá zaveden účinný</w:t>
            </w:r>
            <w:r w:rsidR="003D3605" w:rsidRPr="00EB1327">
              <w:rPr>
                <w:rFonts w:asciiTheme="minorHAnsi" w:hAnsiTheme="minorHAnsi" w:cstheme="minorHAnsi"/>
                <w:b/>
                <w:bCs/>
                <w:color w:val="000000" w:themeColor="text1"/>
              </w:rPr>
              <w:t xml:space="preserve"> vnitřní kontrolní systém</w:t>
            </w:r>
          </w:p>
        </w:tc>
        <w:tc>
          <w:tcPr>
            <w:tcW w:w="5272" w:type="dxa"/>
          </w:tcPr>
          <w:p w14:paraId="41DB430C" w14:textId="77777777" w:rsidR="000A540E" w:rsidRPr="00EB1327" w:rsidRDefault="000A540E" w:rsidP="0066675E">
            <w:pPr>
              <w:autoSpaceDE w:val="0"/>
              <w:autoSpaceDN w:val="0"/>
              <w:adjustRightInd w:val="0"/>
              <w:spacing w:after="200"/>
              <w:jc w:val="both"/>
              <w:rPr>
                <w:rFonts w:asciiTheme="minorHAnsi" w:hAnsiTheme="minorHAnsi" w:cstheme="minorHAnsi"/>
                <w:bCs/>
                <w:color w:val="000000" w:themeColor="text1"/>
              </w:rPr>
            </w:pPr>
            <w:r w:rsidRPr="00EB1327">
              <w:rPr>
                <w:rFonts w:asciiTheme="minorHAnsi" w:hAnsiTheme="minorHAnsi" w:cstheme="minorHAnsi"/>
                <w:bCs/>
                <w:color w:val="000000" w:themeColor="text1"/>
              </w:rPr>
              <w:t>V NÚDZ není zřízen interní audit, chybějí vnitřní</w:t>
            </w:r>
            <w:r w:rsidR="003D3605" w:rsidRPr="00EB1327">
              <w:rPr>
                <w:rFonts w:asciiTheme="minorHAnsi" w:hAnsiTheme="minorHAnsi" w:cstheme="minorHAnsi"/>
                <w:bCs/>
                <w:color w:val="000000" w:themeColor="text1"/>
              </w:rPr>
              <w:t xml:space="preserve"> předpisy a nejsou nastavena pravidla vnitřní kontroly.</w:t>
            </w:r>
          </w:p>
        </w:tc>
      </w:tr>
    </w:tbl>
    <w:p w14:paraId="30166EC7" w14:textId="77777777" w:rsidR="002D44A4" w:rsidRPr="00EB1327" w:rsidRDefault="002D44A4" w:rsidP="0066675E">
      <w:pPr>
        <w:rPr>
          <w:rFonts w:asciiTheme="minorHAnsi" w:hAnsiTheme="minorHAnsi" w:cstheme="minorHAnsi"/>
          <w:b/>
          <w:bCs/>
          <w:color w:val="000000" w:themeColor="text1"/>
        </w:rPr>
      </w:pPr>
    </w:p>
    <w:p w14:paraId="67A48907" w14:textId="77777777" w:rsidR="00562DCE" w:rsidRPr="00EB1327" w:rsidRDefault="00562DCE" w:rsidP="0066675E">
      <w:pPr>
        <w:rPr>
          <w:rFonts w:asciiTheme="minorHAnsi" w:hAnsiTheme="minorHAnsi" w:cstheme="minorHAnsi"/>
          <w:b/>
          <w:bCs/>
          <w:color w:val="000000" w:themeColor="text1"/>
        </w:rPr>
      </w:pPr>
    </w:p>
    <w:p w14:paraId="2E29CF59" w14:textId="77777777" w:rsidR="00204195" w:rsidRPr="00EB1327" w:rsidRDefault="00204195" w:rsidP="0066675E">
      <w:pPr>
        <w:spacing w:after="120"/>
        <w:jc w:val="center"/>
        <w:rPr>
          <w:rFonts w:asciiTheme="minorHAnsi" w:hAnsiTheme="minorHAnsi" w:cs="Calibri"/>
          <w:b/>
          <w:noProof w:val="0"/>
          <w:color w:val="000000" w:themeColor="text1"/>
          <w:sz w:val="28"/>
          <w:szCs w:val="28"/>
          <w:lang w:eastAsia="cs-CZ"/>
        </w:rPr>
      </w:pPr>
      <w:r w:rsidRPr="00EB1327">
        <w:rPr>
          <w:rFonts w:asciiTheme="minorHAnsi" w:hAnsiTheme="minorHAnsi" w:cs="Calibri"/>
          <w:b/>
          <w:noProof w:val="0"/>
          <w:color w:val="000000" w:themeColor="text1"/>
          <w:sz w:val="28"/>
          <w:szCs w:val="28"/>
          <w:lang w:eastAsia="cs-CZ"/>
        </w:rPr>
        <w:t>I. Shrnutí a vyhodnocení</w:t>
      </w:r>
    </w:p>
    <w:p w14:paraId="15046233" w14:textId="2E0FD97E" w:rsidR="00204195" w:rsidRPr="00EB1327" w:rsidRDefault="00204195" w:rsidP="0066675E">
      <w:pPr>
        <w:spacing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NKÚ provedl kontrolu hospodaření s majetkem a peněžními prostředky státu, se kterými je</w:t>
      </w:r>
      <w:r w:rsidR="00725FC3">
        <w:rPr>
          <w:rFonts w:asciiTheme="minorHAnsi" w:hAnsiTheme="minorHAnsi" w:cstheme="minorHAnsi"/>
          <w:color w:val="000000" w:themeColor="text1"/>
        </w:rPr>
        <w:t xml:space="preserve"> </w:t>
      </w:r>
      <w:r w:rsidRPr="00EB1327">
        <w:rPr>
          <w:rFonts w:asciiTheme="minorHAnsi" w:hAnsiTheme="minorHAnsi" w:cstheme="minorHAnsi"/>
          <w:color w:val="000000" w:themeColor="text1"/>
        </w:rPr>
        <w:t>příslušný hospodařit Národní ústav duševního zdraví. Kontrola byla zaměřena především na</w:t>
      </w:r>
      <w:r w:rsidR="00725FC3">
        <w:rPr>
          <w:rFonts w:asciiTheme="minorHAnsi" w:hAnsiTheme="minorHAnsi" w:cstheme="minorHAnsi"/>
          <w:color w:val="000000" w:themeColor="text1"/>
        </w:rPr>
        <w:t xml:space="preserve"> </w:t>
      </w:r>
      <w:r w:rsidRPr="00EB1327">
        <w:rPr>
          <w:rFonts w:asciiTheme="minorHAnsi" w:hAnsiTheme="minorHAnsi" w:cstheme="minorHAnsi"/>
          <w:color w:val="000000" w:themeColor="text1"/>
        </w:rPr>
        <w:t>plnění povinností při</w:t>
      </w:r>
      <w:r w:rsidR="00725FC3">
        <w:rPr>
          <w:rFonts w:asciiTheme="minorHAnsi" w:hAnsiTheme="minorHAnsi" w:cstheme="minorHAnsi"/>
          <w:color w:val="000000" w:themeColor="text1"/>
        </w:rPr>
        <w:t xml:space="preserve"> </w:t>
      </w:r>
      <w:r w:rsidRPr="00EB1327">
        <w:rPr>
          <w:rFonts w:asciiTheme="minorHAnsi" w:hAnsiTheme="minorHAnsi" w:cstheme="minorHAnsi"/>
          <w:color w:val="000000" w:themeColor="text1"/>
        </w:rPr>
        <w:t>nabývání a pozbývání majetku, na účtování o majetku, na vybrané náklady, na kvalitu vnitřního kontrolního systému.</w:t>
      </w:r>
    </w:p>
    <w:p w14:paraId="64380256" w14:textId="77777777" w:rsidR="00204195" w:rsidRPr="00EB1327" w:rsidRDefault="00204195" w:rsidP="0066675E">
      <w:pPr>
        <w:spacing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NKÚ prověřil hospodaření s majetkem v hodnotě více než 530 mil. Kč, výše kontrolou ověřených peněžních prostředků dosáhla necelých 10 mil. Kč.</w:t>
      </w:r>
    </w:p>
    <w:p w14:paraId="53BE85D7" w14:textId="4D63978E" w:rsidR="00204195" w:rsidRPr="00EB1327" w:rsidRDefault="00204195" w:rsidP="0066675E">
      <w:pPr>
        <w:spacing w:after="120"/>
        <w:jc w:val="both"/>
        <w:rPr>
          <w:rFonts w:cs="Calibri"/>
          <w:color w:val="000000" w:themeColor="text1"/>
        </w:rPr>
      </w:pPr>
      <w:r w:rsidRPr="00EB1327">
        <w:rPr>
          <w:rFonts w:asciiTheme="minorHAnsi" w:hAnsiTheme="minorHAnsi" w:cstheme="minorHAnsi"/>
          <w:color w:val="000000" w:themeColor="text1"/>
        </w:rPr>
        <w:t xml:space="preserve">Kontrola byla vykonána i na Ministerstvu zdravotnictví, které je zřizovatelem </w:t>
      </w:r>
      <w:r w:rsidR="00231219" w:rsidRPr="00EB1327">
        <w:rPr>
          <w:rFonts w:asciiTheme="minorHAnsi" w:hAnsiTheme="minorHAnsi" w:cstheme="minorHAnsi"/>
          <w:color w:val="000000" w:themeColor="text1"/>
        </w:rPr>
        <w:t>NÚDZ</w:t>
      </w:r>
      <w:r w:rsidR="00297F6A" w:rsidRPr="00EB1327">
        <w:rPr>
          <w:rFonts w:asciiTheme="minorHAnsi" w:hAnsiTheme="minorHAnsi" w:cstheme="minorHAnsi"/>
          <w:color w:val="000000" w:themeColor="text1"/>
        </w:rPr>
        <w:t xml:space="preserve">. Cílem kontroly bylo </w:t>
      </w:r>
      <w:r w:rsidRPr="00EB1327">
        <w:rPr>
          <w:rFonts w:asciiTheme="minorHAnsi" w:hAnsiTheme="minorHAnsi" w:cstheme="minorHAnsi"/>
          <w:color w:val="000000" w:themeColor="text1"/>
        </w:rPr>
        <w:t>ověřit</w:t>
      </w:r>
      <w:r w:rsidR="000052CF" w:rsidRPr="00EB1327">
        <w:rPr>
          <w:rFonts w:asciiTheme="minorHAnsi" w:hAnsiTheme="minorHAnsi" w:cstheme="minorHAnsi"/>
          <w:color w:val="000000" w:themeColor="text1"/>
        </w:rPr>
        <w:t xml:space="preserve"> záměry MZd ve způsobu </w:t>
      </w:r>
      <w:r w:rsidRPr="00EB1327">
        <w:rPr>
          <w:rFonts w:asciiTheme="minorHAnsi" w:hAnsiTheme="minorHAnsi" w:cstheme="minorHAnsi"/>
          <w:color w:val="000000" w:themeColor="text1"/>
        </w:rPr>
        <w:t xml:space="preserve">financování a perspektivě další činnosti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zvláště po roce 2020, kterým končí čerpání finančních prostředků </w:t>
      </w:r>
      <w:r w:rsidRPr="00EB1327">
        <w:rPr>
          <w:rFonts w:cs="Calibri"/>
          <w:color w:val="000000" w:themeColor="text1"/>
        </w:rPr>
        <w:t xml:space="preserve">z programu </w:t>
      </w:r>
      <w:r w:rsidRPr="000A54DD">
        <w:rPr>
          <w:rFonts w:cs="Calibri"/>
          <w:i/>
          <w:color w:val="000000" w:themeColor="text1"/>
        </w:rPr>
        <w:t xml:space="preserve">Národní </w:t>
      </w:r>
      <w:r w:rsidRPr="00601460">
        <w:rPr>
          <w:rFonts w:cs="Calibri"/>
          <w:i/>
          <w:color w:val="000000" w:themeColor="text1"/>
        </w:rPr>
        <w:t>program udržitelnosti I</w:t>
      </w:r>
      <w:r w:rsidRPr="00EB1327">
        <w:rPr>
          <w:rFonts w:cs="Calibri"/>
          <w:color w:val="000000" w:themeColor="text1"/>
        </w:rPr>
        <w:t xml:space="preserve"> (</w:t>
      </w:r>
      <w:r w:rsidR="00725FC3">
        <w:rPr>
          <w:rFonts w:cs="Calibri"/>
          <w:color w:val="000000" w:themeColor="text1"/>
        </w:rPr>
        <w:t>p</w:t>
      </w:r>
      <w:r w:rsidRPr="00EB1327">
        <w:rPr>
          <w:rFonts w:cs="Calibri"/>
          <w:color w:val="000000" w:themeColor="text1"/>
        </w:rPr>
        <w:t xml:space="preserve">rojekt </w:t>
      </w:r>
      <w:r w:rsidR="00FD302F" w:rsidRPr="00EB1327">
        <w:rPr>
          <w:rFonts w:cs="Calibri"/>
          <w:color w:val="000000" w:themeColor="text1"/>
        </w:rPr>
        <w:t>LO1611</w:t>
      </w:r>
      <w:r w:rsidR="00725FC3">
        <w:rPr>
          <w:rFonts w:cs="Calibri"/>
          <w:color w:val="000000" w:themeColor="text1"/>
        </w:rPr>
        <w:t> –</w:t>
      </w:r>
      <w:r w:rsidR="00FD302F" w:rsidRPr="00EB1327">
        <w:rPr>
          <w:rFonts w:cs="Calibri"/>
          <w:color w:val="000000" w:themeColor="text1"/>
        </w:rPr>
        <w:t xml:space="preserve"> </w:t>
      </w:r>
      <w:r w:rsidRPr="00601460">
        <w:rPr>
          <w:rFonts w:cs="Calibri"/>
          <w:i/>
          <w:color w:val="000000" w:themeColor="text1"/>
        </w:rPr>
        <w:t>Udržitelnost pro Národní ústav duševního zdraví</w:t>
      </w:r>
      <w:r w:rsidR="00FD302F" w:rsidRPr="00EB1327">
        <w:rPr>
          <w:rStyle w:val="Znakapoznpodarou"/>
          <w:rFonts w:cs="Calibri"/>
          <w:color w:val="000000" w:themeColor="text1"/>
        </w:rPr>
        <w:footnoteReference w:id="5"/>
      </w:r>
      <w:r w:rsidRPr="00EB1327">
        <w:rPr>
          <w:rFonts w:cs="Calibri"/>
          <w:color w:val="000000" w:themeColor="text1"/>
        </w:rPr>
        <w:t>).</w:t>
      </w:r>
    </w:p>
    <w:p w14:paraId="4F2178D3" w14:textId="77777777" w:rsidR="00F41E55" w:rsidRPr="00EB1327" w:rsidRDefault="00204195" w:rsidP="0066675E">
      <w:pPr>
        <w:spacing w:after="120"/>
        <w:jc w:val="both"/>
        <w:rPr>
          <w:rFonts w:asciiTheme="minorHAnsi" w:hAnsiTheme="minorHAnsi" w:cs="Calibri"/>
          <w:b/>
          <w:noProof w:val="0"/>
          <w:color w:val="000000" w:themeColor="text1"/>
          <w:lang w:eastAsia="cs-CZ"/>
        </w:rPr>
      </w:pPr>
      <w:r w:rsidRPr="00EB1327">
        <w:rPr>
          <w:rFonts w:asciiTheme="minorHAnsi" w:hAnsiTheme="minorHAnsi" w:cs="Calibri"/>
          <w:b/>
          <w:noProof w:val="0"/>
          <w:color w:val="000000" w:themeColor="text1"/>
          <w:lang w:eastAsia="cs-CZ"/>
        </w:rPr>
        <w:lastRenderedPageBreak/>
        <w:t>NKÚ při kontrole zjistil:</w:t>
      </w:r>
      <w:r w:rsidR="004C46DC" w:rsidRPr="00EB1327">
        <w:rPr>
          <w:rFonts w:asciiTheme="minorHAnsi" w:hAnsiTheme="minorHAnsi" w:cs="Calibri"/>
          <w:b/>
          <w:noProof w:val="0"/>
          <w:color w:val="000000" w:themeColor="text1"/>
          <w:lang w:eastAsia="cs-CZ"/>
        </w:rPr>
        <w:t xml:space="preserve"> </w:t>
      </w:r>
    </w:p>
    <w:p w14:paraId="522509D2" w14:textId="77777777" w:rsidR="00204195" w:rsidRPr="00764C13" w:rsidRDefault="00204195" w:rsidP="00601460">
      <w:pPr>
        <w:pStyle w:val="Odstavecseseznamem"/>
        <w:numPr>
          <w:ilvl w:val="0"/>
          <w:numId w:val="40"/>
        </w:numPr>
        <w:tabs>
          <w:tab w:val="left" w:pos="284"/>
        </w:tabs>
        <w:spacing w:after="120"/>
        <w:ind w:left="0" w:firstLine="0"/>
        <w:jc w:val="both"/>
        <w:rPr>
          <w:rFonts w:asciiTheme="minorHAnsi" w:hAnsiTheme="minorHAnsi" w:cs="Calibri"/>
          <w:noProof w:val="0"/>
          <w:color w:val="000000" w:themeColor="text1"/>
          <w:lang w:eastAsia="cs-CZ"/>
        </w:rPr>
      </w:pPr>
      <w:r w:rsidRPr="00764C13">
        <w:rPr>
          <w:rFonts w:asciiTheme="minorHAnsi" w:hAnsiTheme="minorHAnsi" w:cs="Calibri"/>
          <w:noProof w:val="0"/>
          <w:color w:val="000000" w:themeColor="text1"/>
          <w:lang w:eastAsia="cs-CZ"/>
        </w:rPr>
        <w:t xml:space="preserve">Účetnictví </w:t>
      </w:r>
      <w:r w:rsidR="00231219" w:rsidRPr="00764C13">
        <w:rPr>
          <w:rFonts w:asciiTheme="minorHAnsi" w:hAnsiTheme="minorHAnsi" w:cs="Calibri"/>
          <w:noProof w:val="0"/>
          <w:color w:val="000000" w:themeColor="text1"/>
          <w:lang w:eastAsia="cs-CZ"/>
        </w:rPr>
        <w:t>NÚDZ</w:t>
      </w:r>
      <w:r w:rsidRPr="00764C13">
        <w:rPr>
          <w:rFonts w:asciiTheme="minorHAnsi" w:hAnsiTheme="minorHAnsi" w:cs="Calibri"/>
          <w:noProof w:val="0"/>
          <w:color w:val="000000" w:themeColor="text1"/>
          <w:lang w:eastAsia="cs-CZ"/>
        </w:rPr>
        <w:t xml:space="preserve"> nebylo v kontrolovaném období 2014 až 2016 správné a úplné ve smyslu ustanovení § 8 zákona č. 563/1991 Sb.</w:t>
      </w:r>
      <w:r w:rsidR="002D44A4" w:rsidRPr="00725FC3">
        <w:rPr>
          <w:rStyle w:val="Znakapoznpodarou"/>
          <w:rFonts w:asciiTheme="minorHAnsi" w:hAnsiTheme="minorHAnsi" w:cs="Calibri"/>
          <w:noProof w:val="0"/>
          <w:color w:val="000000" w:themeColor="text1"/>
          <w:lang w:eastAsia="cs-CZ"/>
        </w:rPr>
        <w:footnoteReference w:id="6"/>
      </w:r>
      <w:r w:rsidRPr="00764C13">
        <w:rPr>
          <w:rFonts w:asciiTheme="minorHAnsi" w:hAnsiTheme="minorHAnsi" w:cs="Calibri"/>
          <w:noProof w:val="0"/>
          <w:color w:val="000000" w:themeColor="text1"/>
          <w:lang w:eastAsia="cs-CZ"/>
        </w:rPr>
        <w:t xml:space="preserve"> Rozsah zjištěných nedostatků byl značný.</w:t>
      </w:r>
    </w:p>
    <w:p w14:paraId="71F6AEF4" w14:textId="77777777" w:rsidR="00204195" w:rsidRPr="00764C13" w:rsidRDefault="00231219" w:rsidP="00601460">
      <w:pPr>
        <w:pStyle w:val="Odstavecseseznamem"/>
        <w:numPr>
          <w:ilvl w:val="0"/>
          <w:numId w:val="40"/>
        </w:numPr>
        <w:tabs>
          <w:tab w:val="left" w:pos="284"/>
        </w:tabs>
        <w:spacing w:after="120"/>
        <w:ind w:left="0" w:firstLine="0"/>
        <w:jc w:val="both"/>
        <w:rPr>
          <w:rFonts w:asciiTheme="minorHAnsi" w:hAnsiTheme="minorHAnsi" w:cstheme="minorHAnsi"/>
          <w:color w:val="000000" w:themeColor="text1"/>
        </w:rPr>
      </w:pPr>
      <w:r w:rsidRPr="00764C13">
        <w:rPr>
          <w:rFonts w:asciiTheme="minorHAnsi" w:hAnsiTheme="minorHAnsi" w:cstheme="minorHAnsi"/>
          <w:color w:val="000000" w:themeColor="text1"/>
        </w:rPr>
        <w:t>NÚDZ</w:t>
      </w:r>
      <w:r w:rsidR="00204195" w:rsidRPr="00764C13">
        <w:rPr>
          <w:rFonts w:asciiTheme="minorHAnsi" w:hAnsiTheme="minorHAnsi" w:cstheme="minorHAnsi"/>
          <w:color w:val="000000" w:themeColor="text1"/>
        </w:rPr>
        <w:t xml:space="preserve"> v roce 2014 v Klecanech dokončil výstavbu budovy, o pořízení budovy účtoval s více než ročním zpožděním a v nesprávném ocenění.</w:t>
      </w:r>
    </w:p>
    <w:p w14:paraId="1FA2B589" w14:textId="77777777" w:rsidR="00204195" w:rsidRPr="00764C13" w:rsidRDefault="00231219" w:rsidP="00601460">
      <w:pPr>
        <w:pStyle w:val="Odstavecseseznamem"/>
        <w:numPr>
          <w:ilvl w:val="0"/>
          <w:numId w:val="40"/>
        </w:numPr>
        <w:tabs>
          <w:tab w:val="left" w:pos="284"/>
        </w:tabs>
        <w:spacing w:after="120"/>
        <w:ind w:left="0" w:firstLine="0"/>
        <w:jc w:val="both"/>
        <w:rPr>
          <w:rFonts w:asciiTheme="minorHAnsi" w:hAnsiTheme="minorHAnsi" w:cstheme="minorHAnsi"/>
          <w:color w:val="000000" w:themeColor="text1"/>
        </w:rPr>
      </w:pPr>
      <w:r w:rsidRPr="00764C13">
        <w:rPr>
          <w:rFonts w:asciiTheme="minorHAnsi" w:hAnsiTheme="minorHAnsi" w:cstheme="minorHAnsi"/>
          <w:color w:val="000000" w:themeColor="text1"/>
        </w:rPr>
        <w:t>NÚDZ</w:t>
      </w:r>
      <w:r w:rsidR="00204195" w:rsidRPr="00764C13">
        <w:rPr>
          <w:rFonts w:asciiTheme="minorHAnsi" w:hAnsiTheme="minorHAnsi" w:cstheme="minorHAnsi"/>
          <w:color w:val="000000" w:themeColor="text1"/>
        </w:rPr>
        <w:t xml:space="preserve"> užívá pozemky jiného vlastníka, na kterých má umístěnou stavbu příjezdové komunikace a parkoviště</w:t>
      </w:r>
      <w:r w:rsidR="00764C13">
        <w:rPr>
          <w:rFonts w:asciiTheme="minorHAnsi" w:hAnsiTheme="minorHAnsi" w:cstheme="minorHAnsi"/>
          <w:color w:val="000000" w:themeColor="text1"/>
        </w:rPr>
        <w:t>,</w:t>
      </w:r>
      <w:r w:rsidR="00204195" w:rsidRPr="00764C13">
        <w:rPr>
          <w:rFonts w:asciiTheme="minorHAnsi" w:hAnsiTheme="minorHAnsi" w:cstheme="minorHAnsi"/>
          <w:color w:val="000000" w:themeColor="text1"/>
        </w:rPr>
        <w:t xml:space="preserve"> a naopak jiné subjekty užívají pozemek </w:t>
      </w:r>
      <w:r w:rsidRPr="00764C13">
        <w:rPr>
          <w:rFonts w:asciiTheme="minorHAnsi" w:hAnsiTheme="minorHAnsi" w:cstheme="minorHAnsi"/>
          <w:color w:val="000000" w:themeColor="text1"/>
        </w:rPr>
        <w:t>NÚDZ</w:t>
      </w:r>
      <w:r w:rsidR="00204195" w:rsidRPr="00764C13">
        <w:rPr>
          <w:rFonts w:asciiTheme="minorHAnsi" w:hAnsiTheme="minorHAnsi" w:cstheme="minorHAnsi"/>
          <w:color w:val="000000" w:themeColor="text1"/>
        </w:rPr>
        <w:t>, který je jediným přístupem k jejich nemovitému majetku</w:t>
      </w:r>
      <w:r w:rsidR="004C46DC" w:rsidRPr="00764C13">
        <w:rPr>
          <w:rFonts w:asciiTheme="minorHAnsi" w:hAnsiTheme="minorHAnsi" w:cstheme="minorHAnsi"/>
          <w:color w:val="000000" w:themeColor="text1"/>
        </w:rPr>
        <w:t>. T</w:t>
      </w:r>
      <w:r w:rsidR="00204195" w:rsidRPr="00764C13">
        <w:rPr>
          <w:rFonts w:asciiTheme="minorHAnsi" w:hAnsiTheme="minorHAnsi" w:cstheme="minorHAnsi"/>
          <w:color w:val="000000" w:themeColor="text1"/>
        </w:rPr>
        <w:t xml:space="preserve">yto majetkoprávní vztahy nejsou od </w:t>
      </w:r>
      <w:r w:rsidR="0023397C" w:rsidRPr="00764C13">
        <w:rPr>
          <w:rFonts w:asciiTheme="minorHAnsi" w:hAnsiTheme="minorHAnsi" w:cstheme="minorHAnsi"/>
          <w:color w:val="000000" w:themeColor="text1"/>
        </w:rPr>
        <w:t xml:space="preserve">roku 2010 </w:t>
      </w:r>
      <w:r w:rsidR="004C46DC" w:rsidRPr="00764C13">
        <w:rPr>
          <w:rFonts w:asciiTheme="minorHAnsi" w:hAnsiTheme="minorHAnsi" w:cstheme="minorHAnsi"/>
          <w:color w:val="000000" w:themeColor="text1"/>
        </w:rPr>
        <w:t xml:space="preserve">dořešeny a ani nejsou podnikány ze strany </w:t>
      </w:r>
      <w:r w:rsidRPr="00764C13">
        <w:rPr>
          <w:rFonts w:asciiTheme="minorHAnsi" w:hAnsiTheme="minorHAnsi" w:cstheme="minorHAnsi"/>
          <w:color w:val="000000" w:themeColor="text1"/>
        </w:rPr>
        <w:t>NÚDZ</w:t>
      </w:r>
      <w:r w:rsidR="004C46DC" w:rsidRPr="00764C13">
        <w:rPr>
          <w:rFonts w:asciiTheme="minorHAnsi" w:hAnsiTheme="minorHAnsi" w:cstheme="minorHAnsi"/>
          <w:color w:val="000000" w:themeColor="text1"/>
        </w:rPr>
        <w:t xml:space="preserve"> kroky k nápravě.</w:t>
      </w:r>
    </w:p>
    <w:p w14:paraId="401B1C04" w14:textId="00B9F9A8" w:rsidR="00204195" w:rsidRPr="00764C13" w:rsidRDefault="000052CF" w:rsidP="00601460">
      <w:pPr>
        <w:pStyle w:val="Odstavecseseznamem"/>
        <w:numPr>
          <w:ilvl w:val="0"/>
          <w:numId w:val="40"/>
        </w:numPr>
        <w:tabs>
          <w:tab w:val="left" w:pos="284"/>
        </w:tabs>
        <w:spacing w:after="120"/>
        <w:ind w:left="0" w:firstLine="0"/>
        <w:jc w:val="both"/>
        <w:rPr>
          <w:rFonts w:asciiTheme="minorHAnsi" w:hAnsiTheme="minorHAnsi" w:cstheme="minorHAnsi"/>
          <w:color w:val="000000" w:themeColor="text1"/>
        </w:rPr>
      </w:pPr>
      <w:r w:rsidRPr="00764C13">
        <w:rPr>
          <w:rFonts w:asciiTheme="minorHAnsi" w:hAnsiTheme="minorHAnsi" w:cstheme="minorHAnsi"/>
          <w:color w:val="000000" w:themeColor="text1"/>
        </w:rPr>
        <w:t>Při</w:t>
      </w:r>
      <w:r w:rsidR="00204195" w:rsidRPr="00764C13">
        <w:rPr>
          <w:rFonts w:asciiTheme="minorHAnsi" w:hAnsiTheme="minorHAnsi" w:cstheme="minorHAnsi"/>
          <w:color w:val="000000" w:themeColor="text1"/>
        </w:rPr>
        <w:t xml:space="preserve"> převodech nemovitého majetku a při</w:t>
      </w:r>
      <w:r w:rsidRPr="00764C13">
        <w:rPr>
          <w:rFonts w:asciiTheme="minorHAnsi" w:hAnsiTheme="minorHAnsi" w:cstheme="minorHAnsi"/>
          <w:color w:val="000000" w:themeColor="text1"/>
        </w:rPr>
        <w:t xml:space="preserve"> </w:t>
      </w:r>
      <w:r w:rsidRPr="00764C13">
        <w:rPr>
          <w:rFonts w:asciiTheme="minorHAnsi" w:hAnsiTheme="minorHAnsi" w:cstheme="minorHAnsi"/>
          <w:color w:val="000000" w:themeColor="text1"/>
          <w:shd w:val="clear" w:color="auto" w:fill="FFFFFF" w:themeFill="background1"/>
        </w:rPr>
        <w:t xml:space="preserve">vyřazování </w:t>
      </w:r>
      <w:r w:rsidR="00E63C17" w:rsidRPr="00764C13">
        <w:rPr>
          <w:rFonts w:asciiTheme="minorHAnsi" w:hAnsiTheme="minorHAnsi" w:cstheme="minorHAnsi"/>
          <w:color w:val="000000" w:themeColor="text1"/>
          <w:shd w:val="clear" w:color="auto" w:fill="FFFFFF" w:themeFill="background1"/>
        </w:rPr>
        <w:t xml:space="preserve">movitého </w:t>
      </w:r>
      <w:r w:rsidRPr="00764C13">
        <w:rPr>
          <w:rFonts w:asciiTheme="minorHAnsi" w:hAnsiTheme="minorHAnsi" w:cstheme="minorHAnsi"/>
          <w:color w:val="000000" w:themeColor="text1"/>
          <w:shd w:val="clear" w:color="auto" w:fill="FFFFFF" w:themeFill="background1"/>
        </w:rPr>
        <w:t>majetku</w:t>
      </w:r>
      <w:r w:rsidR="00204195" w:rsidRPr="00764C13">
        <w:rPr>
          <w:rFonts w:asciiTheme="minorHAnsi" w:hAnsiTheme="minorHAnsi" w:cstheme="minorHAnsi"/>
          <w:color w:val="000000" w:themeColor="text1"/>
          <w:shd w:val="clear" w:color="auto" w:fill="FFFFFF" w:themeFill="background1"/>
        </w:rPr>
        <w:t xml:space="preserve"> nebyla</w:t>
      </w:r>
      <w:r w:rsidR="00204195" w:rsidRPr="00764C13">
        <w:rPr>
          <w:rFonts w:asciiTheme="minorHAnsi" w:hAnsiTheme="minorHAnsi" w:cstheme="minorHAnsi"/>
          <w:color w:val="000000" w:themeColor="text1"/>
        </w:rPr>
        <w:t xml:space="preserve"> vydávána rozhodnutí o nepotřebnosti majetku.</w:t>
      </w:r>
    </w:p>
    <w:p w14:paraId="6B0E97B9" w14:textId="3D5DE981" w:rsidR="00F41E55" w:rsidRPr="00764C13" w:rsidRDefault="00204195" w:rsidP="00601460">
      <w:pPr>
        <w:pStyle w:val="Odstavecseseznamem"/>
        <w:numPr>
          <w:ilvl w:val="0"/>
          <w:numId w:val="40"/>
        </w:numPr>
        <w:tabs>
          <w:tab w:val="left" w:pos="284"/>
        </w:tabs>
        <w:spacing w:after="120"/>
        <w:ind w:left="0" w:firstLine="0"/>
        <w:jc w:val="both"/>
        <w:rPr>
          <w:rFonts w:asciiTheme="minorHAnsi" w:hAnsiTheme="minorHAnsi" w:cstheme="minorHAnsi"/>
          <w:color w:val="000000" w:themeColor="text1"/>
        </w:rPr>
      </w:pPr>
      <w:r w:rsidRPr="00764C13">
        <w:rPr>
          <w:rFonts w:asciiTheme="minorHAnsi" w:hAnsiTheme="minorHAnsi" w:cstheme="minorHAnsi"/>
          <w:color w:val="000000" w:themeColor="text1"/>
        </w:rPr>
        <w:t xml:space="preserve">U dvou </w:t>
      </w:r>
      <w:r w:rsidR="000052CF" w:rsidRPr="00764C13">
        <w:rPr>
          <w:rFonts w:asciiTheme="minorHAnsi" w:hAnsiTheme="minorHAnsi" w:cstheme="minorHAnsi"/>
          <w:color w:val="000000" w:themeColor="text1"/>
        </w:rPr>
        <w:t xml:space="preserve">ze čtyř kontrolovaných </w:t>
      </w:r>
      <w:r w:rsidRPr="00764C13">
        <w:rPr>
          <w:rFonts w:asciiTheme="minorHAnsi" w:hAnsiTheme="minorHAnsi" w:cstheme="minorHAnsi"/>
          <w:color w:val="000000" w:themeColor="text1"/>
        </w:rPr>
        <w:t xml:space="preserve">projektů </w:t>
      </w:r>
      <w:r w:rsidR="000052CF" w:rsidRPr="00764C13">
        <w:rPr>
          <w:rFonts w:asciiTheme="minorHAnsi" w:hAnsiTheme="minorHAnsi" w:cstheme="minorHAnsi"/>
          <w:color w:val="000000" w:themeColor="text1"/>
        </w:rPr>
        <w:t xml:space="preserve">v oblasti výzkumné, vývojové a inovační činnosti </w:t>
      </w:r>
      <w:r w:rsidRPr="00764C13">
        <w:rPr>
          <w:rFonts w:asciiTheme="minorHAnsi" w:hAnsiTheme="minorHAnsi" w:cstheme="minorHAnsi"/>
          <w:color w:val="000000" w:themeColor="text1"/>
        </w:rPr>
        <w:t xml:space="preserve">NKÚ zjistil skutečnosti nasvědčující neoprávněnému použití peněžních </w:t>
      </w:r>
      <w:r w:rsidR="000052CF" w:rsidRPr="00764C13">
        <w:rPr>
          <w:rFonts w:asciiTheme="minorHAnsi" w:hAnsiTheme="minorHAnsi" w:cstheme="minorHAnsi"/>
          <w:color w:val="000000" w:themeColor="text1"/>
        </w:rPr>
        <w:t>prostředků ze</w:t>
      </w:r>
      <w:r w:rsidR="00764C13">
        <w:rPr>
          <w:rFonts w:asciiTheme="minorHAnsi" w:hAnsiTheme="minorHAnsi" w:cstheme="minorHAnsi"/>
          <w:color w:val="000000" w:themeColor="text1"/>
        </w:rPr>
        <w:t xml:space="preserve"> </w:t>
      </w:r>
      <w:r w:rsidRPr="00764C13">
        <w:rPr>
          <w:rFonts w:asciiTheme="minorHAnsi" w:hAnsiTheme="minorHAnsi" w:cstheme="minorHAnsi"/>
          <w:color w:val="000000" w:themeColor="text1"/>
        </w:rPr>
        <w:t>státního rozpočtu</w:t>
      </w:r>
      <w:r w:rsidR="0023397C" w:rsidRPr="00764C13">
        <w:rPr>
          <w:rFonts w:asciiTheme="minorHAnsi" w:hAnsiTheme="minorHAnsi" w:cstheme="minorHAnsi"/>
          <w:color w:val="000000" w:themeColor="text1"/>
        </w:rPr>
        <w:t xml:space="preserve"> celkem ve výši 100 16</w:t>
      </w:r>
      <w:r w:rsidR="00F41E55" w:rsidRPr="00764C13">
        <w:rPr>
          <w:rFonts w:asciiTheme="minorHAnsi" w:hAnsiTheme="minorHAnsi" w:cstheme="minorHAnsi"/>
          <w:color w:val="000000" w:themeColor="text1"/>
        </w:rPr>
        <w:t>6</w:t>
      </w:r>
      <w:r w:rsidR="0023397C" w:rsidRPr="00764C13">
        <w:rPr>
          <w:rFonts w:asciiTheme="minorHAnsi" w:hAnsiTheme="minorHAnsi" w:cstheme="minorHAnsi"/>
          <w:color w:val="000000" w:themeColor="text1"/>
        </w:rPr>
        <w:t xml:space="preserve"> Kč</w:t>
      </w:r>
      <w:r w:rsidRPr="00764C13">
        <w:rPr>
          <w:rFonts w:asciiTheme="minorHAnsi" w:hAnsiTheme="minorHAnsi" w:cstheme="minorHAnsi"/>
          <w:color w:val="000000" w:themeColor="text1"/>
        </w:rPr>
        <w:t>.</w:t>
      </w:r>
      <w:r w:rsidR="006E39CB" w:rsidRPr="00764C13">
        <w:rPr>
          <w:rFonts w:asciiTheme="minorHAnsi" w:hAnsiTheme="minorHAnsi" w:cstheme="minorHAnsi"/>
          <w:color w:val="000000" w:themeColor="text1"/>
        </w:rPr>
        <w:t xml:space="preserve"> </w:t>
      </w:r>
    </w:p>
    <w:p w14:paraId="29DF7EFB" w14:textId="3D94B98A" w:rsidR="000052CF" w:rsidRPr="00764C13" w:rsidRDefault="00204195" w:rsidP="00601460">
      <w:pPr>
        <w:pStyle w:val="Odstavecseseznamem"/>
        <w:numPr>
          <w:ilvl w:val="0"/>
          <w:numId w:val="40"/>
        </w:numPr>
        <w:tabs>
          <w:tab w:val="left" w:pos="284"/>
        </w:tabs>
        <w:spacing w:after="120"/>
        <w:ind w:left="0" w:firstLine="0"/>
        <w:jc w:val="both"/>
        <w:rPr>
          <w:rFonts w:asciiTheme="minorHAnsi" w:hAnsiTheme="minorHAnsi" w:cstheme="minorHAnsi"/>
          <w:color w:val="000000" w:themeColor="text1"/>
        </w:rPr>
      </w:pPr>
      <w:r w:rsidRPr="00764C13">
        <w:rPr>
          <w:rFonts w:asciiTheme="minorHAnsi" w:hAnsiTheme="minorHAnsi" w:cstheme="minorHAnsi"/>
          <w:color w:val="000000" w:themeColor="text1"/>
        </w:rPr>
        <w:t xml:space="preserve">Ve všech oblastech kontroly </w:t>
      </w:r>
      <w:r w:rsidR="000052CF" w:rsidRPr="00764C13">
        <w:rPr>
          <w:rFonts w:asciiTheme="minorHAnsi" w:hAnsiTheme="minorHAnsi" w:cstheme="minorHAnsi"/>
          <w:color w:val="000000" w:themeColor="text1"/>
        </w:rPr>
        <w:t>je</w:t>
      </w:r>
      <w:r w:rsidRPr="00764C13">
        <w:rPr>
          <w:rFonts w:asciiTheme="minorHAnsi" w:hAnsiTheme="minorHAnsi" w:cstheme="minorHAnsi"/>
          <w:color w:val="000000" w:themeColor="text1"/>
        </w:rPr>
        <w:t xml:space="preserve"> </w:t>
      </w:r>
      <w:r w:rsidR="00764C13" w:rsidRPr="00764C13">
        <w:rPr>
          <w:rFonts w:asciiTheme="minorHAnsi" w:hAnsiTheme="minorHAnsi" w:cstheme="minorHAnsi"/>
          <w:color w:val="000000" w:themeColor="text1"/>
        </w:rPr>
        <w:t xml:space="preserve">nevyhovující </w:t>
      </w:r>
      <w:r w:rsidRPr="00764C13">
        <w:rPr>
          <w:rFonts w:asciiTheme="minorHAnsi" w:hAnsiTheme="minorHAnsi" w:cstheme="minorHAnsi"/>
          <w:color w:val="000000" w:themeColor="text1"/>
        </w:rPr>
        <w:t>stav vnitřních předpisů, k</w:t>
      </w:r>
      <w:r w:rsidR="00326816" w:rsidRPr="00764C13">
        <w:rPr>
          <w:rFonts w:asciiTheme="minorHAnsi" w:hAnsiTheme="minorHAnsi" w:cstheme="minorHAnsi"/>
          <w:color w:val="000000" w:themeColor="text1"/>
        </w:rPr>
        <w:t>teré mají upravovat postupy při</w:t>
      </w:r>
      <w:r w:rsidR="00764C13">
        <w:rPr>
          <w:rFonts w:asciiTheme="minorHAnsi" w:hAnsiTheme="minorHAnsi" w:cstheme="minorHAnsi"/>
          <w:color w:val="000000" w:themeColor="text1"/>
        </w:rPr>
        <w:t xml:space="preserve"> </w:t>
      </w:r>
      <w:r w:rsidRPr="00764C13">
        <w:rPr>
          <w:rFonts w:asciiTheme="minorHAnsi" w:hAnsiTheme="minorHAnsi" w:cstheme="minorHAnsi"/>
          <w:color w:val="000000" w:themeColor="text1"/>
        </w:rPr>
        <w:t>nakládání s majetkem a peněžními prostředky státu</w:t>
      </w:r>
      <w:r w:rsidR="000052CF" w:rsidRPr="00764C13">
        <w:rPr>
          <w:rFonts w:asciiTheme="minorHAnsi" w:hAnsiTheme="minorHAnsi" w:cstheme="minorHAnsi"/>
          <w:color w:val="000000" w:themeColor="text1"/>
        </w:rPr>
        <w:t xml:space="preserve">, </w:t>
      </w:r>
      <w:r w:rsidRPr="00764C13">
        <w:rPr>
          <w:rFonts w:asciiTheme="minorHAnsi" w:hAnsiTheme="minorHAnsi" w:cstheme="minorHAnsi"/>
          <w:color w:val="000000" w:themeColor="text1"/>
        </w:rPr>
        <w:t xml:space="preserve">případně </w:t>
      </w:r>
      <w:r w:rsidR="000052CF" w:rsidRPr="00764C13">
        <w:rPr>
          <w:rFonts w:asciiTheme="minorHAnsi" w:hAnsiTheme="minorHAnsi" w:cstheme="minorHAnsi"/>
          <w:color w:val="000000" w:themeColor="text1"/>
        </w:rPr>
        <w:t>předpisy chybějí.</w:t>
      </w:r>
    </w:p>
    <w:p w14:paraId="7E1736E0" w14:textId="77777777" w:rsidR="00F41E55" w:rsidRPr="00764C13" w:rsidRDefault="00231219" w:rsidP="00601460">
      <w:pPr>
        <w:pStyle w:val="Odstavecseseznamem"/>
        <w:numPr>
          <w:ilvl w:val="0"/>
          <w:numId w:val="40"/>
        </w:numPr>
        <w:tabs>
          <w:tab w:val="left" w:pos="284"/>
        </w:tabs>
        <w:spacing w:after="120"/>
        <w:ind w:left="0" w:firstLine="0"/>
        <w:jc w:val="both"/>
        <w:rPr>
          <w:rFonts w:asciiTheme="minorHAnsi" w:hAnsiTheme="minorHAnsi" w:cstheme="minorHAnsi"/>
          <w:color w:val="000000" w:themeColor="text1"/>
        </w:rPr>
      </w:pPr>
      <w:r w:rsidRPr="00764C13">
        <w:rPr>
          <w:rFonts w:asciiTheme="minorHAnsi" w:hAnsiTheme="minorHAnsi" w:cstheme="minorHAnsi"/>
          <w:color w:val="000000" w:themeColor="text1"/>
        </w:rPr>
        <w:t>NÚDZ</w:t>
      </w:r>
      <w:r w:rsidR="00204195" w:rsidRPr="00764C13">
        <w:rPr>
          <w:rFonts w:asciiTheme="minorHAnsi" w:hAnsiTheme="minorHAnsi" w:cstheme="minorHAnsi"/>
          <w:color w:val="000000" w:themeColor="text1"/>
        </w:rPr>
        <w:t xml:space="preserve"> nemá zřízen útvar interní</w:t>
      </w:r>
      <w:r w:rsidR="000052CF" w:rsidRPr="00764C13">
        <w:rPr>
          <w:rFonts w:asciiTheme="minorHAnsi" w:hAnsiTheme="minorHAnsi" w:cstheme="minorHAnsi"/>
          <w:color w:val="000000" w:themeColor="text1"/>
        </w:rPr>
        <w:t>ho</w:t>
      </w:r>
      <w:r w:rsidR="00204195" w:rsidRPr="00764C13">
        <w:rPr>
          <w:rFonts w:asciiTheme="minorHAnsi" w:hAnsiTheme="minorHAnsi" w:cstheme="minorHAnsi"/>
          <w:color w:val="000000" w:themeColor="text1"/>
        </w:rPr>
        <w:t xml:space="preserve"> audit</w:t>
      </w:r>
      <w:r w:rsidR="000052CF" w:rsidRPr="00764C13">
        <w:rPr>
          <w:rFonts w:asciiTheme="minorHAnsi" w:hAnsiTheme="minorHAnsi" w:cstheme="minorHAnsi"/>
          <w:color w:val="000000" w:themeColor="text1"/>
        </w:rPr>
        <w:t>u</w:t>
      </w:r>
      <w:r w:rsidR="00204195" w:rsidRPr="00764C13">
        <w:rPr>
          <w:rFonts w:asciiTheme="minorHAnsi" w:hAnsiTheme="minorHAnsi" w:cstheme="minorHAnsi"/>
          <w:color w:val="000000" w:themeColor="text1"/>
        </w:rPr>
        <w:t xml:space="preserve">, </w:t>
      </w:r>
      <w:r w:rsidR="00536C80" w:rsidRPr="00764C13">
        <w:rPr>
          <w:rFonts w:asciiTheme="minorHAnsi" w:hAnsiTheme="minorHAnsi" w:cstheme="minorHAnsi"/>
          <w:color w:val="000000" w:themeColor="text1"/>
        </w:rPr>
        <w:t xml:space="preserve">interní audit byl </w:t>
      </w:r>
      <w:r w:rsidR="00204195" w:rsidRPr="00764C13">
        <w:rPr>
          <w:rFonts w:asciiTheme="minorHAnsi" w:hAnsiTheme="minorHAnsi" w:cstheme="minorHAnsi"/>
          <w:color w:val="000000" w:themeColor="text1"/>
        </w:rPr>
        <w:t>v letech 2014 až 2016 zajišťován</w:t>
      </w:r>
      <w:r w:rsidR="00F41E55" w:rsidRPr="00764C13">
        <w:rPr>
          <w:rFonts w:asciiTheme="minorHAnsi" w:hAnsiTheme="minorHAnsi" w:cstheme="minorHAnsi"/>
          <w:color w:val="000000" w:themeColor="text1"/>
        </w:rPr>
        <w:t xml:space="preserve"> </w:t>
      </w:r>
      <w:r w:rsidR="00204195" w:rsidRPr="00764C13">
        <w:rPr>
          <w:rFonts w:asciiTheme="minorHAnsi" w:hAnsiTheme="minorHAnsi" w:cstheme="minorHAnsi"/>
          <w:color w:val="000000" w:themeColor="text1"/>
        </w:rPr>
        <w:t>na základě uzavřených dohod o provedení práce v rozsahu 12,5 h</w:t>
      </w:r>
      <w:r w:rsidR="00764C13">
        <w:rPr>
          <w:rFonts w:asciiTheme="minorHAnsi" w:hAnsiTheme="minorHAnsi" w:cstheme="minorHAnsi"/>
          <w:color w:val="000000" w:themeColor="text1"/>
        </w:rPr>
        <w:t>odin</w:t>
      </w:r>
      <w:r w:rsidR="000C1317">
        <w:rPr>
          <w:rFonts w:asciiTheme="minorHAnsi" w:hAnsiTheme="minorHAnsi" w:cstheme="minorHAnsi"/>
          <w:color w:val="000000" w:themeColor="text1"/>
        </w:rPr>
        <w:t>y</w:t>
      </w:r>
      <w:r w:rsidR="00204195" w:rsidRPr="00764C13">
        <w:rPr>
          <w:rFonts w:asciiTheme="minorHAnsi" w:hAnsiTheme="minorHAnsi" w:cstheme="minorHAnsi"/>
          <w:color w:val="000000" w:themeColor="text1"/>
        </w:rPr>
        <w:t xml:space="preserve"> měsíčně. Plán kontrolní činnosti pro interní audit neměl </w:t>
      </w:r>
      <w:r w:rsidRPr="00764C13">
        <w:rPr>
          <w:rFonts w:asciiTheme="minorHAnsi" w:hAnsiTheme="minorHAnsi" w:cstheme="minorHAnsi"/>
          <w:color w:val="000000" w:themeColor="text1"/>
        </w:rPr>
        <w:t>NÚDZ</w:t>
      </w:r>
      <w:r w:rsidR="00204195" w:rsidRPr="00764C13">
        <w:rPr>
          <w:rFonts w:asciiTheme="minorHAnsi" w:hAnsiTheme="minorHAnsi" w:cstheme="minorHAnsi"/>
          <w:color w:val="000000" w:themeColor="text1"/>
        </w:rPr>
        <w:t xml:space="preserve"> vypracován. </w:t>
      </w:r>
    </w:p>
    <w:p w14:paraId="5BA12B74" w14:textId="77777777" w:rsidR="00326816" w:rsidRPr="00764C13" w:rsidRDefault="00204195" w:rsidP="00601460">
      <w:pPr>
        <w:pStyle w:val="Odstavecseseznamem"/>
        <w:numPr>
          <w:ilvl w:val="0"/>
          <w:numId w:val="40"/>
        </w:numPr>
        <w:tabs>
          <w:tab w:val="left" w:pos="284"/>
        </w:tabs>
        <w:spacing w:after="120"/>
        <w:ind w:left="0" w:firstLine="0"/>
        <w:jc w:val="both"/>
        <w:rPr>
          <w:rFonts w:asciiTheme="minorHAnsi" w:hAnsiTheme="minorHAnsi"/>
          <w:color w:val="000000" w:themeColor="text1"/>
        </w:rPr>
      </w:pPr>
      <w:r w:rsidRPr="00764C13">
        <w:rPr>
          <w:rFonts w:asciiTheme="minorHAnsi" w:hAnsiTheme="minorHAnsi" w:cstheme="minorHAnsi"/>
          <w:color w:val="000000" w:themeColor="text1"/>
        </w:rPr>
        <w:t xml:space="preserve">Financování provozní činnosti ze strany Ministerstva zdravotnictví je omezené. Ministerstvo zdravotnictví poskytlo v roce 2016 na činnost </w:t>
      </w:r>
      <w:r w:rsidR="00231219" w:rsidRPr="00764C13">
        <w:rPr>
          <w:rFonts w:asciiTheme="minorHAnsi" w:hAnsiTheme="minorHAnsi" w:cstheme="minorHAnsi"/>
          <w:color w:val="000000" w:themeColor="text1"/>
        </w:rPr>
        <w:t>NÚDZ</w:t>
      </w:r>
      <w:r w:rsidRPr="00764C13">
        <w:rPr>
          <w:rFonts w:asciiTheme="minorHAnsi" w:hAnsiTheme="minorHAnsi" w:cstheme="minorHAnsi"/>
          <w:color w:val="000000" w:themeColor="text1"/>
        </w:rPr>
        <w:t xml:space="preserve"> jednor</w:t>
      </w:r>
      <w:r w:rsidR="00326816" w:rsidRPr="00764C13">
        <w:rPr>
          <w:rFonts w:asciiTheme="minorHAnsi" w:hAnsiTheme="minorHAnsi" w:cstheme="minorHAnsi"/>
          <w:color w:val="000000" w:themeColor="text1"/>
        </w:rPr>
        <w:t>ázový příspěvek ve výši 25 mil. </w:t>
      </w:r>
      <w:r w:rsidRPr="00764C13">
        <w:rPr>
          <w:rFonts w:asciiTheme="minorHAnsi" w:hAnsiTheme="minorHAnsi" w:cstheme="minorHAnsi"/>
          <w:color w:val="000000" w:themeColor="text1"/>
        </w:rPr>
        <w:t xml:space="preserve">Kč, pravidelné provozní prostředky k financování jeho hlavní činnosti neposkytuje. </w:t>
      </w:r>
      <w:r w:rsidR="00326816" w:rsidRPr="00764C13">
        <w:rPr>
          <w:rFonts w:asciiTheme="minorHAnsi" w:hAnsiTheme="minorHAnsi"/>
          <w:color w:val="000000" w:themeColor="text1"/>
        </w:rPr>
        <w:t>MZd nezná skutečnou finanční potřebu své příspěvkové organizace, čímž neplní dostatečně povinnosti vyplývající z ustanovení § 39 zákona č. 218/2000 Sb.</w:t>
      </w:r>
    </w:p>
    <w:p w14:paraId="510CF98D" w14:textId="0D9EB868" w:rsidR="00204195" w:rsidRPr="00EB1327" w:rsidRDefault="00204195" w:rsidP="0066675E">
      <w:pPr>
        <w:spacing w:after="120"/>
        <w:jc w:val="both"/>
        <w:rPr>
          <w:rFonts w:asciiTheme="minorHAnsi" w:hAnsiTheme="minorHAnsi" w:cs="Calibri"/>
          <w:b/>
          <w:noProof w:val="0"/>
          <w:color w:val="000000" w:themeColor="text1"/>
          <w:lang w:eastAsia="cs-CZ"/>
        </w:rPr>
      </w:pPr>
      <w:r w:rsidRPr="00EB1327">
        <w:rPr>
          <w:rFonts w:asciiTheme="minorHAnsi" w:hAnsiTheme="minorHAnsi" w:cs="Calibri"/>
          <w:b/>
          <w:noProof w:val="0"/>
          <w:color w:val="000000" w:themeColor="text1"/>
          <w:lang w:eastAsia="cs-CZ"/>
        </w:rPr>
        <w:t>Doporučení</w:t>
      </w:r>
    </w:p>
    <w:p w14:paraId="79CE6C16" w14:textId="77777777" w:rsidR="00E63C17" w:rsidRPr="00EB1327" w:rsidRDefault="00E63C17" w:rsidP="0066675E">
      <w:pPr>
        <w:shd w:val="clear" w:color="auto" w:fill="FFFFFF" w:themeFill="background1"/>
        <w:spacing w:after="120"/>
        <w:jc w:val="both"/>
        <w:rPr>
          <w:rFonts w:asciiTheme="minorHAnsi" w:eastAsiaTheme="minorHAnsi" w:hAnsiTheme="minorHAnsi" w:cstheme="minorBidi"/>
          <w:color w:val="000000" w:themeColor="text1"/>
        </w:rPr>
      </w:pPr>
      <w:r w:rsidRPr="00EB1327">
        <w:rPr>
          <w:rFonts w:asciiTheme="minorHAnsi" w:hAnsiTheme="minorHAnsi" w:cstheme="minorHAnsi"/>
          <w:color w:val="000000" w:themeColor="text1"/>
        </w:rPr>
        <w:t xml:space="preserve">NKÚ doporučuje uspořádat majetkoprávní vztahy k pozemkům, na kterých jsou zřízeny stavby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přitom </w:t>
      </w:r>
      <w:r w:rsidR="00881E5A" w:rsidRPr="00EB1327">
        <w:rPr>
          <w:rFonts w:asciiTheme="minorHAnsi" w:hAnsiTheme="minorHAnsi" w:cstheme="minorHAnsi"/>
          <w:color w:val="000000" w:themeColor="text1"/>
        </w:rPr>
        <w:t xml:space="preserve">tyto </w:t>
      </w:r>
      <w:r w:rsidRPr="00EB1327">
        <w:rPr>
          <w:rFonts w:asciiTheme="minorHAnsi" w:hAnsiTheme="minorHAnsi" w:cstheme="minorHAnsi"/>
          <w:color w:val="000000" w:themeColor="text1"/>
        </w:rPr>
        <w:t xml:space="preserve">pozemky jsou ve vlastnictví jiného vlastníka. </w:t>
      </w:r>
    </w:p>
    <w:p w14:paraId="7F158E56" w14:textId="7E555383" w:rsidR="00204195" w:rsidRPr="00EB1327" w:rsidRDefault="00204195" w:rsidP="0066675E">
      <w:pPr>
        <w:shd w:val="clear" w:color="auto" w:fill="FFFFFF" w:themeFill="background1"/>
        <w:spacing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NKÚ doporučuje přijmout opatření směřující </w:t>
      </w:r>
      <w:r w:rsidR="00F41E55" w:rsidRPr="00EB1327">
        <w:rPr>
          <w:rFonts w:asciiTheme="minorHAnsi" w:hAnsiTheme="minorHAnsi" w:cstheme="minorHAnsi"/>
          <w:color w:val="000000" w:themeColor="text1"/>
        </w:rPr>
        <w:t>k</w:t>
      </w:r>
      <w:r w:rsidRPr="00EB1327">
        <w:rPr>
          <w:rFonts w:asciiTheme="minorHAnsi" w:hAnsiTheme="minorHAnsi" w:cstheme="minorHAnsi"/>
          <w:color w:val="000000" w:themeColor="text1"/>
        </w:rPr>
        <w:t xml:space="preserve"> </w:t>
      </w:r>
      <w:r w:rsidR="00536C80" w:rsidRPr="00EB1327">
        <w:rPr>
          <w:rFonts w:asciiTheme="minorHAnsi" w:hAnsiTheme="minorHAnsi" w:cstheme="minorHAnsi"/>
          <w:color w:val="000000" w:themeColor="text1"/>
        </w:rPr>
        <w:t xml:space="preserve">nastavení účinného </w:t>
      </w:r>
      <w:r w:rsidRPr="00EB1327">
        <w:rPr>
          <w:rFonts w:asciiTheme="minorHAnsi" w:hAnsiTheme="minorHAnsi" w:cstheme="minorHAnsi"/>
          <w:color w:val="000000" w:themeColor="text1"/>
        </w:rPr>
        <w:t>vnitřního kontrolního systému</w:t>
      </w:r>
      <w:r w:rsidR="00764C13">
        <w:rPr>
          <w:rFonts w:asciiTheme="minorHAnsi" w:hAnsiTheme="minorHAnsi" w:cstheme="minorHAnsi"/>
          <w:color w:val="000000" w:themeColor="text1"/>
        </w:rPr>
        <w:t xml:space="preserve">, </w:t>
      </w:r>
      <w:r w:rsidRPr="00EB1327">
        <w:rPr>
          <w:rFonts w:asciiTheme="minorHAnsi" w:hAnsiTheme="minorHAnsi" w:cstheme="minorHAnsi"/>
          <w:color w:val="000000" w:themeColor="text1"/>
        </w:rPr>
        <w:t xml:space="preserve">zejména provést audit platných vnitřních předpisů, jejich aktualizaci, resp. vnitřními </w:t>
      </w:r>
      <w:r w:rsidR="00E63C17" w:rsidRPr="00EB1327">
        <w:rPr>
          <w:rFonts w:asciiTheme="minorHAnsi" w:hAnsiTheme="minorHAnsi" w:cstheme="minorHAnsi"/>
          <w:color w:val="000000" w:themeColor="text1"/>
        </w:rPr>
        <w:t xml:space="preserve">předpisy </w:t>
      </w:r>
      <w:r w:rsidRPr="00EB1327">
        <w:rPr>
          <w:rFonts w:asciiTheme="minorHAnsi" w:hAnsiTheme="minorHAnsi" w:cstheme="minorHAnsi"/>
          <w:color w:val="000000" w:themeColor="text1"/>
        </w:rPr>
        <w:t>stanovit pravidla v oblastech dosud neupravených.</w:t>
      </w:r>
      <w:r w:rsidR="00881E5A" w:rsidRPr="00EB1327">
        <w:rPr>
          <w:rFonts w:asciiTheme="minorHAnsi" w:hAnsiTheme="minorHAnsi" w:cstheme="minorHAnsi"/>
          <w:color w:val="000000" w:themeColor="text1"/>
        </w:rPr>
        <w:t xml:space="preserve"> </w:t>
      </w:r>
    </w:p>
    <w:p w14:paraId="79026D4E" w14:textId="6B7E567D" w:rsidR="00204195" w:rsidRPr="00EB1327" w:rsidRDefault="00204195" w:rsidP="0066675E">
      <w:pPr>
        <w:shd w:val="clear" w:color="auto" w:fill="FFFFFF" w:themeFill="background1"/>
        <w:spacing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NKÚ pokládá za potřebné v dostatečném časovém předstihu před ukončením financování z projektu </w:t>
      </w:r>
      <w:r w:rsidR="00E63C17" w:rsidRPr="00707D02">
        <w:rPr>
          <w:rFonts w:asciiTheme="minorHAnsi" w:hAnsiTheme="minorHAnsi" w:cstheme="minorHAnsi"/>
          <w:i/>
          <w:color w:val="000000" w:themeColor="text1"/>
        </w:rPr>
        <w:t>Udržitelnost pro</w:t>
      </w:r>
      <w:r w:rsidR="00E46698" w:rsidRPr="00E46698">
        <w:rPr>
          <w:rFonts w:cs="Calibri"/>
          <w:i/>
          <w:color w:val="000000" w:themeColor="text1"/>
        </w:rPr>
        <w:t xml:space="preserve"> </w:t>
      </w:r>
      <w:r w:rsidR="00E46698" w:rsidRPr="00B2558A">
        <w:rPr>
          <w:rFonts w:cs="Calibri"/>
          <w:i/>
          <w:color w:val="000000" w:themeColor="text1"/>
        </w:rPr>
        <w:t>Národní ústav duševního zdraví</w:t>
      </w:r>
      <w:r w:rsidRPr="00EB1327">
        <w:rPr>
          <w:rFonts w:asciiTheme="minorHAnsi" w:hAnsiTheme="minorHAnsi" w:cstheme="minorHAnsi"/>
          <w:color w:val="000000" w:themeColor="text1"/>
        </w:rPr>
        <w:t xml:space="preserve"> v roce 2020 vyjasnit ze strany MZd systém dalšího financování provozní činnosti </w:t>
      </w:r>
      <w:r w:rsidR="00231219" w:rsidRPr="00EB1327">
        <w:rPr>
          <w:rFonts w:asciiTheme="minorHAnsi" w:hAnsiTheme="minorHAnsi" w:cstheme="minorHAnsi"/>
          <w:color w:val="000000" w:themeColor="text1"/>
        </w:rPr>
        <w:t>NÚDZ</w:t>
      </w:r>
      <w:r w:rsidR="00B56F48" w:rsidRPr="00EB1327">
        <w:rPr>
          <w:rFonts w:asciiTheme="minorHAnsi" w:hAnsiTheme="minorHAnsi" w:cstheme="minorHAnsi"/>
          <w:color w:val="000000" w:themeColor="text1"/>
        </w:rPr>
        <w:t>.</w:t>
      </w:r>
      <w:r w:rsidRPr="00EB1327">
        <w:rPr>
          <w:rFonts w:asciiTheme="minorHAnsi" w:hAnsiTheme="minorHAnsi" w:cstheme="minorHAnsi"/>
          <w:color w:val="000000" w:themeColor="text1"/>
        </w:rPr>
        <w:t xml:space="preserve"> </w:t>
      </w:r>
    </w:p>
    <w:p w14:paraId="6D28311C" w14:textId="77777777" w:rsidR="00204195" w:rsidRPr="00EB1327" w:rsidRDefault="00204195" w:rsidP="0066675E">
      <w:pPr>
        <w:spacing w:after="360"/>
        <w:ind w:left="567" w:hanging="567"/>
        <w:jc w:val="both"/>
        <w:rPr>
          <w:rFonts w:asciiTheme="minorHAnsi" w:hAnsiTheme="minorHAnsi" w:cstheme="minorHAnsi"/>
          <w:color w:val="000000" w:themeColor="text1"/>
          <w:sz w:val="20"/>
          <w:szCs w:val="20"/>
        </w:rPr>
      </w:pPr>
      <w:r w:rsidRPr="00EB1327">
        <w:rPr>
          <w:rFonts w:asciiTheme="minorHAnsi" w:hAnsiTheme="minorHAnsi" w:cstheme="minorHAnsi"/>
          <w:b/>
          <w:color w:val="000000" w:themeColor="text1"/>
          <w:sz w:val="20"/>
          <w:szCs w:val="20"/>
        </w:rPr>
        <w:t>Pozn.:</w:t>
      </w:r>
      <w:r w:rsidRPr="00EB1327">
        <w:rPr>
          <w:rFonts w:asciiTheme="minorHAnsi" w:hAnsiTheme="minorHAnsi" w:cstheme="minorHAnsi"/>
          <w:color w:val="000000" w:themeColor="text1"/>
          <w:sz w:val="20"/>
          <w:szCs w:val="20"/>
        </w:rPr>
        <w:tab/>
        <w:t>Právní předpisy uvedené v tomto kontrolním závěru jsou aplikovány ve znění účinném pro kontrolované období.</w:t>
      </w:r>
    </w:p>
    <w:p w14:paraId="39F0EF0A" w14:textId="77777777" w:rsidR="003D3605" w:rsidRPr="00EB1327" w:rsidRDefault="003D3605" w:rsidP="0066675E">
      <w:pPr>
        <w:spacing w:after="160" w:line="259" w:lineRule="auto"/>
        <w:rPr>
          <w:rFonts w:asciiTheme="minorHAnsi" w:hAnsiTheme="minorHAnsi" w:cs="Calibri"/>
          <w:b/>
          <w:noProof w:val="0"/>
          <w:color w:val="000000" w:themeColor="text1"/>
          <w:sz w:val="28"/>
          <w:szCs w:val="28"/>
          <w:lang w:eastAsia="cs-CZ"/>
        </w:rPr>
      </w:pPr>
      <w:r w:rsidRPr="00EB1327">
        <w:rPr>
          <w:rFonts w:asciiTheme="minorHAnsi" w:hAnsiTheme="minorHAnsi" w:cs="Calibri"/>
          <w:b/>
          <w:noProof w:val="0"/>
          <w:color w:val="000000" w:themeColor="text1"/>
          <w:sz w:val="28"/>
          <w:szCs w:val="28"/>
          <w:lang w:eastAsia="cs-CZ"/>
        </w:rPr>
        <w:br w:type="page"/>
      </w:r>
    </w:p>
    <w:p w14:paraId="6B0F33D0" w14:textId="77777777" w:rsidR="00204195" w:rsidRPr="00EB1327" w:rsidRDefault="00204195" w:rsidP="0066675E">
      <w:pPr>
        <w:spacing w:after="240"/>
        <w:jc w:val="center"/>
        <w:rPr>
          <w:rFonts w:asciiTheme="minorHAnsi" w:hAnsiTheme="minorHAnsi" w:cs="Calibri"/>
          <w:b/>
          <w:noProof w:val="0"/>
          <w:color w:val="000000" w:themeColor="text1"/>
          <w:sz w:val="28"/>
          <w:szCs w:val="28"/>
          <w:lang w:eastAsia="cs-CZ"/>
        </w:rPr>
      </w:pPr>
      <w:r w:rsidRPr="00EB1327">
        <w:rPr>
          <w:rFonts w:asciiTheme="minorHAnsi" w:hAnsiTheme="minorHAnsi" w:cs="Calibri"/>
          <w:b/>
          <w:noProof w:val="0"/>
          <w:color w:val="000000" w:themeColor="text1"/>
          <w:sz w:val="28"/>
          <w:szCs w:val="28"/>
          <w:lang w:eastAsia="cs-CZ"/>
        </w:rPr>
        <w:lastRenderedPageBreak/>
        <w:t>II. Úvod do kontrolované problematiky</w:t>
      </w:r>
    </w:p>
    <w:p w14:paraId="4143A2F5" w14:textId="77777777" w:rsidR="00204195" w:rsidRPr="00EB1327" w:rsidRDefault="00204195" w:rsidP="0066675E">
      <w:pPr>
        <w:spacing w:after="120"/>
        <w:rPr>
          <w:rFonts w:asciiTheme="minorHAnsi" w:hAnsiTheme="minorHAnsi" w:cstheme="minorHAnsi"/>
          <w:b/>
          <w:color w:val="000000" w:themeColor="text1"/>
        </w:rPr>
      </w:pPr>
      <w:r w:rsidRPr="00EB1327">
        <w:rPr>
          <w:rFonts w:asciiTheme="minorHAnsi" w:hAnsiTheme="minorHAnsi" w:cstheme="minorHAnsi"/>
          <w:b/>
          <w:color w:val="000000" w:themeColor="text1"/>
        </w:rPr>
        <w:t xml:space="preserve">1. Právní a ekonomické postavení </w:t>
      </w:r>
      <w:r w:rsidR="00231219" w:rsidRPr="00EB1327">
        <w:rPr>
          <w:rFonts w:asciiTheme="minorHAnsi" w:hAnsiTheme="minorHAnsi" w:cstheme="minorHAnsi"/>
          <w:b/>
          <w:color w:val="000000" w:themeColor="text1"/>
        </w:rPr>
        <w:t>NÚDZ</w:t>
      </w:r>
    </w:p>
    <w:p w14:paraId="5ACF5629" w14:textId="38394B26" w:rsidR="00204195" w:rsidRPr="00EB1327" w:rsidRDefault="00231219" w:rsidP="0066675E">
      <w:pPr>
        <w:spacing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NÚDZ</w:t>
      </w:r>
      <w:r w:rsidR="00204195" w:rsidRPr="00EB1327">
        <w:rPr>
          <w:rFonts w:asciiTheme="minorHAnsi" w:hAnsiTheme="minorHAnsi" w:cstheme="minorHAnsi"/>
          <w:color w:val="000000" w:themeColor="text1"/>
        </w:rPr>
        <w:t xml:space="preserve"> je příspěvkovou organizací podle zákona č. 219/2000 Sb.</w:t>
      </w:r>
      <w:r w:rsidR="00297F6A" w:rsidRPr="00EB1327">
        <w:rPr>
          <w:rStyle w:val="Znakapoznpodarou"/>
          <w:rFonts w:asciiTheme="minorHAnsi" w:hAnsiTheme="minorHAnsi" w:cstheme="minorHAnsi"/>
          <w:color w:val="000000" w:themeColor="text1"/>
        </w:rPr>
        <w:footnoteReference w:id="7"/>
      </w:r>
      <w:r w:rsidR="00204195" w:rsidRPr="00EB1327">
        <w:rPr>
          <w:rFonts w:asciiTheme="minorHAnsi" w:hAnsiTheme="minorHAnsi" w:cstheme="minorHAnsi"/>
          <w:color w:val="000000" w:themeColor="text1"/>
        </w:rPr>
        <w:t xml:space="preserve"> a je účetní jednotkou podle zákona č. 563/1991 Sb. Zřizovatelem </w:t>
      </w:r>
      <w:r w:rsidRPr="00EB1327">
        <w:rPr>
          <w:rFonts w:asciiTheme="minorHAnsi" w:hAnsiTheme="minorHAnsi" w:cstheme="minorHAnsi"/>
          <w:color w:val="000000" w:themeColor="text1"/>
        </w:rPr>
        <w:t>NÚDZ</w:t>
      </w:r>
      <w:r w:rsidR="00204195" w:rsidRPr="00EB1327">
        <w:rPr>
          <w:rFonts w:asciiTheme="minorHAnsi" w:hAnsiTheme="minorHAnsi" w:cstheme="minorHAnsi"/>
          <w:color w:val="000000" w:themeColor="text1"/>
        </w:rPr>
        <w:t xml:space="preserve"> je</w:t>
      </w:r>
      <w:r w:rsidR="00672C7F">
        <w:rPr>
          <w:rFonts w:asciiTheme="minorHAnsi" w:hAnsiTheme="minorHAnsi" w:cstheme="minorHAnsi"/>
          <w:color w:val="000000" w:themeColor="text1"/>
        </w:rPr>
        <w:t xml:space="preserve"> </w:t>
      </w:r>
      <w:r w:rsidR="00204195" w:rsidRPr="00EB1327">
        <w:rPr>
          <w:rFonts w:asciiTheme="minorHAnsi" w:hAnsiTheme="minorHAnsi" w:cstheme="minorHAnsi"/>
          <w:color w:val="000000" w:themeColor="text1"/>
        </w:rPr>
        <w:t>Ministerstvo zdravotnictví</w:t>
      </w:r>
      <w:r w:rsidR="00326816" w:rsidRPr="00EB1327">
        <w:rPr>
          <w:rFonts w:asciiTheme="minorHAnsi" w:hAnsiTheme="minorHAnsi" w:cstheme="minorHAnsi"/>
          <w:color w:val="000000" w:themeColor="text1"/>
        </w:rPr>
        <w:t>.</w:t>
      </w:r>
      <w:r w:rsidR="00204195" w:rsidRPr="00EB1327">
        <w:rPr>
          <w:rFonts w:asciiTheme="minorHAnsi" w:hAnsiTheme="minorHAnsi" w:cstheme="minorHAnsi"/>
          <w:color w:val="000000" w:themeColor="text1"/>
        </w:rPr>
        <w:t xml:space="preserve"> </w:t>
      </w:r>
      <w:r w:rsidRPr="00EB1327">
        <w:rPr>
          <w:color w:val="000000" w:themeColor="text1"/>
        </w:rPr>
        <w:t>NÚDZ</w:t>
      </w:r>
      <w:r w:rsidR="00204195" w:rsidRPr="00EB1327">
        <w:rPr>
          <w:color w:val="000000" w:themeColor="text1"/>
        </w:rPr>
        <w:t xml:space="preserve"> je právnickou osob</w:t>
      </w:r>
      <w:r w:rsidR="00326816" w:rsidRPr="00EB1327">
        <w:rPr>
          <w:color w:val="000000" w:themeColor="text1"/>
        </w:rPr>
        <w:t>o</w:t>
      </w:r>
      <w:r w:rsidR="00204195" w:rsidRPr="00EB1327">
        <w:rPr>
          <w:color w:val="000000" w:themeColor="text1"/>
        </w:rPr>
        <w:t xml:space="preserve">u, která hospodaří s majetkem a peněžními prostředky státu. </w:t>
      </w:r>
    </w:p>
    <w:p w14:paraId="5F2955D5" w14:textId="0904BC09" w:rsidR="00204195" w:rsidRPr="00EB1327" w:rsidRDefault="00E63C17" w:rsidP="0066675E">
      <w:pPr>
        <w:shd w:val="clear" w:color="auto" w:fill="FFFFFF" w:themeFill="background1"/>
        <w:autoSpaceDE w:val="0"/>
        <w:autoSpaceDN w:val="0"/>
        <w:adjustRightInd w:val="0"/>
        <w:spacing w:after="120"/>
        <w:jc w:val="both"/>
        <w:rPr>
          <w:rFonts w:asciiTheme="minorHAnsi" w:hAnsiTheme="minorHAnsi" w:cstheme="minorHAnsi"/>
          <w:strike/>
          <w:color w:val="000000" w:themeColor="text1"/>
        </w:rPr>
      </w:pPr>
      <w:r w:rsidRPr="00EB1327">
        <w:rPr>
          <w:rFonts w:asciiTheme="minorHAnsi" w:hAnsiTheme="minorHAnsi" w:cstheme="minorHAnsi"/>
          <w:color w:val="000000" w:themeColor="text1"/>
        </w:rPr>
        <w:t>Národní ústav duševního zdraví je od 1. 1. 2015</w:t>
      </w:r>
      <w:r w:rsidRPr="00EB1327">
        <w:rPr>
          <w:rFonts w:asciiTheme="minorHAnsi" w:hAnsiTheme="minorHAnsi" w:cstheme="minorHAnsi"/>
          <w:color w:val="000000" w:themeColor="text1"/>
          <w:vertAlign w:val="superscript"/>
        </w:rPr>
        <w:footnoteReference w:id="8"/>
      </w:r>
      <w:r w:rsidRPr="00EB1327">
        <w:rPr>
          <w:rFonts w:asciiTheme="minorHAnsi" w:hAnsiTheme="minorHAnsi" w:cstheme="minorHAnsi"/>
          <w:color w:val="000000" w:themeColor="text1"/>
        </w:rPr>
        <w:t xml:space="preserve"> nový název Psychiatrického centra Praha. </w:t>
      </w:r>
      <w:r w:rsidRPr="00EB1327">
        <w:rPr>
          <w:rFonts w:asciiTheme="minorHAnsi" w:hAnsiTheme="minorHAnsi" w:cs="Arial"/>
          <w:color w:val="000000" w:themeColor="text1"/>
          <w:lang w:eastAsia="cs-CZ"/>
        </w:rPr>
        <w:t>Od</w:t>
      </w:r>
      <w:r w:rsidR="00672C7F">
        <w:rPr>
          <w:rFonts w:asciiTheme="minorHAnsi" w:hAnsiTheme="minorHAnsi" w:cs="Arial"/>
          <w:color w:val="000000" w:themeColor="text1"/>
          <w:lang w:eastAsia="cs-CZ"/>
        </w:rPr>
        <w:t xml:space="preserve"> </w:t>
      </w:r>
      <w:r w:rsidRPr="00EB1327">
        <w:rPr>
          <w:rFonts w:asciiTheme="minorHAnsi" w:hAnsiTheme="minorHAnsi" w:cs="Arial"/>
          <w:color w:val="000000" w:themeColor="text1"/>
          <w:lang w:eastAsia="cs-CZ"/>
        </w:rPr>
        <w:t xml:space="preserve">1. 1. 2015 je sídlem </w:t>
      </w:r>
      <w:r w:rsidR="00231219" w:rsidRPr="00EB1327">
        <w:rPr>
          <w:rFonts w:asciiTheme="minorHAnsi" w:hAnsiTheme="minorHAnsi" w:cs="Arial"/>
          <w:color w:val="000000" w:themeColor="text1"/>
          <w:lang w:eastAsia="cs-CZ"/>
        </w:rPr>
        <w:t>NÚDZ</w:t>
      </w:r>
      <w:r w:rsidRPr="00EB1327">
        <w:rPr>
          <w:rFonts w:asciiTheme="minorHAnsi" w:hAnsiTheme="minorHAnsi" w:cs="Arial"/>
          <w:color w:val="000000" w:themeColor="text1"/>
          <w:lang w:eastAsia="cs-CZ"/>
        </w:rPr>
        <w:t xml:space="preserve"> nově postavený areál v Klecanech, kam se organizace přestěhovala z objektů užívaných v areálu </w:t>
      </w:r>
      <w:r w:rsidR="00F41E55" w:rsidRPr="00EB1327">
        <w:rPr>
          <w:rFonts w:asciiTheme="minorHAnsi" w:hAnsiTheme="minorHAnsi" w:cs="Arial"/>
          <w:color w:val="000000" w:themeColor="text1"/>
          <w:lang w:eastAsia="cs-CZ"/>
        </w:rPr>
        <w:t>Psychiatrické nemocnice Bohnice.</w:t>
      </w:r>
    </w:p>
    <w:p w14:paraId="4FCEBEA5" w14:textId="15AE66D6" w:rsidR="00204195" w:rsidRPr="00EB1327" w:rsidRDefault="00231219" w:rsidP="0066675E">
      <w:pPr>
        <w:shd w:val="clear" w:color="auto" w:fill="FFFFFF" w:themeFill="background1"/>
        <w:spacing w:after="120"/>
        <w:jc w:val="both"/>
        <w:rPr>
          <w:rFonts w:asciiTheme="minorHAnsi" w:hAnsiTheme="minorHAnsi" w:cs="Arial"/>
          <w:color w:val="000000" w:themeColor="text1"/>
          <w:lang w:eastAsia="cs-CZ"/>
        </w:rPr>
      </w:pPr>
      <w:r w:rsidRPr="00EB1327">
        <w:rPr>
          <w:rFonts w:asciiTheme="minorHAnsi" w:eastAsiaTheme="minorHAnsi" w:hAnsiTheme="minorHAnsi" w:cs="Arial"/>
          <w:color w:val="000000" w:themeColor="text1"/>
        </w:rPr>
        <w:t>NÚDZ</w:t>
      </w:r>
      <w:r w:rsidR="00204195" w:rsidRPr="00EB1327">
        <w:rPr>
          <w:rFonts w:asciiTheme="minorHAnsi" w:eastAsiaTheme="minorHAnsi" w:hAnsiTheme="minorHAnsi" w:cs="Arial"/>
          <w:color w:val="000000" w:themeColor="text1"/>
        </w:rPr>
        <w:t xml:space="preserve"> hospodaří s majetkem státu, ke kterému má příslušnost hospodaření, a dále s peněžními prostředky </w:t>
      </w:r>
      <w:r w:rsidR="00CF0EFE" w:rsidRPr="00EB1327">
        <w:rPr>
          <w:rFonts w:asciiTheme="minorHAnsi" w:eastAsiaTheme="minorHAnsi" w:hAnsiTheme="minorHAnsi" w:cs="Arial"/>
          <w:color w:val="000000" w:themeColor="text1"/>
        </w:rPr>
        <w:t xml:space="preserve">přijatými ze </w:t>
      </w:r>
      <w:r w:rsidR="00204195" w:rsidRPr="00EB1327">
        <w:rPr>
          <w:rFonts w:asciiTheme="minorHAnsi" w:eastAsiaTheme="minorHAnsi" w:hAnsiTheme="minorHAnsi" w:cs="Arial"/>
          <w:color w:val="000000" w:themeColor="text1"/>
        </w:rPr>
        <w:t xml:space="preserve">státního rozpočtu, z nichž převážnou část v kontrolovaném období tvořily dotace, dále </w:t>
      </w:r>
      <w:r w:rsidR="00CF0EFE" w:rsidRPr="00EB1327">
        <w:rPr>
          <w:rFonts w:asciiTheme="minorHAnsi" w:hAnsiTheme="minorHAnsi" w:cs="Arial"/>
          <w:color w:val="000000" w:themeColor="text1"/>
          <w:lang w:eastAsia="cs-CZ"/>
        </w:rPr>
        <w:t xml:space="preserve">s prostředky svých fondů </w:t>
      </w:r>
      <w:r w:rsidR="00CF0EFE" w:rsidRPr="00EB1327">
        <w:rPr>
          <w:rFonts w:asciiTheme="minorHAnsi" w:hAnsiTheme="minorHAnsi" w:cs="Arial"/>
          <w:color w:val="000000" w:themeColor="text1"/>
          <w:shd w:val="clear" w:color="auto" w:fill="FFFFFF" w:themeFill="background1"/>
          <w:lang w:eastAsia="cs-CZ"/>
        </w:rPr>
        <w:t>a dalšími peněžními prostředky.</w:t>
      </w:r>
      <w:r w:rsidR="00CF0EFE" w:rsidRPr="00EB1327">
        <w:rPr>
          <w:rFonts w:asciiTheme="minorHAnsi" w:hAnsiTheme="minorHAnsi" w:cs="Arial"/>
          <w:color w:val="000000" w:themeColor="text1"/>
          <w:lang w:eastAsia="cs-CZ"/>
        </w:rPr>
        <w:t xml:space="preserve"> </w:t>
      </w:r>
    </w:p>
    <w:p w14:paraId="497499DB" w14:textId="7D621573" w:rsidR="00074148" w:rsidRPr="00EB1327" w:rsidRDefault="00074148" w:rsidP="0066675E">
      <w:pPr>
        <w:shd w:val="clear" w:color="auto" w:fill="FFFFFF" w:themeFill="background1"/>
        <w:spacing w:after="6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Celková aktiva NÚDZ k 31. 12. 2016 v netto hodnotě činila 656 111 335,92 Kč. </w:t>
      </w:r>
      <w:r w:rsidR="00764C13">
        <w:rPr>
          <w:rFonts w:asciiTheme="minorHAnsi" w:hAnsiTheme="minorHAnsi" w:cstheme="minorHAnsi"/>
          <w:color w:val="000000" w:themeColor="text1"/>
        </w:rPr>
        <w:t>Celkové v</w:t>
      </w:r>
      <w:r w:rsidRPr="00EB1327">
        <w:rPr>
          <w:rFonts w:asciiTheme="minorHAnsi" w:hAnsiTheme="minorHAnsi" w:cstheme="minorHAnsi"/>
          <w:color w:val="000000" w:themeColor="text1"/>
        </w:rPr>
        <w:t>ýnosy za</w:t>
      </w:r>
      <w:r w:rsidR="00672C7F">
        <w:rPr>
          <w:rFonts w:asciiTheme="minorHAnsi" w:hAnsiTheme="minorHAnsi" w:cstheme="minorHAnsi"/>
          <w:color w:val="000000" w:themeColor="text1"/>
        </w:rPr>
        <w:t xml:space="preserve"> </w:t>
      </w:r>
      <w:r w:rsidRPr="00EB1327">
        <w:rPr>
          <w:rFonts w:asciiTheme="minorHAnsi" w:hAnsiTheme="minorHAnsi" w:cstheme="minorHAnsi"/>
          <w:color w:val="000000" w:themeColor="text1"/>
        </w:rPr>
        <w:t xml:space="preserve">rok 2016 činily 218 029 761,82 Kč, z toho výnosy z transferů činily částku 171 091 036,09 Kč. </w:t>
      </w:r>
    </w:p>
    <w:p w14:paraId="193F3F34" w14:textId="74DB8FDA" w:rsidR="00F41E55" w:rsidRPr="00EB1327" w:rsidRDefault="00074148" w:rsidP="0066675E">
      <w:pPr>
        <w:shd w:val="clear" w:color="auto" w:fill="FFFFFF" w:themeFill="background1"/>
        <w:spacing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Další </w:t>
      </w:r>
      <w:r w:rsidR="00204195" w:rsidRPr="00EB1327">
        <w:rPr>
          <w:rFonts w:asciiTheme="minorHAnsi" w:hAnsiTheme="minorHAnsi" w:cstheme="minorHAnsi"/>
          <w:color w:val="000000" w:themeColor="text1"/>
        </w:rPr>
        <w:t xml:space="preserve">ekonomické ukazatele </w:t>
      </w:r>
      <w:r w:rsidR="00231219" w:rsidRPr="00EB1327">
        <w:rPr>
          <w:rFonts w:asciiTheme="minorHAnsi" w:hAnsiTheme="minorHAnsi" w:cstheme="minorHAnsi"/>
          <w:color w:val="000000" w:themeColor="text1"/>
        </w:rPr>
        <w:t>NÚDZ</w:t>
      </w:r>
      <w:r w:rsidR="00204195" w:rsidRPr="00EB1327">
        <w:rPr>
          <w:rFonts w:asciiTheme="minorHAnsi" w:hAnsiTheme="minorHAnsi" w:cstheme="minorHAnsi"/>
          <w:color w:val="000000" w:themeColor="text1"/>
        </w:rPr>
        <w:t xml:space="preserve"> jsou uvedeny </w:t>
      </w:r>
      <w:r w:rsidRPr="00EB1327">
        <w:rPr>
          <w:rFonts w:asciiTheme="minorHAnsi" w:hAnsiTheme="minorHAnsi" w:cstheme="minorHAnsi"/>
          <w:color w:val="000000" w:themeColor="text1"/>
        </w:rPr>
        <w:t xml:space="preserve">v příloze č. 1 </w:t>
      </w:r>
      <w:r w:rsidR="00672C7F">
        <w:rPr>
          <w:rFonts w:asciiTheme="minorHAnsi" w:hAnsiTheme="minorHAnsi" w:cstheme="minorHAnsi"/>
          <w:color w:val="000000" w:themeColor="text1"/>
        </w:rPr>
        <w:t>tohoto</w:t>
      </w:r>
      <w:r w:rsidRPr="00EB1327">
        <w:rPr>
          <w:rFonts w:asciiTheme="minorHAnsi" w:hAnsiTheme="minorHAnsi" w:cstheme="minorHAnsi"/>
          <w:color w:val="000000" w:themeColor="text1"/>
        </w:rPr>
        <w:t xml:space="preserve"> kontrolní</w:t>
      </w:r>
      <w:r w:rsidR="00672C7F">
        <w:rPr>
          <w:rFonts w:asciiTheme="minorHAnsi" w:hAnsiTheme="minorHAnsi" w:cstheme="minorHAnsi"/>
          <w:color w:val="000000" w:themeColor="text1"/>
        </w:rPr>
        <w:t>ho</w:t>
      </w:r>
      <w:r w:rsidRPr="00EB1327">
        <w:rPr>
          <w:rFonts w:asciiTheme="minorHAnsi" w:hAnsiTheme="minorHAnsi" w:cstheme="minorHAnsi"/>
          <w:color w:val="000000" w:themeColor="text1"/>
        </w:rPr>
        <w:t xml:space="preserve"> závěru. </w:t>
      </w:r>
    </w:p>
    <w:p w14:paraId="2A685CCC" w14:textId="494580AB" w:rsidR="00204195" w:rsidRPr="00BD58F9" w:rsidRDefault="00204195" w:rsidP="0066675E">
      <w:pPr>
        <w:pStyle w:val="Odstavecseseznamem"/>
        <w:numPr>
          <w:ilvl w:val="0"/>
          <w:numId w:val="25"/>
        </w:numPr>
        <w:tabs>
          <w:tab w:val="right" w:pos="8931"/>
        </w:tabs>
        <w:spacing w:after="40"/>
        <w:ind w:left="1304" w:hanging="1304"/>
        <w:contextualSpacing w:val="0"/>
        <w:rPr>
          <w:rFonts w:asciiTheme="minorHAnsi" w:hAnsiTheme="minorHAnsi" w:cstheme="minorHAnsi"/>
          <w:b/>
          <w:color w:val="000000" w:themeColor="text1"/>
        </w:rPr>
      </w:pPr>
      <w:r w:rsidRPr="00BD58F9">
        <w:rPr>
          <w:rFonts w:asciiTheme="minorHAnsi" w:hAnsiTheme="minorHAnsi" w:cstheme="minorHAnsi"/>
          <w:b/>
          <w:color w:val="000000" w:themeColor="text1"/>
        </w:rPr>
        <w:t xml:space="preserve">Přehled dotací zaúčtovaných </w:t>
      </w:r>
      <w:r w:rsidRPr="00BD58F9">
        <w:rPr>
          <w:rFonts w:asciiTheme="minorHAnsi" w:eastAsiaTheme="minorHAnsi" w:hAnsiTheme="minorHAnsi" w:cs="Arial"/>
          <w:b/>
          <w:bCs/>
          <w:color w:val="000000" w:themeColor="text1"/>
        </w:rPr>
        <w:t xml:space="preserve">na účtu </w:t>
      </w:r>
      <w:r w:rsidR="00581CBF" w:rsidRPr="00BD58F9">
        <w:rPr>
          <w:rFonts w:asciiTheme="minorHAnsi" w:eastAsiaTheme="minorHAnsi" w:hAnsiTheme="minorHAnsi" w:cs="Arial"/>
          <w:b/>
          <w:bCs/>
          <w:color w:val="000000" w:themeColor="text1"/>
        </w:rPr>
        <w:t xml:space="preserve">671 – </w:t>
      </w:r>
      <w:r w:rsidRPr="00BD58F9">
        <w:rPr>
          <w:rFonts w:asciiTheme="minorHAnsi" w:eastAsiaTheme="minorHAnsi" w:hAnsiTheme="minorHAnsi" w:cs="Arial"/>
          <w:b/>
          <w:bCs/>
          <w:i/>
          <w:color w:val="000000" w:themeColor="text1"/>
        </w:rPr>
        <w:t>Výnosy vybraných ústředních vládních institucí z</w:t>
      </w:r>
      <w:r w:rsidR="00326816" w:rsidRPr="00BD58F9">
        <w:rPr>
          <w:rFonts w:asciiTheme="minorHAnsi" w:eastAsiaTheme="minorHAnsi" w:hAnsiTheme="minorHAnsi" w:cs="Arial"/>
          <w:b/>
          <w:bCs/>
          <w:i/>
          <w:color w:val="000000" w:themeColor="text1"/>
        </w:rPr>
        <w:t> </w:t>
      </w:r>
      <w:r w:rsidRPr="00BD58F9">
        <w:rPr>
          <w:rFonts w:asciiTheme="minorHAnsi" w:eastAsiaTheme="minorHAnsi" w:hAnsiTheme="minorHAnsi" w:cs="Arial"/>
          <w:b/>
          <w:bCs/>
          <w:i/>
          <w:color w:val="000000" w:themeColor="text1"/>
        </w:rPr>
        <w:t>transferů</w:t>
      </w:r>
      <w:r w:rsidRPr="00BD58F9">
        <w:rPr>
          <w:rFonts w:asciiTheme="minorHAnsi" w:hAnsiTheme="minorHAnsi" w:cstheme="minorHAnsi"/>
          <w:b/>
          <w:color w:val="000000" w:themeColor="text1"/>
        </w:rPr>
        <w:tab/>
      </w:r>
      <w:r w:rsidR="00672C7F">
        <w:rPr>
          <w:rFonts w:asciiTheme="minorHAnsi" w:hAnsiTheme="minorHAnsi" w:cstheme="minorHAnsi"/>
          <w:b/>
          <w:color w:val="000000" w:themeColor="text1"/>
        </w:rPr>
        <w:t>(</w:t>
      </w:r>
      <w:r w:rsidRPr="00BD58F9">
        <w:rPr>
          <w:rFonts w:asciiTheme="minorHAnsi" w:hAnsiTheme="minorHAnsi" w:cstheme="minorHAnsi"/>
          <w:b/>
          <w:color w:val="000000" w:themeColor="text1"/>
        </w:rPr>
        <w:t>v Kč</w:t>
      </w:r>
      <w:r w:rsidR="00672C7F">
        <w:rPr>
          <w:rFonts w:asciiTheme="minorHAnsi" w:hAnsiTheme="minorHAnsi" w:cstheme="minorHAnsi"/>
          <w:b/>
          <w:color w:val="000000" w:themeColor="text1"/>
        </w:rPr>
        <w:t>)</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7"/>
        <w:gridCol w:w="1606"/>
        <w:gridCol w:w="1606"/>
        <w:gridCol w:w="1611"/>
      </w:tblGrid>
      <w:tr w:rsidR="00EB1327" w:rsidRPr="00EB1327" w14:paraId="15937612" w14:textId="77777777" w:rsidTr="00BD58F9">
        <w:trPr>
          <w:trHeight w:val="73"/>
        </w:trPr>
        <w:tc>
          <w:tcPr>
            <w:tcW w:w="2309" w:type="pct"/>
            <w:vMerge w:val="restart"/>
            <w:shd w:val="clear" w:color="auto" w:fill="E5F1FF"/>
            <w:noWrap/>
            <w:vAlign w:val="center"/>
            <w:hideMark/>
          </w:tcPr>
          <w:p w14:paraId="00BCCCB7" w14:textId="77777777" w:rsidR="00204195" w:rsidRPr="00EB1327" w:rsidRDefault="00204195" w:rsidP="0066675E">
            <w:pPr>
              <w:jc w:val="center"/>
              <w:rPr>
                <w:rFonts w:asciiTheme="minorHAnsi" w:hAnsiTheme="minorHAnsi"/>
                <w:b/>
                <w:bCs/>
                <w:color w:val="000000" w:themeColor="text1"/>
                <w:sz w:val="20"/>
                <w:szCs w:val="20"/>
                <w:lang w:eastAsia="cs-CZ"/>
              </w:rPr>
            </w:pPr>
            <w:r w:rsidRPr="00EB1327">
              <w:rPr>
                <w:rFonts w:asciiTheme="minorHAnsi" w:hAnsiTheme="minorHAnsi"/>
                <w:b/>
                <w:bCs/>
                <w:color w:val="000000" w:themeColor="text1"/>
                <w:sz w:val="20"/>
                <w:szCs w:val="20"/>
                <w:lang w:eastAsia="cs-CZ"/>
              </w:rPr>
              <w:t>Název</w:t>
            </w:r>
          </w:p>
        </w:tc>
        <w:tc>
          <w:tcPr>
            <w:tcW w:w="2691" w:type="pct"/>
            <w:gridSpan w:val="3"/>
            <w:shd w:val="clear" w:color="auto" w:fill="E5F1FF"/>
            <w:noWrap/>
            <w:vAlign w:val="center"/>
            <w:hideMark/>
          </w:tcPr>
          <w:p w14:paraId="66062A59" w14:textId="77777777" w:rsidR="00204195" w:rsidRPr="00EB1327" w:rsidRDefault="00204195" w:rsidP="0066675E">
            <w:pPr>
              <w:jc w:val="center"/>
              <w:rPr>
                <w:rFonts w:asciiTheme="minorHAnsi" w:hAnsiTheme="minorHAnsi"/>
                <w:b/>
                <w:bCs/>
                <w:color w:val="000000" w:themeColor="text1"/>
                <w:sz w:val="20"/>
                <w:szCs w:val="20"/>
                <w:lang w:eastAsia="cs-CZ"/>
              </w:rPr>
            </w:pPr>
            <w:r w:rsidRPr="00EB1327">
              <w:rPr>
                <w:rFonts w:asciiTheme="minorHAnsi" w:hAnsiTheme="minorHAnsi"/>
                <w:b/>
                <w:bCs/>
                <w:color w:val="000000" w:themeColor="text1"/>
                <w:sz w:val="20"/>
                <w:szCs w:val="20"/>
                <w:lang w:eastAsia="cs-CZ"/>
              </w:rPr>
              <w:t>Období</w:t>
            </w:r>
          </w:p>
        </w:tc>
      </w:tr>
      <w:tr w:rsidR="00EB1327" w:rsidRPr="00EB1327" w14:paraId="0F834655" w14:textId="77777777" w:rsidTr="00BD58F9">
        <w:trPr>
          <w:trHeight w:val="60"/>
        </w:trPr>
        <w:tc>
          <w:tcPr>
            <w:tcW w:w="2309" w:type="pct"/>
            <w:vMerge/>
            <w:shd w:val="clear" w:color="auto" w:fill="E5F1FF"/>
            <w:vAlign w:val="center"/>
            <w:hideMark/>
          </w:tcPr>
          <w:p w14:paraId="55255865" w14:textId="77777777" w:rsidR="00204195" w:rsidRPr="00EB1327" w:rsidRDefault="00204195" w:rsidP="0066675E">
            <w:pPr>
              <w:jc w:val="center"/>
              <w:rPr>
                <w:rFonts w:asciiTheme="minorHAnsi" w:hAnsiTheme="minorHAnsi"/>
                <w:b/>
                <w:bCs/>
                <w:color w:val="000000" w:themeColor="text1"/>
                <w:sz w:val="20"/>
                <w:szCs w:val="20"/>
                <w:lang w:eastAsia="cs-CZ"/>
              </w:rPr>
            </w:pPr>
          </w:p>
        </w:tc>
        <w:tc>
          <w:tcPr>
            <w:tcW w:w="896" w:type="pct"/>
            <w:shd w:val="clear" w:color="auto" w:fill="E5F1FF"/>
            <w:noWrap/>
            <w:vAlign w:val="center"/>
            <w:hideMark/>
          </w:tcPr>
          <w:p w14:paraId="14BCFBF4" w14:textId="77777777" w:rsidR="00204195" w:rsidRPr="00EB1327" w:rsidRDefault="00204195" w:rsidP="0066675E">
            <w:pPr>
              <w:jc w:val="center"/>
              <w:rPr>
                <w:rFonts w:asciiTheme="minorHAnsi" w:hAnsiTheme="minorHAnsi"/>
                <w:b/>
                <w:bCs/>
                <w:color w:val="000000" w:themeColor="text1"/>
                <w:sz w:val="20"/>
                <w:szCs w:val="20"/>
                <w:lang w:eastAsia="cs-CZ"/>
              </w:rPr>
            </w:pPr>
            <w:r w:rsidRPr="00EB1327">
              <w:rPr>
                <w:rFonts w:asciiTheme="minorHAnsi" w:hAnsiTheme="minorHAnsi"/>
                <w:b/>
                <w:bCs/>
                <w:color w:val="000000" w:themeColor="text1"/>
                <w:sz w:val="20"/>
                <w:szCs w:val="20"/>
                <w:lang w:eastAsia="cs-CZ"/>
              </w:rPr>
              <w:t>2014</w:t>
            </w:r>
          </w:p>
        </w:tc>
        <w:tc>
          <w:tcPr>
            <w:tcW w:w="896" w:type="pct"/>
            <w:shd w:val="clear" w:color="auto" w:fill="E5F1FF"/>
            <w:noWrap/>
            <w:vAlign w:val="center"/>
            <w:hideMark/>
          </w:tcPr>
          <w:p w14:paraId="311A6A47" w14:textId="77777777" w:rsidR="00204195" w:rsidRPr="00EB1327" w:rsidRDefault="00204195" w:rsidP="0066675E">
            <w:pPr>
              <w:jc w:val="center"/>
              <w:rPr>
                <w:rFonts w:asciiTheme="minorHAnsi" w:hAnsiTheme="minorHAnsi"/>
                <w:b/>
                <w:bCs/>
                <w:color w:val="000000" w:themeColor="text1"/>
                <w:sz w:val="20"/>
                <w:szCs w:val="20"/>
                <w:lang w:eastAsia="cs-CZ"/>
              </w:rPr>
            </w:pPr>
            <w:r w:rsidRPr="00EB1327">
              <w:rPr>
                <w:rFonts w:asciiTheme="minorHAnsi" w:hAnsiTheme="minorHAnsi"/>
                <w:b/>
                <w:bCs/>
                <w:color w:val="000000" w:themeColor="text1"/>
                <w:sz w:val="20"/>
                <w:szCs w:val="20"/>
                <w:lang w:eastAsia="cs-CZ"/>
              </w:rPr>
              <w:t>2015</w:t>
            </w:r>
          </w:p>
        </w:tc>
        <w:tc>
          <w:tcPr>
            <w:tcW w:w="896" w:type="pct"/>
            <w:shd w:val="clear" w:color="auto" w:fill="E5F1FF"/>
            <w:noWrap/>
            <w:vAlign w:val="center"/>
            <w:hideMark/>
          </w:tcPr>
          <w:p w14:paraId="5D6BE6D4" w14:textId="77777777" w:rsidR="00204195" w:rsidRPr="00EB1327" w:rsidRDefault="00204195" w:rsidP="0066675E">
            <w:pPr>
              <w:jc w:val="center"/>
              <w:rPr>
                <w:rFonts w:asciiTheme="minorHAnsi" w:hAnsiTheme="minorHAnsi"/>
                <w:b/>
                <w:bCs/>
                <w:color w:val="000000" w:themeColor="text1"/>
                <w:sz w:val="20"/>
                <w:szCs w:val="20"/>
                <w:lang w:eastAsia="cs-CZ"/>
              </w:rPr>
            </w:pPr>
            <w:r w:rsidRPr="00EB1327">
              <w:rPr>
                <w:rFonts w:asciiTheme="minorHAnsi" w:hAnsiTheme="minorHAnsi"/>
                <w:b/>
                <w:bCs/>
                <w:color w:val="000000" w:themeColor="text1"/>
                <w:sz w:val="20"/>
                <w:szCs w:val="20"/>
                <w:lang w:eastAsia="cs-CZ"/>
              </w:rPr>
              <w:t>2016</w:t>
            </w:r>
          </w:p>
        </w:tc>
      </w:tr>
      <w:tr w:rsidR="00BD58F9" w:rsidRPr="00EB1327" w14:paraId="4E682BF1" w14:textId="77777777" w:rsidTr="00BD58F9">
        <w:trPr>
          <w:trHeight w:val="95"/>
        </w:trPr>
        <w:tc>
          <w:tcPr>
            <w:tcW w:w="2309" w:type="pct"/>
            <w:shd w:val="clear" w:color="auto" w:fill="auto"/>
            <w:noWrap/>
            <w:vAlign w:val="center"/>
            <w:hideMark/>
          </w:tcPr>
          <w:p w14:paraId="3A2DF343" w14:textId="77777777" w:rsidR="00204195" w:rsidRPr="00EB1327" w:rsidRDefault="00204195" w:rsidP="0066675E">
            <w:pPr>
              <w:ind w:firstLine="67"/>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Dotace od MZd</w:t>
            </w:r>
          </w:p>
        </w:tc>
        <w:tc>
          <w:tcPr>
            <w:tcW w:w="896" w:type="pct"/>
            <w:shd w:val="clear" w:color="auto" w:fill="auto"/>
            <w:noWrap/>
            <w:vAlign w:val="center"/>
            <w:hideMark/>
          </w:tcPr>
          <w:p w14:paraId="0FDA16A7" w14:textId="2D58F560" w:rsidR="00204195" w:rsidRPr="00EB1327" w:rsidRDefault="00E97A43" w:rsidP="0066675E">
            <w:pPr>
              <w:jc w:val="center"/>
              <w:rPr>
                <w:rFonts w:asciiTheme="minorHAnsi" w:hAnsiTheme="minorHAnsi"/>
                <w:color w:val="000000" w:themeColor="text1"/>
                <w:sz w:val="20"/>
                <w:szCs w:val="20"/>
                <w:lang w:eastAsia="cs-CZ"/>
              </w:rPr>
            </w:pPr>
            <w:r>
              <w:rPr>
                <w:rFonts w:asciiTheme="minorHAnsi" w:hAnsiTheme="minorHAnsi"/>
                <w:color w:val="000000" w:themeColor="text1"/>
                <w:sz w:val="20"/>
                <w:szCs w:val="20"/>
                <w:lang w:eastAsia="cs-CZ"/>
              </w:rPr>
              <w:t>–</w:t>
            </w:r>
          </w:p>
        </w:tc>
        <w:tc>
          <w:tcPr>
            <w:tcW w:w="896" w:type="pct"/>
            <w:shd w:val="clear" w:color="auto" w:fill="auto"/>
            <w:noWrap/>
            <w:vAlign w:val="center"/>
            <w:hideMark/>
          </w:tcPr>
          <w:p w14:paraId="3CA3B8D2" w14:textId="48CA1DA5" w:rsidR="00204195" w:rsidRPr="00EB1327" w:rsidRDefault="00E97A43" w:rsidP="0066675E">
            <w:pPr>
              <w:jc w:val="center"/>
              <w:rPr>
                <w:rFonts w:asciiTheme="minorHAnsi" w:hAnsiTheme="minorHAnsi"/>
                <w:color w:val="000000" w:themeColor="text1"/>
                <w:sz w:val="20"/>
                <w:szCs w:val="20"/>
                <w:lang w:eastAsia="cs-CZ"/>
              </w:rPr>
            </w:pPr>
            <w:r>
              <w:rPr>
                <w:rFonts w:asciiTheme="minorHAnsi" w:hAnsiTheme="minorHAnsi"/>
                <w:color w:val="000000" w:themeColor="text1"/>
                <w:sz w:val="20"/>
                <w:szCs w:val="20"/>
                <w:lang w:eastAsia="cs-CZ"/>
              </w:rPr>
              <w:t>–</w:t>
            </w:r>
          </w:p>
        </w:tc>
        <w:tc>
          <w:tcPr>
            <w:tcW w:w="896" w:type="pct"/>
            <w:shd w:val="clear" w:color="auto" w:fill="auto"/>
            <w:noWrap/>
            <w:vAlign w:val="center"/>
            <w:hideMark/>
          </w:tcPr>
          <w:p w14:paraId="6FF613F2"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26 200 736,00</w:t>
            </w:r>
          </w:p>
        </w:tc>
      </w:tr>
      <w:tr w:rsidR="00BD58F9" w:rsidRPr="00EB1327" w14:paraId="0980767E" w14:textId="77777777" w:rsidTr="00BD58F9">
        <w:trPr>
          <w:trHeight w:val="60"/>
        </w:trPr>
        <w:tc>
          <w:tcPr>
            <w:tcW w:w="2309" w:type="pct"/>
            <w:shd w:val="clear" w:color="auto" w:fill="auto"/>
            <w:noWrap/>
            <w:vAlign w:val="center"/>
            <w:hideMark/>
          </w:tcPr>
          <w:p w14:paraId="0D6A8E4D" w14:textId="77777777" w:rsidR="00204195" w:rsidRPr="00EB1327" w:rsidRDefault="00204195" w:rsidP="0066675E">
            <w:pPr>
              <w:ind w:firstLine="67"/>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Dotace od GA ČR</w:t>
            </w:r>
          </w:p>
        </w:tc>
        <w:tc>
          <w:tcPr>
            <w:tcW w:w="896" w:type="pct"/>
            <w:shd w:val="clear" w:color="auto" w:fill="auto"/>
            <w:noWrap/>
            <w:vAlign w:val="center"/>
            <w:hideMark/>
          </w:tcPr>
          <w:p w14:paraId="4BE1D9F7"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10 416 000,00</w:t>
            </w:r>
          </w:p>
        </w:tc>
        <w:tc>
          <w:tcPr>
            <w:tcW w:w="896" w:type="pct"/>
            <w:shd w:val="clear" w:color="auto" w:fill="auto"/>
            <w:noWrap/>
            <w:vAlign w:val="center"/>
            <w:hideMark/>
          </w:tcPr>
          <w:p w14:paraId="3273C933"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10 682 000,00</w:t>
            </w:r>
          </w:p>
        </w:tc>
        <w:tc>
          <w:tcPr>
            <w:tcW w:w="896" w:type="pct"/>
            <w:shd w:val="clear" w:color="auto" w:fill="auto"/>
            <w:noWrap/>
            <w:vAlign w:val="center"/>
            <w:hideMark/>
          </w:tcPr>
          <w:p w14:paraId="1EFA75A8"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20 811 600,00</w:t>
            </w:r>
          </w:p>
        </w:tc>
      </w:tr>
      <w:tr w:rsidR="00BD58F9" w:rsidRPr="00EB1327" w14:paraId="6906E028" w14:textId="77777777" w:rsidTr="00BD58F9">
        <w:trPr>
          <w:trHeight w:val="60"/>
        </w:trPr>
        <w:tc>
          <w:tcPr>
            <w:tcW w:w="2309" w:type="pct"/>
            <w:shd w:val="clear" w:color="auto" w:fill="auto"/>
            <w:noWrap/>
            <w:vAlign w:val="center"/>
            <w:hideMark/>
          </w:tcPr>
          <w:p w14:paraId="204E65B0" w14:textId="77777777" w:rsidR="00204195" w:rsidRPr="00EB1327" w:rsidRDefault="00204195" w:rsidP="0066675E">
            <w:pPr>
              <w:ind w:firstLine="67"/>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Dotace od MŠMT</w:t>
            </w:r>
          </w:p>
        </w:tc>
        <w:tc>
          <w:tcPr>
            <w:tcW w:w="896" w:type="pct"/>
            <w:shd w:val="clear" w:color="auto" w:fill="auto"/>
            <w:noWrap/>
            <w:vAlign w:val="center"/>
            <w:hideMark/>
          </w:tcPr>
          <w:p w14:paraId="7A9FE754"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743 030,08</w:t>
            </w:r>
          </w:p>
        </w:tc>
        <w:tc>
          <w:tcPr>
            <w:tcW w:w="896" w:type="pct"/>
            <w:shd w:val="clear" w:color="auto" w:fill="auto"/>
            <w:noWrap/>
            <w:vAlign w:val="center"/>
            <w:hideMark/>
          </w:tcPr>
          <w:p w14:paraId="637A6BE9"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232 000,00</w:t>
            </w:r>
          </w:p>
        </w:tc>
        <w:tc>
          <w:tcPr>
            <w:tcW w:w="896" w:type="pct"/>
            <w:shd w:val="clear" w:color="auto" w:fill="auto"/>
            <w:noWrap/>
            <w:vAlign w:val="center"/>
            <w:hideMark/>
          </w:tcPr>
          <w:p w14:paraId="6A8AC726"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242 156,00</w:t>
            </w:r>
          </w:p>
        </w:tc>
      </w:tr>
      <w:tr w:rsidR="00BD58F9" w:rsidRPr="00EB1327" w14:paraId="5235E8BF" w14:textId="77777777" w:rsidTr="00BD58F9">
        <w:trPr>
          <w:trHeight w:val="60"/>
        </w:trPr>
        <w:tc>
          <w:tcPr>
            <w:tcW w:w="2309" w:type="pct"/>
            <w:shd w:val="clear" w:color="auto" w:fill="auto"/>
            <w:noWrap/>
            <w:vAlign w:val="center"/>
            <w:hideMark/>
          </w:tcPr>
          <w:p w14:paraId="47D25930" w14:textId="77777777" w:rsidR="00204195" w:rsidRPr="00EB1327" w:rsidRDefault="00204195" w:rsidP="0066675E">
            <w:pPr>
              <w:ind w:firstLine="67"/>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Dotace od MV</w:t>
            </w:r>
          </w:p>
        </w:tc>
        <w:tc>
          <w:tcPr>
            <w:tcW w:w="896" w:type="pct"/>
            <w:shd w:val="clear" w:color="auto" w:fill="auto"/>
            <w:noWrap/>
            <w:vAlign w:val="center"/>
            <w:hideMark/>
          </w:tcPr>
          <w:p w14:paraId="6BB46D89"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6 693 309,15</w:t>
            </w:r>
          </w:p>
        </w:tc>
        <w:tc>
          <w:tcPr>
            <w:tcW w:w="896" w:type="pct"/>
            <w:shd w:val="clear" w:color="auto" w:fill="auto"/>
            <w:noWrap/>
            <w:vAlign w:val="center"/>
            <w:hideMark/>
          </w:tcPr>
          <w:p w14:paraId="03DB1E94"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6 350 244,08</w:t>
            </w:r>
          </w:p>
        </w:tc>
        <w:tc>
          <w:tcPr>
            <w:tcW w:w="896" w:type="pct"/>
            <w:shd w:val="clear" w:color="auto" w:fill="auto"/>
            <w:noWrap/>
            <w:vAlign w:val="center"/>
            <w:hideMark/>
          </w:tcPr>
          <w:p w14:paraId="0830C659" w14:textId="0CE01E82" w:rsidR="00204195" w:rsidRPr="00EB1327" w:rsidRDefault="00E97A43" w:rsidP="0066675E">
            <w:pPr>
              <w:jc w:val="center"/>
              <w:rPr>
                <w:rFonts w:asciiTheme="minorHAnsi" w:hAnsiTheme="minorHAnsi"/>
                <w:color w:val="000000" w:themeColor="text1"/>
                <w:sz w:val="20"/>
                <w:szCs w:val="20"/>
                <w:lang w:eastAsia="cs-CZ"/>
              </w:rPr>
            </w:pPr>
            <w:r>
              <w:rPr>
                <w:rFonts w:asciiTheme="minorHAnsi" w:hAnsiTheme="minorHAnsi"/>
                <w:color w:val="000000" w:themeColor="text1"/>
                <w:sz w:val="20"/>
                <w:szCs w:val="20"/>
                <w:lang w:eastAsia="cs-CZ"/>
              </w:rPr>
              <w:t>–</w:t>
            </w:r>
          </w:p>
        </w:tc>
      </w:tr>
      <w:tr w:rsidR="00BD58F9" w:rsidRPr="00EB1327" w14:paraId="40B5DB99" w14:textId="77777777" w:rsidTr="00BD58F9">
        <w:trPr>
          <w:trHeight w:val="60"/>
        </w:trPr>
        <w:tc>
          <w:tcPr>
            <w:tcW w:w="2309" w:type="pct"/>
            <w:shd w:val="clear" w:color="auto" w:fill="auto"/>
            <w:noWrap/>
            <w:vAlign w:val="center"/>
            <w:hideMark/>
          </w:tcPr>
          <w:p w14:paraId="792ECBDD" w14:textId="0CFF135B" w:rsidR="00204195" w:rsidRPr="00EB1327" w:rsidRDefault="00204195" w:rsidP="0066675E">
            <w:pPr>
              <w:ind w:firstLine="67"/>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Dotace z NPU I (MŠMT)</w:t>
            </w:r>
          </w:p>
        </w:tc>
        <w:tc>
          <w:tcPr>
            <w:tcW w:w="896" w:type="pct"/>
            <w:shd w:val="clear" w:color="auto" w:fill="auto"/>
            <w:noWrap/>
            <w:vAlign w:val="center"/>
            <w:hideMark/>
          </w:tcPr>
          <w:p w14:paraId="134FCD62" w14:textId="30965164" w:rsidR="00204195" w:rsidRPr="00EB1327" w:rsidRDefault="00E97A43" w:rsidP="0066675E">
            <w:pPr>
              <w:jc w:val="center"/>
              <w:rPr>
                <w:rFonts w:asciiTheme="minorHAnsi" w:hAnsiTheme="minorHAnsi"/>
                <w:color w:val="000000" w:themeColor="text1"/>
                <w:sz w:val="20"/>
                <w:szCs w:val="20"/>
                <w:lang w:eastAsia="cs-CZ"/>
              </w:rPr>
            </w:pPr>
            <w:r>
              <w:rPr>
                <w:rFonts w:asciiTheme="minorHAnsi" w:hAnsiTheme="minorHAnsi"/>
                <w:color w:val="000000" w:themeColor="text1"/>
                <w:sz w:val="20"/>
                <w:szCs w:val="20"/>
                <w:lang w:eastAsia="cs-CZ"/>
              </w:rPr>
              <w:t>–</w:t>
            </w:r>
          </w:p>
        </w:tc>
        <w:tc>
          <w:tcPr>
            <w:tcW w:w="896" w:type="pct"/>
            <w:shd w:val="clear" w:color="auto" w:fill="auto"/>
            <w:noWrap/>
            <w:vAlign w:val="center"/>
            <w:hideMark/>
          </w:tcPr>
          <w:p w14:paraId="7786D1E2" w14:textId="11BD402C" w:rsidR="00204195" w:rsidRPr="00EB1327" w:rsidRDefault="00E97A43" w:rsidP="0066675E">
            <w:pPr>
              <w:jc w:val="center"/>
              <w:rPr>
                <w:rFonts w:asciiTheme="minorHAnsi" w:hAnsiTheme="minorHAnsi"/>
                <w:color w:val="000000" w:themeColor="text1"/>
                <w:sz w:val="20"/>
                <w:szCs w:val="20"/>
                <w:lang w:eastAsia="cs-CZ"/>
              </w:rPr>
            </w:pPr>
            <w:r>
              <w:rPr>
                <w:rFonts w:asciiTheme="minorHAnsi" w:hAnsiTheme="minorHAnsi"/>
                <w:color w:val="000000" w:themeColor="text1"/>
                <w:sz w:val="20"/>
                <w:szCs w:val="20"/>
                <w:lang w:eastAsia="cs-CZ"/>
              </w:rPr>
              <w:t>–</w:t>
            </w:r>
          </w:p>
        </w:tc>
        <w:tc>
          <w:tcPr>
            <w:tcW w:w="896" w:type="pct"/>
            <w:shd w:val="clear" w:color="auto" w:fill="auto"/>
            <w:noWrap/>
            <w:vAlign w:val="center"/>
            <w:hideMark/>
          </w:tcPr>
          <w:p w14:paraId="0A2ECE88"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60 176 000,00</w:t>
            </w:r>
          </w:p>
        </w:tc>
      </w:tr>
      <w:tr w:rsidR="00BD58F9" w:rsidRPr="00EB1327" w14:paraId="34630F51" w14:textId="77777777" w:rsidTr="00BD58F9">
        <w:trPr>
          <w:trHeight w:val="60"/>
        </w:trPr>
        <w:tc>
          <w:tcPr>
            <w:tcW w:w="2309" w:type="pct"/>
            <w:shd w:val="clear" w:color="auto" w:fill="auto"/>
            <w:noWrap/>
            <w:vAlign w:val="center"/>
            <w:hideMark/>
          </w:tcPr>
          <w:p w14:paraId="1BB64C29" w14:textId="77777777" w:rsidR="00204195" w:rsidRPr="00EB1327" w:rsidRDefault="00204195" w:rsidP="0066675E">
            <w:pPr>
              <w:ind w:firstLine="67"/>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Dotace z RVO (MZd)</w:t>
            </w:r>
          </w:p>
        </w:tc>
        <w:tc>
          <w:tcPr>
            <w:tcW w:w="896" w:type="pct"/>
            <w:shd w:val="clear" w:color="auto" w:fill="auto"/>
            <w:noWrap/>
            <w:vAlign w:val="center"/>
            <w:hideMark/>
          </w:tcPr>
          <w:p w14:paraId="3B9470A0"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11 624 000,00</w:t>
            </w:r>
          </w:p>
        </w:tc>
        <w:tc>
          <w:tcPr>
            <w:tcW w:w="896" w:type="pct"/>
            <w:shd w:val="clear" w:color="auto" w:fill="auto"/>
            <w:noWrap/>
            <w:vAlign w:val="center"/>
            <w:hideMark/>
          </w:tcPr>
          <w:p w14:paraId="48B178A6"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11 666 000,00</w:t>
            </w:r>
          </w:p>
        </w:tc>
        <w:tc>
          <w:tcPr>
            <w:tcW w:w="896" w:type="pct"/>
            <w:shd w:val="clear" w:color="auto" w:fill="auto"/>
            <w:noWrap/>
            <w:vAlign w:val="center"/>
            <w:hideMark/>
          </w:tcPr>
          <w:p w14:paraId="5B6E5FEE"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13 504 000,00</w:t>
            </w:r>
          </w:p>
        </w:tc>
      </w:tr>
      <w:tr w:rsidR="00BD58F9" w:rsidRPr="00EB1327" w14:paraId="5C7A3A47" w14:textId="77777777" w:rsidTr="00BD58F9">
        <w:trPr>
          <w:trHeight w:val="60"/>
        </w:trPr>
        <w:tc>
          <w:tcPr>
            <w:tcW w:w="2309" w:type="pct"/>
            <w:shd w:val="clear" w:color="auto" w:fill="auto"/>
            <w:noWrap/>
            <w:vAlign w:val="center"/>
            <w:hideMark/>
          </w:tcPr>
          <w:p w14:paraId="574F78CE" w14:textId="77777777" w:rsidR="00204195" w:rsidRPr="00EB1327" w:rsidRDefault="00204195" w:rsidP="0066675E">
            <w:pPr>
              <w:ind w:firstLine="67"/>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Dotace z EU</w:t>
            </w:r>
          </w:p>
        </w:tc>
        <w:tc>
          <w:tcPr>
            <w:tcW w:w="896" w:type="pct"/>
            <w:shd w:val="clear" w:color="auto" w:fill="auto"/>
            <w:noWrap/>
            <w:vAlign w:val="center"/>
            <w:hideMark/>
          </w:tcPr>
          <w:p w14:paraId="1EDA63A2" w14:textId="77777777" w:rsidR="00204195" w:rsidRPr="00EB1327" w:rsidRDefault="00204195" w:rsidP="0066675E">
            <w:pPr>
              <w:jc w:val="center"/>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w:t>
            </w:r>
          </w:p>
        </w:tc>
        <w:tc>
          <w:tcPr>
            <w:tcW w:w="896" w:type="pct"/>
            <w:shd w:val="clear" w:color="auto" w:fill="auto"/>
            <w:noWrap/>
            <w:vAlign w:val="center"/>
            <w:hideMark/>
          </w:tcPr>
          <w:p w14:paraId="3B2D0DCD"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889 421,90</w:t>
            </w:r>
          </w:p>
        </w:tc>
        <w:tc>
          <w:tcPr>
            <w:tcW w:w="896" w:type="pct"/>
            <w:shd w:val="clear" w:color="auto" w:fill="auto"/>
            <w:noWrap/>
            <w:vAlign w:val="center"/>
            <w:hideMark/>
          </w:tcPr>
          <w:p w14:paraId="4A77440B"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3 306 354,37</w:t>
            </w:r>
          </w:p>
        </w:tc>
      </w:tr>
      <w:tr w:rsidR="00BD58F9" w:rsidRPr="00EB1327" w14:paraId="1C5D9427" w14:textId="77777777" w:rsidTr="00BD58F9">
        <w:trPr>
          <w:trHeight w:val="60"/>
        </w:trPr>
        <w:tc>
          <w:tcPr>
            <w:tcW w:w="2309" w:type="pct"/>
            <w:shd w:val="clear" w:color="auto" w:fill="auto"/>
            <w:noWrap/>
            <w:vAlign w:val="center"/>
            <w:hideMark/>
          </w:tcPr>
          <w:p w14:paraId="581A9F4A" w14:textId="77777777" w:rsidR="00204195" w:rsidRPr="00EB1327" w:rsidRDefault="00204195" w:rsidP="0066675E">
            <w:pPr>
              <w:ind w:firstLine="67"/>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Dotace od IGA</w:t>
            </w:r>
          </w:p>
        </w:tc>
        <w:tc>
          <w:tcPr>
            <w:tcW w:w="896" w:type="pct"/>
            <w:shd w:val="clear" w:color="auto" w:fill="auto"/>
            <w:noWrap/>
            <w:vAlign w:val="center"/>
            <w:hideMark/>
          </w:tcPr>
          <w:p w14:paraId="105DD07F"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18 996 187,82</w:t>
            </w:r>
          </w:p>
        </w:tc>
        <w:tc>
          <w:tcPr>
            <w:tcW w:w="896" w:type="pct"/>
            <w:shd w:val="clear" w:color="auto" w:fill="auto"/>
            <w:noWrap/>
            <w:vAlign w:val="center"/>
            <w:hideMark/>
          </w:tcPr>
          <w:p w14:paraId="7A146037"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15 922 257,56</w:t>
            </w:r>
          </w:p>
        </w:tc>
        <w:tc>
          <w:tcPr>
            <w:tcW w:w="896" w:type="pct"/>
            <w:shd w:val="clear" w:color="auto" w:fill="auto"/>
            <w:noWrap/>
            <w:vAlign w:val="center"/>
            <w:hideMark/>
          </w:tcPr>
          <w:p w14:paraId="7ABC1424" w14:textId="24539F78" w:rsidR="00204195" w:rsidRPr="00EB1327" w:rsidRDefault="00E97A43" w:rsidP="0066675E">
            <w:pPr>
              <w:jc w:val="center"/>
              <w:rPr>
                <w:rFonts w:asciiTheme="minorHAnsi" w:hAnsiTheme="minorHAnsi"/>
                <w:color w:val="000000" w:themeColor="text1"/>
                <w:sz w:val="20"/>
                <w:szCs w:val="20"/>
                <w:lang w:eastAsia="cs-CZ"/>
              </w:rPr>
            </w:pPr>
            <w:r>
              <w:rPr>
                <w:rFonts w:asciiTheme="minorHAnsi" w:hAnsiTheme="minorHAnsi"/>
                <w:color w:val="000000" w:themeColor="text1"/>
                <w:sz w:val="20"/>
                <w:szCs w:val="20"/>
                <w:lang w:eastAsia="cs-CZ"/>
              </w:rPr>
              <w:t>–</w:t>
            </w:r>
          </w:p>
        </w:tc>
      </w:tr>
      <w:tr w:rsidR="00BD58F9" w:rsidRPr="00EB1327" w14:paraId="0550904A" w14:textId="77777777" w:rsidTr="00BD58F9">
        <w:trPr>
          <w:trHeight w:val="60"/>
        </w:trPr>
        <w:tc>
          <w:tcPr>
            <w:tcW w:w="2309" w:type="pct"/>
            <w:shd w:val="clear" w:color="auto" w:fill="auto"/>
            <w:noWrap/>
            <w:vAlign w:val="center"/>
            <w:hideMark/>
          </w:tcPr>
          <w:p w14:paraId="4D09655F" w14:textId="77777777" w:rsidR="00204195" w:rsidRPr="00EB1327" w:rsidRDefault="00204195" w:rsidP="0066675E">
            <w:pPr>
              <w:ind w:firstLine="67"/>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Dotace od AZV</w:t>
            </w:r>
          </w:p>
        </w:tc>
        <w:tc>
          <w:tcPr>
            <w:tcW w:w="896" w:type="pct"/>
            <w:shd w:val="clear" w:color="auto" w:fill="auto"/>
            <w:noWrap/>
            <w:vAlign w:val="center"/>
            <w:hideMark/>
          </w:tcPr>
          <w:p w14:paraId="7C82D91B" w14:textId="77777777" w:rsidR="00204195" w:rsidRPr="00EB1327" w:rsidRDefault="00E97A43" w:rsidP="0066675E">
            <w:pPr>
              <w:jc w:val="center"/>
              <w:rPr>
                <w:rFonts w:asciiTheme="minorHAnsi" w:hAnsiTheme="minorHAnsi"/>
                <w:color w:val="000000" w:themeColor="text1"/>
                <w:sz w:val="20"/>
                <w:szCs w:val="20"/>
                <w:lang w:eastAsia="cs-CZ"/>
              </w:rPr>
            </w:pPr>
            <w:r>
              <w:rPr>
                <w:rFonts w:asciiTheme="minorHAnsi" w:hAnsiTheme="minorHAnsi"/>
                <w:color w:val="000000" w:themeColor="text1"/>
                <w:sz w:val="20"/>
                <w:szCs w:val="20"/>
                <w:lang w:eastAsia="cs-CZ"/>
              </w:rPr>
              <w:t>–</w:t>
            </w:r>
          </w:p>
        </w:tc>
        <w:tc>
          <w:tcPr>
            <w:tcW w:w="896" w:type="pct"/>
            <w:shd w:val="clear" w:color="auto" w:fill="auto"/>
            <w:noWrap/>
            <w:vAlign w:val="center"/>
            <w:hideMark/>
          </w:tcPr>
          <w:p w14:paraId="42CFDAB8"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6 215 000,00</w:t>
            </w:r>
          </w:p>
        </w:tc>
        <w:tc>
          <w:tcPr>
            <w:tcW w:w="896" w:type="pct"/>
            <w:shd w:val="clear" w:color="auto" w:fill="auto"/>
            <w:noWrap/>
            <w:vAlign w:val="center"/>
            <w:hideMark/>
          </w:tcPr>
          <w:p w14:paraId="3B068CB3"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20 322 425,35</w:t>
            </w:r>
          </w:p>
        </w:tc>
      </w:tr>
      <w:tr w:rsidR="00BD58F9" w:rsidRPr="00EB1327" w14:paraId="51DD9244" w14:textId="77777777" w:rsidTr="00BD58F9">
        <w:trPr>
          <w:trHeight w:val="60"/>
        </w:trPr>
        <w:tc>
          <w:tcPr>
            <w:tcW w:w="2309" w:type="pct"/>
            <w:shd w:val="clear" w:color="auto" w:fill="auto"/>
            <w:noWrap/>
            <w:vAlign w:val="center"/>
            <w:hideMark/>
          </w:tcPr>
          <w:p w14:paraId="7EBC1183" w14:textId="77777777" w:rsidR="00204195" w:rsidRPr="00EB1327" w:rsidRDefault="00204195" w:rsidP="0066675E">
            <w:pPr>
              <w:ind w:firstLine="67"/>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 xml:space="preserve">Neinvestiční dotace projekt </w:t>
            </w:r>
            <w:r w:rsidR="00231219" w:rsidRPr="00EB1327">
              <w:rPr>
                <w:rFonts w:asciiTheme="minorHAnsi" w:hAnsiTheme="minorHAnsi"/>
                <w:color w:val="000000" w:themeColor="text1"/>
                <w:sz w:val="20"/>
                <w:szCs w:val="20"/>
                <w:lang w:eastAsia="cs-CZ"/>
              </w:rPr>
              <w:t>NÚDZ</w:t>
            </w:r>
            <w:r w:rsidRPr="00EB1327">
              <w:rPr>
                <w:rFonts w:asciiTheme="minorHAnsi" w:hAnsiTheme="minorHAnsi"/>
                <w:color w:val="000000" w:themeColor="text1"/>
                <w:sz w:val="20"/>
                <w:szCs w:val="20"/>
                <w:lang w:eastAsia="cs-CZ"/>
              </w:rPr>
              <w:t xml:space="preserve"> </w:t>
            </w:r>
          </w:p>
        </w:tc>
        <w:tc>
          <w:tcPr>
            <w:tcW w:w="896" w:type="pct"/>
            <w:shd w:val="clear" w:color="auto" w:fill="auto"/>
            <w:noWrap/>
            <w:vAlign w:val="center"/>
            <w:hideMark/>
          </w:tcPr>
          <w:p w14:paraId="0FF8DC5C"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15 897 027,79</w:t>
            </w:r>
          </w:p>
        </w:tc>
        <w:tc>
          <w:tcPr>
            <w:tcW w:w="896" w:type="pct"/>
            <w:shd w:val="clear" w:color="auto" w:fill="auto"/>
            <w:noWrap/>
            <w:vAlign w:val="center"/>
            <w:hideMark/>
          </w:tcPr>
          <w:p w14:paraId="592A5C02"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146 451 873,48</w:t>
            </w:r>
          </w:p>
        </w:tc>
        <w:tc>
          <w:tcPr>
            <w:tcW w:w="896" w:type="pct"/>
            <w:shd w:val="clear" w:color="auto" w:fill="auto"/>
            <w:noWrap/>
            <w:vAlign w:val="center"/>
            <w:hideMark/>
          </w:tcPr>
          <w:p w14:paraId="4918A778" w14:textId="37197D03" w:rsidR="00204195" w:rsidRPr="00EB1327" w:rsidRDefault="00E97A43" w:rsidP="0066675E">
            <w:pPr>
              <w:jc w:val="center"/>
              <w:rPr>
                <w:rFonts w:asciiTheme="minorHAnsi" w:hAnsiTheme="minorHAnsi"/>
                <w:color w:val="000000" w:themeColor="text1"/>
                <w:sz w:val="20"/>
                <w:szCs w:val="20"/>
                <w:lang w:eastAsia="cs-CZ"/>
              </w:rPr>
            </w:pPr>
            <w:r>
              <w:rPr>
                <w:rFonts w:asciiTheme="minorHAnsi" w:hAnsiTheme="minorHAnsi"/>
                <w:color w:val="000000" w:themeColor="text1"/>
                <w:sz w:val="20"/>
                <w:szCs w:val="20"/>
                <w:lang w:eastAsia="cs-CZ"/>
              </w:rPr>
              <w:t>–</w:t>
            </w:r>
          </w:p>
        </w:tc>
      </w:tr>
      <w:tr w:rsidR="00BD58F9" w:rsidRPr="00EB1327" w14:paraId="1B419380" w14:textId="77777777" w:rsidTr="00BD58F9">
        <w:trPr>
          <w:trHeight w:val="60"/>
        </w:trPr>
        <w:tc>
          <w:tcPr>
            <w:tcW w:w="2309" w:type="pct"/>
            <w:shd w:val="clear" w:color="auto" w:fill="auto"/>
            <w:noWrap/>
            <w:vAlign w:val="center"/>
            <w:hideMark/>
          </w:tcPr>
          <w:p w14:paraId="3C411538" w14:textId="77777777" w:rsidR="00204195" w:rsidRPr="00EB1327" w:rsidRDefault="00204195" w:rsidP="0066675E">
            <w:pPr>
              <w:ind w:firstLine="67"/>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 xml:space="preserve">Podíl investiční dotace projekt </w:t>
            </w:r>
            <w:r w:rsidR="00231219" w:rsidRPr="00EB1327">
              <w:rPr>
                <w:rFonts w:asciiTheme="minorHAnsi" w:hAnsiTheme="minorHAnsi"/>
                <w:color w:val="000000" w:themeColor="text1"/>
                <w:sz w:val="20"/>
                <w:szCs w:val="20"/>
                <w:lang w:eastAsia="cs-CZ"/>
              </w:rPr>
              <w:t>NÚDZ</w:t>
            </w:r>
            <w:r w:rsidRPr="00EB1327">
              <w:rPr>
                <w:rFonts w:asciiTheme="minorHAnsi" w:hAnsiTheme="minorHAnsi"/>
                <w:color w:val="000000" w:themeColor="text1"/>
                <w:sz w:val="20"/>
                <w:szCs w:val="20"/>
                <w:lang w:eastAsia="cs-CZ"/>
              </w:rPr>
              <w:t xml:space="preserve"> (odpisy)</w:t>
            </w:r>
          </w:p>
        </w:tc>
        <w:tc>
          <w:tcPr>
            <w:tcW w:w="896" w:type="pct"/>
            <w:shd w:val="clear" w:color="auto" w:fill="auto"/>
            <w:noWrap/>
            <w:vAlign w:val="center"/>
            <w:hideMark/>
          </w:tcPr>
          <w:p w14:paraId="27D7C901" w14:textId="67DD9B54" w:rsidR="00204195" w:rsidRPr="00EB1327" w:rsidRDefault="00E97A43" w:rsidP="0066675E">
            <w:pPr>
              <w:jc w:val="center"/>
              <w:rPr>
                <w:rFonts w:asciiTheme="minorHAnsi" w:hAnsiTheme="minorHAnsi"/>
                <w:color w:val="000000" w:themeColor="text1"/>
                <w:sz w:val="20"/>
                <w:szCs w:val="20"/>
                <w:lang w:eastAsia="cs-CZ"/>
              </w:rPr>
            </w:pPr>
            <w:r>
              <w:rPr>
                <w:rFonts w:asciiTheme="minorHAnsi" w:hAnsiTheme="minorHAnsi"/>
                <w:color w:val="000000" w:themeColor="text1"/>
                <w:sz w:val="20"/>
                <w:szCs w:val="20"/>
                <w:lang w:eastAsia="cs-CZ"/>
              </w:rPr>
              <w:t>–</w:t>
            </w:r>
          </w:p>
        </w:tc>
        <w:tc>
          <w:tcPr>
            <w:tcW w:w="896" w:type="pct"/>
            <w:shd w:val="clear" w:color="auto" w:fill="auto"/>
            <w:noWrap/>
            <w:vAlign w:val="center"/>
            <w:hideMark/>
          </w:tcPr>
          <w:p w14:paraId="1C470607" w14:textId="3B9CCB0B" w:rsidR="00204195" w:rsidRPr="00EB1327" w:rsidRDefault="00E97A43" w:rsidP="0066675E">
            <w:pPr>
              <w:jc w:val="center"/>
              <w:rPr>
                <w:rFonts w:asciiTheme="minorHAnsi" w:hAnsiTheme="minorHAnsi"/>
                <w:color w:val="000000" w:themeColor="text1"/>
                <w:sz w:val="20"/>
                <w:szCs w:val="20"/>
                <w:lang w:eastAsia="cs-CZ"/>
              </w:rPr>
            </w:pPr>
            <w:r>
              <w:rPr>
                <w:rFonts w:asciiTheme="minorHAnsi" w:hAnsiTheme="minorHAnsi"/>
                <w:color w:val="000000" w:themeColor="text1"/>
                <w:sz w:val="20"/>
                <w:szCs w:val="20"/>
                <w:lang w:eastAsia="cs-CZ"/>
              </w:rPr>
              <w:t>–</w:t>
            </w:r>
          </w:p>
        </w:tc>
        <w:tc>
          <w:tcPr>
            <w:tcW w:w="896" w:type="pct"/>
            <w:shd w:val="clear" w:color="auto" w:fill="auto"/>
            <w:noWrap/>
            <w:vAlign w:val="center"/>
            <w:hideMark/>
          </w:tcPr>
          <w:p w14:paraId="6BBF0C23" w14:textId="77777777" w:rsidR="00204195" w:rsidRPr="00EB1327" w:rsidRDefault="00204195" w:rsidP="0066675E">
            <w:pPr>
              <w:jc w:val="right"/>
              <w:rPr>
                <w:rFonts w:asciiTheme="minorHAnsi" w:hAnsiTheme="minorHAnsi"/>
                <w:color w:val="000000" w:themeColor="text1"/>
                <w:sz w:val="20"/>
                <w:szCs w:val="20"/>
                <w:lang w:eastAsia="cs-CZ"/>
              </w:rPr>
            </w:pPr>
            <w:r w:rsidRPr="00EB1327">
              <w:rPr>
                <w:rFonts w:asciiTheme="minorHAnsi" w:hAnsiTheme="minorHAnsi"/>
                <w:color w:val="000000" w:themeColor="text1"/>
                <w:sz w:val="20"/>
                <w:szCs w:val="20"/>
                <w:lang w:eastAsia="cs-CZ"/>
              </w:rPr>
              <w:t>26 527 764,37</w:t>
            </w:r>
          </w:p>
        </w:tc>
      </w:tr>
      <w:tr w:rsidR="00BD58F9" w:rsidRPr="00EB1327" w14:paraId="3E0B14D3" w14:textId="77777777" w:rsidTr="00BD58F9">
        <w:trPr>
          <w:trHeight w:val="60"/>
        </w:trPr>
        <w:tc>
          <w:tcPr>
            <w:tcW w:w="2309" w:type="pct"/>
            <w:shd w:val="clear" w:color="auto" w:fill="auto"/>
            <w:noWrap/>
            <w:vAlign w:val="center"/>
            <w:hideMark/>
          </w:tcPr>
          <w:p w14:paraId="3DC467D9" w14:textId="77777777" w:rsidR="00204195" w:rsidRPr="00EB1327" w:rsidRDefault="00204195" w:rsidP="0066675E">
            <w:pPr>
              <w:ind w:firstLine="67"/>
              <w:rPr>
                <w:rFonts w:asciiTheme="minorHAnsi" w:hAnsiTheme="minorHAnsi"/>
                <w:b/>
                <w:bCs/>
                <w:color w:val="000000" w:themeColor="text1"/>
                <w:sz w:val="20"/>
                <w:szCs w:val="20"/>
                <w:lang w:eastAsia="cs-CZ"/>
              </w:rPr>
            </w:pPr>
            <w:r w:rsidRPr="00EB1327">
              <w:rPr>
                <w:rFonts w:asciiTheme="minorHAnsi" w:hAnsiTheme="minorHAnsi"/>
                <w:b/>
                <w:bCs/>
                <w:color w:val="000000" w:themeColor="text1"/>
                <w:sz w:val="20"/>
                <w:szCs w:val="20"/>
                <w:lang w:eastAsia="cs-CZ"/>
              </w:rPr>
              <w:t>CELKEM</w:t>
            </w:r>
          </w:p>
        </w:tc>
        <w:tc>
          <w:tcPr>
            <w:tcW w:w="896" w:type="pct"/>
            <w:shd w:val="clear" w:color="auto" w:fill="auto"/>
            <w:noWrap/>
            <w:vAlign w:val="center"/>
            <w:hideMark/>
          </w:tcPr>
          <w:p w14:paraId="32D0BB36" w14:textId="77777777" w:rsidR="00204195" w:rsidRPr="00EB1327" w:rsidRDefault="00204195" w:rsidP="0066675E">
            <w:pPr>
              <w:jc w:val="right"/>
              <w:rPr>
                <w:rFonts w:asciiTheme="minorHAnsi" w:hAnsiTheme="minorHAnsi"/>
                <w:b/>
                <w:bCs/>
                <w:color w:val="000000" w:themeColor="text1"/>
                <w:sz w:val="20"/>
                <w:szCs w:val="20"/>
                <w:lang w:eastAsia="cs-CZ"/>
              </w:rPr>
            </w:pPr>
            <w:r w:rsidRPr="00EB1327">
              <w:rPr>
                <w:rFonts w:asciiTheme="minorHAnsi" w:hAnsiTheme="minorHAnsi"/>
                <w:b/>
                <w:bCs/>
                <w:color w:val="000000" w:themeColor="text1"/>
                <w:sz w:val="20"/>
                <w:szCs w:val="20"/>
                <w:lang w:eastAsia="cs-CZ"/>
              </w:rPr>
              <w:t>64 369 554,84</w:t>
            </w:r>
          </w:p>
        </w:tc>
        <w:tc>
          <w:tcPr>
            <w:tcW w:w="896" w:type="pct"/>
            <w:shd w:val="clear" w:color="auto" w:fill="auto"/>
            <w:noWrap/>
            <w:vAlign w:val="center"/>
            <w:hideMark/>
          </w:tcPr>
          <w:p w14:paraId="0CAAD61F" w14:textId="77777777" w:rsidR="00204195" w:rsidRPr="00EB1327" w:rsidRDefault="00204195" w:rsidP="0066675E">
            <w:pPr>
              <w:jc w:val="right"/>
              <w:rPr>
                <w:rFonts w:asciiTheme="minorHAnsi" w:hAnsiTheme="minorHAnsi"/>
                <w:b/>
                <w:bCs/>
                <w:color w:val="000000" w:themeColor="text1"/>
                <w:sz w:val="20"/>
                <w:szCs w:val="20"/>
                <w:lang w:eastAsia="cs-CZ"/>
              </w:rPr>
            </w:pPr>
            <w:r w:rsidRPr="00EB1327">
              <w:rPr>
                <w:rFonts w:asciiTheme="minorHAnsi" w:hAnsiTheme="minorHAnsi"/>
                <w:b/>
                <w:bCs/>
                <w:color w:val="000000" w:themeColor="text1"/>
                <w:sz w:val="20"/>
                <w:szCs w:val="20"/>
                <w:lang w:eastAsia="cs-CZ"/>
              </w:rPr>
              <w:t>198 408 797,02</w:t>
            </w:r>
          </w:p>
        </w:tc>
        <w:tc>
          <w:tcPr>
            <w:tcW w:w="896" w:type="pct"/>
            <w:shd w:val="clear" w:color="auto" w:fill="auto"/>
            <w:noWrap/>
            <w:vAlign w:val="center"/>
            <w:hideMark/>
          </w:tcPr>
          <w:p w14:paraId="10E50C07" w14:textId="77777777" w:rsidR="00204195" w:rsidRPr="00EB1327" w:rsidRDefault="00204195" w:rsidP="0066675E">
            <w:pPr>
              <w:jc w:val="right"/>
              <w:rPr>
                <w:rFonts w:asciiTheme="minorHAnsi" w:hAnsiTheme="minorHAnsi"/>
                <w:b/>
                <w:bCs/>
                <w:color w:val="000000" w:themeColor="text1"/>
                <w:sz w:val="20"/>
                <w:szCs w:val="20"/>
                <w:lang w:eastAsia="cs-CZ"/>
              </w:rPr>
            </w:pPr>
            <w:r w:rsidRPr="00EB1327">
              <w:rPr>
                <w:rFonts w:asciiTheme="minorHAnsi" w:hAnsiTheme="minorHAnsi"/>
                <w:b/>
                <w:bCs/>
                <w:color w:val="000000" w:themeColor="text1"/>
                <w:sz w:val="20"/>
                <w:szCs w:val="20"/>
                <w:lang w:eastAsia="cs-CZ"/>
              </w:rPr>
              <w:t>171 091 039,09</w:t>
            </w:r>
          </w:p>
        </w:tc>
      </w:tr>
    </w:tbl>
    <w:p w14:paraId="4A2AC9E7" w14:textId="0926438F" w:rsidR="00204195" w:rsidRPr="00EB1327" w:rsidRDefault="00204195" w:rsidP="0066675E">
      <w:pPr>
        <w:autoSpaceDE w:val="0"/>
        <w:autoSpaceDN w:val="0"/>
        <w:adjustRightInd w:val="0"/>
        <w:spacing w:before="40" w:after="120"/>
        <w:jc w:val="both"/>
        <w:rPr>
          <w:rFonts w:asciiTheme="minorHAnsi" w:hAnsiTheme="minorHAnsi" w:cstheme="minorHAnsi"/>
          <w:bCs/>
          <w:color w:val="000000" w:themeColor="text1"/>
          <w:sz w:val="20"/>
          <w:szCs w:val="20"/>
        </w:rPr>
      </w:pPr>
      <w:r w:rsidRPr="00EB1327">
        <w:rPr>
          <w:rFonts w:asciiTheme="minorHAnsi" w:hAnsiTheme="minorHAnsi" w:cstheme="minorHAnsi"/>
          <w:b/>
          <w:color w:val="000000" w:themeColor="text1"/>
          <w:sz w:val="20"/>
          <w:szCs w:val="20"/>
        </w:rPr>
        <w:t>Zdroj:</w:t>
      </w:r>
      <w:r w:rsidRPr="00EB1327">
        <w:rPr>
          <w:rFonts w:asciiTheme="minorHAnsi" w:hAnsiTheme="minorHAnsi" w:cstheme="minorHAnsi"/>
          <w:color w:val="000000" w:themeColor="text1"/>
          <w:sz w:val="20"/>
          <w:szCs w:val="20"/>
        </w:rPr>
        <w:t xml:space="preserve"> </w:t>
      </w:r>
      <w:r w:rsidR="00672C7F">
        <w:rPr>
          <w:rFonts w:asciiTheme="minorHAnsi" w:hAnsiTheme="minorHAnsi" w:cstheme="minorHAnsi"/>
          <w:bCs/>
          <w:color w:val="000000" w:themeColor="text1"/>
          <w:sz w:val="20"/>
          <w:szCs w:val="20"/>
        </w:rPr>
        <w:t>h</w:t>
      </w:r>
      <w:r w:rsidRPr="00EB1327">
        <w:rPr>
          <w:rFonts w:asciiTheme="minorHAnsi" w:hAnsiTheme="minorHAnsi" w:cstheme="minorHAnsi"/>
          <w:bCs/>
          <w:color w:val="000000" w:themeColor="text1"/>
          <w:sz w:val="20"/>
          <w:szCs w:val="20"/>
        </w:rPr>
        <w:t xml:space="preserve">lavní </w:t>
      </w:r>
      <w:r w:rsidR="00672C7F">
        <w:rPr>
          <w:rFonts w:asciiTheme="minorHAnsi" w:hAnsiTheme="minorHAnsi" w:cstheme="minorHAnsi"/>
          <w:bCs/>
          <w:color w:val="000000" w:themeColor="text1"/>
          <w:sz w:val="20"/>
          <w:szCs w:val="20"/>
        </w:rPr>
        <w:t xml:space="preserve">účetní </w:t>
      </w:r>
      <w:r w:rsidRPr="00EB1327">
        <w:rPr>
          <w:rFonts w:asciiTheme="minorHAnsi" w:hAnsiTheme="minorHAnsi" w:cstheme="minorHAnsi"/>
          <w:bCs/>
          <w:color w:val="000000" w:themeColor="text1"/>
          <w:sz w:val="20"/>
          <w:szCs w:val="20"/>
        </w:rPr>
        <w:t>kniha k 31. 12. 2014, k 31. 12. 2015 a k 31. 12. 2016.</w:t>
      </w:r>
    </w:p>
    <w:p w14:paraId="6690884B" w14:textId="77777777" w:rsidR="00204195" w:rsidRPr="00EB1327" w:rsidRDefault="00204195" w:rsidP="0066675E">
      <w:pPr>
        <w:spacing w:before="120" w:after="6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Výnosy z transferů představují dotace, které tvořily v roce 2014 přes 67 % celkových výnosů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v roce 2015 překročily 88 % a v roce 2016 byl podíl dotací na celkových výnosech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vyšší než 78 %. </w:t>
      </w:r>
    </w:p>
    <w:p w14:paraId="51C99C3B" w14:textId="77777777" w:rsidR="00204195" w:rsidRPr="00EB1327" w:rsidRDefault="00204195" w:rsidP="0066675E">
      <w:pPr>
        <w:spacing w:before="120" w:after="24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Výnosy z tržeb od zdravotních pojišťoven za realizovanou zdravotní péči představovaly v roce 2014 necelých 26 % celkových výnosů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v roce 2015 činily necelých 10 % a v roce 2016 překročily 14 %. </w:t>
      </w:r>
    </w:p>
    <w:p w14:paraId="1027DE5D" w14:textId="77777777" w:rsidR="006F69CE" w:rsidRDefault="006F69CE" w:rsidP="0066675E">
      <w:pPr>
        <w:spacing w:before="120" w:after="120"/>
        <w:rPr>
          <w:rFonts w:asciiTheme="minorHAnsi" w:hAnsiTheme="minorHAnsi" w:cstheme="minorHAnsi"/>
          <w:b/>
          <w:color w:val="000000" w:themeColor="text1"/>
        </w:rPr>
      </w:pPr>
    </w:p>
    <w:p w14:paraId="3E7B6E5B" w14:textId="644041C4" w:rsidR="00204195" w:rsidRPr="00EB1327" w:rsidRDefault="00204195" w:rsidP="0066675E">
      <w:pPr>
        <w:spacing w:before="120" w:after="120"/>
        <w:rPr>
          <w:rFonts w:asciiTheme="minorHAnsi" w:hAnsiTheme="minorHAnsi" w:cstheme="minorHAnsi"/>
          <w:b/>
          <w:color w:val="000000" w:themeColor="text1"/>
        </w:rPr>
      </w:pPr>
      <w:r w:rsidRPr="00EB1327">
        <w:rPr>
          <w:rFonts w:asciiTheme="minorHAnsi" w:hAnsiTheme="minorHAnsi" w:cstheme="minorHAnsi"/>
          <w:b/>
          <w:color w:val="000000" w:themeColor="text1"/>
        </w:rPr>
        <w:lastRenderedPageBreak/>
        <w:t xml:space="preserve">2. Předmět činnosti </w:t>
      </w:r>
      <w:r w:rsidR="00231219" w:rsidRPr="00EB1327">
        <w:rPr>
          <w:rFonts w:asciiTheme="minorHAnsi" w:hAnsiTheme="minorHAnsi" w:cstheme="minorHAnsi"/>
          <w:b/>
          <w:color w:val="000000" w:themeColor="text1"/>
        </w:rPr>
        <w:t>NÚDZ</w:t>
      </w:r>
    </w:p>
    <w:p w14:paraId="20457A9E" w14:textId="24F3DE2E" w:rsidR="00204195" w:rsidRPr="00EB1327" w:rsidRDefault="00231219" w:rsidP="0066675E">
      <w:pPr>
        <w:spacing w:before="120" w:after="120"/>
        <w:jc w:val="both"/>
        <w:rPr>
          <w:color w:val="000000" w:themeColor="text1"/>
        </w:rPr>
      </w:pPr>
      <w:r w:rsidRPr="00EB1327">
        <w:rPr>
          <w:color w:val="000000" w:themeColor="text1"/>
        </w:rPr>
        <w:t>NÚDZ</w:t>
      </w:r>
      <w:r w:rsidR="00204195" w:rsidRPr="00EB1327">
        <w:rPr>
          <w:color w:val="000000" w:themeColor="text1"/>
        </w:rPr>
        <w:t xml:space="preserve"> vykonává zejména vědeckou a výzkumnou činnost zaměřenou na duševní choroby a na</w:t>
      </w:r>
      <w:r w:rsidR="007A48EF">
        <w:rPr>
          <w:color w:val="000000" w:themeColor="text1"/>
        </w:rPr>
        <w:t xml:space="preserve"> </w:t>
      </w:r>
      <w:r w:rsidR="00204195" w:rsidRPr="00EB1327">
        <w:rPr>
          <w:color w:val="000000" w:themeColor="text1"/>
        </w:rPr>
        <w:t xml:space="preserve">oblast duševního zdraví. V klinickém centru, které má ambulantní i lůžkovou část, poskytuje zdravotní služby v oborech např. psychiatrie, klinická psychologie, neurologie, radiologie, zobrazovací metody – magnetická rezonance, dále také poskytuje služby sociální. </w:t>
      </w:r>
    </w:p>
    <w:p w14:paraId="247DC5E8" w14:textId="77777777" w:rsidR="00204195" w:rsidRPr="00EB1327" w:rsidRDefault="00231219" w:rsidP="0066675E">
      <w:pPr>
        <w:spacing w:before="120" w:after="120"/>
        <w:jc w:val="both"/>
        <w:rPr>
          <w:color w:val="000000" w:themeColor="text1"/>
        </w:rPr>
      </w:pPr>
      <w:r w:rsidRPr="00EB1327">
        <w:rPr>
          <w:color w:val="000000" w:themeColor="text1"/>
        </w:rPr>
        <w:t>NÚDZ</w:t>
      </w:r>
      <w:r w:rsidR="00204195" w:rsidRPr="00EB1327">
        <w:rPr>
          <w:color w:val="000000" w:themeColor="text1"/>
        </w:rPr>
        <w:t xml:space="preserve"> je centrem základního a aplikovaného biomedicínského výzkumu, funguje jako referenční pracoviště pro oblast aplikovaných neurověd a duševního zdraví, poskytuje empirická data a expertizy pro státní správu v oblasti organizace péče o duševní zdraví.</w:t>
      </w:r>
    </w:p>
    <w:p w14:paraId="081E2C34" w14:textId="77777777" w:rsidR="00204195" w:rsidRPr="00EB1327" w:rsidRDefault="00204195" w:rsidP="0066675E">
      <w:pPr>
        <w:spacing w:before="120" w:after="120"/>
        <w:rPr>
          <w:rFonts w:asciiTheme="minorHAnsi" w:hAnsiTheme="minorHAnsi" w:cstheme="minorHAnsi"/>
          <w:b/>
          <w:color w:val="000000" w:themeColor="text1"/>
        </w:rPr>
      </w:pPr>
      <w:r w:rsidRPr="00EB1327">
        <w:rPr>
          <w:rFonts w:asciiTheme="minorHAnsi" w:hAnsiTheme="minorHAnsi" w:cstheme="minorHAnsi"/>
          <w:b/>
          <w:color w:val="000000" w:themeColor="text1"/>
        </w:rPr>
        <w:t xml:space="preserve">3. Hospodaření s majetkem </w:t>
      </w:r>
      <w:r w:rsidR="00231219" w:rsidRPr="00EB1327">
        <w:rPr>
          <w:rFonts w:asciiTheme="minorHAnsi" w:hAnsiTheme="minorHAnsi" w:cstheme="minorHAnsi"/>
          <w:b/>
          <w:color w:val="000000" w:themeColor="text1"/>
        </w:rPr>
        <w:t>NÚDZ</w:t>
      </w:r>
      <w:r w:rsidRPr="00EB1327">
        <w:rPr>
          <w:rFonts w:asciiTheme="minorHAnsi" w:hAnsiTheme="minorHAnsi" w:cstheme="minorHAnsi"/>
          <w:b/>
          <w:color w:val="000000" w:themeColor="text1"/>
        </w:rPr>
        <w:t xml:space="preserve"> v letech 2014 až 2016</w:t>
      </w:r>
    </w:p>
    <w:p w14:paraId="08926EFB" w14:textId="3A9F5497" w:rsidR="00204195" w:rsidRPr="00EB1327" w:rsidRDefault="00231219" w:rsidP="0066675E">
      <w:pPr>
        <w:spacing w:before="120"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NÚDZ</w:t>
      </w:r>
      <w:r w:rsidR="00204195" w:rsidRPr="00EB1327">
        <w:rPr>
          <w:rFonts w:asciiTheme="minorHAnsi" w:hAnsiTheme="minorHAnsi" w:cstheme="minorHAnsi"/>
          <w:color w:val="000000" w:themeColor="text1"/>
        </w:rPr>
        <w:t xml:space="preserve"> v roce 2014 dokončil výstavbu budovy sídla </w:t>
      </w:r>
      <w:r w:rsidRPr="00EB1327">
        <w:rPr>
          <w:rFonts w:asciiTheme="minorHAnsi" w:hAnsiTheme="minorHAnsi" w:cstheme="minorHAnsi"/>
          <w:color w:val="000000" w:themeColor="text1"/>
        </w:rPr>
        <w:t>NÚDZ</w:t>
      </w:r>
      <w:r w:rsidR="00204195" w:rsidRPr="00EB1327">
        <w:rPr>
          <w:rFonts w:asciiTheme="minorHAnsi" w:hAnsiTheme="minorHAnsi" w:cstheme="minorHAnsi"/>
          <w:color w:val="000000" w:themeColor="text1"/>
        </w:rPr>
        <w:t xml:space="preserve"> v Klecanech a po přestěhování z objektů </w:t>
      </w:r>
      <w:r w:rsidR="00204195" w:rsidRPr="00EB1327">
        <w:rPr>
          <w:rFonts w:asciiTheme="minorHAnsi" w:hAnsiTheme="minorHAnsi" w:cstheme="minorHAnsi"/>
          <w:color w:val="000000" w:themeColor="text1"/>
          <w:shd w:val="clear" w:color="auto" w:fill="FFFFFF" w:themeFill="background1"/>
        </w:rPr>
        <w:t>v</w:t>
      </w:r>
      <w:r w:rsidR="00CF0EFE" w:rsidRPr="00EB1327">
        <w:rPr>
          <w:rFonts w:asciiTheme="minorHAnsi" w:hAnsiTheme="minorHAnsi" w:cstheme="minorHAnsi"/>
          <w:color w:val="000000" w:themeColor="text1"/>
          <w:shd w:val="clear" w:color="auto" w:fill="FFFFFF" w:themeFill="background1"/>
        </w:rPr>
        <w:t xml:space="preserve"> Praze </w:t>
      </w:r>
      <w:r w:rsidR="00E46698">
        <w:rPr>
          <w:rFonts w:asciiTheme="minorHAnsi" w:hAnsiTheme="minorHAnsi" w:cstheme="minorHAnsi"/>
          <w:color w:val="000000" w:themeColor="text1"/>
          <w:shd w:val="clear" w:color="auto" w:fill="FFFFFF" w:themeFill="background1"/>
        </w:rPr>
        <w:t>–</w:t>
      </w:r>
      <w:r w:rsidR="00E026F7" w:rsidRPr="00EB1327">
        <w:rPr>
          <w:rFonts w:asciiTheme="minorHAnsi" w:hAnsiTheme="minorHAnsi" w:cstheme="minorHAnsi"/>
          <w:color w:val="000000" w:themeColor="text1"/>
          <w:shd w:val="clear" w:color="auto" w:fill="FFFFFF" w:themeFill="background1"/>
        </w:rPr>
        <w:t xml:space="preserve"> </w:t>
      </w:r>
      <w:r w:rsidR="00CF0EFE" w:rsidRPr="00EB1327">
        <w:rPr>
          <w:rFonts w:asciiTheme="minorHAnsi" w:hAnsiTheme="minorHAnsi" w:cstheme="minorHAnsi"/>
          <w:color w:val="000000" w:themeColor="text1"/>
          <w:shd w:val="clear" w:color="auto" w:fill="FFFFFF" w:themeFill="background1"/>
        </w:rPr>
        <w:t>Bohnicích</w:t>
      </w:r>
      <w:r w:rsidR="00204195" w:rsidRPr="00EB1327">
        <w:rPr>
          <w:rFonts w:asciiTheme="minorHAnsi" w:hAnsiTheme="minorHAnsi" w:cstheme="minorHAnsi"/>
          <w:color w:val="000000" w:themeColor="text1"/>
        </w:rPr>
        <w:t xml:space="preserve"> zahájil dnem 1. 1. 2015 činnost v novém areálu. </w:t>
      </w:r>
    </w:p>
    <w:p w14:paraId="74B84D7A" w14:textId="0D7D0272" w:rsidR="00204195" w:rsidRPr="00EB1327" w:rsidRDefault="00204195" w:rsidP="0066675E">
      <w:pPr>
        <w:autoSpaceDE w:val="0"/>
        <w:autoSpaceDN w:val="0"/>
        <w:adjustRightInd w:val="0"/>
        <w:spacing w:before="120" w:after="120"/>
        <w:jc w:val="both"/>
        <w:rPr>
          <w:color w:val="000000" w:themeColor="text1"/>
        </w:rPr>
      </w:pPr>
      <w:r w:rsidRPr="00EB1327">
        <w:rPr>
          <w:rFonts w:asciiTheme="minorHAnsi" w:hAnsiTheme="minorHAnsi" w:cstheme="minorHAnsi"/>
          <w:color w:val="000000" w:themeColor="text1"/>
        </w:rPr>
        <w:t xml:space="preserve">Výstavba objektu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byla financována z OP </w:t>
      </w:r>
      <w:r w:rsidRPr="007550FC">
        <w:rPr>
          <w:rFonts w:asciiTheme="minorHAnsi" w:hAnsiTheme="minorHAnsi" w:cstheme="minorHAnsi"/>
          <w:i/>
          <w:color w:val="000000" w:themeColor="text1"/>
        </w:rPr>
        <w:t>Výzkum a vývoj pro inovace</w:t>
      </w:r>
      <w:r w:rsidRPr="00EB1327">
        <w:rPr>
          <w:rFonts w:asciiTheme="minorHAnsi" w:hAnsiTheme="minorHAnsi" w:cstheme="minorHAnsi"/>
          <w:color w:val="000000" w:themeColor="text1"/>
        </w:rPr>
        <w:t xml:space="preserve">, prioritní osa 2, regionální VaV centra (2011–2015). </w:t>
      </w:r>
      <w:r w:rsidRPr="00EB1327">
        <w:rPr>
          <w:rFonts w:asciiTheme="minorHAnsi" w:eastAsiaTheme="minorEastAsia" w:hAnsiTheme="minorHAnsi" w:cs="Calibri"/>
          <w:color w:val="000000" w:themeColor="text1"/>
          <w:lang w:eastAsia="cs-CZ"/>
        </w:rPr>
        <w:t>Poskytovatelem dotace a říd</w:t>
      </w:r>
      <w:r w:rsidR="00E46698">
        <w:rPr>
          <w:rFonts w:asciiTheme="minorHAnsi" w:eastAsiaTheme="minorEastAsia" w:hAnsiTheme="minorHAnsi" w:cs="Calibri"/>
          <w:color w:val="000000" w:themeColor="text1"/>
          <w:lang w:eastAsia="cs-CZ"/>
        </w:rPr>
        <w:t>i</w:t>
      </w:r>
      <w:r w:rsidRPr="00EB1327">
        <w:rPr>
          <w:rFonts w:asciiTheme="minorHAnsi" w:eastAsiaTheme="minorEastAsia" w:hAnsiTheme="minorHAnsi" w:cs="Calibri"/>
          <w:color w:val="000000" w:themeColor="text1"/>
          <w:lang w:eastAsia="cs-CZ"/>
        </w:rPr>
        <w:t xml:space="preserve">cím orgánem operačního programu bylo MŠMT. </w:t>
      </w:r>
      <w:r w:rsidRPr="00EB1327">
        <w:rPr>
          <w:color w:val="000000" w:themeColor="text1"/>
        </w:rPr>
        <w:t>Celkové výdaje na projekt činily 880 651 24</w:t>
      </w:r>
      <w:r w:rsidR="00E026F7" w:rsidRPr="00EB1327">
        <w:rPr>
          <w:color w:val="000000" w:themeColor="text1"/>
        </w:rPr>
        <w:t>9</w:t>
      </w:r>
      <w:r w:rsidRPr="00EB1327">
        <w:rPr>
          <w:color w:val="000000" w:themeColor="text1"/>
        </w:rPr>
        <w:t xml:space="preserve"> Kč. </w:t>
      </w:r>
    </w:p>
    <w:p w14:paraId="5D81274C" w14:textId="3F909F2A" w:rsidR="00204195" w:rsidRPr="00EB1327" w:rsidRDefault="00204195" w:rsidP="0066675E">
      <w:pPr>
        <w:spacing w:before="120" w:after="120"/>
        <w:rPr>
          <w:b/>
          <w:color w:val="000000" w:themeColor="text1"/>
        </w:rPr>
      </w:pPr>
      <w:r w:rsidRPr="00EB1327">
        <w:rPr>
          <w:b/>
          <w:color w:val="000000" w:themeColor="text1"/>
        </w:rPr>
        <w:t xml:space="preserve">4. Projekt </w:t>
      </w:r>
      <w:r w:rsidRPr="007550FC">
        <w:rPr>
          <w:rFonts w:cs="Calibri"/>
          <w:b/>
          <w:i/>
          <w:color w:val="000000" w:themeColor="text1"/>
        </w:rPr>
        <w:t>Udržitelnost pro Národní ústav duševního zdraví</w:t>
      </w:r>
    </w:p>
    <w:p w14:paraId="3ECD70B1" w14:textId="0BD9C62B" w:rsidR="00204195" w:rsidRPr="00EB1327" w:rsidRDefault="00204195" w:rsidP="0066675E">
      <w:pPr>
        <w:shd w:val="clear" w:color="auto" w:fill="FFFFFF"/>
        <w:spacing w:before="120"/>
        <w:jc w:val="both"/>
        <w:rPr>
          <w:rFonts w:cs="Calibri"/>
          <w:color w:val="000000" w:themeColor="text1"/>
          <w:lang w:eastAsia="cs-CZ"/>
        </w:rPr>
      </w:pPr>
      <w:r w:rsidRPr="00EB1327">
        <w:rPr>
          <w:rFonts w:cs="Calibri"/>
          <w:color w:val="000000" w:themeColor="text1"/>
        </w:rPr>
        <w:t xml:space="preserve">Od roku 2016 čerpá </w:t>
      </w:r>
      <w:r w:rsidR="00231219" w:rsidRPr="00EB1327">
        <w:rPr>
          <w:rFonts w:cs="Calibri"/>
          <w:color w:val="000000" w:themeColor="text1"/>
        </w:rPr>
        <w:t>NÚDZ</w:t>
      </w:r>
      <w:r w:rsidRPr="00EB1327">
        <w:rPr>
          <w:rFonts w:cs="Calibri"/>
          <w:color w:val="000000" w:themeColor="text1"/>
        </w:rPr>
        <w:t xml:space="preserve"> finanční prostředky z </w:t>
      </w:r>
      <w:r w:rsidR="00E46698">
        <w:rPr>
          <w:rFonts w:cs="Calibri"/>
          <w:color w:val="000000" w:themeColor="text1"/>
        </w:rPr>
        <w:t>p</w:t>
      </w:r>
      <w:r w:rsidR="00FD302F" w:rsidRPr="00EB1327">
        <w:rPr>
          <w:rFonts w:cs="Calibri"/>
          <w:color w:val="000000" w:themeColor="text1"/>
        </w:rPr>
        <w:t>rogramu NPU I</w:t>
      </w:r>
      <w:r w:rsidRPr="00EB1327">
        <w:rPr>
          <w:rFonts w:cs="Calibri"/>
          <w:color w:val="000000" w:themeColor="text1"/>
        </w:rPr>
        <w:t xml:space="preserve">, a to v rámci </w:t>
      </w:r>
      <w:r w:rsidRPr="00EB1327">
        <w:rPr>
          <w:rFonts w:cs="Calibri"/>
          <w:color w:val="000000" w:themeColor="text1"/>
          <w:shd w:val="clear" w:color="auto" w:fill="FFFFFF" w:themeFill="background1"/>
        </w:rPr>
        <w:t xml:space="preserve">projektu </w:t>
      </w:r>
      <w:r w:rsidRPr="007550FC">
        <w:rPr>
          <w:rFonts w:cs="Calibri"/>
          <w:i/>
          <w:color w:val="000000" w:themeColor="text1"/>
          <w:shd w:val="clear" w:color="auto" w:fill="FFFFFF" w:themeFill="background1"/>
        </w:rPr>
        <w:t>Udržitelnost pro</w:t>
      </w:r>
      <w:r w:rsidR="00E46698" w:rsidRPr="00E46698">
        <w:rPr>
          <w:rFonts w:cs="Calibri"/>
          <w:i/>
          <w:color w:val="000000" w:themeColor="text1"/>
        </w:rPr>
        <w:t xml:space="preserve"> </w:t>
      </w:r>
      <w:r w:rsidR="00E46698" w:rsidRPr="00B2558A">
        <w:rPr>
          <w:rFonts w:cs="Calibri"/>
          <w:i/>
          <w:color w:val="000000" w:themeColor="text1"/>
        </w:rPr>
        <w:t>Národní ústav duševního zdraví</w:t>
      </w:r>
      <w:r w:rsidR="00CF0EFE" w:rsidRPr="00EB1327">
        <w:rPr>
          <w:rFonts w:cs="Calibri"/>
          <w:color w:val="000000" w:themeColor="text1"/>
        </w:rPr>
        <w:t>.</w:t>
      </w:r>
      <w:r w:rsidRPr="00EB1327">
        <w:rPr>
          <w:rFonts w:cs="Calibri"/>
          <w:color w:val="000000" w:themeColor="text1"/>
        </w:rPr>
        <w:t xml:space="preserve"> </w:t>
      </w:r>
      <w:r w:rsidRPr="00EB1327">
        <w:rPr>
          <w:rFonts w:cs="Calibri"/>
          <w:color w:val="000000" w:themeColor="text1"/>
          <w:lang w:eastAsia="cs-CZ"/>
        </w:rPr>
        <w:t>Poskytovatelem dotace a říd</w:t>
      </w:r>
      <w:r w:rsidR="00A1218A">
        <w:rPr>
          <w:rFonts w:cs="Calibri"/>
          <w:color w:val="000000" w:themeColor="text1"/>
          <w:lang w:eastAsia="cs-CZ"/>
        </w:rPr>
        <w:t>i</w:t>
      </w:r>
      <w:r w:rsidRPr="00EB1327">
        <w:rPr>
          <w:rFonts w:cs="Calibri"/>
          <w:color w:val="000000" w:themeColor="text1"/>
          <w:lang w:eastAsia="cs-CZ"/>
        </w:rPr>
        <w:t xml:space="preserve">cím orgánem operačního programu je MŠMT. </w:t>
      </w:r>
    </w:p>
    <w:p w14:paraId="6A690739" w14:textId="77777777" w:rsidR="00204195" w:rsidRPr="00EB1327" w:rsidRDefault="00204195" w:rsidP="0066675E">
      <w:pPr>
        <w:autoSpaceDE w:val="0"/>
        <w:autoSpaceDN w:val="0"/>
        <w:adjustRightInd w:val="0"/>
        <w:jc w:val="both"/>
        <w:rPr>
          <w:rFonts w:asciiTheme="minorHAnsi" w:hAnsiTheme="minorHAnsi" w:cstheme="minorHAnsi"/>
          <w:color w:val="000000" w:themeColor="text1"/>
        </w:rPr>
      </w:pPr>
    </w:p>
    <w:p w14:paraId="5A46F623" w14:textId="77777777" w:rsidR="000A4509" w:rsidRPr="00EB1327" w:rsidRDefault="000A4509" w:rsidP="0066675E">
      <w:pPr>
        <w:autoSpaceDE w:val="0"/>
        <w:autoSpaceDN w:val="0"/>
        <w:adjustRightInd w:val="0"/>
        <w:jc w:val="both"/>
        <w:rPr>
          <w:rFonts w:asciiTheme="minorHAnsi" w:hAnsiTheme="minorHAnsi" w:cstheme="minorHAnsi"/>
          <w:color w:val="000000" w:themeColor="text1"/>
        </w:rPr>
      </w:pPr>
    </w:p>
    <w:p w14:paraId="6F5D9426" w14:textId="77777777" w:rsidR="00204195" w:rsidRPr="00EB1327" w:rsidRDefault="00204195" w:rsidP="0066675E">
      <w:pPr>
        <w:spacing w:before="120" w:after="120"/>
        <w:jc w:val="center"/>
        <w:rPr>
          <w:rFonts w:asciiTheme="minorHAnsi" w:hAnsiTheme="minorHAnsi" w:cs="Calibri"/>
          <w:b/>
          <w:noProof w:val="0"/>
          <w:color w:val="000000" w:themeColor="text1"/>
          <w:sz w:val="28"/>
          <w:szCs w:val="28"/>
          <w:lang w:eastAsia="cs-CZ"/>
        </w:rPr>
      </w:pPr>
      <w:r w:rsidRPr="00EB1327">
        <w:rPr>
          <w:rFonts w:asciiTheme="minorHAnsi" w:hAnsiTheme="minorHAnsi" w:cs="Calibri"/>
          <w:b/>
          <w:noProof w:val="0"/>
          <w:color w:val="000000" w:themeColor="text1"/>
          <w:sz w:val="28"/>
          <w:szCs w:val="28"/>
          <w:lang w:eastAsia="cs-CZ"/>
        </w:rPr>
        <w:t xml:space="preserve">III. Rozsah kontroly </w:t>
      </w:r>
    </w:p>
    <w:p w14:paraId="7409642C" w14:textId="5CAA4928" w:rsidR="00204195" w:rsidRPr="00EB1327" w:rsidRDefault="00204195" w:rsidP="0066675E">
      <w:pPr>
        <w:autoSpaceDE w:val="0"/>
        <w:autoSpaceDN w:val="0"/>
        <w:adjustRightInd w:val="0"/>
        <w:spacing w:before="120" w:after="120"/>
        <w:jc w:val="both"/>
        <w:rPr>
          <w:rFonts w:asciiTheme="minorHAnsi" w:hAnsiTheme="minorHAnsi" w:cstheme="minorHAnsi"/>
          <w:strike/>
          <w:color w:val="000000" w:themeColor="text1"/>
          <w:lang w:eastAsia="cs-CZ"/>
        </w:rPr>
      </w:pPr>
      <w:r w:rsidRPr="00EB1327">
        <w:rPr>
          <w:rFonts w:asciiTheme="minorHAnsi" w:hAnsiTheme="minorHAnsi" w:cstheme="minorHAnsi"/>
          <w:color w:val="000000" w:themeColor="text1"/>
        </w:rPr>
        <w:t xml:space="preserve">Kontrole bylo podrobeno hospodaření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s majetkem a peněžními prostředky státu v letech 2014 až 2016, zejména</w:t>
      </w:r>
      <w:r w:rsidR="0024629F">
        <w:rPr>
          <w:rFonts w:asciiTheme="minorHAnsi" w:hAnsiTheme="minorHAnsi" w:cstheme="minorHAnsi"/>
          <w:color w:val="000000" w:themeColor="text1"/>
        </w:rPr>
        <w:t xml:space="preserve"> bylo kontrolou ověřováno</w:t>
      </w:r>
      <w:r w:rsidRPr="00EB1327">
        <w:rPr>
          <w:rFonts w:asciiTheme="minorHAnsi" w:hAnsiTheme="minorHAnsi" w:cstheme="minorHAnsi"/>
          <w:color w:val="000000" w:themeColor="text1"/>
        </w:rPr>
        <w:t xml:space="preserve">, zda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plnil povinnosti stanovené </w:t>
      </w:r>
      <w:r w:rsidR="00326816" w:rsidRPr="00EB1327">
        <w:rPr>
          <w:rFonts w:asciiTheme="minorHAnsi" w:hAnsiTheme="minorHAnsi" w:cstheme="minorHAnsi"/>
          <w:color w:val="000000" w:themeColor="text1"/>
          <w:lang w:eastAsia="cs-CZ"/>
        </w:rPr>
        <w:t xml:space="preserve">zákony č. 219/2000 Sb. a </w:t>
      </w:r>
      <w:r w:rsidRPr="00EB1327">
        <w:rPr>
          <w:rFonts w:asciiTheme="minorHAnsi" w:hAnsiTheme="minorHAnsi" w:cstheme="minorHAnsi"/>
          <w:color w:val="000000" w:themeColor="text1"/>
          <w:lang w:eastAsia="cs-CZ"/>
        </w:rPr>
        <w:t>č. 218/2000 Sb.</w:t>
      </w:r>
      <w:r w:rsidR="00297F6A" w:rsidRPr="00EB1327">
        <w:rPr>
          <w:rStyle w:val="Znakapoznpodarou"/>
          <w:rFonts w:asciiTheme="minorHAnsi" w:hAnsiTheme="minorHAnsi" w:cstheme="minorHAnsi"/>
          <w:color w:val="000000" w:themeColor="text1"/>
          <w:lang w:eastAsia="cs-CZ"/>
        </w:rPr>
        <w:footnoteReference w:id="9"/>
      </w:r>
      <w:r w:rsidRPr="00EB1327">
        <w:rPr>
          <w:rFonts w:asciiTheme="minorHAnsi" w:hAnsiTheme="minorHAnsi" w:cstheme="minorHAnsi"/>
          <w:color w:val="000000" w:themeColor="text1"/>
          <w:lang w:eastAsia="cs-CZ"/>
        </w:rPr>
        <w:t xml:space="preserve"> </w:t>
      </w:r>
    </w:p>
    <w:p w14:paraId="2754DB41" w14:textId="77777777" w:rsidR="00204195" w:rsidRPr="00EB1327" w:rsidRDefault="00204195" w:rsidP="0066675E">
      <w:pPr>
        <w:spacing w:before="120" w:after="120"/>
        <w:ind w:left="34"/>
        <w:jc w:val="both"/>
        <w:rPr>
          <w:rFonts w:asciiTheme="minorHAnsi" w:hAnsiTheme="minorHAnsi" w:cs="Calibri"/>
          <w:color w:val="000000" w:themeColor="text1"/>
        </w:rPr>
      </w:pPr>
      <w:r w:rsidRPr="00EB1327">
        <w:rPr>
          <w:rFonts w:asciiTheme="minorHAnsi" w:hAnsiTheme="minorHAnsi" w:cs="Calibri"/>
          <w:color w:val="000000" w:themeColor="text1"/>
        </w:rPr>
        <w:t>Kontrolováno bylo rovněž dodržování zákona č. 563/1991 Sb. a prováděcí vyhlášky č. 410/2009 Sb.</w:t>
      </w:r>
      <w:r w:rsidR="00297F6A" w:rsidRPr="00EB1327">
        <w:rPr>
          <w:rStyle w:val="Znakapoznpodarou"/>
          <w:rFonts w:asciiTheme="minorHAnsi" w:hAnsiTheme="minorHAnsi" w:cs="Calibri"/>
          <w:color w:val="000000" w:themeColor="text1"/>
        </w:rPr>
        <w:footnoteReference w:id="10"/>
      </w:r>
      <w:r w:rsidRPr="00EB1327">
        <w:rPr>
          <w:rFonts w:asciiTheme="minorHAnsi" w:hAnsiTheme="minorHAnsi" w:cs="Calibri"/>
          <w:color w:val="000000" w:themeColor="text1"/>
        </w:rPr>
        <w:t xml:space="preserve">, zejména soulad fakturace se </w:t>
      </w:r>
      <w:r w:rsidR="00CF0EFE" w:rsidRPr="00EB1327">
        <w:rPr>
          <w:rFonts w:asciiTheme="minorHAnsi" w:hAnsiTheme="minorHAnsi" w:cs="Calibri"/>
          <w:color w:val="000000" w:themeColor="text1"/>
        </w:rPr>
        <w:t>smlouvami</w:t>
      </w:r>
      <w:r w:rsidRPr="00EB1327">
        <w:rPr>
          <w:rFonts w:asciiTheme="minorHAnsi" w:hAnsiTheme="minorHAnsi" w:cs="Calibri"/>
          <w:color w:val="000000" w:themeColor="text1"/>
        </w:rPr>
        <w:t xml:space="preserve">, správnost zaúčtování pořízení majetku na příslušné majetkové účty, ve správném ocenění a v období časově a věcně souvisejícím. Skupina kontrolujících dále ověřovala způsob stanovení a účtování odpisů a včasnost zahájení odpisování majetku. </w:t>
      </w:r>
    </w:p>
    <w:p w14:paraId="7D6C1C69" w14:textId="77777777" w:rsidR="00204195" w:rsidRPr="00EB1327" w:rsidRDefault="00204195" w:rsidP="0066675E">
      <w:pPr>
        <w:autoSpaceDE w:val="0"/>
        <w:autoSpaceDN w:val="0"/>
        <w:adjustRightInd w:val="0"/>
        <w:spacing w:before="120" w:after="120"/>
        <w:jc w:val="both"/>
        <w:rPr>
          <w:rFonts w:asciiTheme="minorHAnsi" w:hAnsiTheme="minorHAnsi" w:cstheme="minorHAnsi"/>
          <w:color w:val="000000" w:themeColor="text1"/>
          <w:lang w:eastAsia="cs-CZ"/>
        </w:rPr>
      </w:pPr>
      <w:r w:rsidRPr="00EB1327">
        <w:rPr>
          <w:rFonts w:asciiTheme="minorHAnsi" w:hAnsiTheme="minorHAnsi" w:cstheme="minorHAnsi"/>
          <w:color w:val="000000" w:themeColor="text1"/>
          <w:lang w:eastAsia="cs-CZ"/>
        </w:rPr>
        <w:t xml:space="preserve">Kontrolované oblasti a v jejich rámci konkrétní kontrolované případy byly vybrány na základě identifikovaných rizik a hodnotové i věcné významnosti, zejména finanční výše vynaložených nákladů a netto hodnoty majetku. </w:t>
      </w:r>
    </w:p>
    <w:p w14:paraId="378AD325" w14:textId="77777777" w:rsidR="00204195" w:rsidRPr="00EB1327" w:rsidRDefault="00204195" w:rsidP="0066675E">
      <w:pPr>
        <w:autoSpaceDE w:val="0"/>
        <w:autoSpaceDN w:val="0"/>
        <w:adjustRightInd w:val="0"/>
        <w:spacing w:before="120" w:after="120"/>
        <w:jc w:val="both"/>
        <w:rPr>
          <w:rFonts w:asciiTheme="minorHAnsi" w:hAnsiTheme="minorHAnsi" w:cstheme="minorHAnsi"/>
          <w:color w:val="000000" w:themeColor="text1"/>
          <w:lang w:eastAsia="cs-CZ"/>
        </w:rPr>
      </w:pPr>
      <w:r w:rsidRPr="00EB1327">
        <w:rPr>
          <w:rFonts w:asciiTheme="minorHAnsi" w:hAnsiTheme="minorHAnsi" w:cstheme="minorHAnsi"/>
          <w:color w:val="000000" w:themeColor="text1"/>
          <w:lang w:eastAsia="cs-CZ"/>
        </w:rPr>
        <w:t>Předmětem kontroly nebylo zadání veřejné zakázky na výběr dodavatele stavby ani průběh realizace výstavby, kontrola se v souvislosti s novou stavbou zaměřila na dodržování postupů účtování o pořízeném majetku.</w:t>
      </w:r>
    </w:p>
    <w:p w14:paraId="63D2F49A" w14:textId="6412725B" w:rsidR="00204195" w:rsidRPr="00EB1327" w:rsidRDefault="00204195" w:rsidP="0066675E">
      <w:pPr>
        <w:spacing w:before="120" w:after="120"/>
        <w:ind w:left="34"/>
        <w:jc w:val="both"/>
        <w:rPr>
          <w:rFonts w:asciiTheme="minorHAnsi" w:hAnsiTheme="minorHAnsi" w:cs="Calibri"/>
          <w:color w:val="000000" w:themeColor="text1"/>
        </w:rPr>
      </w:pPr>
      <w:r w:rsidRPr="00EB1327">
        <w:rPr>
          <w:rFonts w:asciiTheme="minorHAnsi" w:hAnsiTheme="minorHAnsi" w:cs="Calibri"/>
          <w:color w:val="000000" w:themeColor="text1"/>
        </w:rPr>
        <w:t>V oblasti pořizování dlouhodobého majetku – zdravotnických přístrojů a vybavení</w:t>
      </w:r>
      <w:r w:rsidR="0024629F">
        <w:rPr>
          <w:rFonts w:asciiTheme="minorHAnsi" w:hAnsiTheme="minorHAnsi" w:cs="Calibri"/>
          <w:color w:val="000000" w:themeColor="text1"/>
        </w:rPr>
        <w:t> –</w:t>
      </w:r>
      <w:r w:rsidRPr="00EB1327">
        <w:rPr>
          <w:rFonts w:asciiTheme="minorHAnsi" w:hAnsiTheme="minorHAnsi" w:cs="Calibri"/>
          <w:color w:val="000000" w:themeColor="text1"/>
        </w:rPr>
        <w:t xml:space="preserve"> bylo kontrolou ověřováno, zda náklady na pořízení majetku byly vynaloženy účelně a hospodárně, </w:t>
      </w:r>
      <w:r w:rsidRPr="00EB1327">
        <w:rPr>
          <w:rFonts w:asciiTheme="minorHAnsi" w:hAnsiTheme="minorHAnsi" w:cs="Calibri"/>
          <w:color w:val="000000" w:themeColor="text1"/>
        </w:rPr>
        <w:lastRenderedPageBreak/>
        <w:t xml:space="preserve">byla posuzována opodstatněnost nabytí majetku z hlediska potřebnosti pro zabezpečení činnosti </w:t>
      </w:r>
      <w:r w:rsidR="00231219" w:rsidRPr="00EB1327">
        <w:rPr>
          <w:rFonts w:asciiTheme="minorHAnsi" w:hAnsiTheme="minorHAnsi" w:cs="Calibri"/>
          <w:color w:val="000000" w:themeColor="text1"/>
        </w:rPr>
        <w:t>NÚDZ</w:t>
      </w:r>
      <w:r w:rsidRPr="00EB1327">
        <w:rPr>
          <w:rFonts w:asciiTheme="minorHAnsi" w:hAnsiTheme="minorHAnsi" w:cs="Calibri"/>
          <w:color w:val="000000" w:themeColor="text1"/>
        </w:rPr>
        <w:t xml:space="preserve"> a dále</w:t>
      </w:r>
      <w:r w:rsidR="0024629F">
        <w:rPr>
          <w:rFonts w:asciiTheme="minorHAnsi" w:hAnsiTheme="minorHAnsi" w:cs="Calibri"/>
          <w:color w:val="000000" w:themeColor="text1"/>
        </w:rPr>
        <w:t xml:space="preserve"> bylo kontrolou ověřováno</w:t>
      </w:r>
      <w:r w:rsidRPr="00EB1327">
        <w:rPr>
          <w:rFonts w:asciiTheme="minorHAnsi" w:hAnsiTheme="minorHAnsi" w:cs="Calibri"/>
          <w:color w:val="000000" w:themeColor="text1"/>
        </w:rPr>
        <w:t>, zda zadávání veřejných zakázek probíhalo v</w:t>
      </w:r>
      <w:r w:rsidR="0024629F">
        <w:rPr>
          <w:rFonts w:asciiTheme="minorHAnsi" w:hAnsiTheme="minorHAnsi" w:cs="Calibri"/>
          <w:color w:val="000000" w:themeColor="text1"/>
        </w:rPr>
        <w:t> </w:t>
      </w:r>
      <w:r w:rsidRPr="00EB1327">
        <w:rPr>
          <w:rFonts w:asciiTheme="minorHAnsi" w:hAnsiTheme="minorHAnsi" w:cs="Calibri"/>
          <w:color w:val="000000" w:themeColor="text1"/>
        </w:rPr>
        <w:t>souladu s postupy stanovenými zákonem č. 137/2006 Sb.</w:t>
      </w:r>
      <w:r w:rsidR="00297F6A" w:rsidRPr="00EB1327">
        <w:rPr>
          <w:rStyle w:val="Znakapoznpodarou"/>
          <w:rFonts w:asciiTheme="minorHAnsi" w:hAnsiTheme="minorHAnsi" w:cs="Calibri"/>
          <w:color w:val="000000" w:themeColor="text1"/>
        </w:rPr>
        <w:footnoteReference w:id="11"/>
      </w:r>
    </w:p>
    <w:p w14:paraId="2EFEA0B2" w14:textId="77777777" w:rsidR="00204195" w:rsidRPr="00EB1327" w:rsidRDefault="00204195" w:rsidP="0066675E">
      <w:pPr>
        <w:autoSpaceDE w:val="0"/>
        <w:autoSpaceDN w:val="0"/>
        <w:adjustRightInd w:val="0"/>
        <w:spacing w:before="120"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Kontrolováno bylo také dodržování postupů </w:t>
      </w:r>
      <w:r w:rsidRPr="00EB1327">
        <w:rPr>
          <w:rFonts w:asciiTheme="minorHAnsi" w:hAnsiTheme="minorHAnsi" w:cstheme="minorHAnsi"/>
          <w:color w:val="000000" w:themeColor="text1"/>
          <w:lang w:eastAsia="cs-CZ"/>
        </w:rPr>
        <w:t>při čerpání účelové podpory formou dotace v oblasti výzkumu, vývoje a inovací dle zákona č. 130/2002 Sb.</w:t>
      </w:r>
      <w:r w:rsidRPr="00EB1327">
        <w:rPr>
          <w:rStyle w:val="Znakapoznpodarou"/>
          <w:rFonts w:asciiTheme="minorHAnsi" w:eastAsiaTheme="majorEastAsia" w:hAnsiTheme="minorHAnsi" w:cstheme="minorHAnsi"/>
          <w:color w:val="000000" w:themeColor="text1"/>
          <w:lang w:eastAsia="cs-CZ"/>
        </w:rPr>
        <w:footnoteReference w:id="12"/>
      </w:r>
    </w:p>
    <w:p w14:paraId="7967A3F4" w14:textId="77777777" w:rsidR="00204195" w:rsidRPr="00EB1327" w:rsidRDefault="00204195" w:rsidP="0066675E">
      <w:pPr>
        <w:spacing w:before="120" w:after="120"/>
        <w:jc w:val="both"/>
        <w:rPr>
          <w:rFonts w:asciiTheme="minorHAnsi" w:hAnsiTheme="minorHAnsi" w:cstheme="minorHAnsi"/>
          <w:color w:val="000000" w:themeColor="text1"/>
          <w:lang w:eastAsia="cs-CZ"/>
        </w:rPr>
      </w:pPr>
      <w:r w:rsidRPr="00EB1327">
        <w:rPr>
          <w:rFonts w:asciiTheme="minorHAnsi" w:hAnsiTheme="minorHAnsi" w:cstheme="minorHAnsi"/>
          <w:color w:val="000000" w:themeColor="text1"/>
        </w:rPr>
        <w:t xml:space="preserve">Kontrolní činnost se zaměřila i na zjištění účinnosti a přiměřenosti vnitřního kontrolního systému, definovaného v zákoně č. </w:t>
      </w:r>
      <w:r w:rsidRPr="00EB1327">
        <w:rPr>
          <w:rFonts w:asciiTheme="minorHAnsi" w:hAnsiTheme="minorHAnsi" w:cstheme="minorHAnsi"/>
          <w:color w:val="000000" w:themeColor="text1"/>
          <w:lang w:eastAsia="cs-CZ"/>
        </w:rPr>
        <w:t>320/2001 Sb.</w:t>
      </w:r>
      <w:r w:rsidR="0040303A" w:rsidRPr="00EB1327">
        <w:rPr>
          <w:rStyle w:val="Znakapoznpodarou"/>
          <w:rFonts w:asciiTheme="minorHAnsi" w:hAnsiTheme="minorHAnsi" w:cstheme="minorHAnsi"/>
          <w:color w:val="000000" w:themeColor="text1"/>
          <w:lang w:eastAsia="cs-CZ"/>
        </w:rPr>
        <w:footnoteReference w:id="13"/>
      </w:r>
      <w:r w:rsidRPr="00EB1327">
        <w:rPr>
          <w:rFonts w:asciiTheme="minorHAnsi" w:hAnsiTheme="minorHAnsi" w:cstheme="minorHAnsi"/>
          <w:color w:val="000000" w:themeColor="text1"/>
          <w:lang w:eastAsia="cs-CZ"/>
        </w:rPr>
        <w:t xml:space="preserve"> </w:t>
      </w:r>
    </w:p>
    <w:p w14:paraId="1809B8EF" w14:textId="77777777" w:rsidR="00D45C11" w:rsidRPr="00EB1327" w:rsidRDefault="00D45C11" w:rsidP="0066675E">
      <w:pPr>
        <w:spacing w:before="120"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Kontrole na Ministerstvu zdravotnictví byla podrobena činnost ministerstva jako zřizovatele příspěvkové organizace Národní ústav duševního zdraví, zejména způsob a rozsah zajištění fin</w:t>
      </w:r>
      <w:r w:rsidR="00FD302F" w:rsidRPr="00EB1327">
        <w:rPr>
          <w:rFonts w:asciiTheme="minorHAnsi" w:hAnsiTheme="minorHAnsi" w:cstheme="minorHAnsi"/>
          <w:color w:val="000000" w:themeColor="text1"/>
        </w:rPr>
        <w:t xml:space="preserve">ancování jeho činnosti. </w:t>
      </w:r>
    </w:p>
    <w:p w14:paraId="480874E0" w14:textId="77777777" w:rsidR="00204195" w:rsidRPr="00EB1327" w:rsidRDefault="00204195" w:rsidP="0066675E">
      <w:pPr>
        <w:spacing w:before="120" w:after="120"/>
        <w:jc w:val="both"/>
        <w:rPr>
          <w:rFonts w:asciiTheme="minorHAnsi" w:hAnsiTheme="minorHAnsi" w:cs="Arial"/>
          <w:color w:val="000000" w:themeColor="text1"/>
        </w:rPr>
      </w:pPr>
      <w:r w:rsidRPr="00EB1327">
        <w:rPr>
          <w:rFonts w:asciiTheme="minorHAnsi" w:hAnsiTheme="minorHAnsi" w:cs="Arial"/>
          <w:color w:val="000000" w:themeColor="text1"/>
        </w:rPr>
        <w:t xml:space="preserve">Hodnota kontrolovaného majetku za kontrolované období činila 532 159 317,55 Kč. </w:t>
      </w:r>
    </w:p>
    <w:p w14:paraId="07789D3B" w14:textId="77777777" w:rsidR="00204195" w:rsidRPr="00EB1327" w:rsidRDefault="00204195" w:rsidP="0066675E">
      <w:pPr>
        <w:jc w:val="both"/>
        <w:rPr>
          <w:rFonts w:asciiTheme="minorHAnsi" w:hAnsiTheme="minorHAnsi" w:cs="Arial"/>
          <w:color w:val="000000" w:themeColor="text1"/>
        </w:rPr>
      </w:pPr>
      <w:r w:rsidRPr="00EB1327">
        <w:rPr>
          <w:rFonts w:asciiTheme="minorHAnsi" w:hAnsiTheme="minorHAnsi" w:cs="Arial"/>
          <w:color w:val="000000" w:themeColor="text1"/>
          <w:spacing w:val="-2"/>
        </w:rPr>
        <w:t>Objem kontrolovaných finančních prostředků za kontrolované období činil 9 667 013 Kč</w:t>
      </w:r>
      <w:r w:rsidR="00FD302F" w:rsidRPr="00EB1327">
        <w:rPr>
          <w:rFonts w:asciiTheme="minorHAnsi" w:hAnsiTheme="minorHAnsi" w:cs="Arial"/>
          <w:color w:val="000000" w:themeColor="text1"/>
        </w:rPr>
        <w:t>.</w:t>
      </w:r>
    </w:p>
    <w:p w14:paraId="39348A78" w14:textId="77777777" w:rsidR="00323E9F" w:rsidRPr="00EB1327" w:rsidRDefault="00323E9F" w:rsidP="0066675E">
      <w:pPr>
        <w:rPr>
          <w:rFonts w:asciiTheme="minorHAnsi" w:hAnsiTheme="minorHAnsi" w:cs="Arial"/>
          <w:color w:val="000000" w:themeColor="text1"/>
        </w:rPr>
      </w:pPr>
    </w:p>
    <w:p w14:paraId="2FB0F39D" w14:textId="77777777" w:rsidR="000A4509" w:rsidRPr="00EB1327" w:rsidRDefault="000A4509" w:rsidP="0066675E">
      <w:pPr>
        <w:rPr>
          <w:rFonts w:asciiTheme="minorHAnsi" w:hAnsiTheme="minorHAnsi" w:cs="Arial"/>
          <w:color w:val="000000" w:themeColor="text1"/>
        </w:rPr>
      </w:pPr>
    </w:p>
    <w:p w14:paraId="327E9598" w14:textId="77777777" w:rsidR="00204195" w:rsidRPr="00EB1327" w:rsidRDefault="00204195" w:rsidP="0066675E">
      <w:pPr>
        <w:spacing w:before="120" w:after="120"/>
        <w:ind w:left="624" w:hanging="624"/>
        <w:jc w:val="center"/>
        <w:rPr>
          <w:rFonts w:asciiTheme="minorHAnsi" w:hAnsiTheme="minorHAnsi" w:cs="Calibri"/>
          <w:b/>
          <w:noProof w:val="0"/>
          <w:color w:val="000000" w:themeColor="text1"/>
          <w:sz w:val="28"/>
          <w:szCs w:val="28"/>
          <w:lang w:eastAsia="cs-CZ"/>
        </w:rPr>
      </w:pPr>
      <w:r w:rsidRPr="00EB1327">
        <w:rPr>
          <w:rFonts w:asciiTheme="minorHAnsi" w:hAnsiTheme="minorHAnsi" w:cs="Calibri"/>
          <w:b/>
          <w:noProof w:val="0"/>
          <w:color w:val="000000" w:themeColor="text1"/>
          <w:sz w:val="28"/>
          <w:szCs w:val="28"/>
          <w:lang w:eastAsia="cs-CZ"/>
        </w:rPr>
        <w:t>IV. Podrobnosti ke zjištěným skutečnostem</w:t>
      </w:r>
    </w:p>
    <w:p w14:paraId="3D3DAD9A" w14:textId="77777777" w:rsidR="000225F6" w:rsidRPr="00BD58F9" w:rsidRDefault="00BD58F9" w:rsidP="0066675E">
      <w:pPr>
        <w:spacing w:before="120" w:after="120"/>
        <w:jc w:val="both"/>
        <w:rPr>
          <w:b/>
          <w:color w:val="000000" w:themeColor="text1"/>
        </w:rPr>
      </w:pPr>
      <w:r>
        <w:rPr>
          <w:b/>
          <w:color w:val="000000" w:themeColor="text1"/>
        </w:rPr>
        <w:t xml:space="preserve">1. </w:t>
      </w:r>
      <w:r w:rsidR="00204195" w:rsidRPr="00BD58F9">
        <w:rPr>
          <w:b/>
          <w:color w:val="000000" w:themeColor="text1"/>
        </w:rPr>
        <w:t>Účtování o majetku</w:t>
      </w:r>
      <w:r w:rsidR="006E39CB" w:rsidRPr="00BD58F9">
        <w:rPr>
          <w:b/>
          <w:color w:val="000000" w:themeColor="text1"/>
        </w:rPr>
        <w:t xml:space="preserve"> </w:t>
      </w:r>
    </w:p>
    <w:p w14:paraId="0239CE6E" w14:textId="0F8E63B2" w:rsidR="00204195" w:rsidRPr="00EB1327" w:rsidRDefault="00204195" w:rsidP="0066675E">
      <w:pPr>
        <w:spacing w:before="120" w:after="120"/>
        <w:jc w:val="both"/>
        <w:rPr>
          <w:rFonts w:asciiTheme="minorHAnsi" w:hAnsiTheme="minorHAnsi" w:cstheme="minorHAnsi"/>
          <w:color w:val="000000" w:themeColor="text1"/>
        </w:rPr>
      </w:pPr>
      <w:r w:rsidRPr="00EB1327">
        <w:rPr>
          <w:color w:val="000000" w:themeColor="text1"/>
        </w:rPr>
        <w:t xml:space="preserve">Kontrola se zaměřila na </w:t>
      </w:r>
      <w:r w:rsidR="0024629F">
        <w:rPr>
          <w:color w:val="000000" w:themeColor="text1"/>
        </w:rPr>
        <w:t>ověření</w:t>
      </w:r>
      <w:r w:rsidRPr="00EB1327">
        <w:rPr>
          <w:color w:val="000000" w:themeColor="text1"/>
        </w:rPr>
        <w:t xml:space="preserve">, zda </w:t>
      </w:r>
      <w:r w:rsidR="00231219" w:rsidRPr="00EB1327">
        <w:rPr>
          <w:color w:val="000000" w:themeColor="text1"/>
        </w:rPr>
        <w:t>NÚDZ</w:t>
      </w:r>
      <w:r w:rsidRPr="00EB1327">
        <w:rPr>
          <w:color w:val="000000" w:themeColor="text1"/>
        </w:rPr>
        <w:t xml:space="preserve"> v souvislosti s pořizováním majetku dodržuje účetní postupy a metody stanovené zákonem o účetnictví a prováděcími předpisy. </w:t>
      </w:r>
    </w:p>
    <w:p w14:paraId="7EB1117F" w14:textId="77777777" w:rsidR="000225F6" w:rsidRPr="00EB1327" w:rsidRDefault="000225F6" w:rsidP="0066675E">
      <w:pPr>
        <w:shd w:val="clear" w:color="auto" w:fill="FFFFFF" w:themeFill="background1"/>
        <w:spacing w:before="120" w:after="120"/>
        <w:jc w:val="both"/>
        <w:rPr>
          <w:b/>
          <w:color w:val="000000" w:themeColor="text1"/>
        </w:rPr>
      </w:pPr>
      <w:r w:rsidRPr="00EB1327">
        <w:rPr>
          <w:b/>
          <w:color w:val="000000" w:themeColor="text1"/>
          <w:shd w:val="clear" w:color="auto" w:fill="FFFFFF" w:themeFill="background1"/>
        </w:rPr>
        <w:t xml:space="preserve">Nová budova </w:t>
      </w:r>
      <w:r w:rsidR="00231219" w:rsidRPr="00EB1327">
        <w:rPr>
          <w:b/>
          <w:color w:val="000000" w:themeColor="text1"/>
          <w:shd w:val="clear" w:color="auto" w:fill="FFFFFF" w:themeFill="background1"/>
        </w:rPr>
        <w:t>NÚDZ</w:t>
      </w:r>
    </w:p>
    <w:p w14:paraId="69F9368A" w14:textId="3D12ED73" w:rsidR="00204195" w:rsidRPr="00EB1327" w:rsidRDefault="00231219" w:rsidP="0066675E">
      <w:pPr>
        <w:shd w:val="clear" w:color="auto" w:fill="FFFFFF" w:themeFill="background1"/>
        <w:autoSpaceDE w:val="0"/>
        <w:autoSpaceDN w:val="0"/>
        <w:adjustRightInd w:val="0"/>
        <w:spacing w:before="120"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NÚDZ</w:t>
      </w:r>
      <w:r w:rsidR="00204195" w:rsidRPr="00EB1327">
        <w:rPr>
          <w:rFonts w:asciiTheme="minorHAnsi" w:hAnsiTheme="minorHAnsi" w:cstheme="minorHAnsi"/>
          <w:color w:val="000000" w:themeColor="text1"/>
        </w:rPr>
        <w:t xml:space="preserve"> postupoval v rozporu se zákonem o účetnictví, když o pořízení stavby a interiéru budovy neúčtoval ve správné výši a ke dni, kdy byl </w:t>
      </w:r>
      <w:r w:rsidR="00F71A7C" w:rsidRPr="00EB1327">
        <w:rPr>
          <w:rFonts w:asciiTheme="minorHAnsi" w:hAnsiTheme="minorHAnsi" w:cstheme="minorHAnsi"/>
          <w:color w:val="000000" w:themeColor="text1"/>
        </w:rPr>
        <w:t xml:space="preserve">majetek </w:t>
      </w:r>
      <w:r w:rsidR="00204195" w:rsidRPr="00EB1327">
        <w:rPr>
          <w:rFonts w:asciiTheme="minorHAnsi" w:hAnsiTheme="minorHAnsi" w:cstheme="minorHAnsi"/>
          <w:color w:val="000000" w:themeColor="text1"/>
        </w:rPr>
        <w:t>způsobilý k užívání, ale až s více než ročním zpožděním, pořizovací cenu stavby určil nesprávně, chybně účtoval o dalším majetku v souvislosti se stavbou, jako o majetku účtoval i o službách, nezahájil odpisování řádně a včas</w:t>
      </w:r>
      <w:r w:rsidR="0024629F">
        <w:rPr>
          <w:rFonts w:asciiTheme="minorHAnsi" w:hAnsiTheme="minorHAnsi" w:cstheme="minorHAnsi"/>
          <w:color w:val="000000" w:themeColor="text1"/>
        </w:rPr>
        <w:t>,</w:t>
      </w:r>
      <w:r w:rsidR="00204195" w:rsidRPr="00EB1327">
        <w:rPr>
          <w:rFonts w:asciiTheme="minorHAnsi" w:hAnsiTheme="minorHAnsi" w:cstheme="minorHAnsi"/>
          <w:color w:val="000000" w:themeColor="text1"/>
        </w:rPr>
        <w:t xml:space="preserve"> a ovlivnil tak výši odpisů z majetku a tím i výši nákladů </w:t>
      </w:r>
      <w:r w:rsidRPr="00EB1327">
        <w:rPr>
          <w:rFonts w:asciiTheme="minorHAnsi" w:hAnsiTheme="minorHAnsi" w:cstheme="minorHAnsi"/>
          <w:color w:val="000000" w:themeColor="text1"/>
        </w:rPr>
        <w:t>NÚDZ</w:t>
      </w:r>
      <w:r w:rsidR="00204195" w:rsidRPr="00EB1327">
        <w:rPr>
          <w:rFonts w:asciiTheme="minorHAnsi" w:hAnsiTheme="minorHAnsi" w:cstheme="minorHAnsi"/>
          <w:color w:val="000000" w:themeColor="text1"/>
        </w:rPr>
        <w:t xml:space="preserve">. </w:t>
      </w:r>
    </w:p>
    <w:p w14:paraId="18AE3137" w14:textId="77777777" w:rsidR="00AA0956" w:rsidRPr="00EB1327" w:rsidRDefault="00204195" w:rsidP="0066675E">
      <w:pPr>
        <w:shd w:val="clear" w:color="auto" w:fill="FFFFFF" w:themeFill="background1"/>
        <w:autoSpaceDE w:val="0"/>
        <w:autoSpaceDN w:val="0"/>
        <w:adjustRightInd w:val="0"/>
        <w:spacing w:before="120"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Stavba v Klecanech byla dokončena a zkolaudována dne 24. 11. 2014. O pořízení budovy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účtoval na účet 021 – </w:t>
      </w:r>
      <w:r w:rsidRPr="00EB1327">
        <w:rPr>
          <w:rFonts w:asciiTheme="minorHAnsi" w:hAnsiTheme="minorHAnsi" w:cstheme="minorHAnsi"/>
          <w:i/>
          <w:color w:val="000000" w:themeColor="text1"/>
        </w:rPr>
        <w:t>Stavby</w:t>
      </w:r>
      <w:r w:rsidR="00AA0956" w:rsidRPr="00EB1327">
        <w:rPr>
          <w:rFonts w:asciiTheme="minorHAnsi" w:hAnsiTheme="minorHAnsi" w:cstheme="minorHAnsi"/>
          <w:color w:val="000000" w:themeColor="text1"/>
        </w:rPr>
        <w:t xml:space="preserve"> </w:t>
      </w:r>
      <w:r w:rsidRPr="00EB1327">
        <w:rPr>
          <w:rFonts w:asciiTheme="minorHAnsi" w:hAnsiTheme="minorHAnsi" w:cstheme="minorHAnsi"/>
          <w:color w:val="000000" w:themeColor="text1"/>
        </w:rPr>
        <w:t xml:space="preserve">nesprávně až s více než ročním </w:t>
      </w:r>
      <w:r w:rsidR="00AA0956" w:rsidRPr="00EB1327">
        <w:rPr>
          <w:rFonts w:asciiTheme="minorHAnsi" w:hAnsiTheme="minorHAnsi" w:cstheme="minorHAnsi"/>
          <w:color w:val="000000" w:themeColor="text1"/>
        </w:rPr>
        <w:t xml:space="preserve">zpožděním ke dni 31. 12. 2015. </w:t>
      </w:r>
    </w:p>
    <w:p w14:paraId="6DA2BFBA" w14:textId="73CD1C08" w:rsidR="00204195" w:rsidRPr="00EB1327" w:rsidRDefault="00231219" w:rsidP="0066675E">
      <w:pPr>
        <w:shd w:val="clear" w:color="auto" w:fill="FFFFFF" w:themeFill="background1"/>
        <w:spacing w:before="120" w:after="120"/>
        <w:jc w:val="both"/>
        <w:rPr>
          <w:color w:val="000000" w:themeColor="text1"/>
        </w:rPr>
      </w:pPr>
      <w:r w:rsidRPr="00EB1327">
        <w:rPr>
          <w:color w:val="000000" w:themeColor="text1"/>
        </w:rPr>
        <w:t>NÚDZ</w:t>
      </w:r>
      <w:r w:rsidR="00204195" w:rsidRPr="00EB1327">
        <w:rPr>
          <w:color w:val="000000" w:themeColor="text1"/>
        </w:rPr>
        <w:t xml:space="preserve"> chybně ocenil </w:t>
      </w:r>
      <w:r w:rsidR="00F71A7C" w:rsidRPr="00EB1327">
        <w:rPr>
          <w:color w:val="000000" w:themeColor="text1"/>
        </w:rPr>
        <w:t>majetek „</w:t>
      </w:r>
      <w:r w:rsidR="0024629F">
        <w:rPr>
          <w:color w:val="000000" w:themeColor="text1"/>
        </w:rPr>
        <w:t>b</w:t>
      </w:r>
      <w:r w:rsidR="00204195" w:rsidRPr="00EB1327">
        <w:rPr>
          <w:color w:val="000000" w:themeColor="text1"/>
        </w:rPr>
        <w:t>udov</w:t>
      </w:r>
      <w:r w:rsidR="00F71A7C" w:rsidRPr="00EB1327">
        <w:rPr>
          <w:color w:val="000000" w:themeColor="text1"/>
        </w:rPr>
        <w:t>a</w:t>
      </w:r>
      <w:r w:rsidR="00204195" w:rsidRPr="00EB1327">
        <w:rPr>
          <w:color w:val="000000" w:themeColor="text1"/>
        </w:rPr>
        <w:t xml:space="preserve"> </w:t>
      </w:r>
      <w:r w:rsidRPr="00EB1327">
        <w:rPr>
          <w:color w:val="000000" w:themeColor="text1"/>
        </w:rPr>
        <w:t>NÚDZ</w:t>
      </w:r>
      <w:r w:rsidR="00F71A7C" w:rsidRPr="00EB1327">
        <w:rPr>
          <w:color w:val="000000" w:themeColor="text1"/>
        </w:rPr>
        <w:t>“</w:t>
      </w:r>
      <w:r w:rsidR="00204195" w:rsidRPr="00EB1327">
        <w:rPr>
          <w:color w:val="000000" w:themeColor="text1"/>
        </w:rPr>
        <w:t xml:space="preserve">, když nesprávně stanovil jednotlivé náklady, které vstupují do pořizovací ceny. </w:t>
      </w:r>
      <w:r w:rsidR="00AA0956" w:rsidRPr="00EB1327">
        <w:rPr>
          <w:color w:val="000000" w:themeColor="text1"/>
        </w:rPr>
        <w:t>NÚDZ zaúčtoval majetek „</w:t>
      </w:r>
      <w:r w:rsidR="0024629F">
        <w:rPr>
          <w:color w:val="000000" w:themeColor="text1"/>
        </w:rPr>
        <w:t>b</w:t>
      </w:r>
      <w:r w:rsidR="00AA0956" w:rsidRPr="00EB1327">
        <w:rPr>
          <w:color w:val="000000" w:themeColor="text1"/>
        </w:rPr>
        <w:t>udova NÚDZ“ v pořizovací ceně 419 193 068 Kč, tj. o 2 262 080 Kč nižší, než činily náklady na pořízení majetku ve výši 421 455 148 Kč (včetně ocenění technické</w:t>
      </w:r>
      <w:r w:rsidR="00AA0956" w:rsidRPr="00EB1327">
        <w:rPr>
          <w:color w:val="000000" w:themeColor="text1"/>
          <w:shd w:val="clear" w:color="auto" w:fill="FFFFFF" w:themeFill="background1"/>
        </w:rPr>
        <w:t>ho</w:t>
      </w:r>
      <w:r w:rsidR="00AA0956" w:rsidRPr="00EB1327">
        <w:rPr>
          <w:color w:val="000000" w:themeColor="text1"/>
        </w:rPr>
        <w:t xml:space="preserve"> zhodnocení realizovaného v roce 2015) vyčíslené skupinou kontrolujících.</w:t>
      </w:r>
    </w:p>
    <w:p w14:paraId="17A23DFB" w14:textId="6A4592EB" w:rsidR="00204195" w:rsidRPr="00EB1327" w:rsidRDefault="00204195" w:rsidP="0066675E">
      <w:pPr>
        <w:shd w:val="clear" w:color="auto" w:fill="FFFFFF" w:themeFill="background1"/>
        <w:spacing w:before="120" w:after="120"/>
        <w:jc w:val="both"/>
        <w:rPr>
          <w:color w:val="000000" w:themeColor="text1"/>
        </w:rPr>
      </w:pPr>
      <w:r w:rsidRPr="00EB1327">
        <w:rPr>
          <w:color w:val="000000" w:themeColor="text1"/>
        </w:rPr>
        <w:t xml:space="preserve">Rozdíl ve výši ocenění budovy </w:t>
      </w:r>
      <w:r w:rsidR="0024629F">
        <w:rPr>
          <w:color w:val="000000" w:themeColor="text1"/>
        </w:rPr>
        <w:t>byl</w:t>
      </w:r>
      <w:r w:rsidRPr="00EB1327">
        <w:rPr>
          <w:color w:val="000000" w:themeColor="text1"/>
        </w:rPr>
        <w:t xml:space="preserve"> způsoben tím, že </w:t>
      </w:r>
      <w:r w:rsidR="00231219" w:rsidRPr="00EB1327">
        <w:rPr>
          <w:color w:val="000000" w:themeColor="text1"/>
          <w:shd w:val="clear" w:color="auto" w:fill="FFFFFF" w:themeFill="background1"/>
        </w:rPr>
        <w:t>NÚDZ</w:t>
      </w:r>
      <w:r w:rsidR="00AA0956" w:rsidRPr="00EB1327">
        <w:rPr>
          <w:color w:val="000000" w:themeColor="text1"/>
          <w:shd w:val="clear" w:color="auto" w:fill="FFFFFF" w:themeFill="background1"/>
        </w:rPr>
        <w:t xml:space="preserve"> např.:</w:t>
      </w:r>
    </w:p>
    <w:p w14:paraId="46307FF4" w14:textId="3CF6935E" w:rsidR="00204195" w:rsidRPr="007550FC" w:rsidRDefault="00204195" w:rsidP="007550FC">
      <w:pPr>
        <w:pStyle w:val="Odstavecseseznamem"/>
        <w:numPr>
          <w:ilvl w:val="0"/>
          <w:numId w:val="41"/>
        </w:numPr>
        <w:shd w:val="clear" w:color="auto" w:fill="FFFFFF" w:themeFill="background1"/>
        <w:spacing w:after="120"/>
        <w:ind w:left="284" w:hanging="284"/>
        <w:jc w:val="both"/>
        <w:rPr>
          <w:color w:val="000000" w:themeColor="text1"/>
        </w:rPr>
      </w:pPr>
      <w:r w:rsidRPr="007550FC">
        <w:rPr>
          <w:color w:val="000000" w:themeColor="text1"/>
          <w:u w:val="single"/>
        </w:rPr>
        <w:t>zahrnul</w:t>
      </w:r>
      <w:r w:rsidRPr="007550FC">
        <w:rPr>
          <w:color w:val="000000" w:themeColor="text1"/>
        </w:rPr>
        <w:t xml:space="preserve"> do pořizovací ceny budovy</w:t>
      </w:r>
      <w:r w:rsidR="0024629F">
        <w:rPr>
          <w:color w:val="000000" w:themeColor="text1"/>
        </w:rPr>
        <w:t>:</w:t>
      </w:r>
    </w:p>
    <w:p w14:paraId="4DA98F34" w14:textId="3565CBDC" w:rsidR="00204195" w:rsidRPr="00EB1327" w:rsidRDefault="00204195" w:rsidP="0066675E">
      <w:pPr>
        <w:pStyle w:val="Odstavecseseznamem"/>
        <w:numPr>
          <w:ilvl w:val="0"/>
          <w:numId w:val="31"/>
        </w:numPr>
        <w:shd w:val="clear" w:color="auto" w:fill="FFFFFF" w:themeFill="background1"/>
        <w:spacing w:after="120"/>
        <w:ind w:left="709" w:hanging="349"/>
        <w:jc w:val="both"/>
        <w:rPr>
          <w:color w:val="000000" w:themeColor="text1"/>
        </w:rPr>
      </w:pPr>
      <w:r w:rsidRPr="00EB1327">
        <w:rPr>
          <w:color w:val="000000" w:themeColor="text1"/>
        </w:rPr>
        <w:t xml:space="preserve">572 359,04 Kč </w:t>
      </w:r>
      <w:r w:rsidR="0024629F">
        <w:rPr>
          <w:color w:val="000000" w:themeColor="text1"/>
        </w:rPr>
        <w:t xml:space="preserve">jakožto </w:t>
      </w:r>
      <w:r w:rsidRPr="00EB1327">
        <w:rPr>
          <w:color w:val="000000" w:themeColor="text1"/>
        </w:rPr>
        <w:t>náklady na právní služby poskytnuté v roce 2014, které nesouvisely s výstavbou budovy;</w:t>
      </w:r>
    </w:p>
    <w:p w14:paraId="7CE79661" w14:textId="199F6079" w:rsidR="00204195" w:rsidRPr="00EB1327" w:rsidRDefault="00204195" w:rsidP="0066675E">
      <w:pPr>
        <w:pStyle w:val="Odstavecseseznamem"/>
        <w:numPr>
          <w:ilvl w:val="0"/>
          <w:numId w:val="31"/>
        </w:numPr>
        <w:shd w:val="clear" w:color="auto" w:fill="FFFFFF" w:themeFill="background1"/>
        <w:spacing w:after="120"/>
        <w:jc w:val="both"/>
        <w:rPr>
          <w:color w:val="000000" w:themeColor="text1"/>
        </w:rPr>
      </w:pPr>
      <w:r w:rsidRPr="00EB1327">
        <w:rPr>
          <w:color w:val="000000" w:themeColor="text1"/>
        </w:rPr>
        <w:lastRenderedPageBreak/>
        <w:t xml:space="preserve">1 925 073,70 Kč </w:t>
      </w:r>
      <w:r w:rsidR="0024629F">
        <w:rPr>
          <w:color w:val="000000" w:themeColor="text1"/>
        </w:rPr>
        <w:t xml:space="preserve">jakožto </w:t>
      </w:r>
      <w:r w:rsidRPr="00EB1327">
        <w:rPr>
          <w:color w:val="000000" w:themeColor="text1"/>
        </w:rPr>
        <w:t>náklady na právní služby poskytnuté v roce 2015, které nesouvisely s výstavbou budovy (např. právní služby v souvislosti s VZ na pořízení software a tiskáren, lékařských přístrojů a laboratoří, nábytku, vybavení grafického studia, právní servis při jednání s ÚOHS);</w:t>
      </w:r>
    </w:p>
    <w:p w14:paraId="5B80F4EF" w14:textId="35758A11" w:rsidR="00204195" w:rsidRPr="00EB1327" w:rsidRDefault="00204195" w:rsidP="0066675E">
      <w:pPr>
        <w:pStyle w:val="Odstavecseseznamem"/>
        <w:numPr>
          <w:ilvl w:val="0"/>
          <w:numId w:val="31"/>
        </w:numPr>
        <w:spacing w:after="120"/>
        <w:ind w:left="709" w:hanging="352"/>
        <w:contextualSpacing w:val="0"/>
        <w:jc w:val="both"/>
        <w:rPr>
          <w:color w:val="000000" w:themeColor="text1"/>
        </w:rPr>
      </w:pPr>
      <w:r w:rsidRPr="00EB1327">
        <w:rPr>
          <w:color w:val="000000" w:themeColor="text1"/>
        </w:rPr>
        <w:t xml:space="preserve">164 318,00 Kč </w:t>
      </w:r>
      <w:r w:rsidR="0024629F">
        <w:rPr>
          <w:color w:val="000000" w:themeColor="text1"/>
        </w:rPr>
        <w:t xml:space="preserve">jakožto </w:t>
      </w:r>
      <w:r w:rsidRPr="00EB1327">
        <w:rPr>
          <w:color w:val="000000" w:themeColor="text1"/>
        </w:rPr>
        <w:t>náklady na pořízení pokladního a skladového systému v roce 2015;</w:t>
      </w:r>
    </w:p>
    <w:p w14:paraId="7D414BAA" w14:textId="6B01317E" w:rsidR="00204195" w:rsidRPr="007550FC" w:rsidRDefault="00204195" w:rsidP="007550FC">
      <w:pPr>
        <w:pStyle w:val="Odstavecseseznamem"/>
        <w:numPr>
          <w:ilvl w:val="0"/>
          <w:numId w:val="41"/>
        </w:numPr>
        <w:spacing w:after="120"/>
        <w:ind w:left="284" w:hanging="284"/>
        <w:jc w:val="both"/>
        <w:rPr>
          <w:color w:val="000000" w:themeColor="text1"/>
        </w:rPr>
      </w:pPr>
      <w:r w:rsidRPr="007550FC">
        <w:rPr>
          <w:color w:val="000000" w:themeColor="text1"/>
          <w:u w:val="single"/>
        </w:rPr>
        <w:t>nezahrnul</w:t>
      </w:r>
      <w:r w:rsidRPr="007550FC">
        <w:rPr>
          <w:color w:val="000000" w:themeColor="text1"/>
        </w:rPr>
        <w:t xml:space="preserve"> do pořizovací ceny budovy</w:t>
      </w:r>
      <w:r w:rsidR="0024629F">
        <w:rPr>
          <w:color w:val="000000" w:themeColor="text1"/>
        </w:rPr>
        <w:t>:</w:t>
      </w:r>
    </w:p>
    <w:p w14:paraId="4D00A69A" w14:textId="4248E86A" w:rsidR="00204195" w:rsidRPr="00EB1327" w:rsidRDefault="00204195" w:rsidP="0066675E">
      <w:pPr>
        <w:pStyle w:val="Odstavecseseznamem"/>
        <w:numPr>
          <w:ilvl w:val="0"/>
          <w:numId w:val="33"/>
        </w:numPr>
        <w:spacing w:after="120"/>
        <w:ind w:left="709"/>
        <w:jc w:val="both"/>
        <w:rPr>
          <w:color w:val="000000" w:themeColor="text1"/>
        </w:rPr>
      </w:pPr>
      <w:r w:rsidRPr="00EB1327">
        <w:rPr>
          <w:color w:val="000000" w:themeColor="text1"/>
        </w:rPr>
        <w:t xml:space="preserve">813 543,50 Kč </w:t>
      </w:r>
      <w:r w:rsidR="0024629F">
        <w:rPr>
          <w:color w:val="000000" w:themeColor="text1"/>
        </w:rPr>
        <w:t xml:space="preserve">jakožto </w:t>
      </w:r>
      <w:r w:rsidRPr="00EB1327">
        <w:rPr>
          <w:color w:val="000000" w:themeColor="text1"/>
        </w:rPr>
        <w:t>náklady za poskytnuté služby v souvislosti s výstavbou budovy;</w:t>
      </w:r>
    </w:p>
    <w:p w14:paraId="2D0446E0" w14:textId="22E9D30A" w:rsidR="00204195" w:rsidRPr="00EB1327" w:rsidRDefault="00204195" w:rsidP="0066675E">
      <w:pPr>
        <w:pStyle w:val="Odstavecseseznamem"/>
        <w:numPr>
          <w:ilvl w:val="0"/>
          <w:numId w:val="33"/>
        </w:numPr>
        <w:spacing w:after="120"/>
        <w:ind w:left="709" w:hanging="357"/>
        <w:contextualSpacing w:val="0"/>
        <w:jc w:val="both"/>
        <w:rPr>
          <w:color w:val="000000" w:themeColor="text1"/>
        </w:rPr>
      </w:pPr>
      <w:r w:rsidRPr="00EB1327">
        <w:rPr>
          <w:color w:val="000000" w:themeColor="text1"/>
        </w:rPr>
        <w:t xml:space="preserve">4 110 287,14 Kč </w:t>
      </w:r>
      <w:r w:rsidR="0024629F">
        <w:rPr>
          <w:color w:val="000000" w:themeColor="text1"/>
        </w:rPr>
        <w:t xml:space="preserve">jakožto </w:t>
      </w:r>
      <w:r w:rsidRPr="00EB1327">
        <w:rPr>
          <w:color w:val="000000" w:themeColor="text1"/>
        </w:rPr>
        <w:t xml:space="preserve">náklady za dodaný majetek, který je součástí stavby. </w:t>
      </w:r>
    </w:p>
    <w:p w14:paraId="181FCC8E" w14:textId="4C649171" w:rsidR="00204195" w:rsidRPr="00EB1327" w:rsidRDefault="00231219" w:rsidP="0066675E">
      <w:pPr>
        <w:spacing w:after="120"/>
        <w:jc w:val="both"/>
        <w:rPr>
          <w:color w:val="000000" w:themeColor="text1"/>
        </w:rPr>
      </w:pPr>
      <w:r w:rsidRPr="00EB1327">
        <w:rPr>
          <w:color w:val="000000" w:themeColor="text1"/>
        </w:rPr>
        <w:t>NÚDZ</w:t>
      </w:r>
      <w:r w:rsidR="00204195" w:rsidRPr="00EB1327">
        <w:rPr>
          <w:color w:val="000000" w:themeColor="text1"/>
        </w:rPr>
        <w:t xml:space="preserve"> nepostupoval v souladu </w:t>
      </w:r>
      <w:r w:rsidR="00204195" w:rsidRPr="00EB1327">
        <w:rPr>
          <w:color w:val="000000" w:themeColor="text1"/>
          <w:shd w:val="clear" w:color="auto" w:fill="FFFFFF" w:themeFill="background1"/>
        </w:rPr>
        <w:t>s</w:t>
      </w:r>
      <w:r w:rsidR="00CF0EFE" w:rsidRPr="00EB1327">
        <w:rPr>
          <w:color w:val="000000" w:themeColor="text1"/>
          <w:shd w:val="clear" w:color="auto" w:fill="FFFFFF" w:themeFill="background1"/>
        </w:rPr>
        <w:t>e zákonem</w:t>
      </w:r>
      <w:r w:rsidR="00204195" w:rsidRPr="00EB1327">
        <w:rPr>
          <w:color w:val="000000" w:themeColor="text1"/>
        </w:rPr>
        <w:t xml:space="preserve"> o účetnictví, neboť</w:t>
      </w:r>
      <w:r w:rsidR="0024629F">
        <w:rPr>
          <w:color w:val="000000" w:themeColor="text1"/>
        </w:rPr>
        <w:t>:</w:t>
      </w:r>
      <w:r w:rsidR="00204195" w:rsidRPr="00EB1327">
        <w:rPr>
          <w:color w:val="000000" w:themeColor="text1"/>
        </w:rPr>
        <w:t xml:space="preserve"> </w:t>
      </w:r>
    </w:p>
    <w:p w14:paraId="16F71A83" w14:textId="492C864D" w:rsidR="00204195" w:rsidRPr="00EB1327" w:rsidRDefault="00204195" w:rsidP="007550FC">
      <w:pPr>
        <w:pStyle w:val="Odstavecseseznamem"/>
        <w:numPr>
          <w:ilvl w:val="0"/>
          <w:numId w:val="42"/>
        </w:numPr>
        <w:spacing w:after="120"/>
        <w:ind w:left="284" w:hanging="284"/>
        <w:jc w:val="both"/>
        <w:rPr>
          <w:color w:val="000000" w:themeColor="text1"/>
        </w:rPr>
      </w:pPr>
      <w:r w:rsidRPr="00EB1327">
        <w:rPr>
          <w:color w:val="000000" w:themeColor="text1"/>
        </w:rPr>
        <w:t>do ocenění budovy zahrnul náklady, které nesouvisely s jejím pořízením (právní služby a</w:t>
      </w:r>
      <w:r w:rsidR="00F959F4">
        <w:rPr>
          <w:color w:val="000000" w:themeColor="text1"/>
        </w:rPr>
        <w:t> </w:t>
      </w:r>
      <w:r w:rsidRPr="00EB1327">
        <w:rPr>
          <w:color w:val="000000" w:themeColor="text1"/>
        </w:rPr>
        <w:t xml:space="preserve">náklady na pokladní a skladový systém), a naopak </w:t>
      </w:r>
    </w:p>
    <w:p w14:paraId="20C0CC8A" w14:textId="77777777" w:rsidR="00204195" w:rsidRPr="00EB1327" w:rsidRDefault="00204195" w:rsidP="007550FC">
      <w:pPr>
        <w:pStyle w:val="Odstavecseseznamem"/>
        <w:numPr>
          <w:ilvl w:val="0"/>
          <w:numId w:val="42"/>
        </w:numPr>
        <w:spacing w:after="120"/>
        <w:ind w:left="284" w:hanging="284"/>
        <w:jc w:val="both"/>
        <w:rPr>
          <w:color w:val="000000" w:themeColor="text1"/>
        </w:rPr>
      </w:pPr>
      <w:r w:rsidRPr="00EB1327">
        <w:rPr>
          <w:color w:val="000000" w:themeColor="text1"/>
        </w:rPr>
        <w:t>do pořizovací ceny nezahrnul některé náklady související s pořízením budovy a náklady na pořízení majetku, který tvoří nedílnou součást budovy,</w:t>
      </w:r>
    </w:p>
    <w:p w14:paraId="1F737F69" w14:textId="77777777" w:rsidR="00204195" w:rsidRPr="00EB1327" w:rsidRDefault="00204195" w:rsidP="007550FC">
      <w:pPr>
        <w:pStyle w:val="Odstavecseseznamem"/>
        <w:numPr>
          <w:ilvl w:val="0"/>
          <w:numId w:val="42"/>
        </w:numPr>
        <w:spacing w:after="120"/>
        <w:ind w:left="284" w:hanging="284"/>
        <w:jc w:val="both"/>
        <w:rPr>
          <w:color w:val="000000" w:themeColor="text1"/>
        </w:rPr>
      </w:pPr>
      <w:r w:rsidRPr="00EB1327">
        <w:rPr>
          <w:color w:val="000000" w:themeColor="text1"/>
        </w:rPr>
        <w:t xml:space="preserve">nezvýšil ocenění budovy o technické zhodnocení ve výši 17 325 251,27 Kč. </w:t>
      </w:r>
    </w:p>
    <w:p w14:paraId="2CEB983E" w14:textId="4C29012D" w:rsidR="00204195" w:rsidRPr="00EB1327" w:rsidRDefault="00231219" w:rsidP="0066675E">
      <w:pPr>
        <w:autoSpaceDE w:val="0"/>
        <w:autoSpaceDN w:val="0"/>
        <w:adjustRightInd w:val="0"/>
        <w:spacing w:before="120"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NÚDZ</w:t>
      </w:r>
      <w:r w:rsidR="00204195" w:rsidRPr="00EB1327">
        <w:rPr>
          <w:rFonts w:asciiTheme="minorHAnsi" w:hAnsiTheme="minorHAnsi" w:cstheme="minorHAnsi"/>
          <w:color w:val="000000" w:themeColor="text1"/>
        </w:rPr>
        <w:t xml:space="preserve"> v letech 2014 až 2016 ovlivnil výši odpisů </w:t>
      </w:r>
      <w:r w:rsidR="00AA0956" w:rsidRPr="00EB1327">
        <w:rPr>
          <w:rFonts w:asciiTheme="minorHAnsi" w:hAnsiTheme="minorHAnsi" w:cstheme="minorHAnsi"/>
          <w:color w:val="000000" w:themeColor="text1"/>
        </w:rPr>
        <w:t>b</w:t>
      </w:r>
      <w:r w:rsidR="00204195" w:rsidRPr="00EB1327">
        <w:rPr>
          <w:rFonts w:asciiTheme="minorHAnsi" w:hAnsiTheme="minorHAnsi" w:cstheme="minorHAnsi"/>
          <w:color w:val="000000" w:themeColor="text1"/>
        </w:rPr>
        <w:t xml:space="preserve">udovy </w:t>
      </w:r>
      <w:r w:rsidRPr="00EB1327">
        <w:rPr>
          <w:rFonts w:asciiTheme="minorHAnsi" w:hAnsiTheme="minorHAnsi" w:cstheme="minorHAnsi"/>
          <w:color w:val="000000" w:themeColor="text1"/>
        </w:rPr>
        <w:t>NÚDZ</w:t>
      </w:r>
      <w:r w:rsidR="00581CBF" w:rsidRPr="00EB1327">
        <w:rPr>
          <w:rFonts w:asciiTheme="minorHAnsi" w:hAnsiTheme="minorHAnsi" w:cstheme="minorHAnsi"/>
          <w:color w:val="000000" w:themeColor="text1"/>
        </w:rPr>
        <w:t xml:space="preserve"> tím, že nezařadil stavbu do</w:t>
      </w:r>
      <w:r w:rsidR="00F959F4">
        <w:rPr>
          <w:rFonts w:asciiTheme="minorHAnsi" w:hAnsiTheme="minorHAnsi" w:cstheme="minorHAnsi"/>
          <w:color w:val="000000" w:themeColor="text1"/>
        </w:rPr>
        <w:t xml:space="preserve"> </w:t>
      </w:r>
      <w:r w:rsidR="00204195" w:rsidRPr="00EB1327">
        <w:rPr>
          <w:rFonts w:asciiTheme="minorHAnsi" w:hAnsiTheme="minorHAnsi" w:cstheme="minorHAnsi"/>
          <w:color w:val="000000" w:themeColor="text1"/>
        </w:rPr>
        <w:t xml:space="preserve">užívání ke dni kolaudace stavby, ale až </w:t>
      </w:r>
      <w:r w:rsidR="00CF0EFE" w:rsidRPr="00EB1327">
        <w:rPr>
          <w:rFonts w:asciiTheme="minorHAnsi" w:hAnsiTheme="minorHAnsi" w:cstheme="minorHAnsi"/>
          <w:color w:val="000000" w:themeColor="text1"/>
          <w:shd w:val="clear" w:color="auto" w:fill="FFFFFF" w:themeFill="background1"/>
        </w:rPr>
        <w:t xml:space="preserve">o </w:t>
      </w:r>
      <w:r w:rsidR="00204195" w:rsidRPr="00EB1327">
        <w:rPr>
          <w:rFonts w:asciiTheme="minorHAnsi" w:hAnsiTheme="minorHAnsi" w:cstheme="minorHAnsi"/>
          <w:color w:val="000000" w:themeColor="text1"/>
          <w:shd w:val="clear" w:color="auto" w:fill="FFFFFF" w:themeFill="background1"/>
        </w:rPr>
        <w:t>13</w:t>
      </w:r>
      <w:r w:rsidR="00204195" w:rsidRPr="00EB1327">
        <w:rPr>
          <w:rFonts w:asciiTheme="minorHAnsi" w:hAnsiTheme="minorHAnsi" w:cstheme="minorHAnsi"/>
          <w:color w:val="000000" w:themeColor="text1"/>
        </w:rPr>
        <w:t xml:space="preserve"> měsíců později, odpisování </w:t>
      </w:r>
      <w:r w:rsidR="00AA0956" w:rsidRPr="00EB1327">
        <w:rPr>
          <w:rFonts w:asciiTheme="minorHAnsi" w:hAnsiTheme="minorHAnsi" w:cstheme="minorHAnsi"/>
          <w:color w:val="000000" w:themeColor="text1"/>
        </w:rPr>
        <w:t>b</w:t>
      </w:r>
      <w:r w:rsidR="00204195" w:rsidRPr="00EB1327">
        <w:rPr>
          <w:rFonts w:asciiTheme="minorHAnsi" w:hAnsiTheme="minorHAnsi" w:cstheme="minorHAnsi"/>
          <w:color w:val="000000" w:themeColor="text1"/>
        </w:rPr>
        <w:t xml:space="preserve">udovy </w:t>
      </w:r>
      <w:r w:rsidRPr="00EB1327">
        <w:rPr>
          <w:rFonts w:asciiTheme="minorHAnsi" w:hAnsiTheme="minorHAnsi" w:cstheme="minorHAnsi"/>
          <w:color w:val="000000" w:themeColor="text1"/>
        </w:rPr>
        <w:t>NÚDZ</w:t>
      </w:r>
      <w:r w:rsidR="00204195" w:rsidRPr="00EB1327">
        <w:rPr>
          <w:rFonts w:asciiTheme="minorHAnsi" w:hAnsiTheme="minorHAnsi" w:cstheme="minorHAnsi"/>
          <w:color w:val="000000" w:themeColor="text1"/>
        </w:rPr>
        <w:t xml:space="preserve"> zahájil od 1. 1. 2016 z nesprávně stanovené pořizovací ceny majetku a neúčtoval o technickém zhodnocení majetku provedeném v roce 2015.</w:t>
      </w:r>
    </w:p>
    <w:p w14:paraId="653C45BB" w14:textId="5C1F06F1" w:rsidR="00204195" w:rsidRPr="00EB1327" w:rsidRDefault="00231219" w:rsidP="0066675E">
      <w:pPr>
        <w:autoSpaceDE w:val="0"/>
        <w:autoSpaceDN w:val="0"/>
        <w:adjustRightInd w:val="0"/>
        <w:spacing w:before="120"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NÚDZ</w:t>
      </w:r>
      <w:r w:rsidR="00204195" w:rsidRPr="00EB1327">
        <w:rPr>
          <w:rFonts w:asciiTheme="minorHAnsi" w:hAnsiTheme="minorHAnsi" w:cstheme="minorHAnsi"/>
          <w:color w:val="000000" w:themeColor="text1"/>
        </w:rPr>
        <w:t xml:space="preserve"> nepostupoval v souladu s ustanovením § 3 odst. 1, § 28 odst. 1 zákona č. 563/1991 Sb., neboť v účetních knihách roku 2014 neúčtoval o zařazení </w:t>
      </w:r>
      <w:r w:rsidR="00AA0956" w:rsidRPr="00EB1327">
        <w:rPr>
          <w:rFonts w:asciiTheme="minorHAnsi" w:hAnsiTheme="minorHAnsi" w:cstheme="minorHAnsi"/>
          <w:color w:val="000000" w:themeColor="text1"/>
        </w:rPr>
        <w:t>b</w:t>
      </w:r>
      <w:r w:rsidR="00204195" w:rsidRPr="00EB1327">
        <w:rPr>
          <w:rFonts w:asciiTheme="minorHAnsi" w:hAnsiTheme="minorHAnsi" w:cstheme="minorHAnsi"/>
          <w:color w:val="000000" w:themeColor="text1"/>
        </w:rPr>
        <w:t xml:space="preserve">udovy </w:t>
      </w:r>
      <w:r w:rsidRPr="00EB1327">
        <w:rPr>
          <w:rFonts w:asciiTheme="minorHAnsi" w:hAnsiTheme="minorHAnsi" w:cstheme="minorHAnsi"/>
          <w:color w:val="000000" w:themeColor="text1"/>
        </w:rPr>
        <w:t>NÚDZ</w:t>
      </w:r>
      <w:r w:rsidR="00204195" w:rsidRPr="00EB1327">
        <w:rPr>
          <w:rFonts w:asciiTheme="minorHAnsi" w:hAnsiTheme="minorHAnsi" w:cstheme="minorHAnsi"/>
          <w:color w:val="000000" w:themeColor="text1"/>
        </w:rPr>
        <w:t xml:space="preserve"> v pořizovací ceně 404 129 896,73 Kč </w:t>
      </w:r>
      <w:r w:rsidR="00F959F4">
        <w:rPr>
          <w:rFonts w:asciiTheme="minorHAnsi" w:hAnsiTheme="minorHAnsi" w:cstheme="minorHAnsi"/>
          <w:color w:val="000000" w:themeColor="text1"/>
        </w:rPr>
        <w:t xml:space="preserve">do užívání </w:t>
      </w:r>
      <w:r w:rsidR="00204195" w:rsidRPr="00EB1327">
        <w:rPr>
          <w:rFonts w:asciiTheme="minorHAnsi" w:hAnsiTheme="minorHAnsi" w:cstheme="minorHAnsi"/>
          <w:color w:val="000000" w:themeColor="text1"/>
        </w:rPr>
        <w:t>a vykázal tento majetek jako nedokončený, ačkoliv se jednalo o</w:t>
      </w:r>
      <w:r w:rsidR="00F959F4">
        <w:rPr>
          <w:rFonts w:asciiTheme="minorHAnsi" w:hAnsiTheme="minorHAnsi" w:cstheme="minorHAnsi"/>
          <w:color w:val="000000" w:themeColor="text1"/>
        </w:rPr>
        <w:t> </w:t>
      </w:r>
      <w:r w:rsidR="00204195" w:rsidRPr="00EB1327">
        <w:rPr>
          <w:rFonts w:asciiTheme="minorHAnsi" w:hAnsiTheme="minorHAnsi" w:cstheme="minorHAnsi"/>
          <w:color w:val="000000" w:themeColor="text1"/>
        </w:rPr>
        <w:t xml:space="preserve">majetek, který </w:t>
      </w:r>
      <w:r w:rsidR="00AA0956" w:rsidRPr="00EB1327">
        <w:rPr>
          <w:rFonts w:asciiTheme="minorHAnsi" w:hAnsiTheme="minorHAnsi" w:cstheme="minorHAnsi"/>
          <w:color w:val="000000" w:themeColor="text1"/>
          <w:shd w:val="clear" w:color="auto" w:fill="FFFFFF" w:themeFill="background1"/>
        </w:rPr>
        <w:t>již</w:t>
      </w:r>
      <w:r w:rsidR="00AA0956" w:rsidRPr="00EB1327">
        <w:rPr>
          <w:rFonts w:asciiTheme="minorHAnsi" w:hAnsiTheme="minorHAnsi" w:cstheme="minorHAnsi"/>
          <w:color w:val="000000" w:themeColor="text1"/>
        </w:rPr>
        <w:t xml:space="preserve"> </w:t>
      </w:r>
      <w:r w:rsidR="00204195" w:rsidRPr="00EB1327">
        <w:rPr>
          <w:rFonts w:asciiTheme="minorHAnsi" w:hAnsiTheme="minorHAnsi" w:cstheme="minorHAnsi"/>
          <w:color w:val="000000" w:themeColor="text1"/>
        </w:rPr>
        <w:t xml:space="preserve">byl způsobilý k užívání. </w:t>
      </w:r>
    </w:p>
    <w:p w14:paraId="544C1483" w14:textId="6D8DA0B4" w:rsidR="00204195" w:rsidRPr="00EB1327" w:rsidRDefault="00204195" w:rsidP="0066675E">
      <w:pPr>
        <w:autoSpaceDE w:val="0"/>
        <w:autoSpaceDN w:val="0"/>
        <w:adjustRightInd w:val="0"/>
        <w:spacing w:before="120"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Nezařazení majetku do užívání ke dni jeho uvedení do stavu způsobilého k užívání </w:t>
      </w:r>
      <w:r w:rsidR="00F959F4">
        <w:rPr>
          <w:rFonts w:asciiTheme="minorHAnsi" w:hAnsiTheme="minorHAnsi" w:cstheme="minorHAnsi"/>
          <w:color w:val="000000" w:themeColor="text1"/>
        </w:rPr>
        <w:t>a </w:t>
      </w:r>
      <w:r w:rsidRPr="00EB1327">
        <w:rPr>
          <w:rFonts w:asciiTheme="minorHAnsi" w:hAnsiTheme="minorHAnsi" w:cstheme="minorHAnsi"/>
          <w:color w:val="000000" w:themeColor="text1"/>
        </w:rPr>
        <w:t xml:space="preserve">neúčtování o technickém zhodnocení budovy ve spojení s nesprávně stanovenou pořizovací cenou vedlo ve svém důsledku k tomu, že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zaúčtoval odpisy dlouhodobého majetku v</w:t>
      </w:r>
      <w:r w:rsidR="00F959F4">
        <w:rPr>
          <w:rFonts w:asciiTheme="minorHAnsi" w:hAnsiTheme="minorHAnsi" w:cstheme="minorHAnsi"/>
          <w:color w:val="000000" w:themeColor="text1"/>
        </w:rPr>
        <w:t> </w:t>
      </w:r>
      <w:r w:rsidRPr="00EB1327">
        <w:rPr>
          <w:rFonts w:asciiTheme="minorHAnsi" w:hAnsiTheme="minorHAnsi" w:cstheme="minorHAnsi"/>
          <w:color w:val="000000" w:themeColor="text1"/>
        </w:rPr>
        <w:t>účetních knihách roku 2014 v částce o 420 969 Kč nižší, než měl zaúčtovat, v účetních knihách roku 2015 v částce o 5 051 628 Kč nižší, než měl zaúčtovat</w:t>
      </w:r>
      <w:r w:rsidR="00F959F4">
        <w:rPr>
          <w:rFonts w:asciiTheme="minorHAnsi" w:hAnsiTheme="minorHAnsi" w:cstheme="minorHAnsi"/>
          <w:color w:val="000000" w:themeColor="text1"/>
        </w:rPr>
        <w:t>,</w:t>
      </w:r>
      <w:r w:rsidRPr="00EB1327">
        <w:rPr>
          <w:rFonts w:asciiTheme="minorHAnsi" w:hAnsiTheme="minorHAnsi" w:cstheme="minorHAnsi"/>
          <w:color w:val="000000" w:themeColor="text1"/>
        </w:rPr>
        <w:t xml:space="preserve"> a</w:t>
      </w:r>
      <w:r w:rsidR="004323B6">
        <w:rPr>
          <w:rFonts w:asciiTheme="minorHAnsi" w:hAnsiTheme="minorHAnsi" w:cstheme="minorHAnsi"/>
          <w:color w:val="000000" w:themeColor="text1"/>
        </w:rPr>
        <w:t xml:space="preserve"> v účetních knihách roku 2016 v </w:t>
      </w:r>
      <w:r w:rsidRPr="00EB1327">
        <w:rPr>
          <w:rFonts w:asciiTheme="minorHAnsi" w:hAnsiTheme="minorHAnsi" w:cstheme="minorHAnsi"/>
          <w:color w:val="000000" w:themeColor="text1"/>
        </w:rPr>
        <w:t>částce o 28 272 Kč nižší, než měl zaúčtovat.</w:t>
      </w:r>
    </w:p>
    <w:p w14:paraId="05BBCFEB" w14:textId="3EB5129C" w:rsidR="00204195" w:rsidRPr="00EB1327" w:rsidRDefault="00204195" w:rsidP="0066675E">
      <w:pPr>
        <w:autoSpaceDE w:val="0"/>
        <w:autoSpaceDN w:val="0"/>
        <w:adjustRightInd w:val="0"/>
        <w:spacing w:before="120"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Dále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neúčtoval o nevyfakturovaných dodávkách – nákladech</w:t>
      </w:r>
      <w:r w:rsidR="00F959F4">
        <w:rPr>
          <w:rFonts w:asciiTheme="minorHAnsi" w:hAnsiTheme="minorHAnsi" w:cstheme="minorHAnsi"/>
          <w:color w:val="000000" w:themeColor="text1"/>
        </w:rPr>
        <w:t> –</w:t>
      </w:r>
      <w:r w:rsidRPr="00EB1327">
        <w:rPr>
          <w:rFonts w:asciiTheme="minorHAnsi" w:hAnsiTheme="minorHAnsi" w:cstheme="minorHAnsi"/>
          <w:color w:val="000000" w:themeColor="text1"/>
        </w:rPr>
        <w:t xml:space="preserve"> v souvislosti s výstavbou budovy (za stavební práce, architektonické práce, síťovou infrastrukturu a činnosti BOZP uskutečněné před datem kolaudace stavby) v celkové částce 77 823 523,30 Kč. </w:t>
      </w:r>
    </w:p>
    <w:p w14:paraId="1124142F" w14:textId="2B282D6A" w:rsidR="00204195" w:rsidRPr="00EB1327" w:rsidRDefault="00204195" w:rsidP="0066675E">
      <w:pPr>
        <w:autoSpaceDE w:val="0"/>
        <w:autoSpaceDN w:val="0"/>
        <w:adjustRightInd w:val="0"/>
        <w:spacing w:before="120"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Ve výkazech </w:t>
      </w:r>
      <w:r w:rsidR="00F959F4" w:rsidRPr="007550FC">
        <w:rPr>
          <w:rFonts w:asciiTheme="minorHAnsi" w:hAnsiTheme="minorHAnsi" w:cstheme="minorHAnsi"/>
          <w:i/>
          <w:color w:val="000000" w:themeColor="text1"/>
        </w:rPr>
        <w:t>r</w:t>
      </w:r>
      <w:r w:rsidRPr="007550FC">
        <w:rPr>
          <w:rFonts w:asciiTheme="minorHAnsi" w:hAnsiTheme="minorHAnsi" w:cstheme="minorHAnsi"/>
          <w:i/>
          <w:color w:val="000000" w:themeColor="text1"/>
        </w:rPr>
        <w:t>ozvaha</w:t>
      </w:r>
      <w:r w:rsidRPr="00EB1327">
        <w:rPr>
          <w:rFonts w:asciiTheme="minorHAnsi" w:hAnsiTheme="minorHAnsi" w:cstheme="minorHAnsi"/>
          <w:color w:val="000000" w:themeColor="text1"/>
        </w:rPr>
        <w:t xml:space="preserve"> a </w:t>
      </w:r>
      <w:r w:rsidR="00F959F4" w:rsidRPr="007550FC">
        <w:rPr>
          <w:rFonts w:asciiTheme="minorHAnsi" w:hAnsiTheme="minorHAnsi" w:cstheme="minorHAnsi"/>
          <w:i/>
          <w:color w:val="000000" w:themeColor="text1"/>
        </w:rPr>
        <w:t>v</w:t>
      </w:r>
      <w:r w:rsidRPr="007550FC">
        <w:rPr>
          <w:rFonts w:asciiTheme="minorHAnsi" w:hAnsiTheme="minorHAnsi" w:cstheme="minorHAnsi"/>
          <w:i/>
          <w:color w:val="000000" w:themeColor="text1"/>
        </w:rPr>
        <w:t>ýkaz zisku a ztráty</w:t>
      </w:r>
      <w:r w:rsidRPr="00EB1327">
        <w:rPr>
          <w:rFonts w:asciiTheme="minorHAnsi" w:hAnsiTheme="minorHAnsi" w:cstheme="minorHAnsi"/>
          <w:color w:val="000000" w:themeColor="text1"/>
        </w:rPr>
        <w:t xml:space="preserve"> tak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vykázal nesprávné údaje a jeho účetnictví nebylo v účetním období 2014 až 2016 správné a úplné ve smyslu ustanovení § 8 odst. 2 a odst. 3 zákona o účetnictví.</w:t>
      </w:r>
    </w:p>
    <w:p w14:paraId="65A4D55B" w14:textId="7170340B" w:rsidR="00204195" w:rsidRPr="00EB1327" w:rsidRDefault="00204195" w:rsidP="0066675E">
      <w:pPr>
        <w:spacing w:before="120" w:after="120"/>
        <w:jc w:val="both"/>
        <w:rPr>
          <w:color w:val="000000" w:themeColor="text1"/>
        </w:rPr>
      </w:pPr>
      <w:r w:rsidRPr="00EB1327">
        <w:rPr>
          <w:color w:val="000000" w:themeColor="text1"/>
        </w:rPr>
        <w:t xml:space="preserve">Kontrolou bylo zjištěno, že </w:t>
      </w:r>
      <w:r w:rsidR="00EA4E79" w:rsidRPr="00EB1327">
        <w:rPr>
          <w:color w:val="000000" w:themeColor="text1"/>
        </w:rPr>
        <w:t xml:space="preserve">NÚDZ </w:t>
      </w:r>
      <w:r w:rsidRPr="00EB1327">
        <w:rPr>
          <w:color w:val="000000" w:themeColor="text1"/>
        </w:rPr>
        <w:t xml:space="preserve">k 31. 12. 2015 kromě </w:t>
      </w:r>
      <w:r w:rsidR="00EA4E79" w:rsidRPr="00EB1327">
        <w:rPr>
          <w:color w:val="000000" w:themeColor="text1"/>
        </w:rPr>
        <w:t>„</w:t>
      </w:r>
      <w:r w:rsidR="00F959F4">
        <w:rPr>
          <w:color w:val="000000" w:themeColor="text1"/>
        </w:rPr>
        <w:t>b</w:t>
      </w:r>
      <w:r w:rsidRPr="00EB1327">
        <w:rPr>
          <w:color w:val="000000" w:themeColor="text1"/>
        </w:rPr>
        <w:t xml:space="preserve">udovy </w:t>
      </w:r>
      <w:r w:rsidR="00231219" w:rsidRPr="00EB1327">
        <w:rPr>
          <w:color w:val="000000" w:themeColor="text1"/>
        </w:rPr>
        <w:t>NÚDZ</w:t>
      </w:r>
      <w:r w:rsidR="00EA4E79" w:rsidRPr="00EB1327">
        <w:rPr>
          <w:color w:val="000000" w:themeColor="text1"/>
        </w:rPr>
        <w:t>“</w:t>
      </w:r>
      <w:r w:rsidRPr="00EB1327">
        <w:rPr>
          <w:color w:val="000000" w:themeColor="text1"/>
        </w:rPr>
        <w:t xml:space="preserve"> </w:t>
      </w:r>
      <w:r w:rsidR="00EA4E79" w:rsidRPr="00EB1327">
        <w:rPr>
          <w:color w:val="000000" w:themeColor="text1"/>
        </w:rPr>
        <w:t xml:space="preserve">zaúčtoval </w:t>
      </w:r>
      <w:r w:rsidRPr="00EB1327">
        <w:rPr>
          <w:color w:val="000000" w:themeColor="text1"/>
        </w:rPr>
        <w:t>na účet 021</w:t>
      </w:r>
      <w:r w:rsidRPr="00EB1327">
        <w:rPr>
          <w:i/>
          <w:color w:val="000000" w:themeColor="text1"/>
        </w:rPr>
        <w:t> – Stavby</w:t>
      </w:r>
      <w:r w:rsidRPr="00EB1327">
        <w:rPr>
          <w:color w:val="000000" w:themeColor="text1"/>
        </w:rPr>
        <w:t xml:space="preserve"> </w:t>
      </w:r>
      <w:r w:rsidR="007956F2" w:rsidRPr="00EB1327">
        <w:rPr>
          <w:color w:val="000000" w:themeColor="text1"/>
        </w:rPr>
        <w:t>chybně</w:t>
      </w:r>
      <w:r w:rsidRPr="00EB1327">
        <w:rPr>
          <w:color w:val="000000" w:themeColor="text1"/>
        </w:rPr>
        <w:t xml:space="preserve"> majetek a služby s názvem „</w:t>
      </w:r>
      <w:r w:rsidRPr="00EB1327">
        <w:rPr>
          <w:i/>
          <w:color w:val="000000" w:themeColor="text1"/>
        </w:rPr>
        <w:t>Budova NÚDZ – INTERIÉR</w:t>
      </w:r>
      <w:r w:rsidRPr="00EB1327">
        <w:rPr>
          <w:color w:val="000000" w:themeColor="text1"/>
        </w:rPr>
        <w:t xml:space="preserve">“ v celkové pořizovací ceně 28 889 372 Kč. Tento majetek </w:t>
      </w:r>
      <w:r w:rsidR="007956F2" w:rsidRPr="00EB1327">
        <w:rPr>
          <w:color w:val="000000" w:themeColor="text1"/>
        </w:rPr>
        <w:t xml:space="preserve">a služby </w:t>
      </w:r>
      <w:r w:rsidR="004323B6">
        <w:rPr>
          <w:color w:val="000000" w:themeColor="text1"/>
        </w:rPr>
        <w:t>dle zjišťovacího protokolu o </w:t>
      </w:r>
      <w:r w:rsidRPr="00EB1327">
        <w:rPr>
          <w:color w:val="000000" w:themeColor="text1"/>
        </w:rPr>
        <w:t xml:space="preserve">provedených stavebních pracích </w:t>
      </w:r>
      <w:r w:rsidR="00231219" w:rsidRPr="00EB1327">
        <w:rPr>
          <w:color w:val="000000" w:themeColor="text1"/>
        </w:rPr>
        <w:t>NÚDZ</w:t>
      </w:r>
      <w:r w:rsidRPr="00EB1327">
        <w:rPr>
          <w:color w:val="000000" w:themeColor="text1"/>
        </w:rPr>
        <w:t xml:space="preserve"> převzal 30. 11. 2014. Dle inventurního soupisu </w:t>
      </w:r>
      <w:r w:rsidR="004323B6">
        <w:rPr>
          <w:color w:val="000000" w:themeColor="text1"/>
          <w:shd w:val="clear" w:color="auto" w:fill="FFFFFF" w:themeFill="background1"/>
        </w:rPr>
        <w:t>o </w:t>
      </w:r>
      <w:r w:rsidR="008277AD" w:rsidRPr="00EB1327">
        <w:rPr>
          <w:color w:val="000000" w:themeColor="text1"/>
          <w:shd w:val="clear" w:color="auto" w:fill="FFFFFF" w:themeFill="background1"/>
        </w:rPr>
        <w:t>provedené inventuře k 31. 12. 2015</w:t>
      </w:r>
      <w:r w:rsidR="007956F2" w:rsidRPr="00EB1327">
        <w:rPr>
          <w:color w:val="000000" w:themeColor="text1"/>
          <w:shd w:val="clear" w:color="auto" w:fill="FFFFFF" w:themeFill="background1"/>
        </w:rPr>
        <w:t xml:space="preserve"> </w:t>
      </w:r>
      <w:r w:rsidR="007956F2" w:rsidRPr="00EB1327">
        <w:rPr>
          <w:color w:val="000000" w:themeColor="text1"/>
        </w:rPr>
        <w:t>se</w:t>
      </w:r>
      <w:r w:rsidR="00F959F4">
        <w:rPr>
          <w:color w:val="000000" w:themeColor="text1"/>
        </w:rPr>
        <w:t xml:space="preserve"> </w:t>
      </w:r>
      <w:r w:rsidRPr="00EB1327">
        <w:rPr>
          <w:color w:val="000000" w:themeColor="text1"/>
        </w:rPr>
        <w:t>jednalo celkem o 8 159 položek majetku a sl</w:t>
      </w:r>
      <w:r w:rsidR="00957C7D" w:rsidRPr="00EB1327">
        <w:rPr>
          <w:color w:val="000000" w:themeColor="text1"/>
        </w:rPr>
        <w:t>užeb s pořizovací cenou od </w:t>
      </w:r>
      <w:r w:rsidR="008277AD" w:rsidRPr="00EB1327">
        <w:rPr>
          <w:color w:val="000000" w:themeColor="text1"/>
        </w:rPr>
        <w:t>6,17 </w:t>
      </w:r>
      <w:r w:rsidR="007956F2" w:rsidRPr="00EB1327">
        <w:rPr>
          <w:color w:val="000000" w:themeColor="text1"/>
        </w:rPr>
        <w:t>Kč až po</w:t>
      </w:r>
      <w:r w:rsidR="00F959F4">
        <w:rPr>
          <w:color w:val="000000" w:themeColor="text1"/>
        </w:rPr>
        <w:t xml:space="preserve"> </w:t>
      </w:r>
      <w:r w:rsidRPr="00EB1327">
        <w:rPr>
          <w:color w:val="000000" w:themeColor="text1"/>
        </w:rPr>
        <w:t xml:space="preserve">545 105,00 Kč za položku. </w:t>
      </w:r>
    </w:p>
    <w:p w14:paraId="7F99EEAE" w14:textId="73009873" w:rsidR="00D16D7C" w:rsidRPr="00EB1327" w:rsidRDefault="00D16D7C" w:rsidP="0066675E">
      <w:pPr>
        <w:spacing w:before="120" w:after="120"/>
        <w:jc w:val="both"/>
        <w:rPr>
          <w:color w:val="000000" w:themeColor="text1"/>
        </w:rPr>
      </w:pPr>
      <w:r w:rsidRPr="00EB1327">
        <w:rPr>
          <w:rFonts w:asciiTheme="minorHAnsi" w:hAnsiTheme="minorHAnsi" w:cstheme="minorHAnsi"/>
          <w:color w:val="000000" w:themeColor="text1"/>
          <w:shd w:val="clear" w:color="auto" w:fill="FFFFFF" w:themeFill="background1"/>
        </w:rPr>
        <w:t xml:space="preserve">Na účet </w:t>
      </w:r>
      <w:r w:rsidRPr="00EB1327">
        <w:rPr>
          <w:color w:val="000000" w:themeColor="text1"/>
          <w:shd w:val="clear" w:color="auto" w:fill="FFFFFF" w:themeFill="background1"/>
        </w:rPr>
        <w:t xml:space="preserve">021 – </w:t>
      </w:r>
      <w:r w:rsidRPr="00EB1327">
        <w:rPr>
          <w:i/>
          <w:color w:val="000000" w:themeColor="text1"/>
          <w:shd w:val="clear" w:color="auto" w:fill="FFFFFF" w:themeFill="background1"/>
        </w:rPr>
        <w:t xml:space="preserve">Stavby </w:t>
      </w:r>
      <w:r w:rsidR="006D17DF" w:rsidRPr="00EB1327">
        <w:rPr>
          <w:color w:val="000000" w:themeColor="text1"/>
          <w:shd w:val="clear" w:color="auto" w:fill="FFFFFF" w:themeFill="background1"/>
        </w:rPr>
        <w:t xml:space="preserve">zaúčtoval NÚDZ celkem 1 606 položek majetku v celkové hodnotě 4 110 287,14 Kč (např. </w:t>
      </w:r>
      <w:r w:rsidR="004B7812" w:rsidRPr="00475F45">
        <w:rPr>
          <w:color w:val="000000" w:themeColor="text1"/>
          <w:shd w:val="clear" w:color="auto" w:fill="FFFFFF" w:themeFill="background1"/>
        </w:rPr>
        <w:t>„</w:t>
      </w:r>
      <w:r w:rsidR="008F5107" w:rsidRPr="00EB1327">
        <w:rPr>
          <w:i/>
          <w:color w:val="000000" w:themeColor="text1"/>
          <w:shd w:val="clear" w:color="auto" w:fill="FFFFFF" w:themeFill="background1"/>
        </w:rPr>
        <w:t>obklady stěn, podhledy, tapety</w:t>
      </w:r>
      <w:r w:rsidR="004B7812" w:rsidRPr="00475F45">
        <w:rPr>
          <w:color w:val="000000" w:themeColor="text1"/>
          <w:shd w:val="clear" w:color="auto" w:fill="FFFFFF" w:themeFill="background1"/>
        </w:rPr>
        <w:t>“</w:t>
      </w:r>
      <w:r w:rsidR="008F5107" w:rsidRPr="00EB1327">
        <w:rPr>
          <w:color w:val="000000" w:themeColor="text1"/>
          <w:shd w:val="clear" w:color="auto" w:fill="FFFFFF" w:themeFill="background1"/>
        </w:rPr>
        <w:t>)</w:t>
      </w:r>
      <w:r w:rsidR="006D17DF" w:rsidRPr="00EB1327">
        <w:rPr>
          <w:color w:val="000000" w:themeColor="text1"/>
          <w:shd w:val="clear" w:color="auto" w:fill="FFFFFF" w:themeFill="background1"/>
        </w:rPr>
        <w:t xml:space="preserve"> a 6 položek v celkové </w:t>
      </w:r>
      <w:r w:rsidR="006D17DF" w:rsidRPr="00EB1327">
        <w:rPr>
          <w:color w:val="000000" w:themeColor="text1"/>
        </w:rPr>
        <w:t>výši 813 543,50</w:t>
      </w:r>
      <w:r w:rsidR="00F959F4">
        <w:rPr>
          <w:color w:val="000000" w:themeColor="text1"/>
        </w:rPr>
        <w:t> </w:t>
      </w:r>
      <w:r w:rsidR="006D17DF" w:rsidRPr="00EB1327">
        <w:rPr>
          <w:color w:val="000000" w:themeColor="text1"/>
        </w:rPr>
        <w:t xml:space="preserve">Kč za služby související s výstavbou budovy (např. náklady za </w:t>
      </w:r>
      <w:r w:rsidR="006D17DF" w:rsidRPr="00475F45">
        <w:rPr>
          <w:color w:val="000000" w:themeColor="text1"/>
        </w:rPr>
        <w:t>„</w:t>
      </w:r>
      <w:r w:rsidR="006D17DF" w:rsidRPr="00EB1327">
        <w:rPr>
          <w:i/>
          <w:color w:val="000000" w:themeColor="text1"/>
        </w:rPr>
        <w:t>koordinace postupů prací s ostatními profesemi, přesun hmot, stavební výpomoci, úklidové práce, zpracování výrobní technické dokumentace, montážní práce a doprava</w:t>
      </w:r>
      <w:r w:rsidR="006D17DF" w:rsidRPr="00475F45">
        <w:rPr>
          <w:color w:val="000000" w:themeColor="text1"/>
        </w:rPr>
        <w:t>“</w:t>
      </w:r>
      <w:r w:rsidR="006D17DF" w:rsidRPr="00EB1327">
        <w:rPr>
          <w:color w:val="000000" w:themeColor="text1"/>
        </w:rPr>
        <w:t>)</w:t>
      </w:r>
      <w:r w:rsidR="006D17DF" w:rsidRPr="00EB1327">
        <w:rPr>
          <w:i/>
          <w:color w:val="000000" w:themeColor="text1"/>
        </w:rPr>
        <w:t xml:space="preserve">. </w:t>
      </w:r>
      <w:r w:rsidR="006D17DF" w:rsidRPr="00EB1327">
        <w:rPr>
          <w:color w:val="000000" w:themeColor="text1"/>
        </w:rPr>
        <w:t xml:space="preserve">Tyto náklady </w:t>
      </w:r>
      <w:r w:rsidR="006D17DF" w:rsidRPr="00EB1327">
        <w:rPr>
          <w:color w:val="000000" w:themeColor="text1"/>
          <w:shd w:val="clear" w:color="auto" w:fill="FFFFFF" w:themeFill="background1"/>
        </w:rPr>
        <w:t>měly být správně zahrnuty do pořizovací ceny budovy NÚDZ</w:t>
      </w:r>
      <w:r w:rsidR="006D17DF" w:rsidRPr="00EB1327">
        <w:rPr>
          <w:color w:val="000000" w:themeColor="text1"/>
        </w:rPr>
        <w:t xml:space="preserve">. </w:t>
      </w:r>
    </w:p>
    <w:p w14:paraId="4F667542" w14:textId="0F1D7831" w:rsidR="00204195" w:rsidRPr="00EB1327" w:rsidRDefault="00204195" w:rsidP="0066675E">
      <w:pPr>
        <w:spacing w:before="120" w:after="120"/>
        <w:jc w:val="both"/>
        <w:rPr>
          <w:color w:val="000000" w:themeColor="text1"/>
        </w:rPr>
      </w:pPr>
      <w:r w:rsidRPr="00EB1327">
        <w:rPr>
          <w:rFonts w:asciiTheme="minorHAnsi" w:hAnsiTheme="minorHAnsi" w:cstheme="minorHAnsi"/>
          <w:color w:val="000000" w:themeColor="text1"/>
        </w:rPr>
        <w:t xml:space="preserve">Z uvedených 8 159 ks položek majetku a služeb </w:t>
      </w:r>
      <w:r w:rsidRPr="00EB1327">
        <w:rPr>
          <w:color w:val="000000" w:themeColor="text1"/>
        </w:rPr>
        <w:t xml:space="preserve">nesplňovalo podmínky pro zaúčtování na účet 021 – </w:t>
      </w:r>
      <w:r w:rsidRPr="00EB1327">
        <w:rPr>
          <w:i/>
          <w:color w:val="000000" w:themeColor="text1"/>
        </w:rPr>
        <w:t xml:space="preserve">Stavby </w:t>
      </w:r>
      <w:r w:rsidRPr="00EB1327">
        <w:rPr>
          <w:color w:val="000000" w:themeColor="text1"/>
        </w:rPr>
        <w:t xml:space="preserve">celkem 6 547 ks položek v celkové pořizovací ceně 23 965 541 Kč. </w:t>
      </w:r>
    </w:p>
    <w:p w14:paraId="28AD3C1F" w14:textId="08B7E854" w:rsidR="000610B5" w:rsidRPr="00EB1327" w:rsidRDefault="00204195" w:rsidP="0066675E">
      <w:pPr>
        <w:spacing w:before="120" w:after="120"/>
        <w:jc w:val="both"/>
        <w:rPr>
          <w:color w:val="000000" w:themeColor="text1"/>
        </w:rPr>
      </w:pPr>
      <w:r w:rsidRPr="00EB1327">
        <w:rPr>
          <w:rFonts w:asciiTheme="minorHAnsi" w:hAnsiTheme="minorHAnsi" w:cstheme="minorHAnsi"/>
          <w:color w:val="000000" w:themeColor="text1"/>
        </w:rPr>
        <w:t xml:space="preserve">Na účet </w:t>
      </w:r>
      <w:r w:rsidRPr="00EB1327">
        <w:rPr>
          <w:color w:val="000000" w:themeColor="text1"/>
        </w:rPr>
        <w:t xml:space="preserve">021 – </w:t>
      </w:r>
      <w:r w:rsidRPr="00EB1327">
        <w:rPr>
          <w:i/>
          <w:color w:val="000000" w:themeColor="text1"/>
        </w:rPr>
        <w:t>Stavby</w:t>
      </w:r>
      <w:r w:rsidRPr="00EB1327">
        <w:rPr>
          <w:color w:val="000000" w:themeColor="text1"/>
        </w:rPr>
        <w:t xml:space="preserve"> zaúčtoval </w:t>
      </w:r>
      <w:r w:rsidR="00231219" w:rsidRPr="00EB1327">
        <w:rPr>
          <w:color w:val="000000" w:themeColor="text1"/>
        </w:rPr>
        <w:t>NÚDZ</w:t>
      </w:r>
      <w:r w:rsidRPr="00EB1327">
        <w:rPr>
          <w:color w:val="000000" w:themeColor="text1"/>
        </w:rPr>
        <w:t xml:space="preserve"> také celkem 2 941 položek samostatného majetku v celkové částce 2 982 043,22 Kč. Tento majetek měl být ke dni zařazení do užívání v listopadu roku 2014 zaúčtován </w:t>
      </w:r>
      <w:r w:rsidR="006873A8" w:rsidRPr="00EB1327">
        <w:rPr>
          <w:color w:val="000000" w:themeColor="text1"/>
          <w:shd w:val="clear" w:color="auto" w:fill="FFFFFF" w:themeFill="background1"/>
        </w:rPr>
        <w:t>do nákladů</w:t>
      </w:r>
      <w:r w:rsidR="006873A8" w:rsidRPr="00EB1327">
        <w:rPr>
          <w:color w:val="000000" w:themeColor="text1"/>
        </w:rPr>
        <w:t xml:space="preserve"> </w:t>
      </w:r>
      <w:r w:rsidRPr="00EB1327">
        <w:rPr>
          <w:color w:val="000000" w:themeColor="text1"/>
        </w:rPr>
        <w:t>na účet</w:t>
      </w:r>
      <w:r w:rsidR="00F959F4">
        <w:rPr>
          <w:color w:val="000000" w:themeColor="text1"/>
        </w:rPr>
        <w:t xml:space="preserve"> </w:t>
      </w:r>
      <w:r w:rsidRPr="00EB1327">
        <w:rPr>
          <w:color w:val="000000" w:themeColor="text1"/>
        </w:rPr>
        <w:t>501 </w:t>
      </w:r>
      <w:r w:rsidRPr="00EB1327">
        <w:rPr>
          <w:i/>
          <w:color w:val="000000" w:themeColor="text1"/>
        </w:rPr>
        <w:t>– Spotřeba materiálu</w:t>
      </w:r>
      <w:r w:rsidRPr="00475F45">
        <w:rPr>
          <w:color w:val="000000" w:themeColor="text1"/>
        </w:rPr>
        <w:t>,</w:t>
      </w:r>
      <w:r w:rsidRPr="00EB1327">
        <w:rPr>
          <w:i/>
          <w:color w:val="000000" w:themeColor="text1"/>
        </w:rPr>
        <w:t xml:space="preserve"> </w:t>
      </w:r>
      <w:r w:rsidR="006873A8" w:rsidRPr="00EB1327">
        <w:rPr>
          <w:color w:val="000000" w:themeColor="text1"/>
        </w:rPr>
        <w:t>jelikož se jednalo o </w:t>
      </w:r>
      <w:r w:rsidRPr="00EB1327">
        <w:rPr>
          <w:color w:val="000000" w:themeColor="text1"/>
        </w:rPr>
        <w:t xml:space="preserve">majetek, který nesplňuje ani podmínku dolní hranice pro vykazování na </w:t>
      </w:r>
      <w:r w:rsidR="006873A8" w:rsidRPr="00EB1327">
        <w:rPr>
          <w:color w:val="000000" w:themeColor="text1"/>
          <w:shd w:val="clear" w:color="auto" w:fill="FFFFFF" w:themeFill="background1"/>
        </w:rPr>
        <w:t>majetkovém</w:t>
      </w:r>
      <w:r w:rsidR="006873A8" w:rsidRPr="00EB1327">
        <w:rPr>
          <w:color w:val="000000" w:themeColor="text1"/>
        </w:rPr>
        <w:t xml:space="preserve"> </w:t>
      </w:r>
      <w:r w:rsidRPr="00EB1327">
        <w:rPr>
          <w:color w:val="000000" w:themeColor="text1"/>
        </w:rPr>
        <w:t xml:space="preserve">účtu 028 </w:t>
      </w:r>
      <w:r w:rsidRPr="00EB1327">
        <w:rPr>
          <w:i/>
          <w:color w:val="000000" w:themeColor="text1"/>
        </w:rPr>
        <w:t>– Drobný dlouhodobý hmotný majetek</w:t>
      </w:r>
      <w:r w:rsidR="00EA4E79" w:rsidRPr="00EB1327">
        <w:rPr>
          <w:color w:val="000000" w:themeColor="text1"/>
        </w:rPr>
        <w:t>.</w:t>
      </w:r>
      <w:r w:rsidR="006D17DF" w:rsidRPr="00EB1327">
        <w:rPr>
          <w:color w:val="000000" w:themeColor="text1"/>
        </w:rPr>
        <w:t xml:space="preserve"> </w:t>
      </w:r>
      <w:r w:rsidRPr="00EB1327">
        <w:rPr>
          <w:color w:val="000000" w:themeColor="text1"/>
        </w:rPr>
        <w:t>Jednalo se např.</w:t>
      </w:r>
      <w:r w:rsidR="00C8415D" w:rsidRPr="00EB1327">
        <w:rPr>
          <w:color w:val="000000" w:themeColor="text1"/>
        </w:rPr>
        <w:t xml:space="preserve"> o 500 ks ramínek na šaty, 500 </w:t>
      </w:r>
      <w:r w:rsidRPr="00EB1327">
        <w:rPr>
          <w:color w:val="000000" w:themeColor="text1"/>
        </w:rPr>
        <w:t xml:space="preserve">ks drobných předmětů na toaletách, 335 ks odpadkových košů, 140 ks květin, 198 ks obrazů. Dále byly na účet 021 – </w:t>
      </w:r>
      <w:r w:rsidRPr="00EB1327">
        <w:rPr>
          <w:i/>
          <w:color w:val="000000" w:themeColor="text1"/>
        </w:rPr>
        <w:t xml:space="preserve">Stavby </w:t>
      </w:r>
      <w:r w:rsidRPr="00EB1327">
        <w:rPr>
          <w:color w:val="000000" w:themeColor="text1"/>
        </w:rPr>
        <w:t xml:space="preserve">účtovány např. některé židle, šicí stroj, stojací lampy, vše v pořizovací ceně nižší než 3 000 Kč za jeden kus. </w:t>
      </w:r>
    </w:p>
    <w:p w14:paraId="18E82E42" w14:textId="1549C532" w:rsidR="00204195" w:rsidRPr="00EB1327" w:rsidRDefault="00231219" w:rsidP="0066675E">
      <w:pPr>
        <w:spacing w:before="120" w:after="120"/>
        <w:jc w:val="both"/>
        <w:rPr>
          <w:color w:val="000000" w:themeColor="text1"/>
        </w:rPr>
      </w:pPr>
      <w:r w:rsidRPr="00EB1327">
        <w:rPr>
          <w:color w:val="000000" w:themeColor="text1"/>
        </w:rPr>
        <w:t>NÚDZ</w:t>
      </w:r>
      <w:r w:rsidR="00204195" w:rsidRPr="00EB1327">
        <w:rPr>
          <w:color w:val="000000" w:themeColor="text1"/>
        </w:rPr>
        <w:t xml:space="preserve"> nesprávně tento majetek zaúčtoval na účet 042 – </w:t>
      </w:r>
      <w:r w:rsidR="00204195" w:rsidRPr="00EB1327">
        <w:rPr>
          <w:i/>
          <w:color w:val="000000" w:themeColor="text1"/>
        </w:rPr>
        <w:t>Nedokončený dlouhodobý hmotný majetek</w:t>
      </w:r>
      <w:r w:rsidR="00204195" w:rsidRPr="00EB1327">
        <w:rPr>
          <w:color w:val="000000" w:themeColor="text1"/>
        </w:rPr>
        <w:t xml:space="preserve">, kde jej evidoval až do 31. 12. 2015, tj. do doby jeho zaúčtování na účet 021 – </w:t>
      </w:r>
      <w:r w:rsidR="00204195" w:rsidRPr="00EB1327">
        <w:rPr>
          <w:i/>
          <w:color w:val="000000" w:themeColor="text1"/>
        </w:rPr>
        <w:t>Stavby</w:t>
      </w:r>
      <w:r w:rsidR="00204195" w:rsidRPr="00EB1327">
        <w:rPr>
          <w:color w:val="000000" w:themeColor="text1"/>
        </w:rPr>
        <w:t xml:space="preserve">. Od roku 2016 </w:t>
      </w:r>
      <w:r w:rsidRPr="00EB1327">
        <w:rPr>
          <w:color w:val="000000" w:themeColor="text1"/>
        </w:rPr>
        <w:t>NÚDZ</w:t>
      </w:r>
      <w:r w:rsidR="00204195" w:rsidRPr="00EB1327">
        <w:rPr>
          <w:color w:val="000000" w:themeColor="text1"/>
        </w:rPr>
        <w:t xml:space="preserve"> chybně zahájil u tohoto majetku odpis</w:t>
      </w:r>
      <w:r w:rsidR="000610B5" w:rsidRPr="00EB1327">
        <w:rPr>
          <w:color w:val="000000" w:themeColor="text1"/>
        </w:rPr>
        <w:t>ování a v roce 2016 provedl 100</w:t>
      </w:r>
      <w:r w:rsidR="00204195" w:rsidRPr="00EB1327">
        <w:rPr>
          <w:color w:val="000000" w:themeColor="text1"/>
        </w:rPr>
        <w:t>% odpis tohoto majetku.</w:t>
      </w:r>
    </w:p>
    <w:p w14:paraId="1E4347E9" w14:textId="77777777" w:rsidR="00204195" w:rsidRPr="00EB1327" w:rsidRDefault="00204195" w:rsidP="0066675E">
      <w:pPr>
        <w:shd w:val="clear" w:color="auto" w:fill="FFFFFF" w:themeFill="background1"/>
        <w:spacing w:before="120" w:after="120"/>
        <w:jc w:val="both"/>
        <w:rPr>
          <w:rFonts w:cs="Calibri"/>
          <w:color w:val="000000" w:themeColor="text1"/>
        </w:rPr>
      </w:pPr>
      <w:r w:rsidRPr="00EB1327">
        <w:rPr>
          <w:rFonts w:cs="Calibri"/>
          <w:color w:val="000000" w:themeColor="text1"/>
        </w:rPr>
        <w:t>Druhou skupinu majetku tvořilo 3 591 ks majetku v celkové pořizovací ceně 19 741 430,15 Kč s dobou použitelnosti delší než jeden rok a pořizovací cenou větší než 3 000 Kč a zároveň nižší než 40 000 Kč. Jednalo se např. o 3 obrazy, 947 židlí, křesel a lavic, 1 rotoped, 7 vysavačů, 6 jídelních stojanů, 2 ledničky.</w:t>
      </w:r>
    </w:p>
    <w:p w14:paraId="162A7663" w14:textId="06FEA23B" w:rsidR="00957C7D" w:rsidRPr="00EB1327" w:rsidRDefault="00957C7D" w:rsidP="0066675E">
      <w:pPr>
        <w:shd w:val="clear" w:color="auto" w:fill="FFFFFF" w:themeFill="background1"/>
        <w:spacing w:before="120" w:after="120"/>
        <w:jc w:val="both"/>
        <w:rPr>
          <w:rFonts w:cs="Calibri"/>
          <w:color w:val="000000" w:themeColor="text1"/>
        </w:rPr>
      </w:pPr>
      <w:r w:rsidRPr="00EB1327">
        <w:rPr>
          <w:rFonts w:cs="Calibri"/>
          <w:color w:val="000000" w:themeColor="text1"/>
        </w:rPr>
        <w:t xml:space="preserve">Také tento majetek </w:t>
      </w:r>
      <w:r w:rsidR="00231219" w:rsidRPr="00EB1327">
        <w:rPr>
          <w:rFonts w:cs="Calibri"/>
          <w:color w:val="000000" w:themeColor="text1"/>
        </w:rPr>
        <w:t>NÚDZ</w:t>
      </w:r>
      <w:r w:rsidRPr="00EB1327">
        <w:rPr>
          <w:rFonts w:cs="Calibri"/>
          <w:color w:val="000000" w:themeColor="text1"/>
        </w:rPr>
        <w:t xml:space="preserve"> nesprávně zaúčtoval na účet 042 </w:t>
      </w:r>
      <w:r w:rsidR="00C8415D" w:rsidRPr="00EB1327">
        <w:rPr>
          <w:rFonts w:cs="Calibri"/>
          <w:color w:val="000000" w:themeColor="text1"/>
        </w:rPr>
        <w:t>–</w:t>
      </w:r>
      <w:r w:rsidRPr="00EB1327">
        <w:rPr>
          <w:rFonts w:cs="Calibri"/>
          <w:color w:val="000000" w:themeColor="text1"/>
        </w:rPr>
        <w:t xml:space="preserve"> </w:t>
      </w:r>
      <w:r w:rsidRPr="00EB1327">
        <w:rPr>
          <w:i/>
          <w:color w:val="000000" w:themeColor="text1"/>
        </w:rPr>
        <w:t>Nedokončený dlouhodobý hmotný majetek</w:t>
      </w:r>
      <w:r w:rsidRPr="00EB1327">
        <w:rPr>
          <w:color w:val="000000" w:themeColor="text1"/>
        </w:rPr>
        <w:t xml:space="preserve"> a </w:t>
      </w:r>
      <w:r w:rsidRPr="00EB1327">
        <w:rPr>
          <w:rFonts w:cs="Calibri"/>
          <w:color w:val="000000" w:themeColor="text1"/>
        </w:rPr>
        <w:t>k 31. 12. 2015 ho přeúčtoval na účet 021</w:t>
      </w:r>
      <w:r w:rsidRPr="00EB1327">
        <w:rPr>
          <w:rFonts w:cs="Calibri"/>
          <w:i/>
          <w:color w:val="000000" w:themeColor="text1"/>
        </w:rPr>
        <w:t xml:space="preserve"> – Stavby</w:t>
      </w:r>
      <w:r w:rsidRPr="00EB1327">
        <w:rPr>
          <w:rFonts w:cs="Calibri"/>
          <w:color w:val="000000" w:themeColor="text1"/>
        </w:rPr>
        <w:t xml:space="preserve">, od 1. 1. 2016 zahájil jeho odpisování, ačkoliv ho </w:t>
      </w:r>
      <w:r w:rsidRPr="00EB1327">
        <w:rPr>
          <w:color w:val="000000" w:themeColor="text1"/>
        </w:rPr>
        <w:t xml:space="preserve">měl správně zaúčtovat na účet 028 </w:t>
      </w:r>
      <w:r w:rsidRPr="00EB1327">
        <w:rPr>
          <w:i/>
          <w:color w:val="000000" w:themeColor="text1"/>
        </w:rPr>
        <w:t>– Drobný dlouhodobý hmotný majetek</w:t>
      </w:r>
      <w:r w:rsidRPr="00EB1327">
        <w:rPr>
          <w:color w:val="000000" w:themeColor="text1"/>
        </w:rPr>
        <w:t xml:space="preserve"> a odpisování vůbec neprovádět. </w:t>
      </w:r>
    </w:p>
    <w:p w14:paraId="760C650A" w14:textId="2588AA5B" w:rsidR="00204195" w:rsidRPr="00EB1327" w:rsidRDefault="00204195" w:rsidP="0066675E">
      <w:pPr>
        <w:shd w:val="clear" w:color="auto" w:fill="FFFFFF" w:themeFill="background1"/>
        <w:spacing w:before="120" w:after="120"/>
        <w:jc w:val="both"/>
        <w:rPr>
          <w:color w:val="000000" w:themeColor="text1"/>
        </w:rPr>
      </w:pPr>
      <w:r w:rsidRPr="00EB1327">
        <w:rPr>
          <w:rFonts w:cs="Calibri"/>
          <w:color w:val="000000" w:themeColor="text1"/>
        </w:rPr>
        <w:t xml:space="preserve">Na účet 021 – </w:t>
      </w:r>
      <w:r w:rsidRPr="00EB1327">
        <w:rPr>
          <w:rFonts w:cs="Calibri"/>
          <w:i/>
          <w:color w:val="000000" w:themeColor="text1"/>
        </w:rPr>
        <w:t>Stavby</w:t>
      </w:r>
      <w:r w:rsidRPr="00EB1327">
        <w:rPr>
          <w:rFonts w:cs="Calibri"/>
          <w:color w:val="000000" w:themeColor="text1"/>
        </w:rPr>
        <w:t xml:space="preserve"> zaúčtoval </w:t>
      </w:r>
      <w:r w:rsidR="00231219" w:rsidRPr="00EB1327">
        <w:rPr>
          <w:rFonts w:cs="Calibri"/>
          <w:color w:val="000000" w:themeColor="text1"/>
        </w:rPr>
        <w:t>NÚDZ</w:t>
      </w:r>
      <w:r w:rsidRPr="00EB1327">
        <w:rPr>
          <w:rFonts w:cs="Calibri"/>
          <w:color w:val="000000" w:themeColor="text1"/>
        </w:rPr>
        <w:t xml:space="preserve"> nesprávně také celkem 15 ks majetku v celkové pořizovací ceně 1 242 067,09 Kč, o jehož pořízení mělo být účtováno na účtu </w:t>
      </w:r>
      <w:r w:rsidRPr="00EB1327">
        <w:rPr>
          <w:color w:val="000000" w:themeColor="text1"/>
        </w:rPr>
        <w:t>022</w:t>
      </w:r>
      <w:r w:rsidRPr="00EB1327">
        <w:rPr>
          <w:i/>
          <w:color w:val="000000" w:themeColor="text1"/>
        </w:rPr>
        <w:t xml:space="preserve"> – Samostatné hmotné movité věci a soubory hmotných movitých věcí, </w:t>
      </w:r>
      <w:r w:rsidRPr="00EB1327">
        <w:rPr>
          <w:color w:val="000000" w:themeColor="text1"/>
        </w:rPr>
        <w:t xml:space="preserve">neboť se jedná o majetek </w:t>
      </w:r>
      <w:r w:rsidRPr="00EB1327">
        <w:rPr>
          <w:rFonts w:cs="Calibri"/>
          <w:color w:val="000000" w:themeColor="text1"/>
        </w:rPr>
        <w:t xml:space="preserve">s pořizovací cenou vyšší než 40 000 Kč, který není součástí stavby (např. elektrická keramická pec, pianino). </w:t>
      </w:r>
      <w:r w:rsidR="00231219" w:rsidRPr="00EB1327">
        <w:rPr>
          <w:rFonts w:cs="Calibri"/>
          <w:color w:val="000000" w:themeColor="text1"/>
        </w:rPr>
        <w:t>NÚDZ</w:t>
      </w:r>
      <w:r w:rsidRPr="00EB1327">
        <w:rPr>
          <w:rFonts w:cs="Calibri"/>
          <w:color w:val="000000" w:themeColor="text1"/>
        </w:rPr>
        <w:t xml:space="preserve"> tento majetek převzal </w:t>
      </w:r>
      <w:r w:rsidRPr="00EB1327">
        <w:rPr>
          <w:color w:val="000000" w:themeColor="text1"/>
        </w:rPr>
        <w:t xml:space="preserve">dne 30. 11. 2014, avšak do </w:t>
      </w:r>
      <w:r w:rsidR="008F5107" w:rsidRPr="00EB1327">
        <w:rPr>
          <w:color w:val="000000" w:themeColor="text1"/>
          <w:shd w:val="clear" w:color="auto" w:fill="FFFFFF" w:themeFill="background1"/>
        </w:rPr>
        <w:t xml:space="preserve">evidence majetku </w:t>
      </w:r>
      <w:r w:rsidRPr="00EB1327">
        <w:rPr>
          <w:color w:val="000000" w:themeColor="text1"/>
          <w:shd w:val="clear" w:color="auto" w:fill="FFFFFF" w:themeFill="background1"/>
        </w:rPr>
        <w:t xml:space="preserve">ho zařadil až </w:t>
      </w:r>
      <w:r w:rsidR="00957C7D" w:rsidRPr="00EB1327">
        <w:rPr>
          <w:color w:val="000000" w:themeColor="text1"/>
          <w:shd w:val="clear" w:color="auto" w:fill="FFFFFF" w:themeFill="background1"/>
        </w:rPr>
        <w:t xml:space="preserve">k 31. 12. 2015 a </w:t>
      </w:r>
      <w:r w:rsidR="00C3103C">
        <w:rPr>
          <w:color w:val="000000" w:themeColor="text1"/>
          <w:shd w:val="clear" w:color="auto" w:fill="FFFFFF" w:themeFill="background1"/>
        </w:rPr>
        <w:t>do této doby</w:t>
      </w:r>
      <w:r w:rsidR="00957C7D" w:rsidRPr="00EB1327">
        <w:rPr>
          <w:color w:val="000000" w:themeColor="text1"/>
          <w:shd w:val="clear" w:color="auto" w:fill="FFFFFF" w:themeFill="background1"/>
        </w:rPr>
        <w:t xml:space="preserve"> majetek neodpisoval</w:t>
      </w:r>
      <w:r w:rsidR="00957C7D" w:rsidRPr="00EB1327">
        <w:rPr>
          <w:color w:val="000000" w:themeColor="text1"/>
        </w:rPr>
        <w:t xml:space="preserve">. </w:t>
      </w:r>
    </w:p>
    <w:p w14:paraId="548D2FDC" w14:textId="77777777" w:rsidR="00204195" w:rsidRPr="00EB1327" w:rsidRDefault="00204195" w:rsidP="0066675E">
      <w:pPr>
        <w:spacing w:before="120" w:after="120"/>
        <w:rPr>
          <w:rFonts w:asciiTheme="minorHAnsi" w:hAnsiTheme="minorHAnsi" w:cstheme="minorHAnsi"/>
          <w:b/>
          <w:color w:val="000000" w:themeColor="text1"/>
        </w:rPr>
      </w:pPr>
      <w:r w:rsidRPr="00EB1327">
        <w:rPr>
          <w:rFonts w:asciiTheme="minorHAnsi" w:hAnsiTheme="minorHAnsi" w:cstheme="minorHAnsi"/>
          <w:b/>
          <w:color w:val="000000" w:themeColor="text1"/>
        </w:rPr>
        <w:t>Software</w:t>
      </w:r>
    </w:p>
    <w:p w14:paraId="4771F53F" w14:textId="76444CE9" w:rsidR="00204195" w:rsidRPr="00EB1327" w:rsidRDefault="00231219" w:rsidP="0066675E">
      <w:pPr>
        <w:shd w:val="clear" w:color="auto" w:fill="FFFFFF" w:themeFill="background1"/>
        <w:spacing w:before="120" w:after="120"/>
        <w:jc w:val="both"/>
        <w:rPr>
          <w:rFonts w:cs="Calibri"/>
          <w:color w:val="000000" w:themeColor="text1"/>
        </w:rPr>
      </w:pPr>
      <w:r w:rsidRPr="00EB1327">
        <w:rPr>
          <w:rFonts w:cs="Calibri"/>
          <w:color w:val="000000" w:themeColor="text1"/>
        </w:rPr>
        <w:t>NÚDZ</w:t>
      </w:r>
      <w:r w:rsidR="00204195" w:rsidRPr="00EB1327">
        <w:rPr>
          <w:rFonts w:cs="Calibri"/>
          <w:color w:val="000000" w:themeColor="text1"/>
        </w:rPr>
        <w:t xml:space="preserve"> v letech 2014 až 2016 </w:t>
      </w:r>
      <w:r w:rsidR="0040303A" w:rsidRPr="00EB1327">
        <w:rPr>
          <w:rFonts w:cs="Calibri"/>
          <w:color w:val="000000" w:themeColor="text1"/>
        </w:rPr>
        <w:t xml:space="preserve">v 5 kontrolovaných </w:t>
      </w:r>
      <w:r w:rsidR="00204195" w:rsidRPr="00EB1327">
        <w:rPr>
          <w:rFonts w:cs="Calibri"/>
          <w:color w:val="000000" w:themeColor="text1"/>
        </w:rPr>
        <w:t>případech nezařadil majetek – software</w:t>
      </w:r>
      <w:r w:rsidR="00C3103C">
        <w:rPr>
          <w:rFonts w:cs="Calibri"/>
          <w:color w:val="000000" w:themeColor="text1"/>
        </w:rPr>
        <w:t> –</w:t>
      </w:r>
      <w:r w:rsidR="00204195" w:rsidRPr="00EB1327">
        <w:rPr>
          <w:rFonts w:cs="Calibri"/>
          <w:color w:val="000000" w:themeColor="text1"/>
        </w:rPr>
        <w:t xml:space="preserve"> v celkové pořizovací ceně 4 699 929 Kč do</w:t>
      </w:r>
      <w:r w:rsidR="00C3103C">
        <w:rPr>
          <w:rFonts w:cs="Calibri"/>
          <w:color w:val="000000" w:themeColor="text1"/>
        </w:rPr>
        <w:t xml:space="preserve"> </w:t>
      </w:r>
      <w:r w:rsidR="00204195" w:rsidRPr="00EB1327">
        <w:rPr>
          <w:rFonts w:cs="Calibri"/>
          <w:color w:val="000000" w:themeColor="text1"/>
        </w:rPr>
        <w:t>užívání ke dni, kdy byl uveden do stavu způsobilého k užívání, ale</w:t>
      </w:r>
      <w:r w:rsidR="00C3103C">
        <w:rPr>
          <w:rFonts w:cs="Calibri"/>
          <w:color w:val="000000" w:themeColor="text1"/>
        </w:rPr>
        <w:t xml:space="preserve"> </w:t>
      </w:r>
      <w:r w:rsidR="00204195" w:rsidRPr="00EB1327">
        <w:rPr>
          <w:rFonts w:cs="Calibri"/>
          <w:color w:val="000000" w:themeColor="text1"/>
        </w:rPr>
        <w:t>až k 31. 12. roku, ve kterém byl majetek pořízen, nezahájil tak odpisování majetku prvním dnem měsíce, který následuje po měsíci, ve kterém došlo k </w:t>
      </w:r>
      <w:r w:rsidR="00957C7D" w:rsidRPr="00EB1327">
        <w:rPr>
          <w:rFonts w:cs="Calibri"/>
          <w:color w:val="000000" w:themeColor="text1"/>
          <w:shd w:val="clear" w:color="auto" w:fill="FFFFFF" w:themeFill="background1"/>
        </w:rPr>
        <w:t>jeho</w:t>
      </w:r>
      <w:r w:rsidR="004B7812" w:rsidRPr="00EB1327">
        <w:rPr>
          <w:rFonts w:cs="Calibri"/>
          <w:color w:val="000000" w:themeColor="text1"/>
        </w:rPr>
        <w:t xml:space="preserve"> zařazení do</w:t>
      </w:r>
      <w:r w:rsidR="00C3103C">
        <w:rPr>
          <w:rFonts w:cs="Calibri"/>
          <w:color w:val="000000" w:themeColor="text1"/>
        </w:rPr>
        <w:t xml:space="preserve"> </w:t>
      </w:r>
      <w:r w:rsidR="00204195" w:rsidRPr="00EB1327">
        <w:rPr>
          <w:rFonts w:cs="Calibri"/>
          <w:color w:val="000000" w:themeColor="text1"/>
        </w:rPr>
        <w:t>užívání, čímž zaúčtoval odpisy dlouhodobého majetku v účetních knihách roku 2014 v částce o 75 117 Kč nižší a v účetních knihách roku 2015 v částce o 1 010 850 Kč nižší, než</w:t>
      </w:r>
      <w:r w:rsidR="00C3103C">
        <w:rPr>
          <w:rFonts w:cs="Calibri"/>
          <w:color w:val="000000" w:themeColor="text1"/>
        </w:rPr>
        <w:t xml:space="preserve"> </w:t>
      </w:r>
      <w:r w:rsidR="00204195" w:rsidRPr="00EB1327">
        <w:rPr>
          <w:rFonts w:cs="Calibri"/>
          <w:color w:val="000000" w:themeColor="text1"/>
        </w:rPr>
        <w:t>měl</w:t>
      </w:r>
      <w:r w:rsidR="00C3103C">
        <w:rPr>
          <w:rFonts w:cs="Calibri"/>
          <w:color w:val="000000" w:themeColor="text1"/>
        </w:rPr>
        <w:t xml:space="preserve"> </w:t>
      </w:r>
      <w:r w:rsidR="00204195" w:rsidRPr="00EB1327">
        <w:rPr>
          <w:rFonts w:cs="Calibri"/>
          <w:color w:val="000000" w:themeColor="text1"/>
        </w:rPr>
        <w:t xml:space="preserve">zaúčtovat. </w:t>
      </w:r>
    </w:p>
    <w:p w14:paraId="79DA420F" w14:textId="14A27DDB" w:rsidR="00204195" w:rsidRPr="00EB1327" w:rsidRDefault="00204195" w:rsidP="0066675E">
      <w:pPr>
        <w:shd w:val="clear" w:color="auto" w:fill="FFFFFF" w:themeFill="background1"/>
        <w:spacing w:before="120" w:after="120"/>
        <w:jc w:val="both"/>
        <w:rPr>
          <w:rFonts w:cs="Calibri"/>
          <w:color w:val="000000" w:themeColor="text1"/>
        </w:rPr>
      </w:pPr>
      <w:r w:rsidRPr="00EB1327">
        <w:rPr>
          <w:rFonts w:cs="Calibri"/>
          <w:color w:val="000000" w:themeColor="text1"/>
        </w:rPr>
        <w:t xml:space="preserve">Ve výkazech </w:t>
      </w:r>
      <w:r w:rsidR="00C3103C" w:rsidRPr="00475F45">
        <w:rPr>
          <w:rFonts w:cs="Calibri"/>
          <w:i/>
          <w:color w:val="000000" w:themeColor="text1"/>
        </w:rPr>
        <w:t>r</w:t>
      </w:r>
      <w:r w:rsidRPr="00475F45">
        <w:rPr>
          <w:rFonts w:cs="Calibri"/>
          <w:i/>
          <w:color w:val="000000" w:themeColor="text1"/>
        </w:rPr>
        <w:t>ozvaha</w:t>
      </w:r>
      <w:r w:rsidRPr="00EB1327">
        <w:rPr>
          <w:rFonts w:cs="Calibri"/>
          <w:color w:val="000000" w:themeColor="text1"/>
        </w:rPr>
        <w:t xml:space="preserve"> a </w:t>
      </w:r>
      <w:r w:rsidR="00C3103C" w:rsidRPr="00475F45">
        <w:rPr>
          <w:rFonts w:cs="Calibri"/>
          <w:i/>
          <w:color w:val="000000" w:themeColor="text1"/>
        </w:rPr>
        <w:t>v</w:t>
      </w:r>
      <w:r w:rsidRPr="00475F45">
        <w:rPr>
          <w:rFonts w:cs="Calibri"/>
          <w:i/>
          <w:color w:val="000000" w:themeColor="text1"/>
        </w:rPr>
        <w:t>ýkaz zisku a ztráty</w:t>
      </w:r>
      <w:r w:rsidRPr="00EB1327">
        <w:rPr>
          <w:rFonts w:cs="Calibri"/>
          <w:color w:val="000000" w:themeColor="text1"/>
        </w:rPr>
        <w:t xml:space="preserve"> tak </w:t>
      </w:r>
      <w:r w:rsidR="00231219" w:rsidRPr="00EB1327">
        <w:rPr>
          <w:rFonts w:cs="Calibri"/>
          <w:color w:val="000000" w:themeColor="text1"/>
        </w:rPr>
        <w:t>NÚDZ</w:t>
      </w:r>
      <w:r w:rsidRPr="00EB1327">
        <w:rPr>
          <w:rFonts w:cs="Calibri"/>
          <w:color w:val="000000" w:themeColor="text1"/>
        </w:rPr>
        <w:t xml:space="preserve"> vykázal nesprávné údaje a jeho účetnictví nebylo v účetním období 2014 až 2016 správné a úplné ve smyslu ustanovení § 8 odst. 2 a </w:t>
      </w:r>
      <w:r w:rsidR="00957C7D" w:rsidRPr="00EB1327">
        <w:rPr>
          <w:rFonts w:cs="Calibri"/>
          <w:color w:val="000000" w:themeColor="text1"/>
        </w:rPr>
        <w:t>odst. </w:t>
      </w:r>
      <w:r w:rsidRPr="00EB1327">
        <w:rPr>
          <w:rFonts w:cs="Calibri"/>
          <w:color w:val="000000" w:themeColor="text1"/>
        </w:rPr>
        <w:t xml:space="preserve">3 zákona o účetnictví. </w:t>
      </w:r>
    </w:p>
    <w:p w14:paraId="452520ED" w14:textId="77777777" w:rsidR="00204195" w:rsidRPr="00EB1327" w:rsidRDefault="00204195" w:rsidP="0066675E">
      <w:pPr>
        <w:spacing w:before="120" w:after="120"/>
        <w:rPr>
          <w:rFonts w:asciiTheme="minorHAnsi" w:hAnsiTheme="minorHAnsi" w:cstheme="minorHAnsi"/>
          <w:b/>
          <w:color w:val="000000" w:themeColor="text1"/>
        </w:rPr>
      </w:pPr>
      <w:r w:rsidRPr="00EB1327">
        <w:rPr>
          <w:rFonts w:cs="Calibri"/>
          <w:b/>
          <w:color w:val="000000" w:themeColor="text1"/>
        </w:rPr>
        <w:t>Samostatné hmotné movité věci a soubory hmotných movitých věcí</w:t>
      </w:r>
    </w:p>
    <w:p w14:paraId="3C6CF818" w14:textId="509D06D7" w:rsidR="00204195" w:rsidRPr="00EB1327" w:rsidRDefault="00204195" w:rsidP="0066675E">
      <w:pPr>
        <w:spacing w:before="120" w:after="120"/>
        <w:jc w:val="both"/>
        <w:rPr>
          <w:rFonts w:cs="Calibri"/>
          <w:color w:val="000000" w:themeColor="text1"/>
        </w:rPr>
      </w:pPr>
      <w:r w:rsidRPr="00EB1327">
        <w:rPr>
          <w:rFonts w:cs="Calibri"/>
          <w:color w:val="000000" w:themeColor="text1"/>
        </w:rPr>
        <w:t xml:space="preserve">Ke kontrole byly vybrány 4 položky majetku – </w:t>
      </w:r>
      <w:r w:rsidR="00C3103C">
        <w:rPr>
          <w:rFonts w:cs="Calibri"/>
          <w:color w:val="000000" w:themeColor="text1"/>
        </w:rPr>
        <w:t>p</w:t>
      </w:r>
      <w:r w:rsidRPr="00EB1327">
        <w:rPr>
          <w:rFonts w:cs="Calibri"/>
          <w:color w:val="000000" w:themeColor="text1"/>
        </w:rPr>
        <w:t xml:space="preserve">ultový mrazicí box, </w:t>
      </w:r>
      <w:r w:rsidR="00C3103C">
        <w:rPr>
          <w:rFonts w:cs="Calibri"/>
          <w:color w:val="000000" w:themeColor="text1"/>
        </w:rPr>
        <w:t>l</w:t>
      </w:r>
      <w:r w:rsidRPr="00EB1327">
        <w:rPr>
          <w:rFonts w:cs="Calibri"/>
          <w:color w:val="000000" w:themeColor="text1"/>
        </w:rPr>
        <w:t xml:space="preserve">aboratorní přístroj Chemi Dox, </w:t>
      </w:r>
      <w:r w:rsidR="00C3103C">
        <w:rPr>
          <w:rFonts w:cs="Calibri"/>
          <w:color w:val="000000" w:themeColor="text1"/>
        </w:rPr>
        <w:t>p</w:t>
      </w:r>
      <w:r w:rsidRPr="00EB1327">
        <w:rPr>
          <w:rFonts w:cs="Calibri"/>
          <w:color w:val="000000" w:themeColor="text1"/>
        </w:rPr>
        <w:t xml:space="preserve">řístroj pro spánkovou </w:t>
      </w:r>
      <w:r w:rsidR="00957C7D" w:rsidRPr="00EB1327">
        <w:rPr>
          <w:rFonts w:cs="Calibri"/>
          <w:color w:val="000000" w:themeColor="text1"/>
        </w:rPr>
        <w:t xml:space="preserve">deprivaci a </w:t>
      </w:r>
      <w:r w:rsidR="00C3103C">
        <w:rPr>
          <w:rFonts w:cs="Calibri"/>
          <w:color w:val="000000" w:themeColor="text1"/>
        </w:rPr>
        <w:t>h</w:t>
      </w:r>
      <w:r w:rsidR="00957C7D" w:rsidRPr="00EB1327">
        <w:rPr>
          <w:rFonts w:cs="Calibri"/>
          <w:color w:val="000000" w:themeColor="text1"/>
        </w:rPr>
        <w:t xml:space="preserve">lubokomrazicí box </w:t>
      </w:r>
      <w:r w:rsidR="00957C7D" w:rsidRPr="00EB1327">
        <w:rPr>
          <w:rFonts w:cs="Calibri"/>
          <w:color w:val="000000" w:themeColor="text1"/>
          <w:shd w:val="clear" w:color="auto" w:fill="FFFFFF" w:themeFill="background1"/>
        </w:rPr>
        <w:t>v pořizovací ceně celkem 1 418 818 Kč.</w:t>
      </w:r>
      <w:r w:rsidR="00957C7D" w:rsidRPr="00EB1327">
        <w:rPr>
          <w:rFonts w:cs="Calibri"/>
          <w:color w:val="000000" w:themeColor="text1"/>
        </w:rPr>
        <w:t xml:space="preserve"> </w:t>
      </w:r>
    </w:p>
    <w:p w14:paraId="3B767BF3" w14:textId="331C3947" w:rsidR="00204195" w:rsidRPr="00EB1327" w:rsidRDefault="00204195" w:rsidP="0066675E">
      <w:pPr>
        <w:spacing w:before="120" w:after="120"/>
        <w:jc w:val="both"/>
        <w:rPr>
          <w:rFonts w:cs="Calibri"/>
          <w:color w:val="000000" w:themeColor="text1"/>
        </w:rPr>
      </w:pPr>
      <w:r w:rsidRPr="00EB1327">
        <w:rPr>
          <w:rFonts w:cs="Calibri"/>
          <w:color w:val="000000" w:themeColor="text1"/>
        </w:rPr>
        <w:t xml:space="preserve">Kontrolou bylo zjištěno, že hlubokomrazicí box za 299 838 Kč koupil </w:t>
      </w:r>
      <w:r w:rsidR="00231219" w:rsidRPr="00EB1327">
        <w:rPr>
          <w:rFonts w:cs="Calibri"/>
          <w:color w:val="000000" w:themeColor="text1"/>
        </w:rPr>
        <w:t>NÚDZ</w:t>
      </w:r>
      <w:r w:rsidRPr="00EB1327">
        <w:rPr>
          <w:rFonts w:cs="Calibri"/>
          <w:color w:val="000000" w:themeColor="text1"/>
        </w:rPr>
        <w:t xml:space="preserve"> dne 3. 4. 2014, o jeho pořízení účtoval až dne 31. 12. 2014 a jeho odpisování zahájil až v lednu 2016. Tímto pochybením </w:t>
      </w:r>
      <w:r w:rsidR="00231219" w:rsidRPr="00EB1327">
        <w:rPr>
          <w:rFonts w:cs="Calibri"/>
          <w:color w:val="000000" w:themeColor="text1"/>
        </w:rPr>
        <w:t>NÚDZ</w:t>
      </w:r>
      <w:r w:rsidRPr="00EB1327">
        <w:rPr>
          <w:rFonts w:cs="Calibri"/>
          <w:color w:val="000000" w:themeColor="text1"/>
        </w:rPr>
        <w:t xml:space="preserve"> v roce 2014 zaúčtoval odpisy nižší o částku 49 976 Kč a v roce 2015 o </w:t>
      </w:r>
      <w:r w:rsidR="00957C7D" w:rsidRPr="00EB1327">
        <w:rPr>
          <w:rFonts w:cs="Calibri"/>
          <w:color w:val="000000" w:themeColor="text1"/>
        </w:rPr>
        <w:t xml:space="preserve">74 964 Kč nižší, </w:t>
      </w:r>
      <w:r w:rsidR="00957C7D" w:rsidRPr="00EB1327">
        <w:rPr>
          <w:rFonts w:cs="Calibri"/>
          <w:color w:val="000000" w:themeColor="text1"/>
          <w:shd w:val="clear" w:color="auto" w:fill="FFFFFF" w:themeFill="background1"/>
        </w:rPr>
        <w:t>než měl zaúčtovat</w:t>
      </w:r>
      <w:r w:rsidR="00957C7D" w:rsidRPr="00EB1327">
        <w:rPr>
          <w:rFonts w:cs="Calibri"/>
          <w:color w:val="000000" w:themeColor="text1"/>
        </w:rPr>
        <w:t xml:space="preserve">. </w:t>
      </w:r>
    </w:p>
    <w:p w14:paraId="4B7DDAD7" w14:textId="6B4B9B9C" w:rsidR="00204195" w:rsidRPr="00EB1327" w:rsidRDefault="00204195" w:rsidP="0066675E">
      <w:pPr>
        <w:spacing w:before="120" w:after="120"/>
        <w:jc w:val="both"/>
        <w:rPr>
          <w:rFonts w:cs="Calibri"/>
          <w:color w:val="000000" w:themeColor="text1"/>
        </w:rPr>
      </w:pPr>
      <w:r w:rsidRPr="00EB1327">
        <w:rPr>
          <w:rFonts w:cs="Calibri"/>
          <w:color w:val="000000" w:themeColor="text1"/>
        </w:rPr>
        <w:t xml:space="preserve">Ve výkazech </w:t>
      </w:r>
      <w:r w:rsidR="00C3103C" w:rsidRPr="00475F45">
        <w:rPr>
          <w:rFonts w:cs="Calibri"/>
          <w:i/>
          <w:color w:val="000000" w:themeColor="text1"/>
        </w:rPr>
        <w:t>r</w:t>
      </w:r>
      <w:r w:rsidRPr="00475F45">
        <w:rPr>
          <w:rFonts w:cs="Calibri"/>
          <w:i/>
          <w:color w:val="000000" w:themeColor="text1"/>
        </w:rPr>
        <w:t>ozvaha</w:t>
      </w:r>
      <w:r w:rsidRPr="00EB1327">
        <w:rPr>
          <w:rFonts w:cs="Calibri"/>
          <w:color w:val="000000" w:themeColor="text1"/>
        </w:rPr>
        <w:t xml:space="preserve"> a </w:t>
      </w:r>
      <w:r w:rsidR="00C3103C" w:rsidRPr="00475F45">
        <w:rPr>
          <w:rFonts w:cs="Calibri"/>
          <w:i/>
          <w:color w:val="000000" w:themeColor="text1"/>
        </w:rPr>
        <w:t>v</w:t>
      </w:r>
      <w:r w:rsidRPr="00475F45">
        <w:rPr>
          <w:rFonts w:cs="Calibri"/>
          <w:i/>
          <w:color w:val="000000" w:themeColor="text1"/>
        </w:rPr>
        <w:t>ýkaz zisku a ztráty</w:t>
      </w:r>
      <w:r w:rsidRPr="00EB1327">
        <w:rPr>
          <w:rFonts w:cs="Calibri"/>
          <w:color w:val="000000" w:themeColor="text1"/>
        </w:rPr>
        <w:t xml:space="preserve"> tak </w:t>
      </w:r>
      <w:r w:rsidR="00231219" w:rsidRPr="00EB1327">
        <w:rPr>
          <w:rFonts w:cs="Calibri"/>
          <w:color w:val="000000" w:themeColor="text1"/>
        </w:rPr>
        <w:t>NÚDZ</w:t>
      </w:r>
      <w:r w:rsidRPr="00EB1327">
        <w:rPr>
          <w:rFonts w:cs="Calibri"/>
          <w:color w:val="000000" w:themeColor="text1"/>
        </w:rPr>
        <w:t xml:space="preserve"> vykázal nesprávné údaje a jeho účetnictví nebylo v účetním období 2014 až 2016 správné a úplné ve smyslu ustanovení § 8 odst. 2 a odst. 3 zákona o účetnictví. </w:t>
      </w:r>
    </w:p>
    <w:p w14:paraId="36414179" w14:textId="77777777" w:rsidR="00204195" w:rsidRPr="00EB1327" w:rsidRDefault="007624F9" w:rsidP="0066675E">
      <w:pPr>
        <w:spacing w:before="120" w:after="120"/>
        <w:jc w:val="both"/>
        <w:rPr>
          <w:rFonts w:asciiTheme="minorHAnsi" w:hAnsiTheme="minorHAnsi"/>
          <w:color w:val="000000" w:themeColor="text1"/>
        </w:rPr>
      </w:pPr>
      <w:r w:rsidRPr="00EB1327">
        <w:rPr>
          <w:b/>
          <w:color w:val="000000" w:themeColor="text1"/>
        </w:rPr>
        <w:t xml:space="preserve">2. </w:t>
      </w:r>
      <w:r w:rsidR="00204195" w:rsidRPr="00EB1327">
        <w:rPr>
          <w:b/>
          <w:color w:val="000000" w:themeColor="text1"/>
        </w:rPr>
        <w:t>Nákupy majetku</w:t>
      </w:r>
    </w:p>
    <w:p w14:paraId="007990DC" w14:textId="4E9DA948" w:rsidR="00204195" w:rsidRPr="00EB1327" w:rsidRDefault="00204195" w:rsidP="0066675E">
      <w:pPr>
        <w:spacing w:before="120" w:after="120"/>
        <w:jc w:val="both"/>
        <w:rPr>
          <w:rFonts w:asciiTheme="minorHAnsi" w:hAnsiTheme="minorHAnsi"/>
          <w:color w:val="000000" w:themeColor="text1"/>
        </w:rPr>
      </w:pPr>
      <w:r w:rsidRPr="00EB1327">
        <w:rPr>
          <w:rFonts w:asciiTheme="minorHAnsi" w:hAnsiTheme="minorHAnsi"/>
          <w:color w:val="000000" w:themeColor="text1"/>
        </w:rPr>
        <w:t xml:space="preserve">Zakoupený majetek v roce 2014 zařadil </w:t>
      </w:r>
      <w:r w:rsidR="00231219" w:rsidRPr="00EB1327">
        <w:rPr>
          <w:rFonts w:asciiTheme="minorHAnsi" w:hAnsiTheme="minorHAnsi"/>
          <w:color w:val="000000" w:themeColor="text1"/>
        </w:rPr>
        <w:t>NÚDZ</w:t>
      </w:r>
      <w:r w:rsidRPr="00EB1327">
        <w:rPr>
          <w:rFonts w:asciiTheme="minorHAnsi" w:hAnsiTheme="minorHAnsi"/>
          <w:color w:val="000000" w:themeColor="text1"/>
        </w:rPr>
        <w:t xml:space="preserve"> do užívání v hodnotě necelých 7,5 mil. Kč, v roce 2015 v hodnotě téměř 165 mil. Kč (v této částce není zahrnuta hodnota pořízené stavby budovy </w:t>
      </w:r>
      <w:r w:rsidR="00231219" w:rsidRPr="00EB1327">
        <w:rPr>
          <w:rFonts w:asciiTheme="minorHAnsi" w:hAnsiTheme="minorHAnsi"/>
          <w:color w:val="000000" w:themeColor="text1"/>
        </w:rPr>
        <w:t>NÚDZ</w:t>
      </w:r>
      <w:r w:rsidRPr="00EB1327">
        <w:rPr>
          <w:rFonts w:asciiTheme="minorHAnsi" w:hAnsiTheme="minorHAnsi"/>
          <w:color w:val="000000" w:themeColor="text1"/>
        </w:rPr>
        <w:t>) a v roce 2016 v hodnotě necelé 4 mil. Kč. Zkontrolováno bylo 6 veřejných zakázek, na</w:t>
      </w:r>
      <w:r w:rsidR="00E7465C">
        <w:rPr>
          <w:rFonts w:asciiTheme="minorHAnsi" w:hAnsiTheme="minorHAnsi"/>
          <w:color w:val="000000" w:themeColor="text1"/>
        </w:rPr>
        <w:t xml:space="preserve"> jejichž</w:t>
      </w:r>
      <w:r w:rsidRPr="00EB1327">
        <w:rPr>
          <w:rFonts w:asciiTheme="minorHAnsi" w:hAnsiTheme="minorHAnsi"/>
          <w:color w:val="000000" w:themeColor="text1"/>
        </w:rPr>
        <w:t xml:space="preserve"> základě byl pořízen majetek – zdravotnické přístroje a vybavení</w:t>
      </w:r>
      <w:r w:rsidR="00E7465C">
        <w:rPr>
          <w:rFonts w:asciiTheme="minorHAnsi" w:hAnsiTheme="minorHAnsi"/>
          <w:color w:val="000000" w:themeColor="text1"/>
        </w:rPr>
        <w:t> –</w:t>
      </w:r>
      <w:r w:rsidRPr="00EB1327">
        <w:rPr>
          <w:rFonts w:asciiTheme="minorHAnsi" w:hAnsiTheme="minorHAnsi"/>
          <w:color w:val="000000" w:themeColor="text1"/>
        </w:rPr>
        <w:t xml:space="preserve"> v celkové pořizovací ceně </w:t>
      </w:r>
      <w:r w:rsidR="00957C7D" w:rsidRPr="00EB1327">
        <w:rPr>
          <w:rFonts w:asciiTheme="minorHAnsi" w:hAnsiTheme="minorHAnsi"/>
          <w:color w:val="000000" w:themeColor="text1"/>
          <w:shd w:val="clear" w:color="auto" w:fill="FFFFFF" w:themeFill="background1"/>
        </w:rPr>
        <w:t>36 030 455</w:t>
      </w:r>
      <w:r w:rsidRPr="00EB1327">
        <w:rPr>
          <w:rFonts w:asciiTheme="minorHAnsi" w:hAnsiTheme="minorHAnsi"/>
          <w:color w:val="000000" w:themeColor="text1"/>
        </w:rPr>
        <w:t xml:space="preserve"> Kč.</w:t>
      </w:r>
    </w:p>
    <w:p w14:paraId="52B6E97D" w14:textId="52538306" w:rsidR="00204195" w:rsidRPr="00EB1327" w:rsidRDefault="00204195" w:rsidP="0066675E">
      <w:pPr>
        <w:spacing w:before="120" w:after="120"/>
        <w:jc w:val="both"/>
        <w:rPr>
          <w:rFonts w:asciiTheme="minorHAnsi" w:hAnsiTheme="minorHAnsi"/>
          <w:color w:val="000000" w:themeColor="text1"/>
          <w:lang w:eastAsia="cs-CZ"/>
        </w:rPr>
      </w:pPr>
      <w:r w:rsidRPr="00EB1327">
        <w:rPr>
          <w:rFonts w:asciiTheme="minorHAnsi" w:hAnsiTheme="minorHAnsi" w:cstheme="minorHAnsi"/>
          <w:bCs/>
          <w:iCs/>
          <w:color w:val="000000" w:themeColor="text1"/>
        </w:rPr>
        <w:t xml:space="preserve">Kontrolou byly prověřeny nákupy celkem 23 položek </w:t>
      </w:r>
      <w:r w:rsidR="004B7812" w:rsidRPr="00EB1327">
        <w:rPr>
          <w:rFonts w:asciiTheme="minorHAnsi" w:hAnsiTheme="minorHAnsi" w:cstheme="minorHAnsi"/>
          <w:bCs/>
          <w:iCs/>
          <w:color w:val="000000" w:themeColor="text1"/>
        </w:rPr>
        <w:t>dlouhodobého majetku, jednalo se o </w:t>
      </w:r>
      <w:r w:rsidR="00B8557B">
        <w:rPr>
          <w:rFonts w:asciiTheme="minorHAnsi" w:hAnsiTheme="minorHAnsi" w:cstheme="minorHAnsi"/>
          <w:bCs/>
          <w:iCs/>
          <w:color w:val="000000" w:themeColor="text1"/>
        </w:rPr>
        <w:t>k</w:t>
      </w:r>
      <w:r w:rsidRPr="00EB1327">
        <w:rPr>
          <w:rFonts w:asciiTheme="minorHAnsi" w:hAnsiTheme="minorHAnsi" w:cstheme="minorHAnsi"/>
          <w:bCs/>
          <w:iCs/>
          <w:color w:val="000000" w:themeColor="text1"/>
        </w:rPr>
        <w:t xml:space="preserve">onfokální mikroskop, </w:t>
      </w:r>
      <w:r w:rsidR="00B8557B">
        <w:rPr>
          <w:rFonts w:asciiTheme="minorHAnsi" w:hAnsiTheme="minorHAnsi" w:cstheme="minorHAnsi"/>
          <w:bCs/>
          <w:iCs/>
          <w:color w:val="000000" w:themeColor="text1"/>
        </w:rPr>
        <w:t>s</w:t>
      </w:r>
      <w:r w:rsidRPr="00EB1327">
        <w:rPr>
          <w:rFonts w:asciiTheme="minorHAnsi" w:hAnsiTheme="minorHAnsi" w:cstheme="minorHAnsi"/>
          <w:bCs/>
          <w:iCs/>
          <w:color w:val="000000" w:themeColor="text1"/>
        </w:rPr>
        <w:t xml:space="preserve">tereotaktický přístroj, vybavení zvířetníku, přístroje pro chromatografii/hmotnostní spektrometrii, </w:t>
      </w:r>
      <w:r w:rsidR="00231219" w:rsidRPr="00EB1327">
        <w:rPr>
          <w:rFonts w:cs="Calibri"/>
          <w:color w:val="000000" w:themeColor="text1"/>
        </w:rPr>
        <w:t>NÚDZ</w:t>
      </w:r>
      <w:r w:rsidRPr="00EB1327">
        <w:rPr>
          <w:rFonts w:cs="Calibri"/>
          <w:color w:val="000000" w:themeColor="text1"/>
        </w:rPr>
        <w:t xml:space="preserve"> – centrifugy a dodávku</w:t>
      </w:r>
      <w:r w:rsidRPr="00EB1327">
        <w:rPr>
          <w:rFonts w:asciiTheme="minorHAnsi" w:hAnsiTheme="minorHAnsi" w:cs="Calibri"/>
          <w:color w:val="000000" w:themeColor="text1"/>
        </w:rPr>
        <w:t xml:space="preserve"> přístrojů rTMS (magnetických stimulátorů). Kontrolou bylo zjištěno, že pořízení tohoto majetku bylo </w:t>
      </w:r>
      <w:r w:rsidRPr="00EB1327">
        <w:rPr>
          <w:rFonts w:asciiTheme="minorHAnsi" w:hAnsiTheme="minorHAnsi" w:cstheme="minorHAnsi"/>
          <w:bCs/>
          <w:iCs/>
          <w:color w:val="000000" w:themeColor="text1"/>
        </w:rPr>
        <w:t>pro plnění stanovených výzkumných úkolů nezbytné a p</w:t>
      </w:r>
      <w:r w:rsidRPr="00EB1327">
        <w:rPr>
          <w:rFonts w:asciiTheme="minorHAnsi" w:hAnsiTheme="minorHAnsi"/>
          <w:color w:val="000000" w:themeColor="text1"/>
          <w:lang w:eastAsia="cs-CZ"/>
        </w:rPr>
        <w:t>ostupy při zadávání veřejných zakázek stanovené v zákoně č. 137/2006 Sb. byly dodrženy.</w:t>
      </w:r>
    </w:p>
    <w:p w14:paraId="4E2848A3" w14:textId="68D64C4D" w:rsidR="00204195" w:rsidRPr="00EB1327" w:rsidRDefault="00204195" w:rsidP="0066675E">
      <w:pPr>
        <w:spacing w:before="120" w:after="120"/>
        <w:jc w:val="both"/>
        <w:rPr>
          <w:rFonts w:asciiTheme="minorHAnsi" w:hAnsiTheme="minorHAnsi" w:cs="Calibri"/>
          <w:color w:val="000000" w:themeColor="text1"/>
        </w:rPr>
      </w:pPr>
      <w:r w:rsidRPr="00EB1327">
        <w:rPr>
          <w:rFonts w:asciiTheme="minorHAnsi" w:hAnsiTheme="minorHAnsi"/>
          <w:color w:val="000000" w:themeColor="text1"/>
        </w:rPr>
        <w:t xml:space="preserve">K žádnému z kontrolovaných případů </w:t>
      </w:r>
      <w:r w:rsidR="00231219" w:rsidRPr="00EB1327">
        <w:rPr>
          <w:rFonts w:asciiTheme="minorHAnsi" w:hAnsiTheme="minorHAnsi"/>
          <w:color w:val="000000" w:themeColor="text1"/>
        </w:rPr>
        <w:t>NÚDZ</w:t>
      </w:r>
      <w:r w:rsidRPr="00EB1327">
        <w:rPr>
          <w:rFonts w:asciiTheme="minorHAnsi" w:hAnsiTheme="minorHAnsi"/>
          <w:color w:val="000000" w:themeColor="text1"/>
        </w:rPr>
        <w:t xml:space="preserve"> nedoložil doklady o provedené říd</w:t>
      </w:r>
      <w:r w:rsidR="00E7465C">
        <w:rPr>
          <w:rFonts w:asciiTheme="minorHAnsi" w:hAnsiTheme="minorHAnsi"/>
          <w:color w:val="000000" w:themeColor="text1"/>
        </w:rPr>
        <w:t>i</w:t>
      </w:r>
      <w:r w:rsidRPr="00EB1327">
        <w:rPr>
          <w:rFonts w:asciiTheme="minorHAnsi" w:hAnsiTheme="minorHAnsi"/>
          <w:color w:val="000000" w:themeColor="text1"/>
        </w:rPr>
        <w:t xml:space="preserve">cí </w:t>
      </w:r>
      <w:r w:rsidR="00CF0EFE" w:rsidRPr="00EB1327">
        <w:rPr>
          <w:rFonts w:asciiTheme="minorHAnsi" w:hAnsiTheme="minorHAnsi"/>
          <w:color w:val="000000" w:themeColor="text1"/>
        </w:rPr>
        <w:t xml:space="preserve">kontrole </w:t>
      </w:r>
      <w:r w:rsidRPr="00EB1327">
        <w:rPr>
          <w:rFonts w:asciiTheme="minorHAnsi" w:hAnsiTheme="minorHAnsi"/>
          <w:color w:val="000000" w:themeColor="text1"/>
        </w:rPr>
        <w:t xml:space="preserve">před vznikem závazku – před uzavřením smlouvy. </w:t>
      </w:r>
    </w:p>
    <w:p w14:paraId="7A776D8D" w14:textId="003A1EFC" w:rsidR="00204195" w:rsidRPr="00EB1327" w:rsidRDefault="00204195" w:rsidP="0066675E">
      <w:pPr>
        <w:spacing w:before="120" w:after="120"/>
        <w:jc w:val="both"/>
        <w:rPr>
          <w:rFonts w:asciiTheme="minorHAnsi" w:hAnsiTheme="minorHAnsi" w:cs="Calibri"/>
          <w:color w:val="000000" w:themeColor="text1"/>
        </w:rPr>
      </w:pPr>
      <w:r w:rsidRPr="00EB1327">
        <w:rPr>
          <w:rFonts w:asciiTheme="minorHAnsi" w:hAnsiTheme="minorHAnsi" w:cs="Calibri"/>
          <w:color w:val="000000" w:themeColor="text1"/>
        </w:rPr>
        <w:t xml:space="preserve">Zakoupený majetek zařazoval </w:t>
      </w:r>
      <w:r w:rsidR="00231219" w:rsidRPr="00EB1327">
        <w:rPr>
          <w:rFonts w:asciiTheme="minorHAnsi" w:hAnsiTheme="minorHAnsi" w:cs="Calibri"/>
          <w:color w:val="000000" w:themeColor="text1"/>
        </w:rPr>
        <w:t>NÚDZ</w:t>
      </w:r>
      <w:r w:rsidRPr="00EB1327">
        <w:rPr>
          <w:rFonts w:asciiTheme="minorHAnsi" w:hAnsiTheme="minorHAnsi" w:cs="Calibri"/>
          <w:color w:val="000000" w:themeColor="text1"/>
        </w:rPr>
        <w:t xml:space="preserve"> do užívání vždy </w:t>
      </w:r>
      <w:r w:rsidR="00957C7D" w:rsidRPr="00EB1327">
        <w:rPr>
          <w:rFonts w:asciiTheme="minorHAnsi" w:hAnsiTheme="minorHAnsi" w:cs="Calibri"/>
          <w:color w:val="000000" w:themeColor="text1"/>
          <w:shd w:val="clear" w:color="auto" w:fill="FFFFFF" w:themeFill="background1"/>
        </w:rPr>
        <w:t>až</w:t>
      </w:r>
      <w:r w:rsidR="00957C7D" w:rsidRPr="00EB1327">
        <w:rPr>
          <w:rFonts w:asciiTheme="minorHAnsi" w:hAnsiTheme="minorHAnsi" w:cs="Calibri"/>
          <w:color w:val="000000" w:themeColor="text1"/>
        </w:rPr>
        <w:t xml:space="preserve"> </w:t>
      </w:r>
      <w:r w:rsidRPr="00EB1327">
        <w:rPr>
          <w:rFonts w:asciiTheme="minorHAnsi" w:hAnsiTheme="minorHAnsi" w:cs="Calibri"/>
          <w:color w:val="000000" w:themeColor="text1"/>
        </w:rPr>
        <w:t xml:space="preserve">k 31. 12. roku, ve kterém byl majetek pořízen, bez ohledu na datum, ke kterému byl majetek uveden do stavu způsobilého k užívání. V návaznosti na pozdní zařazování majetku, na pozdní zahájení odpisování majetku a na změnu způsobu odpisování v průběhu účetního období byla kontrolou NKÚ vyčíslena správná výše odpisů jednotlivých položek majetku a rozdíl oproti odpisům provedeným </w:t>
      </w:r>
      <w:r w:rsidR="00231219" w:rsidRPr="00EB1327">
        <w:rPr>
          <w:rFonts w:asciiTheme="minorHAnsi" w:hAnsiTheme="minorHAnsi" w:cs="Calibri"/>
          <w:color w:val="000000" w:themeColor="text1"/>
        </w:rPr>
        <w:t>NÚDZ</w:t>
      </w:r>
      <w:r w:rsidRPr="00EB1327">
        <w:rPr>
          <w:rFonts w:asciiTheme="minorHAnsi" w:hAnsiTheme="minorHAnsi" w:cs="Calibri"/>
          <w:color w:val="000000" w:themeColor="text1"/>
        </w:rPr>
        <w:t>.</w:t>
      </w:r>
    </w:p>
    <w:p w14:paraId="52B2C058" w14:textId="182C4921" w:rsidR="00204195" w:rsidRPr="00EB1327" w:rsidRDefault="00231219" w:rsidP="0066675E">
      <w:pPr>
        <w:spacing w:before="120" w:after="120"/>
        <w:jc w:val="both"/>
        <w:rPr>
          <w:rFonts w:asciiTheme="minorHAnsi" w:hAnsiTheme="minorHAnsi" w:cs="Calibri"/>
          <w:bCs/>
          <w:color w:val="000000" w:themeColor="text1"/>
          <w:spacing w:val="-2"/>
          <w:highlight w:val="yellow"/>
        </w:rPr>
      </w:pPr>
      <w:r w:rsidRPr="00EB1327">
        <w:rPr>
          <w:rFonts w:asciiTheme="minorHAnsi" w:hAnsiTheme="minorHAnsi" w:cs="Calibri"/>
          <w:bCs/>
          <w:color w:val="000000" w:themeColor="text1"/>
          <w:spacing w:val="-2"/>
        </w:rPr>
        <w:t>NÚDZ</w:t>
      </w:r>
      <w:r w:rsidR="00204195" w:rsidRPr="00EB1327">
        <w:rPr>
          <w:rFonts w:asciiTheme="minorHAnsi" w:hAnsiTheme="minorHAnsi" w:cs="Calibri"/>
          <w:bCs/>
          <w:color w:val="000000" w:themeColor="text1"/>
          <w:spacing w:val="-2"/>
        </w:rPr>
        <w:t xml:space="preserve"> v letech 2014 až 2016 </w:t>
      </w:r>
      <w:r w:rsidR="00D45C11" w:rsidRPr="00EB1327">
        <w:rPr>
          <w:rFonts w:asciiTheme="minorHAnsi" w:hAnsiTheme="minorHAnsi" w:cs="Calibri"/>
          <w:bCs/>
          <w:color w:val="000000" w:themeColor="text1"/>
          <w:spacing w:val="-2"/>
        </w:rPr>
        <w:t xml:space="preserve">ve všech kontrolovaných </w:t>
      </w:r>
      <w:r w:rsidR="00204195" w:rsidRPr="00EB1327">
        <w:rPr>
          <w:rFonts w:asciiTheme="minorHAnsi" w:hAnsiTheme="minorHAnsi" w:cs="Calibri"/>
          <w:bCs/>
          <w:color w:val="000000" w:themeColor="text1"/>
          <w:spacing w:val="-2"/>
        </w:rPr>
        <w:t>případech nepostupoval v souladu se zákonem o účetnictví</w:t>
      </w:r>
      <w:r w:rsidR="00E7465C">
        <w:rPr>
          <w:rFonts w:asciiTheme="minorHAnsi" w:hAnsiTheme="minorHAnsi" w:cs="Calibri"/>
          <w:bCs/>
          <w:color w:val="000000" w:themeColor="text1"/>
          <w:spacing w:val="-2"/>
        </w:rPr>
        <w:t>,</w:t>
      </w:r>
      <w:r w:rsidR="00D45C11" w:rsidRPr="00EB1327">
        <w:rPr>
          <w:rFonts w:asciiTheme="minorHAnsi" w:hAnsiTheme="minorHAnsi" w:cs="Calibri"/>
          <w:bCs/>
          <w:color w:val="000000" w:themeColor="text1"/>
          <w:spacing w:val="-2"/>
        </w:rPr>
        <w:t xml:space="preserve"> </w:t>
      </w:r>
      <w:r w:rsidR="00204195" w:rsidRPr="00EB1327">
        <w:rPr>
          <w:rFonts w:asciiTheme="minorHAnsi" w:hAnsiTheme="minorHAnsi" w:cs="Calibri"/>
          <w:color w:val="000000" w:themeColor="text1"/>
        </w:rPr>
        <w:t>a zaúčtoval tak odpisy dlouhodobého majetku a</w:t>
      </w:r>
      <w:r w:rsidR="00204195" w:rsidRPr="00EB1327">
        <w:rPr>
          <w:rFonts w:asciiTheme="minorHAnsi" w:hAnsiTheme="minorHAnsi"/>
          <w:color w:val="000000" w:themeColor="text1"/>
        </w:rPr>
        <w:t xml:space="preserve"> </w:t>
      </w:r>
      <w:r w:rsidR="00204195" w:rsidRPr="00EB1327">
        <w:rPr>
          <w:rFonts w:asciiTheme="minorHAnsi" w:hAnsiTheme="minorHAnsi" w:cs="Calibri"/>
          <w:color w:val="000000" w:themeColor="text1"/>
        </w:rPr>
        <w:t>výnosy vybraných ústředních vládních institucí z transferů v účetních knihách roku 2014 v částce o 14 782 Kč nižší, než měl zaúčtovat</w:t>
      </w:r>
      <w:r w:rsidR="00E7465C">
        <w:rPr>
          <w:rFonts w:asciiTheme="minorHAnsi" w:hAnsiTheme="minorHAnsi" w:cs="Calibri"/>
          <w:color w:val="000000" w:themeColor="text1"/>
        </w:rPr>
        <w:t>,</w:t>
      </w:r>
      <w:r w:rsidR="00204195" w:rsidRPr="00EB1327">
        <w:rPr>
          <w:rFonts w:asciiTheme="minorHAnsi" w:hAnsiTheme="minorHAnsi" w:cs="Calibri"/>
          <w:color w:val="000000" w:themeColor="text1"/>
        </w:rPr>
        <w:t xml:space="preserve"> a v účetních knihá</w:t>
      </w:r>
      <w:r w:rsidR="00957C7D" w:rsidRPr="00EB1327">
        <w:rPr>
          <w:rFonts w:asciiTheme="minorHAnsi" w:hAnsiTheme="minorHAnsi" w:cs="Calibri"/>
          <w:color w:val="000000" w:themeColor="text1"/>
        </w:rPr>
        <w:t>ch roku 2015 v částce o 613 296 </w:t>
      </w:r>
      <w:r w:rsidR="005E3CD8" w:rsidRPr="00EB1327">
        <w:rPr>
          <w:rFonts w:asciiTheme="minorHAnsi" w:hAnsiTheme="minorHAnsi" w:cs="Calibri"/>
          <w:color w:val="000000" w:themeColor="text1"/>
        </w:rPr>
        <w:t>Kč nižší, než měl zaúčtovat.</w:t>
      </w:r>
    </w:p>
    <w:p w14:paraId="2E89CF34" w14:textId="77777777" w:rsidR="00212395" w:rsidRPr="00EB1327" w:rsidRDefault="00212395" w:rsidP="0066675E">
      <w:pPr>
        <w:shd w:val="clear" w:color="auto" w:fill="FFFFFF" w:themeFill="background1"/>
        <w:spacing w:before="120" w:after="120"/>
        <w:jc w:val="both"/>
        <w:rPr>
          <w:rFonts w:asciiTheme="minorHAnsi" w:hAnsiTheme="minorHAnsi" w:cs="Calibri"/>
          <w:bCs/>
          <w:color w:val="000000" w:themeColor="text1"/>
          <w:spacing w:val="-2"/>
        </w:rPr>
      </w:pPr>
      <w:r w:rsidRPr="00EB1327">
        <w:rPr>
          <w:rFonts w:asciiTheme="minorHAnsi" w:hAnsiTheme="minorHAnsi" w:cs="Calibri"/>
          <w:color w:val="000000" w:themeColor="text1"/>
        </w:rPr>
        <w:t xml:space="preserve">U 8 položek kontrolovaného majetku změnil </w:t>
      </w:r>
      <w:r w:rsidR="00231219" w:rsidRPr="00EB1327">
        <w:rPr>
          <w:rFonts w:asciiTheme="minorHAnsi" w:hAnsiTheme="minorHAnsi" w:cs="Calibri"/>
          <w:color w:val="000000" w:themeColor="text1"/>
        </w:rPr>
        <w:t>NÚDZ</w:t>
      </w:r>
      <w:r w:rsidRPr="00EB1327">
        <w:rPr>
          <w:rFonts w:asciiTheme="minorHAnsi" w:hAnsiTheme="minorHAnsi" w:cs="Calibri"/>
          <w:color w:val="000000" w:themeColor="text1"/>
        </w:rPr>
        <w:t xml:space="preserve"> od 1. 1. 2016 způsob odpisování, přitom však v lednu 2016 zaúčtoval odpisy tohoto majetku dle původního způsobu odpisování a až od února 2016 účtoval odpisy podle nového způsobu odpisování, čímž nesplnil povinnost použít v příslušném účetním období účetní metody ve znění platném na jeho počátku. </w:t>
      </w:r>
    </w:p>
    <w:p w14:paraId="77DED28E" w14:textId="77777777" w:rsidR="00204195" w:rsidRPr="00EB1327" w:rsidRDefault="00231219" w:rsidP="0066675E">
      <w:pPr>
        <w:spacing w:before="120" w:after="120"/>
        <w:jc w:val="both"/>
        <w:rPr>
          <w:rFonts w:asciiTheme="minorHAnsi" w:hAnsiTheme="minorHAnsi" w:cs="Calibri"/>
          <w:bCs/>
          <w:color w:val="000000" w:themeColor="text1"/>
          <w:spacing w:val="-2"/>
        </w:rPr>
      </w:pPr>
      <w:r w:rsidRPr="00EB1327">
        <w:rPr>
          <w:rFonts w:asciiTheme="minorHAnsi" w:hAnsiTheme="minorHAnsi" w:cs="Calibri"/>
          <w:color w:val="000000" w:themeColor="text1"/>
        </w:rPr>
        <w:t>NÚDZ</w:t>
      </w:r>
      <w:r w:rsidR="00204195" w:rsidRPr="00EB1327">
        <w:rPr>
          <w:rFonts w:asciiTheme="minorHAnsi" w:hAnsiTheme="minorHAnsi" w:cs="Calibri"/>
          <w:color w:val="000000" w:themeColor="text1"/>
        </w:rPr>
        <w:t xml:space="preserve"> tak zaúčtoval odpisy dlouhodobého majetku a výnosy vybraných ústředních vládních institucí z transferů v účetních knihách</w:t>
      </w:r>
      <w:r w:rsidR="005E3CD8" w:rsidRPr="00EB1327">
        <w:rPr>
          <w:rFonts w:asciiTheme="minorHAnsi" w:hAnsiTheme="minorHAnsi" w:cs="Calibri"/>
          <w:color w:val="000000" w:themeColor="text1"/>
        </w:rPr>
        <w:t xml:space="preserve"> roku 2016 v částce o 460 216</w:t>
      </w:r>
      <w:r w:rsidR="00204195" w:rsidRPr="00EB1327">
        <w:rPr>
          <w:rFonts w:asciiTheme="minorHAnsi" w:hAnsiTheme="minorHAnsi" w:cs="Calibri"/>
          <w:color w:val="000000" w:themeColor="text1"/>
        </w:rPr>
        <w:t xml:space="preserve"> Kč vyšší, než měl zaúčtovat. </w:t>
      </w:r>
    </w:p>
    <w:p w14:paraId="3A409B88" w14:textId="3A6C12A0" w:rsidR="00204195" w:rsidRPr="00EB1327" w:rsidRDefault="00204195" w:rsidP="0066675E">
      <w:pPr>
        <w:spacing w:before="120" w:after="120"/>
        <w:jc w:val="both"/>
        <w:rPr>
          <w:rFonts w:asciiTheme="minorHAnsi" w:hAnsiTheme="minorHAnsi" w:cs="Arial"/>
          <w:color w:val="000000" w:themeColor="text1"/>
        </w:rPr>
      </w:pPr>
      <w:r w:rsidRPr="00EB1327">
        <w:rPr>
          <w:rFonts w:asciiTheme="minorHAnsi" w:hAnsiTheme="minorHAnsi" w:cs="Arial"/>
          <w:color w:val="000000" w:themeColor="text1"/>
        </w:rPr>
        <w:t xml:space="preserve">Ve výkazech </w:t>
      </w:r>
      <w:r w:rsidR="00E7465C" w:rsidRPr="00475F45">
        <w:rPr>
          <w:rFonts w:asciiTheme="minorHAnsi" w:hAnsiTheme="minorHAnsi" w:cs="Arial"/>
          <w:i/>
          <w:color w:val="000000" w:themeColor="text1"/>
        </w:rPr>
        <w:t>r</w:t>
      </w:r>
      <w:r w:rsidRPr="00475F45">
        <w:rPr>
          <w:rFonts w:asciiTheme="minorHAnsi" w:hAnsiTheme="minorHAnsi" w:cs="Arial"/>
          <w:i/>
          <w:color w:val="000000" w:themeColor="text1"/>
        </w:rPr>
        <w:t>ozvaha</w:t>
      </w:r>
      <w:r w:rsidRPr="00EB1327">
        <w:rPr>
          <w:rFonts w:asciiTheme="minorHAnsi" w:hAnsiTheme="minorHAnsi" w:cs="Arial"/>
          <w:color w:val="000000" w:themeColor="text1"/>
        </w:rPr>
        <w:t xml:space="preserve"> a </w:t>
      </w:r>
      <w:r w:rsidR="00E7465C" w:rsidRPr="00475F45">
        <w:rPr>
          <w:rFonts w:asciiTheme="minorHAnsi" w:hAnsiTheme="minorHAnsi" w:cs="Arial"/>
          <w:i/>
          <w:color w:val="000000" w:themeColor="text1"/>
        </w:rPr>
        <w:t>v</w:t>
      </w:r>
      <w:r w:rsidRPr="00475F45">
        <w:rPr>
          <w:rFonts w:asciiTheme="minorHAnsi" w:hAnsiTheme="minorHAnsi" w:cs="Arial"/>
          <w:i/>
          <w:color w:val="000000" w:themeColor="text1"/>
        </w:rPr>
        <w:t>ýkaz zisku a ztráty</w:t>
      </w:r>
      <w:r w:rsidRPr="00EB1327">
        <w:rPr>
          <w:rFonts w:asciiTheme="minorHAnsi" w:hAnsiTheme="minorHAnsi" w:cs="Arial"/>
          <w:color w:val="000000" w:themeColor="text1"/>
        </w:rPr>
        <w:t xml:space="preserve"> tak </w:t>
      </w:r>
      <w:r w:rsidR="00231219" w:rsidRPr="00EB1327">
        <w:rPr>
          <w:rFonts w:asciiTheme="minorHAnsi" w:hAnsiTheme="minorHAnsi" w:cs="Arial"/>
          <w:color w:val="000000" w:themeColor="text1"/>
        </w:rPr>
        <w:t>NÚDZ</w:t>
      </w:r>
      <w:r w:rsidRPr="00EB1327">
        <w:rPr>
          <w:rFonts w:asciiTheme="minorHAnsi" w:hAnsiTheme="minorHAnsi" w:cs="Arial"/>
          <w:color w:val="000000" w:themeColor="text1"/>
        </w:rPr>
        <w:t xml:space="preserve"> vykázal nesprávné údaje a jeho účetnictví nebylo v účetním období 2014 až 2016 správné a úplné ve smyslu ustanovení § 8 odst. 2 a odst. 3 zákona o účetnictví. </w:t>
      </w:r>
    </w:p>
    <w:p w14:paraId="5B9B7351" w14:textId="77777777" w:rsidR="00204195" w:rsidRPr="00EB1327" w:rsidRDefault="007624F9" w:rsidP="0066675E">
      <w:pPr>
        <w:spacing w:before="120" w:after="120"/>
        <w:jc w:val="both"/>
        <w:rPr>
          <w:rFonts w:asciiTheme="minorHAnsi" w:hAnsiTheme="minorHAnsi" w:cs="Calibri"/>
          <w:b/>
          <w:color w:val="000000" w:themeColor="text1"/>
        </w:rPr>
      </w:pPr>
      <w:r w:rsidRPr="00EB1327">
        <w:rPr>
          <w:rFonts w:asciiTheme="minorHAnsi" w:hAnsiTheme="minorHAnsi" w:cs="Calibri"/>
          <w:b/>
          <w:color w:val="000000" w:themeColor="text1"/>
        </w:rPr>
        <w:t xml:space="preserve">3. </w:t>
      </w:r>
      <w:r w:rsidR="00212395" w:rsidRPr="00EB1327">
        <w:rPr>
          <w:rFonts w:asciiTheme="minorHAnsi" w:hAnsiTheme="minorHAnsi" w:cs="Calibri"/>
          <w:b/>
          <w:color w:val="000000" w:themeColor="text1"/>
          <w:shd w:val="clear" w:color="auto" w:fill="FFFFFF" w:themeFill="background1"/>
        </w:rPr>
        <w:t>Změny</w:t>
      </w:r>
      <w:r w:rsidR="00212395" w:rsidRPr="00EB1327">
        <w:rPr>
          <w:rFonts w:asciiTheme="minorHAnsi" w:hAnsiTheme="minorHAnsi" w:cs="Calibri"/>
          <w:b/>
          <w:color w:val="000000" w:themeColor="text1"/>
        </w:rPr>
        <w:t xml:space="preserve"> </w:t>
      </w:r>
      <w:r w:rsidR="00204195" w:rsidRPr="00EB1327">
        <w:rPr>
          <w:rFonts w:asciiTheme="minorHAnsi" w:hAnsiTheme="minorHAnsi" w:cs="Calibri"/>
          <w:b/>
          <w:color w:val="000000" w:themeColor="text1"/>
        </w:rPr>
        <w:t>příslušnosti hospodaření</w:t>
      </w:r>
    </w:p>
    <w:p w14:paraId="75A3CC21" w14:textId="68F01728" w:rsidR="00212395" w:rsidRPr="00EB1327" w:rsidRDefault="00212395" w:rsidP="0066675E">
      <w:pPr>
        <w:shd w:val="clear" w:color="auto" w:fill="FFFFFF" w:themeFill="background1"/>
        <w:spacing w:before="120" w:after="120"/>
        <w:jc w:val="both"/>
        <w:rPr>
          <w:rFonts w:asciiTheme="minorHAnsi" w:hAnsiTheme="minorHAnsi" w:cstheme="minorHAnsi"/>
          <w:color w:val="000000" w:themeColor="text1"/>
        </w:rPr>
      </w:pPr>
      <w:r w:rsidRPr="00EB1327">
        <w:rPr>
          <w:rFonts w:asciiTheme="minorHAnsi" w:hAnsiTheme="minorHAnsi" w:cstheme="minorHAnsi"/>
          <w:color w:val="000000" w:themeColor="text1"/>
        </w:rPr>
        <w:t xml:space="preserve">Smlouvou o změně příslušnosti hospodaření ze dne 24. 6. 2013 nabylo Psychiatrické centrum Praha (od 1. 1. 2015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pozemek parc. č. 455/3 v k. ú. Pr</w:t>
      </w:r>
      <w:r w:rsidR="005E3CD8" w:rsidRPr="00EB1327">
        <w:rPr>
          <w:rFonts w:asciiTheme="minorHAnsi" w:hAnsiTheme="minorHAnsi" w:cstheme="minorHAnsi"/>
          <w:color w:val="000000" w:themeColor="text1"/>
        </w:rPr>
        <w:t>aha – Bohnice pod stavbou č. p. </w:t>
      </w:r>
      <w:r w:rsidRPr="00EB1327">
        <w:rPr>
          <w:rFonts w:asciiTheme="minorHAnsi" w:hAnsiTheme="minorHAnsi" w:cstheme="minorHAnsi"/>
          <w:color w:val="000000" w:themeColor="text1"/>
        </w:rPr>
        <w:t xml:space="preserve">832, ke které mělo příslušnost hospodaření. MZd smlouvu schválilo dne 19. 7. 2013,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však o nabytí pozemku účtoval na účet 031 – </w:t>
      </w:r>
      <w:r w:rsidRPr="00EB1327">
        <w:rPr>
          <w:rFonts w:asciiTheme="minorHAnsi" w:hAnsiTheme="minorHAnsi" w:cstheme="minorHAnsi"/>
          <w:i/>
          <w:color w:val="000000" w:themeColor="text1"/>
        </w:rPr>
        <w:t xml:space="preserve">Pozemky </w:t>
      </w:r>
      <w:r w:rsidRPr="00EB1327">
        <w:rPr>
          <w:rFonts w:asciiTheme="minorHAnsi" w:hAnsiTheme="minorHAnsi" w:cstheme="minorHAnsi"/>
          <w:color w:val="000000" w:themeColor="text1"/>
        </w:rPr>
        <w:t>až dne 24. 10. 2014</w:t>
      </w:r>
      <w:r w:rsidR="006B6473" w:rsidRPr="00EB1327">
        <w:rPr>
          <w:rFonts w:asciiTheme="minorHAnsi" w:hAnsiTheme="minorHAnsi" w:cstheme="minorHAnsi"/>
          <w:color w:val="000000" w:themeColor="text1"/>
        </w:rPr>
        <w:t>, tj.</w:t>
      </w:r>
      <w:r w:rsidR="00D710D2">
        <w:rPr>
          <w:rFonts w:asciiTheme="minorHAnsi" w:hAnsiTheme="minorHAnsi" w:cstheme="minorHAnsi"/>
          <w:color w:val="000000" w:themeColor="text1"/>
        </w:rPr>
        <w:t> </w:t>
      </w:r>
      <w:r w:rsidR="006B6473" w:rsidRPr="00EB1327">
        <w:rPr>
          <w:rFonts w:asciiTheme="minorHAnsi" w:hAnsiTheme="minorHAnsi" w:cstheme="minorHAnsi"/>
          <w:color w:val="000000" w:themeColor="text1"/>
        </w:rPr>
        <w:t>o</w:t>
      </w:r>
      <w:r w:rsidR="00D710D2">
        <w:rPr>
          <w:rFonts w:asciiTheme="minorHAnsi" w:hAnsiTheme="minorHAnsi" w:cstheme="minorHAnsi"/>
          <w:color w:val="000000" w:themeColor="text1"/>
        </w:rPr>
        <w:t> </w:t>
      </w:r>
      <w:r w:rsidR="006B6473" w:rsidRPr="00EB1327">
        <w:rPr>
          <w:rFonts w:asciiTheme="minorHAnsi" w:hAnsiTheme="minorHAnsi" w:cstheme="minorHAnsi"/>
          <w:color w:val="000000" w:themeColor="text1"/>
        </w:rPr>
        <w:t>15</w:t>
      </w:r>
      <w:r w:rsidR="00D710D2">
        <w:rPr>
          <w:rFonts w:asciiTheme="minorHAnsi" w:hAnsiTheme="minorHAnsi" w:cstheme="minorHAnsi"/>
          <w:color w:val="000000" w:themeColor="text1"/>
        </w:rPr>
        <w:t> </w:t>
      </w:r>
      <w:r w:rsidR="006B6473" w:rsidRPr="00EB1327">
        <w:rPr>
          <w:rFonts w:asciiTheme="minorHAnsi" w:hAnsiTheme="minorHAnsi" w:cstheme="minorHAnsi"/>
          <w:color w:val="000000" w:themeColor="text1"/>
        </w:rPr>
        <w:t>měsíců později</w:t>
      </w:r>
      <w:r w:rsidR="00D710D2">
        <w:rPr>
          <w:rFonts w:asciiTheme="minorHAnsi" w:hAnsiTheme="minorHAnsi" w:cstheme="minorHAnsi"/>
          <w:color w:val="000000" w:themeColor="text1"/>
        </w:rPr>
        <w:t>,</w:t>
      </w:r>
      <w:r w:rsidR="006B6473" w:rsidRPr="00EB1327">
        <w:rPr>
          <w:rFonts w:asciiTheme="minorHAnsi" w:hAnsiTheme="minorHAnsi" w:cstheme="minorHAnsi"/>
          <w:color w:val="000000" w:themeColor="text1"/>
        </w:rPr>
        <w:t xml:space="preserve"> než měl. </w:t>
      </w:r>
    </w:p>
    <w:p w14:paraId="27DB08CC" w14:textId="2D0C96D6" w:rsidR="0044474D" w:rsidRPr="00EB1327" w:rsidRDefault="0044474D" w:rsidP="0066675E">
      <w:pPr>
        <w:spacing w:before="120" w:after="120"/>
        <w:jc w:val="both"/>
        <w:rPr>
          <w:rFonts w:asciiTheme="minorHAnsi" w:hAnsiTheme="minorHAnsi"/>
          <w:color w:val="000000" w:themeColor="text1"/>
        </w:rPr>
      </w:pPr>
      <w:r w:rsidRPr="00EB1327">
        <w:rPr>
          <w:rFonts w:asciiTheme="minorHAnsi" w:hAnsiTheme="minorHAnsi"/>
          <w:color w:val="000000" w:themeColor="text1"/>
        </w:rPr>
        <w:t xml:space="preserve">Psychiatrické centrum Praha (od 1. 1. 2015 </w:t>
      </w:r>
      <w:r w:rsidR="00231219" w:rsidRPr="00EB1327">
        <w:rPr>
          <w:rFonts w:asciiTheme="minorHAnsi" w:hAnsiTheme="minorHAnsi"/>
          <w:color w:val="000000" w:themeColor="text1"/>
        </w:rPr>
        <w:t>NÚDZ</w:t>
      </w:r>
      <w:r w:rsidRPr="00EB1327">
        <w:rPr>
          <w:rFonts w:asciiTheme="minorHAnsi" w:hAnsiTheme="minorHAnsi"/>
          <w:color w:val="000000" w:themeColor="text1"/>
        </w:rPr>
        <w:t>) ke dni 31. 12. 2014 vyřadi</w:t>
      </w:r>
      <w:r w:rsidRPr="00EB1327">
        <w:rPr>
          <w:rFonts w:asciiTheme="minorHAnsi" w:hAnsiTheme="minorHAnsi"/>
          <w:color w:val="000000" w:themeColor="text1"/>
          <w:shd w:val="clear" w:color="auto" w:fill="FFFFFF" w:themeFill="background1"/>
        </w:rPr>
        <w:t>lo</w:t>
      </w:r>
      <w:r w:rsidRPr="00EB1327">
        <w:rPr>
          <w:rFonts w:asciiTheme="minorHAnsi" w:hAnsiTheme="minorHAnsi"/>
          <w:color w:val="000000" w:themeColor="text1"/>
        </w:rPr>
        <w:t xml:space="preserve"> z evidence majetku dva pavilony č. p. 115 a č.</w:t>
      </w:r>
      <w:r w:rsidR="005E3CD8" w:rsidRPr="00EB1327">
        <w:rPr>
          <w:rFonts w:asciiTheme="minorHAnsi" w:hAnsiTheme="minorHAnsi"/>
          <w:color w:val="000000" w:themeColor="text1"/>
        </w:rPr>
        <w:t xml:space="preserve"> </w:t>
      </w:r>
      <w:r w:rsidRPr="00EB1327">
        <w:rPr>
          <w:rFonts w:asciiTheme="minorHAnsi" w:hAnsiTheme="minorHAnsi"/>
          <w:color w:val="000000" w:themeColor="text1"/>
        </w:rPr>
        <w:t xml:space="preserve">p. 132 v celkové pořizovací ceně </w:t>
      </w:r>
      <w:r w:rsidRPr="00EB1327">
        <w:rPr>
          <w:rFonts w:asciiTheme="minorHAnsi" w:hAnsiTheme="minorHAnsi" w:cs="Calibri"/>
          <w:color w:val="000000" w:themeColor="text1"/>
        </w:rPr>
        <w:t>18 657 328,75</w:t>
      </w:r>
      <w:r w:rsidR="00D710D2">
        <w:rPr>
          <w:rFonts w:asciiTheme="minorHAnsi" w:hAnsiTheme="minorHAnsi" w:cs="Calibri"/>
          <w:color w:val="000000" w:themeColor="text1"/>
        </w:rPr>
        <w:t> </w:t>
      </w:r>
      <w:r w:rsidRPr="00EB1327">
        <w:rPr>
          <w:rFonts w:asciiTheme="minorHAnsi" w:hAnsiTheme="minorHAnsi" w:cs="Calibri"/>
          <w:color w:val="000000" w:themeColor="text1"/>
        </w:rPr>
        <w:t>Kč</w:t>
      </w:r>
      <w:r w:rsidRPr="00475F45">
        <w:rPr>
          <w:rFonts w:asciiTheme="minorHAnsi" w:hAnsiTheme="minorHAnsi" w:cs="Calibri"/>
          <w:color w:val="000000" w:themeColor="text1"/>
        </w:rPr>
        <w:t xml:space="preserve"> </w:t>
      </w:r>
      <w:r w:rsidRPr="00EB1327">
        <w:rPr>
          <w:rFonts w:asciiTheme="minorHAnsi" w:hAnsiTheme="minorHAnsi"/>
          <w:color w:val="000000" w:themeColor="text1"/>
        </w:rPr>
        <w:t xml:space="preserve">a 5 pozemků v celkové pořizovací ceně </w:t>
      </w:r>
      <w:r w:rsidR="00574EE2" w:rsidRPr="00EB1327">
        <w:rPr>
          <w:rFonts w:asciiTheme="minorHAnsi" w:hAnsiTheme="minorHAnsi" w:cs="Calibri"/>
          <w:color w:val="000000" w:themeColor="text1"/>
        </w:rPr>
        <w:t>1 460 172</w:t>
      </w:r>
      <w:r w:rsidRPr="00EB1327">
        <w:rPr>
          <w:rFonts w:asciiTheme="minorHAnsi" w:hAnsiTheme="minorHAnsi" w:cs="Calibri"/>
          <w:color w:val="000000" w:themeColor="text1"/>
        </w:rPr>
        <w:t xml:space="preserve"> Kč</w:t>
      </w:r>
      <w:r w:rsidRPr="00EB1327">
        <w:rPr>
          <w:rFonts w:asciiTheme="minorHAnsi" w:hAnsiTheme="minorHAnsi"/>
          <w:color w:val="000000" w:themeColor="text1"/>
        </w:rPr>
        <w:t xml:space="preserve"> (parc. č. 434, 436, 439/2, 439/3 a 439/4), vše v k. ú. Praha – Bohnice. Jednalo se o nemovitý majetek, který </w:t>
      </w:r>
      <w:r w:rsidRPr="00EB1327">
        <w:rPr>
          <w:rFonts w:asciiTheme="minorHAnsi" w:hAnsiTheme="minorHAnsi" w:cstheme="minorHAnsi"/>
          <w:color w:val="000000" w:themeColor="text1"/>
        </w:rPr>
        <w:t xml:space="preserve">vzhledem ke stěhování do nových prostor v Klecanech již ke své činnosti </w:t>
      </w:r>
      <w:r w:rsidR="00574EE2" w:rsidRPr="00EB1327">
        <w:rPr>
          <w:rFonts w:asciiTheme="minorHAnsi" w:hAnsiTheme="minorHAnsi" w:cstheme="minorHAnsi"/>
          <w:color w:val="000000" w:themeColor="text1"/>
        </w:rPr>
        <w:t>organizace</w:t>
      </w:r>
      <w:r w:rsidRPr="00EB1327">
        <w:rPr>
          <w:rFonts w:asciiTheme="minorHAnsi" w:hAnsiTheme="minorHAnsi" w:cstheme="minorHAnsi"/>
          <w:color w:val="000000" w:themeColor="text1"/>
        </w:rPr>
        <w:t xml:space="preserve"> nepotřeboval</w:t>
      </w:r>
      <w:r w:rsidR="00574EE2" w:rsidRPr="00EB1327">
        <w:rPr>
          <w:rFonts w:asciiTheme="minorHAnsi" w:hAnsiTheme="minorHAnsi" w:cstheme="minorHAnsi"/>
          <w:color w:val="000000" w:themeColor="text1"/>
        </w:rPr>
        <w:t>a</w:t>
      </w:r>
      <w:r w:rsidRPr="00EB1327">
        <w:rPr>
          <w:rFonts w:asciiTheme="minorHAnsi" w:hAnsiTheme="minorHAnsi" w:cstheme="minorHAnsi"/>
          <w:color w:val="000000" w:themeColor="text1"/>
        </w:rPr>
        <w:t xml:space="preserve">. </w:t>
      </w:r>
    </w:p>
    <w:p w14:paraId="18ED48DD" w14:textId="77777777" w:rsidR="0044474D" w:rsidRPr="00EB1327" w:rsidRDefault="004B4F51" w:rsidP="0066675E">
      <w:pPr>
        <w:spacing w:before="120" w:after="120"/>
        <w:jc w:val="both"/>
        <w:rPr>
          <w:rFonts w:asciiTheme="minorHAnsi" w:hAnsiTheme="minorHAnsi"/>
          <w:color w:val="000000" w:themeColor="text1"/>
        </w:rPr>
      </w:pPr>
      <w:r w:rsidRPr="00EB1327">
        <w:rPr>
          <w:rFonts w:asciiTheme="minorHAnsi" w:hAnsiTheme="minorHAnsi"/>
          <w:color w:val="000000" w:themeColor="text1"/>
        </w:rPr>
        <w:t xml:space="preserve">Smlouvu </w:t>
      </w:r>
      <w:r w:rsidR="0044474D" w:rsidRPr="00EB1327">
        <w:rPr>
          <w:rFonts w:asciiTheme="minorHAnsi" w:hAnsiTheme="minorHAnsi" w:cstheme="minorHAnsi"/>
          <w:color w:val="000000" w:themeColor="text1"/>
        </w:rPr>
        <w:t>o změně příslušnosti hospodařit s majetkem České republiky</w:t>
      </w:r>
      <w:r w:rsidRPr="00EB1327">
        <w:rPr>
          <w:rFonts w:asciiTheme="minorHAnsi" w:hAnsiTheme="minorHAnsi" w:cstheme="minorHAnsi"/>
          <w:color w:val="000000" w:themeColor="text1"/>
        </w:rPr>
        <w:t xml:space="preserve">, kterou uvedený majetek </w:t>
      </w:r>
      <w:r w:rsidR="0044474D" w:rsidRPr="00EB1327">
        <w:rPr>
          <w:rFonts w:asciiTheme="minorHAnsi" w:hAnsiTheme="minorHAnsi" w:cstheme="minorHAnsi"/>
          <w:color w:val="000000" w:themeColor="text1"/>
        </w:rPr>
        <w:t>převedl jiné příspěvkové organizaci</w:t>
      </w:r>
      <w:r w:rsidRPr="00EB1327">
        <w:rPr>
          <w:rFonts w:asciiTheme="minorHAnsi" w:hAnsiTheme="minorHAnsi" w:cstheme="minorHAnsi"/>
          <w:color w:val="000000" w:themeColor="text1"/>
        </w:rPr>
        <w:t xml:space="preserve">, uzavřel </w:t>
      </w:r>
      <w:r w:rsidR="00231219" w:rsidRPr="00EB1327">
        <w:rPr>
          <w:rFonts w:asciiTheme="minorHAnsi" w:hAnsiTheme="minorHAnsi" w:cstheme="minorHAnsi"/>
          <w:color w:val="000000" w:themeColor="text1"/>
        </w:rPr>
        <w:t>NÚDZ</w:t>
      </w:r>
      <w:r w:rsidRPr="00EB1327">
        <w:rPr>
          <w:rFonts w:asciiTheme="minorHAnsi" w:hAnsiTheme="minorHAnsi" w:cstheme="minorHAnsi"/>
          <w:color w:val="000000" w:themeColor="text1"/>
        </w:rPr>
        <w:t xml:space="preserve"> až dne 3. 1. 2017, tedy po více než 2 letech.</w:t>
      </w:r>
      <w:r w:rsidR="0044474D" w:rsidRPr="00EB1327">
        <w:rPr>
          <w:rFonts w:asciiTheme="minorHAnsi" w:hAnsiTheme="minorHAnsi" w:cstheme="minorHAnsi"/>
          <w:color w:val="000000" w:themeColor="text1"/>
        </w:rPr>
        <w:t xml:space="preserve"> MZd </w:t>
      </w:r>
      <w:r w:rsidRPr="00EB1327">
        <w:rPr>
          <w:rFonts w:asciiTheme="minorHAnsi" w:hAnsiTheme="minorHAnsi" w:cstheme="minorHAnsi"/>
          <w:color w:val="000000" w:themeColor="text1"/>
        </w:rPr>
        <w:t>s</w:t>
      </w:r>
      <w:r w:rsidR="0044474D" w:rsidRPr="00EB1327">
        <w:rPr>
          <w:rFonts w:asciiTheme="minorHAnsi" w:hAnsiTheme="minorHAnsi" w:cstheme="minorHAnsi"/>
          <w:color w:val="000000" w:themeColor="text1"/>
        </w:rPr>
        <w:t>mlouvu schválilo dne 30. 1. 2017, což je datum účinnosti změny příslušnosti hospodaření s majetkem státu.</w:t>
      </w:r>
    </w:p>
    <w:p w14:paraId="6210F616" w14:textId="77777777" w:rsidR="0031589F" w:rsidRPr="00EB1327" w:rsidRDefault="00231219" w:rsidP="0066675E">
      <w:pPr>
        <w:spacing w:before="120" w:after="120"/>
        <w:jc w:val="both"/>
        <w:rPr>
          <w:rFonts w:asciiTheme="minorHAnsi" w:hAnsiTheme="minorHAnsi"/>
          <w:color w:val="000000" w:themeColor="text1"/>
        </w:rPr>
      </w:pPr>
      <w:r w:rsidRPr="00EB1327">
        <w:rPr>
          <w:rFonts w:asciiTheme="minorHAnsi" w:hAnsiTheme="minorHAnsi"/>
          <w:color w:val="000000" w:themeColor="text1"/>
        </w:rPr>
        <w:t>NÚDZ</w:t>
      </w:r>
      <w:r w:rsidR="00204195" w:rsidRPr="00EB1327">
        <w:rPr>
          <w:rFonts w:asciiTheme="minorHAnsi" w:hAnsiTheme="minorHAnsi"/>
          <w:color w:val="000000" w:themeColor="text1"/>
        </w:rPr>
        <w:t xml:space="preserve"> tak </w:t>
      </w:r>
      <w:r w:rsidR="004B4F51" w:rsidRPr="00EB1327">
        <w:rPr>
          <w:rFonts w:asciiTheme="minorHAnsi" w:hAnsiTheme="minorHAnsi"/>
          <w:color w:val="000000" w:themeColor="text1"/>
        </w:rPr>
        <w:t xml:space="preserve">bez právního důvodu </w:t>
      </w:r>
      <w:r w:rsidR="006B6473" w:rsidRPr="00EB1327">
        <w:rPr>
          <w:rFonts w:asciiTheme="minorHAnsi" w:hAnsiTheme="minorHAnsi"/>
          <w:color w:val="000000" w:themeColor="text1"/>
        </w:rPr>
        <w:t xml:space="preserve">předal </w:t>
      </w:r>
      <w:r w:rsidR="00204195" w:rsidRPr="00EB1327">
        <w:rPr>
          <w:rFonts w:asciiTheme="minorHAnsi" w:hAnsiTheme="minorHAnsi"/>
          <w:color w:val="000000" w:themeColor="text1"/>
        </w:rPr>
        <w:t xml:space="preserve">majetek </w:t>
      </w:r>
      <w:r w:rsidR="006B6473" w:rsidRPr="00EB1327">
        <w:rPr>
          <w:rFonts w:asciiTheme="minorHAnsi" w:hAnsiTheme="minorHAnsi"/>
          <w:color w:val="000000" w:themeColor="text1"/>
        </w:rPr>
        <w:t>jiné příspěvkové organizaci</w:t>
      </w:r>
      <w:r w:rsidR="00204195" w:rsidRPr="00EB1327">
        <w:rPr>
          <w:rFonts w:asciiTheme="minorHAnsi" w:hAnsiTheme="minorHAnsi"/>
          <w:color w:val="000000" w:themeColor="text1"/>
        </w:rPr>
        <w:t xml:space="preserve"> před uzavření</w:t>
      </w:r>
      <w:r w:rsidR="0031589F" w:rsidRPr="00EB1327">
        <w:rPr>
          <w:rFonts w:asciiTheme="minorHAnsi" w:hAnsiTheme="minorHAnsi"/>
          <w:color w:val="000000" w:themeColor="text1"/>
          <w:shd w:val="clear" w:color="auto" w:fill="FFFFFF" w:themeFill="background1"/>
        </w:rPr>
        <w:t>m</w:t>
      </w:r>
      <w:r w:rsidR="00204195" w:rsidRPr="00EB1327">
        <w:rPr>
          <w:rFonts w:asciiTheme="minorHAnsi" w:hAnsiTheme="minorHAnsi"/>
          <w:color w:val="000000" w:themeColor="text1"/>
          <w:shd w:val="clear" w:color="auto" w:fill="FFFFFF" w:themeFill="background1"/>
        </w:rPr>
        <w:t xml:space="preserve"> </w:t>
      </w:r>
      <w:r w:rsidR="00204195" w:rsidRPr="00EB1327">
        <w:rPr>
          <w:rFonts w:asciiTheme="minorHAnsi" w:hAnsiTheme="minorHAnsi"/>
          <w:color w:val="000000" w:themeColor="text1"/>
        </w:rPr>
        <w:t>platné smlouvy o převodu, pře</w:t>
      </w:r>
      <w:r w:rsidR="0031589F" w:rsidRPr="00EB1327">
        <w:rPr>
          <w:rFonts w:asciiTheme="minorHAnsi" w:hAnsiTheme="minorHAnsi"/>
          <w:color w:val="000000" w:themeColor="text1"/>
        </w:rPr>
        <w:t>daný</w:t>
      </w:r>
      <w:r w:rsidR="00204195" w:rsidRPr="00EB1327">
        <w:rPr>
          <w:rFonts w:asciiTheme="minorHAnsi" w:hAnsiTheme="minorHAnsi"/>
          <w:color w:val="000000" w:themeColor="text1"/>
        </w:rPr>
        <w:t xml:space="preserve"> </w:t>
      </w:r>
      <w:r w:rsidR="0031589F" w:rsidRPr="00EB1327">
        <w:rPr>
          <w:rFonts w:asciiTheme="minorHAnsi" w:hAnsiTheme="minorHAnsi"/>
          <w:color w:val="000000" w:themeColor="text1"/>
          <w:shd w:val="clear" w:color="auto" w:fill="FFFFFF" w:themeFill="background1"/>
        </w:rPr>
        <w:t xml:space="preserve">nemovitý </w:t>
      </w:r>
      <w:r w:rsidR="00204195" w:rsidRPr="00EB1327">
        <w:rPr>
          <w:rFonts w:asciiTheme="minorHAnsi" w:hAnsiTheme="minorHAnsi"/>
          <w:color w:val="000000" w:themeColor="text1"/>
        </w:rPr>
        <w:t>majetek v pořizo</w:t>
      </w:r>
      <w:r w:rsidR="0031589F" w:rsidRPr="00EB1327">
        <w:rPr>
          <w:rFonts w:asciiTheme="minorHAnsi" w:hAnsiTheme="minorHAnsi"/>
          <w:color w:val="000000" w:themeColor="text1"/>
        </w:rPr>
        <w:t xml:space="preserve">vací ceně </w:t>
      </w:r>
      <w:r w:rsidR="00204195" w:rsidRPr="00EB1327">
        <w:rPr>
          <w:rFonts w:asciiTheme="minorHAnsi" w:hAnsiTheme="minorHAnsi"/>
          <w:color w:val="000000" w:themeColor="text1"/>
        </w:rPr>
        <w:t>20 117 500,75 Kč předčasně vyřadil z</w:t>
      </w:r>
      <w:r w:rsidR="00574EE2" w:rsidRPr="00EB1327">
        <w:rPr>
          <w:rFonts w:asciiTheme="minorHAnsi" w:hAnsiTheme="minorHAnsi"/>
          <w:color w:val="000000" w:themeColor="text1"/>
        </w:rPr>
        <w:t> </w:t>
      </w:r>
      <w:r w:rsidR="00204195" w:rsidRPr="00EB1327">
        <w:rPr>
          <w:rFonts w:asciiTheme="minorHAnsi" w:hAnsiTheme="minorHAnsi"/>
          <w:color w:val="000000" w:themeColor="text1"/>
        </w:rPr>
        <w:t>evidence</w:t>
      </w:r>
      <w:r w:rsidR="00574EE2" w:rsidRPr="00EB1327">
        <w:rPr>
          <w:rFonts w:asciiTheme="minorHAnsi" w:hAnsiTheme="minorHAnsi"/>
          <w:color w:val="000000" w:themeColor="text1"/>
        </w:rPr>
        <w:t xml:space="preserve"> </w:t>
      </w:r>
      <w:r w:rsidR="00574EE2" w:rsidRPr="00EB1327">
        <w:rPr>
          <w:rFonts w:asciiTheme="minorHAnsi" w:hAnsiTheme="minorHAnsi"/>
          <w:color w:val="000000" w:themeColor="text1"/>
          <w:shd w:val="clear" w:color="auto" w:fill="FFFFFF" w:themeFill="background1"/>
        </w:rPr>
        <w:t>a účetnictví</w:t>
      </w:r>
      <w:r w:rsidR="00204195" w:rsidRPr="00EB1327">
        <w:rPr>
          <w:rFonts w:asciiTheme="minorHAnsi" w:hAnsiTheme="minorHAnsi"/>
          <w:color w:val="000000" w:themeColor="text1"/>
        </w:rPr>
        <w:t xml:space="preserve">, </w:t>
      </w:r>
      <w:r w:rsidR="00204195" w:rsidRPr="00EB1327">
        <w:rPr>
          <w:rFonts w:asciiTheme="minorHAnsi" w:hAnsiTheme="minorHAnsi" w:cs="Calibri"/>
          <w:color w:val="000000" w:themeColor="text1"/>
        </w:rPr>
        <w:t>přestože nenastala skutečnost, která by k takovému postupu opravňovala. Současně také předčasně ukončil od</w:t>
      </w:r>
      <w:r w:rsidR="0031589F" w:rsidRPr="00EB1327">
        <w:rPr>
          <w:rFonts w:asciiTheme="minorHAnsi" w:hAnsiTheme="minorHAnsi" w:cs="Calibri"/>
          <w:color w:val="000000" w:themeColor="text1"/>
        </w:rPr>
        <w:t xml:space="preserve">pisování tohoto majetku, </w:t>
      </w:r>
      <w:r w:rsidR="00204195" w:rsidRPr="00EB1327">
        <w:rPr>
          <w:rFonts w:cs="Calibri"/>
          <w:bCs/>
          <w:color w:val="000000" w:themeColor="text1"/>
          <w:spacing w:val="-2"/>
        </w:rPr>
        <w:t>čímž zaúčtoval odpisy dlouhodobého majetku v účetních knihách</w:t>
      </w:r>
      <w:r w:rsidR="00574EE2" w:rsidRPr="00EB1327">
        <w:rPr>
          <w:rFonts w:cs="Calibri"/>
          <w:bCs/>
          <w:color w:val="000000" w:themeColor="text1"/>
          <w:spacing w:val="-2"/>
        </w:rPr>
        <w:t xml:space="preserve"> roku 2015 nižší o 373 152 Kč a </w:t>
      </w:r>
      <w:r w:rsidR="00204195" w:rsidRPr="00EB1327">
        <w:rPr>
          <w:rFonts w:cs="Calibri"/>
          <w:bCs/>
          <w:color w:val="000000" w:themeColor="text1"/>
          <w:spacing w:val="-2"/>
        </w:rPr>
        <w:t xml:space="preserve">v účetních knihách roku 2016 nižší o 373 152 Kč. </w:t>
      </w:r>
    </w:p>
    <w:p w14:paraId="3FBDA5D9" w14:textId="77777777" w:rsidR="004B4F51" w:rsidRPr="00EB1327" w:rsidRDefault="004B4F51" w:rsidP="0066675E">
      <w:pPr>
        <w:spacing w:before="120" w:after="120"/>
        <w:jc w:val="both"/>
        <w:rPr>
          <w:rFonts w:cs="Calibri"/>
          <w:bCs/>
          <w:color w:val="000000" w:themeColor="text1"/>
          <w:spacing w:val="-2"/>
        </w:rPr>
      </w:pPr>
      <w:r w:rsidRPr="00EB1327">
        <w:rPr>
          <w:rFonts w:cs="Calibri"/>
          <w:bCs/>
          <w:color w:val="000000" w:themeColor="text1"/>
          <w:spacing w:val="-2"/>
          <w:shd w:val="clear" w:color="auto" w:fill="FFFFFF" w:themeFill="background1"/>
        </w:rPr>
        <w:t xml:space="preserve">Současně s nemovitým majetkem předal </w:t>
      </w:r>
      <w:r w:rsidR="00231219" w:rsidRPr="00EB1327">
        <w:rPr>
          <w:rFonts w:cs="Calibri"/>
          <w:bCs/>
          <w:color w:val="000000" w:themeColor="text1"/>
          <w:spacing w:val="-2"/>
          <w:shd w:val="clear" w:color="auto" w:fill="FFFFFF" w:themeFill="background1"/>
        </w:rPr>
        <w:t>NÚDZ</w:t>
      </w:r>
      <w:r w:rsidRPr="00EB1327">
        <w:rPr>
          <w:rFonts w:cs="Calibri"/>
          <w:bCs/>
          <w:color w:val="000000" w:themeColor="text1"/>
          <w:spacing w:val="-2"/>
          <w:shd w:val="clear" w:color="auto" w:fill="FFFFFF" w:themeFill="background1"/>
        </w:rPr>
        <w:t xml:space="preserve"> i movitý majetek </w:t>
      </w:r>
      <w:r w:rsidRPr="00EB1327">
        <w:rPr>
          <w:rFonts w:asciiTheme="minorHAnsi" w:hAnsiTheme="minorHAnsi" w:cstheme="minorHAnsi"/>
          <w:color w:val="000000" w:themeColor="text1"/>
          <w:shd w:val="clear" w:color="auto" w:fill="FFFFFF" w:themeFill="background1"/>
        </w:rPr>
        <w:t xml:space="preserve">v celkové pořizovací ceně </w:t>
      </w:r>
      <w:r w:rsidRPr="00EB1327">
        <w:rPr>
          <w:rFonts w:cs="Calibri"/>
          <w:color w:val="000000" w:themeColor="text1"/>
          <w:shd w:val="clear" w:color="auto" w:fill="FFFFFF" w:themeFill="background1"/>
        </w:rPr>
        <w:t xml:space="preserve">3 195 438,79 Kč, který vyřadil z evidence a účetnictví také k 31. 12. 2014, ačkoliv v té době nebyla uzavřena příslušná smlouva o převodu příslušnosti hospodaření. V důsledku tohoto nesprávného postupu </w:t>
      </w:r>
      <w:r w:rsidRPr="00EB1327">
        <w:rPr>
          <w:rFonts w:cs="Calibri"/>
          <w:bCs/>
          <w:color w:val="000000" w:themeColor="text1"/>
          <w:spacing w:val="-2"/>
          <w:shd w:val="clear" w:color="auto" w:fill="FFFFFF" w:themeFill="background1"/>
        </w:rPr>
        <w:t>zaúčtoval</w:t>
      </w:r>
      <w:r w:rsidRPr="00EB1327">
        <w:rPr>
          <w:rFonts w:cs="Calibri"/>
          <w:bCs/>
          <w:color w:val="000000" w:themeColor="text1"/>
          <w:spacing w:val="-2"/>
        </w:rPr>
        <w:t xml:space="preserve"> odpisy dlouhodobého majetku v účetních knihách roku 2015 nižší o 65 840 Kč.</w:t>
      </w:r>
    </w:p>
    <w:p w14:paraId="69905956" w14:textId="13C828CE" w:rsidR="00204195" w:rsidRPr="00EB1327" w:rsidRDefault="00204195" w:rsidP="0066675E">
      <w:pPr>
        <w:spacing w:before="120" w:after="120"/>
        <w:jc w:val="both"/>
        <w:rPr>
          <w:rFonts w:asciiTheme="minorHAnsi" w:hAnsiTheme="minorHAnsi" w:cs="Arial"/>
          <w:color w:val="000000" w:themeColor="text1"/>
        </w:rPr>
      </w:pPr>
      <w:r w:rsidRPr="00EB1327">
        <w:rPr>
          <w:rFonts w:asciiTheme="minorHAnsi" w:hAnsiTheme="minorHAnsi" w:cs="Arial"/>
          <w:color w:val="000000" w:themeColor="text1"/>
        </w:rPr>
        <w:t xml:space="preserve">Ve výkazech </w:t>
      </w:r>
      <w:r w:rsidR="00D710D2" w:rsidRPr="00475F45">
        <w:rPr>
          <w:rFonts w:asciiTheme="minorHAnsi" w:hAnsiTheme="minorHAnsi" w:cs="Arial"/>
          <w:i/>
          <w:color w:val="000000" w:themeColor="text1"/>
        </w:rPr>
        <w:t>r</w:t>
      </w:r>
      <w:r w:rsidRPr="00475F45">
        <w:rPr>
          <w:rFonts w:asciiTheme="minorHAnsi" w:hAnsiTheme="minorHAnsi" w:cs="Arial"/>
          <w:i/>
          <w:color w:val="000000" w:themeColor="text1"/>
        </w:rPr>
        <w:t>ozvaha</w:t>
      </w:r>
      <w:r w:rsidRPr="00EB1327">
        <w:rPr>
          <w:rFonts w:asciiTheme="minorHAnsi" w:hAnsiTheme="minorHAnsi" w:cs="Arial"/>
          <w:color w:val="000000" w:themeColor="text1"/>
        </w:rPr>
        <w:t xml:space="preserve"> a </w:t>
      </w:r>
      <w:r w:rsidR="00D710D2" w:rsidRPr="00475F45">
        <w:rPr>
          <w:rFonts w:asciiTheme="minorHAnsi" w:hAnsiTheme="minorHAnsi" w:cs="Arial"/>
          <w:i/>
          <w:color w:val="000000" w:themeColor="text1"/>
        </w:rPr>
        <w:t>v</w:t>
      </w:r>
      <w:r w:rsidRPr="00475F45">
        <w:rPr>
          <w:rFonts w:asciiTheme="minorHAnsi" w:hAnsiTheme="minorHAnsi" w:cs="Arial"/>
          <w:i/>
          <w:color w:val="000000" w:themeColor="text1"/>
        </w:rPr>
        <w:t>ýkaz zisku a ztráty</w:t>
      </w:r>
      <w:r w:rsidRPr="00EB1327">
        <w:rPr>
          <w:rFonts w:asciiTheme="minorHAnsi" w:hAnsiTheme="minorHAnsi" w:cs="Arial"/>
          <w:color w:val="000000" w:themeColor="text1"/>
        </w:rPr>
        <w:t xml:space="preserve"> tak </w:t>
      </w:r>
      <w:r w:rsidR="00231219" w:rsidRPr="00EB1327">
        <w:rPr>
          <w:rFonts w:asciiTheme="minorHAnsi" w:hAnsiTheme="minorHAnsi" w:cs="Arial"/>
          <w:color w:val="000000" w:themeColor="text1"/>
        </w:rPr>
        <w:t>NÚDZ</w:t>
      </w:r>
      <w:r w:rsidRPr="00EB1327">
        <w:rPr>
          <w:rFonts w:asciiTheme="minorHAnsi" w:hAnsiTheme="minorHAnsi" w:cs="Arial"/>
          <w:color w:val="000000" w:themeColor="text1"/>
        </w:rPr>
        <w:t xml:space="preserve"> vykázal nesprávné údaje a jeho účetnictví nebylo v účetním období 2014 až 2016 správné a úplné ve smyslu ustanovení § 8 odst. 2 a odst. 3 zákona o účetnictví. </w:t>
      </w:r>
    </w:p>
    <w:p w14:paraId="61C01A79" w14:textId="77777777" w:rsidR="00204195" w:rsidRPr="00EB1327" w:rsidRDefault="007624F9" w:rsidP="0066675E">
      <w:pPr>
        <w:spacing w:before="120" w:after="120"/>
        <w:jc w:val="both"/>
        <w:rPr>
          <w:rFonts w:asciiTheme="minorHAnsi" w:hAnsiTheme="minorHAnsi" w:cs="Calibri"/>
          <w:b/>
          <w:color w:val="000000" w:themeColor="text1"/>
        </w:rPr>
      </w:pPr>
      <w:r w:rsidRPr="00EB1327">
        <w:rPr>
          <w:rFonts w:asciiTheme="minorHAnsi" w:hAnsiTheme="minorHAnsi" w:cs="Calibri"/>
          <w:b/>
          <w:color w:val="000000" w:themeColor="text1"/>
        </w:rPr>
        <w:t xml:space="preserve">4. </w:t>
      </w:r>
      <w:r w:rsidR="00204195" w:rsidRPr="00EB1327">
        <w:rPr>
          <w:rFonts w:asciiTheme="minorHAnsi" w:hAnsiTheme="minorHAnsi" w:cs="Calibri"/>
          <w:b/>
          <w:color w:val="000000" w:themeColor="text1"/>
        </w:rPr>
        <w:t>Nepotřebný majetek</w:t>
      </w:r>
    </w:p>
    <w:p w14:paraId="21C472D2" w14:textId="00D227CE" w:rsidR="00204195" w:rsidRPr="00EB1327" w:rsidRDefault="00231219" w:rsidP="0066675E">
      <w:pPr>
        <w:spacing w:before="120" w:after="120"/>
        <w:jc w:val="both"/>
        <w:rPr>
          <w:rFonts w:cs="Calibri"/>
          <w:color w:val="000000" w:themeColor="text1"/>
        </w:rPr>
      </w:pPr>
      <w:r w:rsidRPr="00EB1327">
        <w:rPr>
          <w:rFonts w:cs="Calibri"/>
          <w:color w:val="000000" w:themeColor="text1"/>
        </w:rPr>
        <w:t>NÚDZ</w:t>
      </w:r>
      <w:r w:rsidR="00204195" w:rsidRPr="00EB1327">
        <w:rPr>
          <w:rFonts w:cs="Calibri"/>
          <w:color w:val="000000" w:themeColor="text1"/>
        </w:rPr>
        <w:t xml:space="preserve"> v letech 2014 až 2016 porušil ustanovení </w:t>
      </w:r>
      <w:r w:rsidR="00204195" w:rsidRPr="00EB1327">
        <w:rPr>
          <w:rFonts w:asciiTheme="minorHAnsi" w:hAnsiTheme="minorHAnsi" w:cs="Arial"/>
          <w:color w:val="000000" w:themeColor="text1"/>
        </w:rPr>
        <w:t>§ 14 odst. 7 zákona č. 219/2000 Sb. tím, že</w:t>
      </w:r>
      <w:r w:rsidR="00D710D2">
        <w:rPr>
          <w:rFonts w:asciiTheme="minorHAnsi" w:hAnsiTheme="minorHAnsi" w:cs="Arial"/>
          <w:color w:val="000000" w:themeColor="text1"/>
        </w:rPr>
        <w:t xml:space="preserve"> </w:t>
      </w:r>
      <w:r w:rsidR="00574EE2" w:rsidRPr="00EB1327">
        <w:rPr>
          <w:rFonts w:asciiTheme="minorHAnsi" w:hAnsiTheme="minorHAnsi" w:cs="Arial"/>
          <w:color w:val="000000" w:themeColor="text1"/>
        </w:rPr>
        <w:t xml:space="preserve">ve všech </w:t>
      </w:r>
      <w:r w:rsidR="00204195" w:rsidRPr="00EB1327">
        <w:rPr>
          <w:rFonts w:asciiTheme="minorHAnsi" w:hAnsiTheme="minorHAnsi" w:cs="Arial"/>
          <w:color w:val="000000" w:themeColor="text1"/>
        </w:rPr>
        <w:t xml:space="preserve">15 </w:t>
      </w:r>
      <w:r w:rsidR="00CE7AD7" w:rsidRPr="00EB1327">
        <w:rPr>
          <w:rFonts w:asciiTheme="minorHAnsi" w:hAnsiTheme="minorHAnsi" w:cs="Arial"/>
          <w:color w:val="000000" w:themeColor="text1"/>
        </w:rPr>
        <w:t>kontrolovaných</w:t>
      </w:r>
      <w:r w:rsidR="00773AB0" w:rsidRPr="00EB1327">
        <w:rPr>
          <w:rFonts w:asciiTheme="minorHAnsi" w:hAnsiTheme="minorHAnsi" w:cs="Arial"/>
          <w:color w:val="000000" w:themeColor="text1"/>
        </w:rPr>
        <w:t xml:space="preserve"> </w:t>
      </w:r>
      <w:r w:rsidR="00204195" w:rsidRPr="00EB1327">
        <w:rPr>
          <w:rFonts w:asciiTheme="minorHAnsi" w:hAnsiTheme="minorHAnsi" w:cs="Arial"/>
          <w:color w:val="000000" w:themeColor="text1"/>
        </w:rPr>
        <w:t xml:space="preserve">případech </w:t>
      </w:r>
      <w:r w:rsidR="00204195" w:rsidRPr="00EB1327">
        <w:rPr>
          <w:rFonts w:cs="Calibri"/>
          <w:color w:val="000000" w:themeColor="text1"/>
        </w:rPr>
        <w:t xml:space="preserve">vyřadil nepotřebný majetek v celkové pořizovací hodnotě 1 904 747,60 Kč, aniž by vedoucí organizace písemně rozhodl o nepotřebnosti tohoto majetku. </w:t>
      </w:r>
    </w:p>
    <w:p w14:paraId="0875941F" w14:textId="194DA975" w:rsidR="00773AB0" w:rsidRPr="00EB1327" w:rsidRDefault="00773AB0" w:rsidP="0066675E">
      <w:pPr>
        <w:autoSpaceDE w:val="0"/>
        <w:autoSpaceDN w:val="0"/>
        <w:adjustRightInd w:val="0"/>
        <w:spacing w:before="120" w:after="120"/>
        <w:jc w:val="both"/>
        <w:rPr>
          <w:color w:val="000000" w:themeColor="text1"/>
        </w:rPr>
      </w:pPr>
      <w:r w:rsidRPr="00EB1327">
        <w:rPr>
          <w:color w:val="000000" w:themeColor="text1"/>
          <w:shd w:val="clear" w:color="auto" w:fill="FFFFFF" w:themeFill="background1"/>
        </w:rPr>
        <w:t xml:space="preserve">V případě převodu nemovitého a movitého majetku </w:t>
      </w:r>
      <w:r w:rsidR="00CE7AD7" w:rsidRPr="00EB1327">
        <w:rPr>
          <w:color w:val="000000" w:themeColor="text1"/>
          <w:shd w:val="clear" w:color="auto" w:fill="FFFFFF" w:themeFill="background1"/>
        </w:rPr>
        <w:t xml:space="preserve">změnou příslušnosti hospodaření </w:t>
      </w:r>
      <w:r w:rsidRPr="00EB1327">
        <w:rPr>
          <w:color w:val="000000" w:themeColor="text1"/>
          <w:shd w:val="clear" w:color="auto" w:fill="FFFFFF" w:themeFill="background1"/>
        </w:rPr>
        <w:t xml:space="preserve">jiné příspěvkové organizaci v areálu v Praze </w:t>
      </w:r>
      <w:r w:rsidR="00D710D2">
        <w:rPr>
          <w:color w:val="000000" w:themeColor="text1"/>
          <w:shd w:val="clear" w:color="auto" w:fill="FFFFFF" w:themeFill="background1"/>
        </w:rPr>
        <w:t>–</w:t>
      </w:r>
      <w:r w:rsidR="00574EE2" w:rsidRPr="00EB1327">
        <w:rPr>
          <w:color w:val="000000" w:themeColor="text1"/>
          <w:shd w:val="clear" w:color="auto" w:fill="FFFFFF" w:themeFill="background1"/>
        </w:rPr>
        <w:t xml:space="preserve"> </w:t>
      </w:r>
      <w:r w:rsidRPr="00EB1327">
        <w:rPr>
          <w:color w:val="000000" w:themeColor="text1"/>
          <w:shd w:val="clear" w:color="auto" w:fill="FFFFFF" w:themeFill="background1"/>
        </w:rPr>
        <w:t xml:space="preserve">Bohnicích </w:t>
      </w:r>
      <w:r w:rsidR="00231219" w:rsidRPr="00EB1327">
        <w:rPr>
          <w:color w:val="000000" w:themeColor="text1"/>
          <w:shd w:val="clear" w:color="auto" w:fill="FFFFFF" w:themeFill="background1"/>
        </w:rPr>
        <w:t>NÚDZ</w:t>
      </w:r>
      <w:r w:rsidRPr="00EB1327">
        <w:rPr>
          <w:color w:val="000000" w:themeColor="text1"/>
          <w:shd w:val="clear" w:color="auto" w:fill="FFFFFF" w:themeFill="background1"/>
        </w:rPr>
        <w:t xml:space="preserve"> sice rozhodnutí o nepotřebnosti vydal, ale až dodatečně po</w:t>
      </w:r>
      <w:r w:rsidR="00CE7AD7" w:rsidRPr="00EB1327">
        <w:rPr>
          <w:color w:val="000000" w:themeColor="text1"/>
          <w:shd w:val="clear" w:color="auto" w:fill="FFFFFF" w:themeFill="background1"/>
        </w:rPr>
        <w:t>té, co si tato jiná příspěvková organizace majetek fyzicky převzala.</w:t>
      </w:r>
      <w:r w:rsidR="00CE7AD7" w:rsidRPr="00EB1327">
        <w:rPr>
          <w:color w:val="000000" w:themeColor="text1"/>
          <w:shd w:val="clear" w:color="auto" w:fill="FFF2CC" w:themeFill="accent4" w:themeFillTint="33"/>
        </w:rPr>
        <w:t xml:space="preserve"> </w:t>
      </w:r>
    </w:p>
    <w:p w14:paraId="21C014B9" w14:textId="536ABA02" w:rsidR="00204195" w:rsidRPr="00EB1327" w:rsidRDefault="00204195" w:rsidP="0066675E">
      <w:pPr>
        <w:spacing w:before="120" w:after="120"/>
        <w:jc w:val="both"/>
        <w:rPr>
          <w:rFonts w:asciiTheme="minorHAnsi" w:hAnsiTheme="minorHAnsi"/>
          <w:color w:val="000000" w:themeColor="text1"/>
        </w:rPr>
      </w:pPr>
      <w:r w:rsidRPr="00EB1327">
        <w:rPr>
          <w:rFonts w:asciiTheme="minorHAnsi" w:hAnsiTheme="minorHAnsi"/>
          <w:color w:val="000000" w:themeColor="text1"/>
        </w:rPr>
        <w:t>V </w:t>
      </w:r>
      <w:r w:rsidR="00231219" w:rsidRPr="00EB1327">
        <w:rPr>
          <w:rFonts w:asciiTheme="minorHAnsi" w:hAnsiTheme="minorHAnsi"/>
          <w:color w:val="000000" w:themeColor="text1"/>
        </w:rPr>
        <w:t>NÚDZ</w:t>
      </w:r>
      <w:r w:rsidRPr="00EB1327">
        <w:rPr>
          <w:rFonts w:asciiTheme="minorHAnsi" w:hAnsiTheme="minorHAnsi"/>
          <w:color w:val="000000" w:themeColor="text1"/>
        </w:rPr>
        <w:t xml:space="preserve"> v letech 2014 až 2016 neexistoval komplexní vnitřní předpis zahrnující postupy, pravomoci a odpovědnosti při hospodaření s</w:t>
      </w:r>
      <w:r w:rsidR="00CE7AD7" w:rsidRPr="00EB1327">
        <w:rPr>
          <w:rFonts w:asciiTheme="minorHAnsi" w:hAnsiTheme="minorHAnsi"/>
          <w:color w:val="000000" w:themeColor="text1"/>
        </w:rPr>
        <w:t> </w:t>
      </w:r>
      <w:r w:rsidRPr="00EB1327">
        <w:rPr>
          <w:rFonts w:asciiTheme="minorHAnsi" w:hAnsiTheme="minorHAnsi"/>
          <w:color w:val="000000" w:themeColor="text1"/>
        </w:rPr>
        <w:t>majetkem</w:t>
      </w:r>
      <w:r w:rsidR="00574EE2" w:rsidRPr="00EB1327">
        <w:rPr>
          <w:rFonts w:asciiTheme="minorHAnsi" w:hAnsiTheme="minorHAnsi"/>
          <w:color w:val="000000" w:themeColor="text1"/>
        </w:rPr>
        <w:t>.</w:t>
      </w:r>
    </w:p>
    <w:p w14:paraId="0B78C500" w14:textId="77777777" w:rsidR="005051D9" w:rsidRDefault="005051D9" w:rsidP="0066675E">
      <w:pPr>
        <w:spacing w:before="120" w:after="120"/>
        <w:jc w:val="both"/>
        <w:rPr>
          <w:b/>
          <w:color w:val="000000" w:themeColor="text1"/>
        </w:rPr>
      </w:pPr>
    </w:p>
    <w:p w14:paraId="60E7BE2B" w14:textId="5672C191" w:rsidR="00204195" w:rsidRPr="00EB1327" w:rsidRDefault="007624F9" w:rsidP="0066675E">
      <w:pPr>
        <w:spacing w:before="120" w:after="120"/>
        <w:jc w:val="both"/>
        <w:rPr>
          <w:rFonts w:asciiTheme="minorHAnsi" w:hAnsiTheme="minorHAnsi"/>
          <w:color w:val="000000" w:themeColor="text1"/>
        </w:rPr>
      </w:pPr>
      <w:r w:rsidRPr="00EB1327">
        <w:rPr>
          <w:b/>
          <w:color w:val="000000" w:themeColor="text1"/>
        </w:rPr>
        <w:t xml:space="preserve">5. </w:t>
      </w:r>
      <w:r w:rsidR="00204195" w:rsidRPr="00EB1327">
        <w:rPr>
          <w:b/>
          <w:color w:val="000000" w:themeColor="text1"/>
        </w:rPr>
        <w:t>Užívání cizího majetku</w:t>
      </w:r>
    </w:p>
    <w:p w14:paraId="357763F8" w14:textId="42250C98" w:rsidR="00204195" w:rsidRPr="00EB1327" w:rsidRDefault="00CE7AD7" w:rsidP="0066675E">
      <w:pPr>
        <w:spacing w:before="120" w:after="120"/>
        <w:jc w:val="both"/>
        <w:rPr>
          <w:rFonts w:asciiTheme="minorHAnsi" w:eastAsiaTheme="minorHAnsi" w:hAnsiTheme="minorHAnsi" w:cstheme="minorBidi"/>
          <w:color w:val="000000" w:themeColor="text1"/>
        </w:rPr>
      </w:pPr>
      <w:r w:rsidRPr="00EB1327">
        <w:rPr>
          <w:rFonts w:asciiTheme="minorHAnsi" w:eastAsiaTheme="minorHAnsi" w:hAnsiTheme="minorHAnsi" w:cstheme="minorBidi"/>
          <w:color w:val="000000" w:themeColor="text1"/>
          <w:shd w:val="clear" w:color="auto" w:fill="FFFFFF" w:themeFill="background1"/>
        </w:rPr>
        <w:t xml:space="preserve">Kontrolou bylo zjištěno, že součástí areálu </w:t>
      </w:r>
      <w:r w:rsidR="00231219" w:rsidRPr="00EB1327">
        <w:rPr>
          <w:rFonts w:asciiTheme="minorHAnsi" w:eastAsiaTheme="minorHAnsi" w:hAnsiTheme="minorHAnsi" w:cstheme="minorBidi"/>
          <w:color w:val="000000" w:themeColor="text1"/>
          <w:shd w:val="clear" w:color="auto" w:fill="FFFFFF" w:themeFill="background1"/>
        </w:rPr>
        <w:t>NÚDZ</w:t>
      </w:r>
      <w:r w:rsidRPr="00EB1327">
        <w:rPr>
          <w:rFonts w:asciiTheme="minorHAnsi" w:eastAsiaTheme="minorHAnsi" w:hAnsiTheme="minorHAnsi" w:cstheme="minorBidi"/>
          <w:color w:val="000000" w:themeColor="text1"/>
          <w:shd w:val="clear" w:color="auto" w:fill="FFFFFF" w:themeFill="background1"/>
        </w:rPr>
        <w:t xml:space="preserve"> je také příjezdová komunikace a parkoviště, které jsou vystavěny na pozemcích ve vlastnictví jiné osoby (par</w:t>
      </w:r>
      <w:r w:rsidR="004221C4" w:rsidRPr="00EB1327">
        <w:rPr>
          <w:rFonts w:asciiTheme="minorHAnsi" w:eastAsiaTheme="minorHAnsi" w:hAnsiTheme="minorHAnsi" w:cstheme="minorBidi"/>
          <w:color w:val="000000" w:themeColor="text1"/>
          <w:shd w:val="clear" w:color="auto" w:fill="FFFFFF" w:themeFill="background1"/>
        </w:rPr>
        <w:t>c. č. 129/11, 138/5, 138/4 v k. </w:t>
      </w:r>
      <w:r w:rsidRPr="00EB1327">
        <w:rPr>
          <w:rFonts w:asciiTheme="minorHAnsi" w:eastAsiaTheme="minorHAnsi" w:hAnsiTheme="minorHAnsi" w:cstheme="minorBidi"/>
          <w:color w:val="000000" w:themeColor="text1"/>
          <w:shd w:val="clear" w:color="auto" w:fill="FFFFFF" w:themeFill="background1"/>
        </w:rPr>
        <w:t>ú. Klecany).</w:t>
      </w:r>
      <w:r w:rsidRPr="00EB1327">
        <w:rPr>
          <w:rFonts w:asciiTheme="minorHAnsi" w:eastAsiaTheme="minorHAnsi" w:hAnsiTheme="minorHAnsi" w:cstheme="minorBidi"/>
          <w:color w:val="000000" w:themeColor="text1"/>
        </w:rPr>
        <w:t xml:space="preserve"> </w:t>
      </w:r>
      <w:r w:rsidR="00204195" w:rsidRPr="00EB1327">
        <w:rPr>
          <w:rFonts w:asciiTheme="minorHAnsi" w:eastAsiaTheme="minorHAnsi" w:hAnsiTheme="minorHAnsi" w:cstheme="minorBidi"/>
          <w:color w:val="000000" w:themeColor="text1"/>
        </w:rPr>
        <w:t xml:space="preserve">V roce 2010 byla mezi vlastníkem pozemků </w:t>
      </w:r>
      <w:r w:rsidRPr="00EB1327">
        <w:rPr>
          <w:rFonts w:asciiTheme="minorHAnsi" w:eastAsiaTheme="minorHAnsi" w:hAnsiTheme="minorHAnsi" w:cstheme="minorBidi"/>
          <w:color w:val="000000" w:themeColor="text1"/>
        </w:rPr>
        <w:t xml:space="preserve">a Psychiatrickým centrem Praha (od 1. 1. 2015 </w:t>
      </w:r>
      <w:r w:rsidR="00231219" w:rsidRPr="00EB1327">
        <w:rPr>
          <w:rFonts w:asciiTheme="minorHAnsi" w:eastAsiaTheme="minorHAnsi" w:hAnsiTheme="minorHAnsi" w:cstheme="minorBidi"/>
          <w:color w:val="000000" w:themeColor="text1"/>
        </w:rPr>
        <w:t>NÚDZ</w:t>
      </w:r>
      <w:r w:rsidRPr="00EB1327">
        <w:rPr>
          <w:rFonts w:asciiTheme="minorHAnsi" w:eastAsiaTheme="minorHAnsi" w:hAnsiTheme="minorHAnsi" w:cstheme="minorBidi"/>
          <w:color w:val="000000" w:themeColor="text1"/>
        </w:rPr>
        <w:t xml:space="preserve">) </w:t>
      </w:r>
      <w:r w:rsidR="00204195" w:rsidRPr="00EB1327">
        <w:rPr>
          <w:rFonts w:asciiTheme="minorHAnsi" w:eastAsiaTheme="minorHAnsi" w:hAnsiTheme="minorHAnsi" w:cstheme="minorBidi"/>
          <w:color w:val="000000" w:themeColor="text1"/>
        </w:rPr>
        <w:t xml:space="preserve">uzavřena </w:t>
      </w:r>
      <w:r w:rsidR="00D710D2">
        <w:rPr>
          <w:rFonts w:asciiTheme="minorHAnsi" w:eastAsiaTheme="minorHAnsi" w:hAnsiTheme="minorHAnsi" w:cstheme="minorBidi"/>
          <w:color w:val="000000" w:themeColor="text1"/>
        </w:rPr>
        <w:t>s</w:t>
      </w:r>
      <w:r w:rsidR="00204195" w:rsidRPr="00EB1327">
        <w:rPr>
          <w:rFonts w:asciiTheme="minorHAnsi" w:eastAsiaTheme="minorHAnsi" w:hAnsiTheme="minorHAnsi" w:cstheme="minorBidi"/>
          <w:color w:val="000000" w:themeColor="text1"/>
        </w:rPr>
        <w:t xml:space="preserve">mlouva o smlouvě budoucí o zřízení věcných břemen za účelem realizace výstavby projektu Národního ústavu duševního zdraví, na jejímž základě měla být uzavřena </w:t>
      </w:r>
      <w:r w:rsidR="00A1218A">
        <w:rPr>
          <w:rFonts w:asciiTheme="minorHAnsi" w:eastAsiaTheme="minorHAnsi" w:hAnsiTheme="minorHAnsi" w:cstheme="minorBidi"/>
          <w:color w:val="000000" w:themeColor="text1"/>
        </w:rPr>
        <w:t>s</w:t>
      </w:r>
      <w:r w:rsidR="00204195" w:rsidRPr="00EB1327">
        <w:rPr>
          <w:rFonts w:asciiTheme="minorHAnsi" w:eastAsiaTheme="minorHAnsi" w:hAnsiTheme="minorHAnsi" w:cstheme="minorBidi"/>
          <w:color w:val="000000" w:themeColor="text1"/>
        </w:rPr>
        <w:t xml:space="preserve">mlouva o zřízení věcných břemen, která by upravovala vzájemné vztahy mezi vlastníkem stavby </w:t>
      </w:r>
      <w:r w:rsidR="00231219" w:rsidRPr="00EB1327">
        <w:rPr>
          <w:rFonts w:asciiTheme="minorHAnsi" w:eastAsiaTheme="minorHAnsi" w:hAnsiTheme="minorHAnsi" w:cstheme="minorBidi"/>
          <w:color w:val="000000" w:themeColor="text1"/>
        </w:rPr>
        <w:t>NÚDZ</w:t>
      </w:r>
      <w:r w:rsidRPr="00EB1327">
        <w:rPr>
          <w:rFonts w:asciiTheme="minorHAnsi" w:eastAsiaTheme="minorHAnsi" w:hAnsiTheme="minorHAnsi" w:cstheme="minorBidi"/>
          <w:color w:val="000000" w:themeColor="text1"/>
        </w:rPr>
        <w:t xml:space="preserve"> </w:t>
      </w:r>
      <w:r w:rsidR="00204195" w:rsidRPr="00EB1327">
        <w:rPr>
          <w:rFonts w:asciiTheme="minorHAnsi" w:eastAsiaTheme="minorHAnsi" w:hAnsiTheme="minorHAnsi" w:cstheme="minorBidi"/>
          <w:color w:val="000000" w:themeColor="text1"/>
        </w:rPr>
        <w:t xml:space="preserve">a vlastníkem pozemků. K uzavření smlouvy ani k jinému řešení neuspokojivého stavu nedošlo. </w:t>
      </w:r>
    </w:p>
    <w:p w14:paraId="4042ED99" w14:textId="7DF5B8D3" w:rsidR="00204195" w:rsidRPr="00EB1327" w:rsidRDefault="00204195" w:rsidP="0066675E">
      <w:pPr>
        <w:spacing w:before="120" w:after="120"/>
        <w:jc w:val="both"/>
        <w:rPr>
          <w:rFonts w:asciiTheme="minorHAnsi" w:eastAsiaTheme="minorHAnsi" w:hAnsiTheme="minorHAnsi" w:cstheme="minorBidi"/>
          <w:color w:val="000000" w:themeColor="text1"/>
        </w:rPr>
      </w:pPr>
      <w:r w:rsidRPr="00EB1327">
        <w:rPr>
          <w:rFonts w:asciiTheme="minorHAnsi" w:eastAsiaTheme="minorHAnsi" w:hAnsiTheme="minorHAnsi" w:cstheme="minorBidi"/>
          <w:color w:val="000000" w:themeColor="text1"/>
        </w:rPr>
        <w:t xml:space="preserve">Dalším zjištěním kontroly je skutečnost, že naopak pozemek parc. č. 129/9 v k. ú. Klecany (který je součástí odbočky z veřejné komunikace k areálu </w:t>
      </w:r>
      <w:r w:rsidR="00231219" w:rsidRPr="00EB1327">
        <w:rPr>
          <w:rFonts w:asciiTheme="minorHAnsi" w:eastAsiaTheme="minorHAnsi" w:hAnsiTheme="minorHAnsi" w:cstheme="minorBidi"/>
          <w:color w:val="000000" w:themeColor="text1"/>
        </w:rPr>
        <w:t>NÚDZ</w:t>
      </w:r>
      <w:r w:rsidRPr="00EB1327">
        <w:rPr>
          <w:rFonts w:asciiTheme="minorHAnsi" w:eastAsiaTheme="minorHAnsi" w:hAnsiTheme="minorHAnsi" w:cstheme="minorBidi"/>
          <w:color w:val="000000" w:themeColor="text1"/>
        </w:rPr>
        <w:t xml:space="preserve"> a současně je jediným přístupem na tři výše uvedené cizí pozemky) je vlastnictvím ČR s příslušností hospodaření pro </w:t>
      </w:r>
      <w:r w:rsidR="00231219" w:rsidRPr="00EB1327">
        <w:rPr>
          <w:rFonts w:asciiTheme="minorHAnsi" w:eastAsiaTheme="minorHAnsi" w:hAnsiTheme="minorHAnsi" w:cstheme="minorBidi"/>
          <w:color w:val="000000" w:themeColor="text1"/>
        </w:rPr>
        <w:t>NÚDZ</w:t>
      </w:r>
      <w:r w:rsidRPr="00EB1327">
        <w:rPr>
          <w:rFonts w:asciiTheme="minorHAnsi" w:eastAsiaTheme="minorHAnsi" w:hAnsiTheme="minorHAnsi" w:cstheme="minorBidi"/>
          <w:color w:val="000000" w:themeColor="text1"/>
        </w:rPr>
        <w:t xml:space="preserve"> a</w:t>
      </w:r>
      <w:r w:rsidR="00D710D2">
        <w:rPr>
          <w:rFonts w:asciiTheme="minorHAnsi" w:eastAsiaTheme="minorHAnsi" w:hAnsiTheme="minorHAnsi" w:cstheme="minorBidi"/>
          <w:color w:val="000000" w:themeColor="text1"/>
        </w:rPr>
        <w:t> ani</w:t>
      </w:r>
      <w:r w:rsidRPr="00EB1327">
        <w:rPr>
          <w:rFonts w:asciiTheme="minorHAnsi" w:eastAsiaTheme="minorHAnsi" w:hAnsiTheme="minorHAnsi" w:cstheme="minorBidi"/>
          <w:color w:val="000000" w:themeColor="text1"/>
        </w:rPr>
        <w:t xml:space="preserve"> vůči němu nejsou nijak upraveny vzájemné užívací vztahy mezi </w:t>
      </w:r>
      <w:r w:rsidR="00231219" w:rsidRPr="00EB1327">
        <w:rPr>
          <w:rFonts w:asciiTheme="minorHAnsi" w:eastAsiaTheme="minorHAnsi" w:hAnsiTheme="minorHAnsi" w:cstheme="minorBidi"/>
          <w:color w:val="000000" w:themeColor="text1"/>
        </w:rPr>
        <w:t>NÚDZ</w:t>
      </w:r>
      <w:r w:rsidRPr="00EB1327">
        <w:rPr>
          <w:rFonts w:asciiTheme="minorHAnsi" w:eastAsiaTheme="minorHAnsi" w:hAnsiTheme="minorHAnsi" w:cstheme="minorBidi"/>
          <w:color w:val="000000" w:themeColor="text1"/>
        </w:rPr>
        <w:t xml:space="preserve"> a </w:t>
      </w:r>
      <w:r w:rsidR="004137A1" w:rsidRPr="00EB1327">
        <w:rPr>
          <w:rFonts w:asciiTheme="minorHAnsi" w:eastAsiaTheme="minorHAnsi" w:hAnsiTheme="minorHAnsi" w:cstheme="minorBidi"/>
          <w:color w:val="000000" w:themeColor="text1"/>
        </w:rPr>
        <w:t>vlastníkem pozemků.</w:t>
      </w:r>
    </w:p>
    <w:p w14:paraId="62A1CB84" w14:textId="77777777" w:rsidR="00204195" w:rsidRPr="00EB1327" w:rsidRDefault="00204195" w:rsidP="0066675E">
      <w:pPr>
        <w:spacing w:before="120" w:after="120"/>
        <w:jc w:val="both"/>
        <w:rPr>
          <w:rFonts w:asciiTheme="minorHAnsi" w:eastAsiaTheme="minorHAnsi" w:hAnsiTheme="minorHAnsi" w:cstheme="minorBidi"/>
          <w:color w:val="000000" w:themeColor="text1"/>
        </w:rPr>
      </w:pPr>
      <w:r w:rsidRPr="00EB1327">
        <w:rPr>
          <w:rFonts w:asciiTheme="minorHAnsi" w:eastAsiaTheme="minorHAnsi" w:hAnsiTheme="minorHAnsi" w:cstheme="minorBidi"/>
          <w:color w:val="000000" w:themeColor="text1"/>
        </w:rPr>
        <w:t xml:space="preserve">Tím, že </w:t>
      </w:r>
      <w:r w:rsidR="00231219" w:rsidRPr="00EB1327">
        <w:rPr>
          <w:rFonts w:asciiTheme="minorHAnsi" w:eastAsiaTheme="minorHAnsi" w:hAnsiTheme="minorHAnsi" w:cstheme="minorBidi"/>
          <w:color w:val="000000" w:themeColor="text1"/>
        </w:rPr>
        <w:t>NÚDZ</w:t>
      </w:r>
      <w:r w:rsidRPr="00EB1327">
        <w:rPr>
          <w:rFonts w:asciiTheme="minorHAnsi" w:eastAsiaTheme="minorHAnsi" w:hAnsiTheme="minorHAnsi" w:cstheme="minorBidi"/>
          <w:color w:val="000000" w:themeColor="text1"/>
        </w:rPr>
        <w:t xml:space="preserve"> od roku 2010 smluvně neupravil právní vztahy související s existencí rozdílného vlastnictví stavby a pozemků, nepostupoval v souladu se zákonem č. 219/2000 Sb., neboť nevyužil všechny právní prostředky k hájení práv státu jako vlastníka a při ochraně majetku. </w:t>
      </w:r>
    </w:p>
    <w:p w14:paraId="740964FC" w14:textId="301E06FF" w:rsidR="00204195" w:rsidRPr="00EB1327" w:rsidRDefault="007624F9" w:rsidP="0066675E">
      <w:pPr>
        <w:spacing w:before="120" w:after="120"/>
        <w:rPr>
          <w:b/>
          <w:color w:val="000000" w:themeColor="text1"/>
        </w:rPr>
      </w:pPr>
      <w:r w:rsidRPr="00EB1327">
        <w:rPr>
          <w:b/>
          <w:color w:val="000000" w:themeColor="text1"/>
        </w:rPr>
        <w:t xml:space="preserve">6. </w:t>
      </w:r>
      <w:r w:rsidR="00204195" w:rsidRPr="00EB1327">
        <w:rPr>
          <w:b/>
          <w:color w:val="000000" w:themeColor="text1"/>
        </w:rPr>
        <w:t xml:space="preserve">Projekt </w:t>
      </w:r>
      <w:r w:rsidR="00204195" w:rsidRPr="00475F45">
        <w:rPr>
          <w:rFonts w:cs="Calibri"/>
          <w:b/>
          <w:i/>
          <w:color w:val="000000" w:themeColor="text1"/>
        </w:rPr>
        <w:t>Udržitelnost pro Národní ústav duševního zdraví</w:t>
      </w:r>
    </w:p>
    <w:p w14:paraId="2774162D" w14:textId="0AFF3A82" w:rsidR="00204195" w:rsidRPr="00EB1327" w:rsidRDefault="00204195" w:rsidP="0066675E">
      <w:pPr>
        <w:spacing w:before="120" w:after="120"/>
        <w:jc w:val="both"/>
        <w:rPr>
          <w:rFonts w:cs="Calibri"/>
          <w:color w:val="000000" w:themeColor="text1"/>
        </w:rPr>
      </w:pPr>
      <w:r w:rsidRPr="00EB1327">
        <w:rPr>
          <w:rFonts w:cs="Calibri"/>
          <w:color w:val="000000" w:themeColor="text1"/>
        </w:rPr>
        <w:t xml:space="preserve">Smlouva o poskytnutí podpory na řešení projektu výzkumu a vývoje </w:t>
      </w:r>
      <w:r w:rsidR="00D710D2">
        <w:rPr>
          <w:rFonts w:cs="Calibri"/>
          <w:color w:val="000000" w:themeColor="text1"/>
        </w:rPr>
        <w:br/>
      </w:r>
      <w:r w:rsidRPr="00EB1327">
        <w:rPr>
          <w:rFonts w:cs="Calibri"/>
          <w:color w:val="000000" w:themeColor="text1"/>
        </w:rPr>
        <w:t>č.</w:t>
      </w:r>
      <w:r w:rsidR="00D710D2">
        <w:rPr>
          <w:rFonts w:cs="Calibri"/>
          <w:color w:val="000000" w:themeColor="text1"/>
        </w:rPr>
        <w:t> </w:t>
      </w:r>
      <w:r w:rsidRPr="00EB1327">
        <w:rPr>
          <w:rFonts w:cs="Calibri"/>
          <w:color w:val="000000" w:themeColor="text1"/>
        </w:rPr>
        <w:t>MŠMT-43760-43760/2015 byla podepsána dne 7. 12. 2015 a nabyla účinnosti 1. 1. 2016. Zahájení řešení projektu bylo dne 1. 1. 2016, datum ukončení projektu bude 31. 12. 2020. Celkové uznané náklady projektu na celou dobu projektu činí 547 060 tis. Kč, z toho schválená výše účelové podpory činí 273 530 tis. Kč.</w:t>
      </w:r>
    </w:p>
    <w:p w14:paraId="2B83954A" w14:textId="66730054" w:rsidR="00204195" w:rsidRPr="00EB1327" w:rsidRDefault="00204195" w:rsidP="0066675E">
      <w:pPr>
        <w:spacing w:before="120" w:after="120"/>
        <w:jc w:val="both"/>
        <w:rPr>
          <w:rFonts w:cs="Calibri"/>
          <w:color w:val="000000" w:themeColor="text1"/>
        </w:rPr>
      </w:pPr>
      <w:r w:rsidRPr="00EB1327">
        <w:rPr>
          <w:rFonts w:cs="Calibri"/>
          <w:color w:val="000000" w:themeColor="text1"/>
        </w:rPr>
        <w:t xml:space="preserve">Předmětem projektu </w:t>
      </w:r>
      <w:r w:rsidR="00AC7D22" w:rsidRPr="00475F45">
        <w:rPr>
          <w:rFonts w:cs="Calibri"/>
          <w:i/>
          <w:color w:val="000000" w:themeColor="text1"/>
          <w:shd w:val="clear" w:color="auto" w:fill="FFFFFF" w:themeFill="background1"/>
        </w:rPr>
        <w:t>Udržitelnost pro</w:t>
      </w:r>
      <w:r w:rsidR="00E46698" w:rsidRPr="00E46698">
        <w:rPr>
          <w:rFonts w:cs="Calibri"/>
          <w:i/>
          <w:color w:val="000000" w:themeColor="text1"/>
        </w:rPr>
        <w:t xml:space="preserve"> </w:t>
      </w:r>
      <w:r w:rsidR="00E46698" w:rsidRPr="00B2558A">
        <w:rPr>
          <w:rFonts w:cs="Calibri"/>
          <w:i/>
          <w:color w:val="000000" w:themeColor="text1"/>
        </w:rPr>
        <w:t>Národní ústav duševního zdraví</w:t>
      </w:r>
      <w:r w:rsidR="00AC7D22" w:rsidRPr="00EB1327">
        <w:rPr>
          <w:rFonts w:cs="Calibri"/>
          <w:color w:val="000000" w:themeColor="text1"/>
        </w:rPr>
        <w:t xml:space="preserve"> </w:t>
      </w:r>
      <w:r w:rsidR="00781596">
        <w:rPr>
          <w:rFonts w:cs="Calibri"/>
          <w:color w:val="000000" w:themeColor="text1"/>
        </w:rPr>
        <w:t>je posílit činnosti a </w:t>
      </w:r>
      <w:r w:rsidRPr="00EB1327">
        <w:rPr>
          <w:rFonts w:cs="Calibri"/>
          <w:color w:val="000000" w:themeColor="text1"/>
        </w:rPr>
        <w:t xml:space="preserve">zajistit udržitelnost </w:t>
      </w:r>
      <w:r w:rsidR="00231219" w:rsidRPr="00EB1327">
        <w:rPr>
          <w:rFonts w:cs="Calibri"/>
          <w:color w:val="000000" w:themeColor="text1"/>
        </w:rPr>
        <w:t>NÚDZ</w:t>
      </w:r>
      <w:r w:rsidR="009E705D" w:rsidRPr="00EB1327">
        <w:rPr>
          <w:rFonts w:cs="Calibri"/>
          <w:color w:val="000000" w:themeColor="text1"/>
        </w:rPr>
        <w:t xml:space="preserve"> a </w:t>
      </w:r>
      <w:r w:rsidRPr="00EB1327">
        <w:rPr>
          <w:rFonts w:cs="Calibri"/>
          <w:color w:val="000000" w:themeColor="text1"/>
        </w:rPr>
        <w:t xml:space="preserve">dále rozvinout výzkumnou, vývojovou a inovační činnost stávajícího </w:t>
      </w:r>
      <w:r w:rsidR="00231219" w:rsidRPr="00EB1327">
        <w:rPr>
          <w:rFonts w:cs="Calibri"/>
          <w:color w:val="000000" w:themeColor="text1"/>
        </w:rPr>
        <w:t>NÚDZ</w:t>
      </w:r>
      <w:r w:rsidRPr="00EB1327">
        <w:rPr>
          <w:rFonts w:cs="Calibri"/>
          <w:color w:val="000000" w:themeColor="text1"/>
        </w:rPr>
        <w:t>. Kontrolou byly prověřeny finanční prostředky ve výši 2 983 089 Kč.</w:t>
      </w:r>
    </w:p>
    <w:p w14:paraId="720302A9" w14:textId="7C9C0F11" w:rsidR="00AC7D22" w:rsidRPr="00EB1327" w:rsidRDefault="009839B2" w:rsidP="0066675E">
      <w:pPr>
        <w:spacing w:before="120" w:after="120"/>
        <w:jc w:val="both"/>
        <w:rPr>
          <w:rFonts w:cs="Calibri"/>
          <w:color w:val="000000" w:themeColor="text1"/>
        </w:rPr>
      </w:pPr>
      <w:r w:rsidRPr="00EB1327">
        <w:rPr>
          <w:rFonts w:cs="Calibri"/>
          <w:color w:val="000000" w:themeColor="text1"/>
        </w:rPr>
        <w:t xml:space="preserve">Z předložených </w:t>
      </w:r>
      <w:r w:rsidR="008E4B1C" w:rsidRPr="00EB1327">
        <w:rPr>
          <w:rFonts w:cs="Calibri"/>
          <w:color w:val="000000" w:themeColor="text1"/>
          <w:shd w:val="clear" w:color="auto" w:fill="FFFFFF" w:themeFill="background1"/>
        </w:rPr>
        <w:t>114</w:t>
      </w:r>
      <w:r w:rsidR="00F3052D" w:rsidRPr="00EB1327">
        <w:rPr>
          <w:rFonts w:cs="Calibri"/>
          <w:color w:val="000000" w:themeColor="text1"/>
        </w:rPr>
        <w:t xml:space="preserve"> </w:t>
      </w:r>
      <w:r w:rsidRPr="00EB1327">
        <w:rPr>
          <w:rFonts w:cs="Calibri"/>
          <w:color w:val="000000" w:themeColor="text1"/>
        </w:rPr>
        <w:t xml:space="preserve">účetních dokladů bylo </w:t>
      </w:r>
      <w:r w:rsidR="00AC7D22" w:rsidRPr="00EB1327">
        <w:rPr>
          <w:rFonts w:cs="Calibri"/>
          <w:color w:val="000000" w:themeColor="text1"/>
          <w:shd w:val="clear" w:color="auto" w:fill="FFFFFF" w:themeFill="background1"/>
        </w:rPr>
        <w:t>v 10 případech</w:t>
      </w:r>
      <w:r w:rsidR="00AC7D22" w:rsidRPr="00EB1327">
        <w:rPr>
          <w:rFonts w:cs="Calibri"/>
          <w:color w:val="000000" w:themeColor="text1"/>
        </w:rPr>
        <w:t xml:space="preserve"> </w:t>
      </w:r>
      <w:r w:rsidRPr="00EB1327">
        <w:rPr>
          <w:rFonts w:cs="Calibri"/>
          <w:color w:val="000000" w:themeColor="text1"/>
        </w:rPr>
        <w:t>zjištěno, že</w:t>
      </w:r>
      <w:r w:rsidR="00D710D2">
        <w:rPr>
          <w:rFonts w:cs="Calibri"/>
          <w:color w:val="000000" w:themeColor="text1"/>
        </w:rPr>
        <w:t xml:space="preserve"> </w:t>
      </w:r>
      <w:r w:rsidRPr="00EB1327">
        <w:rPr>
          <w:rFonts w:cs="Calibri"/>
          <w:color w:val="000000" w:themeColor="text1"/>
        </w:rPr>
        <w:t>některé</w:t>
      </w:r>
      <w:r w:rsidRPr="00EB1327">
        <w:rPr>
          <w:color w:val="000000" w:themeColor="text1"/>
        </w:rPr>
        <w:t xml:space="preserve"> náklady nebyly způsobilé, protože se nevztahovaly k nákladům souvisejícím s </w:t>
      </w:r>
      <w:r w:rsidR="009E705D" w:rsidRPr="00EB1327">
        <w:rPr>
          <w:color w:val="000000" w:themeColor="text1"/>
        </w:rPr>
        <w:t>p</w:t>
      </w:r>
      <w:r w:rsidRPr="00EB1327">
        <w:rPr>
          <w:color w:val="000000" w:themeColor="text1"/>
        </w:rPr>
        <w:t xml:space="preserve">rojektem </w:t>
      </w:r>
      <w:r w:rsidR="00AC7D22" w:rsidRPr="00475F45">
        <w:rPr>
          <w:rFonts w:cs="Calibri"/>
          <w:i/>
          <w:color w:val="000000" w:themeColor="text1"/>
          <w:shd w:val="clear" w:color="auto" w:fill="FFFFFF" w:themeFill="background1"/>
        </w:rPr>
        <w:t>Udržitelnost pro</w:t>
      </w:r>
      <w:r w:rsidR="00D710D2" w:rsidRPr="00D710D2">
        <w:rPr>
          <w:rFonts w:cs="Calibri"/>
          <w:i/>
          <w:color w:val="000000" w:themeColor="text1"/>
        </w:rPr>
        <w:t xml:space="preserve"> </w:t>
      </w:r>
      <w:r w:rsidR="00D710D2" w:rsidRPr="00B2558A">
        <w:rPr>
          <w:rFonts w:cs="Calibri"/>
          <w:i/>
          <w:color w:val="000000" w:themeColor="text1"/>
        </w:rPr>
        <w:t>Národní ústav duševního zdraví</w:t>
      </w:r>
      <w:r w:rsidR="006C0478" w:rsidRPr="00EB1327">
        <w:rPr>
          <w:color w:val="000000" w:themeColor="text1"/>
        </w:rPr>
        <w:t>, ale jednalo se o náklady vynaložené v souvislosti s řešením jiných projektů.</w:t>
      </w:r>
      <w:r w:rsidRPr="00EB1327">
        <w:rPr>
          <w:color w:val="000000" w:themeColor="text1"/>
        </w:rPr>
        <w:t xml:space="preserve"> </w:t>
      </w:r>
      <w:r w:rsidR="00231219" w:rsidRPr="00EB1327">
        <w:rPr>
          <w:rFonts w:cs="Calibri"/>
          <w:color w:val="000000" w:themeColor="text1"/>
        </w:rPr>
        <w:t>NÚDZ</w:t>
      </w:r>
      <w:r w:rsidR="008E4B1C" w:rsidRPr="00EB1327">
        <w:rPr>
          <w:rFonts w:cs="Calibri"/>
          <w:color w:val="000000" w:themeColor="text1"/>
        </w:rPr>
        <w:t xml:space="preserve"> ve</w:t>
      </w:r>
      <w:r w:rsidR="00D710D2">
        <w:rPr>
          <w:rFonts w:cs="Calibri"/>
          <w:color w:val="000000" w:themeColor="text1"/>
        </w:rPr>
        <w:t xml:space="preserve"> </w:t>
      </w:r>
      <w:r w:rsidRPr="00EB1327">
        <w:rPr>
          <w:rFonts w:cs="Calibri"/>
          <w:color w:val="000000" w:themeColor="text1"/>
        </w:rPr>
        <w:t>smyslu us</w:t>
      </w:r>
      <w:r w:rsidR="00F3052D" w:rsidRPr="00EB1327">
        <w:rPr>
          <w:rFonts w:cs="Calibri"/>
          <w:color w:val="000000" w:themeColor="text1"/>
        </w:rPr>
        <w:t>tanovení § 3 písm. e) zákona č. </w:t>
      </w:r>
      <w:r w:rsidR="008E4B1C" w:rsidRPr="00EB1327">
        <w:rPr>
          <w:rFonts w:cs="Calibri"/>
          <w:color w:val="000000" w:themeColor="text1"/>
        </w:rPr>
        <w:t>218/2000 Sb.</w:t>
      </w:r>
      <w:r w:rsidRPr="00EB1327">
        <w:rPr>
          <w:rFonts w:cs="Calibri"/>
          <w:color w:val="000000" w:themeColor="text1"/>
        </w:rPr>
        <w:t xml:space="preserve"> </w:t>
      </w:r>
      <w:r w:rsidR="00F3052D" w:rsidRPr="00EB1327">
        <w:rPr>
          <w:rFonts w:cs="Calibri"/>
          <w:color w:val="000000" w:themeColor="text1"/>
        </w:rPr>
        <w:t xml:space="preserve">v roce 2016 </w:t>
      </w:r>
      <w:r w:rsidRPr="00EB1327">
        <w:rPr>
          <w:rFonts w:cs="Calibri"/>
          <w:color w:val="000000" w:themeColor="text1"/>
        </w:rPr>
        <w:t xml:space="preserve">neoprávněně použil peněžní prostředky poskytnuté ze státního rozpočtu tím, že </w:t>
      </w:r>
      <w:r w:rsidR="008E4B1C" w:rsidRPr="00EB1327">
        <w:rPr>
          <w:rFonts w:cs="Calibri"/>
          <w:color w:val="000000" w:themeColor="text1"/>
        </w:rPr>
        <w:t>částku celkem</w:t>
      </w:r>
      <w:r w:rsidR="00AC7D22" w:rsidRPr="00EB1327">
        <w:rPr>
          <w:rFonts w:cs="Calibri"/>
          <w:color w:val="000000" w:themeColor="text1"/>
        </w:rPr>
        <w:t xml:space="preserve"> ve výši 46 685 </w:t>
      </w:r>
      <w:r w:rsidRPr="00EB1327">
        <w:rPr>
          <w:rFonts w:cs="Calibri"/>
          <w:color w:val="000000" w:themeColor="text1"/>
        </w:rPr>
        <w:t>Kč</w:t>
      </w:r>
      <w:r w:rsidR="008E4B1C" w:rsidRPr="00EB1327">
        <w:rPr>
          <w:rFonts w:cs="Calibri"/>
          <w:color w:val="000000" w:themeColor="text1"/>
        </w:rPr>
        <w:t>,</w:t>
      </w:r>
      <w:r w:rsidRPr="00EB1327">
        <w:rPr>
          <w:rFonts w:cs="Calibri"/>
          <w:color w:val="000000" w:themeColor="text1"/>
        </w:rPr>
        <w:t xml:space="preserve"> účelově určen</w:t>
      </w:r>
      <w:r w:rsidR="008E4B1C" w:rsidRPr="00EB1327">
        <w:rPr>
          <w:rFonts w:cs="Calibri"/>
          <w:color w:val="000000" w:themeColor="text1"/>
        </w:rPr>
        <w:t>ou</w:t>
      </w:r>
      <w:r w:rsidRPr="00EB1327">
        <w:rPr>
          <w:rFonts w:cs="Calibri"/>
          <w:color w:val="000000" w:themeColor="text1"/>
        </w:rPr>
        <w:t xml:space="preserve"> na řešení </w:t>
      </w:r>
      <w:r w:rsidR="009E705D" w:rsidRPr="00EB1327">
        <w:rPr>
          <w:rFonts w:cs="Calibri"/>
          <w:color w:val="000000" w:themeColor="text1"/>
        </w:rPr>
        <w:t>p</w:t>
      </w:r>
      <w:r w:rsidRPr="00EB1327">
        <w:rPr>
          <w:rFonts w:cs="Calibri"/>
          <w:color w:val="000000" w:themeColor="text1"/>
        </w:rPr>
        <w:t xml:space="preserve">rojektu </w:t>
      </w:r>
      <w:r w:rsidR="00AC7D22" w:rsidRPr="00475F45">
        <w:rPr>
          <w:rFonts w:cs="Calibri"/>
          <w:i/>
          <w:color w:val="000000" w:themeColor="text1"/>
          <w:shd w:val="clear" w:color="auto" w:fill="FFFFFF" w:themeFill="background1"/>
        </w:rPr>
        <w:t>Udržitelnost pro</w:t>
      </w:r>
      <w:r w:rsidR="00A1218A" w:rsidRPr="00A1218A">
        <w:rPr>
          <w:rFonts w:cs="Calibri"/>
          <w:i/>
          <w:color w:val="000000" w:themeColor="text1"/>
        </w:rPr>
        <w:t xml:space="preserve"> </w:t>
      </w:r>
      <w:r w:rsidR="00A1218A" w:rsidRPr="00B2558A">
        <w:rPr>
          <w:rFonts w:cs="Calibri"/>
          <w:i/>
          <w:color w:val="000000" w:themeColor="text1"/>
        </w:rPr>
        <w:t>Národní ústav duševního zdraví</w:t>
      </w:r>
      <w:r w:rsidRPr="00EB1327">
        <w:rPr>
          <w:rFonts w:cs="Calibri"/>
          <w:color w:val="000000" w:themeColor="text1"/>
        </w:rPr>
        <w:t xml:space="preserve"> v rozporu se </w:t>
      </w:r>
      <w:r w:rsidR="00D710D2">
        <w:rPr>
          <w:rFonts w:cs="Calibri"/>
          <w:color w:val="000000" w:themeColor="text1"/>
        </w:rPr>
        <w:t>s</w:t>
      </w:r>
      <w:r w:rsidRPr="00EB1327">
        <w:rPr>
          <w:rFonts w:cs="Calibri"/>
          <w:color w:val="000000" w:themeColor="text1"/>
        </w:rPr>
        <w:t>mlouvou o poskytnutí podpo</w:t>
      </w:r>
      <w:r w:rsidR="00A727B6">
        <w:rPr>
          <w:rFonts w:cs="Calibri"/>
          <w:color w:val="000000" w:themeColor="text1"/>
        </w:rPr>
        <w:t>ry na řešení projektu výzkumu a </w:t>
      </w:r>
      <w:r w:rsidRPr="00EB1327">
        <w:rPr>
          <w:rFonts w:cs="Calibri"/>
          <w:color w:val="000000" w:themeColor="text1"/>
        </w:rPr>
        <w:t xml:space="preserve">vývoje použil na úhradu nákladů, které bezprostředně nesouvisely s řešením </w:t>
      </w:r>
      <w:r w:rsidR="00AC7D22" w:rsidRPr="00EB1327">
        <w:rPr>
          <w:rFonts w:cs="Calibri"/>
          <w:color w:val="000000" w:themeColor="text1"/>
        </w:rPr>
        <w:t>tohoto p</w:t>
      </w:r>
      <w:r w:rsidRPr="00EB1327">
        <w:rPr>
          <w:rFonts w:cs="Calibri"/>
          <w:color w:val="000000" w:themeColor="text1"/>
        </w:rPr>
        <w:t>rojektu</w:t>
      </w:r>
      <w:r w:rsidR="00AC7D22" w:rsidRPr="00EB1327">
        <w:rPr>
          <w:rFonts w:cs="Calibri"/>
          <w:color w:val="000000" w:themeColor="text1"/>
        </w:rPr>
        <w:t>.</w:t>
      </w:r>
    </w:p>
    <w:p w14:paraId="7889F1DF" w14:textId="77777777" w:rsidR="00204195" w:rsidRPr="00EB1327" w:rsidRDefault="007624F9" w:rsidP="0066675E">
      <w:pPr>
        <w:spacing w:before="120" w:after="120"/>
        <w:jc w:val="both"/>
        <w:rPr>
          <w:b/>
          <w:color w:val="000000" w:themeColor="text1"/>
        </w:rPr>
      </w:pPr>
      <w:r w:rsidRPr="00EB1327">
        <w:rPr>
          <w:b/>
          <w:color w:val="000000" w:themeColor="text1"/>
        </w:rPr>
        <w:t xml:space="preserve">7. </w:t>
      </w:r>
      <w:r w:rsidR="00204195" w:rsidRPr="00EB1327">
        <w:rPr>
          <w:b/>
          <w:color w:val="000000" w:themeColor="text1"/>
        </w:rPr>
        <w:t>Další vybrané projekty</w:t>
      </w:r>
    </w:p>
    <w:p w14:paraId="5F10E82E" w14:textId="4EE0D740" w:rsidR="00204195" w:rsidRPr="00EB1327" w:rsidRDefault="00204195" w:rsidP="0066675E">
      <w:pPr>
        <w:spacing w:before="120" w:after="120"/>
        <w:jc w:val="both"/>
        <w:rPr>
          <w:b/>
          <w:color w:val="000000" w:themeColor="text1"/>
        </w:rPr>
      </w:pPr>
      <w:r w:rsidRPr="00EB1327">
        <w:rPr>
          <w:rFonts w:asciiTheme="minorHAnsi" w:hAnsiTheme="minorHAnsi" w:cs="Calibri"/>
          <w:color w:val="000000" w:themeColor="text1"/>
        </w:rPr>
        <w:t xml:space="preserve">Dne 19. 2. 2013 uzavřel </w:t>
      </w:r>
      <w:r w:rsidR="00231219" w:rsidRPr="00EB1327">
        <w:rPr>
          <w:rFonts w:asciiTheme="minorHAnsi" w:hAnsiTheme="minorHAnsi" w:cs="Calibri"/>
          <w:color w:val="000000" w:themeColor="text1"/>
        </w:rPr>
        <w:t>NÚDZ</w:t>
      </w:r>
      <w:r w:rsidRPr="00EB1327">
        <w:rPr>
          <w:rFonts w:asciiTheme="minorHAnsi" w:hAnsiTheme="minorHAnsi" w:cs="Calibri"/>
          <w:color w:val="000000" w:themeColor="text1"/>
        </w:rPr>
        <w:t xml:space="preserve"> s Grantovou agenturou České republiky </w:t>
      </w:r>
      <w:r w:rsidR="00A1218A">
        <w:rPr>
          <w:rFonts w:asciiTheme="minorHAnsi" w:hAnsiTheme="minorHAnsi" w:cs="Calibri"/>
          <w:color w:val="000000" w:themeColor="text1"/>
        </w:rPr>
        <w:t>s</w:t>
      </w:r>
      <w:r w:rsidRPr="00EB1327">
        <w:rPr>
          <w:rFonts w:asciiTheme="minorHAnsi" w:hAnsiTheme="minorHAnsi" w:cs="Calibri"/>
          <w:color w:val="000000" w:themeColor="text1"/>
        </w:rPr>
        <w:t xml:space="preserve">mlouvu o poskytnutí dotace na podporu grantového projektu č. 13-26601S panelu č. P303 </w:t>
      </w:r>
      <w:r w:rsidRPr="00EB1327">
        <w:rPr>
          <w:rFonts w:cs="Calibri"/>
          <w:color w:val="000000" w:themeColor="text1"/>
        </w:rPr>
        <w:t xml:space="preserve">v rámci grantového </w:t>
      </w:r>
      <w:r w:rsidR="00D62652" w:rsidRPr="00475F45">
        <w:rPr>
          <w:rFonts w:asciiTheme="minorHAnsi" w:hAnsiTheme="minorHAnsi"/>
          <w:i/>
          <w:color w:val="000000" w:themeColor="text1"/>
        </w:rPr>
        <w:t xml:space="preserve">Projektu Tau </w:t>
      </w:r>
      <w:r w:rsidR="00D62652" w:rsidRPr="00475F45">
        <w:rPr>
          <w:i/>
          <w:color w:val="000000" w:themeColor="text1"/>
          <w:shd w:val="clear" w:color="auto" w:fill="FFFFFF" w:themeFill="background1"/>
        </w:rPr>
        <w:t xml:space="preserve">v patologii centrálního nervového systému: neurotoxická a autoimunitní komponenta </w:t>
      </w:r>
      <w:r w:rsidR="00D62652" w:rsidRPr="00EB1327">
        <w:rPr>
          <w:color w:val="000000" w:themeColor="text1"/>
          <w:shd w:val="clear" w:color="auto" w:fill="FFFFFF" w:themeFill="background1"/>
        </w:rPr>
        <w:t>(dále jen „</w:t>
      </w:r>
      <w:r w:rsidR="00A1218A">
        <w:rPr>
          <w:color w:val="000000" w:themeColor="text1"/>
          <w:shd w:val="clear" w:color="auto" w:fill="FFFFFF" w:themeFill="background1"/>
        </w:rPr>
        <w:t>p</w:t>
      </w:r>
      <w:r w:rsidR="00D62652" w:rsidRPr="00EB1327">
        <w:rPr>
          <w:color w:val="000000" w:themeColor="text1"/>
          <w:shd w:val="clear" w:color="auto" w:fill="FFFFFF" w:themeFill="background1"/>
        </w:rPr>
        <w:t>rojekt Tau“).</w:t>
      </w:r>
    </w:p>
    <w:p w14:paraId="26A80368" w14:textId="1D274132" w:rsidR="00204195" w:rsidRPr="00EB1327" w:rsidRDefault="00204195" w:rsidP="0066675E">
      <w:pPr>
        <w:spacing w:before="120" w:after="120"/>
        <w:jc w:val="both"/>
        <w:rPr>
          <w:rFonts w:cs="Calibri"/>
          <w:color w:val="000000" w:themeColor="text1"/>
        </w:rPr>
      </w:pPr>
      <w:r w:rsidRPr="00EB1327">
        <w:rPr>
          <w:rFonts w:asciiTheme="minorHAnsi" w:hAnsiTheme="minorHAnsi"/>
          <w:color w:val="000000" w:themeColor="text1"/>
        </w:rPr>
        <w:t xml:space="preserve">Celková přiznaná podpora </w:t>
      </w:r>
      <w:r w:rsidR="00D62652" w:rsidRPr="00EB1327">
        <w:rPr>
          <w:rFonts w:asciiTheme="minorHAnsi" w:hAnsiTheme="minorHAnsi"/>
          <w:color w:val="000000" w:themeColor="text1"/>
          <w:shd w:val="clear" w:color="auto" w:fill="FFFFFF" w:themeFill="background1"/>
        </w:rPr>
        <w:t>činila</w:t>
      </w:r>
      <w:r w:rsidRPr="00EB1327">
        <w:rPr>
          <w:rFonts w:asciiTheme="minorHAnsi" w:hAnsiTheme="minorHAnsi"/>
          <w:color w:val="000000" w:themeColor="text1"/>
        </w:rPr>
        <w:t xml:space="preserve"> 5 085 000 Kč, doba řešení projektu byla </w:t>
      </w:r>
      <w:r w:rsidR="00D62652" w:rsidRPr="00EB1327">
        <w:rPr>
          <w:rFonts w:asciiTheme="minorHAnsi" w:hAnsiTheme="minorHAnsi"/>
          <w:color w:val="000000" w:themeColor="text1"/>
          <w:shd w:val="clear" w:color="auto" w:fill="FFFFFF" w:themeFill="background1"/>
        </w:rPr>
        <w:t>stanovena</w:t>
      </w:r>
      <w:r w:rsidR="00D62652" w:rsidRPr="00EB1327">
        <w:rPr>
          <w:rFonts w:asciiTheme="minorHAnsi" w:hAnsiTheme="minorHAnsi"/>
          <w:color w:val="000000" w:themeColor="text1"/>
        </w:rPr>
        <w:t xml:space="preserve"> </w:t>
      </w:r>
      <w:r w:rsidR="00D003F4" w:rsidRPr="00EB1327">
        <w:rPr>
          <w:rFonts w:asciiTheme="minorHAnsi" w:hAnsiTheme="minorHAnsi"/>
          <w:color w:val="000000" w:themeColor="text1"/>
        </w:rPr>
        <w:t>od</w:t>
      </w:r>
      <w:r w:rsidR="00D710D2">
        <w:rPr>
          <w:rFonts w:asciiTheme="minorHAnsi" w:hAnsiTheme="minorHAnsi"/>
          <w:color w:val="000000" w:themeColor="text1"/>
        </w:rPr>
        <w:t xml:space="preserve"> </w:t>
      </w:r>
      <w:r w:rsidR="00D003F4" w:rsidRPr="00EB1327">
        <w:rPr>
          <w:rFonts w:asciiTheme="minorHAnsi" w:hAnsiTheme="minorHAnsi"/>
          <w:color w:val="000000" w:themeColor="text1"/>
        </w:rPr>
        <w:t>1. 2. </w:t>
      </w:r>
      <w:r w:rsidRPr="00EB1327">
        <w:rPr>
          <w:rFonts w:asciiTheme="minorHAnsi" w:hAnsiTheme="minorHAnsi"/>
          <w:color w:val="000000" w:themeColor="text1"/>
        </w:rPr>
        <w:t xml:space="preserve">2013 do 31. 12. 2016. </w:t>
      </w:r>
      <w:r w:rsidRPr="00EB1327">
        <w:rPr>
          <w:rFonts w:cs="Calibri"/>
          <w:color w:val="000000" w:themeColor="text1"/>
        </w:rPr>
        <w:t xml:space="preserve">Kontrolou byly prověřeny veškeré </w:t>
      </w:r>
      <w:r w:rsidR="009E705D" w:rsidRPr="00EB1327">
        <w:rPr>
          <w:rFonts w:cs="Calibri"/>
          <w:color w:val="000000" w:themeColor="text1"/>
        </w:rPr>
        <w:t>náklady</w:t>
      </w:r>
      <w:r w:rsidRPr="00EB1327">
        <w:rPr>
          <w:rFonts w:cs="Calibri"/>
          <w:color w:val="000000" w:themeColor="text1"/>
        </w:rPr>
        <w:t xml:space="preserve"> vztahující se k přijaté podpoře na řešení daného grantového </w:t>
      </w:r>
      <w:r w:rsidR="00A1218A">
        <w:rPr>
          <w:rFonts w:cs="Calibri"/>
          <w:color w:val="000000" w:themeColor="text1"/>
        </w:rPr>
        <w:t>p</w:t>
      </w:r>
      <w:r w:rsidRPr="00EB1327">
        <w:rPr>
          <w:rFonts w:cs="Calibri"/>
          <w:color w:val="000000" w:themeColor="text1"/>
        </w:rPr>
        <w:t xml:space="preserve">rojektu Tau. </w:t>
      </w:r>
    </w:p>
    <w:p w14:paraId="16976654" w14:textId="4F2F6D26" w:rsidR="00204195" w:rsidRPr="00EB1327" w:rsidRDefault="00204195" w:rsidP="0066675E">
      <w:pPr>
        <w:spacing w:before="120" w:after="120"/>
        <w:jc w:val="both"/>
        <w:rPr>
          <w:rFonts w:cs="Calibri"/>
          <w:color w:val="000000" w:themeColor="text1"/>
        </w:rPr>
      </w:pPr>
      <w:r w:rsidRPr="00EB1327">
        <w:rPr>
          <w:rFonts w:cs="Calibri"/>
          <w:color w:val="000000" w:themeColor="text1"/>
        </w:rPr>
        <w:t xml:space="preserve">Při kontrole </w:t>
      </w:r>
      <w:r w:rsidR="00D003F4" w:rsidRPr="00EB1327">
        <w:rPr>
          <w:rFonts w:cs="Calibri"/>
          <w:color w:val="000000" w:themeColor="text1"/>
          <w:shd w:val="clear" w:color="auto" w:fill="FFFFFF" w:themeFill="background1"/>
        </w:rPr>
        <w:t>131</w:t>
      </w:r>
      <w:r w:rsidR="00F3052D" w:rsidRPr="00EB1327">
        <w:rPr>
          <w:rFonts w:cs="Calibri"/>
          <w:color w:val="000000" w:themeColor="text1"/>
        </w:rPr>
        <w:t xml:space="preserve"> účetních dokladů </w:t>
      </w:r>
      <w:r w:rsidRPr="00EB1327">
        <w:rPr>
          <w:rFonts w:cs="Calibri"/>
          <w:color w:val="000000" w:themeColor="text1"/>
        </w:rPr>
        <w:t xml:space="preserve">bylo v </w:t>
      </w:r>
      <w:r w:rsidR="00D62652" w:rsidRPr="00EB1327">
        <w:rPr>
          <w:rFonts w:cs="Calibri"/>
          <w:color w:val="000000" w:themeColor="text1"/>
          <w:shd w:val="clear" w:color="auto" w:fill="FFFFFF" w:themeFill="background1"/>
        </w:rPr>
        <w:t>10</w:t>
      </w:r>
      <w:r w:rsidRPr="00EB1327">
        <w:rPr>
          <w:rFonts w:cs="Calibri"/>
          <w:color w:val="000000" w:themeColor="text1"/>
        </w:rPr>
        <w:t xml:space="preserve"> případech zjištěno, že náklady </w:t>
      </w:r>
      <w:r w:rsidRPr="00EB1327">
        <w:rPr>
          <w:rFonts w:asciiTheme="minorHAnsi" w:hAnsiTheme="minorHAnsi"/>
          <w:color w:val="000000" w:themeColor="text1"/>
        </w:rPr>
        <w:t xml:space="preserve">v celkové výši </w:t>
      </w:r>
      <w:r w:rsidR="00D62652" w:rsidRPr="00EB1327">
        <w:rPr>
          <w:rFonts w:cs="Calibri"/>
          <w:color w:val="000000" w:themeColor="text1"/>
        </w:rPr>
        <w:t xml:space="preserve">53 480,74 Kč byly nezpůsobilé, </w:t>
      </w:r>
      <w:r w:rsidR="00D62652" w:rsidRPr="00EB1327">
        <w:rPr>
          <w:color w:val="000000" w:themeColor="text1"/>
          <w:shd w:val="clear" w:color="auto" w:fill="FFFFFF" w:themeFill="background1"/>
        </w:rPr>
        <w:t>protože se nevztahovaly k nákladům souvisejícím s </w:t>
      </w:r>
      <w:r w:rsidR="00A1218A">
        <w:rPr>
          <w:color w:val="000000" w:themeColor="text1"/>
          <w:shd w:val="clear" w:color="auto" w:fill="FFFFFF" w:themeFill="background1"/>
        </w:rPr>
        <w:t>p</w:t>
      </w:r>
      <w:r w:rsidR="00D62652" w:rsidRPr="00EB1327">
        <w:rPr>
          <w:color w:val="000000" w:themeColor="text1"/>
          <w:shd w:val="clear" w:color="auto" w:fill="FFFFFF" w:themeFill="background1"/>
        </w:rPr>
        <w:t xml:space="preserve">rojektem Tau </w:t>
      </w:r>
      <w:r w:rsidR="009E705D" w:rsidRPr="00EB1327">
        <w:rPr>
          <w:color w:val="000000" w:themeColor="text1"/>
          <w:shd w:val="clear" w:color="auto" w:fill="FFFFFF" w:themeFill="background1"/>
        </w:rPr>
        <w:t>a</w:t>
      </w:r>
      <w:r w:rsidR="00D62652" w:rsidRPr="00EB1327">
        <w:rPr>
          <w:color w:val="000000" w:themeColor="text1"/>
          <w:shd w:val="clear" w:color="auto" w:fill="FFFFFF" w:themeFill="background1"/>
        </w:rPr>
        <w:t xml:space="preserve">nebo vznikly </w:t>
      </w:r>
      <w:r w:rsidR="00D62652" w:rsidRPr="00EB1327">
        <w:rPr>
          <w:rFonts w:cs="Calibri"/>
          <w:color w:val="000000" w:themeColor="text1"/>
          <w:shd w:val="clear" w:color="auto" w:fill="FFFFFF" w:themeFill="background1"/>
        </w:rPr>
        <w:t>před začátkem řešení projektu či po jeho ukončení</w:t>
      </w:r>
      <w:r w:rsidR="00D62652" w:rsidRPr="00EB1327">
        <w:rPr>
          <w:rFonts w:cs="Calibri"/>
          <w:color w:val="000000" w:themeColor="text1"/>
        </w:rPr>
        <w:t xml:space="preserve">. </w:t>
      </w:r>
    </w:p>
    <w:p w14:paraId="493D6B2C" w14:textId="35D78CFE" w:rsidR="00204195" w:rsidRPr="00EB1327" w:rsidRDefault="00231219" w:rsidP="0066675E">
      <w:pPr>
        <w:spacing w:before="120" w:after="120"/>
        <w:jc w:val="both"/>
        <w:rPr>
          <w:rFonts w:cs="Calibri"/>
          <w:color w:val="000000" w:themeColor="text1"/>
        </w:rPr>
      </w:pPr>
      <w:r w:rsidRPr="00EB1327">
        <w:rPr>
          <w:rFonts w:asciiTheme="minorHAnsi" w:hAnsiTheme="minorHAnsi" w:cs="Calibri"/>
          <w:color w:val="000000" w:themeColor="text1"/>
        </w:rPr>
        <w:t>NÚDZ</w:t>
      </w:r>
      <w:r w:rsidR="00204195" w:rsidRPr="00EB1327">
        <w:rPr>
          <w:rFonts w:asciiTheme="minorHAnsi" w:hAnsiTheme="minorHAnsi" w:cs="Calibri"/>
          <w:color w:val="000000" w:themeColor="text1"/>
        </w:rPr>
        <w:t xml:space="preserve"> ve smyslu ustanovení § 3 písm. e) zákona č. 218/2000 Sb., neoprávněně použil peněžní prostředky poskytnuté ze státního rozpočtu tím, že </w:t>
      </w:r>
      <w:r w:rsidR="00204195" w:rsidRPr="00EB1327">
        <w:rPr>
          <w:rFonts w:cs="Calibri"/>
          <w:color w:val="000000" w:themeColor="text1"/>
        </w:rPr>
        <w:t xml:space="preserve">peněžní prostředky ve výši 53 480,74 Kč účelově určené na řešení grantového </w:t>
      </w:r>
      <w:r w:rsidR="00A1218A">
        <w:rPr>
          <w:rFonts w:cs="Calibri"/>
          <w:color w:val="000000" w:themeColor="text1"/>
        </w:rPr>
        <w:t>p</w:t>
      </w:r>
      <w:r w:rsidR="00204195" w:rsidRPr="00EB1327">
        <w:rPr>
          <w:rFonts w:cs="Calibri"/>
          <w:color w:val="000000" w:themeColor="text1"/>
        </w:rPr>
        <w:t xml:space="preserve">rojektu Tau v rozporu se </w:t>
      </w:r>
      <w:r w:rsidR="00A1218A">
        <w:rPr>
          <w:rFonts w:cs="Calibri"/>
          <w:color w:val="000000" w:themeColor="text1"/>
        </w:rPr>
        <w:t>s</w:t>
      </w:r>
      <w:r w:rsidR="00204195" w:rsidRPr="00EB1327">
        <w:rPr>
          <w:rFonts w:cs="Calibri"/>
          <w:color w:val="000000" w:themeColor="text1"/>
        </w:rPr>
        <w:t>mlouv</w:t>
      </w:r>
      <w:r w:rsidR="00D62652" w:rsidRPr="00EB1327">
        <w:rPr>
          <w:rFonts w:cs="Calibri"/>
          <w:color w:val="000000" w:themeColor="text1"/>
          <w:shd w:val="clear" w:color="auto" w:fill="FFFFFF" w:themeFill="background1"/>
        </w:rPr>
        <w:t>ou</w:t>
      </w:r>
      <w:r w:rsidR="00204195" w:rsidRPr="00EB1327">
        <w:rPr>
          <w:rFonts w:cs="Calibri"/>
          <w:color w:val="000000" w:themeColor="text1"/>
        </w:rPr>
        <w:t xml:space="preserve"> o poskytnutí dotace. </w:t>
      </w:r>
    </w:p>
    <w:p w14:paraId="54455BD6" w14:textId="77777777" w:rsidR="00204195" w:rsidRPr="00EB1327" w:rsidRDefault="007624F9" w:rsidP="0066675E">
      <w:pPr>
        <w:spacing w:before="120" w:after="120"/>
        <w:jc w:val="both"/>
        <w:rPr>
          <w:rFonts w:asciiTheme="minorHAnsi" w:hAnsiTheme="minorHAnsi"/>
          <w:color w:val="000000" w:themeColor="text1"/>
        </w:rPr>
      </w:pPr>
      <w:r w:rsidRPr="00EB1327">
        <w:rPr>
          <w:b/>
          <w:color w:val="000000" w:themeColor="text1"/>
        </w:rPr>
        <w:t xml:space="preserve">8. </w:t>
      </w:r>
      <w:r w:rsidR="00D003F4" w:rsidRPr="00EB1327">
        <w:rPr>
          <w:b/>
          <w:color w:val="000000" w:themeColor="text1"/>
        </w:rPr>
        <w:t>Neúčinný</w:t>
      </w:r>
      <w:r w:rsidR="00204195" w:rsidRPr="00EB1327">
        <w:rPr>
          <w:b/>
          <w:color w:val="000000" w:themeColor="text1"/>
        </w:rPr>
        <w:t xml:space="preserve"> vnitřní kontrolní systém</w:t>
      </w:r>
    </w:p>
    <w:p w14:paraId="03E10D51" w14:textId="04CBD5C4" w:rsidR="00204195" w:rsidRPr="00EB1327" w:rsidRDefault="00204195" w:rsidP="0066675E">
      <w:pPr>
        <w:spacing w:before="120" w:after="120"/>
        <w:jc w:val="both"/>
        <w:rPr>
          <w:rFonts w:asciiTheme="minorHAnsi" w:hAnsiTheme="minorHAnsi"/>
          <w:color w:val="000000" w:themeColor="text1"/>
        </w:rPr>
      </w:pPr>
      <w:r w:rsidRPr="00EB1327">
        <w:rPr>
          <w:rFonts w:asciiTheme="minorHAnsi" w:hAnsiTheme="minorHAnsi"/>
          <w:color w:val="000000" w:themeColor="text1"/>
        </w:rPr>
        <w:t xml:space="preserve">Kontrolou bylo zjištěno, že </w:t>
      </w:r>
      <w:r w:rsidR="00D003F4" w:rsidRPr="00EB1327">
        <w:rPr>
          <w:rFonts w:asciiTheme="minorHAnsi" w:hAnsiTheme="minorHAnsi"/>
          <w:color w:val="000000" w:themeColor="text1"/>
        </w:rPr>
        <w:t>útvar interního auditu není zřízen</w:t>
      </w:r>
      <w:r w:rsidRPr="00EB1327">
        <w:rPr>
          <w:rFonts w:asciiTheme="minorHAnsi" w:hAnsiTheme="minorHAnsi"/>
          <w:color w:val="000000" w:themeColor="text1"/>
        </w:rPr>
        <w:t xml:space="preserve">, </w:t>
      </w:r>
      <w:r w:rsidR="00A1218A">
        <w:rPr>
          <w:rFonts w:asciiTheme="minorHAnsi" w:hAnsiTheme="minorHAnsi"/>
          <w:color w:val="000000" w:themeColor="text1"/>
        </w:rPr>
        <w:t>o</w:t>
      </w:r>
      <w:r w:rsidRPr="00EB1327">
        <w:rPr>
          <w:rFonts w:asciiTheme="minorHAnsi" w:hAnsiTheme="minorHAnsi"/>
          <w:color w:val="000000" w:themeColor="text1"/>
        </w:rPr>
        <w:t xml:space="preserve">rganizační řád </w:t>
      </w:r>
      <w:r w:rsidR="00231219" w:rsidRPr="00EB1327">
        <w:rPr>
          <w:rFonts w:asciiTheme="minorHAnsi" w:hAnsiTheme="minorHAnsi"/>
          <w:color w:val="000000" w:themeColor="text1"/>
        </w:rPr>
        <w:t>NÚDZ</w:t>
      </w:r>
      <w:r w:rsidRPr="00EB1327">
        <w:rPr>
          <w:rFonts w:asciiTheme="minorHAnsi" w:hAnsiTheme="minorHAnsi"/>
          <w:color w:val="000000" w:themeColor="text1"/>
        </w:rPr>
        <w:t xml:space="preserve"> ze dne 1. 8. 2015 ani </w:t>
      </w:r>
      <w:r w:rsidR="00A1218A">
        <w:rPr>
          <w:rFonts w:asciiTheme="minorHAnsi" w:hAnsiTheme="minorHAnsi"/>
          <w:color w:val="000000" w:themeColor="text1"/>
        </w:rPr>
        <w:t>s</w:t>
      </w:r>
      <w:r w:rsidRPr="00EB1327">
        <w:rPr>
          <w:rFonts w:asciiTheme="minorHAnsi" w:hAnsiTheme="minorHAnsi"/>
          <w:color w:val="000000" w:themeColor="text1"/>
        </w:rPr>
        <w:t xml:space="preserve">tatut </w:t>
      </w:r>
      <w:r w:rsidR="00231219" w:rsidRPr="00EB1327">
        <w:rPr>
          <w:rFonts w:asciiTheme="minorHAnsi" w:hAnsiTheme="minorHAnsi"/>
          <w:color w:val="000000" w:themeColor="text1"/>
        </w:rPr>
        <w:t>NÚDZ</w:t>
      </w:r>
      <w:r w:rsidRPr="00EB1327">
        <w:rPr>
          <w:rFonts w:asciiTheme="minorHAnsi" w:hAnsiTheme="minorHAnsi"/>
          <w:color w:val="000000" w:themeColor="text1"/>
        </w:rPr>
        <w:t xml:space="preserve"> ze dne 6. 9. 2016 informaci o </w:t>
      </w:r>
      <w:r w:rsidR="00D003F4" w:rsidRPr="00EB1327">
        <w:rPr>
          <w:rFonts w:asciiTheme="minorHAnsi" w:hAnsiTheme="minorHAnsi"/>
          <w:color w:val="000000" w:themeColor="text1"/>
        </w:rPr>
        <w:t>útvaru interního</w:t>
      </w:r>
      <w:r w:rsidRPr="00EB1327">
        <w:rPr>
          <w:rFonts w:asciiTheme="minorHAnsi" w:hAnsiTheme="minorHAnsi"/>
          <w:color w:val="000000" w:themeColor="text1"/>
        </w:rPr>
        <w:t xml:space="preserve"> auditu neobsahují. </w:t>
      </w:r>
    </w:p>
    <w:p w14:paraId="6BC89778" w14:textId="5CEC667F" w:rsidR="00204195" w:rsidRPr="00EB1327" w:rsidRDefault="00204195" w:rsidP="0066675E">
      <w:pPr>
        <w:spacing w:before="120" w:after="120"/>
        <w:jc w:val="both"/>
        <w:rPr>
          <w:rFonts w:asciiTheme="minorHAnsi" w:hAnsiTheme="minorHAnsi"/>
          <w:color w:val="000000" w:themeColor="text1"/>
        </w:rPr>
      </w:pPr>
      <w:r w:rsidRPr="00EB1327">
        <w:rPr>
          <w:rFonts w:asciiTheme="minorHAnsi" w:hAnsiTheme="minorHAnsi"/>
          <w:color w:val="000000" w:themeColor="text1"/>
        </w:rPr>
        <w:t>Interní audit byl zajišťován v omezeném rozsahu 12,5 h</w:t>
      </w:r>
      <w:r w:rsidR="00A1218A">
        <w:rPr>
          <w:rFonts w:asciiTheme="minorHAnsi" w:hAnsiTheme="minorHAnsi"/>
          <w:color w:val="000000" w:themeColor="text1"/>
        </w:rPr>
        <w:t>odiny</w:t>
      </w:r>
      <w:r w:rsidRPr="00EB1327">
        <w:rPr>
          <w:rFonts w:asciiTheme="minorHAnsi" w:hAnsiTheme="minorHAnsi"/>
          <w:color w:val="000000" w:themeColor="text1"/>
        </w:rPr>
        <w:t xml:space="preserve"> měsíčně na základě dohody o provedení práce. Předložené zprávy z kontrol nenaplňují cíle interního auditu stanovené v ustanovení § 28 zákona o finanční kontrole, zejména neobsahují </w:t>
      </w:r>
      <w:r w:rsidR="00D003F4" w:rsidRPr="00EB1327">
        <w:rPr>
          <w:rFonts w:asciiTheme="minorHAnsi" w:hAnsiTheme="minorHAnsi"/>
          <w:color w:val="000000" w:themeColor="text1"/>
        </w:rPr>
        <w:t>hodnocení účinnosti vnitřního kontrolního systému</w:t>
      </w:r>
      <w:r w:rsidRPr="00EB1327">
        <w:rPr>
          <w:rFonts w:asciiTheme="minorHAnsi" w:hAnsiTheme="minorHAnsi"/>
          <w:color w:val="000000" w:themeColor="text1"/>
        </w:rPr>
        <w:t xml:space="preserve">, doporučení k předcházení nebo zmírnění rizik, nezahrnují audity na úrovni systému apod. </w:t>
      </w:r>
    </w:p>
    <w:p w14:paraId="0967B588" w14:textId="77777777" w:rsidR="00204195" w:rsidRPr="00EB1327" w:rsidRDefault="00204195" w:rsidP="0066675E">
      <w:pPr>
        <w:spacing w:before="120" w:after="120"/>
        <w:jc w:val="both"/>
        <w:rPr>
          <w:rFonts w:asciiTheme="minorHAnsi" w:hAnsiTheme="minorHAnsi"/>
          <w:color w:val="000000" w:themeColor="text1"/>
        </w:rPr>
      </w:pPr>
      <w:r w:rsidRPr="00EB1327">
        <w:rPr>
          <w:rFonts w:asciiTheme="minorHAnsi" w:hAnsiTheme="minorHAnsi"/>
          <w:color w:val="000000" w:themeColor="text1"/>
        </w:rPr>
        <w:t xml:space="preserve">Jinou kontrolní činnost </w:t>
      </w:r>
      <w:r w:rsidR="00231219" w:rsidRPr="00EB1327">
        <w:rPr>
          <w:rFonts w:asciiTheme="minorHAnsi" w:hAnsiTheme="minorHAnsi"/>
          <w:color w:val="000000" w:themeColor="text1"/>
        </w:rPr>
        <w:t>NÚDZ</w:t>
      </w:r>
      <w:r w:rsidRPr="00EB1327">
        <w:rPr>
          <w:rFonts w:asciiTheme="minorHAnsi" w:hAnsiTheme="minorHAnsi"/>
          <w:color w:val="000000" w:themeColor="text1"/>
        </w:rPr>
        <w:t xml:space="preserve"> neprováděl, kontrole NKÚ nepředložil plán kontrol interního auditu. Nebyla například provedena kontrola existujících vnitřních předpisů, jejich aktuálnosti a správnosti ve vztahu k novým podmínkám a rozšířenému objemu činnosti </w:t>
      </w:r>
      <w:r w:rsidR="00231219" w:rsidRPr="00EB1327">
        <w:rPr>
          <w:rFonts w:asciiTheme="minorHAnsi" w:hAnsiTheme="minorHAnsi"/>
          <w:color w:val="000000" w:themeColor="text1"/>
        </w:rPr>
        <w:t>NÚDZ</w:t>
      </w:r>
      <w:r w:rsidRPr="00EB1327">
        <w:rPr>
          <w:rFonts w:asciiTheme="minorHAnsi" w:hAnsiTheme="minorHAnsi"/>
          <w:color w:val="000000" w:themeColor="text1"/>
        </w:rPr>
        <w:t xml:space="preserve">, některé oblasti nebyly vnitřními předpisy upraveny vůbec. </w:t>
      </w:r>
    </w:p>
    <w:p w14:paraId="6AABDB46" w14:textId="51EC2A6B" w:rsidR="00204195" w:rsidRPr="00EB1327" w:rsidRDefault="00231219" w:rsidP="0066675E">
      <w:pPr>
        <w:jc w:val="both"/>
        <w:rPr>
          <w:rFonts w:cs="Calibri"/>
          <w:color w:val="000000" w:themeColor="text1"/>
        </w:rPr>
      </w:pPr>
      <w:r w:rsidRPr="00EB1327">
        <w:rPr>
          <w:rFonts w:cs="Calibri"/>
          <w:color w:val="000000" w:themeColor="text1"/>
        </w:rPr>
        <w:t>NÚDZ</w:t>
      </w:r>
      <w:r w:rsidR="00204195" w:rsidRPr="00EB1327">
        <w:rPr>
          <w:rFonts w:cs="Calibri"/>
          <w:color w:val="000000" w:themeColor="text1"/>
        </w:rPr>
        <w:t xml:space="preserve"> vnitřním předpisem např.</w:t>
      </w:r>
      <w:r w:rsidR="00B71CCE">
        <w:rPr>
          <w:rFonts w:cs="Calibri"/>
          <w:color w:val="000000" w:themeColor="text1"/>
        </w:rPr>
        <w:t>:</w:t>
      </w:r>
      <w:r w:rsidR="00204195" w:rsidRPr="00EB1327">
        <w:rPr>
          <w:rFonts w:cs="Calibri"/>
          <w:color w:val="000000" w:themeColor="text1"/>
        </w:rPr>
        <w:t xml:space="preserve"> </w:t>
      </w:r>
    </w:p>
    <w:p w14:paraId="5E080776" w14:textId="77777777" w:rsidR="00204195" w:rsidRPr="00EB1327" w:rsidRDefault="00204195" w:rsidP="00475F45">
      <w:pPr>
        <w:pStyle w:val="Odstavecseseznamem"/>
        <w:numPr>
          <w:ilvl w:val="0"/>
          <w:numId w:val="43"/>
        </w:numPr>
        <w:ind w:left="284" w:hanging="284"/>
        <w:contextualSpacing w:val="0"/>
        <w:jc w:val="both"/>
        <w:rPr>
          <w:rFonts w:cs="Calibri"/>
          <w:color w:val="000000" w:themeColor="text1"/>
        </w:rPr>
      </w:pPr>
      <w:r w:rsidRPr="00EB1327">
        <w:rPr>
          <w:rFonts w:cs="Calibri"/>
          <w:color w:val="000000" w:themeColor="text1"/>
        </w:rPr>
        <w:t xml:space="preserve">nenastavil zásady odpisování – odpisový plán, </w:t>
      </w:r>
    </w:p>
    <w:p w14:paraId="75131D72" w14:textId="1AD46DD6" w:rsidR="00204195" w:rsidRPr="00EB1327" w:rsidRDefault="00204195" w:rsidP="00475F45">
      <w:pPr>
        <w:pStyle w:val="Odstavecseseznamem"/>
        <w:numPr>
          <w:ilvl w:val="0"/>
          <w:numId w:val="43"/>
        </w:numPr>
        <w:ind w:left="284" w:hanging="284"/>
        <w:contextualSpacing w:val="0"/>
        <w:jc w:val="both"/>
        <w:rPr>
          <w:rFonts w:cs="Calibri"/>
          <w:color w:val="000000" w:themeColor="text1"/>
        </w:rPr>
      </w:pPr>
      <w:r w:rsidRPr="00EB1327">
        <w:rPr>
          <w:rFonts w:cs="Calibri"/>
          <w:color w:val="000000" w:themeColor="text1"/>
        </w:rPr>
        <w:t>neupravil, jaké informace v účetní závěrce dle ustanovení § 19 odst. 6 zákona č. 563/1991</w:t>
      </w:r>
      <w:r w:rsidR="00F3110A">
        <w:rPr>
          <w:rFonts w:cs="Calibri"/>
          <w:color w:val="000000" w:themeColor="text1"/>
        </w:rPr>
        <w:t> </w:t>
      </w:r>
      <w:r w:rsidRPr="00EB1327">
        <w:rPr>
          <w:rFonts w:cs="Calibri"/>
          <w:color w:val="000000" w:themeColor="text1"/>
        </w:rPr>
        <w:t xml:space="preserve">Sb. povazuje za významné, </w:t>
      </w:r>
    </w:p>
    <w:p w14:paraId="795D879C" w14:textId="77777777" w:rsidR="00204195" w:rsidRPr="00EB1327" w:rsidRDefault="00204195" w:rsidP="00475F45">
      <w:pPr>
        <w:pStyle w:val="Odstavecseseznamem"/>
        <w:numPr>
          <w:ilvl w:val="0"/>
          <w:numId w:val="43"/>
        </w:numPr>
        <w:ind w:left="284" w:hanging="284"/>
        <w:contextualSpacing w:val="0"/>
        <w:jc w:val="both"/>
        <w:rPr>
          <w:rFonts w:cs="Calibri"/>
          <w:color w:val="000000" w:themeColor="text1"/>
        </w:rPr>
      </w:pPr>
      <w:r w:rsidRPr="00EB1327">
        <w:rPr>
          <w:rFonts w:cs="Calibri"/>
          <w:color w:val="000000" w:themeColor="text1"/>
        </w:rPr>
        <w:t>nestanovil, v jakých případech bude postupovat podle usta</w:t>
      </w:r>
      <w:r w:rsidR="004221C4" w:rsidRPr="00EB1327">
        <w:rPr>
          <w:rFonts w:cs="Calibri"/>
          <w:color w:val="000000" w:themeColor="text1"/>
        </w:rPr>
        <w:t>novení § 69 odst. 3 vyhlášky č. </w:t>
      </w:r>
      <w:r w:rsidRPr="00EB1327">
        <w:rPr>
          <w:rFonts w:cs="Calibri"/>
          <w:color w:val="000000" w:themeColor="text1"/>
        </w:rPr>
        <w:t>410/2009 Sb. a nepoužije metodu časového rozlišení, protože tuto informaci nepovažuje za významnou,</w:t>
      </w:r>
    </w:p>
    <w:p w14:paraId="14286CC7" w14:textId="628675F8" w:rsidR="00204195" w:rsidRPr="00EB1327" w:rsidRDefault="00204195" w:rsidP="00475F45">
      <w:pPr>
        <w:pStyle w:val="Odstavecseseznamem"/>
        <w:numPr>
          <w:ilvl w:val="0"/>
          <w:numId w:val="43"/>
        </w:numPr>
        <w:ind w:left="284" w:hanging="284"/>
        <w:contextualSpacing w:val="0"/>
        <w:jc w:val="both"/>
        <w:rPr>
          <w:rFonts w:cs="Calibri"/>
          <w:color w:val="000000" w:themeColor="text1"/>
        </w:rPr>
      </w:pPr>
      <w:r w:rsidRPr="00EB1327">
        <w:rPr>
          <w:rFonts w:cs="Calibri"/>
          <w:color w:val="000000" w:themeColor="text1"/>
        </w:rPr>
        <w:t>nestanovil, jakou informaci nepovažuje za významnou ve vztahu k účtování na</w:t>
      </w:r>
      <w:r w:rsidR="00F3110A">
        <w:rPr>
          <w:rFonts w:cs="Calibri"/>
          <w:color w:val="000000" w:themeColor="text1"/>
        </w:rPr>
        <w:t xml:space="preserve"> </w:t>
      </w:r>
      <w:r w:rsidRPr="00EB1327">
        <w:rPr>
          <w:rFonts w:cs="Calibri"/>
          <w:color w:val="000000" w:themeColor="text1"/>
        </w:rPr>
        <w:t xml:space="preserve">podrozvahových účtech a nebude o ní v souladu s ustanovením § 48 odst. 1 vyhlášky č. 410/2009 Sb. účtovat, </w:t>
      </w:r>
    </w:p>
    <w:p w14:paraId="6DE1C091" w14:textId="77777777" w:rsidR="00204195" w:rsidRPr="00EB1327" w:rsidRDefault="00204195" w:rsidP="00475F45">
      <w:pPr>
        <w:pStyle w:val="Odstavecseseznamem"/>
        <w:numPr>
          <w:ilvl w:val="0"/>
          <w:numId w:val="43"/>
        </w:numPr>
        <w:ind w:left="284" w:hanging="284"/>
        <w:contextualSpacing w:val="0"/>
        <w:jc w:val="both"/>
        <w:rPr>
          <w:rFonts w:cs="Calibri"/>
          <w:color w:val="000000" w:themeColor="text1"/>
        </w:rPr>
      </w:pPr>
      <w:r w:rsidRPr="00EB1327">
        <w:rPr>
          <w:color w:val="000000" w:themeColor="text1"/>
        </w:rPr>
        <w:t>nestanovil, které náklady související s pořízením dlouhodobého majetku bude při pořizování dlouhodobého majetku zahrnovat do pořizovací ceny,</w:t>
      </w:r>
    </w:p>
    <w:p w14:paraId="08A57650" w14:textId="77777777" w:rsidR="00204195" w:rsidRPr="00EB1327" w:rsidRDefault="00204195" w:rsidP="00475F45">
      <w:pPr>
        <w:pStyle w:val="Odstavecseseznamem"/>
        <w:numPr>
          <w:ilvl w:val="0"/>
          <w:numId w:val="43"/>
        </w:numPr>
        <w:ind w:left="284" w:hanging="284"/>
        <w:contextualSpacing w:val="0"/>
        <w:jc w:val="both"/>
        <w:rPr>
          <w:rFonts w:cs="Calibri"/>
          <w:color w:val="000000" w:themeColor="text1"/>
        </w:rPr>
      </w:pPr>
      <w:r w:rsidRPr="00EB1327">
        <w:rPr>
          <w:rFonts w:cs="Calibri"/>
          <w:color w:val="000000" w:themeColor="text1"/>
        </w:rPr>
        <w:t xml:space="preserve">neupravil způsob přepočtu cizí měny na českou, </w:t>
      </w:r>
    </w:p>
    <w:p w14:paraId="4EB88373" w14:textId="77777777" w:rsidR="00204195" w:rsidRPr="00EB1327" w:rsidRDefault="00204195" w:rsidP="00475F45">
      <w:pPr>
        <w:pStyle w:val="Odstavecseseznamem"/>
        <w:numPr>
          <w:ilvl w:val="0"/>
          <w:numId w:val="43"/>
        </w:numPr>
        <w:spacing w:after="120"/>
        <w:ind w:left="284" w:hanging="284"/>
        <w:contextualSpacing w:val="0"/>
        <w:jc w:val="both"/>
        <w:rPr>
          <w:rFonts w:cs="Calibri"/>
          <w:color w:val="000000" w:themeColor="text1"/>
        </w:rPr>
      </w:pPr>
      <w:r w:rsidRPr="00EB1327">
        <w:rPr>
          <w:rFonts w:cs="Calibri"/>
          <w:color w:val="000000" w:themeColor="text1"/>
        </w:rPr>
        <w:t xml:space="preserve">nenastavil pravidla, </w:t>
      </w:r>
      <w:r w:rsidRPr="00EB1327">
        <w:rPr>
          <w:rFonts w:cs="Calibri"/>
          <w:color w:val="000000" w:themeColor="text1"/>
          <w:shd w:val="clear" w:color="auto" w:fill="FFFFFF" w:themeFill="background1"/>
        </w:rPr>
        <w:t>pravomoci a odpovědnosti</w:t>
      </w:r>
      <w:r w:rsidRPr="00EB1327">
        <w:rPr>
          <w:rFonts w:cs="Calibri"/>
          <w:color w:val="000000" w:themeColor="text1"/>
        </w:rPr>
        <w:t xml:space="preserve"> při majetko</w:t>
      </w:r>
      <w:r w:rsidR="00C922AA" w:rsidRPr="00EB1327">
        <w:rPr>
          <w:rFonts w:cs="Calibri"/>
          <w:color w:val="000000" w:themeColor="text1"/>
        </w:rPr>
        <w:t>právních dispozicích s majetkem.</w:t>
      </w:r>
    </w:p>
    <w:p w14:paraId="1797A8F3" w14:textId="3D1638FF" w:rsidR="00C922AA" w:rsidRPr="00EB1327" w:rsidRDefault="00C922AA" w:rsidP="0066675E">
      <w:pPr>
        <w:shd w:val="clear" w:color="auto" w:fill="FFFFFF" w:themeFill="background1"/>
        <w:spacing w:before="120"/>
        <w:jc w:val="both"/>
        <w:rPr>
          <w:rFonts w:asciiTheme="minorHAnsi" w:hAnsiTheme="minorHAnsi" w:cs="Arial"/>
          <w:color w:val="000000" w:themeColor="text1"/>
        </w:rPr>
      </w:pPr>
      <w:r w:rsidRPr="00EB1327">
        <w:rPr>
          <w:rFonts w:cs="Calibri"/>
          <w:color w:val="000000" w:themeColor="text1"/>
        </w:rPr>
        <w:t xml:space="preserve">V důsledku toho </w:t>
      </w:r>
      <w:r w:rsidR="00231219" w:rsidRPr="00EB1327">
        <w:rPr>
          <w:rFonts w:cs="Calibri"/>
          <w:color w:val="000000" w:themeColor="text1"/>
        </w:rPr>
        <w:t>NÚDZ</w:t>
      </w:r>
      <w:r w:rsidRPr="00EB1327">
        <w:rPr>
          <w:rFonts w:cs="Calibri"/>
          <w:color w:val="000000" w:themeColor="text1"/>
        </w:rPr>
        <w:t xml:space="preserve"> </w:t>
      </w:r>
      <w:r w:rsidRPr="00EB1327">
        <w:rPr>
          <w:rFonts w:asciiTheme="minorHAnsi" w:hAnsiTheme="minorHAnsi" w:cs="Arial"/>
          <w:color w:val="000000" w:themeColor="text1"/>
        </w:rPr>
        <w:t xml:space="preserve">včas nezjistil nedostatky v nakládání s majetkem a peněžními prostředky, které v kontrolovaném období vedly k tomu, že </w:t>
      </w:r>
      <w:r w:rsidR="00231219" w:rsidRPr="00EB1327">
        <w:rPr>
          <w:rFonts w:asciiTheme="minorHAnsi" w:hAnsiTheme="minorHAnsi" w:cs="Arial"/>
          <w:color w:val="000000" w:themeColor="text1"/>
        </w:rPr>
        <w:t>NÚDZ</w:t>
      </w:r>
      <w:r w:rsidRPr="00EB1327">
        <w:rPr>
          <w:rFonts w:asciiTheme="minorHAnsi" w:hAnsiTheme="minorHAnsi" w:cs="Arial"/>
          <w:color w:val="000000" w:themeColor="text1"/>
        </w:rPr>
        <w:t xml:space="preserve"> postupoval v </w:t>
      </w:r>
      <w:r w:rsidR="00F3110A">
        <w:rPr>
          <w:rFonts w:asciiTheme="minorHAnsi" w:hAnsiTheme="minorHAnsi" w:cs="Arial"/>
          <w:color w:val="000000" w:themeColor="text1"/>
        </w:rPr>
        <w:t>rozporu</w:t>
      </w:r>
      <w:r w:rsidRPr="00EB1327">
        <w:rPr>
          <w:rFonts w:asciiTheme="minorHAnsi" w:hAnsiTheme="minorHAnsi" w:cs="Arial"/>
          <w:color w:val="000000" w:themeColor="text1"/>
        </w:rPr>
        <w:t xml:space="preserve"> se zákonem č. 563/1991 Sb., zákonem č. 218/2000</w:t>
      </w:r>
      <w:r w:rsidR="0066675E">
        <w:rPr>
          <w:rFonts w:asciiTheme="minorHAnsi" w:hAnsiTheme="minorHAnsi" w:cs="Arial"/>
          <w:color w:val="000000" w:themeColor="text1"/>
        </w:rPr>
        <w:t> </w:t>
      </w:r>
      <w:r w:rsidRPr="00EB1327">
        <w:rPr>
          <w:rFonts w:asciiTheme="minorHAnsi" w:hAnsiTheme="minorHAnsi" w:cs="Arial"/>
          <w:color w:val="000000" w:themeColor="text1"/>
        </w:rPr>
        <w:t>Sb., zákonem č.</w:t>
      </w:r>
      <w:r w:rsidR="00F3110A">
        <w:rPr>
          <w:rFonts w:asciiTheme="minorHAnsi" w:hAnsiTheme="minorHAnsi" w:cs="Arial"/>
          <w:color w:val="000000" w:themeColor="text1"/>
        </w:rPr>
        <w:t> </w:t>
      </w:r>
      <w:r w:rsidRPr="00EB1327">
        <w:rPr>
          <w:rFonts w:asciiTheme="minorHAnsi" w:hAnsiTheme="minorHAnsi" w:cs="Arial"/>
          <w:color w:val="000000" w:themeColor="text1"/>
        </w:rPr>
        <w:t>219/2000</w:t>
      </w:r>
      <w:r w:rsidR="0066675E">
        <w:rPr>
          <w:rFonts w:asciiTheme="minorHAnsi" w:hAnsiTheme="minorHAnsi" w:cs="Arial"/>
          <w:color w:val="000000" w:themeColor="text1"/>
        </w:rPr>
        <w:t> </w:t>
      </w:r>
      <w:r w:rsidRPr="00EB1327">
        <w:rPr>
          <w:rFonts w:asciiTheme="minorHAnsi" w:hAnsiTheme="minorHAnsi" w:cs="Arial"/>
          <w:color w:val="000000" w:themeColor="text1"/>
        </w:rPr>
        <w:t xml:space="preserve">Sb. a jejich prováděcími předpisy, </w:t>
      </w:r>
      <w:r w:rsidRPr="00EB1327">
        <w:rPr>
          <w:rFonts w:cs="Calibri"/>
          <w:color w:val="000000" w:themeColor="text1"/>
        </w:rPr>
        <w:t>např.</w:t>
      </w:r>
      <w:r w:rsidR="00B71CCE">
        <w:rPr>
          <w:rFonts w:cs="Calibri"/>
          <w:color w:val="000000" w:themeColor="text1"/>
        </w:rPr>
        <w:t>:</w:t>
      </w:r>
    </w:p>
    <w:p w14:paraId="30392169" w14:textId="77777777" w:rsidR="00C922AA" w:rsidRPr="00EB1327" w:rsidRDefault="006D0010" w:rsidP="00475F45">
      <w:pPr>
        <w:pStyle w:val="Odstavecseseznamem"/>
        <w:numPr>
          <w:ilvl w:val="0"/>
          <w:numId w:val="44"/>
        </w:numPr>
        <w:shd w:val="clear" w:color="auto" w:fill="FFFFFF" w:themeFill="background1"/>
        <w:ind w:left="284" w:hanging="284"/>
        <w:contextualSpacing w:val="0"/>
        <w:jc w:val="both"/>
        <w:rPr>
          <w:rFonts w:cs="Calibri"/>
          <w:color w:val="000000" w:themeColor="text1"/>
        </w:rPr>
      </w:pPr>
      <w:r w:rsidRPr="00EB1327">
        <w:rPr>
          <w:rFonts w:cs="Calibri"/>
          <w:color w:val="000000" w:themeColor="text1"/>
        </w:rPr>
        <w:t xml:space="preserve">stanovil </w:t>
      </w:r>
      <w:r w:rsidR="00C922AA" w:rsidRPr="00EB1327">
        <w:rPr>
          <w:rFonts w:cs="Calibri"/>
          <w:color w:val="000000" w:themeColor="text1"/>
        </w:rPr>
        <w:t xml:space="preserve">nesprávné ocenění pořizovací ceny majetku – budovy </w:t>
      </w:r>
      <w:r w:rsidR="00231219" w:rsidRPr="00EB1327">
        <w:rPr>
          <w:rFonts w:cs="Calibri"/>
          <w:color w:val="000000" w:themeColor="text1"/>
        </w:rPr>
        <w:t>NÚDZ</w:t>
      </w:r>
      <w:r w:rsidR="00C922AA" w:rsidRPr="00EB1327">
        <w:rPr>
          <w:rFonts w:cs="Calibri"/>
          <w:color w:val="000000" w:themeColor="text1"/>
        </w:rPr>
        <w:t xml:space="preserve">, </w:t>
      </w:r>
    </w:p>
    <w:p w14:paraId="1AC3764A" w14:textId="77777777" w:rsidR="00204195" w:rsidRPr="00EB1327" w:rsidRDefault="00204195" w:rsidP="00475F45">
      <w:pPr>
        <w:pStyle w:val="Odstavecseseznamem"/>
        <w:numPr>
          <w:ilvl w:val="0"/>
          <w:numId w:val="44"/>
        </w:numPr>
        <w:ind w:left="284" w:hanging="284"/>
        <w:jc w:val="both"/>
        <w:rPr>
          <w:rFonts w:cs="Calibri"/>
          <w:color w:val="000000" w:themeColor="text1"/>
        </w:rPr>
      </w:pPr>
      <w:r w:rsidRPr="00EB1327">
        <w:rPr>
          <w:rFonts w:cs="Calibri"/>
          <w:color w:val="000000" w:themeColor="text1"/>
        </w:rPr>
        <w:t>chybně účtoval o odpisech majetku,</w:t>
      </w:r>
    </w:p>
    <w:p w14:paraId="579DB0C0" w14:textId="77777777" w:rsidR="00204195" w:rsidRPr="00EB1327" w:rsidRDefault="00204195" w:rsidP="00475F45">
      <w:pPr>
        <w:pStyle w:val="Odstavecseseznamem"/>
        <w:numPr>
          <w:ilvl w:val="0"/>
          <w:numId w:val="44"/>
        </w:numPr>
        <w:spacing w:after="120"/>
        <w:ind w:left="284" w:hanging="284"/>
        <w:jc w:val="both"/>
        <w:rPr>
          <w:rFonts w:cs="Calibri"/>
          <w:color w:val="000000" w:themeColor="text1"/>
        </w:rPr>
      </w:pPr>
      <w:r w:rsidRPr="00EB1327">
        <w:rPr>
          <w:rFonts w:cs="Calibri"/>
          <w:color w:val="000000" w:themeColor="text1"/>
        </w:rPr>
        <w:t>neúčtoval o časovém rozlišení nákladů na pojistné,</w:t>
      </w:r>
    </w:p>
    <w:p w14:paraId="5792949C" w14:textId="77777777" w:rsidR="00204195" w:rsidRPr="00EB1327" w:rsidRDefault="00204195" w:rsidP="00475F45">
      <w:pPr>
        <w:pStyle w:val="Odstavecseseznamem"/>
        <w:numPr>
          <w:ilvl w:val="0"/>
          <w:numId w:val="44"/>
        </w:numPr>
        <w:spacing w:after="120"/>
        <w:ind w:left="284" w:hanging="284"/>
        <w:jc w:val="both"/>
        <w:rPr>
          <w:rFonts w:cs="Calibri"/>
          <w:color w:val="000000" w:themeColor="text1"/>
        </w:rPr>
      </w:pPr>
      <w:r w:rsidRPr="00EB1327">
        <w:rPr>
          <w:rFonts w:cs="Calibri"/>
          <w:color w:val="000000" w:themeColor="text1"/>
        </w:rPr>
        <w:t xml:space="preserve">neúčtoval na podrozvahových účtech o podmíněných závazcích z důvodu užívání cizího majetku, </w:t>
      </w:r>
    </w:p>
    <w:p w14:paraId="2D5BFCDD" w14:textId="77777777" w:rsidR="00204195" w:rsidRPr="00EB1327" w:rsidRDefault="00204195" w:rsidP="00475F45">
      <w:pPr>
        <w:pStyle w:val="Odstavecseseznamem"/>
        <w:numPr>
          <w:ilvl w:val="0"/>
          <w:numId w:val="44"/>
        </w:numPr>
        <w:ind w:left="284" w:hanging="284"/>
        <w:jc w:val="both"/>
        <w:rPr>
          <w:rFonts w:cs="Calibri"/>
          <w:color w:val="000000" w:themeColor="text1"/>
        </w:rPr>
      </w:pPr>
      <w:r w:rsidRPr="00EB1327">
        <w:rPr>
          <w:rFonts w:cs="Calibri"/>
          <w:color w:val="000000" w:themeColor="text1"/>
        </w:rPr>
        <w:t xml:space="preserve">nevydával rozhodnutí o nepotřebnosti majetku </w:t>
      </w:r>
      <w:r w:rsidR="00C922AA" w:rsidRPr="00EB1327">
        <w:rPr>
          <w:rFonts w:cs="Calibri"/>
          <w:color w:val="000000" w:themeColor="text1"/>
          <w:shd w:val="clear" w:color="auto" w:fill="FFFFFF" w:themeFill="background1"/>
        </w:rPr>
        <w:t>nebo je vydával pozdě,</w:t>
      </w:r>
      <w:r w:rsidR="00C922AA" w:rsidRPr="00EB1327">
        <w:rPr>
          <w:rFonts w:cs="Calibri"/>
          <w:color w:val="000000" w:themeColor="text1"/>
        </w:rPr>
        <w:t xml:space="preserve"> </w:t>
      </w:r>
    </w:p>
    <w:p w14:paraId="3D007C1B" w14:textId="77777777" w:rsidR="00204195" w:rsidRPr="00EB1327" w:rsidRDefault="00C922AA" w:rsidP="00475F45">
      <w:pPr>
        <w:pStyle w:val="Odstavecseseznamem"/>
        <w:numPr>
          <w:ilvl w:val="0"/>
          <w:numId w:val="44"/>
        </w:numPr>
        <w:shd w:val="clear" w:color="auto" w:fill="FFFFFF" w:themeFill="background1"/>
        <w:spacing w:after="240"/>
        <w:ind w:left="284" w:hanging="284"/>
        <w:contextualSpacing w:val="0"/>
        <w:jc w:val="both"/>
        <w:rPr>
          <w:rFonts w:cs="Calibri"/>
          <w:color w:val="000000" w:themeColor="text1"/>
        </w:rPr>
      </w:pPr>
      <w:r w:rsidRPr="00EB1327">
        <w:rPr>
          <w:rFonts w:cs="Calibri"/>
          <w:color w:val="000000" w:themeColor="text1"/>
        </w:rPr>
        <w:t xml:space="preserve">nezjistil nesoulad mezi mezi nemovitým majetkem evidovaným v katastru nemovitostí, skutečností a účetním stavem. </w:t>
      </w:r>
    </w:p>
    <w:p w14:paraId="56A5FF22" w14:textId="77777777" w:rsidR="00204195" w:rsidRPr="00EB1327" w:rsidRDefault="007624F9" w:rsidP="0066675E">
      <w:pPr>
        <w:spacing w:before="120" w:after="120"/>
        <w:rPr>
          <w:b/>
          <w:color w:val="000000" w:themeColor="text1"/>
        </w:rPr>
      </w:pPr>
      <w:r w:rsidRPr="00EB1327">
        <w:rPr>
          <w:b/>
          <w:color w:val="000000" w:themeColor="text1"/>
        </w:rPr>
        <w:t xml:space="preserve">9. </w:t>
      </w:r>
      <w:r w:rsidR="00204195" w:rsidRPr="00EB1327">
        <w:rPr>
          <w:b/>
          <w:color w:val="000000" w:themeColor="text1"/>
        </w:rPr>
        <w:t>Ministerstvo zdravotnictví</w:t>
      </w:r>
    </w:p>
    <w:p w14:paraId="3939A7B3" w14:textId="77777777" w:rsidR="00204195" w:rsidRPr="00EB1327" w:rsidRDefault="00204195" w:rsidP="0066675E">
      <w:pPr>
        <w:spacing w:before="120" w:after="120"/>
        <w:jc w:val="both"/>
        <w:rPr>
          <w:rFonts w:asciiTheme="minorHAnsi" w:hAnsiTheme="minorHAnsi"/>
          <w:color w:val="000000" w:themeColor="text1"/>
        </w:rPr>
      </w:pPr>
      <w:r w:rsidRPr="00EB1327">
        <w:rPr>
          <w:rFonts w:asciiTheme="minorHAnsi" w:hAnsiTheme="minorHAnsi"/>
          <w:color w:val="000000" w:themeColor="text1"/>
        </w:rPr>
        <w:t>Od 1.</w:t>
      </w:r>
      <w:r w:rsidR="00AC5036" w:rsidRPr="00EB1327">
        <w:rPr>
          <w:rFonts w:asciiTheme="minorHAnsi" w:hAnsiTheme="minorHAnsi"/>
          <w:color w:val="000000" w:themeColor="text1"/>
        </w:rPr>
        <w:t xml:space="preserve"> </w:t>
      </w:r>
      <w:r w:rsidRPr="00EB1327">
        <w:rPr>
          <w:rFonts w:asciiTheme="minorHAnsi" w:hAnsiTheme="minorHAnsi"/>
          <w:color w:val="000000" w:themeColor="text1"/>
        </w:rPr>
        <w:t>1. 2015</w:t>
      </w:r>
      <w:r w:rsidR="009E705D" w:rsidRPr="00EB1327">
        <w:rPr>
          <w:rFonts w:asciiTheme="minorHAnsi" w:hAnsiTheme="minorHAnsi"/>
          <w:color w:val="000000" w:themeColor="text1"/>
        </w:rPr>
        <w:t>,</w:t>
      </w:r>
      <w:r w:rsidRPr="00EB1327">
        <w:rPr>
          <w:rFonts w:asciiTheme="minorHAnsi" w:hAnsiTheme="minorHAnsi"/>
          <w:color w:val="000000" w:themeColor="text1"/>
        </w:rPr>
        <w:t xml:space="preserve"> kdy byl zahájen provoz </w:t>
      </w:r>
      <w:r w:rsidR="00231219" w:rsidRPr="00EB1327">
        <w:rPr>
          <w:rFonts w:asciiTheme="minorHAnsi" w:hAnsiTheme="minorHAnsi"/>
          <w:color w:val="000000" w:themeColor="text1"/>
        </w:rPr>
        <w:t>NÚDZ</w:t>
      </w:r>
      <w:r w:rsidR="00D62652" w:rsidRPr="00EB1327">
        <w:rPr>
          <w:rFonts w:asciiTheme="minorHAnsi" w:hAnsiTheme="minorHAnsi"/>
          <w:color w:val="000000" w:themeColor="text1"/>
        </w:rPr>
        <w:t>,</w:t>
      </w:r>
      <w:r w:rsidRPr="00EB1327">
        <w:rPr>
          <w:rFonts w:asciiTheme="minorHAnsi" w:hAnsiTheme="minorHAnsi"/>
          <w:color w:val="000000" w:themeColor="text1"/>
        </w:rPr>
        <w:t xml:space="preserve"> poskytlo MZd jednorázový příspěvek ve výši 25 mil. Kč, a to v roce 2016 na podpůrné projekty v oblasti psychiatrické péče v ČR. Pravidelné příspěvky na provoz </w:t>
      </w:r>
      <w:r w:rsidR="00231219" w:rsidRPr="00EB1327">
        <w:rPr>
          <w:rFonts w:asciiTheme="minorHAnsi" w:hAnsiTheme="minorHAnsi"/>
          <w:color w:val="000000" w:themeColor="text1"/>
        </w:rPr>
        <w:t>NÚDZ</w:t>
      </w:r>
      <w:r w:rsidRPr="00EB1327">
        <w:rPr>
          <w:rFonts w:asciiTheme="minorHAnsi" w:hAnsiTheme="minorHAnsi"/>
          <w:color w:val="000000" w:themeColor="text1"/>
        </w:rPr>
        <w:t xml:space="preserve"> </w:t>
      </w:r>
      <w:r w:rsidR="00C922AA" w:rsidRPr="00EB1327">
        <w:rPr>
          <w:rFonts w:asciiTheme="minorHAnsi" w:hAnsiTheme="minorHAnsi"/>
          <w:color w:val="000000" w:themeColor="text1"/>
          <w:shd w:val="clear" w:color="auto" w:fill="FFFFFF" w:themeFill="background1"/>
        </w:rPr>
        <w:t>Ministerstvo</w:t>
      </w:r>
      <w:r w:rsidR="00C922AA" w:rsidRPr="00EB1327">
        <w:rPr>
          <w:rFonts w:asciiTheme="minorHAnsi" w:hAnsiTheme="minorHAnsi"/>
          <w:color w:val="000000" w:themeColor="text1"/>
        </w:rPr>
        <w:t xml:space="preserve"> </w:t>
      </w:r>
      <w:r w:rsidRPr="00EB1327">
        <w:rPr>
          <w:rFonts w:asciiTheme="minorHAnsi" w:hAnsiTheme="minorHAnsi"/>
          <w:color w:val="000000" w:themeColor="text1"/>
        </w:rPr>
        <w:t>neposkytuje a ani nerozpočtuje.</w:t>
      </w:r>
    </w:p>
    <w:p w14:paraId="73E34A87" w14:textId="77777777" w:rsidR="00204195" w:rsidRPr="00EB1327" w:rsidRDefault="00204195" w:rsidP="0066675E">
      <w:pPr>
        <w:spacing w:before="120" w:after="120"/>
        <w:jc w:val="both"/>
        <w:rPr>
          <w:rFonts w:asciiTheme="minorHAnsi" w:hAnsiTheme="minorHAnsi"/>
          <w:color w:val="000000" w:themeColor="text1"/>
        </w:rPr>
      </w:pPr>
      <w:r w:rsidRPr="00EB1327">
        <w:rPr>
          <w:rFonts w:asciiTheme="minorHAnsi" w:hAnsiTheme="minorHAnsi"/>
          <w:color w:val="000000" w:themeColor="text1"/>
        </w:rPr>
        <w:t xml:space="preserve">K podobě a míře financování </w:t>
      </w:r>
      <w:r w:rsidR="00231219" w:rsidRPr="00EB1327">
        <w:rPr>
          <w:rFonts w:asciiTheme="minorHAnsi" w:hAnsiTheme="minorHAnsi"/>
          <w:color w:val="000000" w:themeColor="text1"/>
        </w:rPr>
        <w:t>NÚDZ</w:t>
      </w:r>
      <w:r w:rsidRPr="00EB1327">
        <w:rPr>
          <w:rFonts w:asciiTheme="minorHAnsi" w:hAnsiTheme="minorHAnsi"/>
          <w:color w:val="000000" w:themeColor="text1"/>
        </w:rPr>
        <w:t xml:space="preserve"> po roce 2020 ministerstvo sdělilo, že se jedná o relativně vzdálené období, které jde nad rámec současného rozpočtového výhledu. Je zřejmé, že MZd nezná skutečnou finanční potř</w:t>
      </w:r>
      <w:r w:rsidR="004B7812" w:rsidRPr="00EB1327">
        <w:rPr>
          <w:rFonts w:asciiTheme="minorHAnsi" w:hAnsiTheme="minorHAnsi"/>
          <w:color w:val="000000" w:themeColor="text1"/>
        </w:rPr>
        <w:t>ebu své příspěvkové organizace, čímž neplní dostatečně povinnosti vyplývající z ustanovení § 39 zákona č. 218/2000 Sb.</w:t>
      </w:r>
    </w:p>
    <w:p w14:paraId="71AF0856" w14:textId="77777777" w:rsidR="00AC5036" w:rsidRPr="00EB1327" w:rsidRDefault="00C922AA" w:rsidP="0066675E">
      <w:pPr>
        <w:spacing w:before="120"/>
        <w:jc w:val="both"/>
        <w:rPr>
          <w:rFonts w:asciiTheme="minorHAnsi" w:hAnsiTheme="minorHAnsi"/>
          <w:color w:val="000000" w:themeColor="text1"/>
        </w:rPr>
      </w:pPr>
      <w:r w:rsidRPr="00EB1327">
        <w:rPr>
          <w:rFonts w:asciiTheme="minorHAnsi" w:hAnsiTheme="minorHAnsi"/>
          <w:color w:val="000000" w:themeColor="text1"/>
        </w:rPr>
        <w:t xml:space="preserve">MZd od </w:t>
      </w:r>
      <w:r w:rsidRPr="00EB1327">
        <w:rPr>
          <w:rFonts w:asciiTheme="minorHAnsi" w:hAnsiTheme="minorHAnsi"/>
          <w:color w:val="000000" w:themeColor="text1"/>
          <w:shd w:val="clear" w:color="auto" w:fill="FFFFFF" w:themeFill="background1"/>
        </w:rPr>
        <w:t>roku 2014</w:t>
      </w:r>
      <w:r w:rsidRPr="00EB1327">
        <w:rPr>
          <w:rFonts w:asciiTheme="minorHAnsi" w:hAnsiTheme="minorHAnsi"/>
          <w:color w:val="000000" w:themeColor="text1"/>
        </w:rPr>
        <w:t xml:space="preserve"> do </w:t>
      </w:r>
      <w:r w:rsidRPr="00EB1327">
        <w:rPr>
          <w:rFonts w:asciiTheme="minorHAnsi" w:hAnsiTheme="minorHAnsi"/>
          <w:color w:val="000000" w:themeColor="text1"/>
          <w:shd w:val="clear" w:color="auto" w:fill="FFFFFF" w:themeFill="background1"/>
        </w:rPr>
        <w:t>doby ukončení kontroly NKÚ</w:t>
      </w:r>
      <w:r w:rsidRPr="00EB1327">
        <w:rPr>
          <w:rFonts w:asciiTheme="minorHAnsi" w:hAnsiTheme="minorHAnsi"/>
          <w:color w:val="000000" w:themeColor="text1"/>
        </w:rPr>
        <w:t xml:space="preserve"> neprovedlo u </w:t>
      </w:r>
      <w:r w:rsidR="00231219" w:rsidRPr="00EB1327">
        <w:rPr>
          <w:rFonts w:asciiTheme="minorHAnsi" w:hAnsiTheme="minorHAnsi"/>
          <w:color w:val="000000" w:themeColor="text1"/>
        </w:rPr>
        <w:t>NÚDZ</w:t>
      </w:r>
      <w:r w:rsidRPr="00EB1327">
        <w:rPr>
          <w:rFonts w:asciiTheme="minorHAnsi" w:hAnsiTheme="minorHAnsi"/>
          <w:color w:val="000000" w:themeColor="text1"/>
        </w:rPr>
        <w:t xml:space="preserve"> žádnou veřejnosprávní kontrolu hospodaření a nakládání s finančními prostředky.</w:t>
      </w:r>
    </w:p>
    <w:p w14:paraId="62DFCFA4" w14:textId="77777777" w:rsidR="000A4509" w:rsidRPr="00EB1327" w:rsidRDefault="000A4509" w:rsidP="000A4509">
      <w:pPr>
        <w:jc w:val="both"/>
        <w:rPr>
          <w:rFonts w:asciiTheme="minorHAnsi" w:hAnsiTheme="minorHAnsi"/>
          <w:color w:val="000000" w:themeColor="text1"/>
        </w:rPr>
      </w:pPr>
    </w:p>
    <w:p w14:paraId="3F2D9EEB" w14:textId="77777777" w:rsidR="000A4509" w:rsidRPr="00EB1327" w:rsidRDefault="000A4509" w:rsidP="000A4509">
      <w:pPr>
        <w:jc w:val="both"/>
        <w:rPr>
          <w:rFonts w:asciiTheme="minorHAnsi" w:hAnsiTheme="minorHAnsi"/>
          <w:color w:val="000000" w:themeColor="text1"/>
        </w:rPr>
      </w:pPr>
    </w:p>
    <w:p w14:paraId="54367D21" w14:textId="77777777" w:rsidR="00C922AA" w:rsidRPr="00EB1327" w:rsidRDefault="00204195" w:rsidP="000A4509">
      <w:pPr>
        <w:spacing w:before="120" w:after="120"/>
        <w:jc w:val="both"/>
        <w:rPr>
          <w:rFonts w:asciiTheme="minorHAnsi" w:hAnsiTheme="minorHAnsi" w:cs="Calibri"/>
          <w:b/>
          <w:noProof w:val="0"/>
          <w:color w:val="000000" w:themeColor="text1"/>
          <w:lang w:eastAsia="cs-CZ"/>
        </w:rPr>
      </w:pPr>
      <w:r w:rsidRPr="00EB1327">
        <w:rPr>
          <w:rFonts w:asciiTheme="minorHAnsi" w:hAnsiTheme="minorHAnsi" w:cs="Calibri"/>
          <w:b/>
          <w:noProof w:val="0"/>
          <w:color w:val="000000" w:themeColor="text1"/>
          <w:lang w:eastAsia="cs-CZ"/>
        </w:rPr>
        <w:t>Seznam použitých zkratek</w:t>
      </w:r>
      <w:r w:rsidR="006C0C31" w:rsidRPr="00EB1327">
        <w:rPr>
          <w:rFonts w:asciiTheme="minorHAnsi" w:hAnsiTheme="minorHAnsi" w:cs="Calibri"/>
          <w:b/>
          <w:noProof w:val="0"/>
          <w:color w:val="000000" w:themeColor="text1"/>
          <w:lang w:eastAsia="cs-CZ"/>
        </w:rPr>
        <w:t>:</w:t>
      </w:r>
    </w:p>
    <w:p w14:paraId="496B3A12" w14:textId="77777777"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AZV</w:t>
      </w:r>
      <w:r w:rsidRPr="00EB1327">
        <w:rPr>
          <w:color w:val="000000" w:themeColor="text1"/>
          <w:lang w:eastAsia="cs-CZ"/>
        </w:rPr>
        <w:tab/>
        <w:t>Agentura pro zdravotnický výzkum České republiky</w:t>
      </w:r>
    </w:p>
    <w:p w14:paraId="319FB1A3" w14:textId="77777777"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GA ČR</w:t>
      </w:r>
      <w:r w:rsidRPr="00EB1327">
        <w:rPr>
          <w:color w:val="000000" w:themeColor="text1"/>
          <w:lang w:eastAsia="cs-CZ"/>
        </w:rPr>
        <w:tab/>
        <w:t>Grantová agentura ČR</w:t>
      </w:r>
    </w:p>
    <w:p w14:paraId="566E7FAC" w14:textId="77777777"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IGA</w:t>
      </w:r>
      <w:r w:rsidRPr="00EB1327">
        <w:rPr>
          <w:color w:val="000000" w:themeColor="text1"/>
          <w:lang w:eastAsia="cs-CZ"/>
        </w:rPr>
        <w:tab/>
        <w:t>Interní grantová agentura</w:t>
      </w:r>
    </w:p>
    <w:p w14:paraId="6824D1EF" w14:textId="77777777"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MŠMT</w:t>
      </w:r>
      <w:r w:rsidRPr="00EB1327">
        <w:rPr>
          <w:color w:val="000000" w:themeColor="text1"/>
          <w:lang w:eastAsia="cs-CZ"/>
        </w:rPr>
        <w:tab/>
        <w:t>Ministerstvo školství, mládeže a tělovýchovy</w:t>
      </w:r>
    </w:p>
    <w:p w14:paraId="67969F9B" w14:textId="77777777"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MV</w:t>
      </w:r>
      <w:r w:rsidRPr="00EB1327">
        <w:rPr>
          <w:color w:val="000000" w:themeColor="text1"/>
          <w:lang w:eastAsia="cs-CZ"/>
        </w:rPr>
        <w:tab/>
        <w:t>Ministerstvo vnitra</w:t>
      </w:r>
    </w:p>
    <w:p w14:paraId="1875D8B9" w14:textId="77777777"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MZd</w:t>
      </w:r>
      <w:r w:rsidRPr="00EB1327">
        <w:rPr>
          <w:color w:val="000000" w:themeColor="text1"/>
          <w:lang w:eastAsia="cs-CZ"/>
        </w:rPr>
        <w:tab/>
        <w:t>Ministerstvo zdravotnictví</w:t>
      </w:r>
    </w:p>
    <w:p w14:paraId="7C07FBC2" w14:textId="77777777"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NKÚ</w:t>
      </w:r>
      <w:r w:rsidRPr="00EB1327">
        <w:rPr>
          <w:color w:val="000000" w:themeColor="text1"/>
          <w:lang w:eastAsia="cs-CZ"/>
        </w:rPr>
        <w:tab/>
        <w:t>Nejvyšší kontrolní úřad</w:t>
      </w:r>
    </w:p>
    <w:p w14:paraId="5952376A" w14:textId="1683B4D6"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NPU</w:t>
      </w:r>
      <w:r w:rsidRPr="00EB1327">
        <w:rPr>
          <w:color w:val="000000" w:themeColor="text1"/>
          <w:lang w:eastAsia="cs-CZ"/>
        </w:rPr>
        <w:tab/>
      </w:r>
      <w:r w:rsidR="00A1218A">
        <w:rPr>
          <w:color w:val="000000" w:themeColor="text1"/>
          <w:lang w:eastAsia="cs-CZ"/>
        </w:rPr>
        <w:t>p</w:t>
      </w:r>
      <w:r w:rsidRPr="00EB1327">
        <w:rPr>
          <w:color w:val="000000" w:themeColor="text1"/>
          <w:lang w:eastAsia="cs-CZ"/>
        </w:rPr>
        <w:t xml:space="preserve">rojekt LO1611 </w:t>
      </w:r>
      <w:r w:rsidRPr="00475F45">
        <w:rPr>
          <w:i/>
          <w:color w:val="000000" w:themeColor="text1"/>
          <w:lang w:eastAsia="cs-CZ"/>
        </w:rPr>
        <w:t>Udržitelnost pro Národní ústav duševního zdraví</w:t>
      </w:r>
    </w:p>
    <w:p w14:paraId="4224B3C0" w14:textId="3328B45A"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NPU</w:t>
      </w:r>
      <w:r w:rsidR="008C7636">
        <w:rPr>
          <w:color w:val="000000" w:themeColor="text1"/>
          <w:lang w:eastAsia="cs-CZ"/>
        </w:rPr>
        <w:t> </w:t>
      </w:r>
      <w:r w:rsidR="00695B84">
        <w:rPr>
          <w:color w:val="000000" w:themeColor="text1"/>
          <w:lang w:eastAsia="cs-CZ"/>
        </w:rPr>
        <w:t>I</w:t>
      </w:r>
      <w:r w:rsidRPr="00EB1327">
        <w:rPr>
          <w:color w:val="000000" w:themeColor="text1"/>
          <w:lang w:eastAsia="cs-CZ"/>
        </w:rPr>
        <w:tab/>
        <w:t>Národní program udržitelnosti I</w:t>
      </w:r>
    </w:p>
    <w:p w14:paraId="1510A937" w14:textId="77777777"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NÚDZ</w:t>
      </w:r>
      <w:r w:rsidRPr="00EB1327">
        <w:rPr>
          <w:color w:val="000000" w:themeColor="text1"/>
          <w:lang w:eastAsia="cs-CZ"/>
        </w:rPr>
        <w:tab/>
        <w:t>Národní ústav duševního zdraví</w:t>
      </w:r>
    </w:p>
    <w:p w14:paraId="3B385C00" w14:textId="55BD29BE"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OP</w:t>
      </w:r>
      <w:r w:rsidRPr="00EB1327">
        <w:rPr>
          <w:color w:val="000000" w:themeColor="text1"/>
          <w:lang w:eastAsia="cs-CZ"/>
        </w:rPr>
        <w:tab/>
      </w:r>
      <w:r w:rsidR="00A1218A">
        <w:rPr>
          <w:color w:val="000000" w:themeColor="text1"/>
          <w:lang w:eastAsia="cs-CZ"/>
        </w:rPr>
        <w:t>o</w:t>
      </w:r>
      <w:r w:rsidRPr="00EB1327">
        <w:rPr>
          <w:color w:val="000000" w:themeColor="text1"/>
          <w:lang w:eastAsia="cs-CZ"/>
        </w:rPr>
        <w:t>perační program</w:t>
      </w:r>
    </w:p>
    <w:p w14:paraId="7C2E4E9A" w14:textId="77777777"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PCP</w:t>
      </w:r>
      <w:r w:rsidRPr="00EB1327">
        <w:rPr>
          <w:color w:val="000000" w:themeColor="text1"/>
          <w:lang w:eastAsia="cs-CZ"/>
        </w:rPr>
        <w:tab/>
        <w:t>Psychiatrické centrum Praha</w:t>
      </w:r>
    </w:p>
    <w:p w14:paraId="178A6BA6" w14:textId="54F73A1C" w:rsidR="006C0C31" w:rsidRPr="00EB1327" w:rsidRDefault="00A1218A" w:rsidP="00EB1327">
      <w:pPr>
        <w:shd w:val="clear" w:color="auto" w:fill="FFFFFF" w:themeFill="background1"/>
        <w:spacing w:before="60" w:after="60"/>
        <w:ind w:left="1701" w:hanging="1701"/>
        <w:rPr>
          <w:color w:val="000000" w:themeColor="text1"/>
          <w:shd w:val="clear" w:color="auto" w:fill="FFFFFF" w:themeFill="background1"/>
        </w:rPr>
      </w:pPr>
      <w:r>
        <w:rPr>
          <w:color w:val="000000" w:themeColor="text1"/>
          <w:lang w:eastAsia="cs-CZ"/>
        </w:rPr>
        <w:t>p</w:t>
      </w:r>
      <w:r w:rsidR="006C0C31" w:rsidRPr="00EB1327">
        <w:rPr>
          <w:color w:val="000000" w:themeColor="text1"/>
          <w:lang w:eastAsia="cs-CZ"/>
        </w:rPr>
        <w:t>rojekt Tau</w:t>
      </w:r>
      <w:r w:rsidR="006C0C31" w:rsidRPr="00EB1327">
        <w:rPr>
          <w:color w:val="000000" w:themeColor="text1"/>
          <w:lang w:eastAsia="cs-CZ"/>
        </w:rPr>
        <w:tab/>
      </w:r>
      <w:r w:rsidR="006C0C31" w:rsidRPr="00475F45">
        <w:rPr>
          <w:rFonts w:asciiTheme="minorHAnsi" w:hAnsiTheme="minorHAnsi"/>
          <w:i/>
          <w:color w:val="000000" w:themeColor="text1"/>
        </w:rPr>
        <w:t xml:space="preserve">Projekt Tau </w:t>
      </w:r>
      <w:r w:rsidR="006C0C31" w:rsidRPr="00475F45">
        <w:rPr>
          <w:i/>
          <w:color w:val="000000" w:themeColor="text1"/>
          <w:shd w:val="clear" w:color="auto" w:fill="FFFFFF" w:themeFill="background1"/>
        </w:rPr>
        <w:t>v patologii centrálního nervového systému: neurotoxická a autoimunitní komponenta</w:t>
      </w:r>
    </w:p>
    <w:p w14:paraId="345082F7" w14:textId="2B7D2714" w:rsidR="006C0C31" w:rsidRPr="00EB1327" w:rsidRDefault="006C0C31" w:rsidP="00EB1327">
      <w:pPr>
        <w:shd w:val="clear" w:color="auto" w:fill="FFFFFF" w:themeFill="background1"/>
        <w:spacing w:before="60" w:after="60"/>
        <w:ind w:left="1701" w:hanging="1701"/>
        <w:rPr>
          <w:rFonts w:asciiTheme="minorHAnsi" w:hAnsiTheme="minorHAnsi" w:cs="Calibri"/>
          <w:noProof w:val="0"/>
          <w:color w:val="000000" w:themeColor="text1"/>
          <w:lang w:eastAsia="cs-CZ"/>
        </w:rPr>
      </w:pPr>
      <w:r w:rsidRPr="00EB1327">
        <w:rPr>
          <w:color w:val="000000" w:themeColor="text1"/>
          <w:shd w:val="clear" w:color="auto" w:fill="FFFFFF" w:themeFill="background1"/>
        </w:rPr>
        <w:t>RVO</w:t>
      </w:r>
      <w:r w:rsidRPr="00EB1327">
        <w:rPr>
          <w:color w:val="000000" w:themeColor="text1"/>
          <w:shd w:val="clear" w:color="auto" w:fill="FFFFFF" w:themeFill="background1"/>
        </w:rPr>
        <w:tab/>
      </w:r>
      <w:r w:rsidR="00A1218A">
        <w:rPr>
          <w:color w:val="000000" w:themeColor="text1"/>
          <w:lang w:eastAsia="cs-CZ"/>
        </w:rPr>
        <w:t>r</w:t>
      </w:r>
      <w:r w:rsidRPr="00EB1327">
        <w:rPr>
          <w:color w:val="000000" w:themeColor="text1"/>
          <w:lang w:eastAsia="cs-CZ"/>
        </w:rPr>
        <w:t>ozvoj výzkumných organizací</w:t>
      </w:r>
    </w:p>
    <w:p w14:paraId="0FBD1866" w14:textId="77777777"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ÚOHS</w:t>
      </w:r>
      <w:r w:rsidRPr="00EB1327">
        <w:rPr>
          <w:color w:val="000000" w:themeColor="text1"/>
          <w:lang w:eastAsia="cs-CZ"/>
        </w:rPr>
        <w:tab/>
        <w:t>Úřad pro ochranu hospodářské soutěže</w:t>
      </w:r>
    </w:p>
    <w:p w14:paraId="645DAC49" w14:textId="7B50FB1C"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VaV</w:t>
      </w:r>
      <w:r w:rsidRPr="00EB1327">
        <w:rPr>
          <w:color w:val="000000" w:themeColor="text1"/>
          <w:lang w:eastAsia="cs-CZ"/>
        </w:rPr>
        <w:tab/>
      </w:r>
      <w:r w:rsidR="00A1218A">
        <w:rPr>
          <w:color w:val="000000" w:themeColor="text1"/>
          <w:lang w:eastAsia="cs-CZ"/>
        </w:rPr>
        <w:t>v</w:t>
      </w:r>
      <w:r w:rsidRPr="00EB1327">
        <w:rPr>
          <w:color w:val="000000" w:themeColor="text1"/>
          <w:lang w:eastAsia="cs-CZ"/>
        </w:rPr>
        <w:t>ýzkum a vývoj</w:t>
      </w:r>
    </w:p>
    <w:p w14:paraId="78A7654D" w14:textId="6CBE60FF" w:rsidR="006C0C31" w:rsidRPr="00EB1327" w:rsidRDefault="006C0C31" w:rsidP="00EB1327">
      <w:pPr>
        <w:shd w:val="clear" w:color="auto" w:fill="FFFFFF" w:themeFill="background1"/>
        <w:spacing w:before="60" w:after="60"/>
        <w:ind w:left="1701" w:hanging="1701"/>
        <w:rPr>
          <w:color w:val="000000" w:themeColor="text1"/>
          <w:lang w:eastAsia="cs-CZ"/>
        </w:rPr>
      </w:pPr>
      <w:r w:rsidRPr="00EB1327">
        <w:rPr>
          <w:color w:val="000000" w:themeColor="text1"/>
          <w:lang w:eastAsia="cs-CZ"/>
        </w:rPr>
        <w:t>VZ</w:t>
      </w:r>
      <w:r w:rsidRPr="00EB1327">
        <w:rPr>
          <w:color w:val="000000" w:themeColor="text1"/>
          <w:lang w:eastAsia="cs-CZ"/>
        </w:rPr>
        <w:tab/>
      </w:r>
      <w:r w:rsidR="00A1218A">
        <w:rPr>
          <w:color w:val="000000" w:themeColor="text1"/>
          <w:lang w:eastAsia="cs-CZ"/>
        </w:rPr>
        <w:t>v</w:t>
      </w:r>
      <w:r w:rsidRPr="00EB1327">
        <w:rPr>
          <w:color w:val="000000" w:themeColor="text1"/>
          <w:lang w:eastAsia="cs-CZ"/>
        </w:rPr>
        <w:t>eřejná zakázka</w:t>
      </w:r>
    </w:p>
    <w:p w14:paraId="48E633AF" w14:textId="77777777" w:rsidR="00C767D8" w:rsidRPr="00EB1327" w:rsidRDefault="00C767D8">
      <w:pPr>
        <w:spacing w:after="160" w:line="259" w:lineRule="auto"/>
        <w:rPr>
          <w:color w:val="000000" w:themeColor="text1"/>
          <w:lang w:eastAsia="cs-CZ"/>
        </w:rPr>
      </w:pPr>
      <w:r w:rsidRPr="00EB1327">
        <w:rPr>
          <w:color w:val="000000" w:themeColor="text1"/>
          <w:lang w:eastAsia="cs-CZ"/>
        </w:rPr>
        <w:br w:type="page"/>
      </w:r>
    </w:p>
    <w:p w14:paraId="42598C07" w14:textId="6C6F0373" w:rsidR="00C767D8" w:rsidRPr="00475F45" w:rsidRDefault="00C767D8" w:rsidP="001D739C">
      <w:pPr>
        <w:spacing w:after="120"/>
        <w:jc w:val="right"/>
        <w:rPr>
          <w:b/>
        </w:rPr>
      </w:pPr>
      <w:r w:rsidRPr="00475F45">
        <w:rPr>
          <w:b/>
        </w:rPr>
        <w:t xml:space="preserve">Příloha </w:t>
      </w:r>
      <w:r w:rsidR="009169CE" w:rsidRPr="00475F45">
        <w:rPr>
          <w:b/>
        </w:rPr>
        <w:t>č. 1</w:t>
      </w:r>
    </w:p>
    <w:p w14:paraId="005DBF04" w14:textId="23FBFC15" w:rsidR="00C767D8" w:rsidRPr="000A4509" w:rsidRDefault="00C767D8" w:rsidP="000A4509">
      <w:pPr>
        <w:spacing w:after="40"/>
        <w:rPr>
          <w:b/>
          <w:sz w:val="20"/>
        </w:rPr>
      </w:pPr>
      <w:r w:rsidRPr="000A4509">
        <w:rPr>
          <w:rFonts w:cstheme="minorHAnsi"/>
          <w:b/>
          <w:szCs w:val="28"/>
        </w:rPr>
        <w:t>Tabulka č. 1</w:t>
      </w:r>
      <w:r w:rsidRPr="000A4509">
        <w:rPr>
          <w:rFonts w:cs="Calibri"/>
          <w:b/>
        </w:rPr>
        <w:t>: Vybrané položky rozvahy v netto hodnotách</w:t>
      </w:r>
    </w:p>
    <w:tbl>
      <w:tblPr>
        <w:tblW w:w="49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7"/>
        <w:gridCol w:w="1419"/>
        <w:gridCol w:w="709"/>
        <w:gridCol w:w="1417"/>
        <w:gridCol w:w="808"/>
        <w:gridCol w:w="1460"/>
        <w:gridCol w:w="715"/>
      </w:tblGrid>
      <w:tr w:rsidR="009169CE" w:rsidRPr="000A4509" w14:paraId="523A8CC6" w14:textId="77777777" w:rsidTr="00562DCE">
        <w:trPr>
          <w:trHeight w:val="193"/>
        </w:trPr>
        <w:tc>
          <w:tcPr>
            <w:tcW w:w="1347" w:type="pct"/>
            <w:vMerge w:val="restart"/>
            <w:shd w:val="clear" w:color="auto" w:fill="E5F1FF"/>
            <w:noWrap/>
            <w:vAlign w:val="center"/>
          </w:tcPr>
          <w:p w14:paraId="2775A118" w14:textId="77777777" w:rsidR="009169CE" w:rsidRPr="000A4509" w:rsidRDefault="009169CE" w:rsidP="009169CE">
            <w:pPr>
              <w:spacing w:before="20" w:after="20"/>
              <w:jc w:val="center"/>
              <w:rPr>
                <w:rFonts w:cs="Calibri"/>
                <w:b/>
                <w:bCs/>
                <w:sz w:val="20"/>
                <w:szCs w:val="20"/>
                <w:lang w:eastAsia="cs-CZ"/>
              </w:rPr>
            </w:pPr>
            <w:r w:rsidRPr="000A4509">
              <w:rPr>
                <w:rFonts w:cs="Calibri"/>
                <w:b/>
                <w:bCs/>
                <w:sz w:val="20"/>
                <w:szCs w:val="20"/>
                <w:lang w:eastAsia="cs-CZ"/>
              </w:rPr>
              <w:t>Položka (název)</w:t>
            </w:r>
          </w:p>
        </w:tc>
        <w:tc>
          <w:tcPr>
            <w:tcW w:w="3653" w:type="pct"/>
            <w:gridSpan w:val="6"/>
            <w:shd w:val="clear" w:color="auto" w:fill="E5F1FF"/>
            <w:noWrap/>
            <w:vAlign w:val="bottom"/>
          </w:tcPr>
          <w:p w14:paraId="66B1E8BD" w14:textId="77777777" w:rsidR="009169CE" w:rsidRPr="000A4509" w:rsidRDefault="009169CE" w:rsidP="000A4509">
            <w:pPr>
              <w:spacing w:before="20" w:after="20"/>
              <w:jc w:val="center"/>
              <w:rPr>
                <w:rFonts w:cs="Calibri"/>
                <w:b/>
                <w:bCs/>
                <w:sz w:val="20"/>
                <w:szCs w:val="20"/>
                <w:lang w:eastAsia="cs-CZ"/>
              </w:rPr>
            </w:pPr>
            <w:r>
              <w:rPr>
                <w:rFonts w:cs="Calibri"/>
                <w:b/>
                <w:bCs/>
                <w:sz w:val="20"/>
                <w:szCs w:val="20"/>
                <w:lang w:eastAsia="cs-CZ"/>
              </w:rPr>
              <w:t>Období</w:t>
            </w:r>
          </w:p>
        </w:tc>
      </w:tr>
      <w:tr w:rsidR="009169CE" w:rsidRPr="000A4509" w14:paraId="3B747D31" w14:textId="77777777" w:rsidTr="00562DCE">
        <w:trPr>
          <w:trHeight w:val="193"/>
        </w:trPr>
        <w:tc>
          <w:tcPr>
            <w:tcW w:w="1347" w:type="pct"/>
            <w:vMerge/>
            <w:shd w:val="clear" w:color="auto" w:fill="E5F1FF"/>
            <w:noWrap/>
            <w:vAlign w:val="bottom"/>
            <w:hideMark/>
          </w:tcPr>
          <w:p w14:paraId="2B377A46" w14:textId="77777777" w:rsidR="009169CE" w:rsidRPr="000A4509" w:rsidRDefault="009169CE" w:rsidP="000A4509">
            <w:pPr>
              <w:spacing w:before="20" w:after="20"/>
              <w:jc w:val="center"/>
              <w:rPr>
                <w:rFonts w:cs="Calibri"/>
                <w:b/>
                <w:bCs/>
                <w:sz w:val="20"/>
                <w:szCs w:val="20"/>
                <w:lang w:eastAsia="cs-CZ"/>
              </w:rPr>
            </w:pPr>
          </w:p>
        </w:tc>
        <w:tc>
          <w:tcPr>
            <w:tcW w:w="1191" w:type="pct"/>
            <w:gridSpan w:val="2"/>
            <w:shd w:val="clear" w:color="auto" w:fill="E5F1FF"/>
            <w:noWrap/>
            <w:vAlign w:val="bottom"/>
            <w:hideMark/>
          </w:tcPr>
          <w:p w14:paraId="0A5A89F4" w14:textId="77777777" w:rsidR="009169CE" w:rsidRPr="000A4509" w:rsidRDefault="009169CE" w:rsidP="000A4509">
            <w:pPr>
              <w:spacing w:before="20" w:after="20"/>
              <w:jc w:val="center"/>
              <w:rPr>
                <w:rFonts w:cs="Calibri"/>
                <w:b/>
                <w:bCs/>
                <w:sz w:val="20"/>
                <w:szCs w:val="20"/>
                <w:lang w:eastAsia="cs-CZ"/>
              </w:rPr>
            </w:pPr>
            <w:r w:rsidRPr="000A4509">
              <w:rPr>
                <w:rFonts w:cs="Calibri"/>
                <w:b/>
                <w:bCs/>
                <w:sz w:val="20"/>
                <w:szCs w:val="20"/>
                <w:lang w:eastAsia="cs-CZ"/>
              </w:rPr>
              <w:t>2014</w:t>
            </w:r>
          </w:p>
        </w:tc>
        <w:tc>
          <w:tcPr>
            <w:tcW w:w="1245" w:type="pct"/>
            <w:gridSpan w:val="2"/>
            <w:shd w:val="clear" w:color="auto" w:fill="E5F1FF"/>
            <w:noWrap/>
            <w:vAlign w:val="bottom"/>
            <w:hideMark/>
          </w:tcPr>
          <w:p w14:paraId="4E6B03CC" w14:textId="77777777" w:rsidR="009169CE" w:rsidRPr="000A4509" w:rsidRDefault="009169CE" w:rsidP="000A4509">
            <w:pPr>
              <w:spacing w:before="20" w:after="20"/>
              <w:jc w:val="center"/>
              <w:rPr>
                <w:rFonts w:cs="Calibri"/>
                <w:b/>
                <w:bCs/>
                <w:sz w:val="20"/>
                <w:szCs w:val="20"/>
                <w:lang w:eastAsia="cs-CZ"/>
              </w:rPr>
            </w:pPr>
            <w:r w:rsidRPr="000A4509">
              <w:rPr>
                <w:rFonts w:cs="Calibri"/>
                <w:b/>
                <w:bCs/>
                <w:sz w:val="20"/>
                <w:szCs w:val="20"/>
                <w:lang w:eastAsia="cs-CZ"/>
              </w:rPr>
              <w:t>2015</w:t>
            </w:r>
          </w:p>
        </w:tc>
        <w:tc>
          <w:tcPr>
            <w:tcW w:w="1217" w:type="pct"/>
            <w:gridSpan w:val="2"/>
            <w:shd w:val="clear" w:color="auto" w:fill="E5F1FF"/>
            <w:noWrap/>
            <w:vAlign w:val="bottom"/>
            <w:hideMark/>
          </w:tcPr>
          <w:p w14:paraId="7A7D7EC0" w14:textId="77777777" w:rsidR="009169CE" w:rsidRPr="000A4509" w:rsidRDefault="009169CE" w:rsidP="000A4509">
            <w:pPr>
              <w:spacing w:before="20" w:after="20"/>
              <w:jc w:val="center"/>
              <w:rPr>
                <w:rFonts w:cs="Calibri"/>
                <w:b/>
                <w:bCs/>
                <w:sz w:val="20"/>
                <w:szCs w:val="20"/>
                <w:lang w:eastAsia="cs-CZ"/>
              </w:rPr>
            </w:pPr>
            <w:r w:rsidRPr="000A4509">
              <w:rPr>
                <w:rFonts w:cs="Calibri"/>
                <w:b/>
                <w:bCs/>
                <w:sz w:val="20"/>
                <w:szCs w:val="20"/>
                <w:lang w:eastAsia="cs-CZ"/>
              </w:rPr>
              <w:t>2016</w:t>
            </w:r>
          </w:p>
        </w:tc>
      </w:tr>
      <w:tr w:rsidR="009169CE" w:rsidRPr="000A4509" w14:paraId="43AFB25D" w14:textId="77777777" w:rsidTr="00562DCE">
        <w:trPr>
          <w:trHeight w:val="126"/>
        </w:trPr>
        <w:tc>
          <w:tcPr>
            <w:tcW w:w="1347" w:type="pct"/>
            <w:vMerge/>
            <w:shd w:val="clear" w:color="auto" w:fill="E5F1FF"/>
            <w:noWrap/>
            <w:vAlign w:val="bottom"/>
            <w:hideMark/>
          </w:tcPr>
          <w:p w14:paraId="7EF39AF0" w14:textId="77777777" w:rsidR="009169CE" w:rsidRPr="000A4509" w:rsidRDefault="009169CE" w:rsidP="000A4509">
            <w:pPr>
              <w:spacing w:before="20" w:after="20"/>
              <w:jc w:val="center"/>
              <w:rPr>
                <w:rFonts w:cs="Calibri"/>
                <w:b/>
                <w:bCs/>
                <w:sz w:val="20"/>
                <w:szCs w:val="20"/>
                <w:lang w:eastAsia="cs-CZ"/>
              </w:rPr>
            </w:pPr>
          </w:p>
        </w:tc>
        <w:tc>
          <w:tcPr>
            <w:tcW w:w="794" w:type="pct"/>
            <w:shd w:val="clear" w:color="auto" w:fill="E5F1FF"/>
            <w:noWrap/>
            <w:vAlign w:val="bottom"/>
            <w:hideMark/>
          </w:tcPr>
          <w:p w14:paraId="628BD6BB" w14:textId="77777777" w:rsidR="009169CE" w:rsidRPr="000A4509" w:rsidRDefault="009169CE" w:rsidP="000A4509">
            <w:pPr>
              <w:spacing w:before="20" w:after="20"/>
              <w:jc w:val="center"/>
              <w:rPr>
                <w:rFonts w:cs="Calibri"/>
                <w:b/>
                <w:bCs/>
                <w:sz w:val="20"/>
                <w:szCs w:val="20"/>
                <w:lang w:eastAsia="cs-CZ"/>
              </w:rPr>
            </w:pPr>
            <w:r>
              <w:rPr>
                <w:rFonts w:cs="Calibri"/>
                <w:b/>
                <w:bCs/>
                <w:sz w:val="20"/>
                <w:szCs w:val="20"/>
                <w:lang w:eastAsia="cs-CZ"/>
              </w:rPr>
              <w:t>(</w:t>
            </w:r>
            <w:r w:rsidRPr="000A4509">
              <w:rPr>
                <w:rFonts w:cs="Calibri"/>
                <w:b/>
                <w:bCs/>
                <w:sz w:val="20"/>
                <w:szCs w:val="20"/>
                <w:lang w:eastAsia="cs-CZ"/>
              </w:rPr>
              <w:t>v Kč</w:t>
            </w:r>
            <w:r>
              <w:rPr>
                <w:rFonts w:cs="Calibri"/>
                <w:b/>
                <w:bCs/>
                <w:sz w:val="20"/>
                <w:szCs w:val="20"/>
                <w:lang w:eastAsia="cs-CZ"/>
              </w:rPr>
              <w:t>)</w:t>
            </w:r>
          </w:p>
        </w:tc>
        <w:tc>
          <w:tcPr>
            <w:tcW w:w="397" w:type="pct"/>
            <w:shd w:val="clear" w:color="auto" w:fill="E5F1FF"/>
            <w:noWrap/>
            <w:vAlign w:val="bottom"/>
            <w:hideMark/>
          </w:tcPr>
          <w:p w14:paraId="29B9B35B" w14:textId="77777777" w:rsidR="009169CE" w:rsidRPr="000A4509" w:rsidRDefault="009169CE" w:rsidP="000A4509">
            <w:pPr>
              <w:spacing w:before="20" w:after="20"/>
              <w:jc w:val="center"/>
              <w:rPr>
                <w:rFonts w:cs="Calibri"/>
                <w:b/>
                <w:bCs/>
                <w:sz w:val="20"/>
                <w:szCs w:val="20"/>
                <w:lang w:eastAsia="cs-CZ"/>
              </w:rPr>
            </w:pPr>
            <w:r>
              <w:rPr>
                <w:rFonts w:cs="Calibri"/>
                <w:b/>
                <w:bCs/>
                <w:sz w:val="20"/>
                <w:szCs w:val="20"/>
                <w:lang w:eastAsia="cs-CZ"/>
              </w:rPr>
              <w:t>(</w:t>
            </w:r>
            <w:r w:rsidRPr="000A4509">
              <w:rPr>
                <w:rFonts w:cs="Calibri"/>
                <w:b/>
                <w:bCs/>
                <w:sz w:val="20"/>
                <w:szCs w:val="20"/>
                <w:lang w:eastAsia="cs-CZ"/>
              </w:rPr>
              <w:t>v %</w:t>
            </w:r>
            <w:r>
              <w:rPr>
                <w:rFonts w:cs="Calibri"/>
                <w:b/>
                <w:bCs/>
                <w:sz w:val="20"/>
                <w:szCs w:val="20"/>
                <w:lang w:eastAsia="cs-CZ"/>
              </w:rPr>
              <w:t>)</w:t>
            </w:r>
          </w:p>
        </w:tc>
        <w:tc>
          <w:tcPr>
            <w:tcW w:w="793" w:type="pct"/>
            <w:shd w:val="clear" w:color="auto" w:fill="E5F1FF"/>
            <w:noWrap/>
            <w:vAlign w:val="bottom"/>
            <w:hideMark/>
          </w:tcPr>
          <w:p w14:paraId="5422615B" w14:textId="77777777" w:rsidR="009169CE" w:rsidRPr="000A4509" w:rsidRDefault="009169CE" w:rsidP="000A4509">
            <w:pPr>
              <w:spacing w:before="20" w:after="20"/>
              <w:jc w:val="center"/>
              <w:rPr>
                <w:rFonts w:cs="Calibri"/>
                <w:b/>
                <w:bCs/>
                <w:sz w:val="20"/>
                <w:szCs w:val="20"/>
                <w:lang w:eastAsia="cs-CZ"/>
              </w:rPr>
            </w:pPr>
            <w:r>
              <w:rPr>
                <w:rFonts w:cs="Calibri"/>
                <w:b/>
                <w:bCs/>
                <w:sz w:val="20"/>
                <w:szCs w:val="20"/>
                <w:lang w:eastAsia="cs-CZ"/>
              </w:rPr>
              <w:t>(</w:t>
            </w:r>
            <w:r w:rsidRPr="000A4509">
              <w:rPr>
                <w:rFonts w:cs="Calibri"/>
                <w:b/>
                <w:bCs/>
                <w:sz w:val="20"/>
                <w:szCs w:val="20"/>
                <w:lang w:eastAsia="cs-CZ"/>
              </w:rPr>
              <w:t>v Kč</w:t>
            </w:r>
            <w:r>
              <w:rPr>
                <w:rFonts w:cs="Calibri"/>
                <w:b/>
                <w:bCs/>
                <w:sz w:val="20"/>
                <w:szCs w:val="20"/>
                <w:lang w:eastAsia="cs-CZ"/>
              </w:rPr>
              <w:t>)</w:t>
            </w:r>
          </w:p>
        </w:tc>
        <w:tc>
          <w:tcPr>
            <w:tcW w:w="452" w:type="pct"/>
            <w:shd w:val="clear" w:color="auto" w:fill="E5F1FF"/>
            <w:noWrap/>
            <w:vAlign w:val="bottom"/>
            <w:hideMark/>
          </w:tcPr>
          <w:p w14:paraId="45FDBBD9" w14:textId="77777777" w:rsidR="009169CE" w:rsidRPr="000A4509" w:rsidRDefault="009169CE" w:rsidP="000A4509">
            <w:pPr>
              <w:spacing w:before="20" w:after="20"/>
              <w:jc w:val="center"/>
              <w:rPr>
                <w:rFonts w:cs="Calibri"/>
                <w:b/>
                <w:bCs/>
                <w:sz w:val="20"/>
                <w:szCs w:val="20"/>
                <w:lang w:eastAsia="cs-CZ"/>
              </w:rPr>
            </w:pPr>
            <w:r>
              <w:rPr>
                <w:rFonts w:cs="Calibri"/>
                <w:b/>
                <w:bCs/>
                <w:sz w:val="20"/>
                <w:szCs w:val="20"/>
                <w:lang w:eastAsia="cs-CZ"/>
              </w:rPr>
              <w:t>(</w:t>
            </w:r>
            <w:r w:rsidRPr="000A4509">
              <w:rPr>
                <w:rFonts w:cs="Calibri"/>
                <w:b/>
                <w:bCs/>
                <w:sz w:val="20"/>
                <w:szCs w:val="20"/>
                <w:lang w:eastAsia="cs-CZ"/>
              </w:rPr>
              <w:t>v %</w:t>
            </w:r>
            <w:r>
              <w:rPr>
                <w:rFonts w:cs="Calibri"/>
                <w:b/>
                <w:bCs/>
                <w:sz w:val="20"/>
                <w:szCs w:val="20"/>
                <w:lang w:eastAsia="cs-CZ"/>
              </w:rPr>
              <w:t>)</w:t>
            </w:r>
          </w:p>
        </w:tc>
        <w:tc>
          <w:tcPr>
            <w:tcW w:w="817" w:type="pct"/>
            <w:shd w:val="clear" w:color="auto" w:fill="E5F1FF"/>
            <w:noWrap/>
            <w:vAlign w:val="bottom"/>
            <w:hideMark/>
          </w:tcPr>
          <w:p w14:paraId="321C3ADD" w14:textId="77777777" w:rsidR="009169CE" w:rsidRPr="000A4509" w:rsidRDefault="009169CE" w:rsidP="000A4509">
            <w:pPr>
              <w:spacing w:before="20" w:after="20"/>
              <w:jc w:val="center"/>
              <w:rPr>
                <w:rFonts w:cs="Calibri"/>
                <w:b/>
                <w:bCs/>
                <w:sz w:val="20"/>
                <w:szCs w:val="20"/>
                <w:lang w:eastAsia="cs-CZ"/>
              </w:rPr>
            </w:pPr>
            <w:r>
              <w:rPr>
                <w:rFonts w:cs="Calibri"/>
                <w:b/>
                <w:bCs/>
                <w:sz w:val="20"/>
                <w:szCs w:val="20"/>
                <w:lang w:eastAsia="cs-CZ"/>
              </w:rPr>
              <w:t>(</w:t>
            </w:r>
            <w:r w:rsidRPr="000A4509">
              <w:rPr>
                <w:rFonts w:cs="Calibri"/>
                <w:b/>
                <w:bCs/>
                <w:sz w:val="20"/>
                <w:szCs w:val="20"/>
                <w:lang w:eastAsia="cs-CZ"/>
              </w:rPr>
              <w:t>v Kč</w:t>
            </w:r>
            <w:r>
              <w:rPr>
                <w:rFonts w:cs="Calibri"/>
                <w:b/>
                <w:bCs/>
                <w:sz w:val="20"/>
                <w:szCs w:val="20"/>
                <w:lang w:eastAsia="cs-CZ"/>
              </w:rPr>
              <w:t>)</w:t>
            </w:r>
          </w:p>
        </w:tc>
        <w:tc>
          <w:tcPr>
            <w:tcW w:w="400" w:type="pct"/>
            <w:shd w:val="clear" w:color="auto" w:fill="E5F1FF"/>
            <w:noWrap/>
            <w:vAlign w:val="bottom"/>
            <w:hideMark/>
          </w:tcPr>
          <w:p w14:paraId="000B119F" w14:textId="77777777" w:rsidR="009169CE" w:rsidRPr="000A4509" w:rsidRDefault="009169CE" w:rsidP="000A4509">
            <w:pPr>
              <w:spacing w:before="20" w:after="20"/>
              <w:jc w:val="center"/>
              <w:rPr>
                <w:rFonts w:cs="Calibri"/>
                <w:b/>
                <w:bCs/>
                <w:sz w:val="20"/>
                <w:szCs w:val="20"/>
                <w:lang w:eastAsia="cs-CZ"/>
              </w:rPr>
            </w:pPr>
            <w:r>
              <w:rPr>
                <w:rFonts w:cs="Calibri"/>
                <w:b/>
                <w:bCs/>
                <w:sz w:val="20"/>
                <w:szCs w:val="20"/>
                <w:lang w:eastAsia="cs-CZ"/>
              </w:rPr>
              <w:t>(</w:t>
            </w:r>
            <w:r w:rsidRPr="000A4509">
              <w:rPr>
                <w:rFonts w:cs="Calibri"/>
                <w:b/>
                <w:bCs/>
                <w:sz w:val="20"/>
                <w:szCs w:val="20"/>
                <w:lang w:eastAsia="cs-CZ"/>
              </w:rPr>
              <w:t>v %</w:t>
            </w:r>
            <w:r>
              <w:rPr>
                <w:rFonts w:cs="Calibri"/>
                <w:b/>
                <w:bCs/>
                <w:sz w:val="20"/>
                <w:szCs w:val="20"/>
                <w:lang w:eastAsia="cs-CZ"/>
              </w:rPr>
              <w:t>)</w:t>
            </w:r>
          </w:p>
        </w:tc>
      </w:tr>
      <w:tr w:rsidR="00C767D8" w:rsidRPr="000A4509" w14:paraId="6B81C207" w14:textId="77777777" w:rsidTr="00562DCE">
        <w:trPr>
          <w:trHeight w:val="199"/>
        </w:trPr>
        <w:tc>
          <w:tcPr>
            <w:tcW w:w="1347" w:type="pct"/>
            <w:shd w:val="clear" w:color="auto" w:fill="auto"/>
            <w:noWrap/>
            <w:vAlign w:val="bottom"/>
            <w:hideMark/>
          </w:tcPr>
          <w:p w14:paraId="465A7D11" w14:textId="77777777" w:rsidR="00C767D8" w:rsidRPr="000A4509" w:rsidRDefault="00C767D8" w:rsidP="000A4509">
            <w:pPr>
              <w:spacing w:before="20" w:after="20"/>
              <w:rPr>
                <w:rFonts w:cs="Calibri"/>
                <w:b/>
                <w:bCs/>
                <w:sz w:val="20"/>
                <w:szCs w:val="20"/>
                <w:lang w:eastAsia="cs-CZ"/>
              </w:rPr>
            </w:pPr>
            <w:r w:rsidRPr="000A4509">
              <w:rPr>
                <w:rFonts w:cs="Calibri"/>
                <w:b/>
                <w:bCs/>
                <w:sz w:val="20"/>
                <w:szCs w:val="20"/>
                <w:lang w:eastAsia="cs-CZ"/>
              </w:rPr>
              <w:t>AKTIVA CELKEM</w:t>
            </w:r>
          </w:p>
        </w:tc>
        <w:tc>
          <w:tcPr>
            <w:tcW w:w="794" w:type="pct"/>
            <w:shd w:val="clear" w:color="auto" w:fill="auto"/>
            <w:noWrap/>
            <w:vAlign w:val="center"/>
            <w:hideMark/>
          </w:tcPr>
          <w:p w14:paraId="187CD024"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809 550 568,47</w:t>
            </w:r>
          </w:p>
        </w:tc>
        <w:tc>
          <w:tcPr>
            <w:tcW w:w="397" w:type="pct"/>
            <w:shd w:val="clear" w:color="auto" w:fill="auto"/>
            <w:noWrap/>
            <w:vAlign w:val="center"/>
            <w:hideMark/>
          </w:tcPr>
          <w:p w14:paraId="0749BC30"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100,00</w:t>
            </w:r>
          </w:p>
        </w:tc>
        <w:tc>
          <w:tcPr>
            <w:tcW w:w="793" w:type="pct"/>
            <w:shd w:val="clear" w:color="auto" w:fill="auto"/>
            <w:noWrap/>
            <w:vAlign w:val="center"/>
            <w:hideMark/>
          </w:tcPr>
          <w:p w14:paraId="32C53F60"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723 422 256,26</w:t>
            </w:r>
          </w:p>
        </w:tc>
        <w:tc>
          <w:tcPr>
            <w:tcW w:w="452" w:type="pct"/>
            <w:shd w:val="clear" w:color="auto" w:fill="auto"/>
            <w:noWrap/>
            <w:vAlign w:val="center"/>
            <w:hideMark/>
          </w:tcPr>
          <w:p w14:paraId="541D19B8"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100,00</w:t>
            </w:r>
          </w:p>
        </w:tc>
        <w:tc>
          <w:tcPr>
            <w:tcW w:w="817" w:type="pct"/>
            <w:shd w:val="clear" w:color="auto" w:fill="auto"/>
            <w:noWrap/>
            <w:vAlign w:val="center"/>
            <w:hideMark/>
          </w:tcPr>
          <w:p w14:paraId="7B708B7F"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656 111 335,92</w:t>
            </w:r>
          </w:p>
        </w:tc>
        <w:tc>
          <w:tcPr>
            <w:tcW w:w="400" w:type="pct"/>
            <w:shd w:val="clear" w:color="auto" w:fill="auto"/>
            <w:noWrap/>
            <w:vAlign w:val="center"/>
            <w:hideMark/>
          </w:tcPr>
          <w:p w14:paraId="27A4774E" w14:textId="77777777" w:rsidR="00C767D8" w:rsidRPr="000A4509" w:rsidRDefault="00C767D8" w:rsidP="000A4509">
            <w:pPr>
              <w:spacing w:before="20" w:after="20"/>
              <w:jc w:val="right"/>
              <w:rPr>
                <w:rFonts w:cs="Calibri"/>
                <w:color w:val="000000"/>
                <w:sz w:val="20"/>
                <w:szCs w:val="20"/>
                <w:lang w:eastAsia="cs-CZ"/>
              </w:rPr>
            </w:pPr>
            <w:r w:rsidRPr="000A4509">
              <w:rPr>
                <w:rFonts w:cs="Calibri"/>
                <w:color w:val="000000"/>
                <w:sz w:val="20"/>
                <w:szCs w:val="20"/>
                <w:lang w:eastAsia="cs-CZ"/>
              </w:rPr>
              <w:t>100,00</w:t>
            </w:r>
          </w:p>
        </w:tc>
      </w:tr>
      <w:tr w:rsidR="00C767D8" w:rsidRPr="000A4509" w14:paraId="3500F846" w14:textId="77777777" w:rsidTr="00562DCE">
        <w:trPr>
          <w:trHeight w:val="131"/>
        </w:trPr>
        <w:tc>
          <w:tcPr>
            <w:tcW w:w="1347" w:type="pct"/>
            <w:shd w:val="clear" w:color="auto" w:fill="auto"/>
            <w:noWrap/>
            <w:vAlign w:val="bottom"/>
            <w:hideMark/>
          </w:tcPr>
          <w:p w14:paraId="6BFD6673" w14:textId="77777777" w:rsidR="00C767D8" w:rsidRPr="000A4509" w:rsidRDefault="00C767D8" w:rsidP="001D739C">
            <w:pPr>
              <w:spacing w:before="20" w:after="20"/>
              <w:rPr>
                <w:rFonts w:cs="Calibri"/>
                <w:b/>
                <w:bCs/>
                <w:sz w:val="20"/>
                <w:szCs w:val="20"/>
                <w:lang w:eastAsia="cs-CZ"/>
              </w:rPr>
            </w:pPr>
            <w:r w:rsidRPr="000A4509">
              <w:rPr>
                <w:rFonts w:cs="Calibri"/>
                <w:b/>
                <w:bCs/>
                <w:sz w:val="20"/>
                <w:szCs w:val="20"/>
                <w:lang w:eastAsia="cs-CZ"/>
              </w:rPr>
              <w:t>Stálá aktiva</w:t>
            </w:r>
          </w:p>
        </w:tc>
        <w:tc>
          <w:tcPr>
            <w:tcW w:w="794" w:type="pct"/>
            <w:shd w:val="clear" w:color="auto" w:fill="auto"/>
            <w:noWrap/>
            <w:vAlign w:val="center"/>
            <w:hideMark/>
          </w:tcPr>
          <w:p w14:paraId="735036CC"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378 732 664,86</w:t>
            </w:r>
          </w:p>
        </w:tc>
        <w:tc>
          <w:tcPr>
            <w:tcW w:w="397" w:type="pct"/>
            <w:shd w:val="clear" w:color="auto" w:fill="auto"/>
            <w:noWrap/>
            <w:vAlign w:val="center"/>
            <w:hideMark/>
          </w:tcPr>
          <w:p w14:paraId="67531509"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46,78</w:t>
            </w:r>
          </w:p>
        </w:tc>
        <w:tc>
          <w:tcPr>
            <w:tcW w:w="793" w:type="pct"/>
            <w:shd w:val="clear" w:color="auto" w:fill="auto"/>
            <w:noWrap/>
            <w:vAlign w:val="center"/>
            <w:hideMark/>
          </w:tcPr>
          <w:p w14:paraId="795AEDE1"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654 312 533,73</w:t>
            </w:r>
          </w:p>
        </w:tc>
        <w:tc>
          <w:tcPr>
            <w:tcW w:w="452" w:type="pct"/>
            <w:shd w:val="clear" w:color="auto" w:fill="auto"/>
            <w:noWrap/>
            <w:vAlign w:val="center"/>
            <w:hideMark/>
          </w:tcPr>
          <w:p w14:paraId="3064DB5B"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90,45</w:t>
            </w:r>
          </w:p>
        </w:tc>
        <w:tc>
          <w:tcPr>
            <w:tcW w:w="817" w:type="pct"/>
            <w:shd w:val="clear" w:color="auto" w:fill="auto"/>
            <w:noWrap/>
            <w:vAlign w:val="center"/>
            <w:hideMark/>
          </w:tcPr>
          <w:p w14:paraId="28400D66"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631 440 274,77</w:t>
            </w:r>
          </w:p>
        </w:tc>
        <w:tc>
          <w:tcPr>
            <w:tcW w:w="400" w:type="pct"/>
            <w:shd w:val="clear" w:color="auto" w:fill="auto"/>
            <w:noWrap/>
            <w:vAlign w:val="center"/>
            <w:hideMark/>
          </w:tcPr>
          <w:p w14:paraId="3C4EC5A4" w14:textId="77777777" w:rsidR="00C767D8" w:rsidRPr="000A4509" w:rsidRDefault="00C767D8" w:rsidP="000A4509">
            <w:pPr>
              <w:spacing w:before="20" w:after="20"/>
              <w:jc w:val="right"/>
              <w:rPr>
                <w:rFonts w:cs="Calibri"/>
                <w:color w:val="000000"/>
                <w:sz w:val="20"/>
                <w:szCs w:val="20"/>
                <w:lang w:eastAsia="cs-CZ"/>
              </w:rPr>
            </w:pPr>
            <w:r w:rsidRPr="000A4509">
              <w:rPr>
                <w:rFonts w:cs="Calibri"/>
                <w:color w:val="000000"/>
                <w:sz w:val="20"/>
                <w:szCs w:val="20"/>
                <w:lang w:eastAsia="cs-CZ"/>
              </w:rPr>
              <w:t>96,24</w:t>
            </w:r>
          </w:p>
        </w:tc>
      </w:tr>
      <w:tr w:rsidR="00C767D8" w:rsidRPr="000A4509" w14:paraId="2AE729C1" w14:textId="77777777" w:rsidTr="00562DCE">
        <w:trPr>
          <w:trHeight w:val="82"/>
        </w:trPr>
        <w:tc>
          <w:tcPr>
            <w:tcW w:w="1347" w:type="pct"/>
            <w:shd w:val="clear" w:color="auto" w:fill="auto"/>
            <w:noWrap/>
            <w:vAlign w:val="bottom"/>
            <w:hideMark/>
          </w:tcPr>
          <w:p w14:paraId="01416B27" w14:textId="77777777" w:rsidR="00C767D8" w:rsidRPr="000A4509" w:rsidRDefault="00C767D8" w:rsidP="00555F62">
            <w:pPr>
              <w:spacing w:before="20" w:after="20"/>
              <w:ind w:left="113"/>
              <w:rPr>
                <w:rFonts w:cs="Calibri"/>
                <w:iCs/>
                <w:sz w:val="20"/>
                <w:szCs w:val="20"/>
                <w:lang w:eastAsia="cs-CZ"/>
              </w:rPr>
            </w:pPr>
            <w:r w:rsidRPr="000A4509">
              <w:rPr>
                <w:rFonts w:cs="Calibri"/>
                <w:iCs/>
                <w:sz w:val="20"/>
                <w:szCs w:val="20"/>
                <w:lang w:eastAsia="cs-CZ"/>
              </w:rPr>
              <w:t>Dlouhodobý hmotný</w:t>
            </w:r>
            <w:r w:rsidR="00555F62">
              <w:rPr>
                <w:rFonts w:cs="Calibri"/>
                <w:iCs/>
                <w:sz w:val="20"/>
                <w:szCs w:val="20"/>
                <w:lang w:eastAsia="cs-CZ"/>
              </w:rPr>
              <w:t xml:space="preserve"> </w:t>
            </w:r>
            <w:r w:rsidRPr="000A4509">
              <w:rPr>
                <w:rFonts w:cs="Calibri"/>
                <w:iCs/>
                <w:sz w:val="20"/>
                <w:szCs w:val="20"/>
                <w:lang w:eastAsia="cs-CZ"/>
              </w:rPr>
              <w:t>majetek</w:t>
            </w:r>
          </w:p>
        </w:tc>
        <w:tc>
          <w:tcPr>
            <w:tcW w:w="794" w:type="pct"/>
            <w:shd w:val="clear" w:color="auto" w:fill="auto"/>
            <w:noWrap/>
            <w:vAlign w:val="center"/>
            <w:hideMark/>
          </w:tcPr>
          <w:p w14:paraId="45B862DA"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374 294 194,84</w:t>
            </w:r>
          </w:p>
        </w:tc>
        <w:tc>
          <w:tcPr>
            <w:tcW w:w="397" w:type="pct"/>
            <w:shd w:val="clear" w:color="auto" w:fill="auto"/>
            <w:noWrap/>
            <w:vAlign w:val="center"/>
            <w:hideMark/>
          </w:tcPr>
          <w:p w14:paraId="4DB51B10"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98,83</w:t>
            </w:r>
          </w:p>
        </w:tc>
        <w:tc>
          <w:tcPr>
            <w:tcW w:w="793" w:type="pct"/>
            <w:shd w:val="clear" w:color="auto" w:fill="auto"/>
            <w:noWrap/>
            <w:vAlign w:val="center"/>
            <w:hideMark/>
          </w:tcPr>
          <w:p w14:paraId="37DC2043"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633 816 374,14</w:t>
            </w:r>
          </w:p>
        </w:tc>
        <w:tc>
          <w:tcPr>
            <w:tcW w:w="452" w:type="pct"/>
            <w:shd w:val="clear" w:color="auto" w:fill="auto"/>
            <w:noWrap/>
            <w:vAlign w:val="center"/>
            <w:hideMark/>
          </w:tcPr>
          <w:p w14:paraId="12CE6FF4"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96,87</w:t>
            </w:r>
          </w:p>
        </w:tc>
        <w:tc>
          <w:tcPr>
            <w:tcW w:w="817" w:type="pct"/>
            <w:shd w:val="clear" w:color="auto" w:fill="auto"/>
            <w:noWrap/>
            <w:vAlign w:val="center"/>
            <w:hideMark/>
          </w:tcPr>
          <w:p w14:paraId="14A98D4E"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616 044 578,78</w:t>
            </w:r>
          </w:p>
        </w:tc>
        <w:tc>
          <w:tcPr>
            <w:tcW w:w="400" w:type="pct"/>
            <w:shd w:val="clear" w:color="auto" w:fill="auto"/>
            <w:noWrap/>
            <w:vAlign w:val="center"/>
            <w:hideMark/>
          </w:tcPr>
          <w:p w14:paraId="479E9C83" w14:textId="77777777" w:rsidR="00C767D8" w:rsidRPr="000A4509" w:rsidRDefault="00C767D8" w:rsidP="000A4509">
            <w:pPr>
              <w:spacing w:before="20" w:after="20"/>
              <w:jc w:val="right"/>
              <w:rPr>
                <w:rFonts w:cs="Calibri"/>
                <w:i/>
                <w:color w:val="000000"/>
                <w:sz w:val="20"/>
                <w:szCs w:val="20"/>
                <w:lang w:eastAsia="cs-CZ"/>
              </w:rPr>
            </w:pPr>
            <w:r w:rsidRPr="000A4509">
              <w:rPr>
                <w:rFonts w:cs="Calibri"/>
                <w:i/>
                <w:color w:val="000000"/>
                <w:sz w:val="20"/>
                <w:szCs w:val="20"/>
                <w:lang w:eastAsia="cs-CZ"/>
              </w:rPr>
              <w:t>97,56</w:t>
            </w:r>
          </w:p>
        </w:tc>
      </w:tr>
      <w:tr w:rsidR="00C767D8" w:rsidRPr="000A4509" w14:paraId="24F82F61" w14:textId="77777777" w:rsidTr="00562DCE">
        <w:trPr>
          <w:trHeight w:val="60"/>
        </w:trPr>
        <w:tc>
          <w:tcPr>
            <w:tcW w:w="1347" w:type="pct"/>
            <w:shd w:val="clear" w:color="auto" w:fill="auto"/>
            <w:noWrap/>
            <w:vAlign w:val="bottom"/>
            <w:hideMark/>
          </w:tcPr>
          <w:p w14:paraId="013994A1" w14:textId="77777777" w:rsidR="00C767D8" w:rsidRPr="000A4509" w:rsidRDefault="00C767D8" w:rsidP="001D739C">
            <w:pPr>
              <w:spacing w:before="20" w:after="20"/>
              <w:ind w:left="227"/>
              <w:rPr>
                <w:rFonts w:cs="Calibri"/>
                <w:i/>
                <w:sz w:val="20"/>
                <w:szCs w:val="20"/>
                <w:lang w:eastAsia="cs-CZ"/>
              </w:rPr>
            </w:pPr>
            <w:r w:rsidRPr="000A4509">
              <w:rPr>
                <w:rFonts w:cs="Calibri"/>
                <w:i/>
                <w:sz w:val="20"/>
                <w:szCs w:val="20"/>
                <w:lang w:eastAsia="cs-CZ"/>
              </w:rPr>
              <w:t>Pozemky</w:t>
            </w:r>
          </w:p>
        </w:tc>
        <w:tc>
          <w:tcPr>
            <w:tcW w:w="794" w:type="pct"/>
            <w:shd w:val="clear" w:color="auto" w:fill="auto"/>
            <w:noWrap/>
            <w:vAlign w:val="center"/>
            <w:hideMark/>
          </w:tcPr>
          <w:p w14:paraId="19078ADB"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40 775 962,13</w:t>
            </w:r>
          </w:p>
        </w:tc>
        <w:tc>
          <w:tcPr>
            <w:tcW w:w="397" w:type="pct"/>
            <w:shd w:val="clear" w:color="auto" w:fill="auto"/>
            <w:noWrap/>
            <w:vAlign w:val="center"/>
            <w:hideMark/>
          </w:tcPr>
          <w:p w14:paraId="5166A709" w14:textId="00241E26" w:rsidR="00C767D8" w:rsidRPr="000A4509" w:rsidRDefault="009169CE" w:rsidP="00555F62">
            <w:pPr>
              <w:spacing w:before="20" w:after="20"/>
              <w:jc w:val="center"/>
              <w:rPr>
                <w:rFonts w:cs="Calibri"/>
                <w:i/>
                <w:sz w:val="20"/>
                <w:szCs w:val="20"/>
                <w:lang w:eastAsia="cs-CZ"/>
              </w:rPr>
            </w:pPr>
            <w:r>
              <w:rPr>
                <w:rFonts w:cs="Calibri"/>
                <w:i/>
                <w:sz w:val="20"/>
                <w:szCs w:val="20"/>
                <w:lang w:eastAsia="cs-CZ"/>
              </w:rPr>
              <w:t>–</w:t>
            </w:r>
          </w:p>
        </w:tc>
        <w:tc>
          <w:tcPr>
            <w:tcW w:w="793" w:type="pct"/>
            <w:shd w:val="clear" w:color="auto" w:fill="auto"/>
            <w:noWrap/>
            <w:vAlign w:val="center"/>
            <w:hideMark/>
          </w:tcPr>
          <w:p w14:paraId="6A22E171"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40 775 962,13</w:t>
            </w:r>
          </w:p>
        </w:tc>
        <w:tc>
          <w:tcPr>
            <w:tcW w:w="452" w:type="pct"/>
            <w:shd w:val="clear" w:color="auto" w:fill="auto"/>
            <w:noWrap/>
            <w:vAlign w:val="center"/>
            <w:hideMark/>
          </w:tcPr>
          <w:p w14:paraId="572F940D" w14:textId="3BC29FD4" w:rsidR="00C767D8" w:rsidRPr="000A4509" w:rsidRDefault="009169CE" w:rsidP="00555F62">
            <w:pPr>
              <w:spacing w:before="20" w:after="20"/>
              <w:jc w:val="center"/>
              <w:rPr>
                <w:rFonts w:cs="Calibri"/>
                <w:i/>
                <w:sz w:val="20"/>
                <w:szCs w:val="20"/>
                <w:lang w:eastAsia="cs-CZ"/>
              </w:rPr>
            </w:pPr>
            <w:r>
              <w:rPr>
                <w:rFonts w:cs="Calibri"/>
                <w:i/>
                <w:sz w:val="20"/>
                <w:szCs w:val="20"/>
                <w:lang w:eastAsia="cs-CZ"/>
              </w:rPr>
              <w:t>–</w:t>
            </w:r>
          </w:p>
        </w:tc>
        <w:tc>
          <w:tcPr>
            <w:tcW w:w="817" w:type="pct"/>
            <w:shd w:val="clear" w:color="auto" w:fill="auto"/>
            <w:noWrap/>
            <w:vAlign w:val="center"/>
            <w:hideMark/>
          </w:tcPr>
          <w:p w14:paraId="574F950E"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40 775 962,13</w:t>
            </w:r>
          </w:p>
        </w:tc>
        <w:tc>
          <w:tcPr>
            <w:tcW w:w="400" w:type="pct"/>
            <w:shd w:val="clear" w:color="auto" w:fill="auto"/>
            <w:noWrap/>
            <w:vAlign w:val="center"/>
            <w:hideMark/>
          </w:tcPr>
          <w:p w14:paraId="23162E3A" w14:textId="423D9661" w:rsidR="00C767D8" w:rsidRPr="000A4509" w:rsidRDefault="009169CE" w:rsidP="00555F62">
            <w:pPr>
              <w:spacing w:before="20" w:after="20"/>
              <w:jc w:val="center"/>
              <w:rPr>
                <w:rFonts w:cs="Calibri"/>
                <w:i/>
                <w:sz w:val="20"/>
                <w:szCs w:val="20"/>
                <w:lang w:eastAsia="cs-CZ"/>
              </w:rPr>
            </w:pPr>
            <w:r>
              <w:rPr>
                <w:rFonts w:cs="Calibri"/>
                <w:i/>
                <w:sz w:val="20"/>
                <w:szCs w:val="20"/>
                <w:lang w:eastAsia="cs-CZ"/>
              </w:rPr>
              <w:t>–</w:t>
            </w:r>
          </w:p>
        </w:tc>
      </w:tr>
      <w:tr w:rsidR="00C767D8" w:rsidRPr="000A4509" w14:paraId="28072DBC" w14:textId="77777777" w:rsidTr="00562DCE">
        <w:trPr>
          <w:trHeight w:val="102"/>
        </w:trPr>
        <w:tc>
          <w:tcPr>
            <w:tcW w:w="1347" w:type="pct"/>
            <w:shd w:val="clear" w:color="auto" w:fill="auto"/>
            <w:noWrap/>
            <w:vAlign w:val="bottom"/>
            <w:hideMark/>
          </w:tcPr>
          <w:p w14:paraId="603E5A94" w14:textId="77777777" w:rsidR="00C767D8" w:rsidRPr="000A4509" w:rsidRDefault="00C767D8" w:rsidP="001D739C">
            <w:pPr>
              <w:spacing w:before="20" w:after="20"/>
              <w:ind w:left="227"/>
              <w:rPr>
                <w:rFonts w:cs="Calibri"/>
                <w:i/>
                <w:sz w:val="20"/>
                <w:szCs w:val="20"/>
                <w:lang w:eastAsia="cs-CZ"/>
              </w:rPr>
            </w:pPr>
            <w:r w:rsidRPr="000A4509">
              <w:rPr>
                <w:rFonts w:cs="Calibri"/>
                <w:i/>
                <w:sz w:val="20"/>
                <w:szCs w:val="20"/>
                <w:lang w:eastAsia="cs-CZ"/>
              </w:rPr>
              <w:t>Stavby</w:t>
            </w:r>
          </w:p>
        </w:tc>
        <w:tc>
          <w:tcPr>
            <w:tcW w:w="794" w:type="pct"/>
            <w:shd w:val="clear" w:color="auto" w:fill="auto"/>
            <w:noWrap/>
            <w:vAlign w:val="center"/>
            <w:hideMark/>
          </w:tcPr>
          <w:p w14:paraId="5325BE66"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0,00</w:t>
            </w:r>
          </w:p>
        </w:tc>
        <w:tc>
          <w:tcPr>
            <w:tcW w:w="397" w:type="pct"/>
            <w:shd w:val="clear" w:color="auto" w:fill="auto"/>
            <w:noWrap/>
            <w:vAlign w:val="center"/>
            <w:hideMark/>
          </w:tcPr>
          <w:p w14:paraId="6A0638B4" w14:textId="1D09846A" w:rsidR="00C767D8" w:rsidRPr="000A4509" w:rsidRDefault="009169CE" w:rsidP="00555F62">
            <w:pPr>
              <w:spacing w:before="20" w:after="20"/>
              <w:jc w:val="center"/>
              <w:rPr>
                <w:rFonts w:cs="Calibri"/>
                <w:i/>
                <w:sz w:val="20"/>
                <w:szCs w:val="20"/>
                <w:lang w:eastAsia="cs-CZ"/>
              </w:rPr>
            </w:pPr>
            <w:r>
              <w:rPr>
                <w:rFonts w:cs="Calibri"/>
                <w:i/>
                <w:sz w:val="20"/>
                <w:szCs w:val="20"/>
                <w:lang w:eastAsia="cs-CZ"/>
              </w:rPr>
              <w:t>–</w:t>
            </w:r>
          </w:p>
        </w:tc>
        <w:tc>
          <w:tcPr>
            <w:tcW w:w="793" w:type="pct"/>
            <w:shd w:val="clear" w:color="auto" w:fill="auto"/>
            <w:noWrap/>
            <w:vAlign w:val="center"/>
            <w:hideMark/>
          </w:tcPr>
          <w:p w14:paraId="0BBA2F94"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448 082 440,04</w:t>
            </w:r>
          </w:p>
        </w:tc>
        <w:tc>
          <w:tcPr>
            <w:tcW w:w="452" w:type="pct"/>
            <w:shd w:val="clear" w:color="auto" w:fill="auto"/>
            <w:noWrap/>
            <w:vAlign w:val="center"/>
            <w:hideMark/>
          </w:tcPr>
          <w:p w14:paraId="00C0009C" w14:textId="2973A29D" w:rsidR="00C767D8" w:rsidRPr="000A4509" w:rsidRDefault="009169CE" w:rsidP="00555F62">
            <w:pPr>
              <w:spacing w:before="20" w:after="20"/>
              <w:jc w:val="center"/>
              <w:rPr>
                <w:rFonts w:cs="Calibri"/>
                <w:i/>
                <w:sz w:val="20"/>
                <w:szCs w:val="20"/>
                <w:lang w:eastAsia="cs-CZ"/>
              </w:rPr>
            </w:pPr>
            <w:r>
              <w:rPr>
                <w:rFonts w:cs="Calibri"/>
                <w:i/>
                <w:sz w:val="20"/>
                <w:szCs w:val="20"/>
                <w:lang w:eastAsia="cs-CZ"/>
              </w:rPr>
              <w:t>–</w:t>
            </w:r>
          </w:p>
        </w:tc>
        <w:tc>
          <w:tcPr>
            <w:tcW w:w="817" w:type="pct"/>
            <w:shd w:val="clear" w:color="auto" w:fill="auto"/>
            <w:noWrap/>
            <w:vAlign w:val="center"/>
            <w:hideMark/>
          </w:tcPr>
          <w:p w14:paraId="60E40ADB"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440 556 325,71</w:t>
            </w:r>
          </w:p>
        </w:tc>
        <w:tc>
          <w:tcPr>
            <w:tcW w:w="400" w:type="pct"/>
            <w:shd w:val="clear" w:color="auto" w:fill="auto"/>
            <w:noWrap/>
            <w:vAlign w:val="center"/>
            <w:hideMark/>
          </w:tcPr>
          <w:p w14:paraId="27815784" w14:textId="64F8C193" w:rsidR="00C767D8" w:rsidRPr="000A4509" w:rsidRDefault="009169CE" w:rsidP="00555F62">
            <w:pPr>
              <w:spacing w:before="20" w:after="20"/>
              <w:jc w:val="center"/>
              <w:rPr>
                <w:rFonts w:cs="Calibri"/>
                <w:i/>
                <w:sz w:val="20"/>
                <w:szCs w:val="20"/>
                <w:lang w:eastAsia="cs-CZ"/>
              </w:rPr>
            </w:pPr>
            <w:r>
              <w:rPr>
                <w:rFonts w:cs="Calibri"/>
                <w:i/>
                <w:sz w:val="20"/>
                <w:szCs w:val="20"/>
                <w:lang w:eastAsia="cs-CZ"/>
              </w:rPr>
              <w:t>–</w:t>
            </w:r>
          </w:p>
        </w:tc>
      </w:tr>
      <w:tr w:rsidR="00C767D8" w:rsidRPr="000A4509" w14:paraId="4C85DABA" w14:textId="77777777" w:rsidTr="00562DCE">
        <w:trPr>
          <w:trHeight w:val="318"/>
        </w:trPr>
        <w:tc>
          <w:tcPr>
            <w:tcW w:w="1347" w:type="pct"/>
            <w:shd w:val="clear" w:color="auto" w:fill="auto"/>
            <w:vAlign w:val="bottom"/>
            <w:hideMark/>
          </w:tcPr>
          <w:p w14:paraId="3672436A" w14:textId="77777777" w:rsidR="00C767D8" w:rsidRPr="000A4509" w:rsidRDefault="00C767D8" w:rsidP="001D739C">
            <w:pPr>
              <w:spacing w:before="20" w:after="20"/>
              <w:ind w:left="227"/>
              <w:rPr>
                <w:rFonts w:cs="Calibri"/>
                <w:i/>
                <w:sz w:val="20"/>
                <w:szCs w:val="20"/>
                <w:lang w:eastAsia="cs-CZ"/>
              </w:rPr>
            </w:pPr>
            <w:r w:rsidRPr="000A4509">
              <w:rPr>
                <w:rFonts w:cs="Calibri"/>
                <w:i/>
                <w:sz w:val="20"/>
                <w:szCs w:val="20"/>
                <w:lang w:eastAsia="cs-CZ"/>
              </w:rPr>
              <w:t>Samostatné hmotné movité věci a soubory hmotných movitých věcí</w:t>
            </w:r>
          </w:p>
        </w:tc>
        <w:tc>
          <w:tcPr>
            <w:tcW w:w="794" w:type="pct"/>
            <w:shd w:val="clear" w:color="auto" w:fill="auto"/>
            <w:noWrap/>
            <w:vAlign w:val="center"/>
            <w:hideMark/>
          </w:tcPr>
          <w:p w14:paraId="5891033C"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4 605 538,64</w:t>
            </w:r>
          </w:p>
        </w:tc>
        <w:tc>
          <w:tcPr>
            <w:tcW w:w="397" w:type="pct"/>
            <w:shd w:val="clear" w:color="auto" w:fill="auto"/>
            <w:noWrap/>
            <w:vAlign w:val="center"/>
            <w:hideMark/>
          </w:tcPr>
          <w:p w14:paraId="4E360ACF" w14:textId="7B0AD373" w:rsidR="00C767D8" w:rsidRPr="000A4509" w:rsidRDefault="009169CE" w:rsidP="00555F62">
            <w:pPr>
              <w:spacing w:before="20" w:after="20"/>
              <w:jc w:val="center"/>
              <w:rPr>
                <w:rFonts w:cs="Calibri"/>
                <w:i/>
                <w:sz w:val="20"/>
                <w:szCs w:val="20"/>
                <w:lang w:eastAsia="cs-CZ"/>
              </w:rPr>
            </w:pPr>
            <w:r>
              <w:rPr>
                <w:rFonts w:cs="Calibri"/>
                <w:i/>
                <w:sz w:val="20"/>
                <w:szCs w:val="20"/>
                <w:lang w:eastAsia="cs-CZ"/>
              </w:rPr>
              <w:t>–</w:t>
            </w:r>
          </w:p>
        </w:tc>
        <w:tc>
          <w:tcPr>
            <w:tcW w:w="793" w:type="pct"/>
            <w:shd w:val="clear" w:color="auto" w:fill="auto"/>
            <w:noWrap/>
            <w:vAlign w:val="center"/>
            <w:hideMark/>
          </w:tcPr>
          <w:p w14:paraId="0A498444"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144 957 971,97</w:t>
            </w:r>
          </w:p>
        </w:tc>
        <w:tc>
          <w:tcPr>
            <w:tcW w:w="452" w:type="pct"/>
            <w:shd w:val="clear" w:color="auto" w:fill="auto"/>
            <w:noWrap/>
            <w:vAlign w:val="center"/>
            <w:hideMark/>
          </w:tcPr>
          <w:p w14:paraId="4163C8BE" w14:textId="4738769B" w:rsidR="00C767D8" w:rsidRPr="000A4509" w:rsidRDefault="009169CE" w:rsidP="00555F62">
            <w:pPr>
              <w:spacing w:before="20" w:after="20"/>
              <w:jc w:val="center"/>
              <w:rPr>
                <w:rFonts w:cs="Calibri"/>
                <w:i/>
                <w:sz w:val="20"/>
                <w:szCs w:val="20"/>
                <w:lang w:eastAsia="cs-CZ"/>
              </w:rPr>
            </w:pPr>
            <w:r>
              <w:rPr>
                <w:rFonts w:cs="Calibri"/>
                <w:i/>
                <w:sz w:val="20"/>
                <w:szCs w:val="20"/>
                <w:lang w:eastAsia="cs-CZ"/>
              </w:rPr>
              <w:t>–</w:t>
            </w:r>
          </w:p>
        </w:tc>
        <w:tc>
          <w:tcPr>
            <w:tcW w:w="817" w:type="pct"/>
            <w:shd w:val="clear" w:color="auto" w:fill="auto"/>
            <w:noWrap/>
            <w:vAlign w:val="center"/>
            <w:hideMark/>
          </w:tcPr>
          <w:p w14:paraId="2C190907" w14:textId="77777777" w:rsidR="00C767D8" w:rsidRPr="000A4509" w:rsidRDefault="00C767D8" w:rsidP="000A4509">
            <w:pPr>
              <w:spacing w:before="20" w:after="20"/>
              <w:jc w:val="right"/>
              <w:rPr>
                <w:rFonts w:cs="Calibri"/>
                <w:i/>
                <w:sz w:val="20"/>
                <w:szCs w:val="20"/>
                <w:lang w:eastAsia="cs-CZ"/>
              </w:rPr>
            </w:pPr>
            <w:r w:rsidRPr="000A4509">
              <w:rPr>
                <w:rFonts w:cs="Calibri"/>
                <w:i/>
                <w:sz w:val="20"/>
                <w:szCs w:val="20"/>
                <w:lang w:eastAsia="cs-CZ"/>
              </w:rPr>
              <w:t>132 837 290,94</w:t>
            </w:r>
          </w:p>
        </w:tc>
        <w:tc>
          <w:tcPr>
            <w:tcW w:w="400" w:type="pct"/>
            <w:shd w:val="clear" w:color="auto" w:fill="auto"/>
            <w:noWrap/>
            <w:vAlign w:val="center"/>
            <w:hideMark/>
          </w:tcPr>
          <w:p w14:paraId="577C0983" w14:textId="6C99D3DE" w:rsidR="00C767D8" w:rsidRPr="000A4509" w:rsidRDefault="009169CE" w:rsidP="00555F62">
            <w:pPr>
              <w:spacing w:before="20" w:after="20"/>
              <w:jc w:val="center"/>
              <w:rPr>
                <w:rFonts w:cs="Calibri"/>
                <w:i/>
                <w:sz w:val="20"/>
                <w:szCs w:val="20"/>
                <w:lang w:eastAsia="cs-CZ"/>
              </w:rPr>
            </w:pPr>
            <w:r>
              <w:rPr>
                <w:rFonts w:cs="Calibri"/>
                <w:i/>
                <w:sz w:val="20"/>
                <w:szCs w:val="20"/>
                <w:lang w:eastAsia="cs-CZ"/>
              </w:rPr>
              <w:t>–</w:t>
            </w:r>
          </w:p>
        </w:tc>
      </w:tr>
      <w:tr w:rsidR="00C767D8" w:rsidRPr="000A4509" w14:paraId="0822ACA5" w14:textId="77777777" w:rsidTr="00562DCE">
        <w:trPr>
          <w:trHeight w:val="162"/>
        </w:trPr>
        <w:tc>
          <w:tcPr>
            <w:tcW w:w="1347" w:type="pct"/>
            <w:shd w:val="clear" w:color="auto" w:fill="auto"/>
            <w:noWrap/>
            <w:vAlign w:val="bottom"/>
            <w:hideMark/>
          </w:tcPr>
          <w:p w14:paraId="4625003D" w14:textId="77777777" w:rsidR="00C767D8" w:rsidRPr="000A4509" w:rsidRDefault="00C767D8" w:rsidP="001D739C">
            <w:pPr>
              <w:spacing w:before="20" w:after="20"/>
              <w:rPr>
                <w:rFonts w:cs="Calibri"/>
                <w:b/>
                <w:bCs/>
                <w:sz w:val="20"/>
                <w:szCs w:val="20"/>
                <w:lang w:eastAsia="cs-CZ"/>
              </w:rPr>
            </w:pPr>
            <w:r w:rsidRPr="000A4509">
              <w:rPr>
                <w:rFonts w:cs="Calibri"/>
                <w:b/>
                <w:bCs/>
                <w:sz w:val="20"/>
                <w:szCs w:val="20"/>
                <w:lang w:eastAsia="cs-CZ"/>
              </w:rPr>
              <w:t>Oběžná aktiva</w:t>
            </w:r>
          </w:p>
        </w:tc>
        <w:tc>
          <w:tcPr>
            <w:tcW w:w="794" w:type="pct"/>
            <w:shd w:val="clear" w:color="auto" w:fill="auto"/>
            <w:noWrap/>
            <w:vAlign w:val="center"/>
            <w:hideMark/>
          </w:tcPr>
          <w:p w14:paraId="148708DE"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430 817 903,61</w:t>
            </w:r>
          </w:p>
        </w:tc>
        <w:tc>
          <w:tcPr>
            <w:tcW w:w="397" w:type="pct"/>
            <w:shd w:val="clear" w:color="auto" w:fill="auto"/>
            <w:noWrap/>
            <w:vAlign w:val="center"/>
            <w:hideMark/>
          </w:tcPr>
          <w:p w14:paraId="1B6BE4EC"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53,22</w:t>
            </w:r>
          </w:p>
        </w:tc>
        <w:tc>
          <w:tcPr>
            <w:tcW w:w="793" w:type="pct"/>
            <w:shd w:val="clear" w:color="auto" w:fill="auto"/>
            <w:noWrap/>
            <w:vAlign w:val="center"/>
            <w:hideMark/>
          </w:tcPr>
          <w:p w14:paraId="1539F506"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69 109 722,53</w:t>
            </w:r>
          </w:p>
        </w:tc>
        <w:tc>
          <w:tcPr>
            <w:tcW w:w="452" w:type="pct"/>
            <w:shd w:val="clear" w:color="auto" w:fill="auto"/>
            <w:noWrap/>
            <w:vAlign w:val="center"/>
            <w:hideMark/>
          </w:tcPr>
          <w:p w14:paraId="6B799F00"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9,55</w:t>
            </w:r>
          </w:p>
        </w:tc>
        <w:tc>
          <w:tcPr>
            <w:tcW w:w="817" w:type="pct"/>
            <w:shd w:val="clear" w:color="auto" w:fill="auto"/>
            <w:noWrap/>
            <w:vAlign w:val="center"/>
            <w:hideMark/>
          </w:tcPr>
          <w:p w14:paraId="33D5A934" w14:textId="77777777" w:rsidR="00C767D8" w:rsidRPr="000A4509" w:rsidRDefault="00C767D8" w:rsidP="000A4509">
            <w:pPr>
              <w:spacing w:before="20" w:after="20"/>
              <w:jc w:val="right"/>
              <w:rPr>
                <w:rFonts w:cs="Calibri"/>
                <w:sz w:val="20"/>
                <w:szCs w:val="20"/>
                <w:lang w:eastAsia="cs-CZ"/>
              </w:rPr>
            </w:pPr>
            <w:r w:rsidRPr="000A4509">
              <w:rPr>
                <w:rFonts w:cs="Calibri"/>
                <w:sz w:val="20"/>
                <w:szCs w:val="20"/>
                <w:lang w:eastAsia="cs-CZ"/>
              </w:rPr>
              <w:t>24 671 061,15</w:t>
            </w:r>
          </w:p>
        </w:tc>
        <w:tc>
          <w:tcPr>
            <w:tcW w:w="400" w:type="pct"/>
            <w:shd w:val="clear" w:color="auto" w:fill="auto"/>
            <w:noWrap/>
            <w:vAlign w:val="center"/>
            <w:hideMark/>
          </w:tcPr>
          <w:p w14:paraId="26C90071" w14:textId="77777777" w:rsidR="00C767D8" w:rsidRPr="000A4509" w:rsidRDefault="00C767D8" w:rsidP="000A4509">
            <w:pPr>
              <w:spacing w:before="20" w:after="20"/>
              <w:jc w:val="right"/>
              <w:rPr>
                <w:rFonts w:cs="Calibri"/>
                <w:color w:val="000000"/>
                <w:sz w:val="20"/>
                <w:szCs w:val="20"/>
                <w:lang w:eastAsia="cs-CZ"/>
              </w:rPr>
            </w:pPr>
            <w:r w:rsidRPr="000A4509">
              <w:rPr>
                <w:rFonts w:cs="Calibri"/>
                <w:color w:val="000000"/>
                <w:sz w:val="20"/>
                <w:szCs w:val="20"/>
                <w:lang w:eastAsia="cs-CZ"/>
              </w:rPr>
              <w:t>3,76</w:t>
            </w:r>
          </w:p>
        </w:tc>
      </w:tr>
    </w:tbl>
    <w:p w14:paraId="3545F542" w14:textId="5FDE751F" w:rsidR="00C767D8" w:rsidRPr="001D739C" w:rsidRDefault="00C767D8" w:rsidP="001D739C">
      <w:pPr>
        <w:spacing w:before="40"/>
        <w:rPr>
          <w:sz w:val="20"/>
          <w:szCs w:val="20"/>
        </w:rPr>
      </w:pPr>
      <w:r w:rsidRPr="001D739C">
        <w:rPr>
          <w:b/>
          <w:sz w:val="20"/>
          <w:szCs w:val="20"/>
        </w:rPr>
        <w:t>Zdroj:</w:t>
      </w:r>
      <w:r w:rsidRPr="001D739C">
        <w:rPr>
          <w:sz w:val="20"/>
          <w:szCs w:val="20"/>
        </w:rPr>
        <w:t xml:space="preserve"> </w:t>
      </w:r>
      <w:r w:rsidR="009169CE">
        <w:rPr>
          <w:sz w:val="20"/>
          <w:szCs w:val="20"/>
        </w:rPr>
        <w:t>r</w:t>
      </w:r>
      <w:r w:rsidRPr="001D739C">
        <w:rPr>
          <w:sz w:val="20"/>
          <w:szCs w:val="20"/>
        </w:rPr>
        <w:t>ozvahy NUDZ sestavené ke dni 31. 12. 2014, k 31. 12. 2015 a k 31. 12. 2016.</w:t>
      </w:r>
    </w:p>
    <w:p w14:paraId="57DEAB1C" w14:textId="77777777" w:rsidR="00C767D8" w:rsidRDefault="00C767D8" w:rsidP="001D739C">
      <w:pPr>
        <w:spacing w:before="120" w:after="120"/>
      </w:pPr>
    </w:p>
    <w:p w14:paraId="14572B9D" w14:textId="478DAB27" w:rsidR="00C767D8" w:rsidRPr="001D739C" w:rsidRDefault="00C767D8" w:rsidP="001D739C">
      <w:pPr>
        <w:spacing w:after="40"/>
        <w:jc w:val="both"/>
        <w:rPr>
          <w:rFonts w:cstheme="minorHAnsi"/>
          <w:b/>
          <w:szCs w:val="28"/>
        </w:rPr>
      </w:pPr>
      <w:r w:rsidRPr="001D739C">
        <w:rPr>
          <w:rFonts w:cstheme="minorHAnsi"/>
          <w:b/>
          <w:szCs w:val="28"/>
        </w:rPr>
        <w:t>Tabulka č. 2: Vybrané položky výkazu zisku a ztráty v hlavní činnosti v Kč</w:t>
      </w:r>
    </w:p>
    <w:tbl>
      <w:tblPr>
        <w:tblW w:w="4906" w:type="pct"/>
        <w:tblInd w:w="35" w:type="dxa"/>
        <w:tblLayout w:type="fixed"/>
        <w:tblCellMar>
          <w:left w:w="70" w:type="dxa"/>
          <w:right w:w="70" w:type="dxa"/>
        </w:tblCellMar>
        <w:tblLook w:val="04A0" w:firstRow="1" w:lastRow="0" w:firstColumn="1" w:lastColumn="0" w:noHBand="0" w:noVBand="1"/>
      </w:tblPr>
      <w:tblGrid>
        <w:gridCol w:w="2654"/>
        <w:gridCol w:w="1417"/>
        <w:gridCol w:w="1417"/>
        <w:gridCol w:w="1417"/>
        <w:gridCol w:w="1133"/>
        <w:gridCol w:w="852"/>
      </w:tblGrid>
      <w:tr w:rsidR="003E1A45" w:rsidRPr="001D739C" w14:paraId="2CB63BF9" w14:textId="77777777" w:rsidTr="003E1A45">
        <w:trPr>
          <w:trHeight w:val="215"/>
        </w:trPr>
        <w:tc>
          <w:tcPr>
            <w:tcW w:w="1493" w:type="pct"/>
            <w:vMerge w:val="restart"/>
            <w:tcBorders>
              <w:top w:val="single" w:sz="4" w:space="0" w:color="auto"/>
              <w:left w:val="single" w:sz="4" w:space="0" w:color="auto"/>
              <w:right w:val="single" w:sz="4" w:space="0" w:color="auto"/>
            </w:tcBorders>
            <w:shd w:val="clear" w:color="auto" w:fill="E5F1FF"/>
            <w:noWrap/>
            <w:vAlign w:val="center"/>
          </w:tcPr>
          <w:p w14:paraId="6F30E2B9" w14:textId="77777777" w:rsidR="003E1A45" w:rsidRPr="001D739C" w:rsidRDefault="003E1A45" w:rsidP="00562DCE">
            <w:pPr>
              <w:jc w:val="center"/>
              <w:rPr>
                <w:rFonts w:cs="Calibri"/>
                <w:b/>
                <w:bCs/>
                <w:sz w:val="20"/>
                <w:szCs w:val="20"/>
                <w:lang w:eastAsia="cs-CZ"/>
              </w:rPr>
            </w:pPr>
            <w:r w:rsidRPr="001D739C">
              <w:rPr>
                <w:rFonts w:cs="Calibri"/>
                <w:b/>
                <w:bCs/>
                <w:sz w:val="20"/>
                <w:szCs w:val="20"/>
                <w:lang w:eastAsia="cs-CZ"/>
              </w:rPr>
              <w:t>Položka výkazu zisku a ztráty</w:t>
            </w:r>
          </w:p>
        </w:tc>
        <w:tc>
          <w:tcPr>
            <w:tcW w:w="2391" w:type="pct"/>
            <w:gridSpan w:val="3"/>
            <w:tcBorders>
              <w:top w:val="single" w:sz="4" w:space="0" w:color="auto"/>
              <w:left w:val="single" w:sz="4" w:space="0" w:color="auto"/>
              <w:bottom w:val="single" w:sz="4" w:space="0" w:color="auto"/>
              <w:right w:val="single" w:sz="4" w:space="0" w:color="auto"/>
            </w:tcBorders>
            <w:shd w:val="clear" w:color="auto" w:fill="E5F1FF"/>
            <w:noWrap/>
            <w:vAlign w:val="bottom"/>
          </w:tcPr>
          <w:p w14:paraId="4176D85B" w14:textId="77777777" w:rsidR="003E1A45" w:rsidRPr="001D739C" w:rsidRDefault="003E1A45" w:rsidP="003E1A45">
            <w:pPr>
              <w:jc w:val="center"/>
              <w:rPr>
                <w:rFonts w:cs="Calibri"/>
                <w:b/>
                <w:bCs/>
                <w:sz w:val="20"/>
                <w:szCs w:val="20"/>
                <w:lang w:eastAsia="cs-CZ"/>
              </w:rPr>
            </w:pPr>
            <w:r w:rsidRPr="001D739C">
              <w:rPr>
                <w:rFonts w:cs="Calibri"/>
                <w:b/>
                <w:bCs/>
                <w:sz w:val="20"/>
                <w:szCs w:val="20"/>
                <w:lang w:eastAsia="cs-CZ"/>
              </w:rPr>
              <w:t>Období</w:t>
            </w:r>
          </w:p>
        </w:tc>
        <w:tc>
          <w:tcPr>
            <w:tcW w:w="1116" w:type="pct"/>
            <w:gridSpan w:val="2"/>
            <w:tcBorders>
              <w:top w:val="single" w:sz="4" w:space="0" w:color="auto"/>
              <w:left w:val="single" w:sz="4" w:space="0" w:color="auto"/>
              <w:bottom w:val="single" w:sz="4" w:space="0" w:color="auto"/>
              <w:right w:val="single" w:sz="4" w:space="0" w:color="auto"/>
            </w:tcBorders>
            <w:shd w:val="clear" w:color="auto" w:fill="E5F1FF"/>
            <w:noWrap/>
            <w:vAlign w:val="bottom"/>
          </w:tcPr>
          <w:p w14:paraId="0756EC5C" w14:textId="77777777" w:rsidR="003E1A45" w:rsidRPr="001D739C" w:rsidRDefault="003E1A45" w:rsidP="003E1A45">
            <w:pPr>
              <w:jc w:val="center"/>
              <w:rPr>
                <w:rFonts w:cs="Calibri"/>
                <w:b/>
                <w:bCs/>
                <w:sz w:val="20"/>
                <w:szCs w:val="20"/>
                <w:lang w:eastAsia="cs-CZ"/>
              </w:rPr>
            </w:pPr>
            <w:r w:rsidRPr="001D739C">
              <w:rPr>
                <w:rFonts w:cs="Calibri"/>
                <w:b/>
                <w:bCs/>
                <w:sz w:val="20"/>
                <w:szCs w:val="20"/>
                <w:lang w:eastAsia="cs-CZ"/>
              </w:rPr>
              <w:t>Meziroční změna</w:t>
            </w:r>
          </w:p>
        </w:tc>
      </w:tr>
      <w:tr w:rsidR="003E1A45" w:rsidRPr="001D739C" w14:paraId="0EF48420" w14:textId="77777777" w:rsidTr="003E1A45">
        <w:trPr>
          <w:trHeight w:val="215"/>
        </w:trPr>
        <w:tc>
          <w:tcPr>
            <w:tcW w:w="1493" w:type="pct"/>
            <w:vMerge/>
            <w:tcBorders>
              <w:left w:val="single" w:sz="4" w:space="0" w:color="auto"/>
              <w:right w:val="single" w:sz="4" w:space="0" w:color="auto"/>
            </w:tcBorders>
            <w:shd w:val="clear" w:color="auto" w:fill="E5F1FF"/>
            <w:noWrap/>
            <w:vAlign w:val="center"/>
            <w:hideMark/>
          </w:tcPr>
          <w:p w14:paraId="66277BEC" w14:textId="77777777" w:rsidR="003E1A45" w:rsidRPr="001D739C" w:rsidRDefault="003E1A45" w:rsidP="00562DCE">
            <w:pPr>
              <w:jc w:val="center"/>
              <w:rPr>
                <w:rFonts w:cs="Calibri"/>
                <w:b/>
                <w:bCs/>
                <w:sz w:val="20"/>
                <w:szCs w:val="20"/>
                <w:lang w:eastAsia="cs-CZ"/>
              </w:rPr>
            </w:pPr>
          </w:p>
        </w:tc>
        <w:tc>
          <w:tcPr>
            <w:tcW w:w="797"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13C9FCFB" w14:textId="77777777" w:rsidR="003E1A45" w:rsidRPr="001D739C" w:rsidRDefault="003E1A45" w:rsidP="00562DCE">
            <w:pPr>
              <w:jc w:val="center"/>
              <w:rPr>
                <w:rFonts w:cs="Calibri"/>
                <w:b/>
                <w:bCs/>
                <w:sz w:val="20"/>
                <w:szCs w:val="20"/>
                <w:lang w:eastAsia="cs-CZ"/>
              </w:rPr>
            </w:pPr>
            <w:r w:rsidRPr="001D739C">
              <w:rPr>
                <w:rFonts w:cs="Calibri"/>
                <w:b/>
                <w:bCs/>
                <w:sz w:val="20"/>
                <w:szCs w:val="20"/>
                <w:lang w:eastAsia="cs-CZ"/>
              </w:rPr>
              <w:t>2014</w:t>
            </w:r>
          </w:p>
        </w:tc>
        <w:tc>
          <w:tcPr>
            <w:tcW w:w="797"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46FAE068" w14:textId="77777777" w:rsidR="003E1A45" w:rsidRPr="001D739C" w:rsidRDefault="003E1A45" w:rsidP="00562DCE">
            <w:pPr>
              <w:jc w:val="center"/>
              <w:rPr>
                <w:rFonts w:cs="Calibri"/>
                <w:b/>
                <w:bCs/>
                <w:sz w:val="20"/>
                <w:szCs w:val="20"/>
                <w:lang w:eastAsia="cs-CZ"/>
              </w:rPr>
            </w:pPr>
            <w:r w:rsidRPr="001D739C">
              <w:rPr>
                <w:rFonts w:cs="Calibri"/>
                <w:b/>
                <w:bCs/>
                <w:sz w:val="20"/>
                <w:szCs w:val="20"/>
                <w:lang w:eastAsia="cs-CZ"/>
              </w:rPr>
              <w:t>2015</w:t>
            </w:r>
          </w:p>
        </w:tc>
        <w:tc>
          <w:tcPr>
            <w:tcW w:w="797"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17FCA9A" w14:textId="77777777" w:rsidR="003E1A45" w:rsidRPr="001D739C" w:rsidRDefault="003E1A45" w:rsidP="00562DCE">
            <w:pPr>
              <w:jc w:val="center"/>
              <w:rPr>
                <w:rFonts w:cs="Calibri"/>
                <w:b/>
                <w:bCs/>
                <w:sz w:val="20"/>
                <w:szCs w:val="20"/>
                <w:lang w:eastAsia="cs-CZ"/>
              </w:rPr>
            </w:pPr>
            <w:r w:rsidRPr="001D739C">
              <w:rPr>
                <w:rFonts w:cs="Calibri"/>
                <w:b/>
                <w:bCs/>
                <w:sz w:val="20"/>
                <w:szCs w:val="20"/>
                <w:lang w:eastAsia="cs-CZ"/>
              </w:rPr>
              <w:t>2016</w:t>
            </w:r>
          </w:p>
        </w:tc>
        <w:tc>
          <w:tcPr>
            <w:tcW w:w="637" w:type="pct"/>
            <w:tcBorders>
              <w:top w:val="single" w:sz="4" w:space="0" w:color="auto"/>
              <w:left w:val="single" w:sz="4" w:space="0" w:color="auto"/>
              <w:bottom w:val="single" w:sz="4" w:space="0" w:color="auto"/>
              <w:right w:val="single" w:sz="4" w:space="0" w:color="auto"/>
            </w:tcBorders>
            <w:shd w:val="clear" w:color="auto" w:fill="E5F1FF"/>
            <w:noWrap/>
            <w:vAlign w:val="bottom"/>
            <w:hideMark/>
          </w:tcPr>
          <w:p w14:paraId="3E8C4119" w14:textId="77777777" w:rsidR="003E1A45" w:rsidRPr="001D739C" w:rsidRDefault="003E1A45" w:rsidP="00562DCE">
            <w:pPr>
              <w:jc w:val="center"/>
              <w:rPr>
                <w:rFonts w:cs="Calibri"/>
                <w:b/>
                <w:bCs/>
                <w:sz w:val="20"/>
                <w:szCs w:val="20"/>
                <w:lang w:eastAsia="cs-CZ"/>
              </w:rPr>
            </w:pPr>
            <w:r w:rsidRPr="001D739C">
              <w:rPr>
                <w:rFonts w:cs="Calibri"/>
                <w:b/>
                <w:bCs/>
                <w:sz w:val="20"/>
                <w:szCs w:val="20"/>
                <w:lang w:eastAsia="cs-CZ"/>
              </w:rPr>
              <w:t>2015/</w:t>
            </w:r>
            <w:r w:rsidRPr="001D739C">
              <w:rPr>
                <w:rFonts w:cs="Calibri"/>
                <w:b/>
                <w:bCs/>
                <w:sz w:val="20"/>
                <w:szCs w:val="20"/>
                <w:lang w:eastAsia="cs-CZ"/>
              </w:rPr>
              <w:br/>
              <w:t>2014</w:t>
            </w:r>
          </w:p>
        </w:tc>
        <w:tc>
          <w:tcPr>
            <w:tcW w:w="479" w:type="pct"/>
            <w:tcBorders>
              <w:top w:val="single" w:sz="4" w:space="0" w:color="auto"/>
              <w:left w:val="single" w:sz="4" w:space="0" w:color="auto"/>
              <w:bottom w:val="single" w:sz="4" w:space="0" w:color="auto"/>
              <w:right w:val="single" w:sz="4" w:space="0" w:color="auto"/>
            </w:tcBorders>
            <w:shd w:val="clear" w:color="auto" w:fill="E5F1FF"/>
            <w:noWrap/>
            <w:vAlign w:val="bottom"/>
            <w:hideMark/>
          </w:tcPr>
          <w:p w14:paraId="25AA3D0B" w14:textId="77777777" w:rsidR="003E1A45" w:rsidRPr="001D739C" w:rsidRDefault="003E1A45" w:rsidP="00562DCE">
            <w:pPr>
              <w:jc w:val="center"/>
              <w:rPr>
                <w:rFonts w:cs="Calibri"/>
                <w:b/>
                <w:bCs/>
                <w:sz w:val="20"/>
                <w:szCs w:val="20"/>
                <w:lang w:eastAsia="cs-CZ"/>
              </w:rPr>
            </w:pPr>
            <w:r w:rsidRPr="001D739C">
              <w:rPr>
                <w:rFonts w:cs="Calibri"/>
                <w:b/>
                <w:bCs/>
                <w:sz w:val="20"/>
                <w:szCs w:val="20"/>
                <w:lang w:eastAsia="cs-CZ"/>
              </w:rPr>
              <w:t>2016/</w:t>
            </w:r>
            <w:r w:rsidRPr="001D739C">
              <w:rPr>
                <w:rFonts w:cs="Calibri"/>
                <w:b/>
                <w:bCs/>
                <w:sz w:val="20"/>
                <w:szCs w:val="20"/>
                <w:lang w:eastAsia="cs-CZ"/>
              </w:rPr>
              <w:br/>
              <w:t>2015</w:t>
            </w:r>
          </w:p>
        </w:tc>
      </w:tr>
      <w:tr w:rsidR="003E1A45" w:rsidRPr="001D739C" w14:paraId="191B14A5" w14:textId="77777777" w:rsidTr="003E1A45">
        <w:trPr>
          <w:trHeight w:val="134"/>
        </w:trPr>
        <w:tc>
          <w:tcPr>
            <w:tcW w:w="1493" w:type="pct"/>
            <w:vMerge/>
            <w:tcBorders>
              <w:left w:val="single" w:sz="4" w:space="0" w:color="auto"/>
              <w:bottom w:val="single" w:sz="4" w:space="0" w:color="auto"/>
              <w:right w:val="single" w:sz="4" w:space="0" w:color="auto"/>
            </w:tcBorders>
            <w:shd w:val="clear" w:color="auto" w:fill="E5F1FF"/>
            <w:noWrap/>
            <w:vAlign w:val="bottom"/>
          </w:tcPr>
          <w:p w14:paraId="557D6AC8" w14:textId="77777777" w:rsidR="003E1A45" w:rsidRPr="001D739C" w:rsidRDefault="003E1A45" w:rsidP="00562DCE">
            <w:pPr>
              <w:rPr>
                <w:rFonts w:cs="Calibri"/>
                <w:sz w:val="20"/>
                <w:szCs w:val="20"/>
                <w:lang w:eastAsia="cs-CZ"/>
              </w:rPr>
            </w:pPr>
          </w:p>
        </w:tc>
        <w:tc>
          <w:tcPr>
            <w:tcW w:w="797" w:type="pct"/>
            <w:tcBorders>
              <w:top w:val="single" w:sz="4" w:space="0" w:color="auto"/>
              <w:left w:val="single" w:sz="4" w:space="0" w:color="auto"/>
              <w:bottom w:val="single" w:sz="4" w:space="0" w:color="auto"/>
              <w:right w:val="single" w:sz="4" w:space="0" w:color="auto"/>
            </w:tcBorders>
            <w:shd w:val="clear" w:color="auto" w:fill="E5F1FF"/>
            <w:noWrap/>
            <w:vAlign w:val="bottom"/>
          </w:tcPr>
          <w:p w14:paraId="47766C79" w14:textId="77777777" w:rsidR="003E1A45" w:rsidRPr="001D739C" w:rsidRDefault="009169CE" w:rsidP="00562DCE">
            <w:pPr>
              <w:jc w:val="center"/>
              <w:rPr>
                <w:rFonts w:cs="Calibri"/>
                <w:b/>
                <w:sz w:val="20"/>
                <w:szCs w:val="20"/>
                <w:lang w:eastAsia="cs-CZ"/>
              </w:rPr>
            </w:pPr>
            <w:r>
              <w:rPr>
                <w:rFonts w:cs="Calibri"/>
                <w:b/>
                <w:sz w:val="20"/>
                <w:szCs w:val="20"/>
                <w:lang w:eastAsia="cs-CZ"/>
              </w:rPr>
              <w:t>(</w:t>
            </w:r>
            <w:r w:rsidR="003E1A45" w:rsidRPr="001D739C">
              <w:rPr>
                <w:rFonts w:cs="Calibri"/>
                <w:b/>
                <w:sz w:val="20"/>
                <w:szCs w:val="20"/>
                <w:lang w:eastAsia="cs-CZ"/>
              </w:rPr>
              <w:t>v Kč</w:t>
            </w:r>
            <w:r>
              <w:rPr>
                <w:rFonts w:cs="Calibri"/>
                <w:b/>
                <w:sz w:val="20"/>
                <w:szCs w:val="20"/>
                <w:lang w:eastAsia="cs-CZ"/>
              </w:rPr>
              <w:t>)</w:t>
            </w:r>
          </w:p>
        </w:tc>
        <w:tc>
          <w:tcPr>
            <w:tcW w:w="797" w:type="pct"/>
            <w:tcBorders>
              <w:top w:val="single" w:sz="4" w:space="0" w:color="auto"/>
              <w:left w:val="single" w:sz="4" w:space="0" w:color="auto"/>
              <w:bottom w:val="single" w:sz="4" w:space="0" w:color="auto"/>
              <w:right w:val="single" w:sz="4" w:space="0" w:color="auto"/>
            </w:tcBorders>
            <w:shd w:val="clear" w:color="auto" w:fill="E5F1FF"/>
            <w:noWrap/>
            <w:vAlign w:val="bottom"/>
          </w:tcPr>
          <w:p w14:paraId="252C346D" w14:textId="77777777" w:rsidR="003E1A45" w:rsidRPr="001D739C" w:rsidRDefault="009169CE" w:rsidP="00562DCE">
            <w:pPr>
              <w:jc w:val="center"/>
              <w:rPr>
                <w:rFonts w:cs="Calibri"/>
                <w:b/>
                <w:sz w:val="20"/>
                <w:szCs w:val="20"/>
                <w:lang w:eastAsia="cs-CZ"/>
              </w:rPr>
            </w:pPr>
            <w:r>
              <w:rPr>
                <w:rFonts w:cs="Calibri"/>
                <w:b/>
                <w:sz w:val="20"/>
                <w:szCs w:val="20"/>
                <w:lang w:eastAsia="cs-CZ"/>
              </w:rPr>
              <w:t>(</w:t>
            </w:r>
            <w:r w:rsidR="003E1A45" w:rsidRPr="001D739C">
              <w:rPr>
                <w:rFonts w:cs="Calibri"/>
                <w:b/>
                <w:sz w:val="20"/>
                <w:szCs w:val="20"/>
                <w:lang w:eastAsia="cs-CZ"/>
              </w:rPr>
              <w:t>v Kč</w:t>
            </w:r>
            <w:r>
              <w:rPr>
                <w:rFonts w:cs="Calibri"/>
                <w:b/>
                <w:sz w:val="20"/>
                <w:szCs w:val="20"/>
                <w:lang w:eastAsia="cs-CZ"/>
              </w:rPr>
              <w:t>)</w:t>
            </w:r>
          </w:p>
        </w:tc>
        <w:tc>
          <w:tcPr>
            <w:tcW w:w="797" w:type="pct"/>
            <w:tcBorders>
              <w:top w:val="single" w:sz="4" w:space="0" w:color="auto"/>
              <w:left w:val="single" w:sz="4" w:space="0" w:color="auto"/>
              <w:bottom w:val="single" w:sz="4" w:space="0" w:color="auto"/>
              <w:right w:val="single" w:sz="4" w:space="0" w:color="auto"/>
            </w:tcBorders>
            <w:shd w:val="clear" w:color="auto" w:fill="E5F1FF"/>
            <w:noWrap/>
            <w:vAlign w:val="bottom"/>
          </w:tcPr>
          <w:p w14:paraId="2BE4049A" w14:textId="77777777" w:rsidR="003E1A45" w:rsidRPr="001D739C" w:rsidRDefault="009169CE" w:rsidP="00562DCE">
            <w:pPr>
              <w:jc w:val="center"/>
              <w:rPr>
                <w:rFonts w:cs="Calibri"/>
                <w:b/>
                <w:sz w:val="20"/>
                <w:szCs w:val="20"/>
                <w:lang w:eastAsia="cs-CZ"/>
              </w:rPr>
            </w:pPr>
            <w:r>
              <w:rPr>
                <w:rFonts w:cs="Calibri"/>
                <w:b/>
                <w:sz w:val="20"/>
                <w:szCs w:val="20"/>
                <w:lang w:eastAsia="cs-CZ"/>
              </w:rPr>
              <w:t>(</w:t>
            </w:r>
            <w:r w:rsidR="003E1A45" w:rsidRPr="001D739C">
              <w:rPr>
                <w:rFonts w:cs="Calibri"/>
                <w:b/>
                <w:sz w:val="20"/>
                <w:szCs w:val="20"/>
                <w:lang w:eastAsia="cs-CZ"/>
              </w:rPr>
              <w:t>v Kč</w:t>
            </w:r>
            <w:r>
              <w:rPr>
                <w:rFonts w:cs="Calibri"/>
                <w:b/>
                <w:sz w:val="20"/>
                <w:szCs w:val="20"/>
                <w:lang w:eastAsia="cs-CZ"/>
              </w:rPr>
              <w:t>)</w:t>
            </w:r>
          </w:p>
        </w:tc>
        <w:tc>
          <w:tcPr>
            <w:tcW w:w="637" w:type="pct"/>
            <w:tcBorders>
              <w:top w:val="single" w:sz="4" w:space="0" w:color="auto"/>
              <w:left w:val="single" w:sz="4" w:space="0" w:color="auto"/>
              <w:bottom w:val="single" w:sz="4" w:space="0" w:color="auto"/>
              <w:right w:val="single" w:sz="4" w:space="0" w:color="auto"/>
            </w:tcBorders>
            <w:shd w:val="clear" w:color="auto" w:fill="E5F1FF"/>
            <w:noWrap/>
            <w:vAlign w:val="bottom"/>
          </w:tcPr>
          <w:p w14:paraId="65915AF7" w14:textId="77777777" w:rsidR="003E1A45" w:rsidRPr="001D739C" w:rsidRDefault="009169CE" w:rsidP="00562DCE">
            <w:pPr>
              <w:jc w:val="center"/>
              <w:rPr>
                <w:rFonts w:cs="Calibri"/>
                <w:b/>
                <w:sz w:val="20"/>
                <w:szCs w:val="20"/>
                <w:lang w:eastAsia="cs-CZ"/>
              </w:rPr>
            </w:pPr>
            <w:r>
              <w:rPr>
                <w:rFonts w:cs="Calibri"/>
                <w:b/>
                <w:sz w:val="20"/>
                <w:szCs w:val="20"/>
                <w:lang w:eastAsia="cs-CZ"/>
              </w:rPr>
              <w:t>(</w:t>
            </w:r>
            <w:r w:rsidR="003E1A45" w:rsidRPr="001D739C">
              <w:rPr>
                <w:rFonts w:cs="Calibri"/>
                <w:b/>
                <w:sz w:val="20"/>
                <w:szCs w:val="20"/>
                <w:lang w:eastAsia="cs-CZ"/>
              </w:rPr>
              <w:t>v %</w:t>
            </w:r>
            <w:r>
              <w:rPr>
                <w:rFonts w:cs="Calibri"/>
                <w:b/>
                <w:sz w:val="20"/>
                <w:szCs w:val="20"/>
                <w:lang w:eastAsia="cs-CZ"/>
              </w:rPr>
              <w:t>)</w:t>
            </w:r>
          </w:p>
        </w:tc>
        <w:tc>
          <w:tcPr>
            <w:tcW w:w="479" w:type="pct"/>
            <w:tcBorders>
              <w:top w:val="single" w:sz="4" w:space="0" w:color="auto"/>
              <w:left w:val="single" w:sz="4" w:space="0" w:color="auto"/>
              <w:bottom w:val="single" w:sz="4" w:space="0" w:color="auto"/>
              <w:right w:val="single" w:sz="4" w:space="0" w:color="auto"/>
            </w:tcBorders>
            <w:shd w:val="clear" w:color="auto" w:fill="E5F1FF"/>
            <w:noWrap/>
            <w:vAlign w:val="bottom"/>
          </w:tcPr>
          <w:p w14:paraId="145B9977" w14:textId="77777777" w:rsidR="003E1A45" w:rsidRPr="001D739C" w:rsidRDefault="009169CE" w:rsidP="00562DCE">
            <w:pPr>
              <w:jc w:val="center"/>
              <w:rPr>
                <w:rFonts w:cs="Calibri"/>
                <w:b/>
                <w:sz w:val="20"/>
                <w:szCs w:val="20"/>
                <w:lang w:eastAsia="cs-CZ"/>
              </w:rPr>
            </w:pPr>
            <w:r>
              <w:rPr>
                <w:rFonts w:cs="Calibri"/>
                <w:b/>
                <w:sz w:val="20"/>
                <w:szCs w:val="20"/>
                <w:lang w:eastAsia="cs-CZ"/>
              </w:rPr>
              <w:t>(</w:t>
            </w:r>
            <w:r w:rsidR="003E1A45" w:rsidRPr="001D739C">
              <w:rPr>
                <w:rFonts w:cs="Calibri"/>
                <w:b/>
                <w:sz w:val="20"/>
                <w:szCs w:val="20"/>
                <w:lang w:eastAsia="cs-CZ"/>
              </w:rPr>
              <w:t>v %</w:t>
            </w:r>
            <w:r>
              <w:rPr>
                <w:rFonts w:cs="Calibri"/>
                <w:b/>
                <w:sz w:val="20"/>
                <w:szCs w:val="20"/>
                <w:lang w:eastAsia="cs-CZ"/>
              </w:rPr>
              <w:t>)</w:t>
            </w:r>
          </w:p>
        </w:tc>
      </w:tr>
      <w:tr w:rsidR="00C767D8" w:rsidRPr="001D739C" w14:paraId="00FB704A" w14:textId="77777777" w:rsidTr="003E1A45">
        <w:trPr>
          <w:trHeight w:val="134"/>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3AA13" w14:textId="77777777" w:rsidR="00C767D8" w:rsidRPr="001D739C" w:rsidRDefault="00C767D8" w:rsidP="00562DCE">
            <w:pPr>
              <w:rPr>
                <w:rFonts w:cs="Calibri"/>
                <w:b/>
                <w:sz w:val="20"/>
                <w:szCs w:val="20"/>
                <w:lang w:eastAsia="cs-CZ"/>
              </w:rPr>
            </w:pPr>
            <w:r w:rsidRPr="001D739C">
              <w:rPr>
                <w:rFonts w:cs="Calibri"/>
                <w:b/>
                <w:sz w:val="20"/>
                <w:szCs w:val="20"/>
                <w:lang w:eastAsia="cs-CZ"/>
              </w:rPr>
              <w:t>Náklady celkem</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07438" w14:textId="77777777" w:rsidR="00C767D8" w:rsidRPr="001D739C" w:rsidRDefault="00C767D8" w:rsidP="00555F62">
            <w:pPr>
              <w:ind w:left="-69" w:right="57"/>
              <w:jc w:val="right"/>
              <w:rPr>
                <w:rFonts w:cs="Calibri"/>
                <w:b/>
                <w:sz w:val="20"/>
                <w:szCs w:val="20"/>
                <w:lang w:eastAsia="cs-CZ"/>
              </w:rPr>
            </w:pPr>
            <w:r w:rsidRPr="001D739C">
              <w:rPr>
                <w:rFonts w:cs="Calibri"/>
                <w:b/>
                <w:sz w:val="20"/>
                <w:szCs w:val="20"/>
                <w:lang w:eastAsia="cs-CZ"/>
              </w:rPr>
              <w:t>95 489 532,63</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4F99" w14:textId="77777777" w:rsidR="00C767D8" w:rsidRPr="001D739C" w:rsidRDefault="00C767D8" w:rsidP="00555F62">
            <w:pPr>
              <w:ind w:left="-69" w:right="57"/>
              <w:jc w:val="right"/>
              <w:rPr>
                <w:rFonts w:cs="Calibri"/>
                <w:b/>
                <w:sz w:val="20"/>
                <w:szCs w:val="20"/>
                <w:lang w:eastAsia="cs-CZ"/>
              </w:rPr>
            </w:pPr>
            <w:r w:rsidRPr="001D739C">
              <w:rPr>
                <w:rFonts w:cs="Calibri"/>
                <w:b/>
                <w:sz w:val="20"/>
                <w:szCs w:val="20"/>
                <w:lang w:eastAsia="cs-CZ"/>
              </w:rPr>
              <w:t>203 200 793,24</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596D1" w14:textId="77777777" w:rsidR="00C767D8" w:rsidRPr="001D739C" w:rsidRDefault="00C767D8" w:rsidP="00555F62">
            <w:pPr>
              <w:ind w:left="-69" w:right="57"/>
              <w:jc w:val="right"/>
              <w:rPr>
                <w:rFonts w:cs="Calibri"/>
                <w:b/>
                <w:sz w:val="20"/>
                <w:szCs w:val="20"/>
                <w:lang w:eastAsia="cs-CZ"/>
              </w:rPr>
            </w:pPr>
            <w:r w:rsidRPr="001D739C">
              <w:rPr>
                <w:rFonts w:cs="Calibri"/>
                <w:b/>
                <w:sz w:val="20"/>
                <w:szCs w:val="20"/>
                <w:lang w:eastAsia="cs-CZ"/>
              </w:rPr>
              <w:t>222 049 750,79</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7C20A" w14:textId="77777777" w:rsidR="00C767D8" w:rsidRPr="001D739C" w:rsidRDefault="00C767D8" w:rsidP="00555F62">
            <w:pPr>
              <w:ind w:left="-69" w:right="68"/>
              <w:jc w:val="right"/>
              <w:rPr>
                <w:rFonts w:cs="Calibri"/>
                <w:b/>
                <w:sz w:val="20"/>
                <w:szCs w:val="20"/>
                <w:lang w:eastAsia="cs-CZ"/>
              </w:rPr>
            </w:pPr>
            <w:r w:rsidRPr="001D739C">
              <w:rPr>
                <w:rFonts w:cs="Calibri"/>
                <w:b/>
                <w:sz w:val="20"/>
                <w:szCs w:val="20"/>
                <w:lang w:eastAsia="cs-CZ"/>
              </w:rPr>
              <w:t>112,80</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BEC0D" w14:textId="77777777" w:rsidR="00C767D8" w:rsidRPr="001D739C" w:rsidRDefault="00C767D8" w:rsidP="00555F62">
            <w:pPr>
              <w:ind w:left="-69" w:right="68"/>
              <w:jc w:val="right"/>
              <w:rPr>
                <w:rFonts w:cs="Calibri"/>
                <w:b/>
                <w:sz w:val="20"/>
                <w:szCs w:val="20"/>
                <w:lang w:eastAsia="cs-CZ"/>
              </w:rPr>
            </w:pPr>
            <w:r w:rsidRPr="001D739C">
              <w:rPr>
                <w:rFonts w:cs="Calibri"/>
                <w:b/>
                <w:sz w:val="20"/>
                <w:szCs w:val="20"/>
                <w:lang w:eastAsia="cs-CZ"/>
              </w:rPr>
              <w:t>9,28</w:t>
            </w:r>
          </w:p>
        </w:tc>
      </w:tr>
      <w:tr w:rsidR="00C767D8" w:rsidRPr="001D739C" w14:paraId="4D9367AF" w14:textId="77777777" w:rsidTr="003E1A45">
        <w:trPr>
          <w:trHeight w:val="65"/>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F77E3" w14:textId="77777777" w:rsidR="00C767D8" w:rsidRPr="001D739C" w:rsidRDefault="00C767D8" w:rsidP="00BB5556">
            <w:pPr>
              <w:ind w:firstLine="113"/>
              <w:rPr>
                <w:rFonts w:cs="Calibri"/>
                <w:sz w:val="20"/>
                <w:szCs w:val="20"/>
                <w:lang w:eastAsia="cs-CZ"/>
              </w:rPr>
            </w:pPr>
            <w:r w:rsidRPr="001D739C">
              <w:rPr>
                <w:rFonts w:cs="Calibri"/>
                <w:sz w:val="20"/>
                <w:szCs w:val="20"/>
                <w:lang w:eastAsia="cs-CZ"/>
              </w:rPr>
              <w:t>Náklady z činnosti</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7115C"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95 342 731,70</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1F02D"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203 036 111,97</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7F4FF"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217 274 001,15</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E9DD9" w14:textId="77777777" w:rsidR="00C767D8" w:rsidRPr="001D739C" w:rsidRDefault="00C767D8" w:rsidP="00555F62">
            <w:pPr>
              <w:ind w:left="-69" w:right="68"/>
              <w:jc w:val="right"/>
              <w:rPr>
                <w:rFonts w:cs="Calibri"/>
                <w:sz w:val="20"/>
                <w:szCs w:val="20"/>
                <w:lang w:eastAsia="cs-CZ"/>
              </w:rPr>
            </w:pPr>
            <w:r w:rsidRPr="001D739C">
              <w:rPr>
                <w:rFonts w:cs="Calibri"/>
                <w:sz w:val="20"/>
                <w:szCs w:val="20"/>
                <w:lang w:eastAsia="cs-CZ"/>
              </w:rPr>
              <w:t>112,95</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A650C" w14:textId="77777777" w:rsidR="00C767D8" w:rsidRPr="001D739C" w:rsidRDefault="00C767D8" w:rsidP="00555F62">
            <w:pPr>
              <w:ind w:left="-69" w:right="68"/>
              <w:jc w:val="right"/>
              <w:rPr>
                <w:rFonts w:cs="Calibri"/>
                <w:sz w:val="20"/>
                <w:szCs w:val="20"/>
                <w:lang w:eastAsia="cs-CZ"/>
              </w:rPr>
            </w:pPr>
            <w:r w:rsidRPr="001D739C">
              <w:rPr>
                <w:rFonts w:cs="Calibri"/>
                <w:sz w:val="20"/>
                <w:szCs w:val="20"/>
                <w:lang w:eastAsia="cs-CZ"/>
              </w:rPr>
              <w:t>7,01</w:t>
            </w:r>
          </w:p>
        </w:tc>
      </w:tr>
      <w:tr w:rsidR="00C767D8" w:rsidRPr="001D739C" w14:paraId="6FFC6CD3" w14:textId="77777777" w:rsidTr="003E1A45">
        <w:trPr>
          <w:trHeight w:val="139"/>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D74D3" w14:textId="77777777" w:rsidR="00C767D8" w:rsidRPr="001D739C" w:rsidRDefault="00C767D8" w:rsidP="003E1A45">
            <w:pPr>
              <w:ind w:firstLine="284"/>
              <w:rPr>
                <w:rFonts w:cs="Calibri"/>
                <w:i/>
                <w:sz w:val="20"/>
                <w:szCs w:val="20"/>
                <w:lang w:eastAsia="cs-CZ"/>
              </w:rPr>
            </w:pPr>
            <w:r w:rsidRPr="001D739C">
              <w:rPr>
                <w:rFonts w:cs="Calibri"/>
                <w:i/>
                <w:sz w:val="20"/>
                <w:szCs w:val="20"/>
                <w:lang w:eastAsia="cs-CZ"/>
              </w:rPr>
              <w:t>Spotřeba materiálu</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78ABB"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5 129 727,19</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21E18"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11 318 100,68</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969B8"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7 296 769,74</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97A01" w14:textId="77777777" w:rsidR="00C767D8" w:rsidRPr="001D739C" w:rsidRDefault="00C767D8" w:rsidP="00555F62">
            <w:pPr>
              <w:ind w:left="-69" w:right="68"/>
              <w:jc w:val="right"/>
              <w:rPr>
                <w:rFonts w:cs="Calibri"/>
                <w:i/>
                <w:sz w:val="20"/>
                <w:szCs w:val="20"/>
                <w:lang w:eastAsia="cs-CZ"/>
              </w:rPr>
            </w:pPr>
            <w:r w:rsidRPr="001D739C">
              <w:rPr>
                <w:rFonts w:cs="Calibri"/>
                <w:i/>
                <w:sz w:val="20"/>
                <w:szCs w:val="20"/>
                <w:lang w:eastAsia="cs-CZ"/>
              </w:rPr>
              <w:t>120,64</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A611C" w14:textId="77777777" w:rsidR="00C767D8" w:rsidRPr="001D739C" w:rsidRDefault="00555F62" w:rsidP="00555F62">
            <w:pPr>
              <w:ind w:left="-69" w:right="68"/>
              <w:jc w:val="right"/>
              <w:rPr>
                <w:rFonts w:cs="Calibri"/>
                <w:i/>
                <w:sz w:val="20"/>
                <w:szCs w:val="20"/>
                <w:lang w:eastAsia="cs-CZ"/>
              </w:rPr>
            </w:pPr>
            <w:r>
              <w:rPr>
                <w:rFonts w:cs="Calibri"/>
                <w:sz w:val="20"/>
                <w:szCs w:val="20"/>
                <w:lang w:eastAsia="cs-CZ"/>
              </w:rPr>
              <w:t>–</w:t>
            </w:r>
            <w:r w:rsidR="00C767D8" w:rsidRPr="001D739C">
              <w:rPr>
                <w:rFonts w:cs="Calibri"/>
                <w:i/>
                <w:sz w:val="20"/>
                <w:szCs w:val="20"/>
                <w:lang w:eastAsia="cs-CZ"/>
              </w:rPr>
              <w:t>35,53</w:t>
            </w:r>
          </w:p>
        </w:tc>
      </w:tr>
      <w:tr w:rsidR="00C767D8" w:rsidRPr="001D739C" w14:paraId="4B69FC08" w14:textId="77777777" w:rsidTr="003E1A45">
        <w:trPr>
          <w:trHeight w:val="71"/>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7CC05" w14:textId="77777777" w:rsidR="00C767D8" w:rsidRPr="001D739C" w:rsidRDefault="00C767D8" w:rsidP="003E1A45">
            <w:pPr>
              <w:ind w:firstLine="284"/>
              <w:rPr>
                <w:rFonts w:cs="Calibri"/>
                <w:i/>
                <w:sz w:val="20"/>
                <w:szCs w:val="20"/>
                <w:lang w:eastAsia="cs-CZ"/>
              </w:rPr>
            </w:pPr>
            <w:r w:rsidRPr="001D739C">
              <w:rPr>
                <w:rFonts w:cs="Calibri"/>
                <w:i/>
                <w:sz w:val="20"/>
                <w:szCs w:val="20"/>
                <w:lang w:eastAsia="cs-CZ"/>
              </w:rPr>
              <w:t>Spotřeba energie</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AAEE9"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3 169 141,50</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50B59"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5 819 977,43</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0FB9F"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5 248 425,03</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1D5A1" w14:textId="77777777" w:rsidR="00C767D8" w:rsidRPr="001D739C" w:rsidRDefault="00C767D8" w:rsidP="00555F62">
            <w:pPr>
              <w:ind w:left="-69" w:right="68"/>
              <w:jc w:val="right"/>
              <w:rPr>
                <w:rFonts w:cs="Calibri"/>
                <w:i/>
                <w:sz w:val="20"/>
                <w:szCs w:val="20"/>
                <w:lang w:eastAsia="cs-CZ"/>
              </w:rPr>
            </w:pPr>
            <w:r w:rsidRPr="001D739C">
              <w:rPr>
                <w:rFonts w:cs="Calibri"/>
                <w:i/>
                <w:sz w:val="20"/>
                <w:szCs w:val="20"/>
                <w:lang w:eastAsia="cs-CZ"/>
              </w:rPr>
              <w:t>83,65</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D7DA6" w14:textId="77777777" w:rsidR="00C767D8" w:rsidRPr="001D739C" w:rsidRDefault="00555F62" w:rsidP="00555F62">
            <w:pPr>
              <w:ind w:left="-69" w:right="68"/>
              <w:jc w:val="right"/>
              <w:rPr>
                <w:rFonts w:cs="Calibri"/>
                <w:i/>
                <w:sz w:val="20"/>
                <w:szCs w:val="20"/>
                <w:lang w:eastAsia="cs-CZ"/>
              </w:rPr>
            </w:pPr>
            <w:r>
              <w:rPr>
                <w:rFonts w:cs="Calibri"/>
                <w:sz w:val="20"/>
                <w:szCs w:val="20"/>
                <w:lang w:eastAsia="cs-CZ"/>
              </w:rPr>
              <w:t>–</w:t>
            </w:r>
            <w:r w:rsidR="00C767D8" w:rsidRPr="001D739C">
              <w:rPr>
                <w:rFonts w:cs="Calibri"/>
                <w:i/>
                <w:sz w:val="20"/>
                <w:szCs w:val="20"/>
                <w:lang w:eastAsia="cs-CZ"/>
              </w:rPr>
              <w:t>9,82</w:t>
            </w:r>
          </w:p>
        </w:tc>
      </w:tr>
      <w:tr w:rsidR="00C767D8" w:rsidRPr="001D739C" w14:paraId="429F80FD" w14:textId="77777777" w:rsidTr="003E1A45">
        <w:trPr>
          <w:trHeight w:val="56"/>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6979F" w14:textId="77777777" w:rsidR="00C767D8" w:rsidRPr="001D739C" w:rsidRDefault="00C767D8" w:rsidP="003E1A45">
            <w:pPr>
              <w:ind w:firstLine="284"/>
              <w:rPr>
                <w:rFonts w:cs="Calibri"/>
                <w:i/>
                <w:sz w:val="20"/>
                <w:szCs w:val="20"/>
                <w:lang w:eastAsia="cs-CZ"/>
              </w:rPr>
            </w:pPr>
            <w:r w:rsidRPr="001D739C">
              <w:rPr>
                <w:rFonts w:cs="Calibri"/>
                <w:i/>
                <w:sz w:val="20"/>
                <w:szCs w:val="20"/>
                <w:lang w:eastAsia="cs-CZ"/>
              </w:rPr>
              <w:t>Ostatní služby</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38AFF"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7 695 706,84</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8497B"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11 072 375,02</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7BC70"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11 707 870,95</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4FCD6" w14:textId="77777777" w:rsidR="00C767D8" w:rsidRPr="001D739C" w:rsidRDefault="00C767D8" w:rsidP="00555F62">
            <w:pPr>
              <w:ind w:left="-69" w:right="68"/>
              <w:jc w:val="right"/>
              <w:rPr>
                <w:rFonts w:cs="Calibri"/>
                <w:i/>
                <w:sz w:val="20"/>
                <w:szCs w:val="20"/>
                <w:lang w:eastAsia="cs-CZ"/>
              </w:rPr>
            </w:pPr>
            <w:r w:rsidRPr="001D739C">
              <w:rPr>
                <w:rFonts w:cs="Calibri"/>
                <w:i/>
                <w:sz w:val="20"/>
                <w:szCs w:val="20"/>
                <w:lang w:eastAsia="cs-CZ"/>
              </w:rPr>
              <w:t>43,88</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48A03" w14:textId="77777777" w:rsidR="00C767D8" w:rsidRPr="001D739C" w:rsidRDefault="00C767D8" w:rsidP="00555F62">
            <w:pPr>
              <w:ind w:left="-69" w:right="68"/>
              <w:jc w:val="right"/>
              <w:rPr>
                <w:rFonts w:cs="Calibri"/>
                <w:i/>
                <w:sz w:val="20"/>
                <w:szCs w:val="20"/>
                <w:lang w:eastAsia="cs-CZ"/>
              </w:rPr>
            </w:pPr>
            <w:r w:rsidRPr="001D739C">
              <w:rPr>
                <w:rFonts w:cs="Calibri"/>
                <w:i/>
                <w:sz w:val="20"/>
                <w:szCs w:val="20"/>
                <w:lang w:eastAsia="cs-CZ"/>
              </w:rPr>
              <w:t>5,74</w:t>
            </w:r>
          </w:p>
        </w:tc>
      </w:tr>
      <w:tr w:rsidR="00C767D8" w:rsidRPr="001D739C" w14:paraId="50433222" w14:textId="77777777" w:rsidTr="003E1A45">
        <w:trPr>
          <w:trHeight w:val="116"/>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432F6" w14:textId="77777777" w:rsidR="00C767D8" w:rsidRPr="001D739C" w:rsidRDefault="00C767D8" w:rsidP="003E1A45">
            <w:pPr>
              <w:ind w:firstLine="284"/>
              <w:rPr>
                <w:rFonts w:cs="Calibri"/>
                <w:i/>
                <w:sz w:val="20"/>
                <w:szCs w:val="20"/>
                <w:lang w:eastAsia="cs-CZ"/>
              </w:rPr>
            </w:pPr>
            <w:r w:rsidRPr="001D739C">
              <w:rPr>
                <w:rFonts w:cs="Calibri"/>
                <w:i/>
                <w:sz w:val="20"/>
                <w:szCs w:val="20"/>
                <w:lang w:eastAsia="cs-CZ"/>
              </w:rPr>
              <w:t>Mzdové náklady</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40B65"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55 722 281,00</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5D743"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120 091 196,00</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020AD"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117 951 171,00</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23F92" w14:textId="77777777" w:rsidR="00C767D8" w:rsidRPr="001D739C" w:rsidRDefault="00C767D8" w:rsidP="00555F62">
            <w:pPr>
              <w:ind w:left="-69" w:right="68"/>
              <w:jc w:val="right"/>
              <w:rPr>
                <w:rFonts w:cs="Calibri"/>
                <w:i/>
                <w:sz w:val="20"/>
                <w:szCs w:val="20"/>
                <w:lang w:eastAsia="cs-CZ"/>
              </w:rPr>
            </w:pPr>
            <w:r w:rsidRPr="001D739C">
              <w:rPr>
                <w:rFonts w:cs="Calibri"/>
                <w:i/>
                <w:sz w:val="20"/>
                <w:szCs w:val="20"/>
                <w:lang w:eastAsia="cs-CZ"/>
              </w:rPr>
              <w:t>115,52</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DC31E" w14:textId="77777777" w:rsidR="00C767D8" w:rsidRPr="001D739C" w:rsidRDefault="00555F62" w:rsidP="00555F62">
            <w:pPr>
              <w:ind w:left="-69" w:right="68"/>
              <w:jc w:val="right"/>
              <w:rPr>
                <w:rFonts w:cs="Calibri"/>
                <w:i/>
                <w:sz w:val="20"/>
                <w:szCs w:val="20"/>
                <w:lang w:eastAsia="cs-CZ"/>
              </w:rPr>
            </w:pPr>
            <w:r>
              <w:rPr>
                <w:rFonts w:cs="Calibri"/>
                <w:sz w:val="20"/>
                <w:szCs w:val="20"/>
                <w:lang w:eastAsia="cs-CZ"/>
              </w:rPr>
              <w:t>–</w:t>
            </w:r>
            <w:r w:rsidR="00C767D8" w:rsidRPr="001D739C">
              <w:rPr>
                <w:rFonts w:cs="Calibri"/>
                <w:i/>
                <w:sz w:val="20"/>
                <w:szCs w:val="20"/>
                <w:lang w:eastAsia="cs-CZ"/>
              </w:rPr>
              <w:t>1,78</w:t>
            </w:r>
          </w:p>
        </w:tc>
      </w:tr>
      <w:tr w:rsidR="00C767D8" w:rsidRPr="001D739C" w14:paraId="341680BF" w14:textId="77777777" w:rsidTr="003E1A45">
        <w:trPr>
          <w:trHeight w:val="56"/>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73332" w14:textId="77777777" w:rsidR="00C767D8" w:rsidRPr="001D739C" w:rsidRDefault="00C767D8" w:rsidP="003E1A45">
            <w:pPr>
              <w:ind w:firstLine="284"/>
              <w:rPr>
                <w:rFonts w:cs="Calibri"/>
                <w:i/>
                <w:sz w:val="20"/>
                <w:szCs w:val="20"/>
                <w:lang w:eastAsia="cs-CZ"/>
              </w:rPr>
            </w:pPr>
            <w:r w:rsidRPr="001D739C">
              <w:rPr>
                <w:rFonts w:cs="Calibri"/>
                <w:i/>
                <w:sz w:val="20"/>
                <w:szCs w:val="20"/>
                <w:lang w:eastAsia="cs-CZ"/>
              </w:rPr>
              <w:t>Zákonné sociální pojištění</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3CDC6"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18 092 969,00</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9D8C9"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40 083 063,00</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E3ECF"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38 750 328,25</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C4FFB" w14:textId="77777777" w:rsidR="00C767D8" w:rsidRPr="001D739C" w:rsidRDefault="00C767D8" w:rsidP="00555F62">
            <w:pPr>
              <w:ind w:left="-69" w:right="68"/>
              <w:jc w:val="right"/>
              <w:rPr>
                <w:rFonts w:cs="Calibri"/>
                <w:i/>
                <w:sz w:val="20"/>
                <w:szCs w:val="20"/>
                <w:lang w:eastAsia="cs-CZ"/>
              </w:rPr>
            </w:pPr>
            <w:r w:rsidRPr="001D739C">
              <w:rPr>
                <w:rFonts w:cs="Calibri"/>
                <w:i/>
                <w:sz w:val="20"/>
                <w:szCs w:val="20"/>
                <w:lang w:eastAsia="cs-CZ"/>
              </w:rPr>
              <w:t>121,54</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55DA5" w14:textId="77777777" w:rsidR="00C767D8" w:rsidRPr="001D739C" w:rsidRDefault="00555F62" w:rsidP="00555F62">
            <w:pPr>
              <w:ind w:left="-69" w:right="68"/>
              <w:jc w:val="right"/>
              <w:rPr>
                <w:rFonts w:cs="Calibri"/>
                <w:i/>
                <w:sz w:val="20"/>
                <w:szCs w:val="20"/>
                <w:lang w:eastAsia="cs-CZ"/>
              </w:rPr>
            </w:pPr>
            <w:r>
              <w:rPr>
                <w:rFonts w:cs="Calibri"/>
                <w:sz w:val="20"/>
                <w:szCs w:val="20"/>
                <w:lang w:eastAsia="cs-CZ"/>
              </w:rPr>
              <w:t>–</w:t>
            </w:r>
            <w:r w:rsidR="00C767D8" w:rsidRPr="001D739C">
              <w:rPr>
                <w:rFonts w:cs="Calibri"/>
                <w:i/>
                <w:sz w:val="20"/>
                <w:szCs w:val="20"/>
                <w:lang w:eastAsia="cs-CZ"/>
              </w:rPr>
              <w:t>3,32</w:t>
            </w:r>
          </w:p>
        </w:tc>
      </w:tr>
      <w:tr w:rsidR="00C767D8" w:rsidRPr="001D739C" w14:paraId="2FCBBCE7" w14:textId="77777777" w:rsidTr="003E1A45">
        <w:trPr>
          <w:trHeight w:val="56"/>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5F840" w14:textId="77777777" w:rsidR="00C767D8" w:rsidRPr="001D739C" w:rsidRDefault="00C767D8" w:rsidP="003E1A45">
            <w:pPr>
              <w:ind w:firstLine="284"/>
              <w:rPr>
                <w:rFonts w:cs="Calibri"/>
                <w:i/>
                <w:sz w:val="20"/>
                <w:szCs w:val="20"/>
                <w:lang w:eastAsia="cs-CZ"/>
              </w:rPr>
            </w:pPr>
            <w:r w:rsidRPr="001D739C">
              <w:rPr>
                <w:rFonts w:cs="Calibri"/>
                <w:i/>
                <w:sz w:val="20"/>
                <w:szCs w:val="20"/>
                <w:lang w:eastAsia="cs-CZ"/>
              </w:rPr>
              <w:t>Zákonné sociální náklady</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1996D"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533 408,97</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7ACD5"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1 217 678,41</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E5719"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1 726 353,00</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02D41" w14:textId="77777777" w:rsidR="00C767D8" w:rsidRPr="001D739C" w:rsidRDefault="00C767D8" w:rsidP="00555F62">
            <w:pPr>
              <w:ind w:left="-69" w:right="68"/>
              <w:jc w:val="right"/>
              <w:rPr>
                <w:rFonts w:cs="Calibri"/>
                <w:i/>
                <w:sz w:val="20"/>
                <w:szCs w:val="20"/>
                <w:lang w:eastAsia="cs-CZ"/>
              </w:rPr>
            </w:pPr>
            <w:r w:rsidRPr="001D739C">
              <w:rPr>
                <w:rFonts w:cs="Calibri"/>
                <w:i/>
                <w:sz w:val="20"/>
                <w:szCs w:val="20"/>
                <w:lang w:eastAsia="cs-CZ"/>
              </w:rPr>
              <w:t>128,28</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4E1EB" w14:textId="77777777" w:rsidR="00C767D8" w:rsidRPr="001D739C" w:rsidRDefault="00C767D8" w:rsidP="00555F62">
            <w:pPr>
              <w:ind w:left="-69" w:right="68"/>
              <w:jc w:val="right"/>
              <w:rPr>
                <w:rFonts w:cs="Calibri"/>
                <w:i/>
                <w:sz w:val="20"/>
                <w:szCs w:val="20"/>
                <w:lang w:eastAsia="cs-CZ"/>
              </w:rPr>
            </w:pPr>
            <w:r w:rsidRPr="001D739C">
              <w:rPr>
                <w:rFonts w:cs="Calibri"/>
                <w:i/>
                <w:sz w:val="20"/>
                <w:szCs w:val="20"/>
                <w:lang w:eastAsia="cs-CZ"/>
              </w:rPr>
              <w:t>41,77</w:t>
            </w:r>
          </w:p>
        </w:tc>
      </w:tr>
      <w:tr w:rsidR="00C767D8" w:rsidRPr="001D739C" w14:paraId="339830E6" w14:textId="77777777" w:rsidTr="003E1A45">
        <w:trPr>
          <w:trHeight w:val="182"/>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ABD2A" w14:textId="77777777" w:rsidR="00C767D8" w:rsidRPr="001D739C" w:rsidRDefault="00C767D8" w:rsidP="003E1A45">
            <w:pPr>
              <w:ind w:left="284"/>
              <w:rPr>
                <w:rFonts w:cs="Calibri"/>
                <w:i/>
                <w:sz w:val="20"/>
                <w:szCs w:val="20"/>
                <w:lang w:eastAsia="cs-CZ"/>
              </w:rPr>
            </w:pPr>
            <w:r w:rsidRPr="001D739C">
              <w:rPr>
                <w:rFonts w:cs="Calibri"/>
                <w:i/>
                <w:sz w:val="20"/>
                <w:szCs w:val="20"/>
                <w:lang w:eastAsia="cs-CZ"/>
              </w:rPr>
              <w:t>Odpisy dlouhodobého majetku</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7C688"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1 441 178,00</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813D2"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671 843,00</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D0C8C" w14:textId="77777777" w:rsidR="00C767D8" w:rsidRPr="001D739C" w:rsidRDefault="00C767D8" w:rsidP="00555F62">
            <w:pPr>
              <w:ind w:left="-69" w:right="57"/>
              <w:jc w:val="right"/>
              <w:rPr>
                <w:rFonts w:cs="Calibri"/>
                <w:i/>
                <w:sz w:val="20"/>
                <w:szCs w:val="20"/>
                <w:lang w:eastAsia="cs-CZ"/>
              </w:rPr>
            </w:pPr>
            <w:r w:rsidRPr="001D739C">
              <w:rPr>
                <w:rFonts w:cs="Calibri"/>
                <w:i/>
                <w:sz w:val="20"/>
                <w:szCs w:val="20"/>
                <w:lang w:eastAsia="cs-CZ"/>
              </w:rPr>
              <w:t>27 026 923,97</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7259C" w14:textId="77777777" w:rsidR="00C767D8" w:rsidRPr="001D739C" w:rsidRDefault="00555F62" w:rsidP="00555F62">
            <w:pPr>
              <w:ind w:left="-69" w:right="68"/>
              <w:jc w:val="right"/>
              <w:rPr>
                <w:rFonts w:cs="Calibri"/>
                <w:i/>
                <w:sz w:val="20"/>
                <w:szCs w:val="20"/>
                <w:lang w:eastAsia="cs-CZ"/>
              </w:rPr>
            </w:pPr>
            <w:r>
              <w:rPr>
                <w:rFonts w:cs="Calibri"/>
                <w:sz w:val="20"/>
                <w:szCs w:val="20"/>
                <w:lang w:eastAsia="cs-CZ"/>
              </w:rPr>
              <w:t>–</w:t>
            </w:r>
            <w:r w:rsidR="00C767D8" w:rsidRPr="001D739C">
              <w:rPr>
                <w:rFonts w:cs="Calibri"/>
                <w:i/>
                <w:sz w:val="20"/>
                <w:szCs w:val="20"/>
                <w:lang w:eastAsia="cs-CZ"/>
              </w:rPr>
              <w:t>53,38</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ABED9" w14:textId="77777777" w:rsidR="00C767D8" w:rsidRPr="001D739C" w:rsidRDefault="00C767D8" w:rsidP="00555F62">
            <w:pPr>
              <w:ind w:left="-69" w:right="68"/>
              <w:jc w:val="right"/>
              <w:rPr>
                <w:rFonts w:cs="Calibri"/>
                <w:i/>
                <w:sz w:val="20"/>
                <w:szCs w:val="20"/>
                <w:lang w:eastAsia="cs-CZ"/>
              </w:rPr>
            </w:pPr>
            <w:r w:rsidRPr="001D739C">
              <w:rPr>
                <w:rFonts w:cs="Calibri"/>
                <w:i/>
                <w:sz w:val="20"/>
                <w:szCs w:val="20"/>
                <w:lang w:eastAsia="cs-CZ"/>
              </w:rPr>
              <w:t>3 922,80</w:t>
            </w:r>
          </w:p>
        </w:tc>
      </w:tr>
      <w:tr w:rsidR="00C767D8" w:rsidRPr="001D739C" w14:paraId="70737063" w14:textId="77777777" w:rsidTr="003E1A45">
        <w:trPr>
          <w:trHeight w:val="113"/>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8A585" w14:textId="77777777" w:rsidR="00C767D8" w:rsidRPr="001D739C" w:rsidRDefault="00C767D8" w:rsidP="00562DCE">
            <w:pPr>
              <w:rPr>
                <w:rFonts w:cs="Calibri"/>
                <w:b/>
                <w:bCs/>
                <w:sz w:val="20"/>
                <w:szCs w:val="20"/>
                <w:lang w:eastAsia="cs-CZ"/>
              </w:rPr>
            </w:pPr>
            <w:r w:rsidRPr="001D739C">
              <w:rPr>
                <w:rFonts w:cs="Calibri"/>
                <w:b/>
                <w:bCs/>
                <w:sz w:val="20"/>
                <w:szCs w:val="20"/>
                <w:lang w:eastAsia="cs-CZ"/>
              </w:rPr>
              <w:t>Výnosy celkem</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2C179" w14:textId="77777777" w:rsidR="00C767D8" w:rsidRPr="001D739C" w:rsidRDefault="00C767D8" w:rsidP="00555F62">
            <w:pPr>
              <w:ind w:left="-69" w:right="57"/>
              <w:jc w:val="right"/>
              <w:rPr>
                <w:rFonts w:cs="Calibri"/>
                <w:b/>
                <w:sz w:val="20"/>
                <w:szCs w:val="20"/>
                <w:lang w:eastAsia="cs-CZ"/>
              </w:rPr>
            </w:pPr>
            <w:r w:rsidRPr="001D739C">
              <w:rPr>
                <w:rFonts w:cs="Calibri"/>
                <w:b/>
                <w:sz w:val="20"/>
                <w:szCs w:val="20"/>
                <w:lang w:eastAsia="cs-CZ"/>
              </w:rPr>
              <w:t>95 494 151,33</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51700" w14:textId="77777777" w:rsidR="00C767D8" w:rsidRPr="001D739C" w:rsidRDefault="00C767D8" w:rsidP="00555F62">
            <w:pPr>
              <w:ind w:left="-69" w:right="57"/>
              <w:jc w:val="right"/>
              <w:rPr>
                <w:rFonts w:cs="Calibri"/>
                <w:b/>
                <w:sz w:val="20"/>
                <w:szCs w:val="20"/>
                <w:lang w:eastAsia="cs-CZ"/>
              </w:rPr>
            </w:pPr>
            <w:r w:rsidRPr="001D739C">
              <w:rPr>
                <w:rFonts w:cs="Calibri"/>
                <w:b/>
                <w:sz w:val="20"/>
                <w:szCs w:val="20"/>
                <w:lang w:eastAsia="cs-CZ"/>
              </w:rPr>
              <w:t>224 385 679,50</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01EE3" w14:textId="77777777" w:rsidR="00C767D8" w:rsidRPr="001D739C" w:rsidRDefault="00C767D8" w:rsidP="00555F62">
            <w:pPr>
              <w:ind w:left="-69" w:right="57"/>
              <w:jc w:val="right"/>
              <w:rPr>
                <w:rFonts w:cs="Calibri"/>
                <w:b/>
                <w:sz w:val="20"/>
                <w:szCs w:val="20"/>
                <w:lang w:eastAsia="cs-CZ"/>
              </w:rPr>
            </w:pPr>
            <w:r w:rsidRPr="001D739C">
              <w:rPr>
                <w:rFonts w:cs="Calibri"/>
                <w:b/>
                <w:sz w:val="20"/>
                <w:szCs w:val="20"/>
                <w:lang w:eastAsia="cs-CZ"/>
              </w:rPr>
              <w:t>218 029 761,82</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DB3AC" w14:textId="77777777" w:rsidR="00C767D8" w:rsidRPr="001D739C" w:rsidRDefault="00C767D8" w:rsidP="00555F62">
            <w:pPr>
              <w:ind w:left="-69" w:right="68"/>
              <w:jc w:val="right"/>
              <w:rPr>
                <w:rFonts w:cs="Calibri"/>
                <w:b/>
                <w:sz w:val="20"/>
                <w:szCs w:val="20"/>
                <w:lang w:eastAsia="cs-CZ"/>
              </w:rPr>
            </w:pPr>
            <w:r w:rsidRPr="001D739C">
              <w:rPr>
                <w:rFonts w:cs="Calibri"/>
                <w:b/>
                <w:sz w:val="20"/>
                <w:szCs w:val="20"/>
                <w:lang w:eastAsia="cs-CZ"/>
              </w:rPr>
              <w:t>134,97</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292B8" w14:textId="77777777" w:rsidR="00C767D8" w:rsidRPr="001D739C" w:rsidRDefault="00555F62" w:rsidP="00555F62">
            <w:pPr>
              <w:ind w:left="-69" w:right="68"/>
              <w:jc w:val="right"/>
              <w:rPr>
                <w:rFonts w:cs="Calibri"/>
                <w:b/>
                <w:sz w:val="20"/>
                <w:szCs w:val="20"/>
                <w:lang w:eastAsia="cs-CZ"/>
              </w:rPr>
            </w:pPr>
            <w:r w:rsidRPr="00555F62">
              <w:rPr>
                <w:rFonts w:cs="Calibri"/>
                <w:b/>
                <w:sz w:val="20"/>
                <w:szCs w:val="20"/>
                <w:lang w:eastAsia="cs-CZ"/>
              </w:rPr>
              <w:t>–</w:t>
            </w:r>
            <w:r w:rsidR="00C767D8" w:rsidRPr="001D739C">
              <w:rPr>
                <w:rFonts w:cs="Calibri"/>
                <w:b/>
                <w:sz w:val="20"/>
                <w:szCs w:val="20"/>
                <w:lang w:eastAsia="cs-CZ"/>
              </w:rPr>
              <w:t>2,83</w:t>
            </w:r>
          </w:p>
        </w:tc>
      </w:tr>
      <w:tr w:rsidR="00C767D8" w:rsidRPr="001D739C" w14:paraId="0330B30A" w14:textId="77777777" w:rsidTr="003E1A45">
        <w:trPr>
          <w:trHeight w:val="58"/>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B741D" w14:textId="77777777" w:rsidR="00C767D8" w:rsidRPr="001D739C" w:rsidRDefault="00C767D8" w:rsidP="00BB5556">
            <w:pPr>
              <w:ind w:firstLine="113"/>
              <w:rPr>
                <w:rFonts w:cs="Calibri"/>
                <w:iCs/>
                <w:sz w:val="20"/>
                <w:szCs w:val="20"/>
                <w:lang w:eastAsia="cs-CZ"/>
              </w:rPr>
            </w:pPr>
            <w:r w:rsidRPr="001D739C">
              <w:rPr>
                <w:rFonts w:cs="Calibri"/>
                <w:iCs/>
                <w:sz w:val="20"/>
                <w:szCs w:val="20"/>
                <w:lang w:eastAsia="cs-CZ"/>
              </w:rPr>
              <w:t>Výnosy z činnosti</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2309D"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31 091 165,30</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FB3BA"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25 908 869,51</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EC55B"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46 936 364,02</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60548" w14:textId="77777777" w:rsidR="00C767D8" w:rsidRPr="001D739C" w:rsidRDefault="00555F62" w:rsidP="00555F62">
            <w:pPr>
              <w:ind w:left="-69" w:right="68"/>
              <w:jc w:val="right"/>
              <w:rPr>
                <w:rFonts w:cs="Calibri"/>
                <w:sz w:val="20"/>
                <w:szCs w:val="20"/>
                <w:lang w:eastAsia="cs-CZ"/>
              </w:rPr>
            </w:pPr>
            <w:r>
              <w:rPr>
                <w:rFonts w:cs="Calibri"/>
                <w:sz w:val="20"/>
                <w:szCs w:val="20"/>
                <w:lang w:eastAsia="cs-CZ"/>
              </w:rPr>
              <w:t>–</w:t>
            </w:r>
            <w:r w:rsidR="00C767D8" w:rsidRPr="001D739C">
              <w:rPr>
                <w:rFonts w:cs="Calibri"/>
                <w:sz w:val="20"/>
                <w:szCs w:val="20"/>
                <w:lang w:eastAsia="cs-CZ"/>
              </w:rPr>
              <w:t>16,67</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57119" w14:textId="77777777" w:rsidR="00C767D8" w:rsidRPr="001D739C" w:rsidRDefault="00C767D8" w:rsidP="00555F62">
            <w:pPr>
              <w:ind w:left="-69" w:right="68"/>
              <w:jc w:val="right"/>
              <w:rPr>
                <w:rFonts w:cs="Calibri"/>
                <w:sz w:val="20"/>
                <w:szCs w:val="20"/>
                <w:lang w:eastAsia="cs-CZ"/>
              </w:rPr>
            </w:pPr>
            <w:r w:rsidRPr="001D739C">
              <w:rPr>
                <w:rFonts w:cs="Calibri"/>
                <w:sz w:val="20"/>
                <w:szCs w:val="20"/>
                <w:lang w:eastAsia="cs-CZ"/>
              </w:rPr>
              <w:t>81,16</w:t>
            </w:r>
          </w:p>
        </w:tc>
      </w:tr>
      <w:tr w:rsidR="00C767D8" w:rsidRPr="001D739C" w14:paraId="07E8C4BE" w14:textId="77777777" w:rsidTr="003E1A45">
        <w:trPr>
          <w:trHeight w:val="56"/>
        </w:trPr>
        <w:tc>
          <w:tcPr>
            <w:tcW w:w="14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129C5" w14:textId="77777777" w:rsidR="00C767D8" w:rsidRPr="001D739C" w:rsidRDefault="00C767D8" w:rsidP="00BB5556">
            <w:pPr>
              <w:ind w:firstLine="113"/>
              <w:rPr>
                <w:rFonts w:cs="Calibri"/>
                <w:sz w:val="20"/>
                <w:szCs w:val="20"/>
                <w:lang w:eastAsia="cs-CZ"/>
              </w:rPr>
            </w:pPr>
            <w:r w:rsidRPr="001D739C">
              <w:rPr>
                <w:rFonts w:cs="Calibri"/>
                <w:sz w:val="20"/>
                <w:szCs w:val="20"/>
                <w:lang w:eastAsia="cs-CZ"/>
              </w:rPr>
              <w:t>Výnosy z transferů</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C720B"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64 369 554,84</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FC3C5"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198 408 797,02</w:t>
            </w:r>
          </w:p>
        </w:tc>
        <w:tc>
          <w:tcPr>
            <w:tcW w:w="7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64A1D"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171 091 036,09</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60397" w14:textId="77777777" w:rsidR="00C767D8" w:rsidRPr="001D739C" w:rsidRDefault="00C767D8" w:rsidP="00555F62">
            <w:pPr>
              <w:ind w:left="-69" w:right="68"/>
              <w:jc w:val="right"/>
              <w:rPr>
                <w:rFonts w:cs="Calibri"/>
                <w:sz w:val="20"/>
                <w:szCs w:val="20"/>
                <w:lang w:eastAsia="cs-CZ"/>
              </w:rPr>
            </w:pPr>
            <w:r w:rsidRPr="001D739C">
              <w:rPr>
                <w:rFonts w:cs="Calibri"/>
                <w:sz w:val="20"/>
                <w:szCs w:val="20"/>
                <w:lang w:eastAsia="cs-CZ"/>
              </w:rPr>
              <w:t>208,23</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49584" w14:textId="77777777" w:rsidR="00C767D8" w:rsidRPr="001D739C" w:rsidRDefault="00555F62" w:rsidP="00555F62">
            <w:pPr>
              <w:ind w:left="-69" w:right="68"/>
              <w:jc w:val="right"/>
              <w:rPr>
                <w:rFonts w:cs="Calibri"/>
                <w:sz w:val="20"/>
                <w:szCs w:val="20"/>
                <w:lang w:eastAsia="cs-CZ"/>
              </w:rPr>
            </w:pPr>
            <w:r>
              <w:rPr>
                <w:rFonts w:cs="Calibri"/>
                <w:sz w:val="20"/>
                <w:szCs w:val="20"/>
                <w:lang w:eastAsia="cs-CZ"/>
              </w:rPr>
              <w:t>–</w:t>
            </w:r>
            <w:r w:rsidR="00C767D8" w:rsidRPr="001D739C">
              <w:rPr>
                <w:rFonts w:cs="Calibri"/>
                <w:sz w:val="20"/>
                <w:szCs w:val="20"/>
                <w:lang w:eastAsia="cs-CZ"/>
              </w:rPr>
              <w:t>13,77</w:t>
            </w:r>
          </w:p>
        </w:tc>
      </w:tr>
      <w:tr w:rsidR="00C767D8" w:rsidRPr="001D739C" w14:paraId="5C3C5D0F" w14:textId="77777777" w:rsidTr="00475F45">
        <w:trPr>
          <w:trHeight w:val="404"/>
        </w:trPr>
        <w:tc>
          <w:tcPr>
            <w:tcW w:w="1493" w:type="pct"/>
            <w:tcBorders>
              <w:top w:val="single" w:sz="4" w:space="0" w:color="auto"/>
              <w:left w:val="single" w:sz="4" w:space="0" w:color="auto"/>
              <w:bottom w:val="single" w:sz="8" w:space="0" w:color="auto"/>
              <w:right w:val="single" w:sz="4" w:space="0" w:color="auto"/>
            </w:tcBorders>
            <w:shd w:val="clear" w:color="auto" w:fill="auto"/>
            <w:vAlign w:val="bottom"/>
            <w:hideMark/>
          </w:tcPr>
          <w:p w14:paraId="07D0740F" w14:textId="77777777" w:rsidR="00C767D8" w:rsidRPr="001D739C" w:rsidRDefault="00C767D8" w:rsidP="00555F62">
            <w:pPr>
              <w:spacing w:line="214" w:lineRule="auto"/>
              <w:ind w:left="227"/>
              <w:rPr>
                <w:rFonts w:cs="Calibri"/>
                <w:i/>
                <w:sz w:val="20"/>
                <w:szCs w:val="20"/>
                <w:lang w:eastAsia="cs-CZ"/>
              </w:rPr>
            </w:pPr>
            <w:r w:rsidRPr="001D739C">
              <w:rPr>
                <w:rFonts w:cs="Calibri"/>
                <w:i/>
                <w:sz w:val="20"/>
                <w:szCs w:val="20"/>
                <w:lang w:eastAsia="cs-CZ"/>
              </w:rPr>
              <w:t>Výnosy vybraných ústředních vládních institucí z</w:t>
            </w:r>
            <w:r w:rsidR="00555F62">
              <w:rPr>
                <w:rFonts w:cs="Calibri"/>
                <w:i/>
                <w:sz w:val="20"/>
                <w:szCs w:val="20"/>
                <w:lang w:eastAsia="cs-CZ"/>
              </w:rPr>
              <w:t> </w:t>
            </w:r>
            <w:r w:rsidRPr="001D739C">
              <w:rPr>
                <w:rFonts w:cs="Calibri"/>
                <w:i/>
                <w:sz w:val="20"/>
                <w:szCs w:val="20"/>
                <w:lang w:eastAsia="cs-CZ"/>
              </w:rPr>
              <w:t>transferů</w:t>
            </w:r>
          </w:p>
        </w:tc>
        <w:tc>
          <w:tcPr>
            <w:tcW w:w="797"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3011E6A" w14:textId="77777777" w:rsidR="00C767D8" w:rsidRPr="001D739C" w:rsidRDefault="00C767D8" w:rsidP="00555F62">
            <w:pPr>
              <w:spacing w:line="214" w:lineRule="auto"/>
              <w:ind w:left="-69" w:right="57"/>
              <w:jc w:val="right"/>
              <w:rPr>
                <w:rFonts w:cs="Calibri"/>
                <w:i/>
                <w:sz w:val="20"/>
                <w:szCs w:val="20"/>
                <w:lang w:eastAsia="cs-CZ"/>
              </w:rPr>
            </w:pPr>
            <w:r w:rsidRPr="001D739C">
              <w:rPr>
                <w:rFonts w:cs="Calibri"/>
                <w:i/>
                <w:sz w:val="20"/>
                <w:szCs w:val="20"/>
                <w:lang w:eastAsia="cs-CZ"/>
              </w:rPr>
              <w:t>64 369 554,84</w:t>
            </w:r>
          </w:p>
        </w:tc>
        <w:tc>
          <w:tcPr>
            <w:tcW w:w="797"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CF8C6D6" w14:textId="77777777" w:rsidR="00C767D8" w:rsidRPr="001D739C" w:rsidRDefault="00C767D8" w:rsidP="00555F62">
            <w:pPr>
              <w:spacing w:line="214" w:lineRule="auto"/>
              <w:ind w:left="-69" w:right="57"/>
              <w:jc w:val="right"/>
              <w:rPr>
                <w:rFonts w:cs="Calibri"/>
                <w:i/>
                <w:sz w:val="20"/>
                <w:szCs w:val="20"/>
                <w:lang w:eastAsia="cs-CZ"/>
              </w:rPr>
            </w:pPr>
            <w:r w:rsidRPr="001D739C">
              <w:rPr>
                <w:rFonts w:cs="Calibri"/>
                <w:i/>
                <w:sz w:val="20"/>
                <w:szCs w:val="20"/>
                <w:lang w:eastAsia="cs-CZ"/>
              </w:rPr>
              <w:t>198 408 797,02</w:t>
            </w:r>
          </w:p>
        </w:tc>
        <w:tc>
          <w:tcPr>
            <w:tcW w:w="797"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EF0E306" w14:textId="77777777" w:rsidR="00C767D8" w:rsidRPr="001D739C" w:rsidRDefault="00C767D8" w:rsidP="00555F62">
            <w:pPr>
              <w:spacing w:line="214" w:lineRule="auto"/>
              <w:ind w:left="-69" w:right="57"/>
              <w:jc w:val="right"/>
              <w:rPr>
                <w:rFonts w:cs="Calibri"/>
                <w:i/>
                <w:sz w:val="20"/>
                <w:szCs w:val="20"/>
                <w:lang w:eastAsia="cs-CZ"/>
              </w:rPr>
            </w:pPr>
            <w:r w:rsidRPr="001D739C">
              <w:rPr>
                <w:rFonts w:cs="Calibri"/>
                <w:i/>
                <w:sz w:val="20"/>
                <w:szCs w:val="20"/>
                <w:lang w:eastAsia="cs-CZ"/>
              </w:rPr>
              <w:t>171 091 036,09</w:t>
            </w:r>
          </w:p>
        </w:tc>
        <w:tc>
          <w:tcPr>
            <w:tcW w:w="637"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A422A81" w14:textId="77777777" w:rsidR="00C767D8" w:rsidRPr="001D739C" w:rsidRDefault="00C767D8" w:rsidP="00555F62">
            <w:pPr>
              <w:spacing w:line="214" w:lineRule="auto"/>
              <w:ind w:left="-69" w:right="68"/>
              <w:jc w:val="right"/>
              <w:rPr>
                <w:rFonts w:cs="Calibri"/>
                <w:i/>
                <w:sz w:val="20"/>
                <w:szCs w:val="20"/>
                <w:lang w:eastAsia="cs-CZ"/>
              </w:rPr>
            </w:pPr>
            <w:r w:rsidRPr="001D739C">
              <w:rPr>
                <w:rFonts w:cs="Calibri"/>
                <w:i/>
                <w:sz w:val="20"/>
                <w:szCs w:val="20"/>
                <w:lang w:eastAsia="cs-CZ"/>
              </w:rPr>
              <w:t>208,23</w:t>
            </w:r>
          </w:p>
        </w:tc>
        <w:tc>
          <w:tcPr>
            <w:tcW w:w="479"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7658217" w14:textId="77777777" w:rsidR="00C767D8" w:rsidRPr="001D739C" w:rsidRDefault="00555F62" w:rsidP="00555F62">
            <w:pPr>
              <w:spacing w:line="214" w:lineRule="auto"/>
              <w:ind w:left="-69" w:right="68"/>
              <w:jc w:val="right"/>
              <w:rPr>
                <w:rFonts w:cs="Calibri"/>
                <w:i/>
                <w:sz w:val="20"/>
                <w:szCs w:val="20"/>
                <w:lang w:eastAsia="cs-CZ"/>
              </w:rPr>
            </w:pPr>
            <w:r>
              <w:rPr>
                <w:rFonts w:cs="Calibri"/>
                <w:sz w:val="20"/>
                <w:szCs w:val="20"/>
                <w:lang w:eastAsia="cs-CZ"/>
              </w:rPr>
              <w:t>–</w:t>
            </w:r>
            <w:r w:rsidR="00C767D8" w:rsidRPr="001D739C">
              <w:rPr>
                <w:rFonts w:cs="Calibri"/>
                <w:i/>
                <w:sz w:val="20"/>
                <w:szCs w:val="20"/>
                <w:lang w:eastAsia="cs-CZ"/>
              </w:rPr>
              <w:t>13,77</w:t>
            </w:r>
          </w:p>
        </w:tc>
      </w:tr>
      <w:tr w:rsidR="00C767D8" w:rsidRPr="001D739C" w14:paraId="3AB2C6B9" w14:textId="77777777" w:rsidTr="00475F45">
        <w:trPr>
          <w:trHeight w:val="56"/>
        </w:trPr>
        <w:tc>
          <w:tcPr>
            <w:tcW w:w="149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CAE4D7" w14:textId="77777777" w:rsidR="00C767D8" w:rsidRPr="001D739C" w:rsidRDefault="00C767D8" w:rsidP="00562DCE">
            <w:pPr>
              <w:rPr>
                <w:rFonts w:cs="Calibri"/>
                <w:b/>
                <w:iCs/>
                <w:sz w:val="20"/>
                <w:szCs w:val="20"/>
                <w:lang w:eastAsia="cs-CZ"/>
              </w:rPr>
            </w:pPr>
            <w:r w:rsidRPr="001D739C">
              <w:rPr>
                <w:rFonts w:cs="Calibri"/>
                <w:b/>
                <w:iCs/>
                <w:sz w:val="20"/>
                <w:szCs w:val="20"/>
                <w:lang w:eastAsia="cs-CZ"/>
              </w:rPr>
              <w:t>Výsledek hospodaření</w:t>
            </w:r>
          </w:p>
        </w:tc>
        <w:tc>
          <w:tcPr>
            <w:tcW w:w="79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CB9BE29" w14:textId="3D7ACC6F" w:rsidR="00C767D8" w:rsidRPr="00EB0D53" w:rsidRDefault="00C767D8" w:rsidP="00BF64A4">
            <w:pPr>
              <w:jc w:val="center"/>
              <w:rPr>
                <w:rFonts w:cs="Calibri"/>
                <w:b/>
                <w:sz w:val="20"/>
                <w:szCs w:val="20"/>
                <w:lang w:eastAsia="cs-CZ"/>
              </w:rPr>
            </w:pPr>
          </w:p>
        </w:tc>
        <w:tc>
          <w:tcPr>
            <w:tcW w:w="79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CC0EB42" w14:textId="4BCFD0B2" w:rsidR="00C767D8" w:rsidRPr="00EB0D53" w:rsidRDefault="00C767D8" w:rsidP="00BF64A4">
            <w:pPr>
              <w:jc w:val="center"/>
              <w:rPr>
                <w:rFonts w:cs="Calibri"/>
                <w:b/>
                <w:sz w:val="20"/>
                <w:szCs w:val="20"/>
                <w:lang w:eastAsia="cs-CZ"/>
              </w:rPr>
            </w:pPr>
          </w:p>
        </w:tc>
        <w:tc>
          <w:tcPr>
            <w:tcW w:w="79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00E1DF1" w14:textId="18488705" w:rsidR="00C767D8" w:rsidRPr="00EB0D53" w:rsidRDefault="00C767D8" w:rsidP="00BF64A4">
            <w:pPr>
              <w:jc w:val="center"/>
              <w:rPr>
                <w:rFonts w:cs="Calibri"/>
                <w:b/>
                <w:sz w:val="20"/>
                <w:szCs w:val="20"/>
                <w:lang w:eastAsia="cs-CZ"/>
              </w:rPr>
            </w:pPr>
          </w:p>
        </w:tc>
        <w:tc>
          <w:tcPr>
            <w:tcW w:w="63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89F6DA8" w14:textId="472EB85E" w:rsidR="00C767D8" w:rsidRPr="00EB0D53" w:rsidRDefault="00C767D8" w:rsidP="00BF64A4">
            <w:pPr>
              <w:jc w:val="center"/>
              <w:rPr>
                <w:rFonts w:cs="Calibri"/>
                <w:b/>
                <w:sz w:val="20"/>
                <w:szCs w:val="20"/>
                <w:lang w:eastAsia="cs-CZ"/>
              </w:rPr>
            </w:pPr>
          </w:p>
        </w:tc>
        <w:tc>
          <w:tcPr>
            <w:tcW w:w="47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73EAE54" w14:textId="7631B1F4" w:rsidR="00C767D8" w:rsidRPr="00EB0D53" w:rsidRDefault="00C767D8" w:rsidP="00BF64A4">
            <w:pPr>
              <w:jc w:val="center"/>
              <w:rPr>
                <w:rFonts w:cs="Calibri"/>
                <w:b/>
                <w:sz w:val="20"/>
                <w:szCs w:val="20"/>
                <w:lang w:eastAsia="cs-CZ"/>
              </w:rPr>
            </w:pPr>
          </w:p>
        </w:tc>
      </w:tr>
      <w:tr w:rsidR="00C767D8" w:rsidRPr="001D739C" w14:paraId="1BC4F954" w14:textId="77777777" w:rsidTr="00475F45">
        <w:trPr>
          <w:trHeight w:val="56"/>
        </w:trPr>
        <w:tc>
          <w:tcPr>
            <w:tcW w:w="1493"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777E8AEF" w14:textId="77777777" w:rsidR="00C767D8" w:rsidRPr="001D739C" w:rsidRDefault="00C767D8" w:rsidP="00BB5556">
            <w:pPr>
              <w:ind w:left="113"/>
              <w:rPr>
                <w:rFonts w:cs="Calibri"/>
                <w:sz w:val="20"/>
                <w:szCs w:val="20"/>
                <w:lang w:eastAsia="cs-CZ"/>
              </w:rPr>
            </w:pPr>
            <w:r w:rsidRPr="001D739C">
              <w:rPr>
                <w:rFonts w:cs="Calibri"/>
                <w:sz w:val="20"/>
                <w:szCs w:val="20"/>
                <w:lang w:eastAsia="cs-CZ"/>
              </w:rPr>
              <w:t xml:space="preserve">Výsledek hospodaření před </w:t>
            </w:r>
            <w:r w:rsidR="003E1A45" w:rsidRPr="001D739C">
              <w:rPr>
                <w:rFonts w:cs="Calibri"/>
                <w:sz w:val="20"/>
                <w:szCs w:val="20"/>
                <w:lang w:eastAsia="cs-CZ"/>
              </w:rPr>
              <w:t>z</w:t>
            </w:r>
            <w:r w:rsidRPr="001D739C">
              <w:rPr>
                <w:rFonts w:cs="Calibri"/>
                <w:sz w:val="20"/>
                <w:szCs w:val="20"/>
                <w:lang w:eastAsia="cs-CZ"/>
              </w:rPr>
              <w:t>daněním</w:t>
            </w:r>
          </w:p>
        </w:tc>
        <w:tc>
          <w:tcPr>
            <w:tcW w:w="797"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CA4E9F6"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4 618,70</w:t>
            </w:r>
          </w:p>
        </w:tc>
        <w:tc>
          <w:tcPr>
            <w:tcW w:w="797"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DB05503"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21 184 886,26</w:t>
            </w:r>
          </w:p>
        </w:tc>
        <w:tc>
          <w:tcPr>
            <w:tcW w:w="797"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0BA3B58"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4 971,03</w:t>
            </w:r>
          </w:p>
        </w:tc>
        <w:tc>
          <w:tcPr>
            <w:tcW w:w="637"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3835E23" w14:textId="77777777" w:rsidR="00C767D8" w:rsidRPr="001D739C" w:rsidRDefault="00C767D8" w:rsidP="00555F62">
            <w:pPr>
              <w:ind w:left="-69" w:right="68"/>
              <w:jc w:val="right"/>
              <w:rPr>
                <w:rFonts w:cs="Calibri"/>
                <w:b/>
                <w:sz w:val="20"/>
                <w:szCs w:val="20"/>
                <w:lang w:eastAsia="cs-CZ"/>
              </w:rPr>
            </w:pPr>
            <w:r w:rsidRPr="001D739C">
              <w:rPr>
                <w:rFonts w:cs="Calibri"/>
                <w:b/>
                <w:sz w:val="20"/>
                <w:szCs w:val="20"/>
                <w:lang w:eastAsia="cs-CZ"/>
              </w:rPr>
              <w:t>458 576,39</w:t>
            </w:r>
          </w:p>
        </w:tc>
        <w:tc>
          <w:tcPr>
            <w:tcW w:w="479"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1BF1CEA" w14:textId="77777777" w:rsidR="00C767D8" w:rsidRPr="001D739C" w:rsidRDefault="00555F62" w:rsidP="00555F62">
            <w:pPr>
              <w:ind w:left="-69" w:right="68"/>
              <w:jc w:val="right"/>
              <w:rPr>
                <w:rFonts w:cs="Calibri"/>
                <w:b/>
                <w:sz w:val="20"/>
                <w:szCs w:val="20"/>
                <w:lang w:eastAsia="cs-CZ"/>
              </w:rPr>
            </w:pPr>
            <w:r w:rsidRPr="00555F62">
              <w:rPr>
                <w:rFonts w:cs="Calibri"/>
                <w:b/>
                <w:sz w:val="20"/>
                <w:szCs w:val="20"/>
                <w:lang w:eastAsia="cs-CZ"/>
              </w:rPr>
              <w:t>–</w:t>
            </w:r>
            <w:r w:rsidR="00C767D8" w:rsidRPr="001D739C">
              <w:rPr>
                <w:rFonts w:cs="Calibri"/>
                <w:b/>
                <w:sz w:val="20"/>
                <w:szCs w:val="20"/>
                <w:lang w:eastAsia="cs-CZ"/>
              </w:rPr>
              <w:t>99,98</w:t>
            </w:r>
          </w:p>
        </w:tc>
      </w:tr>
      <w:tr w:rsidR="00C767D8" w:rsidRPr="001D739C" w14:paraId="7A6BCB84" w14:textId="77777777" w:rsidTr="00475F45">
        <w:trPr>
          <w:trHeight w:val="188"/>
        </w:trPr>
        <w:tc>
          <w:tcPr>
            <w:tcW w:w="1493"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6E9DC775" w14:textId="77777777" w:rsidR="00C767D8" w:rsidRPr="001D739C" w:rsidRDefault="00C767D8" w:rsidP="00BB5556">
            <w:pPr>
              <w:ind w:left="113"/>
              <w:rPr>
                <w:rFonts w:cs="Calibri"/>
                <w:sz w:val="20"/>
                <w:szCs w:val="20"/>
                <w:lang w:eastAsia="cs-CZ"/>
              </w:rPr>
            </w:pPr>
            <w:r w:rsidRPr="001D739C">
              <w:rPr>
                <w:rFonts w:cs="Calibri"/>
                <w:sz w:val="20"/>
                <w:szCs w:val="20"/>
                <w:lang w:eastAsia="cs-CZ"/>
              </w:rPr>
              <w:t>Výsledek hospodaření</w:t>
            </w:r>
            <w:r w:rsidR="003E1A45" w:rsidRPr="001D739C">
              <w:rPr>
                <w:rFonts w:cs="Calibri"/>
                <w:sz w:val="20"/>
                <w:szCs w:val="20"/>
                <w:lang w:eastAsia="cs-CZ"/>
              </w:rPr>
              <w:t xml:space="preserve"> </w:t>
            </w:r>
            <w:r w:rsidRPr="001D739C">
              <w:rPr>
                <w:rFonts w:cs="Calibri"/>
                <w:sz w:val="20"/>
                <w:szCs w:val="20"/>
                <w:lang w:eastAsia="cs-CZ"/>
              </w:rPr>
              <w:t>běžného účetního období</w:t>
            </w:r>
          </w:p>
        </w:tc>
        <w:tc>
          <w:tcPr>
            <w:tcW w:w="79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F9D056"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4 618,70</w:t>
            </w:r>
          </w:p>
        </w:tc>
        <w:tc>
          <w:tcPr>
            <w:tcW w:w="79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BA3E65" w14:textId="77777777" w:rsidR="00C767D8" w:rsidRPr="001D739C" w:rsidRDefault="00C767D8" w:rsidP="00555F62">
            <w:pPr>
              <w:ind w:left="-69" w:right="57"/>
              <w:jc w:val="right"/>
              <w:rPr>
                <w:rFonts w:cs="Calibri"/>
                <w:sz w:val="20"/>
                <w:szCs w:val="20"/>
                <w:lang w:eastAsia="cs-CZ"/>
              </w:rPr>
            </w:pPr>
            <w:r w:rsidRPr="001D739C">
              <w:rPr>
                <w:rFonts w:cs="Calibri"/>
                <w:sz w:val="20"/>
                <w:szCs w:val="20"/>
                <w:lang w:eastAsia="cs-CZ"/>
              </w:rPr>
              <w:t>21 184 886,26</w:t>
            </w:r>
          </w:p>
        </w:tc>
        <w:tc>
          <w:tcPr>
            <w:tcW w:w="79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F889A6" w14:textId="77777777" w:rsidR="00C767D8" w:rsidRPr="001D739C" w:rsidRDefault="00555F62" w:rsidP="00555F62">
            <w:pPr>
              <w:ind w:left="-69" w:right="57"/>
              <w:jc w:val="right"/>
              <w:rPr>
                <w:rFonts w:cs="Calibri"/>
                <w:sz w:val="20"/>
                <w:szCs w:val="20"/>
                <w:lang w:eastAsia="cs-CZ"/>
              </w:rPr>
            </w:pPr>
            <w:r>
              <w:rPr>
                <w:rFonts w:cs="Calibri"/>
                <w:sz w:val="20"/>
                <w:szCs w:val="20"/>
                <w:lang w:eastAsia="cs-CZ"/>
              </w:rPr>
              <w:t>–</w:t>
            </w:r>
            <w:r w:rsidR="00C767D8" w:rsidRPr="001D739C">
              <w:rPr>
                <w:rFonts w:cs="Calibri"/>
                <w:sz w:val="20"/>
                <w:szCs w:val="20"/>
                <w:lang w:eastAsia="cs-CZ"/>
              </w:rPr>
              <w:t>4 019 988,97</w:t>
            </w:r>
          </w:p>
        </w:tc>
        <w:tc>
          <w:tcPr>
            <w:tcW w:w="6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C580CB" w14:textId="77777777" w:rsidR="00C767D8" w:rsidRPr="001D739C" w:rsidRDefault="00C767D8" w:rsidP="00555F62">
            <w:pPr>
              <w:ind w:left="-69" w:right="68"/>
              <w:jc w:val="right"/>
              <w:rPr>
                <w:rFonts w:cs="Calibri"/>
                <w:b/>
                <w:sz w:val="20"/>
                <w:szCs w:val="20"/>
                <w:lang w:eastAsia="cs-CZ"/>
              </w:rPr>
            </w:pPr>
            <w:r w:rsidRPr="001D739C">
              <w:rPr>
                <w:rFonts w:cs="Calibri"/>
                <w:b/>
                <w:sz w:val="20"/>
                <w:szCs w:val="20"/>
                <w:lang w:eastAsia="cs-CZ"/>
              </w:rPr>
              <w:t>458 576,39</w:t>
            </w:r>
          </w:p>
        </w:tc>
        <w:tc>
          <w:tcPr>
            <w:tcW w:w="4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EABD44" w14:textId="77777777" w:rsidR="00C767D8" w:rsidRPr="001D739C" w:rsidRDefault="00555F62" w:rsidP="00555F62">
            <w:pPr>
              <w:ind w:left="-69" w:right="68"/>
              <w:jc w:val="right"/>
              <w:rPr>
                <w:rFonts w:cs="Calibri"/>
                <w:b/>
                <w:sz w:val="20"/>
                <w:szCs w:val="20"/>
                <w:lang w:eastAsia="cs-CZ"/>
              </w:rPr>
            </w:pPr>
            <w:r w:rsidRPr="00555F62">
              <w:rPr>
                <w:rFonts w:cs="Calibri"/>
                <w:b/>
                <w:sz w:val="20"/>
                <w:szCs w:val="20"/>
                <w:lang w:eastAsia="cs-CZ"/>
              </w:rPr>
              <w:t>–</w:t>
            </w:r>
            <w:r w:rsidR="00C767D8" w:rsidRPr="001D739C">
              <w:rPr>
                <w:rFonts w:cs="Calibri"/>
                <w:b/>
                <w:sz w:val="20"/>
                <w:szCs w:val="20"/>
                <w:lang w:eastAsia="cs-CZ"/>
              </w:rPr>
              <w:t>118,98</w:t>
            </w:r>
          </w:p>
        </w:tc>
      </w:tr>
    </w:tbl>
    <w:p w14:paraId="146B83C9" w14:textId="3B063CFC" w:rsidR="00C767D8" w:rsidRPr="001D739C" w:rsidRDefault="00C767D8" w:rsidP="001D739C">
      <w:pPr>
        <w:spacing w:before="40"/>
        <w:ind w:left="595" w:hanging="595"/>
        <w:rPr>
          <w:rFonts w:cstheme="minorHAnsi"/>
          <w:sz w:val="20"/>
          <w:szCs w:val="20"/>
        </w:rPr>
      </w:pPr>
      <w:r w:rsidRPr="001D739C">
        <w:rPr>
          <w:rFonts w:cstheme="minorHAnsi"/>
          <w:b/>
          <w:sz w:val="20"/>
          <w:szCs w:val="20"/>
        </w:rPr>
        <w:t>Zdroj:</w:t>
      </w:r>
      <w:r w:rsidRPr="001D739C">
        <w:rPr>
          <w:rFonts w:cstheme="minorHAnsi"/>
          <w:sz w:val="20"/>
          <w:szCs w:val="20"/>
        </w:rPr>
        <w:t xml:space="preserve"> </w:t>
      </w:r>
      <w:r w:rsidR="009169CE">
        <w:rPr>
          <w:rFonts w:cstheme="minorHAnsi"/>
          <w:sz w:val="20"/>
          <w:szCs w:val="20"/>
        </w:rPr>
        <w:t>v</w:t>
      </w:r>
      <w:r w:rsidRPr="001D739C">
        <w:rPr>
          <w:rFonts w:cstheme="minorHAnsi"/>
          <w:sz w:val="20"/>
          <w:szCs w:val="20"/>
        </w:rPr>
        <w:t>ýkaz</w:t>
      </w:r>
      <w:r w:rsidR="009169CE">
        <w:rPr>
          <w:rFonts w:cstheme="minorHAnsi"/>
          <w:sz w:val="20"/>
          <w:szCs w:val="20"/>
        </w:rPr>
        <w:t>y</w:t>
      </w:r>
      <w:r w:rsidRPr="001D739C">
        <w:rPr>
          <w:rFonts w:cstheme="minorHAnsi"/>
          <w:sz w:val="20"/>
          <w:szCs w:val="20"/>
        </w:rPr>
        <w:t xml:space="preserve"> zisku a ztráty NUDZ sestaven</w:t>
      </w:r>
      <w:r w:rsidR="009169CE">
        <w:rPr>
          <w:rFonts w:cstheme="minorHAnsi"/>
          <w:sz w:val="20"/>
          <w:szCs w:val="20"/>
        </w:rPr>
        <w:t>é</w:t>
      </w:r>
      <w:r w:rsidRPr="001D739C">
        <w:rPr>
          <w:rFonts w:cstheme="minorHAnsi"/>
          <w:sz w:val="20"/>
          <w:szCs w:val="20"/>
        </w:rPr>
        <w:t xml:space="preserve"> za účetní období od 1. 1. 2014 do 31. 12. 2014, od 1. 1. 2015 do 31. 12. 2015 a od 1. 1. 2016 do 31. 12. 2016.</w:t>
      </w:r>
    </w:p>
    <w:p w14:paraId="7BAB812B" w14:textId="77777777" w:rsidR="00C767D8" w:rsidRDefault="00C767D8" w:rsidP="004137A1">
      <w:pPr>
        <w:shd w:val="clear" w:color="auto" w:fill="FFFFFF" w:themeFill="background1"/>
        <w:jc w:val="both"/>
        <w:rPr>
          <w:shd w:val="clear" w:color="auto" w:fill="FFFFFF" w:themeFill="background1"/>
        </w:rPr>
      </w:pPr>
    </w:p>
    <w:sectPr w:rsidR="00C767D8" w:rsidSect="00562DCE">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BDD6F" w14:textId="77777777" w:rsidR="00B8557B" w:rsidRDefault="00B8557B" w:rsidP="00204195">
      <w:r>
        <w:separator/>
      </w:r>
    </w:p>
  </w:endnote>
  <w:endnote w:type="continuationSeparator" w:id="0">
    <w:p w14:paraId="09BC6549" w14:textId="77777777" w:rsidR="00B8557B" w:rsidRDefault="00B8557B" w:rsidP="0020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09E6" w14:textId="77777777" w:rsidR="00D3538A" w:rsidRDefault="00D353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304173"/>
      <w:docPartObj>
        <w:docPartGallery w:val="Page Numbers (Bottom of Page)"/>
        <w:docPartUnique/>
      </w:docPartObj>
    </w:sdtPr>
    <w:sdtEndPr/>
    <w:sdtContent>
      <w:p w14:paraId="0B43CEA4" w14:textId="595CBD37" w:rsidR="00B8557B" w:rsidRDefault="00B8557B" w:rsidP="003E1A45">
        <w:pPr>
          <w:pStyle w:val="Zpat"/>
          <w:jc w:val="center"/>
        </w:pPr>
        <w:r>
          <w:fldChar w:fldCharType="begin"/>
        </w:r>
        <w:r>
          <w:instrText>PAGE   \* MERGEFORMAT</w:instrText>
        </w:r>
        <w:r>
          <w:fldChar w:fldCharType="separate"/>
        </w:r>
        <w:r w:rsidR="00D3538A">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ACC46" w14:textId="77777777" w:rsidR="00D3538A" w:rsidRDefault="00D353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4394B" w14:textId="77777777" w:rsidR="00B8557B" w:rsidRDefault="00B8557B" w:rsidP="00204195">
      <w:r>
        <w:separator/>
      </w:r>
    </w:p>
  </w:footnote>
  <w:footnote w:type="continuationSeparator" w:id="0">
    <w:p w14:paraId="24417F0B" w14:textId="77777777" w:rsidR="00B8557B" w:rsidRDefault="00B8557B" w:rsidP="00204195">
      <w:r>
        <w:continuationSeparator/>
      </w:r>
    </w:p>
  </w:footnote>
  <w:footnote w:id="1">
    <w:p w14:paraId="3543273E" w14:textId="77777777" w:rsidR="00B8557B" w:rsidRPr="000A540E" w:rsidRDefault="00B8557B" w:rsidP="000A540E">
      <w:pPr>
        <w:pStyle w:val="Textpoznpodarou"/>
        <w:ind w:left="284" w:hanging="284"/>
      </w:pPr>
      <w:r w:rsidRPr="000A540E">
        <w:rPr>
          <w:rStyle w:val="Znakapoznpodarou"/>
          <w:rFonts w:eastAsiaTheme="majorEastAsia"/>
        </w:rPr>
        <w:footnoteRef/>
      </w:r>
      <w:r w:rsidRPr="000A540E">
        <w:t xml:space="preserve"> </w:t>
      </w:r>
      <w:r>
        <w:tab/>
      </w:r>
      <w:r w:rsidRPr="000A540E">
        <w:t xml:space="preserve">GA ČR – Grantová agentura ČR. </w:t>
      </w:r>
    </w:p>
  </w:footnote>
  <w:footnote w:id="2">
    <w:p w14:paraId="6C4534C3" w14:textId="77777777" w:rsidR="00B8557B" w:rsidRPr="000A540E" w:rsidRDefault="00B8557B" w:rsidP="000A540E">
      <w:pPr>
        <w:pStyle w:val="Textpoznpodarou"/>
        <w:ind w:left="284" w:hanging="284"/>
      </w:pPr>
      <w:r w:rsidRPr="000A540E">
        <w:rPr>
          <w:rStyle w:val="Znakapoznpodarou"/>
          <w:rFonts w:eastAsiaTheme="majorEastAsia"/>
        </w:rPr>
        <w:footnoteRef/>
      </w:r>
      <w:r w:rsidRPr="000A540E">
        <w:t xml:space="preserve"> </w:t>
      </w:r>
      <w:r>
        <w:tab/>
      </w:r>
      <w:r w:rsidRPr="000A540E">
        <w:t>RVO – Rozvoj výzkumných institucí , institucionální podpora.</w:t>
      </w:r>
    </w:p>
  </w:footnote>
  <w:footnote w:id="3">
    <w:p w14:paraId="3606025E" w14:textId="77777777" w:rsidR="00B8557B" w:rsidRPr="000A540E" w:rsidRDefault="00B8557B" w:rsidP="000A540E">
      <w:pPr>
        <w:pStyle w:val="Textpoznpodarou"/>
        <w:ind w:left="284" w:hanging="284"/>
      </w:pPr>
      <w:r w:rsidRPr="000A540E">
        <w:rPr>
          <w:rStyle w:val="Znakapoznpodarou"/>
          <w:rFonts w:eastAsiaTheme="majorEastAsia"/>
        </w:rPr>
        <w:footnoteRef/>
      </w:r>
      <w:r w:rsidRPr="000A540E">
        <w:t xml:space="preserve"> </w:t>
      </w:r>
      <w:r>
        <w:tab/>
      </w:r>
      <w:r w:rsidRPr="000A540E">
        <w:t xml:space="preserve">AZV – </w:t>
      </w:r>
      <w:r w:rsidRPr="000A540E">
        <w:rPr>
          <w:color w:val="000000"/>
          <w:lang w:eastAsia="cs-CZ"/>
        </w:rPr>
        <w:t>Agentura pro zdravotnický výzkum ČR.</w:t>
      </w:r>
    </w:p>
  </w:footnote>
  <w:footnote w:id="4">
    <w:p w14:paraId="1F95AEC9" w14:textId="77777777" w:rsidR="00B8557B" w:rsidRPr="000A540E" w:rsidRDefault="00B8557B" w:rsidP="000A540E">
      <w:pPr>
        <w:pStyle w:val="Textpoznpodarou"/>
        <w:ind w:left="284" w:hanging="284"/>
      </w:pPr>
      <w:r w:rsidRPr="000A540E">
        <w:rPr>
          <w:rStyle w:val="Znakapoznpodarou"/>
        </w:rPr>
        <w:footnoteRef/>
      </w:r>
      <w:r w:rsidRPr="000A540E">
        <w:t xml:space="preserve"> </w:t>
      </w:r>
      <w:r>
        <w:tab/>
      </w:r>
      <w:r w:rsidRPr="000A540E">
        <w:t xml:space="preserve">Program NPU I – </w:t>
      </w:r>
      <w:r w:rsidRPr="000A54DD">
        <w:rPr>
          <w:i/>
        </w:rPr>
        <w:t>Národní program udržitelnosti I</w:t>
      </w:r>
      <w:r w:rsidRPr="000A540E">
        <w:t>.</w:t>
      </w:r>
    </w:p>
  </w:footnote>
  <w:footnote w:id="5">
    <w:p w14:paraId="4C5F184E" w14:textId="1625B9A3" w:rsidR="00B8557B" w:rsidRPr="00F41E55" w:rsidRDefault="00B8557B" w:rsidP="000A540E">
      <w:pPr>
        <w:pStyle w:val="Textpoznpodarou"/>
        <w:ind w:left="284" w:hanging="284"/>
      </w:pPr>
      <w:r>
        <w:rPr>
          <w:rStyle w:val="Znakapoznpodarou"/>
        </w:rPr>
        <w:footnoteRef/>
      </w:r>
      <w:r>
        <w:t xml:space="preserve"> </w:t>
      </w:r>
      <w:r>
        <w:tab/>
      </w:r>
      <w:r w:rsidRPr="00F41E55">
        <w:t>Projekt LO1611</w:t>
      </w:r>
      <w:r>
        <w:t> –</w:t>
      </w:r>
      <w:r w:rsidRPr="00F41E55">
        <w:t xml:space="preserve"> </w:t>
      </w:r>
      <w:r w:rsidRPr="00601460">
        <w:rPr>
          <w:i/>
        </w:rPr>
        <w:t>Udržitelnost pro Národní ústav duševního zdraví</w:t>
      </w:r>
      <w:r w:rsidRPr="00F41E55">
        <w:t xml:space="preserve"> </w:t>
      </w:r>
      <w:r>
        <w:t>(</w:t>
      </w:r>
      <w:r w:rsidRPr="00F41E55">
        <w:t>dále také „</w:t>
      </w:r>
      <w:r>
        <w:t>p</w:t>
      </w:r>
      <w:r w:rsidRPr="00F41E55">
        <w:t>rojekt Udržitelnost pro NÚDZ“</w:t>
      </w:r>
      <w:r>
        <w:t>)</w:t>
      </w:r>
      <w:r w:rsidRPr="00F41E55">
        <w:t>.</w:t>
      </w:r>
    </w:p>
  </w:footnote>
  <w:footnote w:id="6">
    <w:p w14:paraId="77344685" w14:textId="77777777" w:rsidR="00B8557B" w:rsidRDefault="00B8557B" w:rsidP="000A540E">
      <w:pPr>
        <w:pStyle w:val="Textpoznpodarou"/>
        <w:ind w:left="284" w:hanging="284"/>
      </w:pPr>
      <w:r w:rsidRPr="00F41E55">
        <w:rPr>
          <w:rStyle w:val="Znakapoznpodarou"/>
        </w:rPr>
        <w:footnoteRef/>
      </w:r>
      <w:r w:rsidRPr="00F41E55">
        <w:t xml:space="preserve"> </w:t>
      </w:r>
      <w:r>
        <w:tab/>
      </w:r>
      <w:r w:rsidRPr="00F41E55">
        <w:t>Zákon č. 563/1991 Sb., o účetnictví.</w:t>
      </w:r>
    </w:p>
  </w:footnote>
  <w:footnote w:id="7">
    <w:p w14:paraId="2B824285" w14:textId="77777777" w:rsidR="00B8557B" w:rsidRPr="00881E5A" w:rsidRDefault="00B8557B" w:rsidP="000A4509">
      <w:pPr>
        <w:pStyle w:val="Textpoznpodarou"/>
        <w:ind w:left="284" w:hanging="284"/>
      </w:pPr>
      <w:r>
        <w:rPr>
          <w:rStyle w:val="Znakapoznpodarou"/>
        </w:rPr>
        <w:footnoteRef/>
      </w:r>
      <w:r>
        <w:t xml:space="preserve"> </w:t>
      </w:r>
      <w:r>
        <w:tab/>
      </w:r>
      <w:r w:rsidRPr="00881E5A">
        <w:t>Zákon č. 219/2000 Sb., o majetku České republiky a jejím v</w:t>
      </w:r>
      <w:r>
        <w:t>ystupování v právních vztazích.</w:t>
      </w:r>
    </w:p>
  </w:footnote>
  <w:footnote w:id="8">
    <w:p w14:paraId="3F3EB8DD" w14:textId="5B0D86B3" w:rsidR="00B8557B" w:rsidRPr="0072133E" w:rsidRDefault="00B8557B" w:rsidP="000A4509">
      <w:pPr>
        <w:pStyle w:val="Textpoznpodarou"/>
        <w:ind w:left="284" w:hanging="284"/>
        <w:jc w:val="both"/>
        <w:rPr>
          <w:rFonts w:asciiTheme="minorHAnsi" w:hAnsiTheme="minorHAnsi" w:cstheme="minorHAnsi"/>
        </w:rPr>
      </w:pPr>
      <w:r w:rsidRPr="00881E5A">
        <w:rPr>
          <w:rStyle w:val="Znakapoznpodarou"/>
          <w:rFonts w:eastAsiaTheme="majorEastAsia"/>
        </w:rPr>
        <w:footnoteRef/>
      </w:r>
      <w:r w:rsidRPr="00881E5A">
        <w:t xml:space="preserve"> </w:t>
      </w:r>
      <w:r>
        <w:tab/>
      </w:r>
      <w:r w:rsidRPr="00881E5A">
        <w:rPr>
          <w:rFonts w:asciiTheme="minorHAnsi" w:hAnsiTheme="minorHAnsi" w:cstheme="minorHAnsi"/>
        </w:rPr>
        <w:t xml:space="preserve">Na základě opatření Ministerstva zdravotnictví ze dne 1. prosince 2014 čj. MZDR 20341/2014-4/FIN, které měnilo a doplňovalo rozhodnutí ze dne 28. května 1993 včetně jeho dodatků ze dne 1. 8. 2001 </w:t>
      </w:r>
      <w:r w:rsidRPr="0072133E">
        <w:rPr>
          <w:rFonts w:asciiTheme="minorHAnsi" w:hAnsiTheme="minorHAnsi" w:cstheme="minorHAnsi"/>
          <w:color w:val="000000"/>
        </w:rPr>
        <w:t>čj. 16037/2001 a 29. 5. 2012 čj. 17267-XV/2012, byl název Psychiatrické centrum Praha k 1. 1. 2015 změněn na</w:t>
      </w:r>
      <w:r>
        <w:rPr>
          <w:rFonts w:asciiTheme="minorHAnsi" w:hAnsiTheme="minorHAnsi" w:cstheme="minorHAnsi"/>
          <w:color w:val="000000"/>
        </w:rPr>
        <w:t xml:space="preserve"> </w:t>
      </w:r>
      <w:r w:rsidRPr="0072133E">
        <w:rPr>
          <w:rFonts w:asciiTheme="minorHAnsi" w:hAnsiTheme="minorHAnsi" w:cstheme="minorHAnsi"/>
          <w:color w:val="000000"/>
        </w:rPr>
        <w:t>Národní ústav duševního zdraví.</w:t>
      </w:r>
    </w:p>
  </w:footnote>
  <w:footnote w:id="9">
    <w:p w14:paraId="6446DA3D" w14:textId="77777777" w:rsidR="00B8557B" w:rsidRPr="00820917" w:rsidRDefault="00B8557B" w:rsidP="00AC2065">
      <w:pPr>
        <w:pStyle w:val="Textpoznpodarou"/>
        <w:ind w:left="284" w:hanging="284"/>
      </w:pPr>
      <w:r w:rsidRPr="00820917">
        <w:rPr>
          <w:rStyle w:val="Znakapoznpodarou"/>
        </w:rPr>
        <w:footnoteRef/>
      </w:r>
      <w:r w:rsidRPr="00820917">
        <w:t xml:space="preserve"> </w:t>
      </w:r>
      <w:r>
        <w:tab/>
      </w:r>
      <w:r w:rsidRPr="00820917">
        <w:t>Zákon č. 218/2000 Sb., o rozpočtových pravidlech a o změně některých souvisejících zákonů (rozpočtová pravidla).</w:t>
      </w:r>
    </w:p>
  </w:footnote>
  <w:footnote w:id="10">
    <w:p w14:paraId="0D2F3BD7" w14:textId="5B8BBFAB" w:rsidR="00B8557B" w:rsidRPr="00820917" w:rsidRDefault="00B8557B" w:rsidP="00AC2065">
      <w:pPr>
        <w:pStyle w:val="Textpoznpodarou"/>
        <w:ind w:left="284" w:hanging="284"/>
        <w:rPr>
          <w:rFonts w:asciiTheme="minorHAnsi" w:hAnsiTheme="minorHAnsi"/>
          <w:noProof w:val="0"/>
        </w:rPr>
      </w:pPr>
      <w:r w:rsidRPr="00820917">
        <w:rPr>
          <w:rStyle w:val="Znakapoznpodarou"/>
        </w:rPr>
        <w:footnoteRef/>
      </w:r>
      <w:r>
        <w:t> </w:t>
      </w:r>
      <w:r>
        <w:tab/>
      </w:r>
      <w:r w:rsidRPr="00820917">
        <w:rPr>
          <w:rFonts w:asciiTheme="minorHAnsi" w:hAnsiTheme="minorHAnsi"/>
          <w:noProof w:val="0"/>
        </w:rPr>
        <w:t>Vyhláška č. 410/2009 Sb., kterou se provádějí některá ustanovení zákona č. 563/1991 Sb., o účetnictví, ve znění pozdějších předpisů, pro některé vybrané účetní jednotky</w:t>
      </w:r>
      <w:r>
        <w:rPr>
          <w:rFonts w:asciiTheme="minorHAnsi" w:hAnsiTheme="minorHAnsi"/>
          <w:noProof w:val="0"/>
        </w:rPr>
        <w:t>.</w:t>
      </w:r>
    </w:p>
  </w:footnote>
  <w:footnote w:id="11">
    <w:p w14:paraId="68176D3C" w14:textId="77777777" w:rsidR="00B8557B" w:rsidRPr="00820917" w:rsidRDefault="00B8557B" w:rsidP="00AC2065">
      <w:pPr>
        <w:ind w:left="284" w:hanging="284"/>
        <w:jc w:val="both"/>
        <w:rPr>
          <w:rFonts w:asciiTheme="minorHAnsi" w:hAnsiTheme="minorHAnsi" w:cstheme="minorHAnsi"/>
          <w:b/>
          <w:sz w:val="20"/>
          <w:szCs w:val="20"/>
        </w:rPr>
      </w:pPr>
      <w:r w:rsidRPr="00820917">
        <w:rPr>
          <w:rStyle w:val="Znakapoznpodarou"/>
          <w:sz w:val="20"/>
          <w:szCs w:val="20"/>
        </w:rPr>
        <w:footnoteRef/>
      </w:r>
      <w:r w:rsidRPr="00820917">
        <w:rPr>
          <w:sz w:val="20"/>
          <w:szCs w:val="20"/>
        </w:rPr>
        <w:t xml:space="preserve"> </w:t>
      </w:r>
      <w:r>
        <w:rPr>
          <w:sz w:val="20"/>
          <w:szCs w:val="20"/>
        </w:rPr>
        <w:tab/>
        <w:t>Z</w:t>
      </w:r>
      <w:r w:rsidRPr="00820917">
        <w:rPr>
          <w:sz w:val="20"/>
          <w:szCs w:val="20"/>
        </w:rPr>
        <w:t xml:space="preserve">ákon </w:t>
      </w:r>
      <w:r w:rsidRPr="00820917">
        <w:rPr>
          <w:rFonts w:asciiTheme="minorHAnsi" w:hAnsiTheme="minorHAnsi" w:cstheme="minorHAnsi"/>
          <w:sz w:val="20"/>
          <w:szCs w:val="20"/>
        </w:rPr>
        <w:t>č. 137/2006 Sb., o veřejných zakázkách.</w:t>
      </w:r>
    </w:p>
  </w:footnote>
  <w:footnote w:id="12">
    <w:p w14:paraId="65C69799" w14:textId="77777777" w:rsidR="00B8557B" w:rsidRPr="00820917" w:rsidRDefault="00B8557B" w:rsidP="00AC2065">
      <w:pPr>
        <w:ind w:left="284" w:hanging="284"/>
        <w:jc w:val="both"/>
        <w:rPr>
          <w:rFonts w:asciiTheme="minorHAnsi" w:hAnsiTheme="minorHAnsi" w:cstheme="minorHAnsi"/>
          <w:sz w:val="20"/>
          <w:szCs w:val="20"/>
        </w:rPr>
      </w:pPr>
      <w:r w:rsidRPr="00820917">
        <w:rPr>
          <w:rStyle w:val="Znakapoznpodarou"/>
          <w:rFonts w:asciiTheme="minorHAnsi" w:eastAsiaTheme="majorEastAsia" w:hAnsiTheme="minorHAnsi" w:cstheme="minorHAnsi"/>
          <w:sz w:val="20"/>
          <w:szCs w:val="20"/>
        </w:rPr>
        <w:footnoteRef/>
      </w:r>
      <w:r>
        <w:rPr>
          <w:rFonts w:asciiTheme="minorHAnsi" w:hAnsiTheme="minorHAnsi" w:cstheme="minorHAnsi"/>
          <w:sz w:val="20"/>
          <w:szCs w:val="20"/>
        </w:rPr>
        <w:t> </w:t>
      </w:r>
      <w:r>
        <w:rPr>
          <w:rFonts w:asciiTheme="minorHAnsi" w:hAnsiTheme="minorHAnsi" w:cstheme="minorHAnsi"/>
          <w:sz w:val="20"/>
          <w:szCs w:val="20"/>
        </w:rPr>
        <w:tab/>
      </w:r>
      <w:r w:rsidRPr="00820917">
        <w:rPr>
          <w:rFonts w:asciiTheme="minorHAnsi" w:hAnsiTheme="minorHAnsi" w:cstheme="minorHAnsi"/>
          <w:sz w:val="20"/>
          <w:szCs w:val="20"/>
        </w:rPr>
        <w:t>Zákon č. 130/2002 Sb., o podpoře výzkumu, experimentálního vývoje a inovací z veřejných prostředků a o změně některých souvisejících zákonů (zákon o podpoře výzkumu, experimentálního vývoje a inovací).</w:t>
      </w:r>
    </w:p>
  </w:footnote>
  <w:footnote w:id="13">
    <w:p w14:paraId="0EB2ABA4" w14:textId="77777777" w:rsidR="00B8557B" w:rsidRPr="00820917" w:rsidRDefault="00B8557B" w:rsidP="00AC2065">
      <w:pPr>
        <w:ind w:left="284" w:hanging="284"/>
        <w:jc w:val="both"/>
      </w:pPr>
      <w:r w:rsidRPr="00820917">
        <w:rPr>
          <w:rStyle w:val="Znakapoznpodarou"/>
          <w:sz w:val="20"/>
          <w:szCs w:val="20"/>
        </w:rPr>
        <w:footnoteRef/>
      </w:r>
      <w:r>
        <w:t> </w:t>
      </w:r>
      <w:r>
        <w:tab/>
      </w:r>
      <w:r w:rsidRPr="00820917">
        <w:rPr>
          <w:sz w:val="20"/>
          <w:szCs w:val="20"/>
        </w:rPr>
        <w:t xml:space="preserve">Zákon </w:t>
      </w:r>
      <w:r w:rsidRPr="00820917">
        <w:rPr>
          <w:rFonts w:asciiTheme="minorHAnsi" w:hAnsiTheme="minorHAnsi" w:cstheme="minorHAnsi"/>
          <w:sz w:val="20"/>
          <w:szCs w:val="20"/>
        </w:rPr>
        <w:t>č. 320/2001 Sb., o finanční kontrole ve veřejné správě a o změně některých zákonů (zákon o finanční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E6EE4" w14:textId="77777777" w:rsidR="00D3538A" w:rsidRDefault="00D353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261CC" w14:textId="77777777" w:rsidR="00D3538A" w:rsidRDefault="00D3538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6F704" w14:textId="77777777" w:rsidR="00D3538A" w:rsidRDefault="00D35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997"/>
    <w:multiLevelType w:val="hybridMultilevel"/>
    <w:tmpl w:val="AD542004"/>
    <w:lvl w:ilvl="0" w:tplc="16122FFC">
      <w:numFmt w:val="bullet"/>
      <w:lvlText w:val="-"/>
      <w:lvlJc w:val="left"/>
      <w:pPr>
        <w:ind w:left="1068" w:hanging="360"/>
      </w:pPr>
      <w:rPr>
        <w:rFonts w:ascii="Calibri" w:eastAsia="Times New Roman" w:hAnsi="Calibri" w:cs="Calibri" w:hint="default"/>
      </w:rPr>
    </w:lvl>
    <w:lvl w:ilvl="1" w:tplc="2FDED4D2" w:tentative="1">
      <w:start w:val="1"/>
      <w:numFmt w:val="bullet"/>
      <w:lvlText w:val="o"/>
      <w:lvlJc w:val="left"/>
      <w:pPr>
        <w:ind w:left="1788" w:hanging="360"/>
      </w:pPr>
      <w:rPr>
        <w:rFonts w:ascii="Courier New" w:hAnsi="Courier New" w:cs="Courier New" w:hint="default"/>
      </w:rPr>
    </w:lvl>
    <w:lvl w:ilvl="2" w:tplc="2D4C3D04" w:tentative="1">
      <w:start w:val="1"/>
      <w:numFmt w:val="bullet"/>
      <w:lvlText w:val=""/>
      <w:lvlJc w:val="left"/>
      <w:pPr>
        <w:ind w:left="2508" w:hanging="360"/>
      </w:pPr>
      <w:rPr>
        <w:rFonts w:ascii="Wingdings" w:hAnsi="Wingdings" w:hint="default"/>
      </w:rPr>
    </w:lvl>
    <w:lvl w:ilvl="3" w:tplc="2EDE666A" w:tentative="1">
      <w:start w:val="1"/>
      <w:numFmt w:val="bullet"/>
      <w:lvlText w:val=""/>
      <w:lvlJc w:val="left"/>
      <w:pPr>
        <w:ind w:left="3228" w:hanging="360"/>
      </w:pPr>
      <w:rPr>
        <w:rFonts w:ascii="Symbol" w:hAnsi="Symbol" w:hint="default"/>
      </w:rPr>
    </w:lvl>
    <w:lvl w:ilvl="4" w:tplc="7FB0F25A" w:tentative="1">
      <w:start w:val="1"/>
      <w:numFmt w:val="bullet"/>
      <w:lvlText w:val="o"/>
      <w:lvlJc w:val="left"/>
      <w:pPr>
        <w:ind w:left="3948" w:hanging="360"/>
      </w:pPr>
      <w:rPr>
        <w:rFonts w:ascii="Courier New" w:hAnsi="Courier New" w:cs="Courier New" w:hint="default"/>
      </w:rPr>
    </w:lvl>
    <w:lvl w:ilvl="5" w:tplc="F502F51E" w:tentative="1">
      <w:start w:val="1"/>
      <w:numFmt w:val="bullet"/>
      <w:lvlText w:val=""/>
      <w:lvlJc w:val="left"/>
      <w:pPr>
        <w:ind w:left="4668" w:hanging="360"/>
      </w:pPr>
      <w:rPr>
        <w:rFonts w:ascii="Wingdings" w:hAnsi="Wingdings" w:hint="default"/>
      </w:rPr>
    </w:lvl>
    <w:lvl w:ilvl="6" w:tplc="141246A4" w:tentative="1">
      <w:start w:val="1"/>
      <w:numFmt w:val="bullet"/>
      <w:lvlText w:val=""/>
      <w:lvlJc w:val="left"/>
      <w:pPr>
        <w:ind w:left="5388" w:hanging="360"/>
      </w:pPr>
      <w:rPr>
        <w:rFonts w:ascii="Symbol" w:hAnsi="Symbol" w:hint="default"/>
      </w:rPr>
    </w:lvl>
    <w:lvl w:ilvl="7" w:tplc="5020344A" w:tentative="1">
      <w:start w:val="1"/>
      <w:numFmt w:val="bullet"/>
      <w:lvlText w:val="o"/>
      <w:lvlJc w:val="left"/>
      <w:pPr>
        <w:ind w:left="6108" w:hanging="360"/>
      </w:pPr>
      <w:rPr>
        <w:rFonts w:ascii="Courier New" w:hAnsi="Courier New" w:cs="Courier New" w:hint="default"/>
      </w:rPr>
    </w:lvl>
    <w:lvl w:ilvl="8" w:tplc="499C4290" w:tentative="1">
      <w:start w:val="1"/>
      <w:numFmt w:val="bullet"/>
      <w:lvlText w:val=""/>
      <w:lvlJc w:val="left"/>
      <w:pPr>
        <w:ind w:left="6828" w:hanging="360"/>
      </w:pPr>
      <w:rPr>
        <w:rFonts w:ascii="Wingdings" w:hAnsi="Wingdings" w:hint="default"/>
      </w:rPr>
    </w:lvl>
  </w:abstractNum>
  <w:abstractNum w:abstractNumId="1" w15:restartNumberingAfterBreak="0">
    <w:nsid w:val="076736B4"/>
    <w:multiLevelType w:val="hybridMultilevel"/>
    <w:tmpl w:val="360A9D44"/>
    <w:lvl w:ilvl="0" w:tplc="C0A2B77A">
      <w:start w:val="1"/>
      <w:numFmt w:val="decimal"/>
      <w:lvlText w:val="%1."/>
      <w:lvlJc w:val="left"/>
      <w:pPr>
        <w:ind w:left="720" w:hanging="360"/>
      </w:pPr>
      <w:rPr>
        <w:rFonts w:hint="default"/>
      </w:rPr>
    </w:lvl>
    <w:lvl w:ilvl="1" w:tplc="43883DFE" w:tentative="1">
      <w:start w:val="1"/>
      <w:numFmt w:val="lowerLetter"/>
      <w:lvlText w:val="%2."/>
      <w:lvlJc w:val="left"/>
      <w:pPr>
        <w:ind w:left="1440" w:hanging="360"/>
      </w:pPr>
    </w:lvl>
    <w:lvl w:ilvl="2" w:tplc="BEA2DD5C" w:tentative="1">
      <w:start w:val="1"/>
      <w:numFmt w:val="lowerRoman"/>
      <w:lvlText w:val="%3."/>
      <w:lvlJc w:val="right"/>
      <w:pPr>
        <w:ind w:left="2160" w:hanging="180"/>
      </w:pPr>
    </w:lvl>
    <w:lvl w:ilvl="3" w:tplc="9D6A639C" w:tentative="1">
      <w:start w:val="1"/>
      <w:numFmt w:val="decimal"/>
      <w:lvlText w:val="%4."/>
      <w:lvlJc w:val="left"/>
      <w:pPr>
        <w:ind w:left="2880" w:hanging="360"/>
      </w:pPr>
    </w:lvl>
    <w:lvl w:ilvl="4" w:tplc="D7AA5082" w:tentative="1">
      <w:start w:val="1"/>
      <w:numFmt w:val="lowerLetter"/>
      <w:lvlText w:val="%5."/>
      <w:lvlJc w:val="left"/>
      <w:pPr>
        <w:ind w:left="3600" w:hanging="360"/>
      </w:pPr>
    </w:lvl>
    <w:lvl w:ilvl="5" w:tplc="FC3647EE" w:tentative="1">
      <w:start w:val="1"/>
      <w:numFmt w:val="lowerRoman"/>
      <w:lvlText w:val="%6."/>
      <w:lvlJc w:val="right"/>
      <w:pPr>
        <w:ind w:left="4320" w:hanging="180"/>
      </w:pPr>
    </w:lvl>
    <w:lvl w:ilvl="6" w:tplc="D6480424" w:tentative="1">
      <w:start w:val="1"/>
      <w:numFmt w:val="decimal"/>
      <w:lvlText w:val="%7."/>
      <w:lvlJc w:val="left"/>
      <w:pPr>
        <w:ind w:left="5040" w:hanging="360"/>
      </w:pPr>
    </w:lvl>
    <w:lvl w:ilvl="7" w:tplc="2612EBFA" w:tentative="1">
      <w:start w:val="1"/>
      <w:numFmt w:val="lowerLetter"/>
      <w:lvlText w:val="%8."/>
      <w:lvlJc w:val="left"/>
      <w:pPr>
        <w:ind w:left="5760" w:hanging="360"/>
      </w:pPr>
    </w:lvl>
    <w:lvl w:ilvl="8" w:tplc="91EA62D8" w:tentative="1">
      <w:start w:val="1"/>
      <w:numFmt w:val="lowerRoman"/>
      <w:lvlText w:val="%9."/>
      <w:lvlJc w:val="right"/>
      <w:pPr>
        <w:ind w:left="6480" w:hanging="180"/>
      </w:pPr>
    </w:lvl>
  </w:abstractNum>
  <w:abstractNum w:abstractNumId="2" w15:restartNumberingAfterBreak="0">
    <w:nsid w:val="0B944EF6"/>
    <w:multiLevelType w:val="hybridMultilevel"/>
    <w:tmpl w:val="B96A93E8"/>
    <w:lvl w:ilvl="0" w:tplc="B994DE7C">
      <w:numFmt w:val="bullet"/>
      <w:lvlText w:val="–"/>
      <w:lvlJc w:val="left"/>
      <w:pPr>
        <w:ind w:left="1080" w:hanging="360"/>
      </w:pPr>
      <w:rPr>
        <w:rFonts w:ascii="Calibri" w:eastAsia="Times New Roman" w:hAnsi="Calibri" w:cs="Calibri" w:hint="default"/>
      </w:rPr>
    </w:lvl>
    <w:lvl w:ilvl="1" w:tplc="E8A217DC" w:tentative="1">
      <w:start w:val="1"/>
      <w:numFmt w:val="bullet"/>
      <w:lvlText w:val="o"/>
      <w:lvlJc w:val="left"/>
      <w:pPr>
        <w:ind w:left="1800" w:hanging="360"/>
      </w:pPr>
      <w:rPr>
        <w:rFonts w:ascii="Courier New" w:hAnsi="Courier New" w:cs="Courier New" w:hint="default"/>
      </w:rPr>
    </w:lvl>
    <w:lvl w:ilvl="2" w:tplc="AF749D42" w:tentative="1">
      <w:start w:val="1"/>
      <w:numFmt w:val="bullet"/>
      <w:lvlText w:val=""/>
      <w:lvlJc w:val="left"/>
      <w:pPr>
        <w:ind w:left="2520" w:hanging="360"/>
      </w:pPr>
      <w:rPr>
        <w:rFonts w:ascii="Wingdings" w:hAnsi="Wingdings" w:hint="default"/>
      </w:rPr>
    </w:lvl>
    <w:lvl w:ilvl="3" w:tplc="8CB6B330" w:tentative="1">
      <w:start w:val="1"/>
      <w:numFmt w:val="bullet"/>
      <w:lvlText w:val=""/>
      <w:lvlJc w:val="left"/>
      <w:pPr>
        <w:ind w:left="3240" w:hanging="360"/>
      </w:pPr>
      <w:rPr>
        <w:rFonts w:ascii="Symbol" w:hAnsi="Symbol" w:hint="default"/>
      </w:rPr>
    </w:lvl>
    <w:lvl w:ilvl="4" w:tplc="EBDE3432" w:tentative="1">
      <w:start w:val="1"/>
      <w:numFmt w:val="bullet"/>
      <w:lvlText w:val="o"/>
      <w:lvlJc w:val="left"/>
      <w:pPr>
        <w:ind w:left="3960" w:hanging="360"/>
      </w:pPr>
      <w:rPr>
        <w:rFonts w:ascii="Courier New" w:hAnsi="Courier New" w:cs="Courier New" w:hint="default"/>
      </w:rPr>
    </w:lvl>
    <w:lvl w:ilvl="5" w:tplc="F15AAA2A" w:tentative="1">
      <w:start w:val="1"/>
      <w:numFmt w:val="bullet"/>
      <w:lvlText w:val=""/>
      <w:lvlJc w:val="left"/>
      <w:pPr>
        <w:ind w:left="4680" w:hanging="360"/>
      </w:pPr>
      <w:rPr>
        <w:rFonts w:ascii="Wingdings" w:hAnsi="Wingdings" w:hint="default"/>
      </w:rPr>
    </w:lvl>
    <w:lvl w:ilvl="6" w:tplc="9F10BEBE" w:tentative="1">
      <w:start w:val="1"/>
      <w:numFmt w:val="bullet"/>
      <w:lvlText w:val=""/>
      <w:lvlJc w:val="left"/>
      <w:pPr>
        <w:ind w:left="5400" w:hanging="360"/>
      </w:pPr>
      <w:rPr>
        <w:rFonts w:ascii="Symbol" w:hAnsi="Symbol" w:hint="default"/>
      </w:rPr>
    </w:lvl>
    <w:lvl w:ilvl="7" w:tplc="3962F710" w:tentative="1">
      <w:start w:val="1"/>
      <w:numFmt w:val="bullet"/>
      <w:lvlText w:val="o"/>
      <w:lvlJc w:val="left"/>
      <w:pPr>
        <w:ind w:left="6120" w:hanging="360"/>
      </w:pPr>
      <w:rPr>
        <w:rFonts w:ascii="Courier New" w:hAnsi="Courier New" w:cs="Courier New" w:hint="default"/>
      </w:rPr>
    </w:lvl>
    <w:lvl w:ilvl="8" w:tplc="E9782172" w:tentative="1">
      <w:start w:val="1"/>
      <w:numFmt w:val="bullet"/>
      <w:lvlText w:val=""/>
      <w:lvlJc w:val="left"/>
      <w:pPr>
        <w:ind w:left="6840" w:hanging="360"/>
      </w:pPr>
      <w:rPr>
        <w:rFonts w:ascii="Wingdings" w:hAnsi="Wingdings" w:hint="default"/>
      </w:rPr>
    </w:lvl>
  </w:abstractNum>
  <w:abstractNum w:abstractNumId="3" w15:restartNumberingAfterBreak="0">
    <w:nsid w:val="126C6DED"/>
    <w:multiLevelType w:val="hybridMultilevel"/>
    <w:tmpl w:val="BDA6376C"/>
    <w:lvl w:ilvl="0" w:tplc="7DAE0F74">
      <w:start w:val="1"/>
      <w:numFmt w:val="bullet"/>
      <w:lvlText w:val=""/>
      <w:lvlJc w:val="left"/>
      <w:pPr>
        <w:ind w:left="720" w:hanging="360"/>
      </w:pPr>
      <w:rPr>
        <w:rFonts w:ascii="Symbol" w:hAnsi="Symbol" w:hint="default"/>
      </w:rPr>
    </w:lvl>
    <w:lvl w:ilvl="1" w:tplc="CD4EACEC" w:tentative="1">
      <w:start w:val="1"/>
      <w:numFmt w:val="bullet"/>
      <w:lvlText w:val="o"/>
      <w:lvlJc w:val="left"/>
      <w:pPr>
        <w:ind w:left="1440" w:hanging="360"/>
      </w:pPr>
      <w:rPr>
        <w:rFonts w:ascii="Courier New" w:hAnsi="Courier New" w:cs="Courier New" w:hint="default"/>
      </w:rPr>
    </w:lvl>
    <w:lvl w:ilvl="2" w:tplc="79F2C97A" w:tentative="1">
      <w:start w:val="1"/>
      <w:numFmt w:val="bullet"/>
      <w:lvlText w:val=""/>
      <w:lvlJc w:val="left"/>
      <w:pPr>
        <w:ind w:left="2160" w:hanging="360"/>
      </w:pPr>
      <w:rPr>
        <w:rFonts w:ascii="Wingdings" w:hAnsi="Wingdings" w:hint="default"/>
      </w:rPr>
    </w:lvl>
    <w:lvl w:ilvl="3" w:tplc="FEE2D99A" w:tentative="1">
      <w:start w:val="1"/>
      <w:numFmt w:val="bullet"/>
      <w:lvlText w:val=""/>
      <w:lvlJc w:val="left"/>
      <w:pPr>
        <w:ind w:left="2880" w:hanging="360"/>
      </w:pPr>
      <w:rPr>
        <w:rFonts w:ascii="Symbol" w:hAnsi="Symbol" w:hint="default"/>
      </w:rPr>
    </w:lvl>
    <w:lvl w:ilvl="4" w:tplc="72E40800" w:tentative="1">
      <w:start w:val="1"/>
      <w:numFmt w:val="bullet"/>
      <w:lvlText w:val="o"/>
      <w:lvlJc w:val="left"/>
      <w:pPr>
        <w:ind w:left="3600" w:hanging="360"/>
      </w:pPr>
      <w:rPr>
        <w:rFonts w:ascii="Courier New" w:hAnsi="Courier New" w:cs="Courier New" w:hint="default"/>
      </w:rPr>
    </w:lvl>
    <w:lvl w:ilvl="5" w:tplc="5FE40C66" w:tentative="1">
      <w:start w:val="1"/>
      <w:numFmt w:val="bullet"/>
      <w:lvlText w:val=""/>
      <w:lvlJc w:val="left"/>
      <w:pPr>
        <w:ind w:left="4320" w:hanging="360"/>
      </w:pPr>
      <w:rPr>
        <w:rFonts w:ascii="Wingdings" w:hAnsi="Wingdings" w:hint="default"/>
      </w:rPr>
    </w:lvl>
    <w:lvl w:ilvl="6" w:tplc="EC1816E8" w:tentative="1">
      <w:start w:val="1"/>
      <w:numFmt w:val="bullet"/>
      <w:lvlText w:val=""/>
      <w:lvlJc w:val="left"/>
      <w:pPr>
        <w:ind w:left="5040" w:hanging="360"/>
      </w:pPr>
      <w:rPr>
        <w:rFonts w:ascii="Symbol" w:hAnsi="Symbol" w:hint="default"/>
      </w:rPr>
    </w:lvl>
    <w:lvl w:ilvl="7" w:tplc="1570AA56" w:tentative="1">
      <w:start w:val="1"/>
      <w:numFmt w:val="bullet"/>
      <w:lvlText w:val="o"/>
      <w:lvlJc w:val="left"/>
      <w:pPr>
        <w:ind w:left="5760" w:hanging="360"/>
      </w:pPr>
      <w:rPr>
        <w:rFonts w:ascii="Courier New" w:hAnsi="Courier New" w:cs="Courier New" w:hint="default"/>
      </w:rPr>
    </w:lvl>
    <w:lvl w:ilvl="8" w:tplc="204EDA44" w:tentative="1">
      <w:start w:val="1"/>
      <w:numFmt w:val="bullet"/>
      <w:lvlText w:val=""/>
      <w:lvlJc w:val="left"/>
      <w:pPr>
        <w:ind w:left="6480" w:hanging="360"/>
      </w:pPr>
      <w:rPr>
        <w:rFonts w:ascii="Wingdings" w:hAnsi="Wingdings" w:hint="default"/>
      </w:rPr>
    </w:lvl>
  </w:abstractNum>
  <w:abstractNum w:abstractNumId="4" w15:restartNumberingAfterBreak="0">
    <w:nsid w:val="13670F75"/>
    <w:multiLevelType w:val="hybridMultilevel"/>
    <w:tmpl w:val="BCB4C124"/>
    <w:lvl w:ilvl="0" w:tplc="0226C32A">
      <w:start w:val="1"/>
      <w:numFmt w:val="lowerLetter"/>
      <w:lvlText w:val="%1)"/>
      <w:lvlJc w:val="left"/>
      <w:pPr>
        <w:ind w:left="720" w:hanging="360"/>
      </w:pPr>
      <w:rPr>
        <w:rFonts w:cs="Times New Roman" w:hint="default"/>
      </w:rPr>
    </w:lvl>
    <w:lvl w:ilvl="1" w:tplc="A53ED448" w:tentative="1">
      <w:start w:val="1"/>
      <w:numFmt w:val="lowerLetter"/>
      <w:lvlText w:val="%2."/>
      <w:lvlJc w:val="left"/>
      <w:pPr>
        <w:ind w:left="1440" w:hanging="360"/>
      </w:pPr>
      <w:rPr>
        <w:rFonts w:cs="Times New Roman"/>
      </w:rPr>
    </w:lvl>
    <w:lvl w:ilvl="2" w:tplc="65FE5128" w:tentative="1">
      <w:start w:val="1"/>
      <w:numFmt w:val="lowerRoman"/>
      <w:lvlText w:val="%3."/>
      <w:lvlJc w:val="right"/>
      <w:pPr>
        <w:ind w:left="2160" w:hanging="180"/>
      </w:pPr>
      <w:rPr>
        <w:rFonts w:cs="Times New Roman"/>
      </w:rPr>
    </w:lvl>
    <w:lvl w:ilvl="3" w:tplc="F93652E8" w:tentative="1">
      <w:start w:val="1"/>
      <w:numFmt w:val="decimal"/>
      <w:lvlText w:val="%4."/>
      <w:lvlJc w:val="left"/>
      <w:pPr>
        <w:ind w:left="2880" w:hanging="360"/>
      </w:pPr>
      <w:rPr>
        <w:rFonts w:cs="Times New Roman"/>
      </w:rPr>
    </w:lvl>
    <w:lvl w:ilvl="4" w:tplc="E7CE4A80" w:tentative="1">
      <w:start w:val="1"/>
      <w:numFmt w:val="lowerLetter"/>
      <w:lvlText w:val="%5."/>
      <w:lvlJc w:val="left"/>
      <w:pPr>
        <w:ind w:left="3600" w:hanging="360"/>
      </w:pPr>
      <w:rPr>
        <w:rFonts w:cs="Times New Roman"/>
      </w:rPr>
    </w:lvl>
    <w:lvl w:ilvl="5" w:tplc="A83C9390" w:tentative="1">
      <w:start w:val="1"/>
      <w:numFmt w:val="lowerRoman"/>
      <w:lvlText w:val="%6."/>
      <w:lvlJc w:val="right"/>
      <w:pPr>
        <w:ind w:left="4320" w:hanging="180"/>
      </w:pPr>
      <w:rPr>
        <w:rFonts w:cs="Times New Roman"/>
      </w:rPr>
    </w:lvl>
    <w:lvl w:ilvl="6" w:tplc="9B1281DE" w:tentative="1">
      <w:start w:val="1"/>
      <w:numFmt w:val="decimal"/>
      <w:lvlText w:val="%7."/>
      <w:lvlJc w:val="left"/>
      <w:pPr>
        <w:ind w:left="5040" w:hanging="360"/>
      </w:pPr>
      <w:rPr>
        <w:rFonts w:cs="Times New Roman"/>
      </w:rPr>
    </w:lvl>
    <w:lvl w:ilvl="7" w:tplc="979A8E24" w:tentative="1">
      <w:start w:val="1"/>
      <w:numFmt w:val="lowerLetter"/>
      <w:lvlText w:val="%8."/>
      <w:lvlJc w:val="left"/>
      <w:pPr>
        <w:ind w:left="5760" w:hanging="360"/>
      </w:pPr>
      <w:rPr>
        <w:rFonts w:cs="Times New Roman"/>
      </w:rPr>
    </w:lvl>
    <w:lvl w:ilvl="8" w:tplc="6608C0A4" w:tentative="1">
      <w:start w:val="1"/>
      <w:numFmt w:val="lowerRoman"/>
      <w:lvlText w:val="%9."/>
      <w:lvlJc w:val="right"/>
      <w:pPr>
        <w:ind w:left="6480" w:hanging="180"/>
      </w:pPr>
      <w:rPr>
        <w:rFonts w:cs="Times New Roman"/>
      </w:rPr>
    </w:lvl>
  </w:abstractNum>
  <w:abstractNum w:abstractNumId="5" w15:restartNumberingAfterBreak="0">
    <w:nsid w:val="15D70683"/>
    <w:multiLevelType w:val="hybridMultilevel"/>
    <w:tmpl w:val="E3BE9472"/>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7B6121"/>
    <w:multiLevelType w:val="hybridMultilevel"/>
    <w:tmpl w:val="E92AA262"/>
    <w:lvl w:ilvl="0" w:tplc="04050001">
      <w:start w:val="1"/>
      <w:numFmt w:val="bullet"/>
      <w:lvlText w:val=""/>
      <w:lvlJc w:val="left"/>
      <w:pPr>
        <w:ind w:left="720" w:hanging="360"/>
      </w:pPr>
      <w:rPr>
        <w:rFonts w:ascii="Symbol" w:hAnsi="Symbol" w:hint="default"/>
      </w:rPr>
    </w:lvl>
    <w:lvl w:ilvl="1" w:tplc="CD4EACEC" w:tentative="1">
      <w:start w:val="1"/>
      <w:numFmt w:val="bullet"/>
      <w:lvlText w:val="o"/>
      <w:lvlJc w:val="left"/>
      <w:pPr>
        <w:ind w:left="1440" w:hanging="360"/>
      </w:pPr>
      <w:rPr>
        <w:rFonts w:ascii="Courier New" w:hAnsi="Courier New" w:cs="Courier New" w:hint="default"/>
      </w:rPr>
    </w:lvl>
    <w:lvl w:ilvl="2" w:tplc="79F2C97A" w:tentative="1">
      <w:start w:val="1"/>
      <w:numFmt w:val="bullet"/>
      <w:lvlText w:val=""/>
      <w:lvlJc w:val="left"/>
      <w:pPr>
        <w:ind w:left="2160" w:hanging="360"/>
      </w:pPr>
      <w:rPr>
        <w:rFonts w:ascii="Wingdings" w:hAnsi="Wingdings" w:hint="default"/>
      </w:rPr>
    </w:lvl>
    <w:lvl w:ilvl="3" w:tplc="FEE2D99A" w:tentative="1">
      <w:start w:val="1"/>
      <w:numFmt w:val="bullet"/>
      <w:lvlText w:val=""/>
      <w:lvlJc w:val="left"/>
      <w:pPr>
        <w:ind w:left="2880" w:hanging="360"/>
      </w:pPr>
      <w:rPr>
        <w:rFonts w:ascii="Symbol" w:hAnsi="Symbol" w:hint="default"/>
      </w:rPr>
    </w:lvl>
    <w:lvl w:ilvl="4" w:tplc="72E40800" w:tentative="1">
      <w:start w:val="1"/>
      <w:numFmt w:val="bullet"/>
      <w:lvlText w:val="o"/>
      <w:lvlJc w:val="left"/>
      <w:pPr>
        <w:ind w:left="3600" w:hanging="360"/>
      </w:pPr>
      <w:rPr>
        <w:rFonts w:ascii="Courier New" w:hAnsi="Courier New" w:cs="Courier New" w:hint="default"/>
      </w:rPr>
    </w:lvl>
    <w:lvl w:ilvl="5" w:tplc="5FE40C66" w:tentative="1">
      <w:start w:val="1"/>
      <w:numFmt w:val="bullet"/>
      <w:lvlText w:val=""/>
      <w:lvlJc w:val="left"/>
      <w:pPr>
        <w:ind w:left="4320" w:hanging="360"/>
      </w:pPr>
      <w:rPr>
        <w:rFonts w:ascii="Wingdings" w:hAnsi="Wingdings" w:hint="default"/>
      </w:rPr>
    </w:lvl>
    <w:lvl w:ilvl="6" w:tplc="EC1816E8" w:tentative="1">
      <w:start w:val="1"/>
      <w:numFmt w:val="bullet"/>
      <w:lvlText w:val=""/>
      <w:lvlJc w:val="left"/>
      <w:pPr>
        <w:ind w:left="5040" w:hanging="360"/>
      </w:pPr>
      <w:rPr>
        <w:rFonts w:ascii="Symbol" w:hAnsi="Symbol" w:hint="default"/>
      </w:rPr>
    </w:lvl>
    <w:lvl w:ilvl="7" w:tplc="1570AA56" w:tentative="1">
      <w:start w:val="1"/>
      <w:numFmt w:val="bullet"/>
      <w:lvlText w:val="o"/>
      <w:lvlJc w:val="left"/>
      <w:pPr>
        <w:ind w:left="5760" w:hanging="360"/>
      </w:pPr>
      <w:rPr>
        <w:rFonts w:ascii="Courier New" w:hAnsi="Courier New" w:cs="Courier New" w:hint="default"/>
      </w:rPr>
    </w:lvl>
    <w:lvl w:ilvl="8" w:tplc="204EDA44" w:tentative="1">
      <w:start w:val="1"/>
      <w:numFmt w:val="bullet"/>
      <w:lvlText w:val=""/>
      <w:lvlJc w:val="left"/>
      <w:pPr>
        <w:ind w:left="6480" w:hanging="360"/>
      </w:pPr>
      <w:rPr>
        <w:rFonts w:ascii="Wingdings" w:hAnsi="Wingdings" w:hint="default"/>
      </w:rPr>
    </w:lvl>
  </w:abstractNum>
  <w:abstractNum w:abstractNumId="7" w15:restartNumberingAfterBreak="0">
    <w:nsid w:val="1C8F6236"/>
    <w:multiLevelType w:val="hybridMultilevel"/>
    <w:tmpl w:val="DD665406"/>
    <w:lvl w:ilvl="0" w:tplc="EB825860">
      <w:start w:val="16"/>
      <w:numFmt w:val="bullet"/>
      <w:lvlText w:val="-"/>
      <w:lvlJc w:val="left"/>
      <w:pPr>
        <w:ind w:left="720" w:hanging="360"/>
      </w:pPr>
      <w:rPr>
        <w:rFonts w:ascii="Calibri" w:eastAsia="Times New Roman" w:hAnsi="Calibri" w:cs="Calibri" w:hint="default"/>
      </w:rPr>
    </w:lvl>
    <w:lvl w:ilvl="1" w:tplc="C39238AA" w:tentative="1">
      <w:start w:val="1"/>
      <w:numFmt w:val="bullet"/>
      <w:lvlText w:val="o"/>
      <w:lvlJc w:val="left"/>
      <w:pPr>
        <w:ind w:left="1440" w:hanging="360"/>
      </w:pPr>
      <w:rPr>
        <w:rFonts w:ascii="Courier New" w:hAnsi="Courier New" w:cs="Courier New" w:hint="default"/>
      </w:rPr>
    </w:lvl>
    <w:lvl w:ilvl="2" w:tplc="4C304AFE" w:tentative="1">
      <w:start w:val="1"/>
      <w:numFmt w:val="bullet"/>
      <w:lvlText w:val=""/>
      <w:lvlJc w:val="left"/>
      <w:pPr>
        <w:ind w:left="2160" w:hanging="360"/>
      </w:pPr>
      <w:rPr>
        <w:rFonts w:ascii="Wingdings" w:hAnsi="Wingdings" w:hint="default"/>
      </w:rPr>
    </w:lvl>
    <w:lvl w:ilvl="3" w:tplc="5E1AA746" w:tentative="1">
      <w:start w:val="1"/>
      <w:numFmt w:val="bullet"/>
      <w:lvlText w:val=""/>
      <w:lvlJc w:val="left"/>
      <w:pPr>
        <w:ind w:left="2880" w:hanging="360"/>
      </w:pPr>
      <w:rPr>
        <w:rFonts w:ascii="Symbol" w:hAnsi="Symbol" w:hint="default"/>
      </w:rPr>
    </w:lvl>
    <w:lvl w:ilvl="4" w:tplc="90C092AA" w:tentative="1">
      <w:start w:val="1"/>
      <w:numFmt w:val="bullet"/>
      <w:lvlText w:val="o"/>
      <w:lvlJc w:val="left"/>
      <w:pPr>
        <w:ind w:left="3600" w:hanging="360"/>
      </w:pPr>
      <w:rPr>
        <w:rFonts w:ascii="Courier New" w:hAnsi="Courier New" w:cs="Courier New" w:hint="default"/>
      </w:rPr>
    </w:lvl>
    <w:lvl w:ilvl="5" w:tplc="0C1861C6" w:tentative="1">
      <w:start w:val="1"/>
      <w:numFmt w:val="bullet"/>
      <w:lvlText w:val=""/>
      <w:lvlJc w:val="left"/>
      <w:pPr>
        <w:ind w:left="4320" w:hanging="360"/>
      </w:pPr>
      <w:rPr>
        <w:rFonts w:ascii="Wingdings" w:hAnsi="Wingdings" w:hint="default"/>
      </w:rPr>
    </w:lvl>
    <w:lvl w:ilvl="6" w:tplc="6F92CBF2" w:tentative="1">
      <w:start w:val="1"/>
      <w:numFmt w:val="bullet"/>
      <w:lvlText w:val=""/>
      <w:lvlJc w:val="left"/>
      <w:pPr>
        <w:ind w:left="5040" w:hanging="360"/>
      </w:pPr>
      <w:rPr>
        <w:rFonts w:ascii="Symbol" w:hAnsi="Symbol" w:hint="default"/>
      </w:rPr>
    </w:lvl>
    <w:lvl w:ilvl="7" w:tplc="A2A40D44" w:tentative="1">
      <w:start w:val="1"/>
      <w:numFmt w:val="bullet"/>
      <w:lvlText w:val="o"/>
      <w:lvlJc w:val="left"/>
      <w:pPr>
        <w:ind w:left="5760" w:hanging="360"/>
      </w:pPr>
      <w:rPr>
        <w:rFonts w:ascii="Courier New" w:hAnsi="Courier New" w:cs="Courier New" w:hint="default"/>
      </w:rPr>
    </w:lvl>
    <w:lvl w:ilvl="8" w:tplc="5BB6DCCC" w:tentative="1">
      <w:start w:val="1"/>
      <w:numFmt w:val="bullet"/>
      <w:lvlText w:val=""/>
      <w:lvlJc w:val="left"/>
      <w:pPr>
        <w:ind w:left="6480" w:hanging="360"/>
      </w:pPr>
      <w:rPr>
        <w:rFonts w:ascii="Wingdings" w:hAnsi="Wingdings" w:hint="default"/>
      </w:rPr>
    </w:lvl>
  </w:abstractNum>
  <w:abstractNum w:abstractNumId="8" w15:restartNumberingAfterBreak="0">
    <w:nsid w:val="1E7C2446"/>
    <w:multiLevelType w:val="hybridMultilevel"/>
    <w:tmpl w:val="883A8B96"/>
    <w:lvl w:ilvl="0" w:tplc="04050001">
      <w:start w:val="1"/>
      <w:numFmt w:val="bullet"/>
      <w:lvlText w:val=""/>
      <w:lvlJc w:val="left"/>
      <w:pPr>
        <w:ind w:left="720" w:hanging="360"/>
      </w:pPr>
      <w:rPr>
        <w:rFonts w:ascii="Symbol" w:hAnsi="Symbol" w:hint="default"/>
      </w:rPr>
    </w:lvl>
    <w:lvl w:ilvl="1" w:tplc="044C3394" w:tentative="1">
      <w:start w:val="1"/>
      <w:numFmt w:val="bullet"/>
      <w:lvlText w:val="o"/>
      <w:lvlJc w:val="left"/>
      <w:pPr>
        <w:ind w:left="1440" w:hanging="360"/>
      </w:pPr>
      <w:rPr>
        <w:rFonts w:ascii="Courier New" w:hAnsi="Courier New" w:cs="Courier New" w:hint="default"/>
      </w:rPr>
    </w:lvl>
    <w:lvl w:ilvl="2" w:tplc="2C52A190" w:tentative="1">
      <w:start w:val="1"/>
      <w:numFmt w:val="bullet"/>
      <w:lvlText w:val=""/>
      <w:lvlJc w:val="left"/>
      <w:pPr>
        <w:ind w:left="2160" w:hanging="360"/>
      </w:pPr>
      <w:rPr>
        <w:rFonts w:ascii="Wingdings" w:hAnsi="Wingdings" w:hint="default"/>
      </w:rPr>
    </w:lvl>
    <w:lvl w:ilvl="3" w:tplc="AE520FEA" w:tentative="1">
      <w:start w:val="1"/>
      <w:numFmt w:val="bullet"/>
      <w:lvlText w:val=""/>
      <w:lvlJc w:val="left"/>
      <w:pPr>
        <w:ind w:left="2880" w:hanging="360"/>
      </w:pPr>
      <w:rPr>
        <w:rFonts w:ascii="Symbol" w:hAnsi="Symbol" w:hint="default"/>
      </w:rPr>
    </w:lvl>
    <w:lvl w:ilvl="4" w:tplc="E2905268" w:tentative="1">
      <w:start w:val="1"/>
      <w:numFmt w:val="bullet"/>
      <w:lvlText w:val="o"/>
      <w:lvlJc w:val="left"/>
      <w:pPr>
        <w:ind w:left="3600" w:hanging="360"/>
      </w:pPr>
      <w:rPr>
        <w:rFonts w:ascii="Courier New" w:hAnsi="Courier New" w:cs="Courier New" w:hint="default"/>
      </w:rPr>
    </w:lvl>
    <w:lvl w:ilvl="5" w:tplc="B73AE49A" w:tentative="1">
      <w:start w:val="1"/>
      <w:numFmt w:val="bullet"/>
      <w:lvlText w:val=""/>
      <w:lvlJc w:val="left"/>
      <w:pPr>
        <w:ind w:left="4320" w:hanging="360"/>
      </w:pPr>
      <w:rPr>
        <w:rFonts w:ascii="Wingdings" w:hAnsi="Wingdings" w:hint="default"/>
      </w:rPr>
    </w:lvl>
    <w:lvl w:ilvl="6" w:tplc="74CADC72" w:tentative="1">
      <w:start w:val="1"/>
      <w:numFmt w:val="bullet"/>
      <w:lvlText w:val=""/>
      <w:lvlJc w:val="left"/>
      <w:pPr>
        <w:ind w:left="5040" w:hanging="360"/>
      </w:pPr>
      <w:rPr>
        <w:rFonts w:ascii="Symbol" w:hAnsi="Symbol" w:hint="default"/>
      </w:rPr>
    </w:lvl>
    <w:lvl w:ilvl="7" w:tplc="989E540A" w:tentative="1">
      <w:start w:val="1"/>
      <w:numFmt w:val="bullet"/>
      <w:lvlText w:val="o"/>
      <w:lvlJc w:val="left"/>
      <w:pPr>
        <w:ind w:left="5760" w:hanging="360"/>
      </w:pPr>
      <w:rPr>
        <w:rFonts w:ascii="Courier New" w:hAnsi="Courier New" w:cs="Courier New" w:hint="default"/>
      </w:rPr>
    </w:lvl>
    <w:lvl w:ilvl="8" w:tplc="78A6081E" w:tentative="1">
      <w:start w:val="1"/>
      <w:numFmt w:val="bullet"/>
      <w:lvlText w:val=""/>
      <w:lvlJc w:val="left"/>
      <w:pPr>
        <w:ind w:left="6480" w:hanging="360"/>
      </w:pPr>
      <w:rPr>
        <w:rFonts w:ascii="Wingdings" w:hAnsi="Wingdings" w:hint="default"/>
      </w:rPr>
    </w:lvl>
  </w:abstractNum>
  <w:abstractNum w:abstractNumId="9" w15:restartNumberingAfterBreak="0">
    <w:nsid w:val="1EAD19CC"/>
    <w:multiLevelType w:val="hybridMultilevel"/>
    <w:tmpl w:val="AEA2306A"/>
    <w:lvl w:ilvl="0" w:tplc="56046402">
      <w:start w:val="2"/>
      <w:numFmt w:val="bullet"/>
      <w:lvlText w:val="-"/>
      <w:lvlJc w:val="left"/>
      <w:pPr>
        <w:ind w:left="720" w:hanging="360"/>
      </w:pPr>
      <w:rPr>
        <w:rFonts w:ascii="Calibri" w:eastAsia="Times New Roman" w:hAnsi="Calibri" w:cs="Calibri" w:hint="default"/>
      </w:rPr>
    </w:lvl>
    <w:lvl w:ilvl="1" w:tplc="40D82A04" w:tentative="1">
      <w:start w:val="1"/>
      <w:numFmt w:val="bullet"/>
      <w:lvlText w:val="o"/>
      <w:lvlJc w:val="left"/>
      <w:pPr>
        <w:ind w:left="1440" w:hanging="360"/>
      </w:pPr>
      <w:rPr>
        <w:rFonts w:ascii="Courier New" w:hAnsi="Courier New" w:cs="Courier New" w:hint="default"/>
      </w:rPr>
    </w:lvl>
    <w:lvl w:ilvl="2" w:tplc="29480184" w:tentative="1">
      <w:start w:val="1"/>
      <w:numFmt w:val="bullet"/>
      <w:lvlText w:val=""/>
      <w:lvlJc w:val="left"/>
      <w:pPr>
        <w:ind w:left="2160" w:hanging="360"/>
      </w:pPr>
      <w:rPr>
        <w:rFonts w:ascii="Wingdings" w:hAnsi="Wingdings" w:hint="default"/>
      </w:rPr>
    </w:lvl>
    <w:lvl w:ilvl="3" w:tplc="6E923366" w:tentative="1">
      <w:start w:val="1"/>
      <w:numFmt w:val="bullet"/>
      <w:lvlText w:val=""/>
      <w:lvlJc w:val="left"/>
      <w:pPr>
        <w:ind w:left="2880" w:hanging="360"/>
      </w:pPr>
      <w:rPr>
        <w:rFonts w:ascii="Symbol" w:hAnsi="Symbol" w:hint="default"/>
      </w:rPr>
    </w:lvl>
    <w:lvl w:ilvl="4" w:tplc="59D815C2" w:tentative="1">
      <w:start w:val="1"/>
      <w:numFmt w:val="bullet"/>
      <w:lvlText w:val="o"/>
      <w:lvlJc w:val="left"/>
      <w:pPr>
        <w:ind w:left="3600" w:hanging="360"/>
      </w:pPr>
      <w:rPr>
        <w:rFonts w:ascii="Courier New" w:hAnsi="Courier New" w:cs="Courier New" w:hint="default"/>
      </w:rPr>
    </w:lvl>
    <w:lvl w:ilvl="5" w:tplc="FD4A87AC" w:tentative="1">
      <w:start w:val="1"/>
      <w:numFmt w:val="bullet"/>
      <w:lvlText w:val=""/>
      <w:lvlJc w:val="left"/>
      <w:pPr>
        <w:ind w:left="4320" w:hanging="360"/>
      </w:pPr>
      <w:rPr>
        <w:rFonts w:ascii="Wingdings" w:hAnsi="Wingdings" w:hint="default"/>
      </w:rPr>
    </w:lvl>
    <w:lvl w:ilvl="6" w:tplc="6E4E3632" w:tentative="1">
      <w:start w:val="1"/>
      <w:numFmt w:val="bullet"/>
      <w:lvlText w:val=""/>
      <w:lvlJc w:val="left"/>
      <w:pPr>
        <w:ind w:left="5040" w:hanging="360"/>
      </w:pPr>
      <w:rPr>
        <w:rFonts w:ascii="Symbol" w:hAnsi="Symbol" w:hint="default"/>
      </w:rPr>
    </w:lvl>
    <w:lvl w:ilvl="7" w:tplc="AEE0591A" w:tentative="1">
      <w:start w:val="1"/>
      <w:numFmt w:val="bullet"/>
      <w:lvlText w:val="o"/>
      <w:lvlJc w:val="left"/>
      <w:pPr>
        <w:ind w:left="5760" w:hanging="360"/>
      </w:pPr>
      <w:rPr>
        <w:rFonts w:ascii="Courier New" w:hAnsi="Courier New" w:cs="Courier New" w:hint="default"/>
      </w:rPr>
    </w:lvl>
    <w:lvl w:ilvl="8" w:tplc="8BA48E20" w:tentative="1">
      <w:start w:val="1"/>
      <w:numFmt w:val="bullet"/>
      <w:lvlText w:val=""/>
      <w:lvlJc w:val="left"/>
      <w:pPr>
        <w:ind w:left="6480" w:hanging="360"/>
      </w:pPr>
      <w:rPr>
        <w:rFonts w:ascii="Wingdings" w:hAnsi="Wingdings" w:hint="default"/>
      </w:rPr>
    </w:lvl>
  </w:abstractNum>
  <w:abstractNum w:abstractNumId="10" w15:restartNumberingAfterBreak="0">
    <w:nsid w:val="23C74754"/>
    <w:multiLevelType w:val="hybridMultilevel"/>
    <w:tmpl w:val="626C674C"/>
    <w:lvl w:ilvl="0" w:tplc="19F095A4">
      <w:start w:val="1"/>
      <w:numFmt w:val="bullet"/>
      <w:lvlText w:val=""/>
      <w:lvlJc w:val="left"/>
      <w:pPr>
        <w:ind w:left="1004" w:hanging="360"/>
      </w:pPr>
      <w:rPr>
        <w:rFonts w:ascii="Symbol" w:hAnsi="Symbol" w:hint="default"/>
      </w:rPr>
    </w:lvl>
    <w:lvl w:ilvl="1" w:tplc="2D28E1E4" w:tentative="1">
      <w:start w:val="1"/>
      <w:numFmt w:val="bullet"/>
      <w:lvlText w:val="o"/>
      <w:lvlJc w:val="left"/>
      <w:pPr>
        <w:ind w:left="1724" w:hanging="360"/>
      </w:pPr>
      <w:rPr>
        <w:rFonts w:ascii="Courier New" w:hAnsi="Courier New" w:cs="Courier New" w:hint="default"/>
      </w:rPr>
    </w:lvl>
    <w:lvl w:ilvl="2" w:tplc="6898E7BE" w:tentative="1">
      <w:start w:val="1"/>
      <w:numFmt w:val="bullet"/>
      <w:lvlText w:val=""/>
      <w:lvlJc w:val="left"/>
      <w:pPr>
        <w:ind w:left="2444" w:hanging="360"/>
      </w:pPr>
      <w:rPr>
        <w:rFonts w:ascii="Wingdings" w:hAnsi="Wingdings" w:hint="default"/>
      </w:rPr>
    </w:lvl>
    <w:lvl w:ilvl="3" w:tplc="E6F4ACE6" w:tentative="1">
      <w:start w:val="1"/>
      <w:numFmt w:val="bullet"/>
      <w:lvlText w:val=""/>
      <w:lvlJc w:val="left"/>
      <w:pPr>
        <w:ind w:left="3164" w:hanging="360"/>
      </w:pPr>
      <w:rPr>
        <w:rFonts w:ascii="Symbol" w:hAnsi="Symbol" w:hint="default"/>
      </w:rPr>
    </w:lvl>
    <w:lvl w:ilvl="4" w:tplc="685CF35A" w:tentative="1">
      <w:start w:val="1"/>
      <w:numFmt w:val="bullet"/>
      <w:lvlText w:val="o"/>
      <w:lvlJc w:val="left"/>
      <w:pPr>
        <w:ind w:left="3884" w:hanging="360"/>
      </w:pPr>
      <w:rPr>
        <w:rFonts w:ascii="Courier New" w:hAnsi="Courier New" w:cs="Courier New" w:hint="default"/>
      </w:rPr>
    </w:lvl>
    <w:lvl w:ilvl="5" w:tplc="82FEE576" w:tentative="1">
      <w:start w:val="1"/>
      <w:numFmt w:val="bullet"/>
      <w:lvlText w:val=""/>
      <w:lvlJc w:val="left"/>
      <w:pPr>
        <w:ind w:left="4604" w:hanging="360"/>
      </w:pPr>
      <w:rPr>
        <w:rFonts w:ascii="Wingdings" w:hAnsi="Wingdings" w:hint="default"/>
      </w:rPr>
    </w:lvl>
    <w:lvl w:ilvl="6" w:tplc="A69AE15E" w:tentative="1">
      <w:start w:val="1"/>
      <w:numFmt w:val="bullet"/>
      <w:lvlText w:val=""/>
      <w:lvlJc w:val="left"/>
      <w:pPr>
        <w:ind w:left="5324" w:hanging="360"/>
      </w:pPr>
      <w:rPr>
        <w:rFonts w:ascii="Symbol" w:hAnsi="Symbol" w:hint="default"/>
      </w:rPr>
    </w:lvl>
    <w:lvl w:ilvl="7" w:tplc="7B56F4DC" w:tentative="1">
      <w:start w:val="1"/>
      <w:numFmt w:val="bullet"/>
      <w:lvlText w:val="o"/>
      <w:lvlJc w:val="left"/>
      <w:pPr>
        <w:ind w:left="6044" w:hanging="360"/>
      </w:pPr>
      <w:rPr>
        <w:rFonts w:ascii="Courier New" w:hAnsi="Courier New" w:cs="Courier New" w:hint="default"/>
      </w:rPr>
    </w:lvl>
    <w:lvl w:ilvl="8" w:tplc="4732B93C" w:tentative="1">
      <w:start w:val="1"/>
      <w:numFmt w:val="bullet"/>
      <w:lvlText w:val=""/>
      <w:lvlJc w:val="left"/>
      <w:pPr>
        <w:ind w:left="6764" w:hanging="360"/>
      </w:pPr>
      <w:rPr>
        <w:rFonts w:ascii="Wingdings" w:hAnsi="Wingdings" w:hint="default"/>
      </w:rPr>
    </w:lvl>
  </w:abstractNum>
  <w:abstractNum w:abstractNumId="11" w15:restartNumberingAfterBreak="0">
    <w:nsid w:val="249D4E0E"/>
    <w:multiLevelType w:val="hybridMultilevel"/>
    <w:tmpl w:val="6AA6043A"/>
    <w:lvl w:ilvl="0" w:tplc="0ED8D168">
      <w:start w:val="1"/>
      <w:numFmt w:val="bullet"/>
      <w:lvlText w:val="o"/>
      <w:lvlJc w:val="left"/>
      <w:pPr>
        <w:ind w:left="720" w:hanging="360"/>
      </w:pPr>
      <w:rPr>
        <w:rFonts w:ascii="Courier New" w:hAnsi="Courier New" w:cs="Courier New" w:hint="default"/>
      </w:rPr>
    </w:lvl>
    <w:lvl w:ilvl="1" w:tplc="044C3394" w:tentative="1">
      <w:start w:val="1"/>
      <w:numFmt w:val="bullet"/>
      <w:lvlText w:val="o"/>
      <w:lvlJc w:val="left"/>
      <w:pPr>
        <w:ind w:left="1440" w:hanging="360"/>
      </w:pPr>
      <w:rPr>
        <w:rFonts w:ascii="Courier New" w:hAnsi="Courier New" w:cs="Courier New" w:hint="default"/>
      </w:rPr>
    </w:lvl>
    <w:lvl w:ilvl="2" w:tplc="2C52A190" w:tentative="1">
      <w:start w:val="1"/>
      <w:numFmt w:val="bullet"/>
      <w:lvlText w:val=""/>
      <w:lvlJc w:val="left"/>
      <w:pPr>
        <w:ind w:left="2160" w:hanging="360"/>
      </w:pPr>
      <w:rPr>
        <w:rFonts w:ascii="Wingdings" w:hAnsi="Wingdings" w:hint="default"/>
      </w:rPr>
    </w:lvl>
    <w:lvl w:ilvl="3" w:tplc="AE520FEA" w:tentative="1">
      <w:start w:val="1"/>
      <w:numFmt w:val="bullet"/>
      <w:lvlText w:val=""/>
      <w:lvlJc w:val="left"/>
      <w:pPr>
        <w:ind w:left="2880" w:hanging="360"/>
      </w:pPr>
      <w:rPr>
        <w:rFonts w:ascii="Symbol" w:hAnsi="Symbol" w:hint="default"/>
      </w:rPr>
    </w:lvl>
    <w:lvl w:ilvl="4" w:tplc="E2905268" w:tentative="1">
      <w:start w:val="1"/>
      <w:numFmt w:val="bullet"/>
      <w:lvlText w:val="o"/>
      <w:lvlJc w:val="left"/>
      <w:pPr>
        <w:ind w:left="3600" w:hanging="360"/>
      </w:pPr>
      <w:rPr>
        <w:rFonts w:ascii="Courier New" w:hAnsi="Courier New" w:cs="Courier New" w:hint="default"/>
      </w:rPr>
    </w:lvl>
    <w:lvl w:ilvl="5" w:tplc="B73AE49A" w:tentative="1">
      <w:start w:val="1"/>
      <w:numFmt w:val="bullet"/>
      <w:lvlText w:val=""/>
      <w:lvlJc w:val="left"/>
      <w:pPr>
        <w:ind w:left="4320" w:hanging="360"/>
      </w:pPr>
      <w:rPr>
        <w:rFonts w:ascii="Wingdings" w:hAnsi="Wingdings" w:hint="default"/>
      </w:rPr>
    </w:lvl>
    <w:lvl w:ilvl="6" w:tplc="74CADC72" w:tentative="1">
      <w:start w:val="1"/>
      <w:numFmt w:val="bullet"/>
      <w:lvlText w:val=""/>
      <w:lvlJc w:val="left"/>
      <w:pPr>
        <w:ind w:left="5040" w:hanging="360"/>
      </w:pPr>
      <w:rPr>
        <w:rFonts w:ascii="Symbol" w:hAnsi="Symbol" w:hint="default"/>
      </w:rPr>
    </w:lvl>
    <w:lvl w:ilvl="7" w:tplc="989E540A" w:tentative="1">
      <w:start w:val="1"/>
      <w:numFmt w:val="bullet"/>
      <w:lvlText w:val="o"/>
      <w:lvlJc w:val="left"/>
      <w:pPr>
        <w:ind w:left="5760" w:hanging="360"/>
      </w:pPr>
      <w:rPr>
        <w:rFonts w:ascii="Courier New" w:hAnsi="Courier New" w:cs="Courier New" w:hint="default"/>
      </w:rPr>
    </w:lvl>
    <w:lvl w:ilvl="8" w:tplc="78A6081E" w:tentative="1">
      <w:start w:val="1"/>
      <w:numFmt w:val="bullet"/>
      <w:lvlText w:val=""/>
      <w:lvlJc w:val="left"/>
      <w:pPr>
        <w:ind w:left="6480" w:hanging="360"/>
      </w:pPr>
      <w:rPr>
        <w:rFonts w:ascii="Wingdings" w:hAnsi="Wingdings" w:hint="default"/>
      </w:rPr>
    </w:lvl>
  </w:abstractNum>
  <w:abstractNum w:abstractNumId="12" w15:restartNumberingAfterBreak="0">
    <w:nsid w:val="2B2C008E"/>
    <w:multiLevelType w:val="hybridMultilevel"/>
    <w:tmpl w:val="FC062E12"/>
    <w:lvl w:ilvl="0" w:tplc="8A648A06">
      <w:start w:val="1"/>
      <w:numFmt w:val="decimal"/>
      <w:lvlText w:val="%1."/>
      <w:lvlJc w:val="left"/>
      <w:pPr>
        <w:ind w:left="720" w:hanging="360"/>
      </w:pPr>
      <w:rPr>
        <w:rFonts w:hint="default"/>
      </w:rPr>
    </w:lvl>
    <w:lvl w:ilvl="1" w:tplc="9B24292A" w:tentative="1">
      <w:start w:val="1"/>
      <w:numFmt w:val="bullet"/>
      <w:lvlText w:val="o"/>
      <w:lvlJc w:val="left"/>
      <w:pPr>
        <w:ind w:left="1440" w:hanging="360"/>
      </w:pPr>
      <w:rPr>
        <w:rFonts w:ascii="Courier New" w:hAnsi="Courier New" w:cs="Courier New" w:hint="default"/>
      </w:rPr>
    </w:lvl>
    <w:lvl w:ilvl="2" w:tplc="A11880EE" w:tentative="1">
      <w:start w:val="1"/>
      <w:numFmt w:val="bullet"/>
      <w:lvlText w:val=""/>
      <w:lvlJc w:val="left"/>
      <w:pPr>
        <w:ind w:left="2160" w:hanging="360"/>
      </w:pPr>
      <w:rPr>
        <w:rFonts w:ascii="Wingdings" w:hAnsi="Wingdings" w:hint="default"/>
      </w:rPr>
    </w:lvl>
    <w:lvl w:ilvl="3" w:tplc="A47A56FE" w:tentative="1">
      <w:start w:val="1"/>
      <w:numFmt w:val="bullet"/>
      <w:lvlText w:val=""/>
      <w:lvlJc w:val="left"/>
      <w:pPr>
        <w:ind w:left="2880" w:hanging="360"/>
      </w:pPr>
      <w:rPr>
        <w:rFonts w:ascii="Symbol" w:hAnsi="Symbol" w:hint="default"/>
      </w:rPr>
    </w:lvl>
    <w:lvl w:ilvl="4" w:tplc="E3BAEF02" w:tentative="1">
      <w:start w:val="1"/>
      <w:numFmt w:val="bullet"/>
      <w:lvlText w:val="o"/>
      <w:lvlJc w:val="left"/>
      <w:pPr>
        <w:ind w:left="3600" w:hanging="360"/>
      </w:pPr>
      <w:rPr>
        <w:rFonts w:ascii="Courier New" w:hAnsi="Courier New" w:cs="Courier New" w:hint="default"/>
      </w:rPr>
    </w:lvl>
    <w:lvl w:ilvl="5" w:tplc="D2B4DF3A" w:tentative="1">
      <w:start w:val="1"/>
      <w:numFmt w:val="bullet"/>
      <w:lvlText w:val=""/>
      <w:lvlJc w:val="left"/>
      <w:pPr>
        <w:ind w:left="4320" w:hanging="360"/>
      </w:pPr>
      <w:rPr>
        <w:rFonts w:ascii="Wingdings" w:hAnsi="Wingdings" w:hint="default"/>
      </w:rPr>
    </w:lvl>
    <w:lvl w:ilvl="6" w:tplc="5E6CDEB2" w:tentative="1">
      <w:start w:val="1"/>
      <w:numFmt w:val="bullet"/>
      <w:lvlText w:val=""/>
      <w:lvlJc w:val="left"/>
      <w:pPr>
        <w:ind w:left="5040" w:hanging="360"/>
      </w:pPr>
      <w:rPr>
        <w:rFonts w:ascii="Symbol" w:hAnsi="Symbol" w:hint="default"/>
      </w:rPr>
    </w:lvl>
    <w:lvl w:ilvl="7" w:tplc="FFE4557A" w:tentative="1">
      <w:start w:val="1"/>
      <w:numFmt w:val="bullet"/>
      <w:lvlText w:val="o"/>
      <w:lvlJc w:val="left"/>
      <w:pPr>
        <w:ind w:left="5760" w:hanging="360"/>
      </w:pPr>
      <w:rPr>
        <w:rFonts w:ascii="Courier New" w:hAnsi="Courier New" w:cs="Courier New" w:hint="default"/>
      </w:rPr>
    </w:lvl>
    <w:lvl w:ilvl="8" w:tplc="A6906AC6" w:tentative="1">
      <w:start w:val="1"/>
      <w:numFmt w:val="bullet"/>
      <w:lvlText w:val=""/>
      <w:lvlJc w:val="left"/>
      <w:pPr>
        <w:ind w:left="6480" w:hanging="360"/>
      </w:pPr>
      <w:rPr>
        <w:rFonts w:ascii="Wingdings" w:hAnsi="Wingdings" w:hint="default"/>
      </w:rPr>
    </w:lvl>
  </w:abstractNum>
  <w:abstractNum w:abstractNumId="13" w15:restartNumberingAfterBreak="0">
    <w:nsid w:val="2C7E0DCE"/>
    <w:multiLevelType w:val="hybridMultilevel"/>
    <w:tmpl w:val="88825EBC"/>
    <w:lvl w:ilvl="0" w:tplc="9A123FC6">
      <w:start w:val="1"/>
      <w:numFmt w:val="bullet"/>
      <w:lvlText w:val=""/>
      <w:lvlJc w:val="left"/>
      <w:pPr>
        <w:ind w:left="360" w:hanging="360"/>
      </w:pPr>
      <w:rPr>
        <w:rFonts w:ascii="Symbol" w:hAnsi="Symbol" w:hint="default"/>
      </w:rPr>
    </w:lvl>
    <w:lvl w:ilvl="1" w:tplc="E06074BE">
      <w:start w:val="1"/>
      <w:numFmt w:val="bullet"/>
      <w:lvlText w:val="o"/>
      <w:lvlJc w:val="left"/>
      <w:pPr>
        <w:ind w:left="1440" w:hanging="360"/>
      </w:pPr>
      <w:rPr>
        <w:rFonts w:ascii="Courier New" w:hAnsi="Courier New" w:hint="default"/>
      </w:rPr>
    </w:lvl>
    <w:lvl w:ilvl="2" w:tplc="00C61B0A" w:tentative="1">
      <w:start w:val="1"/>
      <w:numFmt w:val="bullet"/>
      <w:lvlText w:val=""/>
      <w:lvlJc w:val="left"/>
      <w:pPr>
        <w:ind w:left="2160" w:hanging="360"/>
      </w:pPr>
      <w:rPr>
        <w:rFonts w:ascii="Wingdings" w:hAnsi="Wingdings" w:hint="default"/>
      </w:rPr>
    </w:lvl>
    <w:lvl w:ilvl="3" w:tplc="C526FB64" w:tentative="1">
      <w:start w:val="1"/>
      <w:numFmt w:val="bullet"/>
      <w:lvlText w:val=""/>
      <w:lvlJc w:val="left"/>
      <w:pPr>
        <w:ind w:left="2880" w:hanging="360"/>
      </w:pPr>
      <w:rPr>
        <w:rFonts w:ascii="Symbol" w:hAnsi="Symbol" w:hint="default"/>
      </w:rPr>
    </w:lvl>
    <w:lvl w:ilvl="4" w:tplc="B9D23FFC" w:tentative="1">
      <w:start w:val="1"/>
      <w:numFmt w:val="bullet"/>
      <w:lvlText w:val="o"/>
      <w:lvlJc w:val="left"/>
      <w:pPr>
        <w:ind w:left="3600" w:hanging="360"/>
      </w:pPr>
      <w:rPr>
        <w:rFonts w:ascii="Courier New" w:hAnsi="Courier New" w:hint="default"/>
      </w:rPr>
    </w:lvl>
    <w:lvl w:ilvl="5" w:tplc="028AB27C" w:tentative="1">
      <w:start w:val="1"/>
      <w:numFmt w:val="bullet"/>
      <w:lvlText w:val=""/>
      <w:lvlJc w:val="left"/>
      <w:pPr>
        <w:ind w:left="4320" w:hanging="360"/>
      </w:pPr>
      <w:rPr>
        <w:rFonts w:ascii="Wingdings" w:hAnsi="Wingdings" w:hint="default"/>
      </w:rPr>
    </w:lvl>
    <w:lvl w:ilvl="6" w:tplc="AB3A6EFE" w:tentative="1">
      <w:start w:val="1"/>
      <w:numFmt w:val="bullet"/>
      <w:lvlText w:val=""/>
      <w:lvlJc w:val="left"/>
      <w:pPr>
        <w:ind w:left="5040" w:hanging="360"/>
      </w:pPr>
      <w:rPr>
        <w:rFonts w:ascii="Symbol" w:hAnsi="Symbol" w:hint="default"/>
      </w:rPr>
    </w:lvl>
    <w:lvl w:ilvl="7" w:tplc="A2CAA290" w:tentative="1">
      <w:start w:val="1"/>
      <w:numFmt w:val="bullet"/>
      <w:lvlText w:val="o"/>
      <w:lvlJc w:val="left"/>
      <w:pPr>
        <w:ind w:left="5760" w:hanging="360"/>
      </w:pPr>
      <w:rPr>
        <w:rFonts w:ascii="Courier New" w:hAnsi="Courier New" w:hint="default"/>
      </w:rPr>
    </w:lvl>
    <w:lvl w:ilvl="8" w:tplc="08A056A6" w:tentative="1">
      <w:start w:val="1"/>
      <w:numFmt w:val="bullet"/>
      <w:lvlText w:val=""/>
      <w:lvlJc w:val="left"/>
      <w:pPr>
        <w:ind w:left="6480" w:hanging="360"/>
      </w:pPr>
      <w:rPr>
        <w:rFonts w:ascii="Wingdings" w:hAnsi="Wingdings" w:hint="default"/>
      </w:rPr>
    </w:lvl>
  </w:abstractNum>
  <w:abstractNum w:abstractNumId="14" w15:restartNumberingAfterBreak="0">
    <w:nsid w:val="2EE42C9F"/>
    <w:multiLevelType w:val="hybridMultilevel"/>
    <w:tmpl w:val="0DD86A9C"/>
    <w:lvl w:ilvl="0" w:tplc="67EC5EDC">
      <w:start w:val="1"/>
      <w:numFmt w:val="bullet"/>
      <w:lvlText w:val=""/>
      <w:lvlJc w:val="left"/>
      <w:pPr>
        <w:ind w:left="720" w:hanging="360"/>
      </w:pPr>
      <w:rPr>
        <w:rFonts w:ascii="Symbol" w:hAnsi="Symbol" w:hint="default"/>
      </w:rPr>
    </w:lvl>
    <w:lvl w:ilvl="1" w:tplc="A1385DDA" w:tentative="1">
      <w:start w:val="1"/>
      <w:numFmt w:val="bullet"/>
      <w:lvlText w:val="o"/>
      <w:lvlJc w:val="left"/>
      <w:pPr>
        <w:ind w:left="1440" w:hanging="360"/>
      </w:pPr>
      <w:rPr>
        <w:rFonts w:ascii="Courier New" w:hAnsi="Courier New" w:cs="Courier New" w:hint="default"/>
      </w:rPr>
    </w:lvl>
    <w:lvl w:ilvl="2" w:tplc="116CC224" w:tentative="1">
      <w:start w:val="1"/>
      <w:numFmt w:val="bullet"/>
      <w:lvlText w:val=""/>
      <w:lvlJc w:val="left"/>
      <w:pPr>
        <w:ind w:left="2160" w:hanging="360"/>
      </w:pPr>
      <w:rPr>
        <w:rFonts w:ascii="Wingdings" w:hAnsi="Wingdings" w:hint="default"/>
      </w:rPr>
    </w:lvl>
    <w:lvl w:ilvl="3" w:tplc="63C05136" w:tentative="1">
      <w:start w:val="1"/>
      <w:numFmt w:val="bullet"/>
      <w:lvlText w:val=""/>
      <w:lvlJc w:val="left"/>
      <w:pPr>
        <w:ind w:left="2880" w:hanging="360"/>
      </w:pPr>
      <w:rPr>
        <w:rFonts w:ascii="Symbol" w:hAnsi="Symbol" w:hint="default"/>
      </w:rPr>
    </w:lvl>
    <w:lvl w:ilvl="4" w:tplc="E3642634" w:tentative="1">
      <w:start w:val="1"/>
      <w:numFmt w:val="bullet"/>
      <w:lvlText w:val="o"/>
      <w:lvlJc w:val="left"/>
      <w:pPr>
        <w:ind w:left="3600" w:hanging="360"/>
      </w:pPr>
      <w:rPr>
        <w:rFonts w:ascii="Courier New" w:hAnsi="Courier New" w:cs="Courier New" w:hint="default"/>
      </w:rPr>
    </w:lvl>
    <w:lvl w:ilvl="5" w:tplc="EDA0AD2A" w:tentative="1">
      <w:start w:val="1"/>
      <w:numFmt w:val="bullet"/>
      <w:lvlText w:val=""/>
      <w:lvlJc w:val="left"/>
      <w:pPr>
        <w:ind w:left="4320" w:hanging="360"/>
      </w:pPr>
      <w:rPr>
        <w:rFonts w:ascii="Wingdings" w:hAnsi="Wingdings" w:hint="default"/>
      </w:rPr>
    </w:lvl>
    <w:lvl w:ilvl="6" w:tplc="CC6E4058" w:tentative="1">
      <w:start w:val="1"/>
      <w:numFmt w:val="bullet"/>
      <w:lvlText w:val=""/>
      <w:lvlJc w:val="left"/>
      <w:pPr>
        <w:ind w:left="5040" w:hanging="360"/>
      </w:pPr>
      <w:rPr>
        <w:rFonts w:ascii="Symbol" w:hAnsi="Symbol" w:hint="default"/>
      </w:rPr>
    </w:lvl>
    <w:lvl w:ilvl="7" w:tplc="BBE26DA8" w:tentative="1">
      <w:start w:val="1"/>
      <w:numFmt w:val="bullet"/>
      <w:lvlText w:val="o"/>
      <w:lvlJc w:val="left"/>
      <w:pPr>
        <w:ind w:left="5760" w:hanging="360"/>
      </w:pPr>
      <w:rPr>
        <w:rFonts w:ascii="Courier New" w:hAnsi="Courier New" w:cs="Courier New" w:hint="default"/>
      </w:rPr>
    </w:lvl>
    <w:lvl w:ilvl="8" w:tplc="21AABE9A" w:tentative="1">
      <w:start w:val="1"/>
      <w:numFmt w:val="bullet"/>
      <w:lvlText w:val=""/>
      <w:lvlJc w:val="left"/>
      <w:pPr>
        <w:ind w:left="6480" w:hanging="360"/>
      </w:pPr>
      <w:rPr>
        <w:rFonts w:ascii="Wingdings" w:hAnsi="Wingdings" w:hint="default"/>
      </w:rPr>
    </w:lvl>
  </w:abstractNum>
  <w:abstractNum w:abstractNumId="15" w15:restartNumberingAfterBreak="0">
    <w:nsid w:val="305C7FEA"/>
    <w:multiLevelType w:val="hybridMultilevel"/>
    <w:tmpl w:val="EBE66806"/>
    <w:lvl w:ilvl="0" w:tplc="F824068E">
      <w:start w:val="4"/>
      <w:numFmt w:val="decimal"/>
      <w:lvlText w:val="%1."/>
      <w:lvlJc w:val="left"/>
      <w:pPr>
        <w:ind w:left="720" w:hanging="360"/>
      </w:pPr>
      <w:rPr>
        <w:rFonts w:hint="default"/>
      </w:rPr>
    </w:lvl>
    <w:lvl w:ilvl="1" w:tplc="E004B4FA" w:tentative="1">
      <w:start w:val="1"/>
      <w:numFmt w:val="lowerLetter"/>
      <w:lvlText w:val="%2."/>
      <w:lvlJc w:val="left"/>
      <w:pPr>
        <w:ind w:left="1440" w:hanging="360"/>
      </w:pPr>
    </w:lvl>
    <w:lvl w:ilvl="2" w:tplc="55900A3A" w:tentative="1">
      <w:start w:val="1"/>
      <w:numFmt w:val="lowerRoman"/>
      <w:lvlText w:val="%3."/>
      <w:lvlJc w:val="right"/>
      <w:pPr>
        <w:ind w:left="2160" w:hanging="180"/>
      </w:pPr>
    </w:lvl>
    <w:lvl w:ilvl="3" w:tplc="93887760" w:tentative="1">
      <w:start w:val="1"/>
      <w:numFmt w:val="decimal"/>
      <w:lvlText w:val="%4."/>
      <w:lvlJc w:val="left"/>
      <w:pPr>
        <w:ind w:left="2880" w:hanging="360"/>
      </w:pPr>
    </w:lvl>
    <w:lvl w:ilvl="4" w:tplc="31E2F484" w:tentative="1">
      <w:start w:val="1"/>
      <w:numFmt w:val="lowerLetter"/>
      <w:lvlText w:val="%5."/>
      <w:lvlJc w:val="left"/>
      <w:pPr>
        <w:ind w:left="3600" w:hanging="360"/>
      </w:pPr>
    </w:lvl>
    <w:lvl w:ilvl="5" w:tplc="126ADFF6" w:tentative="1">
      <w:start w:val="1"/>
      <w:numFmt w:val="lowerRoman"/>
      <w:lvlText w:val="%6."/>
      <w:lvlJc w:val="right"/>
      <w:pPr>
        <w:ind w:left="4320" w:hanging="180"/>
      </w:pPr>
    </w:lvl>
    <w:lvl w:ilvl="6" w:tplc="871CB388" w:tentative="1">
      <w:start w:val="1"/>
      <w:numFmt w:val="decimal"/>
      <w:lvlText w:val="%7."/>
      <w:lvlJc w:val="left"/>
      <w:pPr>
        <w:ind w:left="5040" w:hanging="360"/>
      </w:pPr>
    </w:lvl>
    <w:lvl w:ilvl="7" w:tplc="0954302E" w:tentative="1">
      <w:start w:val="1"/>
      <w:numFmt w:val="lowerLetter"/>
      <w:lvlText w:val="%8."/>
      <w:lvlJc w:val="left"/>
      <w:pPr>
        <w:ind w:left="5760" w:hanging="360"/>
      </w:pPr>
    </w:lvl>
    <w:lvl w:ilvl="8" w:tplc="B26C52B2" w:tentative="1">
      <w:start w:val="1"/>
      <w:numFmt w:val="lowerRoman"/>
      <w:lvlText w:val="%9."/>
      <w:lvlJc w:val="right"/>
      <w:pPr>
        <w:ind w:left="6480" w:hanging="180"/>
      </w:pPr>
    </w:lvl>
  </w:abstractNum>
  <w:abstractNum w:abstractNumId="16" w15:restartNumberingAfterBreak="0">
    <w:nsid w:val="30EA3815"/>
    <w:multiLevelType w:val="hybridMultilevel"/>
    <w:tmpl w:val="0B844790"/>
    <w:lvl w:ilvl="0" w:tplc="83328ED6">
      <w:start w:val="1"/>
      <w:numFmt w:val="lowerLetter"/>
      <w:lvlText w:val="%1)"/>
      <w:lvlJc w:val="left"/>
      <w:pPr>
        <w:ind w:left="360" w:hanging="360"/>
      </w:pPr>
      <w:rPr>
        <w:rFonts w:hint="default"/>
      </w:rPr>
    </w:lvl>
    <w:lvl w:ilvl="1" w:tplc="2F00A19A" w:tentative="1">
      <w:start w:val="1"/>
      <w:numFmt w:val="lowerLetter"/>
      <w:lvlText w:val="%2."/>
      <w:lvlJc w:val="left"/>
      <w:pPr>
        <w:ind w:left="1080" w:hanging="360"/>
      </w:pPr>
    </w:lvl>
    <w:lvl w:ilvl="2" w:tplc="1C043ECA" w:tentative="1">
      <w:start w:val="1"/>
      <w:numFmt w:val="lowerRoman"/>
      <w:lvlText w:val="%3."/>
      <w:lvlJc w:val="right"/>
      <w:pPr>
        <w:ind w:left="1800" w:hanging="180"/>
      </w:pPr>
    </w:lvl>
    <w:lvl w:ilvl="3" w:tplc="520E5D0E" w:tentative="1">
      <w:start w:val="1"/>
      <w:numFmt w:val="decimal"/>
      <w:lvlText w:val="%4."/>
      <w:lvlJc w:val="left"/>
      <w:pPr>
        <w:ind w:left="2520" w:hanging="360"/>
      </w:pPr>
    </w:lvl>
    <w:lvl w:ilvl="4" w:tplc="4030E06E" w:tentative="1">
      <w:start w:val="1"/>
      <w:numFmt w:val="lowerLetter"/>
      <w:lvlText w:val="%5."/>
      <w:lvlJc w:val="left"/>
      <w:pPr>
        <w:ind w:left="3240" w:hanging="360"/>
      </w:pPr>
    </w:lvl>
    <w:lvl w:ilvl="5" w:tplc="8DBA7F3C" w:tentative="1">
      <w:start w:val="1"/>
      <w:numFmt w:val="lowerRoman"/>
      <w:lvlText w:val="%6."/>
      <w:lvlJc w:val="right"/>
      <w:pPr>
        <w:ind w:left="3960" w:hanging="180"/>
      </w:pPr>
    </w:lvl>
    <w:lvl w:ilvl="6" w:tplc="9956147A" w:tentative="1">
      <w:start w:val="1"/>
      <w:numFmt w:val="decimal"/>
      <w:lvlText w:val="%7."/>
      <w:lvlJc w:val="left"/>
      <w:pPr>
        <w:ind w:left="4680" w:hanging="360"/>
      </w:pPr>
    </w:lvl>
    <w:lvl w:ilvl="7" w:tplc="14FA1C92" w:tentative="1">
      <w:start w:val="1"/>
      <w:numFmt w:val="lowerLetter"/>
      <w:lvlText w:val="%8."/>
      <w:lvlJc w:val="left"/>
      <w:pPr>
        <w:ind w:left="5400" w:hanging="360"/>
      </w:pPr>
    </w:lvl>
    <w:lvl w:ilvl="8" w:tplc="62DADC3A" w:tentative="1">
      <w:start w:val="1"/>
      <w:numFmt w:val="lowerRoman"/>
      <w:lvlText w:val="%9."/>
      <w:lvlJc w:val="right"/>
      <w:pPr>
        <w:ind w:left="6120" w:hanging="180"/>
      </w:pPr>
    </w:lvl>
  </w:abstractNum>
  <w:abstractNum w:abstractNumId="17" w15:restartNumberingAfterBreak="0">
    <w:nsid w:val="323C5EA3"/>
    <w:multiLevelType w:val="hybridMultilevel"/>
    <w:tmpl w:val="C05070C8"/>
    <w:lvl w:ilvl="0" w:tplc="5B2C2BE0">
      <w:start w:val="1"/>
      <w:numFmt w:val="bullet"/>
      <w:lvlText w:val=""/>
      <w:lvlJc w:val="left"/>
      <w:pPr>
        <w:ind w:left="720" w:hanging="360"/>
      </w:pPr>
      <w:rPr>
        <w:rFonts w:ascii="Symbol" w:hAnsi="Symbol" w:hint="default"/>
      </w:rPr>
    </w:lvl>
    <w:lvl w:ilvl="1" w:tplc="74FA3A50" w:tentative="1">
      <w:start w:val="1"/>
      <w:numFmt w:val="bullet"/>
      <w:lvlText w:val="o"/>
      <w:lvlJc w:val="left"/>
      <w:pPr>
        <w:ind w:left="1440" w:hanging="360"/>
      </w:pPr>
      <w:rPr>
        <w:rFonts w:ascii="Courier New" w:hAnsi="Courier New" w:cs="Courier New" w:hint="default"/>
      </w:rPr>
    </w:lvl>
    <w:lvl w:ilvl="2" w:tplc="9EE433AE" w:tentative="1">
      <w:start w:val="1"/>
      <w:numFmt w:val="bullet"/>
      <w:lvlText w:val=""/>
      <w:lvlJc w:val="left"/>
      <w:pPr>
        <w:ind w:left="2160" w:hanging="360"/>
      </w:pPr>
      <w:rPr>
        <w:rFonts w:ascii="Wingdings" w:hAnsi="Wingdings" w:hint="default"/>
      </w:rPr>
    </w:lvl>
    <w:lvl w:ilvl="3" w:tplc="E25A47B6" w:tentative="1">
      <w:start w:val="1"/>
      <w:numFmt w:val="bullet"/>
      <w:lvlText w:val=""/>
      <w:lvlJc w:val="left"/>
      <w:pPr>
        <w:ind w:left="2880" w:hanging="360"/>
      </w:pPr>
      <w:rPr>
        <w:rFonts w:ascii="Symbol" w:hAnsi="Symbol" w:hint="default"/>
      </w:rPr>
    </w:lvl>
    <w:lvl w:ilvl="4" w:tplc="65E0B8DA" w:tentative="1">
      <w:start w:val="1"/>
      <w:numFmt w:val="bullet"/>
      <w:lvlText w:val="o"/>
      <w:lvlJc w:val="left"/>
      <w:pPr>
        <w:ind w:left="3600" w:hanging="360"/>
      </w:pPr>
      <w:rPr>
        <w:rFonts w:ascii="Courier New" w:hAnsi="Courier New" w:cs="Courier New" w:hint="default"/>
      </w:rPr>
    </w:lvl>
    <w:lvl w:ilvl="5" w:tplc="FB323420" w:tentative="1">
      <w:start w:val="1"/>
      <w:numFmt w:val="bullet"/>
      <w:lvlText w:val=""/>
      <w:lvlJc w:val="left"/>
      <w:pPr>
        <w:ind w:left="4320" w:hanging="360"/>
      </w:pPr>
      <w:rPr>
        <w:rFonts w:ascii="Wingdings" w:hAnsi="Wingdings" w:hint="default"/>
      </w:rPr>
    </w:lvl>
    <w:lvl w:ilvl="6" w:tplc="FAB0FEC2" w:tentative="1">
      <w:start w:val="1"/>
      <w:numFmt w:val="bullet"/>
      <w:lvlText w:val=""/>
      <w:lvlJc w:val="left"/>
      <w:pPr>
        <w:ind w:left="5040" w:hanging="360"/>
      </w:pPr>
      <w:rPr>
        <w:rFonts w:ascii="Symbol" w:hAnsi="Symbol" w:hint="default"/>
      </w:rPr>
    </w:lvl>
    <w:lvl w:ilvl="7" w:tplc="F83262B0" w:tentative="1">
      <w:start w:val="1"/>
      <w:numFmt w:val="bullet"/>
      <w:lvlText w:val="o"/>
      <w:lvlJc w:val="left"/>
      <w:pPr>
        <w:ind w:left="5760" w:hanging="360"/>
      </w:pPr>
      <w:rPr>
        <w:rFonts w:ascii="Courier New" w:hAnsi="Courier New" w:cs="Courier New" w:hint="default"/>
      </w:rPr>
    </w:lvl>
    <w:lvl w:ilvl="8" w:tplc="7CA64E96" w:tentative="1">
      <w:start w:val="1"/>
      <w:numFmt w:val="bullet"/>
      <w:lvlText w:val=""/>
      <w:lvlJc w:val="left"/>
      <w:pPr>
        <w:ind w:left="6480" w:hanging="360"/>
      </w:pPr>
      <w:rPr>
        <w:rFonts w:ascii="Wingdings" w:hAnsi="Wingdings" w:hint="default"/>
      </w:rPr>
    </w:lvl>
  </w:abstractNum>
  <w:abstractNum w:abstractNumId="18" w15:restartNumberingAfterBreak="0">
    <w:nsid w:val="33DB15DD"/>
    <w:multiLevelType w:val="hybridMultilevel"/>
    <w:tmpl w:val="C5BEB9EA"/>
    <w:lvl w:ilvl="0" w:tplc="E0E8CD54">
      <w:start w:val="2"/>
      <w:numFmt w:val="bullet"/>
      <w:lvlText w:val="-"/>
      <w:lvlJc w:val="left"/>
      <w:pPr>
        <w:ind w:left="720" w:hanging="360"/>
      </w:pPr>
      <w:rPr>
        <w:rFonts w:ascii="Calibri" w:eastAsiaTheme="minorHAnsi" w:hAnsi="Calibri" w:cs="Calibri" w:hint="default"/>
      </w:rPr>
    </w:lvl>
    <w:lvl w:ilvl="1" w:tplc="CF825C92" w:tentative="1">
      <w:start w:val="1"/>
      <w:numFmt w:val="bullet"/>
      <w:lvlText w:val="o"/>
      <w:lvlJc w:val="left"/>
      <w:pPr>
        <w:ind w:left="1440" w:hanging="360"/>
      </w:pPr>
      <w:rPr>
        <w:rFonts w:ascii="Courier New" w:hAnsi="Courier New" w:cs="Courier New" w:hint="default"/>
      </w:rPr>
    </w:lvl>
    <w:lvl w:ilvl="2" w:tplc="B0728274" w:tentative="1">
      <w:start w:val="1"/>
      <w:numFmt w:val="bullet"/>
      <w:lvlText w:val=""/>
      <w:lvlJc w:val="left"/>
      <w:pPr>
        <w:ind w:left="2160" w:hanging="360"/>
      </w:pPr>
      <w:rPr>
        <w:rFonts w:ascii="Wingdings" w:hAnsi="Wingdings" w:hint="default"/>
      </w:rPr>
    </w:lvl>
    <w:lvl w:ilvl="3" w:tplc="2FDA0EBC" w:tentative="1">
      <w:start w:val="1"/>
      <w:numFmt w:val="bullet"/>
      <w:lvlText w:val=""/>
      <w:lvlJc w:val="left"/>
      <w:pPr>
        <w:ind w:left="2880" w:hanging="360"/>
      </w:pPr>
      <w:rPr>
        <w:rFonts w:ascii="Symbol" w:hAnsi="Symbol" w:hint="default"/>
      </w:rPr>
    </w:lvl>
    <w:lvl w:ilvl="4" w:tplc="834EDB5A" w:tentative="1">
      <w:start w:val="1"/>
      <w:numFmt w:val="bullet"/>
      <w:lvlText w:val="o"/>
      <w:lvlJc w:val="left"/>
      <w:pPr>
        <w:ind w:left="3600" w:hanging="360"/>
      </w:pPr>
      <w:rPr>
        <w:rFonts w:ascii="Courier New" w:hAnsi="Courier New" w:cs="Courier New" w:hint="default"/>
      </w:rPr>
    </w:lvl>
    <w:lvl w:ilvl="5" w:tplc="C8DC5D06" w:tentative="1">
      <w:start w:val="1"/>
      <w:numFmt w:val="bullet"/>
      <w:lvlText w:val=""/>
      <w:lvlJc w:val="left"/>
      <w:pPr>
        <w:ind w:left="4320" w:hanging="360"/>
      </w:pPr>
      <w:rPr>
        <w:rFonts w:ascii="Wingdings" w:hAnsi="Wingdings" w:hint="default"/>
      </w:rPr>
    </w:lvl>
    <w:lvl w:ilvl="6" w:tplc="374E0D0E" w:tentative="1">
      <w:start w:val="1"/>
      <w:numFmt w:val="bullet"/>
      <w:lvlText w:val=""/>
      <w:lvlJc w:val="left"/>
      <w:pPr>
        <w:ind w:left="5040" w:hanging="360"/>
      </w:pPr>
      <w:rPr>
        <w:rFonts w:ascii="Symbol" w:hAnsi="Symbol" w:hint="default"/>
      </w:rPr>
    </w:lvl>
    <w:lvl w:ilvl="7" w:tplc="57581BF2" w:tentative="1">
      <w:start w:val="1"/>
      <w:numFmt w:val="bullet"/>
      <w:lvlText w:val="o"/>
      <w:lvlJc w:val="left"/>
      <w:pPr>
        <w:ind w:left="5760" w:hanging="360"/>
      </w:pPr>
      <w:rPr>
        <w:rFonts w:ascii="Courier New" w:hAnsi="Courier New" w:cs="Courier New" w:hint="default"/>
      </w:rPr>
    </w:lvl>
    <w:lvl w:ilvl="8" w:tplc="76F28A50" w:tentative="1">
      <w:start w:val="1"/>
      <w:numFmt w:val="bullet"/>
      <w:lvlText w:val=""/>
      <w:lvlJc w:val="left"/>
      <w:pPr>
        <w:ind w:left="6480" w:hanging="360"/>
      </w:pPr>
      <w:rPr>
        <w:rFonts w:ascii="Wingdings" w:hAnsi="Wingdings" w:hint="default"/>
      </w:rPr>
    </w:lvl>
  </w:abstractNum>
  <w:abstractNum w:abstractNumId="19" w15:restartNumberingAfterBreak="0">
    <w:nsid w:val="346C427C"/>
    <w:multiLevelType w:val="hybridMultilevel"/>
    <w:tmpl w:val="8C44AABA"/>
    <w:lvl w:ilvl="0" w:tplc="78DABBDE">
      <w:start w:val="1"/>
      <w:numFmt w:val="bullet"/>
      <w:lvlText w:val=""/>
      <w:lvlJc w:val="left"/>
      <w:pPr>
        <w:ind w:left="1068" w:hanging="360"/>
      </w:pPr>
      <w:rPr>
        <w:rFonts w:ascii="Symbol" w:hAnsi="Symbol" w:hint="default"/>
      </w:rPr>
    </w:lvl>
    <w:lvl w:ilvl="1" w:tplc="A31E67FC" w:tentative="1">
      <w:start w:val="1"/>
      <w:numFmt w:val="bullet"/>
      <w:lvlText w:val="o"/>
      <w:lvlJc w:val="left"/>
      <w:pPr>
        <w:ind w:left="1788" w:hanging="360"/>
      </w:pPr>
      <w:rPr>
        <w:rFonts w:ascii="Courier New" w:hAnsi="Courier New" w:cs="Courier New" w:hint="default"/>
      </w:rPr>
    </w:lvl>
    <w:lvl w:ilvl="2" w:tplc="AEAEFE06" w:tentative="1">
      <w:start w:val="1"/>
      <w:numFmt w:val="bullet"/>
      <w:lvlText w:val=""/>
      <w:lvlJc w:val="left"/>
      <w:pPr>
        <w:ind w:left="2508" w:hanging="360"/>
      </w:pPr>
      <w:rPr>
        <w:rFonts w:ascii="Wingdings" w:hAnsi="Wingdings" w:hint="default"/>
      </w:rPr>
    </w:lvl>
    <w:lvl w:ilvl="3" w:tplc="B71C1F9C" w:tentative="1">
      <w:start w:val="1"/>
      <w:numFmt w:val="bullet"/>
      <w:lvlText w:val=""/>
      <w:lvlJc w:val="left"/>
      <w:pPr>
        <w:ind w:left="3228" w:hanging="360"/>
      </w:pPr>
      <w:rPr>
        <w:rFonts w:ascii="Symbol" w:hAnsi="Symbol" w:hint="default"/>
      </w:rPr>
    </w:lvl>
    <w:lvl w:ilvl="4" w:tplc="285479BC" w:tentative="1">
      <w:start w:val="1"/>
      <w:numFmt w:val="bullet"/>
      <w:lvlText w:val="o"/>
      <w:lvlJc w:val="left"/>
      <w:pPr>
        <w:ind w:left="3948" w:hanging="360"/>
      </w:pPr>
      <w:rPr>
        <w:rFonts w:ascii="Courier New" w:hAnsi="Courier New" w:cs="Courier New" w:hint="default"/>
      </w:rPr>
    </w:lvl>
    <w:lvl w:ilvl="5" w:tplc="A5A4FFA4" w:tentative="1">
      <w:start w:val="1"/>
      <w:numFmt w:val="bullet"/>
      <w:lvlText w:val=""/>
      <w:lvlJc w:val="left"/>
      <w:pPr>
        <w:ind w:left="4668" w:hanging="360"/>
      </w:pPr>
      <w:rPr>
        <w:rFonts w:ascii="Wingdings" w:hAnsi="Wingdings" w:hint="default"/>
      </w:rPr>
    </w:lvl>
    <w:lvl w:ilvl="6" w:tplc="C08EA66C" w:tentative="1">
      <w:start w:val="1"/>
      <w:numFmt w:val="bullet"/>
      <w:lvlText w:val=""/>
      <w:lvlJc w:val="left"/>
      <w:pPr>
        <w:ind w:left="5388" w:hanging="360"/>
      </w:pPr>
      <w:rPr>
        <w:rFonts w:ascii="Symbol" w:hAnsi="Symbol" w:hint="default"/>
      </w:rPr>
    </w:lvl>
    <w:lvl w:ilvl="7" w:tplc="2DD23A5A" w:tentative="1">
      <w:start w:val="1"/>
      <w:numFmt w:val="bullet"/>
      <w:lvlText w:val="o"/>
      <w:lvlJc w:val="left"/>
      <w:pPr>
        <w:ind w:left="6108" w:hanging="360"/>
      </w:pPr>
      <w:rPr>
        <w:rFonts w:ascii="Courier New" w:hAnsi="Courier New" w:cs="Courier New" w:hint="default"/>
      </w:rPr>
    </w:lvl>
    <w:lvl w:ilvl="8" w:tplc="E64EE306" w:tentative="1">
      <w:start w:val="1"/>
      <w:numFmt w:val="bullet"/>
      <w:lvlText w:val=""/>
      <w:lvlJc w:val="left"/>
      <w:pPr>
        <w:ind w:left="6828" w:hanging="360"/>
      </w:pPr>
      <w:rPr>
        <w:rFonts w:ascii="Wingdings" w:hAnsi="Wingdings" w:hint="default"/>
      </w:rPr>
    </w:lvl>
  </w:abstractNum>
  <w:abstractNum w:abstractNumId="20" w15:restartNumberingAfterBreak="0">
    <w:nsid w:val="37F322AE"/>
    <w:multiLevelType w:val="hybridMultilevel"/>
    <w:tmpl w:val="9C2E3BE8"/>
    <w:lvl w:ilvl="0" w:tplc="8B385888">
      <w:start w:val="1"/>
      <w:numFmt w:val="decimal"/>
      <w:lvlText w:val="%1."/>
      <w:lvlJc w:val="left"/>
      <w:pPr>
        <w:ind w:left="720" w:hanging="360"/>
      </w:pPr>
      <w:rPr>
        <w:rFonts w:hint="default"/>
      </w:rPr>
    </w:lvl>
    <w:lvl w:ilvl="1" w:tplc="CD860B2C" w:tentative="1">
      <w:start w:val="1"/>
      <w:numFmt w:val="lowerLetter"/>
      <w:lvlText w:val="%2."/>
      <w:lvlJc w:val="left"/>
      <w:pPr>
        <w:ind w:left="1440" w:hanging="360"/>
      </w:pPr>
    </w:lvl>
    <w:lvl w:ilvl="2" w:tplc="E48EDCE4" w:tentative="1">
      <w:start w:val="1"/>
      <w:numFmt w:val="lowerRoman"/>
      <w:lvlText w:val="%3."/>
      <w:lvlJc w:val="right"/>
      <w:pPr>
        <w:ind w:left="2160" w:hanging="180"/>
      </w:pPr>
    </w:lvl>
    <w:lvl w:ilvl="3" w:tplc="C70250D4" w:tentative="1">
      <w:start w:val="1"/>
      <w:numFmt w:val="decimal"/>
      <w:lvlText w:val="%4."/>
      <w:lvlJc w:val="left"/>
      <w:pPr>
        <w:ind w:left="2880" w:hanging="360"/>
      </w:pPr>
    </w:lvl>
    <w:lvl w:ilvl="4" w:tplc="45AE9824" w:tentative="1">
      <w:start w:val="1"/>
      <w:numFmt w:val="lowerLetter"/>
      <w:lvlText w:val="%5."/>
      <w:lvlJc w:val="left"/>
      <w:pPr>
        <w:ind w:left="3600" w:hanging="360"/>
      </w:pPr>
    </w:lvl>
    <w:lvl w:ilvl="5" w:tplc="0F7C62EA" w:tentative="1">
      <w:start w:val="1"/>
      <w:numFmt w:val="lowerRoman"/>
      <w:lvlText w:val="%6."/>
      <w:lvlJc w:val="right"/>
      <w:pPr>
        <w:ind w:left="4320" w:hanging="180"/>
      </w:pPr>
    </w:lvl>
    <w:lvl w:ilvl="6" w:tplc="3D648202" w:tentative="1">
      <w:start w:val="1"/>
      <w:numFmt w:val="decimal"/>
      <w:lvlText w:val="%7."/>
      <w:lvlJc w:val="left"/>
      <w:pPr>
        <w:ind w:left="5040" w:hanging="360"/>
      </w:pPr>
    </w:lvl>
    <w:lvl w:ilvl="7" w:tplc="2940D58E" w:tentative="1">
      <w:start w:val="1"/>
      <w:numFmt w:val="lowerLetter"/>
      <w:lvlText w:val="%8."/>
      <w:lvlJc w:val="left"/>
      <w:pPr>
        <w:ind w:left="5760" w:hanging="360"/>
      </w:pPr>
    </w:lvl>
    <w:lvl w:ilvl="8" w:tplc="44F02C4C" w:tentative="1">
      <w:start w:val="1"/>
      <w:numFmt w:val="lowerRoman"/>
      <w:lvlText w:val="%9."/>
      <w:lvlJc w:val="right"/>
      <w:pPr>
        <w:ind w:left="6480" w:hanging="180"/>
      </w:pPr>
    </w:lvl>
  </w:abstractNum>
  <w:abstractNum w:abstractNumId="21" w15:restartNumberingAfterBreak="0">
    <w:nsid w:val="384202B5"/>
    <w:multiLevelType w:val="hybridMultilevel"/>
    <w:tmpl w:val="FC062E12"/>
    <w:lvl w:ilvl="0" w:tplc="3D264812">
      <w:start w:val="1"/>
      <w:numFmt w:val="decimal"/>
      <w:lvlText w:val="%1."/>
      <w:lvlJc w:val="left"/>
      <w:pPr>
        <w:ind w:left="720" w:hanging="360"/>
      </w:pPr>
      <w:rPr>
        <w:rFonts w:hint="default"/>
      </w:rPr>
    </w:lvl>
    <w:lvl w:ilvl="1" w:tplc="2EE697C2" w:tentative="1">
      <w:start w:val="1"/>
      <w:numFmt w:val="bullet"/>
      <w:lvlText w:val="o"/>
      <w:lvlJc w:val="left"/>
      <w:pPr>
        <w:ind w:left="1440" w:hanging="360"/>
      </w:pPr>
      <w:rPr>
        <w:rFonts w:ascii="Courier New" w:hAnsi="Courier New" w:cs="Courier New" w:hint="default"/>
      </w:rPr>
    </w:lvl>
    <w:lvl w:ilvl="2" w:tplc="8638BA10" w:tentative="1">
      <w:start w:val="1"/>
      <w:numFmt w:val="bullet"/>
      <w:lvlText w:val=""/>
      <w:lvlJc w:val="left"/>
      <w:pPr>
        <w:ind w:left="2160" w:hanging="360"/>
      </w:pPr>
      <w:rPr>
        <w:rFonts w:ascii="Wingdings" w:hAnsi="Wingdings" w:hint="default"/>
      </w:rPr>
    </w:lvl>
    <w:lvl w:ilvl="3" w:tplc="7BC83AAE" w:tentative="1">
      <w:start w:val="1"/>
      <w:numFmt w:val="bullet"/>
      <w:lvlText w:val=""/>
      <w:lvlJc w:val="left"/>
      <w:pPr>
        <w:ind w:left="2880" w:hanging="360"/>
      </w:pPr>
      <w:rPr>
        <w:rFonts w:ascii="Symbol" w:hAnsi="Symbol" w:hint="default"/>
      </w:rPr>
    </w:lvl>
    <w:lvl w:ilvl="4" w:tplc="8D58D888" w:tentative="1">
      <w:start w:val="1"/>
      <w:numFmt w:val="bullet"/>
      <w:lvlText w:val="o"/>
      <w:lvlJc w:val="left"/>
      <w:pPr>
        <w:ind w:left="3600" w:hanging="360"/>
      </w:pPr>
      <w:rPr>
        <w:rFonts w:ascii="Courier New" w:hAnsi="Courier New" w:cs="Courier New" w:hint="default"/>
      </w:rPr>
    </w:lvl>
    <w:lvl w:ilvl="5" w:tplc="562C71EE" w:tentative="1">
      <w:start w:val="1"/>
      <w:numFmt w:val="bullet"/>
      <w:lvlText w:val=""/>
      <w:lvlJc w:val="left"/>
      <w:pPr>
        <w:ind w:left="4320" w:hanging="360"/>
      </w:pPr>
      <w:rPr>
        <w:rFonts w:ascii="Wingdings" w:hAnsi="Wingdings" w:hint="default"/>
      </w:rPr>
    </w:lvl>
    <w:lvl w:ilvl="6" w:tplc="52CE1946" w:tentative="1">
      <w:start w:val="1"/>
      <w:numFmt w:val="bullet"/>
      <w:lvlText w:val=""/>
      <w:lvlJc w:val="left"/>
      <w:pPr>
        <w:ind w:left="5040" w:hanging="360"/>
      </w:pPr>
      <w:rPr>
        <w:rFonts w:ascii="Symbol" w:hAnsi="Symbol" w:hint="default"/>
      </w:rPr>
    </w:lvl>
    <w:lvl w:ilvl="7" w:tplc="DBE0C374" w:tentative="1">
      <w:start w:val="1"/>
      <w:numFmt w:val="bullet"/>
      <w:lvlText w:val="o"/>
      <w:lvlJc w:val="left"/>
      <w:pPr>
        <w:ind w:left="5760" w:hanging="360"/>
      </w:pPr>
      <w:rPr>
        <w:rFonts w:ascii="Courier New" w:hAnsi="Courier New" w:cs="Courier New" w:hint="default"/>
      </w:rPr>
    </w:lvl>
    <w:lvl w:ilvl="8" w:tplc="E028EDF4" w:tentative="1">
      <w:start w:val="1"/>
      <w:numFmt w:val="bullet"/>
      <w:lvlText w:val=""/>
      <w:lvlJc w:val="left"/>
      <w:pPr>
        <w:ind w:left="6480" w:hanging="360"/>
      </w:pPr>
      <w:rPr>
        <w:rFonts w:ascii="Wingdings" w:hAnsi="Wingdings" w:hint="default"/>
      </w:rPr>
    </w:lvl>
  </w:abstractNum>
  <w:abstractNum w:abstractNumId="22" w15:restartNumberingAfterBreak="0">
    <w:nsid w:val="39425B40"/>
    <w:multiLevelType w:val="hybridMultilevel"/>
    <w:tmpl w:val="F05469F8"/>
    <w:lvl w:ilvl="0" w:tplc="9E887418">
      <w:start w:val="1"/>
      <w:numFmt w:val="bullet"/>
      <w:lvlText w:val=""/>
      <w:lvlJc w:val="left"/>
      <w:pPr>
        <w:ind w:left="720" w:hanging="360"/>
      </w:pPr>
      <w:rPr>
        <w:rFonts w:ascii="Symbol" w:hAnsi="Symbol" w:hint="default"/>
      </w:rPr>
    </w:lvl>
    <w:lvl w:ilvl="1" w:tplc="468859A6" w:tentative="1">
      <w:start w:val="1"/>
      <w:numFmt w:val="bullet"/>
      <w:lvlText w:val="o"/>
      <w:lvlJc w:val="left"/>
      <w:pPr>
        <w:ind w:left="1440" w:hanging="360"/>
      </w:pPr>
      <w:rPr>
        <w:rFonts w:ascii="Courier New" w:hAnsi="Courier New" w:cs="Courier New" w:hint="default"/>
      </w:rPr>
    </w:lvl>
    <w:lvl w:ilvl="2" w:tplc="9600E8A8" w:tentative="1">
      <w:start w:val="1"/>
      <w:numFmt w:val="bullet"/>
      <w:lvlText w:val=""/>
      <w:lvlJc w:val="left"/>
      <w:pPr>
        <w:ind w:left="2160" w:hanging="360"/>
      </w:pPr>
      <w:rPr>
        <w:rFonts w:ascii="Wingdings" w:hAnsi="Wingdings" w:hint="default"/>
      </w:rPr>
    </w:lvl>
    <w:lvl w:ilvl="3" w:tplc="F26801C2" w:tentative="1">
      <w:start w:val="1"/>
      <w:numFmt w:val="bullet"/>
      <w:lvlText w:val=""/>
      <w:lvlJc w:val="left"/>
      <w:pPr>
        <w:ind w:left="2880" w:hanging="360"/>
      </w:pPr>
      <w:rPr>
        <w:rFonts w:ascii="Symbol" w:hAnsi="Symbol" w:hint="default"/>
      </w:rPr>
    </w:lvl>
    <w:lvl w:ilvl="4" w:tplc="A78C3832" w:tentative="1">
      <w:start w:val="1"/>
      <w:numFmt w:val="bullet"/>
      <w:lvlText w:val="o"/>
      <w:lvlJc w:val="left"/>
      <w:pPr>
        <w:ind w:left="3600" w:hanging="360"/>
      </w:pPr>
      <w:rPr>
        <w:rFonts w:ascii="Courier New" w:hAnsi="Courier New" w:cs="Courier New" w:hint="default"/>
      </w:rPr>
    </w:lvl>
    <w:lvl w:ilvl="5" w:tplc="394EF516" w:tentative="1">
      <w:start w:val="1"/>
      <w:numFmt w:val="bullet"/>
      <w:lvlText w:val=""/>
      <w:lvlJc w:val="left"/>
      <w:pPr>
        <w:ind w:left="4320" w:hanging="360"/>
      </w:pPr>
      <w:rPr>
        <w:rFonts w:ascii="Wingdings" w:hAnsi="Wingdings" w:hint="default"/>
      </w:rPr>
    </w:lvl>
    <w:lvl w:ilvl="6" w:tplc="11A4124A" w:tentative="1">
      <w:start w:val="1"/>
      <w:numFmt w:val="bullet"/>
      <w:lvlText w:val=""/>
      <w:lvlJc w:val="left"/>
      <w:pPr>
        <w:ind w:left="5040" w:hanging="360"/>
      </w:pPr>
      <w:rPr>
        <w:rFonts w:ascii="Symbol" w:hAnsi="Symbol" w:hint="default"/>
      </w:rPr>
    </w:lvl>
    <w:lvl w:ilvl="7" w:tplc="18AAB21A" w:tentative="1">
      <w:start w:val="1"/>
      <w:numFmt w:val="bullet"/>
      <w:lvlText w:val="o"/>
      <w:lvlJc w:val="left"/>
      <w:pPr>
        <w:ind w:left="5760" w:hanging="360"/>
      </w:pPr>
      <w:rPr>
        <w:rFonts w:ascii="Courier New" w:hAnsi="Courier New" w:cs="Courier New" w:hint="default"/>
      </w:rPr>
    </w:lvl>
    <w:lvl w:ilvl="8" w:tplc="42368EAC" w:tentative="1">
      <w:start w:val="1"/>
      <w:numFmt w:val="bullet"/>
      <w:lvlText w:val=""/>
      <w:lvlJc w:val="left"/>
      <w:pPr>
        <w:ind w:left="6480" w:hanging="360"/>
      </w:pPr>
      <w:rPr>
        <w:rFonts w:ascii="Wingdings" w:hAnsi="Wingdings" w:hint="default"/>
      </w:rPr>
    </w:lvl>
  </w:abstractNum>
  <w:abstractNum w:abstractNumId="23" w15:restartNumberingAfterBreak="0">
    <w:nsid w:val="39750816"/>
    <w:multiLevelType w:val="multilevel"/>
    <w:tmpl w:val="411E9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BA5D52"/>
    <w:multiLevelType w:val="hybridMultilevel"/>
    <w:tmpl w:val="C5945298"/>
    <w:lvl w:ilvl="0" w:tplc="0318EEA4">
      <w:start w:val="1"/>
      <w:numFmt w:val="bullet"/>
      <w:lvlText w:val=""/>
      <w:lvlJc w:val="left"/>
      <w:pPr>
        <w:ind w:left="720" w:hanging="360"/>
      </w:pPr>
      <w:rPr>
        <w:rFonts w:ascii="Symbol" w:hAnsi="Symbol" w:hint="default"/>
      </w:rPr>
    </w:lvl>
    <w:lvl w:ilvl="1" w:tplc="C0A8A49A" w:tentative="1">
      <w:start w:val="1"/>
      <w:numFmt w:val="bullet"/>
      <w:lvlText w:val="o"/>
      <w:lvlJc w:val="left"/>
      <w:pPr>
        <w:ind w:left="1440" w:hanging="360"/>
      </w:pPr>
      <w:rPr>
        <w:rFonts w:ascii="Courier New" w:hAnsi="Courier New" w:cs="Courier New" w:hint="default"/>
      </w:rPr>
    </w:lvl>
    <w:lvl w:ilvl="2" w:tplc="2DC2D18C" w:tentative="1">
      <w:start w:val="1"/>
      <w:numFmt w:val="bullet"/>
      <w:lvlText w:val=""/>
      <w:lvlJc w:val="left"/>
      <w:pPr>
        <w:ind w:left="2160" w:hanging="360"/>
      </w:pPr>
      <w:rPr>
        <w:rFonts w:ascii="Wingdings" w:hAnsi="Wingdings" w:hint="default"/>
      </w:rPr>
    </w:lvl>
    <w:lvl w:ilvl="3" w:tplc="5D842C76" w:tentative="1">
      <w:start w:val="1"/>
      <w:numFmt w:val="bullet"/>
      <w:lvlText w:val=""/>
      <w:lvlJc w:val="left"/>
      <w:pPr>
        <w:ind w:left="2880" w:hanging="360"/>
      </w:pPr>
      <w:rPr>
        <w:rFonts w:ascii="Symbol" w:hAnsi="Symbol" w:hint="default"/>
      </w:rPr>
    </w:lvl>
    <w:lvl w:ilvl="4" w:tplc="19564EFE" w:tentative="1">
      <w:start w:val="1"/>
      <w:numFmt w:val="bullet"/>
      <w:lvlText w:val="o"/>
      <w:lvlJc w:val="left"/>
      <w:pPr>
        <w:ind w:left="3600" w:hanging="360"/>
      </w:pPr>
      <w:rPr>
        <w:rFonts w:ascii="Courier New" w:hAnsi="Courier New" w:cs="Courier New" w:hint="default"/>
      </w:rPr>
    </w:lvl>
    <w:lvl w:ilvl="5" w:tplc="E508FD44" w:tentative="1">
      <w:start w:val="1"/>
      <w:numFmt w:val="bullet"/>
      <w:lvlText w:val=""/>
      <w:lvlJc w:val="left"/>
      <w:pPr>
        <w:ind w:left="4320" w:hanging="360"/>
      </w:pPr>
      <w:rPr>
        <w:rFonts w:ascii="Wingdings" w:hAnsi="Wingdings" w:hint="default"/>
      </w:rPr>
    </w:lvl>
    <w:lvl w:ilvl="6" w:tplc="C2C222FC" w:tentative="1">
      <w:start w:val="1"/>
      <w:numFmt w:val="bullet"/>
      <w:lvlText w:val=""/>
      <w:lvlJc w:val="left"/>
      <w:pPr>
        <w:ind w:left="5040" w:hanging="360"/>
      </w:pPr>
      <w:rPr>
        <w:rFonts w:ascii="Symbol" w:hAnsi="Symbol" w:hint="default"/>
      </w:rPr>
    </w:lvl>
    <w:lvl w:ilvl="7" w:tplc="85766C70" w:tentative="1">
      <w:start w:val="1"/>
      <w:numFmt w:val="bullet"/>
      <w:lvlText w:val="o"/>
      <w:lvlJc w:val="left"/>
      <w:pPr>
        <w:ind w:left="5760" w:hanging="360"/>
      </w:pPr>
      <w:rPr>
        <w:rFonts w:ascii="Courier New" w:hAnsi="Courier New" w:cs="Courier New" w:hint="default"/>
      </w:rPr>
    </w:lvl>
    <w:lvl w:ilvl="8" w:tplc="8C981D14" w:tentative="1">
      <w:start w:val="1"/>
      <w:numFmt w:val="bullet"/>
      <w:lvlText w:val=""/>
      <w:lvlJc w:val="left"/>
      <w:pPr>
        <w:ind w:left="6480" w:hanging="360"/>
      </w:pPr>
      <w:rPr>
        <w:rFonts w:ascii="Wingdings" w:hAnsi="Wingdings" w:hint="default"/>
      </w:rPr>
    </w:lvl>
  </w:abstractNum>
  <w:abstractNum w:abstractNumId="25" w15:restartNumberingAfterBreak="0">
    <w:nsid w:val="3DBB7715"/>
    <w:multiLevelType w:val="hybridMultilevel"/>
    <w:tmpl w:val="61B49AE0"/>
    <w:lvl w:ilvl="0" w:tplc="60E21A26">
      <w:start w:val="1"/>
      <w:numFmt w:val="bullet"/>
      <w:lvlText w:val=""/>
      <w:lvlJc w:val="left"/>
      <w:pPr>
        <w:ind w:left="720" w:hanging="360"/>
      </w:pPr>
      <w:rPr>
        <w:rFonts w:ascii="Symbol" w:hAnsi="Symbol" w:hint="default"/>
      </w:rPr>
    </w:lvl>
    <w:lvl w:ilvl="1" w:tplc="A2900006" w:tentative="1">
      <w:start w:val="1"/>
      <w:numFmt w:val="bullet"/>
      <w:lvlText w:val="o"/>
      <w:lvlJc w:val="left"/>
      <w:pPr>
        <w:ind w:left="1440" w:hanging="360"/>
      </w:pPr>
      <w:rPr>
        <w:rFonts w:ascii="Courier New" w:hAnsi="Courier New" w:cs="Courier New" w:hint="default"/>
      </w:rPr>
    </w:lvl>
    <w:lvl w:ilvl="2" w:tplc="32F64D50" w:tentative="1">
      <w:start w:val="1"/>
      <w:numFmt w:val="bullet"/>
      <w:lvlText w:val=""/>
      <w:lvlJc w:val="left"/>
      <w:pPr>
        <w:ind w:left="2160" w:hanging="360"/>
      </w:pPr>
      <w:rPr>
        <w:rFonts w:ascii="Wingdings" w:hAnsi="Wingdings" w:hint="default"/>
      </w:rPr>
    </w:lvl>
    <w:lvl w:ilvl="3" w:tplc="746E03EA" w:tentative="1">
      <w:start w:val="1"/>
      <w:numFmt w:val="bullet"/>
      <w:lvlText w:val=""/>
      <w:lvlJc w:val="left"/>
      <w:pPr>
        <w:ind w:left="2880" w:hanging="360"/>
      </w:pPr>
      <w:rPr>
        <w:rFonts w:ascii="Symbol" w:hAnsi="Symbol" w:hint="default"/>
      </w:rPr>
    </w:lvl>
    <w:lvl w:ilvl="4" w:tplc="893C4C6E" w:tentative="1">
      <w:start w:val="1"/>
      <w:numFmt w:val="bullet"/>
      <w:lvlText w:val="o"/>
      <w:lvlJc w:val="left"/>
      <w:pPr>
        <w:ind w:left="3600" w:hanging="360"/>
      </w:pPr>
      <w:rPr>
        <w:rFonts w:ascii="Courier New" w:hAnsi="Courier New" w:cs="Courier New" w:hint="default"/>
      </w:rPr>
    </w:lvl>
    <w:lvl w:ilvl="5" w:tplc="6A083650" w:tentative="1">
      <w:start w:val="1"/>
      <w:numFmt w:val="bullet"/>
      <w:lvlText w:val=""/>
      <w:lvlJc w:val="left"/>
      <w:pPr>
        <w:ind w:left="4320" w:hanging="360"/>
      </w:pPr>
      <w:rPr>
        <w:rFonts w:ascii="Wingdings" w:hAnsi="Wingdings" w:hint="default"/>
      </w:rPr>
    </w:lvl>
    <w:lvl w:ilvl="6" w:tplc="EC701B1A" w:tentative="1">
      <w:start w:val="1"/>
      <w:numFmt w:val="bullet"/>
      <w:lvlText w:val=""/>
      <w:lvlJc w:val="left"/>
      <w:pPr>
        <w:ind w:left="5040" w:hanging="360"/>
      </w:pPr>
      <w:rPr>
        <w:rFonts w:ascii="Symbol" w:hAnsi="Symbol" w:hint="default"/>
      </w:rPr>
    </w:lvl>
    <w:lvl w:ilvl="7" w:tplc="FD761A14" w:tentative="1">
      <w:start w:val="1"/>
      <w:numFmt w:val="bullet"/>
      <w:lvlText w:val="o"/>
      <w:lvlJc w:val="left"/>
      <w:pPr>
        <w:ind w:left="5760" w:hanging="360"/>
      </w:pPr>
      <w:rPr>
        <w:rFonts w:ascii="Courier New" w:hAnsi="Courier New" w:cs="Courier New" w:hint="default"/>
      </w:rPr>
    </w:lvl>
    <w:lvl w:ilvl="8" w:tplc="BBC627F2" w:tentative="1">
      <w:start w:val="1"/>
      <w:numFmt w:val="bullet"/>
      <w:lvlText w:val=""/>
      <w:lvlJc w:val="left"/>
      <w:pPr>
        <w:ind w:left="6480" w:hanging="360"/>
      </w:pPr>
      <w:rPr>
        <w:rFonts w:ascii="Wingdings" w:hAnsi="Wingdings" w:hint="default"/>
      </w:rPr>
    </w:lvl>
  </w:abstractNum>
  <w:abstractNum w:abstractNumId="26" w15:restartNumberingAfterBreak="0">
    <w:nsid w:val="3FEA2936"/>
    <w:multiLevelType w:val="hybridMultilevel"/>
    <w:tmpl w:val="62E0A7A6"/>
    <w:lvl w:ilvl="0" w:tplc="2262737C">
      <w:start w:val="1"/>
      <w:numFmt w:val="bullet"/>
      <w:lvlText w:val="o"/>
      <w:lvlJc w:val="left"/>
      <w:pPr>
        <w:ind w:left="720" w:hanging="360"/>
      </w:pPr>
      <w:rPr>
        <w:rFonts w:ascii="Courier New" w:hAnsi="Courier New" w:cs="Courier New" w:hint="default"/>
      </w:rPr>
    </w:lvl>
    <w:lvl w:ilvl="1" w:tplc="CD4EACEC" w:tentative="1">
      <w:start w:val="1"/>
      <w:numFmt w:val="bullet"/>
      <w:lvlText w:val="o"/>
      <w:lvlJc w:val="left"/>
      <w:pPr>
        <w:ind w:left="1440" w:hanging="360"/>
      </w:pPr>
      <w:rPr>
        <w:rFonts w:ascii="Courier New" w:hAnsi="Courier New" w:cs="Courier New" w:hint="default"/>
      </w:rPr>
    </w:lvl>
    <w:lvl w:ilvl="2" w:tplc="79F2C97A" w:tentative="1">
      <w:start w:val="1"/>
      <w:numFmt w:val="bullet"/>
      <w:lvlText w:val=""/>
      <w:lvlJc w:val="left"/>
      <w:pPr>
        <w:ind w:left="2160" w:hanging="360"/>
      </w:pPr>
      <w:rPr>
        <w:rFonts w:ascii="Wingdings" w:hAnsi="Wingdings" w:hint="default"/>
      </w:rPr>
    </w:lvl>
    <w:lvl w:ilvl="3" w:tplc="FEE2D99A" w:tentative="1">
      <w:start w:val="1"/>
      <w:numFmt w:val="bullet"/>
      <w:lvlText w:val=""/>
      <w:lvlJc w:val="left"/>
      <w:pPr>
        <w:ind w:left="2880" w:hanging="360"/>
      </w:pPr>
      <w:rPr>
        <w:rFonts w:ascii="Symbol" w:hAnsi="Symbol" w:hint="default"/>
      </w:rPr>
    </w:lvl>
    <w:lvl w:ilvl="4" w:tplc="72E40800" w:tentative="1">
      <w:start w:val="1"/>
      <w:numFmt w:val="bullet"/>
      <w:lvlText w:val="o"/>
      <w:lvlJc w:val="left"/>
      <w:pPr>
        <w:ind w:left="3600" w:hanging="360"/>
      </w:pPr>
      <w:rPr>
        <w:rFonts w:ascii="Courier New" w:hAnsi="Courier New" w:cs="Courier New" w:hint="default"/>
      </w:rPr>
    </w:lvl>
    <w:lvl w:ilvl="5" w:tplc="5FE40C66" w:tentative="1">
      <w:start w:val="1"/>
      <w:numFmt w:val="bullet"/>
      <w:lvlText w:val=""/>
      <w:lvlJc w:val="left"/>
      <w:pPr>
        <w:ind w:left="4320" w:hanging="360"/>
      </w:pPr>
      <w:rPr>
        <w:rFonts w:ascii="Wingdings" w:hAnsi="Wingdings" w:hint="default"/>
      </w:rPr>
    </w:lvl>
    <w:lvl w:ilvl="6" w:tplc="EC1816E8" w:tentative="1">
      <w:start w:val="1"/>
      <w:numFmt w:val="bullet"/>
      <w:lvlText w:val=""/>
      <w:lvlJc w:val="left"/>
      <w:pPr>
        <w:ind w:left="5040" w:hanging="360"/>
      </w:pPr>
      <w:rPr>
        <w:rFonts w:ascii="Symbol" w:hAnsi="Symbol" w:hint="default"/>
      </w:rPr>
    </w:lvl>
    <w:lvl w:ilvl="7" w:tplc="1570AA56" w:tentative="1">
      <w:start w:val="1"/>
      <w:numFmt w:val="bullet"/>
      <w:lvlText w:val="o"/>
      <w:lvlJc w:val="left"/>
      <w:pPr>
        <w:ind w:left="5760" w:hanging="360"/>
      </w:pPr>
      <w:rPr>
        <w:rFonts w:ascii="Courier New" w:hAnsi="Courier New" w:cs="Courier New" w:hint="default"/>
      </w:rPr>
    </w:lvl>
    <w:lvl w:ilvl="8" w:tplc="204EDA44" w:tentative="1">
      <w:start w:val="1"/>
      <w:numFmt w:val="bullet"/>
      <w:lvlText w:val=""/>
      <w:lvlJc w:val="left"/>
      <w:pPr>
        <w:ind w:left="6480" w:hanging="360"/>
      </w:pPr>
      <w:rPr>
        <w:rFonts w:ascii="Wingdings" w:hAnsi="Wingdings" w:hint="default"/>
      </w:rPr>
    </w:lvl>
  </w:abstractNum>
  <w:abstractNum w:abstractNumId="27" w15:restartNumberingAfterBreak="0">
    <w:nsid w:val="42CD7F11"/>
    <w:multiLevelType w:val="hybridMultilevel"/>
    <w:tmpl w:val="6C48872E"/>
    <w:lvl w:ilvl="0" w:tplc="778CA974">
      <w:start w:val="1"/>
      <w:numFmt w:val="decimal"/>
      <w:lvlText w:val="Tabulka č. %1:"/>
      <w:lvlJc w:val="left"/>
      <w:pPr>
        <w:ind w:left="1495" w:hanging="360"/>
      </w:pPr>
      <w:rPr>
        <w:rFonts w:hint="default"/>
        <w:i w:val="0"/>
      </w:rPr>
    </w:lvl>
    <w:lvl w:ilvl="1" w:tplc="3364D32C" w:tentative="1">
      <w:start w:val="1"/>
      <w:numFmt w:val="lowerLetter"/>
      <w:lvlText w:val="%2."/>
      <w:lvlJc w:val="left"/>
      <w:pPr>
        <w:ind w:left="8453" w:hanging="360"/>
      </w:pPr>
    </w:lvl>
    <w:lvl w:ilvl="2" w:tplc="C47ECC22" w:tentative="1">
      <w:start w:val="1"/>
      <w:numFmt w:val="lowerRoman"/>
      <w:lvlText w:val="%3."/>
      <w:lvlJc w:val="right"/>
      <w:pPr>
        <w:ind w:left="9173" w:hanging="180"/>
      </w:pPr>
    </w:lvl>
    <w:lvl w:ilvl="3" w:tplc="D0F4C184" w:tentative="1">
      <w:start w:val="1"/>
      <w:numFmt w:val="decimal"/>
      <w:lvlText w:val="%4."/>
      <w:lvlJc w:val="left"/>
      <w:pPr>
        <w:ind w:left="9893" w:hanging="360"/>
      </w:pPr>
    </w:lvl>
    <w:lvl w:ilvl="4" w:tplc="90384E1C" w:tentative="1">
      <w:start w:val="1"/>
      <w:numFmt w:val="lowerLetter"/>
      <w:lvlText w:val="%5."/>
      <w:lvlJc w:val="left"/>
      <w:pPr>
        <w:ind w:left="10613" w:hanging="360"/>
      </w:pPr>
    </w:lvl>
    <w:lvl w:ilvl="5" w:tplc="F75ABED8" w:tentative="1">
      <w:start w:val="1"/>
      <w:numFmt w:val="lowerRoman"/>
      <w:lvlText w:val="%6."/>
      <w:lvlJc w:val="right"/>
      <w:pPr>
        <w:ind w:left="11333" w:hanging="180"/>
      </w:pPr>
    </w:lvl>
    <w:lvl w:ilvl="6" w:tplc="10EED502" w:tentative="1">
      <w:start w:val="1"/>
      <w:numFmt w:val="decimal"/>
      <w:lvlText w:val="%7."/>
      <w:lvlJc w:val="left"/>
      <w:pPr>
        <w:ind w:left="12053" w:hanging="360"/>
      </w:pPr>
    </w:lvl>
    <w:lvl w:ilvl="7" w:tplc="5422F474" w:tentative="1">
      <w:start w:val="1"/>
      <w:numFmt w:val="lowerLetter"/>
      <w:lvlText w:val="%8."/>
      <w:lvlJc w:val="left"/>
      <w:pPr>
        <w:ind w:left="12773" w:hanging="360"/>
      </w:pPr>
    </w:lvl>
    <w:lvl w:ilvl="8" w:tplc="CF2A3306" w:tentative="1">
      <w:start w:val="1"/>
      <w:numFmt w:val="lowerRoman"/>
      <w:lvlText w:val="%9."/>
      <w:lvlJc w:val="right"/>
      <w:pPr>
        <w:ind w:left="13493" w:hanging="180"/>
      </w:pPr>
    </w:lvl>
  </w:abstractNum>
  <w:abstractNum w:abstractNumId="28" w15:restartNumberingAfterBreak="0">
    <w:nsid w:val="4390405D"/>
    <w:multiLevelType w:val="hybridMultilevel"/>
    <w:tmpl w:val="DB4CAB48"/>
    <w:lvl w:ilvl="0" w:tplc="48CAD484">
      <w:start w:val="1"/>
      <w:numFmt w:val="bullet"/>
      <w:lvlText w:val=""/>
      <w:lvlJc w:val="left"/>
      <w:pPr>
        <w:ind w:left="720" w:hanging="360"/>
      </w:pPr>
      <w:rPr>
        <w:rFonts w:ascii="Symbol" w:hAnsi="Symbol" w:hint="default"/>
      </w:rPr>
    </w:lvl>
    <w:lvl w:ilvl="1" w:tplc="48D4739A" w:tentative="1">
      <w:start w:val="1"/>
      <w:numFmt w:val="bullet"/>
      <w:lvlText w:val="o"/>
      <w:lvlJc w:val="left"/>
      <w:pPr>
        <w:ind w:left="1440" w:hanging="360"/>
      </w:pPr>
      <w:rPr>
        <w:rFonts w:ascii="Courier New" w:hAnsi="Courier New" w:cs="Courier New" w:hint="default"/>
      </w:rPr>
    </w:lvl>
    <w:lvl w:ilvl="2" w:tplc="383A713E" w:tentative="1">
      <w:start w:val="1"/>
      <w:numFmt w:val="bullet"/>
      <w:lvlText w:val=""/>
      <w:lvlJc w:val="left"/>
      <w:pPr>
        <w:ind w:left="2160" w:hanging="360"/>
      </w:pPr>
      <w:rPr>
        <w:rFonts w:ascii="Wingdings" w:hAnsi="Wingdings" w:hint="default"/>
      </w:rPr>
    </w:lvl>
    <w:lvl w:ilvl="3" w:tplc="D05CE292" w:tentative="1">
      <w:start w:val="1"/>
      <w:numFmt w:val="bullet"/>
      <w:lvlText w:val=""/>
      <w:lvlJc w:val="left"/>
      <w:pPr>
        <w:ind w:left="2880" w:hanging="360"/>
      </w:pPr>
      <w:rPr>
        <w:rFonts w:ascii="Symbol" w:hAnsi="Symbol" w:hint="default"/>
      </w:rPr>
    </w:lvl>
    <w:lvl w:ilvl="4" w:tplc="944EDE5C" w:tentative="1">
      <w:start w:val="1"/>
      <w:numFmt w:val="bullet"/>
      <w:lvlText w:val="o"/>
      <w:lvlJc w:val="left"/>
      <w:pPr>
        <w:ind w:left="3600" w:hanging="360"/>
      </w:pPr>
      <w:rPr>
        <w:rFonts w:ascii="Courier New" w:hAnsi="Courier New" w:cs="Courier New" w:hint="default"/>
      </w:rPr>
    </w:lvl>
    <w:lvl w:ilvl="5" w:tplc="FCB45012" w:tentative="1">
      <w:start w:val="1"/>
      <w:numFmt w:val="bullet"/>
      <w:lvlText w:val=""/>
      <w:lvlJc w:val="left"/>
      <w:pPr>
        <w:ind w:left="4320" w:hanging="360"/>
      </w:pPr>
      <w:rPr>
        <w:rFonts w:ascii="Wingdings" w:hAnsi="Wingdings" w:hint="default"/>
      </w:rPr>
    </w:lvl>
    <w:lvl w:ilvl="6" w:tplc="333CD324" w:tentative="1">
      <w:start w:val="1"/>
      <w:numFmt w:val="bullet"/>
      <w:lvlText w:val=""/>
      <w:lvlJc w:val="left"/>
      <w:pPr>
        <w:ind w:left="5040" w:hanging="360"/>
      </w:pPr>
      <w:rPr>
        <w:rFonts w:ascii="Symbol" w:hAnsi="Symbol" w:hint="default"/>
      </w:rPr>
    </w:lvl>
    <w:lvl w:ilvl="7" w:tplc="BD1EBABA" w:tentative="1">
      <w:start w:val="1"/>
      <w:numFmt w:val="bullet"/>
      <w:lvlText w:val="o"/>
      <w:lvlJc w:val="left"/>
      <w:pPr>
        <w:ind w:left="5760" w:hanging="360"/>
      </w:pPr>
      <w:rPr>
        <w:rFonts w:ascii="Courier New" w:hAnsi="Courier New" w:cs="Courier New" w:hint="default"/>
      </w:rPr>
    </w:lvl>
    <w:lvl w:ilvl="8" w:tplc="1BDC4C7A" w:tentative="1">
      <w:start w:val="1"/>
      <w:numFmt w:val="bullet"/>
      <w:lvlText w:val=""/>
      <w:lvlJc w:val="left"/>
      <w:pPr>
        <w:ind w:left="6480" w:hanging="360"/>
      </w:pPr>
      <w:rPr>
        <w:rFonts w:ascii="Wingdings" w:hAnsi="Wingdings" w:hint="default"/>
      </w:rPr>
    </w:lvl>
  </w:abstractNum>
  <w:abstractNum w:abstractNumId="29" w15:restartNumberingAfterBreak="0">
    <w:nsid w:val="4A3460F6"/>
    <w:multiLevelType w:val="hybridMultilevel"/>
    <w:tmpl w:val="C8A01D30"/>
    <w:lvl w:ilvl="0" w:tplc="664A7ED6">
      <w:start w:val="1"/>
      <w:numFmt w:val="bullet"/>
      <w:lvlText w:val="-"/>
      <w:lvlJc w:val="left"/>
      <w:pPr>
        <w:ind w:left="720" w:hanging="360"/>
      </w:pPr>
      <w:rPr>
        <w:rFonts w:ascii="SymbolMT" w:eastAsia="Times New Roman" w:hAnsi="SymbolMT" w:cs="SymbolMT" w:hint="default"/>
      </w:rPr>
    </w:lvl>
    <w:lvl w:ilvl="1" w:tplc="543CE2FE">
      <w:start w:val="2"/>
      <w:numFmt w:val="bullet"/>
      <w:lvlText w:val="-"/>
      <w:lvlJc w:val="left"/>
      <w:pPr>
        <w:ind w:left="1440" w:hanging="360"/>
      </w:pPr>
      <w:rPr>
        <w:rFonts w:ascii="Calibri" w:eastAsia="Times New Roman" w:hAnsi="Calibri" w:cs="Calibri" w:hint="default"/>
      </w:rPr>
    </w:lvl>
    <w:lvl w:ilvl="2" w:tplc="E0EAF44A" w:tentative="1">
      <w:start w:val="1"/>
      <w:numFmt w:val="bullet"/>
      <w:lvlText w:val=""/>
      <w:lvlJc w:val="left"/>
      <w:pPr>
        <w:ind w:left="2160" w:hanging="360"/>
      </w:pPr>
      <w:rPr>
        <w:rFonts w:ascii="Wingdings" w:hAnsi="Wingdings" w:hint="default"/>
      </w:rPr>
    </w:lvl>
    <w:lvl w:ilvl="3" w:tplc="4386F9E4" w:tentative="1">
      <w:start w:val="1"/>
      <w:numFmt w:val="bullet"/>
      <w:lvlText w:val=""/>
      <w:lvlJc w:val="left"/>
      <w:pPr>
        <w:ind w:left="2880" w:hanging="360"/>
      </w:pPr>
      <w:rPr>
        <w:rFonts w:ascii="Symbol" w:hAnsi="Symbol" w:hint="default"/>
      </w:rPr>
    </w:lvl>
    <w:lvl w:ilvl="4" w:tplc="48461640" w:tentative="1">
      <w:start w:val="1"/>
      <w:numFmt w:val="bullet"/>
      <w:lvlText w:val="o"/>
      <w:lvlJc w:val="left"/>
      <w:pPr>
        <w:ind w:left="3600" w:hanging="360"/>
      </w:pPr>
      <w:rPr>
        <w:rFonts w:ascii="Courier New" w:hAnsi="Courier New" w:cs="Courier New" w:hint="default"/>
      </w:rPr>
    </w:lvl>
    <w:lvl w:ilvl="5" w:tplc="04E40D84" w:tentative="1">
      <w:start w:val="1"/>
      <w:numFmt w:val="bullet"/>
      <w:lvlText w:val=""/>
      <w:lvlJc w:val="left"/>
      <w:pPr>
        <w:ind w:left="4320" w:hanging="360"/>
      </w:pPr>
      <w:rPr>
        <w:rFonts w:ascii="Wingdings" w:hAnsi="Wingdings" w:hint="default"/>
      </w:rPr>
    </w:lvl>
    <w:lvl w:ilvl="6" w:tplc="047E9E08" w:tentative="1">
      <w:start w:val="1"/>
      <w:numFmt w:val="bullet"/>
      <w:lvlText w:val=""/>
      <w:lvlJc w:val="left"/>
      <w:pPr>
        <w:ind w:left="5040" w:hanging="360"/>
      </w:pPr>
      <w:rPr>
        <w:rFonts w:ascii="Symbol" w:hAnsi="Symbol" w:hint="default"/>
      </w:rPr>
    </w:lvl>
    <w:lvl w:ilvl="7" w:tplc="4A086988" w:tentative="1">
      <w:start w:val="1"/>
      <w:numFmt w:val="bullet"/>
      <w:lvlText w:val="o"/>
      <w:lvlJc w:val="left"/>
      <w:pPr>
        <w:ind w:left="5760" w:hanging="360"/>
      </w:pPr>
      <w:rPr>
        <w:rFonts w:ascii="Courier New" w:hAnsi="Courier New" w:cs="Courier New" w:hint="default"/>
      </w:rPr>
    </w:lvl>
    <w:lvl w:ilvl="8" w:tplc="EA382260" w:tentative="1">
      <w:start w:val="1"/>
      <w:numFmt w:val="bullet"/>
      <w:lvlText w:val=""/>
      <w:lvlJc w:val="left"/>
      <w:pPr>
        <w:ind w:left="6480" w:hanging="360"/>
      </w:pPr>
      <w:rPr>
        <w:rFonts w:ascii="Wingdings" w:hAnsi="Wingdings" w:hint="default"/>
      </w:rPr>
    </w:lvl>
  </w:abstractNum>
  <w:abstractNum w:abstractNumId="30" w15:restartNumberingAfterBreak="0">
    <w:nsid w:val="4D6E4D48"/>
    <w:multiLevelType w:val="hybridMultilevel"/>
    <w:tmpl w:val="DA1AA26C"/>
    <w:lvl w:ilvl="0" w:tplc="6E2E724E">
      <w:start w:val="1"/>
      <w:numFmt w:val="bullet"/>
      <w:lvlText w:val="-"/>
      <w:lvlJc w:val="left"/>
      <w:pPr>
        <w:ind w:left="720" w:hanging="360"/>
      </w:pPr>
      <w:rPr>
        <w:rFonts w:ascii="Calibri" w:eastAsiaTheme="minorHAnsi" w:hAnsi="Calibri" w:cs="Calibri" w:hint="default"/>
      </w:rPr>
    </w:lvl>
    <w:lvl w:ilvl="1" w:tplc="837460B2" w:tentative="1">
      <w:start w:val="1"/>
      <w:numFmt w:val="bullet"/>
      <w:lvlText w:val="o"/>
      <w:lvlJc w:val="left"/>
      <w:pPr>
        <w:ind w:left="1440" w:hanging="360"/>
      </w:pPr>
      <w:rPr>
        <w:rFonts w:ascii="Courier New" w:hAnsi="Courier New" w:cs="Courier New" w:hint="default"/>
      </w:rPr>
    </w:lvl>
    <w:lvl w:ilvl="2" w:tplc="FC5E4302" w:tentative="1">
      <w:start w:val="1"/>
      <w:numFmt w:val="bullet"/>
      <w:lvlText w:val=""/>
      <w:lvlJc w:val="left"/>
      <w:pPr>
        <w:ind w:left="2160" w:hanging="360"/>
      </w:pPr>
      <w:rPr>
        <w:rFonts w:ascii="Wingdings" w:hAnsi="Wingdings" w:hint="default"/>
      </w:rPr>
    </w:lvl>
    <w:lvl w:ilvl="3" w:tplc="35B618E2" w:tentative="1">
      <w:start w:val="1"/>
      <w:numFmt w:val="bullet"/>
      <w:lvlText w:val=""/>
      <w:lvlJc w:val="left"/>
      <w:pPr>
        <w:ind w:left="2880" w:hanging="360"/>
      </w:pPr>
      <w:rPr>
        <w:rFonts w:ascii="Symbol" w:hAnsi="Symbol" w:hint="default"/>
      </w:rPr>
    </w:lvl>
    <w:lvl w:ilvl="4" w:tplc="FBC0A2EC" w:tentative="1">
      <w:start w:val="1"/>
      <w:numFmt w:val="bullet"/>
      <w:lvlText w:val="o"/>
      <w:lvlJc w:val="left"/>
      <w:pPr>
        <w:ind w:left="3600" w:hanging="360"/>
      </w:pPr>
      <w:rPr>
        <w:rFonts w:ascii="Courier New" w:hAnsi="Courier New" w:cs="Courier New" w:hint="default"/>
      </w:rPr>
    </w:lvl>
    <w:lvl w:ilvl="5" w:tplc="A7B2F66A" w:tentative="1">
      <w:start w:val="1"/>
      <w:numFmt w:val="bullet"/>
      <w:lvlText w:val=""/>
      <w:lvlJc w:val="left"/>
      <w:pPr>
        <w:ind w:left="4320" w:hanging="360"/>
      </w:pPr>
      <w:rPr>
        <w:rFonts w:ascii="Wingdings" w:hAnsi="Wingdings" w:hint="default"/>
      </w:rPr>
    </w:lvl>
    <w:lvl w:ilvl="6" w:tplc="EC8A3048" w:tentative="1">
      <w:start w:val="1"/>
      <w:numFmt w:val="bullet"/>
      <w:lvlText w:val=""/>
      <w:lvlJc w:val="left"/>
      <w:pPr>
        <w:ind w:left="5040" w:hanging="360"/>
      </w:pPr>
      <w:rPr>
        <w:rFonts w:ascii="Symbol" w:hAnsi="Symbol" w:hint="default"/>
      </w:rPr>
    </w:lvl>
    <w:lvl w:ilvl="7" w:tplc="81668856" w:tentative="1">
      <w:start w:val="1"/>
      <w:numFmt w:val="bullet"/>
      <w:lvlText w:val="o"/>
      <w:lvlJc w:val="left"/>
      <w:pPr>
        <w:ind w:left="5760" w:hanging="360"/>
      </w:pPr>
      <w:rPr>
        <w:rFonts w:ascii="Courier New" w:hAnsi="Courier New" w:cs="Courier New" w:hint="default"/>
      </w:rPr>
    </w:lvl>
    <w:lvl w:ilvl="8" w:tplc="AA66B8E2" w:tentative="1">
      <w:start w:val="1"/>
      <w:numFmt w:val="bullet"/>
      <w:lvlText w:val=""/>
      <w:lvlJc w:val="left"/>
      <w:pPr>
        <w:ind w:left="6480" w:hanging="360"/>
      </w:pPr>
      <w:rPr>
        <w:rFonts w:ascii="Wingdings" w:hAnsi="Wingdings" w:hint="default"/>
      </w:rPr>
    </w:lvl>
  </w:abstractNum>
  <w:abstractNum w:abstractNumId="31" w15:restartNumberingAfterBreak="0">
    <w:nsid w:val="51056AEB"/>
    <w:multiLevelType w:val="hybridMultilevel"/>
    <w:tmpl w:val="2D546130"/>
    <w:lvl w:ilvl="0" w:tplc="199E2DFA">
      <w:start w:val="1"/>
      <w:numFmt w:val="decimal"/>
      <w:lvlText w:val="Tabulka č. %1:"/>
      <w:lvlJc w:val="left"/>
      <w:pPr>
        <w:ind w:left="720" w:hanging="360"/>
      </w:pPr>
      <w:rPr>
        <w:rFonts w:hint="default"/>
        <w:i w:val="0"/>
      </w:rPr>
    </w:lvl>
    <w:lvl w:ilvl="1" w:tplc="21F4D0BA" w:tentative="1">
      <w:start w:val="1"/>
      <w:numFmt w:val="lowerLetter"/>
      <w:lvlText w:val="%2."/>
      <w:lvlJc w:val="left"/>
      <w:pPr>
        <w:ind w:left="1440" w:hanging="360"/>
      </w:pPr>
    </w:lvl>
    <w:lvl w:ilvl="2" w:tplc="01B257D0" w:tentative="1">
      <w:start w:val="1"/>
      <w:numFmt w:val="lowerRoman"/>
      <w:lvlText w:val="%3."/>
      <w:lvlJc w:val="right"/>
      <w:pPr>
        <w:ind w:left="2160" w:hanging="180"/>
      </w:pPr>
    </w:lvl>
    <w:lvl w:ilvl="3" w:tplc="4EFA648C" w:tentative="1">
      <w:start w:val="1"/>
      <w:numFmt w:val="decimal"/>
      <w:lvlText w:val="%4."/>
      <w:lvlJc w:val="left"/>
      <w:pPr>
        <w:ind w:left="2880" w:hanging="360"/>
      </w:pPr>
    </w:lvl>
    <w:lvl w:ilvl="4" w:tplc="B4E692E0" w:tentative="1">
      <w:start w:val="1"/>
      <w:numFmt w:val="lowerLetter"/>
      <w:lvlText w:val="%5."/>
      <w:lvlJc w:val="left"/>
      <w:pPr>
        <w:ind w:left="3600" w:hanging="360"/>
      </w:pPr>
    </w:lvl>
    <w:lvl w:ilvl="5" w:tplc="22E4CE94" w:tentative="1">
      <w:start w:val="1"/>
      <w:numFmt w:val="lowerRoman"/>
      <w:lvlText w:val="%6."/>
      <w:lvlJc w:val="right"/>
      <w:pPr>
        <w:ind w:left="4320" w:hanging="180"/>
      </w:pPr>
    </w:lvl>
    <w:lvl w:ilvl="6" w:tplc="A8FEAD18" w:tentative="1">
      <w:start w:val="1"/>
      <w:numFmt w:val="decimal"/>
      <w:lvlText w:val="%7."/>
      <w:lvlJc w:val="left"/>
      <w:pPr>
        <w:ind w:left="5040" w:hanging="360"/>
      </w:pPr>
    </w:lvl>
    <w:lvl w:ilvl="7" w:tplc="1EB44CD2" w:tentative="1">
      <w:start w:val="1"/>
      <w:numFmt w:val="lowerLetter"/>
      <w:lvlText w:val="%8."/>
      <w:lvlJc w:val="left"/>
      <w:pPr>
        <w:ind w:left="5760" w:hanging="360"/>
      </w:pPr>
    </w:lvl>
    <w:lvl w:ilvl="8" w:tplc="AC001EE6" w:tentative="1">
      <w:start w:val="1"/>
      <w:numFmt w:val="lowerRoman"/>
      <w:lvlText w:val="%9."/>
      <w:lvlJc w:val="right"/>
      <w:pPr>
        <w:ind w:left="6480" w:hanging="180"/>
      </w:pPr>
    </w:lvl>
  </w:abstractNum>
  <w:abstractNum w:abstractNumId="32" w15:restartNumberingAfterBreak="0">
    <w:nsid w:val="52374063"/>
    <w:multiLevelType w:val="hybridMultilevel"/>
    <w:tmpl w:val="E026CD38"/>
    <w:lvl w:ilvl="0" w:tplc="E8140B08">
      <w:start w:val="1"/>
      <w:numFmt w:val="bullet"/>
      <w:lvlText w:val="-"/>
      <w:lvlJc w:val="left"/>
      <w:pPr>
        <w:ind w:left="720" w:hanging="360"/>
      </w:pPr>
      <w:rPr>
        <w:rFonts w:ascii="Calibri" w:eastAsiaTheme="minorHAnsi" w:hAnsi="Calibri" w:cs="Calibri" w:hint="default"/>
      </w:rPr>
    </w:lvl>
    <w:lvl w:ilvl="1" w:tplc="A1A27436" w:tentative="1">
      <w:start w:val="1"/>
      <w:numFmt w:val="bullet"/>
      <w:lvlText w:val="o"/>
      <w:lvlJc w:val="left"/>
      <w:pPr>
        <w:ind w:left="1440" w:hanging="360"/>
      </w:pPr>
      <w:rPr>
        <w:rFonts w:ascii="Courier New" w:hAnsi="Courier New" w:cs="Courier New" w:hint="default"/>
      </w:rPr>
    </w:lvl>
    <w:lvl w:ilvl="2" w:tplc="CB8EA57E" w:tentative="1">
      <w:start w:val="1"/>
      <w:numFmt w:val="bullet"/>
      <w:lvlText w:val=""/>
      <w:lvlJc w:val="left"/>
      <w:pPr>
        <w:ind w:left="2160" w:hanging="360"/>
      </w:pPr>
      <w:rPr>
        <w:rFonts w:ascii="Wingdings" w:hAnsi="Wingdings" w:hint="default"/>
      </w:rPr>
    </w:lvl>
    <w:lvl w:ilvl="3" w:tplc="58460978" w:tentative="1">
      <w:start w:val="1"/>
      <w:numFmt w:val="bullet"/>
      <w:lvlText w:val=""/>
      <w:lvlJc w:val="left"/>
      <w:pPr>
        <w:ind w:left="2880" w:hanging="360"/>
      </w:pPr>
      <w:rPr>
        <w:rFonts w:ascii="Symbol" w:hAnsi="Symbol" w:hint="default"/>
      </w:rPr>
    </w:lvl>
    <w:lvl w:ilvl="4" w:tplc="C0480A46" w:tentative="1">
      <w:start w:val="1"/>
      <w:numFmt w:val="bullet"/>
      <w:lvlText w:val="o"/>
      <w:lvlJc w:val="left"/>
      <w:pPr>
        <w:ind w:left="3600" w:hanging="360"/>
      </w:pPr>
      <w:rPr>
        <w:rFonts w:ascii="Courier New" w:hAnsi="Courier New" w:cs="Courier New" w:hint="default"/>
      </w:rPr>
    </w:lvl>
    <w:lvl w:ilvl="5" w:tplc="6C627978" w:tentative="1">
      <w:start w:val="1"/>
      <w:numFmt w:val="bullet"/>
      <w:lvlText w:val=""/>
      <w:lvlJc w:val="left"/>
      <w:pPr>
        <w:ind w:left="4320" w:hanging="360"/>
      </w:pPr>
      <w:rPr>
        <w:rFonts w:ascii="Wingdings" w:hAnsi="Wingdings" w:hint="default"/>
      </w:rPr>
    </w:lvl>
    <w:lvl w:ilvl="6" w:tplc="8E6C60D4" w:tentative="1">
      <w:start w:val="1"/>
      <w:numFmt w:val="bullet"/>
      <w:lvlText w:val=""/>
      <w:lvlJc w:val="left"/>
      <w:pPr>
        <w:ind w:left="5040" w:hanging="360"/>
      </w:pPr>
      <w:rPr>
        <w:rFonts w:ascii="Symbol" w:hAnsi="Symbol" w:hint="default"/>
      </w:rPr>
    </w:lvl>
    <w:lvl w:ilvl="7" w:tplc="3E129D2E" w:tentative="1">
      <w:start w:val="1"/>
      <w:numFmt w:val="bullet"/>
      <w:lvlText w:val="o"/>
      <w:lvlJc w:val="left"/>
      <w:pPr>
        <w:ind w:left="5760" w:hanging="360"/>
      </w:pPr>
      <w:rPr>
        <w:rFonts w:ascii="Courier New" w:hAnsi="Courier New" w:cs="Courier New" w:hint="default"/>
      </w:rPr>
    </w:lvl>
    <w:lvl w:ilvl="8" w:tplc="65BA0048" w:tentative="1">
      <w:start w:val="1"/>
      <w:numFmt w:val="bullet"/>
      <w:lvlText w:val=""/>
      <w:lvlJc w:val="left"/>
      <w:pPr>
        <w:ind w:left="6480" w:hanging="360"/>
      </w:pPr>
      <w:rPr>
        <w:rFonts w:ascii="Wingdings" w:hAnsi="Wingdings" w:hint="default"/>
      </w:rPr>
    </w:lvl>
  </w:abstractNum>
  <w:abstractNum w:abstractNumId="33" w15:restartNumberingAfterBreak="0">
    <w:nsid w:val="578C4E12"/>
    <w:multiLevelType w:val="hybridMultilevel"/>
    <w:tmpl w:val="5C208CB0"/>
    <w:lvl w:ilvl="0" w:tplc="47946B46">
      <w:start w:val="1"/>
      <w:numFmt w:val="bullet"/>
      <w:lvlText w:val=""/>
      <w:lvlJc w:val="left"/>
      <w:pPr>
        <w:ind w:left="720" w:hanging="360"/>
      </w:pPr>
      <w:rPr>
        <w:rFonts w:ascii="Symbol" w:hAnsi="Symbol" w:hint="default"/>
      </w:rPr>
    </w:lvl>
    <w:lvl w:ilvl="1" w:tplc="CCD6CFA8" w:tentative="1">
      <w:start w:val="1"/>
      <w:numFmt w:val="bullet"/>
      <w:lvlText w:val="o"/>
      <w:lvlJc w:val="left"/>
      <w:pPr>
        <w:ind w:left="1440" w:hanging="360"/>
      </w:pPr>
      <w:rPr>
        <w:rFonts w:ascii="Courier New" w:hAnsi="Courier New" w:cs="Courier New" w:hint="default"/>
      </w:rPr>
    </w:lvl>
    <w:lvl w:ilvl="2" w:tplc="F2EA80EA" w:tentative="1">
      <w:start w:val="1"/>
      <w:numFmt w:val="bullet"/>
      <w:lvlText w:val=""/>
      <w:lvlJc w:val="left"/>
      <w:pPr>
        <w:ind w:left="2160" w:hanging="360"/>
      </w:pPr>
      <w:rPr>
        <w:rFonts w:ascii="Wingdings" w:hAnsi="Wingdings" w:hint="default"/>
      </w:rPr>
    </w:lvl>
    <w:lvl w:ilvl="3" w:tplc="025A7F12" w:tentative="1">
      <w:start w:val="1"/>
      <w:numFmt w:val="bullet"/>
      <w:lvlText w:val=""/>
      <w:lvlJc w:val="left"/>
      <w:pPr>
        <w:ind w:left="2880" w:hanging="360"/>
      </w:pPr>
      <w:rPr>
        <w:rFonts w:ascii="Symbol" w:hAnsi="Symbol" w:hint="default"/>
      </w:rPr>
    </w:lvl>
    <w:lvl w:ilvl="4" w:tplc="7D1E7102" w:tentative="1">
      <w:start w:val="1"/>
      <w:numFmt w:val="bullet"/>
      <w:lvlText w:val="o"/>
      <w:lvlJc w:val="left"/>
      <w:pPr>
        <w:ind w:left="3600" w:hanging="360"/>
      </w:pPr>
      <w:rPr>
        <w:rFonts w:ascii="Courier New" w:hAnsi="Courier New" w:cs="Courier New" w:hint="default"/>
      </w:rPr>
    </w:lvl>
    <w:lvl w:ilvl="5" w:tplc="D9588876" w:tentative="1">
      <w:start w:val="1"/>
      <w:numFmt w:val="bullet"/>
      <w:lvlText w:val=""/>
      <w:lvlJc w:val="left"/>
      <w:pPr>
        <w:ind w:left="4320" w:hanging="360"/>
      </w:pPr>
      <w:rPr>
        <w:rFonts w:ascii="Wingdings" w:hAnsi="Wingdings" w:hint="default"/>
      </w:rPr>
    </w:lvl>
    <w:lvl w:ilvl="6" w:tplc="7D5E1A1C" w:tentative="1">
      <w:start w:val="1"/>
      <w:numFmt w:val="bullet"/>
      <w:lvlText w:val=""/>
      <w:lvlJc w:val="left"/>
      <w:pPr>
        <w:ind w:left="5040" w:hanging="360"/>
      </w:pPr>
      <w:rPr>
        <w:rFonts w:ascii="Symbol" w:hAnsi="Symbol" w:hint="default"/>
      </w:rPr>
    </w:lvl>
    <w:lvl w:ilvl="7" w:tplc="17E035DA" w:tentative="1">
      <w:start w:val="1"/>
      <w:numFmt w:val="bullet"/>
      <w:lvlText w:val="o"/>
      <w:lvlJc w:val="left"/>
      <w:pPr>
        <w:ind w:left="5760" w:hanging="360"/>
      </w:pPr>
      <w:rPr>
        <w:rFonts w:ascii="Courier New" w:hAnsi="Courier New" w:cs="Courier New" w:hint="default"/>
      </w:rPr>
    </w:lvl>
    <w:lvl w:ilvl="8" w:tplc="451EFE78" w:tentative="1">
      <w:start w:val="1"/>
      <w:numFmt w:val="bullet"/>
      <w:lvlText w:val=""/>
      <w:lvlJc w:val="left"/>
      <w:pPr>
        <w:ind w:left="6480" w:hanging="360"/>
      </w:pPr>
      <w:rPr>
        <w:rFonts w:ascii="Wingdings" w:hAnsi="Wingdings" w:hint="default"/>
      </w:rPr>
    </w:lvl>
  </w:abstractNum>
  <w:abstractNum w:abstractNumId="34" w15:restartNumberingAfterBreak="0">
    <w:nsid w:val="5DC21B3A"/>
    <w:multiLevelType w:val="hybridMultilevel"/>
    <w:tmpl w:val="59F44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EF7FCF"/>
    <w:multiLevelType w:val="hybridMultilevel"/>
    <w:tmpl w:val="ACC82A8A"/>
    <w:lvl w:ilvl="0" w:tplc="DEA4D57C">
      <w:start w:val="1"/>
      <w:numFmt w:val="decimal"/>
      <w:lvlText w:val="%1."/>
      <w:lvlJc w:val="left"/>
      <w:pPr>
        <w:ind w:left="720" w:hanging="360"/>
      </w:pPr>
      <w:rPr>
        <w:rFonts w:hint="default"/>
      </w:rPr>
    </w:lvl>
    <w:lvl w:ilvl="1" w:tplc="AC3A9F8A" w:tentative="1">
      <w:start w:val="1"/>
      <w:numFmt w:val="lowerLetter"/>
      <w:lvlText w:val="%2."/>
      <w:lvlJc w:val="left"/>
      <w:pPr>
        <w:ind w:left="1440" w:hanging="360"/>
      </w:pPr>
    </w:lvl>
    <w:lvl w:ilvl="2" w:tplc="0A0484B8" w:tentative="1">
      <w:start w:val="1"/>
      <w:numFmt w:val="lowerRoman"/>
      <w:lvlText w:val="%3."/>
      <w:lvlJc w:val="right"/>
      <w:pPr>
        <w:ind w:left="2160" w:hanging="180"/>
      </w:pPr>
    </w:lvl>
    <w:lvl w:ilvl="3" w:tplc="2BF248E8" w:tentative="1">
      <w:start w:val="1"/>
      <w:numFmt w:val="decimal"/>
      <w:lvlText w:val="%4."/>
      <w:lvlJc w:val="left"/>
      <w:pPr>
        <w:ind w:left="2880" w:hanging="360"/>
      </w:pPr>
    </w:lvl>
    <w:lvl w:ilvl="4" w:tplc="76503768" w:tentative="1">
      <w:start w:val="1"/>
      <w:numFmt w:val="lowerLetter"/>
      <w:lvlText w:val="%5."/>
      <w:lvlJc w:val="left"/>
      <w:pPr>
        <w:ind w:left="3600" w:hanging="360"/>
      </w:pPr>
    </w:lvl>
    <w:lvl w:ilvl="5" w:tplc="F7949D16" w:tentative="1">
      <w:start w:val="1"/>
      <w:numFmt w:val="lowerRoman"/>
      <w:lvlText w:val="%6."/>
      <w:lvlJc w:val="right"/>
      <w:pPr>
        <w:ind w:left="4320" w:hanging="180"/>
      </w:pPr>
    </w:lvl>
    <w:lvl w:ilvl="6" w:tplc="BC8CC580" w:tentative="1">
      <w:start w:val="1"/>
      <w:numFmt w:val="decimal"/>
      <w:lvlText w:val="%7."/>
      <w:lvlJc w:val="left"/>
      <w:pPr>
        <w:ind w:left="5040" w:hanging="360"/>
      </w:pPr>
    </w:lvl>
    <w:lvl w:ilvl="7" w:tplc="3D007372" w:tentative="1">
      <w:start w:val="1"/>
      <w:numFmt w:val="lowerLetter"/>
      <w:lvlText w:val="%8."/>
      <w:lvlJc w:val="left"/>
      <w:pPr>
        <w:ind w:left="5760" w:hanging="360"/>
      </w:pPr>
    </w:lvl>
    <w:lvl w:ilvl="8" w:tplc="3B7A3FDC" w:tentative="1">
      <w:start w:val="1"/>
      <w:numFmt w:val="lowerRoman"/>
      <w:lvlText w:val="%9."/>
      <w:lvlJc w:val="right"/>
      <w:pPr>
        <w:ind w:left="6480" w:hanging="180"/>
      </w:pPr>
    </w:lvl>
  </w:abstractNum>
  <w:abstractNum w:abstractNumId="36" w15:restartNumberingAfterBreak="0">
    <w:nsid w:val="7395679F"/>
    <w:multiLevelType w:val="hybridMultilevel"/>
    <w:tmpl w:val="EF5C6362"/>
    <w:lvl w:ilvl="0" w:tplc="3D2881EA">
      <w:start w:val="4"/>
      <w:numFmt w:val="decimal"/>
      <w:lvlText w:val="%1."/>
      <w:lvlJc w:val="left"/>
      <w:pPr>
        <w:ind w:left="1080" w:hanging="360"/>
      </w:pPr>
      <w:rPr>
        <w:rFonts w:hint="default"/>
      </w:rPr>
    </w:lvl>
    <w:lvl w:ilvl="1" w:tplc="7374CCFE" w:tentative="1">
      <w:start w:val="1"/>
      <w:numFmt w:val="lowerLetter"/>
      <w:lvlText w:val="%2."/>
      <w:lvlJc w:val="left"/>
      <w:pPr>
        <w:ind w:left="1800" w:hanging="360"/>
      </w:pPr>
    </w:lvl>
    <w:lvl w:ilvl="2" w:tplc="BD505B80" w:tentative="1">
      <w:start w:val="1"/>
      <w:numFmt w:val="lowerRoman"/>
      <w:lvlText w:val="%3."/>
      <w:lvlJc w:val="right"/>
      <w:pPr>
        <w:ind w:left="2520" w:hanging="180"/>
      </w:pPr>
    </w:lvl>
    <w:lvl w:ilvl="3" w:tplc="CCCE8F90" w:tentative="1">
      <w:start w:val="1"/>
      <w:numFmt w:val="decimal"/>
      <w:lvlText w:val="%4."/>
      <w:lvlJc w:val="left"/>
      <w:pPr>
        <w:ind w:left="3240" w:hanging="360"/>
      </w:pPr>
    </w:lvl>
    <w:lvl w:ilvl="4" w:tplc="FC4A3E1A" w:tentative="1">
      <w:start w:val="1"/>
      <w:numFmt w:val="lowerLetter"/>
      <w:lvlText w:val="%5."/>
      <w:lvlJc w:val="left"/>
      <w:pPr>
        <w:ind w:left="3960" w:hanging="360"/>
      </w:pPr>
    </w:lvl>
    <w:lvl w:ilvl="5" w:tplc="F064CE64" w:tentative="1">
      <w:start w:val="1"/>
      <w:numFmt w:val="lowerRoman"/>
      <w:lvlText w:val="%6."/>
      <w:lvlJc w:val="right"/>
      <w:pPr>
        <w:ind w:left="4680" w:hanging="180"/>
      </w:pPr>
    </w:lvl>
    <w:lvl w:ilvl="6" w:tplc="76DA1D48" w:tentative="1">
      <w:start w:val="1"/>
      <w:numFmt w:val="decimal"/>
      <w:lvlText w:val="%7."/>
      <w:lvlJc w:val="left"/>
      <w:pPr>
        <w:ind w:left="5400" w:hanging="360"/>
      </w:pPr>
    </w:lvl>
    <w:lvl w:ilvl="7" w:tplc="C526F8C6" w:tentative="1">
      <w:start w:val="1"/>
      <w:numFmt w:val="lowerLetter"/>
      <w:lvlText w:val="%8."/>
      <w:lvlJc w:val="left"/>
      <w:pPr>
        <w:ind w:left="6120" w:hanging="360"/>
      </w:pPr>
    </w:lvl>
    <w:lvl w:ilvl="8" w:tplc="6D9671B8" w:tentative="1">
      <w:start w:val="1"/>
      <w:numFmt w:val="lowerRoman"/>
      <w:lvlText w:val="%9."/>
      <w:lvlJc w:val="right"/>
      <w:pPr>
        <w:ind w:left="6840" w:hanging="180"/>
      </w:pPr>
    </w:lvl>
  </w:abstractNum>
  <w:abstractNum w:abstractNumId="37" w15:restartNumberingAfterBreak="0">
    <w:nsid w:val="74791E63"/>
    <w:multiLevelType w:val="hybridMultilevel"/>
    <w:tmpl w:val="C2C22612"/>
    <w:lvl w:ilvl="0" w:tplc="2F923C26">
      <w:numFmt w:val="bullet"/>
      <w:lvlText w:val="-"/>
      <w:lvlJc w:val="left"/>
      <w:pPr>
        <w:ind w:left="720" w:hanging="360"/>
      </w:pPr>
      <w:rPr>
        <w:rFonts w:ascii="Calibri" w:eastAsia="Times New Roman" w:hAnsi="Calibri" w:cs="Calibri" w:hint="default"/>
      </w:rPr>
    </w:lvl>
    <w:lvl w:ilvl="1" w:tplc="F0708B60" w:tentative="1">
      <w:start w:val="1"/>
      <w:numFmt w:val="bullet"/>
      <w:lvlText w:val="o"/>
      <w:lvlJc w:val="left"/>
      <w:pPr>
        <w:ind w:left="1440" w:hanging="360"/>
      </w:pPr>
      <w:rPr>
        <w:rFonts w:ascii="Courier New" w:hAnsi="Courier New" w:cs="Courier New" w:hint="default"/>
      </w:rPr>
    </w:lvl>
    <w:lvl w:ilvl="2" w:tplc="661839B2" w:tentative="1">
      <w:start w:val="1"/>
      <w:numFmt w:val="bullet"/>
      <w:lvlText w:val=""/>
      <w:lvlJc w:val="left"/>
      <w:pPr>
        <w:ind w:left="2160" w:hanging="360"/>
      </w:pPr>
      <w:rPr>
        <w:rFonts w:ascii="Wingdings" w:hAnsi="Wingdings" w:hint="default"/>
      </w:rPr>
    </w:lvl>
    <w:lvl w:ilvl="3" w:tplc="AE80EE86" w:tentative="1">
      <w:start w:val="1"/>
      <w:numFmt w:val="bullet"/>
      <w:lvlText w:val=""/>
      <w:lvlJc w:val="left"/>
      <w:pPr>
        <w:ind w:left="2880" w:hanging="360"/>
      </w:pPr>
      <w:rPr>
        <w:rFonts w:ascii="Symbol" w:hAnsi="Symbol" w:hint="default"/>
      </w:rPr>
    </w:lvl>
    <w:lvl w:ilvl="4" w:tplc="4D0EA386" w:tentative="1">
      <w:start w:val="1"/>
      <w:numFmt w:val="bullet"/>
      <w:lvlText w:val="o"/>
      <w:lvlJc w:val="left"/>
      <w:pPr>
        <w:ind w:left="3600" w:hanging="360"/>
      </w:pPr>
      <w:rPr>
        <w:rFonts w:ascii="Courier New" w:hAnsi="Courier New" w:cs="Courier New" w:hint="default"/>
      </w:rPr>
    </w:lvl>
    <w:lvl w:ilvl="5" w:tplc="C01CA2F8" w:tentative="1">
      <w:start w:val="1"/>
      <w:numFmt w:val="bullet"/>
      <w:lvlText w:val=""/>
      <w:lvlJc w:val="left"/>
      <w:pPr>
        <w:ind w:left="4320" w:hanging="360"/>
      </w:pPr>
      <w:rPr>
        <w:rFonts w:ascii="Wingdings" w:hAnsi="Wingdings" w:hint="default"/>
      </w:rPr>
    </w:lvl>
    <w:lvl w:ilvl="6" w:tplc="AC467F52" w:tentative="1">
      <w:start w:val="1"/>
      <w:numFmt w:val="bullet"/>
      <w:lvlText w:val=""/>
      <w:lvlJc w:val="left"/>
      <w:pPr>
        <w:ind w:left="5040" w:hanging="360"/>
      </w:pPr>
      <w:rPr>
        <w:rFonts w:ascii="Symbol" w:hAnsi="Symbol" w:hint="default"/>
      </w:rPr>
    </w:lvl>
    <w:lvl w:ilvl="7" w:tplc="FFA87448" w:tentative="1">
      <w:start w:val="1"/>
      <w:numFmt w:val="bullet"/>
      <w:lvlText w:val="o"/>
      <w:lvlJc w:val="left"/>
      <w:pPr>
        <w:ind w:left="5760" w:hanging="360"/>
      </w:pPr>
      <w:rPr>
        <w:rFonts w:ascii="Courier New" w:hAnsi="Courier New" w:cs="Courier New" w:hint="default"/>
      </w:rPr>
    </w:lvl>
    <w:lvl w:ilvl="8" w:tplc="60FC0E82" w:tentative="1">
      <w:start w:val="1"/>
      <w:numFmt w:val="bullet"/>
      <w:lvlText w:val=""/>
      <w:lvlJc w:val="left"/>
      <w:pPr>
        <w:ind w:left="6480" w:hanging="360"/>
      </w:pPr>
      <w:rPr>
        <w:rFonts w:ascii="Wingdings" w:hAnsi="Wingdings" w:hint="default"/>
      </w:rPr>
    </w:lvl>
  </w:abstractNum>
  <w:abstractNum w:abstractNumId="38" w15:restartNumberingAfterBreak="0">
    <w:nsid w:val="74B93C8E"/>
    <w:multiLevelType w:val="hybridMultilevel"/>
    <w:tmpl w:val="6D361AB8"/>
    <w:lvl w:ilvl="0" w:tplc="6026E6DA">
      <w:start w:val="1"/>
      <w:numFmt w:val="decimal"/>
      <w:lvlText w:val="Tabulka č. %1:"/>
      <w:lvlJc w:val="left"/>
      <w:pPr>
        <w:ind w:left="360" w:hanging="360"/>
      </w:pPr>
      <w:rPr>
        <w:rFonts w:hint="default"/>
        <w:i w:val="0"/>
      </w:rPr>
    </w:lvl>
    <w:lvl w:ilvl="1" w:tplc="D78CB38A" w:tentative="1">
      <w:start w:val="1"/>
      <w:numFmt w:val="lowerLetter"/>
      <w:lvlText w:val="%2."/>
      <w:lvlJc w:val="left"/>
      <w:pPr>
        <w:ind w:left="1080" w:hanging="360"/>
      </w:pPr>
    </w:lvl>
    <w:lvl w:ilvl="2" w:tplc="3620FA70" w:tentative="1">
      <w:start w:val="1"/>
      <w:numFmt w:val="lowerRoman"/>
      <w:lvlText w:val="%3."/>
      <w:lvlJc w:val="right"/>
      <w:pPr>
        <w:ind w:left="1800" w:hanging="180"/>
      </w:pPr>
    </w:lvl>
    <w:lvl w:ilvl="3" w:tplc="2B665164" w:tentative="1">
      <w:start w:val="1"/>
      <w:numFmt w:val="decimal"/>
      <w:lvlText w:val="%4."/>
      <w:lvlJc w:val="left"/>
      <w:pPr>
        <w:ind w:left="2520" w:hanging="360"/>
      </w:pPr>
    </w:lvl>
    <w:lvl w:ilvl="4" w:tplc="F51AAB1A" w:tentative="1">
      <w:start w:val="1"/>
      <w:numFmt w:val="lowerLetter"/>
      <w:lvlText w:val="%5."/>
      <w:lvlJc w:val="left"/>
      <w:pPr>
        <w:ind w:left="3240" w:hanging="360"/>
      </w:pPr>
    </w:lvl>
    <w:lvl w:ilvl="5" w:tplc="888495D2" w:tentative="1">
      <w:start w:val="1"/>
      <w:numFmt w:val="lowerRoman"/>
      <w:lvlText w:val="%6."/>
      <w:lvlJc w:val="right"/>
      <w:pPr>
        <w:ind w:left="3960" w:hanging="180"/>
      </w:pPr>
    </w:lvl>
    <w:lvl w:ilvl="6" w:tplc="FDCC4774" w:tentative="1">
      <w:start w:val="1"/>
      <w:numFmt w:val="decimal"/>
      <w:lvlText w:val="%7."/>
      <w:lvlJc w:val="left"/>
      <w:pPr>
        <w:ind w:left="4680" w:hanging="360"/>
      </w:pPr>
    </w:lvl>
    <w:lvl w:ilvl="7" w:tplc="B56441FA" w:tentative="1">
      <w:start w:val="1"/>
      <w:numFmt w:val="lowerLetter"/>
      <w:lvlText w:val="%8."/>
      <w:lvlJc w:val="left"/>
      <w:pPr>
        <w:ind w:left="5400" w:hanging="360"/>
      </w:pPr>
    </w:lvl>
    <w:lvl w:ilvl="8" w:tplc="97065E92" w:tentative="1">
      <w:start w:val="1"/>
      <w:numFmt w:val="lowerRoman"/>
      <w:lvlText w:val="%9."/>
      <w:lvlJc w:val="right"/>
      <w:pPr>
        <w:ind w:left="6120" w:hanging="180"/>
      </w:pPr>
    </w:lvl>
  </w:abstractNum>
  <w:abstractNum w:abstractNumId="39" w15:restartNumberingAfterBreak="0">
    <w:nsid w:val="74DB3D3A"/>
    <w:multiLevelType w:val="hybridMultilevel"/>
    <w:tmpl w:val="EED64D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004176"/>
    <w:multiLevelType w:val="hybridMultilevel"/>
    <w:tmpl w:val="FC062E12"/>
    <w:lvl w:ilvl="0" w:tplc="6BEE0DF6">
      <w:start w:val="1"/>
      <w:numFmt w:val="decimal"/>
      <w:lvlText w:val="%1."/>
      <w:lvlJc w:val="left"/>
      <w:pPr>
        <w:ind w:left="720" w:hanging="360"/>
      </w:pPr>
      <w:rPr>
        <w:rFonts w:hint="default"/>
      </w:rPr>
    </w:lvl>
    <w:lvl w:ilvl="1" w:tplc="13AE586C" w:tentative="1">
      <w:start w:val="1"/>
      <w:numFmt w:val="bullet"/>
      <w:lvlText w:val="o"/>
      <w:lvlJc w:val="left"/>
      <w:pPr>
        <w:ind w:left="1440" w:hanging="360"/>
      </w:pPr>
      <w:rPr>
        <w:rFonts w:ascii="Courier New" w:hAnsi="Courier New" w:cs="Courier New" w:hint="default"/>
      </w:rPr>
    </w:lvl>
    <w:lvl w:ilvl="2" w:tplc="BE3EC3D4" w:tentative="1">
      <w:start w:val="1"/>
      <w:numFmt w:val="bullet"/>
      <w:lvlText w:val=""/>
      <w:lvlJc w:val="left"/>
      <w:pPr>
        <w:ind w:left="2160" w:hanging="360"/>
      </w:pPr>
      <w:rPr>
        <w:rFonts w:ascii="Wingdings" w:hAnsi="Wingdings" w:hint="default"/>
      </w:rPr>
    </w:lvl>
    <w:lvl w:ilvl="3" w:tplc="579C5B02" w:tentative="1">
      <w:start w:val="1"/>
      <w:numFmt w:val="bullet"/>
      <w:lvlText w:val=""/>
      <w:lvlJc w:val="left"/>
      <w:pPr>
        <w:ind w:left="2880" w:hanging="360"/>
      </w:pPr>
      <w:rPr>
        <w:rFonts w:ascii="Symbol" w:hAnsi="Symbol" w:hint="default"/>
      </w:rPr>
    </w:lvl>
    <w:lvl w:ilvl="4" w:tplc="E676C208" w:tentative="1">
      <w:start w:val="1"/>
      <w:numFmt w:val="bullet"/>
      <w:lvlText w:val="o"/>
      <w:lvlJc w:val="left"/>
      <w:pPr>
        <w:ind w:left="3600" w:hanging="360"/>
      </w:pPr>
      <w:rPr>
        <w:rFonts w:ascii="Courier New" w:hAnsi="Courier New" w:cs="Courier New" w:hint="default"/>
      </w:rPr>
    </w:lvl>
    <w:lvl w:ilvl="5" w:tplc="4CA4B560" w:tentative="1">
      <w:start w:val="1"/>
      <w:numFmt w:val="bullet"/>
      <w:lvlText w:val=""/>
      <w:lvlJc w:val="left"/>
      <w:pPr>
        <w:ind w:left="4320" w:hanging="360"/>
      </w:pPr>
      <w:rPr>
        <w:rFonts w:ascii="Wingdings" w:hAnsi="Wingdings" w:hint="default"/>
      </w:rPr>
    </w:lvl>
    <w:lvl w:ilvl="6" w:tplc="D794F48C" w:tentative="1">
      <w:start w:val="1"/>
      <w:numFmt w:val="bullet"/>
      <w:lvlText w:val=""/>
      <w:lvlJc w:val="left"/>
      <w:pPr>
        <w:ind w:left="5040" w:hanging="360"/>
      </w:pPr>
      <w:rPr>
        <w:rFonts w:ascii="Symbol" w:hAnsi="Symbol" w:hint="default"/>
      </w:rPr>
    </w:lvl>
    <w:lvl w:ilvl="7" w:tplc="65DC3068" w:tentative="1">
      <w:start w:val="1"/>
      <w:numFmt w:val="bullet"/>
      <w:lvlText w:val="o"/>
      <w:lvlJc w:val="left"/>
      <w:pPr>
        <w:ind w:left="5760" w:hanging="360"/>
      </w:pPr>
      <w:rPr>
        <w:rFonts w:ascii="Courier New" w:hAnsi="Courier New" w:cs="Courier New" w:hint="default"/>
      </w:rPr>
    </w:lvl>
    <w:lvl w:ilvl="8" w:tplc="4EDA5D1C" w:tentative="1">
      <w:start w:val="1"/>
      <w:numFmt w:val="bullet"/>
      <w:lvlText w:val=""/>
      <w:lvlJc w:val="left"/>
      <w:pPr>
        <w:ind w:left="6480" w:hanging="360"/>
      </w:pPr>
      <w:rPr>
        <w:rFonts w:ascii="Wingdings" w:hAnsi="Wingdings" w:hint="default"/>
      </w:rPr>
    </w:lvl>
  </w:abstractNum>
  <w:abstractNum w:abstractNumId="41" w15:restartNumberingAfterBreak="0">
    <w:nsid w:val="77315E0C"/>
    <w:multiLevelType w:val="hybridMultilevel"/>
    <w:tmpl w:val="722EF382"/>
    <w:lvl w:ilvl="0" w:tplc="7DAE0F74">
      <w:start w:val="1"/>
      <w:numFmt w:val="bullet"/>
      <w:lvlText w:val=""/>
      <w:lvlJc w:val="left"/>
      <w:pPr>
        <w:ind w:left="720" w:hanging="360"/>
      </w:pPr>
      <w:rPr>
        <w:rFonts w:ascii="Symbol" w:hAnsi="Symbol" w:hint="default"/>
      </w:rPr>
    </w:lvl>
    <w:lvl w:ilvl="1" w:tplc="468859A6" w:tentative="1">
      <w:start w:val="1"/>
      <w:numFmt w:val="bullet"/>
      <w:lvlText w:val="o"/>
      <w:lvlJc w:val="left"/>
      <w:pPr>
        <w:ind w:left="1440" w:hanging="360"/>
      </w:pPr>
      <w:rPr>
        <w:rFonts w:ascii="Courier New" w:hAnsi="Courier New" w:cs="Courier New" w:hint="default"/>
      </w:rPr>
    </w:lvl>
    <w:lvl w:ilvl="2" w:tplc="9600E8A8" w:tentative="1">
      <w:start w:val="1"/>
      <w:numFmt w:val="bullet"/>
      <w:lvlText w:val=""/>
      <w:lvlJc w:val="left"/>
      <w:pPr>
        <w:ind w:left="2160" w:hanging="360"/>
      </w:pPr>
      <w:rPr>
        <w:rFonts w:ascii="Wingdings" w:hAnsi="Wingdings" w:hint="default"/>
      </w:rPr>
    </w:lvl>
    <w:lvl w:ilvl="3" w:tplc="F26801C2" w:tentative="1">
      <w:start w:val="1"/>
      <w:numFmt w:val="bullet"/>
      <w:lvlText w:val=""/>
      <w:lvlJc w:val="left"/>
      <w:pPr>
        <w:ind w:left="2880" w:hanging="360"/>
      </w:pPr>
      <w:rPr>
        <w:rFonts w:ascii="Symbol" w:hAnsi="Symbol" w:hint="default"/>
      </w:rPr>
    </w:lvl>
    <w:lvl w:ilvl="4" w:tplc="A78C3832" w:tentative="1">
      <w:start w:val="1"/>
      <w:numFmt w:val="bullet"/>
      <w:lvlText w:val="o"/>
      <w:lvlJc w:val="left"/>
      <w:pPr>
        <w:ind w:left="3600" w:hanging="360"/>
      </w:pPr>
      <w:rPr>
        <w:rFonts w:ascii="Courier New" w:hAnsi="Courier New" w:cs="Courier New" w:hint="default"/>
      </w:rPr>
    </w:lvl>
    <w:lvl w:ilvl="5" w:tplc="394EF516" w:tentative="1">
      <w:start w:val="1"/>
      <w:numFmt w:val="bullet"/>
      <w:lvlText w:val=""/>
      <w:lvlJc w:val="left"/>
      <w:pPr>
        <w:ind w:left="4320" w:hanging="360"/>
      </w:pPr>
      <w:rPr>
        <w:rFonts w:ascii="Wingdings" w:hAnsi="Wingdings" w:hint="default"/>
      </w:rPr>
    </w:lvl>
    <w:lvl w:ilvl="6" w:tplc="11A4124A" w:tentative="1">
      <w:start w:val="1"/>
      <w:numFmt w:val="bullet"/>
      <w:lvlText w:val=""/>
      <w:lvlJc w:val="left"/>
      <w:pPr>
        <w:ind w:left="5040" w:hanging="360"/>
      </w:pPr>
      <w:rPr>
        <w:rFonts w:ascii="Symbol" w:hAnsi="Symbol" w:hint="default"/>
      </w:rPr>
    </w:lvl>
    <w:lvl w:ilvl="7" w:tplc="18AAB21A" w:tentative="1">
      <w:start w:val="1"/>
      <w:numFmt w:val="bullet"/>
      <w:lvlText w:val="o"/>
      <w:lvlJc w:val="left"/>
      <w:pPr>
        <w:ind w:left="5760" w:hanging="360"/>
      </w:pPr>
      <w:rPr>
        <w:rFonts w:ascii="Courier New" w:hAnsi="Courier New" w:cs="Courier New" w:hint="default"/>
      </w:rPr>
    </w:lvl>
    <w:lvl w:ilvl="8" w:tplc="42368EAC" w:tentative="1">
      <w:start w:val="1"/>
      <w:numFmt w:val="bullet"/>
      <w:lvlText w:val=""/>
      <w:lvlJc w:val="left"/>
      <w:pPr>
        <w:ind w:left="6480" w:hanging="360"/>
      </w:pPr>
      <w:rPr>
        <w:rFonts w:ascii="Wingdings" w:hAnsi="Wingdings" w:hint="default"/>
      </w:rPr>
    </w:lvl>
  </w:abstractNum>
  <w:abstractNum w:abstractNumId="42" w15:restartNumberingAfterBreak="0">
    <w:nsid w:val="77C7550E"/>
    <w:multiLevelType w:val="hybridMultilevel"/>
    <w:tmpl w:val="7E946D1C"/>
    <w:lvl w:ilvl="0" w:tplc="58AC1C34">
      <w:start w:val="1"/>
      <w:numFmt w:val="lowerLetter"/>
      <w:lvlText w:val="%1)"/>
      <w:lvlJc w:val="left"/>
      <w:pPr>
        <w:ind w:left="360" w:hanging="360"/>
      </w:pPr>
      <w:rPr>
        <w:rFonts w:hint="default"/>
      </w:rPr>
    </w:lvl>
    <w:lvl w:ilvl="1" w:tplc="4BFC6A00" w:tentative="1">
      <w:start w:val="1"/>
      <w:numFmt w:val="lowerLetter"/>
      <w:lvlText w:val="%2."/>
      <w:lvlJc w:val="left"/>
      <w:pPr>
        <w:ind w:left="1080" w:hanging="360"/>
      </w:pPr>
    </w:lvl>
    <w:lvl w:ilvl="2" w:tplc="1FFE95E8" w:tentative="1">
      <w:start w:val="1"/>
      <w:numFmt w:val="lowerRoman"/>
      <w:lvlText w:val="%3."/>
      <w:lvlJc w:val="right"/>
      <w:pPr>
        <w:ind w:left="1800" w:hanging="180"/>
      </w:pPr>
    </w:lvl>
    <w:lvl w:ilvl="3" w:tplc="4ECC54A8" w:tentative="1">
      <w:start w:val="1"/>
      <w:numFmt w:val="decimal"/>
      <w:lvlText w:val="%4."/>
      <w:lvlJc w:val="left"/>
      <w:pPr>
        <w:ind w:left="2520" w:hanging="360"/>
      </w:pPr>
    </w:lvl>
    <w:lvl w:ilvl="4" w:tplc="32EAB9BC" w:tentative="1">
      <w:start w:val="1"/>
      <w:numFmt w:val="lowerLetter"/>
      <w:lvlText w:val="%5."/>
      <w:lvlJc w:val="left"/>
      <w:pPr>
        <w:ind w:left="3240" w:hanging="360"/>
      </w:pPr>
    </w:lvl>
    <w:lvl w:ilvl="5" w:tplc="E03CFD22" w:tentative="1">
      <w:start w:val="1"/>
      <w:numFmt w:val="lowerRoman"/>
      <w:lvlText w:val="%6."/>
      <w:lvlJc w:val="right"/>
      <w:pPr>
        <w:ind w:left="3960" w:hanging="180"/>
      </w:pPr>
    </w:lvl>
    <w:lvl w:ilvl="6" w:tplc="B7445B16" w:tentative="1">
      <w:start w:val="1"/>
      <w:numFmt w:val="decimal"/>
      <w:lvlText w:val="%7."/>
      <w:lvlJc w:val="left"/>
      <w:pPr>
        <w:ind w:left="4680" w:hanging="360"/>
      </w:pPr>
    </w:lvl>
    <w:lvl w:ilvl="7" w:tplc="E59649FC" w:tentative="1">
      <w:start w:val="1"/>
      <w:numFmt w:val="lowerLetter"/>
      <w:lvlText w:val="%8."/>
      <w:lvlJc w:val="left"/>
      <w:pPr>
        <w:ind w:left="5400" w:hanging="360"/>
      </w:pPr>
    </w:lvl>
    <w:lvl w:ilvl="8" w:tplc="DE8C46B0" w:tentative="1">
      <w:start w:val="1"/>
      <w:numFmt w:val="lowerRoman"/>
      <w:lvlText w:val="%9."/>
      <w:lvlJc w:val="right"/>
      <w:pPr>
        <w:ind w:left="6120" w:hanging="180"/>
      </w:pPr>
    </w:lvl>
  </w:abstractNum>
  <w:abstractNum w:abstractNumId="43" w15:restartNumberingAfterBreak="0">
    <w:nsid w:val="7A3C1599"/>
    <w:multiLevelType w:val="hybridMultilevel"/>
    <w:tmpl w:val="9E12AF84"/>
    <w:lvl w:ilvl="0" w:tplc="7DAE0F74">
      <w:start w:val="1"/>
      <w:numFmt w:val="bullet"/>
      <w:lvlText w:val=""/>
      <w:lvlJc w:val="left"/>
      <w:pPr>
        <w:ind w:left="720" w:hanging="360"/>
      </w:pPr>
      <w:rPr>
        <w:rFonts w:ascii="Symbol" w:hAnsi="Symbol" w:hint="default"/>
      </w:rPr>
    </w:lvl>
    <w:lvl w:ilvl="1" w:tplc="044C3394" w:tentative="1">
      <w:start w:val="1"/>
      <w:numFmt w:val="bullet"/>
      <w:lvlText w:val="o"/>
      <w:lvlJc w:val="left"/>
      <w:pPr>
        <w:ind w:left="1440" w:hanging="360"/>
      </w:pPr>
      <w:rPr>
        <w:rFonts w:ascii="Courier New" w:hAnsi="Courier New" w:cs="Courier New" w:hint="default"/>
      </w:rPr>
    </w:lvl>
    <w:lvl w:ilvl="2" w:tplc="2C52A190" w:tentative="1">
      <w:start w:val="1"/>
      <w:numFmt w:val="bullet"/>
      <w:lvlText w:val=""/>
      <w:lvlJc w:val="left"/>
      <w:pPr>
        <w:ind w:left="2160" w:hanging="360"/>
      </w:pPr>
      <w:rPr>
        <w:rFonts w:ascii="Wingdings" w:hAnsi="Wingdings" w:hint="default"/>
      </w:rPr>
    </w:lvl>
    <w:lvl w:ilvl="3" w:tplc="AE520FEA" w:tentative="1">
      <w:start w:val="1"/>
      <w:numFmt w:val="bullet"/>
      <w:lvlText w:val=""/>
      <w:lvlJc w:val="left"/>
      <w:pPr>
        <w:ind w:left="2880" w:hanging="360"/>
      </w:pPr>
      <w:rPr>
        <w:rFonts w:ascii="Symbol" w:hAnsi="Symbol" w:hint="default"/>
      </w:rPr>
    </w:lvl>
    <w:lvl w:ilvl="4" w:tplc="E2905268" w:tentative="1">
      <w:start w:val="1"/>
      <w:numFmt w:val="bullet"/>
      <w:lvlText w:val="o"/>
      <w:lvlJc w:val="left"/>
      <w:pPr>
        <w:ind w:left="3600" w:hanging="360"/>
      </w:pPr>
      <w:rPr>
        <w:rFonts w:ascii="Courier New" w:hAnsi="Courier New" w:cs="Courier New" w:hint="default"/>
      </w:rPr>
    </w:lvl>
    <w:lvl w:ilvl="5" w:tplc="B73AE49A" w:tentative="1">
      <w:start w:val="1"/>
      <w:numFmt w:val="bullet"/>
      <w:lvlText w:val=""/>
      <w:lvlJc w:val="left"/>
      <w:pPr>
        <w:ind w:left="4320" w:hanging="360"/>
      </w:pPr>
      <w:rPr>
        <w:rFonts w:ascii="Wingdings" w:hAnsi="Wingdings" w:hint="default"/>
      </w:rPr>
    </w:lvl>
    <w:lvl w:ilvl="6" w:tplc="74CADC72" w:tentative="1">
      <w:start w:val="1"/>
      <w:numFmt w:val="bullet"/>
      <w:lvlText w:val=""/>
      <w:lvlJc w:val="left"/>
      <w:pPr>
        <w:ind w:left="5040" w:hanging="360"/>
      </w:pPr>
      <w:rPr>
        <w:rFonts w:ascii="Symbol" w:hAnsi="Symbol" w:hint="default"/>
      </w:rPr>
    </w:lvl>
    <w:lvl w:ilvl="7" w:tplc="989E540A" w:tentative="1">
      <w:start w:val="1"/>
      <w:numFmt w:val="bullet"/>
      <w:lvlText w:val="o"/>
      <w:lvlJc w:val="left"/>
      <w:pPr>
        <w:ind w:left="5760" w:hanging="360"/>
      </w:pPr>
      <w:rPr>
        <w:rFonts w:ascii="Courier New" w:hAnsi="Courier New" w:cs="Courier New" w:hint="default"/>
      </w:rPr>
    </w:lvl>
    <w:lvl w:ilvl="8" w:tplc="78A6081E" w:tentative="1">
      <w:start w:val="1"/>
      <w:numFmt w:val="bullet"/>
      <w:lvlText w:val=""/>
      <w:lvlJc w:val="left"/>
      <w:pPr>
        <w:ind w:left="6480" w:hanging="360"/>
      </w:pPr>
      <w:rPr>
        <w:rFonts w:ascii="Wingdings" w:hAnsi="Wingdings" w:hint="default"/>
      </w:rPr>
    </w:lvl>
  </w:abstractNum>
  <w:num w:numId="1">
    <w:abstractNumId w:val="23"/>
  </w:num>
  <w:num w:numId="2">
    <w:abstractNumId w:val="37"/>
  </w:num>
  <w:num w:numId="3">
    <w:abstractNumId w:val="4"/>
  </w:num>
  <w:num w:numId="4">
    <w:abstractNumId w:val="29"/>
  </w:num>
  <w:num w:numId="5">
    <w:abstractNumId w:val="9"/>
  </w:num>
  <w:num w:numId="6">
    <w:abstractNumId w:val="7"/>
  </w:num>
  <w:num w:numId="7">
    <w:abstractNumId w:val="19"/>
  </w:num>
  <w:num w:numId="8">
    <w:abstractNumId w:val="1"/>
  </w:num>
  <w:num w:numId="9">
    <w:abstractNumId w:val="0"/>
  </w:num>
  <w:num w:numId="10">
    <w:abstractNumId w:val="35"/>
  </w:num>
  <w:num w:numId="11">
    <w:abstractNumId w:val="25"/>
  </w:num>
  <w:num w:numId="12">
    <w:abstractNumId w:val="28"/>
  </w:num>
  <w:num w:numId="13">
    <w:abstractNumId w:val="33"/>
  </w:num>
  <w:num w:numId="14">
    <w:abstractNumId w:val="30"/>
  </w:num>
  <w:num w:numId="15">
    <w:abstractNumId w:val="32"/>
  </w:num>
  <w:num w:numId="16">
    <w:abstractNumId w:val="18"/>
  </w:num>
  <w:num w:numId="17">
    <w:abstractNumId w:val="21"/>
  </w:num>
  <w:num w:numId="18">
    <w:abstractNumId w:val="40"/>
  </w:num>
  <w:num w:numId="19">
    <w:abstractNumId w:val="12"/>
  </w:num>
  <w:num w:numId="20">
    <w:abstractNumId w:val="36"/>
  </w:num>
  <w:num w:numId="21">
    <w:abstractNumId w:val="20"/>
  </w:num>
  <w:num w:numId="22">
    <w:abstractNumId w:val="15"/>
  </w:num>
  <w:num w:numId="23">
    <w:abstractNumId w:val="27"/>
  </w:num>
  <w:num w:numId="24">
    <w:abstractNumId w:val="31"/>
  </w:num>
  <w:num w:numId="25">
    <w:abstractNumId w:val="38"/>
  </w:num>
  <w:num w:numId="26">
    <w:abstractNumId w:val="2"/>
  </w:num>
  <w:num w:numId="27">
    <w:abstractNumId w:val="26"/>
  </w:num>
  <w:num w:numId="28">
    <w:abstractNumId w:val="11"/>
  </w:num>
  <w:num w:numId="29">
    <w:abstractNumId w:val="42"/>
  </w:num>
  <w:num w:numId="30">
    <w:abstractNumId w:val="13"/>
  </w:num>
  <w:num w:numId="31">
    <w:abstractNumId w:val="14"/>
  </w:num>
  <w:num w:numId="32">
    <w:abstractNumId w:val="16"/>
  </w:num>
  <w:num w:numId="33">
    <w:abstractNumId w:val="10"/>
  </w:num>
  <w:num w:numId="34">
    <w:abstractNumId w:val="22"/>
  </w:num>
  <w:num w:numId="35">
    <w:abstractNumId w:val="17"/>
  </w:num>
  <w:num w:numId="36">
    <w:abstractNumId w:val="24"/>
  </w:num>
  <w:num w:numId="37">
    <w:abstractNumId w:val="39"/>
  </w:num>
  <w:num w:numId="38">
    <w:abstractNumId w:val="6"/>
  </w:num>
  <w:num w:numId="39">
    <w:abstractNumId w:val="8"/>
  </w:num>
  <w:num w:numId="40">
    <w:abstractNumId w:val="34"/>
  </w:num>
  <w:num w:numId="41">
    <w:abstractNumId w:val="5"/>
  </w:num>
  <w:num w:numId="42">
    <w:abstractNumId w:val="41"/>
  </w:num>
  <w:num w:numId="43">
    <w:abstractNumId w:val="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95"/>
    <w:rsid w:val="000052CF"/>
    <w:rsid w:val="000225F6"/>
    <w:rsid w:val="000610B5"/>
    <w:rsid w:val="00074148"/>
    <w:rsid w:val="000A4509"/>
    <w:rsid w:val="000A540E"/>
    <w:rsid w:val="000A54DD"/>
    <w:rsid w:val="000C1317"/>
    <w:rsid w:val="0012625C"/>
    <w:rsid w:val="0014156B"/>
    <w:rsid w:val="0017047C"/>
    <w:rsid w:val="001D739C"/>
    <w:rsid w:val="001E3D21"/>
    <w:rsid w:val="00204195"/>
    <w:rsid w:val="002101CD"/>
    <w:rsid w:val="002118C4"/>
    <w:rsid w:val="00212395"/>
    <w:rsid w:val="00231219"/>
    <w:rsid w:val="0023397C"/>
    <w:rsid w:val="0024629F"/>
    <w:rsid w:val="00280CE6"/>
    <w:rsid w:val="002831B8"/>
    <w:rsid w:val="00297F6A"/>
    <w:rsid w:val="002D44A4"/>
    <w:rsid w:val="002E3C77"/>
    <w:rsid w:val="002F3250"/>
    <w:rsid w:val="0031589F"/>
    <w:rsid w:val="00323E9F"/>
    <w:rsid w:val="00326816"/>
    <w:rsid w:val="00345E9D"/>
    <w:rsid w:val="00390446"/>
    <w:rsid w:val="003D3605"/>
    <w:rsid w:val="003E1A45"/>
    <w:rsid w:val="0040303A"/>
    <w:rsid w:val="004137A1"/>
    <w:rsid w:val="004221C4"/>
    <w:rsid w:val="004323B6"/>
    <w:rsid w:val="0044474D"/>
    <w:rsid w:val="00475F45"/>
    <w:rsid w:val="004B4F51"/>
    <w:rsid w:val="004B7812"/>
    <w:rsid w:val="004C46DC"/>
    <w:rsid w:val="005051D9"/>
    <w:rsid w:val="005223E0"/>
    <w:rsid w:val="00536C80"/>
    <w:rsid w:val="00555F62"/>
    <w:rsid w:val="00562DCE"/>
    <w:rsid w:val="00574EE2"/>
    <w:rsid w:val="00581CBF"/>
    <w:rsid w:val="00596661"/>
    <w:rsid w:val="005E3CD8"/>
    <w:rsid w:val="00601460"/>
    <w:rsid w:val="0066675E"/>
    <w:rsid w:val="00672C7F"/>
    <w:rsid w:val="006873A8"/>
    <w:rsid w:val="00695B84"/>
    <w:rsid w:val="006B6473"/>
    <w:rsid w:val="006C0478"/>
    <w:rsid w:val="006C0C31"/>
    <w:rsid w:val="006D0010"/>
    <w:rsid w:val="006D17DF"/>
    <w:rsid w:val="006E39CB"/>
    <w:rsid w:val="006F1510"/>
    <w:rsid w:val="006F69CE"/>
    <w:rsid w:val="00707D02"/>
    <w:rsid w:val="00711956"/>
    <w:rsid w:val="00725FC3"/>
    <w:rsid w:val="00735405"/>
    <w:rsid w:val="007550FC"/>
    <w:rsid w:val="007624F9"/>
    <w:rsid w:val="00764C13"/>
    <w:rsid w:val="00773AB0"/>
    <w:rsid w:val="00781596"/>
    <w:rsid w:val="00782E76"/>
    <w:rsid w:val="007956F2"/>
    <w:rsid w:val="007A48EF"/>
    <w:rsid w:val="00820917"/>
    <w:rsid w:val="008277AD"/>
    <w:rsid w:val="00877C09"/>
    <w:rsid w:val="00881E5A"/>
    <w:rsid w:val="008A1FAB"/>
    <w:rsid w:val="008C7636"/>
    <w:rsid w:val="008E27E3"/>
    <w:rsid w:val="008E4B1C"/>
    <w:rsid w:val="008F5107"/>
    <w:rsid w:val="00907484"/>
    <w:rsid w:val="009169CE"/>
    <w:rsid w:val="0092695C"/>
    <w:rsid w:val="00957C7D"/>
    <w:rsid w:val="009839B2"/>
    <w:rsid w:val="009B5090"/>
    <w:rsid w:val="009E705D"/>
    <w:rsid w:val="00A1218A"/>
    <w:rsid w:val="00A20810"/>
    <w:rsid w:val="00A24D79"/>
    <w:rsid w:val="00A727B6"/>
    <w:rsid w:val="00AA0956"/>
    <w:rsid w:val="00AA656D"/>
    <w:rsid w:val="00AB1AAD"/>
    <w:rsid w:val="00AC2065"/>
    <w:rsid w:val="00AC5036"/>
    <w:rsid w:val="00AC7D22"/>
    <w:rsid w:val="00B37D05"/>
    <w:rsid w:val="00B47855"/>
    <w:rsid w:val="00B56F48"/>
    <w:rsid w:val="00B601D4"/>
    <w:rsid w:val="00B71CCE"/>
    <w:rsid w:val="00B76309"/>
    <w:rsid w:val="00B8557B"/>
    <w:rsid w:val="00BB5556"/>
    <w:rsid w:val="00BB6FDA"/>
    <w:rsid w:val="00BD58F9"/>
    <w:rsid w:val="00BF64A4"/>
    <w:rsid w:val="00C3103C"/>
    <w:rsid w:val="00C767D8"/>
    <w:rsid w:val="00C8415D"/>
    <w:rsid w:val="00C922AA"/>
    <w:rsid w:val="00CE7AD7"/>
    <w:rsid w:val="00CF0EFE"/>
    <w:rsid w:val="00D003F4"/>
    <w:rsid w:val="00D16D7C"/>
    <w:rsid w:val="00D3538A"/>
    <w:rsid w:val="00D45C11"/>
    <w:rsid w:val="00D62652"/>
    <w:rsid w:val="00D710D2"/>
    <w:rsid w:val="00D8237E"/>
    <w:rsid w:val="00D92837"/>
    <w:rsid w:val="00DC7281"/>
    <w:rsid w:val="00E026F7"/>
    <w:rsid w:val="00E46698"/>
    <w:rsid w:val="00E63C17"/>
    <w:rsid w:val="00E7465C"/>
    <w:rsid w:val="00E905FC"/>
    <w:rsid w:val="00E97A43"/>
    <w:rsid w:val="00EA4E79"/>
    <w:rsid w:val="00EB0D53"/>
    <w:rsid w:val="00EB1327"/>
    <w:rsid w:val="00EE0940"/>
    <w:rsid w:val="00F1284E"/>
    <w:rsid w:val="00F3052D"/>
    <w:rsid w:val="00F3110A"/>
    <w:rsid w:val="00F36867"/>
    <w:rsid w:val="00F41E55"/>
    <w:rsid w:val="00F71A7C"/>
    <w:rsid w:val="00F758A1"/>
    <w:rsid w:val="00F959F4"/>
    <w:rsid w:val="00FD30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A454B"/>
  <w15:chartTrackingRefBased/>
  <w15:docId w15:val="{C4319B6A-1A90-4E4F-9CE5-69CBCA03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4195"/>
    <w:pPr>
      <w:spacing w:after="0" w:line="240" w:lineRule="auto"/>
    </w:pPr>
    <w:rPr>
      <w:rFonts w:ascii="Calibri" w:eastAsia="Times New Roman" w:hAnsi="Calibri" w:cs="Times New Roman"/>
      <w:noProof/>
      <w:sz w:val="24"/>
      <w:szCs w:val="24"/>
    </w:rPr>
  </w:style>
  <w:style w:type="paragraph" w:styleId="Nadpis1">
    <w:name w:val="heading 1"/>
    <w:basedOn w:val="Normln"/>
    <w:next w:val="Normln"/>
    <w:link w:val="Nadpis1Char"/>
    <w:uiPriority w:val="9"/>
    <w:qFormat/>
    <w:rsid w:val="002041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2041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
    <w:next w:val="Normln"/>
    <w:link w:val="Nadpis6Char"/>
    <w:uiPriority w:val="9"/>
    <w:semiHidden/>
    <w:unhideWhenUsed/>
    <w:qFormat/>
    <w:rsid w:val="00204195"/>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04195"/>
    <w:rPr>
      <w:rFonts w:asciiTheme="majorHAnsi" w:eastAsiaTheme="majorEastAsia" w:hAnsiTheme="majorHAnsi" w:cstheme="majorBidi"/>
      <w:noProof/>
      <w:color w:val="2E74B5" w:themeColor="accent1" w:themeShade="BF"/>
      <w:sz w:val="32"/>
      <w:szCs w:val="32"/>
    </w:rPr>
  </w:style>
  <w:style w:type="character" w:customStyle="1" w:styleId="Nadpis2Char">
    <w:name w:val="Nadpis 2 Char"/>
    <w:basedOn w:val="Standardnpsmoodstavce"/>
    <w:link w:val="Nadpis2"/>
    <w:uiPriority w:val="9"/>
    <w:rsid w:val="00204195"/>
    <w:rPr>
      <w:rFonts w:asciiTheme="majorHAnsi" w:eastAsiaTheme="majorEastAsia" w:hAnsiTheme="majorHAnsi" w:cstheme="majorBidi"/>
      <w:noProof/>
      <w:color w:val="2E74B5" w:themeColor="accent1" w:themeShade="BF"/>
      <w:sz w:val="26"/>
      <w:szCs w:val="26"/>
    </w:rPr>
  </w:style>
  <w:style w:type="character" w:customStyle="1" w:styleId="Nadpis6Char">
    <w:name w:val="Nadpis 6 Char"/>
    <w:basedOn w:val="Standardnpsmoodstavce"/>
    <w:link w:val="Nadpis6"/>
    <w:uiPriority w:val="9"/>
    <w:semiHidden/>
    <w:rsid w:val="00204195"/>
    <w:rPr>
      <w:rFonts w:asciiTheme="majorHAnsi" w:eastAsiaTheme="majorEastAsia" w:hAnsiTheme="majorHAnsi" w:cstheme="majorBidi"/>
      <w:noProof/>
      <w:color w:val="1F4D78" w:themeColor="accent1" w:themeShade="7F"/>
      <w:sz w:val="24"/>
      <w:szCs w:val="24"/>
    </w:rPr>
  </w:style>
  <w:style w:type="paragraph" w:styleId="Textpoznpodarou">
    <w:name w:val="footnote text"/>
    <w:basedOn w:val="Normln"/>
    <w:link w:val="TextpoznpodarouChar"/>
    <w:uiPriority w:val="99"/>
    <w:unhideWhenUsed/>
    <w:qFormat/>
    <w:rsid w:val="00204195"/>
    <w:rPr>
      <w:sz w:val="20"/>
      <w:szCs w:val="20"/>
    </w:rPr>
  </w:style>
  <w:style w:type="character" w:customStyle="1" w:styleId="TextpoznpodarouChar">
    <w:name w:val="Text pozn. pod čarou Char"/>
    <w:basedOn w:val="Standardnpsmoodstavce"/>
    <w:link w:val="Textpoznpodarou"/>
    <w:uiPriority w:val="99"/>
    <w:qFormat/>
    <w:rsid w:val="00204195"/>
    <w:rPr>
      <w:rFonts w:ascii="Calibri" w:eastAsia="Times New Roman" w:hAnsi="Calibri" w:cs="Times New Roman"/>
      <w:noProof/>
      <w:sz w:val="20"/>
      <w:szCs w:val="20"/>
    </w:rPr>
  </w:style>
  <w:style w:type="character" w:styleId="Znakapoznpodarou">
    <w:name w:val="footnote reference"/>
    <w:basedOn w:val="Standardnpsmoodstavce"/>
    <w:uiPriority w:val="99"/>
    <w:semiHidden/>
    <w:unhideWhenUsed/>
    <w:qFormat/>
    <w:rsid w:val="00204195"/>
    <w:rPr>
      <w:vertAlign w:val="superscript"/>
    </w:rPr>
  </w:style>
  <w:style w:type="paragraph" w:styleId="Odstavecseseznamem">
    <w:name w:val="List Paragraph"/>
    <w:aliases w:val="List Paragraph_0,Nadpis pro KZ,můj Nadpis 2,odrážky"/>
    <w:basedOn w:val="Normln"/>
    <w:link w:val="OdstavecseseznamemChar"/>
    <w:uiPriority w:val="34"/>
    <w:qFormat/>
    <w:rsid w:val="00204195"/>
    <w:pPr>
      <w:ind w:left="720"/>
      <w:contextualSpacing/>
    </w:pPr>
  </w:style>
  <w:style w:type="character" w:customStyle="1" w:styleId="OdstavecseseznamemChar">
    <w:name w:val="Odstavec se seznamem Char"/>
    <w:aliases w:val="List Paragraph_0 Char,Nadpis pro KZ Char,můj Nadpis 2 Char,odrážky Char"/>
    <w:link w:val="Odstavecseseznamem"/>
    <w:uiPriority w:val="34"/>
    <w:locked/>
    <w:rsid w:val="00204195"/>
    <w:rPr>
      <w:rFonts w:ascii="Calibri" w:eastAsia="Times New Roman" w:hAnsi="Calibri" w:cs="Times New Roman"/>
      <w:noProof/>
      <w:sz w:val="24"/>
      <w:szCs w:val="24"/>
    </w:rPr>
  </w:style>
  <w:style w:type="paragraph" w:styleId="Zkladntext">
    <w:name w:val="Body Text"/>
    <w:aliases w:val="?????1,Body Text1,Standard paragraph,b,block style"/>
    <w:basedOn w:val="Normln"/>
    <w:link w:val="ZkladntextChar"/>
    <w:semiHidden/>
    <w:rsid w:val="00204195"/>
    <w:pPr>
      <w:jc w:val="both"/>
    </w:pPr>
    <w:rPr>
      <w:szCs w:val="20"/>
      <w:lang w:eastAsia="cs-CZ"/>
    </w:rPr>
  </w:style>
  <w:style w:type="character" w:customStyle="1" w:styleId="ZkladntextChar">
    <w:name w:val="Základní text Char"/>
    <w:aliases w:val="?????1 Char,Body Text1 Char,Standard paragraph Char,b Char,block style Char"/>
    <w:basedOn w:val="Standardnpsmoodstavce"/>
    <w:link w:val="Zkladntext"/>
    <w:semiHidden/>
    <w:rsid w:val="00204195"/>
    <w:rPr>
      <w:rFonts w:ascii="Calibri" w:eastAsia="Times New Roman" w:hAnsi="Calibri" w:cs="Times New Roman"/>
      <w:noProof/>
      <w:sz w:val="24"/>
      <w:szCs w:val="20"/>
      <w:lang w:eastAsia="cs-CZ"/>
    </w:rPr>
  </w:style>
  <w:style w:type="paragraph" w:customStyle="1" w:styleId="NormlnKZ">
    <w:name w:val="Normální KZ"/>
    <w:basedOn w:val="Normln"/>
    <w:rsid w:val="00204195"/>
    <w:pPr>
      <w:jc w:val="both"/>
    </w:pPr>
    <w:rPr>
      <w:rFonts w:cs="Calibri"/>
      <w:lang w:eastAsia="cs-CZ"/>
    </w:rPr>
  </w:style>
  <w:style w:type="paragraph" w:customStyle="1" w:styleId="Pa10">
    <w:name w:val="Pa10"/>
    <w:basedOn w:val="Normln"/>
    <w:next w:val="Normln"/>
    <w:rsid w:val="00204195"/>
    <w:pPr>
      <w:autoSpaceDE w:val="0"/>
      <w:autoSpaceDN w:val="0"/>
      <w:adjustRightInd w:val="0"/>
      <w:spacing w:before="360" w:after="100" w:line="281" w:lineRule="atLeast"/>
      <w:jc w:val="both"/>
    </w:pPr>
    <w:rPr>
      <w:rFonts w:ascii="Arial" w:hAnsi="Arial" w:cs="Arial"/>
      <w:sz w:val="22"/>
    </w:rPr>
  </w:style>
  <w:style w:type="paragraph" w:styleId="Textbubliny">
    <w:name w:val="Balloon Text"/>
    <w:basedOn w:val="Normln"/>
    <w:link w:val="TextbublinyChar"/>
    <w:uiPriority w:val="99"/>
    <w:semiHidden/>
    <w:unhideWhenUsed/>
    <w:rsid w:val="00204195"/>
    <w:rPr>
      <w:rFonts w:cs="Segoe UI"/>
      <w:szCs w:val="18"/>
    </w:rPr>
  </w:style>
  <w:style w:type="character" w:customStyle="1" w:styleId="TextbublinyChar">
    <w:name w:val="Text bubliny Char"/>
    <w:basedOn w:val="Standardnpsmoodstavce"/>
    <w:link w:val="Textbubliny"/>
    <w:uiPriority w:val="99"/>
    <w:semiHidden/>
    <w:rsid w:val="00204195"/>
    <w:rPr>
      <w:rFonts w:ascii="Calibri" w:eastAsia="Times New Roman" w:hAnsi="Calibri" w:cs="Segoe UI"/>
      <w:noProof/>
      <w:sz w:val="24"/>
      <w:szCs w:val="18"/>
    </w:rPr>
  </w:style>
  <w:style w:type="table" w:styleId="Mkatabulky">
    <w:name w:val="Table Grid"/>
    <w:basedOn w:val="Normlntabulka"/>
    <w:uiPriority w:val="39"/>
    <w:rsid w:val="0020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04195"/>
    <w:pPr>
      <w:tabs>
        <w:tab w:val="center" w:pos="4536"/>
        <w:tab w:val="right" w:pos="9072"/>
      </w:tabs>
    </w:pPr>
  </w:style>
  <w:style w:type="character" w:customStyle="1" w:styleId="ZhlavChar">
    <w:name w:val="Záhlaví Char"/>
    <w:basedOn w:val="Standardnpsmoodstavce"/>
    <w:link w:val="Zhlav"/>
    <w:uiPriority w:val="99"/>
    <w:rsid w:val="00204195"/>
    <w:rPr>
      <w:rFonts w:ascii="Calibri" w:eastAsia="Times New Roman" w:hAnsi="Calibri" w:cs="Times New Roman"/>
      <w:noProof/>
      <w:sz w:val="24"/>
      <w:szCs w:val="24"/>
    </w:rPr>
  </w:style>
  <w:style w:type="paragraph" w:styleId="Zpat">
    <w:name w:val="footer"/>
    <w:basedOn w:val="Normln"/>
    <w:link w:val="ZpatChar"/>
    <w:uiPriority w:val="99"/>
    <w:unhideWhenUsed/>
    <w:rsid w:val="00204195"/>
    <w:pPr>
      <w:tabs>
        <w:tab w:val="center" w:pos="4536"/>
        <w:tab w:val="right" w:pos="9072"/>
      </w:tabs>
    </w:pPr>
  </w:style>
  <w:style w:type="character" w:customStyle="1" w:styleId="ZpatChar">
    <w:name w:val="Zápatí Char"/>
    <w:basedOn w:val="Standardnpsmoodstavce"/>
    <w:link w:val="Zpat"/>
    <w:uiPriority w:val="99"/>
    <w:rsid w:val="00204195"/>
    <w:rPr>
      <w:rFonts w:ascii="Calibri" w:eastAsia="Times New Roman" w:hAnsi="Calibri" w:cs="Times New Roman"/>
      <w:noProof/>
      <w:sz w:val="24"/>
      <w:szCs w:val="24"/>
    </w:rPr>
  </w:style>
  <w:style w:type="character" w:styleId="Odkaznakoment">
    <w:name w:val="annotation reference"/>
    <w:basedOn w:val="Standardnpsmoodstavce"/>
    <w:uiPriority w:val="99"/>
    <w:semiHidden/>
    <w:unhideWhenUsed/>
    <w:rsid w:val="00204195"/>
    <w:rPr>
      <w:sz w:val="16"/>
      <w:szCs w:val="16"/>
    </w:rPr>
  </w:style>
  <w:style w:type="paragraph" w:styleId="Textkomente">
    <w:name w:val="annotation text"/>
    <w:basedOn w:val="Normln"/>
    <w:link w:val="TextkomenteChar"/>
    <w:uiPriority w:val="99"/>
    <w:semiHidden/>
    <w:unhideWhenUsed/>
    <w:rsid w:val="00204195"/>
    <w:rPr>
      <w:szCs w:val="20"/>
    </w:rPr>
  </w:style>
  <w:style w:type="character" w:customStyle="1" w:styleId="TextkomenteChar">
    <w:name w:val="Text komentáře Char"/>
    <w:basedOn w:val="Standardnpsmoodstavce"/>
    <w:link w:val="Textkomente"/>
    <w:uiPriority w:val="99"/>
    <w:semiHidden/>
    <w:rsid w:val="00204195"/>
    <w:rPr>
      <w:rFonts w:ascii="Calibri" w:eastAsia="Times New Roman" w:hAnsi="Calibri" w:cs="Times New Roman"/>
      <w:noProof/>
      <w:sz w:val="24"/>
      <w:szCs w:val="20"/>
    </w:rPr>
  </w:style>
  <w:style w:type="paragraph" w:styleId="Pedmtkomente">
    <w:name w:val="annotation subject"/>
    <w:basedOn w:val="Textkomente"/>
    <w:next w:val="Textkomente"/>
    <w:link w:val="PedmtkomenteChar"/>
    <w:uiPriority w:val="99"/>
    <w:semiHidden/>
    <w:unhideWhenUsed/>
    <w:rsid w:val="00204195"/>
    <w:rPr>
      <w:b/>
      <w:bCs/>
    </w:rPr>
  </w:style>
  <w:style w:type="character" w:customStyle="1" w:styleId="PedmtkomenteChar">
    <w:name w:val="Předmět komentáře Char"/>
    <w:basedOn w:val="TextkomenteChar"/>
    <w:link w:val="Pedmtkomente"/>
    <w:uiPriority w:val="99"/>
    <w:semiHidden/>
    <w:rsid w:val="00204195"/>
    <w:rPr>
      <w:rFonts w:ascii="Calibri" w:eastAsia="Times New Roman" w:hAnsi="Calibri" w:cs="Times New Roman"/>
      <w:b/>
      <w:bCs/>
      <w:noProof/>
      <w:sz w:val="24"/>
      <w:szCs w:val="20"/>
    </w:rPr>
  </w:style>
  <w:style w:type="paragraph" w:customStyle="1" w:styleId="Default">
    <w:name w:val="Default"/>
    <w:rsid w:val="00204195"/>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204195"/>
    <w:pPr>
      <w:spacing w:after="0" w:line="240" w:lineRule="auto"/>
    </w:pPr>
    <w:rPr>
      <w:rFonts w:eastAsia="Times New Roman" w:cs="Times New Roman"/>
    </w:rPr>
  </w:style>
  <w:style w:type="character" w:styleId="Hypertextovodkaz">
    <w:name w:val="Hyperlink"/>
    <w:basedOn w:val="Standardnpsmoodstavce"/>
    <w:uiPriority w:val="99"/>
    <w:semiHidden/>
    <w:rsid w:val="00204195"/>
    <w:rPr>
      <w:color w:val="0000FF"/>
      <w:u w:val="single"/>
    </w:rPr>
  </w:style>
  <w:style w:type="paragraph" w:styleId="Normlnweb">
    <w:name w:val="Normal (Web)"/>
    <w:basedOn w:val="Normln"/>
    <w:uiPriority w:val="99"/>
    <w:semiHidden/>
    <w:unhideWhenUsed/>
    <w:rsid w:val="00204195"/>
    <w:pPr>
      <w:spacing w:before="100" w:beforeAutospacing="1" w:after="100" w:afterAutospacing="1"/>
    </w:pPr>
    <w:rPr>
      <w:noProof w:val="0"/>
      <w:lang w:eastAsia="cs-CZ"/>
    </w:rPr>
  </w:style>
  <w:style w:type="paragraph" w:styleId="Revize">
    <w:name w:val="Revision"/>
    <w:hidden/>
    <w:uiPriority w:val="99"/>
    <w:semiHidden/>
    <w:rsid w:val="00204195"/>
    <w:pPr>
      <w:spacing w:after="0" w:line="240" w:lineRule="auto"/>
    </w:pPr>
    <w:rPr>
      <w:rFonts w:ascii="Times New Roman" w:eastAsia="Times New Roman" w:hAnsi="Times New Roman" w:cs="Times New Roman"/>
      <w:noProof/>
      <w:sz w:val="24"/>
      <w:szCs w:val="24"/>
    </w:rPr>
  </w:style>
  <w:style w:type="paragraph" w:customStyle="1" w:styleId="Pa18">
    <w:name w:val="Pa18"/>
    <w:basedOn w:val="Normln"/>
    <w:next w:val="Normln"/>
    <w:uiPriority w:val="99"/>
    <w:rsid w:val="00204195"/>
    <w:pPr>
      <w:autoSpaceDE w:val="0"/>
      <w:autoSpaceDN w:val="0"/>
      <w:adjustRightInd w:val="0"/>
      <w:spacing w:line="211" w:lineRule="atLeast"/>
    </w:pPr>
    <w:rPr>
      <w:noProof w:val="0"/>
      <w:lang w:eastAsia="cs-CZ"/>
    </w:rPr>
  </w:style>
  <w:style w:type="character" w:customStyle="1" w:styleId="A14">
    <w:name w:val="A14"/>
    <w:uiPriority w:val="99"/>
    <w:rsid w:val="00204195"/>
    <w:rPr>
      <w:b/>
      <w:color w:val="000000"/>
      <w:sz w:val="54"/>
    </w:rPr>
  </w:style>
  <w:style w:type="character" w:customStyle="1" w:styleId="A15">
    <w:name w:val="A15"/>
    <w:uiPriority w:val="99"/>
    <w:rsid w:val="00204195"/>
    <w:rPr>
      <w:color w:val="000000"/>
      <w:sz w:val="36"/>
    </w:rPr>
  </w:style>
  <w:style w:type="paragraph" w:customStyle="1" w:styleId="Pa19">
    <w:name w:val="Pa19"/>
    <w:basedOn w:val="Normln"/>
    <w:next w:val="Normln"/>
    <w:uiPriority w:val="99"/>
    <w:rsid w:val="00204195"/>
    <w:pPr>
      <w:autoSpaceDE w:val="0"/>
      <w:autoSpaceDN w:val="0"/>
      <w:adjustRightInd w:val="0"/>
      <w:spacing w:line="211" w:lineRule="atLeast"/>
    </w:pPr>
    <w:rPr>
      <w:noProof w:val="0"/>
      <w:lang w:eastAsia="cs-CZ"/>
    </w:rPr>
  </w:style>
  <w:style w:type="paragraph" w:styleId="Podnadpis">
    <w:name w:val="Subtitle"/>
    <w:basedOn w:val="Normln"/>
    <w:next w:val="Normln"/>
    <w:link w:val="PodnadpisChar"/>
    <w:uiPriority w:val="11"/>
    <w:qFormat/>
    <w:rsid w:val="002041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204195"/>
    <w:rPr>
      <w:rFonts w:eastAsiaTheme="minorEastAsia"/>
      <w:noProof/>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C497-0419-45E8-A491-A8F04138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DA274B6D.dotm</Template>
  <TotalTime>13</TotalTime>
  <Pages>14</Pages>
  <Words>5175</Words>
  <Characters>30533</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17/14 -Majetek a peněžní prostředky státu, se kterými je příslušná hospodařit příspěvková organizace Národní ústav duševního zdraví</dc:title>
  <dc:subject/>
  <dc:creator>Nejvyšší kontrolní úřad</dc:creator>
  <cp:keywords/>
  <dc:description/>
  <cp:lastModifiedBy>KOKRDA Daniel</cp:lastModifiedBy>
  <cp:revision>15</cp:revision>
  <cp:lastPrinted>2018-02-13T11:06:00Z</cp:lastPrinted>
  <dcterms:created xsi:type="dcterms:W3CDTF">2018-02-08T14:26:00Z</dcterms:created>
  <dcterms:modified xsi:type="dcterms:W3CDTF">2018-02-13T11:07:00Z</dcterms:modified>
</cp:coreProperties>
</file>