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7DC02" w14:textId="06AB4592" w:rsidR="00C0073D" w:rsidRDefault="004B7279" w:rsidP="00861893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201E4F">
        <w:rPr>
          <w:rFonts w:eastAsia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A3E39DB" wp14:editId="04C2C933">
            <wp:simplePos x="0" y="0"/>
            <wp:positionH relativeFrom="column">
              <wp:posOffset>2503363</wp:posOffset>
            </wp:positionH>
            <wp:positionV relativeFrom="paragraph">
              <wp:posOffset>-1298</wp:posOffset>
            </wp:positionV>
            <wp:extent cx="760886" cy="540000"/>
            <wp:effectExtent l="0" t="0" r="0" b="0"/>
            <wp:wrapTopAndBottom/>
            <wp:docPr id="1" name="Obrázek 1" descr="D:\Agendy\Pracovní\NKU_logo-transp-rgb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396641" name="Obrázek 1" descr="D:\Agendy\Pracovní\NKU_logo-transp-rgb300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572E4" w14:textId="274B39CA" w:rsidR="00AD63AD" w:rsidRDefault="00AD63AD" w:rsidP="0086189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BF4CFF4" w14:textId="77777777" w:rsidR="00AD63AD" w:rsidRPr="00201E4F" w:rsidRDefault="00AD63AD" w:rsidP="0086189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480254C" w14:textId="77777777" w:rsidR="00C0073D" w:rsidRPr="00201E4F" w:rsidRDefault="004B7279" w:rsidP="0086189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bookmarkStart w:id="0" w:name="_GoBack"/>
      <w:r w:rsidRPr="00201E4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Kontrolní závěr z kontrolní akce</w:t>
      </w:r>
    </w:p>
    <w:p w14:paraId="0323B605" w14:textId="77777777" w:rsidR="00C0073D" w:rsidRPr="00201E4F" w:rsidRDefault="00C0073D" w:rsidP="0086189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0C0A9664" w14:textId="2254001E" w:rsidR="00C0073D" w:rsidRPr="00201E4F" w:rsidRDefault="004B7279" w:rsidP="00861893">
      <w:pPr>
        <w:tabs>
          <w:tab w:val="left" w:pos="1256"/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16/21</w:t>
      </w:r>
    </w:p>
    <w:p w14:paraId="0D383321" w14:textId="77777777" w:rsidR="00C0073D" w:rsidRPr="00201E4F" w:rsidRDefault="00C0073D" w:rsidP="0086189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</w:rPr>
      </w:pPr>
    </w:p>
    <w:p w14:paraId="400E3752" w14:textId="77777777" w:rsidR="00C0073D" w:rsidRPr="00201E4F" w:rsidRDefault="004B7279" w:rsidP="0086189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 w:rsidRPr="00201E4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Správa daně z příjmů fyzických osob se zaměřením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na dopady legislativních změn </w:t>
      </w:r>
      <w:r w:rsidRPr="00201E4F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na příjmy státního rozpočtu</w:t>
      </w:r>
    </w:p>
    <w:bookmarkEnd w:id="0"/>
    <w:p w14:paraId="7C6D142A" w14:textId="77777777" w:rsidR="00C0073D" w:rsidRPr="00201E4F" w:rsidRDefault="00C0073D" w:rsidP="00861893">
      <w:pPr>
        <w:spacing w:after="0" w:line="240" w:lineRule="auto"/>
        <w:rPr>
          <w:rFonts w:eastAsia="Times New Roman" w:cs="Times New Roman"/>
        </w:rPr>
      </w:pPr>
    </w:p>
    <w:p w14:paraId="7FAB7E39" w14:textId="77777777" w:rsidR="00C0073D" w:rsidRPr="00201E4F" w:rsidRDefault="00C0073D" w:rsidP="00861893">
      <w:pPr>
        <w:spacing w:after="0" w:line="240" w:lineRule="auto"/>
        <w:rPr>
          <w:rFonts w:eastAsia="Times New Roman" w:cs="Times New Roman"/>
        </w:rPr>
      </w:pPr>
    </w:p>
    <w:p w14:paraId="7116515B" w14:textId="77777777" w:rsidR="00C0073D" w:rsidRPr="00201E4F" w:rsidRDefault="004B7279" w:rsidP="00C272AE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201E4F">
        <w:rPr>
          <w:rFonts w:eastAsia="Times New Roman" w:cs="Times New Roman"/>
          <w:sz w:val="24"/>
          <w:szCs w:val="24"/>
        </w:rPr>
        <w:t>Kontrolní akce byla zařazena do plánu kontrolní činnosti Nejvyššího kontrolního úřadu (dále také „NKÚ“) na rok 201</w:t>
      </w:r>
      <w:r>
        <w:rPr>
          <w:rFonts w:eastAsia="Times New Roman" w:cs="Times New Roman"/>
          <w:sz w:val="24"/>
          <w:szCs w:val="24"/>
        </w:rPr>
        <w:t>6</w:t>
      </w:r>
      <w:r w:rsidRPr="00201E4F">
        <w:rPr>
          <w:rFonts w:eastAsia="Times New Roman" w:cs="Times New Roman"/>
          <w:sz w:val="24"/>
          <w:szCs w:val="24"/>
        </w:rPr>
        <w:t xml:space="preserve"> pod číslem 16/</w:t>
      </w:r>
      <w:r>
        <w:rPr>
          <w:rFonts w:eastAsia="Times New Roman" w:cs="Times New Roman"/>
          <w:sz w:val="24"/>
          <w:szCs w:val="24"/>
        </w:rPr>
        <w:t>21</w:t>
      </w:r>
      <w:r w:rsidRPr="00201E4F">
        <w:rPr>
          <w:rFonts w:eastAsia="Times New Roman" w:cs="Times New Roman"/>
          <w:sz w:val="24"/>
          <w:szCs w:val="24"/>
        </w:rPr>
        <w:t xml:space="preserve">. Kontrolní akci řídil a kontrolní závěr vypracoval člen NKÚ Ing. Josef Kubíček. </w:t>
      </w:r>
    </w:p>
    <w:p w14:paraId="003C0B9F" w14:textId="77777777" w:rsidR="00C0073D" w:rsidRPr="00FB507A" w:rsidRDefault="004B7279" w:rsidP="00861893">
      <w:pPr>
        <w:spacing w:before="120" w:after="120" w:line="240" w:lineRule="auto"/>
        <w:jc w:val="both"/>
        <w:rPr>
          <w:rFonts w:cstheme="minorHAnsi"/>
        </w:rPr>
      </w:pPr>
      <w:r w:rsidRPr="00201E4F">
        <w:rPr>
          <w:rFonts w:eastAsia="Times New Roman" w:cs="Times New Roman"/>
          <w:b/>
          <w:bCs/>
          <w:sz w:val="24"/>
          <w:szCs w:val="24"/>
        </w:rPr>
        <w:t xml:space="preserve">Cílem kontroly </w:t>
      </w:r>
      <w:r>
        <w:rPr>
          <w:rFonts w:eastAsia="Times New Roman" w:cs="Times New Roman"/>
          <w:bCs/>
          <w:sz w:val="24"/>
          <w:szCs w:val="24"/>
        </w:rPr>
        <w:t>bylo prověřit p</w:t>
      </w:r>
      <w:r w:rsidRPr="00DE6583">
        <w:rPr>
          <w:rFonts w:eastAsia="Times New Roman" w:cs="Times New Roman"/>
          <w:sz w:val="24"/>
          <w:szCs w:val="24"/>
        </w:rPr>
        <w:t>ostup správců daně při správě daně z příjmů fyzických osob, efektivnost, účelnost a hospodárnost správy této daně v souvislosti s legislativními změnami zejména v oblastech osvobození od daně, základu daně, slev na dani a nezdanitelné části základu daně.</w:t>
      </w:r>
    </w:p>
    <w:p w14:paraId="1A96741C" w14:textId="77777777" w:rsidR="00C0073D" w:rsidRPr="00201E4F" w:rsidRDefault="004B7279" w:rsidP="00547E48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201E4F">
        <w:rPr>
          <w:rFonts w:eastAsia="Times New Roman" w:cs="Times New Roman"/>
          <w:b/>
          <w:bCs/>
          <w:sz w:val="24"/>
          <w:szCs w:val="24"/>
        </w:rPr>
        <w:t>Kontrolované osoby</w:t>
      </w:r>
      <w:r w:rsidRPr="00201E4F">
        <w:rPr>
          <w:rFonts w:eastAsia="Times New Roman" w:cs="Times New Roman"/>
          <w:b/>
          <w:sz w:val="24"/>
          <w:szCs w:val="24"/>
        </w:rPr>
        <w:t>:</w:t>
      </w:r>
    </w:p>
    <w:p w14:paraId="18F10322" w14:textId="77777777" w:rsidR="00C0073D" w:rsidRPr="00201E4F" w:rsidRDefault="004B7279" w:rsidP="00493FA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201E4F">
        <w:rPr>
          <w:rFonts w:eastAsia="Times New Roman" w:cs="Times New Roman"/>
          <w:sz w:val="24"/>
          <w:szCs w:val="24"/>
        </w:rPr>
        <w:t xml:space="preserve">Ministerstvo </w:t>
      </w:r>
      <w:r>
        <w:rPr>
          <w:rFonts w:eastAsia="Times New Roman" w:cs="Times New Roman"/>
          <w:sz w:val="24"/>
          <w:szCs w:val="24"/>
        </w:rPr>
        <w:t>financí</w:t>
      </w:r>
      <w:r w:rsidRPr="00201E4F">
        <w:rPr>
          <w:rFonts w:eastAsia="Times New Roman" w:cs="Times New Roman"/>
          <w:sz w:val="24"/>
          <w:szCs w:val="24"/>
        </w:rPr>
        <w:t xml:space="preserve"> (dále také „M</w:t>
      </w:r>
      <w:r>
        <w:rPr>
          <w:rFonts w:eastAsia="Times New Roman" w:cs="Times New Roman"/>
          <w:sz w:val="24"/>
          <w:szCs w:val="24"/>
        </w:rPr>
        <w:t>F“);</w:t>
      </w:r>
    </w:p>
    <w:p w14:paraId="7111F098" w14:textId="77777777" w:rsidR="00C0073D" w:rsidRDefault="004B7279" w:rsidP="00493FA8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Generální finanční ředitelství, Praha</w:t>
      </w:r>
      <w:r w:rsidRPr="00201E4F">
        <w:rPr>
          <w:rFonts w:eastAsia="Times New Roman" w:cs="Times New Roman"/>
          <w:sz w:val="24"/>
          <w:szCs w:val="24"/>
        </w:rPr>
        <w:t xml:space="preserve"> (dále také „</w:t>
      </w:r>
      <w:r>
        <w:rPr>
          <w:rFonts w:eastAsia="Times New Roman" w:cs="Times New Roman"/>
          <w:sz w:val="24"/>
          <w:szCs w:val="24"/>
        </w:rPr>
        <w:t xml:space="preserve">GFŘ“); </w:t>
      </w:r>
    </w:p>
    <w:p w14:paraId="5847E0EC" w14:textId="7CE19DFD" w:rsidR="00C0073D" w:rsidRDefault="004B7279" w:rsidP="00493FA8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Finanční úřad </w:t>
      </w:r>
      <w:r w:rsidRPr="00201E4F">
        <w:rPr>
          <w:rFonts w:eastAsia="Times New Roman" w:cs="Times New Roman"/>
          <w:sz w:val="24"/>
          <w:szCs w:val="24"/>
        </w:rPr>
        <w:t>(dále také „</w:t>
      </w:r>
      <w:r>
        <w:rPr>
          <w:rFonts w:eastAsia="Times New Roman" w:cs="Times New Roman"/>
          <w:sz w:val="24"/>
          <w:szCs w:val="24"/>
        </w:rPr>
        <w:t>FÚ“) pro hlavní město Prahu; FÚ pro Ústecký kraj, Ústí nad Labem; FÚ pro Jihočeský kraj, České Budějovice; FÚ pro Královéhradecký kraj, Hradec Králové; FÚ pro Olomoucký kraj, Olomouc; FÚ pro Jihomoravský kraj, Brno</w:t>
      </w:r>
      <w:r w:rsidR="00493FA8">
        <w:rPr>
          <w:rFonts w:eastAsia="Times New Roman" w:cs="Times New Roman"/>
          <w:sz w:val="24"/>
          <w:szCs w:val="24"/>
        </w:rPr>
        <w:t>;</w:t>
      </w:r>
      <w:r>
        <w:rPr>
          <w:rFonts w:eastAsia="Times New Roman" w:cs="Times New Roman"/>
          <w:sz w:val="24"/>
          <w:szCs w:val="24"/>
        </w:rPr>
        <w:t xml:space="preserve"> FÚ pro Moravskoslezský kraj, Ostrava.</w:t>
      </w:r>
    </w:p>
    <w:p w14:paraId="588CAAC1" w14:textId="77777777" w:rsidR="00C0073D" w:rsidRPr="009A4C31" w:rsidRDefault="004B7279" w:rsidP="00861893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9A4C31">
        <w:rPr>
          <w:rFonts w:eastAsia="Times New Roman" w:cs="Times New Roman"/>
          <w:sz w:val="24"/>
          <w:szCs w:val="24"/>
        </w:rPr>
        <w:t xml:space="preserve">Kontrola byla prováděna u kontrolovaných osob od června 2016 do března 2017. </w:t>
      </w:r>
    </w:p>
    <w:p w14:paraId="277F92F8" w14:textId="74341BE6" w:rsidR="00C0073D" w:rsidRPr="008802BC" w:rsidRDefault="004B7279" w:rsidP="00861893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8802BC">
        <w:rPr>
          <w:rFonts w:eastAsia="Times New Roman" w:cs="Times New Roman"/>
          <w:b/>
          <w:bCs/>
          <w:sz w:val="24"/>
          <w:szCs w:val="24"/>
        </w:rPr>
        <w:t xml:space="preserve">Kontrolováno bylo období </w:t>
      </w:r>
      <w:r>
        <w:rPr>
          <w:rFonts w:eastAsia="Times New Roman" w:cs="Times New Roman"/>
          <w:sz w:val="24"/>
          <w:szCs w:val="24"/>
        </w:rPr>
        <w:t>od roku 2012–</w:t>
      </w:r>
      <w:r w:rsidRPr="008802BC">
        <w:rPr>
          <w:rFonts w:eastAsia="Times New Roman" w:cs="Times New Roman"/>
          <w:sz w:val="24"/>
          <w:szCs w:val="24"/>
        </w:rPr>
        <w:t>2015</w:t>
      </w:r>
      <w:r w:rsidR="00493FA8">
        <w:rPr>
          <w:rFonts w:eastAsia="Times New Roman" w:cs="Times New Roman"/>
          <w:sz w:val="24"/>
          <w:szCs w:val="24"/>
        </w:rPr>
        <w:t>,</w:t>
      </w:r>
      <w:r w:rsidRPr="008802BC">
        <w:rPr>
          <w:rFonts w:eastAsia="Times New Roman" w:cs="Times New Roman"/>
          <w:sz w:val="24"/>
          <w:szCs w:val="24"/>
        </w:rPr>
        <w:t xml:space="preserve"> v případě věcných souvislostí i období předcházející </w:t>
      </w:r>
      <w:r w:rsidRPr="008802BC">
        <w:rPr>
          <w:rFonts w:cstheme="minorHAnsi"/>
          <w:sz w:val="24"/>
          <w:szCs w:val="24"/>
        </w:rPr>
        <w:t>a navazující.</w:t>
      </w:r>
    </w:p>
    <w:p w14:paraId="6435FA4D" w14:textId="7676E027" w:rsidR="00C0073D" w:rsidRDefault="004B7279" w:rsidP="00861893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201E4F">
        <w:rPr>
          <w:rFonts w:eastAsia="Times New Roman" w:cs="Times New Roman"/>
          <w:sz w:val="24"/>
          <w:szCs w:val="24"/>
        </w:rPr>
        <w:t>Námitky proti kontrolnímu protokolu, které podal</w:t>
      </w:r>
      <w:r w:rsidR="00493FA8">
        <w:rPr>
          <w:rFonts w:eastAsia="Times New Roman" w:cs="Times New Roman"/>
          <w:sz w:val="24"/>
          <w:szCs w:val="24"/>
        </w:rPr>
        <w:t>y</w:t>
      </w:r>
      <w:r>
        <w:rPr>
          <w:rFonts w:eastAsia="Times New Roman" w:cs="Times New Roman"/>
          <w:sz w:val="24"/>
          <w:szCs w:val="24"/>
        </w:rPr>
        <w:t xml:space="preserve"> GFŘ a MF</w:t>
      </w:r>
      <w:r w:rsidRPr="00201E4F">
        <w:rPr>
          <w:rFonts w:eastAsia="Times New Roman" w:cs="Times New Roman"/>
          <w:sz w:val="24"/>
          <w:szCs w:val="24"/>
        </w:rPr>
        <w:t>, byly vypořádány vedoucím</w:t>
      </w:r>
      <w:r>
        <w:rPr>
          <w:rFonts w:eastAsia="Times New Roman" w:cs="Times New Roman"/>
          <w:sz w:val="24"/>
          <w:szCs w:val="24"/>
        </w:rPr>
        <w:t>i skupin</w:t>
      </w:r>
      <w:r w:rsidRPr="00201E4F">
        <w:rPr>
          <w:rFonts w:eastAsia="Times New Roman" w:cs="Times New Roman"/>
          <w:sz w:val="24"/>
          <w:szCs w:val="24"/>
        </w:rPr>
        <w:t xml:space="preserve"> kontrolujících rozhodnutím</w:t>
      </w:r>
      <w:r>
        <w:rPr>
          <w:rFonts w:eastAsia="Times New Roman" w:cs="Times New Roman"/>
          <w:sz w:val="24"/>
          <w:szCs w:val="24"/>
        </w:rPr>
        <w:t>i</w:t>
      </w:r>
      <w:r w:rsidRPr="00201E4F">
        <w:rPr>
          <w:rFonts w:eastAsia="Times New Roman" w:cs="Times New Roman"/>
          <w:sz w:val="24"/>
          <w:szCs w:val="24"/>
        </w:rPr>
        <w:t xml:space="preserve"> o námitkách. Odvolání, které proti rozhodnutí o</w:t>
      </w:r>
      <w:r w:rsidR="00F7302C">
        <w:rPr>
          <w:rFonts w:eastAsia="Times New Roman" w:cs="Times New Roman"/>
          <w:sz w:val="24"/>
          <w:szCs w:val="24"/>
        </w:rPr>
        <w:t> </w:t>
      </w:r>
      <w:r w:rsidRPr="00201E4F">
        <w:rPr>
          <w:rFonts w:eastAsia="Times New Roman" w:cs="Times New Roman"/>
          <w:sz w:val="24"/>
          <w:szCs w:val="24"/>
        </w:rPr>
        <w:t>námitkách podalo M</w:t>
      </w:r>
      <w:r>
        <w:rPr>
          <w:rFonts w:eastAsia="Times New Roman" w:cs="Times New Roman"/>
          <w:sz w:val="24"/>
          <w:szCs w:val="24"/>
        </w:rPr>
        <w:t>F</w:t>
      </w:r>
      <w:r w:rsidRPr="00201E4F">
        <w:rPr>
          <w:rFonts w:eastAsia="Times New Roman" w:cs="Times New Roman"/>
          <w:sz w:val="24"/>
          <w:szCs w:val="24"/>
        </w:rPr>
        <w:t xml:space="preserve">, bylo vypořádáno usnesením Kolegia NKÚ. </w:t>
      </w:r>
    </w:p>
    <w:p w14:paraId="219F5213" w14:textId="77777777" w:rsidR="00F7302C" w:rsidRPr="00201E4F" w:rsidRDefault="00F7302C" w:rsidP="00861893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</w:p>
    <w:p w14:paraId="05D03D62" w14:textId="7F1E7351" w:rsidR="00C0073D" w:rsidRPr="008113B8" w:rsidRDefault="004B7279" w:rsidP="00861893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F7302C">
        <w:rPr>
          <w:rFonts w:eastAsia="Times New Roman" w:cs="Times New Roman"/>
          <w:b/>
          <w:bCs/>
          <w:i/>
          <w:iCs/>
          <w:spacing w:val="60"/>
          <w:sz w:val="24"/>
          <w:szCs w:val="24"/>
        </w:rPr>
        <w:t xml:space="preserve">Kolegium NKÚ </w:t>
      </w:r>
      <w:r w:rsidRPr="008113B8">
        <w:rPr>
          <w:rFonts w:eastAsia="Times New Roman" w:cs="Times New Roman"/>
          <w:sz w:val="24"/>
          <w:szCs w:val="24"/>
        </w:rPr>
        <w:t xml:space="preserve">na svém </w:t>
      </w:r>
      <w:r w:rsidR="00303295">
        <w:rPr>
          <w:rFonts w:eastAsia="Times New Roman" w:cs="Times New Roman"/>
          <w:sz w:val="24"/>
          <w:szCs w:val="24"/>
        </w:rPr>
        <w:t>XII</w:t>
      </w:r>
      <w:r w:rsidRPr="008113B8">
        <w:rPr>
          <w:rFonts w:eastAsia="Times New Roman" w:cs="Times New Roman"/>
          <w:sz w:val="24"/>
          <w:szCs w:val="24"/>
        </w:rPr>
        <w:t xml:space="preserve">. jednání, které se konalo dne </w:t>
      </w:r>
      <w:r w:rsidR="00303295">
        <w:rPr>
          <w:rFonts w:eastAsia="Times New Roman" w:cs="Times New Roman"/>
          <w:sz w:val="24"/>
          <w:szCs w:val="24"/>
        </w:rPr>
        <w:t xml:space="preserve">7. srpna </w:t>
      </w:r>
      <w:r w:rsidRPr="008113B8">
        <w:rPr>
          <w:rFonts w:eastAsia="Times New Roman" w:cs="Times New Roman"/>
          <w:sz w:val="24"/>
          <w:szCs w:val="24"/>
        </w:rPr>
        <w:t xml:space="preserve">2017, </w:t>
      </w:r>
    </w:p>
    <w:p w14:paraId="20CF912D" w14:textId="5332181C" w:rsidR="00C0073D" w:rsidRPr="008113B8" w:rsidRDefault="004B7279" w:rsidP="00861893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F7302C">
        <w:rPr>
          <w:rFonts w:eastAsia="Times New Roman" w:cs="Times New Roman"/>
          <w:b/>
          <w:bCs/>
          <w:i/>
          <w:iCs/>
          <w:spacing w:val="60"/>
          <w:sz w:val="24"/>
          <w:szCs w:val="24"/>
        </w:rPr>
        <w:t xml:space="preserve">schválilo </w:t>
      </w:r>
      <w:r w:rsidRPr="008113B8">
        <w:rPr>
          <w:rFonts w:eastAsia="Times New Roman" w:cs="Times New Roman"/>
          <w:sz w:val="24"/>
          <w:szCs w:val="24"/>
        </w:rPr>
        <w:t xml:space="preserve">usnesením č. </w:t>
      </w:r>
      <w:r w:rsidR="003071C3">
        <w:rPr>
          <w:rFonts w:eastAsia="Times New Roman" w:cs="Times New Roman"/>
          <w:sz w:val="24"/>
          <w:szCs w:val="24"/>
        </w:rPr>
        <w:t>9</w:t>
      </w:r>
      <w:r w:rsidRPr="008113B8">
        <w:rPr>
          <w:rFonts w:eastAsia="Times New Roman" w:cs="Times New Roman"/>
          <w:sz w:val="24"/>
          <w:szCs w:val="24"/>
        </w:rPr>
        <w:t>/</w:t>
      </w:r>
      <w:r w:rsidR="00303295">
        <w:rPr>
          <w:rFonts w:eastAsia="Times New Roman" w:cs="Times New Roman"/>
          <w:sz w:val="24"/>
          <w:szCs w:val="24"/>
        </w:rPr>
        <w:t>XII</w:t>
      </w:r>
      <w:r w:rsidRPr="008113B8">
        <w:rPr>
          <w:rFonts w:eastAsia="Times New Roman" w:cs="Times New Roman"/>
          <w:sz w:val="24"/>
          <w:szCs w:val="24"/>
        </w:rPr>
        <w:t xml:space="preserve">/2017 </w:t>
      </w:r>
    </w:p>
    <w:p w14:paraId="4F9EB61A" w14:textId="77777777" w:rsidR="00AD63AD" w:rsidRDefault="004B7279" w:rsidP="00861893">
      <w:pPr>
        <w:spacing w:before="120" w:after="120" w:line="240" w:lineRule="auto"/>
        <w:rPr>
          <w:rFonts w:eastAsia="Times New Roman" w:cs="Times New Roman"/>
          <w:sz w:val="24"/>
          <w:szCs w:val="24"/>
        </w:rPr>
      </w:pPr>
      <w:r w:rsidRPr="00F7302C">
        <w:rPr>
          <w:rFonts w:eastAsia="Times New Roman" w:cs="Times New Roman"/>
          <w:b/>
          <w:bCs/>
          <w:i/>
          <w:iCs/>
          <w:spacing w:val="60"/>
          <w:sz w:val="24"/>
          <w:szCs w:val="24"/>
        </w:rPr>
        <w:t xml:space="preserve">kontrolní závěr </w:t>
      </w:r>
      <w:r w:rsidRPr="00201E4F">
        <w:rPr>
          <w:rFonts w:eastAsia="Times New Roman" w:cs="Times New Roman"/>
          <w:sz w:val="24"/>
          <w:szCs w:val="24"/>
        </w:rPr>
        <w:t>v tomto znění:</w:t>
      </w:r>
    </w:p>
    <w:p w14:paraId="61F9FEB2" w14:textId="77777777" w:rsidR="00AD63AD" w:rsidRDefault="00AD63AD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14:paraId="04D46D25" w14:textId="64210642" w:rsidR="00C0073D" w:rsidRPr="00761462" w:rsidRDefault="004B7279" w:rsidP="00861893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761462">
        <w:rPr>
          <w:rFonts w:cstheme="minorHAnsi"/>
          <w:b/>
          <w:sz w:val="28"/>
          <w:szCs w:val="28"/>
        </w:rPr>
        <w:lastRenderedPageBreak/>
        <w:t>I. Úvod</w:t>
      </w:r>
    </w:p>
    <w:p w14:paraId="646BE5C7" w14:textId="77777777" w:rsidR="00C0073D" w:rsidRDefault="004B7279" w:rsidP="0086189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117958">
        <w:rPr>
          <w:rFonts w:cstheme="minorHAnsi"/>
          <w:b/>
          <w:sz w:val="24"/>
          <w:szCs w:val="24"/>
        </w:rPr>
        <w:t>Daň z příjmů fyzických osob</w:t>
      </w:r>
      <w:r w:rsidRPr="00117958">
        <w:rPr>
          <w:rFonts w:cstheme="minorHAnsi"/>
          <w:sz w:val="24"/>
          <w:szCs w:val="24"/>
        </w:rPr>
        <w:t xml:space="preserve"> (dále také „DPFO“) je daní přímou, upravenou společně s daní z příjmů právnických osob zákonem č. 586/1992 Sb., o dan</w:t>
      </w:r>
      <w:r w:rsidR="00CD3C3B">
        <w:rPr>
          <w:rFonts w:cstheme="minorHAnsi"/>
          <w:sz w:val="24"/>
          <w:szCs w:val="24"/>
        </w:rPr>
        <w:t>ích</w:t>
      </w:r>
      <w:r w:rsidRPr="00117958">
        <w:rPr>
          <w:rFonts w:cstheme="minorHAnsi"/>
          <w:sz w:val="24"/>
          <w:szCs w:val="24"/>
        </w:rPr>
        <w:t xml:space="preserve"> z příjmů (dále </w:t>
      </w:r>
      <w:r w:rsidR="000B70C5">
        <w:rPr>
          <w:rFonts w:cstheme="minorHAnsi"/>
          <w:sz w:val="24"/>
          <w:szCs w:val="24"/>
        </w:rPr>
        <w:t xml:space="preserve">také </w:t>
      </w:r>
      <w:r w:rsidRPr="00117958">
        <w:rPr>
          <w:rFonts w:cstheme="minorHAnsi"/>
          <w:sz w:val="24"/>
          <w:szCs w:val="24"/>
        </w:rPr>
        <w:t>„ZDP“). DPFO je daní sdílenou dle zákona č. 243/2000 Sb.,</w:t>
      </w:r>
      <w:r w:rsidR="007D558B">
        <w:rPr>
          <w:rFonts w:cstheme="minorHAnsi"/>
          <w:sz w:val="24"/>
          <w:szCs w:val="24"/>
        </w:rPr>
        <w:t xml:space="preserve"> </w:t>
      </w:r>
      <w:r w:rsidR="00BB0E66">
        <w:rPr>
          <w:rFonts w:cstheme="minorHAnsi"/>
          <w:sz w:val="24"/>
          <w:szCs w:val="24"/>
        </w:rPr>
        <w:t xml:space="preserve">o rozpočtovém určení výnosů některých daní územním samosprávným celkům a některým státním fondům (zákon o rozpočtovém určení daní), </w:t>
      </w:r>
      <w:r>
        <w:rPr>
          <w:rFonts w:cstheme="minorHAnsi"/>
          <w:sz w:val="24"/>
          <w:szCs w:val="24"/>
        </w:rPr>
        <w:t>který</w:t>
      </w:r>
      <w:r w:rsidRPr="00117958">
        <w:rPr>
          <w:rFonts w:cstheme="minorHAnsi"/>
          <w:sz w:val="24"/>
          <w:szCs w:val="24"/>
        </w:rPr>
        <w:t xml:space="preserve"> stanovuje poměr rozdělení výnosu daně mezi státní rozpočet a rozpočty územní. </w:t>
      </w:r>
    </w:p>
    <w:p w14:paraId="1A5AEC1F" w14:textId="2BAE25E2" w:rsidR="00C0073D" w:rsidRPr="00F7302C" w:rsidRDefault="004B7279" w:rsidP="00F7302C">
      <w:pPr>
        <w:tabs>
          <w:tab w:val="left" w:pos="4820"/>
        </w:tabs>
        <w:spacing w:after="240" w:line="276" w:lineRule="auto"/>
        <w:rPr>
          <w:rFonts w:cstheme="minorHAnsi"/>
          <w:b/>
          <w:spacing w:val="-10"/>
          <w:sz w:val="24"/>
          <w:szCs w:val="24"/>
        </w:rPr>
      </w:pPr>
      <w:r w:rsidRPr="00F7302C">
        <w:rPr>
          <w:rFonts w:cstheme="minorHAnsi"/>
          <w:b/>
          <w:spacing w:val="-10"/>
          <w:sz w:val="24"/>
          <w:szCs w:val="24"/>
        </w:rPr>
        <w:t xml:space="preserve">Graf č. </w:t>
      </w:r>
      <w:r w:rsidR="00B3080B" w:rsidRPr="00F7302C">
        <w:rPr>
          <w:rFonts w:cstheme="minorHAnsi"/>
          <w:b/>
          <w:i/>
          <w:spacing w:val="-10"/>
          <w:sz w:val="24"/>
          <w:szCs w:val="24"/>
        </w:rPr>
        <w:fldChar w:fldCharType="begin"/>
      </w:r>
      <w:r w:rsidRPr="00F7302C">
        <w:rPr>
          <w:rFonts w:cstheme="minorHAnsi"/>
          <w:b/>
          <w:spacing w:val="-10"/>
          <w:sz w:val="24"/>
          <w:szCs w:val="24"/>
        </w:rPr>
        <w:instrText xml:space="preserve"> SEQ Graf_č. \* ARABIC </w:instrText>
      </w:r>
      <w:r w:rsidR="00B3080B" w:rsidRPr="00F7302C">
        <w:rPr>
          <w:rFonts w:cstheme="minorHAnsi"/>
          <w:b/>
          <w:i/>
          <w:spacing w:val="-10"/>
          <w:sz w:val="24"/>
          <w:szCs w:val="24"/>
        </w:rPr>
        <w:fldChar w:fldCharType="separate"/>
      </w:r>
      <w:r w:rsidR="00506C27">
        <w:rPr>
          <w:rFonts w:cstheme="minorHAnsi"/>
          <w:b/>
          <w:noProof/>
          <w:spacing w:val="-10"/>
          <w:sz w:val="24"/>
          <w:szCs w:val="24"/>
        </w:rPr>
        <w:t>1</w:t>
      </w:r>
      <w:r w:rsidR="00B3080B" w:rsidRPr="00F7302C">
        <w:rPr>
          <w:rFonts w:cstheme="minorHAnsi"/>
          <w:b/>
          <w:i/>
          <w:spacing w:val="-10"/>
          <w:sz w:val="24"/>
          <w:szCs w:val="24"/>
        </w:rPr>
        <w:fldChar w:fldCharType="end"/>
      </w:r>
      <w:r w:rsidRPr="00F7302C">
        <w:rPr>
          <w:rFonts w:cstheme="minorHAnsi"/>
          <w:b/>
          <w:spacing w:val="-10"/>
          <w:sz w:val="24"/>
          <w:szCs w:val="24"/>
        </w:rPr>
        <w:t>: Inkaso DPFO a daňové bonusy</w:t>
      </w:r>
      <w:r w:rsidR="00F7302C" w:rsidRPr="00F7302C">
        <w:rPr>
          <w:rFonts w:cstheme="minorHAnsi"/>
          <w:b/>
          <w:spacing w:val="-10"/>
          <w:sz w:val="24"/>
          <w:szCs w:val="24"/>
        </w:rPr>
        <w:t xml:space="preserve"> </w:t>
      </w:r>
      <w:r w:rsidR="009E75BF">
        <w:rPr>
          <w:rFonts w:cstheme="minorHAnsi"/>
          <w:b/>
          <w:spacing w:val="-10"/>
          <w:sz w:val="24"/>
          <w:szCs w:val="24"/>
        </w:rPr>
        <w:t>(</w:t>
      </w:r>
      <w:r w:rsidR="00F7302C" w:rsidRPr="00F7302C">
        <w:rPr>
          <w:rFonts w:cstheme="minorHAnsi"/>
          <w:b/>
          <w:spacing w:val="-10"/>
          <w:sz w:val="24"/>
          <w:szCs w:val="24"/>
        </w:rPr>
        <w:t>v mld. Kč</w:t>
      </w:r>
      <w:r w:rsidR="009E75BF">
        <w:rPr>
          <w:rFonts w:cstheme="minorHAnsi"/>
          <w:b/>
          <w:spacing w:val="-10"/>
          <w:sz w:val="24"/>
          <w:szCs w:val="24"/>
        </w:rPr>
        <w:t>)</w:t>
      </w:r>
      <w:r w:rsidR="00F7302C" w:rsidRPr="00F7302C">
        <w:rPr>
          <w:rFonts w:cstheme="minorHAnsi"/>
          <w:b/>
          <w:spacing w:val="-10"/>
          <w:sz w:val="24"/>
          <w:szCs w:val="24"/>
        </w:rPr>
        <w:tab/>
      </w:r>
      <w:r w:rsidRPr="00F7302C">
        <w:rPr>
          <w:rFonts w:cstheme="minorHAnsi"/>
          <w:b/>
          <w:spacing w:val="-10"/>
          <w:sz w:val="24"/>
          <w:szCs w:val="24"/>
        </w:rPr>
        <w:t xml:space="preserve">Graf č. </w:t>
      </w:r>
      <w:r w:rsidR="00B3080B" w:rsidRPr="00F7302C">
        <w:rPr>
          <w:rFonts w:cstheme="minorHAnsi"/>
          <w:b/>
          <w:i/>
          <w:spacing w:val="-10"/>
          <w:sz w:val="24"/>
          <w:szCs w:val="24"/>
        </w:rPr>
        <w:fldChar w:fldCharType="begin"/>
      </w:r>
      <w:r w:rsidRPr="00F7302C">
        <w:rPr>
          <w:rFonts w:cstheme="minorHAnsi"/>
          <w:b/>
          <w:spacing w:val="-10"/>
          <w:sz w:val="24"/>
          <w:szCs w:val="24"/>
        </w:rPr>
        <w:instrText xml:space="preserve"> SEQ Graf_č. \* ARABIC </w:instrText>
      </w:r>
      <w:r w:rsidR="00B3080B" w:rsidRPr="00F7302C">
        <w:rPr>
          <w:rFonts w:cstheme="minorHAnsi"/>
          <w:b/>
          <w:i/>
          <w:spacing w:val="-10"/>
          <w:sz w:val="24"/>
          <w:szCs w:val="24"/>
        </w:rPr>
        <w:fldChar w:fldCharType="separate"/>
      </w:r>
      <w:r w:rsidR="00506C27">
        <w:rPr>
          <w:rFonts w:cstheme="minorHAnsi"/>
          <w:b/>
          <w:noProof/>
          <w:spacing w:val="-10"/>
          <w:sz w:val="24"/>
          <w:szCs w:val="24"/>
        </w:rPr>
        <w:t>2</w:t>
      </w:r>
      <w:r w:rsidR="00B3080B" w:rsidRPr="00F7302C">
        <w:rPr>
          <w:rFonts w:cstheme="minorHAnsi"/>
          <w:b/>
          <w:i/>
          <w:spacing w:val="-10"/>
          <w:sz w:val="24"/>
          <w:szCs w:val="24"/>
        </w:rPr>
        <w:fldChar w:fldCharType="end"/>
      </w:r>
      <w:r w:rsidRPr="00F7302C">
        <w:rPr>
          <w:rFonts w:cstheme="minorHAnsi"/>
          <w:b/>
          <w:spacing w:val="-10"/>
          <w:sz w:val="24"/>
          <w:szCs w:val="24"/>
        </w:rPr>
        <w:t xml:space="preserve">: Nedoplatky na DPFO </w:t>
      </w:r>
      <w:r w:rsidR="009E75BF">
        <w:rPr>
          <w:rFonts w:cstheme="minorHAnsi"/>
          <w:b/>
          <w:spacing w:val="-10"/>
          <w:sz w:val="24"/>
          <w:szCs w:val="24"/>
        </w:rPr>
        <w:t>(</w:t>
      </w:r>
      <w:r w:rsidRPr="00F7302C">
        <w:rPr>
          <w:rFonts w:cstheme="minorHAnsi"/>
          <w:b/>
          <w:spacing w:val="-10"/>
          <w:sz w:val="24"/>
          <w:szCs w:val="24"/>
        </w:rPr>
        <w:t>v mld. Kč</w:t>
      </w:r>
      <w:r w:rsidR="009E75BF">
        <w:rPr>
          <w:rFonts w:cstheme="minorHAnsi"/>
          <w:b/>
          <w:spacing w:val="-10"/>
          <w:sz w:val="24"/>
          <w:szCs w:val="24"/>
        </w:rPr>
        <w:t>)</w:t>
      </w:r>
      <w:r w:rsidR="0065281E" w:rsidRPr="00F7302C">
        <w:rPr>
          <w:rFonts w:cstheme="minorHAnsi"/>
          <w:b/>
          <w:spacing w:val="-10"/>
          <w:sz w:val="24"/>
          <w:szCs w:val="24"/>
        </w:rPr>
        <w:t xml:space="preserve"> </w:t>
      </w:r>
    </w:p>
    <w:p w14:paraId="60315F42" w14:textId="421710B9" w:rsidR="000749C8" w:rsidRDefault="00641B10" w:rsidP="0030799D">
      <w:pPr>
        <w:spacing w:after="240" w:line="276" w:lineRule="auto"/>
        <w:rPr>
          <w:rFonts w:cstheme="minorHAnsi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8D7A372" wp14:editId="027303BD">
            <wp:extent cx="5760240" cy="2400300"/>
            <wp:effectExtent l="0" t="0" r="0" b="0"/>
            <wp:docPr id="7" name="Obrázek 7" descr="C:\Users\navratilova\AppData\Local\Microsoft\Windows\Temporary Internet Files\Content.Word\Graf_1_celek_28.7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avratilova\AppData\Local\Microsoft\Windows\Temporary Internet Files\Content.Word\Graf_1_celek_28.7.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425" cy="2401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1929" w14:textId="49823213" w:rsidR="00C0073D" w:rsidRDefault="004B7279" w:rsidP="00C0073D">
      <w:pPr>
        <w:spacing w:before="240"/>
        <w:jc w:val="both"/>
        <w:rPr>
          <w:rFonts w:cstheme="minorHAnsi"/>
          <w:sz w:val="20"/>
          <w:szCs w:val="20"/>
        </w:rPr>
      </w:pPr>
      <w:r w:rsidRPr="00421528">
        <w:rPr>
          <w:rFonts w:cstheme="minorHAnsi"/>
          <w:b/>
          <w:sz w:val="20"/>
          <w:szCs w:val="20"/>
        </w:rPr>
        <w:t>Zdroj:</w:t>
      </w:r>
      <w:r w:rsidR="002F2BCD">
        <w:rPr>
          <w:rFonts w:cstheme="minorHAnsi"/>
          <w:sz w:val="20"/>
          <w:szCs w:val="20"/>
        </w:rPr>
        <w:t xml:space="preserve"> </w:t>
      </w:r>
      <w:r w:rsidR="009E75BF">
        <w:rPr>
          <w:rFonts w:cstheme="minorHAnsi"/>
          <w:sz w:val="20"/>
          <w:szCs w:val="20"/>
        </w:rPr>
        <w:t>d</w:t>
      </w:r>
      <w:r w:rsidR="002F2BCD">
        <w:rPr>
          <w:rFonts w:cstheme="minorHAnsi"/>
          <w:sz w:val="20"/>
          <w:szCs w:val="20"/>
        </w:rPr>
        <w:t>ata z GFŘ.</w:t>
      </w:r>
    </w:p>
    <w:p w14:paraId="69CF00B3" w14:textId="6B7A1384" w:rsidR="00C0073D" w:rsidRDefault="004B7279" w:rsidP="00861893">
      <w:pPr>
        <w:spacing w:before="120" w:after="120" w:line="240" w:lineRule="auto"/>
        <w:jc w:val="both"/>
        <w:rPr>
          <w:sz w:val="24"/>
          <w:szCs w:val="24"/>
        </w:rPr>
      </w:pPr>
      <w:r w:rsidRPr="00CE389D">
        <w:rPr>
          <w:sz w:val="24"/>
          <w:szCs w:val="24"/>
        </w:rPr>
        <w:t>Inkaso DPFO</w:t>
      </w:r>
      <w:r w:rsidR="00493FA8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493FA8">
        <w:rPr>
          <w:sz w:val="24"/>
          <w:szCs w:val="24"/>
        </w:rPr>
        <w:t> </w:t>
      </w:r>
      <w:r w:rsidRPr="00CE389D">
        <w:rPr>
          <w:sz w:val="24"/>
          <w:szCs w:val="24"/>
        </w:rPr>
        <w:t xml:space="preserve">kontrolovaném období </w:t>
      </w:r>
      <w:r>
        <w:rPr>
          <w:sz w:val="24"/>
          <w:szCs w:val="24"/>
        </w:rPr>
        <w:t xml:space="preserve">rostlo. </w:t>
      </w:r>
      <w:r w:rsidR="00C6735F" w:rsidRPr="00C6735F">
        <w:rPr>
          <w:rFonts w:eastAsia="Times New Roman" w:cstheme="minorHAnsi"/>
          <w:sz w:val="24"/>
          <w:szCs w:val="24"/>
        </w:rPr>
        <w:t>Na jeho celkovou výši měl vliv vývoj objemu vyplacených mezd, postupné zvyšování minimální mzdy, zavádění legislativních změn a oživení ekonomiky.</w:t>
      </w:r>
      <w:r w:rsidR="009A2822">
        <w:rPr>
          <w:rFonts w:eastAsia="Times New Roman" w:cstheme="minorHAnsi"/>
          <w:sz w:val="24"/>
          <w:szCs w:val="24"/>
        </w:rPr>
        <w:t xml:space="preserve"> </w:t>
      </w:r>
      <w:r w:rsidR="00C6735F">
        <w:rPr>
          <w:sz w:val="24"/>
          <w:szCs w:val="24"/>
        </w:rPr>
        <w:t>S</w:t>
      </w:r>
      <w:r>
        <w:rPr>
          <w:sz w:val="24"/>
          <w:szCs w:val="24"/>
        </w:rPr>
        <w:t>nižování výše nedoplatků DPFO byl</w:t>
      </w:r>
      <w:r w:rsidR="00C6735F">
        <w:rPr>
          <w:sz w:val="24"/>
          <w:szCs w:val="24"/>
        </w:rPr>
        <w:t>o</w:t>
      </w:r>
      <w:r>
        <w:rPr>
          <w:sz w:val="24"/>
          <w:szCs w:val="24"/>
        </w:rPr>
        <w:t xml:space="preserve"> způsoben</w:t>
      </w:r>
      <w:r w:rsidR="00AF2799">
        <w:rPr>
          <w:sz w:val="24"/>
          <w:szCs w:val="24"/>
        </w:rPr>
        <w:t>o</w:t>
      </w:r>
      <w:r>
        <w:rPr>
          <w:sz w:val="24"/>
          <w:szCs w:val="24"/>
        </w:rPr>
        <w:t xml:space="preserve"> především jejich odpisováním.</w:t>
      </w:r>
    </w:p>
    <w:p w14:paraId="455AC5D1" w14:textId="013B1964" w:rsidR="007457D0" w:rsidRDefault="0083084A" w:rsidP="00861893">
      <w:pPr>
        <w:spacing w:before="120" w:after="12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Předmětem</w:t>
      </w:r>
      <w:r w:rsidRPr="00D55B7C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4B7279" w:rsidRPr="00D55B7C">
        <w:rPr>
          <w:rFonts w:ascii="Calibri" w:eastAsia="Times New Roman" w:hAnsi="Calibri" w:cs="Calibri"/>
          <w:b/>
          <w:sz w:val="24"/>
          <w:szCs w:val="24"/>
        </w:rPr>
        <w:t xml:space="preserve">DPFO </w:t>
      </w:r>
      <w:r>
        <w:rPr>
          <w:rFonts w:ascii="Calibri" w:eastAsia="Times New Roman" w:hAnsi="Calibri" w:cs="Calibri"/>
          <w:sz w:val="24"/>
          <w:szCs w:val="24"/>
        </w:rPr>
        <w:t>jsou</w:t>
      </w:r>
      <w:r w:rsidRPr="00D654B3">
        <w:rPr>
          <w:rFonts w:ascii="Calibri" w:eastAsia="Times New Roman" w:hAnsi="Calibri" w:cs="Calibri"/>
          <w:sz w:val="24"/>
          <w:szCs w:val="24"/>
        </w:rPr>
        <w:t xml:space="preserve"> </w:t>
      </w:r>
      <w:r w:rsidR="004B7279" w:rsidRPr="00D654B3">
        <w:rPr>
          <w:rFonts w:ascii="Calibri" w:eastAsia="Times New Roman" w:hAnsi="Calibri" w:cs="Calibri"/>
          <w:sz w:val="24"/>
          <w:szCs w:val="24"/>
        </w:rPr>
        <w:t xml:space="preserve">příjmy ze závislé činnosti, ze samostatné činnosti, z kapitálového majetku, </w:t>
      </w:r>
      <w:r w:rsidR="004B7279">
        <w:rPr>
          <w:rFonts w:ascii="Calibri" w:eastAsia="Times New Roman" w:hAnsi="Calibri" w:cs="Calibri"/>
          <w:sz w:val="24"/>
          <w:szCs w:val="24"/>
        </w:rPr>
        <w:t xml:space="preserve">z nájmu nebo ostatní příjmy. </w:t>
      </w:r>
      <w:r w:rsidR="004B7279" w:rsidRPr="00D654B3">
        <w:rPr>
          <w:rFonts w:ascii="Calibri" w:eastAsia="Times New Roman" w:hAnsi="Calibri" w:cs="Calibri"/>
          <w:sz w:val="24"/>
          <w:szCs w:val="24"/>
        </w:rPr>
        <w:t xml:space="preserve">Nezdanitelné části základu daně </w:t>
      </w:r>
      <w:r w:rsidR="004B7279">
        <w:rPr>
          <w:rFonts w:ascii="Calibri" w:eastAsia="Times New Roman" w:hAnsi="Calibri" w:cs="Calibri"/>
          <w:sz w:val="24"/>
          <w:szCs w:val="24"/>
        </w:rPr>
        <w:t>(dále také „od</w:t>
      </w:r>
      <w:r w:rsidR="00DA02ED">
        <w:rPr>
          <w:rFonts w:ascii="Calibri" w:eastAsia="Times New Roman" w:hAnsi="Calibri" w:cs="Calibri"/>
          <w:sz w:val="24"/>
          <w:szCs w:val="24"/>
        </w:rPr>
        <w:t>po</w:t>
      </w:r>
      <w:r w:rsidR="004B7279">
        <w:rPr>
          <w:rFonts w:ascii="Calibri" w:eastAsia="Times New Roman" w:hAnsi="Calibri" w:cs="Calibri"/>
          <w:sz w:val="24"/>
          <w:szCs w:val="24"/>
        </w:rPr>
        <w:t xml:space="preserve">čitatelné položky“) </w:t>
      </w:r>
      <w:r w:rsidR="004B7279" w:rsidRPr="00D654B3">
        <w:rPr>
          <w:rFonts w:ascii="Calibri" w:eastAsia="Times New Roman" w:hAnsi="Calibri" w:cs="Calibri"/>
          <w:sz w:val="24"/>
          <w:szCs w:val="24"/>
        </w:rPr>
        <w:t xml:space="preserve">jsou </w:t>
      </w:r>
      <w:r w:rsidR="00F33C81">
        <w:rPr>
          <w:rFonts w:ascii="Calibri" w:eastAsia="Times New Roman" w:hAnsi="Calibri" w:cs="Calibri"/>
          <w:sz w:val="24"/>
          <w:szCs w:val="24"/>
        </w:rPr>
        <w:t>položky</w:t>
      </w:r>
      <w:r w:rsidR="00F33C81" w:rsidRPr="00D654B3">
        <w:rPr>
          <w:rFonts w:ascii="Calibri" w:eastAsia="Times New Roman" w:hAnsi="Calibri" w:cs="Calibri"/>
          <w:sz w:val="24"/>
          <w:szCs w:val="24"/>
        </w:rPr>
        <w:t xml:space="preserve"> </w:t>
      </w:r>
      <w:r w:rsidR="004B7279" w:rsidRPr="00D654B3">
        <w:rPr>
          <w:rFonts w:ascii="Calibri" w:eastAsia="Times New Roman" w:hAnsi="Calibri" w:cs="Calibri"/>
          <w:sz w:val="24"/>
          <w:szCs w:val="24"/>
        </w:rPr>
        <w:t xml:space="preserve">snižující základ daně, které mají za úkol stimulovat </w:t>
      </w:r>
      <w:r w:rsidR="00F33C81">
        <w:rPr>
          <w:rFonts w:ascii="Calibri" w:eastAsia="Times New Roman" w:hAnsi="Calibri" w:cs="Calibri"/>
          <w:sz w:val="24"/>
          <w:szCs w:val="24"/>
        </w:rPr>
        <w:t xml:space="preserve">poplatníky daně </w:t>
      </w:r>
      <w:r w:rsidR="004B7279" w:rsidRPr="00D654B3">
        <w:rPr>
          <w:rFonts w:ascii="Calibri" w:eastAsia="Times New Roman" w:hAnsi="Calibri" w:cs="Calibri"/>
          <w:sz w:val="24"/>
          <w:szCs w:val="24"/>
        </w:rPr>
        <w:t>k jednání, které je celospoleče</w:t>
      </w:r>
      <w:r w:rsidR="004B7279">
        <w:rPr>
          <w:rFonts w:ascii="Calibri" w:eastAsia="Times New Roman" w:hAnsi="Calibri" w:cs="Calibri"/>
          <w:sz w:val="24"/>
          <w:szCs w:val="24"/>
        </w:rPr>
        <w:t>nsky žádoucí. Jedná se např.</w:t>
      </w:r>
      <w:r w:rsidR="004B7279" w:rsidRPr="00D654B3">
        <w:rPr>
          <w:rFonts w:ascii="Calibri" w:eastAsia="Times New Roman" w:hAnsi="Calibri" w:cs="Calibri"/>
          <w:sz w:val="24"/>
          <w:szCs w:val="24"/>
        </w:rPr>
        <w:t xml:space="preserve"> o </w:t>
      </w:r>
      <w:r w:rsidR="00516850">
        <w:rPr>
          <w:rFonts w:ascii="Calibri" w:eastAsia="Times New Roman" w:hAnsi="Calibri" w:cs="Calibri"/>
          <w:sz w:val="24"/>
          <w:szCs w:val="24"/>
        </w:rPr>
        <w:t xml:space="preserve">hodnotu </w:t>
      </w:r>
      <w:r w:rsidR="004B7279" w:rsidRPr="00D654B3">
        <w:rPr>
          <w:rFonts w:ascii="Calibri" w:eastAsia="Times New Roman" w:hAnsi="Calibri" w:cs="Calibri"/>
          <w:sz w:val="24"/>
          <w:szCs w:val="24"/>
        </w:rPr>
        <w:t>dar</w:t>
      </w:r>
      <w:r w:rsidR="00516850">
        <w:rPr>
          <w:rFonts w:ascii="Calibri" w:eastAsia="Times New Roman" w:hAnsi="Calibri" w:cs="Calibri"/>
          <w:sz w:val="24"/>
          <w:szCs w:val="24"/>
        </w:rPr>
        <w:t>ů</w:t>
      </w:r>
      <w:r w:rsidR="004B7279" w:rsidRPr="00D654B3">
        <w:rPr>
          <w:rFonts w:ascii="Calibri" w:eastAsia="Times New Roman" w:hAnsi="Calibri" w:cs="Calibri"/>
          <w:sz w:val="24"/>
          <w:szCs w:val="24"/>
        </w:rPr>
        <w:t xml:space="preserve"> ve prospěch veřejně prospěšných organizací, úrok</w:t>
      </w:r>
      <w:r w:rsidR="00516850">
        <w:rPr>
          <w:rFonts w:ascii="Calibri" w:eastAsia="Times New Roman" w:hAnsi="Calibri" w:cs="Calibri"/>
          <w:sz w:val="24"/>
          <w:szCs w:val="24"/>
        </w:rPr>
        <w:t>ů</w:t>
      </w:r>
      <w:r w:rsidR="004B7279" w:rsidRPr="00D654B3">
        <w:rPr>
          <w:rFonts w:ascii="Calibri" w:eastAsia="Times New Roman" w:hAnsi="Calibri" w:cs="Calibri"/>
          <w:sz w:val="24"/>
          <w:szCs w:val="24"/>
        </w:rPr>
        <w:t xml:space="preserve"> z úvěrů na bytové potřeby, pojistné</w:t>
      </w:r>
      <w:r w:rsidR="00516850">
        <w:rPr>
          <w:rFonts w:ascii="Calibri" w:eastAsia="Times New Roman" w:hAnsi="Calibri" w:cs="Calibri"/>
          <w:sz w:val="24"/>
          <w:szCs w:val="24"/>
        </w:rPr>
        <w:t>ho</w:t>
      </w:r>
      <w:r w:rsidR="004B7279" w:rsidRPr="00D654B3">
        <w:rPr>
          <w:rFonts w:ascii="Calibri" w:eastAsia="Times New Roman" w:hAnsi="Calibri" w:cs="Calibri"/>
          <w:sz w:val="24"/>
          <w:szCs w:val="24"/>
        </w:rPr>
        <w:t xml:space="preserve"> na soukromé životní </w:t>
      </w:r>
      <w:r w:rsidR="004B7279">
        <w:rPr>
          <w:rFonts w:ascii="Calibri" w:eastAsia="Times New Roman" w:hAnsi="Calibri" w:cs="Calibri"/>
          <w:sz w:val="24"/>
          <w:szCs w:val="24"/>
        </w:rPr>
        <w:t xml:space="preserve">nebo penzijní </w:t>
      </w:r>
      <w:r w:rsidR="004B7279" w:rsidRPr="00D654B3">
        <w:rPr>
          <w:rFonts w:ascii="Calibri" w:eastAsia="Times New Roman" w:hAnsi="Calibri" w:cs="Calibri"/>
          <w:sz w:val="24"/>
          <w:szCs w:val="24"/>
        </w:rPr>
        <w:t>poji</w:t>
      </w:r>
      <w:r w:rsidR="004B7279">
        <w:rPr>
          <w:rFonts w:ascii="Calibri" w:eastAsia="Times New Roman" w:hAnsi="Calibri" w:cs="Calibri"/>
          <w:sz w:val="24"/>
          <w:szCs w:val="24"/>
        </w:rPr>
        <w:t>štění</w:t>
      </w:r>
      <w:r w:rsidR="004B7279" w:rsidRPr="00D654B3">
        <w:rPr>
          <w:rFonts w:ascii="Calibri" w:eastAsia="Times New Roman" w:hAnsi="Calibri" w:cs="Calibri"/>
          <w:sz w:val="24"/>
          <w:szCs w:val="24"/>
        </w:rPr>
        <w:t>. Prvky snižujícími výslednou daňovou povinnost jsou slevy na dani (sleva na poplatníka,</w:t>
      </w:r>
      <w:r w:rsidR="009E5BB0">
        <w:rPr>
          <w:rFonts w:ascii="Calibri" w:eastAsia="Times New Roman" w:hAnsi="Calibri" w:cs="Calibri"/>
          <w:sz w:val="24"/>
          <w:szCs w:val="24"/>
        </w:rPr>
        <w:t xml:space="preserve"> </w:t>
      </w:r>
      <w:r w:rsidR="004B7279" w:rsidRPr="00D654B3">
        <w:rPr>
          <w:rFonts w:ascii="Calibri" w:eastAsia="Times New Roman" w:hAnsi="Calibri" w:cs="Calibri"/>
          <w:sz w:val="24"/>
          <w:szCs w:val="24"/>
        </w:rPr>
        <w:t>na manželku/la, na invaliditu, na studenta a za umístění dítěte</w:t>
      </w:r>
      <w:r w:rsidR="005B68C7">
        <w:rPr>
          <w:rFonts w:ascii="Calibri" w:eastAsia="Times New Roman" w:hAnsi="Calibri" w:cs="Calibri"/>
          <w:sz w:val="24"/>
          <w:szCs w:val="24"/>
        </w:rPr>
        <w:t xml:space="preserve"> do zařízen</w:t>
      </w:r>
      <w:r w:rsidR="00E54F3A">
        <w:rPr>
          <w:rFonts w:ascii="Calibri" w:eastAsia="Times New Roman" w:hAnsi="Calibri" w:cs="Calibri"/>
          <w:sz w:val="24"/>
          <w:szCs w:val="24"/>
        </w:rPr>
        <w:t>í péče o děti předškolního věku</w:t>
      </w:r>
      <w:r w:rsidR="004B7279" w:rsidRPr="00D654B3">
        <w:rPr>
          <w:rFonts w:ascii="Calibri" w:eastAsia="Times New Roman" w:hAnsi="Calibri" w:cs="Calibri"/>
          <w:sz w:val="24"/>
          <w:szCs w:val="24"/>
        </w:rPr>
        <w:t xml:space="preserve">) a daňové zvýhodnění na děti. </w:t>
      </w:r>
      <w:r w:rsidR="004B7279">
        <w:rPr>
          <w:rFonts w:ascii="Calibri" w:eastAsia="Times New Roman" w:hAnsi="Calibri" w:cs="Calibri"/>
          <w:sz w:val="24"/>
          <w:szCs w:val="24"/>
        </w:rPr>
        <w:t xml:space="preserve">Při uplatnění daňového zvýhodnění může daňová povinnost dosáhnout záporné hodnoty, kterou správce daně vyplácí ve formě tzv. daňového bonusu. </w:t>
      </w:r>
    </w:p>
    <w:p w14:paraId="4663C741" w14:textId="0AE69E8D" w:rsidR="00C0073D" w:rsidRPr="0000115B" w:rsidRDefault="004B7279" w:rsidP="00861893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691D79">
        <w:rPr>
          <w:rFonts w:ascii="Calibri" w:eastAsia="Times New Roman" w:hAnsi="Calibri" w:cs="Calibri"/>
          <w:b/>
          <w:sz w:val="24"/>
          <w:szCs w:val="24"/>
        </w:rPr>
        <w:t>Daň</w:t>
      </w:r>
      <w:r w:rsidRPr="00D654B3">
        <w:rPr>
          <w:rFonts w:ascii="Calibri" w:eastAsia="Times New Roman" w:hAnsi="Calibri" w:cs="Calibri"/>
          <w:sz w:val="24"/>
          <w:szCs w:val="24"/>
        </w:rPr>
        <w:t xml:space="preserve"> naopak</w:t>
      </w:r>
      <w:r w:rsidR="00CA44AE">
        <w:rPr>
          <w:rFonts w:ascii="Calibri" w:eastAsia="Times New Roman" w:hAnsi="Calibri" w:cs="Calibri"/>
          <w:sz w:val="24"/>
          <w:szCs w:val="24"/>
        </w:rPr>
        <w:t xml:space="preserve"> zvyšuje solidární zvýšení daně</w:t>
      </w:r>
      <w:r w:rsidR="008F42FE">
        <w:rPr>
          <w:rFonts w:ascii="Calibri" w:eastAsia="Times New Roman" w:hAnsi="Calibri" w:cs="Calibri"/>
          <w:sz w:val="24"/>
          <w:szCs w:val="24"/>
        </w:rPr>
        <w:t xml:space="preserve">, které činí </w:t>
      </w:r>
      <w:r w:rsidRPr="00D654B3">
        <w:rPr>
          <w:rFonts w:ascii="Calibri" w:eastAsia="Times New Roman" w:hAnsi="Calibri" w:cs="Calibri"/>
          <w:sz w:val="24"/>
          <w:szCs w:val="24"/>
        </w:rPr>
        <w:t>7 %</w:t>
      </w:r>
      <w:r w:rsidR="003473CA">
        <w:rPr>
          <w:rFonts w:ascii="Calibri" w:eastAsia="Times New Roman" w:hAnsi="Calibri" w:cs="Calibri"/>
          <w:sz w:val="24"/>
          <w:szCs w:val="24"/>
        </w:rPr>
        <w:t xml:space="preserve"> </w:t>
      </w:r>
      <w:r w:rsidRPr="00970E19">
        <w:rPr>
          <w:rFonts w:eastAsia="Times New Roman" w:cs="Times New Roman"/>
          <w:sz w:val="24"/>
          <w:szCs w:val="24"/>
        </w:rPr>
        <w:t>z částky přesahující 48násobek průměrné mzdy</w:t>
      </w:r>
      <w:r w:rsidR="00B73E0C">
        <w:rPr>
          <w:rStyle w:val="Znakapoznpodarou"/>
          <w:rFonts w:eastAsia="Times New Roman" w:cs="Times New Roman"/>
          <w:sz w:val="24"/>
          <w:szCs w:val="24"/>
        </w:rPr>
        <w:footnoteReference w:id="2"/>
      </w:r>
      <w:r w:rsidRPr="00970E19">
        <w:rPr>
          <w:rFonts w:eastAsia="Times New Roman" w:cs="Times New Roman"/>
          <w:sz w:val="24"/>
          <w:szCs w:val="24"/>
        </w:rPr>
        <w:t xml:space="preserve"> ve zdaňovacím období.</w:t>
      </w:r>
    </w:p>
    <w:p w14:paraId="7CDFEAC4" w14:textId="667420B4" w:rsidR="00C0073D" w:rsidRDefault="004B7279" w:rsidP="00C0073D">
      <w:pPr>
        <w:pStyle w:val="Titulek"/>
        <w:keepNext/>
        <w:rPr>
          <w:rFonts w:cstheme="minorHAnsi"/>
          <w:b/>
          <w:i w:val="0"/>
          <w:color w:val="auto"/>
          <w:sz w:val="24"/>
          <w:szCs w:val="24"/>
        </w:rPr>
      </w:pPr>
      <w:r w:rsidRPr="00117958">
        <w:rPr>
          <w:b/>
          <w:i w:val="0"/>
          <w:color w:val="auto"/>
          <w:sz w:val="24"/>
          <w:szCs w:val="24"/>
        </w:rPr>
        <w:lastRenderedPageBreak/>
        <w:t xml:space="preserve">Schéma č. </w:t>
      </w:r>
      <w:r w:rsidR="00B3080B" w:rsidRPr="00117958">
        <w:rPr>
          <w:b/>
          <w:i w:val="0"/>
          <w:color w:val="auto"/>
          <w:sz w:val="24"/>
          <w:szCs w:val="24"/>
        </w:rPr>
        <w:fldChar w:fldCharType="begin"/>
      </w:r>
      <w:r w:rsidRPr="00117958">
        <w:rPr>
          <w:b/>
          <w:i w:val="0"/>
          <w:color w:val="auto"/>
          <w:sz w:val="24"/>
          <w:szCs w:val="24"/>
        </w:rPr>
        <w:instrText xml:space="preserve"> SEQ Schéma_č. \* ARABIC </w:instrText>
      </w:r>
      <w:r w:rsidR="00B3080B" w:rsidRPr="00117958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1</w:t>
      </w:r>
      <w:r w:rsidR="00B3080B" w:rsidRPr="00117958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>:</w:t>
      </w:r>
      <w:r w:rsidR="003473CA">
        <w:rPr>
          <w:b/>
          <w:i w:val="0"/>
          <w:color w:val="auto"/>
          <w:sz w:val="24"/>
          <w:szCs w:val="24"/>
        </w:rPr>
        <w:t xml:space="preserve"> </w:t>
      </w:r>
      <w:r>
        <w:rPr>
          <w:b/>
          <w:i w:val="0"/>
          <w:color w:val="auto"/>
          <w:sz w:val="24"/>
          <w:szCs w:val="24"/>
        </w:rPr>
        <w:t>Schéma k</w:t>
      </w:r>
      <w:r w:rsidRPr="00117958">
        <w:rPr>
          <w:rFonts w:cstheme="minorHAnsi"/>
          <w:b/>
          <w:i w:val="0"/>
          <w:color w:val="auto"/>
          <w:sz w:val="24"/>
          <w:szCs w:val="24"/>
        </w:rPr>
        <w:t>onstrukce daně</w:t>
      </w:r>
    </w:p>
    <w:p w14:paraId="353E5F75" w14:textId="77777777" w:rsidR="00C0073D" w:rsidRPr="00AF786C" w:rsidRDefault="004B7279" w:rsidP="00C0073D">
      <w:pPr>
        <w:spacing w:before="240" w:after="0"/>
        <w:jc w:val="both"/>
      </w:pPr>
      <w:r>
        <w:rPr>
          <w:noProof/>
          <w:lang w:eastAsia="cs-CZ"/>
        </w:rPr>
        <w:drawing>
          <wp:inline distT="0" distB="0" distL="0" distR="0" wp14:anchorId="121BB55A" wp14:editId="4C090746">
            <wp:extent cx="5760720" cy="2830360"/>
            <wp:effectExtent l="0" t="0" r="0" b="8255"/>
            <wp:docPr id="13" name="Obrázek 13" descr="C:\Users\navratilova\AppData\Local\Microsoft\Windows\Temporary Internet Files\Content.Word\Schéma_1B_14.6.velká bublina se šipko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779997" name="Picture 206" descr="C:\Users\navratilova\AppData\Local\Microsoft\Windows\Temporary Internet Files\Content.Word\Schéma_1B_14.6.velká bublina se šipkou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3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0E7E4" w14:textId="454BA650" w:rsidR="00C0073D" w:rsidRPr="00861893" w:rsidRDefault="004B7279" w:rsidP="00861893">
      <w:pPr>
        <w:spacing w:before="40" w:after="0" w:line="240" w:lineRule="auto"/>
        <w:rPr>
          <w:sz w:val="20"/>
        </w:rPr>
      </w:pPr>
      <w:r w:rsidRPr="00861893">
        <w:rPr>
          <w:b/>
          <w:sz w:val="20"/>
        </w:rPr>
        <w:t>Zdroj:</w:t>
      </w:r>
      <w:r w:rsidR="007F5C1F" w:rsidRPr="00861893">
        <w:rPr>
          <w:sz w:val="20"/>
        </w:rPr>
        <w:t xml:space="preserve"> ZDP</w:t>
      </w:r>
      <w:r w:rsidRPr="00861893">
        <w:rPr>
          <w:sz w:val="20"/>
        </w:rPr>
        <w:t>, vlastní zpracování NKÚ.</w:t>
      </w:r>
    </w:p>
    <w:p w14:paraId="332CEE3F" w14:textId="77777777" w:rsidR="00C0073D" w:rsidRPr="00117958" w:rsidRDefault="004B7279" w:rsidP="00861893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117958">
        <w:rPr>
          <w:rFonts w:cstheme="minorHAnsi"/>
          <w:sz w:val="24"/>
          <w:szCs w:val="24"/>
        </w:rPr>
        <w:t>V letech 201</w:t>
      </w:r>
      <w:r>
        <w:rPr>
          <w:rFonts w:cstheme="minorHAnsi"/>
          <w:sz w:val="24"/>
          <w:szCs w:val="24"/>
        </w:rPr>
        <w:t>2–2015 došlo v oblasti DPFO ke změnám</w:t>
      </w:r>
      <w:r w:rsidRPr="00117958">
        <w:rPr>
          <w:rFonts w:cstheme="minorHAnsi"/>
          <w:sz w:val="24"/>
          <w:szCs w:val="24"/>
        </w:rPr>
        <w:t xml:space="preserve"> ZDP, kterými bylo mj.</w:t>
      </w:r>
      <w:r>
        <w:rPr>
          <w:rFonts w:cstheme="minorHAnsi"/>
          <w:sz w:val="24"/>
          <w:szCs w:val="24"/>
        </w:rPr>
        <w:t xml:space="preserve"> zavedeno</w:t>
      </w:r>
      <w:r w:rsidRPr="00117958">
        <w:rPr>
          <w:rFonts w:cstheme="minorHAnsi"/>
          <w:sz w:val="24"/>
          <w:szCs w:val="24"/>
        </w:rPr>
        <w:t>:</w:t>
      </w:r>
    </w:p>
    <w:p w14:paraId="5DBCA740" w14:textId="77777777" w:rsidR="00C0073D" w:rsidRPr="00117958" w:rsidRDefault="004B7279" w:rsidP="005F2BBF">
      <w:pPr>
        <w:pStyle w:val="Odstavecseseznamem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117958">
        <w:rPr>
          <w:rFonts w:cstheme="minorHAnsi"/>
          <w:sz w:val="24"/>
          <w:szCs w:val="24"/>
        </w:rPr>
        <w:t xml:space="preserve">solidární zvýšení daně, omezení </w:t>
      </w:r>
      <w:r w:rsidR="005A11D8">
        <w:rPr>
          <w:rFonts w:cstheme="minorHAnsi"/>
          <w:sz w:val="24"/>
          <w:szCs w:val="24"/>
        </w:rPr>
        <w:t xml:space="preserve">maximálních částek </w:t>
      </w:r>
      <w:r w:rsidR="006527ED">
        <w:rPr>
          <w:rFonts w:cstheme="minorHAnsi"/>
          <w:sz w:val="24"/>
          <w:szCs w:val="24"/>
        </w:rPr>
        <w:t xml:space="preserve">výdajů </w:t>
      </w:r>
      <w:r w:rsidR="005A11D8">
        <w:rPr>
          <w:rFonts w:cstheme="minorHAnsi"/>
          <w:sz w:val="24"/>
          <w:szCs w:val="24"/>
        </w:rPr>
        <w:t>uplatňovaných</w:t>
      </w:r>
      <w:r w:rsidRPr="00117958">
        <w:rPr>
          <w:rFonts w:cstheme="minorHAnsi"/>
          <w:sz w:val="24"/>
          <w:szCs w:val="24"/>
        </w:rPr>
        <w:t xml:space="preserve"> procentem z příjmů a </w:t>
      </w:r>
      <w:r w:rsidR="005A11D8">
        <w:rPr>
          <w:rFonts w:cstheme="minorHAnsi"/>
          <w:sz w:val="24"/>
          <w:szCs w:val="24"/>
        </w:rPr>
        <w:t>nemožnost</w:t>
      </w:r>
      <w:r w:rsidR="005A11D8" w:rsidRPr="00117958">
        <w:rPr>
          <w:rFonts w:cstheme="minorHAnsi"/>
          <w:sz w:val="24"/>
          <w:szCs w:val="24"/>
        </w:rPr>
        <w:t xml:space="preserve"> </w:t>
      </w:r>
      <w:r w:rsidRPr="00117958">
        <w:rPr>
          <w:rFonts w:cstheme="minorHAnsi"/>
          <w:sz w:val="24"/>
          <w:szCs w:val="24"/>
        </w:rPr>
        <w:t xml:space="preserve">uplatnění </w:t>
      </w:r>
      <w:r w:rsidR="005A11D8">
        <w:rPr>
          <w:rFonts w:cstheme="minorHAnsi"/>
          <w:sz w:val="24"/>
          <w:szCs w:val="24"/>
        </w:rPr>
        <w:t xml:space="preserve">základní </w:t>
      </w:r>
      <w:r w:rsidRPr="00117958">
        <w:rPr>
          <w:rFonts w:cstheme="minorHAnsi"/>
          <w:sz w:val="24"/>
          <w:szCs w:val="24"/>
        </w:rPr>
        <w:t>slevy na poplatníka u starobních důchodců</w:t>
      </w:r>
      <w:r>
        <w:rPr>
          <w:rStyle w:val="Znakapoznpodarou"/>
          <w:rFonts w:cstheme="minorHAnsi"/>
          <w:sz w:val="24"/>
          <w:szCs w:val="24"/>
        </w:rPr>
        <w:footnoteReference w:id="3"/>
      </w:r>
      <w:r w:rsidRPr="00117958">
        <w:rPr>
          <w:rFonts w:cstheme="minorHAnsi"/>
          <w:sz w:val="24"/>
          <w:szCs w:val="24"/>
        </w:rPr>
        <w:t xml:space="preserve">; </w:t>
      </w:r>
    </w:p>
    <w:p w14:paraId="29691D37" w14:textId="6916EBC0" w:rsidR="00C0073D" w:rsidRPr="00117958" w:rsidRDefault="004B7279" w:rsidP="005F2BBF">
      <w:pPr>
        <w:pStyle w:val="Odstavecseseznamem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117958">
        <w:rPr>
          <w:rFonts w:cstheme="minorHAnsi"/>
          <w:sz w:val="24"/>
          <w:szCs w:val="24"/>
        </w:rPr>
        <w:t>omezení daňového zvýhodnění na dítě pro rezidenty EU, No</w:t>
      </w:r>
      <w:r w:rsidR="00861893">
        <w:rPr>
          <w:rFonts w:cstheme="minorHAnsi"/>
          <w:sz w:val="24"/>
          <w:szCs w:val="24"/>
        </w:rPr>
        <w:t>rska a Islandu, zkrácení lhůt u </w:t>
      </w:r>
      <w:r w:rsidRPr="00117958">
        <w:rPr>
          <w:rFonts w:cstheme="minorHAnsi"/>
          <w:sz w:val="24"/>
          <w:szCs w:val="24"/>
        </w:rPr>
        <w:t>ročního zúčtování záloh na daň z příjmu ze závislé činnosti</w:t>
      </w:r>
      <w:r>
        <w:rPr>
          <w:rStyle w:val="Znakapoznpodarou"/>
          <w:rFonts w:cstheme="minorHAnsi"/>
          <w:sz w:val="24"/>
          <w:szCs w:val="24"/>
        </w:rPr>
        <w:footnoteReference w:id="4"/>
      </w:r>
      <w:r w:rsidRPr="00117958">
        <w:rPr>
          <w:rFonts w:cstheme="minorHAnsi"/>
          <w:sz w:val="24"/>
          <w:szCs w:val="24"/>
        </w:rPr>
        <w:t xml:space="preserve">; </w:t>
      </w:r>
    </w:p>
    <w:p w14:paraId="40928E16" w14:textId="77777777" w:rsidR="00C0073D" w:rsidRPr="00117958" w:rsidRDefault="004B7279" w:rsidP="005F2BBF">
      <w:pPr>
        <w:pStyle w:val="Odstavecseseznamem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sleva</w:t>
      </w:r>
      <w:r w:rsidRPr="00117958">
        <w:rPr>
          <w:rFonts w:cstheme="minorHAnsi"/>
          <w:sz w:val="24"/>
          <w:szCs w:val="24"/>
        </w:rPr>
        <w:t xml:space="preserve"> na dani za umístění dítěte do zařízení péče o děti předškolního věku</w:t>
      </w:r>
      <w:r>
        <w:rPr>
          <w:rStyle w:val="Znakapoznpodarou"/>
          <w:rFonts w:cstheme="minorHAnsi"/>
          <w:sz w:val="24"/>
          <w:szCs w:val="24"/>
        </w:rPr>
        <w:footnoteReference w:id="5"/>
      </w:r>
      <w:r w:rsidR="008F4B72">
        <w:rPr>
          <w:rFonts w:cstheme="minorHAnsi"/>
          <w:sz w:val="24"/>
          <w:szCs w:val="24"/>
        </w:rPr>
        <w:t xml:space="preserve"> </w:t>
      </w:r>
      <w:r w:rsidR="005B68C7">
        <w:rPr>
          <w:rFonts w:cstheme="minorHAnsi"/>
          <w:sz w:val="24"/>
          <w:szCs w:val="24"/>
        </w:rPr>
        <w:t>(dále také „sleva na dani za umístění dítěte“)</w:t>
      </w:r>
      <w:r w:rsidRPr="00117958">
        <w:rPr>
          <w:rFonts w:cstheme="minorHAnsi"/>
          <w:sz w:val="24"/>
          <w:szCs w:val="24"/>
        </w:rPr>
        <w:t xml:space="preserve">; stanovení maximální hodnoty výdajů uplatňovaných procentem z příjmů, zvýšení </w:t>
      </w:r>
      <w:r>
        <w:rPr>
          <w:rFonts w:cstheme="minorHAnsi"/>
          <w:sz w:val="24"/>
          <w:szCs w:val="24"/>
        </w:rPr>
        <w:t>daňového zvýhodnění</w:t>
      </w:r>
      <w:r w:rsidRPr="00117958">
        <w:rPr>
          <w:rFonts w:cstheme="minorHAnsi"/>
          <w:sz w:val="24"/>
          <w:szCs w:val="24"/>
        </w:rPr>
        <w:t xml:space="preserve"> na druhé a každé další dítě</w:t>
      </w:r>
      <w:r>
        <w:rPr>
          <w:rStyle w:val="Znakapoznpodarou"/>
          <w:rFonts w:cstheme="minorHAnsi"/>
          <w:sz w:val="24"/>
          <w:szCs w:val="24"/>
        </w:rPr>
        <w:footnoteReference w:id="6"/>
      </w:r>
      <w:r w:rsidRPr="00117958">
        <w:rPr>
          <w:rFonts w:cstheme="minorHAnsi"/>
          <w:sz w:val="24"/>
          <w:szCs w:val="24"/>
        </w:rPr>
        <w:t xml:space="preserve">; </w:t>
      </w:r>
    </w:p>
    <w:p w14:paraId="5161CA4B" w14:textId="77777777" w:rsidR="00C0073D" w:rsidRPr="000B5002" w:rsidRDefault="004B7279" w:rsidP="005F2BBF">
      <w:pPr>
        <w:pStyle w:val="Odstavecseseznamem"/>
        <w:numPr>
          <w:ilvl w:val="0"/>
          <w:numId w:val="1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sz w:val="24"/>
          <w:szCs w:val="24"/>
        </w:rPr>
      </w:pPr>
      <w:r w:rsidRPr="00117958">
        <w:rPr>
          <w:rFonts w:cstheme="minorHAnsi"/>
          <w:sz w:val="24"/>
          <w:szCs w:val="24"/>
        </w:rPr>
        <w:t>zrušení omezení uplatňování slevy na poplatníka starobními důchodci nálezem Ústavního soudu</w:t>
      </w:r>
      <w:r>
        <w:rPr>
          <w:rStyle w:val="Znakapoznpodarou"/>
          <w:rFonts w:cstheme="minorHAnsi"/>
          <w:sz w:val="24"/>
          <w:szCs w:val="24"/>
        </w:rPr>
        <w:footnoteReference w:id="7"/>
      </w:r>
      <w:r w:rsidRPr="00117958">
        <w:rPr>
          <w:rFonts w:cstheme="minorHAnsi"/>
          <w:sz w:val="24"/>
          <w:szCs w:val="24"/>
        </w:rPr>
        <w:t>.</w:t>
      </w:r>
    </w:p>
    <w:p w14:paraId="2F9A7318" w14:textId="77777777" w:rsidR="007853A8" w:rsidRDefault="007853A8" w:rsidP="00861893">
      <w:pPr>
        <w:pStyle w:val="Titulek"/>
        <w:spacing w:before="120" w:after="120"/>
        <w:jc w:val="both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V oblasti osvobození od DPFO nedošlo v kontrolovaném období k zásadním legislativním změnám, </w:t>
      </w:r>
      <w:r w:rsidR="00642C05">
        <w:rPr>
          <w:i w:val="0"/>
          <w:color w:val="auto"/>
          <w:sz w:val="24"/>
          <w:szCs w:val="24"/>
        </w:rPr>
        <w:t xml:space="preserve">osvobození se rozšířilo </w:t>
      </w:r>
      <w:r w:rsidR="00104E6E">
        <w:rPr>
          <w:i w:val="0"/>
          <w:color w:val="auto"/>
          <w:sz w:val="24"/>
          <w:szCs w:val="24"/>
        </w:rPr>
        <w:t xml:space="preserve">pouze </w:t>
      </w:r>
      <w:r w:rsidR="00642C05">
        <w:rPr>
          <w:i w:val="0"/>
          <w:color w:val="auto"/>
          <w:sz w:val="24"/>
          <w:szCs w:val="24"/>
        </w:rPr>
        <w:t>na vybrané ostatní příjmy v ustanovení § 10 ZDP.</w:t>
      </w:r>
    </w:p>
    <w:p w14:paraId="533E1D02" w14:textId="7C28D26F" w:rsidR="00C0073D" w:rsidRPr="000B5002" w:rsidRDefault="004B7279" w:rsidP="00861893">
      <w:pPr>
        <w:pStyle w:val="Titulek"/>
        <w:spacing w:before="120" w:after="120"/>
        <w:jc w:val="both"/>
        <w:rPr>
          <w:rFonts w:cstheme="minorHAnsi"/>
          <w:i w:val="0"/>
          <w:sz w:val="24"/>
          <w:szCs w:val="24"/>
        </w:rPr>
      </w:pPr>
      <w:r w:rsidRPr="007D4C44">
        <w:rPr>
          <w:i w:val="0"/>
          <w:color w:val="auto"/>
          <w:sz w:val="24"/>
          <w:szCs w:val="24"/>
        </w:rPr>
        <w:t xml:space="preserve">Správu DPFO zajišťuje Finanční správa České republiky (dále také „FS ČR“), která je tvořena Generálním finančním ředitelstvím, Odvolacím finančním ředitelstvím </w:t>
      </w:r>
      <w:r>
        <w:rPr>
          <w:i w:val="0"/>
          <w:color w:val="auto"/>
          <w:sz w:val="24"/>
          <w:szCs w:val="24"/>
        </w:rPr>
        <w:t>a jednotlivými finančními úřady.</w:t>
      </w:r>
      <w:r w:rsidRPr="007D4C44">
        <w:rPr>
          <w:i w:val="0"/>
          <w:color w:val="auto"/>
          <w:sz w:val="24"/>
          <w:szCs w:val="24"/>
        </w:rPr>
        <w:t xml:space="preserve"> Postup při správě DPFO se řídí zákonem č. 280/2009 Sb., daňový řád</w:t>
      </w:r>
      <w:r w:rsidR="00402766">
        <w:rPr>
          <w:i w:val="0"/>
          <w:color w:val="auto"/>
          <w:sz w:val="24"/>
          <w:szCs w:val="24"/>
        </w:rPr>
        <w:t>,</w:t>
      </w:r>
      <w:r w:rsidRPr="007D4C44">
        <w:rPr>
          <w:i w:val="0"/>
          <w:color w:val="auto"/>
          <w:sz w:val="24"/>
          <w:szCs w:val="24"/>
        </w:rPr>
        <w:t xml:space="preserve"> (dále </w:t>
      </w:r>
      <w:r w:rsidR="00E54F3A">
        <w:rPr>
          <w:i w:val="0"/>
          <w:color w:val="auto"/>
          <w:sz w:val="24"/>
          <w:szCs w:val="24"/>
        </w:rPr>
        <w:t xml:space="preserve">také </w:t>
      </w:r>
      <w:r w:rsidRPr="007D4C44">
        <w:rPr>
          <w:i w:val="0"/>
          <w:color w:val="auto"/>
          <w:sz w:val="24"/>
          <w:szCs w:val="24"/>
        </w:rPr>
        <w:t>„DŘ“) a ve zvláštních případech ZDP.</w:t>
      </w:r>
    </w:p>
    <w:p w14:paraId="10EBC5E6" w14:textId="01CE5718" w:rsidR="00C0073D" w:rsidRPr="001255EE" w:rsidRDefault="004B7279" w:rsidP="00C0073D">
      <w:pPr>
        <w:pStyle w:val="Titulek"/>
        <w:keepNext/>
        <w:jc w:val="both"/>
        <w:rPr>
          <w:rFonts w:cstheme="minorHAnsi"/>
          <w:b/>
          <w:i w:val="0"/>
          <w:color w:val="auto"/>
          <w:sz w:val="24"/>
          <w:szCs w:val="24"/>
        </w:rPr>
      </w:pPr>
      <w:r w:rsidRPr="00117958">
        <w:rPr>
          <w:b/>
          <w:i w:val="0"/>
          <w:color w:val="auto"/>
          <w:sz w:val="24"/>
          <w:szCs w:val="24"/>
        </w:rPr>
        <w:lastRenderedPageBreak/>
        <w:t xml:space="preserve">Schéma č. </w:t>
      </w:r>
      <w:r w:rsidR="00B3080B" w:rsidRPr="00117958">
        <w:rPr>
          <w:b/>
          <w:i w:val="0"/>
          <w:color w:val="auto"/>
          <w:sz w:val="24"/>
          <w:szCs w:val="24"/>
        </w:rPr>
        <w:fldChar w:fldCharType="begin"/>
      </w:r>
      <w:r w:rsidRPr="00117958">
        <w:rPr>
          <w:b/>
          <w:i w:val="0"/>
          <w:color w:val="auto"/>
          <w:sz w:val="24"/>
          <w:szCs w:val="24"/>
        </w:rPr>
        <w:instrText xml:space="preserve"> SEQ Schéma_č. \* ARABIC </w:instrText>
      </w:r>
      <w:r w:rsidR="00B3080B" w:rsidRPr="00117958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2</w:t>
      </w:r>
      <w:r w:rsidR="00B3080B" w:rsidRPr="00117958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>:</w:t>
      </w:r>
      <w:r w:rsidR="003473CA">
        <w:rPr>
          <w:b/>
          <w:i w:val="0"/>
          <w:color w:val="auto"/>
          <w:sz w:val="24"/>
          <w:szCs w:val="24"/>
        </w:rPr>
        <w:t xml:space="preserve"> </w:t>
      </w:r>
      <w:r>
        <w:rPr>
          <w:rFonts w:cstheme="minorHAnsi"/>
          <w:b/>
          <w:i w:val="0"/>
          <w:color w:val="auto"/>
          <w:sz w:val="24"/>
          <w:szCs w:val="24"/>
        </w:rPr>
        <w:t>Správa daně z příjmů</w:t>
      </w:r>
      <w:r w:rsidRPr="00117958">
        <w:rPr>
          <w:rFonts w:cstheme="minorHAnsi"/>
          <w:b/>
          <w:i w:val="0"/>
          <w:color w:val="auto"/>
          <w:sz w:val="24"/>
          <w:szCs w:val="24"/>
        </w:rPr>
        <w:t xml:space="preserve"> fyzických osob v roce 2015 – základní přehled</w:t>
      </w:r>
    </w:p>
    <w:p w14:paraId="5DB0874D" w14:textId="77777777" w:rsidR="008D4D01" w:rsidRDefault="00641B10" w:rsidP="00C0073D">
      <w:pPr>
        <w:spacing w:after="0"/>
        <w:rPr>
          <w:rFonts w:cstheme="minorHAnsi"/>
          <w:b/>
          <w:sz w:val="20"/>
          <w:szCs w:val="20"/>
        </w:rPr>
      </w:pPr>
      <w:r>
        <w:rPr>
          <w:noProof/>
          <w:lang w:eastAsia="cs-CZ"/>
        </w:rPr>
        <w:drawing>
          <wp:inline distT="0" distB="0" distL="0" distR="0" wp14:anchorId="66FE3EB2" wp14:editId="342C95AD">
            <wp:extent cx="5734050" cy="4319570"/>
            <wp:effectExtent l="0" t="0" r="0" b="0"/>
            <wp:docPr id="10" name="Obrázek 10" descr="C:\Users\navratilova\AppData\Local\Microsoft\Windows\Temporary Internet Files\Content.Word\Schéma_2_obr_B_28.7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vratilova\AppData\Local\Microsoft\Windows\Temporary Internet Files\Content.Word\Schéma_2_obr_B_28.7.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07" cy="43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A4FDB2" w14:textId="77777777" w:rsidR="008D4D01" w:rsidRDefault="008D4D01" w:rsidP="00C0073D">
      <w:pPr>
        <w:spacing w:after="0"/>
        <w:rPr>
          <w:rFonts w:cstheme="minorHAnsi"/>
          <w:b/>
          <w:sz w:val="20"/>
          <w:szCs w:val="20"/>
        </w:rPr>
      </w:pPr>
    </w:p>
    <w:p w14:paraId="4FA5B623" w14:textId="4A4B1C1A" w:rsidR="00C0073D" w:rsidRDefault="004B7279" w:rsidP="00C0073D">
      <w:pPr>
        <w:spacing w:after="0"/>
        <w:rPr>
          <w:rFonts w:cstheme="minorHAnsi"/>
          <w:sz w:val="20"/>
          <w:szCs w:val="20"/>
        </w:rPr>
      </w:pPr>
      <w:r w:rsidRPr="00DB3828">
        <w:rPr>
          <w:rFonts w:cstheme="minorHAnsi"/>
          <w:b/>
          <w:sz w:val="20"/>
          <w:szCs w:val="20"/>
        </w:rPr>
        <w:t>Zdroj:</w:t>
      </w:r>
      <w:r w:rsidR="0081471E">
        <w:rPr>
          <w:rFonts w:cstheme="minorHAnsi"/>
          <w:sz w:val="20"/>
          <w:szCs w:val="20"/>
        </w:rPr>
        <w:t xml:space="preserve"> </w:t>
      </w:r>
      <w:r w:rsidR="009E75BF">
        <w:rPr>
          <w:rFonts w:cstheme="minorHAnsi"/>
          <w:sz w:val="20"/>
          <w:szCs w:val="20"/>
        </w:rPr>
        <w:t>d</w:t>
      </w:r>
      <w:r w:rsidR="0081471E">
        <w:rPr>
          <w:rFonts w:cstheme="minorHAnsi"/>
          <w:sz w:val="20"/>
          <w:szCs w:val="20"/>
        </w:rPr>
        <w:t>ata z GFŘ a vlastní zpracování NKÚ.</w:t>
      </w:r>
    </w:p>
    <w:p w14:paraId="02387AC2" w14:textId="3D19E61D" w:rsidR="006E1BD2" w:rsidRDefault="00C0073D" w:rsidP="002D5B57">
      <w:pPr>
        <w:spacing w:after="0" w:line="240" w:lineRule="auto"/>
        <w:ind w:left="567" w:hanging="567"/>
        <w:jc w:val="both"/>
        <w:rPr>
          <w:rFonts w:cstheme="minorHAnsi"/>
          <w:sz w:val="20"/>
          <w:szCs w:val="20"/>
        </w:rPr>
      </w:pPr>
      <w:r w:rsidRPr="00C0073D">
        <w:rPr>
          <w:rFonts w:cstheme="minorHAnsi"/>
          <w:b/>
          <w:sz w:val="20"/>
          <w:szCs w:val="20"/>
        </w:rPr>
        <w:t>Pozn.</w:t>
      </w:r>
      <w:r>
        <w:rPr>
          <w:rFonts w:cstheme="minorHAnsi"/>
          <w:sz w:val="20"/>
          <w:szCs w:val="20"/>
        </w:rPr>
        <w:t xml:space="preserve">: </w:t>
      </w:r>
      <w:r w:rsidR="002D5B57">
        <w:rPr>
          <w:rFonts w:cstheme="minorHAnsi"/>
          <w:sz w:val="20"/>
          <w:szCs w:val="20"/>
        </w:rPr>
        <w:tab/>
      </w:r>
      <w:r w:rsidR="006415CD">
        <w:rPr>
          <w:rFonts w:cstheme="minorHAnsi"/>
          <w:sz w:val="20"/>
          <w:szCs w:val="20"/>
        </w:rPr>
        <w:t>Poplatník</w:t>
      </w:r>
      <w:r w:rsidR="00402766">
        <w:rPr>
          <w:rFonts w:cstheme="minorHAnsi"/>
          <w:sz w:val="20"/>
          <w:szCs w:val="20"/>
        </w:rPr>
        <w:t>em</w:t>
      </w:r>
      <w:r w:rsidR="003D1DB3">
        <w:rPr>
          <w:rFonts w:cstheme="minorHAnsi"/>
          <w:sz w:val="20"/>
          <w:szCs w:val="20"/>
        </w:rPr>
        <w:t xml:space="preserve"> </w:t>
      </w:r>
      <w:r w:rsidR="002F53B6">
        <w:rPr>
          <w:rFonts w:cstheme="minorHAnsi"/>
          <w:sz w:val="20"/>
          <w:szCs w:val="20"/>
        </w:rPr>
        <w:t xml:space="preserve">DPFO </w:t>
      </w:r>
      <w:r w:rsidR="003D1DB3">
        <w:rPr>
          <w:rFonts w:cstheme="minorHAnsi"/>
          <w:sz w:val="20"/>
          <w:szCs w:val="20"/>
        </w:rPr>
        <w:t xml:space="preserve">je fyzická osoba. </w:t>
      </w:r>
      <w:r w:rsidR="003071C3">
        <w:rPr>
          <w:rFonts w:cstheme="minorHAnsi"/>
          <w:sz w:val="20"/>
          <w:szCs w:val="20"/>
        </w:rPr>
        <w:t>Poplatníci jsou daňovými rezidenty ČR nebo daňovými nerezidenty. Poplatníci jsou daňovými rezidenty ČR, pokud mají na území Č</w:t>
      </w:r>
      <w:r w:rsidR="009348AB">
        <w:rPr>
          <w:rFonts w:cstheme="minorHAnsi"/>
          <w:sz w:val="20"/>
          <w:szCs w:val="20"/>
        </w:rPr>
        <w:t>R</w:t>
      </w:r>
      <w:r w:rsidR="003071C3">
        <w:rPr>
          <w:rFonts w:cstheme="minorHAnsi"/>
          <w:sz w:val="20"/>
          <w:szCs w:val="20"/>
        </w:rPr>
        <w:t xml:space="preserve"> bydliště </w:t>
      </w:r>
      <w:r w:rsidR="009348AB">
        <w:rPr>
          <w:rFonts w:cstheme="minorHAnsi"/>
          <w:sz w:val="20"/>
          <w:szCs w:val="20"/>
        </w:rPr>
        <w:t>nebo</w:t>
      </w:r>
      <w:r w:rsidR="003071C3">
        <w:rPr>
          <w:rFonts w:cstheme="minorHAnsi"/>
          <w:sz w:val="20"/>
          <w:szCs w:val="20"/>
        </w:rPr>
        <w:t xml:space="preserve"> se zde obvykle </w:t>
      </w:r>
      <w:r w:rsidR="009348AB">
        <w:rPr>
          <w:rFonts w:cstheme="minorHAnsi"/>
          <w:sz w:val="20"/>
          <w:szCs w:val="20"/>
        </w:rPr>
        <w:t>zdržují</w:t>
      </w:r>
      <w:r w:rsidR="003071C3">
        <w:rPr>
          <w:rFonts w:cstheme="minorHAnsi"/>
          <w:sz w:val="20"/>
          <w:szCs w:val="20"/>
        </w:rPr>
        <w:t xml:space="preserve"> (alespoň 183 dní v </w:t>
      </w:r>
      <w:r w:rsidR="009348AB">
        <w:rPr>
          <w:rFonts w:cstheme="minorHAnsi"/>
          <w:sz w:val="20"/>
          <w:szCs w:val="20"/>
        </w:rPr>
        <w:t>příslušném</w:t>
      </w:r>
      <w:r w:rsidR="003071C3">
        <w:rPr>
          <w:rFonts w:cstheme="minorHAnsi"/>
          <w:sz w:val="20"/>
          <w:szCs w:val="20"/>
        </w:rPr>
        <w:t xml:space="preserve"> </w:t>
      </w:r>
      <w:r w:rsidR="009348AB">
        <w:rPr>
          <w:rFonts w:cstheme="minorHAnsi"/>
          <w:sz w:val="20"/>
          <w:szCs w:val="20"/>
        </w:rPr>
        <w:t>kalendářním</w:t>
      </w:r>
      <w:r w:rsidR="003071C3">
        <w:rPr>
          <w:rFonts w:cstheme="minorHAnsi"/>
          <w:sz w:val="20"/>
          <w:szCs w:val="20"/>
        </w:rPr>
        <w:t xml:space="preserve"> roce).</w:t>
      </w:r>
    </w:p>
    <w:p w14:paraId="68487345" w14:textId="18D4E4B3" w:rsidR="006E1BD2" w:rsidRDefault="006415CD" w:rsidP="002D5B57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Plátce</w:t>
      </w:r>
      <w:r w:rsidR="00402766">
        <w:rPr>
          <w:rFonts w:cstheme="minorHAnsi"/>
          <w:sz w:val="20"/>
          <w:szCs w:val="20"/>
        </w:rPr>
        <w:t>m</w:t>
      </w:r>
      <w:r w:rsidR="003D1DB3">
        <w:rPr>
          <w:rFonts w:cstheme="minorHAnsi"/>
          <w:sz w:val="20"/>
          <w:szCs w:val="20"/>
        </w:rPr>
        <w:t xml:space="preserve"> </w:t>
      </w:r>
      <w:r w:rsidR="002F53B6">
        <w:rPr>
          <w:rFonts w:cstheme="minorHAnsi"/>
          <w:sz w:val="20"/>
          <w:szCs w:val="20"/>
        </w:rPr>
        <w:t>DPFO</w:t>
      </w:r>
      <w:r w:rsidR="003D1DB3">
        <w:rPr>
          <w:rFonts w:cstheme="minorHAnsi"/>
          <w:sz w:val="20"/>
          <w:szCs w:val="20"/>
        </w:rPr>
        <w:t xml:space="preserve"> ze závislé činnosti</w:t>
      </w:r>
      <w:r w:rsidR="001A351B">
        <w:rPr>
          <w:rFonts w:cstheme="minorHAnsi"/>
          <w:sz w:val="20"/>
          <w:szCs w:val="20"/>
        </w:rPr>
        <w:t xml:space="preserve"> </w:t>
      </w:r>
      <w:r w:rsidR="006E1BD2">
        <w:rPr>
          <w:rFonts w:cstheme="minorHAnsi"/>
          <w:sz w:val="20"/>
          <w:szCs w:val="20"/>
        </w:rPr>
        <w:t>je fyzická nebo právnická osoba, která</w:t>
      </w:r>
      <w:r w:rsidR="003D1DB3">
        <w:rPr>
          <w:rFonts w:cstheme="minorHAnsi"/>
          <w:sz w:val="20"/>
          <w:szCs w:val="20"/>
        </w:rPr>
        <w:t xml:space="preserve"> je dále</w:t>
      </w:r>
      <w:r w:rsidR="00AB6F42">
        <w:rPr>
          <w:rFonts w:cstheme="minorHAnsi"/>
          <w:sz w:val="20"/>
          <w:szCs w:val="20"/>
        </w:rPr>
        <w:t xml:space="preserve"> také</w:t>
      </w:r>
      <w:r w:rsidR="003D1DB3">
        <w:rPr>
          <w:rFonts w:cstheme="minorHAnsi"/>
          <w:sz w:val="20"/>
          <w:szCs w:val="20"/>
        </w:rPr>
        <w:t xml:space="preserve"> označen</w:t>
      </w:r>
      <w:r w:rsidR="006E1BD2">
        <w:rPr>
          <w:rFonts w:cstheme="minorHAnsi"/>
          <w:sz w:val="20"/>
          <w:szCs w:val="20"/>
        </w:rPr>
        <w:t>a</w:t>
      </w:r>
      <w:r w:rsidR="003D1DB3">
        <w:rPr>
          <w:rFonts w:cstheme="minorHAnsi"/>
          <w:sz w:val="20"/>
          <w:szCs w:val="20"/>
        </w:rPr>
        <w:t xml:space="preserve"> jako zaměstnavatel</w:t>
      </w:r>
      <w:r w:rsidR="005E2895">
        <w:rPr>
          <w:rFonts w:cstheme="minorHAnsi"/>
          <w:sz w:val="20"/>
          <w:szCs w:val="20"/>
        </w:rPr>
        <w:t>,</w:t>
      </w:r>
      <w:r w:rsidR="002F53B6">
        <w:rPr>
          <w:rFonts w:cstheme="minorHAnsi"/>
          <w:sz w:val="20"/>
          <w:szCs w:val="20"/>
        </w:rPr>
        <w:t xml:space="preserve"> je povinen odvést správci daně daň nebo zálohu na daň, které jsou vybrány od jiných poplatníků nebo jiným poplatníkům sraženy.</w:t>
      </w:r>
    </w:p>
    <w:p w14:paraId="775F1564" w14:textId="77777777" w:rsidR="006E1BD2" w:rsidRDefault="006E1BD2" w:rsidP="002D5B57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Daňovým tvrzením je daňové přiznání, hlášení nebo vyúčtování.</w:t>
      </w:r>
    </w:p>
    <w:p w14:paraId="0185A6E8" w14:textId="7FC5D069" w:rsidR="006E1BD2" w:rsidRDefault="002F53B6" w:rsidP="002D5B57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764DD3">
        <w:rPr>
          <w:rFonts w:cstheme="minorHAnsi"/>
          <w:sz w:val="20"/>
          <w:szCs w:val="20"/>
        </w:rPr>
        <w:t xml:space="preserve">yúčtování </w:t>
      </w:r>
      <w:r>
        <w:rPr>
          <w:rFonts w:cstheme="minorHAnsi"/>
          <w:sz w:val="20"/>
          <w:szCs w:val="20"/>
        </w:rPr>
        <w:t>DPFO ze závislé činnosti je daňové tvrzení, které je povinen podat správci daně plátce, který ve zdaňovacím období zúčtoval nebo vyplatil příjmy ze závislé činnosti.</w:t>
      </w:r>
      <w:r w:rsidR="003D1DB3">
        <w:rPr>
          <w:rFonts w:cstheme="minorHAnsi"/>
          <w:sz w:val="20"/>
          <w:szCs w:val="20"/>
        </w:rPr>
        <w:t xml:space="preserve"> </w:t>
      </w:r>
      <w:r w:rsidR="006E1BD2">
        <w:rPr>
          <w:rFonts w:cstheme="minorHAnsi"/>
          <w:sz w:val="20"/>
          <w:szCs w:val="20"/>
        </w:rPr>
        <w:t xml:space="preserve">Za poplatníky, kteří </w:t>
      </w:r>
      <w:r w:rsidR="006E1BD2" w:rsidRPr="006216A0">
        <w:rPr>
          <w:rFonts w:cstheme="minorHAnsi"/>
          <w:sz w:val="20"/>
          <w:szCs w:val="20"/>
        </w:rPr>
        <w:t>daňové přiznání nepodávají</w:t>
      </w:r>
      <w:r w:rsidR="006E1BD2">
        <w:rPr>
          <w:rFonts w:cstheme="minorHAnsi"/>
          <w:sz w:val="20"/>
          <w:szCs w:val="20"/>
        </w:rPr>
        <w:t xml:space="preserve">, podávají zaměstnavatelé jako plátci vyúčtování ze závislé činnosti souhrnně </w:t>
      </w:r>
      <w:r w:rsidR="006B2F82">
        <w:rPr>
          <w:rFonts w:cstheme="minorHAnsi"/>
          <w:sz w:val="20"/>
          <w:szCs w:val="20"/>
        </w:rPr>
        <w:br/>
      </w:r>
      <w:r w:rsidR="006E1BD2">
        <w:rPr>
          <w:rFonts w:cstheme="minorHAnsi"/>
          <w:sz w:val="20"/>
          <w:szCs w:val="20"/>
        </w:rPr>
        <w:t>za všechny zaměstnance.</w:t>
      </w:r>
    </w:p>
    <w:p w14:paraId="1BF7E2C1" w14:textId="7795D5ED" w:rsidR="00D534F7" w:rsidRDefault="00D534F7" w:rsidP="002D5B57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Údaj o pracovnících spravujících daň je přepočtený počet systemizovaných míst úředních osob podílejících se na správě daně.</w:t>
      </w:r>
    </w:p>
    <w:p w14:paraId="4E3CAF09" w14:textId="3CA7787B" w:rsidR="00C0073D" w:rsidRDefault="00A460A5" w:rsidP="00861893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A460A5">
        <w:rPr>
          <w:rFonts w:eastAsia="Times New Roman" w:cstheme="minorHAnsi"/>
          <w:sz w:val="24"/>
          <w:szCs w:val="24"/>
        </w:rPr>
        <w:t xml:space="preserve">NKÚ se při kontrole zaměřil zejména na dopady legislativních změn DPFO </w:t>
      </w:r>
      <w:r w:rsidR="009C2A08">
        <w:rPr>
          <w:rFonts w:eastAsia="Times New Roman" w:cstheme="minorHAnsi"/>
          <w:sz w:val="24"/>
          <w:szCs w:val="24"/>
        </w:rPr>
        <w:t>na</w:t>
      </w:r>
      <w:r w:rsidRPr="00A460A5">
        <w:rPr>
          <w:rFonts w:eastAsia="Times New Roman" w:cstheme="minorHAnsi"/>
          <w:sz w:val="24"/>
          <w:szCs w:val="24"/>
        </w:rPr>
        <w:t xml:space="preserve"> státní rozpoč</w:t>
      </w:r>
      <w:r w:rsidR="009C2A08">
        <w:rPr>
          <w:rFonts w:eastAsia="Times New Roman" w:cstheme="minorHAnsi"/>
          <w:sz w:val="24"/>
          <w:szCs w:val="24"/>
        </w:rPr>
        <w:t>e</w:t>
      </w:r>
      <w:r w:rsidRPr="00A460A5">
        <w:rPr>
          <w:rFonts w:eastAsia="Times New Roman" w:cstheme="minorHAnsi"/>
          <w:sz w:val="24"/>
          <w:szCs w:val="24"/>
        </w:rPr>
        <w:t xml:space="preserve">t v souvislosti s uplatňováním nezdanitelných částí základu daně a slev na dani, </w:t>
      </w:r>
      <w:r w:rsidR="009C2A08">
        <w:rPr>
          <w:rFonts w:eastAsia="Times New Roman" w:cstheme="minorHAnsi"/>
          <w:sz w:val="24"/>
          <w:szCs w:val="24"/>
        </w:rPr>
        <w:t xml:space="preserve">na </w:t>
      </w:r>
      <w:r w:rsidRPr="00A460A5">
        <w:rPr>
          <w:rFonts w:eastAsia="Times New Roman" w:cstheme="minorHAnsi"/>
          <w:sz w:val="24"/>
          <w:szCs w:val="24"/>
        </w:rPr>
        <w:t>dodržování legislativy a efektivnost správy DPFO.</w:t>
      </w:r>
    </w:p>
    <w:p w14:paraId="59F9AB6F" w14:textId="315CB4FD" w:rsidR="004E13E9" w:rsidRPr="00861893" w:rsidRDefault="004B7279" w:rsidP="00861893">
      <w:pPr>
        <w:spacing w:before="120" w:after="120" w:line="240" w:lineRule="auto"/>
        <w:ind w:left="567" w:hanging="567"/>
        <w:jc w:val="both"/>
        <w:rPr>
          <w:rFonts w:ascii="Calibri" w:eastAsia="Times New Roman" w:hAnsi="Calibri" w:cs="Calibri"/>
          <w:sz w:val="20"/>
          <w:szCs w:val="20"/>
        </w:rPr>
      </w:pPr>
      <w:r w:rsidRPr="00F50D1D">
        <w:rPr>
          <w:rFonts w:ascii="Calibri" w:eastAsia="Times New Roman" w:hAnsi="Calibri" w:cs="Calibri"/>
          <w:b/>
          <w:sz w:val="20"/>
          <w:szCs w:val="20"/>
        </w:rPr>
        <w:t>Pozn.</w:t>
      </w:r>
      <w:r w:rsidR="009E75BF">
        <w:rPr>
          <w:rFonts w:ascii="Calibri" w:eastAsia="Times New Roman" w:hAnsi="Calibri" w:cs="Calibri"/>
          <w:b/>
          <w:sz w:val="20"/>
          <w:szCs w:val="20"/>
        </w:rPr>
        <w:t>:</w:t>
      </w:r>
      <w:r w:rsidRPr="00F50D1D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="00861893">
        <w:rPr>
          <w:rFonts w:ascii="Calibri" w:eastAsia="Times New Roman" w:hAnsi="Calibri" w:cs="Calibri"/>
          <w:sz w:val="20"/>
          <w:szCs w:val="20"/>
        </w:rPr>
        <w:tab/>
      </w:r>
      <w:r w:rsidRPr="00861893">
        <w:rPr>
          <w:rFonts w:ascii="Calibri" w:eastAsia="Times New Roman" w:hAnsi="Calibri" w:cs="Calibri"/>
          <w:sz w:val="20"/>
          <w:szCs w:val="20"/>
        </w:rPr>
        <w:t>Právní předpisy uvedené v</w:t>
      </w:r>
      <w:r w:rsidR="009C2A08">
        <w:rPr>
          <w:rFonts w:ascii="Calibri" w:eastAsia="Times New Roman" w:hAnsi="Calibri" w:cs="Calibri"/>
          <w:sz w:val="20"/>
          <w:szCs w:val="20"/>
        </w:rPr>
        <w:t> </w:t>
      </w:r>
      <w:r w:rsidRPr="00861893">
        <w:rPr>
          <w:rFonts w:ascii="Calibri" w:eastAsia="Times New Roman" w:hAnsi="Calibri" w:cs="Calibri"/>
          <w:sz w:val="20"/>
          <w:szCs w:val="20"/>
        </w:rPr>
        <w:t xml:space="preserve">tomto kontrolním závěru jsou aplikovány ve znění účinném </w:t>
      </w:r>
      <w:r w:rsidR="000C7375" w:rsidRPr="00861893">
        <w:rPr>
          <w:rFonts w:ascii="Calibri" w:eastAsia="Times New Roman" w:hAnsi="Calibri" w:cs="Calibri"/>
          <w:sz w:val="20"/>
          <w:szCs w:val="20"/>
        </w:rPr>
        <w:t>pro kontrolované období.</w:t>
      </w:r>
    </w:p>
    <w:p w14:paraId="782D549F" w14:textId="77777777" w:rsidR="00861893" w:rsidRDefault="00861893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14:paraId="5A329E62" w14:textId="1F9026CD" w:rsidR="00C0073D" w:rsidRDefault="004B7279" w:rsidP="005F2BBF">
      <w:pPr>
        <w:spacing w:before="120" w:after="120" w:line="240" w:lineRule="auto"/>
        <w:jc w:val="center"/>
        <w:rPr>
          <w:rFonts w:cstheme="minorHAnsi"/>
          <w:b/>
          <w:sz w:val="28"/>
          <w:szCs w:val="28"/>
        </w:rPr>
      </w:pPr>
      <w:r w:rsidRPr="00761462">
        <w:rPr>
          <w:rFonts w:cstheme="minorHAnsi"/>
          <w:b/>
          <w:sz w:val="28"/>
          <w:szCs w:val="28"/>
        </w:rPr>
        <w:lastRenderedPageBreak/>
        <w:t xml:space="preserve">II. Shrnutí </w:t>
      </w:r>
      <w:r>
        <w:rPr>
          <w:rFonts w:cstheme="minorHAnsi"/>
          <w:b/>
          <w:sz w:val="28"/>
          <w:szCs w:val="28"/>
        </w:rPr>
        <w:t xml:space="preserve">a vyhodnocení </w:t>
      </w:r>
      <w:r w:rsidRPr="00761462">
        <w:rPr>
          <w:rFonts w:cstheme="minorHAnsi"/>
          <w:b/>
          <w:sz w:val="28"/>
          <w:szCs w:val="28"/>
        </w:rPr>
        <w:t>skutečností zjištěných při kontrole</w:t>
      </w:r>
    </w:p>
    <w:p w14:paraId="62F3065E" w14:textId="62D94228" w:rsidR="004C3575" w:rsidRPr="006216A0" w:rsidRDefault="004C3575" w:rsidP="005F2BBF">
      <w:pPr>
        <w:spacing w:before="120" w:after="120" w:line="240" w:lineRule="auto"/>
        <w:jc w:val="both"/>
        <w:rPr>
          <w:sz w:val="24"/>
          <w:szCs w:val="24"/>
        </w:rPr>
      </w:pPr>
      <w:r w:rsidRPr="006216A0">
        <w:rPr>
          <w:sz w:val="24"/>
          <w:szCs w:val="24"/>
        </w:rPr>
        <w:t>Zákon</w:t>
      </w:r>
      <w:r w:rsidR="009E5BB0" w:rsidRPr="006216A0">
        <w:rPr>
          <w:sz w:val="24"/>
          <w:szCs w:val="24"/>
        </w:rPr>
        <w:t xml:space="preserve"> </w:t>
      </w:r>
      <w:r w:rsidRPr="006216A0">
        <w:rPr>
          <w:sz w:val="24"/>
          <w:szCs w:val="24"/>
        </w:rPr>
        <w:t>o daních z</w:t>
      </w:r>
      <w:r w:rsidR="009C2A08">
        <w:rPr>
          <w:sz w:val="24"/>
          <w:szCs w:val="24"/>
        </w:rPr>
        <w:t> </w:t>
      </w:r>
      <w:r w:rsidRPr="006216A0">
        <w:rPr>
          <w:sz w:val="24"/>
          <w:szCs w:val="24"/>
        </w:rPr>
        <w:t>příjmů je nepřehledný a obsahuje množství výjimek, což komplikuje správu daně,</w:t>
      </w:r>
      <w:r w:rsidR="009E5BB0" w:rsidRPr="006216A0">
        <w:rPr>
          <w:sz w:val="24"/>
          <w:szCs w:val="24"/>
        </w:rPr>
        <w:t xml:space="preserve"> </w:t>
      </w:r>
      <w:r w:rsidRPr="006216A0">
        <w:rPr>
          <w:sz w:val="24"/>
          <w:szCs w:val="24"/>
        </w:rPr>
        <w:t xml:space="preserve">zvyšuje administrativní zátěž </w:t>
      </w:r>
      <w:r w:rsidR="00B021C2">
        <w:rPr>
          <w:sz w:val="24"/>
          <w:szCs w:val="24"/>
        </w:rPr>
        <w:t>daňovým</w:t>
      </w:r>
      <w:r w:rsidRPr="006216A0">
        <w:rPr>
          <w:sz w:val="24"/>
          <w:szCs w:val="24"/>
        </w:rPr>
        <w:t xml:space="preserve"> subjektů</w:t>
      </w:r>
      <w:r w:rsidR="00B021C2">
        <w:rPr>
          <w:sz w:val="24"/>
          <w:szCs w:val="24"/>
        </w:rPr>
        <w:t>m</w:t>
      </w:r>
      <w:r w:rsidR="006A058E">
        <w:rPr>
          <w:sz w:val="24"/>
          <w:szCs w:val="24"/>
        </w:rPr>
        <w:t xml:space="preserve"> a </w:t>
      </w:r>
      <w:r w:rsidR="006A058E" w:rsidRPr="006216A0">
        <w:rPr>
          <w:sz w:val="24"/>
          <w:szCs w:val="24"/>
        </w:rPr>
        <w:t>nepřispívá k</w:t>
      </w:r>
      <w:r w:rsidR="009C2A08">
        <w:rPr>
          <w:sz w:val="24"/>
          <w:szCs w:val="24"/>
        </w:rPr>
        <w:t> </w:t>
      </w:r>
      <w:r w:rsidR="006A058E" w:rsidRPr="006216A0">
        <w:rPr>
          <w:sz w:val="24"/>
          <w:szCs w:val="24"/>
        </w:rPr>
        <w:t>efektivnosti výběru DPFO</w:t>
      </w:r>
      <w:r w:rsidRPr="006216A0">
        <w:rPr>
          <w:sz w:val="24"/>
          <w:szCs w:val="24"/>
        </w:rPr>
        <w:t>.</w:t>
      </w:r>
      <w:r w:rsidR="00DB4327" w:rsidRPr="006216A0">
        <w:rPr>
          <w:sz w:val="24"/>
          <w:szCs w:val="24"/>
        </w:rPr>
        <w:t xml:space="preserve"> </w:t>
      </w:r>
      <w:r w:rsidRPr="006216A0">
        <w:rPr>
          <w:sz w:val="24"/>
          <w:szCs w:val="24"/>
        </w:rPr>
        <w:t>V</w:t>
      </w:r>
      <w:r w:rsidR="009C2A08">
        <w:rPr>
          <w:sz w:val="24"/>
          <w:szCs w:val="24"/>
        </w:rPr>
        <w:t> </w:t>
      </w:r>
      <w:r w:rsidRPr="006216A0">
        <w:rPr>
          <w:sz w:val="24"/>
          <w:szCs w:val="24"/>
        </w:rPr>
        <w:t xml:space="preserve">kontrolovaném období byla zavedena nová sleva na dani, progrese daňového zvýhodnění podle počtu </w:t>
      </w:r>
      <w:r w:rsidRPr="001423D2">
        <w:rPr>
          <w:sz w:val="24"/>
          <w:szCs w:val="24"/>
        </w:rPr>
        <w:t>dětí</w:t>
      </w:r>
      <w:r w:rsidR="000B3A53" w:rsidRPr="001423D2">
        <w:rPr>
          <w:sz w:val="24"/>
          <w:szCs w:val="24"/>
        </w:rPr>
        <w:t>,</w:t>
      </w:r>
      <w:r w:rsidRPr="001423D2">
        <w:rPr>
          <w:sz w:val="24"/>
          <w:szCs w:val="24"/>
        </w:rPr>
        <w:t xml:space="preserve"> solidární</w:t>
      </w:r>
      <w:r w:rsidRPr="006216A0">
        <w:rPr>
          <w:sz w:val="24"/>
          <w:szCs w:val="24"/>
        </w:rPr>
        <w:t xml:space="preserve"> zvýšení daně a měnily se podmínky pro vykazování daňového základu.</w:t>
      </w:r>
      <w:r w:rsidR="00650B7A" w:rsidRPr="00650B7A">
        <w:rPr>
          <w:sz w:val="24"/>
          <w:szCs w:val="24"/>
        </w:rPr>
        <w:t xml:space="preserve"> </w:t>
      </w:r>
      <w:r w:rsidR="00650B7A">
        <w:rPr>
          <w:sz w:val="24"/>
          <w:szCs w:val="24"/>
        </w:rPr>
        <w:t xml:space="preserve">Správci daně </w:t>
      </w:r>
      <w:r w:rsidR="001F143C">
        <w:rPr>
          <w:sz w:val="24"/>
          <w:szCs w:val="24"/>
        </w:rPr>
        <w:t>nedisponovali</w:t>
      </w:r>
      <w:r w:rsidR="0040656C">
        <w:rPr>
          <w:sz w:val="24"/>
          <w:szCs w:val="24"/>
        </w:rPr>
        <w:t xml:space="preserve"> </w:t>
      </w:r>
      <w:r w:rsidR="0040656C" w:rsidRPr="001423D2">
        <w:rPr>
          <w:sz w:val="24"/>
          <w:szCs w:val="24"/>
        </w:rPr>
        <w:t>individuálními</w:t>
      </w:r>
      <w:r w:rsidR="001F143C">
        <w:rPr>
          <w:sz w:val="24"/>
          <w:szCs w:val="24"/>
        </w:rPr>
        <w:t xml:space="preserve"> </w:t>
      </w:r>
      <w:r w:rsidR="001F143C" w:rsidRPr="006216A0">
        <w:rPr>
          <w:rFonts w:eastAsia="Times New Roman" w:cs="Times New Roman"/>
          <w:sz w:val="24"/>
          <w:szCs w:val="24"/>
        </w:rPr>
        <w:t>údaji o</w:t>
      </w:r>
      <w:r w:rsidR="001F143C">
        <w:rPr>
          <w:sz w:val="24"/>
          <w:szCs w:val="24"/>
        </w:rPr>
        <w:t xml:space="preserve"> více </w:t>
      </w:r>
      <w:r w:rsidR="005834DE">
        <w:rPr>
          <w:sz w:val="24"/>
          <w:szCs w:val="24"/>
        </w:rPr>
        <w:t>než</w:t>
      </w:r>
      <w:r w:rsidR="001F143C">
        <w:rPr>
          <w:sz w:val="24"/>
          <w:szCs w:val="24"/>
        </w:rPr>
        <w:t xml:space="preserve"> polovině poplatníků</w:t>
      </w:r>
      <w:r w:rsidR="005F3E8D" w:rsidRPr="005F3E8D">
        <w:rPr>
          <w:sz w:val="24"/>
          <w:szCs w:val="24"/>
        </w:rPr>
        <w:t xml:space="preserve">. Jedná se </w:t>
      </w:r>
      <w:r w:rsidR="005F3E8D">
        <w:rPr>
          <w:sz w:val="24"/>
          <w:szCs w:val="24"/>
        </w:rPr>
        <w:t xml:space="preserve">o </w:t>
      </w:r>
      <w:r w:rsidR="005F3E8D" w:rsidRPr="005F3E8D">
        <w:rPr>
          <w:sz w:val="24"/>
          <w:szCs w:val="24"/>
        </w:rPr>
        <w:t xml:space="preserve">systémový </w:t>
      </w:r>
      <w:r w:rsidR="0070334B">
        <w:rPr>
          <w:sz w:val="24"/>
          <w:szCs w:val="24"/>
        </w:rPr>
        <w:t>nedostatek</w:t>
      </w:r>
      <w:r w:rsidR="005F3E8D">
        <w:rPr>
          <w:sz w:val="24"/>
          <w:szCs w:val="24"/>
        </w:rPr>
        <w:t xml:space="preserve"> </w:t>
      </w:r>
      <w:r w:rsidR="00E63020">
        <w:rPr>
          <w:sz w:val="24"/>
          <w:szCs w:val="24"/>
        </w:rPr>
        <w:t>komplikující</w:t>
      </w:r>
      <w:r w:rsidR="005F3E8D">
        <w:rPr>
          <w:sz w:val="24"/>
          <w:szCs w:val="24"/>
        </w:rPr>
        <w:t xml:space="preserve"> </w:t>
      </w:r>
      <w:r w:rsidR="00E63020">
        <w:rPr>
          <w:sz w:val="24"/>
          <w:szCs w:val="24"/>
        </w:rPr>
        <w:t>Finanční správě ČR</w:t>
      </w:r>
      <w:r w:rsidR="005F3E8D">
        <w:rPr>
          <w:sz w:val="24"/>
          <w:szCs w:val="24"/>
        </w:rPr>
        <w:t xml:space="preserve"> </w:t>
      </w:r>
      <w:r w:rsidR="0070334B">
        <w:rPr>
          <w:sz w:val="24"/>
          <w:szCs w:val="24"/>
        </w:rPr>
        <w:t xml:space="preserve">celkové </w:t>
      </w:r>
      <w:r w:rsidR="005F3E8D">
        <w:rPr>
          <w:sz w:val="24"/>
          <w:szCs w:val="24"/>
        </w:rPr>
        <w:t>zhodnocení</w:t>
      </w:r>
      <w:r w:rsidR="005F3E8D" w:rsidRPr="005F3E8D">
        <w:rPr>
          <w:sz w:val="24"/>
          <w:szCs w:val="24"/>
        </w:rPr>
        <w:t xml:space="preserve"> systému správy </w:t>
      </w:r>
      <w:r w:rsidR="0070334B">
        <w:rPr>
          <w:sz w:val="24"/>
          <w:szCs w:val="24"/>
        </w:rPr>
        <w:t>DPFO</w:t>
      </w:r>
      <w:r w:rsidR="005F3E8D" w:rsidRPr="005F3E8D">
        <w:rPr>
          <w:sz w:val="24"/>
          <w:szCs w:val="24"/>
        </w:rPr>
        <w:t>.</w:t>
      </w:r>
    </w:p>
    <w:p w14:paraId="20482C27" w14:textId="5D5DB1C0" w:rsidR="004C3575" w:rsidRPr="009C2A08" w:rsidRDefault="009C2A08" w:rsidP="009C2A08">
      <w:pPr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1. </w:t>
      </w:r>
      <w:r w:rsidR="004C3575" w:rsidRPr="009C2A08">
        <w:rPr>
          <w:rFonts w:eastAsia="Times New Roman" w:cs="Times New Roman"/>
          <w:b/>
          <w:sz w:val="24"/>
          <w:szCs w:val="24"/>
        </w:rPr>
        <w:t xml:space="preserve">Inkaso DPFO a dopady legislativních změn DPFO </w:t>
      </w:r>
    </w:p>
    <w:p w14:paraId="0BD28C25" w14:textId="4D468880" w:rsidR="004C3575" w:rsidRDefault="004C3575" w:rsidP="00150D10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6216A0">
        <w:rPr>
          <w:rFonts w:eastAsia="Times New Roman" w:cs="Times New Roman"/>
          <w:sz w:val="24"/>
          <w:szCs w:val="24"/>
        </w:rPr>
        <w:t>Inkaso DPFO vzrostlo z</w:t>
      </w:r>
      <w:r w:rsidR="00AC2CDD" w:rsidRPr="006216A0">
        <w:rPr>
          <w:rFonts w:eastAsia="Times New Roman" w:cs="Times New Roman"/>
          <w:sz w:val="24"/>
          <w:szCs w:val="24"/>
        </w:rPr>
        <w:t xml:space="preserve"> 136,25 </w:t>
      </w:r>
      <w:r w:rsidRPr="006216A0">
        <w:rPr>
          <w:rFonts w:eastAsia="Times New Roman" w:cs="Times New Roman"/>
          <w:sz w:val="24"/>
          <w:szCs w:val="24"/>
        </w:rPr>
        <w:t xml:space="preserve">mld. Kč v roce 2012 na </w:t>
      </w:r>
      <w:r w:rsidR="00AC2CDD" w:rsidRPr="006216A0">
        <w:rPr>
          <w:rFonts w:eastAsia="Times New Roman" w:cs="Times New Roman"/>
          <w:sz w:val="24"/>
          <w:szCs w:val="24"/>
        </w:rPr>
        <w:t xml:space="preserve">154,32 </w:t>
      </w:r>
      <w:r w:rsidRPr="006216A0">
        <w:rPr>
          <w:rFonts w:eastAsia="Times New Roman" w:cs="Times New Roman"/>
          <w:sz w:val="24"/>
          <w:szCs w:val="24"/>
        </w:rPr>
        <w:t xml:space="preserve">mld. Kč v roce 2015. Příjmy státního rozpočtu nebyly u DPFO predikovány zcela přesně. Roční odchylka v predikci </w:t>
      </w:r>
      <w:r w:rsidR="005834DE">
        <w:rPr>
          <w:rFonts w:eastAsia="Times New Roman" w:cs="Times New Roman"/>
          <w:sz w:val="24"/>
          <w:szCs w:val="24"/>
        </w:rPr>
        <w:t>o</w:t>
      </w:r>
      <w:r w:rsidRPr="006216A0">
        <w:rPr>
          <w:rFonts w:eastAsia="Times New Roman" w:cs="Times New Roman"/>
          <w:sz w:val="24"/>
          <w:szCs w:val="24"/>
        </w:rPr>
        <w:t xml:space="preserve">proti skutečnému plnění v kontrolovaném období činila od 0,6 % do 6,1 %. Na nepřesnost predikcí inkasa DPFO měly mimo jiné vliv legislativní změny, které byly zaváděny. </w:t>
      </w:r>
    </w:p>
    <w:p w14:paraId="23ED4FC9" w14:textId="7DD0D27D" w:rsidR="003D37A7" w:rsidRPr="003D37A7" w:rsidRDefault="003D37A7" w:rsidP="00150D10">
      <w:pPr>
        <w:numPr>
          <w:ilvl w:val="0"/>
          <w:numId w:val="3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b/>
          <w:sz w:val="24"/>
          <w:szCs w:val="24"/>
        </w:rPr>
      </w:pPr>
      <w:r w:rsidRPr="001C0A87">
        <w:rPr>
          <w:rFonts w:eastAsia="Times New Roman" w:cs="Times New Roman"/>
          <w:sz w:val="24"/>
          <w:szCs w:val="24"/>
        </w:rPr>
        <w:t xml:space="preserve">Dopady jednotlivých legislativních změn </w:t>
      </w:r>
      <w:r w:rsidR="005834DE">
        <w:rPr>
          <w:rFonts w:eastAsia="Times New Roman" w:cs="Times New Roman"/>
          <w:sz w:val="24"/>
          <w:szCs w:val="24"/>
        </w:rPr>
        <w:t>na</w:t>
      </w:r>
      <w:r w:rsidRPr="001C0A87">
        <w:rPr>
          <w:rFonts w:eastAsia="Times New Roman" w:cs="Times New Roman"/>
          <w:sz w:val="24"/>
          <w:szCs w:val="24"/>
        </w:rPr>
        <w:t xml:space="preserve"> inkas</w:t>
      </w:r>
      <w:r w:rsidR="005834DE">
        <w:rPr>
          <w:rFonts w:eastAsia="Times New Roman" w:cs="Times New Roman"/>
          <w:sz w:val="24"/>
          <w:szCs w:val="24"/>
        </w:rPr>
        <w:t>o</w:t>
      </w:r>
      <w:r w:rsidRPr="001C0A87">
        <w:rPr>
          <w:rFonts w:eastAsia="Times New Roman" w:cs="Times New Roman"/>
          <w:sz w:val="24"/>
          <w:szCs w:val="24"/>
        </w:rPr>
        <w:t xml:space="preserve"> daně nebyly za příslušné roky kontrolovaného období kvantifikovány. </w:t>
      </w:r>
      <w:r w:rsidRPr="003D37A7">
        <w:rPr>
          <w:rFonts w:cstheme="minorHAnsi"/>
          <w:bCs/>
          <w:sz w:val="24"/>
          <w:szCs w:val="24"/>
        </w:rPr>
        <w:t>Důvodové zprávy k zákonům zavádějících legislativní změny uvádějí předpokládané dopady na příjmy státního rozpočtu, proto je žádoucí účinnost těchto změn následně vyhodno</w:t>
      </w:r>
      <w:r w:rsidR="009348AB">
        <w:rPr>
          <w:rFonts w:cstheme="minorHAnsi"/>
          <w:bCs/>
          <w:sz w:val="24"/>
          <w:szCs w:val="24"/>
        </w:rPr>
        <w:t xml:space="preserve">covat </w:t>
      </w:r>
      <w:r w:rsidRPr="003D37A7">
        <w:rPr>
          <w:rFonts w:cstheme="minorHAnsi"/>
          <w:bCs/>
          <w:sz w:val="24"/>
          <w:szCs w:val="24"/>
        </w:rPr>
        <w:t>včetně kvantifikace jejich skutečných dopadů do SR.</w:t>
      </w:r>
      <w:r w:rsidRPr="006216A0" w:rsidDel="003D37A7">
        <w:rPr>
          <w:rFonts w:eastAsia="Times New Roman" w:cs="Times New Roman"/>
          <w:sz w:val="24"/>
          <w:szCs w:val="24"/>
        </w:rPr>
        <w:t xml:space="preserve"> </w:t>
      </w:r>
    </w:p>
    <w:p w14:paraId="51E1AFDD" w14:textId="515A3FC8" w:rsidR="004C3575" w:rsidRPr="009C2A08" w:rsidRDefault="009C2A08" w:rsidP="009C2A08">
      <w:pPr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2. </w:t>
      </w:r>
      <w:r w:rsidR="004C3575" w:rsidRPr="009C2A08">
        <w:rPr>
          <w:rFonts w:eastAsia="Times New Roman" w:cs="Times New Roman"/>
          <w:b/>
          <w:sz w:val="24"/>
          <w:szCs w:val="24"/>
        </w:rPr>
        <w:t>Správa DPFO</w:t>
      </w:r>
    </w:p>
    <w:p w14:paraId="5A2495FD" w14:textId="48BA175A" w:rsidR="004C3575" w:rsidRPr="006216A0" w:rsidRDefault="004C3575" w:rsidP="00150D10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6216A0">
        <w:rPr>
          <w:rFonts w:eastAsia="Times New Roman" w:cs="Times New Roman"/>
          <w:sz w:val="24"/>
          <w:szCs w:val="24"/>
        </w:rPr>
        <w:t>Celkový počet od</w:t>
      </w:r>
      <w:r w:rsidR="008449E1">
        <w:rPr>
          <w:rFonts w:eastAsia="Times New Roman" w:cs="Times New Roman"/>
          <w:sz w:val="24"/>
          <w:szCs w:val="24"/>
        </w:rPr>
        <w:t>po</w:t>
      </w:r>
      <w:r w:rsidRPr="006216A0">
        <w:rPr>
          <w:rFonts w:eastAsia="Times New Roman" w:cs="Times New Roman"/>
          <w:sz w:val="24"/>
          <w:szCs w:val="24"/>
        </w:rPr>
        <w:t>čitatelných položek a slev na dani, jejich rozšiřování nebo naopak rušení, či nové zavádění slev, měl</w:t>
      </w:r>
      <w:r w:rsidR="00735955">
        <w:rPr>
          <w:rFonts w:eastAsia="Times New Roman" w:cs="Times New Roman"/>
          <w:sz w:val="24"/>
          <w:szCs w:val="24"/>
        </w:rPr>
        <w:t>y</w:t>
      </w:r>
      <w:r w:rsidRPr="006216A0">
        <w:rPr>
          <w:rFonts w:eastAsia="Times New Roman" w:cs="Times New Roman"/>
          <w:sz w:val="24"/>
          <w:szCs w:val="24"/>
        </w:rPr>
        <w:t xml:space="preserve"> negativní dopad na administrativní, personální a</w:t>
      </w:r>
      <w:r w:rsidR="002D5B57">
        <w:rPr>
          <w:rFonts w:eastAsia="Times New Roman" w:cs="Times New Roman"/>
          <w:sz w:val="24"/>
          <w:szCs w:val="24"/>
        </w:rPr>
        <w:t> </w:t>
      </w:r>
      <w:r w:rsidRPr="006216A0">
        <w:rPr>
          <w:rFonts w:eastAsia="Times New Roman" w:cs="Times New Roman"/>
          <w:sz w:val="24"/>
          <w:szCs w:val="24"/>
        </w:rPr>
        <w:t xml:space="preserve">technickou </w:t>
      </w:r>
      <w:r w:rsidRPr="006216A0">
        <w:rPr>
          <w:sz w:val="24"/>
          <w:szCs w:val="24"/>
        </w:rPr>
        <w:t>náročnost</w:t>
      </w:r>
      <w:r w:rsidRPr="006216A0">
        <w:rPr>
          <w:rFonts w:eastAsia="Times New Roman" w:cs="Times New Roman"/>
          <w:sz w:val="24"/>
          <w:szCs w:val="24"/>
        </w:rPr>
        <w:t xml:space="preserve"> správy DPFO. </w:t>
      </w:r>
    </w:p>
    <w:p w14:paraId="489AE98B" w14:textId="6FB6EC2A" w:rsidR="00290133" w:rsidRDefault="004C3575" w:rsidP="00150D10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6216A0">
        <w:rPr>
          <w:rFonts w:eastAsia="Times New Roman" w:cs="Times New Roman"/>
          <w:sz w:val="24"/>
          <w:szCs w:val="24"/>
        </w:rPr>
        <w:t>FS ČR odmítla</w:t>
      </w:r>
      <w:r w:rsidR="001B102D" w:rsidRPr="006216A0">
        <w:rPr>
          <w:rFonts w:eastAsia="Times New Roman" w:cs="Times New Roman"/>
          <w:sz w:val="24"/>
          <w:szCs w:val="24"/>
        </w:rPr>
        <w:t xml:space="preserve"> </w:t>
      </w:r>
      <w:r w:rsidRPr="006216A0">
        <w:rPr>
          <w:rFonts w:eastAsia="Times New Roman" w:cs="Times New Roman"/>
          <w:sz w:val="24"/>
          <w:szCs w:val="24"/>
        </w:rPr>
        <w:t>v</w:t>
      </w:r>
      <w:r w:rsidR="009C2A08">
        <w:rPr>
          <w:rFonts w:eastAsia="Times New Roman" w:cs="Times New Roman"/>
          <w:sz w:val="24"/>
          <w:szCs w:val="24"/>
        </w:rPr>
        <w:t> </w:t>
      </w:r>
      <w:r w:rsidRPr="006216A0">
        <w:rPr>
          <w:rFonts w:eastAsia="Times New Roman" w:cs="Times New Roman"/>
          <w:sz w:val="24"/>
          <w:szCs w:val="24"/>
        </w:rPr>
        <w:t>roce 2015 cca 25 tisíc daňových přiznání DPFO a vyúčtování daně podaných poplatníky elektronicky prostřednictvím datové schránky. O odmítnutí takových podání nebyli poplatníci automaticky elektronicky informováni.</w:t>
      </w:r>
      <w:r w:rsidR="001B102D" w:rsidRPr="006216A0">
        <w:rPr>
          <w:rFonts w:eastAsia="Times New Roman" w:cs="Times New Roman"/>
          <w:sz w:val="24"/>
          <w:szCs w:val="24"/>
        </w:rPr>
        <w:t xml:space="preserve"> </w:t>
      </w:r>
      <w:r w:rsidR="00290133" w:rsidRPr="006216A0">
        <w:rPr>
          <w:rFonts w:eastAsia="Times New Roman" w:cs="Times New Roman"/>
          <w:sz w:val="24"/>
          <w:szCs w:val="24"/>
        </w:rPr>
        <w:t>NKÚ identifikoval několik případů, kdy správci daně uložili pokutu za pozdní podání daňového přiznání</w:t>
      </w:r>
      <w:r w:rsidR="001E54BA">
        <w:rPr>
          <w:rFonts w:eastAsia="Times New Roman" w:cs="Times New Roman"/>
          <w:sz w:val="24"/>
          <w:szCs w:val="24"/>
        </w:rPr>
        <w:t>, aniž by poplatník</w:t>
      </w:r>
      <w:r w:rsidR="00D82931">
        <w:rPr>
          <w:rFonts w:eastAsia="Times New Roman" w:cs="Times New Roman"/>
          <w:sz w:val="24"/>
          <w:szCs w:val="24"/>
        </w:rPr>
        <w:t>ům zaslali</w:t>
      </w:r>
      <w:r w:rsidR="00290133" w:rsidRPr="006216A0">
        <w:rPr>
          <w:rFonts w:eastAsia="Times New Roman" w:cs="Times New Roman"/>
          <w:sz w:val="24"/>
          <w:szCs w:val="24"/>
        </w:rPr>
        <w:t xml:space="preserve"> výzv</w:t>
      </w:r>
      <w:r w:rsidR="00D82931">
        <w:rPr>
          <w:rFonts w:eastAsia="Times New Roman" w:cs="Times New Roman"/>
          <w:sz w:val="24"/>
          <w:szCs w:val="24"/>
        </w:rPr>
        <w:t>u</w:t>
      </w:r>
      <w:r w:rsidR="00290133" w:rsidRPr="006216A0">
        <w:rPr>
          <w:rFonts w:eastAsia="Times New Roman" w:cs="Times New Roman"/>
          <w:sz w:val="24"/>
          <w:szCs w:val="24"/>
        </w:rPr>
        <w:t xml:space="preserve"> k</w:t>
      </w:r>
      <w:r w:rsidR="009C2A08">
        <w:rPr>
          <w:rFonts w:eastAsia="Times New Roman" w:cs="Times New Roman"/>
          <w:sz w:val="24"/>
          <w:szCs w:val="24"/>
        </w:rPr>
        <w:t> </w:t>
      </w:r>
      <w:r w:rsidR="00290133" w:rsidRPr="006216A0">
        <w:rPr>
          <w:rFonts w:eastAsia="Times New Roman" w:cs="Times New Roman"/>
          <w:sz w:val="24"/>
          <w:szCs w:val="24"/>
        </w:rPr>
        <w:t>odstranění vad podání</w:t>
      </w:r>
      <w:r w:rsidR="001E54BA">
        <w:rPr>
          <w:rFonts w:eastAsia="Times New Roman" w:cs="Times New Roman"/>
          <w:sz w:val="24"/>
          <w:szCs w:val="24"/>
        </w:rPr>
        <w:t>, což je</w:t>
      </w:r>
      <w:r w:rsidR="00204E28">
        <w:rPr>
          <w:rFonts w:eastAsia="Times New Roman" w:cs="Times New Roman"/>
          <w:sz w:val="24"/>
          <w:szCs w:val="24"/>
        </w:rPr>
        <w:t xml:space="preserve"> v</w:t>
      </w:r>
      <w:r w:rsidR="009C2A08">
        <w:rPr>
          <w:rFonts w:eastAsia="Times New Roman" w:cs="Times New Roman"/>
          <w:sz w:val="24"/>
          <w:szCs w:val="24"/>
        </w:rPr>
        <w:t> </w:t>
      </w:r>
      <w:r w:rsidR="00204E28">
        <w:rPr>
          <w:rFonts w:eastAsia="Times New Roman" w:cs="Times New Roman"/>
          <w:sz w:val="24"/>
          <w:szCs w:val="24"/>
        </w:rPr>
        <w:t>rozporu s</w:t>
      </w:r>
      <w:r w:rsidR="009C2A08">
        <w:rPr>
          <w:rFonts w:eastAsia="Times New Roman" w:cs="Times New Roman"/>
          <w:sz w:val="24"/>
          <w:szCs w:val="24"/>
        </w:rPr>
        <w:t> </w:t>
      </w:r>
      <w:r w:rsidR="00204E28">
        <w:rPr>
          <w:rFonts w:eastAsia="Times New Roman" w:cs="Times New Roman"/>
          <w:sz w:val="24"/>
          <w:szCs w:val="24"/>
        </w:rPr>
        <w:t>daňovým řádem</w:t>
      </w:r>
      <w:r w:rsidR="00290133" w:rsidRPr="006216A0">
        <w:rPr>
          <w:rFonts w:eastAsia="Times New Roman" w:cs="Times New Roman"/>
          <w:sz w:val="24"/>
          <w:szCs w:val="24"/>
        </w:rPr>
        <w:t xml:space="preserve">. </w:t>
      </w:r>
    </w:p>
    <w:p w14:paraId="7E272118" w14:textId="139E0A69" w:rsidR="009348AB" w:rsidRPr="001423D2" w:rsidRDefault="009348AB" w:rsidP="00150D10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1423D2">
        <w:rPr>
          <w:rFonts w:eastAsia="Times New Roman" w:cs="Times New Roman"/>
          <w:sz w:val="24"/>
          <w:szCs w:val="24"/>
        </w:rPr>
        <w:t>Správci daně u DPFO ze závislé činnosti disponovali pouze souhrnnými údaji o</w:t>
      </w:r>
      <w:r w:rsidR="002D5B57">
        <w:rPr>
          <w:rFonts w:eastAsia="Times New Roman" w:cs="Times New Roman"/>
          <w:sz w:val="24"/>
          <w:szCs w:val="24"/>
        </w:rPr>
        <w:t> </w:t>
      </w:r>
      <w:r w:rsidRPr="001423D2">
        <w:rPr>
          <w:rFonts w:eastAsia="Times New Roman" w:cs="Times New Roman"/>
          <w:sz w:val="24"/>
          <w:szCs w:val="24"/>
        </w:rPr>
        <w:t>poplatnících</w:t>
      </w:r>
      <w:r w:rsidRPr="00130EDE">
        <w:rPr>
          <w:rFonts w:eastAsia="Times New Roman" w:cs="Times New Roman"/>
          <w:sz w:val="24"/>
          <w:szCs w:val="24"/>
        </w:rPr>
        <w:t>, což omezovalo zacílení kontrolní činnosti na konkrétní rizikové oblasti, tvorbu predikcí legislativních změn a inkasa</w:t>
      </w:r>
      <w:r w:rsidRPr="001423D2">
        <w:rPr>
          <w:rFonts w:eastAsia="Times New Roman" w:cs="Times New Roman"/>
          <w:sz w:val="24"/>
          <w:szCs w:val="24"/>
        </w:rPr>
        <w:t xml:space="preserve"> DPFO, přehled o míře využívání jednotlivých institutů snižujících základ daně a daň. </w:t>
      </w:r>
    </w:p>
    <w:p w14:paraId="79FE6324" w14:textId="19552309" w:rsidR="004C3575" w:rsidRPr="006216A0" w:rsidRDefault="001756A4" w:rsidP="00150D10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</w:t>
      </w:r>
      <w:r w:rsidRPr="006216A0">
        <w:rPr>
          <w:rFonts w:eastAsia="Times New Roman" w:cs="Times New Roman"/>
          <w:sz w:val="24"/>
          <w:szCs w:val="24"/>
        </w:rPr>
        <w:t>ákon o daních z</w:t>
      </w:r>
      <w:r w:rsidR="009C2A08">
        <w:rPr>
          <w:rFonts w:eastAsia="Times New Roman" w:cs="Times New Roman"/>
          <w:sz w:val="24"/>
          <w:szCs w:val="24"/>
        </w:rPr>
        <w:t> </w:t>
      </w:r>
      <w:r w:rsidRPr="006216A0">
        <w:rPr>
          <w:rFonts w:eastAsia="Times New Roman" w:cs="Times New Roman"/>
          <w:sz w:val="24"/>
          <w:szCs w:val="24"/>
        </w:rPr>
        <w:t xml:space="preserve">příjmů nevyžaduje na potvrzení </w:t>
      </w:r>
      <w:r>
        <w:rPr>
          <w:rFonts w:eastAsia="Times New Roman" w:cs="Times New Roman"/>
          <w:sz w:val="24"/>
          <w:szCs w:val="24"/>
        </w:rPr>
        <w:t xml:space="preserve">předškolního zařízení o výši vynaložených výdajů </w:t>
      </w:r>
      <w:r w:rsidRPr="006216A0">
        <w:rPr>
          <w:rFonts w:eastAsia="Times New Roman" w:cs="Times New Roman"/>
          <w:sz w:val="24"/>
          <w:szCs w:val="24"/>
        </w:rPr>
        <w:t>identifikaci poplatníka</w:t>
      </w:r>
      <w:r w:rsidR="001423D2">
        <w:rPr>
          <w:rFonts w:eastAsia="Times New Roman" w:cs="Times New Roman"/>
          <w:sz w:val="24"/>
          <w:szCs w:val="24"/>
        </w:rPr>
        <w:t xml:space="preserve">, který si </w:t>
      </w:r>
      <w:r w:rsidR="00F55B02">
        <w:rPr>
          <w:rFonts w:eastAsia="Times New Roman" w:cs="Times New Roman"/>
          <w:sz w:val="24"/>
          <w:szCs w:val="24"/>
        </w:rPr>
        <w:t xml:space="preserve">slevu </w:t>
      </w:r>
      <w:r w:rsidR="001423D2">
        <w:rPr>
          <w:rFonts w:eastAsia="Times New Roman" w:cs="Times New Roman"/>
          <w:sz w:val="24"/>
          <w:szCs w:val="24"/>
        </w:rPr>
        <w:t xml:space="preserve">za umístění dítěte do předškolního zařízení </w:t>
      </w:r>
      <w:r w:rsidR="00F55B02">
        <w:rPr>
          <w:rFonts w:eastAsia="Times New Roman" w:cs="Times New Roman"/>
          <w:sz w:val="24"/>
          <w:szCs w:val="24"/>
        </w:rPr>
        <w:t>uplatnil.</w:t>
      </w:r>
      <w:r>
        <w:rPr>
          <w:rFonts w:eastAsia="Times New Roman" w:cs="Times New Roman"/>
          <w:sz w:val="24"/>
          <w:szCs w:val="24"/>
        </w:rPr>
        <w:t xml:space="preserve"> </w:t>
      </w:r>
      <w:r w:rsidR="00204E28">
        <w:rPr>
          <w:rFonts w:eastAsia="Times New Roman" w:cs="Times New Roman"/>
          <w:sz w:val="24"/>
          <w:szCs w:val="24"/>
        </w:rPr>
        <w:t>NKÚ spatřuje</w:t>
      </w:r>
      <w:r w:rsidR="00204E28" w:rsidRPr="006216A0">
        <w:rPr>
          <w:rFonts w:eastAsia="Times New Roman" w:cs="Times New Roman"/>
          <w:sz w:val="24"/>
          <w:szCs w:val="24"/>
        </w:rPr>
        <w:t xml:space="preserve"> </w:t>
      </w:r>
      <w:r w:rsidR="00204E28">
        <w:rPr>
          <w:rFonts w:eastAsia="Times New Roman" w:cs="Times New Roman"/>
          <w:sz w:val="24"/>
          <w:szCs w:val="24"/>
        </w:rPr>
        <w:t>riziko neoprávněného uplatnění</w:t>
      </w:r>
      <w:r w:rsidR="00204E28" w:rsidRPr="006216A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této </w:t>
      </w:r>
      <w:r w:rsidR="00204E28">
        <w:rPr>
          <w:rFonts w:eastAsia="Times New Roman" w:cs="Times New Roman"/>
          <w:sz w:val="24"/>
          <w:szCs w:val="24"/>
        </w:rPr>
        <w:t>slevy</w:t>
      </w:r>
      <w:r w:rsidR="00204E28" w:rsidRPr="006216A0">
        <w:rPr>
          <w:rFonts w:eastAsia="Times New Roman" w:cs="Times New Roman"/>
          <w:sz w:val="24"/>
          <w:szCs w:val="24"/>
        </w:rPr>
        <w:t xml:space="preserve"> více poplatníky</w:t>
      </w:r>
      <w:r w:rsidR="00204E28">
        <w:rPr>
          <w:rFonts w:eastAsia="Times New Roman" w:cs="Times New Roman"/>
          <w:sz w:val="24"/>
          <w:szCs w:val="24"/>
        </w:rPr>
        <w:t>.</w:t>
      </w:r>
      <w:r w:rsidR="00290133" w:rsidRPr="006216A0">
        <w:rPr>
          <w:rFonts w:eastAsia="Times New Roman" w:cs="Times New Roman"/>
          <w:sz w:val="24"/>
          <w:szCs w:val="24"/>
        </w:rPr>
        <w:t xml:space="preserve"> </w:t>
      </w:r>
    </w:p>
    <w:p w14:paraId="590B06EF" w14:textId="0F9D07BF" w:rsidR="004C3575" w:rsidRPr="009C2A08" w:rsidRDefault="009C2A08" w:rsidP="009C2A08">
      <w:pPr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3. </w:t>
      </w:r>
      <w:r w:rsidR="004C3575" w:rsidRPr="009C2A08">
        <w:rPr>
          <w:rFonts w:eastAsia="Times New Roman" w:cs="Times New Roman"/>
          <w:b/>
          <w:sz w:val="24"/>
          <w:szCs w:val="24"/>
        </w:rPr>
        <w:t>Efektivnost a nákladovost správy DPFO</w:t>
      </w:r>
    </w:p>
    <w:p w14:paraId="1715DEA9" w14:textId="00DA12AE" w:rsidR="004C3575" w:rsidRPr="0034028D" w:rsidRDefault="00CE5E8A" w:rsidP="00150D10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1423D2">
        <w:rPr>
          <w:rFonts w:eastAsia="Times New Roman" w:cs="Calibri"/>
          <w:sz w:val="24"/>
          <w:szCs w:val="24"/>
        </w:rPr>
        <w:t>Celková e</w:t>
      </w:r>
      <w:r w:rsidR="004A251F" w:rsidRPr="001423D2">
        <w:rPr>
          <w:rFonts w:eastAsia="Times New Roman" w:cs="Calibri"/>
          <w:sz w:val="24"/>
          <w:szCs w:val="24"/>
        </w:rPr>
        <w:t xml:space="preserve">fektivnost správy </w:t>
      </w:r>
      <w:r w:rsidRPr="001423D2">
        <w:rPr>
          <w:rFonts w:eastAsia="Times New Roman" w:cs="Calibri"/>
          <w:sz w:val="24"/>
          <w:szCs w:val="24"/>
        </w:rPr>
        <w:t>DPFO</w:t>
      </w:r>
      <w:r w:rsidR="0012655F">
        <w:rPr>
          <w:rFonts w:eastAsia="Times New Roman" w:cs="Calibri"/>
          <w:sz w:val="24"/>
          <w:szCs w:val="24"/>
        </w:rPr>
        <w:t>,</w:t>
      </w:r>
      <w:r w:rsidR="00E97531" w:rsidRPr="001423D2">
        <w:rPr>
          <w:rFonts w:eastAsia="Times New Roman" w:cs="Calibri"/>
          <w:sz w:val="24"/>
          <w:szCs w:val="24"/>
        </w:rPr>
        <w:t xml:space="preserve"> vyjádřená podle metody FS </w:t>
      </w:r>
      <w:r w:rsidR="00E97531" w:rsidRPr="00130EDE">
        <w:rPr>
          <w:rFonts w:eastAsia="Times New Roman" w:cs="Calibri"/>
          <w:sz w:val="24"/>
          <w:szCs w:val="24"/>
        </w:rPr>
        <w:t>ČR</w:t>
      </w:r>
      <w:r w:rsidR="0012655F">
        <w:rPr>
          <w:rFonts w:eastAsia="Times New Roman" w:cs="Calibri"/>
          <w:sz w:val="24"/>
          <w:szCs w:val="24"/>
        </w:rPr>
        <w:t>,</w:t>
      </w:r>
      <w:r w:rsidR="00E97531" w:rsidRPr="00130EDE">
        <w:rPr>
          <w:rFonts w:eastAsia="Times New Roman" w:cs="Calibri"/>
          <w:sz w:val="24"/>
          <w:szCs w:val="24"/>
        </w:rPr>
        <w:t xml:space="preserve"> činila v</w:t>
      </w:r>
      <w:r w:rsidR="009C2A08">
        <w:rPr>
          <w:rFonts w:eastAsia="Times New Roman" w:cs="Calibri"/>
          <w:sz w:val="24"/>
          <w:szCs w:val="24"/>
        </w:rPr>
        <w:t> </w:t>
      </w:r>
      <w:r w:rsidR="00E97531" w:rsidRPr="00130EDE">
        <w:rPr>
          <w:rFonts w:eastAsia="Times New Roman" w:cs="Calibri"/>
          <w:sz w:val="24"/>
          <w:szCs w:val="24"/>
        </w:rPr>
        <w:t>roce 2015</w:t>
      </w:r>
      <w:r w:rsidR="009E75BF">
        <w:rPr>
          <w:rFonts w:eastAsia="Times New Roman" w:cs="Calibri"/>
          <w:sz w:val="24"/>
          <w:szCs w:val="24"/>
        </w:rPr>
        <w:t xml:space="preserve"> </w:t>
      </w:r>
      <w:r w:rsidR="00E97531" w:rsidRPr="001423D2">
        <w:rPr>
          <w:rFonts w:eastAsia="Times New Roman" w:cs="Calibri"/>
          <w:sz w:val="24"/>
          <w:szCs w:val="24"/>
        </w:rPr>
        <w:t>cca</w:t>
      </w:r>
      <w:r w:rsidR="009E75BF">
        <w:rPr>
          <w:rFonts w:eastAsia="Times New Roman" w:cs="Calibri"/>
          <w:sz w:val="24"/>
          <w:szCs w:val="24"/>
        </w:rPr>
        <w:t> </w:t>
      </w:r>
      <w:r w:rsidR="000E3698" w:rsidRPr="001423D2">
        <w:rPr>
          <w:rFonts w:eastAsia="Times New Roman" w:cs="Calibri"/>
          <w:sz w:val="24"/>
          <w:szCs w:val="24"/>
        </w:rPr>
        <w:t>156 Kč příjmů na 1 Kč výdajů</w:t>
      </w:r>
      <w:r w:rsidR="00D609E9">
        <w:rPr>
          <w:rFonts w:eastAsia="Times New Roman" w:cs="Calibri"/>
          <w:sz w:val="24"/>
          <w:szCs w:val="24"/>
        </w:rPr>
        <w:t>.</w:t>
      </w:r>
      <w:r w:rsidRPr="00130EDE">
        <w:rPr>
          <w:rFonts w:eastAsia="Times New Roman" w:cs="Calibri"/>
          <w:sz w:val="24"/>
          <w:szCs w:val="24"/>
        </w:rPr>
        <w:t xml:space="preserve"> </w:t>
      </w:r>
      <w:r w:rsidR="00D609E9">
        <w:rPr>
          <w:rFonts w:eastAsia="Times New Roman" w:cs="Calibri"/>
          <w:sz w:val="24"/>
          <w:szCs w:val="24"/>
        </w:rPr>
        <w:t>Efektivnost správy DPFO je</w:t>
      </w:r>
      <w:r w:rsidR="004A251F" w:rsidRPr="00130EDE">
        <w:rPr>
          <w:rFonts w:eastAsia="Times New Roman" w:cs="Calibri"/>
          <w:sz w:val="24"/>
          <w:szCs w:val="24"/>
        </w:rPr>
        <w:t xml:space="preserve"> </w:t>
      </w:r>
      <w:r w:rsidRPr="00130EDE">
        <w:rPr>
          <w:rFonts w:eastAsia="Times New Roman" w:cs="Calibri"/>
          <w:sz w:val="24"/>
          <w:szCs w:val="24"/>
        </w:rPr>
        <w:t xml:space="preserve">pozitivně </w:t>
      </w:r>
      <w:r w:rsidR="004A251F" w:rsidRPr="000B3F50">
        <w:rPr>
          <w:rFonts w:eastAsia="Times New Roman" w:cs="Calibri"/>
          <w:sz w:val="24"/>
          <w:szCs w:val="24"/>
        </w:rPr>
        <w:t xml:space="preserve">ovlivněna </w:t>
      </w:r>
      <w:r w:rsidRPr="000B3F50">
        <w:rPr>
          <w:rFonts w:eastAsia="Times New Roman" w:cs="Calibri"/>
          <w:sz w:val="24"/>
          <w:szCs w:val="24"/>
        </w:rPr>
        <w:t xml:space="preserve">zejména </w:t>
      </w:r>
      <w:r w:rsidR="004A251F" w:rsidRPr="000B3F50">
        <w:rPr>
          <w:rFonts w:eastAsia="Times New Roman" w:cs="Calibri"/>
          <w:sz w:val="24"/>
          <w:szCs w:val="24"/>
        </w:rPr>
        <w:t xml:space="preserve">přenesením </w:t>
      </w:r>
      <w:r w:rsidR="001423D2" w:rsidRPr="00684ABE">
        <w:rPr>
          <w:rFonts w:eastAsia="Times New Roman" w:cs="Calibri"/>
          <w:sz w:val="24"/>
          <w:szCs w:val="24"/>
        </w:rPr>
        <w:t xml:space="preserve">značné </w:t>
      </w:r>
      <w:r w:rsidR="004A251F" w:rsidRPr="00684ABE">
        <w:rPr>
          <w:rFonts w:eastAsia="Times New Roman" w:cs="Calibri"/>
          <w:sz w:val="24"/>
          <w:szCs w:val="24"/>
        </w:rPr>
        <w:t xml:space="preserve">části povinností </w:t>
      </w:r>
      <w:r w:rsidRPr="00684ABE">
        <w:rPr>
          <w:rFonts w:eastAsia="Times New Roman" w:cs="Calibri"/>
          <w:sz w:val="24"/>
          <w:szCs w:val="24"/>
        </w:rPr>
        <w:t xml:space="preserve">při správě DPFO ze závislé činnosti </w:t>
      </w:r>
      <w:r w:rsidR="004A251F" w:rsidRPr="00684ABE">
        <w:rPr>
          <w:rFonts w:eastAsia="Times New Roman" w:cs="Calibri"/>
          <w:sz w:val="24"/>
          <w:szCs w:val="24"/>
        </w:rPr>
        <w:t xml:space="preserve">na plátce daně. </w:t>
      </w:r>
      <w:r w:rsidR="007F632F" w:rsidRPr="007841AF">
        <w:rPr>
          <w:rFonts w:eastAsia="Times New Roman" w:cs="Calibri"/>
          <w:sz w:val="24"/>
          <w:szCs w:val="24"/>
        </w:rPr>
        <w:t>Celková e</w:t>
      </w:r>
      <w:r w:rsidR="007F632F" w:rsidRPr="00E77E7D">
        <w:rPr>
          <w:rFonts w:eastAsia="Times New Roman" w:cs="Calibri"/>
          <w:sz w:val="24"/>
          <w:szCs w:val="24"/>
        </w:rPr>
        <w:t xml:space="preserve">fektivnost všech daní vybíraných FS </w:t>
      </w:r>
      <w:r w:rsidR="007F632F" w:rsidRPr="0012655F">
        <w:rPr>
          <w:rFonts w:eastAsia="Times New Roman" w:cs="Calibri"/>
          <w:sz w:val="24"/>
          <w:szCs w:val="24"/>
        </w:rPr>
        <w:t xml:space="preserve">ČR činila </w:t>
      </w:r>
      <w:r w:rsidR="001C26E4" w:rsidRPr="001423D2">
        <w:rPr>
          <w:rFonts w:eastAsia="Times New Roman" w:cs="Calibri"/>
          <w:sz w:val="24"/>
          <w:szCs w:val="24"/>
        </w:rPr>
        <w:t xml:space="preserve">cca </w:t>
      </w:r>
      <w:r w:rsidR="007F632F" w:rsidRPr="001423D2">
        <w:rPr>
          <w:rFonts w:eastAsia="Times New Roman" w:cs="Calibri"/>
          <w:sz w:val="24"/>
          <w:szCs w:val="24"/>
        </w:rPr>
        <w:t>73 Kč příjmů na 1 Kč výdajů.</w:t>
      </w:r>
      <w:r w:rsidR="007F632F" w:rsidRPr="00130EDE">
        <w:rPr>
          <w:rFonts w:eastAsia="Times New Roman" w:cs="Calibri"/>
          <w:sz w:val="24"/>
          <w:szCs w:val="24"/>
        </w:rPr>
        <w:t xml:space="preserve"> </w:t>
      </w:r>
      <w:r w:rsidR="00ED5189" w:rsidRPr="00130EDE">
        <w:rPr>
          <w:rFonts w:eastAsia="Times New Roman" w:cs="Calibri"/>
          <w:sz w:val="24"/>
          <w:szCs w:val="24"/>
        </w:rPr>
        <w:t xml:space="preserve">NKÚ odhadl </w:t>
      </w:r>
      <w:r w:rsidR="004A251F" w:rsidRPr="00130EDE">
        <w:rPr>
          <w:rFonts w:eastAsia="Times New Roman" w:cs="Calibri"/>
          <w:sz w:val="24"/>
          <w:szCs w:val="24"/>
        </w:rPr>
        <w:t xml:space="preserve">náklady </w:t>
      </w:r>
      <w:r w:rsidR="0053397B" w:rsidRPr="00130EDE">
        <w:rPr>
          <w:rFonts w:eastAsia="Times New Roman" w:cs="Calibri"/>
          <w:sz w:val="24"/>
          <w:szCs w:val="24"/>
        </w:rPr>
        <w:t>plátců</w:t>
      </w:r>
      <w:r w:rsidR="004A251F" w:rsidRPr="00130EDE">
        <w:rPr>
          <w:rFonts w:eastAsia="Times New Roman" w:cs="Calibri"/>
          <w:sz w:val="24"/>
          <w:szCs w:val="24"/>
        </w:rPr>
        <w:t>, které by FS ČR vynaložila</w:t>
      </w:r>
      <w:r w:rsidR="004A251F" w:rsidRPr="000B3F50">
        <w:rPr>
          <w:rFonts w:eastAsia="Times New Roman" w:cs="Calibri"/>
          <w:sz w:val="24"/>
          <w:szCs w:val="24"/>
        </w:rPr>
        <w:t xml:space="preserve"> v</w:t>
      </w:r>
      <w:r w:rsidR="009C2A08">
        <w:rPr>
          <w:rFonts w:eastAsia="Times New Roman" w:cs="Calibri"/>
          <w:sz w:val="24"/>
          <w:szCs w:val="24"/>
        </w:rPr>
        <w:t> </w:t>
      </w:r>
      <w:r w:rsidR="004A251F" w:rsidRPr="000B3F50">
        <w:rPr>
          <w:rFonts w:eastAsia="Times New Roman" w:cs="Calibri"/>
          <w:sz w:val="24"/>
          <w:szCs w:val="24"/>
        </w:rPr>
        <w:t>roce 2015</w:t>
      </w:r>
      <w:r w:rsidR="001E54BA">
        <w:rPr>
          <w:rFonts w:eastAsia="Times New Roman" w:cs="Calibri"/>
          <w:sz w:val="24"/>
          <w:szCs w:val="24"/>
        </w:rPr>
        <w:t>,</w:t>
      </w:r>
      <w:r w:rsidR="004A251F" w:rsidRPr="000B3F50">
        <w:rPr>
          <w:rFonts w:eastAsia="Times New Roman" w:cs="Calibri"/>
          <w:sz w:val="24"/>
          <w:szCs w:val="24"/>
        </w:rPr>
        <w:t xml:space="preserve"> </w:t>
      </w:r>
      <w:r w:rsidR="0053397B" w:rsidRPr="000B3F50">
        <w:rPr>
          <w:rFonts w:eastAsia="Times New Roman" w:cs="Calibri"/>
          <w:sz w:val="24"/>
          <w:szCs w:val="24"/>
        </w:rPr>
        <w:t xml:space="preserve">na </w:t>
      </w:r>
      <w:r w:rsidR="004A251F" w:rsidRPr="00684ABE">
        <w:rPr>
          <w:rFonts w:eastAsia="Times New Roman" w:cs="Calibri"/>
          <w:sz w:val="24"/>
          <w:szCs w:val="24"/>
        </w:rPr>
        <w:t xml:space="preserve">cca 948,5 mil. Kč. </w:t>
      </w:r>
      <w:r w:rsidR="0053397B" w:rsidRPr="00684ABE">
        <w:rPr>
          <w:rFonts w:eastAsia="Times New Roman" w:cs="Calibri"/>
          <w:sz w:val="24"/>
          <w:szCs w:val="24"/>
        </w:rPr>
        <w:t xml:space="preserve">Při </w:t>
      </w:r>
      <w:r w:rsidR="0053397B" w:rsidRPr="00684ABE">
        <w:rPr>
          <w:rFonts w:eastAsia="Times New Roman" w:cs="Calibri"/>
          <w:sz w:val="24"/>
          <w:szCs w:val="24"/>
        </w:rPr>
        <w:lastRenderedPageBreak/>
        <w:t xml:space="preserve">zohlednění těchto nákladů </w:t>
      </w:r>
      <w:r w:rsidR="00C72900" w:rsidRPr="00684ABE">
        <w:rPr>
          <w:rFonts w:eastAsia="Times New Roman" w:cs="Calibri"/>
          <w:sz w:val="24"/>
          <w:szCs w:val="24"/>
        </w:rPr>
        <w:t xml:space="preserve">by </w:t>
      </w:r>
      <w:r w:rsidR="0053397B" w:rsidRPr="00684ABE">
        <w:rPr>
          <w:rFonts w:eastAsia="Times New Roman" w:cs="Calibri"/>
          <w:sz w:val="24"/>
          <w:szCs w:val="24"/>
        </w:rPr>
        <w:t xml:space="preserve">byla </w:t>
      </w:r>
      <w:r w:rsidR="00ED5189" w:rsidRPr="00684ABE">
        <w:rPr>
          <w:rFonts w:eastAsia="Times New Roman" w:cs="Calibri"/>
          <w:sz w:val="24"/>
          <w:szCs w:val="24"/>
        </w:rPr>
        <w:t xml:space="preserve">efektivnost </w:t>
      </w:r>
      <w:r w:rsidR="00ED5189" w:rsidRPr="007841AF">
        <w:rPr>
          <w:rFonts w:eastAsia="Times New Roman" w:cs="Calibri"/>
          <w:sz w:val="24"/>
          <w:szCs w:val="24"/>
        </w:rPr>
        <w:t>správy DPFO</w:t>
      </w:r>
      <w:r w:rsidR="0053397B" w:rsidRPr="00E77E7D">
        <w:rPr>
          <w:rFonts w:eastAsia="Times New Roman" w:cs="Calibri"/>
          <w:sz w:val="24"/>
          <w:szCs w:val="24"/>
        </w:rPr>
        <w:t xml:space="preserve"> v</w:t>
      </w:r>
      <w:r w:rsidR="009C2A08">
        <w:rPr>
          <w:rFonts w:eastAsia="Times New Roman" w:cs="Calibri"/>
          <w:sz w:val="24"/>
          <w:szCs w:val="24"/>
        </w:rPr>
        <w:t> </w:t>
      </w:r>
      <w:r w:rsidR="0053397B" w:rsidRPr="00E77E7D">
        <w:rPr>
          <w:rFonts w:eastAsia="Times New Roman" w:cs="Calibri"/>
          <w:sz w:val="24"/>
          <w:szCs w:val="24"/>
        </w:rPr>
        <w:t>roce 2015</w:t>
      </w:r>
      <w:r w:rsidR="00ED5189" w:rsidRPr="00E77E7D">
        <w:rPr>
          <w:rFonts w:eastAsia="Times New Roman" w:cs="Calibri"/>
          <w:sz w:val="24"/>
          <w:szCs w:val="24"/>
        </w:rPr>
        <w:t xml:space="preserve"> </w:t>
      </w:r>
      <w:r w:rsidR="001C26E4" w:rsidRPr="0012655F">
        <w:rPr>
          <w:rFonts w:eastAsia="Times New Roman" w:cs="Calibri"/>
          <w:sz w:val="24"/>
          <w:szCs w:val="24"/>
        </w:rPr>
        <w:t>cca 76 Kč příjmů na 1 Kč výdajů</w:t>
      </w:r>
      <w:r w:rsidR="00ED5189" w:rsidRPr="0012655F">
        <w:rPr>
          <w:rFonts w:eastAsia="Times New Roman" w:cs="Calibri"/>
          <w:sz w:val="24"/>
          <w:szCs w:val="24"/>
        </w:rPr>
        <w:t>.</w:t>
      </w:r>
      <w:r w:rsidR="00FE0759">
        <w:rPr>
          <w:rFonts w:eastAsia="Times New Roman" w:cs="Calibri"/>
          <w:sz w:val="24"/>
          <w:szCs w:val="24"/>
        </w:rPr>
        <w:t xml:space="preserve"> V</w:t>
      </w:r>
      <w:r w:rsidR="009C2A08">
        <w:rPr>
          <w:rFonts w:eastAsia="Times New Roman" w:cs="Calibri"/>
          <w:sz w:val="24"/>
          <w:szCs w:val="24"/>
        </w:rPr>
        <w:t> </w:t>
      </w:r>
      <w:r w:rsidR="00FE0759">
        <w:rPr>
          <w:rFonts w:eastAsia="Times New Roman" w:cs="Calibri"/>
          <w:sz w:val="24"/>
          <w:szCs w:val="24"/>
        </w:rPr>
        <w:t xml:space="preserve">kontrolovaném období byla efektivnost správy DPFO konstantní. </w:t>
      </w:r>
    </w:p>
    <w:p w14:paraId="3D0BB916" w14:textId="14F7C8AB" w:rsidR="004C3575" w:rsidRPr="006216A0" w:rsidRDefault="004C3575" w:rsidP="00150D10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6216A0">
        <w:rPr>
          <w:rFonts w:eastAsia="Times New Roman" w:cs="Times New Roman"/>
          <w:sz w:val="24"/>
          <w:szCs w:val="24"/>
        </w:rPr>
        <w:t xml:space="preserve">Personální systém FS ČR neumožňoval sledovat </w:t>
      </w:r>
      <w:r w:rsidR="003847CE" w:rsidRPr="006216A0">
        <w:rPr>
          <w:rFonts w:eastAsia="Times New Roman" w:cs="Times New Roman"/>
          <w:sz w:val="24"/>
          <w:szCs w:val="24"/>
        </w:rPr>
        <w:t>zařazení</w:t>
      </w:r>
      <w:r w:rsidR="005F5429" w:rsidRPr="006216A0">
        <w:rPr>
          <w:rFonts w:eastAsia="Times New Roman" w:cs="Times New Roman"/>
          <w:sz w:val="24"/>
          <w:szCs w:val="24"/>
        </w:rPr>
        <w:t xml:space="preserve"> </w:t>
      </w:r>
      <w:r w:rsidRPr="006216A0">
        <w:rPr>
          <w:rFonts w:eastAsia="Times New Roman" w:cs="Times New Roman"/>
          <w:sz w:val="24"/>
          <w:szCs w:val="24"/>
        </w:rPr>
        <w:t>pracovníků podle prováděných činností. FS ČR neprováděla v</w:t>
      </w:r>
      <w:r w:rsidR="009C2A08">
        <w:rPr>
          <w:rFonts w:eastAsia="Times New Roman" w:cs="Times New Roman"/>
          <w:sz w:val="24"/>
          <w:szCs w:val="24"/>
        </w:rPr>
        <w:t> </w:t>
      </w:r>
      <w:r w:rsidRPr="006216A0">
        <w:rPr>
          <w:rFonts w:eastAsia="Times New Roman" w:cs="Times New Roman"/>
          <w:sz w:val="24"/>
          <w:szCs w:val="24"/>
        </w:rPr>
        <w:t>kontrolovaném období analý</w:t>
      </w:r>
      <w:r w:rsidR="00150D10">
        <w:rPr>
          <w:rFonts w:eastAsia="Times New Roman" w:cs="Times New Roman"/>
          <w:sz w:val="24"/>
          <w:szCs w:val="24"/>
        </w:rPr>
        <w:t>zu výkonnostních ukazatelů, tj. </w:t>
      </w:r>
      <w:r w:rsidRPr="006216A0">
        <w:rPr>
          <w:rFonts w:eastAsia="Times New Roman" w:cs="Times New Roman"/>
          <w:sz w:val="24"/>
          <w:szCs w:val="24"/>
        </w:rPr>
        <w:t>vytíženosti správců daně, která by mohla přispět k</w:t>
      </w:r>
      <w:r w:rsidR="009C2A08">
        <w:rPr>
          <w:rFonts w:eastAsia="Times New Roman" w:cs="Times New Roman"/>
          <w:sz w:val="24"/>
          <w:szCs w:val="24"/>
        </w:rPr>
        <w:t> </w:t>
      </w:r>
      <w:r w:rsidRPr="006216A0">
        <w:rPr>
          <w:rFonts w:eastAsia="Times New Roman" w:cs="Times New Roman"/>
          <w:sz w:val="24"/>
          <w:szCs w:val="24"/>
        </w:rPr>
        <w:t>odhalení</w:t>
      </w:r>
      <w:r w:rsidR="005F5429" w:rsidRPr="006216A0">
        <w:rPr>
          <w:rFonts w:eastAsia="Times New Roman" w:cs="Times New Roman"/>
          <w:sz w:val="24"/>
          <w:szCs w:val="24"/>
        </w:rPr>
        <w:t xml:space="preserve"> </w:t>
      </w:r>
      <w:r w:rsidR="00334C83" w:rsidRPr="006216A0">
        <w:rPr>
          <w:rFonts w:eastAsia="Times New Roman" w:cs="Times New Roman"/>
          <w:sz w:val="24"/>
          <w:szCs w:val="24"/>
        </w:rPr>
        <w:t>možných</w:t>
      </w:r>
      <w:r w:rsidRPr="006216A0">
        <w:rPr>
          <w:rFonts w:eastAsia="Times New Roman" w:cs="Times New Roman"/>
          <w:sz w:val="24"/>
          <w:szCs w:val="24"/>
        </w:rPr>
        <w:t xml:space="preserve"> nedostatků a</w:t>
      </w:r>
      <w:r w:rsidR="001E54BA">
        <w:rPr>
          <w:rFonts w:eastAsia="Times New Roman" w:cs="Times New Roman"/>
          <w:sz w:val="24"/>
          <w:szCs w:val="24"/>
        </w:rPr>
        <w:t> </w:t>
      </w:r>
      <w:r w:rsidRPr="006216A0">
        <w:rPr>
          <w:rFonts w:eastAsia="Times New Roman" w:cs="Times New Roman"/>
          <w:sz w:val="24"/>
          <w:szCs w:val="24"/>
        </w:rPr>
        <w:t xml:space="preserve">rezerv </w:t>
      </w:r>
      <w:r w:rsidR="00334C83" w:rsidRPr="006216A0">
        <w:rPr>
          <w:rFonts w:eastAsia="Times New Roman" w:cs="Times New Roman"/>
          <w:sz w:val="24"/>
          <w:szCs w:val="24"/>
        </w:rPr>
        <w:t>spočívajících v</w:t>
      </w:r>
      <w:r w:rsidR="009C2A08">
        <w:rPr>
          <w:rFonts w:eastAsia="Times New Roman" w:cs="Times New Roman"/>
          <w:sz w:val="24"/>
          <w:szCs w:val="24"/>
        </w:rPr>
        <w:t> </w:t>
      </w:r>
      <w:r w:rsidR="00334C83" w:rsidRPr="006216A0">
        <w:rPr>
          <w:rFonts w:eastAsia="Times New Roman" w:cs="Times New Roman"/>
          <w:sz w:val="24"/>
          <w:szCs w:val="24"/>
        </w:rPr>
        <w:t>neefektivní alokaci</w:t>
      </w:r>
      <w:r w:rsidR="00BE0AC5" w:rsidRPr="006216A0">
        <w:rPr>
          <w:rFonts w:eastAsia="Times New Roman" w:cs="Times New Roman"/>
          <w:sz w:val="24"/>
          <w:szCs w:val="24"/>
        </w:rPr>
        <w:t xml:space="preserve"> </w:t>
      </w:r>
      <w:r w:rsidR="0053397B" w:rsidRPr="006216A0">
        <w:rPr>
          <w:rFonts w:eastAsia="Times New Roman" w:cs="Times New Roman"/>
          <w:sz w:val="24"/>
          <w:szCs w:val="24"/>
        </w:rPr>
        <w:t>personální</w:t>
      </w:r>
      <w:r w:rsidR="0053397B">
        <w:rPr>
          <w:rFonts w:eastAsia="Times New Roman" w:cs="Times New Roman"/>
          <w:sz w:val="24"/>
          <w:szCs w:val="24"/>
        </w:rPr>
        <w:t>ho</w:t>
      </w:r>
      <w:r w:rsidR="0053397B" w:rsidRPr="006216A0">
        <w:rPr>
          <w:rFonts w:eastAsia="Times New Roman" w:cs="Times New Roman"/>
          <w:sz w:val="24"/>
          <w:szCs w:val="24"/>
        </w:rPr>
        <w:t xml:space="preserve"> </w:t>
      </w:r>
      <w:r w:rsidRPr="006216A0">
        <w:rPr>
          <w:rFonts w:eastAsia="Times New Roman" w:cs="Times New Roman"/>
          <w:sz w:val="24"/>
          <w:szCs w:val="24"/>
        </w:rPr>
        <w:t>zajištění správy daně, a tím ke zvýšení efektivnosti správy DPFO.</w:t>
      </w:r>
    </w:p>
    <w:p w14:paraId="05C8439B" w14:textId="7BA38FE6" w:rsidR="00A02829" w:rsidRPr="00A02829" w:rsidRDefault="004C3575" w:rsidP="00150D10">
      <w:pPr>
        <w:pStyle w:val="Odstavecseseznamem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Calibri" w:eastAsia="Times New Roman" w:hAnsi="Calibri" w:cs="Calibri"/>
        </w:rPr>
      </w:pPr>
      <w:r w:rsidRPr="00A02829">
        <w:rPr>
          <w:rFonts w:eastAsia="Times New Roman" w:cs="Times New Roman"/>
          <w:sz w:val="24"/>
          <w:szCs w:val="24"/>
        </w:rPr>
        <w:t xml:space="preserve">Využívání informací od třetích stran komplikoval rozdílný výklad konkrétních ustanovení </w:t>
      </w:r>
      <w:r w:rsidRPr="00130EDE">
        <w:rPr>
          <w:rFonts w:eastAsia="Times New Roman" w:cs="Times New Roman"/>
          <w:sz w:val="24"/>
          <w:szCs w:val="24"/>
        </w:rPr>
        <w:t>zákona</w:t>
      </w:r>
      <w:r w:rsidR="00B021C2">
        <w:rPr>
          <w:rFonts w:eastAsia="Times New Roman" w:cs="Times New Roman"/>
          <w:sz w:val="24"/>
          <w:szCs w:val="24"/>
        </w:rPr>
        <w:t xml:space="preserve"> </w:t>
      </w:r>
      <w:r w:rsidRPr="00A02829">
        <w:rPr>
          <w:rFonts w:eastAsia="Times New Roman" w:cs="Times New Roman"/>
          <w:sz w:val="24"/>
          <w:szCs w:val="24"/>
        </w:rPr>
        <w:t xml:space="preserve">a nekompatibilita systémů </w:t>
      </w:r>
      <w:r w:rsidR="00002871" w:rsidRPr="00A02829">
        <w:rPr>
          <w:rFonts w:eastAsia="Times New Roman" w:cs="Times New Roman"/>
          <w:sz w:val="24"/>
          <w:szCs w:val="24"/>
        </w:rPr>
        <w:t xml:space="preserve">mezi </w:t>
      </w:r>
      <w:r w:rsidRPr="00A02829">
        <w:rPr>
          <w:rFonts w:eastAsia="Times New Roman" w:cs="Times New Roman"/>
          <w:sz w:val="24"/>
          <w:szCs w:val="24"/>
        </w:rPr>
        <w:t>FS ČR a správc</w:t>
      </w:r>
      <w:r w:rsidR="00002871" w:rsidRPr="00A02829">
        <w:rPr>
          <w:rFonts w:eastAsia="Times New Roman" w:cs="Times New Roman"/>
          <w:sz w:val="24"/>
          <w:szCs w:val="24"/>
        </w:rPr>
        <w:t>i</w:t>
      </w:r>
      <w:r w:rsidR="004E13E9" w:rsidRPr="00A02829">
        <w:rPr>
          <w:rFonts w:eastAsia="Times New Roman" w:cs="Times New Roman"/>
          <w:sz w:val="24"/>
          <w:szCs w:val="24"/>
        </w:rPr>
        <w:t xml:space="preserve"> </w:t>
      </w:r>
      <w:r w:rsidR="00002871" w:rsidRPr="00A02829">
        <w:rPr>
          <w:rFonts w:eastAsia="Times New Roman" w:cs="Times New Roman"/>
          <w:sz w:val="24"/>
          <w:szCs w:val="24"/>
        </w:rPr>
        <w:t>pojistného na sociální zabezpečení a správci pojišťovacích produktů</w:t>
      </w:r>
      <w:r w:rsidRPr="00A02829">
        <w:rPr>
          <w:rFonts w:eastAsia="Times New Roman" w:cs="Times New Roman"/>
          <w:sz w:val="24"/>
          <w:szCs w:val="24"/>
        </w:rPr>
        <w:t>,</w:t>
      </w:r>
      <w:r w:rsidR="00E75027" w:rsidRPr="00A02829">
        <w:rPr>
          <w:rFonts w:eastAsia="Times New Roman" w:cs="Times New Roman"/>
          <w:sz w:val="24"/>
          <w:szCs w:val="24"/>
        </w:rPr>
        <w:t xml:space="preserve"> </w:t>
      </w:r>
      <w:r w:rsidRPr="00A02829">
        <w:rPr>
          <w:rFonts w:eastAsia="Times New Roman" w:cs="Times New Roman"/>
          <w:sz w:val="24"/>
          <w:szCs w:val="24"/>
        </w:rPr>
        <w:t>takže některé údaje nebylo možné elektronicky zpracovávat.</w:t>
      </w:r>
      <w:r w:rsidR="005F5429" w:rsidRPr="00A02829">
        <w:rPr>
          <w:rFonts w:eastAsia="Times New Roman" w:cs="Times New Roman"/>
          <w:sz w:val="24"/>
          <w:szCs w:val="24"/>
        </w:rPr>
        <w:t xml:space="preserve"> </w:t>
      </w:r>
      <w:r w:rsidR="00A02829" w:rsidRPr="00A02829">
        <w:rPr>
          <w:rFonts w:ascii="Calibri" w:eastAsia="Times New Roman" w:hAnsi="Calibri" w:cs="Calibri"/>
          <w:sz w:val="24"/>
          <w:szCs w:val="24"/>
        </w:rPr>
        <w:t>Ověřování skutečností uváděných v</w:t>
      </w:r>
      <w:r w:rsidR="009C2A08">
        <w:rPr>
          <w:rFonts w:ascii="Calibri" w:eastAsia="Times New Roman" w:hAnsi="Calibri" w:cs="Calibri"/>
          <w:sz w:val="24"/>
          <w:szCs w:val="24"/>
        </w:rPr>
        <w:t> </w:t>
      </w:r>
      <w:r w:rsidR="00A02829" w:rsidRPr="00A02829">
        <w:rPr>
          <w:rFonts w:ascii="Calibri" w:eastAsia="Times New Roman" w:hAnsi="Calibri" w:cs="Calibri"/>
          <w:sz w:val="24"/>
          <w:szCs w:val="24"/>
        </w:rPr>
        <w:t xml:space="preserve">daňovém přiznání tak bylo pro daňové subjekty i správce daně </w:t>
      </w:r>
      <w:r w:rsidR="00130EDE">
        <w:rPr>
          <w:rFonts w:ascii="Calibri" w:eastAsia="Times New Roman" w:hAnsi="Calibri" w:cs="Calibri"/>
          <w:sz w:val="24"/>
          <w:szCs w:val="24"/>
        </w:rPr>
        <w:t>administrativně náročné. S</w:t>
      </w:r>
      <w:r w:rsidR="00A02829" w:rsidRPr="00A02829">
        <w:rPr>
          <w:rFonts w:ascii="Calibri" w:eastAsia="Times New Roman" w:hAnsi="Calibri" w:cs="Calibri"/>
          <w:sz w:val="24"/>
          <w:szCs w:val="24"/>
        </w:rPr>
        <w:t>právci museli některé informace ověřovat standardními postupy podle daňového řádu a požadovat od poplatníků předložení dokladů nad rámec povinných příloh daňového přiznání k</w:t>
      </w:r>
      <w:r w:rsidR="009C2A08">
        <w:rPr>
          <w:rFonts w:ascii="Calibri" w:eastAsia="Times New Roman" w:hAnsi="Calibri" w:cs="Calibri"/>
          <w:sz w:val="24"/>
          <w:szCs w:val="24"/>
        </w:rPr>
        <w:t> </w:t>
      </w:r>
      <w:r w:rsidR="00A02829" w:rsidRPr="00A02829">
        <w:rPr>
          <w:rFonts w:ascii="Calibri" w:eastAsia="Times New Roman" w:hAnsi="Calibri" w:cs="Calibri"/>
          <w:sz w:val="24"/>
          <w:szCs w:val="24"/>
        </w:rPr>
        <w:t>DPFO.</w:t>
      </w:r>
    </w:p>
    <w:p w14:paraId="2FD9E502" w14:textId="5972499A" w:rsidR="004C3575" w:rsidRPr="009C2A08" w:rsidRDefault="009C2A08" w:rsidP="009C2A08">
      <w:pPr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4. </w:t>
      </w:r>
      <w:r w:rsidR="004C3575" w:rsidRPr="009C2A08">
        <w:rPr>
          <w:rFonts w:eastAsia="Times New Roman" w:cs="Times New Roman"/>
          <w:b/>
          <w:sz w:val="24"/>
          <w:szCs w:val="24"/>
        </w:rPr>
        <w:t>Daňové zatížení v České republice v mezinárodním kontextu</w:t>
      </w:r>
    </w:p>
    <w:p w14:paraId="55334AFA" w14:textId="34328A19" w:rsidR="004C3575" w:rsidRPr="006216A0" w:rsidRDefault="004C3575" w:rsidP="00150D10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6216A0">
        <w:rPr>
          <w:rFonts w:eastAsia="Times New Roman" w:cs="Times New Roman"/>
          <w:sz w:val="24"/>
          <w:szCs w:val="24"/>
        </w:rPr>
        <w:t>Vysoké zdanění práce je způsobeno sociálními odvody, samotná míra zdanění DPFO se v ČR vůči státům OECD pohybuje naopak pod průměrem, a to na 26. místě z</w:t>
      </w:r>
      <w:r w:rsidR="00303295">
        <w:rPr>
          <w:rFonts w:eastAsia="Times New Roman" w:cs="Times New Roman"/>
          <w:sz w:val="24"/>
          <w:szCs w:val="24"/>
        </w:rPr>
        <w:t> </w:t>
      </w:r>
      <w:r w:rsidRPr="006216A0">
        <w:rPr>
          <w:rFonts w:eastAsia="Times New Roman" w:cs="Times New Roman"/>
          <w:sz w:val="24"/>
          <w:szCs w:val="24"/>
        </w:rPr>
        <w:t>34</w:t>
      </w:r>
      <w:r w:rsidR="00303295">
        <w:rPr>
          <w:rFonts w:eastAsia="Times New Roman" w:cs="Times New Roman"/>
          <w:sz w:val="24"/>
          <w:szCs w:val="24"/>
        </w:rPr>
        <w:t> </w:t>
      </w:r>
      <w:r w:rsidRPr="006216A0">
        <w:rPr>
          <w:rFonts w:eastAsia="Times New Roman" w:cs="Times New Roman"/>
          <w:sz w:val="24"/>
          <w:szCs w:val="24"/>
        </w:rPr>
        <w:t xml:space="preserve">států. Podíl DPFO z celkových nákladů na práci činil v roce 2015 cca 9 %. </w:t>
      </w:r>
    </w:p>
    <w:p w14:paraId="6EC3DD16" w14:textId="41E28C8F" w:rsidR="00C0073D" w:rsidRPr="005F2BBF" w:rsidRDefault="004C3575" w:rsidP="00150D10">
      <w:pPr>
        <w:pStyle w:val="Odstavecseseznamem"/>
        <w:numPr>
          <w:ilvl w:val="0"/>
          <w:numId w:val="27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imes New Roman"/>
          <w:sz w:val="24"/>
          <w:szCs w:val="24"/>
        </w:rPr>
      </w:pPr>
      <w:r w:rsidRPr="005F2BBF">
        <w:rPr>
          <w:rFonts w:eastAsia="Times New Roman" w:cs="Times New Roman"/>
          <w:sz w:val="24"/>
          <w:szCs w:val="24"/>
        </w:rPr>
        <w:t>Rozdíl podílu DPFO na celkových nákladech na práci v ČR v letech 2000–2015 se mezi jednotlivými typy poplatníků charakterizovanými výší mzdy, počtem dětí či rodinným stavem, zv</w:t>
      </w:r>
      <w:r w:rsidR="001C56D5" w:rsidRPr="005F2BBF">
        <w:rPr>
          <w:rFonts w:eastAsia="Times New Roman" w:cs="Times New Roman"/>
          <w:sz w:val="24"/>
          <w:szCs w:val="24"/>
        </w:rPr>
        <w:t>ýšil</w:t>
      </w:r>
      <w:r w:rsidR="001E54BA">
        <w:rPr>
          <w:rFonts w:eastAsia="Times New Roman" w:cs="Times New Roman"/>
          <w:sz w:val="24"/>
          <w:szCs w:val="24"/>
        </w:rPr>
        <w:t>,</w:t>
      </w:r>
      <w:r w:rsidRPr="005F2BBF">
        <w:rPr>
          <w:rFonts w:eastAsia="Times New Roman" w:cs="Times New Roman"/>
          <w:sz w:val="24"/>
          <w:szCs w:val="24"/>
        </w:rPr>
        <w:t xml:space="preserve"> a to ze 7,9 % v roce 2000 na 15,4 % v roce 2015. Mezi nejvíce podporované skupiny poplatníků patřily především rodiny s dětmi a samoživitelé.</w:t>
      </w:r>
    </w:p>
    <w:p w14:paraId="6B05975D" w14:textId="01D53E25" w:rsidR="00C0073D" w:rsidRDefault="004B7279" w:rsidP="0030799D">
      <w:pPr>
        <w:pStyle w:val="Titulek"/>
        <w:keepNext/>
        <w:keepLines/>
        <w:spacing w:after="0"/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</w:pPr>
      <w:r w:rsidRPr="006216A0">
        <w:rPr>
          <w:b/>
          <w:i w:val="0"/>
          <w:color w:val="auto"/>
          <w:sz w:val="24"/>
          <w:szCs w:val="24"/>
        </w:rPr>
        <w:t xml:space="preserve">Graf č. </w:t>
      </w:r>
      <w:r w:rsidR="00B3080B" w:rsidRPr="006216A0">
        <w:rPr>
          <w:b/>
          <w:i w:val="0"/>
          <w:color w:val="auto"/>
          <w:sz w:val="24"/>
          <w:szCs w:val="24"/>
        </w:rPr>
        <w:fldChar w:fldCharType="begin"/>
      </w:r>
      <w:r w:rsidRPr="006216A0">
        <w:rPr>
          <w:b/>
          <w:i w:val="0"/>
          <w:color w:val="auto"/>
          <w:sz w:val="24"/>
          <w:szCs w:val="24"/>
        </w:rPr>
        <w:instrText xml:space="preserve"> SEQ Graf_č. \* ARABIC </w:instrText>
      </w:r>
      <w:r w:rsidR="00B3080B" w:rsidRPr="006216A0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3</w:t>
      </w:r>
      <w:r w:rsidR="00B3080B" w:rsidRPr="006216A0">
        <w:rPr>
          <w:b/>
          <w:i w:val="0"/>
          <w:color w:val="auto"/>
          <w:sz w:val="24"/>
          <w:szCs w:val="24"/>
        </w:rPr>
        <w:fldChar w:fldCharType="end"/>
      </w:r>
      <w:r w:rsidRPr="006216A0">
        <w:rPr>
          <w:b/>
          <w:i w:val="0"/>
          <w:color w:val="auto"/>
          <w:sz w:val="24"/>
          <w:szCs w:val="24"/>
        </w:rPr>
        <w:t>:</w:t>
      </w:r>
      <w:r w:rsidR="00955BEE">
        <w:rPr>
          <w:b/>
          <w:i w:val="0"/>
          <w:color w:val="auto"/>
          <w:sz w:val="24"/>
          <w:szCs w:val="24"/>
        </w:rPr>
        <w:t xml:space="preserve"> </w:t>
      </w:r>
      <w:r w:rsidRPr="006216A0"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Podíl DPFO </w:t>
      </w:r>
      <w:r w:rsidRPr="006216A0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na celkových nákladech</w:t>
      </w:r>
      <w:r w:rsidR="00B9323F" w:rsidRPr="006216A0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 xml:space="preserve"> na práci v ČR za roky 2000</w:t>
      </w:r>
      <w:r w:rsidRPr="006216A0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–2015</w:t>
      </w:r>
    </w:p>
    <w:p w14:paraId="508CCD16" w14:textId="61CB351D" w:rsidR="00C0073D" w:rsidRDefault="00D607E3" w:rsidP="00547314">
      <w:pPr>
        <w:keepNext/>
        <w:keepLines/>
        <w:jc w:val="center"/>
      </w:pPr>
      <w:r>
        <w:rPr>
          <w:noProof/>
          <w:lang w:eastAsia="cs-CZ"/>
        </w:rPr>
        <w:drawing>
          <wp:inline distT="0" distB="0" distL="0" distR="0" wp14:anchorId="65198B2D" wp14:editId="4BC191A5">
            <wp:extent cx="5753595" cy="3078093"/>
            <wp:effectExtent l="0" t="0" r="0" b="0"/>
            <wp:docPr id="3" name="Obrázek 3" descr="C:\Users\navratilova\AppData\Local\Microsoft\Windows\Temporary Internet Files\Content.Word\Graf_3_nový_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navratilova\AppData\Local\Microsoft\Windows\Temporary Internet Files\Content.Word\Graf_3_nový_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85" cy="308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49A09" w14:textId="77777777" w:rsidR="00C0073D" w:rsidRPr="00E3423E" w:rsidRDefault="004B7279" w:rsidP="0030799D">
      <w:pPr>
        <w:keepNext/>
        <w:keepLines/>
        <w:rPr>
          <w:rFonts w:cstheme="minorHAnsi"/>
          <w:sz w:val="20"/>
          <w:szCs w:val="20"/>
        </w:rPr>
      </w:pPr>
      <w:r w:rsidRPr="00E3423E">
        <w:rPr>
          <w:rFonts w:cstheme="minorHAnsi"/>
          <w:b/>
          <w:sz w:val="20"/>
          <w:szCs w:val="20"/>
        </w:rPr>
        <w:t>Zdroj:</w:t>
      </w:r>
      <w:r w:rsidRPr="00E3423E">
        <w:rPr>
          <w:rFonts w:cstheme="minorHAnsi"/>
          <w:sz w:val="20"/>
          <w:szCs w:val="20"/>
        </w:rPr>
        <w:t xml:space="preserve"> OECD Statistics.</w:t>
      </w:r>
    </w:p>
    <w:p w14:paraId="3238DEC7" w14:textId="77777777" w:rsidR="005F2BBF" w:rsidRDefault="005F2B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CA90A1C" w14:textId="650CAC3F" w:rsidR="00C0073D" w:rsidRDefault="004B7279" w:rsidP="00547314">
      <w:pPr>
        <w:spacing w:before="120" w:after="12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II</w:t>
      </w:r>
      <w:r w:rsidRPr="001127BC">
        <w:rPr>
          <w:b/>
          <w:bCs/>
          <w:sz w:val="28"/>
          <w:szCs w:val="28"/>
        </w:rPr>
        <w:t xml:space="preserve">I. </w:t>
      </w:r>
      <w:r>
        <w:rPr>
          <w:b/>
          <w:bCs/>
          <w:sz w:val="28"/>
          <w:szCs w:val="28"/>
        </w:rPr>
        <w:t>Podrobné informace ke zjištěným skutečnostem</w:t>
      </w:r>
    </w:p>
    <w:p w14:paraId="5BF5B0DB" w14:textId="6248B59C" w:rsidR="00C0073D" w:rsidRPr="00547314" w:rsidRDefault="00547314" w:rsidP="00547314">
      <w:pPr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1. </w:t>
      </w:r>
      <w:r w:rsidR="004B7279" w:rsidRPr="00547314">
        <w:rPr>
          <w:rFonts w:eastAsia="Times New Roman" w:cs="Times New Roman"/>
          <w:b/>
          <w:sz w:val="24"/>
          <w:szCs w:val="24"/>
        </w:rPr>
        <w:t>Inkaso DPFO a dopady legislativních změn DPFO v letech 2010–2015</w:t>
      </w:r>
    </w:p>
    <w:p w14:paraId="7B8EB5D8" w14:textId="77777777" w:rsidR="00C0073D" w:rsidRPr="0000115B" w:rsidRDefault="004B7279" w:rsidP="00547314">
      <w:pPr>
        <w:pStyle w:val="Odstavecseseznamem"/>
        <w:numPr>
          <w:ilvl w:val="0"/>
          <w:numId w:val="2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00115B">
        <w:rPr>
          <w:rFonts w:cstheme="minorHAnsi"/>
          <w:b/>
          <w:sz w:val="24"/>
          <w:szCs w:val="24"/>
        </w:rPr>
        <w:t>Inkaso DPFO</w:t>
      </w:r>
    </w:p>
    <w:p w14:paraId="2CE31C13" w14:textId="6847B06C" w:rsidR="00C0073D" w:rsidRPr="006216A0" w:rsidRDefault="008A7BE3" w:rsidP="00C0073D">
      <w:pPr>
        <w:pStyle w:val="Titulek"/>
        <w:spacing w:after="0"/>
        <w:rPr>
          <w:rFonts w:eastAsiaTheme="minorEastAsia" w:cs="Calibri"/>
          <w:b/>
          <w:i w:val="0"/>
          <w:color w:val="auto"/>
          <w:sz w:val="24"/>
          <w:szCs w:val="24"/>
          <w:lang w:eastAsia="cs-CZ"/>
        </w:rPr>
      </w:pPr>
      <w:r>
        <w:rPr>
          <w:noProof/>
        </w:rPr>
        <w:object w:dxaOrig="1440" w:dyaOrig="1440" w14:anchorId="2DD393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-.35pt;margin-top:16.15pt;width:454.5pt;height:109.5pt;z-index:251668480;mso-position-horizontal:absolute;mso-position-horizontal-relative:text;mso-position-vertical:absolute;mso-position-vertical-relative:text;mso-width-relative:page;mso-height-relative:page" filled="t">
            <v:imagedata r:id="rId13" o:title=""/>
            <w10:wrap type="topAndBottom"/>
          </v:shape>
          <o:OLEObject Type="Embed" ProgID="Excel.Sheet.12" ShapeID="_x0000_s1045" DrawAspect="Content" ObjectID="_1564309632" r:id="rId14"/>
        </w:object>
      </w:r>
      <w:r w:rsidR="004B7279" w:rsidRPr="006216A0">
        <w:rPr>
          <w:b/>
          <w:i w:val="0"/>
          <w:color w:val="auto"/>
          <w:sz w:val="24"/>
          <w:szCs w:val="24"/>
        </w:rPr>
        <w:t xml:space="preserve">Tabulka č. </w:t>
      </w:r>
      <w:r w:rsidR="00B3080B" w:rsidRPr="006216A0">
        <w:rPr>
          <w:b/>
          <w:i w:val="0"/>
          <w:color w:val="auto"/>
          <w:sz w:val="24"/>
          <w:szCs w:val="24"/>
        </w:rPr>
        <w:fldChar w:fldCharType="begin"/>
      </w:r>
      <w:r w:rsidR="004B7279" w:rsidRPr="006216A0">
        <w:rPr>
          <w:b/>
          <w:i w:val="0"/>
          <w:color w:val="auto"/>
          <w:sz w:val="24"/>
          <w:szCs w:val="24"/>
        </w:rPr>
        <w:instrText xml:space="preserve"> SEQ Tabulka_č. \* ARABIC </w:instrText>
      </w:r>
      <w:r w:rsidR="00B3080B" w:rsidRPr="006216A0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1</w:t>
      </w:r>
      <w:r w:rsidR="00B3080B" w:rsidRPr="006216A0">
        <w:rPr>
          <w:b/>
          <w:i w:val="0"/>
          <w:color w:val="auto"/>
          <w:sz w:val="24"/>
          <w:szCs w:val="24"/>
        </w:rPr>
        <w:fldChar w:fldCharType="end"/>
      </w:r>
      <w:r w:rsidR="004B7279" w:rsidRPr="006216A0">
        <w:rPr>
          <w:rFonts w:cstheme="minorHAnsi"/>
          <w:b/>
          <w:i w:val="0"/>
          <w:color w:val="auto"/>
          <w:sz w:val="24"/>
          <w:szCs w:val="24"/>
        </w:rPr>
        <w:t>: I</w:t>
      </w:r>
      <w:r w:rsidR="004B7279" w:rsidRPr="006216A0">
        <w:rPr>
          <w:rFonts w:eastAsiaTheme="minorEastAsia" w:cs="Calibri"/>
          <w:b/>
          <w:i w:val="0"/>
          <w:color w:val="auto"/>
          <w:sz w:val="24"/>
          <w:szCs w:val="24"/>
          <w:lang w:eastAsia="cs-CZ"/>
        </w:rPr>
        <w:t>nkaso DPFO dle druhů příjmů za ČR (v mld. Kč)</w:t>
      </w:r>
    </w:p>
    <w:p w14:paraId="1FB8E171" w14:textId="43887DD1" w:rsidR="00C0073D" w:rsidRPr="006216A0" w:rsidRDefault="006B2F82" w:rsidP="00547314">
      <w:pPr>
        <w:spacing w:before="40" w:after="0" w:line="240" w:lineRule="auto"/>
        <w:jc w:val="both"/>
        <w:rPr>
          <w:sz w:val="20"/>
          <w:szCs w:val="20"/>
        </w:rPr>
      </w:pPr>
      <w:r w:rsidRPr="006216A0">
        <w:rPr>
          <w:b/>
          <w:sz w:val="20"/>
          <w:szCs w:val="20"/>
        </w:rPr>
        <w:t>Zdroj:</w:t>
      </w:r>
      <w:r w:rsidRPr="00EA3FA3">
        <w:rPr>
          <w:b/>
          <w:sz w:val="20"/>
          <w:szCs w:val="20"/>
        </w:rPr>
        <w:t xml:space="preserve"> </w:t>
      </w:r>
      <w:r w:rsidRPr="006216A0">
        <w:rPr>
          <w:sz w:val="20"/>
          <w:szCs w:val="20"/>
        </w:rPr>
        <w:t>data</w:t>
      </w:r>
      <w:r w:rsidR="00172C0E" w:rsidRPr="006216A0">
        <w:rPr>
          <w:sz w:val="20"/>
          <w:szCs w:val="20"/>
        </w:rPr>
        <w:t xml:space="preserve"> z GFŘ.</w:t>
      </w:r>
    </w:p>
    <w:p w14:paraId="12AD6C0B" w14:textId="77777777" w:rsidR="009D6356" w:rsidRPr="006216A0" w:rsidRDefault="009D6356" w:rsidP="00460F83">
      <w:pPr>
        <w:spacing w:after="0" w:line="240" w:lineRule="auto"/>
        <w:jc w:val="both"/>
        <w:rPr>
          <w:sz w:val="20"/>
          <w:szCs w:val="20"/>
        </w:rPr>
      </w:pPr>
      <w:r w:rsidRPr="006B2F82">
        <w:rPr>
          <w:b/>
          <w:sz w:val="20"/>
          <w:szCs w:val="20"/>
        </w:rPr>
        <w:t xml:space="preserve">Pozn.: </w:t>
      </w:r>
      <w:r w:rsidRPr="006216A0">
        <w:rPr>
          <w:sz w:val="20"/>
          <w:szCs w:val="20"/>
        </w:rPr>
        <w:t>V tabulce je uvedena klasifikace druhů příjmů dle FS ČR.</w:t>
      </w:r>
    </w:p>
    <w:p w14:paraId="22169A1F" w14:textId="77777777" w:rsidR="002B4D0C" w:rsidRPr="006216A0" w:rsidRDefault="002B4D0C" w:rsidP="00460F83">
      <w:pPr>
        <w:spacing w:line="240" w:lineRule="auto"/>
        <w:jc w:val="both"/>
        <w:rPr>
          <w:sz w:val="20"/>
          <w:szCs w:val="20"/>
        </w:rPr>
      </w:pPr>
      <w:r w:rsidRPr="006216A0">
        <w:rPr>
          <w:sz w:val="20"/>
          <w:szCs w:val="20"/>
        </w:rPr>
        <w:t>*Bez příjmů z odvodů na sociální zabezpečení.</w:t>
      </w:r>
    </w:p>
    <w:p w14:paraId="58234C9C" w14:textId="179F82B1" w:rsidR="00C0073D" w:rsidRDefault="004B7279" w:rsidP="00547314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6216A0">
        <w:rPr>
          <w:rFonts w:eastAsia="Times New Roman" w:cs="Times New Roman"/>
          <w:sz w:val="24"/>
          <w:szCs w:val="24"/>
        </w:rPr>
        <w:t>Podíl inkasa DPFO na</w:t>
      </w:r>
      <w:r w:rsidR="00BE0AC5" w:rsidRPr="006216A0">
        <w:rPr>
          <w:rFonts w:eastAsia="Times New Roman" w:cs="Times New Roman"/>
          <w:sz w:val="24"/>
          <w:szCs w:val="24"/>
        </w:rPr>
        <w:t xml:space="preserve"> </w:t>
      </w:r>
      <w:r w:rsidR="007639A8" w:rsidRPr="006216A0">
        <w:rPr>
          <w:rFonts w:eastAsia="Times New Roman" w:cs="Times New Roman"/>
          <w:sz w:val="24"/>
          <w:szCs w:val="24"/>
        </w:rPr>
        <w:t>daňových</w:t>
      </w:r>
      <w:r w:rsidRPr="006216A0">
        <w:rPr>
          <w:rFonts w:eastAsia="Times New Roman" w:cs="Times New Roman"/>
          <w:sz w:val="24"/>
          <w:szCs w:val="24"/>
        </w:rPr>
        <w:t xml:space="preserve"> příjmech ČR v roce 2015 činil </w:t>
      </w:r>
      <w:r w:rsidR="00B80D63" w:rsidRPr="006216A0">
        <w:rPr>
          <w:rFonts w:eastAsia="Times New Roman" w:cs="Times New Roman"/>
          <w:sz w:val="24"/>
          <w:szCs w:val="24"/>
        </w:rPr>
        <w:t>23,0</w:t>
      </w:r>
      <w:r w:rsidR="00B13F56" w:rsidRPr="006216A0">
        <w:rPr>
          <w:rFonts w:eastAsia="Times New Roman" w:cs="Times New Roman"/>
          <w:sz w:val="24"/>
          <w:szCs w:val="24"/>
        </w:rPr>
        <w:t>3</w:t>
      </w:r>
      <w:r w:rsidRPr="006216A0">
        <w:rPr>
          <w:rFonts w:eastAsia="Times New Roman" w:cs="Times New Roman"/>
          <w:sz w:val="24"/>
          <w:szCs w:val="24"/>
        </w:rPr>
        <w:t xml:space="preserve"> % a DPFO byl</w:t>
      </w:r>
      <w:r w:rsidR="007A6E4C">
        <w:rPr>
          <w:rFonts w:eastAsia="Times New Roman" w:cs="Times New Roman"/>
          <w:sz w:val="24"/>
          <w:szCs w:val="24"/>
        </w:rPr>
        <w:t>a</w:t>
      </w:r>
      <w:r w:rsidRPr="006216A0">
        <w:rPr>
          <w:rFonts w:eastAsia="Times New Roman" w:cs="Times New Roman"/>
          <w:sz w:val="24"/>
          <w:szCs w:val="24"/>
        </w:rPr>
        <w:t xml:space="preserve"> čtvrtým nejvýznamnějším daňovým příjmem. </w:t>
      </w:r>
      <w:r w:rsidRPr="006216A0">
        <w:rPr>
          <w:rFonts w:cstheme="minorHAnsi"/>
          <w:sz w:val="24"/>
          <w:szCs w:val="24"/>
        </w:rPr>
        <w:t xml:space="preserve">Inkaso DPFO mezi roky </w:t>
      </w:r>
      <w:r w:rsidR="002358AA" w:rsidRPr="006216A0">
        <w:rPr>
          <w:rFonts w:cstheme="minorHAnsi"/>
          <w:sz w:val="24"/>
          <w:szCs w:val="24"/>
        </w:rPr>
        <w:t>2012 a 2013 vzrostlo o</w:t>
      </w:r>
      <w:r w:rsidR="002D5B57">
        <w:rPr>
          <w:rFonts w:cstheme="minorHAnsi"/>
          <w:sz w:val="24"/>
          <w:szCs w:val="24"/>
        </w:rPr>
        <w:t> </w:t>
      </w:r>
      <w:r w:rsidR="002358AA" w:rsidRPr="006216A0">
        <w:rPr>
          <w:rFonts w:cstheme="minorHAnsi"/>
          <w:sz w:val="24"/>
          <w:szCs w:val="24"/>
        </w:rPr>
        <w:t>5,36</w:t>
      </w:r>
      <w:r w:rsidR="002D5B57">
        <w:rPr>
          <w:rFonts w:cstheme="minorHAnsi"/>
          <w:sz w:val="24"/>
          <w:szCs w:val="24"/>
        </w:rPr>
        <w:t> </w:t>
      </w:r>
      <w:r w:rsidRPr="006216A0">
        <w:rPr>
          <w:rFonts w:cstheme="minorHAnsi"/>
          <w:sz w:val="24"/>
          <w:szCs w:val="24"/>
        </w:rPr>
        <w:t>mld.</w:t>
      </w:r>
      <w:r w:rsidR="002D5B57">
        <w:rPr>
          <w:rFonts w:cstheme="minorHAnsi"/>
          <w:sz w:val="24"/>
          <w:szCs w:val="24"/>
        </w:rPr>
        <w:t> </w:t>
      </w:r>
      <w:r w:rsidRPr="006216A0">
        <w:rPr>
          <w:rFonts w:cstheme="minorHAnsi"/>
          <w:sz w:val="24"/>
          <w:szCs w:val="24"/>
        </w:rPr>
        <w:t>Kč. Pozitivní vliv mělo mj. zavedení solidárního zvýšení daně, nemožnost uplatnění měsíční slevy na dani na poplatníka u starobních důchodců, zvýšení sazby</w:t>
      </w:r>
      <w:r w:rsidR="004E13E9" w:rsidRPr="006216A0">
        <w:rPr>
          <w:rFonts w:cstheme="minorHAnsi"/>
          <w:sz w:val="24"/>
          <w:szCs w:val="24"/>
        </w:rPr>
        <w:t xml:space="preserve"> srážkové</w:t>
      </w:r>
      <w:r w:rsidR="004E13E9">
        <w:rPr>
          <w:rFonts w:cstheme="minorHAnsi"/>
          <w:sz w:val="24"/>
          <w:szCs w:val="24"/>
        </w:rPr>
        <w:t xml:space="preserve"> daně </w:t>
      </w:r>
      <w:r>
        <w:rPr>
          <w:rFonts w:cstheme="minorHAnsi"/>
          <w:sz w:val="24"/>
          <w:szCs w:val="24"/>
        </w:rPr>
        <w:t>pro nerezidenty. I</w:t>
      </w:r>
      <w:r w:rsidRPr="00850B38">
        <w:rPr>
          <w:rFonts w:cstheme="minorHAnsi"/>
          <w:sz w:val="24"/>
          <w:szCs w:val="24"/>
        </w:rPr>
        <w:t>nkaso DPFO me</w:t>
      </w:r>
      <w:r w:rsidR="002358AA">
        <w:rPr>
          <w:rFonts w:cstheme="minorHAnsi"/>
          <w:sz w:val="24"/>
          <w:szCs w:val="24"/>
        </w:rPr>
        <w:t>zi roky 2013 a 2014 vzrostlo o 5,19</w:t>
      </w:r>
      <w:r>
        <w:rPr>
          <w:rFonts w:cstheme="minorHAnsi"/>
          <w:sz w:val="24"/>
          <w:szCs w:val="24"/>
        </w:rPr>
        <w:t xml:space="preserve"> mld</w:t>
      </w:r>
      <w:r w:rsidRPr="00850B38">
        <w:rPr>
          <w:rFonts w:cstheme="minorHAnsi"/>
          <w:sz w:val="24"/>
          <w:szCs w:val="24"/>
        </w:rPr>
        <w:t xml:space="preserve">. Kč. </w:t>
      </w:r>
      <w:r>
        <w:rPr>
          <w:rFonts w:cstheme="minorHAnsi"/>
          <w:sz w:val="24"/>
          <w:szCs w:val="24"/>
        </w:rPr>
        <w:t>Přetrvával</w:t>
      </w:r>
      <w:r w:rsidRPr="00850B38">
        <w:rPr>
          <w:rFonts w:cstheme="minorHAnsi"/>
          <w:sz w:val="24"/>
          <w:szCs w:val="24"/>
        </w:rPr>
        <w:t xml:space="preserve"> pozitivní vliv změn účinných od 1. 1. 2013 a pozitivní vliv omezení vztahujících se k uplatňování tzv. paušálních výdajů. Zároveň však negativně působilo zejména zrušení zákonné úpravy zamezující starobním důchodcům se zdanitelnými příjmy čerpat základní slevu na poplatníka. </w:t>
      </w:r>
      <w:r w:rsidR="00002871" w:rsidRPr="00AD1D09">
        <w:rPr>
          <w:rFonts w:cstheme="minorHAnsi"/>
          <w:sz w:val="24"/>
          <w:szCs w:val="24"/>
        </w:rPr>
        <w:t>GFŘ v podkladech pro návrh SZÚ za rok 2014 neuvedlo dopady zavedeného omezení – možnost čerpat daňové zvýhodnění na vyživované děti pouze pro rezidenty členského státu EU nebo státu tvořícího Evropský hospodářský prostor, přestože předpokládaný dopad do</w:t>
      </w:r>
      <w:r w:rsidR="002D5B57">
        <w:rPr>
          <w:rFonts w:cstheme="minorHAnsi"/>
          <w:sz w:val="24"/>
          <w:szCs w:val="24"/>
        </w:rPr>
        <w:t xml:space="preserve"> </w:t>
      </w:r>
      <w:r w:rsidR="00AD1D09" w:rsidRPr="00AD1D09">
        <w:rPr>
          <w:rFonts w:cstheme="minorHAnsi"/>
          <w:sz w:val="24"/>
          <w:szCs w:val="24"/>
        </w:rPr>
        <w:t>inkasa DPFO činil 2,5 mld. Kč.</w:t>
      </w:r>
      <w:r w:rsidR="00A963EA">
        <w:rPr>
          <w:rFonts w:cstheme="minorHAnsi"/>
          <w:sz w:val="24"/>
          <w:szCs w:val="24"/>
        </w:rPr>
        <w:t xml:space="preserve"> </w:t>
      </w:r>
      <w:r w:rsidRPr="00850B38">
        <w:rPr>
          <w:rFonts w:cstheme="minorHAnsi"/>
          <w:sz w:val="24"/>
          <w:szCs w:val="24"/>
        </w:rPr>
        <w:t>Konkrétní dopad jednotlivých institutů GFŘ neuvedlo.</w:t>
      </w:r>
      <w:r>
        <w:rPr>
          <w:rFonts w:cstheme="minorHAnsi"/>
          <w:sz w:val="24"/>
          <w:szCs w:val="24"/>
        </w:rPr>
        <w:t xml:space="preserve"> I</w:t>
      </w:r>
      <w:r w:rsidRPr="00850B38">
        <w:rPr>
          <w:rFonts w:cstheme="minorHAnsi"/>
          <w:sz w:val="24"/>
          <w:szCs w:val="24"/>
        </w:rPr>
        <w:t>nkaso DPFO mezi roky 2014 a 2015 vzrostlo o 7</w:t>
      </w:r>
      <w:r w:rsidR="002358AA">
        <w:rPr>
          <w:rFonts w:cstheme="minorHAnsi"/>
          <w:sz w:val="24"/>
          <w:szCs w:val="24"/>
        </w:rPr>
        <w:t>,52</w:t>
      </w:r>
      <w:r>
        <w:rPr>
          <w:rFonts w:cstheme="minorHAnsi"/>
          <w:sz w:val="24"/>
          <w:szCs w:val="24"/>
        </w:rPr>
        <w:t xml:space="preserve"> mld</w:t>
      </w:r>
      <w:r w:rsidRPr="00850B38">
        <w:rPr>
          <w:rFonts w:cstheme="minorHAnsi"/>
          <w:sz w:val="24"/>
          <w:szCs w:val="24"/>
        </w:rPr>
        <w:t xml:space="preserve">. Kč. </w:t>
      </w:r>
      <w:r>
        <w:rPr>
          <w:rFonts w:cstheme="minorHAnsi"/>
          <w:sz w:val="24"/>
          <w:szCs w:val="24"/>
        </w:rPr>
        <w:t>P</w:t>
      </w:r>
      <w:r w:rsidRPr="00850B38">
        <w:rPr>
          <w:rFonts w:cstheme="minorHAnsi"/>
          <w:sz w:val="24"/>
          <w:szCs w:val="24"/>
        </w:rPr>
        <w:t xml:space="preserve">ozitivní vliv </w:t>
      </w:r>
      <w:r>
        <w:rPr>
          <w:rFonts w:cstheme="minorHAnsi"/>
          <w:sz w:val="24"/>
          <w:szCs w:val="24"/>
        </w:rPr>
        <w:t xml:space="preserve">měl ekonomický </w:t>
      </w:r>
      <w:r w:rsidRPr="00850B38">
        <w:rPr>
          <w:rFonts w:cstheme="minorHAnsi"/>
          <w:sz w:val="24"/>
          <w:szCs w:val="24"/>
        </w:rPr>
        <w:t>růst. Negativně se na inkasu projevilo zavedení slevy na dani za umístění dítěte</w:t>
      </w:r>
      <w:r>
        <w:rPr>
          <w:rFonts w:cstheme="minorHAnsi"/>
          <w:sz w:val="24"/>
          <w:szCs w:val="24"/>
        </w:rPr>
        <w:t xml:space="preserve"> a progrese daňového zvýhodnění podle počtu dětí.</w:t>
      </w:r>
    </w:p>
    <w:p w14:paraId="5D3EE319" w14:textId="77777777" w:rsidR="00C0073D" w:rsidRPr="0000115B" w:rsidRDefault="004B7279" w:rsidP="00547314">
      <w:pPr>
        <w:pStyle w:val="Odstavecseseznamem"/>
        <w:keepNext/>
        <w:numPr>
          <w:ilvl w:val="0"/>
          <w:numId w:val="26"/>
        </w:numPr>
        <w:spacing w:before="120" w:after="120" w:line="24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00115B">
        <w:rPr>
          <w:rFonts w:eastAsia="Times New Roman" w:cs="Times New Roman"/>
          <w:b/>
          <w:sz w:val="24"/>
          <w:szCs w:val="24"/>
        </w:rPr>
        <w:t xml:space="preserve">Dopady legislativních změn DPFO </w:t>
      </w:r>
    </w:p>
    <w:p w14:paraId="509B1B89" w14:textId="31C83480" w:rsidR="00C0073D" w:rsidRDefault="004B7279" w:rsidP="00547314">
      <w:pPr>
        <w:spacing w:before="120" w:after="120" w:line="240" w:lineRule="auto"/>
        <w:jc w:val="both"/>
        <w:rPr>
          <w:rFonts w:cstheme="minorHAnsi"/>
          <w:bCs/>
          <w:iCs/>
          <w:color w:val="000000" w:themeColor="text1"/>
          <w:sz w:val="24"/>
          <w:szCs w:val="24"/>
        </w:rPr>
      </w:pPr>
      <w:r w:rsidRPr="009D339A">
        <w:rPr>
          <w:rFonts w:cstheme="minorHAnsi"/>
          <w:bCs/>
          <w:iCs/>
          <w:color w:val="000000" w:themeColor="text1"/>
          <w:sz w:val="24"/>
          <w:szCs w:val="24"/>
        </w:rPr>
        <w:t>Průměrná roční odchylka v predikci oproti skutečnému plnění v období let 2010</w:t>
      </w:r>
      <w:r w:rsidRPr="009D339A">
        <w:rPr>
          <w:rFonts w:cstheme="minorHAnsi"/>
          <w:color w:val="000000" w:themeColor="text1"/>
          <w:sz w:val="24"/>
          <w:szCs w:val="24"/>
        </w:rPr>
        <w:t>–</w:t>
      </w:r>
      <w:r w:rsidRPr="009D339A">
        <w:rPr>
          <w:rFonts w:cstheme="minorHAnsi"/>
          <w:bCs/>
          <w:iCs/>
          <w:color w:val="000000" w:themeColor="text1"/>
          <w:sz w:val="24"/>
          <w:szCs w:val="24"/>
        </w:rPr>
        <w:t>2015 činila 1,27 mld. Kč, přičemž největší nepřesnost byla v roce 2014 u DPFO ze závislé činnosti a</w:t>
      </w:r>
      <w:r w:rsidR="002D5B57">
        <w:rPr>
          <w:rFonts w:cstheme="minorHAnsi"/>
          <w:bCs/>
          <w:iCs/>
          <w:color w:val="000000" w:themeColor="text1"/>
          <w:sz w:val="24"/>
          <w:szCs w:val="24"/>
        </w:rPr>
        <w:t> </w:t>
      </w:r>
      <w:r w:rsidRPr="009D339A">
        <w:rPr>
          <w:rFonts w:cstheme="minorHAnsi"/>
          <w:bCs/>
          <w:iCs/>
          <w:color w:val="000000" w:themeColor="text1"/>
          <w:sz w:val="24"/>
          <w:szCs w:val="24"/>
        </w:rPr>
        <w:t>funkčních požitků ve výši 4,75 mld. Kč, v roce 2011 u DPFO z kapitálových výnosů a v roce 2010 u DPFO ze závislé</w:t>
      </w:r>
      <w:r>
        <w:rPr>
          <w:rFonts w:cstheme="minorHAnsi"/>
          <w:bCs/>
          <w:iCs/>
          <w:color w:val="000000" w:themeColor="text1"/>
          <w:sz w:val="24"/>
          <w:szCs w:val="24"/>
        </w:rPr>
        <w:t xml:space="preserve"> činnosti a funkčních požitků</w:t>
      </w:r>
      <w:r w:rsidR="007A6E4C">
        <w:rPr>
          <w:rFonts w:cstheme="minorHAnsi"/>
          <w:bCs/>
          <w:iCs/>
          <w:color w:val="000000" w:themeColor="text1"/>
          <w:sz w:val="24"/>
          <w:szCs w:val="24"/>
        </w:rPr>
        <w:t>;</w:t>
      </w:r>
      <w:r>
        <w:rPr>
          <w:rFonts w:cstheme="minorHAnsi"/>
          <w:bCs/>
          <w:iCs/>
          <w:color w:val="000000" w:themeColor="text1"/>
          <w:sz w:val="24"/>
          <w:szCs w:val="24"/>
        </w:rPr>
        <w:t xml:space="preserve"> u</w:t>
      </w:r>
      <w:r w:rsidRPr="009D339A">
        <w:rPr>
          <w:rFonts w:cstheme="minorHAnsi"/>
          <w:bCs/>
          <w:iCs/>
          <w:color w:val="000000" w:themeColor="text1"/>
          <w:sz w:val="24"/>
          <w:szCs w:val="24"/>
        </w:rPr>
        <w:t xml:space="preserve"> těchto daní odchylka činila 5,8 mld.</w:t>
      </w:r>
      <w:r w:rsidR="007A6E4C">
        <w:rPr>
          <w:rFonts w:cstheme="minorHAnsi"/>
          <w:bCs/>
          <w:iCs/>
          <w:color w:val="000000" w:themeColor="text1"/>
          <w:sz w:val="24"/>
          <w:szCs w:val="24"/>
        </w:rPr>
        <w:t> </w:t>
      </w:r>
      <w:r w:rsidRPr="009D339A">
        <w:rPr>
          <w:rFonts w:cstheme="minorHAnsi"/>
          <w:bCs/>
          <w:iCs/>
          <w:color w:val="000000" w:themeColor="text1"/>
          <w:sz w:val="24"/>
          <w:szCs w:val="24"/>
        </w:rPr>
        <w:t>Kč.</w:t>
      </w:r>
    </w:p>
    <w:p w14:paraId="3CC5677C" w14:textId="77777777" w:rsidR="00547314" w:rsidRDefault="0054731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97C2E5C" w14:textId="6AAB7792" w:rsidR="00C0073D" w:rsidRPr="0000115B" w:rsidRDefault="008A7BE3" w:rsidP="00547314">
      <w:pPr>
        <w:keepNext/>
        <w:spacing w:after="0" w:line="276" w:lineRule="auto"/>
        <w:jc w:val="both"/>
        <w:rPr>
          <w:b/>
          <w:sz w:val="24"/>
          <w:szCs w:val="24"/>
        </w:rPr>
      </w:pPr>
      <w:r>
        <w:rPr>
          <w:b/>
          <w:noProof/>
        </w:rPr>
        <w:lastRenderedPageBreak/>
        <w:object w:dxaOrig="1440" w:dyaOrig="1440" w14:anchorId="598929EE">
          <v:shape id="_x0000_s1041" type="#_x0000_t75" style="position:absolute;left:0;text-align:left;margin-left:2749.2pt;margin-top:17.3pt;width:454.05pt;height:168.75pt;z-index:251660288;mso-position-horizontal:right;mso-position-horizontal-relative:text;mso-position-vertical:absolute;mso-position-vertical-relative:text;mso-width-relative:page;mso-height-relative:page">
            <v:imagedata r:id="rId15" o:title=""/>
            <w10:wrap type="topAndBottom"/>
          </v:shape>
          <o:OLEObject Type="Embed" ProgID="Excel.Sheet.12" ShapeID="_x0000_s1041" DrawAspect="Content" ObjectID="_1564309633" r:id="rId16"/>
        </w:object>
      </w:r>
      <w:r w:rsidR="004B7279" w:rsidRPr="0000115B">
        <w:rPr>
          <w:b/>
          <w:sz w:val="24"/>
          <w:szCs w:val="24"/>
        </w:rPr>
        <w:t xml:space="preserve">Tabulka č. </w:t>
      </w:r>
      <w:r w:rsidR="00B3080B" w:rsidRPr="0000115B">
        <w:rPr>
          <w:b/>
          <w:sz w:val="24"/>
          <w:szCs w:val="24"/>
        </w:rPr>
        <w:fldChar w:fldCharType="begin"/>
      </w:r>
      <w:r w:rsidR="004B7279" w:rsidRPr="0000115B">
        <w:rPr>
          <w:b/>
          <w:sz w:val="24"/>
          <w:szCs w:val="24"/>
        </w:rPr>
        <w:instrText xml:space="preserve"> SEQ Tabulka_č. \* ARABIC </w:instrText>
      </w:r>
      <w:r w:rsidR="00B3080B" w:rsidRPr="0000115B">
        <w:rPr>
          <w:b/>
          <w:sz w:val="24"/>
          <w:szCs w:val="24"/>
        </w:rPr>
        <w:fldChar w:fldCharType="separate"/>
      </w:r>
      <w:r w:rsidR="00506C27">
        <w:rPr>
          <w:b/>
          <w:noProof/>
          <w:sz w:val="24"/>
          <w:szCs w:val="24"/>
        </w:rPr>
        <w:t>2</w:t>
      </w:r>
      <w:r w:rsidR="00B3080B" w:rsidRPr="0000115B">
        <w:rPr>
          <w:b/>
          <w:sz w:val="24"/>
          <w:szCs w:val="24"/>
        </w:rPr>
        <w:fldChar w:fldCharType="end"/>
      </w:r>
      <w:r w:rsidR="004B7279" w:rsidRPr="0000115B">
        <w:rPr>
          <w:b/>
          <w:sz w:val="24"/>
          <w:szCs w:val="24"/>
        </w:rPr>
        <w:t xml:space="preserve">: </w:t>
      </w:r>
      <w:r w:rsidR="004B7279" w:rsidRPr="0000115B">
        <w:rPr>
          <w:rFonts w:cstheme="minorHAnsi"/>
          <w:b/>
          <w:bCs/>
          <w:color w:val="000000" w:themeColor="text1"/>
          <w:sz w:val="24"/>
          <w:szCs w:val="24"/>
        </w:rPr>
        <w:t>Státní rozpočet – příjmy z DPFO</w:t>
      </w:r>
    </w:p>
    <w:p w14:paraId="5C0B6639" w14:textId="5801EB4B" w:rsidR="00C0073D" w:rsidRPr="002D5B57" w:rsidRDefault="004B7279" w:rsidP="002D5B57">
      <w:pPr>
        <w:spacing w:before="40" w:after="0" w:line="240" w:lineRule="auto"/>
        <w:ind w:left="567" w:hanging="567"/>
        <w:rPr>
          <w:sz w:val="20"/>
        </w:rPr>
      </w:pPr>
      <w:r w:rsidRPr="002D5B57">
        <w:rPr>
          <w:b/>
          <w:sz w:val="20"/>
        </w:rPr>
        <w:t>Zdroj:</w:t>
      </w:r>
      <w:r w:rsidR="00BE0AC5" w:rsidRPr="002D5B57">
        <w:rPr>
          <w:b/>
          <w:sz w:val="20"/>
        </w:rPr>
        <w:t xml:space="preserve"> </w:t>
      </w:r>
      <w:r w:rsidR="00F94B63">
        <w:rPr>
          <w:sz w:val="20"/>
        </w:rPr>
        <w:t>z</w:t>
      </w:r>
      <w:r w:rsidRPr="002D5B57">
        <w:rPr>
          <w:sz w:val="20"/>
        </w:rPr>
        <w:t>ákon</w:t>
      </w:r>
      <w:r w:rsidR="00F94B63">
        <w:rPr>
          <w:sz w:val="20"/>
        </w:rPr>
        <w:t>y</w:t>
      </w:r>
      <w:r w:rsidRPr="002D5B57">
        <w:rPr>
          <w:sz w:val="20"/>
        </w:rPr>
        <w:t xml:space="preserve"> o státním rozpočtu </w:t>
      </w:r>
      <w:r w:rsidR="00F94B63">
        <w:rPr>
          <w:sz w:val="20"/>
        </w:rPr>
        <w:t>na</w:t>
      </w:r>
      <w:r w:rsidRPr="002D5B57">
        <w:rPr>
          <w:sz w:val="20"/>
        </w:rPr>
        <w:t xml:space="preserve"> roky 2010–2015; </w:t>
      </w:r>
      <w:r w:rsidR="00F94B63">
        <w:rPr>
          <w:sz w:val="20"/>
        </w:rPr>
        <w:t>s</w:t>
      </w:r>
      <w:r w:rsidRPr="002D5B57">
        <w:rPr>
          <w:sz w:val="20"/>
        </w:rPr>
        <w:t>tátní závěrečn</w:t>
      </w:r>
      <w:r w:rsidR="00F94B63">
        <w:rPr>
          <w:sz w:val="20"/>
        </w:rPr>
        <w:t>é</w:t>
      </w:r>
      <w:r w:rsidRPr="002D5B57">
        <w:rPr>
          <w:sz w:val="20"/>
        </w:rPr>
        <w:t xml:space="preserve"> účt</w:t>
      </w:r>
      <w:r w:rsidR="00F94B63">
        <w:rPr>
          <w:sz w:val="20"/>
        </w:rPr>
        <w:t>y</w:t>
      </w:r>
      <w:r w:rsidRPr="002D5B57">
        <w:rPr>
          <w:sz w:val="20"/>
        </w:rPr>
        <w:t xml:space="preserve"> za roky 2010–2015, </w:t>
      </w:r>
      <w:r w:rsidR="00F94B63" w:rsidRPr="002D5B57">
        <w:rPr>
          <w:sz w:val="20"/>
        </w:rPr>
        <w:t xml:space="preserve">návrh </w:t>
      </w:r>
      <w:r w:rsidR="00F94B63">
        <w:rPr>
          <w:sz w:val="20"/>
        </w:rPr>
        <w:t>n</w:t>
      </w:r>
      <w:r w:rsidRPr="002D5B57">
        <w:rPr>
          <w:sz w:val="20"/>
        </w:rPr>
        <w:t>a rok 2012; podklady MF</w:t>
      </w:r>
      <w:r w:rsidRPr="002D5B57">
        <w:rPr>
          <w:color w:val="00B050"/>
          <w:sz w:val="20"/>
        </w:rPr>
        <w:t>.</w:t>
      </w:r>
    </w:p>
    <w:p w14:paraId="3C5D7AA4" w14:textId="77777777" w:rsidR="00C0073D" w:rsidRPr="002D5B57" w:rsidRDefault="004B7279" w:rsidP="002D5B57">
      <w:pPr>
        <w:spacing w:after="0" w:line="240" w:lineRule="auto"/>
        <w:ind w:left="567" w:hanging="567"/>
        <w:rPr>
          <w:sz w:val="20"/>
        </w:rPr>
      </w:pPr>
      <w:r w:rsidRPr="002D5B57">
        <w:rPr>
          <w:b/>
          <w:sz w:val="20"/>
        </w:rPr>
        <w:t>Pozn.:</w:t>
      </w:r>
      <w:r w:rsidRPr="002D5B57">
        <w:rPr>
          <w:sz w:val="20"/>
        </w:rPr>
        <w:t xml:space="preserve"> Predikce je ukazatel „rozpočet schválený“, ve kterém byly uvedeny shodné údaje s ukazatelem „rozpočet po změnách“.</w:t>
      </w:r>
    </w:p>
    <w:p w14:paraId="6936A890" w14:textId="5CAC7CC1" w:rsidR="00C0073D" w:rsidRPr="00053023" w:rsidRDefault="004B7279" w:rsidP="00547314">
      <w:pPr>
        <w:spacing w:before="120" w:after="120" w:line="240" w:lineRule="auto"/>
        <w:jc w:val="both"/>
        <w:rPr>
          <w:rFonts w:cstheme="minorHAnsi"/>
          <w:bCs/>
          <w:iCs/>
          <w:color w:val="000000" w:themeColor="text1"/>
          <w:sz w:val="24"/>
          <w:szCs w:val="24"/>
        </w:rPr>
      </w:pPr>
      <w:r w:rsidRPr="009D339A">
        <w:rPr>
          <w:rFonts w:cstheme="minorHAnsi"/>
          <w:bCs/>
          <w:iCs/>
          <w:color w:val="000000" w:themeColor="text1"/>
          <w:sz w:val="24"/>
          <w:szCs w:val="24"/>
        </w:rPr>
        <w:t xml:space="preserve">V roce 2011 zpracovalo MF návrh změny právních předpisů v souvislosti s projektem </w:t>
      </w:r>
      <w:r w:rsidR="007A6E4C">
        <w:rPr>
          <w:rFonts w:cstheme="minorHAnsi"/>
          <w:bCs/>
          <w:iCs/>
          <w:color w:val="000000" w:themeColor="text1"/>
          <w:sz w:val="24"/>
          <w:szCs w:val="24"/>
        </w:rPr>
        <w:t>j</w:t>
      </w:r>
      <w:r w:rsidRPr="009D339A">
        <w:rPr>
          <w:rFonts w:cstheme="minorHAnsi"/>
          <w:bCs/>
          <w:iCs/>
          <w:color w:val="000000" w:themeColor="text1"/>
          <w:sz w:val="24"/>
          <w:szCs w:val="24"/>
        </w:rPr>
        <w:t>ednoho inkasního místa</w:t>
      </w:r>
      <w:r>
        <w:rPr>
          <w:rStyle w:val="Znakapoznpodarou"/>
          <w:rFonts w:cstheme="minorHAnsi"/>
          <w:bCs/>
          <w:iCs/>
          <w:color w:val="000000" w:themeColor="text1"/>
          <w:sz w:val="24"/>
          <w:szCs w:val="24"/>
        </w:rPr>
        <w:footnoteReference w:id="8"/>
      </w:r>
      <w:r w:rsidRPr="009D339A">
        <w:rPr>
          <w:rFonts w:cstheme="minorHAnsi"/>
          <w:bCs/>
          <w:iCs/>
          <w:color w:val="000000" w:themeColor="text1"/>
          <w:sz w:val="24"/>
          <w:szCs w:val="24"/>
        </w:rPr>
        <w:t>, která mj. měla zavést tzv. individuální účty</w:t>
      </w:r>
      <w:r>
        <w:rPr>
          <w:rStyle w:val="Znakapoznpodarou"/>
          <w:rFonts w:cstheme="minorHAnsi"/>
          <w:bCs/>
          <w:iCs/>
          <w:color w:val="000000" w:themeColor="text1"/>
          <w:sz w:val="24"/>
          <w:szCs w:val="24"/>
        </w:rPr>
        <w:footnoteReference w:id="9"/>
      </w:r>
      <w:r w:rsidRPr="009D339A">
        <w:rPr>
          <w:rFonts w:cstheme="minorHAnsi"/>
          <w:bCs/>
          <w:iCs/>
          <w:color w:val="000000" w:themeColor="text1"/>
          <w:sz w:val="24"/>
          <w:szCs w:val="24"/>
        </w:rPr>
        <w:t xml:space="preserve"> všech poplatníků DPFO, tedy včetně poplatníků s příjmy ze závislé činnosti. Taková právní úprava by FS ČR, resp. MF umožnila analyzovat detailnější údaje o poplatnících DPFO, a tedy s přesnějšími údaji i dále pracovat pro predikce návrhů rozpočtů, vyhodnocování dopadů legislativních změn apod</w:t>
      </w:r>
      <w:r w:rsidRPr="00053023">
        <w:rPr>
          <w:rFonts w:cstheme="minorHAnsi"/>
          <w:bCs/>
          <w:iCs/>
          <w:color w:val="000000" w:themeColor="text1"/>
          <w:sz w:val="24"/>
          <w:szCs w:val="24"/>
        </w:rPr>
        <w:t xml:space="preserve">. </w:t>
      </w:r>
    </w:p>
    <w:p w14:paraId="70ED84FC" w14:textId="7262162B" w:rsidR="00C0073D" w:rsidRPr="009D339A" w:rsidRDefault="004B7279" w:rsidP="00547314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Cs/>
          <w:iCs/>
          <w:color w:val="000000" w:themeColor="text1"/>
          <w:sz w:val="24"/>
          <w:szCs w:val="24"/>
        </w:rPr>
        <w:t xml:space="preserve">Zprávy k návrhům zákonů o státním rozpočtu </w:t>
      </w:r>
      <w:r>
        <w:rPr>
          <w:rFonts w:cstheme="minorHAnsi"/>
          <w:color w:val="000000" w:themeColor="text1"/>
          <w:sz w:val="24"/>
          <w:szCs w:val="24"/>
        </w:rPr>
        <w:t xml:space="preserve">(dále </w:t>
      </w:r>
      <w:r w:rsidR="004E13E9">
        <w:rPr>
          <w:rFonts w:cstheme="minorHAnsi"/>
          <w:color w:val="000000" w:themeColor="text1"/>
          <w:sz w:val="24"/>
          <w:szCs w:val="24"/>
        </w:rPr>
        <w:t>také</w:t>
      </w:r>
      <w:r>
        <w:rPr>
          <w:rFonts w:cstheme="minorHAnsi"/>
          <w:color w:val="000000" w:themeColor="text1"/>
          <w:sz w:val="24"/>
          <w:szCs w:val="24"/>
        </w:rPr>
        <w:t xml:space="preserve"> „SR“)</w:t>
      </w:r>
      <w:r w:rsidRPr="00053023">
        <w:rPr>
          <w:rFonts w:cstheme="minorHAnsi"/>
          <w:bCs/>
          <w:iCs/>
          <w:color w:val="000000" w:themeColor="text1"/>
          <w:sz w:val="24"/>
          <w:szCs w:val="24"/>
        </w:rPr>
        <w:t xml:space="preserve"> uváděly předpokládané dopady zaváděných legislativních změn, které byly totožné s údaji uváděnými v důvodových zprávách. Návrhy SZÚ </w:t>
      </w:r>
      <w:r>
        <w:rPr>
          <w:rFonts w:cstheme="minorHAnsi"/>
          <w:bCs/>
          <w:iCs/>
          <w:color w:val="000000" w:themeColor="text1"/>
          <w:sz w:val="24"/>
          <w:szCs w:val="24"/>
        </w:rPr>
        <w:t>za jednotlivé roky kontrolovaného</w:t>
      </w:r>
      <w:r w:rsidRPr="00053023">
        <w:rPr>
          <w:rFonts w:cstheme="minorHAnsi"/>
          <w:bCs/>
          <w:iCs/>
          <w:color w:val="000000" w:themeColor="text1"/>
          <w:sz w:val="24"/>
          <w:szCs w:val="24"/>
        </w:rPr>
        <w:t xml:space="preserve"> období zpravidla obsahovaly pouze negativní či pozitivní vlivy na inkaso DPFO</w:t>
      </w:r>
      <w:r>
        <w:rPr>
          <w:rFonts w:cstheme="minorHAnsi"/>
          <w:bCs/>
          <w:iCs/>
          <w:color w:val="000000" w:themeColor="text1"/>
          <w:sz w:val="24"/>
          <w:szCs w:val="24"/>
        </w:rPr>
        <w:t xml:space="preserve"> bez kvantifikace</w:t>
      </w:r>
      <w:r w:rsidRPr="00053023">
        <w:rPr>
          <w:rFonts w:cstheme="minorHAnsi"/>
          <w:bCs/>
          <w:iCs/>
          <w:color w:val="000000" w:themeColor="text1"/>
          <w:sz w:val="24"/>
          <w:szCs w:val="24"/>
        </w:rPr>
        <w:t xml:space="preserve">. </w:t>
      </w:r>
      <w:r w:rsidR="00F75071">
        <w:rPr>
          <w:rFonts w:cstheme="minorHAnsi"/>
          <w:bCs/>
          <w:iCs/>
          <w:color w:val="000000" w:themeColor="text1"/>
          <w:sz w:val="24"/>
          <w:szCs w:val="24"/>
        </w:rPr>
        <w:t xml:space="preserve">Účelem zavedení solidárního zvýšení daně, zrušení možnosti uplatnit slevu na poplatníka starobními důchodci a omezení uplatňování výdajů procentem z příjmů </w:t>
      </w:r>
      <w:r w:rsidR="007A6E4C">
        <w:rPr>
          <w:rFonts w:cstheme="minorHAnsi"/>
          <w:bCs/>
          <w:iCs/>
          <w:color w:val="000000" w:themeColor="text1"/>
          <w:sz w:val="24"/>
          <w:szCs w:val="24"/>
        </w:rPr>
        <w:t>(</w:t>
      </w:r>
      <w:r w:rsidR="00F75071">
        <w:rPr>
          <w:rFonts w:cstheme="minorHAnsi"/>
          <w:bCs/>
          <w:iCs/>
          <w:color w:val="000000" w:themeColor="text1"/>
          <w:sz w:val="24"/>
          <w:szCs w:val="24"/>
        </w:rPr>
        <w:t>tzv. výdajové paušály</w:t>
      </w:r>
      <w:r w:rsidR="007A6E4C">
        <w:rPr>
          <w:rFonts w:cstheme="minorHAnsi"/>
          <w:bCs/>
          <w:iCs/>
          <w:color w:val="000000" w:themeColor="text1"/>
          <w:sz w:val="24"/>
          <w:szCs w:val="24"/>
        </w:rPr>
        <w:t>)</w:t>
      </w:r>
      <w:r w:rsidR="00F75071">
        <w:rPr>
          <w:rFonts w:cstheme="minorHAnsi"/>
          <w:bCs/>
          <w:iCs/>
          <w:color w:val="000000" w:themeColor="text1"/>
          <w:sz w:val="24"/>
          <w:szCs w:val="24"/>
        </w:rPr>
        <w:t xml:space="preserve"> bylo podle důvodových zpráv zvýšení příjmů státního rozpočtu. Zvýšení daňového zvýhodnění na děti a zavedení slevy za umístění dítěte v předškolním zařízení měl</w:t>
      </w:r>
      <w:r w:rsidR="007A6E4C">
        <w:rPr>
          <w:rFonts w:cstheme="minorHAnsi"/>
          <w:bCs/>
          <w:iCs/>
          <w:color w:val="000000" w:themeColor="text1"/>
          <w:sz w:val="24"/>
          <w:szCs w:val="24"/>
        </w:rPr>
        <w:t>y</w:t>
      </w:r>
      <w:r w:rsidR="00F75071">
        <w:rPr>
          <w:rFonts w:cstheme="minorHAnsi"/>
          <w:bCs/>
          <w:iCs/>
          <w:color w:val="000000" w:themeColor="text1"/>
          <w:sz w:val="24"/>
          <w:szCs w:val="24"/>
        </w:rPr>
        <w:t xml:space="preserve"> za cíl podpořit rodiny s dětmi a rychlejší návrat rodiče na trh práce. </w:t>
      </w:r>
      <w:r w:rsidRPr="000043EF">
        <w:rPr>
          <w:rFonts w:cstheme="minorHAnsi"/>
          <w:bCs/>
          <w:iCs/>
          <w:color w:val="000000" w:themeColor="text1"/>
          <w:sz w:val="24"/>
          <w:szCs w:val="24"/>
        </w:rPr>
        <w:t xml:space="preserve">MF v návrzích SZÚ nevyhodnotilo konkrétní dopady zavedených změn, proto nemohlo hodnotit naplnění záměrů, pro které tyto změny zavádělo. 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MF využívalo pro výpočet </w:t>
      </w:r>
      <w:r>
        <w:rPr>
          <w:rFonts w:cstheme="minorHAnsi"/>
          <w:color w:val="000000" w:themeColor="text1"/>
          <w:sz w:val="24"/>
          <w:szCs w:val="24"/>
        </w:rPr>
        <w:t>předpokládaných dopadů v důvodových zprávách k zákonům data zejména z Českého statistického úřadu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 a agregovaná data z</w:t>
      </w:r>
      <w:r>
        <w:rPr>
          <w:rFonts w:cstheme="minorHAnsi"/>
          <w:color w:val="000000" w:themeColor="text1"/>
          <w:sz w:val="24"/>
          <w:szCs w:val="24"/>
        </w:rPr>
        <w:t> </w:t>
      </w:r>
      <w:r w:rsidR="007A6E4C">
        <w:rPr>
          <w:rFonts w:cstheme="minorHAnsi"/>
          <w:color w:val="000000" w:themeColor="text1"/>
          <w:sz w:val="24"/>
          <w:szCs w:val="24"/>
        </w:rPr>
        <w:t>a</w:t>
      </w:r>
      <w:r>
        <w:rPr>
          <w:rFonts w:cstheme="minorHAnsi"/>
          <w:color w:val="000000" w:themeColor="text1"/>
          <w:sz w:val="24"/>
          <w:szCs w:val="24"/>
        </w:rPr>
        <w:t xml:space="preserve">utomatizovaného daňového 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informačního systému </w:t>
      </w:r>
      <w:r>
        <w:rPr>
          <w:rFonts w:cstheme="minorHAnsi"/>
          <w:color w:val="000000" w:themeColor="text1"/>
          <w:sz w:val="24"/>
          <w:szCs w:val="24"/>
        </w:rPr>
        <w:t xml:space="preserve">(dále </w:t>
      </w:r>
      <w:r w:rsidR="007F5C1F">
        <w:rPr>
          <w:rFonts w:cstheme="minorHAnsi"/>
          <w:color w:val="000000" w:themeColor="text1"/>
          <w:sz w:val="24"/>
          <w:szCs w:val="24"/>
        </w:rPr>
        <w:t xml:space="preserve">také </w:t>
      </w:r>
      <w:r>
        <w:rPr>
          <w:rFonts w:cstheme="minorHAnsi"/>
          <w:color w:val="000000" w:themeColor="text1"/>
          <w:sz w:val="24"/>
          <w:szCs w:val="24"/>
        </w:rPr>
        <w:t>„</w:t>
      </w:r>
      <w:r w:rsidRPr="00053023">
        <w:rPr>
          <w:rFonts w:cstheme="minorHAnsi"/>
          <w:color w:val="000000" w:themeColor="text1"/>
          <w:sz w:val="24"/>
          <w:szCs w:val="24"/>
        </w:rPr>
        <w:t>ADIS</w:t>
      </w:r>
      <w:r>
        <w:rPr>
          <w:rFonts w:cstheme="minorHAnsi"/>
          <w:color w:val="000000" w:themeColor="text1"/>
          <w:sz w:val="24"/>
          <w:szCs w:val="24"/>
        </w:rPr>
        <w:t>“)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. Při </w:t>
      </w:r>
      <w:r>
        <w:rPr>
          <w:rFonts w:cstheme="minorHAnsi"/>
          <w:color w:val="000000" w:themeColor="text1"/>
          <w:sz w:val="24"/>
          <w:szCs w:val="24"/>
        </w:rPr>
        <w:t>kvantifikaci dopadů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 vycházelo MF </w:t>
      </w:r>
      <w:r>
        <w:rPr>
          <w:rFonts w:cstheme="minorHAnsi"/>
          <w:color w:val="000000" w:themeColor="text1"/>
          <w:sz w:val="24"/>
          <w:szCs w:val="24"/>
        </w:rPr>
        <w:t>také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 z vlastních expertních odhadů a dalších vlastních hypotéz.</w:t>
      </w:r>
      <w:r>
        <w:rPr>
          <w:rFonts w:cstheme="minorHAnsi"/>
          <w:color w:val="000000" w:themeColor="text1"/>
          <w:sz w:val="24"/>
          <w:szCs w:val="24"/>
        </w:rPr>
        <w:t xml:space="preserve"> MF navíc nemělo k dispozici údaje o počtu daňových nerezidentů z podaných daňových přiznání a počet poplatníků, kteří využívali daňové zvýhodnění na více než jedno vyživované dítě. </w:t>
      </w:r>
    </w:p>
    <w:p w14:paraId="6313AE3B" w14:textId="3C30440E" w:rsidR="00C0073D" w:rsidRDefault="004B7279" w:rsidP="00C0073D">
      <w:pPr>
        <w:pStyle w:val="Titulek"/>
        <w:keepNext/>
        <w:spacing w:after="0"/>
        <w:rPr>
          <w:b/>
          <w:i w:val="0"/>
          <w:color w:val="auto"/>
          <w:sz w:val="24"/>
          <w:szCs w:val="24"/>
        </w:rPr>
      </w:pPr>
      <w:r w:rsidRPr="004034EF">
        <w:rPr>
          <w:b/>
          <w:i w:val="0"/>
          <w:color w:val="auto"/>
          <w:sz w:val="24"/>
          <w:szCs w:val="24"/>
        </w:rPr>
        <w:lastRenderedPageBreak/>
        <w:t xml:space="preserve">Tabulka č. </w:t>
      </w:r>
      <w:r w:rsidR="00B3080B" w:rsidRPr="004034EF">
        <w:rPr>
          <w:b/>
          <w:i w:val="0"/>
          <w:color w:val="auto"/>
          <w:sz w:val="24"/>
          <w:szCs w:val="24"/>
        </w:rPr>
        <w:fldChar w:fldCharType="begin"/>
      </w:r>
      <w:r w:rsidRPr="004034EF">
        <w:rPr>
          <w:b/>
          <w:i w:val="0"/>
          <w:color w:val="auto"/>
          <w:sz w:val="24"/>
          <w:szCs w:val="24"/>
        </w:rPr>
        <w:instrText xml:space="preserve"> SEQ Tabulka_č. \* ARABIC </w:instrText>
      </w:r>
      <w:r w:rsidR="00B3080B" w:rsidRPr="004034EF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3</w:t>
      </w:r>
      <w:r w:rsidR="00B3080B" w:rsidRPr="004034EF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 xml:space="preserve">: </w:t>
      </w:r>
      <w:r w:rsidRPr="004034EF">
        <w:rPr>
          <w:rFonts w:cstheme="minorHAnsi"/>
          <w:b/>
          <w:i w:val="0"/>
          <w:color w:val="auto"/>
          <w:sz w:val="24"/>
          <w:szCs w:val="24"/>
        </w:rPr>
        <w:t xml:space="preserve">Kvantifikace předpokládaných dopadů jednotlivých institutů (v </w:t>
      </w:r>
      <w:r>
        <w:rPr>
          <w:rFonts w:cstheme="minorHAnsi"/>
          <w:b/>
          <w:i w:val="0"/>
          <w:color w:val="auto"/>
          <w:sz w:val="24"/>
          <w:szCs w:val="24"/>
        </w:rPr>
        <w:t>mld</w:t>
      </w:r>
      <w:r w:rsidRPr="004034EF">
        <w:rPr>
          <w:rFonts w:cstheme="minorHAnsi"/>
          <w:b/>
          <w:i w:val="0"/>
          <w:color w:val="auto"/>
          <w:sz w:val="24"/>
          <w:szCs w:val="24"/>
        </w:rPr>
        <w:t>. Kč)</w:t>
      </w:r>
    </w:p>
    <w:bookmarkStart w:id="1" w:name="_MON_1549976928"/>
    <w:bookmarkEnd w:id="1"/>
    <w:p w14:paraId="051002DA" w14:textId="492A4EB1" w:rsidR="00C0073D" w:rsidRPr="002F1BAE" w:rsidRDefault="00547314" w:rsidP="00EA3FA3">
      <w:pPr>
        <w:spacing w:after="0" w:line="240" w:lineRule="auto"/>
        <w:jc w:val="both"/>
        <w:rPr>
          <w:b/>
          <w:sz w:val="20"/>
        </w:rPr>
      </w:pPr>
      <w:r w:rsidRPr="00B34E40">
        <w:rPr>
          <w:b/>
        </w:rPr>
        <w:object w:dxaOrig="9015" w:dyaOrig="1845" w14:anchorId="1DC765C3">
          <v:shape id="_x0000_i1027" type="#_x0000_t75" style="width:455.25pt;height:109.5pt" o:ole="">
            <v:imagedata r:id="rId17" o:title=""/>
          </v:shape>
          <o:OLEObject Type="Embed" ProgID="Excel.Sheet.12" ShapeID="_x0000_i1027" DrawAspect="Content" ObjectID="_1564309623" r:id="rId18"/>
        </w:object>
      </w:r>
      <w:r w:rsidR="004B7279" w:rsidRPr="002F1BAE">
        <w:rPr>
          <w:b/>
          <w:sz w:val="20"/>
        </w:rPr>
        <w:t>Zdroj:</w:t>
      </w:r>
      <w:r w:rsidR="004B7279" w:rsidRPr="002F1BAE">
        <w:rPr>
          <w:sz w:val="20"/>
        </w:rPr>
        <w:t xml:space="preserve"> </w:t>
      </w:r>
      <w:r w:rsidR="00F94B63">
        <w:rPr>
          <w:sz w:val="20"/>
        </w:rPr>
        <w:t>d</w:t>
      </w:r>
      <w:r w:rsidR="004B7279" w:rsidRPr="002F1BAE">
        <w:rPr>
          <w:sz w:val="20"/>
        </w:rPr>
        <w:t>ůvodové zprávy</w:t>
      </w:r>
      <w:r w:rsidR="004B7279" w:rsidRPr="002F1BAE">
        <w:rPr>
          <w:color w:val="00B050"/>
          <w:sz w:val="20"/>
        </w:rPr>
        <w:t xml:space="preserve">. </w:t>
      </w:r>
    </w:p>
    <w:p w14:paraId="524A0A82" w14:textId="2DB47EE0" w:rsidR="00C0073D" w:rsidRPr="002F1BAE" w:rsidRDefault="004B7279" w:rsidP="00EA3FA3">
      <w:pPr>
        <w:spacing w:after="0" w:line="240" w:lineRule="auto"/>
        <w:ind w:left="567" w:hanging="567"/>
        <w:jc w:val="both"/>
        <w:rPr>
          <w:sz w:val="20"/>
        </w:rPr>
      </w:pPr>
      <w:r w:rsidRPr="002F1BAE">
        <w:rPr>
          <w:b/>
          <w:sz w:val="20"/>
        </w:rPr>
        <w:t>Pozn.:</w:t>
      </w:r>
      <w:r w:rsidRPr="002F1BAE">
        <w:rPr>
          <w:sz w:val="20"/>
        </w:rPr>
        <w:t xml:space="preserve"> </w:t>
      </w:r>
      <w:r w:rsidR="002F1BAE">
        <w:rPr>
          <w:sz w:val="20"/>
        </w:rPr>
        <w:tab/>
      </w:r>
      <w:r w:rsidRPr="002F1BAE">
        <w:rPr>
          <w:sz w:val="20"/>
        </w:rPr>
        <w:t>Důvodové zprávy k (1) zákonu č. 370/2011 Sb., (2) zákonnému opatření Senátu č. 344/2013 Sb., (3) zákonu č. 267/2014 Sb., (4) zákonu č. 247/2014 Sb., (5) zákonu č. 500/2012 Sb.</w:t>
      </w:r>
    </w:p>
    <w:p w14:paraId="7D820898" w14:textId="2634907D" w:rsidR="00C0073D" w:rsidRPr="002F1BAE" w:rsidRDefault="004B7279" w:rsidP="00EA3FA3">
      <w:pPr>
        <w:tabs>
          <w:tab w:val="left" w:pos="142"/>
        </w:tabs>
        <w:spacing w:after="0" w:line="240" w:lineRule="auto"/>
        <w:jc w:val="both"/>
        <w:rPr>
          <w:sz w:val="20"/>
        </w:rPr>
      </w:pPr>
      <w:r w:rsidRPr="002F1BAE">
        <w:rPr>
          <w:rFonts w:eastAsia="Times New Roman" w:cs="Times New Roman"/>
          <w:sz w:val="20"/>
        </w:rPr>
        <w:t>*</w:t>
      </w:r>
      <w:r w:rsidR="002F1BAE">
        <w:rPr>
          <w:rFonts w:eastAsia="Times New Roman" w:cs="Times New Roman"/>
          <w:sz w:val="20"/>
        </w:rPr>
        <w:tab/>
      </w:r>
      <w:r w:rsidRPr="002F1BAE">
        <w:rPr>
          <w:rFonts w:eastAsia="Times New Roman" w:cs="Times New Roman"/>
          <w:sz w:val="20"/>
        </w:rPr>
        <w:t xml:space="preserve">Předpokládaný dopad </w:t>
      </w:r>
      <w:r w:rsidR="00F94B63">
        <w:rPr>
          <w:rFonts w:eastAsia="Times New Roman" w:cs="Times New Roman"/>
          <w:sz w:val="20"/>
        </w:rPr>
        <w:t>na</w:t>
      </w:r>
      <w:r w:rsidRPr="002F1BAE">
        <w:rPr>
          <w:rFonts w:eastAsia="Times New Roman" w:cs="Times New Roman"/>
          <w:sz w:val="20"/>
        </w:rPr>
        <w:t xml:space="preserve"> veřejn</w:t>
      </w:r>
      <w:r w:rsidR="00F94B63">
        <w:rPr>
          <w:rFonts w:eastAsia="Times New Roman" w:cs="Times New Roman"/>
          <w:sz w:val="20"/>
        </w:rPr>
        <w:t>é</w:t>
      </w:r>
      <w:r w:rsidRPr="002F1BAE">
        <w:rPr>
          <w:rFonts w:eastAsia="Times New Roman" w:cs="Times New Roman"/>
          <w:sz w:val="20"/>
        </w:rPr>
        <w:t xml:space="preserve"> rozpočt</w:t>
      </w:r>
      <w:r w:rsidR="00F94B63">
        <w:rPr>
          <w:rFonts w:eastAsia="Times New Roman" w:cs="Times New Roman"/>
          <w:sz w:val="20"/>
        </w:rPr>
        <w:t>y</w:t>
      </w:r>
      <w:r w:rsidRPr="002F1BAE">
        <w:rPr>
          <w:rFonts w:eastAsia="Times New Roman" w:cs="Times New Roman"/>
          <w:sz w:val="20"/>
        </w:rPr>
        <w:t>.</w:t>
      </w:r>
    </w:p>
    <w:p w14:paraId="0090BA97" w14:textId="634B3988" w:rsidR="00C0073D" w:rsidRDefault="004B7279" w:rsidP="00547314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NKÚ zjistil, že ačkoliv byly u daňového zvýhodnění predikce negativních dopadů na inkaso vyšší oproti dopadům pozitivním, docházelo v letech 2012–2014 ke snižování celkové sumy uplatňovaného daňového zvýhodnění. K nárůstu došlo až v roce 2015, avšak dopad oproti predikci byl více než dvojnásobný (predikce předpokládala negativní dopad </w:t>
      </w:r>
      <w:r w:rsidR="00435ED7">
        <w:rPr>
          <w:rFonts w:cstheme="minorHAnsi"/>
          <w:color w:val="000000" w:themeColor="text1"/>
          <w:sz w:val="24"/>
          <w:szCs w:val="24"/>
        </w:rPr>
        <w:t>na</w:t>
      </w:r>
      <w:r>
        <w:rPr>
          <w:rFonts w:cstheme="minorHAnsi"/>
          <w:color w:val="000000" w:themeColor="text1"/>
          <w:sz w:val="24"/>
          <w:szCs w:val="24"/>
        </w:rPr>
        <w:t xml:space="preserve"> inkas</w:t>
      </w:r>
      <w:r w:rsidR="00435ED7">
        <w:rPr>
          <w:rFonts w:cstheme="minorHAnsi"/>
          <w:color w:val="000000" w:themeColor="text1"/>
          <w:sz w:val="24"/>
          <w:szCs w:val="24"/>
        </w:rPr>
        <w:t>o</w:t>
      </w:r>
      <w:r>
        <w:rPr>
          <w:rFonts w:cstheme="minorHAnsi"/>
          <w:color w:val="000000" w:themeColor="text1"/>
          <w:sz w:val="24"/>
          <w:szCs w:val="24"/>
        </w:rPr>
        <w:t xml:space="preserve"> ve výši 1,3 mld. Kč, snížení daňové povinnosti bylo oproti roku 2014 ve výši 2,9 mld. Kč) vzhledem k zavedení a zvýšení sazby na 2., 3. a další vyživované dítě. V roce 2015 se výše uplatnění daňového zvýhodnění přiblížila stavu roku 2012, tj. stavu před omezením možnosti uplatnit daňové zvýhodnění pro nerezidenty a dále pro poplatníky </w:t>
      </w:r>
      <w:r w:rsidR="00E006DB">
        <w:rPr>
          <w:rFonts w:cstheme="minorHAnsi"/>
          <w:color w:val="000000" w:themeColor="text1"/>
          <w:sz w:val="24"/>
          <w:szCs w:val="24"/>
        </w:rPr>
        <w:t xml:space="preserve">uplatňující </w:t>
      </w:r>
      <w:r>
        <w:rPr>
          <w:rFonts w:cstheme="minorHAnsi"/>
          <w:color w:val="000000" w:themeColor="text1"/>
          <w:sz w:val="24"/>
          <w:szCs w:val="24"/>
        </w:rPr>
        <w:t>výdaje procentem z příjmů, tzv. výdajové paušály.</w:t>
      </w:r>
    </w:p>
    <w:p w14:paraId="4B52E0A3" w14:textId="77777777" w:rsidR="00C0073D" w:rsidRDefault="004B7279" w:rsidP="00547314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Solidární zvýšení daně se na výši daňové povinnosti DPFO v roce jeho zavedení (2013) projevilo více, než bylo predikováno, daňová povinnost vyplývající z daňových přiznání před uplatněním slev na dani v tomto roce činila 4,5 mld. Kč. </w:t>
      </w:r>
    </w:p>
    <w:p w14:paraId="4580A661" w14:textId="2406C78F" w:rsidR="00FC6C92" w:rsidRDefault="004B7279" w:rsidP="00547314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997920">
        <w:rPr>
          <w:sz w:val="24"/>
          <w:szCs w:val="24"/>
        </w:rPr>
        <w:t xml:space="preserve">Omezení uplatňování základní slevy na poplatníka starobními důchodci mělo mít v letech </w:t>
      </w:r>
      <w:r>
        <w:rPr>
          <w:sz w:val="24"/>
          <w:szCs w:val="24"/>
        </w:rPr>
        <w:br/>
        <w:t>2013–</w:t>
      </w:r>
      <w:r w:rsidRPr="00997920">
        <w:rPr>
          <w:sz w:val="24"/>
          <w:szCs w:val="24"/>
        </w:rPr>
        <w:t xml:space="preserve">2015 pozitivní dopad na příjmy SR ve výši 7 mld. Kč. Zrušení tohoto omezení nálezem Ústavního soudu v roce 2014 </w:t>
      </w:r>
      <w:r>
        <w:rPr>
          <w:sz w:val="24"/>
          <w:szCs w:val="24"/>
        </w:rPr>
        <w:t>mělo mít podle</w:t>
      </w:r>
      <w:r w:rsidRPr="00997920">
        <w:rPr>
          <w:sz w:val="24"/>
          <w:szCs w:val="24"/>
        </w:rPr>
        <w:t xml:space="preserve"> GFŘ za roky 2013 a 2014 negativní dopad ve výši 4,7 mld. Kč.</w:t>
      </w:r>
      <w:r w:rsidR="006D165E">
        <w:rPr>
          <w:sz w:val="24"/>
          <w:szCs w:val="24"/>
        </w:rPr>
        <w:t xml:space="preserve"> </w:t>
      </w:r>
      <w:r w:rsidRPr="008C03D6">
        <w:rPr>
          <w:rFonts w:cstheme="minorHAnsi"/>
          <w:sz w:val="24"/>
          <w:szCs w:val="24"/>
        </w:rPr>
        <w:t>GFŘ nemělo přehled o celkovém počtu a výši zpětně</w:t>
      </w:r>
      <w:r w:rsidRPr="0022333B">
        <w:rPr>
          <w:rFonts w:cstheme="minorHAnsi"/>
          <w:sz w:val="24"/>
          <w:szCs w:val="24"/>
        </w:rPr>
        <w:t xml:space="preserve"> uplatňovaných slev na poplatníka starobními důchodci za zdaňovací období let 2013 a 2014, </w:t>
      </w:r>
      <w:r>
        <w:rPr>
          <w:rFonts w:cstheme="minorHAnsi"/>
          <w:sz w:val="24"/>
          <w:szCs w:val="24"/>
        </w:rPr>
        <w:t>protože v</w:t>
      </w:r>
      <w:r w:rsidRPr="008C03D6">
        <w:rPr>
          <w:rFonts w:cstheme="minorHAnsi"/>
          <w:sz w:val="24"/>
          <w:szCs w:val="24"/>
        </w:rPr>
        <w:t xml:space="preserve">yúčtování DPFO ze závislé činnosti v souladu se zákonem neobsahuje individualizované údaje </w:t>
      </w:r>
      <w:r w:rsidR="002F1BAE">
        <w:rPr>
          <w:rFonts w:cstheme="minorHAnsi"/>
          <w:sz w:val="24"/>
          <w:szCs w:val="24"/>
        </w:rPr>
        <w:t>o </w:t>
      </w:r>
      <w:r w:rsidRPr="008C03D6">
        <w:rPr>
          <w:rFonts w:cstheme="minorHAnsi"/>
          <w:sz w:val="24"/>
          <w:szCs w:val="24"/>
        </w:rPr>
        <w:t>poplatnících, ale souhrnné údaje plátce.</w:t>
      </w:r>
    </w:p>
    <w:p w14:paraId="737BC262" w14:textId="08B2837B" w:rsidR="00C0073D" w:rsidRPr="00547314" w:rsidRDefault="00547314" w:rsidP="00547314">
      <w:pPr>
        <w:spacing w:before="120" w:after="120" w:line="240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2. </w:t>
      </w:r>
      <w:r w:rsidR="004B7279" w:rsidRPr="00547314">
        <w:rPr>
          <w:rFonts w:eastAsia="Times New Roman" w:cs="Times New Roman"/>
          <w:b/>
          <w:sz w:val="24"/>
          <w:szCs w:val="24"/>
        </w:rPr>
        <w:t>Správa DPFO</w:t>
      </w:r>
    </w:p>
    <w:p w14:paraId="6DDD2010" w14:textId="77777777" w:rsidR="00C0073D" w:rsidRPr="00713FD8" w:rsidRDefault="004B7279" w:rsidP="00547314">
      <w:pPr>
        <w:pStyle w:val="Odstavecseseznamem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imes New Roman"/>
          <w:b/>
          <w:sz w:val="24"/>
          <w:szCs w:val="24"/>
        </w:rPr>
      </w:pPr>
      <w:r w:rsidRPr="00713FD8">
        <w:rPr>
          <w:rFonts w:eastAsia="Times New Roman" w:cs="Times New Roman"/>
          <w:b/>
          <w:sz w:val="24"/>
          <w:szCs w:val="24"/>
        </w:rPr>
        <w:t>Od</w:t>
      </w:r>
      <w:r w:rsidR="00A06396">
        <w:rPr>
          <w:rFonts w:eastAsia="Times New Roman" w:cs="Times New Roman"/>
          <w:b/>
          <w:sz w:val="24"/>
          <w:szCs w:val="24"/>
        </w:rPr>
        <w:t>po</w:t>
      </w:r>
      <w:r w:rsidRPr="00713FD8">
        <w:rPr>
          <w:rFonts w:eastAsia="Times New Roman" w:cs="Times New Roman"/>
          <w:b/>
          <w:sz w:val="24"/>
          <w:szCs w:val="24"/>
        </w:rPr>
        <w:t>čitatelné položky</w:t>
      </w:r>
      <w:r>
        <w:rPr>
          <w:rFonts w:eastAsia="Times New Roman" w:cs="Times New Roman"/>
          <w:b/>
          <w:sz w:val="24"/>
          <w:szCs w:val="24"/>
        </w:rPr>
        <w:t>, solidární zvýšení daně a výdajové paušály</w:t>
      </w:r>
    </w:p>
    <w:p w14:paraId="5723E665" w14:textId="48287FC5" w:rsidR="00C0073D" w:rsidRDefault="004B7279" w:rsidP="00547314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5B0A12">
        <w:rPr>
          <w:rFonts w:eastAsia="Times New Roman" w:cs="Times New Roman"/>
          <w:sz w:val="24"/>
          <w:szCs w:val="24"/>
        </w:rPr>
        <w:t>Systém DPFO u poplatníků</w:t>
      </w:r>
      <w:r w:rsidRPr="005D67F7">
        <w:rPr>
          <w:rFonts w:eastAsia="Times New Roman" w:cs="Times New Roman"/>
          <w:sz w:val="24"/>
          <w:szCs w:val="24"/>
        </w:rPr>
        <w:t xml:space="preserve"> uplatňujících v</w:t>
      </w:r>
      <w:r>
        <w:rPr>
          <w:rFonts w:eastAsia="Times New Roman" w:cs="Times New Roman"/>
          <w:sz w:val="24"/>
          <w:szCs w:val="24"/>
        </w:rPr>
        <w:t> daňových přiznáních (dále také „DAP“)</w:t>
      </w:r>
      <w:r w:rsidRPr="005D67F7">
        <w:rPr>
          <w:rFonts w:eastAsia="Times New Roman" w:cs="Times New Roman"/>
          <w:sz w:val="24"/>
          <w:szCs w:val="24"/>
        </w:rPr>
        <w:t xml:space="preserve"> k DPFO od</w:t>
      </w:r>
      <w:r w:rsidR="00A06396">
        <w:rPr>
          <w:rFonts w:eastAsia="Times New Roman" w:cs="Times New Roman"/>
          <w:sz w:val="24"/>
          <w:szCs w:val="24"/>
        </w:rPr>
        <w:t>po</w:t>
      </w:r>
      <w:r w:rsidRPr="005D67F7">
        <w:rPr>
          <w:rFonts w:eastAsia="Times New Roman" w:cs="Times New Roman"/>
          <w:sz w:val="24"/>
          <w:szCs w:val="24"/>
        </w:rPr>
        <w:t xml:space="preserve">čitatelné položky administrativně zatěžuje správce daně i poplatníky. Přílohy DAP jsou pro kontrolu správnosti uplatnění odpočtu </w:t>
      </w:r>
      <w:r>
        <w:rPr>
          <w:rFonts w:eastAsia="Times New Roman" w:cs="Times New Roman"/>
          <w:sz w:val="24"/>
          <w:szCs w:val="24"/>
        </w:rPr>
        <w:t xml:space="preserve">dle správce daně </w:t>
      </w:r>
      <w:r w:rsidRPr="005D67F7">
        <w:rPr>
          <w:rFonts w:eastAsia="Times New Roman" w:cs="Times New Roman"/>
          <w:sz w:val="24"/>
          <w:szCs w:val="24"/>
        </w:rPr>
        <w:t>nedostatečné</w:t>
      </w:r>
      <w:r>
        <w:rPr>
          <w:rFonts w:eastAsia="Times New Roman" w:cs="Times New Roman"/>
          <w:sz w:val="24"/>
          <w:szCs w:val="24"/>
        </w:rPr>
        <w:t>.</w:t>
      </w:r>
      <w:r w:rsidR="00244B20">
        <w:rPr>
          <w:rFonts w:eastAsia="Times New Roman" w:cs="Times New Roman"/>
          <w:sz w:val="24"/>
          <w:szCs w:val="24"/>
        </w:rPr>
        <w:t xml:space="preserve"> </w:t>
      </w:r>
      <w:r w:rsidR="00D71B02">
        <w:rPr>
          <w:rFonts w:eastAsia="Times New Roman" w:cs="Times New Roman"/>
          <w:sz w:val="24"/>
          <w:szCs w:val="24"/>
        </w:rPr>
        <w:t xml:space="preserve">Informace od třetích stran nemají správci daně možnost automaticky ověřit, proto požadují předložení dalších dokladů nad rámec povinných příloh stanovených v DAP. </w:t>
      </w:r>
      <w:r>
        <w:rPr>
          <w:rFonts w:eastAsia="Times New Roman" w:cs="Times New Roman"/>
          <w:sz w:val="24"/>
          <w:szCs w:val="24"/>
        </w:rPr>
        <w:t xml:space="preserve">Správci daně </w:t>
      </w:r>
      <w:r w:rsidR="002F1BAE">
        <w:rPr>
          <w:rFonts w:eastAsia="Times New Roman" w:cs="Times New Roman"/>
          <w:sz w:val="24"/>
          <w:szCs w:val="24"/>
        </w:rPr>
        <w:t>se setkali i </w:t>
      </w:r>
      <w:r>
        <w:rPr>
          <w:rFonts w:eastAsia="Times New Roman" w:cs="Times New Roman"/>
          <w:sz w:val="24"/>
          <w:szCs w:val="24"/>
        </w:rPr>
        <w:t xml:space="preserve">s případy, kdy se poplatníci stavěli negativně k vyžadování dalších listin, protože zákon výslovně nevyžaduje jejich předložení. </w:t>
      </w:r>
    </w:p>
    <w:p w14:paraId="174A8FC7" w14:textId="1B723E6A" w:rsidR="00C0073D" w:rsidRDefault="004B7279" w:rsidP="00547314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 odpočtu příspěvku na penzijní připojištění, penzijní pojištění a doplňkové penzijní spoření, stejně tak v případě odpočtu pojistného na životní pojištění</w:t>
      </w:r>
      <w:r w:rsidR="00435ED7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NKÚ na vzorku 400 daňových </w:t>
      </w:r>
      <w:r>
        <w:rPr>
          <w:rFonts w:eastAsia="Times New Roman" w:cs="Times New Roman"/>
          <w:sz w:val="24"/>
          <w:szCs w:val="24"/>
        </w:rPr>
        <w:lastRenderedPageBreak/>
        <w:t>subjektů zjistil, že šest kontrolovaných FÚ</w:t>
      </w:r>
      <w:r>
        <w:rPr>
          <w:rStyle w:val="Znakapoznpodarou"/>
          <w:rFonts w:eastAsia="Times New Roman" w:cs="Times New Roman"/>
          <w:sz w:val="24"/>
          <w:szCs w:val="24"/>
        </w:rPr>
        <w:footnoteReference w:id="10"/>
      </w:r>
      <w:r>
        <w:rPr>
          <w:rFonts w:eastAsia="Times New Roman" w:cs="Times New Roman"/>
          <w:sz w:val="24"/>
          <w:szCs w:val="24"/>
        </w:rPr>
        <w:t xml:space="preserve"> u 88 daňových subjektů, které v DAP uplatnily tyto odpočty nepravidelně, neprověřilo, zda poplatníkům nevznikla povinnost dodanit uplatněné odpočty z důvodu nedodržení zákonných podmínek (např. předčasné ukončení smlouvy). Dále tři kontrolované FÚ u šesti daňových subjektů vyměřily DPFO v nesprávné výši, neboť </w:t>
      </w:r>
      <w:r w:rsidRPr="002700C0">
        <w:rPr>
          <w:rFonts w:eastAsia="Times New Roman" w:cs="Times New Roman"/>
          <w:sz w:val="24"/>
          <w:szCs w:val="24"/>
        </w:rPr>
        <w:t>hodnota odpočtu nebyla snížena o zákonem požadovanou částku.</w:t>
      </w:r>
    </w:p>
    <w:p w14:paraId="227A8C07" w14:textId="47403943" w:rsidR="00C0073D" w:rsidRDefault="004B7279" w:rsidP="00547314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903ADE">
        <w:rPr>
          <w:rFonts w:eastAsia="Times New Roman" w:cs="Times New Roman"/>
          <w:sz w:val="24"/>
          <w:szCs w:val="24"/>
        </w:rPr>
        <w:t>Správce daně</w:t>
      </w:r>
      <w:r>
        <w:rPr>
          <w:rFonts w:eastAsia="Times New Roman" w:cs="Times New Roman"/>
          <w:sz w:val="24"/>
          <w:szCs w:val="24"/>
        </w:rPr>
        <w:t xml:space="preserve"> se o existenci a trvání smluv na </w:t>
      </w:r>
      <w:r w:rsidRPr="00903ADE">
        <w:rPr>
          <w:rFonts w:eastAsia="Times New Roman" w:cs="Times New Roman"/>
          <w:sz w:val="24"/>
          <w:szCs w:val="24"/>
        </w:rPr>
        <w:t>penzijní př</w:t>
      </w:r>
      <w:r>
        <w:rPr>
          <w:rFonts w:eastAsia="Times New Roman" w:cs="Times New Roman"/>
          <w:sz w:val="24"/>
          <w:szCs w:val="24"/>
        </w:rPr>
        <w:t xml:space="preserve">ipojištění, penzijní pojištění </w:t>
      </w:r>
      <w:r w:rsidRPr="00903ADE">
        <w:rPr>
          <w:rFonts w:eastAsia="Times New Roman" w:cs="Times New Roman"/>
          <w:sz w:val="24"/>
          <w:szCs w:val="24"/>
        </w:rPr>
        <w:t>a</w:t>
      </w:r>
      <w:r w:rsidR="002F1BAE">
        <w:rPr>
          <w:rFonts w:eastAsia="Times New Roman" w:cs="Times New Roman"/>
          <w:sz w:val="24"/>
          <w:szCs w:val="24"/>
        </w:rPr>
        <w:t> </w:t>
      </w:r>
      <w:r w:rsidRPr="00903ADE">
        <w:rPr>
          <w:rFonts w:eastAsia="Times New Roman" w:cs="Times New Roman"/>
          <w:sz w:val="24"/>
          <w:szCs w:val="24"/>
        </w:rPr>
        <w:t xml:space="preserve">doplňkové penzijní spoření </w:t>
      </w:r>
      <w:r>
        <w:rPr>
          <w:rFonts w:eastAsia="Times New Roman" w:cs="Times New Roman"/>
          <w:sz w:val="24"/>
          <w:szCs w:val="24"/>
        </w:rPr>
        <w:t xml:space="preserve">a na životní pojištění </w:t>
      </w:r>
      <w:r w:rsidRPr="00903ADE">
        <w:rPr>
          <w:rFonts w:eastAsia="Times New Roman" w:cs="Times New Roman"/>
          <w:sz w:val="24"/>
          <w:szCs w:val="24"/>
        </w:rPr>
        <w:t xml:space="preserve">dozvěděl při uplatnění příslušné </w:t>
      </w:r>
      <w:r>
        <w:rPr>
          <w:rFonts w:eastAsia="Times New Roman" w:cs="Times New Roman"/>
          <w:sz w:val="24"/>
          <w:szCs w:val="24"/>
        </w:rPr>
        <w:t>od</w:t>
      </w:r>
      <w:r w:rsidR="003A21D9">
        <w:rPr>
          <w:rFonts w:eastAsia="Times New Roman" w:cs="Times New Roman"/>
          <w:sz w:val="24"/>
          <w:szCs w:val="24"/>
        </w:rPr>
        <w:t>po</w:t>
      </w:r>
      <w:r>
        <w:rPr>
          <w:rFonts w:eastAsia="Times New Roman" w:cs="Times New Roman"/>
          <w:sz w:val="24"/>
          <w:szCs w:val="24"/>
        </w:rPr>
        <w:t>čitatelné položky od základu daně</w:t>
      </w:r>
      <w:r w:rsidRPr="00903ADE">
        <w:rPr>
          <w:rFonts w:eastAsia="Times New Roman" w:cs="Times New Roman"/>
          <w:sz w:val="24"/>
          <w:szCs w:val="24"/>
        </w:rPr>
        <w:t xml:space="preserve"> v DAP k DPFO, resp. prostřednictvím doloženého potvrzení.</w:t>
      </w:r>
      <w:r>
        <w:rPr>
          <w:rFonts w:eastAsia="Times New Roman" w:cs="Times New Roman"/>
          <w:sz w:val="24"/>
          <w:szCs w:val="24"/>
        </w:rPr>
        <w:t xml:space="preserve"> Pokud daňový subjekt v DAP za následující zdaňovací období odpočet neuplatnil, správce daně</w:t>
      </w:r>
      <w:r w:rsidRPr="00903ADE">
        <w:rPr>
          <w:rFonts w:eastAsia="Times New Roman" w:cs="Times New Roman"/>
          <w:sz w:val="24"/>
          <w:szCs w:val="24"/>
        </w:rPr>
        <w:t xml:space="preserve"> neměl informace o tom, zda </w:t>
      </w:r>
      <w:r>
        <w:rPr>
          <w:rFonts w:eastAsia="Times New Roman" w:cs="Times New Roman"/>
          <w:sz w:val="24"/>
          <w:szCs w:val="24"/>
        </w:rPr>
        <w:t>poplatníkovi</w:t>
      </w:r>
      <w:r w:rsidRPr="00903ADE">
        <w:rPr>
          <w:rFonts w:eastAsia="Times New Roman" w:cs="Times New Roman"/>
          <w:sz w:val="24"/>
          <w:szCs w:val="24"/>
        </w:rPr>
        <w:t xml:space="preserve"> nevznikla povinnost dodanit uplatněné odpočty. Správce daně nemohl po podání DAP </w:t>
      </w:r>
      <w:r>
        <w:rPr>
          <w:rFonts w:eastAsia="Times New Roman" w:cs="Times New Roman"/>
          <w:sz w:val="24"/>
          <w:szCs w:val="24"/>
        </w:rPr>
        <w:t xml:space="preserve">automatizovaně </w:t>
      </w:r>
      <w:r w:rsidRPr="00903ADE">
        <w:rPr>
          <w:rFonts w:eastAsia="Times New Roman" w:cs="Times New Roman"/>
          <w:sz w:val="24"/>
          <w:szCs w:val="24"/>
        </w:rPr>
        <w:t xml:space="preserve">zkontrolovat oprávněnost nároku na odpočet, protože neměl k dispozici údaje, ze kterých by ukončení smlouvy ověřil. </w:t>
      </w:r>
    </w:p>
    <w:p w14:paraId="525AAE00" w14:textId="6EE3A675" w:rsidR="00C0073D" w:rsidRDefault="004B7279" w:rsidP="00547314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</w:t>
      </w:r>
      <w:r w:rsidRPr="00953DDD">
        <w:rPr>
          <w:rFonts w:eastAsia="Times New Roman" w:cs="Times New Roman"/>
          <w:sz w:val="24"/>
          <w:szCs w:val="24"/>
        </w:rPr>
        <w:t>právce daně pro prověřování oprávněnosti nároku na odpočet úroků z úvěrů v DAP k DPFO využíval údaje z úvěrové smlouvy a data katastru nemovitostí. V případě uzavření smlouvy více spoludlužníky komplikuje správu daně sk</w:t>
      </w:r>
      <w:r>
        <w:rPr>
          <w:rFonts w:eastAsia="Times New Roman" w:cs="Times New Roman"/>
          <w:sz w:val="24"/>
          <w:szCs w:val="24"/>
        </w:rPr>
        <w:t>utečnost, že správci daně neměli</w:t>
      </w:r>
      <w:r w:rsidRPr="00953DDD">
        <w:rPr>
          <w:rFonts w:eastAsia="Times New Roman" w:cs="Times New Roman"/>
          <w:sz w:val="24"/>
          <w:szCs w:val="24"/>
        </w:rPr>
        <w:t xml:space="preserve"> </w:t>
      </w:r>
      <w:r w:rsidR="009E5BB0">
        <w:rPr>
          <w:rFonts w:eastAsia="Times New Roman" w:cs="Times New Roman"/>
          <w:sz w:val="24"/>
          <w:szCs w:val="24"/>
        </w:rPr>
        <w:t>prostřednictvím</w:t>
      </w:r>
      <w:r w:rsidR="00435ED7">
        <w:rPr>
          <w:rFonts w:eastAsia="Times New Roman" w:cs="Times New Roman"/>
          <w:sz w:val="24"/>
          <w:szCs w:val="24"/>
        </w:rPr>
        <w:t xml:space="preserve"> </w:t>
      </w:r>
      <w:r w:rsidR="00F37131">
        <w:rPr>
          <w:rFonts w:eastAsia="Times New Roman" w:cs="Times New Roman"/>
          <w:sz w:val="24"/>
          <w:szCs w:val="24"/>
        </w:rPr>
        <w:t xml:space="preserve">ADIS </w:t>
      </w:r>
      <w:r w:rsidRPr="00953DDD">
        <w:rPr>
          <w:rFonts w:eastAsia="Times New Roman" w:cs="Times New Roman"/>
          <w:sz w:val="24"/>
          <w:szCs w:val="24"/>
        </w:rPr>
        <w:t>k dispozici údaje, ze kterých by ověřili, zda úroky z úvěru byly uplatněny pouze j</w:t>
      </w:r>
      <w:r>
        <w:rPr>
          <w:rFonts w:eastAsia="Times New Roman" w:cs="Times New Roman"/>
          <w:sz w:val="24"/>
          <w:szCs w:val="24"/>
        </w:rPr>
        <w:t xml:space="preserve">edním nebo více spoludlužníky. NKÚ na vzorku 180 daňových subjektů zjistil, že na pěti kontrolovaných FÚ u 81 daňových subjektů byly uplatňovány úroky z úvěru ze smluv, kde se vyskytoval spoludlužník. </w:t>
      </w:r>
      <w:r w:rsidRPr="004C101D">
        <w:rPr>
          <w:rFonts w:eastAsia="Times New Roman" w:cs="Times New Roman"/>
          <w:sz w:val="24"/>
          <w:szCs w:val="24"/>
        </w:rPr>
        <w:t>Z</w:t>
      </w:r>
      <w:r w:rsidR="003473CA">
        <w:rPr>
          <w:rFonts w:eastAsia="Times New Roman" w:cs="Times New Roman"/>
          <w:sz w:val="24"/>
          <w:szCs w:val="24"/>
        </w:rPr>
        <w:t xml:space="preserve"> </w:t>
      </w:r>
      <w:r w:rsidRPr="004C101D">
        <w:rPr>
          <w:rFonts w:eastAsia="Times New Roman" w:cs="Times New Roman"/>
          <w:sz w:val="24"/>
          <w:szCs w:val="24"/>
        </w:rPr>
        <w:t>těchto</w:t>
      </w:r>
      <w:r w:rsidR="00F37131">
        <w:rPr>
          <w:rFonts w:eastAsia="Times New Roman" w:cs="Times New Roman"/>
          <w:sz w:val="24"/>
          <w:szCs w:val="24"/>
        </w:rPr>
        <w:t xml:space="preserve"> </w:t>
      </w:r>
      <w:r w:rsidRPr="004C101D">
        <w:rPr>
          <w:rFonts w:eastAsia="Times New Roman" w:cs="Times New Roman"/>
          <w:sz w:val="24"/>
          <w:szCs w:val="24"/>
        </w:rPr>
        <w:t xml:space="preserve">81 daňových subjektů u 28 správce daně neprověřil, zda si úroky z úvěru neuplatňoval současně </w:t>
      </w:r>
      <w:r w:rsidR="00435ED7">
        <w:rPr>
          <w:rFonts w:eastAsia="Times New Roman" w:cs="Times New Roman"/>
          <w:sz w:val="24"/>
          <w:szCs w:val="24"/>
        </w:rPr>
        <w:t>i </w:t>
      </w:r>
      <w:r w:rsidRPr="004C101D">
        <w:rPr>
          <w:rFonts w:eastAsia="Times New Roman" w:cs="Times New Roman"/>
          <w:sz w:val="24"/>
          <w:szCs w:val="24"/>
        </w:rPr>
        <w:t>spoludlužník.</w:t>
      </w:r>
    </w:p>
    <w:p w14:paraId="7BD21E72" w14:textId="77777777" w:rsidR="00C0073D" w:rsidRDefault="004B7279" w:rsidP="00547314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D305D6">
        <w:rPr>
          <w:rFonts w:eastAsia="Times New Roman" w:cs="Times New Roman"/>
          <w:sz w:val="24"/>
          <w:szCs w:val="24"/>
        </w:rPr>
        <w:t>Protože mezi správci daně a příslušnými institucemi nebyla upravena automatická výměna vybraných údajů formou elektronické komunikace, museli správci daně oprávněnost uplatnění od</w:t>
      </w:r>
      <w:r w:rsidR="008449E1">
        <w:rPr>
          <w:rFonts w:eastAsia="Times New Roman" w:cs="Times New Roman"/>
          <w:sz w:val="24"/>
          <w:szCs w:val="24"/>
        </w:rPr>
        <w:t>po</w:t>
      </w:r>
      <w:r w:rsidRPr="00D305D6">
        <w:rPr>
          <w:rFonts w:eastAsia="Times New Roman" w:cs="Times New Roman"/>
          <w:sz w:val="24"/>
          <w:szCs w:val="24"/>
        </w:rPr>
        <w:t xml:space="preserve">čitatelných položek ověřovat standardními postupy podle </w:t>
      </w:r>
      <w:r>
        <w:rPr>
          <w:rFonts w:eastAsia="Times New Roman" w:cs="Times New Roman"/>
          <w:sz w:val="24"/>
          <w:szCs w:val="24"/>
        </w:rPr>
        <w:t>DŘ, např.</w:t>
      </w:r>
      <w:r w:rsidRPr="00D305D6">
        <w:rPr>
          <w:rFonts w:eastAsia="Times New Roman" w:cs="Times New Roman"/>
          <w:sz w:val="24"/>
          <w:szCs w:val="24"/>
        </w:rPr>
        <w:t xml:space="preserve"> místním šetřením</w:t>
      </w:r>
      <w:r>
        <w:rPr>
          <w:rFonts w:eastAsia="Times New Roman" w:cs="Times New Roman"/>
          <w:sz w:val="24"/>
          <w:szCs w:val="24"/>
        </w:rPr>
        <w:t>, postupem k odstranění pochybností</w:t>
      </w:r>
      <w:r w:rsidRPr="00D305D6">
        <w:rPr>
          <w:rFonts w:eastAsia="Times New Roman" w:cs="Times New Roman"/>
          <w:sz w:val="24"/>
          <w:szCs w:val="24"/>
        </w:rPr>
        <w:t xml:space="preserve"> nebo daňovou kontrolou.</w:t>
      </w:r>
    </w:p>
    <w:p w14:paraId="46E7038F" w14:textId="30C92766" w:rsidR="00C0073D" w:rsidRDefault="004B7279" w:rsidP="00547314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 w:rsidRPr="00D305D6">
        <w:rPr>
          <w:rFonts w:eastAsia="Times New Roman" w:cs="Times New Roman"/>
          <w:sz w:val="24"/>
          <w:szCs w:val="24"/>
        </w:rPr>
        <w:t>Po zavedení solidárního zvýšení daně se zvýšila administrativní zátěž správců daně z důvodu zákonné povinnosti podávat DAP k DPFO i poplatníky DPFO ze závislé činnosti. Dalším důvodem zvýšené administrativní zátěže správců daně byla chybovost při výpočtu solidárního zvýšení daně.</w:t>
      </w:r>
      <w:r>
        <w:rPr>
          <w:rFonts w:eastAsia="Times New Roman" w:cs="Times New Roman"/>
          <w:sz w:val="24"/>
          <w:szCs w:val="24"/>
        </w:rPr>
        <w:t xml:space="preserve"> NKÚ na vzorku 211 daňových subjektů zjistil, že chybovost ve výpočtu solidárního zvýšení daně činila 8,3 % (v 37 DAP ze 447 DAP).</w:t>
      </w:r>
      <w:r w:rsidR="000647A7">
        <w:rPr>
          <w:rFonts w:eastAsia="Times New Roman" w:cs="Times New Roman"/>
          <w:sz w:val="24"/>
          <w:szCs w:val="24"/>
        </w:rPr>
        <w:t xml:space="preserve"> N</w:t>
      </w:r>
      <w:r w:rsidR="00682CC1">
        <w:rPr>
          <w:rFonts w:eastAsia="Times New Roman" w:cs="Times New Roman"/>
          <w:sz w:val="24"/>
          <w:szCs w:val="24"/>
        </w:rPr>
        <w:t>ejčastějšími chybami bylo</w:t>
      </w:r>
      <w:r w:rsidR="00F37131">
        <w:rPr>
          <w:rFonts w:eastAsia="Times New Roman" w:cs="Times New Roman"/>
          <w:sz w:val="24"/>
          <w:szCs w:val="24"/>
        </w:rPr>
        <w:t xml:space="preserve"> </w:t>
      </w:r>
      <w:r w:rsidR="00682CC1">
        <w:rPr>
          <w:rFonts w:eastAsia="Times New Roman" w:cs="Times New Roman"/>
          <w:sz w:val="24"/>
          <w:szCs w:val="24"/>
        </w:rPr>
        <w:t>nenavýšení daně o solidární zvýšení daně poplatníkem v DAP a</w:t>
      </w:r>
      <w:r w:rsidR="00F37131">
        <w:rPr>
          <w:rFonts w:eastAsia="Times New Roman" w:cs="Times New Roman"/>
          <w:sz w:val="24"/>
          <w:szCs w:val="24"/>
        </w:rPr>
        <w:t xml:space="preserve"> </w:t>
      </w:r>
      <w:r w:rsidR="000647A7">
        <w:rPr>
          <w:rFonts w:eastAsia="Times New Roman" w:cs="Times New Roman"/>
          <w:sz w:val="24"/>
          <w:szCs w:val="24"/>
        </w:rPr>
        <w:t>numerické chyby ve výpočtu</w:t>
      </w:r>
      <w:r w:rsidR="00682CC1">
        <w:rPr>
          <w:rFonts w:eastAsia="Times New Roman" w:cs="Times New Roman"/>
          <w:sz w:val="24"/>
          <w:szCs w:val="24"/>
        </w:rPr>
        <w:t>.</w:t>
      </w:r>
    </w:p>
    <w:p w14:paraId="27806070" w14:textId="4FE1172F" w:rsidR="00C0073D" w:rsidRDefault="004B7279" w:rsidP="00547314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 roku 2013 došlo postupně k</w:t>
      </w:r>
      <w:r w:rsidR="003551BF">
        <w:rPr>
          <w:rFonts w:eastAsia="Times New Roman" w:cs="Times New Roman"/>
          <w:sz w:val="24"/>
          <w:szCs w:val="24"/>
        </w:rPr>
        <w:t>e</w:t>
      </w:r>
      <w:r>
        <w:rPr>
          <w:rFonts w:eastAsia="Times New Roman" w:cs="Times New Roman"/>
          <w:sz w:val="24"/>
          <w:szCs w:val="24"/>
        </w:rPr>
        <w:t xml:space="preserve"> </w:t>
      </w:r>
      <w:r w:rsidR="003551BF">
        <w:rPr>
          <w:rFonts w:eastAsia="Times New Roman" w:cs="Times New Roman"/>
          <w:sz w:val="24"/>
          <w:szCs w:val="24"/>
        </w:rPr>
        <w:t xml:space="preserve">stanovení </w:t>
      </w:r>
      <w:r>
        <w:rPr>
          <w:rFonts w:eastAsia="Times New Roman" w:cs="Times New Roman"/>
          <w:sz w:val="24"/>
          <w:szCs w:val="24"/>
        </w:rPr>
        <w:t xml:space="preserve">absolutní maximální výše uplatněných paušálních výdajů u všech příjmů </w:t>
      </w:r>
      <w:r w:rsidR="003473CA">
        <w:rPr>
          <w:rFonts w:eastAsia="Times New Roman" w:cs="Times New Roman"/>
          <w:sz w:val="24"/>
          <w:szCs w:val="24"/>
        </w:rPr>
        <w:t>z podnikání</w:t>
      </w:r>
      <w:r w:rsidR="00026BCB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</w:t>
      </w:r>
      <w:r w:rsidR="00026BCB">
        <w:rPr>
          <w:rFonts w:eastAsia="Times New Roman" w:cs="Times New Roman"/>
          <w:sz w:val="24"/>
          <w:szCs w:val="24"/>
        </w:rPr>
        <w:t xml:space="preserve">Důvodem těchto změn </w:t>
      </w:r>
      <w:r w:rsidR="00435ED7">
        <w:rPr>
          <w:rFonts w:eastAsia="Times New Roman" w:cs="Times New Roman"/>
          <w:sz w:val="24"/>
          <w:szCs w:val="24"/>
        </w:rPr>
        <w:t>byla snaha zvýšit příjmy</w:t>
      </w:r>
      <w:r>
        <w:rPr>
          <w:rFonts w:eastAsia="Times New Roman" w:cs="Times New Roman"/>
          <w:sz w:val="24"/>
          <w:szCs w:val="24"/>
        </w:rPr>
        <w:t xml:space="preserve"> státního rozpočtu.</w:t>
      </w:r>
    </w:p>
    <w:p w14:paraId="03007A37" w14:textId="75F446A2" w:rsidR="00C0073D" w:rsidRPr="00E12239" w:rsidRDefault="004B7279" w:rsidP="00B76B2C">
      <w:pPr>
        <w:pStyle w:val="Titulek"/>
        <w:keepNext/>
        <w:keepLines/>
        <w:spacing w:after="0"/>
        <w:jc w:val="both"/>
        <w:rPr>
          <w:b/>
          <w:i w:val="0"/>
          <w:color w:val="auto"/>
          <w:sz w:val="24"/>
          <w:szCs w:val="24"/>
        </w:rPr>
      </w:pPr>
      <w:r w:rsidRPr="004C46EB">
        <w:rPr>
          <w:b/>
          <w:i w:val="0"/>
          <w:color w:val="auto"/>
          <w:sz w:val="24"/>
          <w:szCs w:val="24"/>
        </w:rPr>
        <w:lastRenderedPageBreak/>
        <w:t xml:space="preserve">Tabulka č. </w:t>
      </w:r>
      <w:r w:rsidR="00B3080B" w:rsidRPr="004C46EB">
        <w:rPr>
          <w:b/>
          <w:i w:val="0"/>
          <w:color w:val="auto"/>
          <w:sz w:val="24"/>
          <w:szCs w:val="24"/>
        </w:rPr>
        <w:fldChar w:fldCharType="begin"/>
      </w:r>
      <w:r w:rsidRPr="004C46EB">
        <w:rPr>
          <w:b/>
          <w:i w:val="0"/>
          <w:color w:val="auto"/>
          <w:sz w:val="24"/>
          <w:szCs w:val="24"/>
        </w:rPr>
        <w:instrText xml:space="preserve"> SEQ Tabulka_č. \* ARABIC </w:instrText>
      </w:r>
      <w:r w:rsidR="00B3080B" w:rsidRPr="004C46EB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4</w:t>
      </w:r>
      <w:r w:rsidR="00B3080B" w:rsidRPr="004C46EB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 xml:space="preserve">: Stanovení maximální možné výše uplatňovaných výdajů </w:t>
      </w:r>
      <w:r w:rsidR="008D3158">
        <w:rPr>
          <w:b/>
          <w:i w:val="0"/>
          <w:color w:val="auto"/>
          <w:sz w:val="24"/>
          <w:szCs w:val="24"/>
        </w:rPr>
        <w:t xml:space="preserve">procentem </w:t>
      </w:r>
      <w:r>
        <w:rPr>
          <w:b/>
          <w:i w:val="0"/>
          <w:color w:val="auto"/>
          <w:sz w:val="24"/>
          <w:szCs w:val="24"/>
        </w:rPr>
        <w:t>z příjmů</w:t>
      </w:r>
    </w:p>
    <w:bookmarkStart w:id="2" w:name="_MON_1557664656"/>
    <w:bookmarkEnd w:id="2"/>
    <w:p w14:paraId="445D3512" w14:textId="735AC89D" w:rsidR="00C0073D" w:rsidRPr="006C15BC" w:rsidRDefault="00B01098" w:rsidP="00C0073D">
      <w:pPr>
        <w:pStyle w:val="Titulek"/>
        <w:keepNext/>
        <w:keepLines/>
        <w:rPr>
          <w:i w:val="0"/>
          <w:color w:val="auto"/>
          <w:sz w:val="20"/>
          <w:szCs w:val="20"/>
        </w:rPr>
      </w:pPr>
      <w:r w:rsidRPr="00B34E40">
        <w:rPr>
          <w:rFonts w:cstheme="minorHAnsi"/>
          <w:sz w:val="24"/>
          <w:szCs w:val="24"/>
        </w:rPr>
        <w:object w:dxaOrig="10719" w:dyaOrig="2339" w14:anchorId="0597AF01">
          <v:shape id="_x0000_i1028" type="#_x0000_t75" style="width:453.75pt;height:114.75pt" o:ole="">
            <v:imagedata r:id="rId19" o:title=""/>
          </v:shape>
          <o:OLEObject Type="Embed" ProgID="Excel.Sheet.12" ShapeID="_x0000_i1028" DrawAspect="Content" ObjectID="_1564309624" r:id="rId20"/>
        </w:object>
      </w:r>
      <w:r w:rsidR="004B7279" w:rsidRPr="006C15BC">
        <w:rPr>
          <w:b/>
          <w:i w:val="0"/>
          <w:color w:val="auto"/>
          <w:sz w:val="20"/>
          <w:szCs w:val="20"/>
        </w:rPr>
        <w:t>Zdroj:</w:t>
      </w:r>
      <w:r w:rsidR="00A460A5">
        <w:rPr>
          <w:rFonts w:cstheme="minorHAnsi"/>
          <w:i w:val="0"/>
          <w:color w:val="auto"/>
          <w:sz w:val="20"/>
          <w:szCs w:val="20"/>
        </w:rPr>
        <w:t xml:space="preserve"> ZDP</w:t>
      </w:r>
      <w:r w:rsidR="004B7279" w:rsidRPr="006C15BC">
        <w:rPr>
          <w:rFonts w:cstheme="minorHAnsi"/>
          <w:i w:val="0"/>
          <w:color w:val="auto"/>
          <w:sz w:val="20"/>
          <w:szCs w:val="20"/>
        </w:rPr>
        <w:t>, vlastní zpracování NKÚ.</w:t>
      </w:r>
    </w:p>
    <w:p w14:paraId="46C9CA02" w14:textId="56C1C595" w:rsidR="00C0073D" w:rsidRDefault="004B7279" w:rsidP="00B76B2C">
      <w:pPr>
        <w:pStyle w:val="Titulek"/>
        <w:keepNext/>
        <w:keepLines/>
        <w:spacing w:after="0"/>
        <w:jc w:val="both"/>
        <w:rPr>
          <w:b/>
          <w:i w:val="0"/>
          <w:color w:val="auto"/>
          <w:sz w:val="24"/>
          <w:szCs w:val="24"/>
        </w:rPr>
      </w:pPr>
      <w:r w:rsidRPr="004C46EB">
        <w:rPr>
          <w:b/>
          <w:i w:val="0"/>
          <w:color w:val="auto"/>
          <w:sz w:val="24"/>
          <w:szCs w:val="24"/>
        </w:rPr>
        <w:t xml:space="preserve">Tabulka č. </w:t>
      </w:r>
      <w:r w:rsidR="00B3080B" w:rsidRPr="004C46EB">
        <w:rPr>
          <w:b/>
          <w:i w:val="0"/>
          <w:color w:val="auto"/>
          <w:sz w:val="24"/>
          <w:szCs w:val="24"/>
        </w:rPr>
        <w:fldChar w:fldCharType="begin"/>
      </w:r>
      <w:r w:rsidRPr="004C46EB">
        <w:rPr>
          <w:b/>
          <w:i w:val="0"/>
          <w:color w:val="auto"/>
          <w:sz w:val="24"/>
          <w:szCs w:val="24"/>
        </w:rPr>
        <w:instrText xml:space="preserve"> SEQ Tabulka_č. \* ARABIC </w:instrText>
      </w:r>
      <w:r w:rsidR="00B3080B" w:rsidRPr="004C46EB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5</w:t>
      </w:r>
      <w:r w:rsidR="00B3080B" w:rsidRPr="004C46EB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>: Počet poplatníků dle u</w:t>
      </w:r>
      <w:r w:rsidRPr="00396B6F">
        <w:rPr>
          <w:b/>
          <w:i w:val="0"/>
          <w:color w:val="auto"/>
          <w:sz w:val="24"/>
          <w:szCs w:val="24"/>
        </w:rPr>
        <w:t>platňování v</w:t>
      </w:r>
      <w:r>
        <w:rPr>
          <w:b/>
          <w:i w:val="0"/>
          <w:color w:val="auto"/>
          <w:sz w:val="24"/>
          <w:szCs w:val="24"/>
        </w:rPr>
        <w:t>ýdajů s příjmy ze samostatné činnosti</w:t>
      </w:r>
    </w:p>
    <w:bookmarkStart w:id="3" w:name="_MON_1557663530"/>
    <w:bookmarkEnd w:id="3"/>
    <w:p w14:paraId="465790BC" w14:textId="4AE8F7D8" w:rsidR="00C0073D" w:rsidRPr="00040E26" w:rsidRDefault="00D1527A" w:rsidP="00C0073D">
      <w:pPr>
        <w:pStyle w:val="Titulek"/>
        <w:keepNext/>
        <w:keepLines/>
        <w:rPr>
          <w:rFonts w:eastAsia="Times New Roman" w:cs="Times New Roman"/>
          <w:i w:val="0"/>
          <w:color w:val="auto"/>
          <w:sz w:val="20"/>
          <w:szCs w:val="20"/>
        </w:rPr>
      </w:pPr>
      <w:r w:rsidRPr="00B34E40">
        <w:rPr>
          <w:rFonts w:eastAsia="Times New Roman" w:cs="Times New Roman"/>
          <w:sz w:val="24"/>
          <w:szCs w:val="24"/>
        </w:rPr>
        <w:object w:dxaOrig="9648" w:dyaOrig="2339" w14:anchorId="27215F94">
          <v:shape id="_x0000_i1029" type="#_x0000_t75" style="width:453pt;height:116.25pt" o:ole="">
            <v:imagedata r:id="rId21" o:title=""/>
          </v:shape>
          <o:OLEObject Type="Embed" ProgID="Excel.Sheet.12" ShapeID="_x0000_i1029" DrawAspect="Content" ObjectID="_1564309625" r:id="rId22"/>
        </w:object>
      </w:r>
      <w:r w:rsidR="004B7279" w:rsidRPr="00040E26">
        <w:rPr>
          <w:rFonts w:cstheme="minorHAnsi"/>
          <w:b/>
          <w:i w:val="0"/>
          <w:color w:val="auto"/>
          <w:sz w:val="20"/>
          <w:szCs w:val="20"/>
        </w:rPr>
        <w:t>Zdroj:</w:t>
      </w:r>
      <w:r w:rsidR="00A460A5">
        <w:rPr>
          <w:rFonts w:cstheme="minorHAnsi"/>
          <w:i w:val="0"/>
          <w:color w:val="auto"/>
          <w:sz w:val="20"/>
          <w:szCs w:val="20"/>
        </w:rPr>
        <w:t xml:space="preserve"> </w:t>
      </w:r>
      <w:r w:rsidR="00BD7B26">
        <w:rPr>
          <w:rFonts w:cstheme="minorHAnsi"/>
          <w:i w:val="0"/>
          <w:color w:val="auto"/>
          <w:sz w:val="20"/>
          <w:szCs w:val="20"/>
        </w:rPr>
        <w:t>d</w:t>
      </w:r>
      <w:r w:rsidR="00A460A5">
        <w:rPr>
          <w:rFonts w:cstheme="minorHAnsi"/>
          <w:i w:val="0"/>
          <w:color w:val="auto"/>
          <w:sz w:val="20"/>
          <w:szCs w:val="20"/>
        </w:rPr>
        <w:t>ata z GFŘ.</w:t>
      </w:r>
    </w:p>
    <w:p w14:paraId="28584641" w14:textId="48BCD5DC" w:rsidR="00C0073D" w:rsidRDefault="004B7279" w:rsidP="00547314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346FC1">
        <w:rPr>
          <w:rFonts w:cstheme="minorHAnsi"/>
          <w:sz w:val="24"/>
          <w:szCs w:val="24"/>
        </w:rPr>
        <w:t>Zavedení maximálních částek pro uplatnění výdaj</w:t>
      </w:r>
      <w:r>
        <w:rPr>
          <w:rFonts w:cstheme="minorHAnsi"/>
          <w:sz w:val="24"/>
          <w:szCs w:val="24"/>
        </w:rPr>
        <w:t xml:space="preserve">ů </w:t>
      </w:r>
      <w:r w:rsidR="008D3158">
        <w:rPr>
          <w:rFonts w:cstheme="minorHAnsi"/>
          <w:sz w:val="24"/>
          <w:szCs w:val="24"/>
        </w:rPr>
        <w:t xml:space="preserve">procentem </w:t>
      </w:r>
      <w:r>
        <w:rPr>
          <w:rFonts w:cstheme="minorHAnsi"/>
          <w:sz w:val="24"/>
          <w:szCs w:val="24"/>
        </w:rPr>
        <w:t xml:space="preserve">z příjmů v průběhu let </w:t>
      </w:r>
      <w:r w:rsidR="00F94E08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2013–</w:t>
      </w:r>
      <w:r w:rsidRPr="00346FC1">
        <w:rPr>
          <w:rFonts w:cstheme="minorHAnsi"/>
          <w:sz w:val="24"/>
          <w:szCs w:val="24"/>
        </w:rPr>
        <w:t>2015 a omezení uplatnění slev na manželku/la a daňového zvýhodnění na vyživované dítě se ve způsobu uplatňování výdajů neprojevily.</w:t>
      </w:r>
      <w:r>
        <w:rPr>
          <w:rFonts w:cstheme="minorHAnsi"/>
          <w:sz w:val="24"/>
          <w:szCs w:val="24"/>
        </w:rPr>
        <w:t xml:space="preserve"> MF při tvorbě odhadu dopadů </w:t>
      </w:r>
      <w:r w:rsidR="00280676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veřejn</w:t>
      </w:r>
      <w:r w:rsidR="00280676">
        <w:rPr>
          <w:rFonts w:cstheme="minorHAnsi"/>
          <w:sz w:val="24"/>
          <w:szCs w:val="24"/>
        </w:rPr>
        <w:t>é</w:t>
      </w:r>
      <w:r>
        <w:rPr>
          <w:rFonts w:cstheme="minorHAnsi"/>
          <w:sz w:val="24"/>
          <w:szCs w:val="24"/>
        </w:rPr>
        <w:t xml:space="preserve"> rozpočt</w:t>
      </w:r>
      <w:r w:rsidR="00280676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v důvodové zprávě vycházelo z předpokladu, že zhruba </w:t>
      </w:r>
      <w:r w:rsidR="00223779">
        <w:rPr>
          <w:rFonts w:cstheme="minorHAnsi"/>
          <w:sz w:val="24"/>
          <w:szCs w:val="24"/>
        </w:rPr>
        <w:t xml:space="preserve">50 % </w:t>
      </w:r>
      <w:r>
        <w:rPr>
          <w:rFonts w:cstheme="minorHAnsi"/>
          <w:sz w:val="24"/>
          <w:szCs w:val="24"/>
        </w:rPr>
        <w:t>poplatníků raději přejde na vykazování skutečných výdajů.</w:t>
      </w:r>
      <w:r w:rsidRPr="00346FC1">
        <w:rPr>
          <w:rFonts w:cstheme="minorHAnsi"/>
          <w:sz w:val="24"/>
          <w:szCs w:val="24"/>
        </w:rPr>
        <w:t xml:space="preserve"> O</w:t>
      </w:r>
      <w:r>
        <w:rPr>
          <w:rFonts w:cstheme="minorHAnsi"/>
          <w:sz w:val="24"/>
          <w:szCs w:val="24"/>
        </w:rPr>
        <w:t>proti tomuto předpokladu naopak počet daňových subjektů uplatňujících výdaje procentem z příjmů od roku 2013 meziročně rostl. NKÚ na vzorku 232 daňových subjektů zjistil, že způsob uplatňování výdajů změnilo 2</w:t>
      </w:r>
      <w:r w:rsidR="00682C3E">
        <w:rPr>
          <w:rFonts w:cstheme="minorHAnsi"/>
          <w:sz w:val="24"/>
          <w:szCs w:val="24"/>
        </w:rPr>
        <w:t>2</w:t>
      </w:r>
      <w:r w:rsidR="002F1BAE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daňových subjektů</w:t>
      </w:r>
      <w:r w:rsidR="00223779">
        <w:rPr>
          <w:rFonts w:cstheme="minorHAnsi"/>
          <w:sz w:val="24"/>
          <w:szCs w:val="24"/>
        </w:rPr>
        <w:t xml:space="preserve"> (cca 9,5 %)</w:t>
      </w:r>
      <w:r>
        <w:rPr>
          <w:rFonts w:cstheme="minorHAnsi"/>
          <w:sz w:val="24"/>
          <w:szCs w:val="24"/>
        </w:rPr>
        <w:t>.</w:t>
      </w:r>
    </w:p>
    <w:p w14:paraId="5D8BE9CD" w14:textId="77777777" w:rsidR="00C0073D" w:rsidRPr="00713FD8" w:rsidRDefault="004B7279" w:rsidP="00547314">
      <w:pPr>
        <w:pStyle w:val="Odstavecseseznamem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713FD8">
        <w:rPr>
          <w:rFonts w:cstheme="minorHAnsi"/>
          <w:b/>
          <w:sz w:val="24"/>
          <w:szCs w:val="24"/>
        </w:rPr>
        <w:t>Základ</w:t>
      </w:r>
      <w:r>
        <w:rPr>
          <w:rFonts w:cstheme="minorHAnsi"/>
          <w:b/>
          <w:sz w:val="24"/>
          <w:szCs w:val="24"/>
        </w:rPr>
        <w:t>ní sleva na poplatníka uplatňovaná</w:t>
      </w:r>
      <w:r w:rsidRPr="00713FD8">
        <w:rPr>
          <w:rFonts w:cstheme="minorHAnsi"/>
          <w:b/>
          <w:sz w:val="24"/>
          <w:szCs w:val="24"/>
        </w:rPr>
        <w:t xml:space="preserve"> starobními důchodci</w:t>
      </w:r>
    </w:p>
    <w:p w14:paraId="5B955488" w14:textId="63FAC3D0" w:rsidR="00C0073D" w:rsidRPr="00BE0AC5" w:rsidRDefault="004B7279" w:rsidP="00547314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8C03D6">
        <w:rPr>
          <w:sz w:val="24"/>
          <w:szCs w:val="24"/>
        </w:rPr>
        <w:t xml:space="preserve">S účinností od 1. 1. 2013 nemohli poplatníci – starobní důchodci, kteří k 1. lednu příslušného roku pobírali starobní důchod, uplatnit základní slevu </w:t>
      </w:r>
      <w:r>
        <w:rPr>
          <w:sz w:val="24"/>
          <w:szCs w:val="24"/>
        </w:rPr>
        <w:t xml:space="preserve">na poplatníka. NKÚ na vzorku 79 daňových subjektů zjistil, že u tří FÚ cca 9 % těchto poplatníků zažádalo o </w:t>
      </w:r>
      <w:r w:rsidR="00F37131">
        <w:rPr>
          <w:sz w:val="24"/>
          <w:szCs w:val="24"/>
        </w:rPr>
        <w:t>zastavení</w:t>
      </w:r>
      <w:r>
        <w:rPr>
          <w:sz w:val="24"/>
          <w:szCs w:val="24"/>
        </w:rPr>
        <w:t xml:space="preserve"> výplaty starobního důchodu </w:t>
      </w:r>
      <w:r w:rsidR="006544DF">
        <w:rPr>
          <w:sz w:val="24"/>
          <w:szCs w:val="24"/>
        </w:rPr>
        <w:t>u Č</w:t>
      </w:r>
      <w:r w:rsidR="00D9237C">
        <w:rPr>
          <w:sz w:val="24"/>
          <w:szCs w:val="24"/>
        </w:rPr>
        <w:t>eské správy sociálního zabezpečení</w:t>
      </w:r>
      <w:r w:rsidR="006544DF">
        <w:rPr>
          <w:sz w:val="24"/>
          <w:szCs w:val="24"/>
        </w:rPr>
        <w:t xml:space="preserve"> </w:t>
      </w:r>
      <w:r>
        <w:rPr>
          <w:sz w:val="24"/>
          <w:szCs w:val="24"/>
        </w:rPr>
        <w:t>k 1. 1. 2013, v těchto případech na základě stanoviska GFŘ ze dne 8. 1. 2013 jim však správc</w:t>
      </w:r>
      <w:r w:rsidR="00F37131">
        <w:rPr>
          <w:sz w:val="24"/>
          <w:szCs w:val="24"/>
        </w:rPr>
        <w:t>i</w:t>
      </w:r>
      <w:r>
        <w:rPr>
          <w:sz w:val="24"/>
          <w:szCs w:val="24"/>
        </w:rPr>
        <w:t xml:space="preserve"> daně </w:t>
      </w:r>
      <w:r w:rsidR="00F37131">
        <w:rPr>
          <w:sz w:val="24"/>
          <w:szCs w:val="24"/>
        </w:rPr>
        <w:t>základní slevu nepřiznali</w:t>
      </w:r>
      <w:r>
        <w:rPr>
          <w:sz w:val="24"/>
          <w:szCs w:val="24"/>
        </w:rPr>
        <w:t xml:space="preserve">. </w:t>
      </w:r>
      <w:r w:rsidR="00D12FD7">
        <w:rPr>
          <w:sz w:val="24"/>
          <w:szCs w:val="24"/>
        </w:rPr>
        <w:t>Nálezy</w:t>
      </w:r>
      <w:r w:rsidRPr="00AF39C8">
        <w:rPr>
          <w:rFonts w:cstheme="minorHAnsi"/>
          <w:sz w:val="24"/>
          <w:szCs w:val="24"/>
        </w:rPr>
        <w:t xml:space="preserve"> Ústavního soudu</w:t>
      </w:r>
      <w:r>
        <w:rPr>
          <w:rFonts w:cstheme="minorHAnsi"/>
          <w:sz w:val="24"/>
          <w:szCs w:val="24"/>
        </w:rPr>
        <w:t xml:space="preserve"> v roce 2014</w:t>
      </w:r>
      <w:r w:rsidR="00D12FD7">
        <w:rPr>
          <w:rFonts w:cstheme="minorHAnsi"/>
          <w:sz w:val="24"/>
          <w:szCs w:val="24"/>
        </w:rPr>
        <w:t xml:space="preserve"> zrušily</w:t>
      </w:r>
      <w:r>
        <w:rPr>
          <w:rFonts w:cstheme="minorHAnsi"/>
          <w:sz w:val="24"/>
          <w:szCs w:val="24"/>
        </w:rPr>
        <w:t xml:space="preserve"> příslušná ustanovení</w:t>
      </w:r>
      <w:r w:rsidR="00D12FD7">
        <w:rPr>
          <w:rFonts w:cstheme="minorHAnsi"/>
          <w:sz w:val="24"/>
          <w:szCs w:val="24"/>
        </w:rPr>
        <w:t xml:space="preserve"> a následně</w:t>
      </w:r>
      <w:r>
        <w:rPr>
          <w:rFonts w:cstheme="minorHAnsi"/>
          <w:sz w:val="24"/>
          <w:szCs w:val="24"/>
        </w:rPr>
        <w:t xml:space="preserve"> docházelo k opětovnému </w:t>
      </w:r>
      <w:r w:rsidRPr="00AF39C8">
        <w:rPr>
          <w:rFonts w:cstheme="minorHAnsi"/>
          <w:sz w:val="24"/>
          <w:szCs w:val="24"/>
        </w:rPr>
        <w:t>nárok</w:t>
      </w:r>
      <w:r>
        <w:rPr>
          <w:rFonts w:cstheme="minorHAnsi"/>
          <w:sz w:val="24"/>
          <w:szCs w:val="24"/>
        </w:rPr>
        <w:t xml:space="preserve">ování této slevy. Správci daně v posledním čtvrtletí 2014 zaevidovali více než 200 tis. případů řádných nebo dodatečných přiznání </w:t>
      </w:r>
      <w:r w:rsidRPr="00546A62">
        <w:rPr>
          <w:rFonts w:cstheme="minorHAnsi"/>
          <w:sz w:val="24"/>
          <w:szCs w:val="24"/>
        </w:rPr>
        <w:t>(cca 23krát více než v</w:t>
      </w:r>
      <w:r>
        <w:rPr>
          <w:rFonts w:cstheme="minorHAnsi"/>
          <w:sz w:val="24"/>
          <w:szCs w:val="24"/>
        </w:rPr>
        <w:t> posledním čtvrtletí 2013), na základě kterých se vracely přeplatky na dani v celkovém objemu cca 3 mld. Kč. V této částce však nejsou zahrnuty nároky, které byly uplatňovány u</w:t>
      </w:r>
      <w:r w:rsidR="002F1BAE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zaměstnavatelů.</w:t>
      </w:r>
      <w:r>
        <w:rPr>
          <w:sz w:val="24"/>
          <w:szCs w:val="24"/>
        </w:rPr>
        <w:t xml:space="preserve"> GFŘ odhadlo propad inkasa za rok 2014 ve výši 1,7 mld. Kč. Z</w:t>
      </w:r>
      <w:r w:rsidRPr="00326607">
        <w:rPr>
          <w:sz w:val="24"/>
          <w:szCs w:val="24"/>
        </w:rPr>
        <w:t xml:space="preserve">rušení slevy na poplatníka pro starobní důchodce a následné zrušení tohoto omezení </w:t>
      </w:r>
      <w:r>
        <w:rPr>
          <w:sz w:val="24"/>
          <w:szCs w:val="24"/>
        </w:rPr>
        <w:t>n</w:t>
      </w:r>
      <w:r w:rsidRPr="00326607">
        <w:rPr>
          <w:sz w:val="24"/>
          <w:szCs w:val="24"/>
        </w:rPr>
        <w:t>ález</w:t>
      </w:r>
      <w:r>
        <w:rPr>
          <w:sz w:val="24"/>
          <w:szCs w:val="24"/>
        </w:rPr>
        <w:t>y</w:t>
      </w:r>
      <w:r w:rsidRPr="00326607">
        <w:rPr>
          <w:sz w:val="24"/>
          <w:szCs w:val="24"/>
        </w:rPr>
        <w:t xml:space="preserve"> Ústavního soudu a umožnění dodatečného uplatnění slevy představoval</w:t>
      </w:r>
      <w:r w:rsidR="00280676">
        <w:rPr>
          <w:sz w:val="24"/>
          <w:szCs w:val="24"/>
        </w:rPr>
        <w:t>y</w:t>
      </w:r>
      <w:r w:rsidRPr="00326607">
        <w:rPr>
          <w:sz w:val="24"/>
          <w:szCs w:val="24"/>
        </w:rPr>
        <w:t xml:space="preserve"> pro správce daně značné zvýšení administrativní a časové náročnosti správy DPFO.</w:t>
      </w:r>
    </w:p>
    <w:p w14:paraId="2C2FB8F5" w14:textId="77777777" w:rsidR="00150D10" w:rsidRDefault="00150D10">
      <w:pPr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br w:type="page"/>
      </w:r>
    </w:p>
    <w:p w14:paraId="0AD8D74D" w14:textId="451405CF" w:rsidR="00C0073D" w:rsidRPr="0016326B" w:rsidRDefault="004B7279" w:rsidP="00547314">
      <w:pPr>
        <w:pStyle w:val="Odstavecseseznamem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rPr>
          <w:rFonts w:eastAsia="Times New Roman" w:cs="Times New Roman"/>
          <w:b/>
          <w:sz w:val="24"/>
          <w:szCs w:val="24"/>
        </w:rPr>
      </w:pPr>
      <w:r w:rsidRPr="0016326B">
        <w:rPr>
          <w:rFonts w:eastAsia="Times New Roman" w:cs="Times New Roman"/>
          <w:b/>
          <w:sz w:val="24"/>
          <w:szCs w:val="24"/>
        </w:rPr>
        <w:lastRenderedPageBreak/>
        <w:t>Sleva za umístění dítěte</w:t>
      </w:r>
    </w:p>
    <w:p w14:paraId="3BC85C0C" w14:textId="649DE56C" w:rsidR="00C0073D" w:rsidRDefault="004B7279" w:rsidP="00547314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 vzorku 157 DAP k DPFO u 105 daňových subjektů ze sedmi kontrolovaných FÚ zjistil</w:t>
      </w:r>
      <w:r w:rsidR="00280676" w:rsidRPr="00280676">
        <w:rPr>
          <w:rFonts w:eastAsia="Times New Roman" w:cs="Times New Roman"/>
          <w:sz w:val="24"/>
          <w:szCs w:val="24"/>
        </w:rPr>
        <w:t xml:space="preserve"> </w:t>
      </w:r>
      <w:r w:rsidR="00280676">
        <w:rPr>
          <w:rFonts w:eastAsia="Times New Roman" w:cs="Times New Roman"/>
          <w:sz w:val="24"/>
          <w:szCs w:val="24"/>
        </w:rPr>
        <w:t>NKÚ</w:t>
      </w:r>
      <w:r>
        <w:rPr>
          <w:rFonts w:eastAsia="Times New Roman" w:cs="Times New Roman"/>
          <w:sz w:val="24"/>
          <w:szCs w:val="24"/>
        </w:rPr>
        <w:t xml:space="preserve">, že 72 % potvrzení předškolního zařízení o výši vynaložených výdajů za umístění vyživovaného dítěte poplatníka neobsahovalo identifikaci poplatníka uplatňujícího si tuto slevu. V těchto případech, ačkoliv zákon nevyžaduje </w:t>
      </w:r>
      <w:r w:rsidR="00E73CCC">
        <w:rPr>
          <w:rFonts w:eastAsia="Times New Roman" w:cs="Times New Roman"/>
          <w:sz w:val="24"/>
          <w:szCs w:val="24"/>
        </w:rPr>
        <w:t xml:space="preserve">na potvrzení </w:t>
      </w:r>
      <w:r>
        <w:rPr>
          <w:rFonts w:eastAsia="Times New Roman" w:cs="Times New Roman"/>
          <w:sz w:val="24"/>
          <w:szCs w:val="24"/>
        </w:rPr>
        <w:t>identifikaci poplatníka, vznikal</w:t>
      </w:r>
      <w:r w:rsidR="00A517C8">
        <w:rPr>
          <w:rFonts w:eastAsia="Times New Roman" w:cs="Times New Roman"/>
          <w:sz w:val="24"/>
          <w:szCs w:val="24"/>
        </w:rPr>
        <w:t>o</w:t>
      </w:r>
      <w:r>
        <w:rPr>
          <w:rFonts w:eastAsia="Times New Roman" w:cs="Times New Roman"/>
          <w:sz w:val="24"/>
          <w:szCs w:val="24"/>
        </w:rPr>
        <w:t xml:space="preserve"> </w:t>
      </w:r>
      <w:r w:rsidR="00A517C8">
        <w:rPr>
          <w:rFonts w:eastAsia="Times New Roman" w:cs="Times New Roman"/>
          <w:sz w:val="24"/>
          <w:szCs w:val="24"/>
        </w:rPr>
        <w:t xml:space="preserve">riziko </w:t>
      </w:r>
      <w:r>
        <w:rPr>
          <w:rFonts w:eastAsia="Times New Roman" w:cs="Times New Roman"/>
          <w:sz w:val="24"/>
          <w:szCs w:val="24"/>
        </w:rPr>
        <w:t>neoprávněn</w:t>
      </w:r>
      <w:r w:rsidR="00A517C8">
        <w:rPr>
          <w:rFonts w:eastAsia="Times New Roman" w:cs="Times New Roman"/>
          <w:sz w:val="24"/>
          <w:szCs w:val="24"/>
        </w:rPr>
        <w:t>ého</w:t>
      </w:r>
      <w:r>
        <w:rPr>
          <w:rFonts w:eastAsia="Times New Roman" w:cs="Times New Roman"/>
          <w:sz w:val="24"/>
          <w:szCs w:val="24"/>
        </w:rPr>
        <w:t xml:space="preserve"> uplatn</w:t>
      </w:r>
      <w:r w:rsidR="00A517C8">
        <w:rPr>
          <w:rFonts w:eastAsia="Times New Roman" w:cs="Times New Roman"/>
          <w:sz w:val="24"/>
          <w:szCs w:val="24"/>
        </w:rPr>
        <w:t>ění</w:t>
      </w:r>
      <w:r>
        <w:rPr>
          <w:rFonts w:eastAsia="Times New Roman" w:cs="Times New Roman"/>
          <w:sz w:val="24"/>
          <w:szCs w:val="24"/>
        </w:rPr>
        <w:t xml:space="preserve"> slev</w:t>
      </w:r>
      <w:r w:rsidR="00A517C8">
        <w:rPr>
          <w:rFonts w:eastAsia="Times New Roman" w:cs="Times New Roman"/>
          <w:sz w:val="24"/>
          <w:szCs w:val="24"/>
        </w:rPr>
        <w:t>y</w:t>
      </w:r>
      <w:r>
        <w:rPr>
          <w:rFonts w:eastAsia="Times New Roman" w:cs="Times New Roman"/>
          <w:sz w:val="24"/>
          <w:szCs w:val="24"/>
        </w:rPr>
        <w:t xml:space="preserve"> vztahující se k jednomu vyživovanému dítěti více poplatníky</w:t>
      </w:r>
      <w:r w:rsidRPr="004C101D">
        <w:rPr>
          <w:rFonts w:eastAsia="Times New Roman" w:cs="Times New Roman"/>
          <w:sz w:val="24"/>
          <w:szCs w:val="24"/>
        </w:rPr>
        <w:t xml:space="preserve">. NKÚ u 113 DAP k DPFO, kde nebyla uvedena identifikace poplatníka, zjistil, že u šesti FÚ </w:t>
      </w:r>
      <w:r w:rsidR="002F1BAE">
        <w:rPr>
          <w:rFonts w:eastAsia="Times New Roman" w:cs="Times New Roman"/>
          <w:sz w:val="24"/>
          <w:szCs w:val="24"/>
        </w:rPr>
        <w:t>v 78 </w:t>
      </w:r>
      <w:r w:rsidRPr="004C101D">
        <w:rPr>
          <w:rFonts w:eastAsia="Times New Roman" w:cs="Times New Roman"/>
          <w:sz w:val="24"/>
          <w:szCs w:val="24"/>
        </w:rPr>
        <w:t>DAP správce daně neprověřil, zda sleva nebyla uplatněna duplicitně.</w:t>
      </w:r>
      <w:r>
        <w:rPr>
          <w:rFonts w:eastAsia="Times New Roman" w:cs="Times New Roman"/>
          <w:sz w:val="24"/>
          <w:szCs w:val="24"/>
        </w:rPr>
        <w:t xml:space="preserve"> Správce daně nemá k dispozici obdobnou evidenci</w:t>
      </w:r>
      <w:r w:rsidR="00E85028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jako je tomu v případě uplatňování daňového zvýhodnění u</w:t>
      </w:r>
      <w:r w:rsidR="002F1BAE">
        <w:rPr>
          <w:rFonts w:eastAsia="Times New Roman" w:cs="Times New Roman"/>
          <w:sz w:val="24"/>
          <w:szCs w:val="24"/>
        </w:rPr>
        <w:t> </w:t>
      </w:r>
      <w:r>
        <w:rPr>
          <w:rFonts w:eastAsia="Times New Roman" w:cs="Times New Roman"/>
          <w:sz w:val="24"/>
          <w:szCs w:val="24"/>
        </w:rPr>
        <w:t>vyživovaných dětí</w:t>
      </w:r>
      <w:r w:rsidRPr="004E4067">
        <w:rPr>
          <w:rFonts w:eastAsia="Times New Roman" w:cs="Times New Roman"/>
          <w:sz w:val="24"/>
          <w:szCs w:val="24"/>
        </w:rPr>
        <w:t>.</w:t>
      </w:r>
    </w:p>
    <w:p w14:paraId="107FFF3F" w14:textId="77777777" w:rsidR="00C0073D" w:rsidRPr="000D15B9" w:rsidRDefault="004B7279" w:rsidP="00547314">
      <w:pPr>
        <w:pStyle w:val="Odstavecseseznamem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rFonts w:eastAsia="Times New Roman" w:cs="Times New Roman"/>
          <w:b/>
          <w:sz w:val="24"/>
          <w:szCs w:val="24"/>
        </w:rPr>
      </w:pPr>
      <w:r w:rsidRPr="000D15B9">
        <w:rPr>
          <w:rFonts w:eastAsia="Times New Roman" w:cs="Times New Roman"/>
          <w:b/>
          <w:sz w:val="24"/>
          <w:szCs w:val="24"/>
        </w:rPr>
        <w:t>Daňové zvýhodnění na vyživované dítě</w:t>
      </w:r>
    </w:p>
    <w:p w14:paraId="196FC0EC" w14:textId="33855F59" w:rsidR="00C0073D" w:rsidRPr="002B3CD1" w:rsidRDefault="004B7279" w:rsidP="00547314">
      <w:pPr>
        <w:spacing w:before="120" w:after="120" w:line="240" w:lineRule="auto"/>
        <w:jc w:val="both"/>
        <w:rPr>
          <w:rFonts w:eastAsiaTheme="minorEastAsia" w:cs="Calibri"/>
          <w:sz w:val="24"/>
          <w:szCs w:val="24"/>
          <w:lang w:eastAsia="cs-CZ"/>
        </w:rPr>
      </w:pPr>
      <w:r>
        <w:rPr>
          <w:rFonts w:eastAsiaTheme="minorEastAsia" w:cs="Calibri"/>
          <w:sz w:val="24"/>
          <w:szCs w:val="24"/>
          <w:lang w:eastAsia="cs-CZ"/>
        </w:rPr>
        <w:t>V</w:t>
      </w:r>
      <w:r w:rsidRPr="000A202E">
        <w:rPr>
          <w:rFonts w:eastAsiaTheme="minorEastAsia" w:cs="Calibri"/>
          <w:sz w:val="24"/>
          <w:szCs w:val="24"/>
          <w:lang w:eastAsia="cs-CZ"/>
        </w:rPr>
        <w:t xml:space="preserve"> roce 2016 </w:t>
      </w:r>
      <w:r>
        <w:rPr>
          <w:rFonts w:eastAsiaTheme="minorEastAsia" w:cs="Calibri"/>
          <w:sz w:val="24"/>
          <w:szCs w:val="24"/>
          <w:lang w:eastAsia="cs-CZ"/>
        </w:rPr>
        <w:t xml:space="preserve">byla </w:t>
      </w:r>
      <w:r w:rsidRPr="000A202E">
        <w:rPr>
          <w:rFonts w:eastAsiaTheme="minorEastAsia" w:cs="Calibri"/>
          <w:sz w:val="24"/>
          <w:szCs w:val="24"/>
          <w:lang w:eastAsia="cs-CZ"/>
        </w:rPr>
        <w:t xml:space="preserve">do systému ADIS </w:t>
      </w:r>
      <w:r>
        <w:rPr>
          <w:rFonts w:eastAsiaTheme="minorEastAsia" w:cs="Calibri"/>
          <w:sz w:val="24"/>
          <w:szCs w:val="24"/>
          <w:lang w:eastAsia="cs-CZ"/>
        </w:rPr>
        <w:t>zavedena</w:t>
      </w:r>
      <w:r w:rsidRPr="000A202E">
        <w:rPr>
          <w:rFonts w:eastAsiaTheme="minorEastAsia" w:cs="Calibri"/>
          <w:sz w:val="24"/>
          <w:szCs w:val="24"/>
          <w:lang w:eastAsia="cs-CZ"/>
        </w:rPr>
        <w:t xml:space="preserve"> centrální evidence vyživovaných dětí</w:t>
      </w:r>
      <w:r>
        <w:rPr>
          <w:rFonts w:eastAsiaTheme="minorEastAsia" w:cs="Calibri"/>
          <w:sz w:val="24"/>
          <w:szCs w:val="24"/>
          <w:lang w:eastAsia="cs-CZ"/>
        </w:rPr>
        <w:t>, která</w:t>
      </w:r>
      <w:r w:rsidR="00D950A3">
        <w:rPr>
          <w:rFonts w:eastAsiaTheme="minorEastAsia" w:cs="Calibri"/>
          <w:sz w:val="24"/>
          <w:szCs w:val="24"/>
          <w:lang w:eastAsia="cs-CZ"/>
        </w:rPr>
        <w:t xml:space="preserve"> </w:t>
      </w:r>
      <w:r>
        <w:rPr>
          <w:rFonts w:eastAsiaTheme="minorEastAsia" w:cs="Calibri"/>
          <w:sz w:val="24"/>
          <w:szCs w:val="24"/>
          <w:lang w:eastAsia="cs-CZ"/>
        </w:rPr>
        <w:t>umožnila</w:t>
      </w:r>
      <w:r w:rsidRPr="000A202E">
        <w:rPr>
          <w:rFonts w:eastAsiaTheme="minorEastAsia" w:cs="Calibri"/>
          <w:sz w:val="24"/>
          <w:szCs w:val="24"/>
          <w:lang w:eastAsia="cs-CZ"/>
        </w:rPr>
        <w:t xml:space="preserve"> správcům daně účinněji ověřovat správnost uplatnění nároku na daňové zvýhodnění poplatníků, kteří podali DAP, nebo alespoň jeden z poplatníků podal DAP a druhý byl </w:t>
      </w:r>
      <w:r w:rsidRPr="002B3CD1">
        <w:rPr>
          <w:rFonts w:eastAsiaTheme="minorEastAsia" w:cs="Calibri"/>
          <w:sz w:val="24"/>
          <w:szCs w:val="24"/>
          <w:lang w:eastAsia="cs-CZ"/>
        </w:rPr>
        <w:t>zaměstnán.</w:t>
      </w:r>
      <w:r w:rsidR="00D950A3">
        <w:rPr>
          <w:rFonts w:eastAsiaTheme="minorEastAsia" w:cs="Calibri"/>
          <w:sz w:val="24"/>
          <w:szCs w:val="24"/>
          <w:lang w:eastAsia="cs-CZ"/>
        </w:rPr>
        <w:t xml:space="preserve"> </w:t>
      </w:r>
      <w:r w:rsidRPr="00AF39C8">
        <w:rPr>
          <w:rFonts w:eastAsiaTheme="minorEastAsia" w:cs="Calibri"/>
          <w:sz w:val="24"/>
          <w:szCs w:val="24"/>
          <w:lang w:eastAsia="cs-CZ"/>
        </w:rPr>
        <w:t xml:space="preserve">V případě, že oba </w:t>
      </w:r>
      <w:r>
        <w:rPr>
          <w:rFonts w:eastAsiaTheme="minorEastAsia" w:cs="Calibri"/>
          <w:sz w:val="24"/>
          <w:szCs w:val="24"/>
          <w:lang w:eastAsia="cs-CZ"/>
        </w:rPr>
        <w:t>poplatníci</w:t>
      </w:r>
      <w:r w:rsidRPr="00AF39C8">
        <w:rPr>
          <w:rFonts w:eastAsiaTheme="minorEastAsia" w:cs="Calibri"/>
          <w:sz w:val="24"/>
          <w:szCs w:val="24"/>
          <w:lang w:eastAsia="cs-CZ"/>
        </w:rPr>
        <w:t xml:space="preserve"> byli zaměstnáni a roční zúčtování daně z příjmů fyzických osob prováděl plátce</w:t>
      </w:r>
      <w:r w:rsidR="00034AEA">
        <w:rPr>
          <w:rFonts w:eastAsiaTheme="minorEastAsia" w:cs="Calibri"/>
          <w:sz w:val="24"/>
          <w:szCs w:val="24"/>
          <w:lang w:eastAsia="cs-CZ"/>
        </w:rPr>
        <w:t xml:space="preserve"> (zaměstnavatel)</w:t>
      </w:r>
      <w:r w:rsidRPr="00AF39C8">
        <w:rPr>
          <w:rFonts w:eastAsiaTheme="minorEastAsia" w:cs="Calibri"/>
          <w:sz w:val="24"/>
          <w:szCs w:val="24"/>
          <w:lang w:eastAsia="cs-CZ"/>
        </w:rPr>
        <w:t>, neměl správce daně údaje o jimi uplatňovaném daňovém zvýhodnění na vyživované děti</w:t>
      </w:r>
      <w:r w:rsidR="001F65FB">
        <w:rPr>
          <w:rFonts w:eastAsiaTheme="minorEastAsia" w:cs="Calibri"/>
          <w:sz w:val="24"/>
          <w:szCs w:val="24"/>
          <w:lang w:eastAsia="cs-CZ"/>
        </w:rPr>
        <w:t>, tudíž</w:t>
      </w:r>
      <w:r w:rsidR="008D3158">
        <w:rPr>
          <w:rFonts w:eastAsiaTheme="minorEastAsia" w:cs="Calibri"/>
          <w:sz w:val="24"/>
          <w:szCs w:val="24"/>
          <w:lang w:eastAsia="cs-CZ"/>
        </w:rPr>
        <w:t xml:space="preserve"> byla tato evidence nekompletní.</w:t>
      </w:r>
    </w:p>
    <w:p w14:paraId="6F48D794" w14:textId="456C9D65" w:rsidR="00C0073D" w:rsidRDefault="004B7279" w:rsidP="00C0073D">
      <w:pPr>
        <w:pStyle w:val="Titulek"/>
        <w:keepNext/>
        <w:keepLines/>
        <w:spacing w:after="0"/>
        <w:rPr>
          <w:b/>
          <w:i w:val="0"/>
          <w:color w:val="auto"/>
          <w:sz w:val="24"/>
          <w:szCs w:val="24"/>
        </w:rPr>
      </w:pPr>
      <w:r w:rsidRPr="00144E15">
        <w:rPr>
          <w:b/>
          <w:i w:val="0"/>
          <w:color w:val="auto"/>
          <w:sz w:val="24"/>
          <w:szCs w:val="24"/>
        </w:rPr>
        <w:t xml:space="preserve">Tabulka č. </w:t>
      </w:r>
      <w:r w:rsidR="00B3080B" w:rsidRPr="00144E15">
        <w:rPr>
          <w:b/>
          <w:i w:val="0"/>
          <w:color w:val="auto"/>
          <w:sz w:val="24"/>
          <w:szCs w:val="24"/>
        </w:rPr>
        <w:fldChar w:fldCharType="begin"/>
      </w:r>
      <w:r w:rsidRPr="00144E15">
        <w:rPr>
          <w:b/>
          <w:i w:val="0"/>
          <w:color w:val="auto"/>
          <w:sz w:val="24"/>
          <w:szCs w:val="24"/>
        </w:rPr>
        <w:instrText xml:space="preserve"> SEQ Tabulka_č. \* ARABIC </w:instrText>
      </w:r>
      <w:r w:rsidR="00B3080B" w:rsidRPr="00144E15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6</w:t>
      </w:r>
      <w:r w:rsidR="00B3080B" w:rsidRPr="00144E15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>: Přehled částek daňového zvýhodnění na vyživované dítě (v Kč)</w:t>
      </w:r>
    </w:p>
    <w:bookmarkStart w:id="4" w:name="_MON_1557555621"/>
    <w:bookmarkEnd w:id="4"/>
    <w:p w14:paraId="58832B4C" w14:textId="763A4A4B" w:rsidR="00C0073D" w:rsidRPr="00040E26" w:rsidRDefault="004B7279" w:rsidP="004E13E9">
      <w:pPr>
        <w:keepLines/>
        <w:rPr>
          <w:sz w:val="20"/>
          <w:szCs w:val="20"/>
        </w:rPr>
      </w:pPr>
      <w:r>
        <w:object w:dxaOrig="9045" w:dyaOrig="1485" w14:anchorId="465C7CAB">
          <v:shape id="_x0000_i1030" type="#_x0000_t75" style="width:453.75pt;height:1in" o:ole="">
            <v:imagedata r:id="rId23" o:title=""/>
          </v:shape>
          <o:OLEObject Type="Embed" ProgID="Excel.Sheet.12" ShapeID="_x0000_i1030" DrawAspect="Content" ObjectID="_1564309626" r:id="rId24"/>
        </w:object>
      </w:r>
      <w:r>
        <w:rPr>
          <w:b/>
          <w:sz w:val="20"/>
          <w:szCs w:val="20"/>
        </w:rPr>
        <w:t>Zdroj:</w:t>
      </w:r>
      <w:r w:rsidR="00A460A5">
        <w:rPr>
          <w:rFonts w:cstheme="minorHAnsi"/>
          <w:sz w:val="20"/>
          <w:szCs w:val="20"/>
        </w:rPr>
        <w:t xml:space="preserve"> ZDP</w:t>
      </w:r>
      <w:r w:rsidRPr="00DB3828">
        <w:rPr>
          <w:rFonts w:cstheme="minorHAnsi"/>
          <w:sz w:val="20"/>
          <w:szCs w:val="20"/>
        </w:rPr>
        <w:t>, vlastní zpracování NKÚ.</w:t>
      </w:r>
    </w:p>
    <w:p w14:paraId="3B20D70E" w14:textId="0BFD8873" w:rsidR="00C0073D" w:rsidRDefault="004B7279" w:rsidP="00E078C2">
      <w:pPr>
        <w:spacing w:before="120" w:after="120" w:line="240" w:lineRule="auto"/>
        <w:jc w:val="both"/>
        <w:rPr>
          <w:sz w:val="24"/>
          <w:szCs w:val="24"/>
        </w:rPr>
      </w:pPr>
      <w:r w:rsidRPr="00AF39C8">
        <w:rPr>
          <w:rFonts w:eastAsiaTheme="minorEastAsia" w:cs="Calibri"/>
          <w:sz w:val="24"/>
          <w:szCs w:val="24"/>
          <w:lang w:eastAsia="cs-CZ"/>
        </w:rPr>
        <w:t xml:space="preserve">Kontrolou </w:t>
      </w:r>
      <w:r>
        <w:rPr>
          <w:rFonts w:eastAsiaTheme="minorEastAsia" w:cs="Calibri"/>
          <w:sz w:val="24"/>
          <w:szCs w:val="24"/>
          <w:lang w:eastAsia="cs-CZ"/>
        </w:rPr>
        <w:t>NKÚ</w:t>
      </w:r>
      <w:r w:rsidR="00D950A3">
        <w:rPr>
          <w:rFonts w:eastAsiaTheme="minorEastAsia" w:cs="Calibri"/>
          <w:sz w:val="24"/>
          <w:szCs w:val="24"/>
          <w:lang w:eastAsia="cs-CZ"/>
        </w:rPr>
        <w:t xml:space="preserve"> </w:t>
      </w:r>
      <w:r>
        <w:rPr>
          <w:rFonts w:eastAsiaTheme="minorEastAsia" w:cs="Calibri"/>
          <w:sz w:val="24"/>
          <w:szCs w:val="24"/>
          <w:lang w:eastAsia="cs-CZ"/>
        </w:rPr>
        <w:t xml:space="preserve">na FÚ </w:t>
      </w:r>
      <w:r w:rsidRPr="00AF39C8">
        <w:rPr>
          <w:rFonts w:eastAsiaTheme="minorEastAsia" w:cs="Calibri"/>
          <w:sz w:val="24"/>
          <w:szCs w:val="24"/>
          <w:lang w:eastAsia="cs-CZ"/>
        </w:rPr>
        <w:t xml:space="preserve">bylo zjištěno, že nejčastější chybou při uplatňování nároku na vyživované dítě byla chyba v pořadí </w:t>
      </w:r>
      <w:r w:rsidRPr="000839D3">
        <w:rPr>
          <w:rFonts w:eastAsiaTheme="minorEastAsia" w:cs="Calibri"/>
          <w:sz w:val="24"/>
          <w:szCs w:val="24"/>
          <w:lang w:eastAsia="cs-CZ"/>
        </w:rPr>
        <w:t xml:space="preserve">vyživovaných dětí. Z 263 zjištěných chyb na </w:t>
      </w:r>
      <w:r>
        <w:rPr>
          <w:rFonts w:eastAsiaTheme="minorEastAsia" w:cs="Calibri"/>
          <w:sz w:val="24"/>
          <w:szCs w:val="24"/>
          <w:lang w:eastAsia="cs-CZ"/>
        </w:rPr>
        <w:t xml:space="preserve">kontrolovaných </w:t>
      </w:r>
      <w:r w:rsidRPr="000839D3">
        <w:rPr>
          <w:rFonts w:eastAsiaTheme="minorEastAsia" w:cs="Calibri"/>
          <w:sz w:val="24"/>
          <w:szCs w:val="24"/>
          <w:lang w:eastAsia="cs-CZ"/>
        </w:rPr>
        <w:t xml:space="preserve">FÚ, se 64 % chyb týkalo chybně použité sazby. </w:t>
      </w:r>
      <w:r w:rsidRPr="000839D3">
        <w:rPr>
          <w:sz w:val="24"/>
          <w:szCs w:val="24"/>
        </w:rPr>
        <w:t>Z 6</w:t>
      </w:r>
      <w:r>
        <w:rPr>
          <w:sz w:val="24"/>
          <w:szCs w:val="24"/>
        </w:rPr>
        <w:t xml:space="preserve">0 chyb prověřených NKÚ bylo v 17 případech uvedeno duplicitní rodné číslo dítěte, v 16 případech nebylo </w:t>
      </w:r>
      <w:r w:rsidR="001F65FB">
        <w:rPr>
          <w:sz w:val="24"/>
          <w:szCs w:val="24"/>
        </w:rPr>
        <w:t xml:space="preserve">v DAP </w:t>
      </w:r>
      <w:r>
        <w:rPr>
          <w:sz w:val="24"/>
          <w:szCs w:val="24"/>
        </w:rPr>
        <w:t xml:space="preserve">uvedeno dítě, na které si poplatník daňové zvýhodnění neuplatnil, ale pro správné stanovení daně ho v DAP uvést měl. V šesti případech správci daně zjistili, že došlo k neoprávněnému uplatnění zvýhodnění na dítě. </w:t>
      </w:r>
      <w:r w:rsidRPr="00AF39C8">
        <w:rPr>
          <w:sz w:val="24"/>
          <w:szCs w:val="24"/>
        </w:rPr>
        <w:t>Ověřování správnosti uplatnění daňového zvýhodnění na vyživované děti je pro správce daně administrativně náročné</w:t>
      </w:r>
      <w:r w:rsidR="001F65FB">
        <w:rPr>
          <w:sz w:val="24"/>
          <w:szCs w:val="24"/>
        </w:rPr>
        <w:t>.</w:t>
      </w:r>
      <w:r w:rsidRPr="00AF39C8">
        <w:rPr>
          <w:sz w:val="24"/>
          <w:szCs w:val="24"/>
        </w:rPr>
        <w:t xml:space="preserve"> </w:t>
      </w:r>
      <w:r w:rsidR="001F65FB">
        <w:rPr>
          <w:sz w:val="24"/>
          <w:szCs w:val="24"/>
        </w:rPr>
        <w:t>T</w:t>
      </w:r>
      <w:r w:rsidRPr="00AF39C8">
        <w:rPr>
          <w:sz w:val="24"/>
          <w:szCs w:val="24"/>
        </w:rPr>
        <w:t xml:space="preserve">ato náročnost se ještě zvýšila po zavedení odstupňování výše daňového zvýhodnění podle pořadí vyživovaných dětí. </w:t>
      </w:r>
    </w:p>
    <w:p w14:paraId="3A61C20A" w14:textId="77777777" w:rsidR="00C0073D" w:rsidRPr="00713FD8" w:rsidRDefault="004B7279" w:rsidP="00E078C2">
      <w:pPr>
        <w:pStyle w:val="Odstavecseseznamem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Pr="00713FD8">
        <w:rPr>
          <w:b/>
          <w:sz w:val="24"/>
          <w:szCs w:val="24"/>
        </w:rPr>
        <w:t>erpání daňových úlev nerezidenty</w:t>
      </w:r>
    </w:p>
    <w:p w14:paraId="184B51FB" w14:textId="46110E69" w:rsidR="00150D10" w:rsidRDefault="004B7279" w:rsidP="001F65FB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Změna právní úpravy účinná od 1. 1. 2014, která spočívala v omezení uplatnění daňového zvýhodnění pro daňové rezidenty, se v praxi projevila v omezené míře. NKÚ na vzorku 129</w:t>
      </w:r>
      <w:r w:rsidR="002F1BAE">
        <w:rPr>
          <w:sz w:val="24"/>
          <w:szCs w:val="24"/>
        </w:rPr>
        <w:t> </w:t>
      </w:r>
      <w:r>
        <w:rPr>
          <w:sz w:val="24"/>
          <w:szCs w:val="24"/>
        </w:rPr>
        <w:t>daňových subjektů zjistil, že 38,8 % poplatníků přestalo uplatňovat daňové zvýhodnění, avšak 26,4 % poplatníků začalo podávat přiznání jako rezident</w:t>
      </w:r>
      <w:r w:rsidR="001F65FB">
        <w:rPr>
          <w:sz w:val="24"/>
          <w:szCs w:val="24"/>
        </w:rPr>
        <w:t>i</w:t>
      </w:r>
      <w:r>
        <w:rPr>
          <w:sz w:val="24"/>
          <w:szCs w:val="24"/>
        </w:rPr>
        <w:t>, aby mohli uplatňovat daňové zvýhodnění. Posouzení statutu nerezidenta a s</w:t>
      </w:r>
      <w:r w:rsidR="001F65FB">
        <w:rPr>
          <w:sz w:val="24"/>
          <w:szCs w:val="24"/>
        </w:rPr>
        <w:t> tím související</w:t>
      </w:r>
      <w:r>
        <w:rPr>
          <w:sz w:val="24"/>
          <w:szCs w:val="24"/>
        </w:rPr>
        <w:t xml:space="preserve"> oprávněnost na uplatnění nároku na daňové zvýhodnění je vždy individuální záležitostí a správci daně při něm primárně vycházejí z podkladů přiložených k DAP </w:t>
      </w:r>
      <w:r w:rsidR="001F65FB">
        <w:rPr>
          <w:sz w:val="24"/>
          <w:szCs w:val="24"/>
        </w:rPr>
        <w:t>k </w:t>
      </w:r>
      <w:r>
        <w:rPr>
          <w:sz w:val="24"/>
          <w:szCs w:val="24"/>
        </w:rPr>
        <w:t>DPFO a ze znalostí daňového subjektu. Správci daně nemají k dispozici správné údaje o počtu nerezidentů.</w:t>
      </w:r>
    </w:p>
    <w:p w14:paraId="753643E1" w14:textId="77777777" w:rsidR="00C74BD1" w:rsidRDefault="00C74BD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5180DAE3" w14:textId="5033FB23" w:rsidR="00C0073D" w:rsidRPr="006D670B" w:rsidRDefault="004B7279" w:rsidP="00E078C2">
      <w:pPr>
        <w:pStyle w:val="Odstavecseseznamem"/>
        <w:numPr>
          <w:ilvl w:val="0"/>
          <w:numId w:val="24"/>
        </w:numPr>
        <w:spacing w:before="120" w:after="120" w:line="240" w:lineRule="auto"/>
        <w:ind w:left="284" w:hanging="284"/>
        <w:contextualSpacing w:val="0"/>
        <w:jc w:val="both"/>
        <w:rPr>
          <w:rFonts w:cstheme="minorHAnsi"/>
          <w:b/>
          <w:sz w:val="24"/>
          <w:szCs w:val="24"/>
        </w:rPr>
      </w:pPr>
      <w:r w:rsidRPr="006D670B">
        <w:rPr>
          <w:rFonts w:cstheme="minorHAnsi"/>
          <w:b/>
          <w:sz w:val="24"/>
          <w:szCs w:val="24"/>
        </w:rPr>
        <w:lastRenderedPageBreak/>
        <w:t>Odmítnutá podání učiněná prostřednictvím datové schránky</w:t>
      </w:r>
    </w:p>
    <w:p w14:paraId="575A1818" w14:textId="1BCF77BE" w:rsidR="00C0073D" w:rsidRPr="00646621" w:rsidRDefault="00C27A19" w:rsidP="00E078C2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4B7279" w:rsidRPr="00646621">
        <w:rPr>
          <w:sz w:val="24"/>
          <w:szCs w:val="24"/>
        </w:rPr>
        <w:t xml:space="preserve">endence </w:t>
      </w:r>
      <w:r w:rsidR="009D7055">
        <w:rPr>
          <w:sz w:val="24"/>
          <w:szCs w:val="24"/>
        </w:rPr>
        <w:t xml:space="preserve">růstu počtu </w:t>
      </w:r>
      <w:r w:rsidR="004B7279" w:rsidRPr="00646621">
        <w:rPr>
          <w:sz w:val="24"/>
          <w:szCs w:val="24"/>
        </w:rPr>
        <w:t xml:space="preserve">elektronických podání byla ovlivněna mj. zavedením povinnosti činit podání vůči správci daně pouze v elektronické formě, pokud má daňový subjekt zřízenou datovou schránku. Tato povinnost vychází </w:t>
      </w:r>
      <w:r w:rsidR="004B7279">
        <w:rPr>
          <w:sz w:val="24"/>
          <w:szCs w:val="24"/>
        </w:rPr>
        <w:t>z DŘ</w:t>
      </w:r>
      <w:r w:rsidR="004B7279" w:rsidRPr="00646621">
        <w:rPr>
          <w:sz w:val="24"/>
          <w:szCs w:val="24"/>
        </w:rPr>
        <w:t xml:space="preserve"> s účinností od 1. 1. 2015.</w:t>
      </w:r>
    </w:p>
    <w:p w14:paraId="365B448F" w14:textId="27017DEE" w:rsidR="00C0073D" w:rsidRDefault="004B7279" w:rsidP="00C0073D">
      <w:pPr>
        <w:pStyle w:val="Titulek"/>
        <w:keepNext/>
        <w:keepLines/>
        <w:rPr>
          <w:b/>
          <w:i w:val="0"/>
          <w:color w:val="auto"/>
          <w:sz w:val="24"/>
          <w:szCs w:val="24"/>
        </w:rPr>
      </w:pPr>
      <w:r w:rsidRPr="004730AF">
        <w:rPr>
          <w:b/>
          <w:i w:val="0"/>
          <w:color w:val="auto"/>
          <w:sz w:val="24"/>
          <w:szCs w:val="24"/>
        </w:rPr>
        <w:t xml:space="preserve">Graf č. </w:t>
      </w:r>
      <w:r w:rsidR="00B3080B" w:rsidRPr="004730AF">
        <w:rPr>
          <w:b/>
          <w:i w:val="0"/>
          <w:color w:val="auto"/>
          <w:sz w:val="24"/>
          <w:szCs w:val="24"/>
        </w:rPr>
        <w:fldChar w:fldCharType="begin"/>
      </w:r>
      <w:r w:rsidRPr="004730AF">
        <w:rPr>
          <w:b/>
          <w:i w:val="0"/>
          <w:color w:val="auto"/>
          <w:sz w:val="24"/>
          <w:szCs w:val="24"/>
        </w:rPr>
        <w:instrText xml:space="preserve"> SEQ Graf_č. \* ARABIC </w:instrText>
      </w:r>
      <w:r w:rsidR="00B3080B" w:rsidRPr="004730AF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4</w:t>
      </w:r>
      <w:r w:rsidR="00B3080B" w:rsidRPr="004730AF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>: Počty podání daňových tvrzení podle formy</w:t>
      </w:r>
    </w:p>
    <w:p w14:paraId="6661F4BE" w14:textId="77777777" w:rsidR="00C0073D" w:rsidRDefault="004B7279" w:rsidP="00C0073D">
      <w:pPr>
        <w:keepLines/>
      </w:pPr>
      <w:r>
        <w:rPr>
          <w:noProof/>
          <w:lang w:eastAsia="cs-CZ"/>
        </w:rPr>
        <w:drawing>
          <wp:inline distT="0" distB="0" distL="0" distR="0" wp14:anchorId="687AEDF4" wp14:editId="21AA38C6">
            <wp:extent cx="5702300" cy="2059388"/>
            <wp:effectExtent l="0" t="0" r="0" b="0"/>
            <wp:docPr id="1274488756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56F71236" w14:textId="35411B54" w:rsidR="00C0073D" w:rsidRDefault="004B7279" w:rsidP="003132B2">
      <w:pPr>
        <w:keepLines/>
        <w:spacing w:after="0" w:line="240" w:lineRule="auto"/>
        <w:jc w:val="both"/>
        <w:rPr>
          <w:rFonts w:cstheme="minorHAnsi"/>
          <w:sz w:val="20"/>
          <w:szCs w:val="20"/>
        </w:rPr>
      </w:pPr>
      <w:r w:rsidRPr="00040E26">
        <w:rPr>
          <w:rFonts w:cstheme="minorHAnsi"/>
          <w:b/>
          <w:sz w:val="20"/>
          <w:szCs w:val="20"/>
        </w:rPr>
        <w:t>Zdroj:</w:t>
      </w:r>
      <w:r w:rsidR="00055373">
        <w:rPr>
          <w:rFonts w:cstheme="minorHAnsi"/>
          <w:sz w:val="20"/>
          <w:szCs w:val="20"/>
        </w:rPr>
        <w:t xml:space="preserve"> </w:t>
      </w:r>
      <w:r w:rsidR="00C15311">
        <w:rPr>
          <w:rFonts w:cstheme="minorHAnsi"/>
          <w:sz w:val="20"/>
          <w:szCs w:val="20"/>
        </w:rPr>
        <w:t>d</w:t>
      </w:r>
      <w:r w:rsidR="00A460A5">
        <w:rPr>
          <w:rFonts w:cstheme="minorHAnsi"/>
          <w:sz w:val="20"/>
          <w:szCs w:val="20"/>
        </w:rPr>
        <w:t>ata z GFŘ</w:t>
      </w:r>
      <w:r w:rsidRPr="00040E26">
        <w:rPr>
          <w:rFonts w:cstheme="minorHAnsi"/>
          <w:sz w:val="20"/>
          <w:szCs w:val="20"/>
        </w:rPr>
        <w:t>.</w:t>
      </w:r>
    </w:p>
    <w:p w14:paraId="5F827EC0" w14:textId="77777777" w:rsidR="00C0073D" w:rsidRDefault="004B7279" w:rsidP="003132B2">
      <w:pPr>
        <w:keepLines/>
        <w:spacing w:after="0" w:line="240" w:lineRule="auto"/>
        <w:jc w:val="both"/>
        <w:rPr>
          <w:rFonts w:cstheme="minorHAnsi"/>
          <w:sz w:val="20"/>
          <w:szCs w:val="20"/>
        </w:rPr>
      </w:pPr>
      <w:r w:rsidRPr="00444BD1"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 xml:space="preserve"> Počty podání jsou uvedeny včetně VDA vybírané srážkou.</w:t>
      </w:r>
    </w:p>
    <w:p w14:paraId="2C45837D" w14:textId="5FA65FB1" w:rsidR="00C0073D" w:rsidRDefault="004B7279" w:rsidP="00E078C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Pokud daňový subjekt učinil podání prostřednictvím datové schránky</w:t>
      </w:r>
      <w:r w:rsidR="00C27A1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</w:t>
      </w:r>
      <w:r w:rsidR="004769BD">
        <w:rPr>
          <w:rFonts w:cstheme="minorHAnsi"/>
          <w:sz w:val="24"/>
          <w:szCs w:val="24"/>
        </w:rPr>
        <w:t>však</w:t>
      </w:r>
      <w:r>
        <w:rPr>
          <w:rFonts w:cstheme="minorHAnsi"/>
          <w:sz w:val="24"/>
          <w:szCs w:val="24"/>
        </w:rPr>
        <w:t xml:space="preserve"> nedodržel strukturu a formát stanovený správcem daně, došlo na straně správce daně k odmítnutí tohoto podání v ADIS. V ADIS není zavedena funkcionalita k automatickému informování daňového subjektu o tom, že jeho podání bylo odmítnuto. Dle GFŘ se tato funkcionalita nebude zavádět z důvodu hospodárnosti (od roku 2020 je plánováno spuštění nového informačního systému). Správce daně </w:t>
      </w:r>
      <w:r w:rsidR="00F05345">
        <w:rPr>
          <w:rFonts w:cstheme="minorHAnsi"/>
          <w:sz w:val="24"/>
          <w:szCs w:val="24"/>
        </w:rPr>
        <w:t xml:space="preserve">je </w:t>
      </w:r>
      <w:r>
        <w:rPr>
          <w:rFonts w:cstheme="minorHAnsi"/>
          <w:sz w:val="24"/>
          <w:szCs w:val="24"/>
        </w:rPr>
        <w:t xml:space="preserve">dle DŘ povinen daný subjekt vyzvat, aby toto vadné podání napravil. </w:t>
      </w:r>
    </w:p>
    <w:p w14:paraId="01D20FEE" w14:textId="065BF2DA" w:rsidR="00C0073D" w:rsidRPr="00193064" w:rsidRDefault="004B7279" w:rsidP="00E078C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Tento postup zvyšoval administrativní zátěž, měl vliv na nákladnost daňového řízení </w:t>
      </w:r>
      <w:r w:rsidR="00C27A19">
        <w:rPr>
          <w:rFonts w:cstheme="minorHAnsi"/>
          <w:sz w:val="24"/>
          <w:szCs w:val="24"/>
        </w:rPr>
        <w:t>a </w:t>
      </w:r>
      <w:r>
        <w:rPr>
          <w:rFonts w:cstheme="minorHAnsi"/>
          <w:sz w:val="24"/>
          <w:szCs w:val="24"/>
        </w:rPr>
        <w:t>efektivnost správy daně</w:t>
      </w:r>
      <w:r w:rsidR="00C27A1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a</w:t>
      </w:r>
      <w:r w:rsidR="00C27A19">
        <w:rPr>
          <w:rFonts w:cstheme="minorHAnsi"/>
          <w:sz w:val="24"/>
          <w:szCs w:val="24"/>
        </w:rPr>
        <w:t> tedy</w:t>
      </w:r>
      <w:r>
        <w:rPr>
          <w:rFonts w:cstheme="minorHAnsi"/>
          <w:sz w:val="24"/>
          <w:szCs w:val="24"/>
        </w:rPr>
        <w:t xml:space="preserve"> nenaplňoval cíl elektronizace správy daní a s ní spojené snižování nákladů na straně správce daně, ale také u daňového subjektu.</w:t>
      </w:r>
    </w:p>
    <w:p w14:paraId="72B9D5CE" w14:textId="60C91426" w:rsidR="00C0073D" w:rsidRDefault="004B7279" w:rsidP="00C27A19">
      <w:pPr>
        <w:pStyle w:val="Titulek"/>
        <w:keepNext/>
        <w:keepLines/>
        <w:spacing w:after="0"/>
        <w:ind w:left="993" w:hanging="993"/>
        <w:jc w:val="both"/>
        <w:rPr>
          <w:b/>
          <w:i w:val="0"/>
          <w:color w:val="auto"/>
          <w:sz w:val="24"/>
          <w:szCs w:val="24"/>
        </w:rPr>
      </w:pPr>
      <w:r w:rsidRPr="00A35636">
        <w:rPr>
          <w:b/>
          <w:i w:val="0"/>
          <w:color w:val="auto"/>
          <w:sz w:val="24"/>
          <w:szCs w:val="24"/>
        </w:rPr>
        <w:t xml:space="preserve">Graf č. </w:t>
      </w:r>
      <w:r w:rsidR="00B3080B" w:rsidRPr="00A35636">
        <w:rPr>
          <w:b/>
          <w:i w:val="0"/>
          <w:color w:val="auto"/>
          <w:sz w:val="24"/>
          <w:szCs w:val="24"/>
        </w:rPr>
        <w:fldChar w:fldCharType="begin"/>
      </w:r>
      <w:r w:rsidRPr="00A35636">
        <w:rPr>
          <w:b/>
          <w:i w:val="0"/>
          <w:color w:val="auto"/>
          <w:sz w:val="24"/>
          <w:szCs w:val="24"/>
        </w:rPr>
        <w:instrText xml:space="preserve"> SEQ Graf_č. \* ARABIC </w:instrText>
      </w:r>
      <w:r w:rsidR="00B3080B" w:rsidRPr="00A35636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5</w:t>
      </w:r>
      <w:r w:rsidR="00B3080B" w:rsidRPr="00A35636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 xml:space="preserve">: </w:t>
      </w:r>
      <w:r w:rsidR="00C27A19">
        <w:rPr>
          <w:b/>
          <w:i w:val="0"/>
          <w:color w:val="auto"/>
          <w:sz w:val="24"/>
          <w:szCs w:val="24"/>
        </w:rPr>
        <w:tab/>
      </w:r>
      <w:r>
        <w:rPr>
          <w:b/>
          <w:i w:val="0"/>
          <w:color w:val="auto"/>
          <w:sz w:val="24"/>
          <w:szCs w:val="24"/>
        </w:rPr>
        <w:t>Počty odmítnutých podání učiněných prostřednictvím datové schránky v roce 2015</w:t>
      </w:r>
    </w:p>
    <w:p w14:paraId="5E4C3074" w14:textId="77777777" w:rsidR="00C0073D" w:rsidRDefault="004B7279" w:rsidP="00C0073D">
      <w:pPr>
        <w:keepLines/>
      </w:pPr>
      <w:r>
        <w:rPr>
          <w:noProof/>
          <w:lang w:eastAsia="cs-CZ"/>
        </w:rPr>
        <w:drawing>
          <wp:inline distT="0" distB="0" distL="0" distR="0" wp14:anchorId="70F238D5" wp14:editId="177B35A6">
            <wp:extent cx="5760720" cy="942975"/>
            <wp:effectExtent l="0" t="0" r="0" b="0"/>
            <wp:docPr id="5" name="Graf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BEBC335" w14:textId="348E350D" w:rsidR="00C0073D" w:rsidRDefault="004B7279" w:rsidP="00C0073D">
      <w:pPr>
        <w:keepLines/>
        <w:spacing w:after="0"/>
        <w:rPr>
          <w:rFonts w:cstheme="minorHAnsi"/>
          <w:sz w:val="20"/>
          <w:szCs w:val="20"/>
        </w:rPr>
      </w:pPr>
      <w:r w:rsidRPr="00040E26">
        <w:rPr>
          <w:rFonts w:cstheme="minorHAnsi"/>
          <w:b/>
          <w:sz w:val="20"/>
          <w:szCs w:val="20"/>
        </w:rPr>
        <w:t>Zdroj</w:t>
      </w:r>
      <w:r w:rsidR="00A460A5">
        <w:rPr>
          <w:rFonts w:cstheme="minorHAnsi"/>
          <w:sz w:val="20"/>
          <w:szCs w:val="20"/>
        </w:rPr>
        <w:t xml:space="preserve"> </w:t>
      </w:r>
      <w:r w:rsidR="00C15311">
        <w:rPr>
          <w:rFonts w:cstheme="minorHAnsi"/>
          <w:sz w:val="20"/>
          <w:szCs w:val="20"/>
        </w:rPr>
        <w:t>d</w:t>
      </w:r>
      <w:r w:rsidR="00A460A5">
        <w:rPr>
          <w:rFonts w:cstheme="minorHAnsi"/>
          <w:sz w:val="20"/>
          <w:szCs w:val="20"/>
        </w:rPr>
        <w:t>ata z GFŘ</w:t>
      </w:r>
      <w:r w:rsidR="00A460A5" w:rsidRPr="00040E26">
        <w:rPr>
          <w:rFonts w:cstheme="minorHAnsi"/>
          <w:sz w:val="20"/>
          <w:szCs w:val="20"/>
        </w:rPr>
        <w:t>.</w:t>
      </w:r>
    </w:p>
    <w:p w14:paraId="0EACA5C5" w14:textId="77777777" w:rsidR="00C0073D" w:rsidRPr="00040E26" w:rsidRDefault="004B7279" w:rsidP="00C0073D">
      <w:pPr>
        <w:keepLines/>
        <w:rPr>
          <w:rFonts w:cstheme="minorHAnsi"/>
          <w:sz w:val="20"/>
          <w:szCs w:val="20"/>
        </w:rPr>
      </w:pPr>
      <w:r w:rsidRPr="00444BD1"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 xml:space="preserve"> Počty podání jsou uvedeny včetně VDA vybírané srážkou.</w:t>
      </w:r>
    </w:p>
    <w:p w14:paraId="10601E0F" w14:textId="62D3E1AF" w:rsidR="00C0073D" w:rsidRDefault="004B7279" w:rsidP="00E078C2">
      <w:pPr>
        <w:spacing w:before="120" w:after="120" w:line="240" w:lineRule="auto"/>
        <w:jc w:val="both"/>
        <w:rPr>
          <w:sz w:val="24"/>
          <w:szCs w:val="24"/>
        </w:rPr>
      </w:pPr>
      <w:r w:rsidRPr="005B4AFB">
        <w:rPr>
          <w:sz w:val="24"/>
          <w:szCs w:val="24"/>
        </w:rPr>
        <w:t>Na základě analýzy důvodů pro odmítnutí podání prostřednictvím datové schránky zjistil</w:t>
      </w:r>
      <w:r w:rsidR="00C27A19" w:rsidRPr="00C27A19">
        <w:rPr>
          <w:sz w:val="24"/>
          <w:szCs w:val="24"/>
        </w:rPr>
        <w:t xml:space="preserve"> </w:t>
      </w:r>
      <w:r w:rsidR="00C27A19" w:rsidRPr="005B4AFB">
        <w:rPr>
          <w:sz w:val="24"/>
          <w:szCs w:val="24"/>
        </w:rPr>
        <w:t>NKÚ</w:t>
      </w:r>
      <w:r w:rsidRPr="005B4AFB">
        <w:rPr>
          <w:sz w:val="24"/>
          <w:szCs w:val="24"/>
        </w:rPr>
        <w:t xml:space="preserve">, že dle sdělení kontrolovaných FÚ </w:t>
      </w:r>
      <w:r w:rsidR="00C27A19" w:rsidRPr="005B4AFB">
        <w:rPr>
          <w:sz w:val="24"/>
          <w:szCs w:val="24"/>
        </w:rPr>
        <w:t xml:space="preserve">bylo </w:t>
      </w:r>
      <w:r w:rsidRPr="005B4AFB">
        <w:rPr>
          <w:sz w:val="24"/>
          <w:szCs w:val="24"/>
        </w:rPr>
        <w:t>24 % podání odmítnuto z důvodu, který nebránil správnému zjištění a stanovení daně. Jednalo se zejména o formální chyby.</w:t>
      </w:r>
      <w:r>
        <w:rPr>
          <w:sz w:val="24"/>
          <w:szCs w:val="24"/>
        </w:rPr>
        <w:t xml:space="preserve"> Dále NKÚ zjistil, že FÚ přistupovaly k jednotlivým podáním dle druhů chyb nejednotně. NKÚ kontrolou vzorku 141 odmítnutých podání zjistil, že tři FÚ v 8 případech daňové subjekty řádně nevyzvaly k odstranění vad podání, avšak uložily jim pokutu za opožděné tvrzení daně. Tím správci </w:t>
      </w:r>
      <w:r>
        <w:rPr>
          <w:sz w:val="24"/>
          <w:szCs w:val="24"/>
        </w:rPr>
        <w:lastRenderedPageBreak/>
        <w:t xml:space="preserve">daně porušili ustanovení § 6 odst. 3 DŘ, neboť neumožnily poplatníkům uplatnit jejich práva. Odvoláním podaným daňovými subjekty proti rozhodnutím o uložení pokuty většinou vyhověly. </w:t>
      </w:r>
    </w:p>
    <w:p w14:paraId="526DCE5C" w14:textId="77777777" w:rsidR="00C0073D" w:rsidRPr="00963B73" w:rsidRDefault="004B7279" w:rsidP="00E078C2">
      <w:pPr>
        <w:pStyle w:val="Odstavecseseznamem"/>
        <w:numPr>
          <w:ilvl w:val="0"/>
          <w:numId w:val="16"/>
        </w:numPr>
        <w:spacing w:before="120" w:after="120" w:line="240" w:lineRule="auto"/>
        <w:ind w:left="284" w:hanging="284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Údaje ve vyúčtování DPFO ze závislé činnosti</w:t>
      </w:r>
    </w:p>
    <w:p w14:paraId="59928001" w14:textId="3DEEC0EC" w:rsidR="00C0073D" w:rsidRPr="00684ABE" w:rsidRDefault="004B7279" w:rsidP="00E078C2">
      <w:pPr>
        <w:spacing w:before="120" w:after="120" w:line="240" w:lineRule="auto"/>
        <w:jc w:val="both"/>
        <w:rPr>
          <w:sz w:val="24"/>
          <w:szCs w:val="24"/>
        </w:rPr>
      </w:pPr>
      <w:r w:rsidRPr="000B3F50">
        <w:rPr>
          <w:sz w:val="24"/>
          <w:szCs w:val="24"/>
        </w:rPr>
        <w:t>Ve vyúčtování DPFO ze závislé činnosti jsou uvedeny v souladu se zákonem pouze souhrnné údaje za všechny poplatníky</w:t>
      </w:r>
      <w:r w:rsidR="00961AAF" w:rsidRPr="00684ABE">
        <w:rPr>
          <w:sz w:val="24"/>
          <w:szCs w:val="24"/>
        </w:rPr>
        <w:t xml:space="preserve"> a celková sražená záloha</w:t>
      </w:r>
      <w:r w:rsidRPr="00684ABE">
        <w:rPr>
          <w:sz w:val="24"/>
          <w:szCs w:val="24"/>
        </w:rPr>
        <w:t xml:space="preserve">, kterou byl plátce daně povinen odvést. </w:t>
      </w:r>
      <w:r w:rsidR="00913566" w:rsidRPr="00684ABE">
        <w:rPr>
          <w:sz w:val="24"/>
          <w:szCs w:val="24"/>
        </w:rPr>
        <w:t>P</w:t>
      </w:r>
      <w:r w:rsidR="00EE53D8" w:rsidRPr="000B3F50">
        <w:rPr>
          <w:sz w:val="24"/>
          <w:szCs w:val="24"/>
        </w:rPr>
        <w:t xml:space="preserve">látce </w:t>
      </w:r>
      <w:r w:rsidR="00684ABE">
        <w:rPr>
          <w:sz w:val="24"/>
          <w:szCs w:val="24"/>
        </w:rPr>
        <w:t xml:space="preserve">(zaměstnavatel) </w:t>
      </w:r>
      <w:r w:rsidR="00EE53D8" w:rsidRPr="000B3F50">
        <w:rPr>
          <w:sz w:val="24"/>
          <w:szCs w:val="24"/>
        </w:rPr>
        <w:t xml:space="preserve">provádí kromě výpočtu daně </w:t>
      </w:r>
      <w:r w:rsidR="00913566" w:rsidRPr="000B3F50">
        <w:rPr>
          <w:sz w:val="24"/>
          <w:szCs w:val="24"/>
        </w:rPr>
        <w:t>a odv</w:t>
      </w:r>
      <w:r w:rsidR="00684ABE">
        <w:rPr>
          <w:sz w:val="24"/>
          <w:szCs w:val="24"/>
        </w:rPr>
        <w:t>ádění</w:t>
      </w:r>
      <w:r w:rsidR="00913566" w:rsidRPr="000B3F50">
        <w:rPr>
          <w:sz w:val="24"/>
          <w:szCs w:val="24"/>
        </w:rPr>
        <w:t xml:space="preserve"> záloh </w:t>
      </w:r>
      <w:r w:rsidR="00684ABE">
        <w:rPr>
          <w:sz w:val="24"/>
          <w:szCs w:val="24"/>
        </w:rPr>
        <w:t>také roční zúčtování záloh na dani, na základě kterého vrací přeplatky na dani</w:t>
      </w:r>
      <w:r w:rsidR="00913566" w:rsidRPr="000B3F50">
        <w:rPr>
          <w:sz w:val="24"/>
          <w:szCs w:val="24"/>
        </w:rPr>
        <w:t xml:space="preserve"> z vlastního účtu</w:t>
      </w:r>
      <w:r w:rsidR="00EE53D8" w:rsidRPr="000B3F50">
        <w:rPr>
          <w:sz w:val="24"/>
          <w:szCs w:val="24"/>
        </w:rPr>
        <w:t xml:space="preserve">, </w:t>
      </w:r>
      <w:r w:rsidR="000778CF">
        <w:rPr>
          <w:sz w:val="24"/>
          <w:szCs w:val="24"/>
        </w:rPr>
        <w:t>pokud</w:t>
      </w:r>
      <w:r w:rsidR="00EE53D8" w:rsidRPr="000B3F50">
        <w:rPr>
          <w:sz w:val="24"/>
          <w:szCs w:val="24"/>
        </w:rPr>
        <w:t xml:space="preserve"> </w:t>
      </w:r>
      <w:r w:rsidR="00684ABE">
        <w:rPr>
          <w:sz w:val="24"/>
          <w:szCs w:val="24"/>
        </w:rPr>
        <w:t>poplatník (</w:t>
      </w:r>
      <w:r w:rsidR="00EE53D8" w:rsidRPr="000B3F50">
        <w:rPr>
          <w:sz w:val="24"/>
          <w:szCs w:val="24"/>
        </w:rPr>
        <w:t>zaměstnanec</w:t>
      </w:r>
      <w:r w:rsidR="00684ABE">
        <w:rPr>
          <w:sz w:val="24"/>
          <w:szCs w:val="24"/>
        </w:rPr>
        <w:t>)</w:t>
      </w:r>
      <w:r w:rsidR="00EE53D8" w:rsidRPr="000B3F50">
        <w:rPr>
          <w:sz w:val="24"/>
          <w:szCs w:val="24"/>
        </w:rPr>
        <w:t xml:space="preserve"> </w:t>
      </w:r>
      <w:r w:rsidR="00684ABE">
        <w:rPr>
          <w:sz w:val="24"/>
          <w:szCs w:val="24"/>
        </w:rPr>
        <w:t xml:space="preserve">podepsal </w:t>
      </w:r>
      <w:r w:rsidR="00684ABE" w:rsidRPr="00684ABE">
        <w:rPr>
          <w:bCs/>
          <w:sz w:val="24"/>
          <w:szCs w:val="24"/>
        </w:rPr>
        <w:t>prohlášení poplatníka daně z příjmů fyzických osob ze závislé činnosti</w:t>
      </w:r>
      <w:r w:rsidR="00EE53D8" w:rsidRPr="00684ABE">
        <w:rPr>
          <w:sz w:val="24"/>
          <w:szCs w:val="24"/>
        </w:rPr>
        <w:t>.</w:t>
      </w:r>
      <w:r w:rsidR="00EE53D8" w:rsidRPr="000B3F50">
        <w:rPr>
          <w:sz w:val="24"/>
          <w:szCs w:val="24"/>
        </w:rPr>
        <w:t xml:space="preserve"> </w:t>
      </w:r>
      <w:r w:rsidRPr="000B3F50">
        <w:rPr>
          <w:sz w:val="24"/>
          <w:szCs w:val="24"/>
        </w:rPr>
        <w:t xml:space="preserve">Správce daně má k dispozici například </w:t>
      </w:r>
      <w:r w:rsidR="000778CF" w:rsidRPr="000B3F50">
        <w:rPr>
          <w:sz w:val="24"/>
          <w:szCs w:val="24"/>
        </w:rPr>
        <w:t xml:space="preserve">údaje </w:t>
      </w:r>
      <w:r w:rsidRPr="000B3F50">
        <w:rPr>
          <w:sz w:val="24"/>
          <w:szCs w:val="24"/>
        </w:rPr>
        <w:t xml:space="preserve">o počtu zaměstnanců, </w:t>
      </w:r>
      <w:r w:rsidR="000778CF">
        <w:rPr>
          <w:sz w:val="24"/>
          <w:szCs w:val="24"/>
        </w:rPr>
        <w:t>o </w:t>
      </w:r>
      <w:r w:rsidRPr="000B3F50">
        <w:rPr>
          <w:sz w:val="24"/>
          <w:szCs w:val="24"/>
        </w:rPr>
        <w:t>hodnotě sražené daně na zálohách</w:t>
      </w:r>
      <w:r w:rsidR="00D441B6">
        <w:rPr>
          <w:sz w:val="24"/>
          <w:szCs w:val="24"/>
        </w:rPr>
        <w:t xml:space="preserve"> a</w:t>
      </w:r>
      <w:r w:rsidRPr="000B3F50">
        <w:rPr>
          <w:sz w:val="24"/>
          <w:szCs w:val="24"/>
        </w:rPr>
        <w:t xml:space="preserve"> vrácených přeplatků na dani z ročního zúčtování, </w:t>
      </w:r>
      <w:r w:rsidR="000778CF">
        <w:rPr>
          <w:sz w:val="24"/>
          <w:szCs w:val="24"/>
        </w:rPr>
        <w:t>o </w:t>
      </w:r>
      <w:r w:rsidRPr="000B3F50">
        <w:rPr>
          <w:sz w:val="24"/>
          <w:szCs w:val="24"/>
        </w:rPr>
        <w:t>celkové částce vyplaceného měsíčního daňového bonusu a zaplacených zálohách. V</w:t>
      </w:r>
      <w:r w:rsidR="00A90CA2">
        <w:rPr>
          <w:sz w:val="24"/>
          <w:szCs w:val="24"/>
        </w:rPr>
        <w:t> </w:t>
      </w:r>
      <w:r w:rsidRPr="000B3F50">
        <w:rPr>
          <w:sz w:val="24"/>
          <w:szCs w:val="24"/>
        </w:rPr>
        <w:t>současné době nejsou na dani ze závislé činnosti zaveden</w:t>
      </w:r>
      <w:r w:rsidR="000778CF">
        <w:rPr>
          <w:sz w:val="24"/>
          <w:szCs w:val="24"/>
        </w:rPr>
        <w:t>y</w:t>
      </w:r>
      <w:r w:rsidRPr="000B3F50">
        <w:rPr>
          <w:sz w:val="24"/>
          <w:szCs w:val="24"/>
        </w:rPr>
        <w:t xml:space="preserve"> individuální </w:t>
      </w:r>
      <w:r w:rsidR="00CA44AE">
        <w:rPr>
          <w:sz w:val="24"/>
          <w:szCs w:val="24"/>
        </w:rPr>
        <w:t>účty poplatníků</w:t>
      </w:r>
      <w:r w:rsidR="000B3F50" w:rsidRPr="00684ABE">
        <w:rPr>
          <w:sz w:val="24"/>
          <w:szCs w:val="24"/>
        </w:rPr>
        <w:t>,</w:t>
      </w:r>
      <w:r w:rsidRPr="00684ABE">
        <w:rPr>
          <w:sz w:val="24"/>
          <w:szCs w:val="24"/>
        </w:rPr>
        <w:t xml:space="preserve"> správce daně </w:t>
      </w:r>
      <w:r w:rsidR="000B3F50" w:rsidRPr="000B3F50">
        <w:rPr>
          <w:sz w:val="24"/>
          <w:szCs w:val="24"/>
        </w:rPr>
        <w:t xml:space="preserve">tak </w:t>
      </w:r>
      <w:r w:rsidRPr="00684ABE">
        <w:rPr>
          <w:sz w:val="24"/>
          <w:szCs w:val="24"/>
        </w:rPr>
        <w:t xml:space="preserve">nemá informace o jednotlivých poplatnících (bylo připravováno v rámci </w:t>
      </w:r>
      <w:r w:rsidR="00017591">
        <w:rPr>
          <w:sz w:val="24"/>
          <w:szCs w:val="24"/>
        </w:rPr>
        <w:t>p</w:t>
      </w:r>
      <w:r w:rsidRPr="00684ABE">
        <w:rPr>
          <w:sz w:val="24"/>
          <w:szCs w:val="24"/>
        </w:rPr>
        <w:t>rojektu JIM), jako tomu je u DPFO z přiznání. Jediné individuální údaje jsou uvedeny v</w:t>
      </w:r>
      <w:r w:rsidR="00A90CA2">
        <w:rPr>
          <w:sz w:val="24"/>
          <w:szCs w:val="24"/>
        </w:rPr>
        <w:t> </w:t>
      </w:r>
      <w:r w:rsidRPr="00684ABE">
        <w:rPr>
          <w:sz w:val="24"/>
          <w:szCs w:val="24"/>
        </w:rPr>
        <w:t xml:space="preserve">příloze č. 2 vyúčtování, </w:t>
      </w:r>
      <w:r w:rsidR="00017591">
        <w:rPr>
          <w:sz w:val="24"/>
          <w:szCs w:val="24"/>
        </w:rPr>
        <w:t>kde</w:t>
      </w:r>
      <w:r w:rsidRPr="00684ABE">
        <w:rPr>
          <w:sz w:val="24"/>
          <w:szCs w:val="24"/>
        </w:rPr>
        <w:t xml:space="preserve"> jsou uvedeny údaje o daňových nerezidentech ČR.</w:t>
      </w:r>
      <w:r w:rsidR="006A4872" w:rsidRPr="00684ABE">
        <w:rPr>
          <w:sz w:val="24"/>
          <w:szCs w:val="24"/>
        </w:rPr>
        <w:t xml:space="preserve"> </w:t>
      </w:r>
    </w:p>
    <w:p w14:paraId="6445855F" w14:textId="2B337262" w:rsidR="00C0073D" w:rsidRDefault="004B7279" w:rsidP="00E078C2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Detailní údaje z DAP k DPFO </w:t>
      </w:r>
      <w:r w:rsidRPr="00963B73">
        <w:rPr>
          <w:sz w:val="24"/>
          <w:szCs w:val="24"/>
        </w:rPr>
        <w:t xml:space="preserve">umožňují </w:t>
      </w:r>
      <w:r w:rsidR="00D344FE">
        <w:rPr>
          <w:sz w:val="24"/>
          <w:szCs w:val="24"/>
        </w:rPr>
        <w:t xml:space="preserve">zaměřit </w:t>
      </w:r>
      <w:r w:rsidRPr="00963B73">
        <w:rPr>
          <w:sz w:val="24"/>
          <w:szCs w:val="24"/>
        </w:rPr>
        <w:t>kontrolní činnost</w:t>
      </w:r>
      <w:r w:rsidR="00382A1D">
        <w:rPr>
          <w:sz w:val="24"/>
          <w:szCs w:val="24"/>
        </w:rPr>
        <w:t xml:space="preserve"> </w:t>
      </w:r>
      <w:r w:rsidRPr="00963B73">
        <w:rPr>
          <w:sz w:val="24"/>
          <w:szCs w:val="24"/>
        </w:rPr>
        <w:t>na konkrétní rizikové oblasti, které mohou orgány finanční správy získat například analýzou vývoje těchto údajů. Obdobné zacílení kontrolní činnosti u DPFO ze závislé činnosti je nemožné</w:t>
      </w:r>
      <w:r w:rsidR="00E46576">
        <w:rPr>
          <w:sz w:val="24"/>
          <w:szCs w:val="24"/>
        </w:rPr>
        <w:t xml:space="preserve"> </w:t>
      </w:r>
      <w:r w:rsidR="005A62A9">
        <w:rPr>
          <w:sz w:val="24"/>
          <w:szCs w:val="24"/>
        </w:rPr>
        <w:t>(n</w:t>
      </w:r>
      <w:r w:rsidR="005A62A9" w:rsidRPr="006216A0">
        <w:rPr>
          <w:rFonts w:eastAsia="Times New Roman" w:cs="Times New Roman"/>
          <w:sz w:val="24"/>
          <w:szCs w:val="24"/>
        </w:rPr>
        <w:t>apř. vyplacení nezdaněných finančních prostředků zaměstnancům</w:t>
      </w:r>
      <w:r w:rsidR="005A62A9">
        <w:rPr>
          <w:rFonts w:eastAsia="Times New Roman" w:cs="Times New Roman"/>
          <w:sz w:val="24"/>
          <w:szCs w:val="24"/>
        </w:rPr>
        <w:t>, kteří si nepodali daňové přiznání).</w:t>
      </w:r>
      <w:r w:rsidR="005A62A9" w:rsidRPr="006216A0">
        <w:rPr>
          <w:rFonts w:eastAsia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NKÚ zjistil, že správci daně v letech 2013–</w:t>
      </w:r>
      <w:r w:rsidRPr="00661DCD">
        <w:rPr>
          <w:sz w:val="24"/>
          <w:szCs w:val="24"/>
        </w:rPr>
        <w:t>2015 provedli u DPFO z přiznání celkem 21 408 daňových kontrol a doměřili</w:t>
      </w:r>
      <w:r>
        <w:rPr>
          <w:sz w:val="24"/>
          <w:szCs w:val="24"/>
        </w:rPr>
        <w:t xml:space="preserve"> daň v hodnotě 663 mil. Kč a </w:t>
      </w:r>
      <w:r w:rsidRPr="00661DCD">
        <w:rPr>
          <w:sz w:val="24"/>
          <w:szCs w:val="24"/>
        </w:rPr>
        <w:t>u DPFO ze závislé činnosti provedli celkem 12 989 daňových kontrol</w:t>
      </w:r>
      <w:r>
        <w:rPr>
          <w:sz w:val="24"/>
          <w:szCs w:val="24"/>
        </w:rPr>
        <w:t xml:space="preserve"> a doměřili daň v hodnotě 250 mil</w:t>
      </w:r>
      <w:r w:rsidRPr="00661DCD">
        <w:rPr>
          <w:sz w:val="24"/>
          <w:szCs w:val="24"/>
        </w:rPr>
        <w:t>. Kč.</w:t>
      </w:r>
      <w:r w:rsidR="00E46576">
        <w:rPr>
          <w:sz w:val="24"/>
          <w:szCs w:val="24"/>
        </w:rPr>
        <w:t xml:space="preserve"> </w:t>
      </w:r>
      <w:r w:rsidRPr="00963B73">
        <w:rPr>
          <w:sz w:val="24"/>
          <w:szCs w:val="24"/>
        </w:rPr>
        <w:t>Z</w:t>
      </w:r>
      <w:r w:rsidR="002F1BAE">
        <w:rPr>
          <w:sz w:val="24"/>
          <w:szCs w:val="24"/>
        </w:rPr>
        <w:t> </w:t>
      </w:r>
      <w:r w:rsidRPr="00963B73">
        <w:rPr>
          <w:sz w:val="24"/>
          <w:szCs w:val="24"/>
        </w:rPr>
        <w:t xml:space="preserve">poměru výše doměřené daně z kontrol provedených u </w:t>
      </w:r>
      <w:r>
        <w:rPr>
          <w:sz w:val="24"/>
          <w:szCs w:val="24"/>
        </w:rPr>
        <w:t>daňových subjektů</w:t>
      </w:r>
      <w:r w:rsidR="002F1BAE">
        <w:rPr>
          <w:sz w:val="24"/>
          <w:szCs w:val="24"/>
        </w:rPr>
        <w:t xml:space="preserve"> podávajících DAP k </w:t>
      </w:r>
      <w:r w:rsidR="00E95D35">
        <w:rPr>
          <w:sz w:val="24"/>
          <w:szCs w:val="24"/>
        </w:rPr>
        <w:t>DPFO a u </w:t>
      </w:r>
      <w:r w:rsidRPr="00963B73">
        <w:rPr>
          <w:sz w:val="24"/>
          <w:szCs w:val="24"/>
        </w:rPr>
        <w:t xml:space="preserve">plátců DPFO ze závislé činnosti vyplývá, </w:t>
      </w:r>
      <w:r>
        <w:rPr>
          <w:sz w:val="24"/>
          <w:szCs w:val="24"/>
        </w:rPr>
        <w:t xml:space="preserve">že </w:t>
      </w:r>
      <w:r w:rsidR="00DC70E1">
        <w:rPr>
          <w:sz w:val="24"/>
          <w:szCs w:val="24"/>
        </w:rPr>
        <w:t xml:space="preserve">vyšší doměrky realizovali </w:t>
      </w:r>
      <w:r w:rsidR="00F05345">
        <w:rPr>
          <w:sz w:val="24"/>
          <w:szCs w:val="24"/>
        </w:rPr>
        <w:t xml:space="preserve">správci daně </w:t>
      </w:r>
      <w:r w:rsidR="002F1BAE">
        <w:rPr>
          <w:sz w:val="24"/>
          <w:szCs w:val="24"/>
        </w:rPr>
        <w:t>u </w:t>
      </w:r>
      <w:r>
        <w:rPr>
          <w:sz w:val="24"/>
          <w:szCs w:val="24"/>
        </w:rPr>
        <w:t>daňových subjektů</w:t>
      </w:r>
      <w:r w:rsidRPr="00963B73">
        <w:rPr>
          <w:sz w:val="24"/>
          <w:szCs w:val="24"/>
        </w:rPr>
        <w:t xml:space="preserve"> podávajících DAP k DPFO.</w:t>
      </w:r>
      <w:r>
        <w:rPr>
          <w:sz w:val="24"/>
          <w:szCs w:val="24"/>
        </w:rPr>
        <w:t xml:space="preserve"> Průměrný doměrek na jednu kontrolu činil v roce 2015 u DPFO ze závislé činnosti 19 tis. Kč, </w:t>
      </w:r>
      <w:r w:rsidRPr="004C101D">
        <w:rPr>
          <w:sz w:val="24"/>
          <w:szCs w:val="24"/>
        </w:rPr>
        <w:t>což bylo o 39 % méně než u DPFO z</w:t>
      </w:r>
      <w:r w:rsidR="00365D03">
        <w:rPr>
          <w:sz w:val="24"/>
          <w:szCs w:val="24"/>
        </w:rPr>
        <w:t> </w:t>
      </w:r>
      <w:r w:rsidRPr="004C101D">
        <w:rPr>
          <w:sz w:val="24"/>
          <w:szCs w:val="24"/>
        </w:rPr>
        <w:t>přiznání</w:t>
      </w:r>
      <w:r w:rsidR="00365D03">
        <w:rPr>
          <w:sz w:val="24"/>
          <w:szCs w:val="24"/>
        </w:rPr>
        <w:t xml:space="preserve"> (31 tis. Kč)</w:t>
      </w:r>
      <w:r>
        <w:rPr>
          <w:sz w:val="24"/>
          <w:szCs w:val="24"/>
        </w:rPr>
        <w:t xml:space="preserve">. </w:t>
      </w:r>
    </w:p>
    <w:p w14:paraId="5A1A73A3" w14:textId="77777777" w:rsidR="00C0073D" w:rsidRPr="009E7718" w:rsidRDefault="004B7279" w:rsidP="00E078C2">
      <w:pPr>
        <w:pStyle w:val="Odstavecseseznamem"/>
        <w:numPr>
          <w:ilvl w:val="0"/>
          <w:numId w:val="24"/>
        </w:numPr>
        <w:spacing w:before="120" w:after="120" w:line="240" w:lineRule="auto"/>
        <w:ind w:left="284" w:hanging="284"/>
        <w:contextualSpacing w:val="0"/>
        <w:jc w:val="both"/>
        <w:rPr>
          <w:b/>
          <w:sz w:val="24"/>
          <w:szCs w:val="24"/>
        </w:rPr>
      </w:pPr>
      <w:r w:rsidRPr="009E7718">
        <w:rPr>
          <w:b/>
          <w:sz w:val="24"/>
          <w:szCs w:val="24"/>
        </w:rPr>
        <w:t>Míra daňového zatížení</w:t>
      </w:r>
    </w:p>
    <w:p w14:paraId="43D32428" w14:textId="6C7F9652" w:rsidR="00C0073D" w:rsidRPr="006E54FF" w:rsidRDefault="004B7279" w:rsidP="00E078C2">
      <w:pPr>
        <w:pStyle w:val="Titulek"/>
        <w:keepNext/>
        <w:keepLines/>
        <w:tabs>
          <w:tab w:val="left" w:pos="1418"/>
        </w:tabs>
        <w:spacing w:after="0"/>
        <w:ind w:left="1418" w:hanging="1418"/>
        <w:jc w:val="both"/>
        <w:rPr>
          <w:b/>
          <w:i w:val="0"/>
          <w:color w:val="auto"/>
          <w:sz w:val="24"/>
          <w:szCs w:val="24"/>
        </w:rPr>
      </w:pPr>
      <w:r w:rsidRPr="00026599">
        <w:rPr>
          <w:b/>
          <w:i w:val="0"/>
          <w:color w:val="auto"/>
          <w:sz w:val="24"/>
          <w:szCs w:val="24"/>
        </w:rPr>
        <w:t xml:space="preserve">Tabulka č. </w:t>
      </w:r>
      <w:r w:rsidR="00B3080B" w:rsidRPr="00026599">
        <w:rPr>
          <w:b/>
          <w:i w:val="0"/>
          <w:color w:val="auto"/>
          <w:sz w:val="24"/>
          <w:szCs w:val="24"/>
        </w:rPr>
        <w:fldChar w:fldCharType="begin"/>
      </w:r>
      <w:r w:rsidRPr="00026599">
        <w:rPr>
          <w:b/>
          <w:i w:val="0"/>
          <w:color w:val="auto"/>
          <w:sz w:val="24"/>
          <w:szCs w:val="24"/>
        </w:rPr>
        <w:instrText xml:space="preserve"> SEQ Tabulka_č. \* ARABIC </w:instrText>
      </w:r>
      <w:r w:rsidR="00B3080B" w:rsidRPr="00026599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7</w:t>
      </w:r>
      <w:r w:rsidR="00B3080B" w:rsidRPr="00026599">
        <w:rPr>
          <w:b/>
          <w:i w:val="0"/>
          <w:color w:val="auto"/>
          <w:sz w:val="24"/>
          <w:szCs w:val="24"/>
        </w:rPr>
        <w:fldChar w:fldCharType="end"/>
      </w:r>
      <w:r w:rsidRPr="00026599">
        <w:rPr>
          <w:b/>
          <w:i w:val="0"/>
          <w:color w:val="auto"/>
          <w:sz w:val="24"/>
          <w:szCs w:val="24"/>
        </w:rPr>
        <w:t xml:space="preserve">: </w:t>
      </w:r>
      <w:r w:rsidR="00E078C2">
        <w:rPr>
          <w:b/>
          <w:i w:val="0"/>
          <w:color w:val="auto"/>
          <w:sz w:val="24"/>
          <w:szCs w:val="24"/>
        </w:rPr>
        <w:tab/>
      </w:r>
      <w:r>
        <w:rPr>
          <w:b/>
          <w:i w:val="0"/>
          <w:color w:val="auto"/>
          <w:sz w:val="24"/>
          <w:szCs w:val="24"/>
        </w:rPr>
        <w:t>Údaje o poplatnících podávajících DAP se základem daně pouze podle ustanovení § 6 a § 7 ZDP</w:t>
      </w:r>
    </w:p>
    <w:p w14:paraId="161EFA9C" w14:textId="4E95F0F0" w:rsidR="00C0073D" w:rsidRPr="002F1BAE" w:rsidRDefault="008A7BE3" w:rsidP="002F1BAE">
      <w:pPr>
        <w:spacing w:before="40" w:after="0" w:line="240" w:lineRule="auto"/>
        <w:ind w:left="567" w:hanging="567"/>
        <w:rPr>
          <w:sz w:val="20"/>
        </w:rPr>
      </w:pPr>
      <w:r>
        <w:rPr>
          <w:noProof/>
        </w:rPr>
        <w:object w:dxaOrig="1440" w:dyaOrig="1440" w14:anchorId="1856F38D">
          <v:shape id="_x0000_s1042" type="#_x0000_t75" style="position:absolute;left:0;text-align:left;margin-left:4443.45pt;margin-top:.3pt;width:455.15pt;height:151.5pt;z-index:251662336;mso-position-horizontal:right;mso-position-horizontal-relative:text;mso-position-vertical:absolute;mso-position-vertical-relative:text;mso-width-relative:page;mso-height-relative:page">
            <v:imagedata r:id="rId27" o:title=""/>
            <w10:wrap type="topAndBottom"/>
          </v:shape>
          <o:OLEObject Type="Embed" ProgID="Excel.Sheet.12" ShapeID="_x0000_s1042" DrawAspect="Content" ObjectID="_1564309634" r:id="rId28"/>
        </w:object>
      </w:r>
      <w:r w:rsidR="004B7279" w:rsidRPr="002F1BAE">
        <w:rPr>
          <w:b/>
          <w:sz w:val="20"/>
        </w:rPr>
        <w:t>Zdroj:</w:t>
      </w:r>
      <w:r w:rsidR="004E13E9" w:rsidRPr="002F1BAE">
        <w:rPr>
          <w:sz w:val="20"/>
        </w:rPr>
        <w:t xml:space="preserve"> </w:t>
      </w:r>
      <w:r w:rsidR="00C15311">
        <w:rPr>
          <w:sz w:val="20"/>
        </w:rPr>
        <w:t>d</w:t>
      </w:r>
      <w:r w:rsidR="00A460A5" w:rsidRPr="002F1BAE">
        <w:rPr>
          <w:sz w:val="20"/>
        </w:rPr>
        <w:t>ata z GFŘ.</w:t>
      </w:r>
    </w:p>
    <w:p w14:paraId="3D80F19D" w14:textId="4269BB33" w:rsidR="00C0073D" w:rsidRPr="002F1BAE" w:rsidRDefault="004B7279" w:rsidP="00E078C2">
      <w:pPr>
        <w:spacing w:after="0" w:line="240" w:lineRule="auto"/>
        <w:ind w:left="567" w:hanging="567"/>
        <w:jc w:val="both"/>
        <w:rPr>
          <w:sz w:val="20"/>
        </w:rPr>
      </w:pPr>
      <w:r w:rsidRPr="002F1BAE">
        <w:rPr>
          <w:b/>
          <w:sz w:val="20"/>
        </w:rPr>
        <w:t>Pozn.:</w:t>
      </w:r>
      <w:r w:rsidR="00055373" w:rsidRPr="002F1BAE">
        <w:rPr>
          <w:b/>
          <w:sz w:val="20"/>
        </w:rPr>
        <w:t xml:space="preserve"> </w:t>
      </w:r>
      <w:r w:rsidR="0030799D" w:rsidRPr="002F1BAE">
        <w:rPr>
          <w:sz w:val="20"/>
        </w:rPr>
        <w:t>P</w:t>
      </w:r>
      <w:r w:rsidRPr="002F1BAE">
        <w:rPr>
          <w:sz w:val="20"/>
        </w:rPr>
        <w:t>říjmy podle § 6 ZDP = příjmy DPFO ze závislé činnosti, příjmy podle § 7 ZDP = příjmy DPFO ze samostatné činnosti; DS = daňový subjekt.</w:t>
      </w:r>
    </w:p>
    <w:p w14:paraId="16C1DDB1" w14:textId="753BA78D" w:rsidR="00C0073D" w:rsidRDefault="004B7279" w:rsidP="00E078C2">
      <w:pPr>
        <w:spacing w:before="120" w:after="120" w:line="240" w:lineRule="auto"/>
        <w:jc w:val="both"/>
        <w:rPr>
          <w:sz w:val="24"/>
          <w:szCs w:val="24"/>
        </w:rPr>
      </w:pPr>
      <w:r w:rsidRPr="009E7718">
        <w:rPr>
          <w:sz w:val="24"/>
          <w:szCs w:val="24"/>
        </w:rPr>
        <w:lastRenderedPageBreak/>
        <w:t>V roce 2015 průměrná hodnota základu daně u poplatníků, kteří vykázali</w:t>
      </w:r>
      <w:r>
        <w:rPr>
          <w:sz w:val="24"/>
          <w:szCs w:val="24"/>
        </w:rPr>
        <w:t xml:space="preserve"> základ daně pouze podle § 6 ZDP činila 456 472 Kč</w:t>
      </w:r>
      <w:r w:rsidRPr="009E7718">
        <w:rPr>
          <w:sz w:val="24"/>
          <w:szCs w:val="24"/>
        </w:rPr>
        <w:t xml:space="preserve">, průměrná hodnota daně v roce 2015 činila u těchto poplatníků 64 023 Kč. Přitom rozdíl na daňovém bonusu vykázali v 155 </w:t>
      </w:r>
      <w:r>
        <w:rPr>
          <w:sz w:val="24"/>
          <w:szCs w:val="24"/>
        </w:rPr>
        <w:t>668 DAP v hodnotě 1 662 239 891 </w:t>
      </w:r>
      <w:r w:rsidRPr="009E7718">
        <w:rPr>
          <w:sz w:val="24"/>
          <w:szCs w:val="24"/>
        </w:rPr>
        <w:t>Kč.</w:t>
      </w:r>
      <w:r>
        <w:rPr>
          <w:sz w:val="24"/>
          <w:szCs w:val="24"/>
        </w:rPr>
        <w:t xml:space="preserve"> Nejčastějšími důvody pro podávání DAP k DPFO u poplatníků s dílčím základem daně pouze s příjmy ze závislé činnosti (§ 6 ZDP) byly zejména: dosažení příjmů ze závislé činnosti od více zaměstnavatelů současně, </w:t>
      </w:r>
      <w:r w:rsidRPr="0009565B">
        <w:rPr>
          <w:sz w:val="24"/>
          <w:szCs w:val="24"/>
        </w:rPr>
        <w:t>dosažení limitu pro uplatnění solidárního zvýšení daně</w:t>
      </w:r>
      <w:r>
        <w:rPr>
          <w:sz w:val="24"/>
          <w:szCs w:val="24"/>
        </w:rPr>
        <w:t xml:space="preserve">, odmítnutí provést roční zúčtování daně zaměstnavatelem, nepředložení podkladů pro provedení ročního zúčtování daně zaměstnavateli, nebo poplatníci nepožádali o provedení ročního zúčtování daně zaměstnavatelem. </w:t>
      </w:r>
    </w:p>
    <w:p w14:paraId="2F6D595E" w14:textId="20F74C73" w:rsidR="00C0073D" w:rsidRDefault="004B7279" w:rsidP="00E078C2">
      <w:pPr>
        <w:spacing w:before="120" w:after="120" w:line="240" w:lineRule="auto"/>
        <w:jc w:val="both"/>
        <w:rPr>
          <w:b/>
          <w:iCs/>
          <w:sz w:val="24"/>
          <w:szCs w:val="24"/>
        </w:rPr>
      </w:pPr>
      <w:r w:rsidRPr="009E7718">
        <w:rPr>
          <w:sz w:val="24"/>
          <w:szCs w:val="24"/>
        </w:rPr>
        <w:t xml:space="preserve">Průměrná hodnota základu daně u poplatníků, kteří vykázali základ daně pouze podle </w:t>
      </w:r>
      <w:r>
        <w:rPr>
          <w:sz w:val="24"/>
          <w:szCs w:val="24"/>
        </w:rPr>
        <w:t xml:space="preserve">ustanovení </w:t>
      </w:r>
      <w:r w:rsidRPr="009E7718">
        <w:rPr>
          <w:sz w:val="24"/>
          <w:szCs w:val="24"/>
        </w:rPr>
        <w:t xml:space="preserve">§ 7 ZDP, činila v roce 2015 jen 157 921 Kč, průměrná hodnota daně v roce 2015 činila u těchto poplatníků 34 638 Kč. Přitom rozdíl na daňovém bonusu vykázali v 70 220 DAP v hodnotě </w:t>
      </w:r>
      <w:r>
        <w:rPr>
          <w:sz w:val="24"/>
          <w:szCs w:val="24"/>
        </w:rPr>
        <w:t xml:space="preserve">1 530 522 351 Kč. </w:t>
      </w:r>
      <w:r w:rsidRPr="009E7718">
        <w:rPr>
          <w:sz w:val="24"/>
          <w:szCs w:val="24"/>
        </w:rPr>
        <w:t xml:space="preserve">NKÚ zjistil, že poplatníci s příjmy pouze podle </w:t>
      </w:r>
      <w:r>
        <w:rPr>
          <w:sz w:val="24"/>
          <w:szCs w:val="24"/>
        </w:rPr>
        <w:t xml:space="preserve">ustanovení </w:t>
      </w:r>
      <w:r w:rsidRPr="009E7718">
        <w:rPr>
          <w:sz w:val="24"/>
          <w:szCs w:val="24"/>
        </w:rPr>
        <w:t>§</w:t>
      </w:r>
      <w:r w:rsidR="002F1BAE">
        <w:rPr>
          <w:sz w:val="24"/>
          <w:szCs w:val="24"/>
        </w:rPr>
        <w:t> </w:t>
      </w:r>
      <w:r w:rsidRPr="009E7718">
        <w:rPr>
          <w:sz w:val="24"/>
          <w:szCs w:val="24"/>
        </w:rPr>
        <w:t xml:space="preserve">7 ZDP vykázali v kontrolovaném období v </w:t>
      </w:r>
      <w:r w:rsidRPr="004C101D">
        <w:rPr>
          <w:sz w:val="24"/>
          <w:szCs w:val="24"/>
        </w:rPr>
        <w:t>průměru o cca 77 % nižší základ daně</w:t>
      </w:r>
      <w:r>
        <w:rPr>
          <w:sz w:val="24"/>
          <w:szCs w:val="24"/>
        </w:rPr>
        <w:t xml:space="preserve"> než poplatníci s </w:t>
      </w:r>
      <w:r w:rsidRPr="009E7718">
        <w:rPr>
          <w:sz w:val="24"/>
          <w:szCs w:val="24"/>
        </w:rPr>
        <w:t xml:space="preserve">příjmy pouze podle </w:t>
      </w:r>
      <w:r>
        <w:rPr>
          <w:sz w:val="24"/>
          <w:szCs w:val="24"/>
        </w:rPr>
        <w:t xml:space="preserve">ustanovení </w:t>
      </w:r>
      <w:r w:rsidRPr="009E7718">
        <w:rPr>
          <w:sz w:val="24"/>
          <w:szCs w:val="24"/>
        </w:rPr>
        <w:t>§ 6 tohoto zákona.</w:t>
      </w:r>
      <w:r>
        <w:rPr>
          <w:sz w:val="24"/>
          <w:szCs w:val="24"/>
        </w:rPr>
        <w:t xml:space="preserve"> </w:t>
      </w:r>
    </w:p>
    <w:p w14:paraId="110A352E" w14:textId="3BB200F0" w:rsidR="00C0073D" w:rsidRPr="00026599" w:rsidRDefault="008A7BE3" w:rsidP="00563271">
      <w:pPr>
        <w:pStyle w:val="Titulek"/>
        <w:keepNext/>
        <w:spacing w:after="0"/>
        <w:rPr>
          <w:b/>
          <w:i w:val="0"/>
          <w:color w:val="auto"/>
          <w:sz w:val="24"/>
          <w:szCs w:val="24"/>
        </w:rPr>
      </w:pPr>
      <w:r>
        <w:rPr>
          <w:noProof/>
        </w:rPr>
        <w:object w:dxaOrig="1440" w:dyaOrig="1440" w14:anchorId="6CD6804D">
          <v:shape id="_x0000_s1043" type="#_x0000_t75" style="position:absolute;margin-left:2757.95pt;margin-top:16.5pt;width:455.1pt;height:84.45pt;z-index:251664384;mso-position-horizontal:right;mso-position-horizontal-relative:text;mso-position-vertical:absolute;mso-position-vertical-relative:text;mso-width-relative:page;mso-height-relative:page">
            <v:imagedata r:id="rId29" o:title=""/>
            <w10:wrap type="topAndBottom"/>
          </v:shape>
          <o:OLEObject Type="Embed" ProgID="Excel.Sheet.12" ShapeID="_x0000_s1043" DrawAspect="Content" ObjectID="_1564309635" r:id="rId30"/>
        </w:object>
      </w:r>
      <w:r w:rsidR="004B7279" w:rsidRPr="00775339">
        <w:rPr>
          <w:b/>
          <w:i w:val="0"/>
          <w:color w:val="auto"/>
          <w:sz w:val="24"/>
          <w:szCs w:val="24"/>
        </w:rPr>
        <w:t xml:space="preserve">Tabulka č. </w:t>
      </w:r>
      <w:r w:rsidR="00B3080B" w:rsidRPr="00775339">
        <w:rPr>
          <w:b/>
          <w:i w:val="0"/>
          <w:color w:val="auto"/>
          <w:sz w:val="24"/>
          <w:szCs w:val="24"/>
        </w:rPr>
        <w:fldChar w:fldCharType="begin"/>
      </w:r>
      <w:r w:rsidR="004B7279" w:rsidRPr="00775339">
        <w:rPr>
          <w:b/>
          <w:i w:val="0"/>
          <w:color w:val="auto"/>
          <w:sz w:val="24"/>
          <w:szCs w:val="24"/>
        </w:rPr>
        <w:instrText xml:space="preserve"> SEQ Tabulka_č. \* ARABIC </w:instrText>
      </w:r>
      <w:r w:rsidR="00B3080B" w:rsidRPr="00775339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8</w:t>
      </w:r>
      <w:r w:rsidR="00B3080B" w:rsidRPr="00775339">
        <w:rPr>
          <w:b/>
          <w:i w:val="0"/>
          <w:color w:val="auto"/>
          <w:sz w:val="24"/>
          <w:szCs w:val="24"/>
        </w:rPr>
        <w:fldChar w:fldCharType="end"/>
      </w:r>
      <w:r w:rsidR="004B7279">
        <w:rPr>
          <w:b/>
          <w:i w:val="0"/>
          <w:color w:val="auto"/>
          <w:sz w:val="24"/>
          <w:szCs w:val="24"/>
        </w:rPr>
        <w:t>: Daňové zatížení a podíl vyplacených daňových bonusů</w:t>
      </w:r>
    </w:p>
    <w:p w14:paraId="4FA6EADE" w14:textId="69491062" w:rsidR="00C0073D" w:rsidRPr="00563271" w:rsidRDefault="004B7279" w:rsidP="00563271">
      <w:pPr>
        <w:spacing w:before="40" w:after="0" w:line="240" w:lineRule="auto"/>
        <w:ind w:left="567" w:hanging="567"/>
        <w:rPr>
          <w:sz w:val="20"/>
        </w:rPr>
      </w:pPr>
      <w:r w:rsidRPr="00563271">
        <w:rPr>
          <w:b/>
          <w:sz w:val="20"/>
        </w:rPr>
        <w:t>Zdroj:</w:t>
      </w:r>
      <w:r w:rsidR="00A460A5" w:rsidRPr="00563271">
        <w:rPr>
          <w:sz w:val="20"/>
        </w:rPr>
        <w:t xml:space="preserve"> </w:t>
      </w:r>
      <w:r w:rsidR="00C15311">
        <w:rPr>
          <w:sz w:val="20"/>
        </w:rPr>
        <w:t>d</w:t>
      </w:r>
      <w:r w:rsidR="00A460A5" w:rsidRPr="00563271">
        <w:rPr>
          <w:sz w:val="20"/>
        </w:rPr>
        <w:t>ata z GFŘ, vlastní zpracování NKÚ.</w:t>
      </w:r>
    </w:p>
    <w:p w14:paraId="518D3996" w14:textId="095FD11F" w:rsidR="00C0073D" w:rsidRPr="00563271" w:rsidRDefault="004B7279" w:rsidP="00E078C2">
      <w:pPr>
        <w:spacing w:after="0" w:line="240" w:lineRule="auto"/>
        <w:ind w:left="567" w:hanging="567"/>
        <w:jc w:val="both"/>
        <w:rPr>
          <w:sz w:val="20"/>
        </w:rPr>
      </w:pPr>
      <w:r w:rsidRPr="00563271">
        <w:rPr>
          <w:b/>
          <w:sz w:val="20"/>
        </w:rPr>
        <w:t xml:space="preserve">Pozn.: </w:t>
      </w:r>
      <w:r w:rsidRPr="00563271">
        <w:rPr>
          <w:sz w:val="20"/>
        </w:rPr>
        <w:t>Míra daňového zatížení = (daň po uplatnění slev/dílčí základ daně) x 100; podíl daňového bonusu na základu daně = (rozdíl na daňovém bonusu/dílčí základ daně) x 100; DB = daňový bonus; ZD = základ daně.</w:t>
      </w:r>
    </w:p>
    <w:p w14:paraId="31E721C2" w14:textId="62E8E23C" w:rsidR="00C0073D" w:rsidRDefault="004B7279" w:rsidP="00E078C2">
      <w:pPr>
        <w:spacing w:before="120" w:after="120" w:line="240" w:lineRule="auto"/>
        <w:jc w:val="both"/>
        <w:rPr>
          <w:sz w:val="24"/>
          <w:szCs w:val="24"/>
        </w:rPr>
      </w:pPr>
      <w:r w:rsidRPr="00183464">
        <w:rPr>
          <w:sz w:val="24"/>
          <w:szCs w:val="24"/>
        </w:rPr>
        <w:t xml:space="preserve">Podíl daňového bonusu na daňovém základu u poplatníků se základem daně pouze podle </w:t>
      </w:r>
      <w:r>
        <w:rPr>
          <w:sz w:val="24"/>
          <w:szCs w:val="24"/>
        </w:rPr>
        <w:t xml:space="preserve">ustanovení </w:t>
      </w:r>
      <w:r w:rsidRPr="00183464">
        <w:rPr>
          <w:sz w:val="24"/>
          <w:szCs w:val="24"/>
        </w:rPr>
        <w:t xml:space="preserve">§ 7 </w:t>
      </w:r>
      <w:r w:rsidRPr="00716ED1">
        <w:rPr>
          <w:sz w:val="24"/>
          <w:szCs w:val="24"/>
        </w:rPr>
        <w:t xml:space="preserve">ZDP činil průměrně 2,37 % a u poplatníků se základem daně pouze podle </w:t>
      </w:r>
      <w:r>
        <w:rPr>
          <w:sz w:val="24"/>
          <w:szCs w:val="24"/>
        </w:rPr>
        <w:t xml:space="preserve">ustanovení </w:t>
      </w:r>
      <w:r w:rsidRPr="00716ED1">
        <w:rPr>
          <w:sz w:val="24"/>
          <w:szCs w:val="24"/>
        </w:rPr>
        <w:t>§ 6 ZDP činil 0,44</w:t>
      </w:r>
      <w:r>
        <w:rPr>
          <w:sz w:val="24"/>
          <w:szCs w:val="24"/>
        </w:rPr>
        <w:t> </w:t>
      </w:r>
      <w:r w:rsidRPr="00716ED1">
        <w:rPr>
          <w:sz w:val="24"/>
          <w:szCs w:val="24"/>
        </w:rPr>
        <w:t xml:space="preserve">%, </w:t>
      </w:r>
      <w:r w:rsidRPr="00183464">
        <w:rPr>
          <w:sz w:val="24"/>
          <w:szCs w:val="24"/>
        </w:rPr>
        <w:t>tj. daňové zvýhodnění uplatňovali ve větším rozsahu</w:t>
      </w:r>
      <w:r w:rsidR="00563271">
        <w:rPr>
          <w:sz w:val="24"/>
          <w:szCs w:val="24"/>
        </w:rPr>
        <w:t xml:space="preserve"> (cca </w:t>
      </w:r>
      <w:r>
        <w:rPr>
          <w:sz w:val="24"/>
          <w:szCs w:val="24"/>
        </w:rPr>
        <w:t>5krát)</w:t>
      </w:r>
      <w:r w:rsidRPr="00183464">
        <w:rPr>
          <w:sz w:val="24"/>
          <w:szCs w:val="24"/>
        </w:rPr>
        <w:t xml:space="preserve"> poplatníci s dílčím základem daně pouze podle </w:t>
      </w:r>
      <w:r>
        <w:rPr>
          <w:sz w:val="24"/>
          <w:szCs w:val="24"/>
        </w:rPr>
        <w:t xml:space="preserve">ustanovení </w:t>
      </w:r>
      <w:r w:rsidRPr="00183464">
        <w:rPr>
          <w:sz w:val="24"/>
          <w:szCs w:val="24"/>
        </w:rPr>
        <w:t xml:space="preserve">§ 7 ZDP. Meziroční pokles podílu u poplatníků se základem daně pouze podle </w:t>
      </w:r>
      <w:r>
        <w:rPr>
          <w:sz w:val="24"/>
          <w:szCs w:val="24"/>
        </w:rPr>
        <w:t xml:space="preserve">ustanovení </w:t>
      </w:r>
      <w:r w:rsidRPr="00183464">
        <w:rPr>
          <w:sz w:val="24"/>
          <w:szCs w:val="24"/>
        </w:rPr>
        <w:t>§ 7 ZDP byl ovlivněn omezením uplatňování slev a daňového zvýhodnění.</w:t>
      </w:r>
      <w:r w:rsidR="00025681">
        <w:rPr>
          <w:sz w:val="24"/>
          <w:szCs w:val="24"/>
        </w:rPr>
        <w:t xml:space="preserve"> </w:t>
      </w:r>
      <w:r w:rsidRPr="009E7718">
        <w:rPr>
          <w:sz w:val="24"/>
          <w:szCs w:val="24"/>
        </w:rPr>
        <w:t xml:space="preserve">Meziroční pokles podílu </w:t>
      </w:r>
      <w:r>
        <w:rPr>
          <w:sz w:val="24"/>
          <w:szCs w:val="24"/>
        </w:rPr>
        <w:t>vyplaceného daňového bonusu na základu daně u poplatníků s příjmy</w:t>
      </w:r>
      <w:r w:rsidRPr="009E7718">
        <w:rPr>
          <w:sz w:val="24"/>
          <w:szCs w:val="24"/>
        </w:rPr>
        <w:t xml:space="preserve"> pouze podle </w:t>
      </w:r>
      <w:r>
        <w:rPr>
          <w:sz w:val="24"/>
          <w:szCs w:val="24"/>
        </w:rPr>
        <w:t xml:space="preserve">ustanovení </w:t>
      </w:r>
      <w:r w:rsidRPr="009E7718">
        <w:rPr>
          <w:sz w:val="24"/>
          <w:szCs w:val="24"/>
        </w:rPr>
        <w:t>§ 7 ZDP byl ovlivněn omezením uplatňování slev a daňového zvýhodnění.</w:t>
      </w:r>
    </w:p>
    <w:p w14:paraId="0B06E965" w14:textId="1390B660" w:rsidR="00C0073D" w:rsidRPr="00963B73" w:rsidRDefault="004B7279" w:rsidP="00E078C2">
      <w:pPr>
        <w:spacing w:before="12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NKÚ porovnáním kontrolovaných FÚ zjistil, že nejvyšší základy daně vykazovali poplatníci u</w:t>
      </w:r>
      <w:r w:rsidR="00563271">
        <w:rPr>
          <w:sz w:val="24"/>
          <w:szCs w:val="24"/>
        </w:rPr>
        <w:t> </w:t>
      </w:r>
      <w:r>
        <w:rPr>
          <w:sz w:val="24"/>
          <w:szCs w:val="24"/>
        </w:rPr>
        <w:t xml:space="preserve">FÚ pro hl. m. Prahu, a to jak v DAP u DPFO ze závislé činnosti, tak v DAP u DPFO z přiznání. Nejnižší základy daně vykazovali poplatníci u FÚ </w:t>
      </w:r>
      <w:r w:rsidR="00C70AFF">
        <w:rPr>
          <w:sz w:val="24"/>
          <w:szCs w:val="24"/>
        </w:rPr>
        <w:t xml:space="preserve">pro </w:t>
      </w:r>
      <w:r>
        <w:rPr>
          <w:sz w:val="24"/>
          <w:szCs w:val="24"/>
        </w:rPr>
        <w:t xml:space="preserve">Moravskoslezský kraj. </w:t>
      </w:r>
    </w:p>
    <w:p w14:paraId="233479F8" w14:textId="30221CF1" w:rsidR="00C0073D" w:rsidRDefault="004B7279" w:rsidP="00C0073D">
      <w:pPr>
        <w:pStyle w:val="Titulek"/>
        <w:keepNext/>
        <w:keepLines/>
        <w:spacing w:after="0"/>
        <w:rPr>
          <w:b/>
          <w:i w:val="0"/>
          <w:color w:val="auto"/>
          <w:sz w:val="24"/>
          <w:szCs w:val="24"/>
        </w:rPr>
      </w:pPr>
      <w:r w:rsidRPr="005D4567">
        <w:rPr>
          <w:b/>
          <w:i w:val="0"/>
          <w:color w:val="auto"/>
          <w:sz w:val="24"/>
          <w:szCs w:val="24"/>
        </w:rPr>
        <w:lastRenderedPageBreak/>
        <w:t xml:space="preserve">Graf č. </w:t>
      </w:r>
      <w:r w:rsidR="00B3080B" w:rsidRPr="005D4567">
        <w:rPr>
          <w:b/>
          <w:i w:val="0"/>
          <w:color w:val="auto"/>
          <w:sz w:val="24"/>
          <w:szCs w:val="24"/>
        </w:rPr>
        <w:fldChar w:fldCharType="begin"/>
      </w:r>
      <w:r w:rsidRPr="005D4567">
        <w:rPr>
          <w:b/>
          <w:i w:val="0"/>
          <w:color w:val="auto"/>
          <w:sz w:val="24"/>
          <w:szCs w:val="24"/>
        </w:rPr>
        <w:instrText xml:space="preserve"> SEQ Graf_č. \* ARABIC </w:instrText>
      </w:r>
      <w:r w:rsidR="00B3080B" w:rsidRPr="005D4567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6</w:t>
      </w:r>
      <w:r w:rsidR="00B3080B" w:rsidRPr="005D4567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>: Průměrná výše základů daně vykázaných v DAP u kontrolovaných FÚ v roce 2015</w:t>
      </w:r>
    </w:p>
    <w:p w14:paraId="2F37F45D" w14:textId="77777777" w:rsidR="00C0073D" w:rsidRDefault="004B7279" w:rsidP="00C0073D">
      <w:pPr>
        <w:keepLines/>
      </w:pPr>
      <w:r>
        <w:rPr>
          <w:noProof/>
          <w:lang w:eastAsia="cs-CZ"/>
        </w:rPr>
        <w:drawing>
          <wp:inline distT="0" distB="0" distL="0" distR="0" wp14:anchorId="510519B0" wp14:editId="4BB743FD">
            <wp:extent cx="5743575" cy="3294993"/>
            <wp:effectExtent l="0" t="0" r="9525" b="1270"/>
            <wp:docPr id="21" name="Graf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10A66263" w14:textId="330680B4" w:rsidR="00C0073D" w:rsidRPr="00040E26" w:rsidRDefault="004B7279" w:rsidP="00C0073D">
      <w:pPr>
        <w:keepLines/>
        <w:rPr>
          <w:rFonts w:cstheme="minorHAnsi"/>
          <w:sz w:val="20"/>
          <w:szCs w:val="20"/>
        </w:rPr>
      </w:pPr>
      <w:r w:rsidRPr="00040E26">
        <w:rPr>
          <w:rFonts w:cstheme="minorHAnsi"/>
          <w:b/>
          <w:sz w:val="20"/>
          <w:szCs w:val="20"/>
        </w:rPr>
        <w:t>Zdroj:</w:t>
      </w:r>
      <w:r w:rsidR="00C0073D">
        <w:rPr>
          <w:rFonts w:cstheme="minorHAnsi"/>
          <w:sz w:val="20"/>
          <w:szCs w:val="20"/>
        </w:rPr>
        <w:t xml:space="preserve"> </w:t>
      </w:r>
      <w:r w:rsidR="009204EA">
        <w:rPr>
          <w:rFonts w:cstheme="minorHAnsi"/>
          <w:sz w:val="20"/>
          <w:szCs w:val="20"/>
        </w:rPr>
        <w:t>d</w:t>
      </w:r>
      <w:r w:rsidR="00C0073D">
        <w:rPr>
          <w:rFonts w:cstheme="minorHAnsi"/>
          <w:sz w:val="20"/>
          <w:szCs w:val="20"/>
        </w:rPr>
        <w:t>ata z FÚ a GFŘ, vlastní zpracování NKÚ.</w:t>
      </w:r>
    </w:p>
    <w:p w14:paraId="148DB3E7" w14:textId="2978FE54" w:rsidR="00C0073D" w:rsidRPr="00E078C2" w:rsidRDefault="00E078C2" w:rsidP="00E078C2">
      <w:pPr>
        <w:spacing w:line="276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3. </w:t>
      </w:r>
      <w:r w:rsidR="004B7279" w:rsidRPr="00E078C2">
        <w:rPr>
          <w:rFonts w:eastAsia="Times New Roman" w:cs="Times New Roman"/>
          <w:b/>
          <w:sz w:val="24"/>
          <w:szCs w:val="24"/>
        </w:rPr>
        <w:t>Efektivnost a nákladovost správy DPFO</w:t>
      </w:r>
    </w:p>
    <w:p w14:paraId="1B3B6150" w14:textId="2992D3D1" w:rsidR="00C0073D" w:rsidRDefault="004B7279" w:rsidP="00C0073D">
      <w:pPr>
        <w:pStyle w:val="Titulek"/>
        <w:keepNext/>
        <w:keepLines/>
        <w:spacing w:after="0"/>
        <w:rPr>
          <w:b/>
          <w:i w:val="0"/>
          <w:color w:val="auto"/>
          <w:sz w:val="24"/>
          <w:szCs w:val="24"/>
        </w:rPr>
      </w:pPr>
      <w:r w:rsidRPr="0011527E">
        <w:rPr>
          <w:b/>
          <w:i w:val="0"/>
          <w:color w:val="auto"/>
          <w:sz w:val="24"/>
          <w:szCs w:val="24"/>
        </w:rPr>
        <w:t xml:space="preserve">Tabulka č. </w:t>
      </w:r>
      <w:r w:rsidR="00B3080B" w:rsidRPr="0011527E">
        <w:rPr>
          <w:b/>
          <w:i w:val="0"/>
          <w:color w:val="auto"/>
          <w:sz w:val="24"/>
          <w:szCs w:val="24"/>
        </w:rPr>
        <w:fldChar w:fldCharType="begin"/>
      </w:r>
      <w:r w:rsidRPr="0011527E">
        <w:rPr>
          <w:b/>
          <w:i w:val="0"/>
          <w:color w:val="auto"/>
          <w:sz w:val="24"/>
          <w:szCs w:val="24"/>
        </w:rPr>
        <w:instrText xml:space="preserve"> SEQ Tabulka_č. \* ARABIC </w:instrText>
      </w:r>
      <w:r w:rsidR="00B3080B" w:rsidRPr="0011527E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9</w:t>
      </w:r>
      <w:r w:rsidR="00B3080B" w:rsidRPr="0011527E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 xml:space="preserve">: </w:t>
      </w:r>
      <w:r w:rsidRPr="0011527E">
        <w:rPr>
          <w:b/>
          <w:i w:val="0"/>
          <w:color w:val="auto"/>
          <w:sz w:val="24"/>
          <w:szCs w:val="24"/>
        </w:rPr>
        <w:t>Efektivnost ve vztahu k výdajům na správu DPFO – příjmy na 1 Kč výdajů</w:t>
      </w:r>
      <w:r>
        <w:rPr>
          <w:b/>
          <w:i w:val="0"/>
          <w:color w:val="auto"/>
          <w:sz w:val="24"/>
          <w:szCs w:val="24"/>
        </w:rPr>
        <w:t xml:space="preserve"> v Kč</w:t>
      </w:r>
    </w:p>
    <w:bookmarkStart w:id="5" w:name="_MON_1557817378"/>
    <w:bookmarkEnd w:id="5"/>
    <w:p w14:paraId="5010FCF9" w14:textId="1B8451F5" w:rsidR="00C0073D" w:rsidRPr="00040E26" w:rsidRDefault="004B7279" w:rsidP="00C0073D">
      <w:pPr>
        <w:rPr>
          <w:rFonts w:cstheme="minorHAnsi"/>
          <w:sz w:val="20"/>
          <w:szCs w:val="20"/>
        </w:rPr>
      </w:pPr>
      <w:r>
        <w:object w:dxaOrig="9075" w:dyaOrig="1440" w14:anchorId="4816E3D3">
          <v:shape id="_x0000_i1033" type="#_x0000_t75" style="width:454.5pt;height:1in" o:ole="">
            <v:imagedata r:id="rId32" o:title=""/>
          </v:shape>
          <o:OLEObject Type="Embed" ProgID="Excel.Sheet.12" ShapeID="_x0000_i1033" DrawAspect="Content" ObjectID="_1564309627" r:id="rId33"/>
        </w:object>
      </w:r>
      <w:r w:rsidRPr="00040E26">
        <w:rPr>
          <w:rFonts w:cstheme="minorHAnsi"/>
          <w:b/>
          <w:sz w:val="20"/>
          <w:szCs w:val="20"/>
        </w:rPr>
        <w:t>Zdroj:</w:t>
      </w:r>
      <w:r w:rsidR="00C70AFF">
        <w:rPr>
          <w:rFonts w:cstheme="minorHAnsi"/>
          <w:sz w:val="20"/>
          <w:szCs w:val="20"/>
        </w:rPr>
        <w:t xml:space="preserve"> </w:t>
      </w:r>
      <w:r w:rsidR="009204EA">
        <w:rPr>
          <w:rFonts w:cstheme="minorHAnsi"/>
          <w:sz w:val="20"/>
          <w:szCs w:val="20"/>
        </w:rPr>
        <w:t>d</w:t>
      </w:r>
      <w:r w:rsidR="00C70AFF">
        <w:rPr>
          <w:rFonts w:cstheme="minorHAnsi"/>
          <w:sz w:val="20"/>
          <w:szCs w:val="20"/>
        </w:rPr>
        <w:t>ata z GFŘ, vlastní zpracování NKÚ.</w:t>
      </w:r>
    </w:p>
    <w:p w14:paraId="36C5BE2A" w14:textId="12ABF8A7" w:rsidR="00C0073D" w:rsidRDefault="004B7279" w:rsidP="00E078C2">
      <w:pPr>
        <w:pStyle w:val="Protokol"/>
        <w:spacing w:before="120" w:line="240" w:lineRule="auto"/>
      </w:pPr>
      <w:r w:rsidRPr="00FB507A">
        <w:t xml:space="preserve">Pro sledování a vyhodnocování výkonnosti </w:t>
      </w:r>
      <w:r w:rsidR="008D3158">
        <w:t>FS ČR</w:t>
      </w:r>
      <w:r w:rsidRPr="00FB507A">
        <w:t xml:space="preserve"> existuje několik hledisek, mj. míra výdajů při výběru daní. Toto je možné provést kvantifikací poměru výnosů daňového systému </w:t>
      </w:r>
      <w:r w:rsidR="00E36CDC">
        <w:t>a</w:t>
      </w:r>
      <w:r w:rsidRPr="00FB507A">
        <w:t> náklad</w:t>
      </w:r>
      <w:r w:rsidR="00E36CDC">
        <w:t>ů</w:t>
      </w:r>
      <w:r w:rsidRPr="00FB507A">
        <w:t>, které jsou potřebné na fungování tohoto systému</w:t>
      </w:r>
      <w:r>
        <w:t xml:space="preserve"> (viz příloha č. 3)</w:t>
      </w:r>
      <w:r w:rsidRPr="00FB507A">
        <w:t xml:space="preserve">. Tuto metodu používá FS ČR v každoročních zprávách o její činnosti. </w:t>
      </w:r>
    </w:p>
    <w:p w14:paraId="083C3912" w14:textId="3E48F24E" w:rsidR="00C0073D" w:rsidRPr="00AF5422" w:rsidRDefault="0070334B" w:rsidP="00E078C2">
      <w:pPr>
        <w:spacing w:before="120" w:after="120" w:line="240" w:lineRule="auto"/>
        <w:jc w:val="both"/>
        <w:rPr>
          <w:sz w:val="24"/>
          <w:szCs w:val="24"/>
          <w:highlight w:val="yellow"/>
        </w:rPr>
      </w:pPr>
      <w:r>
        <w:rPr>
          <w:rFonts w:eastAsia="Times New Roman" w:cs="Times New Roman"/>
          <w:sz w:val="24"/>
          <w:szCs w:val="24"/>
        </w:rPr>
        <w:t>E</w:t>
      </w:r>
      <w:r w:rsidR="004B7279" w:rsidRPr="00AF5422">
        <w:rPr>
          <w:rFonts w:eastAsia="Times New Roman" w:cs="Times New Roman"/>
          <w:sz w:val="24"/>
          <w:szCs w:val="24"/>
        </w:rPr>
        <w:t xml:space="preserve">fektivnost správy DPFO ze závislé činnosti je ovlivněna přenesením podstatné části povinností na plátce daně, tedy až do okamžiku před vyměřením daně. </w:t>
      </w:r>
      <w:r w:rsidR="004B7279" w:rsidRPr="00AF5422">
        <w:rPr>
          <w:sz w:val="24"/>
          <w:szCs w:val="24"/>
        </w:rPr>
        <w:t xml:space="preserve">Plátci daně odvádějí na účet správce daně měsíční zálohy, které ovlivňují výši inkasa této daně. </w:t>
      </w:r>
      <w:r w:rsidR="004B7279" w:rsidRPr="00AF5422">
        <w:rPr>
          <w:rFonts w:eastAsia="Times New Roman" w:cs="Times New Roman"/>
          <w:sz w:val="24"/>
          <w:szCs w:val="24"/>
        </w:rPr>
        <w:t>Průměrné</w:t>
      </w:r>
      <w:r w:rsidR="004B7279" w:rsidRPr="00DE2213">
        <w:rPr>
          <w:rFonts w:eastAsia="Times New Roman" w:cs="Times New Roman"/>
          <w:sz w:val="24"/>
          <w:szCs w:val="24"/>
        </w:rPr>
        <w:t xml:space="preserve"> výdaje na správu vyměřené</w:t>
      </w:r>
      <w:r w:rsidR="0066104A">
        <w:rPr>
          <w:rFonts w:eastAsia="Times New Roman" w:cs="Times New Roman"/>
          <w:sz w:val="24"/>
          <w:szCs w:val="24"/>
        </w:rPr>
        <w:t xml:space="preserve"> daně z</w:t>
      </w:r>
      <w:r w:rsidR="004B7279" w:rsidRPr="00DE2213">
        <w:rPr>
          <w:rFonts w:eastAsia="Times New Roman" w:cs="Times New Roman"/>
          <w:sz w:val="24"/>
          <w:szCs w:val="24"/>
        </w:rPr>
        <w:t xml:space="preserve"> 1 DAP v roce 2015 činily 352,15 Kč </w:t>
      </w:r>
      <w:r w:rsidR="004B7279">
        <w:rPr>
          <w:rFonts w:eastAsia="Times New Roman" w:cs="Times New Roman"/>
          <w:sz w:val="24"/>
          <w:szCs w:val="24"/>
        </w:rPr>
        <w:t>a NKÚ</w:t>
      </w:r>
      <w:r w:rsidR="004B7279" w:rsidRPr="00DE2213">
        <w:rPr>
          <w:rFonts w:eastAsia="Times New Roman" w:cs="Times New Roman"/>
          <w:sz w:val="24"/>
          <w:szCs w:val="24"/>
        </w:rPr>
        <w:t xml:space="preserve"> je stanovil jako poměr celkových nákladů na správu DPFO z přiznání v roce 2015 a počtu vyměřených DAP. NKÚ stanovil odhad počtu poplatník</w:t>
      </w:r>
      <w:r w:rsidR="004B7279">
        <w:rPr>
          <w:rFonts w:eastAsia="Times New Roman" w:cs="Times New Roman"/>
          <w:sz w:val="24"/>
          <w:szCs w:val="24"/>
        </w:rPr>
        <w:t xml:space="preserve">ů, kterým roční zúčtování daně </w:t>
      </w:r>
      <w:r w:rsidR="004B7279" w:rsidRPr="00DE2213">
        <w:rPr>
          <w:rFonts w:eastAsia="Times New Roman" w:cs="Times New Roman"/>
          <w:sz w:val="24"/>
          <w:szCs w:val="24"/>
        </w:rPr>
        <w:t xml:space="preserve">za zdaňovací období 2015 zpracoval plátce (tj. </w:t>
      </w:r>
      <w:r w:rsidR="004B7279">
        <w:rPr>
          <w:rFonts w:eastAsia="Times New Roman" w:cs="Times New Roman"/>
          <w:sz w:val="24"/>
          <w:szCs w:val="24"/>
        </w:rPr>
        <w:t xml:space="preserve">kteří </w:t>
      </w:r>
      <w:r w:rsidR="004B7279" w:rsidRPr="00DE2213">
        <w:rPr>
          <w:rFonts w:eastAsia="Times New Roman" w:cs="Times New Roman"/>
          <w:sz w:val="24"/>
          <w:szCs w:val="24"/>
        </w:rPr>
        <w:t>nepodali DAP) ve výši 2 693 335</w:t>
      </w:r>
      <w:r w:rsidR="00E757C1">
        <w:rPr>
          <w:rStyle w:val="Znakapoznpodarou"/>
          <w:rFonts w:eastAsia="Times New Roman" w:cs="Times New Roman"/>
          <w:sz w:val="24"/>
          <w:szCs w:val="24"/>
        </w:rPr>
        <w:footnoteReference w:id="11"/>
      </w:r>
      <w:r w:rsidR="004B7279" w:rsidRPr="00DE2213">
        <w:rPr>
          <w:rFonts w:eastAsia="Times New Roman" w:cs="Times New Roman"/>
          <w:sz w:val="24"/>
          <w:szCs w:val="24"/>
        </w:rPr>
        <w:t xml:space="preserve">. </w:t>
      </w:r>
      <w:r w:rsidR="00A15972">
        <w:rPr>
          <w:rFonts w:eastAsia="Times New Roman" w:cs="Times New Roman"/>
          <w:sz w:val="24"/>
          <w:szCs w:val="24"/>
        </w:rPr>
        <w:t>N</w:t>
      </w:r>
      <w:r w:rsidR="004B7279" w:rsidRPr="00DE2213">
        <w:rPr>
          <w:rFonts w:eastAsia="Times New Roman" w:cs="Times New Roman"/>
          <w:sz w:val="24"/>
          <w:szCs w:val="24"/>
        </w:rPr>
        <w:t>áklad</w:t>
      </w:r>
      <w:r w:rsidR="00A15972">
        <w:rPr>
          <w:rFonts w:eastAsia="Times New Roman" w:cs="Times New Roman"/>
          <w:sz w:val="24"/>
          <w:szCs w:val="24"/>
        </w:rPr>
        <w:t>y</w:t>
      </w:r>
      <w:r w:rsidR="004B7279" w:rsidRPr="00DE2213">
        <w:rPr>
          <w:rFonts w:eastAsia="Times New Roman" w:cs="Times New Roman"/>
          <w:sz w:val="24"/>
          <w:szCs w:val="24"/>
        </w:rPr>
        <w:t xml:space="preserve"> na správu DPFO ze závislé činnosti u</w:t>
      </w:r>
      <w:r w:rsidR="004B7279">
        <w:rPr>
          <w:rFonts w:eastAsia="Times New Roman" w:cs="Times New Roman"/>
          <w:sz w:val="24"/>
          <w:szCs w:val="24"/>
        </w:rPr>
        <w:t> </w:t>
      </w:r>
      <w:r w:rsidR="004B7279" w:rsidRPr="00DE2213">
        <w:rPr>
          <w:rFonts w:eastAsia="Times New Roman" w:cs="Times New Roman"/>
          <w:sz w:val="24"/>
          <w:szCs w:val="24"/>
        </w:rPr>
        <w:t>těchto poplatníků tak činí cca 948,5 mil. Kč, což lze vzhledem k legislativní úpravě povinností plátců u DP</w:t>
      </w:r>
      <w:r w:rsidR="004B7279">
        <w:rPr>
          <w:rFonts w:eastAsia="Times New Roman" w:cs="Times New Roman"/>
          <w:sz w:val="24"/>
          <w:szCs w:val="24"/>
        </w:rPr>
        <w:t xml:space="preserve">FO ze závislé činnosti označit </w:t>
      </w:r>
      <w:r w:rsidR="004B7279" w:rsidRPr="00DE2213">
        <w:rPr>
          <w:rFonts w:eastAsia="Times New Roman" w:cs="Times New Roman"/>
          <w:sz w:val="24"/>
          <w:szCs w:val="24"/>
        </w:rPr>
        <w:t>za odhadované náklady nesené zaměstnavateli za správce daně</w:t>
      </w:r>
      <w:r w:rsidR="004B7279">
        <w:rPr>
          <w:rFonts w:eastAsia="Times New Roman" w:cs="Times New Roman"/>
          <w:sz w:val="24"/>
          <w:szCs w:val="24"/>
        </w:rPr>
        <w:t>.</w:t>
      </w:r>
      <w:r w:rsidR="005B1120">
        <w:rPr>
          <w:rFonts w:eastAsia="Times New Roman" w:cs="Times New Roman"/>
          <w:sz w:val="24"/>
          <w:szCs w:val="24"/>
        </w:rPr>
        <w:t xml:space="preserve"> </w:t>
      </w:r>
      <w:r w:rsidR="00C72900">
        <w:rPr>
          <w:rFonts w:eastAsia="Times New Roman" w:cs="Calibri"/>
          <w:sz w:val="24"/>
          <w:szCs w:val="24"/>
        </w:rPr>
        <w:t xml:space="preserve">Při zohlednění těchto nákladů by byla efektivnost správy </w:t>
      </w:r>
      <w:r w:rsidR="00C72900">
        <w:rPr>
          <w:rFonts w:eastAsia="Times New Roman" w:cs="Calibri"/>
          <w:sz w:val="24"/>
          <w:szCs w:val="24"/>
        </w:rPr>
        <w:lastRenderedPageBreak/>
        <w:t xml:space="preserve">DPFO v roce 2015 </w:t>
      </w:r>
      <w:r w:rsidR="00B71BA8">
        <w:rPr>
          <w:rFonts w:eastAsia="Times New Roman" w:cs="Calibri"/>
          <w:sz w:val="24"/>
          <w:szCs w:val="24"/>
        </w:rPr>
        <w:t xml:space="preserve">cca </w:t>
      </w:r>
      <w:r w:rsidR="00C72900">
        <w:rPr>
          <w:rFonts w:eastAsia="Times New Roman" w:cs="Calibri"/>
          <w:sz w:val="24"/>
          <w:szCs w:val="24"/>
        </w:rPr>
        <w:t>75,54 Kč příjmů na 1 Kč výdajů</w:t>
      </w:r>
      <w:r w:rsidR="00B71BA8">
        <w:rPr>
          <w:rFonts w:eastAsia="Times New Roman" w:cs="Calibri"/>
          <w:sz w:val="24"/>
          <w:szCs w:val="24"/>
        </w:rPr>
        <w:t>. E</w:t>
      </w:r>
      <w:r w:rsidR="00C72900">
        <w:rPr>
          <w:rFonts w:eastAsia="Times New Roman" w:cs="Calibri"/>
          <w:sz w:val="24"/>
          <w:szCs w:val="24"/>
        </w:rPr>
        <w:t xml:space="preserve">fektivnost správy DPFO ze závislé činnosti </w:t>
      </w:r>
      <w:r w:rsidR="00B71BA8">
        <w:rPr>
          <w:rFonts w:eastAsia="Times New Roman" w:cs="Calibri"/>
          <w:sz w:val="24"/>
          <w:szCs w:val="24"/>
        </w:rPr>
        <w:t>by činila 124,55 Kč příjmů na 1 Kč výdajů</w:t>
      </w:r>
      <w:r w:rsidR="00942AB5">
        <w:rPr>
          <w:rFonts w:eastAsia="Times New Roman" w:cs="Calibri"/>
          <w:sz w:val="24"/>
          <w:szCs w:val="24"/>
        </w:rPr>
        <w:t>.</w:t>
      </w:r>
    </w:p>
    <w:p w14:paraId="09661061" w14:textId="71803402" w:rsidR="00C0073D" w:rsidRDefault="004B7279" w:rsidP="00E078C2">
      <w:pPr>
        <w:pStyle w:val="Odstavecseseznamem"/>
        <w:keepNext/>
        <w:keepLines/>
        <w:spacing w:after="0" w:line="276" w:lineRule="auto"/>
        <w:ind w:left="1418" w:hanging="1418"/>
        <w:jc w:val="both"/>
        <w:rPr>
          <w:b/>
          <w:sz w:val="24"/>
          <w:szCs w:val="24"/>
        </w:rPr>
      </w:pPr>
      <w:r w:rsidRPr="0011527E">
        <w:rPr>
          <w:b/>
          <w:sz w:val="24"/>
          <w:szCs w:val="24"/>
        </w:rPr>
        <w:t xml:space="preserve">Tabulka č. </w:t>
      </w:r>
      <w:r w:rsidR="00B3080B" w:rsidRPr="0011527E">
        <w:rPr>
          <w:b/>
          <w:sz w:val="24"/>
          <w:szCs w:val="24"/>
        </w:rPr>
        <w:fldChar w:fldCharType="begin"/>
      </w:r>
      <w:r w:rsidRPr="0011527E">
        <w:rPr>
          <w:b/>
          <w:sz w:val="24"/>
          <w:szCs w:val="24"/>
        </w:rPr>
        <w:instrText xml:space="preserve"> SEQ Tabulka_č. \* ARABIC </w:instrText>
      </w:r>
      <w:r w:rsidR="00B3080B" w:rsidRPr="0011527E">
        <w:rPr>
          <w:b/>
          <w:sz w:val="24"/>
          <w:szCs w:val="24"/>
        </w:rPr>
        <w:fldChar w:fldCharType="separate"/>
      </w:r>
      <w:r w:rsidR="00506C27">
        <w:rPr>
          <w:b/>
          <w:noProof/>
          <w:sz w:val="24"/>
          <w:szCs w:val="24"/>
        </w:rPr>
        <w:t>10</w:t>
      </w:r>
      <w:r w:rsidR="00B3080B" w:rsidRPr="0011527E">
        <w:rPr>
          <w:b/>
          <w:sz w:val="24"/>
          <w:szCs w:val="24"/>
        </w:rPr>
        <w:fldChar w:fldCharType="end"/>
      </w:r>
      <w:r>
        <w:rPr>
          <w:b/>
          <w:sz w:val="24"/>
          <w:szCs w:val="24"/>
        </w:rPr>
        <w:t>:</w:t>
      </w:r>
      <w:r w:rsidR="00E078C2">
        <w:rPr>
          <w:b/>
          <w:sz w:val="24"/>
          <w:szCs w:val="24"/>
        </w:rPr>
        <w:tab/>
      </w:r>
      <w:r w:rsidRPr="00BC457C">
        <w:rPr>
          <w:b/>
          <w:sz w:val="24"/>
          <w:szCs w:val="24"/>
        </w:rPr>
        <w:t>Nákladovost ve vztahu k výdajům na správu DFPO – výdaje na 100 Kč příjmů</w:t>
      </w:r>
      <w:r w:rsidR="003335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</w:t>
      </w:r>
      <w:r w:rsidR="00333576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Kč</w:t>
      </w:r>
    </w:p>
    <w:p w14:paraId="2B8F0C7E" w14:textId="0F846D0F" w:rsidR="00C0073D" w:rsidRPr="00040E26" w:rsidRDefault="008A7BE3" w:rsidP="00333576">
      <w:pPr>
        <w:pStyle w:val="Odstavecseseznamem"/>
        <w:keepLines/>
        <w:spacing w:before="40" w:after="0" w:line="276" w:lineRule="auto"/>
        <w:ind w:left="0"/>
        <w:contextualSpacing w:val="0"/>
        <w:jc w:val="both"/>
        <w:rPr>
          <w:rFonts w:cstheme="minorHAnsi"/>
          <w:sz w:val="20"/>
          <w:szCs w:val="20"/>
        </w:rPr>
      </w:pPr>
      <w:r>
        <w:rPr>
          <w:noProof/>
        </w:rPr>
        <w:object w:dxaOrig="1440" w:dyaOrig="1440" w14:anchorId="233E99A6">
          <v:shape id="_x0000_s1044" type="#_x0000_t75" style="position:absolute;left:0;text-align:left;margin-left:4429.7pt;margin-top:.2pt;width:453.9pt;height:64.5pt;z-index:251666432;mso-position-horizontal:right;mso-position-horizontal-relative:text;mso-position-vertical:absolute;mso-position-vertical-relative:text;mso-width-relative:page;mso-height-relative:page">
            <v:imagedata r:id="rId34" o:title=""/>
            <w10:wrap type="topAndBottom"/>
          </v:shape>
          <o:OLEObject Type="Embed" ProgID="Excel.Sheet.12" ShapeID="_x0000_s1044" DrawAspect="Content" ObjectID="_1564309636" r:id="rId35"/>
        </w:object>
      </w:r>
      <w:r w:rsidR="004B7279" w:rsidRPr="00040E26">
        <w:rPr>
          <w:rFonts w:cstheme="minorHAnsi"/>
          <w:b/>
          <w:sz w:val="20"/>
          <w:szCs w:val="20"/>
        </w:rPr>
        <w:t>Zdroj:</w:t>
      </w:r>
      <w:r w:rsidR="00C70AFF">
        <w:rPr>
          <w:rFonts w:cstheme="minorHAnsi"/>
          <w:sz w:val="20"/>
          <w:szCs w:val="20"/>
        </w:rPr>
        <w:t xml:space="preserve"> </w:t>
      </w:r>
      <w:r w:rsidR="00E36CDC">
        <w:rPr>
          <w:rFonts w:cstheme="minorHAnsi"/>
          <w:sz w:val="20"/>
          <w:szCs w:val="20"/>
        </w:rPr>
        <w:t>d</w:t>
      </w:r>
      <w:r w:rsidR="00C70AFF">
        <w:rPr>
          <w:rFonts w:cstheme="minorHAnsi"/>
          <w:sz w:val="20"/>
          <w:szCs w:val="20"/>
        </w:rPr>
        <w:t>ata z GFŘ, vlastní zpracování NKÚ.</w:t>
      </w:r>
    </w:p>
    <w:p w14:paraId="29DEFA8B" w14:textId="6658A04E" w:rsidR="00C0073D" w:rsidRDefault="004B7279" w:rsidP="00E925D2">
      <w:pPr>
        <w:spacing w:before="120" w:after="120" w:line="240" w:lineRule="auto"/>
        <w:jc w:val="both"/>
        <w:rPr>
          <w:sz w:val="24"/>
          <w:szCs w:val="24"/>
        </w:rPr>
      </w:pPr>
      <w:r w:rsidRPr="00DE2213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nízkou </w:t>
      </w:r>
      <w:r w:rsidRPr="00DE2213">
        <w:rPr>
          <w:sz w:val="24"/>
          <w:szCs w:val="24"/>
        </w:rPr>
        <w:t>efektivnost správy DPFO z přiznání mělo vliv vracení přeplatků, a to i poplatníkům, kteří měli příjmy ze</w:t>
      </w:r>
      <w:r>
        <w:rPr>
          <w:sz w:val="24"/>
          <w:szCs w:val="24"/>
        </w:rPr>
        <w:t xml:space="preserve"> závislé činnosti a podali DAP </w:t>
      </w:r>
      <w:r w:rsidRPr="00DE2213">
        <w:rPr>
          <w:sz w:val="24"/>
          <w:szCs w:val="24"/>
        </w:rPr>
        <w:t>s vykázaným přeplatkem. Tyto přeplatky se vyplácejí z účtu, na kterém se eviduje inkaso DPFO z přiznání. To potvrzuje i rozdíl ve výši inkasa, které bylo cca 54krát vyšší u DPFO ze závislé činnosti než u DPFO z přiznání.</w:t>
      </w:r>
    </w:p>
    <w:p w14:paraId="6A3E65E2" w14:textId="17094F74" w:rsidR="00C0073D" w:rsidRPr="00505E28" w:rsidRDefault="004B7279" w:rsidP="00C0073D">
      <w:pPr>
        <w:pStyle w:val="Titulek"/>
        <w:keepNext/>
        <w:spacing w:after="0"/>
        <w:rPr>
          <w:b/>
          <w:i w:val="0"/>
          <w:color w:val="auto"/>
          <w:sz w:val="24"/>
          <w:szCs w:val="24"/>
        </w:rPr>
      </w:pPr>
      <w:r w:rsidRPr="00505E28">
        <w:rPr>
          <w:b/>
          <w:i w:val="0"/>
          <w:color w:val="auto"/>
          <w:sz w:val="24"/>
          <w:szCs w:val="24"/>
        </w:rPr>
        <w:t xml:space="preserve">Tabulka č. </w:t>
      </w:r>
      <w:r w:rsidR="00B3080B" w:rsidRPr="00505E28">
        <w:rPr>
          <w:b/>
          <w:i w:val="0"/>
          <w:color w:val="auto"/>
          <w:sz w:val="24"/>
          <w:szCs w:val="24"/>
        </w:rPr>
        <w:fldChar w:fldCharType="begin"/>
      </w:r>
      <w:r w:rsidRPr="00505E28">
        <w:rPr>
          <w:b/>
          <w:i w:val="0"/>
          <w:color w:val="auto"/>
          <w:sz w:val="24"/>
          <w:szCs w:val="24"/>
        </w:rPr>
        <w:instrText xml:space="preserve"> SEQ Tabulka_č. \* ARABIC </w:instrText>
      </w:r>
      <w:r w:rsidR="00B3080B" w:rsidRPr="00505E28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11</w:t>
      </w:r>
      <w:r w:rsidR="00B3080B" w:rsidRPr="00505E28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>: Počet daňových subjektů na správce daně v roce 2015</w:t>
      </w:r>
    </w:p>
    <w:bookmarkStart w:id="6" w:name="_MON_1557828121"/>
    <w:bookmarkEnd w:id="6"/>
    <w:p w14:paraId="76D78290" w14:textId="710AB197" w:rsidR="00C0073D" w:rsidRPr="00040E26" w:rsidRDefault="004B7279" w:rsidP="00C0073D">
      <w:pPr>
        <w:spacing w:after="0"/>
        <w:rPr>
          <w:rFonts w:cstheme="minorHAnsi"/>
          <w:sz w:val="20"/>
          <w:szCs w:val="20"/>
        </w:rPr>
      </w:pPr>
      <w:r w:rsidRPr="00B34E40">
        <w:rPr>
          <w:b/>
          <w:sz w:val="24"/>
          <w:szCs w:val="24"/>
        </w:rPr>
        <w:object w:dxaOrig="9015" w:dyaOrig="5220" w14:anchorId="6FE5EF1C">
          <v:shape id="_x0000_i1035" type="#_x0000_t75" style="width:455.25pt;height:258.75pt" o:ole="">
            <v:imagedata r:id="rId36" o:title=""/>
          </v:shape>
          <o:OLEObject Type="Embed" ProgID="Excel.Sheet.12" ShapeID="_x0000_i1035" DrawAspect="Content" ObjectID="_1564309628" r:id="rId37"/>
        </w:object>
      </w:r>
      <w:r w:rsidRPr="00040E26">
        <w:rPr>
          <w:rFonts w:cstheme="minorHAnsi"/>
          <w:b/>
          <w:sz w:val="20"/>
          <w:szCs w:val="20"/>
        </w:rPr>
        <w:t>Zdroj:</w:t>
      </w:r>
      <w:r w:rsidR="00025681">
        <w:rPr>
          <w:rFonts w:cstheme="minorHAnsi"/>
          <w:sz w:val="20"/>
          <w:szCs w:val="20"/>
        </w:rPr>
        <w:t xml:space="preserve"> </w:t>
      </w:r>
      <w:r w:rsidR="00E36CDC">
        <w:rPr>
          <w:rFonts w:cstheme="minorHAnsi"/>
          <w:sz w:val="20"/>
          <w:szCs w:val="20"/>
        </w:rPr>
        <w:t>d</w:t>
      </w:r>
      <w:r w:rsidR="00C70AFF">
        <w:rPr>
          <w:rFonts w:cstheme="minorHAnsi"/>
          <w:sz w:val="20"/>
          <w:szCs w:val="20"/>
        </w:rPr>
        <w:t>ata z GFŘ, vlastní zpracování NKÚ.</w:t>
      </w:r>
    </w:p>
    <w:p w14:paraId="44B8CAFE" w14:textId="77777777" w:rsidR="00C0073D" w:rsidRPr="00040E26" w:rsidRDefault="004B7279" w:rsidP="00C0073D">
      <w:pPr>
        <w:rPr>
          <w:rFonts w:cstheme="minorHAnsi"/>
          <w:sz w:val="20"/>
          <w:szCs w:val="20"/>
        </w:rPr>
      </w:pPr>
      <w:r w:rsidRPr="00040E26">
        <w:rPr>
          <w:rFonts w:cstheme="minorHAnsi"/>
          <w:b/>
          <w:sz w:val="20"/>
          <w:szCs w:val="20"/>
        </w:rPr>
        <w:t>Pozn.:</w:t>
      </w:r>
      <w:r w:rsidRPr="00040E26">
        <w:rPr>
          <w:rFonts w:cstheme="minorHAnsi"/>
          <w:sz w:val="20"/>
          <w:szCs w:val="20"/>
        </w:rPr>
        <w:t xml:space="preserve"> Není zahrnut SFÚ.</w:t>
      </w:r>
    </w:p>
    <w:p w14:paraId="005055B5" w14:textId="424BE537" w:rsidR="00C0073D" w:rsidRDefault="004B7279" w:rsidP="00E925D2">
      <w:pPr>
        <w:spacing w:before="120"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Nejvíce zatíženými správci</w:t>
      </w:r>
      <w:r w:rsidR="00E36CDC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DPFO byli u DPFO ze závislé činnosti FÚ pro hl. m. Prahu a FÚ pro Jihomoravský kraj, u DPFO z přiznání FÚ pro Středočeský kraj a FÚ pro Pardubický kraj. </w:t>
      </w:r>
    </w:p>
    <w:p w14:paraId="24F4B5A8" w14:textId="77777777" w:rsidR="00C0073D" w:rsidRPr="00911599" w:rsidRDefault="004B7279" w:rsidP="00E925D2">
      <w:pPr>
        <w:spacing w:before="120" w:after="120" w:line="240" w:lineRule="auto"/>
        <w:jc w:val="both"/>
        <w:rPr>
          <w:rFonts w:cs="Calibri"/>
          <w:sz w:val="24"/>
          <w:szCs w:val="24"/>
        </w:rPr>
      </w:pPr>
      <w:r w:rsidRPr="00911599">
        <w:rPr>
          <w:rFonts w:cs="Calibri"/>
          <w:sz w:val="24"/>
          <w:szCs w:val="24"/>
        </w:rPr>
        <w:t>GFŘ v kontrolovaném období neprovádělo analýzu výkonnostních ukazatelů, protože personální systém FS ČR do roku 2015 neumožňoval sledovat počty pracovníků podle prováděných čin</w:t>
      </w:r>
      <w:r>
        <w:rPr>
          <w:rFonts w:cs="Calibri"/>
          <w:sz w:val="24"/>
          <w:szCs w:val="24"/>
        </w:rPr>
        <w:t>ností. Od roku 2016 FS ČR zavedl</w:t>
      </w:r>
      <w:r w:rsidRPr="00911599">
        <w:rPr>
          <w:rFonts w:cs="Calibri"/>
          <w:sz w:val="24"/>
          <w:szCs w:val="24"/>
        </w:rPr>
        <w:t xml:space="preserve"> nový systém, který takové sledování umožňuje, ale do konce kontroly jej nebylo možné plně využívat z důvodu nejednotného přístupu k zadávání údajů</w:t>
      </w:r>
      <w:r>
        <w:rPr>
          <w:rFonts w:cs="Calibri"/>
          <w:sz w:val="24"/>
          <w:szCs w:val="24"/>
        </w:rPr>
        <w:t xml:space="preserve"> vedoucími pracovníky</w:t>
      </w:r>
      <w:r w:rsidRPr="00911599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Proto NKÚ p</w:t>
      </w:r>
      <w:r w:rsidRPr="00060A62">
        <w:rPr>
          <w:rFonts w:cs="Calibri"/>
          <w:sz w:val="24"/>
          <w:szCs w:val="24"/>
        </w:rPr>
        <w:t xml:space="preserve">ro </w:t>
      </w:r>
      <w:r>
        <w:rPr>
          <w:rFonts w:cs="Calibri"/>
          <w:sz w:val="24"/>
          <w:szCs w:val="24"/>
        </w:rPr>
        <w:t>výpočet</w:t>
      </w:r>
      <w:r w:rsidR="00E46576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přepočteného</w:t>
      </w:r>
      <w:r w:rsidRPr="00060A62">
        <w:rPr>
          <w:rFonts w:cs="Calibri"/>
          <w:sz w:val="24"/>
          <w:szCs w:val="24"/>
        </w:rPr>
        <w:t xml:space="preserve"> počtu systemizovaných míst použil přepočet koeficientem založeným na poměru skutečného počtu systemizovaných míst </w:t>
      </w:r>
      <w:r>
        <w:rPr>
          <w:rFonts w:cs="Calibri"/>
          <w:sz w:val="24"/>
          <w:szCs w:val="24"/>
        </w:rPr>
        <w:t xml:space="preserve">správců DPFO </w:t>
      </w:r>
      <w:r w:rsidRPr="00060A62">
        <w:rPr>
          <w:rFonts w:cs="Calibri"/>
          <w:sz w:val="24"/>
          <w:szCs w:val="24"/>
        </w:rPr>
        <w:t>k celkovému počtu</w:t>
      </w:r>
      <w:r>
        <w:rPr>
          <w:rFonts w:cs="Calibri"/>
          <w:sz w:val="24"/>
          <w:szCs w:val="24"/>
        </w:rPr>
        <w:t xml:space="preserve"> systemizovaných míst. </w:t>
      </w:r>
      <w:r w:rsidRPr="00911599">
        <w:rPr>
          <w:rFonts w:cs="Calibri"/>
          <w:sz w:val="24"/>
          <w:szCs w:val="24"/>
        </w:rPr>
        <w:t xml:space="preserve">Analýzou vytíženosti správců daně lze odhalit nedostatky v personálním zajištění správy daně, jako je např. neefektivní alokace personálních zdrojů na jednotlivé činnosti. </w:t>
      </w:r>
    </w:p>
    <w:p w14:paraId="5AE9AAA6" w14:textId="77777777" w:rsidR="00C0073D" w:rsidRDefault="004B7279" w:rsidP="00E925D2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Finanční správa kromě subjektů, které poskytují pojišťovací produkty (konkrétně Česká asociace pojišťoven), jednala taktéž se státními organizacemi (Česká správa sociálního zabezpečení) o možné spolupráci pro výměnu informací, které by mohly umožnit ověřovat oprávněnost nároků na daňové úlevy poplatníků a taktéž výši jejich celkových příjmů.</w:t>
      </w:r>
    </w:p>
    <w:p w14:paraId="51448882" w14:textId="53C86FE7" w:rsidR="00C0073D" w:rsidRDefault="004B7279" w:rsidP="00E925D2">
      <w:pPr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 případě České asociace pojišťoven byl základní problém ve výkladu ustanovení zákonů upravujících povinnost mlčenlivosti. Česká asociace pojišťoven odmítla poskytnout seznam osob, které předčasně ukončily pojistné smlouvy</w:t>
      </w:r>
      <w:r w:rsidR="00E36CDC">
        <w:rPr>
          <w:rFonts w:eastAsia="Times New Roman" w:cs="Times New Roman"/>
          <w:sz w:val="24"/>
          <w:szCs w:val="24"/>
        </w:rPr>
        <w:t>,</w:t>
      </w:r>
      <w:r>
        <w:rPr>
          <w:rFonts w:eastAsia="Times New Roman" w:cs="Times New Roman"/>
          <w:sz w:val="24"/>
          <w:szCs w:val="24"/>
        </w:rPr>
        <w:t xml:space="preserve"> s tím, že dotaz musí směřovat na konkrétní osoby, nikoliv poskytnutí celého seznamu. V případě České správy sociálního zabezpečení byl problém technického rázu – nekompatibilita informačních systémů, přičemž výměna informací probíhala na žádosti a nebyla zautomatizovaná. Zpracování žádostí přinášelo administrativní zátěž na obou stranách. Zjednodušení sdílení těchto informací mělo řešit </w:t>
      </w:r>
      <w:r w:rsidR="00E36CDC">
        <w:rPr>
          <w:rFonts w:eastAsia="Times New Roman" w:cs="Times New Roman"/>
          <w:sz w:val="24"/>
          <w:szCs w:val="24"/>
        </w:rPr>
        <w:t>j</w:t>
      </w:r>
      <w:r>
        <w:rPr>
          <w:rFonts w:eastAsia="Times New Roman" w:cs="Times New Roman"/>
          <w:sz w:val="24"/>
          <w:szCs w:val="24"/>
        </w:rPr>
        <w:t>edno inkasní místo. Tento stav, kdy správce daně neměl k dispozici automatizovanou výměnu informací o daňových subjektech, měl mj. negativní vliv na efektivnost správy daně a</w:t>
      </w:r>
      <w:r w:rsidR="00333576">
        <w:rPr>
          <w:rFonts w:eastAsia="Times New Roman" w:cs="Times New Roman"/>
          <w:sz w:val="24"/>
          <w:szCs w:val="24"/>
        </w:rPr>
        <w:t> </w:t>
      </w:r>
      <w:r>
        <w:rPr>
          <w:rFonts w:eastAsia="Times New Roman" w:cs="Times New Roman"/>
          <w:sz w:val="24"/>
          <w:szCs w:val="24"/>
        </w:rPr>
        <w:t>taktéž nepřispěl k odolnosti systému DPFO proti daňovým únikům.</w:t>
      </w:r>
    </w:p>
    <w:p w14:paraId="4D35B3C6" w14:textId="6FEBB7CC" w:rsidR="00C0073D" w:rsidRPr="00E925D2" w:rsidRDefault="00E925D2" w:rsidP="00E925D2">
      <w:pPr>
        <w:spacing w:line="276" w:lineRule="auto"/>
        <w:jc w:val="both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4. </w:t>
      </w:r>
      <w:r w:rsidR="004B7279" w:rsidRPr="00E925D2">
        <w:rPr>
          <w:rFonts w:eastAsia="Times New Roman" w:cs="Times New Roman"/>
          <w:b/>
          <w:sz w:val="24"/>
          <w:szCs w:val="24"/>
        </w:rPr>
        <w:t>Daňové zatížení v České republice v mezinárodním kontextu</w:t>
      </w:r>
    </w:p>
    <w:p w14:paraId="203E96E3" w14:textId="6A6ED297" w:rsidR="00C0073D" w:rsidRDefault="004B7279" w:rsidP="00E925D2">
      <w:pPr>
        <w:spacing w:before="120" w:after="120" w:line="240" w:lineRule="auto"/>
        <w:jc w:val="both"/>
        <w:rPr>
          <w:rFonts w:cstheme="minorHAnsi"/>
          <w:bCs/>
          <w:iCs/>
          <w:color w:val="000000" w:themeColor="text1"/>
          <w:sz w:val="24"/>
          <w:szCs w:val="24"/>
        </w:rPr>
      </w:pPr>
      <w:r w:rsidRPr="0004781D">
        <w:rPr>
          <w:rFonts w:cstheme="minorHAnsi"/>
          <w:bCs/>
          <w:iCs/>
          <w:color w:val="000000" w:themeColor="text1"/>
          <w:sz w:val="24"/>
          <w:szCs w:val="24"/>
        </w:rPr>
        <w:t xml:space="preserve">Ke srovnání daňového zatížení poplatníků DPFO byly vybrány následující státy: Německo, Rakousko, Slovensko, Polsko a Maďarsko. Německo bylo vybráno s ohledem na velkou provázanost v rámci mezinárodního obchodu, </w:t>
      </w:r>
      <w:r>
        <w:rPr>
          <w:rFonts w:cstheme="minorHAnsi"/>
          <w:bCs/>
          <w:iCs/>
          <w:color w:val="000000" w:themeColor="text1"/>
          <w:sz w:val="24"/>
          <w:szCs w:val="24"/>
        </w:rPr>
        <w:t>o</w:t>
      </w:r>
      <w:r w:rsidRPr="0004781D">
        <w:rPr>
          <w:rFonts w:cstheme="minorHAnsi"/>
          <w:bCs/>
          <w:iCs/>
          <w:color w:val="000000" w:themeColor="text1"/>
          <w:sz w:val="24"/>
          <w:szCs w:val="24"/>
        </w:rPr>
        <w:t xml:space="preserve">statní země ve výběru tvoří užší společenství v rámci </w:t>
      </w:r>
      <w:r w:rsidR="00820AA5">
        <w:rPr>
          <w:rFonts w:cstheme="minorHAnsi"/>
          <w:bCs/>
          <w:iCs/>
          <w:color w:val="000000" w:themeColor="text1"/>
          <w:sz w:val="24"/>
          <w:szCs w:val="24"/>
        </w:rPr>
        <w:t xml:space="preserve">rozšířené </w:t>
      </w:r>
      <w:r w:rsidR="008C07BB">
        <w:rPr>
          <w:rFonts w:cstheme="minorHAnsi"/>
          <w:bCs/>
          <w:iCs/>
          <w:color w:val="000000" w:themeColor="text1"/>
          <w:sz w:val="24"/>
          <w:szCs w:val="24"/>
        </w:rPr>
        <w:t>Visegrádské skupiny</w:t>
      </w:r>
      <w:r w:rsidRPr="0004781D">
        <w:rPr>
          <w:rFonts w:cstheme="minorHAnsi"/>
          <w:bCs/>
          <w:iCs/>
          <w:color w:val="000000" w:themeColor="text1"/>
          <w:sz w:val="24"/>
          <w:szCs w:val="24"/>
        </w:rPr>
        <w:t>.</w:t>
      </w:r>
      <w:r>
        <w:rPr>
          <w:rFonts w:cstheme="minorHAnsi"/>
          <w:bCs/>
          <w:iCs/>
          <w:color w:val="000000" w:themeColor="text1"/>
          <w:sz w:val="24"/>
          <w:szCs w:val="24"/>
        </w:rPr>
        <w:t xml:space="preserve"> Porovnání zemí v rámci OECD je uvedeno v příloze č. 1 a</w:t>
      </w:r>
      <w:r w:rsidR="008C07BB">
        <w:rPr>
          <w:rFonts w:cstheme="minorHAnsi"/>
          <w:bCs/>
          <w:iCs/>
          <w:color w:val="000000" w:themeColor="text1"/>
          <w:sz w:val="24"/>
          <w:szCs w:val="24"/>
        </w:rPr>
        <w:t> </w:t>
      </w:r>
      <w:r>
        <w:rPr>
          <w:rFonts w:cstheme="minorHAnsi"/>
          <w:bCs/>
          <w:iCs/>
          <w:color w:val="000000" w:themeColor="text1"/>
          <w:sz w:val="24"/>
          <w:szCs w:val="24"/>
        </w:rPr>
        <w:t>č.</w:t>
      </w:r>
      <w:r w:rsidR="008C07BB">
        <w:rPr>
          <w:rFonts w:cstheme="minorHAnsi"/>
          <w:bCs/>
          <w:iCs/>
          <w:color w:val="000000" w:themeColor="text1"/>
          <w:sz w:val="24"/>
          <w:szCs w:val="24"/>
        </w:rPr>
        <w:t> </w:t>
      </w:r>
      <w:r>
        <w:rPr>
          <w:rFonts w:cstheme="minorHAnsi"/>
          <w:bCs/>
          <w:iCs/>
          <w:color w:val="000000" w:themeColor="text1"/>
          <w:sz w:val="24"/>
          <w:szCs w:val="24"/>
        </w:rPr>
        <w:t>2.</w:t>
      </w:r>
      <w:r w:rsidR="0013667A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cstheme="minorHAnsi"/>
          <w:bCs/>
          <w:iCs/>
          <w:color w:val="000000" w:themeColor="text1"/>
          <w:sz w:val="24"/>
          <w:szCs w:val="24"/>
        </w:rPr>
        <w:t>P</w:t>
      </w:r>
      <w:r w:rsidRPr="00053023">
        <w:rPr>
          <w:rFonts w:cstheme="minorHAnsi"/>
          <w:bCs/>
          <w:iCs/>
          <w:color w:val="000000" w:themeColor="text1"/>
          <w:sz w:val="24"/>
          <w:szCs w:val="24"/>
        </w:rPr>
        <w:t>ředpokladem</w:t>
      </w:r>
      <w:r w:rsidR="002A73EE">
        <w:rPr>
          <w:rFonts w:cstheme="minorHAnsi"/>
          <w:bCs/>
          <w:iCs/>
          <w:color w:val="000000" w:themeColor="text1"/>
          <w:sz w:val="24"/>
          <w:szCs w:val="24"/>
        </w:rPr>
        <w:t xml:space="preserve"> </w:t>
      </w:r>
      <w:r w:rsidRPr="00053023">
        <w:rPr>
          <w:rFonts w:cstheme="minorHAnsi"/>
          <w:bCs/>
          <w:iCs/>
          <w:color w:val="000000" w:themeColor="text1"/>
          <w:sz w:val="24"/>
          <w:szCs w:val="24"/>
        </w:rPr>
        <w:t xml:space="preserve">pro relevantní srovnání </w:t>
      </w:r>
      <w:r>
        <w:rPr>
          <w:rFonts w:cstheme="minorHAnsi"/>
          <w:bCs/>
          <w:iCs/>
          <w:color w:val="000000" w:themeColor="text1"/>
          <w:sz w:val="24"/>
          <w:szCs w:val="24"/>
        </w:rPr>
        <w:t>bylo</w:t>
      </w:r>
      <w:r w:rsidRPr="00053023">
        <w:rPr>
          <w:rFonts w:cstheme="minorHAnsi"/>
          <w:bCs/>
          <w:iCs/>
          <w:color w:val="000000" w:themeColor="text1"/>
          <w:sz w:val="24"/>
          <w:szCs w:val="24"/>
        </w:rPr>
        <w:t xml:space="preserve"> poměřování poplatníků s totožnými specifickými vlastnostmi, </w:t>
      </w:r>
      <w:r>
        <w:rPr>
          <w:rFonts w:cstheme="minorHAnsi"/>
          <w:bCs/>
          <w:iCs/>
          <w:color w:val="000000" w:themeColor="text1"/>
          <w:sz w:val="24"/>
          <w:szCs w:val="24"/>
        </w:rPr>
        <w:t xml:space="preserve">tzn. s totožnou výší příjmů a počtem jimi </w:t>
      </w:r>
      <w:r w:rsidRPr="00053023">
        <w:rPr>
          <w:rFonts w:cstheme="minorHAnsi"/>
          <w:bCs/>
          <w:iCs/>
          <w:color w:val="000000" w:themeColor="text1"/>
          <w:sz w:val="24"/>
          <w:szCs w:val="24"/>
        </w:rPr>
        <w:t>vyživovaných osob</w:t>
      </w:r>
      <w:r>
        <w:rPr>
          <w:rFonts w:cstheme="minorHAnsi"/>
          <w:bCs/>
          <w:iCs/>
          <w:color w:val="000000" w:themeColor="text1"/>
          <w:sz w:val="24"/>
          <w:szCs w:val="24"/>
        </w:rPr>
        <w:t xml:space="preserve">, </w:t>
      </w:r>
      <w:r w:rsidRPr="00053023">
        <w:rPr>
          <w:rFonts w:cstheme="minorHAnsi"/>
          <w:bCs/>
          <w:iCs/>
          <w:color w:val="000000" w:themeColor="text1"/>
          <w:sz w:val="24"/>
          <w:szCs w:val="24"/>
        </w:rPr>
        <w:t xml:space="preserve">které ovlivňují jejich výslednou daňovou povinnost. </w:t>
      </w:r>
    </w:p>
    <w:p w14:paraId="1C2F41C8" w14:textId="2392A06C" w:rsidR="00C0073D" w:rsidRPr="001E7D68" w:rsidRDefault="004B7279" w:rsidP="008C07BB">
      <w:pPr>
        <w:pStyle w:val="Titulek"/>
        <w:keepNext/>
        <w:ind w:left="993" w:hanging="993"/>
        <w:jc w:val="both"/>
        <w:rPr>
          <w:rFonts w:cstheme="minorHAnsi"/>
          <w:b/>
          <w:i w:val="0"/>
          <w:color w:val="auto"/>
          <w:sz w:val="24"/>
          <w:szCs w:val="24"/>
        </w:rPr>
      </w:pPr>
      <w:r w:rsidRPr="0048759B">
        <w:rPr>
          <w:b/>
          <w:i w:val="0"/>
          <w:color w:val="auto"/>
          <w:sz w:val="24"/>
          <w:szCs w:val="24"/>
        </w:rPr>
        <w:t xml:space="preserve">Graf č. </w:t>
      </w:r>
      <w:r w:rsidR="00B3080B" w:rsidRPr="0048759B">
        <w:rPr>
          <w:b/>
          <w:i w:val="0"/>
          <w:color w:val="auto"/>
          <w:sz w:val="24"/>
          <w:szCs w:val="24"/>
        </w:rPr>
        <w:fldChar w:fldCharType="begin"/>
      </w:r>
      <w:r w:rsidRPr="0048759B">
        <w:rPr>
          <w:b/>
          <w:i w:val="0"/>
          <w:color w:val="auto"/>
          <w:sz w:val="24"/>
          <w:szCs w:val="24"/>
        </w:rPr>
        <w:instrText xml:space="preserve"> SEQ Graf_č. \* ARABIC </w:instrText>
      </w:r>
      <w:r w:rsidR="00B3080B" w:rsidRPr="0048759B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7</w:t>
      </w:r>
      <w:r w:rsidR="00B3080B" w:rsidRPr="0048759B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>:</w:t>
      </w:r>
      <w:r w:rsidR="00F94E08">
        <w:rPr>
          <w:b/>
          <w:i w:val="0"/>
          <w:color w:val="auto"/>
          <w:sz w:val="24"/>
          <w:szCs w:val="24"/>
        </w:rPr>
        <w:t xml:space="preserve"> </w:t>
      </w:r>
      <w:r w:rsidR="008C07BB">
        <w:rPr>
          <w:b/>
          <w:i w:val="0"/>
          <w:color w:val="auto"/>
          <w:sz w:val="24"/>
          <w:szCs w:val="24"/>
        </w:rPr>
        <w:tab/>
      </w:r>
      <w:r w:rsidRPr="0048759B">
        <w:rPr>
          <w:rFonts w:cstheme="minorHAnsi"/>
          <w:b/>
          <w:i w:val="0"/>
          <w:color w:val="auto"/>
          <w:sz w:val="24"/>
          <w:szCs w:val="24"/>
        </w:rPr>
        <w:t>Komparace celkového zdanění práce u bezdětného po</w:t>
      </w:r>
      <w:r>
        <w:rPr>
          <w:rFonts w:cstheme="minorHAnsi"/>
          <w:b/>
          <w:i w:val="0"/>
          <w:color w:val="auto"/>
          <w:sz w:val="24"/>
          <w:szCs w:val="24"/>
        </w:rPr>
        <w:t xml:space="preserve">platníka s průměrnou mzdou </w:t>
      </w:r>
      <w:r w:rsidRPr="00E13324"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za roky 2000</w:t>
      </w:r>
      <w:r>
        <w:rPr>
          <w:rFonts w:cstheme="minorHAnsi"/>
          <w:b/>
          <w:bCs/>
          <w:i w:val="0"/>
          <w:iCs w:val="0"/>
          <w:color w:val="000000" w:themeColor="text1"/>
          <w:sz w:val="24"/>
          <w:szCs w:val="24"/>
        </w:rPr>
        <w:t>–2015</w:t>
      </w:r>
    </w:p>
    <w:p w14:paraId="5BFB5BCA" w14:textId="77777777" w:rsidR="00C0073D" w:rsidRDefault="004B7279" w:rsidP="00C0073D">
      <w:pPr>
        <w:keepNext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5B948B07" wp14:editId="7B7B5F9A">
            <wp:extent cx="5760720" cy="3124200"/>
            <wp:effectExtent l="0" t="0" r="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54FD2ED2" w14:textId="77777777" w:rsidR="00C0073D" w:rsidRPr="00040E26" w:rsidRDefault="004B7279" w:rsidP="00C0073D">
      <w:pPr>
        <w:keepNext/>
        <w:rPr>
          <w:rFonts w:cstheme="minorHAnsi"/>
          <w:sz w:val="20"/>
          <w:szCs w:val="20"/>
        </w:rPr>
      </w:pPr>
      <w:r w:rsidRPr="00040E26">
        <w:rPr>
          <w:rFonts w:cstheme="minorHAnsi"/>
          <w:b/>
          <w:sz w:val="20"/>
          <w:szCs w:val="20"/>
        </w:rPr>
        <w:t>Zdroj:</w:t>
      </w:r>
      <w:r w:rsidRPr="00040E26">
        <w:rPr>
          <w:rFonts w:cstheme="minorHAnsi"/>
          <w:sz w:val="20"/>
          <w:szCs w:val="20"/>
        </w:rPr>
        <w:t xml:space="preserve"> OECD Statistics.</w:t>
      </w:r>
    </w:p>
    <w:p w14:paraId="0FFA1159" w14:textId="6E592DEB" w:rsidR="00C0073D" w:rsidRDefault="004B7279" w:rsidP="00E925D2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  <w:color w:val="000000" w:themeColor="text1"/>
          <w:sz w:val="24"/>
          <w:szCs w:val="24"/>
        </w:rPr>
        <w:t xml:space="preserve">Výše uvedený graf ilustruje rozdíly ve výši celkového zdanění práce u bezdětného poplatníka s průměrnou mzdou. 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V průběhu sledovaného období </w:t>
      </w:r>
      <w:r>
        <w:rPr>
          <w:rFonts w:cstheme="minorHAnsi"/>
          <w:color w:val="000000" w:themeColor="text1"/>
          <w:sz w:val="24"/>
          <w:szCs w:val="24"/>
        </w:rPr>
        <w:t>byly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 mezi jednotlivými státy rozdíly, </w:t>
      </w:r>
      <w:r w:rsidRPr="00053023">
        <w:rPr>
          <w:rFonts w:cstheme="minorHAnsi"/>
          <w:color w:val="000000" w:themeColor="text1"/>
          <w:sz w:val="24"/>
          <w:szCs w:val="24"/>
        </w:rPr>
        <w:lastRenderedPageBreak/>
        <w:t xml:space="preserve">přičemž v roce 2000 činil maximální rozdíl daňového zatížení práce 18,2 </w:t>
      </w:r>
      <w:r>
        <w:rPr>
          <w:rFonts w:cstheme="minorHAnsi"/>
          <w:color w:val="000000" w:themeColor="text1"/>
          <w:sz w:val="24"/>
          <w:szCs w:val="24"/>
        </w:rPr>
        <w:t>%</w:t>
      </w:r>
      <w:r w:rsidRPr="00053023">
        <w:rPr>
          <w:rFonts w:cstheme="minorHAnsi"/>
          <w:color w:val="000000" w:themeColor="text1"/>
          <w:sz w:val="24"/>
          <w:szCs w:val="24"/>
        </w:rPr>
        <w:t>, v roce 2015 pak 14,8</w:t>
      </w:r>
      <w:r w:rsidR="00333576">
        <w:rPr>
          <w:rFonts w:cstheme="minorHAnsi"/>
          <w:color w:val="000000" w:themeColor="text1"/>
          <w:sz w:val="24"/>
          <w:szCs w:val="24"/>
        </w:rPr>
        <w:t> </w:t>
      </w:r>
      <w:r>
        <w:rPr>
          <w:rFonts w:cstheme="minorHAnsi"/>
          <w:color w:val="000000" w:themeColor="text1"/>
          <w:sz w:val="24"/>
          <w:szCs w:val="24"/>
        </w:rPr>
        <w:t>%</w:t>
      </w:r>
      <w:r w:rsidRPr="00053023">
        <w:rPr>
          <w:rFonts w:cstheme="minorHAnsi"/>
          <w:color w:val="000000" w:themeColor="text1"/>
          <w:sz w:val="24"/>
          <w:szCs w:val="24"/>
        </w:rPr>
        <w:t>. Dlouhod</w:t>
      </w:r>
      <w:r>
        <w:rPr>
          <w:rFonts w:cstheme="minorHAnsi"/>
          <w:color w:val="000000" w:themeColor="text1"/>
          <w:sz w:val="24"/>
          <w:szCs w:val="24"/>
        </w:rPr>
        <w:t xml:space="preserve">obě nejvyšší daňové zatížení měly </w:t>
      </w:r>
      <w:r w:rsidRPr="00053023">
        <w:rPr>
          <w:rFonts w:cstheme="minorHAnsi"/>
          <w:color w:val="000000" w:themeColor="text1"/>
          <w:sz w:val="24"/>
          <w:szCs w:val="24"/>
        </w:rPr>
        <w:t>ve sledovaném období Německo (průměrně 51 %) a Rakousko (průměrně 48,3 %).</w:t>
      </w:r>
    </w:p>
    <w:p w14:paraId="07783BC2" w14:textId="5A86D0AD" w:rsidR="00C0073D" w:rsidRDefault="004B7279" w:rsidP="00C0073D">
      <w:pPr>
        <w:pStyle w:val="Titulek"/>
        <w:keepNext/>
        <w:jc w:val="both"/>
        <w:rPr>
          <w:rFonts w:cstheme="minorHAnsi"/>
          <w:b/>
          <w:i w:val="0"/>
          <w:color w:val="auto"/>
          <w:sz w:val="24"/>
          <w:szCs w:val="24"/>
        </w:rPr>
      </w:pPr>
      <w:r w:rsidRPr="00B16A3F">
        <w:rPr>
          <w:b/>
          <w:i w:val="0"/>
          <w:color w:val="auto"/>
          <w:sz w:val="24"/>
          <w:szCs w:val="24"/>
        </w:rPr>
        <w:t xml:space="preserve">Graf č. </w:t>
      </w:r>
      <w:r w:rsidR="00B3080B" w:rsidRPr="00B16A3F">
        <w:rPr>
          <w:b/>
          <w:i w:val="0"/>
          <w:color w:val="auto"/>
          <w:sz w:val="24"/>
          <w:szCs w:val="24"/>
        </w:rPr>
        <w:fldChar w:fldCharType="begin"/>
      </w:r>
      <w:r w:rsidRPr="00B16A3F">
        <w:rPr>
          <w:b/>
          <w:i w:val="0"/>
          <w:color w:val="auto"/>
          <w:sz w:val="24"/>
          <w:szCs w:val="24"/>
        </w:rPr>
        <w:instrText xml:space="preserve"> SEQ Graf_č. \* ARABIC </w:instrText>
      </w:r>
      <w:r w:rsidR="00B3080B" w:rsidRPr="00B16A3F">
        <w:rPr>
          <w:b/>
          <w:i w:val="0"/>
          <w:color w:val="auto"/>
          <w:sz w:val="24"/>
          <w:szCs w:val="24"/>
        </w:rPr>
        <w:fldChar w:fldCharType="separate"/>
      </w:r>
      <w:r w:rsidR="00506C27">
        <w:rPr>
          <w:b/>
          <w:i w:val="0"/>
          <w:noProof/>
          <w:color w:val="auto"/>
          <w:sz w:val="24"/>
          <w:szCs w:val="24"/>
        </w:rPr>
        <w:t>8</w:t>
      </w:r>
      <w:r w:rsidR="00B3080B" w:rsidRPr="00B16A3F">
        <w:rPr>
          <w:b/>
          <w:i w:val="0"/>
          <w:color w:val="auto"/>
          <w:sz w:val="24"/>
          <w:szCs w:val="24"/>
        </w:rPr>
        <w:fldChar w:fldCharType="end"/>
      </w:r>
      <w:r>
        <w:rPr>
          <w:b/>
          <w:i w:val="0"/>
          <w:color w:val="auto"/>
          <w:sz w:val="24"/>
          <w:szCs w:val="24"/>
        </w:rPr>
        <w:t>:</w:t>
      </w:r>
      <w:r w:rsidRPr="00B16A3F">
        <w:rPr>
          <w:rFonts w:cstheme="minorHAnsi"/>
          <w:b/>
          <w:i w:val="0"/>
          <w:color w:val="auto"/>
          <w:sz w:val="24"/>
          <w:szCs w:val="24"/>
        </w:rPr>
        <w:t>Podíl DPFO z celkových ná</w:t>
      </w:r>
      <w:r>
        <w:rPr>
          <w:rFonts w:cstheme="minorHAnsi"/>
          <w:b/>
          <w:i w:val="0"/>
          <w:color w:val="auto"/>
          <w:sz w:val="24"/>
          <w:szCs w:val="24"/>
        </w:rPr>
        <w:t>kladů na práci v roce 2015</w:t>
      </w:r>
    </w:p>
    <w:p w14:paraId="2A992C56" w14:textId="77777777" w:rsidR="00C0073D" w:rsidRPr="001E7D68" w:rsidRDefault="004B7279" w:rsidP="00C0073D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675334F" wp14:editId="193E31D9">
            <wp:extent cx="5486400" cy="5241925"/>
            <wp:effectExtent l="0" t="0" r="0" b="0"/>
            <wp:docPr id="4" name="Obrázek 4" descr="C:\Users\navratilova\AppData\Local\Microsoft\Windows\Temporary Internet Files\Content.Word\Graf_8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93799" name="Picture 17" descr="C:\Users\navratilova\AppData\Local\Microsoft\Windows\Temporary Internet Files\Content.Word\Graf_8.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4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6B52F" w14:textId="77777777" w:rsidR="00C0073D" w:rsidRPr="00040E26" w:rsidRDefault="004B7279" w:rsidP="00C0073D">
      <w:pPr>
        <w:keepNext/>
        <w:rPr>
          <w:rFonts w:cstheme="minorHAnsi"/>
          <w:sz w:val="20"/>
          <w:szCs w:val="20"/>
        </w:rPr>
      </w:pPr>
      <w:r w:rsidRPr="00040E26">
        <w:rPr>
          <w:rFonts w:cstheme="minorHAnsi"/>
          <w:b/>
          <w:sz w:val="20"/>
          <w:szCs w:val="20"/>
        </w:rPr>
        <w:t>Zdroj:</w:t>
      </w:r>
      <w:r w:rsidRPr="00040E26">
        <w:rPr>
          <w:rFonts w:cstheme="minorHAnsi"/>
          <w:sz w:val="20"/>
          <w:szCs w:val="20"/>
        </w:rPr>
        <w:t xml:space="preserve"> OECD Statistics.</w:t>
      </w:r>
    </w:p>
    <w:p w14:paraId="20A1B307" w14:textId="24EE9249" w:rsidR="00C0073D" w:rsidRPr="00053023" w:rsidRDefault="004B7279" w:rsidP="00E925D2">
      <w:pPr>
        <w:spacing w:before="120" w:after="12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Výše uvedený graf uvádí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 stav podílu DPFO na celkových nákladech na práci v roce 2015. Mezi nejvíce podp</w:t>
      </w:r>
      <w:r>
        <w:rPr>
          <w:rFonts w:cstheme="minorHAnsi"/>
          <w:color w:val="000000" w:themeColor="text1"/>
          <w:sz w:val="24"/>
          <w:szCs w:val="24"/>
        </w:rPr>
        <w:t>orované skupiny poplatníků patřily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 především rodiny s dětmi a samoživitelé. Je patrné, že aplikaci negativní daňové povinnosti (daňový bon</w:t>
      </w:r>
      <w:r>
        <w:rPr>
          <w:rFonts w:cstheme="minorHAnsi"/>
          <w:color w:val="000000" w:themeColor="text1"/>
          <w:sz w:val="24"/>
          <w:szCs w:val="24"/>
        </w:rPr>
        <w:t>us) u těchto poplatníků využívaly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 všechny srovnávané státy, kromě Rakouska. Z uvedených údajů však nelze vyvozovat, že proplácení této negativní povinnosti v ostatních státech je v gesci správce daně, jako je tomu v případě České republiky.</w:t>
      </w:r>
    </w:p>
    <w:p w14:paraId="765DDD0B" w14:textId="005D91A4" w:rsidR="00C0073D" w:rsidRPr="00053023" w:rsidRDefault="004B7279" w:rsidP="00E925D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053023">
        <w:rPr>
          <w:rFonts w:cstheme="minorHAnsi"/>
          <w:color w:val="000000" w:themeColor="text1"/>
          <w:sz w:val="24"/>
          <w:szCs w:val="24"/>
        </w:rPr>
        <w:t xml:space="preserve">Z výše uvedených údajů vyplývá, že daňovou progresi využívají všechny srovnávané státy, přičemž rozdíly jsou patrné nejen z hlediska výše získávaných příjmů </w:t>
      </w:r>
      <w:r w:rsidR="0020002D">
        <w:rPr>
          <w:rFonts w:cstheme="minorHAnsi"/>
          <w:color w:val="000000" w:themeColor="text1"/>
          <w:sz w:val="24"/>
          <w:szCs w:val="24"/>
        </w:rPr>
        <w:t>ze zaměstnání</w:t>
      </w:r>
      <w:r w:rsidRPr="00053023">
        <w:rPr>
          <w:rFonts w:cstheme="minorHAnsi"/>
          <w:color w:val="000000" w:themeColor="text1"/>
          <w:sz w:val="24"/>
          <w:szCs w:val="24"/>
        </w:rPr>
        <w:t xml:space="preserve">, ale taktéž </w:t>
      </w:r>
      <w:r w:rsidRPr="00053023">
        <w:rPr>
          <w:rFonts w:cstheme="minorHAnsi"/>
          <w:sz w:val="24"/>
          <w:szCs w:val="24"/>
        </w:rPr>
        <w:t xml:space="preserve">vyživovací povinnosti poplatníků DPFO. </w:t>
      </w:r>
    </w:p>
    <w:p w14:paraId="09F5F678" w14:textId="77777777" w:rsidR="00C0073D" w:rsidRDefault="004B7279">
      <w:pPr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br w:type="page"/>
      </w:r>
    </w:p>
    <w:p w14:paraId="3BFD1CA8" w14:textId="3399333A" w:rsidR="00C0073D" w:rsidRDefault="004B7279" w:rsidP="00664A6B">
      <w:pPr>
        <w:spacing w:after="0" w:line="276" w:lineRule="auto"/>
        <w:rPr>
          <w:rFonts w:eastAsia="Times New Roman" w:cs="Times New Roman"/>
          <w:b/>
          <w:sz w:val="24"/>
          <w:szCs w:val="24"/>
        </w:rPr>
      </w:pPr>
      <w:r w:rsidRPr="003C5A15">
        <w:rPr>
          <w:rFonts w:eastAsia="Times New Roman" w:cs="Times New Roman"/>
          <w:b/>
          <w:sz w:val="24"/>
          <w:szCs w:val="24"/>
        </w:rPr>
        <w:lastRenderedPageBreak/>
        <w:t>Seznam zkratek</w:t>
      </w:r>
    </w:p>
    <w:p w14:paraId="248CD9CF" w14:textId="77777777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</w:p>
    <w:p w14:paraId="174EF4B1" w14:textId="151AB56F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ADIS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automatizovaný daňový informační systém</w:t>
      </w:r>
    </w:p>
    <w:p w14:paraId="7C0189AE" w14:textId="11CB79DE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ČR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Česká republika</w:t>
      </w:r>
    </w:p>
    <w:p w14:paraId="6E51C2F8" w14:textId="07BB9D5A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DAP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daňové přiznání</w:t>
      </w:r>
    </w:p>
    <w:p w14:paraId="0B02DF77" w14:textId="01C398A2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DB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daňový bonus</w:t>
      </w:r>
    </w:p>
    <w:p w14:paraId="668C3E6D" w14:textId="3A7BA3E0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DPFO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daň z příjmů fyzických osob</w:t>
      </w:r>
    </w:p>
    <w:p w14:paraId="1A7D4A8A" w14:textId="76F2592E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DŘ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daňový řád</w:t>
      </w:r>
    </w:p>
    <w:p w14:paraId="664DE982" w14:textId="1E87E254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DS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daňový subjekt</w:t>
      </w:r>
    </w:p>
    <w:p w14:paraId="1C2858E5" w14:textId="25774F6E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EU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Evropská unie</w:t>
      </w:r>
    </w:p>
    <w:p w14:paraId="067B04D1" w14:textId="073EC811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FO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fyzická osoba</w:t>
      </w:r>
    </w:p>
    <w:p w14:paraId="1161B356" w14:textId="3F3C8F0E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FS ČR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Finanční správa ČR</w:t>
      </w:r>
    </w:p>
    <w:p w14:paraId="3B374ED2" w14:textId="74A55674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FÚ</w:t>
      </w:r>
      <w:r>
        <w:rPr>
          <w:rFonts w:eastAsia="Times New Roman" w:cs="Times New Roman"/>
          <w:sz w:val="24"/>
          <w:szCs w:val="24"/>
        </w:rPr>
        <w:tab/>
      </w:r>
      <w:r w:rsidR="000F0C63">
        <w:rPr>
          <w:rFonts w:eastAsia="Times New Roman" w:cs="Times New Roman"/>
          <w:sz w:val="24"/>
          <w:szCs w:val="24"/>
        </w:rPr>
        <w:t>f</w:t>
      </w:r>
      <w:r w:rsidR="00664265">
        <w:rPr>
          <w:rFonts w:eastAsia="Times New Roman" w:cs="Times New Roman"/>
          <w:sz w:val="24"/>
          <w:szCs w:val="24"/>
        </w:rPr>
        <w:t>inanční úřad</w:t>
      </w:r>
    </w:p>
    <w:p w14:paraId="7C02D3FA" w14:textId="753F6FC7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GFŘ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Generální finanční ředitelství</w:t>
      </w:r>
    </w:p>
    <w:p w14:paraId="45311D80" w14:textId="3B87AFFE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HDP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hrubý domácí produkt</w:t>
      </w:r>
    </w:p>
    <w:p w14:paraId="1236D6BF" w14:textId="05F29A6D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JIM</w:t>
      </w:r>
      <w:r>
        <w:rPr>
          <w:rFonts w:eastAsia="Times New Roman" w:cs="Times New Roman"/>
          <w:sz w:val="24"/>
          <w:szCs w:val="24"/>
        </w:rPr>
        <w:tab/>
      </w:r>
      <w:r w:rsidR="000F0C63">
        <w:rPr>
          <w:rFonts w:eastAsia="Times New Roman" w:cs="Times New Roman"/>
          <w:sz w:val="24"/>
          <w:szCs w:val="24"/>
        </w:rPr>
        <w:t>j</w:t>
      </w:r>
      <w:r w:rsidR="00664265">
        <w:rPr>
          <w:rFonts w:eastAsia="Times New Roman" w:cs="Times New Roman"/>
          <w:sz w:val="24"/>
          <w:szCs w:val="24"/>
        </w:rPr>
        <w:t>edno inkasní místo</w:t>
      </w:r>
    </w:p>
    <w:p w14:paraId="23257950" w14:textId="71D6FB55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MF</w:t>
      </w:r>
      <w:r>
        <w:rPr>
          <w:rFonts w:eastAsia="Times New Roman" w:cs="Times New Roman"/>
          <w:sz w:val="24"/>
          <w:szCs w:val="24"/>
        </w:rPr>
        <w:tab/>
      </w:r>
      <w:r w:rsidR="00664265">
        <w:rPr>
          <w:rFonts w:eastAsia="Times New Roman" w:cs="Times New Roman"/>
          <w:sz w:val="24"/>
          <w:szCs w:val="24"/>
        </w:rPr>
        <w:t>Ministerstvo financí</w:t>
      </w:r>
    </w:p>
    <w:p w14:paraId="5B58D6E2" w14:textId="404BD5F1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NKÚ</w:t>
      </w:r>
      <w:r>
        <w:rPr>
          <w:rFonts w:eastAsia="Times New Roman" w:cs="Times New Roman"/>
          <w:sz w:val="24"/>
          <w:szCs w:val="24"/>
        </w:rPr>
        <w:tab/>
      </w:r>
      <w:r w:rsidR="00FF5F63">
        <w:rPr>
          <w:rFonts w:eastAsia="Times New Roman" w:cs="Times New Roman"/>
          <w:sz w:val="24"/>
          <w:szCs w:val="24"/>
        </w:rPr>
        <w:t>Nejvyšší kontrolní úřad</w:t>
      </w:r>
    </w:p>
    <w:p w14:paraId="6A828EA4" w14:textId="25D2309C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OECD</w:t>
      </w:r>
      <w:r>
        <w:rPr>
          <w:rFonts w:eastAsia="Times New Roman" w:cs="Times New Roman"/>
          <w:sz w:val="24"/>
          <w:szCs w:val="24"/>
        </w:rPr>
        <w:tab/>
      </w:r>
      <w:r w:rsidR="00FF5F63">
        <w:rPr>
          <w:rFonts w:eastAsia="Times New Roman" w:cs="Times New Roman"/>
          <w:sz w:val="24"/>
          <w:szCs w:val="24"/>
        </w:rPr>
        <w:t>Organizace pro hospodářskou spolupráci a rozvoj</w:t>
      </w:r>
    </w:p>
    <w:p w14:paraId="61A0AF6D" w14:textId="479C10B0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OSVČ</w:t>
      </w:r>
      <w:r>
        <w:rPr>
          <w:rFonts w:eastAsia="Times New Roman" w:cs="Times New Roman"/>
          <w:sz w:val="24"/>
          <w:szCs w:val="24"/>
        </w:rPr>
        <w:tab/>
      </w:r>
      <w:r w:rsidR="00FF5F63">
        <w:rPr>
          <w:rFonts w:eastAsia="Times New Roman" w:cs="Times New Roman"/>
          <w:sz w:val="24"/>
          <w:szCs w:val="24"/>
        </w:rPr>
        <w:t>osoba samostatně výdělečně činná</w:t>
      </w:r>
    </w:p>
    <w:p w14:paraId="443B0D80" w14:textId="471B0BDB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Pl. ÚS</w:t>
      </w:r>
      <w:r>
        <w:rPr>
          <w:rFonts w:eastAsia="Times New Roman" w:cs="Times New Roman"/>
          <w:sz w:val="24"/>
          <w:szCs w:val="24"/>
        </w:rPr>
        <w:tab/>
      </w:r>
      <w:r w:rsidR="000F0C63">
        <w:rPr>
          <w:rFonts w:eastAsia="Times New Roman" w:cs="Times New Roman"/>
          <w:sz w:val="24"/>
          <w:szCs w:val="24"/>
        </w:rPr>
        <w:t>p</w:t>
      </w:r>
      <w:r w:rsidR="00FF5F63">
        <w:rPr>
          <w:rFonts w:eastAsia="Times New Roman" w:cs="Times New Roman"/>
          <w:sz w:val="24"/>
          <w:szCs w:val="24"/>
        </w:rPr>
        <w:t>lénum Ústavního soudu</w:t>
      </w:r>
    </w:p>
    <w:p w14:paraId="1F5960DC" w14:textId="0C4047BA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</w:t>
      </w:r>
      <w:r>
        <w:rPr>
          <w:rFonts w:eastAsia="Times New Roman" w:cs="Times New Roman"/>
          <w:sz w:val="24"/>
          <w:szCs w:val="24"/>
        </w:rPr>
        <w:tab/>
      </w:r>
      <w:r w:rsidR="00FF5F63">
        <w:rPr>
          <w:rFonts w:eastAsia="Times New Roman" w:cs="Times New Roman"/>
          <w:sz w:val="24"/>
          <w:szCs w:val="24"/>
        </w:rPr>
        <w:t>právnická osoba</w:t>
      </w:r>
    </w:p>
    <w:p w14:paraId="16869F0B" w14:textId="72887B83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SD</w:t>
      </w:r>
      <w:r>
        <w:rPr>
          <w:rFonts w:eastAsia="Times New Roman" w:cs="Times New Roman"/>
          <w:sz w:val="24"/>
          <w:szCs w:val="24"/>
        </w:rPr>
        <w:tab/>
      </w:r>
      <w:r w:rsidR="00FF5F63">
        <w:rPr>
          <w:rFonts w:eastAsia="Times New Roman" w:cs="Times New Roman"/>
          <w:sz w:val="24"/>
          <w:szCs w:val="24"/>
        </w:rPr>
        <w:t>správce daně</w:t>
      </w:r>
    </w:p>
    <w:p w14:paraId="0724B9A2" w14:textId="4980C3D6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SFÚ</w:t>
      </w:r>
      <w:r>
        <w:rPr>
          <w:rFonts w:eastAsia="Times New Roman" w:cs="Times New Roman"/>
          <w:sz w:val="24"/>
          <w:szCs w:val="24"/>
        </w:rPr>
        <w:tab/>
      </w:r>
      <w:r w:rsidR="00FF5F63">
        <w:rPr>
          <w:rFonts w:eastAsia="Times New Roman" w:cs="Times New Roman"/>
          <w:sz w:val="24"/>
          <w:szCs w:val="24"/>
        </w:rPr>
        <w:t>Specializovaný finanční úřad</w:t>
      </w:r>
    </w:p>
    <w:p w14:paraId="3C393B38" w14:textId="184BD3F0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SR</w:t>
      </w:r>
      <w:r>
        <w:rPr>
          <w:rFonts w:eastAsia="Times New Roman" w:cs="Times New Roman"/>
          <w:sz w:val="24"/>
          <w:szCs w:val="24"/>
        </w:rPr>
        <w:tab/>
      </w:r>
      <w:r w:rsidR="00FF5F63">
        <w:rPr>
          <w:rFonts w:eastAsia="Times New Roman" w:cs="Times New Roman"/>
          <w:sz w:val="24"/>
          <w:szCs w:val="24"/>
        </w:rPr>
        <w:t>státní rozpočet</w:t>
      </w:r>
    </w:p>
    <w:p w14:paraId="62D0BAC9" w14:textId="73A2BC9A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SZÚ</w:t>
      </w:r>
      <w:r>
        <w:rPr>
          <w:rFonts w:eastAsia="Times New Roman" w:cs="Times New Roman"/>
          <w:sz w:val="24"/>
          <w:szCs w:val="24"/>
        </w:rPr>
        <w:tab/>
      </w:r>
      <w:r w:rsidR="000F0C63">
        <w:rPr>
          <w:rFonts w:eastAsia="Times New Roman" w:cs="Times New Roman"/>
          <w:sz w:val="24"/>
          <w:szCs w:val="24"/>
        </w:rPr>
        <w:t>s</w:t>
      </w:r>
      <w:r w:rsidR="00FF5F63">
        <w:rPr>
          <w:rFonts w:eastAsia="Times New Roman" w:cs="Times New Roman"/>
          <w:sz w:val="24"/>
          <w:szCs w:val="24"/>
        </w:rPr>
        <w:t>tátní závěrečný účet</w:t>
      </w:r>
    </w:p>
    <w:p w14:paraId="101F3498" w14:textId="68E8C8DE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VDA</w:t>
      </w:r>
      <w:r>
        <w:rPr>
          <w:rFonts w:eastAsia="Times New Roman" w:cs="Times New Roman"/>
          <w:sz w:val="24"/>
          <w:szCs w:val="24"/>
        </w:rPr>
        <w:tab/>
      </w:r>
      <w:r w:rsidR="00FF5F63">
        <w:rPr>
          <w:rFonts w:eastAsia="Times New Roman" w:cs="Times New Roman"/>
          <w:sz w:val="24"/>
          <w:szCs w:val="24"/>
        </w:rPr>
        <w:t>vyúčtování DPFO ze závislé činnosti</w:t>
      </w:r>
    </w:p>
    <w:p w14:paraId="01EEA67D" w14:textId="0C896D4D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ZD</w:t>
      </w:r>
      <w:r>
        <w:rPr>
          <w:rFonts w:eastAsia="Times New Roman" w:cs="Times New Roman"/>
          <w:sz w:val="24"/>
          <w:szCs w:val="24"/>
        </w:rPr>
        <w:tab/>
      </w:r>
      <w:r w:rsidR="00FF5F63">
        <w:rPr>
          <w:rFonts w:eastAsia="Times New Roman" w:cs="Times New Roman"/>
          <w:sz w:val="24"/>
          <w:szCs w:val="24"/>
        </w:rPr>
        <w:t>základ daně</w:t>
      </w:r>
    </w:p>
    <w:p w14:paraId="530A6E58" w14:textId="53DBCFB3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ZDP</w:t>
      </w:r>
      <w:r>
        <w:rPr>
          <w:rFonts w:eastAsia="Times New Roman" w:cs="Times New Roman"/>
          <w:sz w:val="24"/>
          <w:szCs w:val="24"/>
        </w:rPr>
        <w:tab/>
      </w:r>
      <w:r w:rsidR="00FF5F63">
        <w:rPr>
          <w:rFonts w:eastAsia="Times New Roman" w:cs="Times New Roman"/>
          <w:sz w:val="24"/>
          <w:szCs w:val="24"/>
        </w:rPr>
        <w:t>zákon o daních z příjmů</w:t>
      </w:r>
    </w:p>
    <w:p w14:paraId="5677A8CE" w14:textId="4DB3A00B" w:rsidR="00664A6B" w:rsidRDefault="00664A6B" w:rsidP="00664A6B">
      <w:pPr>
        <w:tabs>
          <w:tab w:val="left" w:pos="1418"/>
        </w:tabs>
        <w:spacing w:after="0" w:line="276" w:lineRule="auto"/>
        <w:ind w:left="1418" w:hanging="1418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ZO</w:t>
      </w:r>
      <w:r>
        <w:rPr>
          <w:rFonts w:eastAsia="Times New Roman" w:cs="Times New Roman"/>
          <w:sz w:val="24"/>
          <w:szCs w:val="24"/>
        </w:rPr>
        <w:tab/>
      </w:r>
      <w:r w:rsidR="00FF5F63">
        <w:rPr>
          <w:rFonts w:eastAsia="Times New Roman" w:cs="Times New Roman"/>
          <w:sz w:val="24"/>
          <w:szCs w:val="24"/>
        </w:rPr>
        <w:t>zdaňovací období</w:t>
      </w:r>
    </w:p>
    <w:p w14:paraId="3F1FA518" w14:textId="0AB2BAE2" w:rsidR="00664A6B" w:rsidRDefault="00664A6B">
      <w:pPr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br w:type="page"/>
      </w:r>
    </w:p>
    <w:p w14:paraId="05B82694" w14:textId="45DF9C9F" w:rsidR="00664A6B" w:rsidRPr="00524DA6" w:rsidRDefault="00524DA6" w:rsidP="00AD6CB5">
      <w:pPr>
        <w:spacing w:after="0"/>
        <w:ind w:left="1418" w:hanging="1418"/>
        <w:rPr>
          <w:rFonts w:eastAsia="Times New Roman" w:cs="Times New Roman"/>
          <w:b/>
          <w:sz w:val="24"/>
          <w:szCs w:val="24"/>
        </w:rPr>
      </w:pPr>
      <w:r w:rsidRPr="00524DA6">
        <w:rPr>
          <w:rFonts w:eastAsia="Times New Roman" w:cs="Times New Roman"/>
          <w:b/>
          <w:sz w:val="24"/>
          <w:szCs w:val="24"/>
        </w:rPr>
        <w:lastRenderedPageBreak/>
        <w:t xml:space="preserve">Příloha č. 1: </w:t>
      </w:r>
      <w:r w:rsidR="00AD6CB5">
        <w:rPr>
          <w:rFonts w:eastAsia="Times New Roman" w:cs="Times New Roman"/>
          <w:b/>
          <w:sz w:val="24"/>
          <w:szCs w:val="24"/>
        </w:rPr>
        <w:tab/>
      </w:r>
      <w:r w:rsidRPr="00524DA6">
        <w:rPr>
          <w:rFonts w:eastAsia="Times New Roman" w:cs="Times New Roman"/>
          <w:b/>
          <w:sz w:val="24"/>
          <w:szCs w:val="24"/>
        </w:rPr>
        <w:t>Komparace celkového zdanění práce u bezdětného poplatníka s průměrnou mzdou (rok 2015)</w:t>
      </w:r>
    </w:p>
    <w:p w14:paraId="002BB735" w14:textId="77777777" w:rsidR="00C0073D" w:rsidRDefault="004B7279" w:rsidP="00C0073D">
      <w:pPr>
        <w:keepNext/>
        <w:keepLines/>
        <w:spacing w:line="276" w:lineRule="auto"/>
        <w:contextualSpacing/>
        <w:jc w:val="both"/>
        <w:rPr>
          <w:rFonts w:eastAsia="Times New Roman" w:cs="Times New Roman"/>
          <w:b/>
          <w:sz w:val="24"/>
          <w:szCs w:val="24"/>
        </w:rPr>
      </w:pPr>
      <w:r w:rsidRPr="0076146F">
        <w:rPr>
          <w:rFonts w:eastAsia="Times New Roman" w:cs="Times New Roman"/>
          <w:b/>
          <w:noProof/>
          <w:color w:val="C00000"/>
          <w:sz w:val="24"/>
          <w:szCs w:val="24"/>
          <w:lang w:eastAsia="cs-CZ"/>
        </w:rPr>
        <w:drawing>
          <wp:inline distT="0" distB="0" distL="0" distR="0" wp14:anchorId="7BBD9A88" wp14:editId="33DE51E3">
            <wp:extent cx="5886450" cy="3200400"/>
            <wp:effectExtent l="0" t="0" r="0" b="0"/>
            <wp:docPr id="1131450005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28201517" w14:textId="77777777" w:rsidR="00C0073D" w:rsidRPr="00040E26" w:rsidRDefault="004B7279" w:rsidP="00C0073D">
      <w:pPr>
        <w:keepLines/>
        <w:rPr>
          <w:rFonts w:cstheme="minorHAnsi"/>
          <w:sz w:val="20"/>
          <w:szCs w:val="20"/>
        </w:rPr>
      </w:pPr>
      <w:r w:rsidRPr="00040E26">
        <w:rPr>
          <w:rFonts w:cstheme="minorHAnsi"/>
          <w:b/>
          <w:sz w:val="20"/>
          <w:szCs w:val="20"/>
        </w:rPr>
        <w:t>Zdroj:</w:t>
      </w:r>
      <w:r w:rsidRPr="00040E26">
        <w:rPr>
          <w:rFonts w:cstheme="minorHAnsi"/>
          <w:sz w:val="20"/>
          <w:szCs w:val="20"/>
        </w:rPr>
        <w:t xml:space="preserve"> OECD Statistics.</w:t>
      </w:r>
    </w:p>
    <w:p w14:paraId="71D5ECF8" w14:textId="3795B8D6" w:rsidR="00C0073D" w:rsidRDefault="00C0073D" w:rsidP="00C0073D">
      <w:pPr>
        <w:rPr>
          <w:rFonts w:cstheme="minorHAnsi"/>
        </w:rPr>
      </w:pPr>
    </w:p>
    <w:p w14:paraId="05E0CD40" w14:textId="20B5C2D1" w:rsidR="00524DA6" w:rsidRPr="00524DA6" w:rsidRDefault="00524DA6" w:rsidP="00AD6CB5">
      <w:pPr>
        <w:ind w:left="1418" w:hanging="1418"/>
        <w:jc w:val="both"/>
        <w:rPr>
          <w:rFonts w:cstheme="minorHAnsi"/>
          <w:b/>
          <w:sz w:val="24"/>
        </w:rPr>
      </w:pPr>
      <w:r w:rsidRPr="00524DA6">
        <w:rPr>
          <w:rFonts w:cstheme="minorHAnsi"/>
          <w:b/>
          <w:sz w:val="24"/>
        </w:rPr>
        <w:t xml:space="preserve">Příloha č. 2: </w:t>
      </w:r>
      <w:r w:rsidR="00AD6CB5">
        <w:rPr>
          <w:rFonts w:cstheme="minorHAnsi"/>
          <w:b/>
          <w:sz w:val="24"/>
        </w:rPr>
        <w:tab/>
      </w:r>
      <w:r w:rsidRPr="00524DA6">
        <w:rPr>
          <w:rFonts w:cstheme="minorHAnsi"/>
          <w:b/>
          <w:sz w:val="24"/>
        </w:rPr>
        <w:t xml:space="preserve">Podíl DPFO z celkových nákladů na </w:t>
      </w:r>
      <w:r>
        <w:rPr>
          <w:rFonts w:cstheme="minorHAnsi"/>
          <w:b/>
          <w:sz w:val="24"/>
        </w:rPr>
        <w:t>práci</w:t>
      </w:r>
      <w:r w:rsidR="00B16D20">
        <w:rPr>
          <w:rFonts w:cstheme="minorHAnsi"/>
          <w:b/>
          <w:sz w:val="24"/>
        </w:rPr>
        <w:t xml:space="preserve"> </w:t>
      </w:r>
      <w:r>
        <w:rPr>
          <w:rFonts w:cstheme="minorHAnsi"/>
          <w:b/>
          <w:sz w:val="24"/>
        </w:rPr>
        <w:t>u</w:t>
      </w:r>
      <w:r w:rsidR="00B16D20">
        <w:rPr>
          <w:rFonts w:cstheme="minorHAnsi"/>
          <w:b/>
          <w:sz w:val="24"/>
        </w:rPr>
        <w:t> </w:t>
      </w:r>
      <w:r>
        <w:rPr>
          <w:rFonts w:cstheme="minorHAnsi"/>
          <w:b/>
          <w:sz w:val="24"/>
        </w:rPr>
        <w:t>bezdětného poplatníka s p</w:t>
      </w:r>
      <w:r w:rsidRPr="00524DA6">
        <w:rPr>
          <w:rFonts w:cstheme="minorHAnsi"/>
          <w:b/>
          <w:sz w:val="24"/>
        </w:rPr>
        <w:t>růměrnou mzdou (rok 2015)</w:t>
      </w:r>
    </w:p>
    <w:p w14:paraId="508C5CB4" w14:textId="77777777" w:rsidR="00C0073D" w:rsidRDefault="004B7279" w:rsidP="00C0073D">
      <w:pPr>
        <w:pStyle w:val="Titulek"/>
        <w:keepNext/>
        <w:keepLines/>
        <w:rPr>
          <w:rFonts w:cstheme="minorHAnsi"/>
          <w:b/>
          <w:i w:val="0"/>
          <w:color w:val="auto"/>
          <w:sz w:val="24"/>
          <w:szCs w:val="24"/>
        </w:rPr>
      </w:pPr>
      <w:r>
        <w:rPr>
          <w:rFonts w:cstheme="minorHAnsi"/>
          <w:b/>
          <w:i w:val="0"/>
          <w:noProof/>
          <w:color w:val="auto"/>
          <w:sz w:val="24"/>
          <w:szCs w:val="24"/>
          <w:lang w:eastAsia="cs-CZ"/>
        </w:rPr>
        <w:drawing>
          <wp:inline distT="0" distB="0" distL="0" distR="0" wp14:anchorId="72F85365" wp14:editId="2AA0CE9D">
            <wp:extent cx="5886450" cy="3200400"/>
            <wp:effectExtent l="0" t="0" r="0" b="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33CD47D9" w14:textId="77777777" w:rsidR="00C0073D" w:rsidRPr="00040E26" w:rsidRDefault="004B7279" w:rsidP="00C0073D">
      <w:pPr>
        <w:keepLines/>
        <w:rPr>
          <w:rFonts w:cstheme="minorHAnsi"/>
          <w:sz w:val="20"/>
          <w:szCs w:val="20"/>
        </w:rPr>
      </w:pPr>
      <w:r w:rsidRPr="00040E26">
        <w:rPr>
          <w:rFonts w:cstheme="minorHAnsi"/>
          <w:b/>
          <w:sz w:val="20"/>
          <w:szCs w:val="20"/>
        </w:rPr>
        <w:t>Zdroj:</w:t>
      </w:r>
      <w:r w:rsidRPr="00040E26">
        <w:rPr>
          <w:rFonts w:cstheme="minorHAnsi"/>
          <w:sz w:val="20"/>
          <w:szCs w:val="20"/>
        </w:rPr>
        <w:t xml:space="preserve"> OECD Statistics.</w:t>
      </w:r>
    </w:p>
    <w:p w14:paraId="654A1D3B" w14:textId="77777777" w:rsidR="00C0073D" w:rsidRDefault="004B7279">
      <w:pPr>
        <w:rPr>
          <w:rFonts w:cstheme="minorHAnsi"/>
        </w:rPr>
      </w:pPr>
      <w:r>
        <w:rPr>
          <w:rFonts w:cstheme="minorHAnsi"/>
        </w:rPr>
        <w:br w:type="page"/>
      </w:r>
    </w:p>
    <w:p w14:paraId="6750529F" w14:textId="7654ADB6" w:rsidR="00C0073D" w:rsidRPr="00040E26" w:rsidRDefault="004B7279" w:rsidP="00524DA6">
      <w:pPr>
        <w:pStyle w:val="Titulek"/>
        <w:spacing w:after="0" w:line="276" w:lineRule="auto"/>
        <w:jc w:val="both"/>
        <w:rPr>
          <w:b/>
          <w:i w:val="0"/>
          <w:color w:val="auto"/>
          <w:sz w:val="24"/>
          <w:szCs w:val="24"/>
        </w:rPr>
      </w:pPr>
      <w:r w:rsidRPr="00313ED7">
        <w:rPr>
          <w:b/>
          <w:i w:val="0"/>
          <w:color w:val="auto"/>
          <w:sz w:val="24"/>
          <w:szCs w:val="24"/>
        </w:rPr>
        <w:lastRenderedPageBreak/>
        <w:t xml:space="preserve">Příloha č. </w:t>
      </w:r>
      <w:r w:rsidR="002D3D6D">
        <w:rPr>
          <w:b/>
          <w:i w:val="0"/>
          <w:color w:val="auto"/>
          <w:sz w:val="24"/>
          <w:szCs w:val="24"/>
        </w:rPr>
        <w:t>3</w:t>
      </w:r>
    </w:p>
    <w:p w14:paraId="0F7E9713" w14:textId="7BF9E0A9" w:rsidR="00C0073D" w:rsidRDefault="004B7279" w:rsidP="00F83EFF">
      <w:pPr>
        <w:pStyle w:val="Protokol"/>
        <w:spacing w:before="120" w:line="240" w:lineRule="auto"/>
      </w:pPr>
      <w:r w:rsidRPr="00313ED7">
        <w:t xml:space="preserve">NKÚ zvolil pro vyjádření nákladovosti a efektivnosti DPFO z přiznání a DPFO ze závislé činnosti metodu přepočtu výdajů koeficientem založeným na poměru zaměstnanců vykonávajících správu DPFO z přiznání, resp. DPFO ze závislé činnosti na celkovém počtu zaměstnanců FS ČR. </w:t>
      </w:r>
    </w:p>
    <w:p w14:paraId="25946914" w14:textId="3FE46B84" w:rsidR="00524DA6" w:rsidRPr="00524DA6" w:rsidRDefault="00524DA6" w:rsidP="007D51F1">
      <w:pPr>
        <w:pStyle w:val="Protokol"/>
        <w:spacing w:before="120" w:after="0"/>
        <w:rPr>
          <w:b/>
        </w:rPr>
      </w:pPr>
      <w:r w:rsidRPr="00524DA6">
        <w:rPr>
          <w:b/>
        </w:rPr>
        <w:t>Nákladovost a efektivnost správy DPFO (v Kč)</w:t>
      </w:r>
    </w:p>
    <w:bookmarkStart w:id="7" w:name="_MON_1557829224"/>
    <w:bookmarkEnd w:id="7"/>
    <w:p w14:paraId="07D8E0DF" w14:textId="3C995537" w:rsidR="00C0073D" w:rsidRDefault="0051089F" w:rsidP="00524DA6">
      <w:pPr>
        <w:spacing w:before="40" w:after="0" w:line="240" w:lineRule="auto"/>
        <w:rPr>
          <w:rFonts w:cstheme="minorHAnsi"/>
          <w:sz w:val="20"/>
          <w:szCs w:val="20"/>
        </w:rPr>
      </w:pPr>
      <w:r w:rsidRPr="00B34E40">
        <w:rPr>
          <w:rFonts w:cstheme="minorHAnsi"/>
        </w:rPr>
        <w:object w:dxaOrig="9598" w:dyaOrig="3470" w14:anchorId="0CD0F0CF">
          <v:shape id="_x0000_i1036" type="#_x0000_t75" style="width:455.25pt;height:166.5pt" o:ole="">
            <v:imagedata r:id="rId42" o:title=""/>
          </v:shape>
          <o:OLEObject Type="Embed" ProgID="Excel.Sheet.12" ShapeID="_x0000_i1036" DrawAspect="Content" ObjectID="_1564309629" r:id="rId43"/>
        </w:object>
      </w:r>
      <w:r w:rsidR="004B7279" w:rsidRPr="00D7332C">
        <w:rPr>
          <w:rFonts w:cstheme="minorHAnsi"/>
          <w:b/>
          <w:sz w:val="20"/>
          <w:szCs w:val="20"/>
        </w:rPr>
        <w:t>Zdroj:</w:t>
      </w:r>
      <w:r w:rsidR="00C70AFF">
        <w:rPr>
          <w:rFonts w:cstheme="minorHAnsi"/>
          <w:sz w:val="20"/>
          <w:szCs w:val="20"/>
        </w:rPr>
        <w:t xml:space="preserve"> </w:t>
      </w:r>
      <w:r w:rsidR="00A713D0">
        <w:rPr>
          <w:rFonts w:cstheme="minorHAnsi"/>
          <w:sz w:val="20"/>
          <w:szCs w:val="20"/>
        </w:rPr>
        <w:t>d</w:t>
      </w:r>
      <w:r w:rsidR="00C70AFF">
        <w:rPr>
          <w:rFonts w:cstheme="minorHAnsi"/>
          <w:sz w:val="20"/>
          <w:szCs w:val="20"/>
        </w:rPr>
        <w:t>ata z GFŘ, vlastní zpracování NKÚ.</w:t>
      </w:r>
    </w:p>
    <w:p w14:paraId="1F082796" w14:textId="24186123" w:rsidR="00524DA6" w:rsidRPr="00524DA6" w:rsidRDefault="00524DA6" w:rsidP="007D51F1">
      <w:pPr>
        <w:spacing w:before="120" w:after="0" w:line="276" w:lineRule="auto"/>
        <w:rPr>
          <w:rFonts w:cstheme="minorHAnsi"/>
          <w:b/>
          <w:sz w:val="24"/>
          <w:szCs w:val="20"/>
        </w:rPr>
      </w:pPr>
      <w:r w:rsidRPr="00524DA6">
        <w:rPr>
          <w:rFonts w:cstheme="minorHAnsi"/>
          <w:b/>
          <w:sz w:val="24"/>
          <w:szCs w:val="20"/>
        </w:rPr>
        <w:t>Nákladovost a efektivnost správy DPFO z přiznání (v Kč)</w:t>
      </w:r>
    </w:p>
    <w:bookmarkStart w:id="8" w:name="_MON_1550055890"/>
    <w:bookmarkEnd w:id="8"/>
    <w:p w14:paraId="38D44067" w14:textId="6166F9DE" w:rsidR="00C0073D" w:rsidRDefault="001B7507" w:rsidP="00524DA6">
      <w:pPr>
        <w:spacing w:before="40" w:after="0" w:line="240" w:lineRule="auto"/>
        <w:rPr>
          <w:rFonts w:cstheme="minorHAnsi"/>
          <w:sz w:val="20"/>
          <w:szCs w:val="20"/>
        </w:rPr>
      </w:pPr>
      <w:r w:rsidRPr="00B34E40">
        <w:rPr>
          <w:rFonts w:cstheme="minorHAnsi"/>
        </w:rPr>
        <w:object w:dxaOrig="9600" w:dyaOrig="3470" w14:anchorId="46B2FCC1">
          <v:shape id="_x0000_i1037" type="#_x0000_t75" style="width:455.25pt;height:166.5pt" o:ole="">
            <v:imagedata r:id="rId44" o:title=""/>
          </v:shape>
          <o:OLEObject Type="Embed" ProgID="Excel.Sheet.12" ShapeID="_x0000_i1037" DrawAspect="Content" ObjectID="_1564309630" r:id="rId45"/>
        </w:object>
      </w:r>
      <w:r w:rsidR="004B7279" w:rsidRPr="00D7332C">
        <w:rPr>
          <w:rFonts w:cstheme="minorHAnsi"/>
          <w:b/>
          <w:sz w:val="20"/>
          <w:szCs w:val="20"/>
        </w:rPr>
        <w:t>Zdroj:</w:t>
      </w:r>
      <w:r w:rsidR="00C70AFF">
        <w:rPr>
          <w:rFonts w:cstheme="minorHAnsi"/>
          <w:sz w:val="20"/>
          <w:szCs w:val="20"/>
        </w:rPr>
        <w:t xml:space="preserve"> </w:t>
      </w:r>
      <w:r w:rsidR="00A713D0">
        <w:rPr>
          <w:rFonts w:cstheme="minorHAnsi"/>
          <w:sz w:val="20"/>
          <w:szCs w:val="20"/>
        </w:rPr>
        <w:t>d</w:t>
      </w:r>
      <w:r w:rsidR="00C70AFF">
        <w:rPr>
          <w:rFonts w:cstheme="minorHAnsi"/>
          <w:sz w:val="20"/>
          <w:szCs w:val="20"/>
        </w:rPr>
        <w:t>ata z GFŘ, vlastní zpracování NKÚ.</w:t>
      </w:r>
    </w:p>
    <w:p w14:paraId="57D41F97" w14:textId="55A731F0" w:rsidR="00524DA6" w:rsidRPr="00524DA6" w:rsidRDefault="00524DA6" w:rsidP="007D51F1">
      <w:pPr>
        <w:spacing w:before="120" w:after="0" w:line="276" w:lineRule="auto"/>
        <w:rPr>
          <w:rFonts w:cstheme="minorHAnsi"/>
          <w:b/>
          <w:sz w:val="24"/>
          <w:szCs w:val="20"/>
        </w:rPr>
      </w:pPr>
      <w:r w:rsidRPr="00524DA6">
        <w:rPr>
          <w:rFonts w:cstheme="minorHAnsi"/>
          <w:b/>
          <w:sz w:val="24"/>
          <w:szCs w:val="20"/>
        </w:rPr>
        <w:t>Nákladovost a efektivnost správy DPFO ze závislé činnosti (v Kč)</w:t>
      </w:r>
    </w:p>
    <w:bookmarkStart w:id="9" w:name="_MON_1550056536"/>
    <w:bookmarkEnd w:id="9"/>
    <w:p w14:paraId="39671728" w14:textId="01E8613E" w:rsidR="00C0073D" w:rsidRPr="00016A39" w:rsidRDefault="00126A8E" w:rsidP="00524DA6">
      <w:pPr>
        <w:spacing w:before="40" w:after="0" w:line="240" w:lineRule="auto"/>
        <w:rPr>
          <w:rFonts w:cstheme="minorHAnsi"/>
          <w:sz w:val="20"/>
          <w:szCs w:val="20"/>
        </w:rPr>
      </w:pPr>
      <w:r w:rsidRPr="00B34E40">
        <w:rPr>
          <w:rFonts w:cstheme="minorHAnsi"/>
        </w:rPr>
        <w:object w:dxaOrig="9598" w:dyaOrig="3470" w14:anchorId="5B9763DC">
          <v:shape id="_x0000_i1038" type="#_x0000_t75" style="width:455.25pt;height:166.5pt" o:ole="">
            <v:imagedata r:id="rId46" o:title=""/>
          </v:shape>
          <o:OLEObject Type="Embed" ProgID="Excel.Sheet.12" ShapeID="_x0000_i1038" DrawAspect="Content" ObjectID="_1564309631" r:id="rId47"/>
        </w:object>
      </w:r>
      <w:r w:rsidR="004B7279" w:rsidRPr="00016A39">
        <w:rPr>
          <w:rFonts w:cstheme="minorHAnsi"/>
          <w:b/>
          <w:sz w:val="20"/>
          <w:szCs w:val="20"/>
        </w:rPr>
        <w:t>Zdroj:</w:t>
      </w:r>
      <w:r w:rsidR="00C70AFF">
        <w:rPr>
          <w:rFonts w:cstheme="minorHAnsi"/>
          <w:sz w:val="20"/>
          <w:szCs w:val="20"/>
        </w:rPr>
        <w:t xml:space="preserve"> </w:t>
      </w:r>
      <w:r w:rsidR="00A713D0">
        <w:rPr>
          <w:rFonts w:cstheme="minorHAnsi"/>
          <w:sz w:val="20"/>
          <w:szCs w:val="20"/>
        </w:rPr>
        <w:t>d</w:t>
      </w:r>
      <w:r w:rsidR="00C70AFF">
        <w:rPr>
          <w:rFonts w:cstheme="minorHAnsi"/>
          <w:sz w:val="20"/>
          <w:szCs w:val="20"/>
        </w:rPr>
        <w:t>ata z GFŘ, vlastní zpracování NKÚ.</w:t>
      </w:r>
    </w:p>
    <w:sectPr w:rsidR="00C0073D" w:rsidRPr="00016A39" w:rsidSect="00FC6C92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971C8" w14:textId="77777777" w:rsidR="007D6B59" w:rsidRDefault="007D6B59">
      <w:pPr>
        <w:spacing w:after="0" w:line="240" w:lineRule="auto"/>
      </w:pPr>
      <w:r>
        <w:separator/>
      </w:r>
    </w:p>
  </w:endnote>
  <w:endnote w:type="continuationSeparator" w:id="0">
    <w:p w14:paraId="390C1194" w14:textId="77777777" w:rsidR="007D6B59" w:rsidRDefault="007D6B59">
      <w:pPr>
        <w:spacing w:after="0" w:line="240" w:lineRule="auto"/>
      </w:pPr>
      <w:r>
        <w:continuationSeparator/>
      </w:r>
    </w:p>
  </w:endnote>
  <w:endnote w:type="continuationNotice" w:id="1">
    <w:p w14:paraId="77F70B38" w14:textId="77777777" w:rsidR="00EA3FA3" w:rsidRDefault="00EA3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485D2" w14:textId="77777777" w:rsidR="008A7BE3" w:rsidRDefault="008A7B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2589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E96375F" w14:textId="4E2793EF" w:rsidR="00875F39" w:rsidRPr="009348AB" w:rsidRDefault="00875F39">
        <w:pPr>
          <w:pStyle w:val="Zpat"/>
          <w:jc w:val="center"/>
          <w:rPr>
            <w:sz w:val="24"/>
            <w:szCs w:val="24"/>
          </w:rPr>
        </w:pPr>
        <w:r w:rsidRPr="009348AB">
          <w:rPr>
            <w:sz w:val="24"/>
            <w:szCs w:val="24"/>
          </w:rPr>
          <w:fldChar w:fldCharType="begin"/>
        </w:r>
        <w:r w:rsidRPr="009348AB">
          <w:rPr>
            <w:sz w:val="24"/>
            <w:szCs w:val="24"/>
          </w:rPr>
          <w:instrText>PAGE   \* MERGEFORMAT</w:instrText>
        </w:r>
        <w:r w:rsidRPr="009348AB">
          <w:rPr>
            <w:sz w:val="24"/>
            <w:szCs w:val="24"/>
          </w:rPr>
          <w:fldChar w:fldCharType="separate"/>
        </w:r>
        <w:r w:rsidR="008A7BE3">
          <w:rPr>
            <w:noProof/>
            <w:sz w:val="24"/>
            <w:szCs w:val="24"/>
          </w:rPr>
          <w:t>22</w:t>
        </w:r>
        <w:r w:rsidRPr="009348AB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FD94F" w14:textId="77777777" w:rsidR="008A7BE3" w:rsidRDefault="008A7B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36A29" w14:textId="77777777" w:rsidR="007D6B59" w:rsidRDefault="007D6B59" w:rsidP="00C0073D">
      <w:pPr>
        <w:spacing w:after="0" w:line="240" w:lineRule="auto"/>
      </w:pPr>
      <w:r>
        <w:separator/>
      </w:r>
    </w:p>
  </w:footnote>
  <w:footnote w:type="continuationSeparator" w:id="0">
    <w:p w14:paraId="1A2343CF" w14:textId="77777777" w:rsidR="007D6B59" w:rsidRDefault="007D6B59" w:rsidP="00C0073D">
      <w:pPr>
        <w:spacing w:after="0" w:line="240" w:lineRule="auto"/>
      </w:pPr>
      <w:r>
        <w:continuationSeparator/>
      </w:r>
    </w:p>
  </w:footnote>
  <w:footnote w:type="continuationNotice" w:id="1">
    <w:p w14:paraId="198906F9" w14:textId="77777777" w:rsidR="00EA3FA3" w:rsidRDefault="00EA3FA3">
      <w:pPr>
        <w:spacing w:after="0" w:line="240" w:lineRule="auto"/>
      </w:pPr>
    </w:p>
  </w:footnote>
  <w:footnote w:id="2">
    <w:p w14:paraId="4C5D2DBC" w14:textId="40BAF745" w:rsidR="00B73E0C" w:rsidRDefault="00B73E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07D4C">
        <w:t>Stanovena podle zákona upravující</w:t>
      </w:r>
      <w:r w:rsidR="000A20CF">
        <w:t>ho</w:t>
      </w:r>
      <w:r w:rsidR="00C07D4C">
        <w:t xml:space="preserve"> pojistné na sociální zabezpečení.</w:t>
      </w:r>
    </w:p>
  </w:footnote>
  <w:footnote w:id="3">
    <w:p w14:paraId="4E95A064" w14:textId="6F97BA35" w:rsidR="00875F39" w:rsidRDefault="00875F39" w:rsidP="0030329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rPr>
          <w:rFonts w:cstheme="minorHAnsi"/>
        </w:rPr>
        <w:tab/>
      </w:r>
      <w:r w:rsidRPr="000928FB">
        <w:rPr>
          <w:rFonts w:cstheme="minorHAnsi"/>
        </w:rPr>
        <w:t>Zákon č. 500/2012 Sb., o změně daňových, pojistných a dalších zákonů v souvislosti se snižováním schodků veřejných rozpočtů.</w:t>
      </w:r>
    </w:p>
  </w:footnote>
  <w:footnote w:id="4">
    <w:p w14:paraId="5D370D22" w14:textId="306451E5" w:rsidR="00875F39" w:rsidRDefault="00875F39" w:rsidP="0030329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rPr>
          <w:rFonts w:cstheme="minorHAnsi"/>
        </w:rPr>
        <w:tab/>
      </w:r>
      <w:r w:rsidRPr="000928FB">
        <w:rPr>
          <w:rFonts w:cstheme="minorHAnsi"/>
        </w:rPr>
        <w:t>Zákonné opatření Senátu č. 344/2013 Sb., o změně daňových zákonů v souvislosti s rekodifikací soukromého práva a o změně některých zákonů</w:t>
      </w:r>
      <w:r>
        <w:rPr>
          <w:rFonts w:cstheme="minorHAnsi"/>
        </w:rPr>
        <w:t>.</w:t>
      </w:r>
    </w:p>
  </w:footnote>
  <w:footnote w:id="5">
    <w:p w14:paraId="23FFA99E" w14:textId="3409A8F9" w:rsidR="00875F39" w:rsidRDefault="00875F39" w:rsidP="0030329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rPr>
          <w:rFonts w:cstheme="minorHAnsi"/>
        </w:rPr>
        <w:tab/>
      </w:r>
      <w:r w:rsidRPr="000928FB">
        <w:rPr>
          <w:rFonts w:cstheme="minorHAnsi"/>
        </w:rPr>
        <w:t>Zákon č. 247/2014 Sb., o poskytování služby péče o dítě v dětské skupině a o změně souvisejících zákonů</w:t>
      </w:r>
      <w:r>
        <w:rPr>
          <w:rFonts w:cstheme="minorHAnsi"/>
        </w:rPr>
        <w:t>.</w:t>
      </w:r>
    </w:p>
  </w:footnote>
  <w:footnote w:id="6">
    <w:p w14:paraId="221AEB31" w14:textId="1740F377" w:rsidR="00875F39" w:rsidRDefault="00875F39" w:rsidP="0030329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rPr>
          <w:rFonts w:cstheme="minorHAnsi"/>
        </w:rPr>
        <w:tab/>
      </w:r>
      <w:r w:rsidRPr="000928FB">
        <w:rPr>
          <w:rFonts w:cstheme="minorHAnsi"/>
        </w:rPr>
        <w:t>Zákon č. 267/2014 Sb., kterým se mění zákon č. 586/1992 Sb., o daních z příjmů, ve znění pozdějších předpisů, a další související zákony</w:t>
      </w:r>
      <w:r>
        <w:rPr>
          <w:rFonts w:cstheme="minorHAnsi"/>
        </w:rPr>
        <w:t>.</w:t>
      </w:r>
    </w:p>
  </w:footnote>
  <w:footnote w:id="7">
    <w:p w14:paraId="7DBD73A4" w14:textId="369F2A66" w:rsidR="00875F39" w:rsidRPr="00C248F7" w:rsidRDefault="00875F39" w:rsidP="0030329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rPr>
          <w:rFonts w:cstheme="minorHAnsi"/>
          <w:bCs/>
        </w:rPr>
        <w:tab/>
      </w:r>
      <w:r w:rsidRPr="00FB507A">
        <w:rPr>
          <w:rFonts w:cstheme="minorHAnsi"/>
          <w:bCs/>
        </w:rPr>
        <w:t xml:space="preserve">Nález Ústavního soudu sp. zn. Pl. ÚS 31/13, </w:t>
      </w:r>
      <w:r>
        <w:rPr>
          <w:rFonts w:cstheme="minorHAnsi"/>
          <w:bCs/>
        </w:rPr>
        <w:t>vyhlášený ve Sbírce zákonů</w:t>
      </w:r>
      <w:r w:rsidRPr="00FB507A">
        <w:rPr>
          <w:rFonts w:cstheme="minorHAnsi"/>
          <w:bCs/>
        </w:rPr>
        <w:t xml:space="preserve"> pod č. 162/2014</w:t>
      </w:r>
      <w:r>
        <w:rPr>
          <w:rFonts w:cstheme="minorHAnsi"/>
          <w:bCs/>
        </w:rPr>
        <w:t xml:space="preserve"> Sb., a nález sp. zn. I. ÚS 2340/13. </w:t>
      </w:r>
    </w:p>
  </w:footnote>
  <w:footnote w:id="8">
    <w:p w14:paraId="680A474C" w14:textId="01F1CFC0" w:rsidR="00875F39" w:rsidRPr="007C43E5" w:rsidRDefault="00875F39" w:rsidP="00303295">
      <w:pPr>
        <w:pStyle w:val="Textpoznpodarou"/>
        <w:ind w:left="284" w:hanging="284"/>
        <w:jc w:val="both"/>
      </w:pPr>
      <w:r w:rsidRPr="007C43E5">
        <w:rPr>
          <w:rStyle w:val="Znakapoznpodarou"/>
        </w:rPr>
        <w:footnoteRef/>
      </w:r>
      <w:r w:rsidRPr="007C43E5">
        <w:t xml:space="preserve"> </w:t>
      </w:r>
      <w:r>
        <w:tab/>
      </w:r>
      <w:r w:rsidRPr="007C43E5">
        <w:t xml:space="preserve">Zákon č. 458/2011 Sb., </w:t>
      </w:r>
      <w:r w:rsidRPr="003E4694">
        <w:t>o změně zákonů související se zřízením jednoho inkasního místa a dalších změnách daňových a pojistných zákonů</w:t>
      </w:r>
      <w:r>
        <w:t>, účinný od 1. 1. 2012.</w:t>
      </w:r>
    </w:p>
  </w:footnote>
  <w:footnote w:id="9">
    <w:p w14:paraId="6D5E1E06" w14:textId="20E8C4BC" w:rsidR="00875F39" w:rsidRPr="007C43E5" w:rsidRDefault="00875F39" w:rsidP="00303295">
      <w:pPr>
        <w:pStyle w:val="Textpoznpodarou"/>
        <w:ind w:left="284" w:hanging="284"/>
        <w:jc w:val="both"/>
      </w:pPr>
      <w:r w:rsidRPr="007C43E5">
        <w:rPr>
          <w:rStyle w:val="Znakapoznpodarou"/>
        </w:rPr>
        <w:footnoteRef/>
      </w:r>
      <w:r w:rsidRPr="007C43E5">
        <w:t xml:space="preserve"> </w:t>
      </w:r>
      <w:r>
        <w:tab/>
      </w:r>
      <w:r w:rsidRPr="007C43E5">
        <w:t>Návrh zákona o veřejných pojistných a správě daně z příjmů fyzických osob z roku 2013</w:t>
      </w:r>
      <w:r>
        <w:t>.</w:t>
      </w:r>
    </w:p>
  </w:footnote>
  <w:footnote w:id="10">
    <w:p w14:paraId="4EB2D034" w14:textId="3E68093A" w:rsidR="00875F39" w:rsidRDefault="00875F39" w:rsidP="00B16D20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Kontrole NKÚ bylo podrobeno celkem 7 FÚ (viz seznam kontrolovaných osob), vzorky obsahují vždy údaje z těchto FÚ, pokud není uvedeno jinak.</w:t>
      </w:r>
    </w:p>
  </w:footnote>
  <w:footnote w:id="11">
    <w:p w14:paraId="3CEA36D4" w14:textId="56EBAC48" w:rsidR="00875F39" w:rsidRDefault="00875F39" w:rsidP="00F94E08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E757C1">
        <w:t xml:space="preserve">Počet poplatníků je určen jako rozdíl mezi průměrným počtem zaměstnanců z Vyúčtování DPFO ze závislé činnosti </w:t>
      </w:r>
      <w:r>
        <w:t xml:space="preserve">za leden – prosinec </w:t>
      </w:r>
      <w:r w:rsidRPr="00E757C1">
        <w:t>a počtem DS, které vykázaly v DAP dílčí základ daně podle § 6 ZDP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85558" w14:textId="77777777" w:rsidR="008A7BE3" w:rsidRDefault="008A7B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32B5E" w14:textId="77777777" w:rsidR="00EA3FA3" w:rsidRDefault="00EA3F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820FE" w14:textId="77777777" w:rsidR="008A7BE3" w:rsidRDefault="008A7B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A85"/>
    <w:multiLevelType w:val="hybridMultilevel"/>
    <w:tmpl w:val="3690A8C0"/>
    <w:lvl w:ilvl="0" w:tplc="D2A0E8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50668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A08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0D5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26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A4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C65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CB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2C42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0946"/>
    <w:multiLevelType w:val="hybridMultilevel"/>
    <w:tmpl w:val="835A7AB2"/>
    <w:lvl w:ilvl="0" w:tplc="4F0AB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6FC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8EE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86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262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44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21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283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C1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5514C"/>
    <w:multiLevelType w:val="hybridMultilevel"/>
    <w:tmpl w:val="9754FF9A"/>
    <w:lvl w:ilvl="0" w:tplc="696E190A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EB70C5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06573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905D7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4B8E7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160F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342E1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C6F1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0C6A1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7537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350530"/>
    <w:multiLevelType w:val="hybridMultilevel"/>
    <w:tmpl w:val="67CA4E46"/>
    <w:lvl w:ilvl="0" w:tplc="2B18B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C97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AC8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8F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E6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1AA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A3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A0D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101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A5955"/>
    <w:multiLevelType w:val="hybridMultilevel"/>
    <w:tmpl w:val="39E6BE74"/>
    <w:lvl w:ilvl="0" w:tplc="5E24E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C77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24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E4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06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C2D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C1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0A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7CFF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A4CE5"/>
    <w:multiLevelType w:val="hybridMultilevel"/>
    <w:tmpl w:val="F0465952"/>
    <w:lvl w:ilvl="0" w:tplc="B3E8788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046C8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92B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267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237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C20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2B7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C7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88B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D15A8"/>
    <w:multiLevelType w:val="hybridMultilevel"/>
    <w:tmpl w:val="2876C184"/>
    <w:lvl w:ilvl="0" w:tplc="68DE9F3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30206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83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D8B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06D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741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4E9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C1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8A9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E446D"/>
    <w:multiLevelType w:val="hybridMultilevel"/>
    <w:tmpl w:val="12E4284A"/>
    <w:lvl w:ilvl="0" w:tplc="303CF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A2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241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87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AC2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18E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ED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47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24A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1263B"/>
    <w:multiLevelType w:val="hybridMultilevel"/>
    <w:tmpl w:val="EEF2586A"/>
    <w:lvl w:ilvl="0" w:tplc="751AE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23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EEC2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8C4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D238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CDC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EC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E81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52FC2"/>
    <w:multiLevelType w:val="hybridMultilevel"/>
    <w:tmpl w:val="48AC86F6"/>
    <w:lvl w:ilvl="0" w:tplc="5DEA3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B019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4D5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1AA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C2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0C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A9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CCA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A67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E33F0"/>
    <w:multiLevelType w:val="hybridMultilevel"/>
    <w:tmpl w:val="97E0F188"/>
    <w:lvl w:ilvl="0" w:tplc="1DA0C3B6">
      <w:start w:val="1"/>
      <w:numFmt w:val="decimal"/>
      <w:lvlText w:val="%1."/>
      <w:lvlJc w:val="left"/>
      <w:pPr>
        <w:ind w:left="360" w:hanging="360"/>
      </w:pPr>
    </w:lvl>
    <w:lvl w:ilvl="1" w:tplc="9F4C9588" w:tentative="1">
      <w:start w:val="1"/>
      <w:numFmt w:val="lowerLetter"/>
      <w:lvlText w:val="%2."/>
      <w:lvlJc w:val="left"/>
      <w:pPr>
        <w:ind w:left="1080" w:hanging="360"/>
      </w:pPr>
    </w:lvl>
    <w:lvl w:ilvl="2" w:tplc="F91C6CC6" w:tentative="1">
      <w:start w:val="1"/>
      <w:numFmt w:val="lowerRoman"/>
      <w:lvlText w:val="%3."/>
      <w:lvlJc w:val="right"/>
      <w:pPr>
        <w:ind w:left="1800" w:hanging="180"/>
      </w:pPr>
    </w:lvl>
    <w:lvl w:ilvl="3" w:tplc="74AC7D36" w:tentative="1">
      <w:start w:val="1"/>
      <w:numFmt w:val="decimal"/>
      <w:lvlText w:val="%4."/>
      <w:lvlJc w:val="left"/>
      <w:pPr>
        <w:ind w:left="2520" w:hanging="360"/>
      </w:pPr>
    </w:lvl>
    <w:lvl w:ilvl="4" w:tplc="EF923B56" w:tentative="1">
      <w:start w:val="1"/>
      <w:numFmt w:val="lowerLetter"/>
      <w:lvlText w:val="%5."/>
      <w:lvlJc w:val="left"/>
      <w:pPr>
        <w:ind w:left="3240" w:hanging="360"/>
      </w:pPr>
    </w:lvl>
    <w:lvl w:ilvl="5" w:tplc="D2A0F0F0" w:tentative="1">
      <w:start w:val="1"/>
      <w:numFmt w:val="lowerRoman"/>
      <w:lvlText w:val="%6."/>
      <w:lvlJc w:val="right"/>
      <w:pPr>
        <w:ind w:left="3960" w:hanging="180"/>
      </w:pPr>
    </w:lvl>
    <w:lvl w:ilvl="6" w:tplc="B7B8C6B8" w:tentative="1">
      <w:start w:val="1"/>
      <w:numFmt w:val="decimal"/>
      <w:lvlText w:val="%7."/>
      <w:lvlJc w:val="left"/>
      <w:pPr>
        <w:ind w:left="4680" w:hanging="360"/>
      </w:pPr>
    </w:lvl>
    <w:lvl w:ilvl="7" w:tplc="059EE6EE" w:tentative="1">
      <w:start w:val="1"/>
      <w:numFmt w:val="lowerLetter"/>
      <w:lvlText w:val="%8."/>
      <w:lvlJc w:val="left"/>
      <w:pPr>
        <w:ind w:left="5400" w:hanging="360"/>
      </w:pPr>
    </w:lvl>
    <w:lvl w:ilvl="8" w:tplc="E7CE79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866"/>
    <w:multiLevelType w:val="hybridMultilevel"/>
    <w:tmpl w:val="6A0E03A4"/>
    <w:lvl w:ilvl="0" w:tplc="3E84C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22C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5A5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EF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AD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E7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88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F24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C85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37661"/>
    <w:multiLevelType w:val="hybridMultilevel"/>
    <w:tmpl w:val="97144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C443B"/>
    <w:multiLevelType w:val="hybridMultilevel"/>
    <w:tmpl w:val="2CDEB840"/>
    <w:lvl w:ilvl="0" w:tplc="D4429F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28AD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9EE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AD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0C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4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4D9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2C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5C6F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21F23"/>
    <w:multiLevelType w:val="multilevel"/>
    <w:tmpl w:val="9306E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CF12BA"/>
    <w:multiLevelType w:val="hybridMultilevel"/>
    <w:tmpl w:val="1BDE6840"/>
    <w:lvl w:ilvl="0" w:tplc="35C8BD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2F8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1EAB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80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B64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D09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6A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AF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6C5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644BF"/>
    <w:multiLevelType w:val="hybridMultilevel"/>
    <w:tmpl w:val="CC4E559A"/>
    <w:lvl w:ilvl="0" w:tplc="353A6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888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022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E1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266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CC0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21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85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8AC2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76687"/>
    <w:multiLevelType w:val="hybridMultilevel"/>
    <w:tmpl w:val="39E44464"/>
    <w:lvl w:ilvl="0" w:tplc="66F68650">
      <w:start w:val="3"/>
      <w:numFmt w:val="bullet"/>
      <w:lvlText w:val=""/>
      <w:lvlJc w:val="left"/>
      <w:pPr>
        <w:ind w:left="774" w:hanging="360"/>
      </w:pPr>
      <w:rPr>
        <w:rFonts w:ascii="Symbol" w:eastAsia="Times New Roman" w:hAnsi="Symbol" w:cs="Times New Roman" w:hint="default"/>
      </w:rPr>
    </w:lvl>
    <w:lvl w:ilvl="1" w:tplc="10981BD2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D0305D22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F62C988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5249F10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BBF63B06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B77C9D78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B4D26BD4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377C04E8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479E2FD9"/>
    <w:multiLevelType w:val="hybridMultilevel"/>
    <w:tmpl w:val="DD0EEF5A"/>
    <w:lvl w:ilvl="0" w:tplc="79FEA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67436" w:tentative="1">
      <w:start w:val="1"/>
      <w:numFmt w:val="lowerLetter"/>
      <w:lvlText w:val="%2."/>
      <w:lvlJc w:val="left"/>
      <w:pPr>
        <w:ind w:left="1440" w:hanging="360"/>
      </w:pPr>
    </w:lvl>
    <w:lvl w:ilvl="2" w:tplc="CB7E3DDC" w:tentative="1">
      <w:start w:val="1"/>
      <w:numFmt w:val="lowerRoman"/>
      <w:lvlText w:val="%3."/>
      <w:lvlJc w:val="right"/>
      <w:pPr>
        <w:ind w:left="2160" w:hanging="180"/>
      </w:pPr>
    </w:lvl>
    <w:lvl w:ilvl="3" w:tplc="87A8AD4E" w:tentative="1">
      <w:start w:val="1"/>
      <w:numFmt w:val="decimal"/>
      <w:lvlText w:val="%4."/>
      <w:lvlJc w:val="left"/>
      <w:pPr>
        <w:ind w:left="2880" w:hanging="360"/>
      </w:pPr>
    </w:lvl>
    <w:lvl w:ilvl="4" w:tplc="289A1CC4" w:tentative="1">
      <w:start w:val="1"/>
      <w:numFmt w:val="lowerLetter"/>
      <w:lvlText w:val="%5."/>
      <w:lvlJc w:val="left"/>
      <w:pPr>
        <w:ind w:left="3600" w:hanging="360"/>
      </w:pPr>
    </w:lvl>
    <w:lvl w:ilvl="5" w:tplc="EC30783A" w:tentative="1">
      <w:start w:val="1"/>
      <w:numFmt w:val="lowerRoman"/>
      <w:lvlText w:val="%6."/>
      <w:lvlJc w:val="right"/>
      <w:pPr>
        <w:ind w:left="4320" w:hanging="180"/>
      </w:pPr>
    </w:lvl>
    <w:lvl w:ilvl="6" w:tplc="B65C7A2C" w:tentative="1">
      <w:start w:val="1"/>
      <w:numFmt w:val="decimal"/>
      <w:lvlText w:val="%7."/>
      <w:lvlJc w:val="left"/>
      <w:pPr>
        <w:ind w:left="5040" w:hanging="360"/>
      </w:pPr>
    </w:lvl>
    <w:lvl w:ilvl="7" w:tplc="4DF07CD0" w:tentative="1">
      <w:start w:val="1"/>
      <w:numFmt w:val="lowerLetter"/>
      <w:lvlText w:val="%8."/>
      <w:lvlJc w:val="left"/>
      <w:pPr>
        <w:ind w:left="5760" w:hanging="360"/>
      </w:pPr>
    </w:lvl>
    <w:lvl w:ilvl="8" w:tplc="BE3469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B2442"/>
    <w:multiLevelType w:val="hybridMultilevel"/>
    <w:tmpl w:val="439C3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51259"/>
    <w:multiLevelType w:val="hybridMultilevel"/>
    <w:tmpl w:val="AB80F488"/>
    <w:lvl w:ilvl="0" w:tplc="408A48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A0E0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22E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6A8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1A2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420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85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86D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28B5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B1B1B"/>
    <w:multiLevelType w:val="hybridMultilevel"/>
    <w:tmpl w:val="8A4AAC8C"/>
    <w:lvl w:ilvl="0" w:tplc="CB0AD6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B461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A6B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4B0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48D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94D0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CED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A8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208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F0693"/>
    <w:multiLevelType w:val="hybridMultilevel"/>
    <w:tmpl w:val="97E0F188"/>
    <w:lvl w:ilvl="0" w:tplc="43961DA2">
      <w:start w:val="1"/>
      <w:numFmt w:val="decimal"/>
      <w:lvlText w:val="%1."/>
      <w:lvlJc w:val="left"/>
      <w:pPr>
        <w:ind w:left="360" w:hanging="360"/>
      </w:pPr>
    </w:lvl>
    <w:lvl w:ilvl="1" w:tplc="58F8B536" w:tentative="1">
      <w:start w:val="1"/>
      <w:numFmt w:val="lowerLetter"/>
      <w:lvlText w:val="%2."/>
      <w:lvlJc w:val="left"/>
      <w:pPr>
        <w:ind w:left="1080" w:hanging="360"/>
      </w:pPr>
    </w:lvl>
    <w:lvl w:ilvl="2" w:tplc="6C3E0DD8" w:tentative="1">
      <w:start w:val="1"/>
      <w:numFmt w:val="lowerRoman"/>
      <w:lvlText w:val="%3."/>
      <w:lvlJc w:val="right"/>
      <w:pPr>
        <w:ind w:left="1800" w:hanging="180"/>
      </w:pPr>
    </w:lvl>
    <w:lvl w:ilvl="3" w:tplc="88B4D790" w:tentative="1">
      <w:start w:val="1"/>
      <w:numFmt w:val="decimal"/>
      <w:lvlText w:val="%4."/>
      <w:lvlJc w:val="left"/>
      <w:pPr>
        <w:ind w:left="2520" w:hanging="360"/>
      </w:pPr>
    </w:lvl>
    <w:lvl w:ilvl="4" w:tplc="6ABE55A2" w:tentative="1">
      <w:start w:val="1"/>
      <w:numFmt w:val="lowerLetter"/>
      <w:lvlText w:val="%5."/>
      <w:lvlJc w:val="left"/>
      <w:pPr>
        <w:ind w:left="3240" w:hanging="360"/>
      </w:pPr>
    </w:lvl>
    <w:lvl w:ilvl="5" w:tplc="C40462BC" w:tentative="1">
      <w:start w:val="1"/>
      <w:numFmt w:val="lowerRoman"/>
      <w:lvlText w:val="%6."/>
      <w:lvlJc w:val="right"/>
      <w:pPr>
        <w:ind w:left="3960" w:hanging="180"/>
      </w:pPr>
    </w:lvl>
    <w:lvl w:ilvl="6" w:tplc="57FCE17C" w:tentative="1">
      <w:start w:val="1"/>
      <w:numFmt w:val="decimal"/>
      <w:lvlText w:val="%7."/>
      <w:lvlJc w:val="left"/>
      <w:pPr>
        <w:ind w:left="4680" w:hanging="360"/>
      </w:pPr>
    </w:lvl>
    <w:lvl w:ilvl="7" w:tplc="CE70175A" w:tentative="1">
      <w:start w:val="1"/>
      <w:numFmt w:val="lowerLetter"/>
      <w:lvlText w:val="%8."/>
      <w:lvlJc w:val="left"/>
      <w:pPr>
        <w:ind w:left="5400" w:hanging="360"/>
      </w:pPr>
    </w:lvl>
    <w:lvl w:ilvl="8" w:tplc="57887D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861CC6"/>
    <w:multiLevelType w:val="hybridMultilevel"/>
    <w:tmpl w:val="BE38DC50"/>
    <w:lvl w:ilvl="0" w:tplc="8F44BB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6EFC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D34CF8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4C450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41C3E4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528F35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0298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A8D1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F8142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431B8B"/>
    <w:multiLevelType w:val="hybridMultilevel"/>
    <w:tmpl w:val="C1C8BBDC"/>
    <w:lvl w:ilvl="0" w:tplc="8A14AF64">
      <w:start w:val="1"/>
      <w:numFmt w:val="decimal"/>
      <w:lvlText w:val="%1."/>
      <w:lvlJc w:val="left"/>
      <w:pPr>
        <w:ind w:left="720" w:hanging="360"/>
      </w:pPr>
    </w:lvl>
    <w:lvl w:ilvl="1" w:tplc="249CDF20" w:tentative="1">
      <w:start w:val="1"/>
      <w:numFmt w:val="lowerLetter"/>
      <w:lvlText w:val="%2."/>
      <w:lvlJc w:val="left"/>
      <w:pPr>
        <w:ind w:left="1440" w:hanging="360"/>
      </w:pPr>
    </w:lvl>
    <w:lvl w:ilvl="2" w:tplc="65529440" w:tentative="1">
      <w:start w:val="1"/>
      <w:numFmt w:val="lowerRoman"/>
      <w:lvlText w:val="%3."/>
      <w:lvlJc w:val="right"/>
      <w:pPr>
        <w:ind w:left="2160" w:hanging="180"/>
      </w:pPr>
    </w:lvl>
    <w:lvl w:ilvl="3" w:tplc="08003028" w:tentative="1">
      <w:start w:val="1"/>
      <w:numFmt w:val="decimal"/>
      <w:lvlText w:val="%4."/>
      <w:lvlJc w:val="left"/>
      <w:pPr>
        <w:ind w:left="2880" w:hanging="360"/>
      </w:pPr>
    </w:lvl>
    <w:lvl w:ilvl="4" w:tplc="D5CA27CE" w:tentative="1">
      <w:start w:val="1"/>
      <w:numFmt w:val="lowerLetter"/>
      <w:lvlText w:val="%5."/>
      <w:lvlJc w:val="left"/>
      <w:pPr>
        <w:ind w:left="3600" w:hanging="360"/>
      </w:pPr>
    </w:lvl>
    <w:lvl w:ilvl="5" w:tplc="7FAEAE28" w:tentative="1">
      <w:start w:val="1"/>
      <w:numFmt w:val="lowerRoman"/>
      <w:lvlText w:val="%6."/>
      <w:lvlJc w:val="right"/>
      <w:pPr>
        <w:ind w:left="4320" w:hanging="180"/>
      </w:pPr>
    </w:lvl>
    <w:lvl w:ilvl="6" w:tplc="C9704A1C" w:tentative="1">
      <w:start w:val="1"/>
      <w:numFmt w:val="decimal"/>
      <w:lvlText w:val="%7."/>
      <w:lvlJc w:val="left"/>
      <w:pPr>
        <w:ind w:left="5040" w:hanging="360"/>
      </w:pPr>
    </w:lvl>
    <w:lvl w:ilvl="7" w:tplc="636A6E9C" w:tentative="1">
      <w:start w:val="1"/>
      <w:numFmt w:val="lowerLetter"/>
      <w:lvlText w:val="%8."/>
      <w:lvlJc w:val="left"/>
      <w:pPr>
        <w:ind w:left="5760" w:hanging="360"/>
      </w:pPr>
    </w:lvl>
    <w:lvl w:ilvl="8" w:tplc="EA94B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2554D"/>
    <w:multiLevelType w:val="hybridMultilevel"/>
    <w:tmpl w:val="99E2FE1E"/>
    <w:lvl w:ilvl="0" w:tplc="98EE6E8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D0BFF"/>
    <w:multiLevelType w:val="hybridMultilevel"/>
    <w:tmpl w:val="5DCE1508"/>
    <w:lvl w:ilvl="0" w:tplc="2B105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06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404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A1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416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E0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23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8E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007B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664F3"/>
    <w:multiLevelType w:val="hybridMultilevel"/>
    <w:tmpl w:val="335249AC"/>
    <w:lvl w:ilvl="0" w:tplc="36E69A4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A84C6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58B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6C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EE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09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0658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50C8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E05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8"/>
  </w:num>
  <w:num w:numId="3">
    <w:abstractNumId w:val="8"/>
  </w:num>
  <w:num w:numId="4">
    <w:abstractNumId w:val="12"/>
  </w:num>
  <w:num w:numId="5">
    <w:abstractNumId w:val="17"/>
  </w:num>
  <w:num w:numId="6">
    <w:abstractNumId w:val="10"/>
  </w:num>
  <w:num w:numId="7">
    <w:abstractNumId w:val="1"/>
  </w:num>
  <w:num w:numId="8">
    <w:abstractNumId w:val="16"/>
  </w:num>
  <w:num w:numId="9">
    <w:abstractNumId w:val="11"/>
  </w:num>
  <w:num w:numId="10">
    <w:abstractNumId w:val="19"/>
  </w:num>
  <w:num w:numId="11">
    <w:abstractNumId w:val="23"/>
  </w:num>
  <w:num w:numId="12">
    <w:abstractNumId w:val="4"/>
  </w:num>
  <w:num w:numId="13">
    <w:abstractNumId w:val="2"/>
  </w:num>
  <w:num w:numId="14">
    <w:abstractNumId w:val="3"/>
  </w:num>
  <w:num w:numId="15">
    <w:abstractNumId w:val="15"/>
  </w:num>
  <w:num w:numId="16">
    <w:abstractNumId w:val="24"/>
  </w:num>
  <w:num w:numId="17">
    <w:abstractNumId w:val="22"/>
  </w:num>
  <w:num w:numId="18">
    <w:abstractNumId w:val="21"/>
  </w:num>
  <w:num w:numId="19">
    <w:abstractNumId w:val="7"/>
  </w:num>
  <w:num w:numId="20">
    <w:abstractNumId w:val="6"/>
  </w:num>
  <w:num w:numId="21">
    <w:abstractNumId w:val="14"/>
  </w:num>
  <w:num w:numId="22">
    <w:abstractNumId w:val="0"/>
  </w:num>
  <w:num w:numId="23">
    <w:abstractNumId w:val="18"/>
  </w:num>
  <w:num w:numId="24">
    <w:abstractNumId w:val="5"/>
  </w:num>
  <w:num w:numId="25">
    <w:abstractNumId w:val="25"/>
  </w:num>
  <w:num w:numId="26">
    <w:abstractNumId w:val="9"/>
  </w:num>
  <w:num w:numId="27">
    <w:abstractNumId w:val="20"/>
  </w:num>
  <w:num w:numId="28">
    <w:abstractNumId w:val="13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4B7279"/>
    <w:rsid w:val="00002871"/>
    <w:rsid w:val="00012C04"/>
    <w:rsid w:val="00017591"/>
    <w:rsid w:val="0002492A"/>
    <w:rsid w:val="00025681"/>
    <w:rsid w:val="00026BCB"/>
    <w:rsid w:val="000339EC"/>
    <w:rsid w:val="00034AEA"/>
    <w:rsid w:val="00055373"/>
    <w:rsid w:val="00060FA3"/>
    <w:rsid w:val="00061560"/>
    <w:rsid w:val="000647A7"/>
    <w:rsid w:val="0007048E"/>
    <w:rsid w:val="000716DF"/>
    <w:rsid w:val="00072967"/>
    <w:rsid w:val="000749C8"/>
    <w:rsid w:val="000778CF"/>
    <w:rsid w:val="0008692D"/>
    <w:rsid w:val="000872D0"/>
    <w:rsid w:val="000915EB"/>
    <w:rsid w:val="000A20CF"/>
    <w:rsid w:val="000B3A53"/>
    <w:rsid w:val="000B3F50"/>
    <w:rsid w:val="000B70C5"/>
    <w:rsid w:val="000C7375"/>
    <w:rsid w:val="000D1071"/>
    <w:rsid w:val="000E2CE4"/>
    <w:rsid w:val="000E3698"/>
    <w:rsid w:val="000F0C63"/>
    <w:rsid w:val="00104E6E"/>
    <w:rsid w:val="00105313"/>
    <w:rsid w:val="00106211"/>
    <w:rsid w:val="00110BA3"/>
    <w:rsid w:val="00111BDD"/>
    <w:rsid w:val="001229AB"/>
    <w:rsid w:val="0012655F"/>
    <w:rsid w:val="00126A8E"/>
    <w:rsid w:val="00127860"/>
    <w:rsid w:val="00130EDE"/>
    <w:rsid w:val="00134E53"/>
    <w:rsid w:val="0013667A"/>
    <w:rsid w:val="001423D2"/>
    <w:rsid w:val="00143609"/>
    <w:rsid w:val="00144145"/>
    <w:rsid w:val="001467E5"/>
    <w:rsid w:val="001505EC"/>
    <w:rsid w:val="00150D10"/>
    <w:rsid w:val="00157692"/>
    <w:rsid w:val="00166849"/>
    <w:rsid w:val="00172C0E"/>
    <w:rsid w:val="00172EAD"/>
    <w:rsid w:val="001756A4"/>
    <w:rsid w:val="00175FFA"/>
    <w:rsid w:val="00191AA0"/>
    <w:rsid w:val="001A08C4"/>
    <w:rsid w:val="001A351B"/>
    <w:rsid w:val="001A5756"/>
    <w:rsid w:val="001B102D"/>
    <w:rsid w:val="001B6F88"/>
    <w:rsid w:val="001B7507"/>
    <w:rsid w:val="001C0A87"/>
    <w:rsid w:val="001C26E4"/>
    <w:rsid w:val="001C56D5"/>
    <w:rsid w:val="001E1C24"/>
    <w:rsid w:val="001E1F49"/>
    <w:rsid w:val="001E54BA"/>
    <w:rsid w:val="001E7EBD"/>
    <w:rsid w:val="001F143C"/>
    <w:rsid w:val="001F65FB"/>
    <w:rsid w:val="0020002D"/>
    <w:rsid w:val="00204E28"/>
    <w:rsid w:val="0021346B"/>
    <w:rsid w:val="00213ED5"/>
    <w:rsid w:val="00223779"/>
    <w:rsid w:val="002358AA"/>
    <w:rsid w:val="00244B20"/>
    <w:rsid w:val="00280676"/>
    <w:rsid w:val="00283487"/>
    <w:rsid w:val="00290133"/>
    <w:rsid w:val="00297903"/>
    <w:rsid w:val="002A0422"/>
    <w:rsid w:val="002A73EE"/>
    <w:rsid w:val="002B48EB"/>
    <w:rsid w:val="002B4D0C"/>
    <w:rsid w:val="002D3D6D"/>
    <w:rsid w:val="002D5B57"/>
    <w:rsid w:val="002D774C"/>
    <w:rsid w:val="002E1367"/>
    <w:rsid w:val="002E3F11"/>
    <w:rsid w:val="002F1BAE"/>
    <w:rsid w:val="002F2BCD"/>
    <w:rsid w:val="002F53B6"/>
    <w:rsid w:val="002F6B80"/>
    <w:rsid w:val="00303295"/>
    <w:rsid w:val="003071C3"/>
    <w:rsid w:val="0030799D"/>
    <w:rsid w:val="003132B2"/>
    <w:rsid w:val="00331019"/>
    <w:rsid w:val="00333576"/>
    <w:rsid w:val="00334C83"/>
    <w:rsid w:val="00335D9B"/>
    <w:rsid w:val="0034028D"/>
    <w:rsid w:val="00343EAF"/>
    <w:rsid w:val="003473CA"/>
    <w:rsid w:val="003551BF"/>
    <w:rsid w:val="00355E74"/>
    <w:rsid w:val="00356F01"/>
    <w:rsid w:val="00364673"/>
    <w:rsid w:val="00364EDC"/>
    <w:rsid w:val="00365D03"/>
    <w:rsid w:val="00382A1D"/>
    <w:rsid w:val="003847CE"/>
    <w:rsid w:val="00387A71"/>
    <w:rsid w:val="00390210"/>
    <w:rsid w:val="00390831"/>
    <w:rsid w:val="003A0D3D"/>
    <w:rsid w:val="003A21D9"/>
    <w:rsid w:val="003A6B79"/>
    <w:rsid w:val="003A6E69"/>
    <w:rsid w:val="003B02E6"/>
    <w:rsid w:val="003C0364"/>
    <w:rsid w:val="003C3494"/>
    <w:rsid w:val="003C6ECE"/>
    <w:rsid w:val="003D1664"/>
    <w:rsid w:val="003D1DB3"/>
    <w:rsid w:val="003D37A7"/>
    <w:rsid w:val="003D3E9A"/>
    <w:rsid w:val="003D7B10"/>
    <w:rsid w:val="003E3DF2"/>
    <w:rsid w:val="003E5410"/>
    <w:rsid w:val="003F16F1"/>
    <w:rsid w:val="00401BC0"/>
    <w:rsid w:val="00402766"/>
    <w:rsid w:val="0040656C"/>
    <w:rsid w:val="00410777"/>
    <w:rsid w:val="00435ED7"/>
    <w:rsid w:val="00440413"/>
    <w:rsid w:val="0046087B"/>
    <w:rsid w:val="00460F83"/>
    <w:rsid w:val="004769BD"/>
    <w:rsid w:val="004770DF"/>
    <w:rsid w:val="00490222"/>
    <w:rsid w:val="00493FA8"/>
    <w:rsid w:val="004A251F"/>
    <w:rsid w:val="004B1236"/>
    <w:rsid w:val="004B7279"/>
    <w:rsid w:val="004B7FCC"/>
    <w:rsid w:val="004C3575"/>
    <w:rsid w:val="004C4A41"/>
    <w:rsid w:val="004D050D"/>
    <w:rsid w:val="004E13E9"/>
    <w:rsid w:val="00505201"/>
    <w:rsid w:val="00505803"/>
    <w:rsid w:val="00506C27"/>
    <w:rsid w:val="0051089F"/>
    <w:rsid w:val="00516850"/>
    <w:rsid w:val="00517720"/>
    <w:rsid w:val="00517C5C"/>
    <w:rsid w:val="005226D2"/>
    <w:rsid w:val="00524DA6"/>
    <w:rsid w:val="00531086"/>
    <w:rsid w:val="0053397B"/>
    <w:rsid w:val="00534357"/>
    <w:rsid w:val="00547314"/>
    <w:rsid w:val="00547E48"/>
    <w:rsid w:val="00551D30"/>
    <w:rsid w:val="00552B46"/>
    <w:rsid w:val="00562C23"/>
    <w:rsid w:val="00563271"/>
    <w:rsid w:val="00582F47"/>
    <w:rsid w:val="005834DE"/>
    <w:rsid w:val="00590C24"/>
    <w:rsid w:val="00595A64"/>
    <w:rsid w:val="005A11D8"/>
    <w:rsid w:val="005A62A9"/>
    <w:rsid w:val="005B1120"/>
    <w:rsid w:val="005B68C7"/>
    <w:rsid w:val="005C62BB"/>
    <w:rsid w:val="005E2895"/>
    <w:rsid w:val="005F2BBF"/>
    <w:rsid w:val="005F3E8D"/>
    <w:rsid w:val="005F4AFC"/>
    <w:rsid w:val="005F5429"/>
    <w:rsid w:val="00605480"/>
    <w:rsid w:val="00620E50"/>
    <w:rsid w:val="006216A0"/>
    <w:rsid w:val="0062233D"/>
    <w:rsid w:val="006415CD"/>
    <w:rsid w:val="0064199C"/>
    <w:rsid w:val="00641B10"/>
    <w:rsid w:val="00642634"/>
    <w:rsid w:val="00642C05"/>
    <w:rsid w:val="0064423D"/>
    <w:rsid w:val="00650B7A"/>
    <w:rsid w:val="006527ED"/>
    <w:rsid w:val="0065281E"/>
    <w:rsid w:val="006544DF"/>
    <w:rsid w:val="0065507F"/>
    <w:rsid w:val="00660BE4"/>
    <w:rsid w:val="0066104A"/>
    <w:rsid w:val="00664265"/>
    <w:rsid w:val="00664A6B"/>
    <w:rsid w:val="0066501E"/>
    <w:rsid w:val="006710DD"/>
    <w:rsid w:val="00680A7C"/>
    <w:rsid w:val="00682818"/>
    <w:rsid w:val="00682C3E"/>
    <w:rsid w:val="00682CC1"/>
    <w:rsid w:val="00684ABE"/>
    <w:rsid w:val="006901F6"/>
    <w:rsid w:val="006A058E"/>
    <w:rsid w:val="006A3B6D"/>
    <w:rsid w:val="006A4872"/>
    <w:rsid w:val="006B2F82"/>
    <w:rsid w:val="006C63B6"/>
    <w:rsid w:val="006D165E"/>
    <w:rsid w:val="006D2375"/>
    <w:rsid w:val="006D3CF7"/>
    <w:rsid w:val="006E1BD2"/>
    <w:rsid w:val="006E33CC"/>
    <w:rsid w:val="006F197D"/>
    <w:rsid w:val="006F228B"/>
    <w:rsid w:val="006F6143"/>
    <w:rsid w:val="0070334B"/>
    <w:rsid w:val="007057DF"/>
    <w:rsid w:val="00705807"/>
    <w:rsid w:val="00712497"/>
    <w:rsid w:val="00715E27"/>
    <w:rsid w:val="00721BAF"/>
    <w:rsid w:val="0072284B"/>
    <w:rsid w:val="00735955"/>
    <w:rsid w:val="007457D0"/>
    <w:rsid w:val="007552D1"/>
    <w:rsid w:val="007565F6"/>
    <w:rsid w:val="0076186B"/>
    <w:rsid w:val="007639A8"/>
    <w:rsid w:val="00764DD3"/>
    <w:rsid w:val="00765B9F"/>
    <w:rsid w:val="00767325"/>
    <w:rsid w:val="00773DDE"/>
    <w:rsid w:val="00776A81"/>
    <w:rsid w:val="00782E88"/>
    <w:rsid w:val="007841AF"/>
    <w:rsid w:val="00785293"/>
    <w:rsid w:val="007853A8"/>
    <w:rsid w:val="007A0BE4"/>
    <w:rsid w:val="007A4551"/>
    <w:rsid w:val="007A58F0"/>
    <w:rsid w:val="007A6E4C"/>
    <w:rsid w:val="007B1BE1"/>
    <w:rsid w:val="007B62F0"/>
    <w:rsid w:val="007C2D4F"/>
    <w:rsid w:val="007C4972"/>
    <w:rsid w:val="007D51F1"/>
    <w:rsid w:val="007D558B"/>
    <w:rsid w:val="007D6B59"/>
    <w:rsid w:val="007F5C1F"/>
    <w:rsid w:val="007F632F"/>
    <w:rsid w:val="00803C13"/>
    <w:rsid w:val="00810A16"/>
    <w:rsid w:val="008110CD"/>
    <w:rsid w:val="0081471E"/>
    <w:rsid w:val="00814A8C"/>
    <w:rsid w:val="00820AA5"/>
    <w:rsid w:val="00826FD2"/>
    <w:rsid w:val="00827F5E"/>
    <w:rsid w:val="0083084A"/>
    <w:rsid w:val="00834189"/>
    <w:rsid w:val="00835436"/>
    <w:rsid w:val="00842118"/>
    <w:rsid w:val="00843CFA"/>
    <w:rsid w:val="008449E1"/>
    <w:rsid w:val="00846AE5"/>
    <w:rsid w:val="00861062"/>
    <w:rsid w:val="00861893"/>
    <w:rsid w:val="00862719"/>
    <w:rsid w:val="00875F39"/>
    <w:rsid w:val="00885D8A"/>
    <w:rsid w:val="008A7BE3"/>
    <w:rsid w:val="008C07BB"/>
    <w:rsid w:val="008D3158"/>
    <w:rsid w:val="008D3FB8"/>
    <w:rsid w:val="008D4D01"/>
    <w:rsid w:val="008E5B2F"/>
    <w:rsid w:val="008F42FE"/>
    <w:rsid w:val="008F4B72"/>
    <w:rsid w:val="009003D6"/>
    <w:rsid w:val="00902D3F"/>
    <w:rsid w:val="00911CA7"/>
    <w:rsid w:val="00913566"/>
    <w:rsid w:val="009155FF"/>
    <w:rsid w:val="00917AC4"/>
    <w:rsid w:val="009204EA"/>
    <w:rsid w:val="00930665"/>
    <w:rsid w:val="009348AB"/>
    <w:rsid w:val="00942AB5"/>
    <w:rsid w:val="00950393"/>
    <w:rsid w:val="00955BEE"/>
    <w:rsid w:val="009610D3"/>
    <w:rsid w:val="00961AAF"/>
    <w:rsid w:val="00980C5A"/>
    <w:rsid w:val="0099307F"/>
    <w:rsid w:val="009941D1"/>
    <w:rsid w:val="00997AEC"/>
    <w:rsid w:val="009A24E1"/>
    <w:rsid w:val="009A2822"/>
    <w:rsid w:val="009B3434"/>
    <w:rsid w:val="009B55A2"/>
    <w:rsid w:val="009B7E10"/>
    <w:rsid w:val="009C067C"/>
    <w:rsid w:val="009C2A08"/>
    <w:rsid w:val="009C766A"/>
    <w:rsid w:val="009D283F"/>
    <w:rsid w:val="009D2A31"/>
    <w:rsid w:val="009D2BF6"/>
    <w:rsid w:val="009D6356"/>
    <w:rsid w:val="009D7055"/>
    <w:rsid w:val="009E3F61"/>
    <w:rsid w:val="009E5BB0"/>
    <w:rsid w:val="009E75BF"/>
    <w:rsid w:val="009F2CA6"/>
    <w:rsid w:val="009F3A9A"/>
    <w:rsid w:val="00A02653"/>
    <w:rsid w:val="00A02829"/>
    <w:rsid w:val="00A06095"/>
    <w:rsid w:val="00A06396"/>
    <w:rsid w:val="00A06D3F"/>
    <w:rsid w:val="00A144B0"/>
    <w:rsid w:val="00A15972"/>
    <w:rsid w:val="00A21B16"/>
    <w:rsid w:val="00A35FEF"/>
    <w:rsid w:val="00A44F77"/>
    <w:rsid w:val="00A460A5"/>
    <w:rsid w:val="00A517C8"/>
    <w:rsid w:val="00A713D0"/>
    <w:rsid w:val="00A7284C"/>
    <w:rsid w:val="00A74C57"/>
    <w:rsid w:val="00A90CA2"/>
    <w:rsid w:val="00A90DD3"/>
    <w:rsid w:val="00A963EA"/>
    <w:rsid w:val="00AA1682"/>
    <w:rsid w:val="00AB6F42"/>
    <w:rsid w:val="00AC1758"/>
    <w:rsid w:val="00AC2CDD"/>
    <w:rsid w:val="00AC2EAE"/>
    <w:rsid w:val="00AD1D09"/>
    <w:rsid w:val="00AD2E6D"/>
    <w:rsid w:val="00AD5C34"/>
    <w:rsid w:val="00AD63AD"/>
    <w:rsid w:val="00AD6CB5"/>
    <w:rsid w:val="00AD71DD"/>
    <w:rsid w:val="00AF2799"/>
    <w:rsid w:val="00B01098"/>
    <w:rsid w:val="00B021C2"/>
    <w:rsid w:val="00B0413D"/>
    <w:rsid w:val="00B05801"/>
    <w:rsid w:val="00B13F56"/>
    <w:rsid w:val="00B16D20"/>
    <w:rsid w:val="00B3080B"/>
    <w:rsid w:val="00B34E40"/>
    <w:rsid w:val="00B42C40"/>
    <w:rsid w:val="00B43A3E"/>
    <w:rsid w:val="00B43EEF"/>
    <w:rsid w:val="00B44606"/>
    <w:rsid w:val="00B51325"/>
    <w:rsid w:val="00B53A0A"/>
    <w:rsid w:val="00B54DCF"/>
    <w:rsid w:val="00B56FAC"/>
    <w:rsid w:val="00B614D8"/>
    <w:rsid w:val="00B71BA8"/>
    <w:rsid w:val="00B73E0C"/>
    <w:rsid w:val="00B76B2C"/>
    <w:rsid w:val="00B80D63"/>
    <w:rsid w:val="00B84C02"/>
    <w:rsid w:val="00B91CDE"/>
    <w:rsid w:val="00B91D6D"/>
    <w:rsid w:val="00B92B50"/>
    <w:rsid w:val="00B9323F"/>
    <w:rsid w:val="00B97221"/>
    <w:rsid w:val="00BA0C7E"/>
    <w:rsid w:val="00BB0E66"/>
    <w:rsid w:val="00BB5F96"/>
    <w:rsid w:val="00BB7D67"/>
    <w:rsid w:val="00BC0473"/>
    <w:rsid w:val="00BD34A0"/>
    <w:rsid w:val="00BD7B26"/>
    <w:rsid w:val="00BE0460"/>
    <w:rsid w:val="00BE0AC5"/>
    <w:rsid w:val="00BF06A0"/>
    <w:rsid w:val="00C0073D"/>
    <w:rsid w:val="00C024A7"/>
    <w:rsid w:val="00C0684B"/>
    <w:rsid w:val="00C07D4C"/>
    <w:rsid w:val="00C15311"/>
    <w:rsid w:val="00C20473"/>
    <w:rsid w:val="00C20E10"/>
    <w:rsid w:val="00C272AE"/>
    <w:rsid w:val="00C27A19"/>
    <w:rsid w:val="00C34125"/>
    <w:rsid w:val="00C367FF"/>
    <w:rsid w:val="00C3693B"/>
    <w:rsid w:val="00C437A3"/>
    <w:rsid w:val="00C46B50"/>
    <w:rsid w:val="00C66146"/>
    <w:rsid w:val="00C6735F"/>
    <w:rsid w:val="00C67E9D"/>
    <w:rsid w:val="00C70AFF"/>
    <w:rsid w:val="00C72900"/>
    <w:rsid w:val="00C74BD1"/>
    <w:rsid w:val="00C74C58"/>
    <w:rsid w:val="00C75075"/>
    <w:rsid w:val="00C776C6"/>
    <w:rsid w:val="00C81349"/>
    <w:rsid w:val="00C84CF7"/>
    <w:rsid w:val="00C97C7C"/>
    <w:rsid w:val="00CA44AE"/>
    <w:rsid w:val="00CD3BA9"/>
    <w:rsid w:val="00CD3C3B"/>
    <w:rsid w:val="00CD7888"/>
    <w:rsid w:val="00CE5E8A"/>
    <w:rsid w:val="00CE64B4"/>
    <w:rsid w:val="00CF1A42"/>
    <w:rsid w:val="00CF1E51"/>
    <w:rsid w:val="00D06455"/>
    <w:rsid w:val="00D0757B"/>
    <w:rsid w:val="00D12FD7"/>
    <w:rsid w:val="00D1527A"/>
    <w:rsid w:val="00D22DF4"/>
    <w:rsid w:val="00D23812"/>
    <w:rsid w:val="00D33328"/>
    <w:rsid w:val="00D344FE"/>
    <w:rsid w:val="00D36F25"/>
    <w:rsid w:val="00D42840"/>
    <w:rsid w:val="00D438A4"/>
    <w:rsid w:val="00D441B6"/>
    <w:rsid w:val="00D4443D"/>
    <w:rsid w:val="00D5271C"/>
    <w:rsid w:val="00D534F7"/>
    <w:rsid w:val="00D607E3"/>
    <w:rsid w:val="00D609E9"/>
    <w:rsid w:val="00D6320A"/>
    <w:rsid w:val="00D64BEE"/>
    <w:rsid w:val="00D71B02"/>
    <w:rsid w:val="00D75D56"/>
    <w:rsid w:val="00D82931"/>
    <w:rsid w:val="00D9237C"/>
    <w:rsid w:val="00D950A3"/>
    <w:rsid w:val="00DA02ED"/>
    <w:rsid w:val="00DA088F"/>
    <w:rsid w:val="00DA4C02"/>
    <w:rsid w:val="00DA6876"/>
    <w:rsid w:val="00DA7B9B"/>
    <w:rsid w:val="00DB12A8"/>
    <w:rsid w:val="00DB4327"/>
    <w:rsid w:val="00DC4CB0"/>
    <w:rsid w:val="00DC6B4F"/>
    <w:rsid w:val="00DC70E1"/>
    <w:rsid w:val="00DD3B67"/>
    <w:rsid w:val="00DD523C"/>
    <w:rsid w:val="00DE1ACB"/>
    <w:rsid w:val="00DE3C4A"/>
    <w:rsid w:val="00DE4556"/>
    <w:rsid w:val="00E006DB"/>
    <w:rsid w:val="00E05239"/>
    <w:rsid w:val="00E078C2"/>
    <w:rsid w:val="00E312DC"/>
    <w:rsid w:val="00E31449"/>
    <w:rsid w:val="00E33973"/>
    <w:rsid w:val="00E36CDC"/>
    <w:rsid w:val="00E46576"/>
    <w:rsid w:val="00E512B9"/>
    <w:rsid w:val="00E51884"/>
    <w:rsid w:val="00E54F3A"/>
    <w:rsid w:val="00E557A9"/>
    <w:rsid w:val="00E63020"/>
    <w:rsid w:val="00E66ADB"/>
    <w:rsid w:val="00E73CCC"/>
    <w:rsid w:val="00E74A42"/>
    <w:rsid w:val="00E75027"/>
    <w:rsid w:val="00E757C1"/>
    <w:rsid w:val="00E77E7D"/>
    <w:rsid w:val="00E83D52"/>
    <w:rsid w:val="00E85028"/>
    <w:rsid w:val="00E92451"/>
    <w:rsid w:val="00E925D2"/>
    <w:rsid w:val="00E950A7"/>
    <w:rsid w:val="00E95D35"/>
    <w:rsid w:val="00E97531"/>
    <w:rsid w:val="00EA082D"/>
    <w:rsid w:val="00EA3FA3"/>
    <w:rsid w:val="00EA41C2"/>
    <w:rsid w:val="00EA52B9"/>
    <w:rsid w:val="00EA7885"/>
    <w:rsid w:val="00EB51D5"/>
    <w:rsid w:val="00EC1209"/>
    <w:rsid w:val="00EC5346"/>
    <w:rsid w:val="00ED1DE4"/>
    <w:rsid w:val="00ED1E00"/>
    <w:rsid w:val="00ED5189"/>
    <w:rsid w:val="00EE53D8"/>
    <w:rsid w:val="00EE6944"/>
    <w:rsid w:val="00F01B77"/>
    <w:rsid w:val="00F01EBC"/>
    <w:rsid w:val="00F02BA8"/>
    <w:rsid w:val="00F05345"/>
    <w:rsid w:val="00F118BE"/>
    <w:rsid w:val="00F1542A"/>
    <w:rsid w:val="00F24E67"/>
    <w:rsid w:val="00F33C81"/>
    <w:rsid w:val="00F37131"/>
    <w:rsid w:val="00F40143"/>
    <w:rsid w:val="00F505EF"/>
    <w:rsid w:val="00F50D1D"/>
    <w:rsid w:val="00F55B02"/>
    <w:rsid w:val="00F72C07"/>
    <w:rsid w:val="00F7302C"/>
    <w:rsid w:val="00F73E89"/>
    <w:rsid w:val="00F74AB9"/>
    <w:rsid w:val="00F75071"/>
    <w:rsid w:val="00F758EE"/>
    <w:rsid w:val="00F825F2"/>
    <w:rsid w:val="00F82604"/>
    <w:rsid w:val="00F83EFF"/>
    <w:rsid w:val="00F908F5"/>
    <w:rsid w:val="00F93821"/>
    <w:rsid w:val="00F94B63"/>
    <w:rsid w:val="00F94E08"/>
    <w:rsid w:val="00FA77B0"/>
    <w:rsid w:val="00FB6930"/>
    <w:rsid w:val="00FB7A5E"/>
    <w:rsid w:val="00FC4C11"/>
    <w:rsid w:val="00FC6C92"/>
    <w:rsid w:val="00FD6E08"/>
    <w:rsid w:val="00FE0759"/>
    <w:rsid w:val="00FE1F95"/>
    <w:rsid w:val="00FF0BEE"/>
    <w:rsid w:val="00FF1544"/>
    <w:rsid w:val="00FF27CF"/>
    <w:rsid w:val="00FF5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967D5"/>
  <w15:docId w15:val="{CB0B5B94-2BAC-4C48-A78E-56B48CF3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4E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D05E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05E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5ED5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847B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2C10B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6AA5"/>
  </w:style>
  <w:style w:type="paragraph" w:styleId="Zpat">
    <w:name w:val="footer"/>
    <w:basedOn w:val="Normln"/>
    <w:link w:val="ZpatChar"/>
    <w:uiPriority w:val="99"/>
    <w:unhideWhenUsed/>
    <w:rsid w:val="002A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6AA5"/>
  </w:style>
  <w:style w:type="table" w:styleId="Mkatabulky">
    <w:name w:val="Table Grid"/>
    <w:basedOn w:val="Normlntabulka"/>
    <w:uiPriority w:val="39"/>
    <w:rsid w:val="00E0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7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B3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1E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CA0C68"/>
  </w:style>
  <w:style w:type="character" w:styleId="Zstupntext">
    <w:name w:val="Placeholder Text"/>
    <w:basedOn w:val="Standardnpsmoodstavce"/>
    <w:uiPriority w:val="99"/>
    <w:semiHidden/>
    <w:rsid w:val="00BE4E08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FD5A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Protokol">
    <w:name w:val="Protokol"/>
    <w:basedOn w:val="Normln"/>
    <w:link w:val="ProtokolChar"/>
    <w:qFormat/>
    <w:rsid w:val="00313ED7"/>
    <w:pPr>
      <w:spacing w:after="120" w:line="276" w:lineRule="auto"/>
      <w:jc w:val="both"/>
    </w:pPr>
    <w:rPr>
      <w:rFonts w:eastAsia="Times New Roman" w:cstheme="minorHAnsi"/>
      <w:sz w:val="24"/>
      <w:szCs w:val="24"/>
    </w:rPr>
  </w:style>
  <w:style w:type="character" w:customStyle="1" w:styleId="ProtokolChar">
    <w:name w:val="Protokol Char"/>
    <w:basedOn w:val="Standardnpsmoodstavce"/>
    <w:link w:val="Protokol"/>
    <w:rsid w:val="00313ED7"/>
    <w:rPr>
      <w:rFonts w:eastAsia="Times New Roman" w:cstheme="minorHAnsi"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semiHidden/>
    <w:unhideWhenUsed/>
    <w:rsid w:val="00BC0F7E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D3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3B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B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package" Target="embeddings/List_aplikace_Microsoft_Excel2.xlsx"/><Relationship Id="rId26" Type="http://schemas.openxmlformats.org/officeDocument/2006/relationships/chart" Target="charts/chart2.xml"/><Relationship Id="rId39" Type="http://schemas.openxmlformats.org/officeDocument/2006/relationships/image" Target="media/image17.png"/><Relationship Id="rId21" Type="http://schemas.openxmlformats.org/officeDocument/2006/relationships/image" Target="media/image10.emf"/><Relationship Id="rId34" Type="http://schemas.openxmlformats.org/officeDocument/2006/relationships/image" Target="media/image15.emf"/><Relationship Id="rId42" Type="http://schemas.openxmlformats.org/officeDocument/2006/relationships/image" Target="media/image18.emf"/><Relationship Id="rId47" Type="http://schemas.openxmlformats.org/officeDocument/2006/relationships/package" Target="embeddings/List_aplikace_Microsoft_Excel19.xlsx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package" Target="embeddings/List_aplikace_Microsoft_Excel1.xlsx"/><Relationship Id="rId29" Type="http://schemas.openxmlformats.org/officeDocument/2006/relationships/image" Target="media/image13.emf"/><Relationship Id="rId11" Type="http://schemas.openxmlformats.org/officeDocument/2006/relationships/image" Target="media/image4.png"/><Relationship Id="rId24" Type="http://schemas.openxmlformats.org/officeDocument/2006/relationships/package" Target="embeddings/List_aplikace_Microsoft_Excel5.xlsx"/><Relationship Id="rId32" Type="http://schemas.openxmlformats.org/officeDocument/2006/relationships/image" Target="media/image14.emf"/><Relationship Id="rId37" Type="http://schemas.openxmlformats.org/officeDocument/2006/relationships/package" Target="embeddings/List_aplikace_Microsoft_Excel13.xlsx"/><Relationship Id="rId40" Type="http://schemas.openxmlformats.org/officeDocument/2006/relationships/chart" Target="charts/chart5.xml"/><Relationship Id="rId45" Type="http://schemas.openxmlformats.org/officeDocument/2006/relationships/package" Target="embeddings/List_aplikace_Microsoft_Excel18.xlsx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image" Target="media/image9.emf"/><Relationship Id="rId31" Type="http://schemas.openxmlformats.org/officeDocument/2006/relationships/chart" Target="charts/chart3.xml"/><Relationship Id="rId44" Type="http://schemas.openxmlformats.org/officeDocument/2006/relationships/image" Target="media/image19.emf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package" Target="embeddings/List_aplikace_Microsoft_Excel.xlsx"/><Relationship Id="rId22" Type="http://schemas.openxmlformats.org/officeDocument/2006/relationships/package" Target="embeddings/List_aplikace_Microsoft_Excel4.xlsx"/><Relationship Id="rId27" Type="http://schemas.openxmlformats.org/officeDocument/2006/relationships/image" Target="media/image12.emf"/><Relationship Id="rId30" Type="http://schemas.openxmlformats.org/officeDocument/2006/relationships/package" Target="embeddings/List_aplikace_Microsoft_Excel9.xlsx"/><Relationship Id="rId35" Type="http://schemas.openxmlformats.org/officeDocument/2006/relationships/package" Target="embeddings/List_aplikace_Microsoft_Excel12.xlsx"/><Relationship Id="rId43" Type="http://schemas.openxmlformats.org/officeDocument/2006/relationships/package" Target="embeddings/List_aplikace_Microsoft_Excel17.xlsx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8.emf"/><Relationship Id="rId25" Type="http://schemas.openxmlformats.org/officeDocument/2006/relationships/chart" Target="charts/chart1.xml"/><Relationship Id="rId33" Type="http://schemas.openxmlformats.org/officeDocument/2006/relationships/package" Target="embeddings/List_aplikace_Microsoft_Excel11.xlsx"/><Relationship Id="rId38" Type="http://schemas.openxmlformats.org/officeDocument/2006/relationships/chart" Target="charts/chart4.xml"/><Relationship Id="rId46" Type="http://schemas.openxmlformats.org/officeDocument/2006/relationships/image" Target="media/image20.emf"/><Relationship Id="rId20" Type="http://schemas.openxmlformats.org/officeDocument/2006/relationships/package" Target="embeddings/List_aplikace_Microsoft_Excel3.xlsx"/><Relationship Id="rId41" Type="http://schemas.openxmlformats.org/officeDocument/2006/relationships/chart" Target="charts/chart6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1.emf"/><Relationship Id="rId28" Type="http://schemas.openxmlformats.org/officeDocument/2006/relationships/package" Target="embeddings/List_aplikace_Microsoft_Excel8.xlsx"/><Relationship Id="rId36" Type="http://schemas.openxmlformats.org/officeDocument/2006/relationships/image" Target="media/image16.emf"/><Relationship Id="rId49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6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7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10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List_aplikace_Microsoft_Excel1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5.8432934926958904E-2"/>
          <c:w val="1"/>
          <c:h val="0.69682132362936733"/>
        </c:manualLayout>
      </c:layout>
      <c:lineChart>
        <c:grouping val="standar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Listinná podoba</c:v>
                </c:pt>
              </c:strCache>
            </c:strRef>
          </c:tx>
          <c:spPr>
            <a:ln w="28575" cap="rnd">
              <a:solidFill>
                <a:srgbClr val="004595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004595"/>
              </a:solidFill>
              <a:ln w="9525">
                <a:noFill/>
              </a:ln>
              <a:effectLst/>
            </c:spPr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strRef>
              <c:f>List1!$B$1:$E$1</c:f>
              <c:strCach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strCache>
            </c:strRef>
          </c:cat>
          <c:val>
            <c:numRef>
              <c:f>List1!$B$2:$E$2</c:f>
              <c:numCache>
                <c:formatCode>#,##0</c:formatCode>
                <c:ptCount val="4"/>
                <c:pt idx="0">
                  <c:v>2446812</c:v>
                </c:pt>
                <c:pt idx="1">
                  <c:v>2406146</c:v>
                </c:pt>
                <c:pt idx="2">
                  <c:v>2560125</c:v>
                </c:pt>
                <c:pt idx="3">
                  <c:v>2185311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F42-42C7-AC8A-7E50CD95DBF6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Elektronická podoba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C00000"/>
              </a:solidFill>
              <a:ln w="9525">
                <a:noFill/>
              </a:ln>
              <a:effectLst/>
            </c:spPr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strRef>
              <c:f>List1!$B$1:$E$1</c:f>
              <c:strCach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strCache>
            </c:strRef>
          </c:cat>
          <c:val>
            <c:numRef>
              <c:f>List1!$B$3:$E$3</c:f>
              <c:numCache>
                <c:formatCode>#,##0</c:formatCode>
                <c:ptCount val="4"/>
                <c:pt idx="0">
                  <c:v>129930</c:v>
                </c:pt>
                <c:pt idx="1">
                  <c:v>188093</c:v>
                </c:pt>
                <c:pt idx="2">
                  <c:v>359283</c:v>
                </c:pt>
                <c:pt idx="3">
                  <c:v>762152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F42-42C7-AC8A-7E50CD95DB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4166840"/>
        <c:axId val="303342920"/>
      </c:lineChart>
      <c:catAx>
        <c:axId val="444166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03342920"/>
        <c:crosses val="autoZero"/>
        <c:auto val="1"/>
        <c:lblAlgn val="ctr"/>
        <c:lblOffset val="100"/>
        <c:noMultiLvlLbl val="0"/>
      </c:catAx>
      <c:valAx>
        <c:axId val="303342920"/>
        <c:scaling>
          <c:orientation val="minMax"/>
        </c:scaling>
        <c:delete val="1"/>
        <c:axPos val="l"/>
        <c:majorGridlines>
          <c:spPr>
            <a:ln w="9525">
              <a:solidFill>
                <a:schemeClr val="bg1"/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one"/>
        <c:crossAx val="444166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017754725103807"/>
          <c:y val="0.12201885745978924"/>
          <c:w val="0.76293796608757303"/>
          <c:h val="0.798664863861714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459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157-4749-AD47-79DFF6B3D69C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List1!$A$2:$A$3</c:f>
              <c:strCache>
                <c:ptCount val="2"/>
                <c:pt idx="0">
                  <c:v>Odmítnutá podání</c:v>
                </c:pt>
                <c:pt idx="1">
                  <c:v>Datová schránka</c:v>
                </c:pt>
              </c:strCache>
            </c:strRef>
          </c:cat>
          <c:val>
            <c:numRef>
              <c:f>List1!$B$2:$B$3</c:f>
              <c:numCache>
                <c:formatCode>#,##0</c:formatCode>
                <c:ptCount val="2"/>
                <c:pt idx="0">
                  <c:v>25347</c:v>
                </c:pt>
                <c:pt idx="1">
                  <c:v>410673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26F-44F8-9E58-91DC04F436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03344096"/>
        <c:axId val="179474056"/>
      </c:barChart>
      <c:catAx>
        <c:axId val="3033440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9474056"/>
        <c:crosses val="autoZero"/>
        <c:auto val="1"/>
        <c:lblAlgn val="ctr"/>
        <c:lblOffset val="100"/>
        <c:noMultiLvlLbl val="0"/>
      </c:catAx>
      <c:valAx>
        <c:axId val="179474056"/>
        <c:scaling>
          <c:orientation val="minMax"/>
          <c:max val="450000"/>
          <c:min val="0"/>
        </c:scaling>
        <c:delete val="1"/>
        <c:axPos val="b"/>
        <c:majorGridlines>
          <c:spPr>
            <a:ln w="9525">
              <a:solidFill>
                <a:schemeClr val="bg1"/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one"/>
        <c:crossAx val="303344096"/>
        <c:crosses val="autoZero"/>
        <c:crossBetween val="between"/>
        <c:majorUnit val="1500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2.3809523809523812E-2"/>
          <c:w val="0.99078030669051964"/>
          <c:h val="0.769609423822022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Průměrná hodnota základu daně ze závislé činnosti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81818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05D-4430-BEC1-A5A536CFE5B7}"/>
              </c:ext>
            </c:extLst>
          </c:dPt>
          <c:dLbls>
            <c:dLbl>
              <c:idx val="0"/>
              <c:layout>
                <c:manualLayout>
                  <c:x val="8.8446655610834712E-3"/>
                  <c:y val="-4.5469051457214409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9FE-47B1-94D7-FC03C6116422}"/>
                </c:ext>
              </c:extLst>
            </c:dLbl>
            <c:dLbl>
              <c:idx val="7"/>
              <c:layout>
                <c:manualLayout>
                  <c:x val="-1.6215032877876241E-16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3BC-42EB-938E-30E7CED8764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strRef>
              <c:f>List1!$A$2:$A$9</c:f>
              <c:strCache>
                <c:ptCount val="8"/>
                <c:pt idx="0">
                  <c:v>FÚ pro hl. m. Praha</c:v>
                </c:pt>
                <c:pt idx="1">
                  <c:v>ČR</c:v>
                </c:pt>
                <c:pt idx="2">
                  <c:v>FÚ pro Jihomoravský kraj</c:v>
                </c:pt>
                <c:pt idx="3">
                  <c:v>FÚ pro Ústecký kraj</c:v>
                </c:pt>
                <c:pt idx="4">
                  <c:v>FÚ pro Jihočeský kraj</c:v>
                </c:pt>
                <c:pt idx="5">
                  <c:v>FÚ pro Královehradecký kraj</c:v>
                </c:pt>
                <c:pt idx="6">
                  <c:v>FÚ pro Olomoucký kraj</c:v>
                </c:pt>
                <c:pt idx="7">
                  <c:v>FÚ pro Moravskoslezský kraj</c:v>
                </c:pt>
              </c:strCache>
            </c:strRef>
          </c:cat>
          <c:val>
            <c:numRef>
              <c:f>List1!$B$2:$B$9</c:f>
              <c:numCache>
                <c:formatCode>#,##0\ "Kč"</c:formatCode>
                <c:ptCount val="8"/>
                <c:pt idx="0">
                  <c:v>735642</c:v>
                </c:pt>
                <c:pt idx="1">
                  <c:v>456472</c:v>
                </c:pt>
                <c:pt idx="2">
                  <c:v>440426</c:v>
                </c:pt>
                <c:pt idx="3">
                  <c:v>401355</c:v>
                </c:pt>
                <c:pt idx="4">
                  <c:v>396255</c:v>
                </c:pt>
                <c:pt idx="5">
                  <c:v>394306</c:v>
                </c:pt>
                <c:pt idx="6">
                  <c:v>391037</c:v>
                </c:pt>
                <c:pt idx="7">
                  <c:v>179568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3BC-42EB-938E-30E7CED87644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Průměrná hodnota základu daně u osob samostatně výdělečně činných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818181">
                  <a:alpha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05D-4430-BEC1-A5A536CFE5B7}"/>
              </c:ext>
            </c:extLst>
          </c:dPt>
          <c:dLbls>
            <c:dLbl>
              <c:idx val="7"/>
              <c:layout>
                <c:manualLayout>
                  <c:x val="-4.422332780541902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3BC-42EB-938E-30E7CED8764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</c:ext>
            </c:extLst>
          </c:dLbls>
          <c:cat>
            <c:strRef>
              <c:f>List1!$A$2:$A$9</c:f>
              <c:strCache>
                <c:ptCount val="8"/>
                <c:pt idx="0">
                  <c:v>FÚ pro hl. m. Praha</c:v>
                </c:pt>
                <c:pt idx="1">
                  <c:v>ČR</c:v>
                </c:pt>
                <c:pt idx="2">
                  <c:v>FÚ pro Jihomoravský kraj</c:v>
                </c:pt>
                <c:pt idx="3">
                  <c:v>FÚ pro Ústecký kraj</c:v>
                </c:pt>
                <c:pt idx="4">
                  <c:v>FÚ pro Jihočeský kraj</c:v>
                </c:pt>
                <c:pt idx="5">
                  <c:v>FÚ pro Královehradecký kraj</c:v>
                </c:pt>
                <c:pt idx="6">
                  <c:v>FÚ pro Olomoucký kraj</c:v>
                </c:pt>
                <c:pt idx="7">
                  <c:v>FÚ pro Moravskoslezský kraj</c:v>
                </c:pt>
              </c:strCache>
            </c:strRef>
          </c:cat>
          <c:val>
            <c:numRef>
              <c:f>List1!$C$2:$C$9</c:f>
              <c:numCache>
                <c:formatCode>#,##0\ "Kč"</c:formatCode>
                <c:ptCount val="8"/>
                <c:pt idx="0">
                  <c:v>181612</c:v>
                </c:pt>
                <c:pt idx="1">
                  <c:v>157921</c:v>
                </c:pt>
                <c:pt idx="2">
                  <c:v>149176</c:v>
                </c:pt>
                <c:pt idx="3">
                  <c:v>156807</c:v>
                </c:pt>
                <c:pt idx="4">
                  <c:v>151616</c:v>
                </c:pt>
                <c:pt idx="5">
                  <c:v>148194</c:v>
                </c:pt>
                <c:pt idx="6">
                  <c:v>151853</c:v>
                </c:pt>
                <c:pt idx="7">
                  <c:v>154914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3BC-42EB-938E-30E7CED876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5323272"/>
        <c:axId val="179477584"/>
      </c:barChart>
      <c:catAx>
        <c:axId val="295323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79477584"/>
        <c:crosses val="autoZero"/>
        <c:auto val="1"/>
        <c:lblAlgn val="ctr"/>
        <c:lblOffset val="100"/>
        <c:noMultiLvlLbl val="0"/>
      </c:catAx>
      <c:valAx>
        <c:axId val="179477584"/>
        <c:scaling>
          <c:orientation val="minMax"/>
        </c:scaling>
        <c:delete val="1"/>
        <c:axPos val="l"/>
        <c:majorGridlines>
          <c:spPr>
            <a:ln w="9525">
              <a:solidFill>
                <a:schemeClr val="bg1"/>
              </a:solidFill>
              <a:round/>
            </a:ln>
            <a:effectLst/>
          </c:spPr>
        </c:majorGridlines>
        <c:numFmt formatCode="#,##0\ &quot;Kč&quot;" sourceLinked="1"/>
        <c:majorTickMark val="none"/>
        <c:minorTickMark val="none"/>
        <c:tickLblPos val="none"/>
        <c:crossAx val="295323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199048502021812E-2"/>
          <c:y val="0.94890826146731655"/>
          <c:w val="0.96633490465433114"/>
          <c:h val="5.10917385326834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bg1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006442376521119E-2"/>
          <c:y val="4.3650793650793676E-2"/>
          <c:w val="0.92638350761710342"/>
          <c:h val="0.71987314085739251"/>
        </c:manualLayout>
      </c:layout>
      <c:lineChart>
        <c:grouping val="standard"/>
        <c:varyColors val="0"/>
        <c:ser>
          <c:idx val="0"/>
          <c:order val="0"/>
          <c:tx>
            <c:strRef>
              <c:f>List1!$A$2</c:f>
              <c:strCache>
                <c:ptCount val="1"/>
                <c:pt idx="0">
                  <c:v>Česká republika</c:v>
                </c:pt>
              </c:strCache>
            </c:strRef>
          </c:tx>
          <c:spPr>
            <a:ln w="31750" cap="rnd">
              <a:solidFill>
                <a:srgbClr val="004595"/>
              </a:solidFill>
              <a:round/>
            </a:ln>
            <a:effectLst/>
          </c:spPr>
          <c:marker>
            <c:symbol val="none"/>
          </c:marker>
          <c:cat>
            <c:strRef>
              <c:f>List1!$B$1:$Q$1</c:f>
              <c:strCach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strCache>
            </c:strRef>
          </c:cat>
          <c:val>
            <c:numRef>
              <c:f>List1!$B$2:$Q$2</c:f>
              <c:numCache>
                <c:formatCode>0.00%</c:formatCode>
                <c:ptCount val="16"/>
                <c:pt idx="0">
                  <c:v>0.42600000000000021</c:v>
                </c:pt>
                <c:pt idx="1">
                  <c:v>0.42600000000000021</c:v>
                </c:pt>
                <c:pt idx="2">
                  <c:v>0.43000000000000016</c:v>
                </c:pt>
                <c:pt idx="3">
                  <c:v>0.43200000000000022</c:v>
                </c:pt>
                <c:pt idx="4">
                  <c:v>0.43500000000000016</c:v>
                </c:pt>
                <c:pt idx="5">
                  <c:v>0.43700000000000022</c:v>
                </c:pt>
                <c:pt idx="6">
                  <c:v>0.42500000000000021</c:v>
                </c:pt>
                <c:pt idx="7">
                  <c:v>0.42900000000000021</c:v>
                </c:pt>
                <c:pt idx="8">
                  <c:v>0.43400000000000016</c:v>
                </c:pt>
                <c:pt idx="9">
                  <c:v>0.42000000000000015</c:v>
                </c:pt>
                <c:pt idx="10">
                  <c:v>0.42100000000000021</c:v>
                </c:pt>
                <c:pt idx="11">
                  <c:v>0.42600000000000021</c:v>
                </c:pt>
                <c:pt idx="12">
                  <c:v>0.42500000000000021</c:v>
                </c:pt>
                <c:pt idx="13">
                  <c:v>0.42400000000000021</c:v>
                </c:pt>
                <c:pt idx="14">
                  <c:v>0.42600000000000021</c:v>
                </c:pt>
                <c:pt idx="15">
                  <c:v>0.42800000000000021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B8C-43B2-81EF-1B7527E06980}"/>
            </c:ext>
          </c:extLst>
        </c:ser>
        <c:ser>
          <c:idx val="1"/>
          <c:order val="1"/>
          <c:tx>
            <c:strRef>
              <c:f>List1!$A$3</c:f>
              <c:strCache>
                <c:ptCount val="1"/>
                <c:pt idx="0">
                  <c:v>Slovenská republika</c:v>
                </c:pt>
              </c:strCache>
            </c:strRef>
          </c:tx>
          <c:spPr>
            <a:ln w="31750" cap="rnd">
              <a:solidFill>
                <a:srgbClr val="808080"/>
              </a:solidFill>
              <a:round/>
            </a:ln>
            <a:effectLst/>
          </c:spPr>
          <c:marker>
            <c:symbol val="none"/>
          </c:marker>
          <c:cat>
            <c:strRef>
              <c:f>List1!$B$1:$Q$1</c:f>
              <c:strCach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strCache>
            </c:strRef>
          </c:cat>
          <c:val>
            <c:numRef>
              <c:f>List1!$B$3:$Q$3</c:f>
              <c:numCache>
                <c:formatCode>0.00%</c:formatCode>
                <c:ptCount val="16"/>
                <c:pt idx="0">
                  <c:v>0.41900000000000015</c:v>
                </c:pt>
                <c:pt idx="1">
                  <c:v>0.42500000000000021</c:v>
                </c:pt>
                <c:pt idx="2">
                  <c:v>0.42100000000000021</c:v>
                </c:pt>
                <c:pt idx="3">
                  <c:v>0.42500000000000021</c:v>
                </c:pt>
                <c:pt idx="4">
                  <c:v>0.42200000000000021</c:v>
                </c:pt>
                <c:pt idx="5">
                  <c:v>0.38000000000000017</c:v>
                </c:pt>
                <c:pt idx="6">
                  <c:v>0.38300000000000017</c:v>
                </c:pt>
                <c:pt idx="7">
                  <c:v>0.38400000000000017</c:v>
                </c:pt>
                <c:pt idx="8">
                  <c:v>0.38800000000000018</c:v>
                </c:pt>
                <c:pt idx="9">
                  <c:v>0.37700000000000017</c:v>
                </c:pt>
                <c:pt idx="10">
                  <c:v>0.37900000000000017</c:v>
                </c:pt>
                <c:pt idx="11">
                  <c:v>0.38800000000000018</c:v>
                </c:pt>
                <c:pt idx="12">
                  <c:v>0.39600000000000024</c:v>
                </c:pt>
                <c:pt idx="13">
                  <c:v>0.4110000000000002</c:v>
                </c:pt>
                <c:pt idx="14">
                  <c:v>0.41300000000000014</c:v>
                </c:pt>
                <c:pt idx="15">
                  <c:v>0.41300000000000014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B8C-43B2-81EF-1B7527E06980}"/>
            </c:ext>
          </c:extLst>
        </c:ser>
        <c:ser>
          <c:idx val="2"/>
          <c:order val="2"/>
          <c:tx>
            <c:strRef>
              <c:f>List1!$A$4</c:f>
              <c:strCache>
                <c:ptCount val="1"/>
                <c:pt idx="0">
                  <c:v>Německo</c:v>
                </c:pt>
              </c:strCache>
            </c:strRef>
          </c:tx>
          <c:spPr>
            <a:ln w="31750" cap="rnd">
              <a:solidFill>
                <a:srgbClr val="BD2A33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strRef>
              <c:f>List1!$B$1:$Q$1</c:f>
              <c:strCach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strCache>
            </c:strRef>
          </c:cat>
          <c:val>
            <c:numRef>
              <c:f>List1!$B$4:$Q$4</c:f>
              <c:numCache>
                <c:formatCode>0.00%</c:formatCode>
                <c:ptCount val="16"/>
                <c:pt idx="0">
                  <c:v>0.52900000000000003</c:v>
                </c:pt>
                <c:pt idx="1">
                  <c:v>0.51900000000000002</c:v>
                </c:pt>
                <c:pt idx="2">
                  <c:v>0.52500000000000002</c:v>
                </c:pt>
                <c:pt idx="3">
                  <c:v>0.53200000000000003</c:v>
                </c:pt>
                <c:pt idx="4">
                  <c:v>0.52200000000000002</c:v>
                </c:pt>
                <c:pt idx="5">
                  <c:v>0.52100000000000002</c:v>
                </c:pt>
                <c:pt idx="6">
                  <c:v>0.52300000000000002</c:v>
                </c:pt>
                <c:pt idx="7">
                  <c:v>0.51800000000000002</c:v>
                </c:pt>
                <c:pt idx="8">
                  <c:v>0.51300000000000001</c:v>
                </c:pt>
                <c:pt idx="9">
                  <c:v>0.50800000000000001</c:v>
                </c:pt>
                <c:pt idx="10">
                  <c:v>0.49100000000000021</c:v>
                </c:pt>
                <c:pt idx="11">
                  <c:v>0.49700000000000022</c:v>
                </c:pt>
                <c:pt idx="12">
                  <c:v>0.49600000000000016</c:v>
                </c:pt>
                <c:pt idx="13">
                  <c:v>0.49200000000000021</c:v>
                </c:pt>
                <c:pt idx="14">
                  <c:v>0.49300000000000022</c:v>
                </c:pt>
                <c:pt idx="15">
                  <c:v>0.49400000000000022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B8C-43B2-81EF-1B7527E06980}"/>
            </c:ext>
          </c:extLst>
        </c:ser>
        <c:ser>
          <c:idx val="3"/>
          <c:order val="3"/>
          <c:tx>
            <c:strRef>
              <c:f>List1!$A$5</c:f>
              <c:strCache>
                <c:ptCount val="1"/>
                <c:pt idx="0">
                  <c:v>Rakousko</c:v>
                </c:pt>
              </c:strCache>
            </c:strRef>
          </c:tx>
          <c:spPr>
            <a:ln w="31750" cap="rnd">
              <a:solidFill>
                <a:srgbClr val="BD2A33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strRef>
              <c:f>List1!$B$1:$Q$1</c:f>
              <c:strCach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strCache>
            </c:strRef>
          </c:cat>
          <c:val>
            <c:numRef>
              <c:f>List1!$B$5:$Q$5</c:f>
              <c:numCache>
                <c:formatCode>0.00%</c:formatCode>
                <c:ptCount val="16"/>
                <c:pt idx="0">
                  <c:v>0.47300000000000014</c:v>
                </c:pt>
                <c:pt idx="1">
                  <c:v>0.46900000000000008</c:v>
                </c:pt>
                <c:pt idx="2">
                  <c:v>0.4710000000000002</c:v>
                </c:pt>
                <c:pt idx="3">
                  <c:v>0.47400000000000014</c:v>
                </c:pt>
                <c:pt idx="4">
                  <c:v>0.48300000000000015</c:v>
                </c:pt>
                <c:pt idx="5">
                  <c:v>0.48100000000000021</c:v>
                </c:pt>
                <c:pt idx="6">
                  <c:v>0.48500000000000021</c:v>
                </c:pt>
                <c:pt idx="7">
                  <c:v>0.48800000000000021</c:v>
                </c:pt>
                <c:pt idx="8">
                  <c:v>0.49000000000000016</c:v>
                </c:pt>
                <c:pt idx="9">
                  <c:v>0.47900000000000015</c:v>
                </c:pt>
                <c:pt idx="10">
                  <c:v>0.48200000000000021</c:v>
                </c:pt>
                <c:pt idx="11">
                  <c:v>0.48500000000000021</c:v>
                </c:pt>
                <c:pt idx="12">
                  <c:v>0.48800000000000021</c:v>
                </c:pt>
                <c:pt idx="13">
                  <c:v>0.49200000000000021</c:v>
                </c:pt>
                <c:pt idx="14">
                  <c:v>0.49400000000000022</c:v>
                </c:pt>
                <c:pt idx="15">
                  <c:v>0.49500000000000016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B8C-43B2-81EF-1B7527E06980}"/>
            </c:ext>
          </c:extLst>
        </c:ser>
        <c:ser>
          <c:idx val="4"/>
          <c:order val="4"/>
          <c:tx>
            <c:strRef>
              <c:f>List1!$A$6</c:f>
              <c:strCache>
                <c:ptCount val="1"/>
                <c:pt idx="0">
                  <c:v>Polsko</c:v>
                </c:pt>
              </c:strCache>
            </c:strRef>
          </c:tx>
          <c:spPr>
            <a:ln w="31750" cap="rnd">
              <a:solidFill>
                <a:srgbClr val="808080">
                  <a:alpha val="60000"/>
                </a:srgbClr>
              </a:solidFill>
              <a:round/>
            </a:ln>
            <a:effectLst/>
          </c:spPr>
          <c:marker>
            <c:symbol val="none"/>
          </c:marker>
          <c:cat>
            <c:strRef>
              <c:f>List1!$B$1:$Q$1</c:f>
              <c:strCach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strCache>
            </c:strRef>
          </c:cat>
          <c:val>
            <c:numRef>
              <c:f>List1!$B$6:$Q$6</c:f>
              <c:numCache>
                <c:formatCode>0.00%</c:formatCode>
                <c:ptCount val="16"/>
                <c:pt idx="0">
                  <c:v>0.36500000000000021</c:v>
                </c:pt>
                <c:pt idx="1">
                  <c:v>0.36300000000000021</c:v>
                </c:pt>
                <c:pt idx="2">
                  <c:v>0.36200000000000021</c:v>
                </c:pt>
                <c:pt idx="3">
                  <c:v>0.36500000000000021</c:v>
                </c:pt>
                <c:pt idx="4">
                  <c:v>0.36800000000000022</c:v>
                </c:pt>
                <c:pt idx="5">
                  <c:v>0.37100000000000016</c:v>
                </c:pt>
                <c:pt idx="6">
                  <c:v>0.37400000000000017</c:v>
                </c:pt>
                <c:pt idx="7">
                  <c:v>0.36600000000000021</c:v>
                </c:pt>
                <c:pt idx="8">
                  <c:v>0.33200000000000024</c:v>
                </c:pt>
                <c:pt idx="9">
                  <c:v>0.32700000000000018</c:v>
                </c:pt>
                <c:pt idx="10">
                  <c:v>0.32900000000000024</c:v>
                </c:pt>
                <c:pt idx="11">
                  <c:v>0.33100000000000024</c:v>
                </c:pt>
                <c:pt idx="12">
                  <c:v>0.34300000000000008</c:v>
                </c:pt>
                <c:pt idx="13">
                  <c:v>0.34400000000000008</c:v>
                </c:pt>
                <c:pt idx="14">
                  <c:v>0.3460000000000002</c:v>
                </c:pt>
                <c:pt idx="15">
                  <c:v>0.3470000000000002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B8C-43B2-81EF-1B7527E06980}"/>
            </c:ext>
          </c:extLst>
        </c:ser>
        <c:ser>
          <c:idx val="5"/>
          <c:order val="5"/>
          <c:tx>
            <c:strRef>
              <c:f>List1!$A$7</c:f>
              <c:strCache>
                <c:ptCount val="1"/>
                <c:pt idx="0">
                  <c:v>Maďarsko</c:v>
                </c:pt>
              </c:strCache>
            </c:strRef>
          </c:tx>
          <c:spPr>
            <a:ln w="28575" cap="rnd">
              <a:solidFill>
                <a:srgbClr val="BD2A33"/>
              </a:solidFill>
              <a:round/>
            </a:ln>
            <a:effectLst/>
          </c:spPr>
          <c:marker>
            <c:symbol val="none"/>
          </c:marker>
          <c:dPt>
            <c:idx val="1"/>
            <c:bubble3D val="0"/>
            <c:spPr>
              <a:ln w="31750" cap="rnd">
                <a:solidFill>
                  <a:srgbClr val="BD2A33"/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3CD2-4E2A-9760-2AF8A51E3FAD}"/>
              </c:ext>
            </c:extLst>
          </c:dPt>
          <c:cat>
            <c:strRef>
              <c:f>List1!$B$1:$Q$1</c:f>
              <c:strCach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strCache>
            </c:strRef>
          </c:cat>
          <c:val>
            <c:numRef>
              <c:f>List1!$B$7:$Q$7</c:f>
              <c:numCache>
                <c:formatCode>0.00%</c:formatCode>
                <c:ptCount val="16"/>
                <c:pt idx="0">
                  <c:v>0.54700000000000004</c:v>
                </c:pt>
                <c:pt idx="1">
                  <c:v>0.55799999999999994</c:v>
                </c:pt>
                <c:pt idx="2">
                  <c:v>0.53700000000000003</c:v>
                </c:pt>
                <c:pt idx="3">
                  <c:v>0.50800000000000001</c:v>
                </c:pt>
                <c:pt idx="4">
                  <c:v>0.51700000000000002</c:v>
                </c:pt>
                <c:pt idx="5">
                  <c:v>0.51100000000000001</c:v>
                </c:pt>
                <c:pt idx="6">
                  <c:v>0.51900000000000002</c:v>
                </c:pt>
                <c:pt idx="7">
                  <c:v>0.54500000000000004</c:v>
                </c:pt>
                <c:pt idx="8">
                  <c:v>0.54100000000000004</c:v>
                </c:pt>
                <c:pt idx="9">
                  <c:v>0.53100000000000003</c:v>
                </c:pt>
                <c:pt idx="10">
                  <c:v>0.46600000000000008</c:v>
                </c:pt>
                <c:pt idx="11">
                  <c:v>0.49500000000000016</c:v>
                </c:pt>
                <c:pt idx="12">
                  <c:v>0.49500000000000016</c:v>
                </c:pt>
                <c:pt idx="13">
                  <c:v>0.49000000000000016</c:v>
                </c:pt>
                <c:pt idx="14">
                  <c:v>0.49000000000000016</c:v>
                </c:pt>
                <c:pt idx="15">
                  <c:v>0.49000000000000016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B8C-43B2-81EF-1B7527E06980}"/>
            </c:ext>
          </c:extLst>
        </c:ser>
        <c:ser>
          <c:idx val="6"/>
          <c:order val="6"/>
          <c:tx>
            <c:strRef>
              <c:f>List1!$A$8</c:f>
              <c:strCache>
                <c:ptCount val="1"/>
                <c:pt idx="0">
                  <c:v>Slovinsko</c:v>
                </c:pt>
              </c:strCache>
            </c:strRef>
          </c:tx>
          <c:spPr>
            <a:ln w="31750" cap="rnd">
              <a:solidFill>
                <a:srgbClr val="004595">
                  <a:alpha val="20000"/>
                </a:srgbClr>
              </a:solidFill>
              <a:round/>
            </a:ln>
            <a:effectLst/>
          </c:spPr>
          <c:marker>
            <c:symbol val="none"/>
          </c:marker>
          <c:cat>
            <c:strRef>
              <c:f>List1!$B$1:$Q$1</c:f>
              <c:strCache>
                <c:ptCount val="16"/>
                <c:pt idx="0">
                  <c:v>2000</c:v>
                </c:pt>
                <c:pt idx="1">
                  <c:v>2001</c:v>
                </c:pt>
                <c:pt idx="2">
                  <c:v>2002</c:v>
                </c:pt>
                <c:pt idx="3">
                  <c:v>2003</c:v>
                </c:pt>
                <c:pt idx="4">
                  <c:v>2004</c:v>
                </c:pt>
                <c:pt idx="5">
                  <c:v>2005</c:v>
                </c:pt>
                <c:pt idx="6">
                  <c:v>2006</c:v>
                </c:pt>
                <c:pt idx="7">
                  <c:v>2007</c:v>
                </c:pt>
                <c:pt idx="8">
                  <c:v>2008</c:v>
                </c:pt>
                <c:pt idx="9">
                  <c:v>2009</c:v>
                </c:pt>
                <c:pt idx="10">
                  <c:v>2010</c:v>
                </c:pt>
                <c:pt idx="11">
                  <c:v>2011</c:v>
                </c:pt>
                <c:pt idx="12">
                  <c:v>2012</c:v>
                </c:pt>
                <c:pt idx="13">
                  <c:v>2013</c:v>
                </c:pt>
                <c:pt idx="14">
                  <c:v>2014</c:v>
                </c:pt>
                <c:pt idx="15">
                  <c:v>2015</c:v>
                </c:pt>
              </c:strCache>
            </c:strRef>
          </c:cat>
          <c:val>
            <c:numRef>
              <c:f>List1!$B$8:$Q$8</c:f>
              <c:numCache>
                <c:formatCode>0.00%</c:formatCode>
                <c:ptCount val="16"/>
                <c:pt idx="0">
                  <c:v>0.46300000000000002</c:v>
                </c:pt>
                <c:pt idx="1">
                  <c:v>0.46200000000000002</c:v>
                </c:pt>
                <c:pt idx="2">
                  <c:v>0.46100000000000002</c:v>
                </c:pt>
                <c:pt idx="3">
                  <c:v>0.46200000000000002</c:v>
                </c:pt>
                <c:pt idx="4">
                  <c:v>0.46300000000000002</c:v>
                </c:pt>
                <c:pt idx="5">
                  <c:v>0.45600000000000002</c:v>
                </c:pt>
                <c:pt idx="6">
                  <c:v>0.45300000000000001</c:v>
                </c:pt>
                <c:pt idx="7">
                  <c:v>0.43300000000000016</c:v>
                </c:pt>
                <c:pt idx="8">
                  <c:v>0.42900000000000021</c:v>
                </c:pt>
                <c:pt idx="9">
                  <c:v>0.42200000000000021</c:v>
                </c:pt>
                <c:pt idx="10">
                  <c:v>0.42500000000000021</c:v>
                </c:pt>
                <c:pt idx="11">
                  <c:v>0.42600000000000021</c:v>
                </c:pt>
                <c:pt idx="12">
                  <c:v>0.42500000000000021</c:v>
                </c:pt>
                <c:pt idx="13">
                  <c:v>0.42400000000000021</c:v>
                </c:pt>
                <c:pt idx="14">
                  <c:v>0.42500000000000021</c:v>
                </c:pt>
                <c:pt idx="15">
                  <c:v>0.42600000000000021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DB8C-43B2-81EF-1B7527E06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6558160"/>
        <c:axId val="226559336"/>
      </c:lineChart>
      <c:catAx>
        <c:axId val="226558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26559336"/>
        <c:crosses val="autoZero"/>
        <c:auto val="1"/>
        <c:lblAlgn val="ctr"/>
        <c:lblOffset val="100"/>
        <c:noMultiLvlLbl val="0"/>
      </c:catAx>
      <c:valAx>
        <c:axId val="226559336"/>
        <c:scaling>
          <c:orientation val="minMax"/>
          <c:max val="0.60000000000000042"/>
          <c:min val="0.30000000000000021"/>
        </c:scaling>
        <c:delete val="0"/>
        <c:axPos val="l"/>
        <c:majorGridlines>
          <c:spPr>
            <a:ln w="9525">
              <a:noFill/>
              <a:round/>
            </a:ln>
            <a:effectLst/>
          </c:spPr>
        </c:majorGridlines>
        <c:numFmt formatCode="0_I%" sourceLinked="0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26558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Zdanění práce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Pt>
            <c:idx val="7"/>
            <c:invertIfNegative val="0"/>
            <c:bubble3D val="0"/>
            <c:spPr>
              <a:solidFill>
                <a:srgbClr val="B6293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87A-4BF5-9EC4-D2101503A469}"/>
              </c:ext>
            </c:extLst>
          </c:dPt>
          <c:cat>
            <c:strRef>
              <c:f>List1!$A$2:$A$37</c:f>
              <c:strCache>
                <c:ptCount val="36"/>
                <c:pt idx="0">
                  <c:v>Belgium</c:v>
                </c:pt>
                <c:pt idx="1">
                  <c:v>Austria</c:v>
                </c:pt>
                <c:pt idx="2">
                  <c:v>Germany</c:v>
                </c:pt>
                <c:pt idx="3">
                  <c:v>Hungary</c:v>
                </c:pt>
                <c:pt idx="4">
                  <c:v>France</c:v>
                </c:pt>
                <c:pt idx="5">
                  <c:v>Italy</c:v>
                </c:pt>
                <c:pt idx="6">
                  <c:v>Finland</c:v>
                </c:pt>
                <c:pt idx="7">
                  <c:v>Czech Republic</c:v>
                </c:pt>
                <c:pt idx="8">
                  <c:v>Sweden</c:v>
                </c:pt>
                <c:pt idx="9">
                  <c:v>Slovenia</c:v>
                </c:pt>
                <c:pt idx="10">
                  <c:v>Portugal</c:v>
                </c:pt>
                <c:pt idx="11">
                  <c:v>EU 21 members in OECD</c:v>
                </c:pt>
                <c:pt idx="12">
                  <c:v>Slovak Republic</c:v>
                </c:pt>
                <c:pt idx="13">
                  <c:v>Spain</c:v>
                </c:pt>
                <c:pt idx="14">
                  <c:v>Greece</c:v>
                </c:pt>
                <c:pt idx="15">
                  <c:v>Estonia</c:v>
                </c:pt>
                <c:pt idx="16">
                  <c:v>Turkey</c:v>
                </c:pt>
                <c:pt idx="17">
                  <c:v>Luxembourg</c:v>
                </c:pt>
                <c:pt idx="18">
                  <c:v>Norway</c:v>
                </c:pt>
                <c:pt idx="19">
                  <c:v>Denmark</c:v>
                </c:pt>
                <c:pt idx="20">
                  <c:v>Netherlands</c:v>
                </c:pt>
                <c:pt idx="21">
                  <c:v>OECD - Average</c:v>
                </c:pt>
                <c:pt idx="22">
                  <c:v>Poland</c:v>
                </c:pt>
                <c:pt idx="23">
                  <c:v>Iceland</c:v>
                </c:pt>
                <c:pt idx="24">
                  <c:v>Japan</c:v>
                </c:pt>
                <c:pt idx="25">
                  <c:v>United States</c:v>
                </c:pt>
                <c:pt idx="26">
                  <c:v>Canada</c:v>
                </c:pt>
                <c:pt idx="27">
                  <c:v>United Kingdom</c:v>
                </c:pt>
                <c:pt idx="28">
                  <c:v>Australia</c:v>
                </c:pt>
                <c:pt idx="29">
                  <c:v>Ireland</c:v>
                </c:pt>
                <c:pt idx="30">
                  <c:v>Switzerland</c:v>
                </c:pt>
                <c:pt idx="31">
                  <c:v>Korea</c:v>
                </c:pt>
                <c:pt idx="32">
                  <c:v>Israel</c:v>
                </c:pt>
                <c:pt idx="33">
                  <c:v>Mexico</c:v>
                </c:pt>
                <c:pt idx="34">
                  <c:v>New Zealand</c:v>
                </c:pt>
                <c:pt idx="35">
                  <c:v>Chile</c:v>
                </c:pt>
              </c:strCache>
            </c:strRef>
          </c:cat>
          <c:val>
            <c:numRef>
              <c:f>List1!$B$2:$B$37</c:f>
              <c:numCache>
                <c:formatCode>0.00%</c:formatCode>
                <c:ptCount val="36"/>
                <c:pt idx="0">
                  <c:v>0.55310000000000004</c:v>
                </c:pt>
                <c:pt idx="1">
                  <c:v>0.4950900000000002</c:v>
                </c:pt>
                <c:pt idx="2">
                  <c:v>0.49435000000000018</c:v>
                </c:pt>
                <c:pt idx="3">
                  <c:v>0.49027000000000015</c:v>
                </c:pt>
                <c:pt idx="4">
                  <c:v>0.48457000000000017</c:v>
                </c:pt>
                <c:pt idx="5">
                  <c:v>0.47865000000000002</c:v>
                </c:pt>
                <c:pt idx="6">
                  <c:v>0.43883000000000022</c:v>
                </c:pt>
                <c:pt idx="7">
                  <c:v>0.42751000000000017</c:v>
                </c:pt>
                <c:pt idx="8">
                  <c:v>0.42706000000000022</c:v>
                </c:pt>
                <c:pt idx="9">
                  <c:v>0.42581000000000024</c:v>
                </c:pt>
                <c:pt idx="10">
                  <c:v>0.42058000000000018</c:v>
                </c:pt>
                <c:pt idx="11">
                  <c:v>0.41745000000000021</c:v>
                </c:pt>
                <c:pt idx="12">
                  <c:v>0.41347000000000017</c:v>
                </c:pt>
                <c:pt idx="13">
                  <c:v>0.39556000000000024</c:v>
                </c:pt>
                <c:pt idx="14">
                  <c:v>0.39254000000000017</c:v>
                </c:pt>
                <c:pt idx="15">
                  <c:v>0.39029000000000008</c:v>
                </c:pt>
                <c:pt idx="16">
                  <c:v>0.38309000000000026</c:v>
                </c:pt>
                <c:pt idx="17">
                  <c:v>0.38281000000000032</c:v>
                </c:pt>
                <c:pt idx="18">
                  <c:v>0.36640000000000017</c:v>
                </c:pt>
                <c:pt idx="19">
                  <c:v>0.36447000000000024</c:v>
                </c:pt>
                <c:pt idx="20">
                  <c:v>0.36190000000000017</c:v>
                </c:pt>
                <c:pt idx="21">
                  <c:v>0.35866000000000015</c:v>
                </c:pt>
                <c:pt idx="22">
                  <c:v>0.34662000000000015</c:v>
                </c:pt>
                <c:pt idx="23">
                  <c:v>0.34027000000000002</c:v>
                </c:pt>
                <c:pt idx="24">
                  <c:v>0.32220000000000021</c:v>
                </c:pt>
                <c:pt idx="25">
                  <c:v>0.31662000000000018</c:v>
                </c:pt>
                <c:pt idx="26">
                  <c:v>0.31632000000000038</c:v>
                </c:pt>
                <c:pt idx="27">
                  <c:v>0.30825000000000002</c:v>
                </c:pt>
                <c:pt idx="28">
                  <c:v>0.28354000000000001</c:v>
                </c:pt>
                <c:pt idx="29">
                  <c:v>0.27473000000000003</c:v>
                </c:pt>
                <c:pt idx="30">
                  <c:v>0.22219</c:v>
                </c:pt>
                <c:pt idx="31">
                  <c:v>0.21898000000000009</c:v>
                </c:pt>
                <c:pt idx="32">
                  <c:v>0.21559000000000009</c:v>
                </c:pt>
                <c:pt idx="33">
                  <c:v>0.19725000000000001</c:v>
                </c:pt>
                <c:pt idx="34">
                  <c:v>0.17560000000000001</c:v>
                </c:pt>
                <c:pt idx="35">
                  <c:v>7.0000000000000021E-2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98-4FE7-BC85-140910C2FA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641632"/>
        <c:axId val="298637056"/>
      </c:barChart>
      <c:catAx>
        <c:axId val="14164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98637056"/>
        <c:crosses val="autoZero"/>
        <c:auto val="1"/>
        <c:lblAlgn val="ctr"/>
        <c:lblOffset val="100"/>
        <c:noMultiLvlLbl val="0"/>
      </c:catAx>
      <c:valAx>
        <c:axId val="298637056"/>
        <c:scaling>
          <c:orientation val="minMax"/>
          <c:max val="0.60000000000000042"/>
          <c:min val="0"/>
        </c:scaling>
        <c:delete val="0"/>
        <c:axPos val="l"/>
        <c:majorGridlines>
          <c:spPr>
            <a:ln w="9525">
              <a:solidFill>
                <a:schemeClr val="bg1"/>
              </a:solidFill>
              <a:round/>
            </a:ln>
            <a:effectLst/>
          </c:spPr>
        </c:majorGridlines>
        <c:numFmt formatCode="0_I%" sourceLinked="0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1641632"/>
        <c:crosses val="autoZero"/>
        <c:crossBetween val="between"/>
      </c:valAx>
      <c:spPr>
        <a:solidFill>
          <a:schemeClr val="bg1"/>
        </a:solidFill>
        <a:ln>
          <a:solidFill>
            <a:schemeClr val="bg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Podíl DPFO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dPt>
            <c:idx val="16"/>
            <c:invertIfNegative val="0"/>
            <c:bubble3D val="0"/>
            <c:spPr>
              <a:solidFill>
                <a:srgbClr val="81818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37B5-4F92-B496-E5675E0C9EF3}"/>
              </c:ext>
            </c:extLst>
          </c:dPt>
          <c:dPt>
            <c:idx val="26"/>
            <c:invertIfNegative val="0"/>
            <c:bubble3D val="0"/>
            <c:spPr>
              <a:solidFill>
                <a:srgbClr val="B6293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37B5-4F92-B496-E5675E0C9EF3}"/>
              </c:ext>
            </c:extLst>
          </c:dPt>
          <c:cat>
            <c:strRef>
              <c:f>List1!$A$2:$A$36</c:f>
              <c:strCache>
                <c:ptCount val="35"/>
                <c:pt idx="0">
                  <c:v>Denmark</c:v>
                </c:pt>
                <c:pt idx="1">
                  <c:v>Iceland</c:v>
                </c:pt>
                <c:pt idx="2">
                  <c:v>Australia</c:v>
                </c:pt>
                <c:pt idx="3">
                  <c:v>Belgium</c:v>
                </c:pt>
                <c:pt idx="4">
                  <c:v>Finland</c:v>
                </c:pt>
                <c:pt idx="5">
                  <c:v>Norway</c:v>
                </c:pt>
                <c:pt idx="6">
                  <c:v>New Zealand</c:v>
                </c:pt>
                <c:pt idx="7">
                  <c:v>United States</c:v>
                </c:pt>
                <c:pt idx="8">
                  <c:v>Italy</c:v>
                </c:pt>
                <c:pt idx="9">
                  <c:v>Germany</c:v>
                </c:pt>
                <c:pt idx="10">
                  <c:v>Luxembourg</c:v>
                </c:pt>
                <c:pt idx="11">
                  <c:v>Netherlands</c:v>
                </c:pt>
                <c:pt idx="12">
                  <c:v>Ireland</c:v>
                </c:pt>
                <c:pt idx="13">
                  <c:v>Canada</c:v>
                </c:pt>
                <c:pt idx="14">
                  <c:v>Portugal</c:v>
                </c:pt>
                <c:pt idx="15">
                  <c:v>Sweden</c:v>
                </c:pt>
                <c:pt idx="16">
                  <c:v>OECD - Average</c:v>
                </c:pt>
                <c:pt idx="17">
                  <c:v>Austria</c:v>
                </c:pt>
                <c:pt idx="18">
                  <c:v>United Kingdom</c:v>
                </c:pt>
                <c:pt idx="19">
                  <c:v>Estonia</c:v>
                </c:pt>
                <c:pt idx="20">
                  <c:v>Hungary</c:v>
                </c:pt>
                <c:pt idx="21">
                  <c:v>Spain</c:v>
                </c:pt>
                <c:pt idx="22">
                  <c:v>France</c:v>
                </c:pt>
                <c:pt idx="23">
                  <c:v>Turkey</c:v>
                </c:pt>
                <c:pt idx="24">
                  <c:v>Switzerland</c:v>
                </c:pt>
                <c:pt idx="25">
                  <c:v>Slovenia</c:v>
                </c:pt>
                <c:pt idx="26">
                  <c:v>Czech Republic</c:v>
                </c:pt>
                <c:pt idx="27">
                  <c:v>Israel</c:v>
                </c:pt>
                <c:pt idx="28">
                  <c:v>Mexico</c:v>
                </c:pt>
                <c:pt idx="29">
                  <c:v>Slovak Republic</c:v>
                </c:pt>
                <c:pt idx="30">
                  <c:v>Greece</c:v>
                </c:pt>
                <c:pt idx="31">
                  <c:v>Japan</c:v>
                </c:pt>
                <c:pt idx="32">
                  <c:v>Poland</c:v>
                </c:pt>
                <c:pt idx="33">
                  <c:v>Korea</c:v>
                </c:pt>
                <c:pt idx="34">
                  <c:v>Chile</c:v>
                </c:pt>
              </c:strCache>
            </c:strRef>
          </c:cat>
          <c:val>
            <c:numRef>
              <c:f>List1!$B$2:$B$36</c:f>
              <c:numCache>
                <c:formatCode>0_I%</c:formatCode>
                <c:ptCount val="35"/>
                <c:pt idx="0">
                  <c:v>0.35835</c:v>
                </c:pt>
                <c:pt idx="1">
                  <c:v>0.26722999999999997</c:v>
                </c:pt>
                <c:pt idx="2">
                  <c:v>0.22722000000000001</c:v>
                </c:pt>
                <c:pt idx="3">
                  <c:v>0.21629000000000001</c:v>
                </c:pt>
                <c:pt idx="4">
                  <c:v>0.18425</c:v>
                </c:pt>
                <c:pt idx="5" formatCode="0.00%">
                  <c:v>0.17879</c:v>
                </c:pt>
                <c:pt idx="6" formatCode="0.00%">
                  <c:v>0.17559999999999998</c:v>
                </c:pt>
                <c:pt idx="7" formatCode="0.00%">
                  <c:v>0.16528999999999999</c:v>
                </c:pt>
                <c:pt idx="8" formatCode="0.00%">
                  <c:v>0.16390999999999997</c:v>
                </c:pt>
                <c:pt idx="9" formatCode="0.00%">
                  <c:v>0.16081000000000001</c:v>
                </c:pt>
                <c:pt idx="10" formatCode="0.00%">
                  <c:v>0.15954000000000002</c:v>
                </c:pt>
                <c:pt idx="11" formatCode="0.00%">
                  <c:v>0.15185999999999999</c:v>
                </c:pt>
                <c:pt idx="12" formatCode="0.00%">
                  <c:v>0.14154999999999998</c:v>
                </c:pt>
                <c:pt idx="13" formatCode="0.00%">
                  <c:v>0.14057</c:v>
                </c:pt>
                <c:pt idx="14" formatCode="0.00%">
                  <c:v>0.13977000000000001</c:v>
                </c:pt>
                <c:pt idx="15" formatCode="0.00%">
                  <c:v>0.13471</c:v>
                </c:pt>
                <c:pt idx="16" formatCode="0.00%">
                  <c:v>0.13464000000000001</c:v>
                </c:pt>
                <c:pt idx="17" formatCode="0.00%">
                  <c:v>0.13066</c:v>
                </c:pt>
                <c:pt idx="18" formatCode="0.00%">
                  <c:v>0.12750999999999998</c:v>
                </c:pt>
                <c:pt idx="19" formatCode="0.00%">
                  <c:v>0.12570999999999999</c:v>
                </c:pt>
                <c:pt idx="20" formatCode="0.00%">
                  <c:v>0.12451000000000001</c:v>
                </c:pt>
                <c:pt idx="21" formatCode="0.00%">
                  <c:v>0.11650000000000001</c:v>
                </c:pt>
                <c:pt idx="22" formatCode="0.00%">
                  <c:v>0.10689</c:v>
                </c:pt>
                <c:pt idx="23" formatCode="0.00%">
                  <c:v>0.10648999999999999</c:v>
                </c:pt>
                <c:pt idx="24" formatCode="0.00%">
                  <c:v>0.10454000000000001</c:v>
                </c:pt>
                <c:pt idx="25" formatCode="0.00%">
                  <c:v>9.6780000000000005E-2</c:v>
                </c:pt>
                <c:pt idx="26" formatCode="0.00%">
                  <c:v>9.1690000000000008E-2</c:v>
                </c:pt>
                <c:pt idx="27" formatCode="0.00%">
                  <c:v>8.9359999999999995E-2</c:v>
                </c:pt>
                <c:pt idx="28" formatCode="0.00%">
                  <c:v>8.0090000000000008E-2</c:v>
                </c:pt>
                <c:pt idx="29" formatCode="0.00%">
                  <c:v>7.3529999999999998E-2</c:v>
                </c:pt>
                <c:pt idx="30" formatCode="0.00%">
                  <c:v>7.0929999999999993E-2</c:v>
                </c:pt>
                <c:pt idx="31" formatCode="0.00%">
                  <c:v>6.7150000000000001E-2</c:v>
                </c:pt>
                <c:pt idx="32" formatCode="0.00%">
                  <c:v>5.0290000000000001E-2</c:v>
                </c:pt>
                <c:pt idx="33" formatCode="0.00%">
                  <c:v>4.9329999999999999E-2</c:v>
                </c:pt>
                <c:pt idx="34" formatCode="0.0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547-46FB-B987-3C8347DC4A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3828904"/>
        <c:axId val="503829296"/>
      </c:barChart>
      <c:catAx>
        <c:axId val="503828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03829296"/>
        <c:crosses val="autoZero"/>
        <c:auto val="1"/>
        <c:lblAlgn val="ctr"/>
        <c:lblOffset val="100"/>
        <c:noMultiLvlLbl val="0"/>
      </c:catAx>
      <c:valAx>
        <c:axId val="503829296"/>
        <c:scaling>
          <c:orientation val="minMax"/>
          <c:max val="0.36000000000000021"/>
          <c:min val="0"/>
        </c:scaling>
        <c:delete val="0"/>
        <c:axPos val="l"/>
        <c:majorGridlines>
          <c:spPr>
            <a:ln w="9525">
              <a:solidFill>
                <a:schemeClr val="bg1"/>
              </a:solidFill>
              <a:round/>
            </a:ln>
            <a:effectLst/>
          </c:spPr>
        </c:majorGridlines>
        <c:numFmt formatCode="0_I%" sourceLinked="0"/>
        <c:majorTickMark val="none"/>
        <c:minorTickMark val="none"/>
        <c:tickLblPos val="nextTo"/>
        <c:spPr>
          <a:noFill/>
          <a:ln w="635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03828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5801F-97DF-4CA3-BCB8-BB7E5DED6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DBA01078.dotm</Template>
  <TotalTime>2</TotalTime>
  <Pages>22</Pages>
  <Words>5999</Words>
  <Characters>35397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16/21 - Správa daně z příjmů fyzických osob se zaměřením na dopady legislativních změn na příjmy státního rozpočtu</vt:lpstr>
    </vt:vector>
  </TitlesOfParts>
  <Company>NKU</Company>
  <LinksUpToDate>false</LinksUpToDate>
  <CharactersWithSpaces>41314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16/21 - Správa daně z příjmů fyzických osob se zaměřením na dopady legislativních změn na příjmy státního rozpočtu</dc:title>
  <dc:creator>Nejvyšší kontrolní úřad</dc:creator>
  <cp:keywords>kontrolní závěr;daně;daň z příjmů fyzických osob</cp:keywords>
  <cp:lastModifiedBy>KOKRDA Daniel</cp:lastModifiedBy>
  <cp:revision>4</cp:revision>
  <cp:lastPrinted>2017-08-15T11:39:00Z</cp:lastPrinted>
  <dcterms:created xsi:type="dcterms:W3CDTF">2017-08-15T11:39:00Z</dcterms:created>
  <dcterms:modified xsi:type="dcterms:W3CDTF">2017-08-15T11:40:00Z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16/21-NKU30/539/17</vt:lpwstr>
  </property>
  <property fmtid="{D5CDD505-2E9C-101B-9397-08002B2CF9AE}" pid="4" name="CJ_Spis_Pisemnost">
    <vt:lpwstr>CJ/SPIS/ROK</vt:lpwstr>
  </property>
  <property fmtid="{D5CDD505-2E9C-101B-9397-08002B2CF9AE}" pid="5" name="Contact_PostaOdes_All">
    <vt:lpwstr>ROZDĚLOVNÍK...</vt:lpwstr>
  </property>
  <property fmtid="{D5CDD505-2E9C-101B-9397-08002B2CF9AE}" pid="6" name="DatumPlatnosti_PisemnostTypZpristupneniInformaciZOSZ_Pisemnost">
    <vt:lpwstr>ZOSZ_DatumPlatnosti</vt:lpwstr>
  </property>
  <property fmtid="{D5CDD505-2E9C-101B-9397-08002B2CF9AE}" pid="7" name="DatumPoriz_Pisemnost">
    <vt:lpwstr>21.6.2017</vt:lpwstr>
  </property>
  <property fmtid="{D5CDD505-2E9C-101B-9397-08002B2CF9AE}" pid="8" name="DisplayName_SpisovyUzel_PoziceZodpo_Pisemnost">
    <vt:lpwstr>Členové Úřadu</vt:lpwstr>
  </property>
  <property fmtid="{D5CDD505-2E9C-101B-9397-08002B2CF9AE}" pid="9" name="DisplayName_UserPoriz_Pisemnost">
    <vt:lpwstr>Bc. Jana Pokorná</vt:lpwstr>
  </property>
  <property fmtid="{D5CDD505-2E9C-101B-9397-08002B2CF9AE}" pid="10" name="EC_Pisemnost">
    <vt:lpwstr>17-8599/NKU</vt:lpwstr>
  </property>
  <property fmtid="{D5CDD505-2E9C-101B-9397-08002B2CF9AE}" pid="11" name="Key_BarCode_Pisemnost">
    <vt:lpwstr>*B000292839*</vt:lpwstr>
  </property>
  <property fmtid="{D5CDD505-2E9C-101B-9397-08002B2CF9AE}" pid="12" name="KRukam">
    <vt:lpwstr>{KRukam}</vt:lpwstr>
  </property>
  <property fmtid="{D5CDD505-2E9C-101B-9397-08002B2CF9AE}" pid="13" name="Odkaz">
    <vt:lpwstr>ODKAZ</vt:lpwstr>
  </property>
  <property fmtid="{D5CDD505-2E9C-101B-9397-08002B2CF9AE}" pid="14" name="Password_PisemnostTypZpristupneniInformaciZOSZ_Pisemnost">
    <vt:lpwstr>ZOSZ_Password</vt:lpwstr>
  </property>
  <property fmtid="{D5CDD505-2E9C-101B-9397-08002B2CF9AE}" pid="15" name="PocetListuDokumentu_Pisemnost">
    <vt:lpwstr>1</vt:lpwstr>
  </property>
  <property fmtid="{D5CDD505-2E9C-101B-9397-08002B2CF9AE}" pid="16" name="PocetListu_Pisemnost">
    <vt:lpwstr>1</vt:lpwstr>
  </property>
  <property fmtid="{D5CDD505-2E9C-101B-9397-08002B2CF9AE}" pid="17" name="PocetPriloh_Pisemnost">
    <vt:lpwstr>0</vt:lpwstr>
  </property>
  <property fmtid="{D5CDD505-2E9C-101B-9397-08002B2CF9AE}" pid="18" name="Podpis">
    <vt:lpwstr/>
  </property>
  <property fmtid="{D5CDD505-2E9C-101B-9397-08002B2CF9AE}" pid="19" name="SkartacniZnakLhuta_PisemnostZnak">
    <vt:lpwstr>?/?</vt:lpwstr>
  </property>
  <property fmtid="{D5CDD505-2E9C-101B-9397-08002B2CF9AE}" pid="20" name="SmlouvaCislo">
    <vt:lpwstr>ČÍSLO SMLOUVY</vt:lpwstr>
  </property>
  <property fmtid="{D5CDD505-2E9C-101B-9397-08002B2CF9AE}" pid="21" name="SZ_Spis_Pisemnost">
    <vt:lpwstr>16/21</vt:lpwstr>
  </property>
  <property fmtid="{D5CDD505-2E9C-101B-9397-08002B2CF9AE}" pid="22" name="TEST">
    <vt:lpwstr>testovací pole</vt:lpwstr>
  </property>
  <property fmtid="{D5CDD505-2E9C-101B-9397-08002B2CF9AE}" pid="23" name="TypPrilohy_Pisemnost">
    <vt:lpwstr>TYP PŘÍLOHY</vt:lpwstr>
  </property>
  <property fmtid="{D5CDD505-2E9C-101B-9397-08002B2CF9AE}" pid="24" name="UserName_PisemnostTypZpristupneniInformaciZOSZ_Pisemnost">
    <vt:lpwstr>ZOSZ_UserName</vt:lpwstr>
  </property>
  <property fmtid="{D5CDD505-2E9C-101B-9397-08002B2CF9AE}" pid="25" name="Vec_Pisemnost">
    <vt:lpwstr>Návrh KZ z KA č. 16/21 do připomínek</vt:lpwstr>
  </property>
  <property fmtid="{D5CDD505-2E9C-101B-9397-08002B2CF9AE}" pid="26" name="Zkratka_SpisovyUzel_PoziceZodpo_Pisemnost">
    <vt:lpwstr>30</vt:lpwstr>
  </property>
</Properties>
</file>