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EE99F" w14:textId="073972C8" w:rsidR="00B24379" w:rsidRDefault="00B24379" w:rsidP="00B24379">
      <w:pPr>
        <w:jc w:val="center"/>
        <w:rPr>
          <w:rFonts w:cs="Calibri"/>
          <w:b/>
          <w:color w:val="000000"/>
          <w:sz w:val="28"/>
        </w:rPr>
      </w:pPr>
      <w:r w:rsidRPr="00B24379">
        <w:rPr>
          <w:rFonts w:cs="Calibri"/>
          <w:noProof/>
          <w:sz w:val="28"/>
          <w:highlight w:val="yellow"/>
          <w:lang w:eastAsia="cs-CZ"/>
        </w:rPr>
        <w:drawing>
          <wp:anchor distT="0" distB="0" distL="114300" distR="114300" simplePos="0" relativeHeight="251656192" behindDoc="0" locked="0" layoutInCell="1" allowOverlap="1" wp14:anchorId="3D7B82C9" wp14:editId="30050CC7">
            <wp:simplePos x="0" y="0"/>
            <wp:positionH relativeFrom="margin">
              <wp:posOffset>2520315</wp:posOffset>
            </wp:positionH>
            <wp:positionV relativeFrom="paragraph">
              <wp:posOffset>28575</wp:posOffset>
            </wp:positionV>
            <wp:extent cx="764433" cy="540000"/>
            <wp:effectExtent l="0" t="0" r="0" b="0"/>
            <wp:wrapTopAndBottom/>
            <wp:docPr id="4" name="obrázek 4" descr="http://rozcestnik/intranet/utvary/odborKomunikace/jednotVizualStylNKU/documents/LOGO/LOGO bez textu/NKU_logo-transp-rgb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zcestnik/intranet/utvary/odborKomunikace/jednotVizualStylNKU/documents/LOGO/LOGO bez textu/NKU_logo-transp-rgb300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B29A2" w14:textId="77777777" w:rsidR="00B24379" w:rsidRDefault="00B24379" w:rsidP="00B24379">
      <w:pPr>
        <w:jc w:val="center"/>
        <w:rPr>
          <w:rFonts w:cs="Calibri"/>
          <w:b/>
          <w:color w:val="000000"/>
          <w:sz w:val="28"/>
        </w:rPr>
      </w:pPr>
    </w:p>
    <w:p w14:paraId="01F6D5E8" w14:textId="77777777" w:rsidR="00B24379" w:rsidRDefault="00B24379" w:rsidP="00B24379">
      <w:pPr>
        <w:jc w:val="center"/>
        <w:rPr>
          <w:rFonts w:cs="Calibri"/>
          <w:b/>
          <w:color w:val="000000"/>
          <w:sz w:val="28"/>
        </w:rPr>
      </w:pPr>
    </w:p>
    <w:p w14:paraId="383D3054" w14:textId="4B8734C5" w:rsidR="00716ABD" w:rsidRDefault="00716ABD" w:rsidP="00B24379">
      <w:pPr>
        <w:jc w:val="center"/>
        <w:rPr>
          <w:rFonts w:cs="Calibri"/>
          <w:b/>
          <w:color w:val="000000"/>
          <w:sz w:val="28"/>
        </w:rPr>
      </w:pPr>
      <w:bookmarkStart w:id="0" w:name="_GoBack"/>
      <w:r w:rsidRPr="00B24379">
        <w:rPr>
          <w:rFonts w:cs="Calibri"/>
          <w:b/>
          <w:color w:val="000000"/>
          <w:sz w:val="28"/>
        </w:rPr>
        <w:t>Kontrolní závěr z kontrolní akce</w:t>
      </w:r>
    </w:p>
    <w:p w14:paraId="1D00371F" w14:textId="77777777" w:rsidR="00B24379" w:rsidRPr="00B24379" w:rsidRDefault="00B24379" w:rsidP="00B24379">
      <w:pPr>
        <w:jc w:val="center"/>
        <w:rPr>
          <w:rFonts w:cs="Calibri"/>
          <w:b/>
          <w:color w:val="000000"/>
          <w:sz w:val="28"/>
        </w:rPr>
      </w:pPr>
    </w:p>
    <w:p w14:paraId="1E73E42E" w14:textId="4FA56E86" w:rsidR="00716ABD" w:rsidRDefault="00716ABD" w:rsidP="00B24379">
      <w:pPr>
        <w:jc w:val="center"/>
        <w:rPr>
          <w:rFonts w:cs="Calibri"/>
          <w:b/>
          <w:color w:val="000000"/>
          <w:sz w:val="28"/>
        </w:rPr>
      </w:pPr>
      <w:r w:rsidRPr="00B24379">
        <w:rPr>
          <w:rFonts w:cs="Calibri"/>
          <w:b/>
          <w:color w:val="000000"/>
          <w:sz w:val="28"/>
        </w:rPr>
        <w:t>KA 16/1</w:t>
      </w:r>
      <w:r w:rsidR="003D01DE" w:rsidRPr="00B24379">
        <w:rPr>
          <w:rFonts w:cs="Calibri"/>
          <w:b/>
          <w:color w:val="000000"/>
          <w:sz w:val="28"/>
        </w:rPr>
        <w:t>8</w:t>
      </w:r>
    </w:p>
    <w:p w14:paraId="188DF1EF" w14:textId="77777777" w:rsidR="00B24379" w:rsidRPr="00B24379" w:rsidRDefault="00B24379" w:rsidP="00B24379">
      <w:pPr>
        <w:jc w:val="center"/>
        <w:rPr>
          <w:rFonts w:cs="Calibri"/>
          <w:b/>
          <w:color w:val="000000"/>
          <w:sz w:val="28"/>
        </w:rPr>
      </w:pPr>
    </w:p>
    <w:p w14:paraId="5F056E22" w14:textId="77777777" w:rsidR="00716ABD" w:rsidRPr="00B24379" w:rsidRDefault="00716ABD" w:rsidP="00B24379">
      <w:pPr>
        <w:jc w:val="center"/>
        <w:rPr>
          <w:rFonts w:cs="Calibri"/>
          <w:color w:val="000000"/>
          <w:sz w:val="28"/>
        </w:rPr>
      </w:pPr>
      <w:r w:rsidRPr="00B24379">
        <w:rPr>
          <w:rFonts w:cs="Calibri"/>
          <w:b/>
          <w:color w:val="000000"/>
          <w:sz w:val="28"/>
        </w:rPr>
        <w:t>Majetek a peněžní prostředky státu, se kterými je příslušn</w:t>
      </w:r>
      <w:r w:rsidR="003D01DE" w:rsidRPr="00B24379">
        <w:rPr>
          <w:rFonts w:cs="Calibri"/>
          <w:b/>
          <w:color w:val="000000"/>
          <w:sz w:val="28"/>
        </w:rPr>
        <w:t>ý</w:t>
      </w:r>
      <w:r w:rsidRPr="00B24379">
        <w:rPr>
          <w:rFonts w:cs="Calibri"/>
          <w:b/>
          <w:color w:val="000000"/>
          <w:sz w:val="28"/>
        </w:rPr>
        <w:t xml:space="preserve"> hospodařit</w:t>
      </w:r>
      <w:r w:rsidR="003D01DE" w:rsidRPr="00B24379">
        <w:rPr>
          <w:rFonts w:cs="Calibri"/>
          <w:b/>
          <w:color w:val="000000"/>
          <w:sz w:val="28"/>
        </w:rPr>
        <w:br/>
        <w:t>Státní ústav pro kontrolu léčiv</w:t>
      </w:r>
    </w:p>
    <w:bookmarkEnd w:id="0"/>
    <w:p w14:paraId="5C1C53C9" w14:textId="77777777" w:rsidR="00B24379" w:rsidRDefault="00B24379" w:rsidP="00B24379">
      <w:pPr>
        <w:jc w:val="both"/>
        <w:rPr>
          <w:rFonts w:cs="Calibri"/>
          <w:color w:val="000000"/>
        </w:rPr>
      </w:pPr>
    </w:p>
    <w:p w14:paraId="602DAB82" w14:textId="77777777" w:rsidR="00B24379" w:rsidRDefault="00B24379" w:rsidP="00B24379">
      <w:pPr>
        <w:jc w:val="both"/>
        <w:rPr>
          <w:rFonts w:cs="Calibri"/>
          <w:color w:val="000000"/>
        </w:rPr>
      </w:pPr>
    </w:p>
    <w:p w14:paraId="6E5EFBBF" w14:textId="2B328578" w:rsidR="00716ABD" w:rsidRDefault="00716ABD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color w:val="000000"/>
        </w:rPr>
        <w:t>Kontrolní akce byla zařazena do plánu kontrolní činnosti Nejvyššího kontrolního úřadu (dále</w:t>
      </w:r>
      <w:r w:rsidR="009B434B">
        <w:rPr>
          <w:rFonts w:cs="Calibri"/>
          <w:color w:val="000000"/>
        </w:rPr>
        <w:t xml:space="preserve"> </w:t>
      </w:r>
      <w:r w:rsidRPr="00B24379">
        <w:rPr>
          <w:rFonts w:cs="Calibri"/>
          <w:color w:val="000000"/>
        </w:rPr>
        <w:t xml:space="preserve">jen „NKÚ“) </w:t>
      </w:r>
      <w:r w:rsidR="004F7F34" w:rsidRPr="00B24379">
        <w:rPr>
          <w:rFonts w:cs="Calibri"/>
          <w:color w:val="000000"/>
        </w:rPr>
        <w:t>na rok 2016 pod číslem 16/1</w:t>
      </w:r>
      <w:r w:rsidR="003D01DE" w:rsidRPr="00B24379">
        <w:rPr>
          <w:rFonts w:cs="Calibri"/>
          <w:color w:val="000000"/>
        </w:rPr>
        <w:t>8</w:t>
      </w:r>
      <w:r w:rsidRPr="00B24379">
        <w:rPr>
          <w:rFonts w:cs="Calibri"/>
          <w:color w:val="000000"/>
        </w:rPr>
        <w:t>. Kontrolní akci řídil</w:t>
      </w:r>
      <w:r w:rsidR="004F7F34" w:rsidRPr="00B24379">
        <w:rPr>
          <w:rFonts w:cs="Calibri"/>
          <w:color w:val="000000"/>
        </w:rPr>
        <w:t>a</w:t>
      </w:r>
      <w:r w:rsidRPr="00B24379">
        <w:rPr>
          <w:rFonts w:cs="Calibri"/>
          <w:color w:val="000000"/>
        </w:rPr>
        <w:t xml:space="preserve"> a kontrolní závěr vypracoval</w:t>
      </w:r>
      <w:r w:rsidR="004F7F34" w:rsidRPr="00B24379">
        <w:rPr>
          <w:rFonts w:cs="Calibri"/>
          <w:color w:val="000000"/>
        </w:rPr>
        <w:t>a</w:t>
      </w:r>
      <w:r w:rsidRPr="00B24379">
        <w:rPr>
          <w:rFonts w:cs="Calibri"/>
          <w:color w:val="000000"/>
        </w:rPr>
        <w:t xml:space="preserve"> člen</w:t>
      </w:r>
      <w:r w:rsidR="004F7F34" w:rsidRPr="00B24379">
        <w:rPr>
          <w:rFonts w:cs="Calibri"/>
          <w:color w:val="000000"/>
        </w:rPr>
        <w:t>ka NKÚ RNDr</w:t>
      </w:r>
      <w:r w:rsidRPr="00B24379">
        <w:rPr>
          <w:rFonts w:cs="Calibri"/>
          <w:color w:val="000000"/>
        </w:rPr>
        <w:t xml:space="preserve">. </w:t>
      </w:r>
      <w:r w:rsidR="004F7F34" w:rsidRPr="00B24379">
        <w:rPr>
          <w:rFonts w:cs="Calibri"/>
          <w:color w:val="000000"/>
        </w:rPr>
        <w:t>Hana Pýchová</w:t>
      </w:r>
      <w:r w:rsidRPr="00B24379">
        <w:rPr>
          <w:rFonts w:cs="Calibri"/>
          <w:color w:val="000000"/>
        </w:rPr>
        <w:t>.</w:t>
      </w:r>
    </w:p>
    <w:p w14:paraId="16DEA355" w14:textId="77777777" w:rsidR="00B24379" w:rsidRPr="00B24379" w:rsidRDefault="00B24379" w:rsidP="00B24379">
      <w:pPr>
        <w:jc w:val="both"/>
        <w:rPr>
          <w:rFonts w:cs="Calibri"/>
          <w:color w:val="000000"/>
        </w:rPr>
      </w:pPr>
    </w:p>
    <w:p w14:paraId="4CECAFB8" w14:textId="54B67713" w:rsidR="00716ABD" w:rsidRDefault="00716ABD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color w:val="000000"/>
        </w:rPr>
        <w:t>Cílem kontroly bylo prověřit hospodaření s majetkem a peněžními prostředk</w:t>
      </w:r>
      <w:r w:rsidR="003D01DE" w:rsidRPr="00B24379">
        <w:rPr>
          <w:rFonts w:cs="Calibri"/>
          <w:color w:val="000000"/>
        </w:rPr>
        <w:t xml:space="preserve">y </w:t>
      </w:r>
      <w:r w:rsidR="00A71E50" w:rsidRPr="00B24379">
        <w:rPr>
          <w:rFonts w:cs="Calibri"/>
          <w:color w:val="000000"/>
        </w:rPr>
        <w:t>státu, se</w:t>
      </w:r>
      <w:r w:rsidR="009B434B">
        <w:rPr>
          <w:rFonts w:cs="Calibri"/>
          <w:color w:val="000000"/>
        </w:rPr>
        <w:t xml:space="preserve"> </w:t>
      </w:r>
      <w:r w:rsidR="00A71E50" w:rsidRPr="00B24379">
        <w:rPr>
          <w:rFonts w:cs="Calibri"/>
          <w:color w:val="000000"/>
        </w:rPr>
        <w:t>kterými</w:t>
      </w:r>
      <w:r w:rsidR="009B434B">
        <w:rPr>
          <w:rFonts w:cs="Calibri"/>
          <w:color w:val="000000"/>
        </w:rPr>
        <w:t xml:space="preserve"> </w:t>
      </w:r>
      <w:r w:rsidR="003D01DE" w:rsidRPr="00B24379">
        <w:rPr>
          <w:rFonts w:cs="Calibri"/>
          <w:color w:val="000000"/>
        </w:rPr>
        <w:t>je příslušný</w:t>
      </w:r>
      <w:r w:rsidRPr="00B24379">
        <w:rPr>
          <w:rFonts w:cs="Calibri"/>
          <w:color w:val="000000"/>
        </w:rPr>
        <w:t xml:space="preserve"> hospodařit </w:t>
      </w:r>
      <w:r w:rsidR="003D01DE" w:rsidRPr="00B24379">
        <w:rPr>
          <w:rFonts w:cs="Calibri"/>
          <w:color w:val="000000"/>
        </w:rPr>
        <w:t>Státní ústav pro kontrolu léčiv</w:t>
      </w:r>
      <w:r w:rsidRPr="00B24379">
        <w:rPr>
          <w:rFonts w:cs="Calibri"/>
          <w:color w:val="000000"/>
        </w:rPr>
        <w:t>.</w:t>
      </w:r>
    </w:p>
    <w:p w14:paraId="11F04CD5" w14:textId="77777777" w:rsidR="00B24379" w:rsidRPr="00B24379" w:rsidRDefault="00B24379" w:rsidP="00B24379">
      <w:pPr>
        <w:jc w:val="both"/>
        <w:rPr>
          <w:rFonts w:cs="Calibri"/>
          <w:color w:val="000000"/>
        </w:rPr>
      </w:pPr>
    </w:p>
    <w:p w14:paraId="2F1DFDE3" w14:textId="020D0E57" w:rsidR="00716ABD" w:rsidRDefault="00716ABD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color w:val="000000"/>
        </w:rPr>
        <w:t>Kont</w:t>
      </w:r>
      <w:r w:rsidR="00A77341" w:rsidRPr="00B24379">
        <w:rPr>
          <w:rFonts w:cs="Calibri"/>
          <w:color w:val="000000"/>
        </w:rPr>
        <w:t>rolovaným obdobím byly roky 2013 až 2015</w:t>
      </w:r>
      <w:r w:rsidRPr="00B24379">
        <w:rPr>
          <w:rFonts w:cs="Calibri"/>
          <w:color w:val="000000"/>
        </w:rPr>
        <w:t>, v případě věcných souvislostí i období předcházející a následující. Kontrola byla prováděna</w:t>
      </w:r>
      <w:r w:rsidR="00A64BE6" w:rsidRPr="00B24379">
        <w:rPr>
          <w:rFonts w:cs="Calibri"/>
          <w:color w:val="000000"/>
        </w:rPr>
        <w:t xml:space="preserve"> u kontrolovaných osob</w:t>
      </w:r>
      <w:r w:rsidRPr="00B24379">
        <w:rPr>
          <w:rFonts w:cs="Calibri"/>
          <w:color w:val="000000"/>
        </w:rPr>
        <w:t xml:space="preserve"> od </w:t>
      </w:r>
      <w:r w:rsidR="003D01DE" w:rsidRPr="00B24379">
        <w:rPr>
          <w:rFonts w:cs="Calibri"/>
          <w:color w:val="000000"/>
        </w:rPr>
        <w:t>červ</w:t>
      </w:r>
      <w:r w:rsidR="00A77341" w:rsidRPr="00B24379">
        <w:rPr>
          <w:rFonts w:cs="Calibri"/>
          <w:color w:val="000000"/>
        </w:rPr>
        <w:t>na</w:t>
      </w:r>
      <w:r w:rsidR="002F7DF1" w:rsidRPr="00B24379">
        <w:rPr>
          <w:rFonts w:cs="Calibri"/>
          <w:color w:val="000000"/>
        </w:rPr>
        <w:t xml:space="preserve"> </w:t>
      </w:r>
      <w:r w:rsidR="00A64BE6" w:rsidRPr="00B24379">
        <w:rPr>
          <w:rFonts w:cs="Calibri"/>
          <w:color w:val="000000"/>
        </w:rPr>
        <w:t>do </w:t>
      </w:r>
      <w:r w:rsidR="003D01DE" w:rsidRPr="00B24379">
        <w:rPr>
          <w:rFonts w:cs="Calibri"/>
          <w:color w:val="000000"/>
        </w:rPr>
        <w:t>prosince</w:t>
      </w:r>
      <w:r w:rsidRPr="00B24379">
        <w:rPr>
          <w:rFonts w:cs="Calibri"/>
          <w:color w:val="000000"/>
        </w:rPr>
        <w:t xml:space="preserve"> 2016.</w:t>
      </w:r>
    </w:p>
    <w:p w14:paraId="49EBBEA0" w14:textId="77777777" w:rsidR="00B24379" w:rsidRPr="00B24379" w:rsidRDefault="00B24379" w:rsidP="00B24379">
      <w:pPr>
        <w:jc w:val="both"/>
        <w:rPr>
          <w:rFonts w:cs="Calibri"/>
          <w:color w:val="000000"/>
        </w:rPr>
      </w:pPr>
    </w:p>
    <w:p w14:paraId="2CA1B15A" w14:textId="77777777" w:rsidR="003800E3" w:rsidRPr="00B24379" w:rsidRDefault="00716ABD" w:rsidP="00B24379">
      <w:pPr>
        <w:jc w:val="both"/>
        <w:rPr>
          <w:rFonts w:cs="Calibri"/>
          <w:b/>
          <w:color w:val="000000"/>
        </w:rPr>
      </w:pPr>
      <w:r w:rsidRPr="00B24379">
        <w:rPr>
          <w:rFonts w:cs="Calibri"/>
          <w:b/>
          <w:color w:val="000000"/>
        </w:rPr>
        <w:t>Kontrolovan</w:t>
      </w:r>
      <w:r w:rsidR="003D01DE" w:rsidRPr="00B24379">
        <w:rPr>
          <w:rFonts w:cs="Calibri"/>
          <w:b/>
          <w:color w:val="000000"/>
        </w:rPr>
        <w:t>é</w:t>
      </w:r>
      <w:r w:rsidRPr="00B24379">
        <w:rPr>
          <w:rFonts w:cs="Calibri"/>
          <w:b/>
          <w:color w:val="000000"/>
        </w:rPr>
        <w:t xml:space="preserve"> osob</w:t>
      </w:r>
      <w:r w:rsidR="003D01DE" w:rsidRPr="00B24379">
        <w:rPr>
          <w:rFonts w:cs="Calibri"/>
          <w:b/>
          <w:color w:val="000000"/>
        </w:rPr>
        <w:t>y:</w:t>
      </w:r>
    </w:p>
    <w:p w14:paraId="521D92E6" w14:textId="356A7B71" w:rsidR="003D01DE" w:rsidRPr="00B24379" w:rsidRDefault="003D01DE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color w:val="000000"/>
        </w:rPr>
        <w:t>Ministerstvo zdravotnictví (dále také „</w:t>
      </w:r>
      <w:proofErr w:type="spellStart"/>
      <w:r w:rsidRPr="00B24379">
        <w:rPr>
          <w:rFonts w:cs="Calibri"/>
          <w:color w:val="000000"/>
        </w:rPr>
        <w:t>MZ</w:t>
      </w:r>
      <w:r w:rsidR="009B434B">
        <w:rPr>
          <w:rFonts w:cs="Calibri"/>
          <w:color w:val="000000"/>
        </w:rPr>
        <w:t>d</w:t>
      </w:r>
      <w:proofErr w:type="spellEnd"/>
      <w:r w:rsidRPr="00B24379">
        <w:rPr>
          <w:rFonts w:cs="Calibri"/>
          <w:color w:val="000000"/>
        </w:rPr>
        <w:t>“);</w:t>
      </w:r>
    </w:p>
    <w:p w14:paraId="53996D27" w14:textId="455345DF" w:rsidR="00716ABD" w:rsidRDefault="003D01DE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color w:val="000000"/>
        </w:rPr>
        <w:t xml:space="preserve">Státní ústav pro kontrolu léčiv </w:t>
      </w:r>
      <w:r w:rsidR="002F7DF1" w:rsidRPr="00B24379">
        <w:rPr>
          <w:rFonts w:cs="Calibri"/>
          <w:color w:val="000000"/>
        </w:rPr>
        <w:t>(dále také „</w:t>
      </w:r>
      <w:r w:rsidRPr="00B24379">
        <w:rPr>
          <w:rFonts w:cs="Calibri"/>
          <w:color w:val="000000"/>
        </w:rPr>
        <w:t>SÚKL</w:t>
      </w:r>
      <w:r w:rsidR="00716ABD" w:rsidRPr="00B24379">
        <w:rPr>
          <w:rFonts w:cs="Calibri"/>
          <w:color w:val="000000"/>
        </w:rPr>
        <w:t>“).</w:t>
      </w:r>
    </w:p>
    <w:p w14:paraId="26AC6789" w14:textId="77777777" w:rsidR="00B24379" w:rsidRPr="00B24379" w:rsidRDefault="00B24379" w:rsidP="00B24379">
      <w:pPr>
        <w:jc w:val="both"/>
        <w:rPr>
          <w:rFonts w:cs="Calibri"/>
          <w:color w:val="000000"/>
        </w:rPr>
      </w:pPr>
    </w:p>
    <w:p w14:paraId="3FFD44B7" w14:textId="2D13ADC9" w:rsidR="00716ABD" w:rsidRDefault="002F7DF1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color w:val="000000"/>
        </w:rPr>
        <w:t>Námitk</w:t>
      </w:r>
      <w:r w:rsidR="003D01DE" w:rsidRPr="00B24379">
        <w:rPr>
          <w:rFonts w:cs="Calibri"/>
          <w:color w:val="000000"/>
        </w:rPr>
        <w:t>y</w:t>
      </w:r>
      <w:r w:rsidR="00716ABD" w:rsidRPr="00B24379">
        <w:rPr>
          <w:rFonts w:cs="Calibri"/>
          <w:color w:val="000000"/>
        </w:rPr>
        <w:t xml:space="preserve"> proti </w:t>
      </w:r>
      <w:r w:rsidRPr="00B24379">
        <w:rPr>
          <w:rFonts w:cs="Calibri"/>
          <w:color w:val="000000"/>
        </w:rPr>
        <w:t>kontrolnímu protokolu, kter</w:t>
      </w:r>
      <w:r w:rsidR="003D01DE" w:rsidRPr="00B24379">
        <w:rPr>
          <w:rFonts w:cs="Calibri"/>
          <w:color w:val="000000"/>
        </w:rPr>
        <w:t>é</w:t>
      </w:r>
      <w:r w:rsidRPr="00B24379">
        <w:rPr>
          <w:rFonts w:cs="Calibri"/>
          <w:color w:val="000000"/>
        </w:rPr>
        <w:t xml:space="preserve"> podal</w:t>
      </w:r>
      <w:r w:rsidR="003800E3" w:rsidRPr="00B24379">
        <w:rPr>
          <w:rFonts w:cs="Calibri"/>
          <w:color w:val="000000"/>
        </w:rPr>
        <w:t>y</w:t>
      </w:r>
      <w:r w:rsidRPr="00B24379">
        <w:rPr>
          <w:rFonts w:cs="Calibri"/>
          <w:color w:val="000000"/>
        </w:rPr>
        <w:t xml:space="preserve"> </w:t>
      </w:r>
      <w:proofErr w:type="spellStart"/>
      <w:r w:rsidR="003D01DE" w:rsidRPr="00B24379">
        <w:rPr>
          <w:rFonts w:cs="Calibri"/>
          <w:color w:val="000000"/>
        </w:rPr>
        <w:t>MZ</w:t>
      </w:r>
      <w:r w:rsidR="009B434B">
        <w:rPr>
          <w:rFonts w:cs="Calibri"/>
          <w:color w:val="000000"/>
        </w:rPr>
        <w:t>d</w:t>
      </w:r>
      <w:proofErr w:type="spellEnd"/>
      <w:r w:rsidR="003D01DE" w:rsidRPr="00B24379">
        <w:rPr>
          <w:rFonts w:cs="Calibri"/>
          <w:color w:val="000000"/>
        </w:rPr>
        <w:t xml:space="preserve"> a SÚKL</w:t>
      </w:r>
      <w:r w:rsidRPr="00B24379">
        <w:rPr>
          <w:rFonts w:cs="Calibri"/>
          <w:color w:val="000000"/>
        </w:rPr>
        <w:t>, byl</w:t>
      </w:r>
      <w:r w:rsidR="003D01DE" w:rsidRPr="00B24379">
        <w:rPr>
          <w:rFonts w:cs="Calibri"/>
          <w:color w:val="000000"/>
        </w:rPr>
        <w:t>y vypořádány</w:t>
      </w:r>
      <w:r w:rsidR="002A159D" w:rsidRPr="00B24379">
        <w:rPr>
          <w:rFonts w:cs="Calibri"/>
          <w:color w:val="000000"/>
        </w:rPr>
        <w:t xml:space="preserve"> vedoucí</w:t>
      </w:r>
      <w:r w:rsidR="003D01DE" w:rsidRPr="00B24379">
        <w:rPr>
          <w:rFonts w:cs="Calibri"/>
          <w:color w:val="000000"/>
        </w:rPr>
        <w:t>m</w:t>
      </w:r>
      <w:r w:rsidR="00716ABD" w:rsidRPr="00B24379">
        <w:rPr>
          <w:rFonts w:cs="Calibri"/>
          <w:color w:val="000000"/>
        </w:rPr>
        <w:t xml:space="preserve"> skupiny kontrolu</w:t>
      </w:r>
      <w:r w:rsidR="003800E3" w:rsidRPr="00B24379">
        <w:rPr>
          <w:rFonts w:cs="Calibri"/>
          <w:color w:val="000000"/>
        </w:rPr>
        <w:t xml:space="preserve">jících rozhodnutím o námitkách. Odvolání, která proti rozhodnutí o námitkách podaly </w:t>
      </w:r>
      <w:proofErr w:type="spellStart"/>
      <w:r w:rsidR="003800E3" w:rsidRPr="00B24379">
        <w:rPr>
          <w:rFonts w:cs="Calibri"/>
          <w:color w:val="000000"/>
        </w:rPr>
        <w:t>MZ</w:t>
      </w:r>
      <w:r w:rsidR="009B434B">
        <w:rPr>
          <w:rFonts w:cs="Calibri"/>
          <w:color w:val="000000"/>
        </w:rPr>
        <w:t>d</w:t>
      </w:r>
      <w:proofErr w:type="spellEnd"/>
      <w:r w:rsidR="003800E3" w:rsidRPr="00B24379">
        <w:rPr>
          <w:rFonts w:cs="Calibri"/>
          <w:color w:val="000000"/>
        </w:rPr>
        <w:t xml:space="preserve"> a SÚKL, byla vypořádána usnesením Kolegia NKÚ.</w:t>
      </w:r>
    </w:p>
    <w:p w14:paraId="450DD691" w14:textId="2A4B60A0" w:rsidR="00B24379" w:rsidRDefault="00B24379" w:rsidP="00B24379">
      <w:pPr>
        <w:jc w:val="both"/>
        <w:rPr>
          <w:rFonts w:cs="Calibri"/>
          <w:color w:val="000000"/>
        </w:rPr>
      </w:pPr>
    </w:p>
    <w:p w14:paraId="28C6A7FA" w14:textId="77777777" w:rsidR="00B24379" w:rsidRPr="00B24379" w:rsidRDefault="00B24379" w:rsidP="00B24379">
      <w:pPr>
        <w:jc w:val="both"/>
        <w:rPr>
          <w:rFonts w:cs="Calibri"/>
          <w:color w:val="000000"/>
        </w:rPr>
      </w:pPr>
    </w:p>
    <w:p w14:paraId="7241E842" w14:textId="59B5407E" w:rsidR="00716ABD" w:rsidRPr="00B24379" w:rsidRDefault="00716ABD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b/>
          <w:i/>
          <w:color w:val="000000"/>
          <w:spacing w:val="40"/>
        </w:rPr>
        <w:t>Kolegium</w:t>
      </w:r>
      <w:r w:rsidR="008B1EA4" w:rsidRPr="008B1EA4">
        <w:rPr>
          <w:rFonts w:cs="Calibri"/>
          <w:b/>
          <w:i/>
          <w:color w:val="000000"/>
        </w:rPr>
        <w:t xml:space="preserve">  </w:t>
      </w:r>
      <w:r w:rsidRPr="008B1EA4">
        <w:rPr>
          <w:rFonts w:cs="Calibri"/>
          <w:b/>
          <w:i/>
          <w:color w:val="000000"/>
        </w:rPr>
        <w:t xml:space="preserve"> </w:t>
      </w:r>
      <w:r w:rsidRPr="00B24379">
        <w:rPr>
          <w:rFonts w:cs="Calibri"/>
          <w:b/>
          <w:i/>
          <w:color w:val="000000"/>
        </w:rPr>
        <w:t>NKÚ</w:t>
      </w:r>
      <w:r w:rsidR="008B1EA4">
        <w:rPr>
          <w:rFonts w:cs="Calibri"/>
          <w:b/>
          <w:i/>
          <w:color w:val="000000"/>
        </w:rPr>
        <w:t xml:space="preserve">  </w:t>
      </w:r>
      <w:r w:rsidRPr="00B24379">
        <w:rPr>
          <w:rFonts w:cs="Calibri"/>
          <w:b/>
          <w:i/>
          <w:color w:val="000000"/>
        </w:rPr>
        <w:t xml:space="preserve"> </w:t>
      </w:r>
      <w:r w:rsidRPr="00B24379">
        <w:rPr>
          <w:rFonts w:cs="Calibri"/>
          <w:color w:val="000000"/>
        </w:rPr>
        <w:t xml:space="preserve">na svém </w:t>
      </w:r>
      <w:r w:rsidR="00C6207B" w:rsidRPr="00B24379">
        <w:rPr>
          <w:rFonts w:cs="Calibri"/>
          <w:color w:val="000000"/>
        </w:rPr>
        <w:t>VI.</w:t>
      </w:r>
      <w:r w:rsidRPr="00B24379">
        <w:rPr>
          <w:rFonts w:cs="Calibri"/>
          <w:color w:val="000000"/>
        </w:rPr>
        <w:t xml:space="preserve"> jednání, které se konalo dne </w:t>
      </w:r>
      <w:r w:rsidR="00C6207B" w:rsidRPr="00B24379">
        <w:rPr>
          <w:rFonts w:cs="Calibri"/>
          <w:color w:val="000000"/>
        </w:rPr>
        <w:t>3. dubna 2017</w:t>
      </w:r>
      <w:r w:rsidRPr="00B24379">
        <w:rPr>
          <w:rFonts w:cs="Calibri"/>
          <w:color w:val="000000"/>
        </w:rPr>
        <w:t>,</w:t>
      </w:r>
    </w:p>
    <w:p w14:paraId="65782CA0" w14:textId="629C9461" w:rsidR="00716ABD" w:rsidRPr="00B24379" w:rsidRDefault="002A159D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b/>
          <w:i/>
          <w:color w:val="000000"/>
          <w:spacing w:val="40"/>
        </w:rPr>
        <w:t>s</w:t>
      </w:r>
      <w:r w:rsidR="00716ABD" w:rsidRPr="00B24379">
        <w:rPr>
          <w:rFonts w:cs="Calibri"/>
          <w:b/>
          <w:i/>
          <w:color w:val="000000"/>
          <w:spacing w:val="40"/>
        </w:rPr>
        <w:t>chválilo</w:t>
      </w:r>
      <w:r w:rsidR="008B1EA4" w:rsidRPr="008B1EA4">
        <w:rPr>
          <w:rFonts w:cs="Calibri"/>
          <w:b/>
          <w:i/>
          <w:color w:val="000000"/>
        </w:rPr>
        <w:t xml:space="preserve">  </w:t>
      </w:r>
      <w:r w:rsidR="00716ABD" w:rsidRPr="008B1EA4">
        <w:rPr>
          <w:rFonts w:cs="Calibri"/>
          <w:b/>
          <w:i/>
          <w:color w:val="000000"/>
        </w:rPr>
        <w:t xml:space="preserve"> </w:t>
      </w:r>
      <w:r w:rsidR="00716ABD" w:rsidRPr="00B24379">
        <w:rPr>
          <w:rFonts w:cs="Calibri"/>
          <w:b/>
          <w:i/>
          <w:color w:val="000000"/>
          <w:spacing w:val="40"/>
        </w:rPr>
        <w:t>usnesením</w:t>
      </w:r>
      <w:r w:rsidR="008B1EA4" w:rsidRPr="008B1EA4">
        <w:rPr>
          <w:rFonts w:cs="Calibri"/>
          <w:b/>
          <w:i/>
          <w:color w:val="000000"/>
        </w:rPr>
        <w:t xml:space="preserve">  </w:t>
      </w:r>
      <w:r w:rsidR="002F7DF1" w:rsidRPr="008B1EA4">
        <w:rPr>
          <w:rFonts w:cs="Calibri"/>
          <w:b/>
          <w:color w:val="000000"/>
        </w:rPr>
        <w:t xml:space="preserve"> </w:t>
      </w:r>
      <w:r w:rsidR="002F7DF1" w:rsidRPr="00B24379">
        <w:rPr>
          <w:rFonts w:cs="Calibri"/>
          <w:color w:val="000000"/>
        </w:rPr>
        <w:t xml:space="preserve">č. </w:t>
      </w:r>
      <w:r w:rsidR="00C6207B" w:rsidRPr="00B24379">
        <w:rPr>
          <w:rFonts w:cs="Calibri"/>
          <w:color w:val="000000"/>
        </w:rPr>
        <w:t>9</w:t>
      </w:r>
      <w:r w:rsidR="002F7DF1" w:rsidRPr="00B24379">
        <w:rPr>
          <w:rFonts w:cs="Calibri"/>
          <w:color w:val="000000"/>
        </w:rPr>
        <w:t>/</w:t>
      </w:r>
      <w:r w:rsidR="00C6207B" w:rsidRPr="00B24379">
        <w:rPr>
          <w:rFonts w:cs="Calibri"/>
          <w:color w:val="000000"/>
        </w:rPr>
        <w:t>VI</w:t>
      </w:r>
      <w:r w:rsidR="002F7DF1" w:rsidRPr="00B24379">
        <w:rPr>
          <w:rFonts w:cs="Calibri"/>
          <w:color w:val="000000"/>
        </w:rPr>
        <w:t>/2017</w:t>
      </w:r>
    </w:p>
    <w:p w14:paraId="4E54F1AE" w14:textId="77777777" w:rsidR="00716ABD" w:rsidRPr="00B24379" w:rsidRDefault="00716ABD" w:rsidP="00B24379">
      <w:pPr>
        <w:jc w:val="both"/>
        <w:rPr>
          <w:rFonts w:cs="Calibri"/>
          <w:color w:val="000000"/>
        </w:rPr>
      </w:pPr>
      <w:r w:rsidRPr="00B24379">
        <w:rPr>
          <w:rFonts w:cs="Calibri"/>
          <w:b/>
          <w:i/>
          <w:color w:val="000000"/>
          <w:spacing w:val="40"/>
        </w:rPr>
        <w:t>kontrolní</w:t>
      </w:r>
      <w:r w:rsidRPr="00B24379">
        <w:rPr>
          <w:rFonts w:cs="Calibri"/>
          <w:b/>
          <w:i/>
          <w:color w:val="000000"/>
        </w:rPr>
        <w:t xml:space="preserve">   </w:t>
      </w:r>
      <w:r w:rsidRPr="00B24379">
        <w:rPr>
          <w:rFonts w:cs="Calibri"/>
          <w:b/>
          <w:i/>
          <w:color w:val="000000"/>
          <w:spacing w:val="40"/>
        </w:rPr>
        <w:t>závěr</w:t>
      </w:r>
      <w:r w:rsidRPr="00B24379">
        <w:rPr>
          <w:rFonts w:cs="Calibri"/>
          <w:b/>
          <w:i/>
          <w:color w:val="000000"/>
        </w:rPr>
        <w:t xml:space="preserve">   </w:t>
      </w:r>
      <w:r w:rsidRPr="00B24379">
        <w:rPr>
          <w:rFonts w:cs="Calibri"/>
          <w:color w:val="000000"/>
        </w:rPr>
        <w:t>v tomto znění:</w:t>
      </w:r>
    </w:p>
    <w:p w14:paraId="2BC88E35" w14:textId="77777777" w:rsidR="007B0537" w:rsidRPr="00A74DC0" w:rsidRDefault="007B0537" w:rsidP="006B0621">
      <w:pPr>
        <w:spacing w:after="1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4804539B" w14:textId="77777777" w:rsidR="00716ABD" w:rsidRPr="00BA77B1" w:rsidRDefault="00716ABD" w:rsidP="00D16D2C">
      <w:pPr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A77B1">
        <w:rPr>
          <w:rFonts w:asciiTheme="minorHAnsi" w:hAnsiTheme="minorHAnsi" w:cstheme="minorHAnsi"/>
          <w:b/>
          <w:color w:val="000000"/>
          <w:sz w:val="28"/>
        </w:rPr>
        <w:lastRenderedPageBreak/>
        <w:t>I. Úvod</w:t>
      </w:r>
    </w:p>
    <w:p w14:paraId="5465670D" w14:textId="77777777" w:rsidR="00D16D2C" w:rsidRDefault="00D16D2C" w:rsidP="00D16D2C">
      <w:pPr>
        <w:pStyle w:val="TextKP"/>
        <w:spacing w:before="0"/>
      </w:pPr>
    </w:p>
    <w:p w14:paraId="69083EAB" w14:textId="195EE91E" w:rsidR="00AE2AA1" w:rsidRDefault="00AE2AA1" w:rsidP="00D16D2C">
      <w:pPr>
        <w:pStyle w:val="TextKP"/>
        <w:spacing w:before="0"/>
      </w:pPr>
      <w:r w:rsidRPr="00AE2AA1">
        <w:t>Kontrolou</w:t>
      </w:r>
      <w:r>
        <w:t xml:space="preserve"> byly prověřeny peněžní prostředky vynalo</w:t>
      </w:r>
      <w:r w:rsidR="00882956">
        <w:t>žené na úhradu vybraných nákladů</w:t>
      </w:r>
      <w:r>
        <w:t xml:space="preserve"> z činnosti SÚKL v celkové výši </w:t>
      </w:r>
      <w:r w:rsidRPr="0014173A">
        <w:t>155 431 665 Kč</w:t>
      </w:r>
      <w:r>
        <w:t xml:space="preserve"> a výdaje SÚKL spojené zejména s budováním </w:t>
      </w:r>
      <w:r w:rsidRPr="00A260CE">
        <w:rPr>
          <w:i/>
        </w:rPr>
        <w:t>Centrálního úložiště elektronických receptů</w:t>
      </w:r>
      <w:r w:rsidR="00882956">
        <w:t xml:space="preserve"> (dále také „CÚER“)</w:t>
      </w:r>
      <w:r>
        <w:t xml:space="preserve"> v letech 2007 až 2016 ve výši </w:t>
      </w:r>
      <w:r w:rsidRPr="0014173A">
        <w:t>292 956 290 Kč</w:t>
      </w:r>
      <w:r>
        <w:t>.</w:t>
      </w:r>
      <w:r w:rsidRPr="00CB6F49">
        <w:t xml:space="preserve"> </w:t>
      </w:r>
      <w:r>
        <w:t>Celkový objem</w:t>
      </w:r>
      <w:r w:rsidRPr="00814565">
        <w:t xml:space="preserve"> </w:t>
      </w:r>
      <w:r>
        <w:t xml:space="preserve">kontrolovaných </w:t>
      </w:r>
      <w:r w:rsidRPr="00814565">
        <w:t>finanční</w:t>
      </w:r>
      <w:r>
        <w:t>ch</w:t>
      </w:r>
      <w:r w:rsidRPr="00814565">
        <w:t xml:space="preserve"> prostředk</w:t>
      </w:r>
      <w:r>
        <w:t>ů</w:t>
      </w:r>
      <w:r w:rsidRPr="00814565">
        <w:t xml:space="preserve"> </w:t>
      </w:r>
      <w:r>
        <w:t>činil</w:t>
      </w:r>
      <w:r w:rsidRPr="00814565">
        <w:t xml:space="preserve"> </w:t>
      </w:r>
      <w:r w:rsidRPr="0014173A">
        <w:t>448 387 955 Kč</w:t>
      </w:r>
      <w:r w:rsidR="00A64BE6">
        <w:t>. Ke </w:t>
      </w:r>
      <w:r>
        <w:t xml:space="preserve">kontrole byl dále vybrán vzorek majetku v hodnotě </w:t>
      </w:r>
      <w:r w:rsidRPr="0014173A">
        <w:t>159 864 522 Kč</w:t>
      </w:r>
      <w:r>
        <w:t>.</w:t>
      </w:r>
    </w:p>
    <w:p w14:paraId="6921EC47" w14:textId="77777777" w:rsidR="00D16D2C" w:rsidRPr="00FE6DF1" w:rsidRDefault="00D16D2C" w:rsidP="00D16D2C">
      <w:pPr>
        <w:pStyle w:val="TextKP"/>
        <w:spacing w:before="0"/>
      </w:pPr>
    </w:p>
    <w:p w14:paraId="7C590C65" w14:textId="1C66F9A2" w:rsidR="00AE2AA1" w:rsidRDefault="00AE2AA1" w:rsidP="00D16D2C">
      <w:pPr>
        <w:pStyle w:val="TextKP"/>
        <w:spacing w:before="0"/>
        <w:rPr>
          <w:lang w:eastAsia="cs-CZ"/>
        </w:rPr>
      </w:pPr>
      <w:r w:rsidRPr="00AE2AA1">
        <w:t>Státní</w:t>
      </w:r>
      <w:r w:rsidRPr="00FE6DF1">
        <w:rPr>
          <w:lang w:eastAsia="cs-CZ"/>
        </w:rPr>
        <w:t xml:space="preserve"> ústav pro kontrolu léčiv</w:t>
      </w:r>
      <w:r w:rsidRPr="008D5A05">
        <w:rPr>
          <w:lang w:eastAsia="cs-CZ"/>
        </w:rPr>
        <w:t xml:space="preserve"> </w:t>
      </w:r>
      <w:r w:rsidR="00A64BE6">
        <w:rPr>
          <w:lang w:eastAsia="cs-CZ"/>
        </w:rPr>
        <w:t xml:space="preserve">je organizační složkou státu. </w:t>
      </w:r>
      <w:r w:rsidR="00D264E2">
        <w:rPr>
          <w:lang w:eastAsia="cs-CZ"/>
        </w:rPr>
        <w:t xml:space="preserve">Podle zákona </w:t>
      </w:r>
      <w:r>
        <w:rPr>
          <w:lang w:eastAsia="cs-CZ"/>
        </w:rPr>
        <w:t>č. 378/2007 Sb.</w:t>
      </w:r>
      <w:r>
        <w:rPr>
          <w:rStyle w:val="Znakapoznpodarou"/>
          <w:lang w:eastAsia="cs-CZ"/>
        </w:rPr>
        <w:footnoteReference w:id="2"/>
      </w:r>
      <w:r>
        <w:rPr>
          <w:lang w:eastAsia="cs-CZ"/>
        </w:rPr>
        <w:t xml:space="preserve"> </w:t>
      </w:r>
      <w:r w:rsidRPr="00967957">
        <w:rPr>
          <w:lang w:eastAsia="cs-CZ"/>
        </w:rPr>
        <w:t>j</w:t>
      </w:r>
      <w:r w:rsidR="00D264E2">
        <w:rPr>
          <w:lang w:eastAsia="cs-CZ"/>
        </w:rPr>
        <w:t>d</w:t>
      </w:r>
      <w:r w:rsidRPr="00967957">
        <w:rPr>
          <w:lang w:eastAsia="cs-CZ"/>
        </w:rPr>
        <w:t>e</w:t>
      </w:r>
      <w:r w:rsidR="00332519">
        <w:rPr>
          <w:lang w:eastAsia="cs-CZ"/>
        </w:rPr>
        <w:t xml:space="preserve"> </w:t>
      </w:r>
      <w:r w:rsidR="00D264E2">
        <w:rPr>
          <w:lang w:eastAsia="cs-CZ"/>
        </w:rPr>
        <w:t>o </w:t>
      </w:r>
      <w:r w:rsidRPr="00967957">
        <w:rPr>
          <w:lang w:eastAsia="cs-CZ"/>
        </w:rPr>
        <w:t>správní úřad, který je podřízen Ministerstvu zdravotnictví</w:t>
      </w:r>
      <w:r w:rsidR="00A410D6">
        <w:rPr>
          <w:lang w:eastAsia="cs-CZ"/>
        </w:rPr>
        <w:t>.</w:t>
      </w:r>
    </w:p>
    <w:p w14:paraId="3C7D51B8" w14:textId="77777777" w:rsidR="00D16D2C" w:rsidRDefault="00D16D2C" w:rsidP="00D16D2C">
      <w:pPr>
        <w:pStyle w:val="TextKP"/>
        <w:spacing w:before="0"/>
      </w:pPr>
    </w:p>
    <w:p w14:paraId="7F3D7C91" w14:textId="73BBD648" w:rsidR="00AE2AA1" w:rsidRDefault="00AE2AA1" w:rsidP="00D16D2C">
      <w:pPr>
        <w:pStyle w:val="TextKP"/>
        <w:spacing w:before="0"/>
      </w:pPr>
      <w:r>
        <w:t xml:space="preserve">SÚKL vybírá na základě zákona </w:t>
      </w:r>
      <w:r w:rsidR="00033E52">
        <w:t>č. 378/200</w:t>
      </w:r>
      <w:r w:rsidR="00217DF8">
        <w:t>7</w:t>
      </w:r>
      <w:r w:rsidR="00033E52">
        <w:t xml:space="preserve"> Sb., </w:t>
      </w:r>
      <w:r>
        <w:t xml:space="preserve">zákona </w:t>
      </w:r>
      <w:r w:rsidR="00033E52">
        <w:t>č.</w:t>
      </w:r>
      <w:r w:rsidR="000B0AB0">
        <w:t xml:space="preserve"> 296/2008 Sb.</w:t>
      </w:r>
      <w:r w:rsidR="000B0AB0">
        <w:rPr>
          <w:rStyle w:val="Znakapoznpodarou"/>
        </w:rPr>
        <w:footnoteReference w:id="3"/>
      </w:r>
      <w:r w:rsidR="00033E52">
        <w:t xml:space="preserve"> </w:t>
      </w:r>
      <w:r>
        <w:t>a zákona</w:t>
      </w:r>
      <w:r w:rsidR="000B0AB0">
        <w:t xml:space="preserve"> č. 268/2014 Sb.</w:t>
      </w:r>
      <w:r w:rsidR="000B0AB0">
        <w:rPr>
          <w:rStyle w:val="Znakapoznpodarou"/>
        </w:rPr>
        <w:footnoteReference w:id="4"/>
      </w:r>
      <w:r>
        <w:t xml:space="preserve"> náhrady výdajů za provedení odborných úkonů. Tyto náhrady výdajů nejsou příjmem státního rozpočtu, jde o mimorozpočtové zdroje, které SÚKL používá pro zajištění své činnosti</w:t>
      </w:r>
      <w:r w:rsidR="00F30A58">
        <w:t xml:space="preserve"> a </w:t>
      </w:r>
      <w:r w:rsidR="00F30A58" w:rsidRPr="0036563E">
        <w:t xml:space="preserve">jsou </w:t>
      </w:r>
      <w:r w:rsidR="00D264E2" w:rsidRPr="0036563E">
        <w:t>příjmem</w:t>
      </w:r>
      <w:r w:rsidR="00F30A58" w:rsidRPr="0036563E">
        <w:t xml:space="preserve"> zvláštní</w:t>
      </w:r>
      <w:r w:rsidR="00D264E2" w:rsidRPr="0036563E">
        <w:t>ho</w:t>
      </w:r>
      <w:r w:rsidR="00F30A58" w:rsidRPr="0036563E">
        <w:t xml:space="preserve"> účtu vedené</w:t>
      </w:r>
      <w:r w:rsidR="00D264E2" w:rsidRPr="0036563E">
        <w:t>ho</w:t>
      </w:r>
      <w:r w:rsidR="00F30A58" w:rsidRPr="0036563E">
        <w:t xml:space="preserve"> </w:t>
      </w:r>
      <w:r w:rsidR="00F30A58">
        <w:t>u České národní banky (dále také „ČNB“)</w:t>
      </w:r>
      <w:r>
        <w:t>. Jen v letech 2013</w:t>
      </w:r>
      <w:r w:rsidR="002E3E26">
        <w:t xml:space="preserve"> až</w:t>
      </w:r>
      <w:r>
        <w:t xml:space="preserve"> 2015 </w:t>
      </w:r>
      <w:r w:rsidR="00A260CE">
        <w:t xml:space="preserve">SÚKL </w:t>
      </w:r>
      <w:r>
        <w:t xml:space="preserve">takto </w:t>
      </w:r>
      <w:r w:rsidR="002E3E26">
        <w:t>získal celkem 1,55 mld. Kč, což</w:t>
      </w:r>
      <w:r w:rsidR="00332519">
        <w:t xml:space="preserve"> představuje</w:t>
      </w:r>
      <w:r>
        <w:t xml:space="preserve"> příjem v</w:t>
      </w:r>
      <w:r w:rsidR="00332519">
        <w:t> </w:t>
      </w:r>
      <w:r>
        <w:t>průměru cca</w:t>
      </w:r>
      <w:r w:rsidR="00E602EC">
        <w:t> </w:t>
      </w:r>
      <w:r>
        <w:t xml:space="preserve">517 mil. Kč za rok. </w:t>
      </w:r>
      <w:r w:rsidRPr="001E5125">
        <w:t>Za stejné období SÚKL čerpal z těchto mimo</w:t>
      </w:r>
      <w:r w:rsidR="0097090A">
        <w:t>rozpočtových zdrojů částku 1,09 </w:t>
      </w:r>
      <w:r w:rsidRPr="001E5125">
        <w:t>mld. Kč.</w:t>
      </w:r>
      <w:r w:rsidR="00A64BE6" w:rsidRPr="00A64BE6">
        <w:t xml:space="preserve"> </w:t>
      </w:r>
      <w:r w:rsidR="00A64BE6" w:rsidRPr="0036563E">
        <w:t>Podíl zdrojů státního rozpočtu na celkových výdajích SÚKL v roce 2013 činil 26 % a v letech 2014 a 2015 činil 22 %.</w:t>
      </w:r>
    </w:p>
    <w:p w14:paraId="78EC6E9F" w14:textId="77777777" w:rsidR="00D16D2C" w:rsidRPr="001E5125" w:rsidRDefault="00D16D2C" w:rsidP="00D16D2C">
      <w:pPr>
        <w:pStyle w:val="TextKP"/>
        <w:spacing w:before="0"/>
      </w:pPr>
    </w:p>
    <w:p w14:paraId="74E0CCDF" w14:textId="4C60CCA4" w:rsidR="00303CAD" w:rsidRDefault="00303CAD" w:rsidP="00D16D2C">
      <w:pPr>
        <w:pStyle w:val="TextKP"/>
        <w:tabs>
          <w:tab w:val="left" w:pos="7938"/>
        </w:tabs>
        <w:spacing w:before="0"/>
      </w:pPr>
      <w:r w:rsidRPr="00303CAD">
        <w:t xml:space="preserve">Ke konci roku 2014 vykazoval SÚKL zůstatek </w:t>
      </w:r>
      <w:r>
        <w:t>mimorozpočtových prostředků ve výši 2,16 mld. </w:t>
      </w:r>
      <w:r w:rsidRPr="00303CAD">
        <w:t>Kč. K významnému snížení těchto prostředků došlo v roce 2015 v důsledku novelizace zákona č. 378/2007 Sb. a následným odčerpáním 1,7 mld. Kč ze zvláštního účtu Ministerstvem zdravotnictví do státního rozpočtu.</w:t>
      </w:r>
    </w:p>
    <w:p w14:paraId="38977DBB" w14:textId="77777777" w:rsidR="00D16D2C" w:rsidRDefault="00D16D2C" w:rsidP="00D16D2C">
      <w:pPr>
        <w:pStyle w:val="TextKP"/>
        <w:tabs>
          <w:tab w:val="left" w:pos="7938"/>
        </w:tabs>
        <w:spacing w:before="0"/>
      </w:pPr>
    </w:p>
    <w:p w14:paraId="6F206D23" w14:textId="77777777" w:rsidR="00AE2AA1" w:rsidRPr="009E1B56" w:rsidRDefault="00AE2AA1" w:rsidP="00D16D2C">
      <w:pPr>
        <w:pStyle w:val="TextKP"/>
        <w:tabs>
          <w:tab w:val="left" w:pos="7938"/>
        </w:tabs>
        <w:spacing w:before="0"/>
        <w:rPr>
          <w:b/>
        </w:rPr>
      </w:pPr>
      <w:r w:rsidRPr="009E1B56">
        <w:rPr>
          <w:b/>
        </w:rPr>
        <w:t>Graf</w:t>
      </w:r>
      <w:r w:rsidR="00193F5B" w:rsidRPr="009E1B56">
        <w:rPr>
          <w:b/>
        </w:rPr>
        <w:t xml:space="preserve"> č. 1</w:t>
      </w:r>
      <w:r w:rsidRPr="009E1B56">
        <w:rPr>
          <w:b/>
        </w:rPr>
        <w:t>: Vývoj stavu zůstatků na zvláštním účtu SÚKL</w:t>
      </w:r>
      <w:r w:rsidR="006365FD" w:rsidRPr="009E1B56">
        <w:rPr>
          <w:b/>
        </w:rPr>
        <w:tab/>
        <w:t>(v tis. Kč)</w:t>
      </w:r>
    </w:p>
    <w:p w14:paraId="59CB85CA" w14:textId="508218D0" w:rsidR="006365FD" w:rsidRPr="009E1B56" w:rsidRDefault="00417BAF" w:rsidP="00BA77B1">
      <w:pPr>
        <w:pStyle w:val="TextKP"/>
        <w:spacing w:before="0"/>
        <w:rPr>
          <w:sz w:val="20"/>
        </w:rPr>
      </w:pPr>
      <w:r w:rsidRPr="009E1B56">
        <w:rPr>
          <w:noProof/>
          <w:sz w:val="20"/>
          <w:lang w:eastAsia="cs-CZ"/>
        </w:rPr>
        <w:drawing>
          <wp:anchor distT="0" distB="0" distL="114300" distR="114300" simplePos="0" relativeHeight="251659264" behindDoc="0" locked="0" layoutInCell="1" allowOverlap="1" wp14:anchorId="4C032550" wp14:editId="4DF748C6">
            <wp:simplePos x="0" y="0"/>
            <wp:positionH relativeFrom="margin">
              <wp:posOffset>7290</wp:posOffset>
            </wp:positionH>
            <wp:positionV relativeFrom="paragraph">
              <wp:posOffset>78359</wp:posOffset>
            </wp:positionV>
            <wp:extent cx="5752465" cy="2076450"/>
            <wp:effectExtent l="0" t="0" r="0" b="0"/>
            <wp:wrapTopAndBottom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5FD" w:rsidRPr="009E1B56">
        <w:rPr>
          <w:b/>
          <w:sz w:val="20"/>
        </w:rPr>
        <w:t>Zdroj:</w:t>
      </w:r>
      <w:r w:rsidR="006365FD" w:rsidRPr="009E1B56">
        <w:rPr>
          <w:sz w:val="20"/>
        </w:rPr>
        <w:t xml:space="preserve"> </w:t>
      </w:r>
      <w:r w:rsidR="00924074">
        <w:rPr>
          <w:sz w:val="20"/>
        </w:rPr>
        <w:t>ú</w:t>
      </w:r>
      <w:r w:rsidR="00EA7D5E" w:rsidRPr="009E1B56">
        <w:rPr>
          <w:sz w:val="20"/>
        </w:rPr>
        <w:t>četní závěrk</w:t>
      </w:r>
      <w:r w:rsidR="00924074">
        <w:rPr>
          <w:sz w:val="20"/>
        </w:rPr>
        <w:t>y</w:t>
      </w:r>
      <w:r w:rsidR="00EA7D5E" w:rsidRPr="009E1B56">
        <w:rPr>
          <w:sz w:val="20"/>
        </w:rPr>
        <w:t xml:space="preserve"> SÚKL za roky 2013 až 2015; </w:t>
      </w:r>
      <w:r w:rsidR="003431BD" w:rsidRPr="009E1B56">
        <w:rPr>
          <w:sz w:val="20"/>
        </w:rPr>
        <w:t>MONITOR</w:t>
      </w:r>
      <w:r w:rsidR="00924074">
        <w:rPr>
          <w:sz w:val="20"/>
        </w:rPr>
        <w:t xml:space="preserve"> –</w:t>
      </w:r>
      <w:r w:rsidR="006365FD" w:rsidRPr="009E1B56">
        <w:rPr>
          <w:sz w:val="20"/>
        </w:rPr>
        <w:t xml:space="preserve"> inform</w:t>
      </w:r>
      <w:r w:rsidR="00EA7D5E" w:rsidRPr="009E1B56">
        <w:rPr>
          <w:sz w:val="20"/>
        </w:rPr>
        <w:t>ační portál Ministerstva financí</w:t>
      </w:r>
      <w:r w:rsidR="00A51B97" w:rsidRPr="009E1B56">
        <w:rPr>
          <w:sz w:val="20"/>
        </w:rPr>
        <w:t>.</w:t>
      </w:r>
    </w:p>
    <w:p w14:paraId="0F874BDD" w14:textId="77777777" w:rsidR="00D16D2C" w:rsidRDefault="00D16D2C" w:rsidP="00D16D2C">
      <w:pPr>
        <w:pStyle w:val="TextKP"/>
        <w:spacing w:before="0"/>
      </w:pPr>
    </w:p>
    <w:p w14:paraId="6FD88A25" w14:textId="71C5188F" w:rsidR="00303CAD" w:rsidRDefault="00303CAD" w:rsidP="00D16D2C">
      <w:pPr>
        <w:pStyle w:val="TextKP"/>
        <w:spacing w:before="0"/>
      </w:pPr>
      <w:r>
        <w:t xml:space="preserve">Z pohledu aktiv jsou přijaté náhrady vykazovány v rozvaze jako oběžná aktiva na položce </w:t>
      </w:r>
      <w:r w:rsidRPr="00ED69C7">
        <w:rPr>
          <w:i/>
        </w:rPr>
        <w:t>Běžné účty fondů organizačních složek státu</w:t>
      </w:r>
      <w:r>
        <w:t xml:space="preserve">. Z pohledu zdrojů SÚKL vykazuje mimorozpočtové prostředky v pasivech na položce </w:t>
      </w:r>
      <w:r w:rsidRPr="006C766B">
        <w:rPr>
          <w:i/>
        </w:rPr>
        <w:t>Rezervní fond z ostatních titulů</w:t>
      </w:r>
      <w:r>
        <w:t>.</w:t>
      </w:r>
    </w:p>
    <w:p w14:paraId="61389FA1" w14:textId="0FFCCAD5" w:rsidR="00303CAD" w:rsidRDefault="005672AE" w:rsidP="00D16D2C">
      <w:pPr>
        <w:pStyle w:val="TextKP"/>
        <w:spacing w:before="0"/>
      </w:pPr>
      <w:r>
        <w:lastRenderedPageBreak/>
        <w:t>V tabulkách</w:t>
      </w:r>
      <w:r w:rsidR="00303CAD" w:rsidRPr="00414DCD">
        <w:t xml:space="preserve"> č. </w:t>
      </w:r>
      <w:r w:rsidR="00303CAD">
        <w:t>1</w:t>
      </w:r>
      <w:r w:rsidR="007C0211">
        <w:t xml:space="preserve"> a 2</w:t>
      </w:r>
      <w:r w:rsidR="00303CAD" w:rsidRPr="00414DCD">
        <w:t xml:space="preserve"> je uveden přehled stav</w:t>
      </w:r>
      <w:r w:rsidR="00303CAD">
        <w:t>u</w:t>
      </w:r>
      <w:r w:rsidR="00303CAD" w:rsidRPr="00414DCD">
        <w:t xml:space="preserve"> majetku</w:t>
      </w:r>
      <w:r w:rsidR="00303CAD">
        <w:rPr>
          <w:rFonts w:cs="Calibri"/>
        </w:rPr>
        <w:t xml:space="preserve"> </w:t>
      </w:r>
      <w:r w:rsidR="007C0211">
        <w:rPr>
          <w:rFonts w:cs="Calibri"/>
        </w:rPr>
        <w:t>(aktiv)</w:t>
      </w:r>
      <w:r>
        <w:rPr>
          <w:rFonts w:cs="Calibri"/>
        </w:rPr>
        <w:t xml:space="preserve"> </w:t>
      </w:r>
      <w:r w:rsidR="007C0211">
        <w:rPr>
          <w:rFonts w:cs="Calibri"/>
        </w:rPr>
        <w:t xml:space="preserve">a </w:t>
      </w:r>
      <w:r>
        <w:rPr>
          <w:rFonts w:cs="Calibri"/>
        </w:rPr>
        <w:t>přehled zdrojů (pasiv)</w:t>
      </w:r>
      <w:r w:rsidR="007C0211">
        <w:rPr>
          <w:rFonts w:cs="Calibri"/>
        </w:rPr>
        <w:t xml:space="preserve"> SÚKL v kontrolovaném období</w:t>
      </w:r>
      <w:r>
        <w:rPr>
          <w:rFonts w:cs="Calibri"/>
        </w:rPr>
        <w:t>. V grafu č.</w:t>
      </w:r>
      <w:r>
        <w:t> </w:t>
      </w:r>
      <w:r w:rsidRPr="005672AE">
        <w:rPr>
          <w:rFonts w:cs="Calibri"/>
        </w:rPr>
        <w:t>2 je vyjádřen podíl stálých a oběžných aktiv</w:t>
      </w:r>
      <w:r>
        <w:rPr>
          <w:rFonts w:cs="Calibri"/>
        </w:rPr>
        <w:t xml:space="preserve"> a v grafu č.</w:t>
      </w:r>
      <w:r w:rsidRPr="005672AE">
        <w:rPr>
          <w:rFonts w:cs="Calibri"/>
        </w:rPr>
        <w:t xml:space="preserve"> </w:t>
      </w:r>
      <w:r>
        <w:rPr>
          <w:rFonts w:cs="Calibri"/>
        </w:rPr>
        <w:t xml:space="preserve">3 je uveden podíl </w:t>
      </w:r>
      <w:r w:rsidRPr="0062321B">
        <w:rPr>
          <w:rFonts w:cs="Calibri"/>
          <w:i/>
        </w:rPr>
        <w:t>Rezervního fondu z ostatních titulů</w:t>
      </w:r>
      <w:r>
        <w:rPr>
          <w:rFonts w:cs="Calibri"/>
        </w:rPr>
        <w:t xml:space="preserve"> na celkových pasivech.</w:t>
      </w:r>
      <w:r w:rsidR="00303CAD">
        <w:rPr>
          <w:rFonts w:cs="Calibri"/>
        </w:rPr>
        <w:t xml:space="preserve"> </w:t>
      </w:r>
      <w:r>
        <w:rPr>
          <w:rFonts w:cs="Calibri"/>
        </w:rPr>
        <w:t>P</w:t>
      </w:r>
      <w:r w:rsidR="00303CAD" w:rsidRPr="006C766B">
        <w:t xml:space="preserve">řehled vybraných nákladů a výnosů SÚKL </w:t>
      </w:r>
      <w:r>
        <w:t>je uveden v</w:t>
      </w:r>
      <w:r w:rsidR="00ED46E1">
        <w:t> tabulce č. 3.</w:t>
      </w:r>
    </w:p>
    <w:p w14:paraId="3D0890DC" w14:textId="77777777" w:rsidR="00B24379" w:rsidRDefault="00B24379" w:rsidP="00D16D2C">
      <w:pPr>
        <w:jc w:val="both"/>
        <w:rPr>
          <w:rFonts w:asciiTheme="minorHAnsi" w:hAnsiTheme="minorHAnsi" w:cstheme="minorHAnsi"/>
          <w:bCs/>
          <w:spacing w:val="-2"/>
        </w:rPr>
      </w:pPr>
    </w:p>
    <w:p w14:paraId="1A21FA71" w14:textId="77777777" w:rsidR="00924074" w:rsidRDefault="001722B1" w:rsidP="00924074">
      <w:pPr>
        <w:tabs>
          <w:tab w:val="right" w:pos="9072"/>
        </w:tabs>
        <w:spacing w:after="40"/>
        <w:jc w:val="both"/>
        <w:rPr>
          <w:rFonts w:asciiTheme="minorHAnsi" w:hAnsiTheme="minorHAnsi" w:cs="Calibri"/>
          <w:b/>
          <w:spacing w:val="-2"/>
        </w:rPr>
      </w:pPr>
      <w:r w:rsidRPr="0062321B">
        <w:rPr>
          <w:rFonts w:asciiTheme="minorHAnsi" w:hAnsiTheme="minorHAnsi" w:cstheme="minorHAnsi"/>
          <w:b/>
          <w:bCs/>
          <w:spacing w:val="-2"/>
        </w:rPr>
        <w:t xml:space="preserve">Tabulka č. 1: </w:t>
      </w:r>
      <w:r w:rsidRPr="0062321B">
        <w:rPr>
          <w:rFonts w:asciiTheme="minorHAnsi" w:hAnsiTheme="minorHAnsi" w:cs="Calibri"/>
          <w:b/>
          <w:spacing w:val="-2"/>
        </w:rPr>
        <w:t>Stav majetku k 31. 12. 2013, k 31. 12. 2014 a k 31. 12. 2015 v </w:t>
      </w:r>
      <w:r w:rsidR="00B9723D" w:rsidRPr="0062321B">
        <w:rPr>
          <w:rFonts w:asciiTheme="minorHAnsi" w:hAnsiTheme="minorHAnsi" w:cs="Calibri"/>
          <w:b/>
          <w:spacing w:val="-2"/>
        </w:rPr>
        <w:t>ne</w:t>
      </w:r>
      <w:r w:rsidRPr="0062321B">
        <w:rPr>
          <w:rFonts w:asciiTheme="minorHAnsi" w:hAnsiTheme="minorHAnsi" w:cs="Calibri"/>
          <w:b/>
          <w:spacing w:val="-2"/>
        </w:rPr>
        <w:t>tto hodnotě</w:t>
      </w:r>
    </w:p>
    <w:p w14:paraId="686DB441" w14:textId="1980F0A1" w:rsidR="00B9723D" w:rsidRPr="0062321B" w:rsidRDefault="00924074" w:rsidP="00924074">
      <w:pPr>
        <w:tabs>
          <w:tab w:val="right" w:pos="9072"/>
        </w:tabs>
        <w:spacing w:after="40"/>
        <w:jc w:val="both"/>
        <w:rPr>
          <w:rFonts w:asciiTheme="minorHAnsi" w:hAnsiTheme="minorHAnsi" w:cs="Calibri"/>
          <w:b/>
          <w:spacing w:val="-2"/>
        </w:rPr>
      </w:pPr>
      <w:r>
        <w:rPr>
          <w:rFonts w:asciiTheme="minorHAnsi" w:hAnsiTheme="minorHAnsi" w:cs="Calibri"/>
          <w:b/>
          <w:spacing w:val="-2"/>
        </w:rPr>
        <w:tab/>
      </w:r>
      <w:r w:rsidR="001722B1" w:rsidRPr="0062321B">
        <w:rPr>
          <w:rFonts w:asciiTheme="minorHAnsi" w:hAnsiTheme="minorHAnsi" w:cs="Calibri"/>
          <w:b/>
          <w:spacing w:val="-2"/>
        </w:rPr>
        <w:t>(v</w:t>
      </w:r>
      <w:r>
        <w:rPr>
          <w:rFonts w:asciiTheme="minorHAnsi" w:hAnsiTheme="minorHAnsi" w:cs="Calibri"/>
          <w:b/>
          <w:spacing w:val="-2"/>
        </w:rPr>
        <w:t> </w:t>
      </w:r>
      <w:r w:rsidR="001722B1" w:rsidRPr="0062321B">
        <w:rPr>
          <w:rFonts w:asciiTheme="minorHAnsi" w:hAnsiTheme="minorHAnsi" w:cs="Calibri"/>
          <w:b/>
          <w:spacing w:val="-2"/>
        </w:rPr>
        <w:t>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1527"/>
        <w:gridCol w:w="1526"/>
        <w:gridCol w:w="1526"/>
      </w:tblGrid>
      <w:tr w:rsidR="00B9723D" w:rsidRPr="00F74C90" w14:paraId="4249C697" w14:textId="77777777" w:rsidTr="00B9723D">
        <w:trPr>
          <w:trHeight w:val="255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5199EF0" w14:textId="77777777" w:rsidR="00B9723D" w:rsidRPr="00F74C90" w:rsidRDefault="00B9723D" w:rsidP="00D16D2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2F307AD" w14:textId="77777777" w:rsidR="00B9723D" w:rsidRPr="00F74C90" w:rsidRDefault="00B9723D" w:rsidP="00D16D2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b/>
                <w:bCs/>
                <w:color w:val="000000"/>
                <w:sz w:val="20"/>
                <w:szCs w:val="20"/>
                <w:lang w:eastAsia="cs-CZ"/>
              </w:rPr>
              <w:t>k 31. 12. 2013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107A2AF4" w14:textId="77777777" w:rsidR="00B9723D" w:rsidRPr="00F74C90" w:rsidRDefault="00B9723D" w:rsidP="00D16D2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b/>
                <w:bCs/>
                <w:color w:val="000000"/>
                <w:sz w:val="20"/>
                <w:szCs w:val="20"/>
                <w:lang w:eastAsia="cs-CZ"/>
              </w:rPr>
              <w:t>k 31. 12. 2014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noWrap/>
            <w:vAlign w:val="center"/>
            <w:hideMark/>
          </w:tcPr>
          <w:p w14:paraId="39CE8179" w14:textId="77777777" w:rsidR="00B9723D" w:rsidRPr="00F74C90" w:rsidRDefault="00B9723D" w:rsidP="00D16D2C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b/>
                <w:bCs/>
                <w:color w:val="000000"/>
                <w:sz w:val="20"/>
                <w:szCs w:val="20"/>
                <w:lang w:eastAsia="cs-CZ"/>
              </w:rPr>
              <w:t>k 31. 12. 2015</w:t>
            </w:r>
          </w:p>
        </w:tc>
      </w:tr>
      <w:tr w:rsidR="00B9723D" w:rsidRPr="00F74C90" w14:paraId="6488D78B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23545B36" w14:textId="77777777" w:rsidR="00B9723D" w:rsidRPr="00F74C90" w:rsidRDefault="00B9723D" w:rsidP="00D16D2C">
            <w:pPr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Aktiva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63BDD9D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2 438 099 303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71B1B64F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2 593 478 225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noWrap/>
            <w:vAlign w:val="center"/>
            <w:hideMark/>
          </w:tcPr>
          <w:p w14:paraId="49ABF2A7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990 072 213</w:t>
            </w:r>
          </w:p>
        </w:tc>
      </w:tr>
      <w:tr w:rsidR="00B9723D" w:rsidRPr="00F74C90" w14:paraId="2EDACAF8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D865" w14:textId="77777777" w:rsidR="00B9723D" w:rsidRPr="00F74C90" w:rsidRDefault="00B9723D" w:rsidP="00D16D2C">
            <w:pPr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i/>
                <w:iCs/>
                <w:color w:val="000000"/>
                <w:sz w:val="20"/>
                <w:szCs w:val="20"/>
                <w:lang w:eastAsia="cs-CZ"/>
              </w:rPr>
              <w:t>Stálá aktiva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7FEB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329 727 754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37E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397 592 282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2E9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403 672 799</w:t>
            </w:r>
          </w:p>
        </w:tc>
      </w:tr>
      <w:tr w:rsidR="00B9723D" w:rsidRPr="00F74C90" w14:paraId="645EF10D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A06" w14:textId="77777777" w:rsidR="00B9723D" w:rsidRPr="00F74C90" w:rsidRDefault="00B9723D" w:rsidP="00D16D2C">
            <w:pPr>
              <w:ind w:firstLineChars="100" w:firstLine="200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Dlouhodobý nehmotný majetek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5B1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92 353 389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6C60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159 448 487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6921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132 665 744</w:t>
            </w:r>
          </w:p>
        </w:tc>
      </w:tr>
      <w:tr w:rsidR="00B9723D" w:rsidRPr="00F74C90" w14:paraId="5F676223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664D" w14:textId="77777777" w:rsidR="00B9723D" w:rsidRPr="00F74C90" w:rsidRDefault="00B9723D" w:rsidP="00D16D2C">
            <w:pPr>
              <w:ind w:firstLineChars="100" w:firstLine="200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Dlouhodobý hmotný majetek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64FF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237 374 366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059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238 143 795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DE2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271 007 055</w:t>
            </w:r>
          </w:p>
        </w:tc>
      </w:tr>
      <w:tr w:rsidR="00B9723D" w:rsidRPr="00F74C90" w14:paraId="3673DE9F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D28" w14:textId="77777777" w:rsidR="00B9723D" w:rsidRPr="00F74C90" w:rsidRDefault="00B9723D" w:rsidP="00D16D2C">
            <w:pPr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i/>
                <w:iCs/>
                <w:color w:val="000000"/>
                <w:sz w:val="20"/>
                <w:szCs w:val="20"/>
                <w:lang w:eastAsia="cs-CZ"/>
              </w:rPr>
              <w:t>Oběžná aktiva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3558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2 108 371 548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6B8D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2 195 885 943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05B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586 399 414</w:t>
            </w:r>
          </w:p>
        </w:tc>
      </w:tr>
      <w:tr w:rsidR="00B9723D" w:rsidRPr="00F74C90" w14:paraId="685C60C8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5241" w14:textId="77777777" w:rsidR="00B9723D" w:rsidRPr="00F74C90" w:rsidRDefault="00B9723D" w:rsidP="00D16D2C">
            <w:pPr>
              <w:ind w:firstLineChars="100" w:firstLine="200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Zásoby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4EF2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52 238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0C2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63 455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89F5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73 647</w:t>
            </w:r>
          </w:p>
        </w:tc>
      </w:tr>
      <w:tr w:rsidR="00B9723D" w:rsidRPr="00F74C90" w14:paraId="4BA50DAF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BE56" w14:textId="77777777" w:rsidR="00B9723D" w:rsidRPr="00F74C90" w:rsidRDefault="00B9723D" w:rsidP="00D16D2C">
            <w:pPr>
              <w:ind w:firstLineChars="100" w:firstLine="200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Krátkodobé pohledávky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AF61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9 018 345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D051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2 152 838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701F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4 016 433</w:t>
            </w:r>
          </w:p>
        </w:tc>
      </w:tr>
      <w:tr w:rsidR="00B9723D" w:rsidRPr="00F74C90" w14:paraId="2F6317CE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3CD" w14:textId="77777777" w:rsidR="00B9723D" w:rsidRPr="00F74C90" w:rsidRDefault="00B9723D" w:rsidP="00D16D2C">
            <w:pPr>
              <w:ind w:firstLineChars="100" w:firstLine="200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Krátkodobý finanční majetek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3F0E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2 099 300 966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BCAD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2 193 669 650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025B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582 309 333</w:t>
            </w:r>
          </w:p>
        </w:tc>
      </w:tr>
      <w:tr w:rsidR="00B9723D" w:rsidRPr="00F74C90" w14:paraId="711719B4" w14:textId="77777777" w:rsidTr="00B9723D">
        <w:trPr>
          <w:trHeight w:val="255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FCE7" w14:textId="77777777" w:rsidR="00B9723D" w:rsidRPr="00F74C90" w:rsidRDefault="00B9723D" w:rsidP="00D16D2C">
            <w:pPr>
              <w:ind w:firstLineChars="200" w:firstLine="400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i/>
                <w:iCs/>
                <w:color w:val="000000"/>
                <w:sz w:val="20"/>
                <w:szCs w:val="20"/>
                <w:lang w:eastAsia="cs-CZ"/>
              </w:rPr>
              <w:t>Běžné účty fondů organizačních složek státu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CCD5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2 072 087 335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F9F1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2 163 495 524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8869" w14:textId="77777777" w:rsidR="00B9723D" w:rsidRPr="00F74C90" w:rsidRDefault="00B9723D" w:rsidP="00D16D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F74C90">
              <w:rPr>
                <w:color w:val="000000"/>
                <w:sz w:val="20"/>
                <w:szCs w:val="20"/>
                <w:lang w:eastAsia="cs-CZ"/>
              </w:rPr>
              <w:t>554 288 017</w:t>
            </w:r>
          </w:p>
        </w:tc>
      </w:tr>
    </w:tbl>
    <w:p w14:paraId="3A820F2E" w14:textId="2A883D79" w:rsidR="001722B1" w:rsidRPr="00F84D55" w:rsidRDefault="001722B1" w:rsidP="00D16D2C">
      <w:pPr>
        <w:pStyle w:val="Zdroj"/>
        <w:spacing w:before="40"/>
        <w:ind w:left="567" w:hanging="567"/>
        <w:rPr>
          <w:i w:val="0"/>
        </w:rPr>
      </w:pPr>
      <w:r w:rsidRPr="00922C27">
        <w:rPr>
          <w:b/>
          <w:i w:val="0"/>
        </w:rPr>
        <w:t>Zdroj:</w:t>
      </w:r>
      <w:r w:rsidRPr="00922C27">
        <w:rPr>
          <w:b/>
          <w:i w:val="0"/>
        </w:rPr>
        <w:tab/>
      </w:r>
      <w:r w:rsidR="00924074">
        <w:rPr>
          <w:i w:val="0"/>
        </w:rPr>
        <w:t>r</w:t>
      </w:r>
      <w:r w:rsidRPr="00F84D55">
        <w:rPr>
          <w:i w:val="0"/>
        </w:rPr>
        <w:t>ozvah</w:t>
      </w:r>
      <w:r w:rsidR="00924074">
        <w:rPr>
          <w:i w:val="0"/>
        </w:rPr>
        <w:t>y</w:t>
      </w:r>
      <w:r w:rsidRPr="00F84D55">
        <w:rPr>
          <w:i w:val="0"/>
        </w:rPr>
        <w:t xml:space="preserve"> </w:t>
      </w:r>
      <w:r w:rsidR="009063C1">
        <w:rPr>
          <w:i w:val="0"/>
        </w:rPr>
        <w:t xml:space="preserve">SÚKL </w:t>
      </w:r>
      <w:r w:rsidRPr="00F84D55">
        <w:rPr>
          <w:i w:val="0"/>
        </w:rPr>
        <w:t>sestaven</w:t>
      </w:r>
      <w:r w:rsidR="00924074">
        <w:rPr>
          <w:i w:val="0"/>
        </w:rPr>
        <w:t>é</w:t>
      </w:r>
      <w:r w:rsidRPr="00F84D55">
        <w:rPr>
          <w:i w:val="0"/>
        </w:rPr>
        <w:t xml:space="preserve"> k 31. 12. 2013, k 31. 12. 2014 a k 31. 12. 2015</w:t>
      </w:r>
      <w:r w:rsidR="00922C27">
        <w:rPr>
          <w:i w:val="0"/>
        </w:rPr>
        <w:t>.</w:t>
      </w:r>
    </w:p>
    <w:p w14:paraId="5C005DDA" w14:textId="77777777" w:rsidR="00B24379" w:rsidRDefault="00B24379" w:rsidP="00D16D2C">
      <w:pPr>
        <w:pStyle w:val="TextKP"/>
        <w:tabs>
          <w:tab w:val="left" w:pos="7938"/>
        </w:tabs>
        <w:spacing w:before="0"/>
        <w:rPr>
          <w:bCs/>
          <w:spacing w:val="-2"/>
        </w:rPr>
      </w:pPr>
    </w:p>
    <w:p w14:paraId="0E49E9CD" w14:textId="60131589" w:rsidR="001A68E3" w:rsidRPr="0062321B" w:rsidRDefault="00924074" w:rsidP="00D16D2C">
      <w:pPr>
        <w:pStyle w:val="TextKP"/>
        <w:tabs>
          <w:tab w:val="left" w:pos="7938"/>
        </w:tabs>
        <w:spacing w:before="0"/>
        <w:rPr>
          <w:b/>
          <w:bCs/>
          <w:spacing w:val="-2"/>
        </w:rPr>
      </w:pPr>
      <w:r w:rsidRPr="0062321B">
        <w:rPr>
          <w:noProof/>
          <w:sz w:val="20"/>
          <w:lang w:eastAsia="cs-CZ"/>
        </w:rPr>
        <w:drawing>
          <wp:anchor distT="0" distB="0" distL="114300" distR="114300" simplePos="0" relativeHeight="251666432" behindDoc="0" locked="0" layoutInCell="1" allowOverlap="1" wp14:anchorId="019849B9" wp14:editId="49BA2AB6">
            <wp:simplePos x="0" y="0"/>
            <wp:positionH relativeFrom="margin">
              <wp:posOffset>277495</wp:posOffset>
            </wp:positionH>
            <wp:positionV relativeFrom="paragraph">
              <wp:posOffset>247650</wp:posOffset>
            </wp:positionV>
            <wp:extent cx="5338445" cy="2421255"/>
            <wp:effectExtent l="0" t="0" r="0" b="0"/>
            <wp:wrapTopAndBottom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8E3" w:rsidRPr="0062321B">
        <w:rPr>
          <w:b/>
          <w:bCs/>
          <w:spacing w:val="-2"/>
        </w:rPr>
        <w:t>Graf č. 2: Poměr stálých a oběžných aktiv SÚKL k 31. 12. daného roku</w:t>
      </w:r>
    </w:p>
    <w:p w14:paraId="38D8B017" w14:textId="62FE9746" w:rsidR="007A7E3D" w:rsidRPr="0062321B" w:rsidRDefault="007A7E3D" w:rsidP="00BA77B1">
      <w:pPr>
        <w:pStyle w:val="TextKP"/>
        <w:spacing w:before="0"/>
        <w:ind w:left="567" w:hanging="567"/>
        <w:jc w:val="left"/>
        <w:rPr>
          <w:sz w:val="20"/>
        </w:rPr>
      </w:pPr>
      <w:r w:rsidRPr="0062321B">
        <w:rPr>
          <w:b/>
          <w:sz w:val="20"/>
        </w:rPr>
        <w:t>Zdroj:</w:t>
      </w:r>
      <w:r w:rsidRPr="0062321B">
        <w:rPr>
          <w:sz w:val="20"/>
        </w:rPr>
        <w:tab/>
      </w:r>
      <w:r w:rsidR="00924074">
        <w:rPr>
          <w:sz w:val="20"/>
        </w:rPr>
        <w:t>r</w:t>
      </w:r>
      <w:r w:rsidRPr="0062321B">
        <w:rPr>
          <w:sz w:val="20"/>
        </w:rPr>
        <w:t>ozvah</w:t>
      </w:r>
      <w:r w:rsidR="00924074">
        <w:rPr>
          <w:sz w:val="20"/>
        </w:rPr>
        <w:t>y</w:t>
      </w:r>
      <w:r w:rsidRPr="0062321B">
        <w:rPr>
          <w:sz w:val="20"/>
        </w:rPr>
        <w:t xml:space="preserve"> </w:t>
      </w:r>
      <w:r w:rsidR="009063C1" w:rsidRPr="0062321B">
        <w:rPr>
          <w:sz w:val="20"/>
        </w:rPr>
        <w:t xml:space="preserve">SÚKL </w:t>
      </w:r>
      <w:r w:rsidRPr="0062321B">
        <w:rPr>
          <w:sz w:val="20"/>
        </w:rPr>
        <w:t>sestaven</w:t>
      </w:r>
      <w:r w:rsidR="00924074">
        <w:rPr>
          <w:sz w:val="20"/>
        </w:rPr>
        <w:t>é</w:t>
      </w:r>
      <w:r w:rsidRPr="0062321B">
        <w:rPr>
          <w:sz w:val="20"/>
        </w:rPr>
        <w:t xml:space="preserve"> k 31. 12. 2013, k 31. 12. 2014 a k 31. 12. 2015</w:t>
      </w:r>
      <w:r w:rsidR="007A797F" w:rsidRPr="0062321B">
        <w:rPr>
          <w:sz w:val="20"/>
        </w:rPr>
        <w:t>.</w:t>
      </w:r>
    </w:p>
    <w:p w14:paraId="2F8C3F8A" w14:textId="77777777" w:rsidR="00B24379" w:rsidRDefault="00B24379" w:rsidP="00D16D2C">
      <w:pPr>
        <w:pStyle w:val="TextKP"/>
        <w:tabs>
          <w:tab w:val="left" w:pos="7938"/>
        </w:tabs>
        <w:spacing w:before="0"/>
        <w:rPr>
          <w:bCs/>
          <w:spacing w:val="-2"/>
        </w:rPr>
      </w:pPr>
    </w:p>
    <w:p w14:paraId="2A8D2749" w14:textId="1AD319AA" w:rsidR="00C85BAB" w:rsidRPr="0062321B" w:rsidRDefault="00C85BAB" w:rsidP="00D16D2C">
      <w:pPr>
        <w:pStyle w:val="TextKP"/>
        <w:tabs>
          <w:tab w:val="right" w:pos="9072"/>
        </w:tabs>
        <w:spacing w:before="0" w:after="40"/>
        <w:rPr>
          <w:b/>
        </w:rPr>
      </w:pPr>
      <w:r w:rsidRPr="0062321B">
        <w:rPr>
          <w:b/>
          <w:bCs/>
          <w:spacing w:val="-2"/>
        </w:rPr>
        <w:t xml:space="preserve">Tabulka č. 2: </w:t>
      </w:r>
      <w:r w:rsidRPr="0062321B">
        <w:rPr>
          <w:rFonts w:cs="Calibri"/>
          <w:b/>
          <w:spacing w:val="-2"/>
        </w:rPr>
        <w:t xml:space="preserve">Přehled pasiv k 31. 12. 2013, k 31. 12. 2014 a k 31. 12. 2015 </w:t>
      </w:r>
      <w:r w:rsidRPr="0062321B">
        <w:rPr>
          <w:rFonts w:cs="Calibri"/>
          <w:b/>
          <w:spacing w:val="-2"/>
        </w:rPr>
        <w:tab/>
        <w:t>(v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1415"/>
        <w:gridCol w:w="1415"/>
        <w:gridCol w:w="1414"/>
      </w:tblGrid>
      <w:tr w:rsidR="004D5A9C" w:rsidRPr="00D762EE" w14:paraId="0C7FD5DC" w14:textId="77777777" w:rsidTr="004D5A9C">
        <w:trPr>
          <w:trHeight w:val="283"/>
        </w:trPr>
        <w:tc>
          <w:tcPr>
            <w:tcW w:w="2658" w:type="pct"/>
            <w:shd w:val="clear" w:color="auto" w:fill="E5F1FF"/>
            <w:vAlign w:val="center"/>
            <w:hideMark/>
          </w:tcPr>
          <w:p w14:paraId="7053F115" w14:textId="77777777" w:rsidR="00052711" w:rsidRPr="00D762EE" w:rsidRDefault="00052711" w:rsidP="00D762E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781" w:type="pct"/>
            <w:shd w:val="clear" w:color="auto" w:fill="E5F1FF"/>
            <w:noWrap/>
            <w:vAlign w:val="center"/>
            <w:hideMark/>
          </w:tcPr>
          <w:p w14:paraId="5F549562" w14:textId="77777777" w:rsidR="00052711" w:rsidRPr="00D762EE" w:rsidRDefault="00052711" w:rsidP="00D762E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 31. 12. 2013</w:t>
            </w:r>
          </w:p>
        </w:tc>
        <w:tc>
          <w:tcPr>
            <w:tcW w:w="781" w:type="pct"/>
            <w:shd w:val="clear" w:color="auto" w:fill="E5F1FF"/>
            <w:noWrap/>
            <w:vAlign w:val="center"/>
            <w:hideMark/>
          </w:tcPr>
          <w:p w14:paraId="4AF3BA06" w14:textId="77777777" w:rsidR="00052711" w:rsidRPr="00D762EE" w:rsidRDefault="00052711" w:rsidP="00D762E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 31. 12. 2014</w:t>
            </w:r>
          </w:p>
        </w:tc>
        <w:tc>
          <w:tcPr>
            <w:tcW w:w="780" w:type="pct"/>
            <w:shd w:val="clear" w:color="auto" w:fill="E5F1FF"/>
            <w:noWrap/>
            <w:vAlign w:val="center"/>
            <w:hideMark/>
          </w:tcPr>
          <w:p w14:paraId="033467D4" w14:textId="77777777" w:rsidR="00052711" w:rsidRPr="00D762EE" w:rsidRDefault="00052711" w:rsidP="00D762EE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k 31. 12. 2015</w:t>
            </w:r>
          </w:p>
        </w:tc>
      </w:tr>
      <w:tr w:rsidR="004D5A9C" w:rsidRPr="00D762EE" w14:paraId="31A48935" w14:textId="77777777" w:rsidTr="004D5A9C">
        <w:trPr>
          <w:trHeight w:val="283"/>
        </w:trPr>
        <w:tc>
          <w:tcPr>
            <w:tcW w:w="2658" w:type="pct"/>
            <w:shd w:val="clear" w:color="auto" w:fill="F2C6C9"/>
            <w:noWrap/>
            <w:vAlign w:val="center"/>
            <w:hideMark/>
          </w:tcPr>
          <w:p w14:paraId="1F3C01FD" w14:textId="77777777" w:rsidR="00052711" w:rsidRPr="00D762EE" w:rsidRDefault="00052711" w:rsidP="00D762EE">
            <w:pPr>
              <w:jc w:val="both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PASIVA</w:t>
            </w:r>
          </w:p>
        </w:tc>
        <w:tc>
          <w:tcPr>
            <w:tcW w:w="781" w:type="pct"/>
            <w:shd w:val="clear" w:color="auto" w:fill="F2C6C9"/>
            <w:noWrap/>
            <w:vAlign w:val="center"/>
            <w:hideMark/>
          </w:tcPr>
          <w:p w14:paraId="5C24FFB2" w14:textId="04CBBCAF" w:rsidR="00052711" w:rsidRPr="00D762EE" w:rsidRDefault="00052711" w:rsidP="00D762EE">
            <w:pPr>
              <w:jc w:val="right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2 438 099 30</w:t>
            </w:r>
            <w:r w:rsidR="004D5A9C" w:rsidRPr="00D762EE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1" w:type="pct"/>
            <w:shd w:val="clear" w:color="auto" w:fill="F2C6C9"/>
            <w:noWrap/>
            <w:vAlign w:val="center"/>
            <w:hideMark/>
          </w:tcPr>
          <w:p w14:paraId="1272347C" w14:textId="652886C9" w:rsidR="00052711" w:rsidRPr="00D762EE" w:rsidRDefault="00052711" w:rsidP="00D762EE">
            <w:pPr>
              <w:jc w:val="right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2 593 478 225</w:t>
            </w:r>
          </w:p>
        </w:tc>
        <w:tc>
          <w:tcPr>
            <w:tcW w:w="780" w:type="pct"/>
            <w:shd w:val="clear" w:color="auto" w:fill="F2C6C9"/>
            <w:noWrap/>
            <w:vAlign w:val="center"/>
            <w:hideMark/>
          </w:tcPr>
          <w:p w14:paraId="4254288D" w14:textId="097FD2E1" w:rsidR="00052711" w:rsidRPr="00D762EE" w:rsidRDefault="00052711" w:rsidP="00D762EE">
            <w:pPr>
              <w:jc w:val="right"/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990 072 21</w:t>
            </w:r>
            <w:r w:rsidR="004D5A9C" w:rsidRPr="00D762EE">
              <w:rPr>
                <w:rFonts w:cs="Calibri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4D5A9C" w:rsidRPr="00D762EE" w14:paraId="788A7924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103083E2" w14:textId="77777777" w:rsidR="00052711" w:rsidRPr="00D762EE" w:rsidRDefault="00052711" w:rsidP="00D762EE">
            <w:pPr>
              <w:ind w:left="57"/>
              <w:jc w:val="both"/>
              <w:rPr>
                <w:rFonts w:cs="Calibr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/>
                <w:iCs/>
                <w:color w:val="000000"/>
                <w:sz w:val="20"/>
                <w:szCs w:val="20"/>
                <w:lang w:eastAsia="cs-CZ"/>
              </w:rPr>
              <w:t>VLASTNÍ KAPITÁL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30402F79" w14:textId="031345B3" w:rsidR="00052711" w:rsidRPr="00D762EE" w:rsidRDefault="00052711" w:rsidP="00D762EE">
            <w:pPr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2 410 494 61</w:t>
            </w:r>
            <w:r w:rsidR="004D5A9C"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2969FB8B" w14:textId="5F809463" w:rsidR="00052711" w:rsidRPr="00D762EE" w:rsidRDefault="00052711" w:rsidP="00D762EE">
            <w:pPr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2 511 138 09</w:t>
            </w:r>
            <w:r w:rsidR="004D5A9C"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61E3BB04" w14:textId="67B3C292" w:rsidR="00052711" w:rsidRPr="00D762EE" w:rsidRDefault="00052711" w:rsidP="00D762EE">
            <w:pPr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936 906 69</w:t>
            </w:r>
            <w:r w:rsidR="004D5A9C"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4D5A9C" w:rsidRPr="00D762EE" w14:paraId="230A7900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73566179" w14:textId="77777777" w:rsidR="00052711" w:rsidRPr="00D762EE" w:rsidRDefault="00052711" w:rsidP="00D762EE">
            <w:pPr>
              <w:ind w:left="170"/>
              <w:jc w:val="both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Jmění účetní jednotky a upravující položky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3E6417D" w14:textId="359EBA66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219 914 907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436B2CDB" w14:textId="0EDA3978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226 709 384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01A49C3D" w14:textId="4F45C5C2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226 284 508</w:t>
            </w:r>
          </w:p>
        </w:tc>
      </w:tr>
      <w:tr w:rsidR="004D5A9C" w:rsidRPr="00D762EE" w14:paraId="2B39B644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63D0A840" w14:textId="77777777" w:rsidR="00052711" w:rsidRPr="00D762EE" w:rsidRDefault="00052711" w:rsidP="00D762EE">
            <w:pPr>
              <w:ind w:left="170"/>
              <w:jc w:val="both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Fondy účetní jednotky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6D38DE1" w14:textId="45373819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2 073 281 21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0CF6E52E" w14:textId="393AD52F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2 165 081 535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76C2D386" w14:textId="48F31925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555 599 42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D5A9C" w:rsidRPr="00D762EE" w14:paraId="276F4340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60120879" w14:textId="77777777" w:rsidR="00052711" w:rsidRPr="00D762EE" w:rsidRDefault="00052711" w:rsidP="00D762EE">
            <w:pPr>
              <w:ind w:left="284"/>
              <w:jc w:val="both"/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/>
                <w:iCs/>
                <w:color w:val="000000"/>
                <w:sz w:val="20"/>
                <w:szCs w:val="20"/>
                <w:lang w:eastAsia="cs-CZ"/>
              </w:rPr>
              <w:t>Rezervní fond z ostatních titulů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2EDBE585" w14:textId="1FAC56A8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2 072 087 33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4500F7CF" w14:textId="094D6B6C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2 163 495 524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512F8788" w14:textId="6C424C4A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554 288 017</w:t>
            </w:r>
          </w:p>
        </w:tc>
      </w:tr>
      <w:tr w:rsidR="004D5A9C" w:rsidRPr="00D762EE" w14:paraId="731436F6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7273B5BB" w14:textId="25F073F1" w:rsidR="00052711" w:rsidRPr="00D762EE" w:rsidRDefault="00052711" w:rsidP="00D762EE">
            <w:pPr>
              <w:ind w:left="170"/>
              <w:jc w:val="both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Výsledek hospodaření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C0FABB6" w14:textId="5C65F57B" w:rsidR="00052711" w:rsidRPr="00D762EE" w:rsidRDefault="00332519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sym w:font="Symbol" w:char="F02D"/>
            </w:r>
            <w:r w:rsidR="00052711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196 937 22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603B4ACB" w14:textId="470CF99D" w:rsidR="00052711" w:rsidRPr="00D762EE" w:rsidRDefault="00332519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sym w:font="Symbol" w:char="F02D"/>
            </w:r>
            <w:r w:rsidR="00052711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272 933 01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5DB13A3E" w14:textId="2EC7C496" w:rsidR="00052711" w:rsidRPr="00D762EE" w:rsidRDefault="00332519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sym w:font="Symbol" w:char="F02D"/>
            </w:r>
            <w:r w:rsidR="00052711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326 760 238</w:t>
            </w:r>
          </w:p>
        </w:tc>
      </w:tr>
      <w:tr w:rsidR="004D5A9C" w:rsidRPr="00D762EE" w14:paraId="19050C81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698D5E6C" w14:textId="0B6F9FC4" w:rsidR="00052711" w:rsidRPr="00D762EE" w:rsidRDefault="00052711" w:rsidP="00D762EE">
            <w:pPr>
              <w:ind w:left="57"/>
              <w:jc w:val="both"/>
              <w:rPr>
                <w:rFonts w:cs="Calibr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/>
                <w:iCs/>
                <w:color w:val="000000"/>
                <w:sz w:val="20"/>
                <w:szCs w:val="20"/>
                <w:lang w:eastAsia="cs-CZ"/>
              </w:rPr>
              <w:t>CIZÍ ZDROJE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6F6C342A" w14:textId="4A1308EC" w:rsidR="00052711" w:rsidRPr="00D762EE" w:rsidRDefault="00052711" w:rsidP="00D762EE">
            <w:pPr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27 604 69</w:t>
            </w:r>
            <w:r w:rsidR="004D5A9C"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251A34C8" w14:textId="49027BFC" w:rsidR="00052711" w:rsidRPr="00D762EE" w:rsidRDefault="00052711" w:rsidP="00D762EE">
            <w:pPr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82 340 13</w:t>
            </w:r>
            <w:r w:rsidR="004D5A9C"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7967AA81" w14:textId="4AA30991" w:rsidR="00052711" w:rsidRPr="00D762EE" w:rsidRDefault="00052711" w:rsidP="00D762EE">
            <w:pPr>
              <w:jc w:val="right"/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bCs/>
                <w:iCs/>
                <w:color w:val="000000"/>
                <w:sz w:val="20"/>
                <w:szCs w:val="20"/>
                <w:lang w:eastAsia="cs-CZ"/>
              </w:rPr>
              <w:t>53 165 523</w:t>
            </w:r>
          </w:p>
        </w:tc>
      </w:tr>
      <w:tr w:rsidR="004D5A9C" w:rsidRPr="00D762EE" w14:paraId="4C0C7474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71BD6B3B" w14:textId="1C6FB2B6" w:rsidR="00052711" w:rsidRPr="00D762EE" w:rsidRDefault="00052711" w:rsidP="00D762EE">
            <w:pPr>
              <w:ind w:left="170"/>
              <w:jc w:val="both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Dlouhodobé závazky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0AC7A362" w14:textId="19E793DA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20 411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27D39E46" w14:textId="2CD19FF3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20 411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7C6BBBB1" w14:textId="0E281E85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20 411</w:t>
            </w:r>
          </w:p>
        </w:tc>
      </w:tr>
      <w:tr w:rsidR="004D5A9C" w:rsidRPr="00D762EE" w14:paraId="1AE6A81D" w14:textId="77777777" w:rsidTr="004D5A9C">
        <w:trPr>
          <w:trHeight w:val="283"/>
        </w:trPr>
        <w:tc>
          <w:tcPr>
            <w:tcW w:w="2658" w:type="pct"/>
            <w:shd w:val="clear" w:color="auto" w:fill="auto"/>
            <w:noWrap/>
            <w:vAlign w:val="center"/>
            <w:hideMark/>
          </w:tcPr>
          <w:p w14:paraId="14DC696C" w14:textId="7CC6173C" w:rsidR="00052711" w:rsidRPr="00D762EE" w:rsidRDefault="00052711" w:rsidP="00D762EE">
            <w:pPr>
              <w:ind w:left="170"/>
              <w:jc w:val="both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Krátkodobé závazky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66C5218F" w14:textId="0DBC2B66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27 584 28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33A5562C" w14:textId="0C4B7493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82 319 72</w:t>
            </w:r>
            <w:r w:rsidR="004D5A9C"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14:paraId="68E7AD0D" w14:textId="41D845A5" w:rsidR="00052711" w:rsidRPr="00D762EE" w:rsidRDefault="00052711" w:rsidP="00D762EE">
            <w:pPr>
              <w:jc w:val="right"/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</w:pPr>
            <w:r w:rsidRPr="00D762EE">
              <w:rPr>
                <w:rFonts w:cs="Calibri"/>
                <w:iCs/>
                <w:color w:val="000000"/>
                <w:sz w:val="20"/>
                <w:szCs w:val="20"/>
                <w:lang w:eastAsia="cs-CZ"/>
              </w:rPr>
              <w:t>53 145 112</w:t>
            </w:r>
          </w:p>
        </w:tc>
      </w:tr>
    </w:tbl>
    <w:p w14:paraId="28BBFDEA" w14:textId="20D93C33" w:rsidR="00C85BAB" w:rsidRPr="00F84D55" w:rsidRDefault="00C85BAB" w:rsidP="00D16D2C">
      <w:pPr>
        <w:pStyle w:val="Zdroj"/>
        <w:spacing w:before="40"/>
        <w:ind w:left="567" w:hanging="567"/>
        <w:rPr>
          <w:i w:val="0"/>
        </w:rPr>
      </w:pPr>
      <w:r w:rsidRPr="007A797F">
        <w:rPr>
          <w:b/>
          <w:i w:val="0"/>
        </w:rPr>
        <w:t>Zdroj:</w:t>
      </w:r>
      <w:r w:rsidRPr="00F84D55">
        <w:rPr>
          <w:i w:val="0"/>
        </w:rPr>
        <w:tab/>
      </w:r>
      <w:r w:rsidR="00924074">
        <w:rPr>
          <w:i w:val="0"/>
        </w:rPr>
        <w:t>r</w:t>
      </w:r>
      <w:r w:rsidRPr="00F84D55">
        <w:rPr>
          <w:i w:val="0"/>
        </w:rPr>
        <w:t>ozvah</w:t>
      </w:r>
      <w:r w:rsidR="00924074">
        <w:rPr>
          <w:i w:val="0"/>
        </w:rPr>
        <w:t>y</w:t>
      </w:r>
      <w:r w:rsidRPr="00F84D55">
        <w:rPr>
          <w:i w:val="0"/>
        </w:rPr>
        <w:t xml:space="preserve"> </w:t>
      </w:r>
      <w:r w:rsidR="009063C1">
        <w:rPr>
          <w:i w:val="0"/>
        </w:rPr>
        <w:t xml:space="preserve">SÚKL </w:t>
      </w:r>
      <w:r w:rsidRPr="00F84D55">
        <w:rPr>
          <w:i w:val="0"/>
        </w:rPr>
        <w:t>sestaven</w:t>
      </w:r>
      <w:r w:rsidR="00924074">
        <w:rPr>
          <w:i w:val="0"/>
        </w:rPr>
        <w:t>é</w:t>
      </w:r>
      <w:r w:rsidRPr="00F84D55">
        <w:rPr>
          <w:i w:val="0"/>
        </w:rPr>
        <w:t xml:space="preserve"> k 31. 12. 2013, k 31. 12. 2014 a k 31. 12. 2015</w:t>
      </w:r>
      <w:r w:rsidR="007A797F">
        <w:rPr>
          <w:i w:val="0"/>
        </w:rPr>
        <w:t>.</w:t>
      </w:r>
    </w:p>
    <w:p w14:paraId="45E8C722" w14:textId="77777777" w:rsidR="00B24379" w:rsidRDefault="00B24379" w:rsidP="00D762EE">
      <w:pPr>
        <w:tabs>
          <w:tab w:val="left" w:pos="7938"/>
        </w:tabs>
        <w:rPr>
          <w:rFonts w:asciiTheme="minorHAnsi" w:hAnsiTheme="minorHAnsi" w:cstheme="minorHAnsi"/>
        </w:rPr>
      </w:pPr>
    </w:p>
    <w:p w14:paraId="4EB6E09A" w14:textId="304DE384" w:rsidR="00D16D2C" w:rsidRPr="001C294F" w:rsidRDefault="00332519" w:rsidP="00BA77B1">
      <w:pPr>
        <w:tabs>
          <w:tab w:val="right" w:pos="9072"/>
        </w:tabs>
        <w:spacing w:after="40"/>
        <w:rPr>
          <w:rFonts w:asciiTheme="minorHAnsi" w:hAnsiTheme="minorHAnsi" w:cstheme="minorHAnsi"/>
          <w:b/>
        </w:rPr>
      </w:pPr>
      <w:r w:rsidRPr="001C294F">
        <w:rPr>
          <w:rFonts w:asciiTheme="minorHAnsi" w:hAnsiTheme="minorHAnsi" w:cstheme="minorHAnsi"/>
          <w:b/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7926029" wp14:editId="334E765C">
                <wp:simplePos x="0" y="0"/>
                <wp:positionH relativeFrom="margin">
                  <wp:posOffset>328930</wp:posOffset>
                </wp:positionH>
                <wp:positionV relativeFrom="margin">
                  <wp:posOffset>349885</wp:posOffset>
                </wp:positionV>
                <wp:extent cx="5186680" cy="1905000"/>
                <wp:effectExtent l="0" t="0" r="0" b="0"/>
                <wp:wrapTopAndBottom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6680" cy="1905000"/>
                          <a:chOff x="0" y="1"/>
                          <a:chExt cx="4806000" cy="2257198"/>
                        </a:xfrm>
                      </wpg:grpSpPr>
                      <wpg:grpSp>
                        <wpg:cNvPr id="18" name="Skupina 18"/>
                        <wpg:cNvGrpSpPr/>
                        <wpg:grpSpPr>
                          <a:xfrm>
                            <a:off x="0" y="1"/>
                            <a:ext cx="4806000" cy="2257198"/>
                            <a:chOff x="0" y="1"/>
                            <a:chExt cx="4806000" cy="2257198"/>
                          </a:xfrm>
                        </wpg:grpSpPr>
                        <wpg:grpSp>
                          <wpg:cNvPr id="9" name="Skupina 9"/>
                          <wpg:cNvGrpSpPr/>
                          <wpg:grpSpPr>
                            <a:xfrm>
                              <a:off x="0" y="1"/>
                              <a:ext cx="4806000" cy="2257198"/>
                              <a:chOff x="0" y="1"/>
                              <a:chExt cx="4806462" cy="2256692"/>
                            </a:xfrm>
                          </wpg:grpSpPr>
                          <wps:wsp>
                            <wps:cNvPr id="10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3429" y="641610"/>
                                <a:ext cx="828810" cy="53136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74737" w14:textId="77777777" w:rsidR="002F0E8B" w:rsidRPr="007A7E3D" w:rsidRDefault="002F0E8B" w:rsidP="009015A6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7A7E3D">
                                    <w:rPr>
                                      <w:b/>
                                      <w:sz w:val="32"/>
                                    </w:rPr>
                                    <w:t>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2" name="Skupina 19"/>
                            <wpg:cNvGrpSpPr/>
                            <wpg:grpSpPr>
                              <a:xfrm>
                                <a:off x="0" y="1"/>
                                <a:ext cx="4806462" cy="2256692"/>
                                <a:chOff x="0" y="1"/>
                                <a:chExt cx="4334136" cy="1441465"/>
                              </a:xfrm>
                            </wpg:grpSpPr>
                            <wpg:graphicFrame>
                              <wpg:cNvPr id="13" name="Graf 13"/>
                              <wpg:cNvFrPr/>
                              <wpg:xfrm>
                                <a:off x="0" y="1"/>
                                <a:ext cx="1439999" cy="14400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1"/>
                                </a:graphicData>
                              </a:graphic>
                            </wpg:graphicFrame>
                            <wpg:graphicFrame>
                              <wpg:cNvPr id="14" name="Graf 14"/>
                              <wpg:cNvFrPr>
                                <a:graphicFrameLocks/>
                              </wpg:cNvFrPr>
                              <wpg:xfrm>
                                <a:off x="2894136" y="1466"/>
                                <a:ext cx="1440000" cy="144000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2"/>
                                </a:graphicData>
                              </a:graphic>
                            </wpg:graphicFrame>
                            <wpg:graphicFrame>
                              <wpg:cNvPr id="19" name="Graf 19"/>
                              <wpg:cNvFrPr>
                                <a:graphicFrameLocks/>
                              </wpg:cNvFrPr>
                              <wpg:xfrm>
                                <a:off x="1450730" y="1189"/>
                                <a:ext cx="1440000" cy="1440001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13"/>
                                </a:graphicData>
                              </a:graphic>
                            </wpg:graphicFrame>
                          </wpg:grpSp>
                        </wpg:grpSp>
                        <wps:wsp>
                          <wps:cNvPr id="1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4652" y="641753"/>
                              <a:ext cx="895410" cy="5314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EA78FD" w14:textId="27FA6A41" w:rsidR="002F0E8B" w:rsidRPr="007A7E3D" w:rsidRDefault="002F0E8B" w:rsidP="007A7E3D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7A7E3D">
                                  <w:rPr>
                                    <w:b/>
                                    <w:sz w:val="32"/>
                                  </w:rPr>
                                  <w:t>201</w:t>
                                </w:r>
                                <w:r>
                                  <w:rPr>
                                    <w:b/>
                                    <w:sz w:val="3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485" y="564299"/>
                            <a:ext cx="828731" cy="464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B0958" w14:textId="49BA870A" w:rsidR="002F0E8B" w:rsidRPr="007A7E3D" w:rsidRDefault="002F0E8B" w:rsidP="007A7E3D">
                              <w:pPr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26029" id="Skupina 21" o:spid="_x0000_s1026" style="position:absolute;margin-left:25.9pt;margin-top:27.55pt;width:408.4pt;height:150pt;z-index:251675648;mso-position-horizontal-relative:margin;mso-position-vertical-relative:margin;mso-width-relative:margin;mso-height-relative:margin" coordorigin="" coordsize="48060,22571" o:gfxdata="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">
                <v:group id="Skupina 18" o:spid="_x0000_s1027" style="position:absolute;width:48060;height:22571" coordorigin="" coordsize="48060,2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Skupina 9" o:spid="_x0000_s1028" style="position:absolute;width:48060;height:22571" coordorigin="" coordsize="48064,2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3334;top:6416;width:8288;height:5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14:paraId="33774737" w14:textId="77777777" w:rsidR="002F0E8B" w:rsidRPr="007A7E3D" w:rsidRDefault="002F0E8B" w:rsidP="009015A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7A7E3D">
                              <w:rPr>
                                <w:b/>
                                <w:sz w:val="32"/>
                              </w:rPr>
                              <w:t>2013</w:t>
                            </w:r>
                          </w:p>
                        </w:txbxContent>
                      </v:textbox>
                    </v:shape>
                    <v:group id="Skupina 19" o:spid="_x0000_s1030" style="position:absolute;width:48064;height:22566" coordorigin="" coordsize="43341,1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 13" o:spid="_x0000_s1031" type="#_x0000_t75" style="position:absolute;left:764;width:11818;height:105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">
                        <v:imagedata r:id="rId14" o:title=""/>
                        <o:lock v:ext="edit" aspectratio="f"/>
                      </v:shape>
                      <v:shape id="Graf 14" o:spid="_x0000_s1032" type="#_x0000_t75" style="position:absolute;left:29748;width:11666;height:10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">
                        <v:imagedata r:id="rId15" o:title=""/>
                        <o:lock v:ext="edit" aspectratio="f"/>
                      </v:shape>
                      <v:shape id="Graf 19" o:spid="_x0000_s1033" type="#_x0000_t75" style="position:absolute;left:15332;width:13041;height:131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">
                        <v:imagedata r:id="rId16" o:title=""/>
                        <o:lock v:ext="edit" aspectratio="f"/>
                      </v:shape>
                    </v:group>
                  </v:group>
                  <v:shape id="_x0000_s1034" type="#_x0000_t202" style="position:absolute;left:19146;top:6417;width:8954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13EA78FD" w14:textId="27FA6A41" w:rsidR="002F0E8B" w:rsidRPr="007A7E3D" w:rsidRDefault="002F0E8B" w:rsidP="007A7E3D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7A7E3D">
                            <w:rPr>
                              <w:b/>
                              <w:sz w:val="32"/>
                            </w:rPr>
                            <w:t>201</w:t>
                          </w:r>
                          <w:r>
                            <w:rPr>
                              <w:b/>
                              <w:sz w:val="32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035" type="#_x0000_t202" style="position:absolute;left:35244;top:5642;width:8288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CB0958" w14:textId="49BA870A" w:rsidR="002F0E8B" w:rsidRPr="007A7E3D" w:rsidRDefault="002F0E8B" w:rsidP="007A7E3D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2015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r w:rsidR="00D16D2C" w:rsidRPr="001C294F">
        <w:rPr>
          <w:rFonts w:asciiTheme="minorHAnsi" w:hAnsiTheme="minorHAnsi" w:cstheme="minorHAnsi"/>
          <w:b/>
        </w:rPr>
        <w:t xml:space="preserve">Graf č. 3: Podíl </w:t>
      </w:r>
      <w:r w:rsidR="00D16D2C" w:rsidRPr="001C294F">
        <w:rPr>
          <w:rFonts w:asciiTheme="minorHAnsi" w:hAnsiTheme="minorHAnsi" w:cstheme="minorHAnsi"/>
          <w:b/>
          <w:i/>
        </w:rPr>
        <w:t>Rezervního fondu z ostatních titulů</w:t>
      </w:r>
      <w:r w:rsidR="00D16D2C" w:rsidRPr="001C294F">
        <w:rPr>
          <w:rFonts w:asciiTheme="minorHAnsi" w:hAnsiTheme="minorHAnsi" w:cstheme="minorHAnsi"/>
          <w:b/>
        </w:rPr>
        <w:t xml:space="preserve"> na pasivech v letech 2013 až 2015</w:t>
      </w:r>
      <w:r w:rsidR="00BA77B1" w:rsidRPr="001C294F">
        <w:rPr>
          <w:rFonts w:asciiTheme="minorHAnsi" w:hAnsiTheme="minorHAnsi" w:cstheme="minorHAnsi"/>
          <w:b/>
        </w:rPr>
        <w:tab/>
      </w:r>
      <w:r w:rsidR="00D16D2C" w:rsidRPr="001C294F">
        <w:rPr>
          <w:rFonts w:asciiTheme="minorHAnsi" w:hAnsiTheme="minorHAnsi" w:cstheme="minorHAnsi"/>
          <w:b/>
        </w:rPr>
        <w:t>(</w:t>
      </w:r>
      <w:r w:rsidR="00924074">
        <w:rPr>
          <w:rFonts w:asciiTheme="minorHAnsi" w:hAnsiTheme="minorHAnsi" w:cstheme="minorHAnsi"/>
          <w:b/>
        </w:rPr>
        <w:t>v </w:t>
      </w:r>
      <w:r w:rsidR="00D16D2C" w:rsidRPr="001C294F">
        <w:rPr>
          <w:rFonts w:asciiTheme="minorHAnsi" w:hAnsiTheme="minorHAnsi" w:cstheme="minorHAnsi"/>
          <w:b/>
        </w:rPr>
        <w:t>%)</w:t>
      </w:r>
    </w:p>
    <w:p w14:paraId="4FE1FC52" w14:textId="77777777" w:rsidR="00B954CC" w:rsidRDefault="00B954CC" w:rsidP="00753A22">
      <w:pPr>
        <w:pStyle w:val="Zdroj"/>
        <w:rPr>
          <w:b/>
          <w:i w:val="0"/>
        </w:rPr>
      </w:pPr>
    </w:p>
    <w:p w14:paraId="51DF133D" w14:textId="77777777" w:rsidR="00B954CC" w:rsidRPr="002F0E8B" w:rsidRDefault="00B954CC" w:rsidP="002F0E8B">
      <w:pPr>
        <w:pStyle w:val="Zdroj"/>
        <w:rPr>
          <w:b/>
          <w:i w:val="0"/>
        </w:rPr>
      </w:pPr>
    </w:p>
    <w:p w14:paraId="7DA5C6E6" w14:textId="0925496E" w:rsidR="00D762EE" w:rsidRPr="001C294F" w:rsidRDefault="007A7E3D" w:rsidP="002F0E8B">
      <w:pPr>
        <w:pStyle w:val="Zdroj"/>
        <w:rPr>
          <w:i w:val="0"/>
        </w:rPr>
      </w:pPr>
      <w:r w:rsidRPr="001C294F">
        <w:rPr>
          <w:b/>
          <w:i w:val="0"/>
        </w:rPr>
        <w:t>Zdroj:</w:t>
      </w:r>
      <w:r w:rsidRPr="001C294F">
        <w:rPr>
          <w:i w:val="0"/>
        </w:rPr>
        <w:tab/>
      </w:r>
      <w:r w:rsidR="00924074">
        <w:rPr>
          <w:i w:val="0"/>
        </w:rPr>
        <w:t>r</w:t>
      </w:r>
      <w:r w:rsidRPr="001C294F">
        <w:rPr>
          <w:i w:val="0"/>
        </w:rPr>
        <w:t>ozvah</w:t>
      </w:r>
      <w:r w:rsidR="00924074">
        <w:rPr>
          <w:i w:val="0"/>
        </w:rPr>
        <w:t>y</w:t>
      </w:r>
      <w:r w:rsidRPr="001C294F">
        <w:rPr>
          <w:i w:val="0"/>
        </w:rPr>
        <w:t xml:space="preserve"> </w:t>
      </w:r>
      <w:r w:rsidR="009063C1" w:rsidRPr="001C294F">
        <w:rPr>
          <w:i w:val="0"/>
        </w:rPr>
        <w:t xml:space="preserve">SÚKL </w:t>
      </w:r>
      <w:r w:rsidRPr="001C294F">
        <w:rPr>
          <w:i w:val="0"/>
        </w:rPr>
        <w:t>sestaven</w:t>
      </w:r>
      <w:r w:rsidR="00924074">
        <w:rPr>
          <w:i w:val="0"/>
        </w:rPr>
        <w:t>é</w:t>
      </w:r>
      <w:r w:rsidRPr="001C294F">
        <w:rPr>
          <w:i w:val="0"/>
        </w:rPr>
        <w:t xml:space="preserve"> k 31. 12. 2013, k 31. 12. 2014 a k 31. 12. 2015</w:t>
      </w:r>
      <w:r w:rsidR="007A797F" w:rsidRPr="001C294F">
        <w:rPr>
          <w:i w:val="0"/>
        </w:rPr>
        <w:t>.</w:t>
      </w:r>
    </w:p>
    <w:p w14:paraId="3C61E484" w14:textId="1102EF31" w:rsidR="00D762EE" w:rsidRPr="00D16D2C" w:rsidRDefault="00D762EE" w:rsidP="00D762EE">
      <w:pPr>
        <w:pStyle w:val="Zdroj"/>
        <w:ind w:left="567" w:hanging="567"/>
        <w:rPr>
          <w:rFonts w:asciiTheme="minorHAnsi" w:hAnsiTheme="minorHAnsi" w:cstheme="minorHAnsi"/>
          <w:i w:val="0"/>
          <w:sz w:val="24"/>
        </w:rPr>
      </w:pPr>
    </w:p>
    <w:p w14:paraId="4F08C948" w14:textId="722BBE49" w:rsidR="00D53529" w:rsidRPr="00924074" w:rsidRDefault="00D53529" w:rsidP="00924074">
      <w:pPr>
        <w:pStyle w:val="Zdroj"/>
        <w:tabs>
          <w:tab w:val="right" w:pos="9072"/>
        </w:tabs>
        <w:spacing w:after="40"/>
        <w:ind w:left="567" w:hanging="567"/>
        <w:rPr>
          <w:rFonts w:asciiTheme="minorHAnsi" w:hAnsiTheme="minorHAnsi" w:cstheme="minorHAnsi"/>
          <w:b/>
          <w:i w:val="0"/>
          <w:color w:val="000000"/>
          <w:sz w:val="22"/>
        </w:rPr>
      </w:pPr>
      <w:r w:rsidRPr="001C294F">
        <w:rPr>
          <w:rFonts w:asciiTheme="minorHAnsi" w:hAnsiTheme="minorHAnsi" w:cstheme="minorHAnsi"/>
          <w:b/>
          <w:i w:val="0"/>
          <w:sz w:val="22"/>
        </w:rPr>
        <w:t>Tabulka č. 3: Přehled nákladů a výnosů SÚKL v letech 2013 až 2015</w:t>
      </w:r>
      <w:r w:rsidR="00E62921" w:rsidRPr="001C294F">
        <w:rPr>
          <w:rFonts w:asciiTheme="minorHAnsi" w:hAnsiTheme="minorHAnsi" w:cstheme="minorHAnsi"/>
          <w:b/>
          <w:i w:val="0"/>
          <w:sz w:val="22"/>
        </w:rPr>
        <w:tab/>
        <w:t>(v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6"/>
        <w:gridCol w:w="741"/>
        <w:gridCol w:w="1463"/>
        <w:gridCol w:w="1463"/>
        <w:gridCol w:w="1459"/>
      </w:tblGrid>
      <w:tr w:rsidR="00C85BAB" w:rsidRPr="003A2C05" w14:paraId="2F659C8D" w14:textId="77777777" w:rsidTr="00157D64">
        <w:trPr>
          <w:trHeight w:val="283"/>
        </w:trPr>
        <w:tc>
          <w:tcPr>
            <w:tcW w:w="2172" w:type="pct"/>
            <w:shd w:val="clear" w:color="auto" w:fill="E5F1FF"/>
            <w:vAlign w:val="center"/>
            <w:hideMark/>
          </w:tcPr>
          <w:p w14:paraId="1F1EAFBE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09" w:type="pct"/>
            <w:shd w:val="clear" w:color="auto" w:fill="E5F1FF"/>
            <w:vAlign w:val="center"/>
            <w:hideMark/>
          </w:tcPr>
          <w:p w14:paraId="7748C4AB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Účet</w:t>
            </w:r>
          </w:p>
        </w:tc>
        <w:tc>
          <w:tcPr>
            <w:tcW w:w="807" w:type="pct"/>
            <w:shd w:val="clear" w:color="auto" w:fill="E5F1FF"/>
            <w:noWrap/>
            <w:vAlign w:val="center"/>
            <w:hideMark/>
          </w:tcPr>
          <w:p w14:paraId="3DADBA40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807" w:type="pct"/>
            <w:shd w:val="clear" w:color="auto" w:fill="E5F1FF"/>
            <w:noWrap/>
            <w:vAlign w:val="center"/>
            <w:hideMark/>
          </w:tcPr>
          <w:p w14:paraId="4CCEF2E7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805" w:type="pct"/>
            <w:shd w:val="clear" w:color="auto" w:fill="E5F1FF"/>
            <w:noWrap/>
            <w:vAlign w:val="center"/>
            <w:hideMark/>
          </w:tcPr>
          <w:p w14:paraId="3A4976F6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2015</w:t>
            </w:r>
          </w:p>
        </w:tc>
      </w:tr>
      <w:tr w:rsidR="00C85BAB" w:rsidRPr="003A2C05" w14:paraId="3474398F" w14:textId="77777777" w:rsidTr="00157D64">
        <w:trPr>
          <w:trHeight w:val="283"/>
        </w:trPr>
        <w:tc>
          <w:tcPr>
            <w:tcW w:w="2172" w:type="pct"/>
            <w:shd w:val="clear" w:color="auto" w:fill="F2C6C9"/>
            <w:noWrap/>
            <w:vAlign w:val="center"/>
            <w:hideMark/>
          </w:tcPr>
          <w:p w14:paraId="68339740" w14:textId="77777777" w:rsidR="00C85BAB" w:rsidRPr="003A2C05" w:rsidRDefault="00C85BAB" w:rsidP="00D762EE">
            <w:pPr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409" w:type="pct"/>
            <w:shd w:val="clear" w:color="auto" w:fill="F2C6C9"/>
            <w:noWrap/>
            <w:vAlign w:val="center"/>
            <w:hideMark/>
          </w:tcPr>
          <w:p w14:paraId="1E3E5DC6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07" w:type="pct"/>
            <w:shd w:val="clear" w:color="auto" w:fill="F2C6C9"/>
            <w:noWrap/>
            <w:vAlign w:val="center"/>
            <w:hideMark/>
          </w:tcPr>
          <w:p w14:paraId="59A04181" w14:textId="1F51933F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460 109 213</w:t>
            </w:r>
          </w:p>
        </w:tc>
        <w:tc>
          <w:tcPr>
            <w:tcW w:w="807" w:type="pct"/>
            <w:shd w:val="clear" w:color="auto" w:fill="F2C6C9"/>
            <w:noWrap/>
            <w:vAlign w:val="center"/>
            <w:hideMark/>
          </w:tcPr>
          <w:p w14:paraId="73FDE420" w14:textId="4ACECED4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522 851 876</w:t>
            </w:r>
          </w:p>
        </w:tc>
        <w:tc>
          <w:tcPr>
            <w:tcW w:w="805" w:type="pct"/>
            <w:shd w:val="clear" w:color="auto" w:fill="F2C6C9"/>
            <w:noWrap/>
            <w:vAlign w:val="center"/>
            <w:hideMark/>
          </w:tcPr>
          <w:p w14:paraId="6E259FE6" w14:textId="364E6072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525 296 30</w:t>
            </w:r>
            <w:r w:rsidR="004D5A9C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C85BAB" w:rsidRPr="003A2C05" w14:paraId="70CEA5A0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69D0F84A" w14:textId="77777777" w:rsidR="00C85BAB" w:rsidRPr="003A2C05" w:rsidRDefault="00C85BAB" w:rsidP="00D762EE">
            <w:pPr>
              <w:ind w:left="57"/>
              <w:rPr>
                <w:rFonts w:asciiTheme="minorHAnsi" w:hAnsi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sz w:val="20"/>
                <w:szCs w:val="20"/>
                <w:lang w:eastAsia="cs-CZ"/>
              </w:rPr>
              <w:t>NÁKLADY Z ČINNOSTI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0D22AD1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69C15809" w14:textId="70967C73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459 980 7</w:t>
            </w:r>
            <w:r w:rsidR="004D5A9C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95B2F61" w14:textId="1144D2E5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522 310 29</w:t>
            </w:r>
            <w:r w:rsidR="004D5A9C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7A357B78" w14:textId="261EECB8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sz w:val="20"/>
                <w:szCs w:val="20"/>
                <w:lang w:eastAsia="cs-CZ"/>
              </w:rPr>
              <w:t>525 048 491</w:t>
            </w:r>
          </w:p>
        </w:tc>
      </w:tr>
      <w:tr w:rsidR="00C85BAB" w:rsidRPr="003A2C05" w14:paraId="519908B1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42B4CEDB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Spotřeba materiálu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D707868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EC8073F" w14:textId="3BEAF983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5 554 8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</w:t>
            </w: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6ACAD114" w14:textId="35915BB9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6 339 626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01C3DA44" w14:textId="5FEB57B8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6 380 110</w:t>
            </w:r>
          </w:p>
        </w:tc>
      </w:tr>
      <w:tr w:rsidR="00C85BAB" w:rsidRPr="003A2C05" w14:paraId="1BFCBD38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76EF4BA9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Spotřeba energie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5368FAC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932AE4D" w14:textId="5D81B65A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6 171 96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8557A45" w14:textId="54C6F122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5 939 949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224068AF" w14:textId="119D4384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5 758 707</w:t>
            </w:r>
          </w:p>
        </w:tc>
      </w:tr>
      <w:tr w:rsidR="00C85BAB" w:rsidRPr="003A2C05" w14:paraId="0E32175B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49F3D74C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Opravy a udržování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A97632A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0CC412F6" w14:textId="2AF34DBC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3 720 52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9180C88" w14:textId="5AAE8A99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4 870 841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0AA59AD8" w14:textId="57A5902E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3 752 094</w:t>
            </w:r>
          </w:p>
        </w:tc>
      </w:tr>
      <w:tr w:rsidR="00C85BAB" w:rsidRPr="003A2C05" w14:paraId="1CA272E3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32B6AB17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Cestovné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4CE7191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EE783D8" w14:textId="75479120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5 262 84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2B9C9D7" w14:textId="40D8479C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6 069 09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1C8104D0" w14:textId="33D74C47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5 184 35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C85BAB" w:rsidRPr="003A2C05" w14:paraId="4CCA45DE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1F1E2158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Ostatní služby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1F1ED41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927D0F9" w14:textId="72CD0A6F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98 790 66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788ABB0" w14:textId="052E8D40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131 050 183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12F4080" w14:textId="0090C021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103 380 419</w:t>
            </w:r>
          </w:p>
        </w:tc>
      </w:tr>
      <w:tr w:rsidR="00C85BAB" w:rsidRPr="003A2C05" w14:paraId="00276D8A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06E7278D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Mzdové náklady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CE4EDCA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583469C" w14:textId="30DE5752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210 164 968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8389BA0" w14:textId="2B17FA73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230 924 541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6EB71181" w14:textId="13EFEE0B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255 476 282</w:t>
            </w:r>
          </w:p>
        </w:tc>
      </w:tr>
      <w:tr w:rsidR="00C85BAB" w:rsidRPr="003A2C05" w14:paraId="653ECAB6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03A1FB5D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Zákonné sociální pojištění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834C30C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524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B2BAEA4" w14:textId="6EF8644A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69 112 710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5D77FE6" w14:textId="0D609187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76 751 151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67528ED7" w14:textId="1E6379F2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84 920 569</w:t>
            </w:r>
          </w:p>
        </w:tc>
      </w:tr>
      <w:tr w:rsidR="00C85BAB" w:rsidRPr="003A2C05" w14:paraId="25BC6D8D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34F38494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Zákonné sociální náklady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D320125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527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0262F16A" w14:textId="6089B80C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1 814 095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8D4247C" w14:textId="035E6E4C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2 390 820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6D886CA2" w14:textId="391271FF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2 463 717</w:t>
            </w:r>
          </w:p>
        </w:tc>
      </w:tr>
      <w:tr w:rsidR="00C85BAB" w:rsidRPr="003A2C05" w14:paraId="47B9C849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48C386E0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Jiné sociální náklady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01A1240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528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33AD0AE" w14:textId="33E46DE7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3 755 79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2647C3B" w14:textId="59F46D18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4 434 276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33FE8ED1" w14:textId="49E4714F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4 781 26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C85BAB" w:rsidRPr="003A2C05" w14:paraId="494781D3" w14:textId="77777777" w:rsidTr="00157D64">
        <w:trPr>
          <w:trHeight w:val="283"/>
        </w:trPr>
        <w:tc>
          <w:tcPr>
            <w:tcW w:w="2172" w:type="pct"/>
            <w:shd w:val="clear" w:color="auto" w:fill="auto"/>
            <w:noWrap/>
            <w:vAlign w:val="center"/>
            <w:hideMark/>
          </w:tcPr>
          <w:p w14:paraId="3D4562A0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Odpisy dlouhodobého majetku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9E56041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551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FAA6611" w14:textId="645ABDCE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41 584 99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71A8CD1" w14:textId="7AEC40F1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44 885 76</w:t>
            </w:r>
            <w:r w:rsidR="004D5A9C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0990452" w14:textId="49DDE7BC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44 560 735</w:t>
            </w:r>
          </w:p>
        </w:tc>
      </w:tr>
      <w:tr w:rsidR="00C85BAB" w:rsidRPr="003A2C05" w14:paraId="29123A06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574C52CB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i/>
                <w:color w:val="000000"/>
                <w:sz w:val="20"/>
                <w:szCs w:val="20"/>
                <w:lang w:eastAsia="cs-CZ"/>
              </w:rPr>
              <w:t>Náklady z drobného dlouhodobého majetku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611191A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558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8FCCEBD" w14:textId="51ECC368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10 552 061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5940FC4" w14:textId="015300E5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7 378 937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6C2D8347" w14:textId="7E4250CD" w:rsidR="00C85BAB" w:rsidRPr="003A2C05" w:rsidRDefault="00C85BAB" w:rsidP="00D762EE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6 829 596</w:t>
            </w:r>
          </w:p>
        </w:tc>
      </w:tr>
      <w:tr w:rsidR="00C85BAB" w:rsidRPr="003A2C05" w14:paraId="180A28D9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3B48BC24" w14:textId="77777777" w:rsidR="00C85BAB" w:rsidRPr="003A2C05" w:rsidRDefault="00C85BAB" w:rsidP="00D762EE">
            <w:pPr>
              <w:ind w:left="57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FINANČNÍ NÁKLADY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70668140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7795BBA" w14:textId="1F3E8972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128 46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5C0C290" w14:textId="0A0978A4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541 58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7EF4FFE6" w14:textId="076F5ACD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247 814</w:t>
            </w:r>
          </w:p>
        </w:tc>
      </w:tr>
      <w:tr w:rsidR="00C85BAB" w:rsidRPr="003A2C05" w14:paraId="64FAA522" w14:textId="77777777" w:rsidTr="00157D64">
        <w:trPr>
          <w:trHeight w:val="283"/>
        </w:trPr>
        <w:tc>
          <w:tcPr>
            <w:tcW w:w="2172" w:type="pct"/>
            <w:shd w:val="clear" w:color="auto" w:fill="F2C6C9"/>
            <w:vAlign w:val="center"/>
            <w:hideMark/>
          </w:tcPr>
          <w:p w14:paraId="58CDBDE9" w14:textId="77777777" w:rsidR="00C85BAB" w:rsidRPr="00CE1AD7" w:rsidRDefault="00C85BAB" w:rsidP="00D762EE">
            <w:pPr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CE1AD7">
              <w:rPr>
                <w:rFonts w:asciiTheme="minorHAnsi" w:hAnsiTheme="minorHAnsi"/>
                <w:bCs/>
                <w:iCs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409" w:type="pct"/>
            <w:shd w:val="clear" w:color="auto" w:fill="F2C6C9"/>
            <w:noWrap/>
            <w:vAlign w:val="center"/>
            <w:hideMark/>
          </w:tcPr>
          <w:p w14:paraId="67FB6C82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07" w:type="pct"/>
            <w:shd w:val="clear" w:color="auto" w:fill="F2C6C9"/>
            <w:noWrap/>
            <w:vAlign w:val="center"/>
            <w:hideMark/>
          </w:tcPr>
          <w:p w14:paraId="337EA167" w14:textId="6B957D1F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280 256 30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07" w:type="pct"/>
            <w:shd w:val="clear" w:color="auto" w:fill="F2C6C9"/>
            <w:noWrap/>
            <w:vAlign w:val="center"/>
            <w:hideMark/>
          </w:tcPr>
          <w:p w14:paraId="1C02AEA8" w14:textId="3621B11D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446 856 084</w:t>
            </w:r>
          </w:p>
        </w:tc>
        <w:tc>
          <w:tcPr>
            <w:tcW w:w="805" w:type="pct"/>
            <w:shd w:val="clear" w:color="auto" w:fill="F2C6C9"/>
            <w:noWrap/>
            <w:vAlign w:val="center"/>
            <w:hideMark/>
          </w:tcPr>
          <w:p w14:paraId="2DF32C63" w14:textId="7218A7FB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471 469 08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C85BAB" w:rsidRPr="003A2C05" w14:paraId="53B4619D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7E9DFB04" w14:textId="77777777" w:rsidR="00C85BAB" w:rsidRPr="003A2C05" w:rsidRDefault="00C85BAB" w:rsidP="00D762EE">
            <w:pPr>
              <w:ind w:left="57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VÝNOSY Z ČINNOSTI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0DB3B75A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28DA494" w14:textId="70316B38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276 917 42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EEF9409" w14:textId="0845242C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446 843 22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580F080B" w14:textId="1C6CEB65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471 391 954</w:t>
            </w:r>
          </w:p>
        </w:tc>
      </w:tr>
      <w:tr w:rsidR="00C85BAB" w:rsidRPr="003A2C05" w14:paraId="7F42BF52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4A11B926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Výnosy ze správních poplatků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4F8BCF9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605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57671F3" w14:textId="1FDE5982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29 602 44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BFE5AC8" w14:textId="4516620B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28 485 29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7ED8CE3" w14:textId="58A8AFDB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27 692 284</w:t>
            </w:r>
          </w:p>
        </w:tc>
      </w:tr>
      <w:tr w:rsidR="00C85BAB" w:rsidRPr="003A2C05" w14:paraId="004BBB96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3EB2AB58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Jiné výnosy z vlastních výkonů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676420DD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609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074DAC95" w14:textId="5FE5B74B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5 493 90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9E291FE" w14:textId="5533D17F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5 927 16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14078A27" w14:textId="308006B7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5 537 3</w:t>
            </w:r>
            <w:r w:rsidR="00E62921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70</w:t>
            </w:r>
          </w:p>
        </w:tc>
      </w:tr>
      <w:tr w:rsidR="00C85BAB" w:rsidRPr="003A2C05" w14:paraId="4CA22139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74680C8E" w14:textId="77777777" w:rsidR="00C85BAB" w:rsidRPr="003A2C05" w:rsidRDefault="00C85BAB" w:rsidP="00D762EE">
            <w:pPr>
              <w:ind w:left="170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Čerpání fondů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56B6A417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648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37C1DC00" w14:textId="62790068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241 653 000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2321B715" w14:textId="18A8BE2A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412 335 594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5F795441" w14:textId="727C0289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437 352 792</w:t>
            </w:r>
          </w:p>
        </w:tc>
      </w:tr>
      <w:tr w:rsidR="00C85BAB" w:rsidRPr="003A2C05" w14:paraId="54E8BF0D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02E158DC" w14:textId="77777777" w:rsidR="00C85BAB" w:rsidRPr="003A2C05" w:rsidRDefault="00C85BAB" w:rsidP="00D762EE">
            <w:pPr>
              <w:ind w:left="57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FINANČNÍ VÝNOSY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1A1A9889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095A847C" w14:textId="5A9DDBD0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74 466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09942D0" w14:textId="716CE7B9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12 8</w:t>
            </w:r>
            <w:r w:rsidR="004D5A9C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2A5277D" w14:textId="166FC578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77 126</w:t>
            </w:r>
          </w:p>
        </w:tc>
      </w:tr>
      <w:tr w:rsidR="00C85BAB" w:rsidRPr="003A2C05" w14:paraId="46021C3A" w14:textId="77777777" w:rsidTr="00157D64">
        <w:trPr>
          <w:trHeight w:val="283"/>
        </w:trPr>
        <w:tc>
          <w:tcPr>
            <w:tcW w:w="2172" w:type="pct"/>
            <w:shd w:val="clear" w:color="auto" w:fill="auto"/>
            <w:vAlign w:val="center"/>
            <w:hideMark/>
          </w:tcPr>
          <w:p w14:paraId="7FF62AFD" w14:textId="77777777" w:rsidR="00C85BAB" w:rsidRPr="003A2C05" w:rsidRDefault="00C85BAB" w:rsidP="00D762EE">
            <w:pPr>
              <w:ind w:left="57"/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VÝNOSY Z TRANSFERŮ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14:paraId="21DC20E0" w14:textId="77777777" w:rsidR="00C85BAB" w:rsidRPr="003A2C05" w:rsidRDefault="00C85BAB" w:rsidP="00D762EE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4E5F9AF" w14:textId="7C3EA03F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3 264 412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5A86CEA" w14:textId="77777777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39672BA5" w14:textId="77777777" w:rsidR="00C85BAB" w:rsidRPr="003A2C05" w:rsidRDefault="00C85BAB" w:rsidP="00D762EE">
            <w:pPr>
              <w:jc w:val="right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A2C0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</w:tr>
    </w:tbl>
    <w:p w14:paraId="495CC440" w14:textId="7E1A7939" w:rsidR="00ED46E1" w:rsidRDefault="00F84D55" w:rsidP="00D16D2C">
      <w:pPr>
        <w:pStyle w:val="Zdrojapozn"/>
        <w:spacing w:before="40"/>
        <w:ind w:left="567" w:hanging="567"/>
        <w:rPr>
          <w:rFonts w:asciiTheme="minorHAnsi" w:hAnsiTheme="minorHAnsi" w:cs="Calibri"/>
          <w:b/>
          <w:color w:val="000000"/>
        </w:rPr>
      </w:pPr>
      <w:r w:rsidRPr="007A797F">
        <w:rPr>
          <w:b/>
          <w:i w:val="0"/>
        </w:rPr>
        <w:t>Zdroj:</w:t>
      </w:r>
      <w:r w:rsidRPr="00F84D55">
        <w:rPr>
          <w:i w:val="0"/>
        </w:rPr>
        <w:tab/>
      </w:r>
      <w:r w:rsidR="00924074">
        <w:rPr>
          <w:i w:val="0"/>
        </w:rPr>
        <w:t>v</w:t>
      </w:r>
      <w:r w:rsidRPr="00F84D55">
        <w:rPr>
          <w:i w:val="0"/>
        </w:rPr>
        <w:t>ýkaz</w:t>
      </w:r>
      <w:r w:rsidR="00924074">
        <w:rPr>
          <w:i w:val="0"/>
        </w:rPr>
        <w:t>y</w:t>
      </w:r>
      <w:r w:rsidRPr="00F84D55">
        <w:rPr>
          <w:i w:val="0"/>
        </w:rPr>
        <w:t xml:space="preserve"> zisku a ztráty</w:t>
      </w:r>
      <w:r w:rsidR="00DA515B">
        <w:rPr>
          <w:i w:val="0"/>
        </w:rPr>
        <w:t xml:space="preserve"> (dále také „VZZ“)</w:t>
      </w:r>
      <w:r w:rsidRPr="00F84D55">
        <w:rPr>
          <w:i w:val="0"/>
        </w:rPr>
        <w:t xml:space="preserve"> sestaven</w:t>
      </w:r>
      <w:r w:rsidR="00924074">
        <w:rPr>
          <w:i w:val="0"/>
        </w:rPr>
        <w:t>é</w:t>
      </w:r>
      <w:r w:rsidRPr="00F84D55">
        <w:rPr>
          <w:i w:val="0"/>
        </w:rPr>
        <w:t xml:space="preserve"> za období od 1. 1. 2013 do</w:t>
      </w:r>
      <w:r w:rsidR="00DA515B">
        <w:rPr>
          <w:i w:val="0"/>
        </w:rPr>
        <w:t xml:space="preserve"> 31. 12. 2013, od 1. 1. 2014 do </w:t>
      </w:r>
      <w:r w:rsidRPr="00F84D55">
        <w:rPr>
          <w:i w:val="0"/>
        </w:rPr>
        <w:t>31. 12. 2014 a od 1. 1. 2015 do 31. 12. 2015</w:t>
      </w:r>
      <w:r w:rsidR="007A797F">
        <w:rPr>
          <w:i w:val="0"/>
        </w:rPr>
        <w:t>.</w:t>
      </w:r>
    </w:p>
    <w:p w14:paraId="3FFC8F0D" w14:textId="77777777" w:rsidR="00D762EE" w:rsidRDefault="00D762EE">
      <w:pPr>
        <w:spacing w:after="160" w:line="259" w:lineRule="auto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br w:type="page"/>
      </w:r>
    </w:p>
    <w:p w14:paraId="0F7992D2" w14:textId="20689C2D" w:rsidR="008842D0" w:rsidRPr="00D16D2C" w:rsidRDefault="008842D0" w:rsidP="00D16D2C">
      <w:pPr>
        <w:jc w:val="center"/>
        <w:rPr>
          <w:rFonts w:asciiTheme="minorHAnsi" w:hAnsiTheme="minorHAnsi" w:cs="Calibri"/>
          <w:b/>
          <w:color w:val="000000"/>
          <w:sz w:val="28"/>
        </w:rPr>
      </w:pPr>
      <w:r w:rsidRPr="00D16D2C">
        <w:rPr>
          <w:rFonts w:asciiTheme="minorHAnsi" w:hAnsiTheme="minorHAnsi" w:cs="Calibri"/>
          <w:b/>
          <w:color w:val="000000"/>
          <w:sz w:val="28"/>
        </w:rPr>
        <w:lastRenderedPageBreak/>
        <w:t>II. Shrnutí a vyhodnocení</w:t>
      </w:r>
    </w:p>
    <w:p w14:paraId="683C3F64" w14:textId="77777777" w:rsidR="00D16D2C" w:rsidRPr="00D16D2C" w:rsidRDefault="00D16D2C" w:rsidP="00D16D2C">
      <w:pPr>
        <w:jc w:val="both"/>
        <w:rPr>
          <w:rFonts w:asciiTheme="minorHAnsi" w:hAnsiTheme="minorHAnsi" w:cs="Calibri"/>
          <w:color w:val="000000"/>
        </w:rPr>
      </w:pPr>
    </w:p>
    <w:p w14:paraId="46022C79" w14:textId="77777777" w:rsidR="008842D0" w:rsidRPr="008842D0" w:rsidRDefault="008842D0" w:rsidP="00D16D2C">
      <w:pPr>
        <w:numPr>
          <w:ilvl w:val="0"/>
          <w:numId w:val="26"/>
        </w:numPr>
        <w:ind w:left="284" w:hanging="284"/>
        <w:jc w:val="both"/>
        <w:rPr>
          <w:rFonts w:asciiTheme="minorHAnsi" w:hAnsiTheme="minorHAnsi" w:cs="Calibri"/>
          <w:b/>
          <w:color w:val="000000"/>
        </w:rPr>
      </w:pPr>
      <w:r w:rsidRPr="008842D0">
        <w:rPr>
          <w:rFonts w:asciiTheme="minorHAnsi" w:hAnsiTheme="minorHAnsi" w:cs="Calibri"/>
          <w:b/>
          <w:color w:val="000000"/>
        </w:rPr>
        <w:t>Financování SÚKL z mimorozpočtových zdrojů není v souladu s právními předpisy</w:t>
      </w:r>
    </w:p>
    <w:p w14:paraId="1CB104D9" w14:textId="77777777" w:rsidR="00D16D2C" w:rsidRDefault="00D16D2C" w:rsidP="00D16D2C">
      <w:pPr>
        <w:jc w:val="both"/>
        <w:rPr>
          <w:rFonts w:asciiTheme="minorHAnsi" w:hAnsiTheme="minorHAnsi" w:cs="Calibri"/>
        </w:rPr>
      </w:pPr>
    </w:p>
    <w:p w14:paraId="5C7101E9" w14:textId="43140303" w:rsidR="008842D0" w:rsidRDefault="008842D0" w:rsidP="00362FE4">
      <w:pPr>
        <w:pStyle w:val="Odstavecseseznamem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814825">
        <w:rPr>
          <w:rFonts w:asciiTheme="minorHAnsi" w:hAnsiTheme="minorHAnsi" w:cs="Calibri"/>
        </w:rPr>
        <w:t xml:space="preserve">Kontrolou byl zjištěn </w:t>
      </w:r>
      <w:r w:rsidR="00E849BA" w:rsidRPr="00814825">
        <w:rPr>
          <w:rFonts w:asciiTheme="minorHAnsi" w:hAnsiTheme="minorHAnsi" w:cs="Calibri"/>
        </w:rPr>
        <w:t>systémový nedostatek ve způsobu financování činnosti SÚKL prostřednictvím t</w:t>
      </w:r>
      <w:r w:rsidRPr="00814825">
        <w:rPr>
          <w:rFonts w:asciiTheme="minorHAnsi" w:hAnsiTheme="minorHAnsi" w:cs="Calibri"/>
        </w:rPr>
        <w:t>vorb</w:t>
      </w:r>
      <w:r w:rsidR="00E849BA" w:rsidRPr="00814825">
        <w:rPr>
          <w:rFonts w:asciiTheme="minorHAnsi" w:hAnsiTheme="minorHAnsi" w:cs="Calibri"/>
        </w:rPr>
        <w:t>y</w:t>
      </w:r>
      <w:r w:rsidRPr="00814825">
        <w:rPr>
          <w:rFonts w:asciiTheme="minorHAnsi" w:hAnsiTheme="minorHAnsi" w:cs="Calibri"/>
        </w:rPr>
        <w:t xml:space="preserve"> a čerpání rezervního fondu z mimorozpočtových zdrojů včetně způsobu vykazování mimorozpočtových zdrojů v</w:t>
      </w:r>
      <w:r w:rsidR="00E849BA" w:rsidRPr="00814825">
        <w:rPr>
          <w:rFonts w:asciiTheme="minorHAnsi" w:hAnsiTheme="minorHAnsi" w:cs="Calibri"/>
        </w:rPr>
        <w:t> </w:t>
      </w:r>
      <w:r w:rsidRPr="00814825">
        <w:rPr>
          <w:rFonts w:asciiTheme="minorHAnsi" w:hAnsiTheme="minorHAnsi" w:cs="Calibri"/>
        </w:rPr>
        <w:t>účetnictví</w:t>
      </w:r>
      <w:r w:rsidR="00E849BA" w:rsidRPr="00814825">
        <w:rPr>
          <w:rFonts w:asciiTheme="minorHAnsi" w:hAnsiTheme="minorHAnsi" w:cs="Calibri"/>
        </w:rPr>
        <w:t xml:space="preserve">. SÚKL aplikovaný postup </w:t>
      </w:r>
      <w:r w:rsidRPr="00814825">
        <w:rPr>
          <w:rFonts w:asciiTheme="minorHAnsi" w:hAnsiTheme="minorHAnsi" w:cs="Calibri"/>
        </w:rPr>
        <w:t>nemá oporu v</w:t>
      </w:r>
      <w:r w:rsidR="00505B95" w:rsidRPr="00814825">
        <w:rPr>
          <w:rFonts w:asciiTheme="minorHAnsi" w:hAnsiTheme="minorHAnsi" w:cs="Calibri"/>
        </w:rPr>
        <w:t> </w:t>
      </w:r>
      <w:r w:rsidR="001F5949" w:rsidRPr="00814825">
        <w:rPr>
          <w:rFonts w:asciiTheme="minorHAnsi" w:hAnsiTheme="minorHAnsi" w:cs="Calibri"/>
        </w:rPr>
        <w:t>zákoně</w:t>
      </w:r>
      <w:r w:rsidR="00505B95" w:rsidRPr="00814825">
        <w:rPr>
          <w:rFonts w:asciiTheme="minorHAnsi" w:hAnsiTheme="minorHAnsi" w:cs="Calibri"/>
        </w:rPr>
        <w:t xml:space="preserve"> č.</w:t>
      </w:r>
      <w:r w:rsidR="001F5949" w:rsidRPr="00814825">
        <w:rPr>
          <w:rFonts w:asciiTheme="minorHAnsi" w:hAnsiTheme="minorHAnsi" w:cs="Calibri"/>
        </w:rPr>
        <w:t xml:space="preserve"> </w:t>
      </w:r>
      <w:r w:rsidR="0024183D" w:rsidRPr="00814825">
        <w:rPr>
          <w:rFonts w:asciiTheme="minorHAnsi" w:hAnsiTheme="minorHAnsi" w:cs="Calibri"/>
        </w:rPr>
        <w:t>378/200</w:t>
      </w:r>
      <w:r w:rsidR="00E849BA" w:rsidRPr="00814825">
        <w:rPr>
          <w:rFonts w:asciiTheme="minorHAnsi" w:hAnsiTheme="minorHAnsi" w:cs="Calibri"/>
        </w:rPr>
        <w:t>7</w:t>
      </w:r>
      <w:r w:rsidR="0024183D" w:rsidRPr="00814825">
        <w:rPr>
          <w:rFonts w:asciiTheme="minorHAnsi" w:hAnsiTheme="minorHAnsi" w:cs="Calibri"/>
        </w:rPr>
        <w:t xml:space="preserve"> Sb.</w:t>
      </w:r>
      <w:r w:rsidR="001F5949" w:rsidRPr="00814825">
        <w:rPr>
          <w:rFonts w:asciiTheme="minorHAnsi" w:hAnsiTheme="minorHAnsi" w:cs="Calibri"/>
        </w:rPr>
        <w:t xml:space="preserve">, v zákoně </w:t>
      </w:r>
      <w:r w:rsidR="0024183D" w:rsidRPr="00814825">
        <w:rPr>
          <w:rFonts w:asciiTheme="minorHAnsi" w:hAnsiTheme="minorHAnsi" w:cs="Calibri"/>
        </w:rPr>
        <w:t>č. 218/2000 Sb.</w:t>
      </w:r>
      <w:r w:rsidR="0024183D" w:rsidRPr="0007320C">
        <w:rPr>
          <w:rStyle w:val="Znakapoznpodarou"/>
          <w:rFonts w:asciiTheme="minorHAnsi" w:hAnsiTheme="minorHAnsi" w:cs="Calibri"/>
        </w:rPr>
        <w:footnoteReference w:id="5"/>
      </w:r>
      <w:r w:rsidR="0024183D" w:rsidRPr="00814825">
        <w:rPr>
          <w:rFonts w:asciiTheme="minorHAnsi" w:hAnsiTheme="minorHAnsi" w:cs="Calibri"/>
        </w:rPr>
        <w:t xml:space="preserve"> ani v</w:t>
      </w:r>
      <w:r w:rsidR="00A71E50" w:rsidRPr="00814825">
        <w:rPr>
          <w:rFonts w:asciiTheme="minorHAnsi" w:hAnsiTheme="minorHAnsi" w:cs="Calibri"/>
        </w:rPr>
        <w:t> právních předpisech pro</w:t>
      </w:r>
      <w:r w:rsidR="00362FE4">
        <w:rPr>
          <w:rFonts w:asciiTheme="minorHAnsi" w:hAnsiTheme="minorHAnsi" w:cs="Calibri"/>
        </w:rPr>
        <w:t xml:space="preserve"> </w:t>
      </w:r>
      <w:r w:rsidRPr="00814825">
        <w:rPr>
          <w:rFonts w:asciiTheme="minorHAnsi" w:hAnsiTheme="minorHAnsi" w:cs="Calibri"/>
        </w:rPr>
        <w:t>vedení účetnictví a stanovení způsobů zveře</w:t>
      </w:r>
      <w:r w:rsidR="001F5949" w:rsidRPr="00814825">
        <w:rPr>
          <w:rFonts w:asciiTheme="minorHAnsi" w:hAnsiTheme="minorHAnsi" w:cs="Calibri"/>
        </w:rPr>
        <w:t>jňování informací z účetnictví.</w:t>
      </w:r>
    </w:p>
    <w:p w14:paraId="6848737F" w14:textId="77777777" w:rsidR="00362FE4" w:rsidRPr="00362FE4" w:rsidRDefault="00362FE4" w:rsidP="00362FE4">
      <w:pPr>
        <w:jc w:val="both"/>
        <w:rPr>
          <w:rFonts w:asciiTheme="minorHAnsi" w:hAnsiTheme="minorHAnsi" w:cs="Calibri"/>
        </w:rPr>
      </w:pPr>
    </w:p>
    <w:p w14:paraId="76632D52" w14:textId="76A443B2" w:rsidR="008842D0" w:rsidRPr="00814825" w:rsidRDefault="00B9723D" w:rsidP="00362FE4">
      <w:pPr>
        <w:pStyle w:val="Odstavecseseznamem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814825">
        <w:rPr>
          <w:rFonts w:asciiTheme="minorHAnsi" w:hAnsiTheme="minorHAnsi" w:cs="Calibri"/>
        </w:rPr>
        <w:t xml:space="preserve">V </w:t>
      </w:r>
      <w:r w:rsidR="00B236B0" w:rsidRPr="00814825">
        <w:rPr>
          <w:rFonts w:asciiTheme="minorHAnsi" w:hAnsiTheme="minorHAnsi" w:cs="Calibri"/>
        </w:rPr>
        <w:t>důsledku zjištěného systémového nedostatku se mění pohled na f</w:t>
      </w:r>
      <w:r w:rsidR="008013F8" w:rsidRPr="00814825">
        <w:rPr>
          <w:rFonts w:asciiTheme="minorHAnsi" w:hAnsiTheme="minorHAnsi" w:cs="Calibri"/>
        </w:rPr>
        <w:t>in</w:t>
      </w:r>
      <w:r w:rsidR="00052711" w:rsidRPr="00814825">
        <w:rPr>
          <w:rFonts w:asciiTheme="minorHAnsi" w:hAnsiTheme="minorHAnsi" w:cs="Calibri"/>
        </w:rPr>
        <w:t>anční situaci účetní jednotky</w:t>
      </w:r>
      <w:r w:rsidR="00984D4E" w:rsidRPr="00814825">
        <w:rPr>
          <w:rFonts w:asciiTheme="minorHAnsi" w:hAnsiTheme="minorHAnsi" w:cs="Calibri"/>
        </w:rPr>
        <w:t>, je</w:t>
      </w:r>
      <w:r w:rsidR="001C294F">
        <w:rPr>
          <w:rFonts w:asciiTheme="minorHAnsi" w:hAnsiTheme="minorHAnsi" w:cs="Calibri"/>
        </w:rPr>
        <w:t xml:space="preserve"> zásadně</w:t>
      </w:r>
      <w:r w:rsidR="00984D4E" w:rsidRPr="00814825">
        <w:rPr>
          <w:rFonts w:asciiTheme="minorHAnsi" w:hAnsiTheme="minorHAnsi" w:cs="Calibri"/>
        </w:rPr>
        <w:t xml:space="preserve"> ovlivňována účetní závěrk</w:t>
      </w:r>
      <w:r w:rsidR="007514FE" w:rsidRPr="00814825">
        <w:rPr>
          <w:rFonts w:asciiTheme="minorHAnsi" w:hAnsiTheme="minorHAnsi" w:cs="Calibri"/>
        </w:rPr>
        <w:t>a</w:t>
      </w:r>
      <w:r w:rsidR="00984D4E" w:rsidRPr="00814825">
        <w:rPr>
          <w:rFonts w:asciiTheme="minorHAnsi" w:hAnsiTheme="minorHAnsi" w:cs="Calibri"/>
        </w:rPr>
        <w:t xml:space="preserve"> SÚKL</w:t>
      </w:r>
      <w:r w:rsidR="00362FE4">
        <w:rPr>
          <w:rFonts w:asciiTheme="minorHAnsi" w:hAnsiTheme="minorHAnsi" w:cs="Calibri"/>
        </w:rPr>
        <w:t>,</w:t>
      </w:r>
      <w:r w:rsidR="00984D4E" w:rsidRPr="00814825">
        <w:rPr>
          <w:rFonts w:asciiTheme="minorHAnsi" w:hAnsiTheme="minorHAnsi" w:cs="Calibri"/>
        </w:rPr>
        <w:t xml:space="preserve"> a tím je významně ovlivňován také úsudek uživatelů účetní závěrky</w:t>
      </w:r>
      <w:r w:rsidR="008013F8" w:rsidRPr="00814825">
        <w:rPr>
          <w:rFonts w:asciiTheme="minorHAnsi" w:hAnsiTheme="minorHAnsi" w:cs="Calibri"/>
        </w:rPr>
        <w:t>.</w:t>
      </w:r>
    </w:p>
    <w:p w14:paraId="5D5FC3C9" w14:textId="77777777" w:rsidR="00D16D2C" w:rsidRPr="0007320C" w:rsidRDefault="00D16D2C" w:rsidP="00D16D2C">
      <w:pPr>
        <w:jc w:val="both"/>
        <w:rPr>
          <w:rFonts w:asciiTheme="minorHAnsi" w:hAnsiTheme="minorHAnsi" w:cs="Calibri"/>
        </w:rPr>
      </w:pPr>
    </w:p>
    <w:p w14:paraId="5F3907DE" w14:textId="78810828" w:rsidR="00ED46E1" w:rsidRPr="00924074" w:rsidRDefault="00DA515B" w:rsidP="00924074">
      <w:pPr>
        <w:tabs>
          <w:tab w:val="right" w:pos="9072"/>
        </w:tabs>
        <w:spacing w:after="40"/>
        <w:jc w:val="both"/>
        <w:rPr>
          <w:rFonts w:asciiTheme="minorHAnsi" w:hAnsiTheme="minorHAnsi" w:cs="Calibri"/>
          <w:b/>
        </w:rPr>
      </w:pPr>
      <w:r w:rsidRPr="00924074">
        <w:rPr>
          <w:rFonts w:asciiTheme="minorHAnsi" w:hAnsiTheme="minorHAnsi" w:cs="Calibri"/>
          <w:b/>
        </w:rPr>
        <w:t xml:space="preserve">Tabulka č. </w:t>
      </w:r>
      <w:r w:rsidR="00924074">
        <w:rPr>
          <w:rFonts w:asciiTheme="minorHAnsi" w:hAnsiTheme="minorHAnsi" w:cs="Calibri"/>
          <w:b/>
        </w:rPr>
        <w:t>4</w:t>
      </w:r>
      <w:r w:rsidRPr="00924074">
        <w:rPr>
          <w:rFonts w:asciiTheme="minorHAnsi" w:hAnsiTheme="minorHAnsi" w:cs="Calibri"/>
          <w:b/>
        </w:rPr>
        <w:t xml:space="preserve">: Chyby v účetní závěrce v důsledku zjištěného systémového nedostatku </w:t>
      </w:r>
      <w:r w:rsidR="00924074" w:rsidRPr="00924074">
        <w:rPr>
          <w:rFonts w:asciiTheme="minorHAnsi" w:hAnsiTheme="minorHAnsi" w:cs="Calibri"/>
          <w:b/>
        </w:rPr>
        <w:tab/>
      </w:r>
      <w:r w:rsidRPr="00924074">
        <w:rPr>
          <w:rFonts w:asciiTheme="minorHAnsi" w:hAnsiTheme="minorHAnsi" w:cs="Calibri"/>
          <w:b/>
        </w:rPr>
        <w:t>(v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7"/>
        <w:gridCol w:w="1399"/>
        <w:gridCol w:w="1399"/>
        <w:gridCol w:w="1397"/>
      </w:tblGrid>
      <w:tr w:rsidR="00ED46E1" w:rsidRPr="00ED46E1" w14:paraId="6D99AF88" w14:textId="77777777" w:rsidTr="00604F05">
        <w:trPr>
          <w:trHeight w:val="227"/>
        </w:trPr>
        <w:tc>
          <w:tcPr>
            <w:tcW w:w="2685" w:type="pct"/>
            <w:shd w:val="clear" w:color="auto" w:fill="E5F1FF"/>
            <w:vAlign w:val="center"/>
            <w:hideMark/>
          </w:tcPr>
          <w:p w14:paraId="19EFA3A3" w14:textId="77777777" w:rsidR="00ED46E1" w:rsidRPr="00ED46E1" w:rsidRDefault="00ED46E1" w:rsidP="00ED46E1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ED46E1">
              <w:rPr>
                <w:b/>
                <w:sz w:val="20"/>
                <w:szCs w:val="20"/>
                <w:lang w:eastAsia="cs-CZ"/>
              </w:rPr>
              <w:t>Údaj</w:t>
            </w:r>
          </w:p>
        </w:tc>
        <w:tc>
          <w:tcPr>
            <w:tcW w:w="772" w:type="pct"/>
            <w:shd w:val="clear" w:color="auto" w:fill="E5F1FF"/>
            <w:noWrap/>
            <w:vAlign w:val="center"/>
            <w:hideMark/>
          </w:tcPr>
          <w:p w14:paraId="196559B7" w14:textId="77777777" w:rsidR="00ED46E1" w:rsidRPr="00ED46E1" w:rsidRDefault="00ED46E1" w:rsidP="00ED46E1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ED46E1">
              <w:rPr>
                <w:b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772" w:type="pct"/>
            <w:shd w:val="clear" w:color="auto" w:fill="E5F1FF"/>
            <w:noWrap/>
            <w:vAlign w:val="center"/>
            <w:hideMark/>
          </w:tcPr>
          <w:p w14:paraId="602F8F7B" w14:textId="77777777" w:rsidR="00ED46E1" w:rsidRPr="00ED46E1" w:rsidRDefault="00ED46E1" w:rsidP="00ED46E1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ED46E1">
              <w:rPr>
                <w:b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772" w:type="pct"/>
            <w:shd w:val="clear" w:color="auto" w:fill="E5F1FF"/>
            <w:noWrap/>
            <w:vAlign w:val="center"/>
            <w:hideMark/>
          </w:tcPr>
          <w:p w14:paraId="1BA03EE6" w14:textId="77777777" w:rsidR="00ED46E1" w:rsidRPr="00ED46E1" w:rsidRDefault="00ED46E1" w:rsidP="00ED46E1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ED46E1">
              <w:rPr>
                <w:b/>
                <w:sz w:val="20"/>
                <w:szCs w:val="20"/>
                <w:lang w:eastAsia="cs-CZ"/>
              </w:rPr>
              <w:t>2015</w:t>
            </w:r>
          </w:p>
        </w:tc>
      </w:tr>
      <w:tr w:rsidR="00ED46E1" w:rsidRPr="00ED46E1" w14:paraId="22A4271B" w14:textId="77777777" w:rsidTr="00604F05">
        <w:trPr>
          <w:trHeight w:val="227"/>
        </w:trPr>
        <w:tc>
          <w:tcPr>
            <w:tcW w:w="2685" w:type="pct"/>
            <w:shd w:val="clear" w:color="auto" w:fill="auto"/>
            <w:noWrap/>
            <w:vAlign w:val="center"/>
            <w:hideMark/>
          </w:tcPr>
          <w:p w14:paraId="65035174" w14:textId="2790752B" w:rsidR="00ED46E1" w:rsidRPr="00ED46E1" w:rsidRDefault="00ED46E1" w:rsidP="00ED46E1">
            <w:pPr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Podhodnocení výn</w:t>
            </w:r>
            <w:r>
              <w:rPr>
                <w:sz w:val="20"/>
                <w:szCs w:val="20"/>
                <w:lang w:eastAsia="cs-CZ"/>
              </w:rPr>
              <w:t>osů, resp. výsledku hospodaření</w:t>
            </w:r>
            <w:r w:rsidR="00DA515B">
              <w:rPr>
                <w:sz w:val="20"/>
                <w:szCs w:val="20"/>
                <w:lang w:eastAsia="cs-CZ"/>
              </w:rPr>
              <w:t xml:space="preserve"> ve VZZ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4B58CEE5" w14:textId="41BC7048" w:rsidR="00ED46E1" w:rsidRPr="00ED46E1" w:rsidRDefault="00ED46E1" w:rsidP="00DA515B">
            <w:pPr>
              <w:jc w:val="right"/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242 510 916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905F56B" w14:textId="2E781A35" w:rsidR="00ED46E1" w:rsidRPr="00ED46E1" w:rsidRDefault="00ED46E1" w:rsidP="00DA515B">
            <w:pPr>
              <w:jc w:val="right"/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24 580 465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4A4D59F" w14:textId="0F590046" w:rsidR="00ED46E1" w:rsidRPr="00ED46E1" w:rsidRDefault="00ED46E1" w:rsidP="00DA515B">
            <w:pPr>
              <w:jc w:val="right"/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14 847 933</w:t>
            </w:r>
          </w:p>
        </w:tc>
      </w:tr>
      <w:tr w:rsidR="00ED46E1" w:rsidRPr="00ED46E1" w14:paraId="6B4207FB" w14:textId="77777777" w:rsidTr="00604F05">
        <w:trPr>
          <w:trHeight w:val="227"/>
        </w:trPr>
        <w:tc>
          <w:tcPr>
            <w:tcW w:w="2685" w:type="pct"/>
            <w:shd w:val="clear" w:color="auto" w:fill="auto"/>
            <w:noWrap/>
            <w:vAlign w:val="center"/>
            <w:hideMark/>
          </w:tcPr>
          <w:p w14:paraId="0E7CF155" w14:textId="77777777" w:rsidR="00ED46E1" w:rsidRPr="00ED46E1" w:rsidRDefault="00ED46E1" w:rsidP="00ED46E1">
            <w:pPr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Zkreslení poměru vlastních a cizích zdrojů v rozvaze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6A42F808" w14:textId="02A0E4E7" w:rsidR="00ED46E1" w:rsidRPr="00ED46E1" w:rsidRDefault="00ED46E1" w:rsidP="00DA515B">
            <w:pPr>
              <w:jc w:val="right"/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360 450 284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263246EA" w14:textId="464794A3" w:rsidR="00ED46E1" w:rsidRPr="00ED46E1" w:rsidRDefault="00ED46E1" w:rsidP="00DA515B">
            <w:pPr>
              <w:jc w:val="right"/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406 338 712</w:t>
            </w:r>
          </w:p>
        </w:tc>
        <w:tc>
          <w:tcPr>
            <w:tcW w:w="772" w:type="pct"/>
            <w:shd w:val="clear" w:color="auto" w:fill="auto"/>
            <w:noWrap/>
            <w:vAlign w:val="center"/>
            <w:hideMark/>
          </w:tcPr>
          <w:p w14:paraId="71D74A15" w14:textId="334247CD" w:rsidR="00ED46E1" w:rsidRPr="00ED46E1" w:rsidRDefault="00ED46E1" w:rsidP="00DA515B">
            <w:pPr>
              <w:jc w:val="right"/>
              <w:rPr>
                <w:sz w:val="20"/>
                <w:szCs w:val="20"/>
                <w:lang w:eastAsia="cs-CZ"/>
              </w:rPr>
            </w:pPr>
            <w:r w:rsidRPr="00ED46E1">
              <w:rPr>
                <w:sz w:val="20"/>
                <w:szCs w:val="20"/>
                <w:lang w:eastAsia="cs-CZ"/>
              </w:rPr>
              <w:t>158 353 531</w:t>
            </w:r>
          </w:p>
        </w:tc>
      </w:tr>
    </w:tbl>
    <w:p w14:paraId="34755DC5" w14:textId="3190AC26" w:rsidR="00ED46E1" w:rsidRPr="00566DD8" w:rsidRDefault="00DA515B" w:rsidP="00DA515B">
      <w:pPr>
        <w:pStyle w:val="Zdroj"/>
        <w:ind w:left="567" w:hanging="567"/>
        <w:rPr>
          <w:rFonts w:asciiTheme="minorHAnsi" w:hAnsiTheme="minorHAnsi" w:cs="Calibri"/>
          <w:i w:val="0"/>
        </w:rPr>
      </w:pPr>
      <w:r w:rsidRPr="00566DD8">
        <w:rPr>
          <w:b/>
          <w:i w:val="0"/>
        </w:rPr>
        <w:t>Zdroj:</w:t>
      </w:r>
      <w:r w:rsidRPr="00566DD8">
        <w:rPr>
          <w:i w:val="0"/>
        </w:rPr>
        <w:tab/>
      </w:r>
      <w:r w:rsidR="00924074">
        <w:rPr>
          <w:i w:val="0"/>
        </w:rPr>
        <w:t>ú</w:t>
      </w:r>
      <w:r w:rsidR="009063C1" w:rsidRPr="00566DD8">
        <w:rPr>
          <w:i w:val="0"/>
        </w:rPr>
        <w:t>četní závěrk</w:t>
      </w:r>
      <w:r w:rsidR="00924074">
        <w:rPr>
          <w:i w:val="0"/>
        </w:rPr>
        <w:t>y</w:t>
      </w:r>
      <w:r w:rsidR="009063C1" w:rsidRPr="00566DD8">
        <w:rPr>
          <w:i w:val="0"/>
        </w:rPr>
        <w:t xml:space="preserve"> SÚKL</w:t>
      </w:r>
      <w:r w:rsidR="00ED46E1" w:rsidRPr="00566DD8">
        <w:rPr>
          <w:i w:val="0"/>
        </w:rPr>
        <w:t xml:space="preserve"> za </w:t>
      </w:r>
      <w:r w:rsidR="009063C1" w:rsidRPr="00566DD8">
        <w:rPr>
          <w:i w:val="0"/>
        </w:rPr>
        <w:t>roky</w:t>
      </w:r>
      <w:r w:rsidR="00ED46E1" w:rsidRPr="00566DD8">
        <w:rPr>
          <w:i w:val="0"/>
        </w:rPr>
        <w:t xml:space="preserve"> 2013 </w:t>
      </w:r>
      <w:r w:rsidR="009063C1" w:rsidRPr="00566DD8">
        <w:rPr>
          <w:i w:val="0"/>
        </w:rPr>
        <w:t xml:space="preserve">až </w:t>
      </w:r>
      <w:r w:rsidRPr="00566DD8">
        <w:rPr>
          <w:i w:val="0"/>
        </w:rPr>
        <w:t>2015</w:t>
      </w:r>
      <w:r w:rsidR="00A71E50" w:rsidRPr="00566DD8">
        <w:rPr>
          <w:i w:val="0"/>
        </w:rPr>
        <w:t>, EIS RIS</w:t>
      </w:r>
      <w:r w:rsidR="00ED46E1" w:rsidRPr="00566DD8">
        <w:rPr>
          <w:i w:val="0"/>
        </w:rPr>
        <w:t>, skutečnosti zjištěné kontrolou</w:t>
      </w:r>
      <w:r w:rsidR="00924074">
        <w:rPr>
          <w:i w:val="0"/>
        </w:rPr>
        <w:t>.</w:t>
      </w:r>
    </w:p>
    <w:p w14:paraId="21C3C2BF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705BBDF5" w14:textId="58A31EFF" w:rsidR="00303CAD" w:rsidRPr="00F30A58" w:rsidRDefault="00303CAD" w:rsidP="00D16D2C">
      <w:pPr>
        <w:numPr>
          <w:ilvl w:val="0"/>
          <w:numId w:val="26"/>
        </w:numPr>
        <w:ind w:left="284" w:hanging="284"/>
        <w:jc w:val="both"/>
        <w:rPr>
          <w:rFonts w:asciiTheme="minorHAnsi" w:hAnsiTheme="minorHAnsi" w:cs="Calibri"/>
          <w:b/>
          <w:color w:val="000000"/>
        </w:rPr>
      </w:pPr>
      <w:r w:rsidRPr="00F30A58">
        <w:rPr>
          <w:rFonts w:asciiTheme="minorHAnsi" w:hAnsiTheme="minorHAnsi" w:cs="Calibri"/>
          <w:b/>
          <w:color w:val="000000"/>
        </w:rPr>
        <w:t>H</w:t>
      </w:r>
      <w:r w:rsidR="00743C65">
        <w:rPr>
          <w:rFonts w:asciiTheme="minorHAnsi" w:hAnsiTheme="minorHAnsi" w:cs="Calibri"/>
          <w:b/>
          <w:color w:val="000000"/>
        </w:rPr>
        <w:t xml:space="preserve">ospodárnost, </w:t>
      </w:r>
      <w:r w:rsidRPr="00F30A58">
        <w:rPr>
          <w:rFonts w:asciiTheme="minorHAnsi" w:hAnsiTheme="minorHAnsi" w:cs="Calibri"/>
          <w:b/>
          <w:color w:val="000000"/>
        </w:rPr>
        <w:t>efektivnost</w:t>
      </w:r>
      <w:r w:rsidR="000B0AB0">
        <w:rPr>
          <w:rFonts w:asciiTheme="minorHAnsi" w:hAnsiTheme="minorHAnsi" w:cs="Calibri"/>
          <w:b/>
          <w:color w:val="000000"/>
        </w:rPr>
        <w:t xml:space="preserve"> a účelnost</w:t>
      </w:r>
      <w:r w:rsidR="002A3016">
        <w:rPr>
          <w:rFonts w:asciiTheme="minorHAnsi" w:hAnsiTheme="minorHAnsi" w:cs="Calibri"/>
          <w:b/>
          <w:color w:val="000000"/>
        </w:rPr>
        <w:t xml:space="preserve"> </w:t>
      </w:r>
      <w:r w:rsidR="000B0AB0">
        <w:rPr>
          <w:rFonts w:asciiTheme="minorHAnsi" w:hAnsiTheme="minorHAnsi" w:cs="Calibri"/>
          <w:b/>
          <w:color w:val="000000"/>
        </w:rPr>
        <w:t xml:space="preserve">vynakládaných </w:t>
      </w:r>
      <w:r w:rsidR="002A3016">
        <w:rPr>
          <w:rFonts w:asciiTheme="minorHAnsi" w:hAnsiTheme="minorHAnsi" w:cs="Calibri"/>
          <w:b/>
          <w:color w:val="000000"/>
        </w:rPr>
        <w:t xml:space="preserve">výdajů SÚKL </w:t>
      </w:r>
      <w:r w:rsidRPr="00F30A58">
        <w:rPr>
          <w:rFonts w:asciiTheme="minorHAnsi" w:hAnsiTheme="minorHAnsi" w:cs="Calibri"/>
          <w:b/>
          <w:color w:val="000000"/>
        </w:rPr>
        <w:t>nebyl</w:t>
      </w:r>
      <w:r w:rsidR="002A3016">
        <w:rPr>
          <w:rFonts w:asciiTheme="minorHAnsi" w:hAnsiTheme="minorHAnsi" w:cs="Calibri"/>
          <w:b/>
          <w:color w:val="000000"/>
        </w:rPr>
        <w:t>y</w:t>
      </w:r>
      <w:r w:rsidRPr="00F30A58">
        <w:rPr>
          <w:rFonts w:asciiTheme="minorHAnsi" w:hAnsiTheme="minorHAnsi" w:cs="Calibri"/>
          <w:b/>
          <w:color w:val="000000"/>
        </w:rPr>
        <w:t xml:space="preserve"> ze strany </w:t>
      </w:r>
      <w:proofErr w:type="spellStart"/>
      <w:r w:rsidRPr="00F30A58">
        <w:rPr>
          <w:rFonts w:asciiTheme="minorHAnsi" w:hAnsiTheme="minorHAnsi" w:cs="Calibri"/>
          <w:b/>
          <w:color w:val="000000"/>
        </w:rPr>
        <w:t>MZ</w:t>
      </w:r>
      <w:r w:rsidR="009B434B">
        <w:rPr>
          <w:rFonts w:asciiTheme="minorHAnsi" w:hAnsiTheme="minorHAnsi" w:cs="Calibri"/>
          <w:b/>
          <w:color w:val="000000"/>
        </w:rPr>
        <w:t>d</w:t>
      </w:r>
      <w:proofErr w:type="spellEnd"/>
      <w:r w:rsidRPr="00F30A58">
        <w:rPr>
          <w:rFonts w:asciiTheme="minorHAnsi" w:hAnsiTheme="minorHAnsi" w:cs="Calibri"/>
          <w:b/>
          <w:color w:val="000000"/>
        </w:rPr>
        <w:t xml:space="preserve"> </w:t>
      </w:r>
      <w:r w:rsidR="000B0AB0">
        <w:rPr>
          <w:rFonts w:asciiTheme="minorHAnsi" w:hAnsiTheme="minorHAnsi" w:cs="Calibri"/>
          <w:b/>
          <w:color w:val="000000"/>
        </w:rPr>
        <w:t xml:space="preserve">sledovány a </w:t>
      </w:r>
      <w:r>
        <w:rPr>
          <w:rFonts w:asciiTheme="minorHAnsi" w:hAnsiTheme="minorHAnsi" w:cs="Calibri"/>
          <w:b/>
          <w:color w:val="000000"/>
        </w:rPr>
        <w:t>vyhodnocovány</w:t>
      </w:r>
    </w:p>
    <w:p w14:paraId="3C925884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0A934310" w14:textId="78CB1C8D" w:rsidR="00303CAD" w:rsidRPr="00814825" w:rsidRDefault="00303CAD" w:rsidP="00362FE4">
      <w:pPr>
        <w:pStyle w:val="Odstavecseseznamem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  <w:b/>
          <w:color w:val="000000"/>
        </w:rPr>
      </w:pPr>
      <w:proofErr w:type="spellStart"/>
      <w:r w:rsidRPr="00814825">
        <w:rPr>
          <w:rFonts w:asciiTheme="minorHAnsi" w:hAnsiTheme="minorHAnsi" w:cs="Calibri"/>
          <w:color w:val="000000"/>
        </w:rPr>
        <w:t>MZ</w:t>
      </w:r>
      <w:r w:rsidR="009B434B" w:rsidRPr="00814825">
        <w:rPr>
          <w:rFonts w:asciiTheme="minorHAnsi" w:hAnsiTheme="minorHAnsi" w:cs="Calibri"/>
          <w:color w:val="000000"/>
        </w:rPr>
        <w:t>d</w:t>
      </w:r>
      <w:proofErr w:type="spellEnd"/>
      <w:r w:rsidRPr="00814825">
        <w:rPr>
          <w:rFonts w:asciiTheme="minorHAnsi" w:hAnsiTheme="minorHAnsi" w:cs="Calibri"/>
          <w:color w:val="000000"/>
        </w:rPr>
        <w:t xml:space="preserve"> nepostupovalo v souladu s ustanovením § 39 odst.</w:t>
      </w:r>
      <w:r w:rsidR="00362FE4">
        <w:rPr>
          <w:rFonts w:asciiTheme="minorHAnsi" w:hAnsiTheme="minorHAnsi" w:cs="Calibri"/>
          <w:color w:val="000000"/>
        </w:rPr>
        <w:t xml:space="preserve"> 3 zákona č. 218/2000 Sb., když </w:t>
      </w:r>
      <w:r w:rsidRPr="00814825">
        <w:rPr>
          <w:rFonts w:asciiTheme="minorHAnsi" w:hAnsiTheme="minorHAnsi" w:cs="Calibri"/>
          <w:color w:val="000000"/>
        </w:rPr>
        <w:t xml:space="preserve">v letech 2013 až 2015 nesledovalo a nevyhodnocovalo hospodárnost, efektivnost a účelnost vynakládání výdajů u SÚKL. Jedná se o systémový nedostatek, neboť vzhledem k nastavenému systému hospodaření SÚKL s náhradami výdajů za provedené odborné úkony podle § 112 zákona č. 378/2007 Sb. </w:t>
      </w:r>
      <w:proofErr w:type="spellStart"/>
      <w:r w:rsidRPr="00814825">
        <w:rPr>
          <w:rFonts w:asciiTheme="minorHAnsi" w:hAnsiTheme="minorHAnsi" w:cs="Calibri"/>
          <w:color w:val="000000"/>
        </w:rPr>
        <w:t>MZ</w:t>
      </w:r>
      <w:r w:rsidR="009B434B" w:rsidRPr="00814825">
        <w:rPr>
          <w:rFonts w:asciiTheme="minorHAnsi" w:hAnsiTheme="minorHAnsi" w:cs="Calibri"/>
          <w:color w:val="000000"/>
        </w:rPr>
        <w:t>d</w:t>
      </w:r>
      <w:proofErr w:type="spellEnd"/>
      <w:r w:rsidR="00362FE4">
        <w:rPr>
          <w:rFonts w:asciiTheme="minorHAnsi" w:hAnsiTheme="minorHAnsi" w:cs="Calibri"/>
          <w:color w:val="000000"/>
        </w:rPr>
        <w:t xml:space="preserve"> </w:t>
      </w:r>
      <w:r w:rsidRPr="00814825">
        <w:rPr>
          <w:rFonts w:asciiTheme="minorHAnsi" w:hAnsiTheme="minorHAnsi" w:cs="Calibri"/>
          <w:color w:val="000000"/>
        </w:rPr>
        <w:t xml:space="preserve">nedisponuje kontrolou nad využitím peněžních prostředků </w:t>
      </w:r>
      <w:r w:rsidR="00063E74" w:rsidRPr="00814825">
        <w:rPr>
          <w:rFonts w:asciiTheme="minorHAnsi" w:hAnsiTheme="minorHAnsi" w:cs="Calibri"/>
          <w:color w:val="000000"/>
        </w:rPr>
        <w:t xml:space="preserve">převedených </w:t>
      </w:r>
      <w:r w:rsidRPr="00814825">
        <w:rPr>
          <w:rFonts w:asciiTheme="minorHAnsi" w:hAnsiTheme="minorHAnsi" w:cs="Calibri"/>
          <w:color w:val="000000"/>
        </w:rPr>
        <w:t>ze zvláštního účtu na</w:t>
      </w:r>
      <w:r w:rsidR="00362FE4">
        <w:rPr>
          <w:rFonts w:asciiTheme="minorHAnsi" w:hAnsiTheme="minorHAnsi" w:cs="Calibri"/>
          <w:color w:val="000000"/>
        </w:rPr>
        <w:t xml:space="preserve"> </w:t>
      </w:r>
      <w:r w:rsidRPr="00814825">
        <w:rPr>
          <w:rFonts w:asciiTheme="minorHAnsi" w:hAnsiTheme="minorHAnsi" w:cs="Calibri"/>
          <w:color w:val="000000"/>
        </w:rPr>
        <w:t>příjmový účet SÚKL</w:t>
      </w:r>
      <w:r w:rsidRPr="00814825">
        <w:rPr>
          <w:rFonts w:asciiTheme="minorHAnsi" w:hAnsiTheme="minorHAnsi" w:cs="Calibri"/>
          <w:b/>
          <w:color w:val="000000"/>
        </w:rPr>
        <w:t>.</w:t>
      </w:r>
    </w:p>
    <w:p w14:paraId="345BD0F4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4E807562" w14:textId="77777777" w:rsidR="008842D0" w:rsidRPr="008842D0" w:rsidRDefault="008842D0" w:rsidP="00D16D2C">
      <w:pPr>
        <w:numPr>
          <w:ilvl w:val="0"/>
          <w:numId w:val="26"/>
        </w:numPr>
        <w:ind w:left="284" w:hanging="284"/>
        <w:jc w:val="both"/>
        <w:rPr>
          <w:rFonts w:asciiTheme="minorHAnsi" w:hAnsiTheme="minorHAnsi" w:cs="Calibri"/>
          <w:b/>
          <w:color w:val="000000"/>
        </w:rPr>
      </w:pPr>
      <w:r w:rsidRPr="008842D0">
        <w:rPr>
          <w:rFonts w:asciiTheme="minorHAnsi" w:hAnsiTheme="minorHAnsi" w:cs="Calibri"/>
          <w:b/>
          <w:color w:val="000000"/>
        </w:rPr>
        <w:t xml:space="preserve">Informační systémy SÚKL byly </w:t>
      </w:r>
      <w:r w:rsidR="0014173A">
        <w:rPr>
          <w:rFonts w:asciiTheme="minorHAnsi" w:hAnsiTheme="minorHAnsi" w:cs="Calibri"/>
          <w:b/>
          <w:color w:val="000000"/>
        </w:rPr>
        <w:t xml:space="preserve">budovány a </w:t>
      </w:r>
      <w:r w:rsidRPr="008842D0">
        <w:rPr>
          <w:rFonts w:asciiTheme="minorHAnsi" w:hAnsiTheme="minorHAnsi" w:cs="Calibri"/>
          <w:b/>
          <w:color w:val="000000"/>
        </w:rPr>
        <w:t>řízeny nekoncepčně</w:t>
      </w:r>
    </w:p>
    <w:p w14:paraId="004E273B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31240FC3" w14:textId="2A1991BF" w:rsidR="008842D0" w:rsidRPr="00814825" w:rsidRDefault="008842D0" w:rsidP="00362FE4">
      <w:pPr>
        <w:pStyle w:val="Odstavecseseznamem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814825">
        <w:rPr>
          <w:rFonts w:asciiTheme="minorHAnsi" w:hAnsiTheme="minorHAnsi" w:cs="Calibri"/>
        </w:rPr>
        <w:t xml:space="preserve">SÚKL </w:t>
      </w:r>
      <w:r w:rsidR="00362FE4" w:rsidRPr="00814825">
        <w:rPr>
          <w:rFonts w:asciiTheme="minorHAnsi" w:hAnsiTheme="minorHAnsi" w:cs="Calibri"/>
        </w:rPr>
        <w:t xml:space="preserve">neměl </w:t>
      </w:r>
      <w:r w:rsidRPr="00814825">
        <w:rPr>
          <w:rFonts w:asciiTheme="minorHAnsi" w:hAnsiTheme="minorHAnsi" w:cs="Calibri"/>
        </w:rPr>
        <w:t>v kontrolovaném období</w:t>
      </w:r>
      <w:r w:rsidR="00E602EC">
        <w:rPr>
          <w:rFonts w:asciiTheme="minorHAnsi" w:hAnsiTheme="minorHAnsi" w:cs="Calibri"/>
        </w:rPr>
        <w:t xml:space="preserve"> ani</w:t>
      </w:r>
      <w:r w:rsidRPr="00814825">
        <w:rPr>
          <w:rFonts w:asciiTheme="minorHAnsi" w:hAnsiTheme="minorHAnsi" w:cs="Calibri"/>
        </w:rPr>
        <w:t xml:space="preserve"> v období předc</w:t>
      </w:r>
      <w:r w:rsidR="00A71E50" w:rsidRPr="00814825">
        <w:rPr>
          <w:rFonts w:asciiTheme="minorHAnsi" w:hAnsiTheme="minorHAnsi" w:cs="Calibri"/>
        </w:rPr>
        <w:t>házejícím vypracovanou a </w:t>
      </w:r>
      <w:r w:rsidRPr="00814825">
        <w:rPr>
          <w:rFonts w:asciiTheme="minorHAnsi" w:hAnsiTheme="minorHAnsi" w:cs="Calibri"/>
        </w:rPr>
        <w:t xml:space="preserve">schválenou platnou </w:t>
      </w:r>
      <w:r w:rsidR="007514FE" w:rsidRPr="00814825">
        <w:rPr>
          <w:rFonts w:asciiTheme="minorHAnsi" w:hAnsiTheme="minorHAnsi" w:cs="Calibri"/>
        </w:rPr>
        <w:t>i</w:t>
      </w:r>
      <w:r w:rsidRPr="00814825">
        <w:rPr>
          <w:rFonts w:asciiTheme="minorHAnsi" w:hAnsiTheme="minorHAnsi" w:cs="Calibri"/>
        </w:rPr>
        <w:t>nformační koncepci</w:t>
      </w:r>
      <w:r w:rsidR="00566DD8">
        <w:rPr>
          <w:rFonts w:asciiTheme="minorHAnsi" w:hAnsiTheme="minorHAnsi" w:cs="Calibri"/>
        </w:rPr>
        <w:t xml:space="preserve">, </w:t>
      </w:r>
      <w:r w:rsidRPr="00814825">
        <w:rPr>
          <w:rFonts w:asciiTheme="minorHAnsi" w:hAnsiTheme="minorHAnsi" w:cs="Calibri"/>
        </w:rPr>
        <w:t>ani</w:t>
      </w:r>
      <w:r w:rsidR="00362FE4">
        <w:rPr>
          <w:rFonts w:asciiTheme="minorHAnsi" w:hAnsiTheme="minorHAnsi" w:cs="Calibri"/>
        </w:rPr>
        <w:t xml:space="preserve"> </w:t>
      </w:r>
      <w:r w:rsidRPr="00814825">
        <w:rPr>
          <w:rFonts w:asciiTheme="minorHAnsi" w:hAnsiTheme="minorHAnsi" w:cs="Calibri"/>
        </w:rPr>
        <w:t>žádný jiný strategický dokument, podle kterého by byly budovány a řízeny v SÚKL informační systémy veřejné správy</w:t>
      </w:r>
      <w:r w:rsidR="00CC4D18" w:rsidRPr="00814825">
        <w:rPr>
          <w:rFonts w:asciiTheme="minorHAnsi" w:hAnsiTheme="minorHAnsi" w:cs="Calibri"/>
        </w:rPr>
        <w:t xml:space="preserve"> (dále také „ISVS“</w:t>
      </w:r>
      <w:r w:rsidR="00362FE4">
        <w:rPr>
          <w:rFonts w:asciiTheme="minorHAnsi" w:hAnsiTheme="minorHAnsi" w:cs="Calibri"/>
        </w:rPr>
        <w:t>)</w:t>
      </w:r>
      <w:r w:rsidR="00871FCC" w:rsidRPr="00814825">
        <w:rPr>
          <w:rFonts w:asciiTheme="minorHAnsi" w:hAnsiTheme="minorHAnsi" w:cs="Calibri"/>
        </w:rPr>
        <w:t>, čímž</w:t>
      </w:r>
      <w:r w:rsidR="00362FE4">
        <w:rPr>
          <w:rFonts w:asciiTheme="minorHAnsi" w:hAnsiTheme="minorHAnsi" w:cs="Calibri"/>
        </w:rPr>
        <w:t xml:space="preserve"> </w:t>
      </w:r>
      <w:r w:rsidR="00871FCC" w:rsidRPr="00814825">
        <w:rPr>
          <w:rFonts w:asciiTheme="minorHAnsi" w:hAnsiTheme="minorHAnsi" w:cs="Calibri"/>
        </w:rPr>
        <w:t>SÚKL nesplnil povinnosti uložené zákonem č. 365/2000 Sb.</w:t>
      </w:r>
      <w:r w:rsidR="00871FCC" w:rsidRPr="0007320C">
        <w:rPr>
          <w:rStyle w:val="Znakapoznpodarou"/>
          <w:rFonts w:asciiTheme="minorHAnsi" w:hAnsiTheme="minorHAnsi" w:cs="Calibri"/>
        </w:rPr>
        <w:footnoteReference w:id="6"/>
      </w:r>
      <w:r w:rsidR="00A71E50" w:rsidRPr="00814825">
        <w:rPr>
          <w:rFonts w:asciiTheme="minorHAnsi" w:hAnsiTheme="minorHAnsi" w:cs="Calibri"/>
        </w:rPr>
        <w:t xml:space="preserve"> a</w:t>
      </w:r>
      <w:r w:rsidR="00362FE4">
        <w:rPr>
          <w:rFonts w:asciiTheme="minorHAnsi" w:hAnsiTheme="minorHAnsi" w:cs="Calibri"/>
        </w:rPr>
        <w:t> </w:t>
      </w:r>
      <w:r w:rsidR="00A71E50" w:rsidRPr="00814825">
        <w:rPr>
          <w:rFonts w:asciiTheme="minorHAnsi" w:hAnsiTheme="minorHAnsi" w:cs="Calibri"/>
        </w:rPr>
        <w:t>vyhláškou č. </w:t>
      </w:r>
      <w:r w:rsidR="00871FCC" w:rsidRPr="00814825">
        <w:rPr>
          <w:rFonts w:asciiTheme="minorHAnsi" w:hAnsiTheme="minorHAnsi" w:cs="Calibri"/>
        </w:rPr>
        <w:t>529/2006 Sb.</w:t>
      </w:r>
      <w:r w:rsidR="00871FCC" w:rsidRPr="0007320C">
        <w:rPr>
          <w:rStyle w:val="Znakapoznpodarou"/>
          <w:rFonts w:asciiTheme="minorHAnsi" w:hAnsiTheme="minorHAnsi" w:cs="Calibri"/>
        </w:rPr>
        <w:footnoteReference w:id="7"/>
      </w:r>
      <w:r w:rsidR="00871FCC" w:rsidRPr="00814825">
        <w:rPr>
          <w:rFonts w:asciiTheme="minorHAnsi" w:hAnsiTheme="minorHAnsi" w:cs="Calibri"/>
        </w:rPr>
        <w:t xml:space="preserve"> </w:t>
      </w:r>
      <w:r w:rsidRPr="00814825">
        <w:rPr>
          <w:rFonts w:asciiTheme="minorHAnsi" w:hAnsiTheme="minorHAnsi" w:cs="Calibri"/>
        </w:rPr>
        <w:t xml:space="preserve">SÚKL </w:t>
      </w:r>
      <w:r w:rsidR="003A14A9" w:rsidRPr="00814825">
        <w:rPr>
          <w:rFonts w:asciiTheme="minorHAnsi" w:hAnsiTheme="minorHAnsi" w:cs="Calibri"/>
        </w:rPr>
        <w:t xml:space="preserve">do </w:t>
      </w:r>
      <w:r w:rsidR="00520E19" w:rsidRPr="00814825">
        <w:rPr>
          <w:rFonts w:asciiTheme="minorHAnsi" w:hAnsiTheme="minorHAnsi" w:cs="Calibri"/>
        </w:rPr>
        <w:t>22</w:t>
      </w:r>
      <w:r w:rsidR="003A14A9" w:rsidRPr="00814825">
        <w:rPr>
          <w:rFonts w:asciiTheme="minorHAnsi" w:hAnsiTheme="minorHAnsi" w:cs="Calibri"/>
        </w:rPr>
        <w:t>. 4. 2015</w:t>
      </w:r>
      <w:r w:rsidRPr="00814825">
        <w:rPr>
          <w:rFonts w:asciiTheme="minorHAnsi" w:hAnsiTheme="minorHAnsi" w:cs="Calibri"/>
        </w:rPr>
        <w:t xml:space="preserve"> vytvářel, rozvíjel, spravoval a provozoval informační systémy veřejné správy bez informační koncepce, která by </w:t>
      </w:r>
      <w:r w:rsidR="00A71E50" w:rsidRPr="00814825">
        <w:rPr>
          <w:rFonts w:asciiTheme="minorHAnsi" w:hAnsiTheme="minorHAnsi" w:cs="Calibri"/>
        </w:rPr>
        <w:t>zajišťovala zejména koncepční a </w:t>
      </w:r>
      <w:r w:rsidRPr="00814825">
        <w:rPr>
          <w:rFonts w:asciiTheme="minorHAnsi" w:hAnsiTheme="minorHAnsi" w:cs="Calibri"/>
        </w:rPr>
        <w:t>systematický přístup k budování informačních systémů. SÚKL neměl ani ucelenou koncepci a strat</w:t>
      </w:r>
      <w:r w:rsidR="00882956" w:rsidRPr="00814825">
        <w:rPr>
          <w:rFonts w:asciiTheme="minorHAnsi" w:hAnsiTheme="minorHAnsi" w:cs="Calibri"/>
        </w:rPr>
        <w:t>egii v oblasti řízení kvality informačních systémů (dále také „IS“)</w:t>
      </w:r>
      <w:r w:rsidRPr="00814825">
        <w:rPr>
          <w:rFonts w:asciiTheme="minorHAnsi" w:hAnsiTheme="minorHAnsi" w:cs="Calibri"/>
        </w:rPr>
        <w:t xml:space="preserve"> a </w:t>
      </w:r>
      <w:r w:rsidR="00882956" w:rsidRPr="00814825">
        <w:rPr>
          <w:rFonts w:asciiTheme="minorHAnsi" w:hAnsiTheme="minorHAnsi" w:cs="Calibri"/>
        </w:rPr>
        <w:t>informačních a komunikačních technologií (dále také „ICT“) včetně jejich</w:t>
      </w:r>
      <w:r w:rsidRPr="00814825">
        <w:rPr>
          <w:rFonts w:asciiTheme="minorHAnsi" w:hAnsiTheme="minorHAnsi" w:cs="Calibri"/>
        </w:rPr>
        <w:t xml:space="preserve"> dat.</w:t>
      </w:r>
    </w:p>
    <w:p w14:paraId="49985255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4F7D798A" w14:textId="77777777" w:rsidR="008842D0" w:rsidRPr="00E771FA" w:rsidRDefault="00E771FA" w:rsidP="00D16D2C">
      <w:pPr>
        <w:numPr>
          <w:ilvl w:val="0"/>
          <w:numId w:val="26"/>
        </w:numPr>
        <w:ind w:left="284" w:hanging="284"/>
        <w:jc w:val="both"/>
        <w:rPr>
          <w:rFonts w:asciiTheme="minorHAnsi" w:hAnsiTheme="minorHAnsi" w:cs="Calibri"/>
          <w:b/>
          <w:spacing w:val="-2"/>
        </w:rPr>
      </w:pPr>
      <w:r w:rsidRPr="00E771FA">
        <w:rPr>
          <w:rFonts w:asciiTheme="minorHAnsi" w:hAnsiTheme="minorHAnsi" w:cs="Calibri"/>
          <w:b/>
          <w:spacing w:val="-2"/>
        </w:rPr>
        <w:lastRenderedPageBreak/>
        <w:t>Postup b</w:t>
      </w:r>
      <w:r w:rsidR="00CC4D18" w:rsidRPr="00E771FA">
        <w:rPr>
          <w:rFonts w:asciiTheme="minorHAnsi" w:hAnsiTheme="minorHAnsi" w:cs="Calibri"/>
          <w:b/>
          <w:spacing w:val="-2"/>
        </w:rPr>
        <w:t xml:space="preserve">udování </w:t>
      </w:r>
      <w:r w:rsidR="00CC4D18" w:rsidRPr="000E4E11">
        <w:rPr>
          <w:rFonts w:asciiTheme="minorHAnsi" w:hAnsiTheme="minorHAnsi" w:cs="Calibri"/>
          <w:b/>
          <w:i/>
          <w:spacing w:val="-2"/>
        </w:rPr>
        <w:t>Centrálního úložiště elektronických receptů</w:t>
      </w:r>
      <w:r w:rsidR="008842D0" w:rsidRPr="00E771FA">
        <w:rPr>
          <w:rFonts w:asciiTheme="minorHAnsi" w:hAnsiTheme="minorHAnsi" w:cs="Calibri"/>
          <w:b/>
          <w:spacing w:val="-2"/>
        </w:rPr>
        <w:t xml:space="preserve"> nelze považovat za efektivní</w:t>
      </w:r>
    </w:p>
    <w:p w14:paraId="52318EE7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2C4CDB8F" w14:textId="144C45E0" w:rsidR="00F0086D" w:rsidRDefault="00F0086D" w:rsidP="00604F05">
      <w:pPr>
        <w:pStyle w:val="Odstavecseseznamem"/>
        <w:numPr>
          <w:ilvl w:val="0"/>
          <w:numId w:val="49"/>
        </w:numPr>
        <w:tabs>
          <w:tab w:val="left" w:pos="284"/>
        </w:tabs>
        <w:ind w:left="0" w:firstLine="0"/>
        <w:contextualSpacing w:val="0"/>
        <w:jc w:val="both"/>
        <w:rPr>
          <w:rFonts w:asciiTheme="minorHAnsi" w:hAnsiTheme="minorHAnsi" w:cs="Calibri"/>
        </w:rPr>
      </w:pPr>
      <w:r w:rsidRPr="0007320C">
        <w:rPr>
          <w:rFonts w:asciiTheme="minorHAnsi" w:hAnsiTheme="minorHAnsi" w:cs="Calibri"/>
        </w:rPr>
        <w:t>SÚKL budoval CÚER bez investičního záměru, studie proveditelnosti či jiného obdobného dokumentu. Současně SÚKL vytvářel, rozvíjel</w:t>
      </w:r>
      <w:r w:rsidR="00B31B45" w:rsidRPr="0007320C">
        <w:rPr>
          <w:rFonts w:asciiTheme="minorHAnsi" w:hAnsiTheme="minorHAnsi" w:cs="Calibri"/>
        </w:rPr>
        <w:t>,</w:t>
      </w:r>
      <w:r w:rsidRPr="0007320C">
        <w:rPr>
          <w:rFonts w:asciiTheme="minorHAnsi" w:hAnsiTheme="minorHAnsi" w:cs="Calibri"/>
        </w:rPr>
        <w:t xml:space="preserve"> provozoval</w:t>
      </w:r>
      <w:r w:rsidR="00B31B45" w:rsidRPr="0007320C">
        <w:rPr>
          <w:rFonts w:asciiTheme="minorHAnsi" w:hAnsiTheme="minorHAnsi" w:cs="Calibri"/>
        </w:rPr>
        <w:t xml:space="preserve"> a spravoval ISVS CÚER do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května 2015 bez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informační koncepce a provozní dokumentace,</w:t>
      </w:r>
      <w:r w:rsidR="00604F05">
        <w:rPr>
          <w:rFonts w:asciiTheme="minorHAnsi" w:hAnsiTheme="minorHAnsi" w:cs="Calibri"/>
        </w:rPr>
        <w:t xml:space="preserve"> čímž nepostupoval v souladu se </w:t>
      </w:r>
      <w:r w:rsidRPr="0007320C">
        <w:rPr>
          <w:rFonts w:asciiTheme="minorHAnsi" w:hAnsiTheme="minorHAnsi" w:cs="Calibri"/>
        </w:rPr>
        <w:t>zákonem č. 365/2000 Sb. a vyhláškou č. 529/2006 Sb.</w:t>
      </w:r>
    </w:p>
    <w:p w14:paraId="4D21504E" w14:textId="77777777" w:rsidR="00604F05" w:rsidRPr="00604F05" w:rsidRDefault="00604F05" w:rsidP="00604F05">
      <w:pPr>
        <w:tabs>
          <w:tab w:val="left" w:pos="284"/>
        </w:tabs>
        <w:jc w:val="both"/>
        <w:rPr>
          <w:rFonts w:asciiTheme="minorHAnsi" w:hAnsiTheme="minorHAnsi" w:cs="Calibri"/>
        </w:rPr>
      </w:pPr>
    </w:p>
    <w:p w14:paraId="34300727" w14:textId="7BB82191" w:rsidR="008842D0" w:rsidRDefault="00D967DF" w:rsidP="00604F05">
      <w:pPr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07320C">
        <w:rPr>
          <w:rFonts w:asciiTheme="minorHAnsi" w:hAnsiTheme="minorHAnsi" w:cs="Calibri"/>
        </w:rPr>
        <w:t>SÚKL v</w:t>
      </w:r>
      <w:r w:rsidR="008842D0" w:rsidRPr="0007320C">
        <w:rPr>
          <w:rFonts w:asciiTheme="minorHAnsi" w:hAnsiTheme="minorHAnsi" w:cs="Calibri"/>
        </w:rPr>
        <w:t xml:space="preserve"> období let 2007 až 2016 </w:t>
      </w:r>
      <w:r w:rsidR="003A14A9" w:rsidRPr="0007320C">
        <w:rPr>
          <w:rFonts w:asciiTheme="minorHAnsi" w:hAnsiTheme="minorHAnsi" w:cs="Calibri"/>
        </w:rPr>
        <w:t>vynaložil</w:t>
      </w:r>
      <w:r w:rsidR="008842D0" w:rsidRPr="0007320C">
        <w:rPr>
          <w:rFonts w:asciiTheme="minorHAnsi" w:hAnsiTheme="minorHAnsi" w:cs="Calibri"/>
        </w:rPr>
        <w:t xml:space="preserve"> v souvislosti s</w:t>
      </w:r>
      <w:r w:rsidR="00604F05">
        <w:rPr>
          <w:rFonts w:asciiTheme="minorHAnsi" w:hAnsiTheme="minorHAnsi" w:cs="Calibri"/>
        </w:rPr>
        <w:t> </w:t>
      </w:r>
      <w:r w:rsidR="00771A3D" w:rsidRPr="0007320C">
        <w:rPr>
          <w:rFonts w:asciiTheme="minorHAnsi" w:hAnsiTheme="minorHAnsi" w:cs="Calibri"/>
        </w:rPr>
        <w:t>budováním</w:t>
      </w:r>
      <w:r w:rsidR="00604F05">
        <w:rPr>
          <w:rFonts w:asciiTheme="minorHAnsi" w:hAnsiTheme="minorHAnsi" w:cs="Calibri"/>
        </w:rPr>
        <w:t xml:space="preserve"> </w:t>
      </w:r>
      <w:r w:rsidR="008842D0" w:rsidRPr="0007320C">
        <w:rPr>
          <w:rFonts w:asciiTheme="minorHAnsi" w:hAnsiTheme="minorHAnsi" w:cs="Calibri"/>
        </w:rPr>
        <w:t>CÚER a</w:t>
      </w:r>
      <w:r w:rsidR="00771A3D" w:rsidRPr="0007320C">
        <w:rPr>
          <w:rFonts w:asciiTheme="minorHAnsi" w:hAnsiTheme="minorHAnsi" w:cs="Calibri"/>
        </w:rPr>
        <w:t> sdílené</w:t>
      </w:r>
      <w:r w:rsidR="008842D0" w:rsidRPr="0007320C">
        <w:rPr>
          <w:rFonts w:asciiTheme="minorHAnsi" w:hAnsiTheme="minorHAnsi" w:cs="Calibri"/>
        </w:rPr>
        <w:t xml:space="preserve"> informační a komunikační infrastruktury pro provoz informačních systémů peněžní prostředky mini</w:t>
      </w:r>
      <w:r w:rsidR="00771A3D" w:rsidRPr="0007320C">
        <w:rPr>
          <w:rFonts w:asciiTheme="minorHAnsi" w:hAnsiTheme="minorHAnsi" w:cs="Calibri"/>
        </w:rPr>
        <w:t>málně ve výši 317 660 609 Kč.</w:t>
      </w:r>
    </w:p>
    <w:p w14:paraId="61ECC31E" w14:textId="77777777" w:rsidR="00604F05" w:rsidRPr="0007320C" w:rsidRDefault="00604F05" w:rsidP="00604F05">
      <w:pPr>
        <w:tabs>
          <w:tab w:val="left" w:pos="284"/>
        </w:tabs>
        <w:jc w:val="both"/>
        <w:rPr>
          <w:rFonts w:asciiTheme="minorHAnsi" w:hAnsiTheme="minorHAnsi" w:cs="Calibri"/>
        </w:rPr>
      </w:pPr>
    </w:p>
    <w:p w14:paraId="318F29FA" w14:textId="3287E32B" w:rsidR="008842D0" w:rsidRDefault="00D967DF" w:rsidP="00604F05">
      <w:pPr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07320C">
        <w:rPr>
          <w:rFonts w:asciiTheme="minorHAnsi" w:hAnsiTheme="minorHAnsi" w:cs="Calibri"/>
        </w:rPr>
        <w:t>Pro</w:t>
      </w:r>
      <w:r w:rsidR="00604F05">
        <w:rPr>
          <w:rFonts w:asciiTheme="minorHAnsi" w:hAnsiTheme="minorHAnsi" w:cs="Calibri"/>
        </w:rPr>
        <w:t xml:space="preserve"> </w:t>
      </w:r>
      <w:r w:rsidR="008842D0" w:rsidRPr="0007320C">
        <w:rPr>
          <w:rFonts w:asciiTheme="minorHAnsi" w:hAnsiTheme="minorHAnsi" w:cs="Calibri"/>
        </w:rPr>
        <w:t>období let 2017 až 2020 lze očekávat</w:t>
      </w:r>
      <w:r w:rsidR="008605B6">
        <w:rPr>
          <w:rFonts w:asciiTheme="minorHAnsi" w:hAnsiTheme="minorHAnsi" w:cs="Calibri"/>
        </w:rPr>
        <w:t xml:space="preserve"> na základě</w:t>
      </w:r>
      <w:r w:rsidR="00A71E50">
        <w:rPr>
          <w:rFonts w:asciiTheme="minorHAnsi" w:hAnsiTheme="minorHAnsi" w:cs="Calibri"/>
        </w:rPr>
        <w:t xml:space="preserve"> smluv</w:t>
      </w:r>
      <w:r w:rsidR="00604F05" w:rsidRPr="00604F05">
        <w:rPr>
          <w:rFonts w:asciiTheme="minorHAnsi" w:hAnsiTheme="minorHAnsi" w:cs="Calibri"/>
        </w:rPr>
        <w:t xml:space="preserve"> </w:t>
      </w:r>
      <w:r w:rsidR="00604F05">
        <w:rPr>
          <w:rFonts w:asciiTheme="minorHAnsi" w:hAnsiTheme="minorHAnsi" w:cs="Calibri"/>
        </w:rPr>
        <w:t>uzavřených</w:t>
      </w:r>
      <w:r w:rsidR="00A71E50">
        <w:rPr>
          <w:rFonts w:asciiTheme="minorHAnsi" w:hAnsiTheme="minorHAnsi" w:cs="Calibri"/>
        </w:rPr>
        <w:t xml:space="preserve"> v prosinci 2016</w:t>
      </w:r>
      <w:r w:rsidR="008842D0" w:rsidRPr="0007320C">
        <w:rPr>
          <w:rFonts w:asciiTheme="minorHAnsi" w:hAnsiTheme="minorHAnsi" w:cs="Calibri"/>
        </w:rPr>
        <w:t xml:space="preserve"> </w:t>
      </w:r>
      <w:r w:rsidR="003A3005" w:rsidRPr="0007320C">
        <w:rPr>
          <w:rFonts w:asciiTheme="minorHAnsi" w:hAnsiTheme="minorHAnsi" w:cs="Calibri"/>
        </w:rPr>
        <w:t xml:space="preserve">další </w:t>
      </w:r>
      <w:r w:rsidR="008842D0" w:rsidRPr="0007320C">
        <w:rPr>
          <w:rFonts w:asciiTheme="minorHAnsi" w:hAnsiTheme="minorHAnsi" w:cs="Calibri"/>
        </w:rPr>
        <w:t xml:space="preserve">výdaje spojené se správou a provozem CÚER </w:t>
      </w:r>
      <w:r w:rsidR="00771A3D" w:rsidRPr="0007320C">
        <w:rPr>
          <w:rFonts w:asciiTheme="minorHAnsi" w:hAnsiTheme="minorHAnsi" w:cs="Calibri"/>
        </w:rPr>
        <w:t>minimálně ve výši 17 762 800 Kč.</w:t>
      </w:r>
    </w:p>
    <w:p w14:paraId="6136F1B6" w14:textId="77777777" w:rsidR="00604F05" w:rsidRPr="0007320C" w:rsidRDefault="00604F05" w:rsidP="00604F05">
      <w:pPr>
        <w:tabs>
          <w:tab w:val="left" w:pos="284"/>
        </w:tabs>
        <w:jc w:val="both"/>
        <w:rPr>
          <w:rFonts w:asciiTheme="minorHAnsi" w:hAnsiTheme="minorHAnsi" w:cs="Calibri"/>
        </w:rPr>
      </w:pPr>
    </w:p>
    <w:p w14:paraId="5C4A283F" w14:textId="11858C01" w:rsidR="00DF240E" w:rsidRDefault="00771A3D" w:rsidP="00604F05">
      <w:pPr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07320C">
        <w:rPr>
          <w:rFonts w:asciiTheme="minorHAnsi" w:hAnsiTheme="minorHAnsi" w:cs="Calibri"/>
        </w:rPr>
        <w:t>V</w:t>
      </w:r>
      <w:r w:rsidR="008842D0" w:rsidRPr="0007320C">
        <w:rPr>
          <w:rFonts w:asciiTheme="minorHAnsi" w:hAnsiTheme="minorHAnsi" w:cs="Calibri"/>
        </w:rPr>
        <w:t xml:space="preserve"> období od srpna 2011 do října 2016 bylo </w:t>
      </w:r>
      <w:r w:rsidR="003A3005" w:rsidRPr="0007320C">
        <w:rPr>
          <w:rFonts w:asciiTheme="minorHAnsi" w:hAnsiTheme="minorHAnsi" w:cs="Calibri"/>
        </w:rPr>
        <w:t>vystaveno 308 318 916 lékařských předpisů</w:t>
      </w:r>
      <w:r w:rsidR="00604F05">
        <w:rPr>
          <w:rFonts w:asciiTheme="minorHAnsi" w:hAnsiTheme="minorHAnsi" w:cs="Calibri"/>
        </w:rPr>
        <w:t>,</w:t>
      </w:r>
      <w:r w:rsidR="003A3005" w:rsidRPr="0007320C">
        <w:rPr>
          <w:rFonts w:asciiTheme="minorHAnsi" w:hAnsiTheme="minorHAnsi" w:cs="Calibri"/>
        </w:rPr>
        <w:t xml:space="preserve"> z toho </w:t>
      </w:r>
      <w:r w:rsidR="008842D0" w:rsidRPr="0007320C">
        <w:rPr>
          <w:rFonts w:asciiTheme="minorHAnsi" w:hAnsiTheme="minorHAnsi" w:cs="Calibri"/>
        </w:rPr>
        <w:t xml:space="preserve">4 784 850 elektronických receptů. Počet </w:t>
      </w:r>
      <w:r w:rsidR="008842D0" w:rsidRPr="0007320C">
        <w:rPr>
          <w:rFonts w:asciiTheme="minorHAnsi" w:hAnsiTheme="minorHAnsi" w:cs="Calibri"/>
          <w:spacing w:val="-2"/>
        </w:rPr>
        <w:t>vydaných elektronických receptů se</w:t>
      </w:r>
      <w:r w:rsidR="00604F05">
        <w:rPr>
          <w:rFonts w:asciiTheme="minorHAnsi" w:hAnsiTheme="minorHAnsi" w:cs="Calibri"/>
          <w:spacing w:val="-2"/>
        </w:rPr>
        <w:t xml:space="preserve"> </w:t>
      </w:r>
      <w:r w:rsidR="008842D0" w:rsidRPr="0007320C">
        <w:rPr>
          <w:rFonts w:asciiTheme="minorHAnsi" w:hAnsiTheme="minorHAnsi" w:cs="Calibri"/>
          <w:spacing w:val="-2"/>
        </w:rPr>
        <w:t>na</w:t>
      </w:r>
      <w:r w:rsidR="00604F05">
        <w:rPr>
          <w:rFonts w:asciiTheme="minorHAnsi" w:hAnsiTheme="minorHAnsi" w:cs="Calibri"/>
          <w:spacing w:val="-2"/>
        </w:rPr>
        <w:t xml:space="preserve"> </w:t>
      </w:r>
      <w:r w:rsidR="008842D0" w:rsidRPr="0007320C">
        <w:rPr>
          <w:rFonts w:asciiTheme="minorHAnsi" w:hAnsiTheme="minorHAnsi" w:cs="Calibri"/>
          <w:spacing w:val="-2"/>
        </w:rPr>
        <w:t>celkovém počtu vydaných receptů podílel 1,55</w:t>
      </w:r>
      <w:r w:rsidR="008842D0" w:rsidRPr="0007320C">
        <w:rPr>
          <w:rFonts w:asciiTheme="minorHAnsi" w:hAnsiTheme="minorHAnsi" w:cs="Calibri"/>
        </w:rPr>
        <w:t xml:space="preserve"> %.</w:t>
      </w:r>
      <w:r w:rsidRPr="0007320C">
        <w:rPr>
          <w:rStyle w:val="Znakapoznpodarou"/>
          <w:rFonts w:asciiTheme="minorHAnsi" w:hAnsiTheme="minorHAnsi" w:cs="Calibri"/>
        </w:rPr>
        <w:footnoteReference w:id="8"/>
      </w:r>
    </w:p>
    <w:p w14:paraId="4B58B683" w14:textId="77777777" w:rsidR="00604F05" w:rsidRPr="0007320C" w:rsidRDefault="00604F05" w:rsidP="00604F05">
      <w:pPr>
        <w:tabs>
          <w:tab w:val="left" w:pos="284"/>
        </w:tabs>
        <w:jc w:val="both"/>
        <w:rPr>
          <w:rFonts w:asciiTheme="minorHAnsi" w:hAnsiTheme="minorHAnsi" w:cs="Calibri"/>
        </w:rPr>
      </w:pPr>
    </w:p>
    <w:p w14:paraId="201DDAFD" w14:textId="0D50DFB3" w:rsidR="00A410D6" w:rsidRPr="00D16D2C" w:rsidRDefault="002D4061" w:rsidP="00604F05">
      <w:pPr>
        <w:pStyle w:val="Odstavecseseznamem"/>
        <w:numPr>
          <w:ilvl w:val="0"/>
          <w:numId w:val="49"/>
        </w:numPr>
        <w:tabs>
          <w:tab w:val="left" w:pos="284"/>
        </w:tabs>
        <w:ind w:left="0" w:firstLine="0"/>
        <w:contextualSpacing w:val="0"/>
        <w:jc w:val="both"/>
        <w:rPr>
          <w:rFonts w:asciiTheme="minorHAnsi" w:hAnsiTheme="minorHAnsi" w:cs="Calibri"/>
          <w:b/>
        </w:rPr>
      </w:pPr>
      <w:r w:rsidRPr="0007320C">
        <w:rPr>
          <w:rFonts w:asciiTheme="minorHAnsi" w:hAnsiTheme="minorHAnsi" w:cs="Calibri"/>
        </w:rPr>
        <w:t>V důsledku nekoncepčního řízení v oblasti IS a ICT v letech 2007 až 2015 docházelo k nedostatečné smluvní úpravě v oblasti autorských práv. SÚKL si ve smlouvách uzavíraných do roku 2016 nevyhradil zejména možnost vyvinutý software modifikovat a možnost modifikovat software třetí osobou. SÚKL se uvedeným postupem vystavil riziku nevyjasněnosti autorských práv k CÚER, které vyústilo v soudní spor.</w:t>
      </w:r>
    </w:p>
    <w:p w14:paraId="6BB4F3A5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23F6DD38" w14:textId="61787AF9" w:rsidR="008842D0" w:rsidRPr="002B5BCB" w:rsidRDefault="00DC1BD3" w:rsidP="00D16D2C">
      <w:pPr>
        <w:numPr>
          <w:ilvl w:val="0"/>
          <w:numId w:val="26"/>
        </w:numPr>
        <w:ind w:left="284" w:hanging="284"/>
        <w:jc w:val="both"/>
        <w:rPr>
          <w:rFonts w:asciiTheme="minorHAnsi" w:hAnsiTheme="minorHAnsi" w:cs="Calibri"/>
          <w:b/>
        </w:rPr>
      </w:pPr>
      <w:r w:rsidRPr="00DC1BD3">
        <w:rPr>
          <w:rFonts w:asciiTheme="minorHAnsi" w:hAnsiTheme="minorHAnsi" w:cs="Calibri"/>
          <w:b/>
        </w:rPr>
        <w:t>Nekoncepční řízení</w:t>
      </w:r>
      <w:r w:rsidRPr="00DC1BD3">
        <w:t xml:space="preserve"> </w:t>
      </w:r>
      <w:r w:rsidRPr="00DC1BD3">
        <w:rPr>
          <w:rFonts w:asciiTheme="minorHAnsi" w:hAnsiTheme="minorHAnsi" w:cs="Calibri"/>
          <w:b/>
        </w:rPr>
        <w:t>IS a ICT vedlo k porušení autorského zákona</w:t>
      </w:r>
    </w:p>
    <w:p w14:paraId="35A26042" w14:textId="77777777" w:rsidR="00D16D2C" w:rsidRPr="00D16D2C" w:rsidRDefault="00D16D2C" w:rsidP="00D16D2C">
      <w:pPr>
        <w:jc w:val="both"/>
        <w:rPr>
          <w:rFonts w:asciiTheme="minorHAnsi" w:hAnsiTheme="minorHAnsi" w:cs="Calibri"/>
        </w:rPr>
      </w:pPr>
    </w:p>
    <w:p w14:paraId="757B3B9A" w14:textId="33409A01" w:rsidR="008842D0" w:rsidRDefault="008842D0" w:rsidP="00604F05">
      <w:pPr>
        <w:pStyle w:val="Odstavecseseznamem"/>
        <w:numPr>
          <w:ilvl w:val="0"/>
          <w:numId w:val="50"/>
        </w:numPr>
        <w:tabs>
          <w:tab w:val="left" w:pos="284"/>
        </w:tabs>
        <w:ind w:left="0" w:firstLine="0"/>
        <w:contextualSpacing w:val="0"/>
        <w:jc w:val="both"/>
        <w:rPr>
          <w:rFonts w:asciiTheme="minorHAnsi" w:hAnsiTheme="minorHAnsi" w:cs="Calibri"/>
        </w:rPr>
      </w:pPr>
      <w:r w:rsidRPr="0007320C">
        <w:rPr>
          <w:rFonts w:asciiTheme="minorHAnsi" w:hAnsiTheme="minorHAnsi" w:cs="Calibri"/>
        </w:rPr>
        <w:t>SÚKL v letech 2009 až 2014 porušoval zákon č. 121/2000 Sb.</w:t>
      </w:r>
      <w:r w:rsidR="00175BF9" w:rsidRPr="0007320C">
        <w:rPr>
          <w:rStyle w:val="Znakapoznpodarou"/>
          <w:rFonts w:asciiTheme="minorHAnsi" w:hAnsiTheme="minorHAnsi" w:cs="Calibri"/>
        </w:rPr>
        <w:footnoteReference w:id="9"/>
      </w:r>
      <w:r w:rsidRPr="0007320C">
        <w:rPr>
          <w:rFonts w:asciiTheme="minorHAnsi" w:hAnsiTheme="minorHAnsi" w:cs="Calibri"/>
        </w:rPr>
        <w:t xml:space="preserve"> tím, že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neoprávněně nakládal s dílem, aniž by k</w:t>
      </w:r>
      <w:r w:rsidR="00F30A58" w:rsidRPr="0007320C">
        <w:rPr>
          <w:rFonts w:asciiTheme="minorHAnsi" w:hAnsiTheme="minorHAnsi" w:cs="Calibri"/>
        </w:rPr>
        <w:t xml:space="preserve"> tomu získal potřebnou licenci. T</w:t>
      </w:r>
      <w:r w:rsidR="00A71E50">
        <w:rPr>
          <w:rFonts w:asciiTheme="minorHAnsi" w:hAnsiTheme="minorHAnsi" w:cs="Calibri"/>
        </w:rPr>
        <w:t>ím</w:t>
      </w:r>
      <w:r w:rsidR="00604F05">
        <w:rPr>
          <w:rFonts w:asciiTheme="minorHAnsi" w:hAnsiTheme="minorHAnsi" w:cs="Calibri"/>
        </w:rPr>
        <w:t xml:space="preserve"> </w:t>
      </w:r>
      <w:r w:rsidR="00A71E50">
        <w:rPr>
          <w:rFonts w:asciiTheme="minorHAnsi" w:hAnsiTheme="minorHAnsi" w:cs="Calibri"/>
        </w:rPr>
        <w:t>také</w:t>
      </w:r>
      <w:r w:rsidR="00604F05">
        <w:rPr>
          <w:rFonts w:asciiTheme="minorHAnsi" w:hAnsiTheme="minorHAnsi" w:cs="Calibri"/>
        </w:rPr>
        <w:t xml:space="preserve"> </w:t>
      </w:r>
      <w:r w:rsidR="00A71E50">
        <w:rPr>
          <w:rFonts w:asciiTheme="minorHAnsi" w:hAnsiTheme="minorHAnsi" w:cs="Calibri"/>
        </w:rPr>
        <w:t>došlo na straně SÚKL k </w:t>
      </w:r>
      <w:r w:rsidRPr="0007320C">
        <w:rPr>
          <w:rFonts w:asciiTheme="minorHAnsi" w:hAnsiTheme="minorHAnsi" w:cs="Calibri"/>
        </w:rPr>
        <w:t>bezdůvodnému obohacení</w:t>
      </w:r>
      <w:r w:rsidR="005D609A" w:rsidRPr="0007320C">
        <w:rPr>
          <w:rFonts w:asciiTheme="minorHAnsi" w:hAnsiTheme="minorHAnsi" w:cs="Calibri"/>
        </w:rPr>
        <w:t xml:space="preserve">. </w:t>
      </w:r>
      <w:r w:rsidRPr="0007320C">
        <w:rPr>
          <w:rFonts w:asciiTheme="minorHAnsi" w:hAnsiTheme="minorHAnsi" w:cs="Calibri"/>
        </w:rPr>
        <w:t>K nápravě této skuteč</w:t>
      </w:r>
      <w:r w:rsidR="005D609A" w:rsidRPr="0007320C">
        <w:rPr>
          <w:rFonts w:asciiTheme="minorHAnsi" w:hAnsiTheme="minorHAnsi" w:cs="Calibri"/>
        </w:rPr>
        <w:t>nosti došlo na základě dohody o </w:t>
      </w:r>
      <w:r w:rsidRPr="0007320C">
        <w:rPr>
          <w:rFonts w:asciiTheme="minorHAnsi" w:hAnsiTheme="minorHAnsi" w:cs="Calibri"/>
        </w:rPr>
        <w:t>narovnání č. 55/14</w:t>
      </w:r>
      <w:r w:rsidR="009524D5" w:rsidRPr="0007320C">
        <w:rPr>
          <w:rFonts w:asciiTheme="minorHAnsi" w:hAnsiTheme="minorHAnsi" w:cs="Calibri"/>
        </w:rPr>
        <w:t xml:space="preserve"> ze dne 26. 5. 2014</w:t>
      </w:r>
      <w:r w:rsidRPr="0007320C">
        <w:rPr>
          <w:rFonts w:asciiTheme="minorHAnsi" w:hAnsiTheme="minorHAnsi" w:cs="Calibri"/>
        </w:rPr>
        <w:t>, ve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které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se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SÚKL zavázal uhradit dodavateli licenčních oprávnění 119 416 52</w:t>
      </w:r>
      <w:r w:rsidR="000A4622">
        <w:rPr>
          <w:rFonts w:asciiTheme="minorHAnsi" w:hAnsiTheme="minorHAnsi" w:cs="Calibri"/>
        </w:rPr>
        <w:t>6</w:t>
      </w:r>
      <w:r w:rsidRPr="0007320C">
        <w:rPr>
          <w:rFonts w:asciiTheme="minorHAnsi" w:hAnsiTheme="minorHAnsi" w:cs="Calibri"/>
        </w:rPr>
        <w:t xml:space="preserve"> Kč včetně DPH.</w:t>
      </w:r>
    </w:p>
    <w:p w14:paraId="30BEBA54" w14:textId="77777777" w:rsidR="00604F05" w:rsidRPr="00604F05" w:rsidRDefault="00604F05" w:rsidP="00604F05">
      <w:pPr>
        <w:tabs>
          <w:tab w:val="left" w:pos="284"/>
        </w:tabs>
        <w:jc w:val="both"/>
        <w:rPr>
          <w:rFonts w:asciiTheme="minorHAnsi" w:hAnsiTheme="minorHAnsi" w:cs="Calibri"/>
        </w:rPr>
      </w:pPr>
    </w:p>
    <w:p w14:paraId="0FD4F636" w14:textId="68A8DA42" w:rsidR="008842D0" w:rsidRPr="0007320C" w:rsidRDefault="008842D0" w:rsidP="00604F05">
      <w:pPr>
        <w:pStyle w:val="Odstavecseseznamem"/>
        <w:numPr>
          <w:ilvl w:val="0"/>
          <w:numId w:val="50"/>
        </w:numPr>
        <w:tabs>
          <w:tab w:val="left" w:pos="284"/>
        </w:tabs>
        <w:ind w:left="0" w:firstLine="0"/>
        <w:contextualSpacing w:val="0"/>
        <w:jc w:val="both"/>
        <w:rPr>
          <w:rFonts w:asciiTheme="minorHAnsi" w:hAnsiTheme="minorHAnsi" w:cs="Calibri"/>
        </w:rPr>
      </w:pPr>
      <w:r w:rsidRPr="0007320C">
        <w:rPr>
          <w:rFonts w:asciiTheme="minorHAnsi" w:hAnsiTheme="minorHAnsi" w:cs="Calibri"/>
        </w:rPr>
        <w:t xml:space="preserve">SÚKL zvolil </w:t>
      </w:r>
      <w:r w:rsidR="005D609A" w:rsidRPr="0007320C">
        <w:rPr>
          <w:rFonts w:asciiTheme="minorHAnsi" w:hAnsiTheme="minorHAnsi" w:cs="Calibri"/>
        </w:rPr>
        <w:t xml:space="preserve">nákladné technologické řešení, </w:t>
      </w:r>
      <w:r w:rsidR="003F7ABE">
        <w:rPr>
          <w:rFonts w:asciiTheme="minorHAnsi" w:hAnsiTheme="minorHAnsi" w:cs="Calibri"/>
        </w:rPr>
        <w:t>na jehož základě</w:t>
      </w:r>
      <w:r w:rsidR="00217DF8" w:rsidRPr="00217DF8">
        <w:rPr>
          <w:rFonts w:asciiTheme="minorHAnsi" w:hAnsiTheme="minorHAnsi" w:cs="Calibri"/>
        </w:rPr>
        <w:t xml:space="preserve"> vznikají značné licenční náklady. </w:t>
      </w:r>
      <w:r w:rsidR="003652D7" w:rsidRPr="0007320C">
        <w:rPr>
          <w:rFonts w:asciiTheme="minorHAnsi" w:hAnsiTheme="minorHAnsi" w:cs="Calibri"/>
        </w:rPr>
        <w:t>SÚKL n</w:t>
      </w:r>
      <w:r w:rsidRPr="0007320C">
        <w:rPr>
          <w:rFonts w:asciiTheme="minorHAnsi" w:hAnsiTheme="minorHAnsi" w:cs="Calibri"/>
        </w:rPr>
        <w:t>eprověřil ve smyslu ustanovení § 4</w:t>
      </w:r>
      <w:r w:rsidR="00604F05">
        <w:rPr>
          <w:rFonts w:asciiTheme="minorHAnsi" w:hAnsiTheme="minorHAnsi" w:cs="Calibri"/>
        </w:rPr>
        <w:t xml:space="preserve"> </w:t>
      </w:r>
      <w:r w:rsidRPr="0007320C">
        <w:rPr>
          <w:rFonts w:asciiTheme="minorHAnsi" w:hAnsiTheme="minorHAnsi" w:cs="Calibri"/>
        </w:rPr>
        <w:t>odst.</w:t>
      </w:r>
      <w:r w:rsidR="00604F05">
        <w:rPr>
          <w:rFonts w:asciiTheme="minorHAnsi" w:hAnsiTheme="minorHAnsi" w:cs="Calibri"/>
        </w:rPr>
        <w:t> </w:t>
      </w:r>
      <w:r w:rsidRPr="0007320C">
        <w:rPr>
          <w:rFonts w:asciiTheme="minorHAnsi" w:hAnsiTheme="minorHAnsi" w:cs="Calibri"/>
        </w:rPr>
        <w:t xml:space="preserve">1 písm. d), ve </w:t>
      </w:r>
      <w:r w:rsidR="003F7ABE">
        <w:rPr>
          <w:rFonts w:asciiTheme="minorHAnsi" w:hAnsiTheme="minorHAnsi" w:cs="Calibri"/>
        </w:rPr>
        <w:t>spojení s </w:t>
      </w:r>
      <w:r w:rsidR="00F867D6" w:rsidRPr="0007320C">
        <w:rPr>
          <w:rFonts w:asciiTheme="minorHAnsi" w:hAnsiTheme="minorHAnsi" w:cs="Calibri"/>
        </w:rPr>
        <w:t>ustanovením § 4 odst. </w:t>
      </w:r>
      <w:r w:rsidRPr="0007320C">
        <w:rPr>
          <w:rFonts w:asciiTheme="minorHAnsi" w:hAnsiTheme="minorHAnsi" w:cs="Calibri"/>
        </w:rPr>
        <w:t>2 zákona č. 320/2001 Sb.</w:t>
      </w:r>
      <w:r w:rsidRPr="0007320C">
        <w:rPr>
          <w:rFonts w:asciiTheme="minorHAnsi" w:hAnsiTheme="minorHAnsi" w:cs="Calibri"/>
          <w:vertAlign w:val="superscript"/>
        </w:rPr>
        <w:footnoteReference w:id="10"/>
      </w:r>
      <w:r w:rsidRPr="0007320C">
        <w:rPr>
          <w:rFonts w:asciiTheme="minorHAnsi" w:hAnsiTheme="minorHAnsi" w:cs="Calibri"/>
        </w:rPr>
        <w:t>, z</w:t>
      </w:r>
      <w:r w:rsidR="003F7ABE">
        <w:rPr>
          <w:rFonts w:asciiTheme="minorHAnsi" w:hAnsiTheme="minorHAnsi" w:cs="Calibri"/>
        </w:rPr>
        <w:t>da</w:t>
      </w:r>
      <w:r w:rsidR="00604F05">
        <w:rPr>
          <w:rFonts w:asciiTheme="minorHAnsi" w:hAnsiTheme="minorHAnsi" w:cs="Calibri"/>
        </w:rPr>
        <w:t xml:space="preserve"> </w:t>
      </w:r>
      <w:r w:rsidR="003F7ABE">
        <w:rPr>
          <w:rFonts w:asciiTheme="minorHAnsi" w:hAnsiTheme="minorHAnsi" w:cs="Calibri"/>
        </w:rPr>
        <w:t>navrhované řešení naplňuje z </w:t>
      </w:r>
      <w:r w:rsidRPr="0007320C">
        <w:rPr>
          <w:rFonts w:asciiTheme="minorHAnsi" w:hAnsiTheme="minorHAnsi" w:cs="Calibri"/>
        </w:rPr>
        <w:t>hlediska cílů finanční kontroly hospodárný výkon státní správy.</w:t>
      </w:r>
    </w:p>
    <w:p w14:paraId="001CC8FB" w14:textId="77777777" w:rsidR="00D16D2C" w:rsidRPr="00D16D2C" w:rsidRDefault="00D16D2C" w:rsidP="00D16D2C">
      <w:pPr>
        <w:jc w:val="both"/>
        <w:rPr>
          <w:rFonts w:asciiTheme="minorHAnsi" w:hAnsiTheme="minorHAnsi" w:cs="Calibri"/>
          <w:color w:val="000000" w:themeColor="text1"/>
        </w:rPr>
      </w:pPr>
    </w:p>
    <w:p w14:paraId="77F63A19" w14:textId="25610375" w:rsidR="008842D0" w:rsidRPr="00D16D2C" w:rsidRDefault="008842D0" w:rsidP="00D16D2C">
      <w:pPr>
        <w:numPr>
          <w:ilvl w:val="0"/>
          <w:numId w:val="26"/>
        </w:numPr>
        <w:ind w:left="284" w:hanging="284"/>
        <w:jc w:val="both"/>
        <w:rPr>
          <w:rFonts w:asciiTheme="minorHAnsi" w:hAnsiTheme="minorHAnsi" w:cs="Calibri"/>
          <w:b/>
          <w:color w:val="000000" w:themeColor="text1"/>
        </w:rPr>
      </w:pPr>
      <w:r w:rsidRPr="00D16D2C">
        <w:rPr>
          <w:rFonts w:asciiTheme="minorHAnsi" w:hAnsiTheme="minorHAnsi" w:cs="Calibri"/>
          <w:b/>
          <w:color w:val="000000" w:themeColor="text1"/>
        </w:rPr>
        <w:t>NKÚ</w:t>
      </w:r>
      <w:r w:rsidR="00A410D6" w:rsidRPr="00D16D2C">
        <w:rPr>
          <w:rFonts w:asciiTheme="minorHAnsi" w:hAnsiTheme="minorHAnsi" w:cs="Calibri"/>
          <w:b/>
          <w:color w:val="000000" w:themeColor="text1"/>
        </w:rPr>
        <w:t xml:space="preserve"> zjistil dále dílčí nedostatky:</w:t>
      </w:r>
    </w:p>
    <w:p w14:paraId="3C1FD209" w14:textId="2B8B083B" w:rsidR="008842D0" w:rsidRPr="00D16D2C" w:rsidRDefault="008842D0" w:rsidP="00D16D2C">
      <w:pPr>
        <w:pStyle w:val="Odstavecseseznamem"/>
        <w:numPr>
          <w:ilvl w:val="0"/>
          <w:numId w:val="36"/>
        </w:numPr>
        <w:ind w:left="567" w:hanging="283"/>
        <w:jc w:val="both"/>
        <w:rPr>
          <w:rFonts w:asciiTheme="minorHAnsi" w:hAnsiTheme="minorHAnsi" w:cs="Calibri"/>
          <w:color w:val="000000" w:themeColor="text1"/>
        </w:rPr>
      </w:pPr>
      <w:r w:rsidRPr="00D16D2C">
        <w:rPr>
          <w:rFonts w:asciiTheme="minorHAnsi" w:hAnsiTheme="minorHAnsi" w:cs="Calibri"/>
          <w:color w:val="000000" w:themeColor="text1"/>
        </w:rPr>
        <w:t>v o</w:t>
      </w:r>
      <w:r w:rsidR="00A410D6" w:rsidRPr="00D16D2C">
        <w:rPr>
          <w:rFonts w:asciiTheme="minorHAnsi" w:hAnsiTheme="minorHAnsi" w:cs="Calibri"/>
          <w:color w:val="000000" w:themeColor="text1"/>
        </w:rPr>
        <w:t>blasti účtování o majetku SÚKL;</w:t>
      </w:r>
    </w:p>
    <w:p w14:paraId="2BC96DF9" w14:textId="74FFBEBD" w:rsidR="008842D0" w:rsidRPr="00D16D2C" w:rsidRDefault="008842D0" w:rsidP="00D16D2C">
      <w:pPr>
        <w:pStyle w:val="Odstavecseseznamem"/>
        <w:numPr>
          <w:ilvl w:val="0"/>
          <w:numId w:val="36"/>
        </w:numPr>
        <w:ind w:left="567" w:hanging="283"/>
        <w:jc w:val="both"/>
        <w:rPr>
          <w:rFonts w:asciiTheme="minorHAnsi" w:hAnsiTheme="minorHAnsi" w:cs="Calibri"/>
          <w:color w:val="000000" w:themeColor="text1"/>
        </w:rPr>
      </w:pPr>
      <w:r w:rsidRPr="00D16D2C">
        <w:rPr>
          <w:rFonts w:asciiTheme="minorHAnsi" w:hAnsiTheme="minorHAnsi" w:cs="Calibri"/>
          <w:color w:val="000000" w:themeColor="text1"/>
        </w:rPr>
        <w:t>v oblasti zadávání veřejných zakázek souvisejících s</w:t>
      </w:r>
      <w:r w:rsidR="007514FE" w:rsidRPr="00D16D2C">
        <w:rPr>
          <w:rFonts w:asciiTheme="minorHAnsi" w:hAnsiTheme="minorHAnsi" w:cs="Calibri"/>
          <w:color w:val="000000" w:themeColor="text1"/>
        </w:rPr>
        <w:t> </w:t>
      </w:r>
      <w:r w:rsidR="00B31B45" w:rsidRPr="00D16D2C">
        <w:rPr>
          <w:rFonts w:asciiTheme="minorHAnsi" w:hAnsiTheme="minorHAnsi" w:cs="Calibri"/>
          <w:color w:val="000000" w:themeColor="text1"/>
        </w:rPr>
        <w:t>pořízením</w:t>
      </w:r>
      <w:r w:rsidR="007514FE" w:rsidRPr="00D16D2C">
        <w:rPr>
          <w:rFonts w:asciiTheme="minorHAnsi" w:hAnsiTheme="minorHAnsi" w:cs="Calibri"/>
          <w:color w:val="000000" w:themeColor="text1"/>
        </w:rPr>
        <w:t xml:space="preserve"> majetku</w:t>
      </w:r>
      <w:r w:rsidR="00A410D6" w:rsidRPr="00D16D2C">
        <w:rPr>
          <w:rFonts w:asciiTheme="minorHAnsi" w:hAnsiTheme="minorHAnsi" w:cs="Calibri"/>
          <w:color w:val="000000" w:themeColor="text1"/>
        </w:rPr>
        <w:t xml:space="preserve"> SÚKL;</w:t>
      </w:r>
    </w:p>
    <w:p w14:paraId="5F94D957" w14:textId="77777777" w:rsidR="00B31B45" w:rsidRPr="00D16D2C" w:rsidRDefault="008842D0" w:rsidP="00D16D2C">
      <w:pPr>
        <w:pStyle w:val="Odstavecseseznamem"/>
        <w:numPr>
          <w:ilvl w:val="0"/>
          <w:numId w:val="36"/>
        </w:numPr>
        <w:ind w:left="567" w:hanging="283"/>
        <w:jc w:val="both"/>
        <w:rPr>
          <w:rFonts w:asciiTheme="minorHAnsi" w:hAnsiTheme="minorHAnsi" w:cs="Calibri"/>
          <w:color w:val="000000" w:themeColor="text1"/>
        </w:rPr>
      </w:pPr>
      <w:r w:rsidRPr="00D16D2C">
        <w:rPr>
          <w:rFonts w:asciiTheme="minorHAnsi" w:hAnsiTheme="minorHAnsi" w:cs="Calibri"/>
          <w:color w:val="000000" w:themeColor="text1"/>
        </w:rPr>
        <w:lastRenderedPageBreak/>
        <w:t>v oblasti prostředků vynakládaných</w:t>
      </w:r>
      <w:r w:rsidR="00F867D6" w:rsidRPr="00D16D2C">
        <w:rPr>
          <w:rFonts w:asciiTheme="minorHAnsi" w:hAnsiTheme="minorHAnsi" w:cs="Calibri"/>
          <w:color w:val="000000" w:themeColor="text1"/>
        </w:rPr>
        <w:t xml:space="preserve"> na opravy a udržování majetku;</w:t>
      </w:r>
    </w:p>
    <w:p w14:paraId="65C34F28" w14:textId="6C62C854" w:rsidR="00466935" w:rsidRPr="00D16D2C" w:rsidRDefault="008842D0" w:rsidP="00D16D2C">
      <w:pPr>
        <w:pStyle w:val="Odstavecseseznamem"/>
        <w:numPr>
          <w:ilvl w:val="0"/>
          <w:numId w:val="36"/>
        </w:numPr>
        <w:ind w:left="567" w:hanging="283"/>
        <w:jc w:val="both"/>
        <w:rPr>
          <w:rFonts w:asciiTheme="minorHAnsi" w:hAnsiTheme="minorHAnsi" w:cs="Calibri"/>
          <w:color w:val="000000" w:themeColor="text1"/>
        </w:rPr>
      </w:pPr>
      <w:r w:rsidRPr="00D16D2C">
        <w:rPr>
          <w:color w:val="000000" w:themeColor="text1"/>
        </w:rPr>
        <w:t>v oblasti prostředků vynakládaných na nájemné, právní služby a servisní služby ICT.</w:t>
      </w:r>
    </w:p>
    <w:p w14:paraId="37562755" w14:textId="3B973102" w:rsidR="00D16D2C" w:rsidRDefault="00D16D2C" w:rsidP="00604F05">
      <w:pPr>
        <w:rPr>
          <w:rFonts w:asciiTheme="minorHAnsi" w:hAnsiTheme="minorHAnsi" w:cstheme="minorHAnsi"/>
          <w:b/>
          <w:color w:val="000000" w:themeColor="text1"/>
        </w:rPr>
      </w:pPr>
    </w:p>
    <w:p w14:paraId="323FDEBD" w14:textId="77777777" w:rsidR="00604F05" w:rsidRPr="00D16D2C" w:rsidRDefault="00604F05" w:rsidP="00604F05">
      <w:pPr>
        <w:rPr>
          <w:rFonts w:asciiTheme="minorHAnsi" w:hAnsiTheme="minorHAnsi" w:cstheme="minorHAnsi"/>
          <w:b/>
          <w:color w:val="000000" w:themeColor="text1"/>
        </w:rPr>
      </w:pPr>
    </w:p>
    <w:p w14:paraId="6EB74430" w14:textId="3ABB1D0C" w:rsidR="00716ABD" w:rsidRPr="00CF3E7D" w:rsidRDefault="00716ABD" w:rsidP="00604F05">
      <w:pPr>
        <w:jc w:val="center"/>
        <w:rPr>
          <w:b/>
          <w:sz w:val="28"/>
        </w:rPr>
      </w:pPr>
      <w:r w:rsidRPr="00CF3E7D">
        <w:rPr>
          <w:rFonts w:asciiTheme="minorHAnsi" w:hAnsiTheme="minorHAnsi" w:cstheme="minorHAnsi"/>
          <w:b/>
          <w:sz w:val="28"/>
        </w:rPr>
        <w:t>III. Skutečnosti zjištěné při kontrole</w:t>
      </w:r>
    </w:p>
    <w:p w14:paraId="71574FC1" w14:textId="77777777" w:rsidR="00CF3E7D" w:rsidRPr="00CF3E7D" w:rsidRDefault="00CF3E7D" w:rsidP="00CF3E7D">
      <w:pPr>
        <w:pStyle w:val="TextKP"/>
        <w:spacing w:before="0"/>
      </w:pPr>
    </w:p>
    <w:p w14:paraId="07BFC606" w14:textId="11D0356A" w:rsidR="000B6004" w:rsidRPr="00E602EC" w:rsidRDefault="000B6004" w:rsidP="00CF3E7D">
      <w:pPr>
        <w:pStyle w:val="TextKP"/>
        <w:spacing w:before="0"/>
        <w:rPr>
          <w:b/>
        </w:rPr>
      </w:pPr>
      <w:r w:rsidRPr="006E4235">
        <w:rPr>
          <w:b/>
        </w:rPr>
        <w:t>K části II. bodu 1:</w:t>
      </w:r>
    </w:p>
    <w:p w14:paraId="06022BFF" w14:textId="77777777" w:rsidR="00CF3E7D" w:rsidRPr="00D16D2C" w:rsidRDefault="00CF3E7D" w:rsidP="00CF3E7D">
      <w:pPr>
        <w:jc w:val="both"/>
        <w:rPr>
          <w:rFonts w:asciiTheme="minorHAnsi" w:hAnsiTheme="minorHAnsi" w:cs="Calibri"/>
        </w:rPr>
      </w:pPr>
    </w:p>
    <w:p w14:paraId="09C95278" w14:textId="77777777" w:rsidR="00754EE3" w:rsidRDefault="00754EE3" w:rsidP="00CF3E7D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Financování SÚKL</w:t>
      </w:r>
      <w:r w:rsidR="002159D0">
        <w:rPr>
          <w:rFonts w:asciiTheme="minorHAnsi" w:hAnsiTheme="minorHAnsi" w:cstheme="minorHAnsi"/>
          <w:b/>
          <w:color w:val="000000"/>
        </w:rPr>
        <w:t xml:space="preserve"> z mimorozpočtových zdrojů není v souladu s právními předpisy</w:t>
      </w:r>
    </w:p>
    <w:p w14:paraId="59AAD74A" w14:textId="77777777" w:rsidR="00CF3E7D" w:rsidRDefault="00CF3E7D" w:rsidP="00CF3E7D">
      <w:pPr>
        <w:pStyle w:val="TextKP"/>
        <w:spacing w:before="0"/>
        <w:rPr>
          <w:spacing w:val="-4"/>
        </w:rPr>
      </w:pPr>
    </w:p>
    <w:p w14:paraId="0040AAEF" w14:textId="2A09ABDF" w:rsidR="00F30A58" w:rsidRDefault="00754EE3" w:rsidP="00CF3E7D">
      <w:pPr>
        <w:pStyle w:val="TextKP"/>
        <w:spacing w:before="0"/>
      </w:pPr>
      <w:r w:rsidRPr="00A91586">
        <w:rPr>
          <w:spacing w:val="-4"/>
        </w:rPr>
        <w:t xml:space="preserve">SÚKL </w:t>
      </w:r>
      <w:r w:rsidR="00063E74" w:rsidRPr="00A91586">
        <w:rPr>
          <w:spacing w:val="-4"/>
        </w:rPr>
        <w:t>vybírá</w:t>
      </w:r>
      <w:r w:rsidRPr="00A91586">
        <w:rPr>
          <w:spacing w:val="-4"/>
        </w:rPr>
        <w:t xml:space="preserve"> na </w:t>
      </w:r>
      <w:r w:rsidR="009E00AE" w:rsidRPr="00A91586">
        <w:rPr>
          <w:spacing w:val="-4"/>
        </w:rPr>
        <w:t xml:space="preserve">základě zákona </w:t>
      </w:r>
      <w:r w:rsidR="00063E74" w:rsidRPr="00A91586">
        <w:rPr>
          <w:spacing w:val="-4"/>
        </w:rPr>
        <w:t>č. 378/2007 Sb., zá</w:t>
      </w:r>
      <w:r w:rsidRPr="00A91586">
        <w:rPr>
          <w:spacing w:val="-4"/>
        </w:rPr>
        <w:t xml:space="preserve">kona </w:t>
      </w:r>
      <w:r w:rsidR="00063E74" w:rsidRPr="00A91586">
        <w:rPr>
          <w:spacing w:val="-4"/>
        </w:rPr>
        <w:t xml:space="preserve">č. 296/2008 Sb. </w:t>
      </w:r>
      <w:r w:rsidR="001B01EA" w:rsidRPr="00A91586">
        <w:rPr>
          <w:spacing w:val="-4"/>
        </w:rPr>
        <w:t>a zákona</w:t>
      </w:r>
      <w:r w:rsidR="00063E74" w:rsidRPr="00A91586">
        <w:rPr>
          <w:spacing w:val="-4"/>
        </w:rPr>
        <w:t xml:space="preserve"> č. 268/2014</w:t>
      </w:r>
      <w:r w:rsidR="00063E74">
        <w:t xml:space="preserve"> Sb. </w:t>
      </w:r>
      <w:r w:rsidRPr="001B01EA">
        <w:t>náhrady výdajů za provedené odborné výkony, které</w:t>
      </w:r>
      <w:r w:rsidR="00814825">
        <w:t xml:space="preserve"> </w:t>
      </w:r>
      <w:r w:rsidRPr="001B01EA">
        <w:t>nejsou příjmem státního rozpočtu</w:t>
      </w:r>
      <w:r w:rsidR="009D6EE4">
        <w:t xml:space="preserve">. </w:t>
      </w:r>
      <w:r w:rsidR="00A91586">
        <w:t>Jedná</w:t>
      </w:r>
      <w:r w:rsidR="003A1EC0">
        <w:t xml:space="preserve"> </w:t>
      </w:r>
      <w:r w:rsidRPr="001B01EA">
        <w:t>se o mimorozpočtové příjmy, které slouží k zajištění činností SÚKL</w:t>
      </w:r>
      <w:r w:rsidR="009D6EE4">
        <w:t xml:space="preserve"> </w:t>
      </w:r>
      <w:r w:rsidR="009D6EE4" w:rsidRPr="009D6EE4">
        <w:t>(dále také „mimorozpočtové zdroje“</w:t>
      </w:r>
      <w:r w:rsidR="009D6EE4">
        <w:t xml:space="preserve"> či „mimorozpočtové prostředky“</w:t>
      </w:r>
      <w:r w:rsidR="009D6EE4" w:rsidRPr="009D6EE4">
        <w:t>)</w:t>
      </w:r>
      <w:r w:rsidRPr="001B01EA">
        <w:t xml:space="preserve">. </w:t>
      </w:r>
      <w:r w:rsidR="00063E74">
        <w:t>Odborné</w:t>
      </w:r>
      <w:r w:rsidRPr="001B01EA">
        <w:t xml:space="preserve"> úkony </w:t>
      </w:r>
      <w:r w:rsidR="00063E74">
        <w:t>hradí žadatelé</w:t>
      </w:r>
      <w:r w:rsidRPr="001B01EA">
        <w:t xml:space="preserve"> na zvláštní účet vedený u ČNB</w:t>
      </w:r>
      <w:r w:rsidR="002B7F74">
        <w:t>.</w:t>
      </w:r>
      <w:r w:rsidR="004A7F1F">
        <w:t xml:space="preserve"> Odborné úkony jsou žadateli hrazeny předem na základě jejich žádosti a následného vygenerování platebního příkazu. Přehled přijatých záloh</w:t>
      </w:r>
      <w:r w:rsidR="00063E74">
        <w:t xml:space="preserve"> za</w:t>
      </w:r>
      <w:r w:rsidR="006D1307">
        <w:t xml:space="preserve"> </w:t>
      </w:r>
      <w:r w:rsidR="005E2C1D">
        <w:t>odborné úkony SÚKL v</w:t>
      </w:r>
      <w:r w:rsidR="00C56266">
        <w:t> kontrolovaném období</w:t>
      </w:r>
      <w:r w:rsidR="005E2C1D">
        <w:t xml:space="preserve"> jsou uvedeny v tabulce č. </w:t>
      </w:r>
      <w:r w:rsidR="00305951">
        <w:t>4</w:t>
      </w:r>
      <w:r w:rsidR="00D83309">
        <w:t>.</w:t>
      </w:r>
    </w:p>
    <w:p w14:paraId="56909395" w14:textId="77777777" w:rsidR="00CF3E7D" w:rsidRDefault="00CF3E7D" w:rsidP="00CF3E7D">
      <w:pPr>
        <w:pStyle w:val="TextKP"/>
        <w:spacing w:before="0"/>
      </w:pPr>
    </w:p>
    <w:p w14:paraId="4BEA3AFC" w14:textId="75964945" w:rsidR="002B7F74" w:rsidRPr="005C3CCF" w:rsidRDefault="002B7F74" w:rsidP="00CF3E7D">
      <w:pPr>
        <w:pStyle w:val="TextKP"/>
        <w:tabs>
          <w:tab w:val="right" w:pos="9072"/>
        </w:tabs>
        <w:spacing w:before="0" w:after="40"/>
        <w:rPr>
          <w:b/>
        </w:rPr>
      </w:pPr>
      <w:r w:rsidRPr="005C3CCF">
        <w:rPr>
          <w:b/>
        </w:rPr>
        <w:t xml:space="preserve">Tabulka č. </w:t>
      </w:r>
      <w:r w:rsidR="00924074">
        <w:rPr>
          <w:b/>
        </w:rPr>
        <w:t>5</w:t>
      </w:r>
      <w:r w:rsidRPr="005C3CCF">
        <w:rPr>
          <w:b/>
        </w:rPr>
        <w:t>:</w:t>
      </w:r>
      <w:r w:rsidRPr="00924074">
        <w:rPr>
          <w:b/>
        </w:rPr>
        <w:t xml:space="preserve"> </w:t>
      </w:r>
      <w:r w:rsidRPr="005C3CCF">
        <w:rPr>
          <w:b/>
        </w:rPr>
        <w:t>Přehled mimorozpočtových příjmů SÚKL v letech 2013 až 2015</w:t>
      </w:r>
      <w:r w:rsidRPr="005C3CCF">
        <w:rPr>
          <w:b/>
        </w:rPr>
        <w:tab/>
        <w:t>(v tis. Kč)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1803"/>
        <w:gridCol w:w="1756"/>
        <w:gridCol w:w="1756"/>
      </w:tblGrid>
      <w:tr w:rsidR="005E2C1D" w14:paraId="27AD1A48" w14:textId="77777777" w:rsidTr="00E62921">
        <w:trPr>
          <w:trHeight w:val="227"/>
        </w:trPr>
        <w:tc>
          <w:tcPr>
            <w:tcW w:w="2067" w:type="pct"/>
            <w:shd w:val="clear" w:color="auto" w:fill="E5F1FF"/>
            <w:noWrap/>
            <w:vAlign w:val="center"/>
            <w:hideMark/>
          </w:tcPr>
          <w:p w14:paraId="73E5BD2C" w14:textId="77777777" w:rsidR="005E2C1D" w:rsidRPr="003140C6" w:rsidRDefault="00305951" w:rsidP="0058042C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Přijaté zálohy</w:t>
            </w:r>
            <w:r w:rsidR="005E2C1D" w:rsidRPr="003140C6">
              <w:rPr>
                <w:b/>
                <w:sz w:val="20"/>
                <w:szCs w:val="20"/>
                <w:lang w:eastAsia="cs-CZ"/>
              </w:rPr>
              <w:t xml:space="preserve"> za odborné úkony </w:t>
            </w:r>
          </w:p>
        </w:tc>
        <w:tc>
          <w:tcPr>
            <w:tcW w:w="995" w:type="pct"/>
            <w:shd w:val="clear" w:color="auto" w:fill="E5F1FF"/>
            <w:noWrap/>
            <w:vAlign w:val="center"/>
            <w:hideMark/>
          </w:tcPr>
          <w:p w14:paraId="4F97313A" w14:textId="77777777" w:rsidR="005E2C1D" w:rsidRPr="003140C6" w:rsidRDefault="005E2C1D" w:rsidP="0058042C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3140C6">
              <w:rPr>
                <w:b/>
                <w:sz w:val="20"/>
                <w:szCs w:val="20"/>
                <w:lang w:eastAsia="cs-CZ"/>
              </w:rPr>
              <w:t>k 31. 12. 2013</w:t>
            </w:r>
          </w:p>
        </w:tc>
        <w:tc>
          <w:tcPr>
            <w:tcW w:w="969" w:type="pct"/>
            <w:shd w:val="clear" w:color="auto" w:fill="E5F1FF"/>
            <w:noWrap/>
            <w:vAlign w:val="center"/>
            <w:hideMark/>
          </w:tcPr>
          <w:p w14:paraId="76485BCD" w14:textId="77777777" w:rsidR="005E2C1D" w:rsidRPr="003140C6" w:rsidRDefault="005E2C1D" w:rsidP="0058042C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3140C6">
              <w:rPr>
                <w:b/>
                <w:sz w:val="20"/>
                <w:szCs w:val="20"/>
                <w:lang w:eastAsia="cs-CZ"/>
              </w:rPr>
              <w:t>k 31. 12. 2014</w:t>
            </w:r>
          </w:p>
        </w:tc>
        <w:tc>
          <w:tcPr>
            <w:tcW w:w="969" w:type="pct"/>
            <w:shd w:val="clear" w:color="auto" w:fill="E5F1FF"/>
            <w:noWrap/>
            <w:vAlign w:val="center"/>
            <w:hideMark/>
          </w:tcPr>
          <w:p w14:paraId="50F6D097" w14:textId="77777777" w:rsidR="005E2C1D" w:rsidRPr="003140C6" w:rsidRDefault="005E2C1D" w:rsidP="0058042C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3140C6">
              <w:rPr>
                <w:b/>
                <w:sz w:val="20"/>
                <w:szCs w:val="20"/>
                <w:lang w:eastAsia="cs-CZ"/>
              </w:rPr>
              <w:t>k 31. 12. 2015</w:t>
            </w:r>
          </w:p>
        </w:tc>
      </w:tr>
      <w:tr w:rsidR="005E2C1D" w14:paraId="767BF055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36D60570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Konzultace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4B9B65E4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1 230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23A0AB41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1 266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65D6A4C4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1 413</w:t>
            </w:r>
          </w:p>
        </w:tc>
      </w:tr>
      <w:tr w:rsidR="005E2C1D" w14:paraId="58784566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0BBFD3C2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Registrace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592B7C16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337 679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74444430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321 600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79F8CA5D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324 506</w:t>
            </w:r>
          </w:p>
        </w:tc>
      </w:tr>
      <w:tr w:rsidR="005E2C1D" w14:paraId="1B709751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190B3E63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Inspekce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5F6517C2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7 204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444D455E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6 272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636B0375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5 529</w:t>
            </w:r>
          </w:p>
        </w:tc>
      </w:tr>
      <w:tr w:rsidR="005E2C1D" w14:paraId="4F31760D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4969C2E9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Laboratorní rozbory léčiv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79673F3B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7 091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08F1AB6E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4 411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3A4A4B24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3 858</w:t>
            </w:r>
          </w:p>
        </w:tc>
      </w:tr>
      <w:tr w:rsidR="005E2C1D" w14:paraId="156EAA8A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378A9F9F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Klinická hodnocení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5C1A7ADD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31 614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7EE863E5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32 140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344D52CF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33 705</w:t>
            </w:r>
          </w:p>
        </w:tc>
      </w:tr>
      <w:tr w:rsidR="005E2C1D" w14:paraId="0FBB0565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519133B8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Udržovací platby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4A79ED8A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133 744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429A9CDA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129 559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4080293E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134 653</w:t>
            </w:r>
          </w:p>
        </w:tc>
      </w:tr>
      <w:tr w:rsidR="005E2C1D" w14:paraId="456E1210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14CAAD50" w14:textId="77777777" w:rsidR="005E2C1D" w:rsidRPr="003140C6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Zdravotnické prostředky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3E67A3B0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- 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28FF77AC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- 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6B9EC811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260</w:t>
            </w:r>
          </w:p>
        </w:tc>
      </w:tr>
      <w:tr w:rsidR="005E2C1D" w14:paraId="4D74D306" w14:textId="77777777" w:rsidTr="00E62921">
        <w:trPr>
          <w:trHeight w:val="227"/>
        </w:trPr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2AB7BA38" w14:textId="48DE4516" w:rsidR="005E2C1D" w:rsidRPr="003140C6" w:rsidRDefault="005E2C1D" w:rsidP="00924074">
            <w:pPr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Příjmy za překlady EMA</w:t>
            </w:r>
            <w:r w:rsidR="00B123D4" w:rsidRPr="00B123D4">
              <w:rPr>
                <w:sz w:val="20"/>
                <w:szCs w:val="20"/>
                <w:vertAlign w:val="superscript"/>
                <w:lang w:eastAsia="cs-CZ"/>
              </w:rPr>
              <w:t>1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656FB7FB" w14:textId="77777777" w:rsidR="005E2C1D" w:rsidRPr="003140C6" w:rsidRDefault="005E2C1D" w:rsidP="0058042C">
            <w:pPr>
              <w:jc w:val="right"/>
              <w:rPr>
                <w:bCs/>
                <w:sz w:val="20"/>
                <w:szCs w:val="20"/>
                <w:lang w:eastAsia="cs-CZ"/>
              </w:rPr>
            </w:pPr>
            <w:r w:rsidRPr="003140C6">
              <w:rPr>
                <w:bCs/>
                <w:sz w:val="20"/>
                <w:szCs w:val="20"/>
                <w:lang w:eastAsia="cs-CZ"/>
              </w:rPr>
              <w:t>1 343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09F1F686" w14:textId="77777777" w:rsidR="005E2C1D" w:rsidRPr="003140C6" w:rsidRDefault="005E2C1D" w:rsidP="0058042C">
            <w:pPr>
              <w:jc w:val="right"/>
              <w:rPr>
                <w:bCs/>
                <w:sz w:val="20"/>
                <w:szCs w:val="20"/>
                <w:lang w:eastAsia="cs-CZ"/>
              </w:rPr>
            </w:pPr>
            <w:r w:rsidRPr="003140C6">
              <w:rPr>
                <w:bCs/>
                <w:sz w:val="20"/>
                <w:szCs w:val="20"/>
                <w:lang w:eastAsia="cs-CZ"/>
              </w:rPr>
              <w:t>8 496</w:t>
            </w:r>
          </w:p>
        </w:tc>
        <w:tc>
          <w:tcPr>
            <w:tcW w:w="969" w:type="pct"/>
            <w:shd w:val="clear" w:color="auto" w:fill="auto"/>
            <w:noWrap/>
            <w:vAlign w:val="center"/>
            <w:hideMark/>
          </w:tcPr>
          <w:p w14:paraId="228B1A18" w14:textId="77777777" w:rsidR="005E2C1D" w:rsidRPr="003140C6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3140C6">
              <w:rPr>
                <w:sz w:val="20"/>
                <w:szCs w:val="20"/>
                <w:lang w:eastAsia="cs-CZ"/>
              </w:rPr>
              <w:t>24 221</w:t>
            </w:r>
          </w:p>
        </w:tc>
      </w:tr>
      <w:tr w:rsidR="005E2C1D" w14:paraId="652B2906" w14:textId="77777777" w:rsidTr="00E62921">
        <w:trPr>
          <w:trHeight w:val="227"/>
        </w:trPr>
        <w:tc>
          <w:tcPr>
            <w:tcW w:w="2067" w:type="pct"/>
            <w:shd w:val="clear" w:color="auto" w:fill="F2C6C9"/>
            <w:noWrap/>
            <w:vAlign w:val="center"/>
            <w:hideMark/>
          </w:tcPr>
          <w:p w14:paraId="15D071E3" w14:textId="77777777" w:rsidR="005E2C1D" w:rsidRPr="00F84D55" w:rsidRDefault="005E2C1D" w:rsidP="0058042C">
            <w:pPr>
              <w:rPr>
                <w:sz w:val="20"/>
                <w:szCs w:val="20"/>
                <w:lang w:eastAsia="cs-CZ"/>
              </w:rPr>
            </w:pPr>
            <w:r w:rsidRPr="00F84D55">
              <w:rPr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5" w:type="pct"/>
            <w:shd w:val="clear" w:color="auto" w:fill="F2C6C9"/>
            <w:noWrap/>
            <w:vAlign w:val="center"/>
            <w:hideMark/>
          </w:tcPr>
          <w:p w14:paraId="78ADC9BC" w14:textId="77777777" w:rsidR="005E2C1D" w:rsidRPr="00F84D55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F84D55">
              <w:rPr>
                <w:sz w:val="20"/>
                <w:szCs w:val="20"/>
                <w:lang w:eastAsia="cs-CZ"/>
              </w:rPr>
              <w:t>519 905</w:t>
            </w:r>
          </w:p>
        </w:tc>
        <w:tc>
          <w:tcPr>
            <w:tcW w:w="969" w:type="pct"/>
            <w:shd w:val="clear" w:color="auto" w:fill="F2C6C9"/>
            <w:noWrap/>
            <w:vAlign w:val="center"/>
            <w:hideMark/>
          </w:tcPr>
          <w:p w14:paraId="3E211AF2" w14:textId="77777777" w:rsidR="005E2C1D" w:rsidRPr="00F84D55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F84D55">
              <w:rPr>
                <w:sz w:val="20"/>
                <w:szCs w:val="20"/>
                <w:lang w:eastAsia="cs-CZ"/>
              </w:rPr>
              <w:t>503 744</w:t>
            </w:r>
          </w:p>
        </w:tc>
        <w:tc>
          <w:tcPr>
            <w:tcW w:w="969" w:type="pct"/>
            <w:shd w:val="clear" w:color="auto" w:fill="F2C6C9"/>
            <w:noWrap/>
            <w:vAlign w:val="center"/>
            <w:hideMark/>
          </w:tcPr>
          <w:p w14:paraId="17139440" w14:textId="77777777" w:rsidR="005E2C1D" w:rsidRPr="00F84D55" w:rsidRDefault="005E2C1D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F84D55">
              <w:rPr>
                <w:sz w:val="20"/>
                <w:szCs w:val="20"/>
                <w:lang w:eastAsia="cs-CZ"/>
              </w:rPr>
              <w:t>528 145</w:t>
            </w:r>
          </w:p>
        </w:tc>
      </w:tr>
    </w:tbl>
    <w:p w14:paraId="43D1B9D9" w14:textId="289EA083" w:rsidR="002B7F74" w:rsidRPr="005C3CCF" w:rsidRDefault="002B7F74" w:rsidP="00CF3E7D">
      <w:pPr>
        <w:pStyle w:val="Zdroj"/>
        <w:spacing w:before="40"/>
        <w:ind w:left="567" w:hanging="567"/>
        <w:rPr>
          <w:i w:val="0"/>
        </w:rPr>
      </w:pPr>
      <w:r w:rsidRPr="005C3CCF">
        <w:rPr>
          <w:b/>
          <w:i w:val="0"/>
        </w:rPr>
        <w:t>Zdroj:</w:t>
      </w:r>
      <w:r w:rsidRPr="005C3CCF">
        <w:rPr>
          <w:i w:val="0"/>
        </w:rPr>
        <w:tab/>
      </w:r>
      <w:r w:rsidR="00924074">
        <w:rPr>
          <w:i w:val="0"/>
        </w:rPr>
        <w:t>z</w:t>
      </w:r>
      <w:r w:rsidR="005E2C1D" w:rsidRPr="005C3CCF">
        <w:rPr>
          <w:i w:val="0"/>
        </w:rPr>
        <w:t>právy o hospodaření SÚKL za roky 2013 až 2015, příloh</w:t>
      </w:r>
      <w:r w:rsidR="00924074">
        <w:rPr>
          <w:i w:val="0"/>
        </w:rPr>
        <w:t>y</w:t>
      </w:r>
      <w:r w:rsidR="005E2C1D" w:rsidRPr="005C3CCF">
        <w:rPr>
          <w:i w:val="0"/>
        </w:rPr>
        <w:t xml:space="preserve"> účetní závěrky SÚKL </w:t>
      </w:r>
      <w:r w:rsidR="00924074">
        <w:rPr>
          <w:i w:val="0"/>
        </w:rPr>
        <w:t xml:space="preserve">za roky </w:t>
      </w:r>
      <w:r w:rsidR="005E2C1D" w:rsidRPr="005C3CCF">
        <w:rPr>
          <w:i w:val="0"/>
        </w:rPr>
        <w:t>2013 až 2015</w:t>
      </w:r>
      <w:r w:rsidR="003F7ABE" w:rsidRPr="005C3CCF">
        <w:rPr>
          <w:i w:val="0"/>
        </w:rPr>
        <w:t>.</w:t>
      </w:r>
    </w:p>
    <w:p w14:paraId="64560458" w14:textId="02E9EE72" w:rsidR="00924074" w:rsidRDefault="00924074" w:rsidP="00CF3E7D">
      <w:pPr>
        <w:pStyle w:val="Zdroj"/>
        <w:ind w:left="567" w:hanging="567"/>
        <w:rPr>
          <w:i w:val="0"/>
        </w:rPr>
      </w:pPr>
      <w:r>
        <w:rPr>
          <w:b/>
          <w:i w:val="0"/>
        </w:rPr>
        <w:t>Vysvětlivka</w:t>
      </w:r>
      <w:r w:rsidR="00B123D4" w:rsidRPr="005C3CCF">
        <w:rPr>
          <w:b/>
          <w:i w:val="0"/>
        </w:rPr>
        <w:t>:</w:t>
      </w:r>
      <w:r w:rsidR="00B123D4" w:rsidRPr="005C3CCF">
        <w:rPr>
          <w:i w:val="0"/>
        </w:rPr>
        <w:tab/>
      </w:r>
    </w:p>
    <w:p w14:paraId="3705FC90" w14:textId="608241B1" w:rsidR="00A410D6" w:rsidRPr="005C3CCF" w:rsidRDefault="00C10D2B" w:rsidP="00CF3E7D">
      <w:pPr>
        <w:pStyle w:val="Zdroj"/>
        <w:ind w:left="567" w:hanging="567"/>
        <w:rPr>
          <w:i w:val="0"/>
          <w:lang w:val="en-GB"/>
        </w:rPr>
      </w:pPr>
      <w:r w:rsidRPr="005C3CCF">
        <w:rPr>
          <w:i w:val="0"/>
          <w:vertAlign w:val="superscript"/>
        </w:rPr>
        <w:t>1</w:t>
      </w:r>
      <w:r w:rsidRPr="005C3CCF">
        <w:rPr>
          <w:i w:val="0"/>
        </w:rPr>
        <w:t xml:space="preserve"> </w:t>
      </w:r>
      <w:r w:rsidR="00B123D4" w:rsidRPr="005C3CCF">
        <w:rPr>
          <w:i w:val="0"/>
        </w:rPr>
        <w:t xml:space="preserve">EMA = </w:t>
      </w:r>
      <w:r w:rsidR="00B123D4" w:rsidRPr="005C3CCF">
        <w:rPr>
          <w:i w:val="0"/>
          <w:lang w:val="en-GB"/>
        </w:rPr>
        <w:t>European Medicines Agency</w:t>
      </w:r>
      <w:r w:rsidR="003F7ABE" w:rsidRPr="005C3CCF">
        <w:rPr>
          <w:i w:val="0"/>
          <w:lang w:val="en-GB"/>
        </w:rPr>
        <w:t>.</w:t>
      </w:r>
    </w:p>
    <w:p w14:paraId="6C13C2E7" w14:textId="77777777" w:rsidR="00CF3E7D" w:rsidRDefault="00CF3E7D" w:rsidP="00CF3E7D">
      <w:pPr>
        <w:pStyle w:val="TextKP"/>
        <w:spacing w:before="0"/>
        <w:rPr>
          <w:spacing w:val="-4"/>
        </w:rPr>
      </w:pPr>
    </w:p>
    <w:p w14:paraId="5FD39E89" w14:textId="4A5AD412" w:rsidR="00754EE3" w:rsidRDefault="00A2748E" w:rsidP="00CF3E7D">
      <w:pPr>
        <w:pStyle w:val="TextKP"/>
        <w:spacing w:before="0"/>
        <w:rPr>
          <w:spacing w:val="-4"/>
        </w:rPr>
      </w:pPr>
      <w:r w:rsidRPr="00C56266">
        <w:rPr>
          <w:spacing w:val="-4"/>
        </w:rPr>
        <w:t>Neinvestiční výdaje</w:t>
      </w:r>
      <w:r w:rsidR="009D6EE4" w:rsidRPr="00C56266">
        <w:rPr>
          <w:spacing w:val="-4"/>
        </w:rPr>
        <w:t xml:space="preserve"> SÚKL</w:t>
      </w:r>
      <w:r w:rsidRPr="00C56266">
        <w:rPr>
          <w:spacing w:val="-4"/>
        </w:rPr>
        <w:t xml:space="preserve"> jsou financovány především z mimorozpočtových zdrojů, ale část zejména mzdových nákladů je financována i ze zdrojů státního rozpočtu.</w:t>
      </w:r>
      <w:r w:rsidR="00066870" w:rsidRPr="00C56266">
        <w:rPr>
          <w:spacing w:val="-4"/>
        </w:rPr>
        <w:t xml:space="preserve"> </w:t>
      </w:r>
      <w:r w:rsidR="00F95C1B" w:rsidRPr="00C56266">
        <w:rPr>
          <w:spacing w:val="-4"/>
        </w:rPr>
        <w:t xml:space="preserve">Investiční výdaje SÚKL </w:t>
      </w:r>
      <w:r w:rsidR="00305951" w:rsidRPr="00FB6B01">
        <w:rPr>
          <w:spacing w:val="-4"/>
        </w:rPr>
        <w:t>byly v</w:t>
      </w:r>
      <w:r w:rsidR="00FB6B01" w:rsidRPr="00FB6B01">
        <w:rPr>
          <w:spacing w:val="-4"/>
        </w:rPr>
        <w:t xml:space="preserve"> </w:t>
      </w:r>
      <w:r w:rsidR="00305951" w:rsidRPr="00FB6B01">
        <w:rPr>
          <w:spacing w:val="-4"/>
        </w:rPr>
        <w:t xml:space="preserve">kontrolovaném období </w:t>
      </w:r>
      <w:r w:rsidR="00F95C1B" w:rsidRPr="00FB6B01">
        <w:rPr>
          <w:spacing w:val="-4"/>
        </w:rPr>
        <w:t>financovány</w:t>
      </w:r>
      <w:r w:rsidR="00F95C1B" w:rsidRPr="00FB6B01">
        <w:rPr>
          <w:spacing w:val="-6"/>
        </w:rPr>
        <w:t xml:space="preserve"> pouze </w:t>
      </w:r>
      <w:r w:rsidR="00F95C1B" w:rsidRPr="00FB6B01">
        <w:rPr>
          <w:spacing w:val="-4"/>
        </w:rPr>
        <w:t>z</w:t>
      </w:r>
      <w:r w:rsidR="00FB6B01" w:rsidRPr="00FB6B01">
        <w:rPr>
          <w:spacing w:val="-4"/>
        </w:rPr>
        <w:t xml:space="preserve"> </w:t>
      </w:r>
      <w:r w:rsidR="00F95C1B" w:rsidRPr="00FB6B01">
        <w:rPr>
          <w:spacing w:val="-4"/>
        </w:rPr>
        <w:t xml:space="preserve">mimorozpočtových </w:t>
      </w:r>
      <w:r w:rsidR="00FB6B01" w:rsidRPr="00FB6B01">
        <w:rPr>
          <w:spacing w:val="-6"/>
        </w:rPr>
        <w:t>zdrojů</w:t>
      </w:r>
      <w:r w:rsidR="00F95C1B" w:rsidRPr="00FB6B01">
        <w:rPr>
          <w:spacing w:val="-6"/>
        </w:rPr>
        <w:t xml:space="preserve">. </w:t>
      </w:r>
      <w:r w:rsidR="00F30A58" w:rsidRPr="00FB6B01">
        <w:rPr>
          <w:spacing w:val="-6"/>
        </w:rPr>
        <w:t>Podíl</w:t>
      </w:r>
      <w:r w:rsidR="00FB6B01" w:rsidRPr="00FB6B01">
        <w:rPr>
          <w:spacing w:val="-6"/>
        </w:rPr>
        <w:t xml:space="preserve"> </w:t>
      </w:r>
      <w:r w:rsidR="008F6580" w:rsidRPr="00FB6B01">
        <w:rPr>
          <w:spacing w:val="-6"/>
        </w:rPr>
        <w:t>zdrojů</w:t>
      </w:r>
      <w:r w:rsidR="00066870" w:rsidRPr="00FB6B01">
        <w:rPr>
          <w:spacing w:val="-6"/>
        </w:rPr>
        <w:t xml:space="preserve"> </w:t>
      </w:r>
      <w:r w:rsidR="00066870" w:rsidRPr="00FB6B01">
        <w:rPr>
          <w:spacing w:val="-4"/>
        </w:rPr>
        <w:t xml:space="preserve">státního rozpočtu </w:t>
      </w:r>
      <w:r w:rsidR="008F6580" w:rsidRPr="00FB6B01">
        <w:rPr>
          <w:spacing w:val="-4"/>
        </w:rPr>
        <w:t xml:space="preserve">na celkových výdajích SÚKL </w:t>
      </w:r>
      <w:r w:rsidR="005E2C1D" w:rsidRPr="00FB6B01">
        <w:rPr>
          <w:spacing w:val="-4"/>
        </w:rPr>
        <w:t xml:space="preserve">v roce 2013 </w:t>
      </w:r>
      <w:r w:rsidR="008F6580" w:rsidRPr="00FB6B01">
        <w:rPr>
          <w:spacing w:val="-4"/>
        </w:rPr>
        <w:t>či</w:t>
      </w:r>
      <w:r w:rsidR="00305951" w:rsidRPr="00FB6B01">
        <w:rPr>
          <w:spacing w:val="-4"/>
        </w:rPr>
        <w:t>nil 26 % a v letech 2014 a </w:t>
      </w:r>
      <w:r w:rsidR="00C56266" w:rsidRPr="00FB6B01">
        <w:rPr>
          <w:spacing w:val="-4"/>
        </w:rPr>
        <w:t>2015 činil 22 %.</w:t>
      </w:r>
    </w:p>
    <w:p w14:paraId="58D8A36A" w14:textId="77777777" w:rsidR="00CF3E7D" w:rsidRPr="00C56266" w:rsidRDefault="00CF3E7D" w:rsidP="00CF3E7D">
      <w:pPr>
        <w:pStyle w:val="TextKP"/>
        <w:spacing w:before="0"/>
        <w:rPr>
          <w:spacing w:val="-4"/>
        </w:rPr>
      </w:pPr>
    </w:p>
    <w:p w14:paraId="5475CC67" w14:textId="050428D2" w:rsidR="00A2748E" w:rsidRPr="005C3CCF" w:rsidRDefault="00A2748E" w:rsidP="00CF3E7D">
      <w:pPr>
        <w:tabs>
          <w:tab w:val="right" w:pos="9072"/>
        </w:tabs>
        <w:spacing w:after="40"/>
        <w:jc w:val="both"/>
        <w:rPr>
          <w:b/>
          <w:color w:val="000000" w:themeColor="text1"/>
        </w:rPr>
      </w:pPr>
      <w:r w:rsidRPr="005C3CCF">
        <w:rPr>
          <w:b/>
          <w:color w:val="000000" w:themeColor="text1"/>
        </w:rPr>
        <w:t xml:space="preserve">Tabulka č. </w:t>
      </w:r>
      <w:r w:rsidR="00924074">
        <w:rPr>
          <w:b/>
          <w:color w:val="000000" w:themeColor="text1"/>
        </w:rPr>
        <w:t>6</w:t>
      </w:r>
      <w:r w:rsidRPr="005C3CCF">
        <w:rPr>
          <w:b/>
          <w:color w:val="000000" w:themeColor="text1"/>
        </w:rPr>
        <w:t xml:space="preserve">: </w:t>
      </w:r>
      <w:r w:rsidR="008F6580" w:rsidRPr="005C3CCF">
        <w:rPr>
          <w:b/>
          <w:color w:val="000000" w:themeColor="text1"/>
        </w:rPr>
        <w:t>Struktura výdajů SÚKL v letech 2013 až 2015 dle zdrojů financování</w:t>
      </w:r>
      <w:r w:rsidR="008F6580" w:rsidRPr="005C3CCF">
        <w:rPr>
          <w:b/>
          <w:color w:val="000000" w:themeColor="text1"/>
        </w:rPr>
        <w:tab/>
        <w:t>(v tis.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746"/>
        <w:gridCol w:w="1746"/>
        <w:gridCol w:w="1747"/>
      </w:tblGrid>
      <w:tr w:rsidR="00A2748E" w:rsidRPr="00B10445" w14:paraId="6E950A70" w14:textId="77777777" w:rsidTr="00E62921">
        <w:trPr>
          <w:trHeight w:val="227"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62F7511" w14:textId="77777777" w:rsidR="00A2748E" w:rsidRPr="00B10445" w:rsidRDefault="008F6580" w:rsidP="0058042C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AAEB5D" w14:textId="77777777" w:rsidR="00A2748E" w:rsidRPr="00B10445" w:rsidRDefault="00A2748E" w:rsidP="0058042C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B10445">
              <w:rPr>
                <w:b/>
                <w:bCs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9140EA0" w14:textId="77777777" w:rsidR="00A2748E" w:rsidRPr="00B10445" w:rsidRDefault="00A2748E" w:rsidP="0058042C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B10445">
              <w:rPr>
                <w:b/>
                <w:bCs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181E0AD" w14:textId="77777777" w:rsidR="00A2748E" w:rsidRPr="00B10445" w:rsidRDefault="00A2748E" w:rsidP="0058042C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B10445">
              <w:rPr>
                <w:b/>
                <w:bCs/>
                <w:sz w:val="20"/>
                <w:szCs w:val="20"/>
                <w:lang w:eastAsia="cs-CZ"/>
              </w:rPr>
              <w:t>2015</w:t>
            </w:r>
          </w:p>
        </w:tc>
      </w:tr>
      <w:tr w:rsidR="00A2748E" w:rsidRPr="00B10445" w14:paraId="22160DA5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505D" w14:textId="77777777" w:rsidR="00A2748E" w:rsidRPr="00B10445" w:rsidRDefault="00A2748E" w:rsidP="0058042C">
            <w:pPr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Neinvestiční výdaje SÚKL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7E6" w14:textId="77777777" w:rsidR="00A2748E" w:rsidRPr="00B10445" w:rsidRDefault="00A2748E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426 815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EC8C" w14:textId="77777777" w:rsidR="00A2748E" w:rsidRPr="00B10445" w:rsidRDefault="00A2748E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470 816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A754" w14:textId="77777777" w:rsidR="00A2748E" w:rsidRPr="00B10445" w:rsidRDefault="00A2748E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484 209</w:t>
            </w:r>
          </w:p>
        </w:tc>
      </w:tr>
      <w:tr w:rsidR="00A2748E" w:rsidRPr="00B10445" w14:paraId="19AA4860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3B66" w14:textId="77777777" w:rsidR="00A2748E" w:rsidRPr="00B10445" w:rsidRDefault="00A2748E" w:rsidP="00C56266">
            <w:pPr>
              <w:ind w:left="170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i/>
                <w:iCs/>
                <w:color w:val="000000"/>
                <w:sz w:val="20"/>
                <w:szCs w:val="20"/>
                <w:lang w:eastAsia="cs-CZ"/>
              </w:rPr>
              <w:t>Rozpočtové výdaje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8455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113 241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8746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114 907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4C77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122 798</w:t>
            </w:r>
          </w:p>
        </w:tc>
      </w:tr>
      <w:tr w:rsidR="00A2748E" w:rsidRPr="00B10445" w14:paraId="18FF440A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7DE" w14:textId="77777777" w:rsidR="00A2748E" w:rsidRPr="00B10445" w:rsidRDefault="00A2748E" w:rsidP="00C56266">
            <w:pPr>
              <w:ind w:left="170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Nároky z nespotřebovaných </w:t>
            </w:r>
            <w:r w:rsidR="008F6580" w:rsidRPr="008F6580">
              <w:rPr>
                <w:i/>
                <w:iCs/>
                <w:color w:val="000000"/>
                <w:sz w:val="20"/>
                <w:szCs w:val="20"/>
                <w:lang w:eastAsia="cs-CZ"/>
              </w:rPr>
              <w:t>výdajů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E3F2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84 427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BA7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8D1C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429</w:t>
            </w:r>
          </w:p>
        </w:tc>
      </w:tr>
      <w:tr w:rsidR="00A2748E" w:rsidRPr="00B10445" w14:paraId="7635A6FF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F772" w14:textId="77777777" w:rsidR="00A2748E" w:rsidRPr="00B10445" w:rsidRDefault="00A2748E" w:rsidP="00C56266">
            <w:pPr>
              <w:ind w:left="170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i/>
                <w:iCs/>
                <w:color w:val="000000"/>
                <w:sz w:val="20"/>
                <w:szCs w:val="20"/>
                <w:lang w:eastAsia="cs-CZ"/>
              </w:rPr>
              <w:t>Mimorozpočtové výdaje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92A6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229 147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DA06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355 909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EB59" w14:textId="77777777" w:rsidR="00A2748E" w:rsidRPr="00B10445" w:rsidRDefault="00A2748E" w:rsidP="0058042C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B10445">
              <w:rPr>
                <w:color w:val="000000"/>
                <w:sz w:val="20"/>
                <w:szCs w:val="20"/>
                <w:lang w:eastAsia="cs-CZ"/>
              </w:rPr>
              <w:t>360 982</w:t>
            </w:r>
          </w:p>
        </w:tc>
      </w:tr>
      <w:tr w:rsidR="00A2748E" w:rsidRPr="00B10445" w14:paraId="1077654A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7389" w14:textId="77777777" w:rsidR="00A2748E" w:rsidRPr="00B10445" w:rsidRDefault="00A2748E" w:rsidP="0058042C">
            <w:pPr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Investiční výdaje SÚKL (mimorozpočtové)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FBA6" w14:textId="77777777" w:rsidR="00A2748E" w:rsidRPr="00B10445" w:rsidRDefault="00A2748E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12 236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07F2" w14:textId="77777777" w:rsidR="00A2748E" w:rsidRPr="00B10445" w:rsidRDefault="00A2748E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56 268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83F8" w14:textId="77777777" w:rsidR="00A2748E" w:rsidRPr="00B10445" w:rsidRDefault="00A2748E" w:rsidP="0058042C">
            <w:pPr>
              <w:jc w:val="right"/>
              <w:rPr>
                <w:sz w:val="20"/>
                <w:szCs w:val="20"/>
                <w:lang w:eastAsia="cs-CZ"/>
              </w:rPr>
            </w:pPr>
            <w:r w:rsidRPr="00B10445">
              <w:rPr>
                <w:sz w:val="20"/>
                <w:szCs w:val="20"/>
                <w:lang w:eastAsia="cs-CZ"/>
              </w:rPr>
              <w:t>76 172</w:t>
            </w:r>
          </w:p>
        </w:tc>
      </w:tr>
      <w:tr w:rsidR="00A2748E" w:rsidRPr="00B10445" w14:paraId="714CC741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757118" w14:textId="77777777" w:rsidR="00A2748E" w:rsidRPr="00B1264B" w:rsidRDefault="00A2748E" w:rsidP="0058042C">
            <w:pPr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CELKEM VÝDAJE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807BCF" w14:textId="77777777" w:rsidR="00A2748E" w:rsidRPr="00B1264B" w:rsidRDefault="00A2748E" w:rsidP="0058042C">
            <w:pPr>
              <w:jc w:val="right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439 051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1AA916" w14:textId="77777777" w:rsidR="00A2748E" w:rsidRPr="00B1264B" w:rsidRDefault="00A2748E" w:rsidP="0058042C">
            <w:pPr>
              <w:jc w:val="right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527 084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D5989E" w14:textId="77777777" w:rsidR="00A2748E" w:rsidRPr="00B1264B" w:rsidRDefault="00A2748E" w:rsidP="0058042C">
            <w:pPr>
              <w:jc w:val="right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560 381</w:t>
            </w:r>
          </w:p>
        </w:tc>
      </w:tr>
      <w:tr w:rsidR="00A2748E" w:rsidRPr="00B10445" w14:paraId="5C5A13AB" w14:textId="77777777" w:rsidTr="00E62921">
        <w:trPr>
          <w:trHeight w:val="227"/>
        </w:trPr>
        <w:tc>
          <w:tcPr>
            <w:tcW w:w="2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984EAFF" w14:textId="77777777" w:rsidR="00A2748E" w:rsidRPr="00B1264B" w:rsidRDefault="00A2748E" w:rsidP="00C56266">
            <w:pPr>
              <w:ind w:left="170"/>
              <w:rPr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i/>
                <w:color w:val="000000"/>
                <w:sz w:val="20"/>
                <w:szCs w:val="20"/>
                <w:lang w:eastAsia="cs-CZ"/>
              </w:rPr>
              <w:t>CELKEM MIMOROZPOČTOVÉ VÝDAJE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B37FF24" w14:textId="77777777" w:rsidR="00A2748E" w:rsidRPr="00B1264B" w:rsidRDefault="00A2748E" w:rsidP="0058042C">
            <w:pPr>
              <w:jc w:val="right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241 383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E44055B" w14:textId="77777777" w:rsidR="00A2748E" w:rsidRPr="00B1264B" w:rsidRDefault="00A2748E" w:rsidP="0058042C">
            <w:pPr>
              <w:jc w:val="right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412 177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28E68DE" w14:textId="77777777" w:rsidR="00A2748E" w:rsidRPr="00B1264B" w:rsidRDefault="00A2748E" w:rsidP="0058042C">
            <w:pPr>
              <w:jc w:val="right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B1264B">
              <w:rPr>
                <w:bCs/>
                <w:color w:val="000000"/>
                <w:sz w:val="20"/>
                <w:szCs w:val="20"/>
                <w:lang w:eastAsia="cs-CZ"/>
              </w:rPr>
              <w:t>437 154</w:t>
            </w:r>
          </w:p>
        </w:tc>
      </w:tr>
    </w:tbl>
    <w:p w14:paraId="06B16D41" w14:textId="66831A82" w:rsidR="00A2748E" w:rsidRPr="005C3CCF" w:rsidRDefault="00A2748E" w:rsidP="00CF3E7D">
      <w:pPr>
        <w:pStyle w:val="Zdroj"/>
        <w:rPr>
          <w:i w:val="0"/>
        </w:rPr>
      </w:pPr>
      <w:r w:rsidRPr="005C3CCF">
        <w:rPr>
          <w:b/>
          <w:i w:val="0"/>
        </w:rPr>
        <w:t>Zdroj:</w:t>
      </w:r>
      <w:r w:rsidRPr="005C3CCF">
        <w:rPr>
          <w:i w:val="0"/>
        </w:rPr>
        <w:t xml:space="preserve"> </w:t>
      </w:r>
      <w:r w:rsidR="00924074">
        <w:rPr>
          <w:i w:val="0"/>
        </w:rPr>
        <w:t>z</w:t>
      </w:r>
      <w:r w:rsidR="002B7F74" w:rsidRPr="005C3CCF">
        <w:rPr>
          <w:i w:val="0"/>
        </w:rPr>
        <w:t>právy o hospodaření SÚKL za roky 2013 až 2015, r</w:t>
      </w:r>
      <w:r w:rsidRPr="005C3CCF">
        <w:rPr>
          <w:i w:val="0"/>
        </w:rPr>
        <w:t>ozpočtová data SÚKL</w:t>
      </w:r>
      <w:r w:rsidR="002B7F74" w:rsidRPr="005C3CCF">
        <w:rPr>
          <w:i w:val="0"/>
        </w:rPr>
        <w:t xml:space="preserve"> za roky 2013 až 2015</w:t>
      </w:r>
      <w:r w:rsidR="003F7ABE" w:rsidRPr="005C3CCF">
        <w:rPr>
          <w:i w:val="0"/>
        </w:rPr>
        <w:t>.</w:t>
      </w:r>
    </w:p>
    <w:p w14:paraId="403F0247" w14:textId="77777777" w:rsidR="00CF3E7D" w:rsidRDefault="00CF3E7D" w:rsidP="00CF3E7D">
      <w:pPr>
        <w:pStyle w:val="TextKP"/>
        <w:spacing w:before="0"/>
      </w:pPr>
    </w:p>
    <w:p w14:paraId="5FB8F9D4" w14:textId="5FD49A03" w:rsidR="00281F51" w:rsidRDefault="000A307E" w:rsidP="00CF3E7D">
      <w:pPr>
        <w:pStyle w:val="TextKP"/>
        <w:spacing w:before="0"/>
      </w:pPr>
      <w:r>
        <w:lastRenderedPageBreak/>
        <w:t>SÚKL z mimorozpočtových prostředků tvoří</w:t>
      </w:r>
      <w:r w:rsidRPr="001B01EA">
        <w:t xml:space="preserve"> rezervní fond</w:t>
      </w:r>
      <w:r>
        <w:t>, ze kterého na základě rozpočtových opatření v průběhu běžného roku převádí mimorozpočtové zdroje na svůj příjmový účet a dále je používá prostřednictvím státního rozpočtu na úhradu své činnosti, resp.</w:t>
      </w:r>
      <w:r w:rsidRPr="00A2748E">
        <w:t xml:space="preserve"> k financování činností souvisejících s výdaji odborných útvarů, které pr</w:t>
      </w:r>
      <w:r w:rsidR="00281F51">
        <w:t>ovádějí odborné úkony, a také</w:t>
      </w:r>
      <w:r w:rsidR="006D25D1">
        <w:t xml:space="preserve"> </w:t>
      </w:r>
      <w:r>
        <w:t>k </w:t>
      </w:r>
      <w:r w:rsidRPr="00A2748E">
        <w:t>financován</w:t>
      </w:r>
      <w:r w:rsidR="00281F51">
        <w:t>í činností útvarů podpůrných.</w:t>
      </w:r>
    </w:p>
    <w:p w14:paraId="737876D4" w14:textId="77777777" w:rsidR="00CF3E7D" w:rsidRDefault="00CF3E7D" w:rsidP="00CF3E7D">
      <w:pPr>
        <w:jc w:val="both"/>
        <w:rPr>
          <w:rFonts w:eastAsiaTheme="minorHAnsi"/>
        </w:rPr>
      </w:pPr>
    </w:p>
    <w:p w14:paraId="00062B6D" w14:textId="77777777" w:rsidR="00CF3E7D" w:rsidRPr="00CF3E7D" w:rsidRDefault="00CF3E7D" w:rsidP="00CF3E7D">
      <w:pPr>
        <w:shd w:val="clear" w:color="auto" w:fill="BDD6EE" w:themeFill="accent1" w:themeFillTint="66"/>
        <w:jc w:val="both"/>
        <w:rPr>
          <w:rFonts w:eastAsiaTheme="minorHAnsi"/>
        </w:rPr>
      </w:pPr>
      <w:r w:rsidRPr="00CF3E7D">
        <w:rPr>
          <w:rFonts w:eastAsiaTheme="minorHAnsi"/>
        </w:rPr>
        <w:t>Postup, který aplikuje SÚKL, nemá oporu v obecně závazných právních předpisech, neboť:</w:t>
      </w:r>
    </w:p>
    <w:p w14:paraId="07BC9319" w14:textId="77777777" w:rsidR="00CF3E7D" w:rsidRPr="00CF3E7D" w:rsidRDefault="00CF3E7D" w:rsidP="00CF3E7D">
      <w:pPr>
        <w:shd w:val="clear" w:color="auto" w:fill="BDD6EE" w:themeFill="accent1" w:themeFillTint="66"/>
        <w:ind w:left="284" w:hanging="284"/>
        <w:jc w:val="both"/>
        <w:rPr>
          <w:rFonts w:eastAsiaTheme="minorHAnsi"/>
        </w:rPr>
      </w:pPr>
      <w:r w:rsidRPr="00CF3E7D">
        <w:rPr>
          <w:rFonts w:eastAsiaTheme="minorHAnsi"/>
        </w:rPr>
        <w:t>•</w:t>
      </w:r>
      <w:r w:rsidRPr="00CF3E7D">
        <w:rPr>
          <w:rFonts w:eastAsiaTheme="minorHAnsi"/>
        </w:rPr>
        <w:tab/>
        <w:t xml:space="preserve">zákon č. 378/2007 Sb. neuvádí, že by náhrady výdajů vybírané SÚKL byly zdrojem tvorby </w:t>
      </w:r>
      <w:r w:rsidRPr="005C3CCF">
        <w:rPr>
          <w:rFonts w:eastAsiaTheme="minorHAnsi"/>
          <w:i/>
        </w:rPr>
        <w:t>Rezervního fondu z ostatních titulů</w:t>
      </w:r>
      <w:r w:rsidRPr="00CF3E7D">
        <w:rPr>
          <w:rFonts w:eastAsiaTheme="minorHAnsi"/>
        </w:rPr>
        <w:t xml:space="preserve"> v návaznosti na definování této položky rozvahy ve vyhlášce č. 410/2009 Sb., kterou se provádějí některá ustanovení zákona č. 563/1991 Sb., o účetnictví, ve znění pozdějších předpisů, pro některé vybrané účetní jednotky;</w:t>
      </w:r>
    </w:p>
    <w:p w14:paraId="6863D6C9" w14:textId="690BC590" w:rsidR="00CF3E7D" w:rsidRPr="00CF3E7D" w:rsidRDefault="00CF3E7D" w:rsidP="00CF3E7D">
      <w:pPr>
        <w:shd w:val="clear" w:color="auto" w:fill="BDD6EE" w:themeFill="accent1" w:themeFillTint="66"/>
        <w:ind w:left="284" w:hanging="284"/>
        <w:jc w:val="both"/>
        <w:rPr>
          <w:rFonts w:eastAsiaTheme="minorHAnsi"/>
        </w:rPr>
      </w:pPr>
      <w:r w:rsidRPr="00CF3E7D">
        <w:rPr>
          <w:rFonts w:eastAsiaTheme="minorHAnsi"/>
        </w:rPr>
        <w:t>•</w:t>
      </w:r>
      <w:r w:rsidRPr="00CF3E7D">
        <w:rPr>
          <w:rFonts w:eastAsiaTheme="minorHAnsi"/>
        </w:rPr>
        <w:tab/>
        <w:t xml:space="preserve">zákon č. 218/2000 Sb. vymezuje zdroje rezervního fondu tvořeného organizačními složkami státu v ustanovení § 48 odst. 2 taxativně a mimorozpočtové zdroje vybírané SÚKL na základě zákona č. 378/2007 Sb., zákona č. 296/2008 Sb. a zákona č. 268/2014 Sb. nejsou zahrnuty mezi zdroji rezervního fondu podle </w:t>
      </w:r>
      <w:r w:rsidR="006D25D1">
        <w:rPr>
          <w:rFonts w:eastAsiaTheme="minorHAnsi"/>
        </w:rPr>
        <w:t xml:space="preserve">tohoto </w:t>
      </w:r>
      <w:r w:rsidRPr="00CF3E7D">
        <w:rPr>
          <w:rFonts w:eastAsiaTheme="minorHAnsi"/>
        </w:rPr>
        <w:t>zákona;</w:t>
      </w:r>
    </w:p>
    <w:p w14:paraId="3FE261B5" w14:textId="03D89F72" w:rsidR="00CF3E7D" w:rsidRDefault="00CF3E7D" w:rsidP="00CF3E7D">
      <w:pPr>
        <w:shd w:val="clear" w:color="auto" w:fill="BDD6EE" w:themeFill="accent1" w:themeFillTint="66"/>
        <w:ind w:left="284" w:hanging="284"/>
        <w:jc w:val="both"/>
        <w:rPr>
          <w:rFonts w:eastAsiaTheme="minorHAnsi"/>
        </w:rPr>
      </w:pPr>
      <w:r w:rsidRPr="00CF3E7D">
        <w:rPr>
          <w:rFonts w:eastAsiaTheme="minorHAnsi"/>
        </w:rPr>
        <w:t>•</w:t>
      </w:r>
      <w:r w:rsidRPr="00CF3E7D">
        <w:rPr>
          <w:rFonts w:eastAsiaTheme="minorHAnsi"/>
        </w:rPr>
        <w:tab/>
        <w:t>právní předpisy pro vedení účetnictví a stanovení z</w:t>
      </w:r>
      <w:r w:rsidR="00BA77B1">
        <w:rPr>
          <w:rFonts w:eastAsiaTheme="minorHAnsi"/>
        </w:rPr>
        <w:t>působu zveřejňování informací z </w:t>
      </w:r>
      <w:r w:rsidRPr="00CF3E7D">
        <w:rPr>
          <w:rFonts w:eastAsiaTheme="minorHAnsi"/>
        </w:rPr>
        <w:t>účetnictví neupravují oblast mimorozpočtových zdrojů vybíraných SÚKL v návaznosti na jejich definování zákonem č. 378/2007 Sb., zákon</w:t>
      </w:r>
      <w:r w:rsidR="00BA77B1">
        <w:rPr>
          <w:rFonts w:eastAsiaTheme="minorHAnsi"/>
        </w:rPr>
        <w:t>em č. 296/2008 Sb. a zákonem č. </w:t>
      </w:r>
      <w:r w:rsidRPr="00CF3E7D">
        <w:rPr>
          <w:rFonts w:eastAsiaTheme="minorHAnsi"/>
        </w:rPr>
        <w:t>268/2014 Sb. a ve vztahu k tvorbě rezervního fondu.</w:t>
      </w:r>
    </w:p>
    <w:p w14:paraId="1208B612" w14:textId="77777777" w:rsidR="00CF3E7D" w:rsidRDefault="00CF3E7D" w:rsidP="00CF3E7D">
      <w:pPr>
        <w:jc w:val="both"/>
        <w:rPr>
          <w:rFonts w:eastAsiaTheme="minorHAnsi"/>
        </w:rPr>
      </w:pPr>
    </w:p>
    <w:p w14:paraId="1B09B1A9" w14:textId="2DBE86B2" w:rsidR="00B17C28" w:rsidRDefault="00AB61AD" w:rsidP="00CF3E7D">
      <w:pPr>
        <w:jc w:val="both"/>
        <w:rPr>
          <w:rFonts w:eastAsiaTheme="minorHAnsi"/>
        </w:rPr>
      </w:pPr>
      <w:r>
        <w:rPr>
          <w:rFonts w:eastAsiaTheme="minorHAnsi"/>
        </w:rPr>
        <w:t>Farmaceutické společnosti jako plátci zasílají</w:t>
      </w:r>
      <w:r w:rsidR="006434D7" w:rsidRPr="002B37C5">
        <w:rPr>
          <w:rFonts w:eastAsiaTheme="minorHAnsi"/>
        </w:rPr>
        <w:t xml:space="preserve"> úhrady za odborné úkony na zvláštní účet mimorozpočtových zdrojů, který byl na základě § 112 odst. 5 zákona o léčivech pro tento účel zřízen u Č</w:t>
      </w:r>
      <w:r w:rsidR="006434D7">
        <w:rPr>
          <w:rFonts w:eastAsiaTheme="minorHAnsi"/>
        </w:rPr>
        <w:t>NB</w:t>
      </w:r>
      <w:r w:rsidR="006434D7" w:rsidRPr="002B37C5">
        <w:rPr>
          <w:rFonts w:eastAsiaTheme="minorHAnsi"/>
        </w:rPr>
        <w:t xml:space="preserve">. </w:t>
      </w:r>
      <w:r w:rsidR="006B7B1C">
        <w:rPr>
          <w:rFonts w:eastAsiaTheme="minorHAnsi"/>
        </w:rPr>
        <w:t>SÚKL o zaplacených úhradách účtuje formou krátkodobě přijatých záloh (závazky z titulu předplacených odborných výkonů)</w:t>
      </w:r>
      <w:r w:rsidR="006434D7" w:rsidRPr="002B37C5">
        <w:rPr>
          <w:rFonts w:eastAsiaTheme="minorHAnsi"/>
          <w:i/>
        </w:rPr>
        <w:t xml:space="preserve">. </w:t>
      </w:r>
      <w:r w:rsidR="007D5FE2">
        <w:rPr>
          <w:rFonts w:eastAsiaTheme="minorHAnsi"/>
        </w:rPr>
        <w:t>Přijaté zálohy</w:t>
      </w:r>
      <w:r w:rsidR="00B17C28">
        <w:rPr>
          <w:rFonts w:eastAsiaTheme="minorHAnsi"/>
        </w:rPr>
        <w:t xml:space="preserve"> </w:t>
      </w:r>
      <w:r w:rsidR="00A66B3B">
        <w:rPr>
          <w:rFonts w:eastAsiaTheme="minorHAnsi"/>
        </w:rPr>
        <w:t xml:space="preserve">jsou </w:t>
      </w:r>
      <w:r w:rsidR="00B17C28">
        <w:rPr>
          <w:rFonts w:eastAsiaTheme="minorHAnsi"/>
        </w:rPr>
        <w:t xml:space="preserve">následně </w:t>
      </w:r>
      <w:r w:rsidR="007D5FE2">
        <w:rPr>
          <w:rFonts w:eastAsiaTheme="minorHAnsi"/>
        </w:rPr>
        <w:t>kontrolovány ze</w:t>
      </w:r>
      <w:r w:rsidR="006D25D1">
        <w:rPr>
          <w:rFonts w:eastAsiaTheme="minorHAnsi"/>
        </w:rPr>
        <w:t xml:space="preserve"> </w:t>
      </w:r>
      <w:r w:rsidR="00A66B3B">
        <w:rPr>
          <w:rFonts w:eastAsiaTheme="minorHAnsi"/>
        </w:rPr>
        <w:t>strany p</w:t>
      </w:r>
      <w:r w:rsidR="007D5FE2">
        <w:rPr>
          <w:rFonts w:eastAsiaTheme="minorHAnsi"/>
        </w:rPr>
        <w:t xml:space="preserve">říslušných odborných útvarů SÚKL. Zálohy, kterým je ze strany odborných útvarů přidělen atribut „ZZ“ </w:t>
      </w:r>
      <w:r>
        <w:rPr>
          <w:rFonts w:eastAsiaTheme="minorHAnsi"/>
        </w:rPr>
        <w:t>(</w:t>
      </w:r>
      <w:r w:rsidR="007D5FE2">
        <w:rPr>
          <w:rFonts w:eastAsiaTheme="minorHAnsi"/>
        </w:rPr>
        <w:t>zkontrolováno, zaúčtovat</w:t>
      </w:r>
      <w:r>
        <w:rPr>
          <w:rFonts w:eastAsiaTheme="minorHAnsi"/>
        </w:rPr>
        <w:t>)</w:t>
      </w:r>
      <w:r w:rsidR="006434D7" w:rsidRPr="002B37C5">
        <w:rPr>
          <w:rFonts w:eastAsiaTheme="minorHAnsi"/>
        </w:rPr>
        <w:t xml:space="preserve"> jsou </w:t>
      </w:r>
      <w:r w:rsidR="00A66B3B">
        <w:rPr>
          <w:rFonts w:eastAsiaTheme="minorHAnsi"/>
        </w:rPr>
        <w:t>na konci čtvrtletí</w:t>
      </w:r>
      <w:r w:rsidR="007D5FE2">
        <w:rPr>
          <w:rFonts w:eastAsiaTheme="minorHAnsi"/>
        </w:rPr>
        <w:t xml:space="preserve"> (poslední pracovní den)</w:t>
      </w:r>
      <w:r w:rsidR="00A66B3B">
        <w:rPr>
          <w:rFonts w:eastAsiaTheme="minorHAnsi"/>
        </w:rPr>
        <w:t xml:space="preserve"> </w:t>
      </w:r>
      <w:r w:rsidR="006434D7">
        <w:rPr>
          <w:rFonts w:eastAsiaTheme="minorHAnsi"/>
        </w:rPr>
        <w:t>přeúčtovány do </w:t>
      </w:r>
      <w:r w:rsidR="00C214D8" w:rsidRPr="00C214D8">
        <w:rPr>
          <w:rFonts w:eastAsiaTheme="minorHAnsi"/>
          <w:i/>
        </w:rPr>
        <w:t>R</w:t>
      </w:r>
      <w:r w:rsidR="006434D7" w:rsidRPr="00C214D8">
        <w:rPr>
          <w:rFonts w:eastAsiaTheme="minorHAnsi"/>
          <w:i/>
        </w:rPr>
        <w:t xml:space="preserve">ezervního fondu </w:t>
      </w:r>
      <w:r w:rsidR="006B7B1C" w:rsidRPr="00C214D8">
        <w:rPr>
          <w:rFonts w:eastAsiaTheme="minorHAnsi"/>
          <w:i/>
        </w:rPr>
        <w:t>z ostatních titulů</w:t>
      </w:r>
      <w:r w:rsidR="006B7B1C">
        <w:rPr>
          <w:rFonts w:eastAsiaTheme="minorHAnsi"/>
        </w:rPr>
        <w:t>.</w:t>
      </w:r>
    </w:p>
    <w:p w14:paraId="30EE16EA" w14:textId="77777777" w:rsidR="00CF3E7D" w:rsidRDefault="00CF3E7D" w:rsidP="00CF3E7D">
      <w:pPr>
        <w:jc w:val="both"/>
        <w:rPr>
          <w:rFonts w:eastAsiaTheme="minorHAnsi"/>
        </w:rPr>
      </w:pPr>
    </w:p>
    <w:p w14:paraId="5DF16A0C" w14:textId="57B5DEFF" w:rsidR="006434D7" w:rsidRDefault="00F277AB" w:rsidP="00CF3E7D">
      <w:pPr>
        <w:jc w:val="both"/>
        <w:rPr>
          <w:rFonts w:eastAsiaTheme="minorHAnsi"/>
        </w:rPr>
      </w:pPr>
      <w:r w:rsidRPr="00F277AB">
        <w:rPr>
          <w:rFonts w:eastAsiaTheme="minorHAnsi"/>
        </w:rPr>
        <w:t xml:space="preserve">Současně </w:t>
      </w:r>
      <w:r w:rsidR="00842AE8">
        <w:rPr>
          <w:rFonts w:eastAsiaTheme="minorHAnsi"/>
        </w:rPr>
        <w:t xml:space="preserve">je </w:t>
      </w:r>
      <w:r w:rsidRPr="00F277AB">
        <w:rPr>
          <w:rFonts w:eastAsiaTheme="minorHAnsi"/>
        </w:rPr>
        <w:t xml:space="preserve">vždy na konci čtvrtletí </w:t>
      </w:r>
      <w:r w:rsidR="00842AE8">
        <w:rPr>
          <w:rFonts w:eastAsiaTheme="minorHAnsi"/>
        </w:rPr>
        <w:t>také</w:t>
      </w:r>
      <w:r w:rsidRPr="00F277AB">
        <w:rPr>
          <w:rFonts w:eastAsiaTheme="minorHAnsi"/>
        </w:rPr>
        <w:t xml:space="preserve"> proveden převod </w:t>
      </w:r>
      <w:r>
        <w:rPr>
          <w:rFonts w:eastAsiaTheme="minorHAnsi"/>
        </w:rPr>
        <w:t xml:space="preserve">zbývajících </w:t>
      </w:r>
      <w:r w:rsidR="00842AE8">
        <w:rPr>
          <w:rFonts w:eastAsiaTheme="minorHAnsi"/>
        </w:rPr>
        <w:t>finančních prostředků na</w:t>
      </w:r>
      <w:r w:rsidR="006D25D1">
        <w:rPr>
          <w:rFonts w:eastAsiaTheme="minorHAnsi"/>
        </w:rPr>
        <w:t xml:space="preserve"> </w:t>
      </w:r>
      <w:r w:rsidRPr="00F277AB">
        <w:rPr>
          <w:rFonts w:eastAsiaTheme="minorHAnsi"/>
        </w:rPr>
        <w:t xml:space="preserve">účtu </w:t>
      </w:r>
      <w:r w:rsidR="007D5FE2">
        <w:rPr>
          <w:rFonts w:eastAsiaTheme="minorHAnsi"/>
        </w:rPr>
        <w:t>krátkodobých</w:t>
      </w:r>
      <w:r>
        <w:rPr>
          <w:rFonts w:eastAsiaTheme="minorHAnsi"/>
        </w:rPr>
        <w:t xml:space="preserve"> přijatých </w:t>
      </w:r>
      <w:r w:rsidRPr="00F277AB">
        <w:rPr>
          <w:rFonts w:eastAsiaTheme="minorHAnsi"/>
        </w:rPr>
        <w:t xml:space="preserve">záloh do </w:t>
      </w:r>
      <w:r w:rsidR="00C214D8" w:rsidRPr="00C214D8">
        <w:rPr>
          <w:rFonts w:eastAsiaTheme="minorHAnsi"/>
          <w:i/>
        </w:rPr>
        <w:t>R</w:t>
      </w:r>
      <w:r w:rsidRPr="00C214D8">
        <w:rPr>
          <w:rFonts w:eastAsiaTheme="minorHAnsi"/>
          <w:i/>
        </w:rPr>
        <w:t>ezervního fondu z ostatních titulů</w:t>
      </w:r>
      <w:r>
        <w:rPr>
          <w:rFonts w:eastAsiaTheme="minorHAnsi"/>
        </w:rPr>
        <w:t xml:space="preserve"> pro</w:t>
      </w:r>
      <w:r w:rsidR="006D25D1">
        <w:rPr>
          <w:rFonts w:eastAsiaTheme="minorHAnsi"/>
        </w:rPr>
        <w:t xml:space="preserve"> </w:t>
      </w:r>
      <w:r w:rsidRPr="00F277AB">
        <w:rPr>
          <w:rFonts w:eastAsiaTheme="minorHAnsi"/>
        </w:rPr>
        <w:t xml:space="preserve">zpracování čtvrtletní uzávěrky. </w:t>
      </w:r>
      <w:r w:rsidRPr="0007320C">
        <w:rPr>
          <w:rFonts w:eastAsiaTheme="minorHAnsi"/>
        </w:rPr>
        <w:t xml:space="preserve">První pracovní den následujícího čtvrtletí je </w:t>
      </w:r>
      <w:r w:rsidR="00842AE8" w:rsidRPr="0007320C">
        <w:rPr>
          <w:rFonts w:eastAsiaTheme="minorHAnsi"/>
        </w:rPr>
        <w:t xml:space="preserve">však </w:t>
      </w:r>
      <w:r w:rsidR="00C770F3" w:rsidRPr="0007320C">
        <w:rPr>
          <w:rFonts w:eastAsiaTheme="minorHAnsi"/>
        </w:rPr>
        <w:t>proveden</w:t>
      </w:r>
      <w:r w:rsidRPr="0007320C">
        <w:rPr>
          <w:rFonts w:eastAsiaTheme="minorHAnsi"/>
        </w:rPr>
        <w:t xml:space="preserve"> převod těchto finančních prostředků zpět z </w:t>
      </w:r>
      <w:r w:rsidR="00C214D8" w:rsidRPr="0007320C">
        <w:rPr>
          <w:rFonts w:eastAsiaTheme="minorHAnsi"/>
          <w:i/>
        </w:rPr>
        <w:t>R</w:t>
      </w:r>
      <w:r w:rsidRPr="0007320C">
        <w:rPr>
          <w:rFonts w:eastAsiaTheme="minorHAnsi"/>
          <w:i/>
        </w:rPr>
        <w:t>ezervního fondu z ostatních titulů</w:t>
      </w:r>
      <w:r w:rsidRPr="0007320C">
        <w:rPr>
          <w:rFonts w:eastAsiaTheme="minorHAnsi"/>
        </w:rPr>
        <w:t xml:space="preserve"> na účet </w:t>
      </w:r>
      <w:r w:rsidR="00C214D8" w:rsidRPr="0007320C">
        <w:rPr>
          <w:rFonts w:eastAsiaTheme="minorHAnsi"/>
          <w:i/>
        </w:rPr>
        <w:t>K</w:t>
      </w:r>
      <w:r w:rsidRPr="0007320C">
        <w:rPr>
          <w:rFonts w:eastAsiaTheme="minorHAnsi"/>
          <w:i/>
        </w:rPr>
        <w:t>rátkodobých přijatých záloh</w:t>
      </w:r>
      <w:r w:rsidRPr="0007320C">
        <w:rPr>
          <w:rFonts w:eastAsiaTheme="minorHAnsi"/>
        </w:rPr>
        <w:t xml:space="preserve"> </w:t>
      </w:r>
      <w:r w:rsidR="007D5FE2" w:rsidRPr="0007320C">
        <w:rPr>
          <w:rFonts w:eastAsiaTheme="minorHAnsi"/>
        </w:rPr>
        <w:t>ve </w:t>
      </w:r>
      <w:r w:rsidRPr="0007320C">
        <w:rPr>
          <w:rFonts w:eastAsiaTheme="minorHAnsi"/>
        </w:rPr>
        <w:t>stejné výši.</w:t>
      </w:r>
    </w:p>
    <w:p w14:paraId="7DB65A30" w14:textId="77777777" w:rsidR="00CF3E7D" w:rsidRPr="0007320C" w:rsidRDefault="00CF3E7D" w:rsidP="00CF3E7D">
      <w:pPr>
        <w:jc w:val="both"/>
        <w:rPr>
          <w:rFonts w:eastAsiaTheme="minorHAnsi"/>
        </w:rPr>
      </w:pPr>
    </w:p>
    <w:p w14:paraId="3306799A" w14:textId="6574818E" w:rsidR="00842AE8" w:rsidRDefault="005A1EE1" w:rsidP="00CF3E7D">
      <w:pPr>
        <w:pStyle w:val="TextKP"/>
        <w:spacing w:before="0"/>
        <w:rPr>
          <w:rFonts w:eastAsiaTheme="minorHAnsi"/>
        </w:rPr>
      </w:pPr>
      <w:r w:rsidRPr="00842AE8">
        <w:rPr>
          <w:rFonts w:eastAsiaTheme="minorHAnsi"/>
        </w:rPr>
        <w:t>SÚKL v</w:t>
      </w:r>
      <w:r w:rsidR="007D5FE2" w:rsidRPr="00842AE8">
        <w:rPr>
          <w:rFonts w:eastAsiaTheme="minorHAnsi"/>
        </w:rPr>
        <w:t> rozvaze sestavené k 31. 12. 2013, k 31. 12. 2014 a k 31. 12. 2015 nevykazoval žádné krátkodobé cizí zdroje v </w:t>
      </w:r>
      <w:proofErr w:type="gramStart"/>
      <w:r w:rsidR="007D5FE2" w:rsidRPr="00842AE8">
        <w:rPr>
          <w:rFonts w:eastAsiaTheme="minorHAnsi"/>
        </w:rPr>
        <w:t xml:space="preserve">položce </w:t>
      </w:r>
      <w:r w:rsidR="007D5FE2" w:rsidRPr="00842AE8">
        <w:rPr>
          <w:rFonts w:eastAsiaTheme="minorHAnsi"/>
          <w:i/>
        </w:rPr>
        <w:t>D.III</w:t>
      </w:r>
      <w:proofErr w:type="gramEnd"/>
      <w:r w:rsidR="007D5FE2" w:rsidRPr="00842AE8">
        <w:rPr>
          <w:rFonts w:eastAsiaTheme="minorHAnsi"/>
          <w:i/>
        </w:rPr>
        <w:t>.7. Krátkodobé přijaté zálohy</w:t>
      </w:r>
      <w:r w:rsidR="007D5FE2" w:rsidRPr="00842AE8">
        <w:rPr>
          <w:rFonts w:eastAsiaTheme="minorHAnsi"/>
        </w:rPr>
        <w:t xml:space="preserve">, </w:t>
      </w:r>
      <w:r w:rsidR="007D5FE2" w:rsidRPr="00842AE8">
        <w:rPr>
          <w:rFonts w:eastAsiaTheme="minorHAnsi"/>
          <w:spacing w:val="-1"/>
        </w:rPr>
        <w:t>inkasované formou přijatých záloh např.</w:t>
      </w:r>
      <w:r w:rsidR="00BD0228" w:rsidRPr="00842AE8">
        <w:rPr>
          <w:rFonts w:eastAsiaTheme="minorHAnsi"/>
          <w:spacing w:val="-1"/>
        </w:rPr>
        <w:t xml:space="preserve"> od</w:t>
      </w:r>
      <w:r w:rsidR="007D5FE2" w:rsidRPr="00842AE8">
        <w:rPr>
          <w:rFonts w:eastAsiaTheme="minorHAnsi"/>
          <w:spacing w:val="-1"/>
        </w:rPr>
        <w:t xml:space="preserve"> farmac</w:t>
      </w:r>
      <w:r w:rsidR="00BD0228" w:rsidRPr="00842AE8">
        <w:rPr>
          <w:rFonts w:eastAsiaTheme="minorHAnsi"/>
          <w:spacing w:val="-1"/>
        </w:rPr>
        <w:t>eutických společností, které si </w:t>
      </w:r>
      <w:r w:rsidR="007D5FE2" w:rsidRPr="00842AE8">
        <w:rPr>
          <w:rFonts w:eastAsiaTheme="minorHAnsi"/>
          <w:spacing w:val="-1"/>
        </w:rPr>
        <w:t>předplatily</w:t>
      </w:r>
      <w:r w:rsidR="007D5FE2" w:rsidRPr="00842AE8">
        <w:rPr>
          <w:rFonts w:eastAsiaTheme="minorHAnsi"/>
        </w:rPr>
        <w:t xml:space="preserve"> požadované odborné úkony ze strany SÚKL. SÚKL přijaté prostředky vykazoval v rozvaze jako vlastní zdroje v položce </w:t>
      </w:r>
      <w:proofErr w:type="gramStart"/>
      <w:r w:rsidR="007D5FE2" w:rsidRPr="00842AE8">
        <w:rPr>
          <w:rFonts w:eastAsiaTheme="minorHAnsi"/>
          <w:i/>
        </w:rPr>
        <w:t>C.II</w:t>
      </w:r>
      <w:proofErr w:type="gramEnd"/>
      <w:r w:rsidR="007D5FE2" w:rsidRPr="00842AE8">
        <w:rPr>
          <w:rFonts w:eastAsiaTheme="minorHAnsi"/>
          <w:i/>
        </w:rPr>
        <w:t>.4. Rezervní fond z ostatních titulů</w:t>
      </w:r>
      <w:r w:rsidR="00A410D6">
        <w:rPr>
          <w:rFonts w:eastAsiaTheme="minorHAnsi"/>
        </w:rPr>
        <w:t>.</w:t>
      </w:r>
    </w:p>
    <w:p w14:paraId="6C3FEFDC" w14:textId="77777777" w:rsidR="00CF3E7D" w:rsidRPr="00842AE8" w:rsidRDefault="00CF3E7D" w:rsidP="00CF3E7D">
      <w:pPr>
        <w:pStyle w:val="TextKP"/>
        <w:spacing w:before="0"/>
        <w:rPr>
          <w:rFonts w:eastAsiaTheme="minorHAnsi"/>
        </w:rPr>
      </w:pPr>
    </w:p>
    <w:p w14:paraId="6D9CB440" w14:textId="52041353" w:rsidR="00E62921" w:rsidRDefault="002A7CBF" w:rsidP="00CF3E7D">
      <w:pPr>
        <w:pStyle w:val="TextKP"/>
        <w:spacing w:before="0"/>
        <w:rPr>
          <w:rFonts w:eastAsiaTheme="minorHAnsi"/>
        </w:rPr>
      </w:pPr>
      <w:r>
        <w:rPr>
          <w:rFonts w:eastAsiaTheme="minorHAnsi"/>
        </w:rPr>
        <w:t>NKÚ vyhodnotil p</w:t>
      </w:r>
      <w:r w:rsidR="00BD0228">
        <w:rPr>
          <w:rFonts w:eastAsiaTheme="minorHAnsi"/>
        </w:rPr>
        <w:t>ostup účtování o </w:t>
      </w:r>
      <w:r w:rsidR="007D5FE2" w:rsidRPr="00252ACE">
        <w:rPr>
          <w:rFonts w:eastAsiaTheme="minorHAnsi"/>
        </w:rPr>
        <w:t xml:space="preserve">mimorozpočtových zdrojích </w:t>
      </w:r>
      <w:r w:rsidR="006D25D1">
        <w:rPr>
          <w:rFonts w:eastAsiaTheme="minorHAnsi"/>
        </w:rPr>
        <w:t xml:space="preserve">jako </w:t>
      </w:r>
      <w:r w:rsidR="00842AE8">
        <w:rPr>
          <w:rFonts w:eastAsiaTheme="minorHAnsi"/>
        </w:rPr>
        <w:t>nesprávný, protože do</w:t>
      </w:r>
      <w:r w:rsidR="006D25D1">
        <w:rPr>
          <w:rFonts w:eastAsiaTheme="minorHAnsi"/>
        </w:rPr>
        <w:t xml:space="preserve"> </w:t>
      </w:r>
      <w:r w:rsidR="007D5FE2" w:rsidRPr="00252ACE">
        <w:rPr>
          <w:rFonts w:eastAsiaTheme="minorHAnsi"/>
        </w:rPr>
        <w:t xml:space="preserve">doby ukončení odborných úkonů SÚKL se jedná o nevypořádané krátkodobé </w:t>
      </w:r>
      <w:r w:rsidR="007D5FE2" w:rsidRPr="0013249E">
        <w:rPr>
          <w:rFonts w:eastAsiaTheme="minorHAnsi"/>
        </w:rPr>
        <w:t>přijaté</w:t>
      </w:r>
      <w:r>
        <w:rPr>
          <w:rFonts w:eastAsiaTheme="minorHAnsi"/>
        </w:rPr>
        <w:t xml:space="preserve"> zálohy, resp. </w:t>
      </w:r>
      <w:r w:rsidR="007D5FE2" w:rsidRPr="00252ACE">
        <w:rPr>
          <w:rFonts w:eastAsiaTheme="minorHAnsi"/>
        </w:rPr>
        <w:t xml:space="preserve">závazky SÚKL např. vůči farmaceutickým společnostem. </w:t>
      </w:r>
      <w:r w:rsidR="00BD0228" w:rsidRPr="0007320C">
        <w:rPr>
          <w:rFonts w:eastAsiaTheme="minorHAnsi"/>
        </w:rPr>
        <w:t>K 31. </w:t>
      </w:r>
      <w:r w:rsidRPr="0007320C">
        <w:rPr>
          <w:rFonts w:eastAsiaTheme="minorHAnsi"/>
        </w:rPr>
        <w:t>12. 2013 se jednalo o </w:t>
      </w:r>
      <w:r w:rsidR="007D5FE2" w:rsidRPr="0007320C">
        <w:rPr>
          <w:rFonts w:eastAsiaTheme="minorHAnsi"/>
        </w:rPr>
        <w:t>nevypořádané krátkodobé přijaté zálohy v celkové výši 361 332</w:t>
      </w:r>
      <w:r w:rsidR="00A91586">
        <w:rPr>
          <w:rFonts w:eastAsiaTheme="minorHAnsi"/>
        </w:rPr>
        <w:t> </w:t>
      </w:r>
      <w:r w:rsidR="007D5FE2" w:rsidRPr="0007320C">
        <w:rPr>
          <w:rFonts w:eastAsiaTheme="minorHAnsi"/>
        </w:rPr>
        <w:t>928</w:t>
      </w:r>
      <w:r w:rsidR="00A91586">
        <w:rPr>
          <w:rFonts w:eastAsiaTheme="minorHAnsi"/>
        </w:rPr>
        <w:t xml:space="preserve"> </w:t>
      </w:r>
      <w:r w:rsidR="007D5FE2" w:rsidRPr="0007320C">
        <w:rPr>
          <w:rFonts w:eastAsiaTheme="minorHAnsi"/>
        </w:rPr>
        <w:t>Kč, k 31. 12. 2014 v celkové výši 406 3</w:t>
      </w:r>
      <w:r w:rsidR="00BD0228" w:rsidRPr="0007320C">
        <w:rPr>
          <w:rFonts w:eastAsiaTheme="minorHAnsi"/>
        </w:rPr>
        <w:t>38</w:t>
      </w:r>
      <w:r w:rsidR="009E105C" w:rsidRPr="0007320C">
        <w:rPr>
          <w:rFonts w:eastAsiaTheme="minorHAnsi"/>
        </w:rPr>
        <w:t> </w:t>
      </w:r>
      <w:r w:rsidR="00BD0228" w:rsidRPr="0007320C">
        <w:rPr>
          <w:rFonts w:eastAsiaTheme="minorHAnsi"/>
        </w:rPr>
        <w:t>712</w:t>
      </w:r>
      <w:r w:rsidR="009E105C" w:rsidRPr="0007320C">
        <w:rPr>
          <w:rFonts w:eastAsiaTheme="minorHAnsi"/>
        </w:rPr>
        <w:t xml:space="preserve"> </w:t>
      </w:r>
      <w:r w:rsidR="00BD0228" w:rsidRPr="0007320C">
        <w:rPr>
          <w:rFonts w:eastAsiaTheme="minorHAnsi"/>
        </w:rPr>
        <w:t>Kč a </w:t>
      </w:r>
      <w:r w:rsidR="007D5FE2" w:rsidRPr="0007320C">
        <w:rPr>
          <w:rFonts w:eastAsiaTheme="minorHAnsi"/>
        </w:rPr>
        <w:t>k 31. 12.</w:t>
      </w:r>
      <w:r w:rsidR="00A91586">
        <w:rPr>
          <w:rFonts w:eastAsiaTheme="minorHAnsi"/>
        </w:rPr>
        <w:t xml:space="preserve"> 2015 v celkové výši 158 353 531</w:t>
      </w:r>
      <w:r w:rsidR="007D5FE2" w:rsidRPr="0007320C">
        <w:rPr>
          <w:rFonts w:eastAsiaTheme="minorHAnsi"/>
        </w:rPr>
        <w:t xml:space="preserve"> Kč.</w:t>
      </w:r>
    </w:p>
    <w:p w14:paraId="2D1BD421" w14:textId="77777777" w:rsidR="00CF3E7D" w:rsidRPr="0007320C" w:rsidRDefault="00CF3E7D" w:rsidP="00CF3E7D">
      <w:pPr>
        <w:pStyle w:val="TextKP"/>
        <w:spacing w:before="0"/>
        <w:rPr>
          <w:rFonts w:eastAsiaTheme="minorHAnsi"/>
        </w:rPr>
      </w:pPr>
    </w:p>
    <w:p w14:paraId="036296BF" w14:textId="089B3554" w:rsidR="00A92A88" w:rsidRDefault="00BD0228" w:rsidP="00CF3E7D">
      <w:pPr>
        <w:pStyle w:val="TextKP"/>
        <w:spacing w:before="0"/>
        <w:rPr>
          <w:rFonts w:eastAsiaTheme="minorHAnsi"/>
        </w:rPr>
      </w:pPr>
      <w:r>
        <w:rPr>
          <w:rFonts w:eastAsiaTheme="minorHAnsi"/>
        </w:rPr>
        <w:lastRenderedPageBreak/>
        <w:t xml:space="preserve">Zvolený postup účtování a vykazování </w:t>
      </w:r>
      <w:r w:rsidR="007D5FE2" w:rsidRPr="00252ACE">
        <w:rPr>
          <w:rFonts w:eastAsiaTheme="minorHAnsi"/>
        </w:rPr>
        <w:t>mimorozpočtových zdrojů SÚKL významně ovlivňuje účetní závěrku</w:t>
      </w:r>
      <w:r>
        <w:rPr>
          <w:rFonts w:eastAsiaTheme="minorHAnsi"/>
        </w:rPr>
        <w:t xml:space="preserve"> také</w:t>
      </w:r>
      <w:r w:rsidR="007D5FE2" w:rsidRPr="00252ACE">
        <w:rPr>
          <w:rFonts w:eastAsiaTheme="minorHAnsi"/>
        </w:rPr>
        <w:t xml:space="preserve"> tím, že o odborných úkonech, které na žádost daných subjektů SÚKL provede, není ve věcné a časové souvislosti účtováno jako o výnosech z titulu </w:t>
      </w:r>
      <w:r w:rsidR="007D5FE2">
        <w:rPr>
          <w:rFonts w:eastAsiaTheme="minorHAnsi"/>
        </w:rPr>
        <w:t>provádění</w:t>
      </w:r>
      <w:r w:rsidR="007D5FE2" w:rsidRPr="00252ACE">
        <w:rPr>
          <w:rFonts w:eastAsiaTheme="minorHAnsi"/>
        </w:rPr>
        <w:t xml:space="preserve"> odborných výkonů, resp. posky</w:t>
      </w:r>
      <w:r w:rsidR="007D5FE2">
        <w:rPr>
          <w:rFonts w:eastAsiaTheme="minorHAnsi"/>
        </w:rPr>
        <w:t>tování služeb, ale</w:t>
      </w:r>
      <w:r w:rsidR="007D5FE2" w:rsidRPr="00252ACE">
        <w:rPr>
          <w:rFonts w:eastAsiaTheme="minorHAnsi"/>
        </w:rPr>
        <w:t xml:space="preserve"> </w:t>
      </w:r>
      <w:r w:rsidR="007D5FE2">
        <w:rPr>
          <w:rFonts w:eastAsiaTheme="minorHAnsi"/>
        </w:rPr>
        <w:t>je o nich účtováno jako</w:t>
      </w:r>
      <w:r w:rsidR="006D25D1">
        <w:rPr>
          <w:rFonts w:eastAsiaTheme="minorHAnsi"/>
        </w:rPr>
        <w:t xml:space="preserve"> </w:t>
      </w:r>
      <w:r w:rsidR="007D5FE2">
        <w:rPr>
          <w:rFonts w:eastAsiaTheme="minorHAnsi"/>
        </w:rPr>
        <w:t>o tvorbě</w:t>
      </w:r>
      <w:r w:rsidR="007D5FE2" w:rsidRPr="00252ACE">
        <w:rPr>
          <w:rFonts w:eastAsiaTheme="minorHAnsi"/>
        </w:rPr>
        <w:t xml:space="preserve"> </w:t>
      </w:r>
      <w:r w:rsidR="007D5FE2" w:rsidRPr="00252ACE">
        <w:rPr>
          <w:rFonts w:eastAsiaTheme="minorHAnsi"/>
          <w:i/>
        </w:rPr>
        <w:t>Rezervního fondu z ostatních titulů</w:t>
      </w:r>
      <w:r w:rsidR="007D5FE2" w:rsidRPr="00252ACE">
        <w:rPr>
          <w:rFonts w:eastAsiaTheme="minorHAnsi"/>
        </w:rPr>
        <w:t>. Mimorozpočtové zdroje SÚKL se vlivem tohoto způsobu účtování prom</w:t>
      </w:r>
      <w:r w:rsidR="007D5FE2">
        <w:rPr>
          <w:rFonts w:eastAsiaTheme="minorHAnsi"/>
        </w:rPr>
        <w:t>ítají do výnos</w:t>
      </w:r>
      <w:r w:rsidR="0034773A">
        <w:rPr>
          <w:rFonts w:eastAsiaTheme="minorHAnsi"/>
        </w:rPr>
        <w:t>ů</w:t>
      </w:r>
      <w:r w:rsidR="007D5FE2">
        <w:rPr>
          <w:rFonts w:eastAsiaTheme="minorHAnsi"/>
        </w:rPr>
        <w:t xml:space="preserve"> ne při realizaci</w:t>
      </w:r>
      <w:r w:rsidR="007D5FE2" w:rsidRPr="00252ACE">
        <w:rPr>
          <w:rFonts w:eastAsiaTheme="minorHAnsi"/>
        </w:rPr>
        <w:t xml:space="preserve"> služby (odborného úkonu), ale</w:t>
      </w:r>
      <w:r w:rsidR="006D25D1">
        <w:rPr>
          <w:rFonts w:eastAsiaTheme="minorHAnsi"/>
        </w:rPr>
        <w:t xml:space="preserve"> </w:t>
      </w:r>
      <w:r w:rsidR="007D5FE2" w:rsidRPr="00252ACE">
        <w:rPr>
          <w:rFonts w:eastAsiaTheme="minorHAnsi"/>
        </w:rPr>
        <w:t>až</w:t>
      </w:r>
      <w:r w:rsidR="006D25D1">
        <w:rPr>
          <w:rFonts w:eastAsiaTheme="minorHAnsi"/>
        </w:rPr>
        <w:t xml:space="preserve"> </w:t>
      </w:r>
      <w:r w:rsidR="007D5FE2" w:rsidRPr="00252ACE">
        <w:rPr>
          <w:rFonts w:eastAsiaTheme="minorHAnsi"/>
        </w:rPr>
        <w:t>při</w:t>
      </w:r>
      <w:r w:rsidR="006D25D1">
        <w:rPr>
          <w:rFonts w:eastAsiaTheme="minorHAnsi"/>
        </w:rPr>
        <w:t xml:space="preserve"> </w:t>
      </w:r>
      <w:r w:rsidR="007D5FE2" w:rsidRPr="00252ACE">
        <w:rPr>
          <w:rFonts w:eastAsiaTheme="minorHAnsi"/>
        </w:rPr>
        <w:t>uskutečňování běžných či kapitálových výdajů na základě rozpočtových opatře</w:t>
      </w:r>
      <w:r w:rsidR="00A900D5">
        <w:rPr>
          <w:rFonts w:eastAsiaTheme="minorHAnsi"/>
        </w:rPr>
        <w:t>ní formou čerpání fondů</w:t>
      </w:r>
      <w:r w:rsidR="007D5FE2" w:rsidRPr="00252ACE">
        <w:rPr>
          <w:rFonts w:eastAsiaTheme="minorHAnsi"/>
        </w:rPr>
        <w:t>.</w:t>
      </w:r>
    </w:p>
    <w:p w14:paraId="26B31D46" w14:textId="77777777" w:rsidR="00CF3E7D" w:rsidRPr="002B37C5" w:rsidRDefault="00CF3E7D" w:rsidP="00CF3E7D">
      <w:pPr>
        <w:pStyle w:val="TextKP"/>
        <w:spacing w:before="0"/>
        <w:rPr>
          <w:rFonts w:eastAsiaTheme="minorHAnsi"/>
        </w:rPr>
      </w:pPr>
    </w:p>
    <w:p w14:paraId="783DD0EF" w14:textId="5DE7E5CA" w:rsidR="005A1EE1" w:rsidRPr="00842AE8" w:rsidRDefault="005A1EE1" w:rsidP="00CF3E7D">
      <w:pPr>
        <w:pStyle w:val="TextKP"/>
        <w:spacing w:before="0"/>
        <w:rPr>
          <w:rFonts w:eastAsiaTheme="minorHAnsi"/>
        </w:rPr>
      </w:pPr>
      <w:r w:rsidRPr="00842AE8">
        <w:rPr>
          <w:rFonts w:eastAsiaTheme="minorHAnsi"/>
        </w:rPr>
        <w:t>SÚKL zvoleným postupem účtování o mimorozpočtových zdrojích SÚKL významně ovlivnil účetní závěrku sestavenou k 31. 12. 2013, k 31. 12. 2014 a k 31. 12. 2015</w:t>
      </w:r>
      <w:r w:rsidR="006D25D1">
        <w:rPr>
          <w:rFonts w:eastAsiaTheme="minorHAnsi"/>
        </w:rPr>
        <w:t>,</w:t>
      </w:r>
      <w:r w:rsidRPr="00842AE8">
        <w:rPr>
          <w:rFonts w:eastAsiaTheme="minorHAnsi"/>
        </w:rPr>
        <w:t xml:space="preserve"> a to zejména tím, že:</w:t>
      </w:r>
    </w:p>
    <w:p w14:paraId="76855FD3" w14:textId="7B877286" w:rsidR="005A1EE1" w:rsidRPr="00842AE8" w:rsidRDefault="005A1EE1" w:rsidP="00CF3E7D">
      <w:pPr>
        <w:pStyle w:val="TextKP"/>
        <w:numPr>
          <w:ilvl w:val="0"/>
          <w:numId w:val="38"/>
        </w:numPr>
        <w:spacing w:before="0"/>
        <w:ind w:left="284" w:hanging="284"/>
        <w:rPr>
          <w:rFonts w:eastAsiaTheme="minorHAnsi"/>
        </w:rPr>
      </w:pPr>
      <w:r w:rsidRPr="00842AE8">
        <w:rPr>
          <w:rFonts w:eastAsiaTheme="minorHAnsi"/>
        </w:rPr>
        <w:t>příjmy související s ukončením odborných výkonů, které SÚKL provádí na</w:t>
      </w:r>
      <w:r w:rsidR="006D25D1">
        <w:rPr>
          <w:rFonts w:eastAsiaTheme="minorHAnsi"/>
        </w:rPr>
        <w:t xml:space="preserve"> </w:t>
      </w:r>
      <w:r w:rsidRPr="00842AE8">
        <w:rPr>
          <w:rFonts w:eastAsiaTheme="minorHAnsi"/>
        </w:rPr>
        <w:t>základě žá</w:t>
      </w:r>
      <w:r w:rsidR="00C10D2B">
        <w:rPr>
          <w:rFonts w:eastAsiaTheme="minorHAnsi"/>
        </w:rPr>
        <w:t>dostí</w:t>
      </w:r>
      <w:r w:rsidRPr="00842AE8">
        <w:rPr>
          <w:rFonts w:eastAsiaTheme="minorHAnsi"/>
        </w:rPr>
        <w:t xml:space="preserve"> např. farmaceutických společností, nezachytil ve věcné a časové souvislosti jako výnosy z titulu poskytnutých služeb, čímž</w:t>
      </w:r>
      <w:r w:rsidR="006D25D1">
        <w:rPr>
          <w:rFonts w:eastAsiaTheme="minorHAnsi"/>
        </w:rPr>
        <w:t xml:space="preserve"> </w:t>
      </w:r>
      <w:r w:rsidRPr="00842AE8">
        <w:rPr>
          <w:rFonts w:eastAsiaTheme="minorHAnsi"/>
        </w:rPr>
        <w:t>významně podhodnotil výsledek hospodaření;</w:t>
      </w:r>
    </w:p>
    <w:p w14:paraId="75BA1D5B" w14:textId="7D485124" w:rsidR="00621BEC" w:rsidRPr="00842AE8" w:rsidRDefault="005A1EE1" w:rsidP="00CF3E7D">
      <w:pPr>
        <w:pStyle w:val="TextKP"/>
        <w:numPr>
          <w:ilvl w:val="0"/>
          <w:numId w:val="38"/>
        </w:numPr>
        <w:spacing w:before="0"/>
        <w:ind w:left="284" w:hanging="284"/>
        <w:rPr>
          <w:rFonts w:eastAsiaTheme="minorHAnsi"/>
        </w:rPr>
      </w:pPr>
      <w:r w:rsidRPr="00842AE8">
        <w:rPr>
          <w:rFonts w:eastAsiaTheme="minorHAnsi"/>
        </w:rPr>
        <w:t xml:space="preserve">ke dni účetní závěrky 31. 12. 2013, 31. 12. 2014 a 31. 12. 2015 přeúčtoval </w:t>
      </w:r>
      <w:r w:rsidRPr="00842AE8">
        <w:rPr>
          <w:rFonts w:eastAsiaTheme="minorHAnsi"/>
          <w:i/>
        </w:rPr>
        <w:t>Krátkodobé přijaté zálohy</w:t>
      </w:r>
      <w:r w:rsidRPr="00842AE8">
        <w:rPr>
          <w:rFonts w:eastAsiaTheme="minorHAnsi"/>
        </w:rPr>
        <w:t xml:space="preserve"> (SÚ 324) ve</w:t>
      </w:r>
      <w:r w:rsidR="006D25D1">
        <w:rPr>
          <w:rFonts w:eastAsiaTheme="minorHAnsi"/>
        </w:rPr>
        <w:t xml:space="preserve"> </w:t>
      </w:r>
      <w:r w:rsidRPr="00842AE8">
        <w:rPr>
          <w:rFonts w:eastAsiaTheme="minorHAnsi"/>
        </w:rPr>
        <w:t xml:space="preserve">prospěch tvorby </w:t>
      </w:r>
      <w:r w:rsidRPr="00842AE8">
        <w:rPr>
          <w:rFonts w:eastAsiaTheme="minorHAnsi"/>
          <w:i/>
        </w:rPr>
        <w:t>Rezervního fondu z ostatních titulů</w:t>
      </w:r>
      <w:r w:rsidRPr="00842AE8">
        <w:rPr>
          <w:rFonts w:eastAsiaTheme="minorHAnsi"/>
        </w:rPr>
        <w:t xml:space="preserve"> (SÚ 414), čímž sice neovlivnil celkovou hodnotu pasiv, nicméně významně změnil poměr vlastních a cizích zdrojů</w:t>
      </w:r>
      <w:r w:rsidR="006D25D1">
        <w:rPr>
          <w:rFonts w:eastAsiaTheme="minorHAnsi"/>
        </w:rPr>
        <w:t>,</w:t>
      </w:r>
      <w:r w:rsidRPr="00842AE8">
        <w:rPr>
          <w:rFonts w:eastAsiaTheme="minorHAnsi"/>
        </w:rPr>
        <w:t xml:space="preserve"> a tím </w:t>
      </w:r>
      <w:r w:rsidR="00FB725B">
        <w:rPr>
          <w:rFonts w:eastAsiaTheme="minorHAnsi"/>
        </w:rPr>
        <w:t xml:space="preserve">významně </w:t>
      </w:r>
      <w:r w:rsidRPr="00842AE8">
        <w:rPr>
          <w:rFonts w:eastAsiaTheme="minorHAnsi"/>
        </w:rPr>
        <w:t>ovlivnil úsudek uživatele účetní závěrky.</w:t>
      </w:r>
    </w:p>
    <w:p w14:paraId="6C507882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00052812" w14:textId="77777777" w:rsidR="00621BEC" w:rsidRPr="00500397" w:rsidRDefault="00621BEC" w:rsidP="00CF3E7D">
      <w:pPr>
        <w:pStyle w:val="TextKP"/>
        <w:spacing w:before="0"/>
        <w:rPr>
          <w:rFonts w:eastAsiaTheme="minorHAnsi"/>
          <w:b/>
        </w:rPr>
      </w:pPr>
      <w:r w:rsidRPr="00500397">
        <w:rPr>
          <w:rFonts w:eastAsiaTheme="minorHAnsi"/>
          <w:b/>
        </w:rPr>
        <w:t>Uvedeným způsobem SÚKL:</w:t>
      </w:r>
    </w:p>
    <w:p w14:paraId="60DEDF54" w14:textId="77777777" w:rsidR="005A1EE1" w:rsidRPr="00842AE8" w:rsidRDefault="005A1EE1" w:rsidP="00CF3E7D">
      <w:pPr>
        <w:pStyle w:val="TextKP"/>
        <w:numPr>
          <w:ilvl w:val="0"/>
          <w:numId w:val="37"/>
        </w:numPr>
        <w:spacing w:before="0"/>
        <w:ind w:left="284" w:hanging="284"/>
      </w:pPr>
      <w:r w:rsidRPr="00842AE8">
        <w:rPr>
          <w:rFonts w:eastAsiaTheme="minorHAnsi"/>
        </w:rPr>
        <w:t xml:space="preserve">podhodnotil výnosy, resp. položku výkazu zisku a ztráty </w:t>
      </w:r>
      <w:r w:rsidRPr="00842AE8">
        <w:rPr>
          <w:rFonts w:eastAsiaTheme="minorHAnsi"/>
          <w:i/>
        </w:rPr>
        <w:t>„</w:t>
      </w:r>
      <w:proofErr w:type="gramStart"/>
      <w:r w:rsidRPr="00842AE8">
        <w:rPr>
          <w:rFonts w:eastAsiaTheme="minorHAnsi"/>
          <w:i/>
        </w:rPr>
        <w:t>C.2.</w:t>
      </w:r>
      <w:proofErr w:type="gramEnd"/>
      <w:r w:rsidRPr="00842AE8">
        <w:rPr>
          <w:rFonts w:eastAsiaTheme="minorHAnsi"/>
          <w:i/>
        </w:rPr>
        <w:t xml:space="preserve"> Výsledek hospodaření běžného účetního období“</w:t>
      </w:r>
      <w:r w:rsidRPr="00842AE8">
        <w:rPr>
          <w:rFonts w:eastAsiaTheme="minorHAnsi"/>
        </w:rPr>
        <w:t xml:space="preserve"> k 31. 12. 2013 minimálně o 242 510 916 Kč, k 31. 12. 2014 minimálně o 24 580 465 Kč a k 31. 12. 2015 minimálně o 14 847 933 Kč;</w:t>
      </w:r>
    </w:p>
    <w:p w14:paraId="612A7A79" w14:textId="6D9DDFBA" w:rsidR="005A1EE1" w:rsidRPr="00842AE8" w:rsidRDefault="005A1EE1" w:rsidP="00CF3E7D">
      <w:pPr>
        <w:pStyle w:val="TextKP"/>
        <w:numPr>
          <w:ilvl w:val="0"/>
          <w:numId w:val="37"/>
        </w:numPr>
        <w:spacing w:before="0"/>
        <w:ind w:left="284" w:hanging="284"/>
      </w:pPr>
      <w:r w:rsidRPr="00842AE8">
        <w:rPr>
          <w:rFonts w:eastAsiaTheme="minorHAnsi"/>
        </w:rPr>
        <w:t xml:space="preserve">SÚKL zkreslil ke dni účetní závěrky poměr vlastních a cizích zdrojů podhodnocením položky </w:t>
      </w:r>
      <w:proofErr w:type="gramStart"/>
      <w:r w:rsidRPr="00842AE8">
        <w:rPr>
          <w:rFonts w:eastAsiaTheme="minorHAnsi"/>
        </w:rPr>
        <w:t xml:space="preserve">rozvahy </w:t>
      </w:r>
      <w:r w:rsidRPr="00842AE8">
        <w:rPr>
          <w:rFonts w:eastAsiaTheme="minorHAnsi"/>
          <w:i/>
        </w:rPr>
        <w:t>D.III</w:t>
      </w:r>
      <w:proofErr w:type="gramEnd"/>
      <w:r w:rsidRPr="00842AE8">
        <w:rPr>
          <w:rFonts w:eastAsiaTheme="minorHAnsi"/>
          <w:i/>
        </w:rPr>
        <w:t>.7. Krátkodobé přijaté zálohy</w:t>
      </w:r>
      <w:r w:rsidRPr="00842AE8">
        <w:rPr>
          <w:rFonts w:eastAsiaTheme="minorHAnsi"/>
        </w:rPr>
        <w:t xml:space="preserve"> a současně nadhodnocením položky rozvahy </w:t>
      </w:r>
      <w:proofErr w:type="gramStart"/>
      <w:r w:rsidRPr="005C3CCF">
        <w:rPr>
          <w:rFonts w:eastAsiaTheme="minorHAnsi"/>
          <w:i/>
        </w:rPr>
        <w:t>C.II</w:t>
      </w:r>
      <w:proofErr w:type="gramEnd"/>
      <w:r w:rsidRPr="005C3CCF">
        <w:rPr>
          <w:rFonts w:eastAsiaTheme="minorHAnsi"/>
          <w:i/>
        </w:rPr>
        <w:t>.4</w:t>
      </w:r>
      <w:r w:rsidRPr="00842AE8">
        <w:rPr>
          <w:rFonts w:eastAsiaTheme="minorHAnsi"/>
        </w:rPr>
        <w:t xml:space="preserve"> </w:t>
      </w:r>
      <w:r w:rsidRPr="00842AE8">
        <w:rPr>
          <w:rFonts w:eastAsiaTheme="minorHAnsi"/>
          <w:i/>
        </w:rPr>
        <w:t>Rezervní fond z ostatních titulů</w:t>
      </w:r>
      <w:r w:rsidRPr="00842AE8">
        <w:rPr>
          <w:rFonts w:eastAsiaTheme="minorHAnsi"/>
        </w:rPr>
        <w:t xml:space="preserve"> v roce 2013 ve výši 360 450 284</w:t>
      </w:r>
      <w:r w:rsidR="00A91586">
        <w:rPr>
          <w:rFonts w:eastAsiaTheme="minorHAnsi"/>
        </w:rPr>
        <w:t xml:space="preserve"> Kč, v roce </w:t>
      </w:r>
      <w:r w:rsidRPr="00842AE8">
        <w:rPr>
          <w:rFonts w:eastAsiaTheme="minorHAnsi"/>
        </w:rPr>
        <w:t xml:space="preserve">2014 ve výši 406 338 712 Kč a v roce </w:t>
      </w:r>
      <w:r w:rsidR="00621BEC" w:rsidRPr="00842AE8">
        <w:rPr>
          <w:rFonts w:eastAsiaTheme="minorHAnsi"/>
        </w:rPr>
        <w:t>2015 ve výši 158 353 531 Kč.</w:t>
      </w:r>
    </w:p>
    <w:p w14:paraId="07DF5C76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35A95D4F" w14:textId="6D740575" w:rsidR="0006072E" w:rsidRPr="00814825" w:rsidRDefault="005A1EE1" w:rsidP="006D25D1">
      <w:pPr>
        <w:pStyle w:val="Odstavecseseznamem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Cs w:val="22"/>
        </w:rPr>
      </w:pPr>
      <w:r w:rsidRPr="0007320C">
        <w:t xml:space="preserve">Z výše uvedeného plyne, že </w:t>
      </w:r>
      <w:r w:rsidR="00621BEC" w:rsidRPr="0007320C">
        <w:t xml:space="preserve">minimálně v kontrolovaném období došlo k </w:t>
      </w:r>
      <w:r w:rsidR="00023680" w:rsidRPr="0007320C">
        <w:t>významn</w:t>
      </w:r>
      <w:r w:rsidR="00621BEC" w:rsidRPr="0007320C">
        <w:t xml:space="preserve">ým </w:t>
      </w:r>
      <w:r w:rsidRPr="0007320C">
        <w:t>nesprávnostem v účetnictví SÚKL</w:t>
      </w:r>
      <w:r w:rsidR="00621BEC" w:rsidRPr="0007320C">
        <w:t xml:space="preserve">. Jedná se o </w:t>
      </w:r>
      <w:r w:rsidR="004B564A" w:rsidRPr="0007320C">
        <w:t>systémový nedostatek, který mění významným způsobem pohled na finanční situaci účetní jednotky</w:t>
      </w:r>
      <w:r w:rsidR="00984D4E" w:rsidRPr="0007320C">
        <w:t>,</w:t>
      </w:r>
      <w:r w:rsidR="004B564A" w:rsidRPr="0007320C">
        <w:t xml:space="preserve"> významně ovlivňuje účetní závěrku SÚKL</w:t>
      </w:r>
      <w:r w:rsidR="006D25D1">
        <w:t>,</w:t>
      </w:r>
      <w:r w:rsidR="004B564A" w:rsidRPr="0007320C">
        <w:t xml:space="preserve"> a</w:t>
      </w:r>
      <w:r w:rsidR="00984D4E" w:rsidRPr="0007320C">
        <w:t xml:space="preserve"> tím </w:t>
      </w:r>
      <w:r w:rsidR="006F28FC" w:rsidRPr="0007320C">
        <w:t>také významně ovlivňuje</w:t>
      </w:r>
      <w:r w:rsidR="004B564A" w:rsidRPr="0007320C">
        <w:t xml:space="preserve"> úsudek uživatelů účetní závěrky.</w:t>
      </w:r>
      <w:r w:rsidR="00023680" w:rsidRPr="0007320C">
        <w:t xml:space="preserve"> </w:t>
      </w:r>
      <w:r w:rsidR="00984D4E" w:rsidRPr="0007320C">
        <w:t>Nesprávnosti v </w:t>
      </w:r>
      <w:r w:rsidR="00023680" w:rsidRPr="0007320C">
        <w:t xml:space="preserve">účetnictví jsou </w:t>
      </w:r>
      <w:r w:rsidR="00466935" w:rsidRPr="0007320C">
        <w:t>uveden</w:t>
      </w:r>
      <w:r w:rsidR="00023680" w:rsidRPr="0007320C">
        <w:t>y v příloze č. 3</w:t>
      </w:r>
      <w:r w:rsidR="006D25D1">
        <w:t xml:space="preserve"> tohoto kontrolního závěru</w:t>
      </w:r>
      <w:r w:rsidR="00023680" w:rsidRPr="0007320C">
        <w:t xml:space="preserve">, </w:t>
      </w:r>
      <w:r w:rsidR="006D25D1">
        <w:t>kde je vyjádřen</w:t>
      </w:r>
      <w:r w:rsidR="00023680" w:rsidRPr="0007320C">
        <w:t xml:space="preserve"> </w:t>
      </w:r>
      <w:r w:rsidR="00984D4E" w:rsidRPr="0007320C">
        <w:t>vliv zjištěných nesprávností na</w:t>
      </w:r>
      <w:r w:rsidR="006D25D1">
        <w:t xml:space="preserve"> </w:t>
      </w:r>
      <w:r w:rsidR="00023680" w:rsidRPr="0007320C">
        <w:t>rozvahu a výkaz zisku a</w:t>
      </w:r>
      <w:r w:rsidR="006D25D1">
        <w:t> </w:t>
      </w:r>
      <w:r w:rsidR="00023680" w:rsidRPr="0007320C">
        <w:t>ztrát SÚKL.</w:t>
      </w:r>
    </w:p>
    <w:p w14:paraId="2555501D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5C10B71D" w14:textId="3E3CCE0E" w:rsidR="00DA515B" w:rsidRPr="005C3CCF" w:rsidRDefault="00CF3E7D" w:rsidP="00CF3E7D">
      <w:pPr>
        <w:tabs>
          <w:tab w:val="right" w:pos="9072"/>
        </w:tabs>
        <w:rPr>
          <w:b/>
        </w:rPr>
      </w:pPr>
      <w:r w:rsidRPr="005C3CCF">
        <w:rPr>
          <w:b/>
          <w:noProof/>
          <w:lang w:eastAsia="cs-CZ"/>
        </w:rPr>
        <w:lastRenderedPageBreak/>
        <w:drawing>
          <wp:anchor distT="0" distB="0" distL="114300" distR="114300" simplePos="0" relativeHeight="251655167" behindDoc="0" locked="0" layoutInCell="1" allowOverlap="1" wp14:anchorId="2F1B9607" wp14:editId="330F5C6E">
            <wp:simplePos x="0" y="0"/>
            <wp:positionH relativeFrom="margin">
              <wp:posOffset>-15240</wp:posOffset>
            </wp:positionH>
            <wp:positionV relativeFrom="paragraph">
              <wp:posOffset>335915</wp:posOffset>
            </wp:positionV>
            <wp:extent cx="5772150" cy="2743200"/>
            <wp:effectExtent l="0" t="0" r="0" b="0"/>
            <wp:wrapTopAndBottom/>
            <wp:docPr id="22" name="Graf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15B" w:rsidRPr="005C3CCF">
        <w:rPr>
          <w:b/>
        </w:rPr>
        <w:t>Graf č. 4: Ovlivnění pohledu na finanční situaci SÚKL</w:t>
      </w:r>
      <w:r w:rsidR="00DA515B" w:rsidRPr="005C3CCF">
        <w:rPr>
          <w:b/>
        </w:rPr>
        <w:tab/>
        <w:t>(</w:t>
      </w:r>
      <w:r w:rsidR="00924074">
        <w:rPr>
          <w:b/>
        </w:rPr>
        <w:t>v </w:t>
      </w:r>
      <w:r w:rsidR="00DA515B" w:rsidRPr="005C3CCF">
        <w:rPr>
          <w:b/>
        </w:rPr>
        <w:t>%)</w:t>
      </w:r>
    </w:p>
    <w:p w14:paraId="5DF4D79F" w14:textId="40C94609" w:rsidR="00DA515B" w:rsidRPr="005C3CCF" w:rsidRDefault="009063C1" w:rsidP="00CF3E7D">
      <w:pPr>
        <w:pStyle w:val="Zdroj"/>
        <w:ind w:left="567" w:hanging="567"/>
        <w:rPr>
          <w:rFonts w:asciiTheme="minorHAnsi" w:hAnsiTheme="minorHAnsi" w:cstheme="minorHAnsi"/>
          <w:i w:val="0"/>
          <w:u w:val="single"/>
        </w:rPr>
      </w:pPr>
      <w:r w:rsidRPr="005C3CCF">
        <w:rPr>
          <w:b/>
          <w:i w:val="0"/>
        </w:rPr>
        <w:t>Zdroj:</w:t>
      </w:r>
      <w:r w:rsidRPr="005C3CCF">
        <w:rPr>
          <w:i w:val="0"/>
        </w:rPr>
        <w:tab/>
      </w:r>
      <w:r w:rsidR="00815EAB">
        <w:rPr>
          <w:i w:val="0"/>
        </w:rPr>
        <w:t>r</w:t>
      </w:r>
      <w:r w:rsidRPr="005C3CCF">
        <w:rPr>
          <w:i w:val="0"/>
        </w:rPr>
        <w:t>ozvah</w:t>
      </w:r>
      <w:r w:rsidR="00815EAB">
        <w:rPr>
          <w:i w:val="0"/>
        </w:rPr>
        <w:t>y</w:t>
      </w:r>
      <w:r w:rsidRPr="005C3CCF">
        <w:rPr>
          <w:i w:val="0"/>
        </w:rPr>
        <w:t xml:space="preserve"> SÚKL sestaven</w:t>
      </w:r>
      <w:r w:rsidR="00815EAB">
        <w:rPr>
          <w:i w:val="0"/>
        </w:rPr>
        <w:t>é</w:t>
      </w:r>
      <w:r w:rsidRPr="005C3CCF">
        <w:rPr>
          <w:i w:val="0"/>
        </w:rPr>
        <w:t xml:space="preserve"> k 31. 12. 2013, </w:t>
      </w:r>
      <w:r w:rsidR="00A91586" w:rsidRPr="005C3CCF">
        <w:rPr>
          <w:i w:val="0"/>
        </w:rPr>
        <w:t xml:space="preserve">k </w:t>
      </w:r>
      <w:r w:rsidRPr="005C3CCF">
        <w:rPr>
          <w:i w:val="0"/>
        </w:rPr>
        <w:t>31. 12. 2014 a k 31. 12. 2015, skutečnosti zjištěné kontrolou</w:t>
      </w:r>
      <w:r w:rsidR="003F7ABE" w:rsidRPr="005C3CCF">
        <w:rPr>
          <w:i w:val="0"/>
        </w:rPr>
        <w:t>.</w:t>
      </w:r>
      <w:r w:rsidRPr="005C3CCF">
        <w:rPr>
          <w:rFonts w:asciiTheme="minorHAnsi" w:hAnsiTheme="minorHAnsi" w:cstheme="minorHAnsi"/>
          <w:i w:val="0"/>
          <w:u w:val="single"/>
        </w:rPr>
        <w:t xml:space="preserve"> </w:t>
      </w:r>
    </w:p>
    <w:p w14:paraId="557D1BA2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58B34160" w14:textId="43DCAC26" w:rsidR="001721B1" w:rsidRPr="005C3CCF" w:rsidRDefault="001721B1" w:rsidP="00CF3E7D">
      <w:pPr>
        <w:rPr>
          <w:rFonts w:asciiTheme="minorHAnsi" w:hAnsiTheme="minorHAnsi" w:cstheme="minorHAnsi"/>
          <w:b/>
        </w:rPr>
      </w:pPr>
      <w:r w:rsidRPr="005C3CCF">
        <w:rPr>
          <w:rFonts w:asciiTheme="minorHAnsi" w:hAnsiTheme="minorHAnsi" w:cstheme="minorHAnsi"/>
          <w:b/>
        </w:rPr>
        <w:t>K části II. bodu 2:</w:t>
      </w:r>
    </w:p>
    <w:p w14:paraId="3C643BF7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455AAE59" w14:textId="7BA3252C" w:rsidR="001721B1" w:rsidRPr="00CF3E7D" w:rsidRDefault="001721B1" w:rsidP="004D5A8A">
      <w:pPr>
        <w:pStyle w:val="TextKP"/>
        <w:spacing w:before="0"/>
        <w:jc w:val="left"/>
        <w:rPr>
          <w:b/>
        </w:rPr>
      </w:pPr>
      <w:r w:rsidRPr="00CF3E7D">
        <w:rPr>
          <w:b/>
        </w:rPr>
        <w:t xml:space="preserve">Hospodárnost, efektivnost a účelnost vynakládaných výdajů SÚKL nebyly ze strany </w:t>
      </w:r>
      <w:proofErr w:type="spellStart"/>
      <w:r w:rsidRPr="00CF3E7D">
        <w:rPr>
          <w:b/>
        </w:rPr>
        <w:t>MZ</w:t>
      </w:r>
      <w:r w:rsidR="009B434B">
        <w:rPr>
          <w:b/>
        </w:rPr>
        <w:t>d</w:t>
      </w:r>
      <w:proofErr w:type="spellEnd"/>
      <w:r w:rsidRPr="00CF3E7D">
        <w:rPr>
          <w:b/>
        </w:rPr>
        <w:t xml:space="preserve"> sledovány a vyhodnocovány</w:t>
      </w:r>
    </w:p>
    <w:p w14:paraId="6BFB398B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42DF760E" w14:textId="48D04FE9" w:rsidR="001721B1" w:rsidRPr="00CF3E7D" w:rsidRDefault="001721B1" w:rsidP="00CF3E7D">
      <w:pPr>
        <w:jc w:val="both"/>
        <w:rPr>
          <w:rFonts w:asciiTheme="minorHAnsi" w:hAnsiTheme="minorHAnsi"/>
        </w:rPr>
      </w:pPr>
      <w:r w:rsidRPr="00CF3E7D">
        <w:rPr>
          <w:rFonts w:asciiTheme="minorHAnsi" w:hAnsiTheme="minorHAnsi"/>
        </w:rPr>
        <w:t xml:space="preserve">SÚKL hradí od roku 2009 veškeré investice z mimorozpočtových zdrojů, a tak není povinen řídit se povinnostmi stanovenými zákonem č. 218/2008 Sb. ve vztahu k programovému financování, např. vypracovávat investiční záměr a předávat jej </w:t>
      </w:r>
      <w:proofErr w:type="spellStart"/>
      <w:r w:rsidRPr="00CF3E7D">
        <w:rPr>
          <w:rFonts w:asciiTheme="minorHAnsi" w:hAnsiTheme="minorHAnsi"/>
        </w:rPr>
        <w:t>MZ</w:t>
      </w:r>
      <w:r w:rsidR="009B434B">
        <w:rPr>
          <w:rFonts w:asciiTheme="minorHAnsi" w:hAnsiTheme="minorHAnsi"/>
        </w:rPr>
        <w:t>d</w:t>
      </w:r>
      <w:proofErr w:type="spellEnd"/>
      <w:r w:rsidRPr="00CF3E7D">
        <w:rPr>
          <w:rFonts w:asciiTheme="minorHAnsi" w:hAnsiTheme="minorHAnsi"/>
        </w:rPr>
        <w:t xml:space="preserve"> (správci kapitoly) ke</w:t>
      </w:r>
      <w:r w:rsidR="002C0694">
        <w:rPr>
          <w:rFonts w:asciiTheme="minorHAnsi" w:hAnsiTheme="minorHAnsi"/>
        </w:rPr>
        <w:t xml:space="preserve"> </w:t>
      </w:r>
      <w:r w:rsidRPr="00CF3E7D">
        <w:rPr>
          <w:rFonts w:asciiTheme="minorHAnsi" w:hAnsiTheme="minorHAnsi"/>
        </w:rPr>
        <w:t>schválení. Při realizaci investic hrazených z mimorozpočtových prostředků SÚKL nemá povinnost zpracovávat investiční záměr či jiný obdobný dokument.</w:t>
      </w:r>
    </w:p>
    <w:p w14:paraId="4F81F850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3BA791B9" w14:textId="4BBBF763" w:rsidR="001721B1" w:rsidRPr="00CF3E7D" w:rsidRDefault="001721B1" w:rsidP="00CF3E7D">
      <w:pPr>
        <w:jc w:val="both"/>
        <w:rPr>
          <w:rFonts w:asciiTheme="minorHAnsi" w:hAnsiTheme="minorHAnsi"/>
          <w:b/>
        </w:rPr>
      </w:pPr>
      <w:proofErr w:type="spellStart"/>
      <w:r w:rsidRPr="00CF3E7D">
        <w:rPr>
          <w:rFonts w:asciiTheme="minorHAnsi" w:hAnsiTheme="minorHAnsi"/>
          <w:b/>
        </w:rPr>
        <w:t>MZ</w:t>
      </w:r>
      <w:r w:rsidR="009B434B">
        <w:rPr>
          <w:rFonts w:asciiTheme="minorHAnsi" w:hAnsiTheme="minorHAnsi"/>
          <w:b/>
        </w:rPr>
        <w:t>d</w:t>
      </w:r>
      <w:proofErr w:type="spellEnd"/>
      <w:r w:rsidRPr="00CF3E7D">
        <w:rPr>
          <w:rFonts w:asciiTheme="minorHAnsi" w:hAnsiTheme="minorHAnsi"/>
          <w:b/>
        </w:rPr>
        <w:t xml:space="preserve"> nepostupovalo v souladu s ustanovením § 39 odst. 3</w:t>
      </w:r>
      <w:r w:rsidR="008B1EA4">
        <w:rPr>
          <w:rFonts w:asciiTheme="minorHAnsi" w:hAnsiTheme="minorHAnsi"/>
          <w:b/>
        </w:rPr>
        <w:t xml:space="preserve"> zákona č. 218/2000 Sb., když v </w:t>
      </w:r>
      <w:r w:rsidRPr="00CF3E7D">
        <w:rPr>
          <w:rFonts w:asciiTheme="minorHAnsi" w:hAnsiTheme="minorHAnsi"/>
          <w:b/>
        </w:rPr>
        <w:t xml:space="preserve">letech 2013 až 2015 nesledovalo a nevyhodnocovalo hospodárnost, efektivnost a účelnost vynakládání výdajů u SÚKL. Jedná se o systémový nedostatek, neboť vzhledem k nastavenému systému hospodaření SÚKL s náhradami výdajů za provedené odborné úkony podle § 112 zákona č. 378/2007 Sb. </w:t>
      </w:r>
      <w:proofErr w:type="spellStart"/>
      <w:r w:rsidRPr="00CF3E7D">
        <w:rPr>
          <w:rFonts w:asciiTheme="minorHAnsi" w:hAnsiTheme="minorHAnsi"/>
          <w:b/>
        </w:rPr>
        <w:t>MZ</w:t>
      </w:r>
      <w:r w:rsidR="009B434B">
        <w:rPr>
          <w:rFonts w:asciiTheme="minorHAnsi" w:hAnsiTheme="minorHAnsi"/>
          <w:b/>
        </w:rPr>
        <w:t>d</w:t>
      </w:r>
      <w:proofErr w:type="spellEnd"/>
      <w:r w:rsidRPr="00CF3E7D">
        <w:rPr>
          <w:rFonts w:asciiTheme="minorHAnsi" w:hAnsiTheme="minorHAnsi"/>
          <w:b/>
        </w:rPr>
        <w:t xml:space="preserve"> </w:t>
      </w:r>
      <w:r w:rsidR="005E1E86">
        <w:rPr>
          <w:rFonts w:asciiTheme="minorHAnsi" w:hAnsiTheme="minorHAnsi"/>
          <w:b/>
        </w:rPr>
        <w:t>nemá kontrolu</w:t>
      </w:r>
      <w:r w:rsidRPr="00CF3E7D">
        <w:rPr>
          <w:rFonts w:asciiTheme="minorHAnsi" w:hAnsiTheme="minorHAnsi"/>
          <w:b/>
        </w:rPr>
        <w:t xml:space="preserve"> nad využitím peněžních prostředků </w:t>
      </w:r>
      <w:r w:rsidR="00063E74" w:rsidRPr="00CF3E7D">
        <w:rPr>
          <w:rFonts w:asciiTheme="minorHAnsi" w:hAnsiTheme="minorHAnsi"/>
          <w:b/>
        </w:rPr>
        <w:t xml:space="preserve">převedených </w:t>
      </w:r>
      <w:r w:rsidRPr="00CF3E7D">
        <w:rPr>
          <w:rFonts w:asciiTheme="minorHAnsi" w:hAnsiTheme="minorHAnsi"/>
          <w:b/>
        </w:rPr>
        <w:t xml:space="preserve">ze zvláštního účtu na příjmový účet SÚKL. Pokud SÚKL nepředloží investiční záměr </w:t>
      </w:r>
      <w:proofErr w:type="spellStart"/>
      <w:r w:rsidRPr="00CF3E7D">
        <w:rPr>
          <w:rFonts w:asciiTheme="minorHAnsi" w:hAnsiTheme="minorHAnsi"/>
          <w:b/>
        </w:rPr>
        <w:t>MZ</w:t>
      </w:r>
      <w:r w:rsidR="009B434B">
        <w:rPr>
          <w:rFonts w:asciiTheme="minorHAnsi" w:hAnsiTheme="minorHAnsi"/>
          <w:b/>
        </w:rPr>
        <w:t>d</w:t>
      </w:r>
      <w:proofErr w:type="spellEnd"/>
      <w:r w:rsidRPr="00CF3E7D">
        <w:rPr>
          <w:rFonts w:asciiTheme="minorHAnsi" w:hAnsiTheme="minorHAnsi"/>
          <w:b/>
        </w:rPr>
        <w:t xml:space="preserve">, nemá příslušný odbor </w:t>
      </w:r>
      <w:proofErr w:type="spellStart"/>
      <w:r w:rsidRPr="00CF3E7D">
        <w:rPr>
          <w:rFonts w:asciiTheme="minorHAnsi" w:hAnsiTheme="minorHAnsi"/>
          <w:b/>
        </w:rPr>
        <w:t>MZ</w:t>
      </w:r>
      <w:r w:rsidR="009B434B">
        <w:rPr>
          <w:rFonts w:asciiTheme="minorHAnsi" w:hAnsiTheme="minorHAnsi"/>
          <w:b/>
        </w:rPr>
        <w:t>d</w:t>
      </w:r>
      <w:proofErr w:type="spellEnd"/>
      <w:r w:rsidRPr="00CF3E7D">
        <w:rPr>
          <w:rFonts w:asciiTheme="minorHAnsi" w:hAnsiTheme="minorHAnsi"/>
          <w:b/>
        </w:rPr>
        <w:t xml:space="preserve"> informace o</w:t>
      </w:r>
      <w:r w:rsidR="005E1E86">
        <w:rPr>
          <w:rFonts w:asciiTheme="minorHAnsi" w:hAnsiTheme="minorHAnsi"/>
          <w:b/>
        </w:rPr>
        <w:t> </w:t>
      </w:r>
      <w:r w:rsidRPr="00CF3E7D">
        <w:rPr>
          <w:rFonts w:asciiTheme="minorHAnsi" w:hAnsiTheme="minorHAnsi"/>
          <w:b/>
        </w:rPr>
        <w:t>činnosti nebo nečinnosti SÚKL v oblasti investic.</w:t>
      </w:r>
    </w:p>
    <w:p w14:paraId="55436E38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2ECDF23E" w14:textId="13270D63" w:rsidR="001721B1" w:rsidRPr="00CF3E7D" w:rsidRDefault="001721B1" w:rsidP="00CF3E7D">
      <w:pPr>
        <w:pStyle w:val="TextKP"/>
        <w:spacing w:before="0"/>
        <w:rPr>
          <w:rFonts w:eastAsiaTheme="minorHAnsi"/>
        </w:rPr>
      </w:pPr>
      <w:proofErr w:type="spellStart"/>
      <w:r w:rsidRPr="00CF3E7D">
        <w:rPr>
          <w:rFonts w:eastAsiaTheme="minorHAnsi"/>
        </w:rPr>
        <w:t>MZ</w:t>
      </w:r>
      <w:r w:rsidR="009B434B">
        <w:rPr>
          <w:rFonts w:eastAsiaTheme="minorHAnsi"/>
        </w:rPr>
        <w:t>d</w:t>
      </w:r>
      <w:proofErr w:type="spellEnd"/>
      <w:r w:rsidRPr="00CF3E7D">
        <w:rPr>
          <w:rFonts w:eastAsiaTheme="minorHAnsi"/>
        </w:rPr>
        <w:t xml:space="preserve"> vydalo v roce 2008 pro SÚKL pravidla účtování, v nichž upravilo postup pro účtování, čerpání a využití mimorozpočtových prostředků vybíraných SÚKL dle ustanovení § 112 zákona č. 378/2007 Sb., přičemž uvedené postupy nemají oporu v zákonech č. 218/2000 Sb., č. 378/2007 Sb. a v právních předpisech pro vedení účetnictví a stanovujících způsob zveřejňování informací z účetnictví, např. zákon č. 563/1991 Sb.</w:t>
      </w:r>
    </w:p>
    <w:p w14:paraId="5268A8F0" w14:textId="77777777" w:rsidR="00CF3E7D" w:rsidRPr="00CF3E7D" w:rsidRDefault="00CF3E7D" w:rsidP="00CF3E7D">
      <w:pPr>
        <w:pStyle w:val="TextKP"/>
        <w:spacing w:before="0"/>
        <w:rPr>
          <w:rFonts w:eastAsiaTheme="minorHAnsi"/>
        </w:rPr>
      </w:pPr>
    </w:p>
    <w:p w14:paraId="3D6D6203" w14:textId="100D76C1" w:rsidR="00A83C84" w:rsidRDefault="001721B1" w:rsidP="00CF3E7D">
      <w:pPr>
        <w:pStyle w:val="TextKP"/>
        <w:spacing w:before="0"/>
      </w:pPr>
      <w:r w:rsidRPr="00CF3E7D">
        <w:t xml:space="preserve">V roce 2013 </w:t>
      </w:r>
      <w:r w:rsidR="005E1E86">
        <w:t>podepsali</w:t>
      </w:r>
      <w:r w:rsidRPr="00CF3E7D">
        <w:t xml:space="preserve"> tehdejší ředitel SÚKL </w:t>
      </w:r>
      <w:r w:rsidR="00916D3F">
        <w:t>a</w:t>
      </w:r>
      <w:r w:rsidRPr="00CF3E7D">
        <w:t xml:space="preserve"> ministr zdravotnictví dokument nazvaný „</w:t>
      </w:r>
      <w:r w:rsidRPr="00CF3E7D">
        <w:rPr>
          <w:i/>
        </w:rPr>
        <w:t>STATUT Státního ústavu pro kontrolu léčiv ze dne 6. 8. 2013</w:t>
      </w:r>
      <w:r w:rsidRPr="00CF3E7D">
        <w:t xml:space="preserve">”. Od nabytí účinnosti zákona </w:t>
      </w:r>
      <w:r w:rsidRPr="00CF3E7D">
        <w:lastRenderedPageBreak/>
        <w:t>č.</w:t>
      </w:r>
      <w:r w:rsidR="007A734B">
        <w:t> </w:t>
      </w:r>
      <w:r w:rsidRPr="00CF3E7D">
        <w:t xml:space="preserve">378/2007 Sb. již právní řád </w:t>
      </w:r>
      <w:r w:rsidR="009B434B">
        <w:t>neukládá</w:t>
      </w:r>
      <w:r w:rsidRPr="00CF3E7D">
        <w:t xml:space="preserve"> povinnost </w:t>
      </w:r>
      <w:r w:rsidR="009B434B">
        <w:t>upravovat</w:t>
      </w:r>
      <w:r w:rsidRPr="00CF3E7D">
        <w:t xml:space="preserve"> </w:t>
      </w:r>
      <w:r w:rsidR="009B434B">
        <w:t>s</w:t>
      </w:r>
      <w:r w:rsidRPr="00CF3E7D">
        <w:t xml:space="preserve">tatut SÚKL. Vydání </w:t>
      </w:r>
      <w:r w:rsidR="009B434B">
        <w:t>s</w:t>
      </w:r>
      <w:r w:rsidRPr="00CF3E7D">
        <w:t>tatutu v</w:t>
      </w:r>
      <w:r w:rsidR="007A734B">
        <w:t> </w:t>
      </w:r>
      <w:r w:rsidRPr="00CF3E7D">
        <w:t>roce</w:t>
      </w:r>
      <w:r w:rsidR="007A734B">
        <w:t> </w:t>
      </w:r>
      <w:r w:rsidRPr="00CF3E7D">
        <w:t>2013 nemělo oporu v právních předpisech.</w:t>
      </w:r>
    </w:p>
    <w:p w14:paraId="35D72F03" w14:textId="439DB238" w:rsidR="004D174C" w:rsidRPr="00CF3E7D" w:rsidRDefault="004D174C" w:rsidP="00CF3E7D">
      <w:pPr>
        <w:rPr>
          <w:rFonts w:asciiTheme="minorHAnsi" w:hAnsiTheme="minorHAnsi" w:cstheme="minorHAnsi"/>
          <w:u w:val="single"/>
        </w:rPr>
      </w:pPr>
    </w:p>
    <w:p w14:paraId="2855DD6A" w14:textId="1FA98FAA" w:rsidR="004749A3" w:rsidRPr="005E1E86" w:rsidRDefault="004749A3" w:rsidP="00CF3E7D">
      <w:pPr>
        <w:rPr>
          <w:rFonts w:asciiTheme="minorHAnsi" w:hAnsiTheme="minorHAnsi" w:cs="Arial"/>
          <w:b/>
          <w:szCs w:val="22"/>
        </w:rPr>
      </w:pPr>
      <w:r w:rsidRPr="005E4188">
        <w:rPr>
          <w:rFonts w:asciiTheme="minorHAnsi" w:hAnsiTheme="minorHAnsi" w:cstheme="minorHAnsi"/>
          <w:b/>
        </w:rPr>
        <w:t>K části II. bodu 3:</w:t>
      </w:r>
    </w:p>
    <w:p w14:paraId="3C0EA833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011BFA90" w14:textId="08DA8DBF" w:rsidR="007D7EA3" w:rsidRPr="005E1E86" w:rsidRDefault="005E1E86" w:rsidP="005E1E86">
      <w:pPr>
        <w:jc w:val="both"/>
        <w:rPr>
          <w:b/>
        </w:rPr>
      </w:pPr>
      <w:r w:rsidRPr="005E1E86">
        <w:rPr>
          <w:b/>
        </w:rPr>
        <w:t>OBLAST IS A ICT</w:t>
      </w:r>
    </w:p>
    <w:p w14:paraId="6D524650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29680BA1" w14:textId="77777777" w:rsidR="00B47D65" w:rsidRDefault="003449EF" w:rsidP="00CF3E7D">
      <w:pPr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 xml:space="preserve">Informační systémy SÚKL byly </w:t>
      </w:r>
      <w:r w:rsidR="0014173A">
        <w:rPr>
          <w:rFonts w:asciiTheme="minorHAnsi" w:hAnsiTheme="minorHAnsi" w:cs="Arial"/>
          <w:b/>
          <w:szCs w:val="22"/>
        </w:rPr>
        <w:t xml:space="preserve">budovány a </w:t>
      </w:r>
      <w:r>
        <w:rPr>
          <w:rFonts w:asciiTheme="minorHAnsi" w:hAnsiTheme="minorHAnsi" w:cs="Arial"/>
          <w:b/>
          <w:szCs w:val="22"/>
        </w:rPr>
        <w:t>řízeny nekoncepčně</w:t>
      </w:r>
    </w:p>
    <w:p w14:paraId="167D3C37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1792E480" w14:textId="74C810E5" w:rsidR="003449EF" w:rsidRPr="00FA2120" w:rsidRDefault="003449EF" w:rsidP="00CF3E7D">
      <w:pPr>
        <w:pStyle w:val="TextKP"/>
        <w:spacing w:before="0"/>
      </w:pPr>
      <w:r>
        <w:t>SÚKL</w:t>
      </w:r>
      <w:r w:rsidRPr="00FA2120">
        <w:t xml:space="preserve"> jako orgán veřejné správy v rozsahu své zákonné působnosti provádí výběr technických a programových prostředků a dalších produktů pro provoz jím vytvářených a sp</w:t>
      </w:r>
      <w:r w:rsidR="006A4EFE">
        <w:t>ravovaných informačních systémů</w:t>
      </w:r>
      <w:r w:rsidR="00FC05D7">
        <w:t xml:space="preserve"> veřejné správy</w:t>
      </w:r>
      <w:r w:rsidR="006A4EFE">
        <w:t xml:space="preserve">, kterými jsou </w:t>
      </w:r>
      <w:r w:rsidR="006A4EFE" w:rsidRPr="005E4188">
        <w:rPr>
          <w:i/>
        </w:rPr>
        <w:t xml:space="preserve">Centrální </w:t>
      </w:r>
      <w:r w:rsidR="00105C4A" w:rsidRPr="005E4188">
        <w:rPr>
          <w:i/>
        </w:rPr>
        <w:t>úložiště elektronických receptů</w:t>
      </w:r>
      <w:r w:rsidR="006A4EFE">
        <w:t xml:space="preserve">, </w:t>
      </w:r>
      <w:r w:rsidR="006A4EFE" w:rsidRPr="005E4188">
        <w:rPr>
          <w:i/>
        </w:rPr>
        <w:t>Registr pro léčebné přípravky s</w:t>
      </w:r>
      <w:r w:rsidR="00BF0916" w:rsidRPr="005E4188">
        <w:rPr>
          <w:i/>
        </w:rPr>
        <w:t> </w:t>
      </w:r>
      <w:r w:rsidR="006A4EFE" w:rsidRPr="005E4188">
        <w:rPr>
          <w:i/>
        </w:rPr>
        <w:t>omezením</w:t>
      </w:r>
      <w:r w:rsidR="006A4EFE">
        <w:t xml:space="preserve">, </w:t>
      </w:r>
      <w:r w:rsidR="006A4EFE" w:rsidRPr="005E4188">
        <w:rPr>
          <w:i/>
        </w:rPr>
        <w:t>Centrální databáze nežádoucích účinků</w:t>
      </w:r>
      <w:r w:rsidR="006A4EFE">
        <w:t xml:space="preserve">, </w:t>
      </w:r>
      <w:r w:rsidR="006A4EFE" w:rsidRPr="005E4188">
        <w:rPr>
          <w:i/>
        </w:rPr>
        <w:t>Správní řízení databáze léčivých přípravků</w:t>
      </w:r>
      <w:r w:rsidR="006A4EFE">
        <w:t xml:space="preserve"> a od roku 2015 také </w:t>
      </w:r>
      <w:r w:rsidR="006A4EFE" w:rsidRPr="005E4188">
        <w:rPr>
          <w:i/>
        </w:rPr>
        <w:t>Registr zdravotnických prostředků</w:t>
      </w:r>
      <w:r w:rsidR="006A4EFE">
        <w:t xml:space="preserve">. </w:t>
      </w:r>
      <w:r w:rsidRPr="00FA2120">
        <w:t xml:space="preserve">K zabezpečení dlouhodobého řízení </w:t>
      </w:r>
      <w:r w:rsidR="00FC05D7">
        <w:t>ISVS</w:t>
      </w:r>
      <w:r>
        <w:t xml:space="preserve"> </w:t>
      </w:r>
      <w:r w:rsidRPr="00FA2120">
        <w:t xml:space="preserve">zákon č. 365/2000 Sb. ukládá orgánům veřejné správy </w:t>
      </w:r>
      <w:r>
        <w:t xml:space="preserve">povinnost </w:t>
      </w:r>
      <w:r w:rsidRPr="00FA2120">
        <w:t>vytvářet a vydávat informační koncepci, kterou orgány veř</w:t>
      </w:r>
      <w:r w:rsidR="00BF0916">
        <w:t>ejné správy uplatňují v praxi a </w:t>
      </w:r>
      <w:r w:rsidRPr="00FA2120">
        <w:t xml:space="preserve">vyhodnocují její dodržování. </w:t>
      </w:r>
      <w:r>
        <w:t xml:space="preserve">Povinnosti </w:t>
      </w:r>
      <w:r w:rsidR="000923A0">
        <w:t>dané</w:t>
      </w:r>
      <w:r>
        <w:t xml:space="preserve"> § 5a zákona </w:t>
      </w:r>
      <w:r w:rsidR="001200F7">
        <w:t>č. 365/2000 Sb.</w:t>
      </w:r>
      <w:r>
        <w:t xml:space="preserve">, resp. i jiné povinnosti </w:t>
      </w:r>
      <w:r w:rsidR="000923A0">
        <w:t>uložené</w:t>
      </w:r>
      <w:r>
        <w:t xml:space="preserve"> orgánům veřejné správy </w:t>
      </w:r>
      <w:r w:rsidR="000923A0">
        <w:t>tímto zákonem</w:t>
      </w:r>
      <w:r>
        <w:t xml:space="preserve"> se nevztahuj</w:t>
      </w:r>
      <w:r w:rsidR="000923A0">
        <w:t>í</w:t>
      </w:r>
      <w:r>
        <w:t xml:space="preserve"> na provozní informační systémy, které </w:t>
      </w:r>
      <w:r w:rsidR="001200F7">
        <w:t>jsou nutné pro vnitřní provoz a </w:t>
      </w:r>
      <w:r>
        <w:t>které nesouvisí bezprostředně s výkonem veřejné správy.</w:t>
      </w:r>
    </w:p>
    <w:p w14:paraId="4BB4F5F3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7954CCA3" w14:textId="40907268" w:rsidR="003449EF" w:rsidRDefault="003449EF" w:rsidP="00CF3E7D">
      <w:pPr>
        <w:pStyle w:val="TextKP"/>
        <w:spacing w:before="0"/>
      </w:pPr>
      <w:r w:rsidRPr="00EC70D0">
        <w:t xml:space="preserve">SÚKL vydal první verzi </w:t>
      </w:r>
      <w:r w:rsidR="00A016D6">
        <w:t>i</w:t>
      </w:r>
      <w:r w:rsidRPr="00EC70D0">
        <w:t>nfo</w:t>
      </w:r>
      <w:r w:rsidR="00EC70D0">
        <w:t xml:space="preserve">rmační koncepce SÚKL </w:t>
      </w:r>
      <w:r w:rsidR="00842AE8">
        <w:t xml:space="preserve">až </w:t>
      </w:r>
      <w:r w:rsidR="00EC70D0">
        <w:t>dne 22. 4. </w:t>
      </w:r>
      <w:r w:rsidRPr="00EC70D0">
        <w:t xml:space="preserve">2015 </w:t>
      </w:r>
      <w:r w:rsidR="00EC70D0">
        <w:t>s</w:t>
      </w:r>
      <w:r w:rsidR="00FC05D7">
        <w:t> </w:t>
      </w:r>
      <w:r w:rsidR="00842AE8">
        <w:t>platností ode dne 1. 5. </w:t>
      </w:r>
      <w:r w:rsidRPr="00EC70D0">
        <w:t xml:space="preserve">2015. V informační koncepci si SÚKL stanovil své dlouhodobé </w:t>
      </w:r>
      <w:r w:rsidR="00FC05D7">
        <w:t>cíle v oblasti řízení kvality a </w:t>
      </w:r>
      <w:r w:rsidRPr="00EC70D0">
        <w:t>bezpečnosti spravovaných informačních systémů, zásady a postupy pro pořizování, vytváření, provozování a plánování rozvoje ISVS, způsob fi</w:t>
      </w:r>
      <w:r w:rsidR="00FC05D7">
        <w:t>nancování IS SÚKL a </w:t>
      </w:r>
      <w:r w:rsidR="00EC70D0">
        <w:t>postupy pro</w:t>
      </w:r>
      <w:r w:rsidR="005E1E86">
        <w:t xml:space="preserve"> </w:t>
      </w:r>
      <w:r w:rsidRPr="00EC70D0">
        <w:t>vyhodnocování plnění informační koncepce IS SÚKL. V této koncepci SÚKL mimo jiné uv</w:t>
      </w:r>
      <w:r w:rsidR="00EC70D0">
        <w:t>edl</w:t>
      </w:r>
      <w:r w:rsidRPr="00EC70D0">
        <w:t>, že předchozí verz</w:t>
      </w:r>
      <w:r w:rsidR="00EC70D0">
        <w:t>e</w:t>
      </w:r>
      <w:r w:rsidRPr="00EC70D0">
        <w:t xml:space="preserve"> tohoto dokumentu nebyla pořízena z důvodu neexistence </w:t>
      </w:r>
      <w:r w:rsidR="00A016D6">
        <w:t>s</w:t>
      </w:r>
      <w:r w:rsidRPr="00EC70D0">
        <w:t>trategie SÚKL</w:t>
      </w:r>
      <w:r w:rsidR="00A016D6">
        <w:t>,</w:t>
      </w:r>
      <w:r w:rsidRPr="00EC70D0">
        <w:t xml:space="preserve"> a</w:t>
      </w:r>
      <w:r w:rsidR="005E1E86">
        <w:t> </w:t>
      </w:r>
      <w:r w:rsidRPr="00EC70D0">
        <w:t xml:space="preserve">v bodě 3 </w:t>
      </w:r>
      <w:r w:rsidR="00EC70D0">
        <w:t>dále uvedl,</w:t>
      </w:r>
      <w:r w:rsidRPr="00EC70D0">
        <w:t xml:space="preserve"> že v době </w:t>
      </w:r>
      <w:r w:rsidR="00EC70D0">
        <w:t xml:space="preserve">vydání první koncepce </w:t>
      </w:r>
      <w:r w:rsidRPr="00EC70D0">
        <w:t>ne</w:t>
      </w:r>
      <w:r w:rsidR="00EC70D0">
        <w:t>byla</w:t>
      </w:r>
      <w:r w:rsidRPr="00EC70D0">
        <w:t xml:space="preserve"> v rámci SÚKL ucelen</w:t>
      </w:r>
      <w:r w:rsidR="005E1E86">
        <w:t>a</w:t>
      </w:r>
      <w:r w:rsidRPr="00EC70D0">
        <w:t xml:space="preserve"> koncepce a strategie v oblasti řízení kvality IS a </w:t>
      </w:r>
      <w:r w:rsidR="00EC70D0" w:rsidRPr="00EC70D0">
        <w:t>jejich dat</w:t>
      </w:r>
      <w:r w:rsidRPr="00EC70D0">
        <w:t xml:space="preserve"> </w:t>
      </w:r>
      <w:r w:rsidR="00EC70D0" w:rsidRPr="00EC70D0">
        <w:t xml:space="preserve">a </w:t>
      </w:r>
      <w:r w:rsidRPr="00EC70D0">
        <w:t>ne</w:t>
      </w:r>
      <w:r w:rsidR="00EC70D0">
        <w:t>byl</w:t>
      </w:r>
      <w:r w:rsidRPr="00EC70D0">
        <w:t xml:space="preserve"> implementován ucelený systém jakosti dle ISO 9001, který by nařizoval a urč</w:t>
      </w:r>
      <w:r w:rsidR="00EC70D0">
        <w:t xml:space="preserve">oval řízení kvality informačních systému veřejné správy </w:t>
      </w:r>
      <w:r w:rsidR="00EC70D0" w:rsidRPr="00EC70D0">
        <w:t>v SÚKL.</w:t>
      </w:r>
    </w:p>
    <w:p w14:paraId="09FD7FE0" w14:textId="77777777" w:rsidR="00CF3E7D" w:rsidRPr="00EC70D0" w:rsidRDefault="00CF3E7D" w:rsidP="00CF3E7D">
      <w:pPr>
        <w:pStyle w:val="TextKP"/>
        <w:spacing w:before="0"/>
      </w:pPr>
    </w:p>
    <w:p w14:paraId="453B925F" w14:textId="11E9F7EA" w:rsidR="00500397" w:rsidRPr="0007320C" w:rsidRDefault="003449EF" w:rsidP="00153C6C">
      <w:pPr>
        <w:pStyle w:val="TextKP"/>
        <w:numPr>
          <w:ilvl w:val="0"/>
          <w:numId w:val="51"/>
        </w:numPr>
        <w:tabs>
          <w:tab w:val="left" w:pos="284"/>
        </w:tabs>
        <w:spacing w:before="0"/>
        <w:ind w:left="0" w:firstLine="0"/>
      </w:pPr>
      <w:r w:rsidRPr="0007320C">
        <w:t xml:space="preserve">SÚKL v kontrolovaném období (do </w:t>
      </w:r>
      <w:r w:rsidR="00466935" w:rsidRPr="0007320C">
        <w:t>22</w:t>
      </w:r>
      <w:r w:rsidRPr="0007320C">
        <w:t xml:space="preserve">. 4. 2015) </w:t>
      </w:r>
      <w:r w:rsidR="00A016D6">
        <w:t>ani</w:t>
      </w:r>
      <w:r w:rsidRPr="0007320C">
        <w:t xml:space="preserve"> v období předcházejícím neměl vypracovanou a schválenou platnou </w:t>
      </w:r>
      <w:r w:rsidR="00A016D6">
        <w:t>i</w:t>
      </w:r>
      <w:r w:rsidRPr="0007320C">
        <w:t>nformační koncepci SÚKL ani</w:t>
      </w:r>
      <w:r w:rsidR="002B7A34">
        <w:t xml:space="preserve"> </w:t>
      </w:r>
      <w:r w:rsidRPr="0007320C">
        <w:t>žádný jiný strategický dokument, podle kterého by byly budovány a řízeny v SÚKL inf</w:t>
      </w:r>
      <w:r w:rsidR="00EC70D0" w:rsidRPr="0007320C">
        <w:t>ormační systémy veřejné správy.</w:t>
      </w:r>
    </w:p>
    <w:p w14:paraId="465FB0CA" w14:textId="77777777" w:rsidR="00CF3E7D" w:rsidRPr="00CF3E7D" w:rsidRDefault="00CF3E7D" w:rsidP="00CF3E7D">
      <w:pPr>
        <w:jc w:val="both"/>
        <w:rPr>
          <w:rFonts w:asciiTheme="minorHAnsi" w:hAnsiTheme="minorHAnsi" w:cs="Calibri"/>
        </w:rPr>
      </w:pPr>
    </w:p>
    <w:p w14:paraId="196B2034" w14:textId="1C1E89F2" w:rsidR="00EC70D0" w:rsidRPr="008605B6" w:rsidRDefault="003449EF" w:rsidP="00CF3E7D">
      <w:pPr>
        <w:jc w:val="both"/>
        <w:rPr>
          <w:b/>
        </w:rPr>
      </w:pPr>
      <w:r w:rsidRPr="008605B6">
        <w:rPr>
          <w:b/>
        </w:rPr>
        <w:t>SÚKL nepostupoval v souladu s ustanovením § 5a odst. 1 a 2 zá</w:t>
      </w:r>
      <w:r w:rsidR="008605B6" w:rsidRPr="008605B6">
        <w:rPr>
          <w:b/>
        </w:rPr>
        <w:t xml:space="preserve">kona č. 365/2000 Sb., </w:t>
      </w:r>
      <w:r w:rsidR="00A016D6">
        <w:rPr>
          <w:b/>
        </w:rPr>
        <w:t xml:space="preserve">neboť </w:t>
      </w:r>
      <w:r w:rsidR="008605B6" w:rsidRPr="008605B6">
        <w:rPr>
          <w:b/>
        </w:rPr>
        <w:t>do </w:t>
      </w:r>
      <w:r w:rsidRPr="008605B6">
        <w:rPr>
          <w:b/>
        </w:rPr>
        <w:t>22.</w:t>
      </w:r>
      <w:r w:rsidR="00F848C4">
        <w:rPr>
          <w:b/>
        </w:rPr>
        <w:t> </w:t>
      </w:r>
      <w:r w:rsidRPr="008605B6">
        <w:rPr>
          <w:b/>
        </w:rPr>
        <w:t>4.</w:t>
      </w:r>
      <w:r w:rsidR="00F848C4">
        <w:rPr>
          <w:b/>
        </w:rPr>
        <w:t> </w:t>
      </w:r>
      <w:r w:rsidRPr="008605B6">
        <w:rPr>
          <w:b/>
        </w:rPr>
        <w:t xml:space="preserve">2015 nevytvořil a nevydal informační koncepci a provozní dokumentaci k jednotlivým ISVS, i když dle </w:t>
      </w:r>
      <w:r w:rsidR="00A016D6">
        <w:rPr>
          <w:b/>
        </w:rPr>
        <w:t>č</w:t>
      </w:r>
      <w:r w:rsidRPr="008605B6">
        <w:rPr>
          <w:b/>
        </w:rPr>
        <w:t>l.</w:t>
      </w:r>
      <w:r w:rsidR="00153C6C">
        <w:rPr>
          <w:b/>
        </w:rPr>
        <w:t> </w:t>
      </w:r>
      <w:r w:rsidRPr="008605B6">
        <w:rPr>
          <w:b/>
        </w:rPr>
        <w:t>II bod</w:t>
      </w:r>
      <w:r w:rsidR="00105C4A" w:rsidRPr="008605B6">
        <w:rPr>
          <w:b/>
        </w:rPr>
        <w:t>u</w:t>
      </w:r>
      <w:r w:rsidRPr="008605B6">
        <w:rPr>
          <w:b/>
        </w:rPr>
        <w:t xml:space="preserve"> 2 zákona č. 81/2006 Sb.</w:t>
      </w:r>
      <w:r w:rsidR="00105C4A" w:rsidRPr="008605B6">
        <w:rPr>
          <w:rStyle w:val="Znakapoznpodarou"/>
          <w:b/>
        </w:rPr>
        <w:footnoteReference w:id="11"/>
      </w:r>
      <w:r w:rsidRPr="008605B6">
        <w:rPr>
          <w:b/>
        </w:rPr>
        <w:t xml:space="preserve"> měl SÚKL jako orgán veřejné správy povinnost splnit povinnosti podle § 5a odst. 1 a 2 zákona č. 365/2000 Sb</w:t>
      </w:r>
      <w:r w:rsidR="00466935" w:rsidRPr="008605B6">
        <w:rPr>
          <w:b/>
        </w:rPr>
        <w:t>.</w:t>
      </w:r>
      <w:r w:rsidR="00801FEE" w:rsidRPr="008605B6">
        <w:rPr>
          <w:b/>
        </w:rPr>
        <w:t xml:space="preserve"> do </w:t>
      </w:r>
      <w:r w:rsidR="003A14A9" w:rsidRPr="008605B6">
        <w:rPr>
          <w:b/>
        </w:rPr>
        <w:t>1. 1. 2009.</w:t>
      </w:r>
    </w:p>
    <w:p w14:paraId="278FDF72" w14:textId="77777777" w:rsidR="002B7A34" w:rsidRDefault="002B7A34" w:rsidP="002B7A34">
      <w:pPr>
        <w:jc w:val="both"/>
      </w:pPr>
    </w:p>
    <w:p w14:paraId="3DBF2EA0" w14:textId="1B7AD8D4" w:rsidR="00F94A63" w:rsidRPr="0007320C" w:rsidRDefault="003449EF" w:rsidP="00153C6C">
      <w:pPr>
        <w:pStyle w:val="Odstavecseseznamem"/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07320C">
        <w:t>Výše uv</w:t>
      </w:r>
      <w:r w:rsidR="00520E19" w:rsidRPr="0007320C">
        <w:t xml:space="preserve">edeným postupem tedy SÚKL do května 2015 </w:t>
      </w:r>
      <w:r w:rsidRPr="0007320C">
        <w:t>vytvářel, ro</w:t>
      </w:r>
      <w:r w:rsidR="00EC70D0" w:rsidRPr="0007320C">
        <w:t>zvíjel, spravoval a </w:t>
      </w:r>
      <w:r w:rsidRPr="0007320C">
        <w:t>provozoval informační systémy veřejné správy be</w:t>
      </w:r>
      <w:r w:rsidR="00801FEE" w:rsidRPr="0007320C">
        <w:t>z informační koncepce, která</w:t>
      </w:r>
      <w:r w:rsidR="00A016D6">
        <w:t xml:space="preserve"> </w:t>
      </w:r>
      <w:r w:rsidR="00801FEE" w:rsidRPr="0007320C">
        <w:t>by</w:t>
      </w:r>
      <w:r w:rsidR="00A016D6">
        <w:t xml:space="preserve"> </w:t>
      </w:r>
      <w:r w:rsidRPr="0007320C">
        <w:t xml:space="preserve">zajišťovala </w:t>
      </w:r>
      <w:r w:rsidRPr="0007320C">
        <w:lastRenderedPageBreak/>
        <w:t>zejména koncepční a systematický přístup k bud</w:t>
      </w:r>
      <w:r w:rsidR="004C6C73" w:rsidRPr="0007320C">
        <w:t xml:space="preserve">ování informačních systémů. </w:t>
      </w:r>
      <w:r w:rsidRPr="0007320C">
        <w:t>SÚKL neměl</w:t>
      </w:r>
      <w:r w:rsidR="00FE3D40" w:rsidRPr="0007320C">
        <w:t xml:space="preserve"> ani</w:t>
      </w:r>
      <w:r w:rsidRPr="0007320C">
        <w:t xml:space="preserve"> ucelenou koncepci a strategii v oblasti řízení kvality IS a jejich dat.</w:t>
      </w:r>
    </w:p>
    <w:p w14:paraId="48CED67A" w14:textId="77777777" w:rsidR="002B7A34" w:rsidRPr="002B7A34" w:rsidRDefault="002B7A34" w:rsidP="002B7A34">
      <w:pPr>
        <w:jc w:val="both"/>
        <w:rPr>
          <w:rFonts w:asciiTheme="minorHAnsi" w:hAnsiTheme="minorHAnsi" w:cs="Calibri"/>
        </w:rPr>
      </w:pPr>
    </w:p>
    <w:p w14:paraId="6A6C91C1" w14:textId="1B63A0B0" w:rsidR="004749A3" w:rsidRPr="00BB7D21" w:rsidRDefault="004749A3" w:rsidP="002B7A34">
      <w:pPr>
        <w:pStyle w:val="TextKP"/>
        <w:spacing w:before="0"/>
        <w:rPr>
          <w:b/>
        </w:rPr>
      </w:pPr>
      <w:r w:rsidRPr="00BB7D21">
        <w:rPr>
          <w:b/>
        </w:rPr>
        <w:t>K části II. bodu 4:</w:t>
      </w:r>
    </w:p>
    <w:p w14:paraId="51322E9D" w14:textId="77777777" w:rsidR="002B7A34" w:rsidRPr="002B7A34" w:rsidRDefault="002B7A34" w:rsidP="002B7A34">
      <w:pPr>
        <w:jc w:val="both"/>
        <w:rPr>
          <w:rFonts w:asciiTheme="minorHAnsi" w:hAnsiTheme="minorHAnsi" w:cs="Calibri"/>
        </w:rPr>
      </w:pPr>
    </w:p>
    <w:p w14:paraId="62208CF3" w14:textId="72E80E4C" w:rsidR="00B47D65" w:rsidRPr="007D7EA3" w:rsidRDefault="00466935" w:rsidP="002B7A34">
      <w:pPr>
        <w:pStyle w:val="TextKP"/>
        <w:spacing w:before="0"/>
        <w:rPr>
          <w:b/>
        </w:rPr>
      </w:pPr>
      <w:r w:rsidRPr="00466935">
        <w:rPr>
          <w:b/>
        </w:rPr>
        <w:t xml:space="preserve">Postup budování </w:t>
      </w:r>
      <w:r w:rsidRPr="00BB7D21">
        <w:rPr>
          <w:b/>
          <w:i/>
        </w:rPr>
        <w:t>Centrálního úložiště elektronických receptů</w:t>
      </w:r>
      <w:r w:rsidRPr="00466935">
        <w:rPr>
          <w:b/>
        </w:rPr>
        <w:t xml:space="preserve"> nelze považovat za efektivní</w:t>
      </w:r>
    </w:p>
    <w:p w14:paraId="0AAD2C94" w14:textId="77777777" w:rsidR="002B7A34" w:rsidRDefault="002B7A34" w:rsidP="002B7A34">
      <w:pPr>
        <w:pStyle w:val="TextKP"/>
        <w:spacing w:before="0"/>
      </w:pPr>
    </w:p>
    <w:p w14:paraId="15CC3F70" w14:textId="0E6CB48D" w:rsidR="00B87276" w:rsidRDefault="00B401DB" w:rsidP="002B7A34">
      <w:pPr>
        <w:pStyle w:val="TextKP"/>
        <w:spacing w:before="0"/>
        <w:rPr>
          <w:spacing w:val="-4"/>
        </w:rPr>
      </w:pPr>
      <w:r>
        <w:t>Kontrolou byl</w:t>
      </w:r>
      <w:r w:rsidRPr="00B401DB">
        <w:t xml:space="preserve"> prověř</w:t>
      </w:r>
      <w:r>
        <w:t xml:space="preserve">en vznik a vývoj informačního systému veřejné správy </w:t>
      </w:r>
      <w:r w:rsidRPr="00BB7D21">
        <w:rPr>
          <w:i/>
        </w:rPr>
        <w:t>Centrální úložiště elektronických receptů</w:t>
      </w:r>
      <w:r w:rsidR="008269D4">
        <w:rPr>
          <w:rStyle w:val="Znakapoznpodarou"/>
        </w:rPr>
        <w:footnoteReference w:id="12"/>
      </w:r>
      <w:r w:rsidR="007D7F91">
        <w:t>, kterým</w:t>
      </w:r>
      <w:r w:rsidR="00A23F4C" w:rsidRPr="00A23F4C">
        <w:t xml:space="preserve"> se rozumí informační a komunikační systém pro evidenci elektronických receptů a pr</w:t>
      </w:r>
      <w:r w:rsidR="003B49F7">
        <w:t>á</w:t>
      </w:r>
      <w:r w:rsidR="00A23F4C" w:rsidRPr="00A23F4C">
        <w:t>c</w:t>
      </w:r>
      <w:r w:rsidR="003B49F7">
        <w:t>i</w:t>
      </w:r>
      <w:r w:rsidR="00A23F4C" w:rsidRPr="00A23F4C">
        <w:t xml:space="preserve"> s nimi. </w:t>
      </w:r>
      <w:r w:rsidR="007D7F91">
        <w:t>CÚER byl</w:t>
      </w:r>
      <w:r w:rsidR="00A23F4C" w:rsidRPr="00A23F4C">
        <w:t xml:space="preserve"> zřízen na </w:t>
      </w:r>
      <w:r w:rsidR="001E222D">
        <w:t xml:space="preserve">základě zákona č. 378/2007 Sb. </w:t>
      </w:r>
      <w:r w:rsidR="007D7F91">
        <w:t xml:space="preserve">Aplikační systém </w:t>
      </w:r>
      <w:proofErr w:type="spellStart"/>
      <w:r w:rsidR="00A23F4C" w:rsidRPr="00A23F4C">
        <w:t>eRecept</w:t>
      </w:r>
      <w:proofErr w:type="spellEnd"/>
      <w:r w:rsidR="00A23F4C" w:rsidRPr="00A23F4C">
        <w:t xml:space="preserve"> plní čtyři základní funkce: umožňuje lékaři vystavit elektronický předpis, tomuto předpisu přiděluje </w:t>
      </w:r>
      <w:proofErr w:type="spellStart"/>
      <w:r w:rsidR="00A23F4C" w:rsidRPr="00A23F4C">
        <w:t>eRecept</w:t>
      </w:r>
      <w:proofErr w:type="spellEnd"/>
      <w:r w:rsidR="00A23F4C" w:rsidRPr="00A23F4C">
        <w:t xml:space="preserve"> jedinečný identifikační znak </w:t>
      </w:r>
      <w:r w:rsidR="00510007">
        <w:t>(</w:t>
      </w:r>
      <w:r w:rsidR="00A23F4C" w:rsidRPr="00A23F4C">
        <w:t>na základě identifikačního znaku umožňuje lékárně tento předpis načíst a zaznamenat výdeje na tento elektronický předpis</w:t>
      </w:r>
      <w:r w:rsidR="00510007">
        <w:t>),</w:t>
      </w:r>
      <w:r w:rsidR="00A23F4C" w:rsidRPr="00A23F4C">
        <w:t xml:space="preserve"> umožňuje zdravotní pojišťovně načítat předpisy p</w:t>
      </w:r>
      <w:r w:rsidR="00AE2AA1">
        <w:t>ro potřeby kontrolní činnosti a </w:t>
      </w:r>
      <w:r w:rsidR="00A23F4C" w:rsidRPr="00A23F4C">
        <w:t>zaznamenávat přiznanou úhradu výdejů na elektroni</w:t>
      </w:r>
      <w:r w:rsidR="00B7156C">
        <w:t>cký předpis a umožňuje lékaři i </w:t>
      </w:r>
      <w:r w:rsidR="00A23F4C" w:rsidRPr="00A23F4C">
        <w:t xml:space="preserve">lékárně načítat předpisy i související doklady (výdeje, úhrady) na základě identifikačního </w:t>
      </w:r>
      <w:r w:rsidR="00A23F4C" w:rsidRPr="009A7DD8">
        <w:rPr>
          <w:spacing w:val="-4"/>
        </w:rPr>
        <w:t>znaku předpisu.</w:t>
      </w:r>
      <w:r w:rsidR="009A7DD8" w:rsidRPr="009A7DD8">
        <w:rPr>
          <w:spacing w:val="-4"/>
        </w:rPr>
        <w:t xml:space="preserve"> </w:t>
      </w:r>
      <w:r w:rsidR="009A7DD8" w:rsidRPr="00EE031D">
        <w:rPr>
          <w:spacing w:val="-4"/>
        </w:rPr>
        <w:t xml:space="preserve">Podrobný popis vzniku a vývoje CÚER je uveden v příloze č. 1 </w:t>
      </w:r>
      <w:r w:rsidR="00A016D6">
        <w:rPr>
          <w:spacing w:val="-4"/>
        </w:rPr>
        <w:t xml:space="preserve">tohoto </w:t>
      </w:r>
      <w:r w:rsidR="009A7DD8" w:rsidRPr="00EE031D">
        <w:rPr>
          <w:spacing w:val="-4"/>
        </w:rPr>
        <w:t>kontrolního závěru.</w:t>
      </w:r>
    </w:p>
    <w:p w14:paraId="4B9F3584" w14:textId="77777777" w:rsidR="002B7A34" w:rsidRDefault="002B7A34" w:rsidP="002B7A34">
      <w:pPr>
        <w:pStyle w:val="TextKP"/>
        <w:spacing w:before="0"/>
        <w:rPr>
          <w:spacing w:val="-4"/>
        </w:rPr>
      </w:pPr>
    </w:p>
    <w:p w14:paraId="2D0BFB1D" w14:textId="253D24A2" w:rsidR="00D967DF" w:rsidRDefault="00D967DF" w:rsidP="002B7A34">
      <w:pPr>
        <w:pStyle w:val="TextKP"/>
        <w:spacing w:before="0"/>
        <w:rPr>
          <w:spacing w:val="-4"/>
        </w:rPr>
      </w:pPr>
      <w:r>
        <w:rPr>
          <w:spacing w:val="-4"/>
        </w:rPr>
        <w:t>NKÚ ko</w:t>
      </w:r>
      <w:r w:rsidRPr="00D967DF">
        <w:rPr>
          <w:spacing w:val="-4"/>
        </w:rPr>
        <w:t xml:space="preserve">ntrolou procesu vzniku a vývoje CÚER </w:t>
      </w:r>
      <w:r>
        <w:rPr>
          <w:spacing w:val="-4"/>
        </w:rPr>
        <w:t>zjistil, že</w:t>
      </w:r>
      <w:r w:rsidRPr="00D967DF">
        <w:rPr>
          <w:spacing w:val="-4"/>
        </w:rPr>
        <w:t>:</w:t>
      </w:r>
    </w:p>
    <w:p w14:paraId="259BBAEC" w14:textId="120F2DA0" w:rsidR="00B10799" w:rsidRPr="00814825" w:rsidRDefault="00F0086D" w:rsidP="00814825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</w:rPr>
      </w:pPr>
      <w:r w:rsidRPr="00814825">
        <w:rPr>
          <w:rFonts w:asciiTheme="minorHAnsi" w:hAnsiTheme="minorHAnsi" w:cstheme="minorHAnsi"/>
        </w:rPr>
        <w:t>SÚKL budoval CÚER bez investičního záměru, studie proveditelnosti či jiného obdobného dokumentu. Současně SÚKL vytvářel, rozvíjel</w:t>
      </w:r>
      <w:r w:rsidR="00B31B45" w:rsidRPr="00814825">
        <w:rPr>
          <w:rFonts w:asciiTheme="minorHAnsi" w:hAnsiTheme="minorHAnsi" w:cstheme="minorHAnsi"/>
        </w:rPr>
        <w:t>,</w:t>
      </w:r>
      <w:r w:rsidRPr="00814825">
        <w:rPr>
          <w:rFonts w:asciiTheme="minorHAnsi" w:hAnsiTheme="minorHAnsi" w:cstheme="minorHAnsi"/>
        </w:rPr>
        <w:t xml:space="preserve"> provozoval </w:t>
      </w:r>
      <w:r w:rsidR="00B31B45" w:rsidRPr="00814825">
        <w:rPr>
          <w:rFonts w:asciiTheme="minorHAnsi" w:hAnsiTheme="minorHAnsi" w:cstheme="minorHAnsi"/>
        </w:rPr>
        <w:t>a spravoval ISVS CÚER do </w:t>
      </w:r>
      <w:r w:rsidRPr="00814825">
        <w:rPr>
          <w:rFonts w:asciiTheme="minorHAnsi" w:hAnsiTheme="minorHAnsi" w:cstheme="minorHAnsi"/>
        </w:rPr>
        <w:t>května 2015 bez informační koncepce a provozní dokumentace,</w:t>
      </w:r>
      <w:r w:rsidR="00B31B45" w:rsidRPr="00814825">
        <w:rPr>
          <w:rFonts w:asciiTheme="minorHAnsi" w:hAnsiTheme="minorHAnsi" w:cstheme="minorHAnsi"/>
        </w:rPr>
        <w:t xml:space="preserve"> čímž nepostupoval v </w:t>
      </w:r>
      <w:r w:rsidRPr="00814825">
        <w:rPr>
          <w:rFonts w:asciiTheme="minorHAnsi" w:hAnsiTheme="minorHAnsi" w:cstheme="minorHAnsi"/>
        </w:rPr>
        <w:t>souladu se zákonem č. 365/2000 Sb. a vyhláškou č</w:t>
      </w:r>
      <w:r w:rsidR="004D174C" w:rsidRPr="00814825">
        <w:rPr>
          <w:rFonts w:asciiTheme="minorHAnsi" w:hAnsiTheme="minorHAnsi" w:cstheme="minorHAnsi"/>
        </w:rPr>
        <w:t>. 529/2006 Sb</w:t>
      </w:r>
      <w:r w:rsidR="00A016D6" w:rsidRPr="00814825">
        <w:rPr>
          <w:rFonts w:asciiTheme="minorHAnsi" w:hAnsiTheme="minorHAnsi" w:cstheme="minorHAnsi"/>
        </w:rPr>
        <w:t>.</w:t>
      </w:r>
      <w:r w:rsidR="004D174C" w:rsidRPr="00814825">
        <w:rPr>
          <w:rFonts w:asciiTheme="minorHAnsi" w:hAnsiTheme="minorHAnsi" w:cstheme="minorHAnsi"/>
        </w:rPr>
        <w:t>;</w:t>
      </w:r>
    </w:p>
    <w:p w14:paraId="734A5928" w14:textId="4020997C" w:rsidR="00D967DF" w:rsidRPr="00814825" w:rsidRDefault="00D967DF" w:rsidP="00814825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</w:rPr>
      </w:pPr>
      <w:r w:rsidRPr="00814825">
        <w:rPr>
          <w:rFonts w:asciiTheme="minorHAnsi" w:hAnsiTheme="minorHAnsi" w:cstheme="minorHAnsi"/>
        </w:rPr>
        <w:t>SÚKL v období let 2007 až 2016 vynaložil v souvislosti s budováním CÚER a sdílené informační a komunikační infrastruktury pro provoz informačních systémů peněžní prostředky m</w:t>
      </w:r>
      <w:r w:rsidR="004D174C" w:rsidRPr="00814825">
        <w:rPr>
          <w:rFonts w:asciiTheme="minorHAnsi" w:hAnsiTheme="minorHAnsi" w:cstheme="minorHAnsi"/>
        </w:rPr>
        <w:t>inimálně ve výši 317 660 609 Kč;</w:t>
      </w:r>
    </w:p>
    <w:p w14:paraId="4246416E" w14:textId="5063BDF9" w:rsidR="00B87276" w:rsidRPr="0007320C" w:rsidRDefault="00510007" w:rsidP="00814825">
      <w:pPr>
        <w:pStyle w:val="TextKP"/>
        <w:numPr>
          <w:ilvl w:val="0"/>
          <w:numId w:val="51"/>
        </w:numPr>
        <w:spacing w:before="0"/>
        <w:ind w:left="284" w:hanging="284"/>
      </w:pPr>
      <w:r>
        <w:t>p</w:t>
      </w:r>
      <w:r w:rsidR="00D967DF" w:rsidRPr="0007320C">
        <w:t>ro</w:t>
      </w:r>
      <w:r w:rsidR="00B87276" w:rsidRPr="0007320C">
        <w:t xml:space="preserve"> období let 2017 až 2020 lze očekávat </w:t>
      </w:r>
      <w:r w:rsidR="008605B6">
        <w:rPr>
          <w:rFonts w:cs="Calibri"/>
        </w:rPr>
        <w:t xml:space="preserve">na základě smluv </w:t>
      </w:r>
      <w:r w:rsidR="00A016D6">
        <w:rPr>
          <w:rFonts w:cs="Calibri"/>
        </w:rPr>
        <w:t xml:space="preserve">uzavřených </w:t>
      </w:r>
      <w:r w:rsidR="008605B6">
        <w:rPr>
          <w:rFonts w:cs="Calibri"/>
        </w:rPr>
        <w:t>v prosinci 2016</w:t>
      </w:r>
      <w:r w:rsidR="008605B6" w:rsidRPr="0007320C">
        <w:rPr>
          <w:rFonts w:cs="Calibri"/>
        </w:rPr>
        <w:t xml:space="preserve"> </w:t>
      </w:r>
      <w:r w:rsidR="00D967DF" w:rsidRPr="0007320C">
        <w:t xml:space="preserve">další </w:t>
      </w:r>
      <w:r w:rsidR="00B87276" w:rsidRPr="0007320C">
        <w:t>výdaje spojené se správou a provozem CÚER minimálně ve výši 17 762 800 Kč;</w:t>
      </w:r>
    </w:p>
    <w:p w14:paraId="3B9BE00F" w14:textId="74C80F49" w:rsidR="00F0086D" w:rsidRPr="00814825" w:rsidRDefault="00510007" w:rsidP="00814825">
      <w:pPr>
        <w:pStyle w:val="Odstavecseseznamem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spacing w:val="-4"/>
        </w:rPr>
        <w:t>s</w:t>
      </w:r>
      <w:r w:rsidR="00F0086D" w:rsidRPr="00814825">
        <w:rPr>
          <w:rFonts w:asciiTheme="minorHAnsi" w:hAnsiTheme="minorHAnsi" w:cstheme="minorHAnsi"/>
          <w:spacing w:val="-4"/>
        </w:rPr>
        <w:t xml:space="preserve">oučasně </w:t>
      </w:r>
      <w:r w:rsidRPr="00814825">
        <w:rPr>
          <w:rFonts w:asciiTheme="minorHAnsi" w:hAnsiTheme="minorHAnsi" w:cstheme="minorHAnsi"/>
          <w:spacing w:val="-4"/>
        </w:rPr>
        <w:t xml:space="preserve">bylo </w:t>
      </w:r>
      <w:r w:rsidR="00F0086D" w:rsidRPr="00814825">
        <w:rPr>
          <w:rFonts w:asciiTheme="minorHAnsi" w:hAnsiTheme="minorHAnsi" w:cstheme="minorHAnsi"/>
          <w:spacing w:val="-4"/>
        </w:rPr>
        <w:t>v období od srpna 2011 do října 2016 vystaveno 308 318 916 lékařských předpisů</w:t>
      </w:r>
      <w:r w:rsidR="00A016D6" w:rsidRPr="00814825">
        <w:rPr>
          <w:rFonts w:asciiTheme="minorHAnsi" w:hAnsiTheme="minorHAnsi" w:cstheme="minorHAnsi"/>
          <w:spacing w:val="-4"/>
        </w:rPr>
        <w:t>,</w:t>
      </w:r>
      <w:r w:rsidR="00F0086D" w:rsidRPr="00814825">
        <w:rPr>
          <w:rFonts w:asciiTheme="minorHAnsi" w:hAnsiTheme="minorHAnsi" w:cstheme="minorHAnsi"/>
          <w:spacing w:val="-4"/>
        </w:rPr>
        <w:t xml:space="preserve"> z toho 4 784 850 elektronických receptů. Počet vydaný</w:t>
      </w:r>
      <w:r w:rsidR="008605B6" w:rsidRPr="00814825">
        <w:rPr>
          <w:rFonts w:asciiTheme="minorHAnsi" w:hAnsiTheme="minorHAnsi" w:cstheme="minorHAnsi"/>
          <w:spacing w:val="-4"/>
        </w:rPr>
        <w:t>ch elektronických receptů se na </w:t>
      </w:r>
      <w:r w:rsidR="00F0086D" w:rsidRPr="00814825">
        <w:rPr>
          <w:rFonts w:asciiTheme="minorHAnsi" w:hAnsiTheme="minorHAnsi" w:cstheme="minorHAnsi"/>
          <w:spacing w:val="-4"/>
        </w:rPr>
        <w:t>celkovém počtu vydaných receptů podílel 1,55 %.</w:t>
      </w:r>
    </w:p>
    <w:p w14:paraId="3A257931" w14:textId="3E8C46F6" w:rsidR="002B7A34" w:rsidRDefault="002B7A34" w:rsidP="002B7A34">
      <w:pPr>
        <w:pStyle w:val="TextKP"/>
        <w:spacing w:before="0"/>
      </w:pPr>
    </w:p>
    <w:p w14:paraId="7C76D59C" w14:textId="65E7D521" w:rsidR="001E222D" w:rsidRPr="00BB7D21" w:rsidRDefault="00510007" w:rsidP="002B7A34">
      <w:pPr>
        <w:pStyle w:val="TextKP"/>
        <w:spacing w:before="0"/>
        <w:rPr>
          <w:b/>
        </w:rPr>
      </w:pPr>
      <w:r w:rsidRPr="00BB7D21">
        <w:rPr>
          <w:b/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0C09A6E" wp14:editId="5535E79E">
            <wp:simplePos x="0" y="0"/>
            <wp:positionH relativeFrom="margin">
              <wp:posOffset>-15240</wp:posOffset>
            </wp:positionH>
            <wp:positionV relativeFrom="paragraph">
              <wp:posOffset>220980</wp:posOffset>
            </wp:positionV>
            <wp:extent cx="5764530" cy="1821180"/>
            <wp:effectExtent l="0" t="0" r="7620" b="7620"/>
            <wp:wrapTopAndBottom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A34" w:rsidRPr="00815EAB">
        <w:rPr>
          <w:b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8747C4" wp14:editId="4DB3CC4F">
                <wp:simplePos x="0" y="0"/>
                <wp:positionH relativeFrom="margin">
                  <wp:posOffset>2143125</wp:posOffset>
                </wp:positionH>
                <wp:positionV relativeFrom="paragraph">
                  <wp:posOffset>733425</wp:posOffset>
                </wp:positionV>
                <wp:extent cx="1301750" cy="821055"/>
                <wp:effectExtent l="0" t="0" r="0" b="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799AB" w14:textId="77777777" w:rsidR="002F0E8B" w:rsidRPr="00BA77B1" w:rsidRDefault="002F0E8B" w:rsidP="001E222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A77B1">
                              <w:rPr>
                                <w:sz w:val="20"/>
                              </w:rPr>
                              <w:t xml:space="preserve">Podíl </w:t>
                            </w:r>
                            <w:proofErr w:type="spellStart"/>
                            <w:r w:rsidRPr="00BA77B1">
                              <w:rPr>
                                <w:b/>
                                <w:sz w:val="20"/>
                              </w:rPr>
                              <w:t>eReceptů</w:t>
                            </w:r>
                            <w:proofErr w:type="spellEnd"/>
                            <w:r w:rsidRPr="00BA77B1">
                              <w:rPr>
                                <w:sz w:val="20"/>
                              </w:rPr>
                              <w:br/>
                              <w:t>na celkovém počtu vydaných předpisů</w:t>
                            </w:r>
                          </w:p>
                          <w:p w14:paraId="3D5EE527" w14:textId="77777777" w:rsidR="002F0E8B" w:rsidRPr="00193F5B" w:rsidRDefault="002F0E8B" w:rsidP="001E222D">
                            <w:pPr>
                              <w:spacing w:before="60"/>
                              <w:jc w:val="center"/>
                              <w:rPr>
                                <w:sz w:val="18"/>
                              </w:rPr>
                            </w:pPr>
                            <w:r w:rsidRPr="00B63516">
                              <w:rPr>
                                <w:b/>
                                <w:sz w:val="28"/>
                              </w:rPr>
                              <w:t>1,55 %</w:t>
                            </w:r>
                            <w:r w:rsidRPr="00B63516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47C4" id="Textové pole 2" o:spid="_x0000_s1036" type="#_x0000_t202" style="position:absolute;left:0;text-align:left;margin-left:168.75pt;margin-top:57.75pt;width:102.5pt;height:6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" filled="f" stroked="f">
                <v:textbox>
                  <w:txbxContent>
                    <w:p w14:paraId="0DC799AB" w14:textId="77777777" w:rsidR="002F0E8B" w:rsidRPr="00BA77B1" w:rsidRDefault="002F0E8B" w:rsidP="001E222D">
                      <w:pPr>
                        <w:jc w:val="center"/>
                        <w:rPr>
                          <w:sz w:val="20"/>
                        </w:rPr>
                      </w:pPr>
                      <w:r w:rsidRPr="00BA77B1">
                        <w:rPr>
                          <w:sz w:val="20"/>
                        </w:rPr>
                        <w:t xml:space="preserve">Podíl </w:t>
                      </w:r>
                      <w:r w:rsidRPr="00BA77B1">
                        <w:rPr>
                          <w:b/>
                          <w:sz w:val="20"/>
                        </w:rPr>
                        <w:t>eReceptů</w:t>
                      </w:r>
                      <w:r w:rsidRPr="00BA77B1">
                        <w:rPr>
                          <w:sz w:val="20"/>
                        </w:rPr>
                        <w:br/>
                        <w:t>na celkovém počtu vydaných předpisů</w:t>
                      </w:r>
                    </w:p>
                    <w:p w14:paraId="3D5EE527" w14:textId="77777777" w:rsidR="002F0E8B" w:rsidRPr="00193F5B" w:rsidRDefault="002F0E8B" w:rsidP="001E222D">
                      <w:pPr>
                        <w:spacing w:before="60"/>
                        <w:jc w:val="center"/>
                        <w:rPr>
                          <w:sz w:val="18"/>
                        </w:rPr>
                      </w:pPr>
                      <w:r w:rsidRPr="00B63516">
                        <w:rPr>
                          <w:b/>
                          <w:sz w:val="28"/>
                        </w:rPr>
                        <w:t>1,55 %</w:t>
                      </w:r>
                      <w:r w:rsidRPr="00B63516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222D" w:rsidRPr="00BB7D21">
        <w:rPr>
          <w:b/>
        </w:rPr>
        <w:t xml:space="preserve">Graf č. </w:t>
      </w:r>
      <w:r w:rsidR="00815EAB" w:rsidRPr="00BB7D21">
        <w:rPr>
          <w:b/>
        </w:rPr>
        <w:t>5</w:t>
      </w:r>
      <w:r w:rsidR="001E222D" w:rsidRPr="00BB7D21">
        <w:rPr>
          <w:b/>
        </w:rPr>
        <w:t>: Vydané lékařské předpisy v období od srpna 2011 do října 2016</w:t>
      </w:r>
    </w:p>
    <w:p w14:paraId="535DC689" w14:textId="0B72110D" w:rsidR="001E222D" w:rsidRPr="00BB7D21" w:rsidRDefault="001E222D" w:rsidP="002B7A34">
      <w:pPr>
        <w:pStyle w:val="Zdroj"/>
        <w:rPr>
          <w:i w:val="0"/>
        </w:rPr>
      </w:pPr>
      <w:r w:rsidRPr="00BB7D21">
        <w:rPr>
          <w:b/>
          <w:i w:val="0"/>
        </w:rPr>
        <w:t>Zdroj:</w:t>
      </w:r>
      <w:r w:rsidRPr="00BB7D21">
        <w:rPr>
          <w:i w:val="0"/>
        </w:rPr>
        <w:t xml:space="preserve"> </w:t>
      </w:r>
      <w:r w:rsidR="00815EAB">
        <w:rPr>
          <w:i w:val="0"/>
        </w:rPr>
        <w:t>e</w:t>
      </w:r>
      <w:r w:rsidRPr="00BB7D21">
        <w:rPr>
          <w:i w:val="0"/>
        </w:rPr>
        <w:t>vidence SÚKL</w:t>
      </w:r>
      <w:r w:rsidR="003F7ABE" w:rsidRPr="00BB7D21">
        <w:rPr>
          <w:i w:val="0"/>
        </w:rPr>
        <w:t>.</w:t>
      </w:r>
    </w:p>
    <w:p w14:paraId="435B042B" w14:textId="77777777" w:rsidR="002B7A34" w:rsidRDefault="002B7A34" w:rsidP="002B7A34">
      <w:pPr>
        <w:pStyle w:val="TextKP"/>
        <w:spacing w:before="0"/>
      </w:pPr>
    </w:p>
    <w:p w14:paraId="58A1A692" w14:textId="77777777" w:rsidR="002B7A34" w:rsidRDefault="006B1CA5" w:rsidP="002B7A34">
      <w:pPr>
        <w:pStyle w:val="TextKP"/>
        <w:spacing w:before="0"/>
      </w:pPr>
      <w:r w:rsidRPr="006B1CA5">
        <w:lastRenderedPageBreak/>
        <w:t>Mezi prvky koncepčního budování informačních systémů patří smluvní zajištění práva užívat software všemi známými způsoby, právo software modifikovat včetně možnosti modifikace nezávislou třetí osobou a povinnosti zhotovitele předat objednateli zdrojové kódy softwaru, který pro objednatele vyvinul, a to včetně potřebné technické dokumentace.</w:t>
      </w:r>
    </w:p>
    <w:p w14:paraId="1454E551" w14:textId="63C3F89C" w:rsidR="00A410D6" w:rsidRDefault="00A410D6" w:rsidP="002B7A34">
      <w:pPr>
        <w:pStyle w:val="TextKP"/>
        <w:spacing w:before="0"/>
      </w:pPr>
    </w:p>
    <w:p w14:paraId="77EB5E6B" w14:textId="77777777" w:rsidR="002D4061" w:rsidRPr="00814825" w:rsidRDefault="002D4061" w:rsidP="00510007">
      <w:pPr>
        <w:pStyle w:val="Odstavecseseznamem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rFonts w:asciiTheme="minorHAnsi" w:hAnsiTheme="minorHAnsi" w:cs="Calibri"/>
        </w:rPr>
      </w:pPr>
      <w:r w:rsidRPr="00814825">
        <w:rPr>
          <w:rFonts w:asciiTheme="minorHAnsi" w:hAnsiTheme="minorHAnsi" w:cs="Calibri"/>
        </w:rPr>
        <w:t>V důsledku nekoncepčního řízení v oblasti IS a ICT v letech 2007 až 2015 docházelo k nedostatečné smluvní úpravě v oblasti autorských práv. SÚKL si ve smlouvách uzavíraných do roku 2016 nevyhradil zejména možnost vyvinutý software modifikovat a možnost modifikovat software třetí osobou. SÚKL se uvedeným postupem vystavil riziku nevyjasněnosti autorských práv k CÚER, které vyústilo v soudní spor.</w:t>
      </w:r>
    </w:p>
    <w:p w14:paraId="4CE91148" w14:textId="77777777" w:rsidR="002B7A34" w:rsidRDefault="002B7A34" w:rsidP="002B7A34">
      <w:pPr>
        <w:pStyle w:val="TextKP"/>
        <w:spacing w:before="0"/>
      </w:pPr>
    </w:p>
    <w:p w14:paraId="4F964DBC" w14:textId="0C64D448" w:rsidR="00CB38FD" w:rsidRPr="00EE031D" w:rsidRDefault="00CB38FD" w:rsidP="002B7A34">
      <w:pPr>
        <w:pStyle w:val="TextKP"/>
        <w:spacing w:before="0"/>
      </w:pPr>
      <w:r w:rsidRPr="00EE031D">
        <w:t>Od 1. 11. 2015 nebyla smluvně zajištěna technická podpora a provoz CÚER a dalších softwarových aplikací. Softwarové aplikace byly provozovány SÚKL bez servisní podpory dodavatele do prosince 2015, kdy bylo předběžným opatř</w:t>
      </w:r>
      <w:r w:rsidR="00A53F5A">
        <w:t>ením Městského soudu v Praze ze </w:t>
      </w:r>
      <w:r w:rsidRPr="00EE031D">
        <w:t xml:space="preserve">dne 11. prosince 2015 nařízeno zdržet se jakéhokoli užití SW aplikace </w:t>
      </w:r>
      <w:proofErr w:type="spellStart"/>
      <w:r w:rsidRPr="00EE07AF">
        <w:rPr>
          <w:i/>
        </w:rPr>
        <w:t>eRecept</w:t>
      </w:r>
      <w:proofErr w:type="spellEnd"/>
      <w:r w:rsidRPr="00EE07AF">
        <w:rPr>
          <w:i/>
        </w:rPr>
        <w:t xml:space="preserve"> (</w:t>
      </w:r>
      <w:proofErr w:type="spellStart"/>
      <w:r w:rsidR="00A65ABE" w:rsidRPr="00EE07AF">
        <w:rPr>
          <w:i/>
        </w:rPr>
        <w:t>e</w:t>
      </w:r>
      <w:r w:rsidRPr="00EE07AF">
        <w:rPr>
          <w:i/>
        </w:rPr>
        <w:t>R</w:t>
      </w:r>
      <w:r w:rsidR="00A65ABE" w:rsidRPr="00EE07AF">
        <w:rPr>
          <w:i/>
        </w:rPr>
        <w:t>p</w:t>
      </w:r>
      <w:proofErr w:type="spellEnd"/>
      <w:r w:rsidRPr="00EE07AF">
        <w:rPr>
          <w:i/>
        </w:rPr>
        <w:t xml:space="preserve">) </w:t>
      </w:r>
      <w:r w:rsidR="00EE1A42" w:rsidRPr="00EE07AF">
        <w:rPr>
          <w:i/>
        </w:rPr>
        <w:t>–</w:t>
      </w:r>
      <w:r w:rsidRPr="00EE07AF">
        <w:rPr>
          <w:i/>
        </w:rPr>
        <w:t xml:space="preserve"> Centrální ú</w:t>
      </w:r>
      <w:r w:rsidR="006B1CA5" w:rsidRPr="00EE07AF">
        <w:rPr>
          <w:i/>
        </w:rPr>
        <w:t>ložiště elektronických receptů</w:t>
      </w:r>
      <w:r w:rsidR="006B1CA5">
        <w:t>.</w:t>
      </w:r>
      <w:r w:rsidR="00A53F5A">
        <w:rPr>
          <w:rStyle w:val="Znakapoznpodarou"/>
        </w:rPr>
        <w:footnoteReference w:id="13"/>
      </w:r>
    </w:p>
    <w:p w14:paraId="0A04422A" w14:textId="77777777" w:rsidR="002B7A34" w:rsidRDefault="002B7A34" w:rsidP="002B7A34">
      <w:pPr>
        <w:pStyle w:val="TextKP"/>
        <w:spacing w:before="0"/>
      </w:pPr>
    </w:p>
    <w:p w14:paraId="54310893" w14:textId="02712FC3" w:rsidR="00CB38FD" w:rsidRDefault="00CB38FD" w:rsidP="002B7A34">
      <w:pPr>
        <w:pStyle w:val="TextKP"/>
        <w:spacing w:before="0"/>
      </w:pPr>
      <w:r w:rsidRPr="00EE031D">
        <w:t>SÚKL provoz zastaveného systému již neobnovil, neboť 8. února 2016 na základě</w:t>
      </w:r>
      <w:r w:rsidR="00E816D5">
        <w:t xml:space="preserve"> jednacího řízení bez uveřejnění (dále také „</w:t>
      </w:r>
      <w:r w:rsidRPr="00EE031D">
        <w:t>JŘBU</w:t>
      </w:r>
      <w:r w:rsidR="00E816D5">
        <w:t>“)</w:t>
      </w:r>
      <w:r w:rsidR="004749A3" w:rsidRPr="00EE031D">
        <w:t xml:space="preserve"> č. 01/2016 </w:t>
      </w:r>
      <w:r w:rsidR="00EE1A42">
        <w:t xml:space="preserve">ve věci </w:t>
      </w:r>
      <w:r w:rsidR="004749A3" w:rsidRPr="00265C71">
        <w:rPr>
          <w:i/>
        </w:rPr>
        <w:t>„</w:t>
      </w:r>
      <w:r w:rsidR="00EE1A42">
        <w:rPr>
          <w:i/>
        </w:rPr>
        <w:t>z</w:t>
      </w:r>
      <w:r w:rsidR="004749A3" w:rsidRPr="00265C71">
        <w:rPr>
          <w:i/>
        </w:rPr>
        <w:t>ajištění úpravy CÚ</w:t>
      </w:r>
      <w:r w:rsidR="00815EAB" w:rsidRPr="00265C71">
        <w:rPr>
          <w:i/>
        </w:rPr>
        <w:t>E</w:t>
      </w:r>
      <w:r w:rsidR="004749A3" w:rsidRPr="00265C71">
        <w:rPr>
          <w:i/>
        </w:rPr>
        <w:t>R a</w:t>
      </w:r>
      <w:r w:rsidR="00EE1A42">
        <w:rPr>
          <w:i/>
        </w:rPr>
        <w:t> </w:t>
      </w:r>
      <w:r w:rsidR="004749A3" w:rsidRPr="00265C71">
        <w:rPr>
          <w:i/>
        </w:rPr>
        <w:t>zajištění jeho provozu“</w:t>
      </w:r>
      <w:r w:rsidR="004749A3" w:rsidRPr="00EE031D">
        <w:t xml:space="preserve">, odůvodněném </w:t>
      </w:r>
      <w:r w:rsidR="004749A3" w:rsidRPr="00EE07AF">
        <w:rPr>
          <w:b/>
        </w:rPr>
        <w:t>existenc</w:t>
      </w:r>
      <w:r w:rsidR="00EE1A42">
        <w:rPr>
          <w:b/>
        </w:rPr>
        <w:t>í</w:t>
      </w:r>
      <w:r w:rsidR="004749A3" w:rsidRPr="00EE07AF">
        <w:rPr>
          <w:b/>
        </w:rPr>
        <w:t xml:space="preserve"> krajně naléhavého případu,</w:t>
      </w:r>
      <w:r w:rsidR="004749A3" w:rsidRPr="00EE031D">
        <w:t xml:space="preserve"> tj. hrozby závažné škody spočívající v dlouhodobé nefunkčnosti </w:t>
      </w:r>
      <w:proofErr w:type="spellStart"/>
      <w:r w:rsidR="004749A3" w:rsidRPr="00EE031D">
        <w:t>eReceptu</w:t>
      </w:r>
      <w:proofErr w:type="spellEnd"/>
      <w:r w:rsidR="004749A3" w:rsidRPr="00EE031D">
        <w:t xml:space="preserve">, </w:t>
      </w:r>
      <w:r w:rsidRPr="00EE031D">
        <w:t>uzavřel smlouv</w:t>
      </w:r>
      <w:r w:rsidR="004749A3" w:rsidRPr="00EE031D">
        <w:t>u</w:t>
      </w:r>
      <w:r w:rsidRPr="00EE031D">
        <w:t xml:space="preserve"> o dílo č.</w:t>
      </w:r>
      <w:r w:rsidR="00EE1A42">
        <w:t> </w:t>
      </w:r>
      <w:r w:rsidRPr="00EE031D">
        <w:t>15/16 na dodání díla, j</w:t>
      </w:r>
      <w:r w:rsidR="00265C71">
        <w:t>ehož předmětem bylo vytvoření a </w:t>
      </w:r>
      <w:r w:rsidRPr="00EE031D">
        <w:t>dodávka aplikačního softwar</w:t>
      </w:r>
      <w:r w:rsidR="00ED346E">
        <w:t>u</w:t>
      </w:r>
      <w:r w:rsidRPr="00EE031D">
        <w:t xml:space="preserve"> pro CÚER a</w:t>
      </w:r>
      <w:r w:rsidR="00EE1A42">
        <w:t> </w:t>
      </w:r>
      <w:r w:rsidRPr="00EE031D">
        <w:t>souvisejících uživatelských rozhraní, vč</w:t>
      </w:r>
      <w:r w:rsidR="006B1CA5">
        <w:t>etně</w:t>
      </w:r>
      <w:r w:rsidR="00EE1A42">
        <w:t xml:space="preserve"> </w:t>
      </w:r>
      <w:r w:rsidRPr="00EE031D">
        <w:t>zpracování jeho prováděcí a technické dokumentace.</w:t>
      </w:r>
      <w:r w:rsidR="00265C71">
        <w:t xml:space="preserve"> </w:t>
      </w:r>
      <w:r w:rsidR="006B1CA5" w:rsidRPr="0007320C">
        <w:t>Od</w:t>
      </w:r>
      <w:r w:rsidR="00EE1A42">
        <w:t xml:space="preserve"> </w:t>
      </w:r>
      <w:r w:rsidR="006B1CA5" w:rsidRPr="0007320C">
        <w:t>31. </w:t>
      </w:r>
      <w:r w:rsidR="00265C71" w:rsidRPr="0007320C">
        <w:t>března 2016 bylo na</w:t>
      </w:r>
      <w:r w:rsidR="00EE1A42">
        <w:t xml:space="preserve"> </w:t>
      </w:r>
      <w:r w:rsidRPr="0007320C">
        <w:t>základě uvedené s</w:t>
      </w:r>
      <w:r w:rsidR="00265C71" w:rsidRPr="0007320C">
        <w:t>mlouvy spuštěno náhradní řešení provozu CÚER</w:t>
      </w:r>
      <w:r w:rsidRPr="0007320C">
        <w:t>. SÚKL</w:t>
      </w:r>
      <w:r w:rsidR="00265C71" w:rsidRPr="0007320C">
        <w:t xml:space="preserve"> současně</w:t>
      </w:r>
      <w:r w:rsidRPr="0007320C">
        <w:t xml:space="preserve"> uzavřel také smlouvu č. 14/16 na poskyt</w:t>
      </w:r>
      <w:r w:rsidR="00B765AF">
        <w:t>ování služeb servisní podpory a </w:t>
      </w:r>
      <w:r w:rsidRPr="0007320C">
        <w:t>zajištění rozvoje CÚER.</w:t>
      </w:r>
      <w:r w:rsidR="00265C71" w:rsidRPr="0007320C">
        <w:rPr>
          <w:rStyle w:val="Znakapoznpodarou"/>
        </w:rPr>
        <w:footnoteReference w:id="14"/>
      </w:r>
    </w:p>
    <w:p w14:paraId="65AAC932" w14:textId="77777777" w:rsidR="002B7A34" w:rsidRPr="0007320C" w:rsidRDefault="002B7A34" w:rsidP="002B7A34">
      <w:pPr>
        <w:pStyle w:val="TextKP"/>
        <w:spacing w:before="0"/>
      </w:pPr>
    </w:p>
    <w:p w14:paraId="7822E317" w14:textId="6323DF44" w:rsidR="00792800" w:rsidRDefault="008616CF" w:rsidP="00EE1A42">
      <w:pPr>
        <w:pStyle w:val="TextKP"/>
        <w:numPr>
          <w:ilvl w:val="0"/>
          <w:numId w:val="52"/>
        </w:numPr>
        <w:spacing w:before="0"/>
        <w:ind w:left="284" w:hanging="284"/>
        <w:rPr>
          <w:b/>
        </w:rPr>
      </w:pPr>
      <w:r w:rsidRPr="00EE031D">
        <w:rPr>
          <w:b/>
        </w:rPr>
        <w:t xml:space="preserve">SÚKL </w:t>
      </w:r>
      <w:r w:rsidR="00F90261" w:rsidRPr="00EE031D">
        <w:rPr>
          <w:b/>
        </w:rPr>
        <w:t>svým jednáním</w:t>
      </w:r>
      <w:r w:rsidR="00EE1A42" w:rsidRPr="00EE1A42">
        <w:rPr>
          <w:b/>
        </w:rPr>
        <w:t xml:space="preserve"> způsobil krajně naléhavý případ</w:t>
      </w:r>
      <w:r w:rsidR="00EE1A42">
        <w:rPr>
          <w:b/>
        </w:rPr>
        <w:t xml:space="preserve">, který </w:t>
      </w:r>
      <w:r w:rsidR="00EE1A42" w:rsidRPr="00EE1A42">
        <w:rPr>
          <w:b/>
        </w:rPr>
        <w:t>mohl předvídat</w:t>
      </w:r>
      <w:r w:rsidR="00F90261" w:rsidRPr="00EE031D">
        <w:rPr>
          <w:b/>
        </w:rPr>
        <w:t>, zejména:</w:t>
      </w:r>
    </w:p>
    <w:p w14:paraId="6D6ED493" w14:textId="37D13F47" w:rsidR="00F90261" w:rsidRPr="00EE031D" w:rsidRDefault="00EE1A42" w:rsidP="00BA77B1">
      <w:pPr>
        <w:pStyle w:val="TextKP"/>
        <w:numPr>
          <w:ilvl w:val="0"/>
          <w:numId w:val="44"/>
        </w:numPr>
        <w:spacing w:before="0"/>
        <w:ind w:left="284" w:hanging="284"/>
      </w:pPr>
      <w:r>
        <w:t xml:space="preserve">když </w:t>
      </w:r>
      <w:r w:rsidR="00F90261" w:rsidRPr="00EE031D">
        <w:t>nedostatečnou úpravou autorských práv v uzavřených smlouvách, potažmo opomenutím dostatečné úpravy autorských práv k vytvořenému původnímu CÚER na</w:t>
      </w:r>
      <w:r w:rsidR="00BA77B1">
        <w:t xml:space="preserve"> </w:t>
      </w:r>
      <w:r w:rsidR="00F90261" w:rsidRPr="00EE031D">
        <w:t>základě s</w:t>
      </w:r>
      <w:r w:rsidR="00BA77B1">
        <w:t>mlouvy č. </w:t>
      </w:r>
      <w:r w:rsidR="00E816D5">
        <w:t>10/09</w:t>
      </w:r>
      <w:r>
        <w:t>,</w:t>
      </w:r>
    </w:p>
    <w:p w14:paraId="14088FB7" w14:textId="187EECBC" w:rsidR="00F90261" w:rsidRDefault="00F90261" w:rsidP="00BA77B1">
      <w:pPr>
        <w:pStyle w:val="TextKP"/>
        <w:numPr>
          <w:ilvl w:val="0"/>
          <w:numId w:val="44"/>
        </w:numPr>
        <w:spacing w:before="0"/>
        <w:ind w:left="284" w:hanging="284"/>
      </w:pPr>
      <w:r w:rsidRPr="00EE031D">
        <w:t>a následně když od roku 2012 uzavíral postupně servisní smlouvy</w:t>
      </w:r>
      <w:r w:rsidR="00E816D5">
        <w:t>,</w:t>
      </w:r>
      <w:r w:rsidRPr="00EE031D">
        <w:t xml:space="preserve"> které neobsahovaly ustanovení vztahující se k autorsk</w:t>
      </w:r>
      <w:r w:rsidR="008616CF" w:rsidRPr="00EE031D">
        <w:t>ým právům v případech, kdyby</w:t>
      </w:r>
      <w:r w:rsidR="00EE1A42">
        <w:t xml:space="preserve"> </w:t>
      </w:r>
      <w:r w:rsidR="008616CF" w:rsidRPr="00EE031D">
        <w:t>na</w:t>
      </w:r>
      <w:r w:rsidR="00EE1A42">
        <w:t xml:space="preserve"> jejich </w:t>
      </w:r>
      <w:r w:rsidRPr="00EE031D">
        <w:t>základě docházelo k vytvoření nových aplikací, což</w:t>
      </w:r>
      <w:r w:rsidR="00EE1A42">
        <w:t xml:space="preserve"> </w:t>
      </w:r>
      <w:r w:rsidRPr="00EE031D">
        <w:t>je</w:t>
      </w:r>
      <w:r w:rsidR="00EE1A42">
        <w:t xml:space="preserve"> </w:t>
      </w:r>
      <w:r w:rsidRPr="00EE031D">
        <w:t>v současnosti předmětem soudního sporu</w:t>
      </w:r>
      <w:r w:rsidR="008616CF" w:rsidRPr="0007320C">
        <w:t xml:space="preserve">, čímž nenaplnil veškeré taxativně vymezené podmínky stanovené zákonem </w:t>
      </w:r>
      <w:r w:rsidR="001200F7" w:rsidRPr="0007320C">
        <w:t>č. 137/2006 Sb.</w:t>
      </w:r>
      <w:r w:rsidR="001200F7" w:rsidRPr="0007320C">
        <w:rPr>
          <w:rStyle w:val="Znakapoznpodarou"/>
        </w:rPr>
        <w:footnoteReference w:id="15"/>
      </w:r>
      <w:r w:rsidR="008616CF" w:rsidRPr="0007320C">
        <w:t xml:space="preserve"> pro použití JŘBU.</w:t>
      </w:r>
    </w:p>
    <w:p w14:paraId="748A24A3" w14:textId="77777777" w:rsidR="002B7A34" w:rsidRPr="0007320C" w:rsidRDefault="002B7A34" w:rsidP="002B7A34">
      <w:pPr>
        <w:pStyle w:val="TextKP"/>
        <w:spacing w:before="0"/>
      </w:pPr>
    </w:p>
    <w:p w14:paraId="277E1462" w14:textId="2B476C2E" w:rsidR="00766085" w:rsidRDefault="00F90261" w:rsidP="002B7A34">
      <w:pPr>
        <w:pStyle w:val="TextKP"/>
        <w:spacing w:before="0"/>
        <w:rPr>
          <w:b/>
        </w:rPr>
      </w:pPr>
      <w:r w:rsidRPr="008605B6">
        <w:rPr>
          <w:b/>
        </w:rPr>
        <w:t>SÚKL v případě veřejné zakázky č. 01/2016 nedodržel postup stanovený v § 21 odst. 2 zákona č. 137/2006 Sb., když zadal veřejnou zakázku v jednacím řízení bez uveřejnění, i </w:t>
      </w:r>
      <w:r w:rsidR="006B1459" w:rsidRPr="008605B6">
        <w:rPr>
          <w:b/>
        </w:rPr>
        <w:t>když</w:t>
      </w:r>
      <w:r w:rsidR="00EE1A42">
        <w:rPr>
          <w:b/>
        </w:rPr>
        <w:t xml:space="preserve"> nebyly naplněny</w:t>
      </w:r>
      <w:r w:rsidRPr="008605B6">
        <w:rPr>
          <w:b/>
        </w:rPr>
        <w:t xml:space="preserve"> veškeré taxativně vymezené podmínky stanovené v § 23 odst. 4 písm. b) zákona č. 137/2006 Sb.</w:t>
      </w:r>
      <w:r w:rsidR="009779FB" w:rsidRPr="008605B6">
        <w:rPr>
          <w:b/>
        </w:rPr>
        <w:t xml:space="preserve"> </w:t>
      </w:r>
      <w:r w:rsidRPr="008605B6">
        <w:rPr>
          <w:b/>
        </w:rPr>
        <w:t xml:space="preserve">SÚKL se ocitl v krajní </w:t>
      </w:r>
      <w:proofErr w:type="gramStart"/>
      <w:r w:rsidRPr="008605B6">
        <w:rPr>
          <w:b/>
        </w:rPr>
        <w:t>nouzi</w:t>
      </w:r>
      <w:proofErr w:type="gramEnd"/>
      <w:r w:rsidRPr="008605B6">
        <w:rPr>
          <w:b/>
        </w:rPr>
        <w:t xml:space="preserve"> způsobenou vydáním předběžného opatření </w:t>
      </w:r>
      <w:r w:rsidRPr="008605B6">
        <w:rPr>
          <w:b/>
        </w:rPr>
        <w:lastRenderedPageBreak/>
        <w:t>Městského soudu v Praze, nicméně této krajní nouzi mohl předc</w:t>
      </w:r>
      <w:r w:rsidR="009B6D98" w:rsidRPr="008605B6">
        <w:rPr>
          <w:b/>
        </w:rPr>
        <w:t>házet svým pře</w:t>
      </w:r>
      <w:r w:rsidR="006F6FC2" w:rsidRPr="008605B6">
        <w:rPr>
          <w:b/>
        </w:rPr>
        <w:t>d</w:t>
      </w:r>
      <w:r w:rsidR="009B6D98" w:rsidRPr="008605B6">
        <w:rPr>
          <w:b/>
        </w:rPr>
        <w:t>chozím jednáním.</w:t>
      </w:r>
    </w:p>
    <w:p w14:paraId="78F8640C" w14:textId="77777777" w:rsidR="002B7A34" w:rsidRPr="002B7A34" w:rsidRDefault="002B7A34" w:rsidP="002B7A34">
      <w:pPr>
        <w:pStyle w:val="TextKP"/>
        <w:spacing w:before="0"/>
      </w:pPr>
    </w:p>
    <w:p w14:paraId="2AE0B038" w14:textId="77777777" w:rsidR="00766085" w:rsidRPr="0007320C" w:rsidRDefault="00CE61A4" w:rsidP="00EE1A42">
      <w:pPr>
        <w:pStyle w:val="Odstavecseseznamem"/>
        <w:numPr>
          <w:ilvl w:val="0"/>
          <w:numId w:val="52"/>
        </w:numPr>
        <w:tabs>
          <w:tab w:val="left" w:pos="284"/>
        </w:tabs>
        <w:ind w:left="0" w:firstLine="0"/>
        <w:jc w:val="both"/>
      </w:pPr>
      <w:r w:rsidRPr="0007320C">
        <w:t xml:space="preserve">Na základě uzavřené smlouvy o dílo č. 15/16 a smlouvy o servisní podpoře č. 14/16 SÚKL ukončil ve vztahu k CÚER svou závislost jako uživatele na službách od konkrétního dodavatele, kterého není možné jednoduše a bez vysokých nákladů vyměnit za jiné srovnatelné řešení (tzv. </w:t>
      </w:r>
      <w:proofErr w:type="spellStart"/>
      <w:r w:rsidRPr="0007320C">
        <w:t>vendor</w:t>
      </w:r>
      <w:proofErr w:type="spellEnd"/>
      <w:r w:rsidRPr="0007320C">
        <w:t xml:space="preserve"> </w:t>
      </w:r>
      <w:proofErr w:type="spellStart"/>
      <w:r w:rsidRPr="0007320C">
        <w:t>lock</w:t>
      </w:r>
      <w:proofErr w:type="spellEnd"/>
      <w:r w:rsidRPr="0007320C">
        <w:t>-in).</w:t>
      </w:r>
    </w:p>
    <w:p w14:paraId="1C61EAE9" w14:textId="77777777" w:rsidR="002B7A34" w:rsidRDefault="002B7A34" w:rsidP="002B7A34">
      <w:pPr>
        <w:pStyle w:val="TextKP"/>
        <w:spacing w:before="0"/>
      </w:pPr>
    </w:p>
    <w:p w14:paraId="66F257BA" w14:textId="292C1D04" w:rsidR="00CE61A4" w:rsidRPr="00EE07AF" w:rsidRDefault="00CB38FD" w:rsidP="002B7A34">
      <w:pPr>
        <w:pStyle w:val="TextKP"/>
        <w:spacing w:before="0"/>
        <w:rPr>
          <w:b/>
        </w:rPr>
      </w:pPr>
      <w:r w:rsidRPr="00EE07AF">
        <w:rPr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D39C9BC" wp14:editId="619AE63C">
            <wp:simplePos x="0" y="0"/>
            <wp:positionH relativeFrom="margin">
              <wp:align>center</wp:align>
            </wp:positionH>
            <wp:positionV relativeFrom="paragraph">
              <wp:posOffset>276860</wp:posOffset>
            </wp:positionV>
            <wp:extent cx="5399405" cy="289623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éma - eRecept do KZ verze bez průhlednosti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1A4" w:rsidRPr="00EE07AF">
        <w:rPr>
          <w:b/>
        </w:rPr>
        <w:t xml:space="preserve">Schéma č. </w:t>
      </w:r>
      <w:r w:rsidR="0008156A" w:rsidRPr="00EE07AF">
        <w:rPr>
          <w:b/>
        </w:rPr>
        <w:t>1</w:t>
      </w:r>
      <w:r w:rsidR="00CE61A4" w:rsidRPr="00EE07AF">
        <w:rPr>
          <w:b/>
        </w:rPr>
        <w:t>: Přehled smluvních vztahů k CÚER</w:t>
      </w:r>
    </w:p>
    <w:p w14:paraId="7A1C6531" w14:textId="3E5C42C5" w:rsidR="00CE61A4" w:rsidRPr="00EE07AF" w:rsidRDefault="00CE61A4" w:rsidP="002B7A34">
      <w:pPr>
        <w:pStyle w:val="Zdrojapozn"/>
        <w:ind w:left="567" w:hanging="567"/>
        <w:rPr>
          <w:i w:val="0"/>
        </w:rPr>
      </w:pPr>
      <w:r w:rsidRPr="00EE07AF">
        <w:rPr>
          <w:b/>
          <w:i w:val="0"/>
        </w:rPr>
        <w:t>Zdroj:</w:t>
      </w:r>
      <w:r w:rsidRPr="00EE07AF">
        <w:rPr>
          <w:i w:val="0"/>
        </w:rPr>
        <w:tab/>
      </w:r>
      <w:r w:rsidR="00815EAB">
        <w:rPr>
          <w:i w:val="0"/>
        </w:rPr>
        <w:t>p</w:t>
      </w:r>
      <w:r w:rsidRPr="00EE07AF">
        <w:rPr>
          <w:i w:val="0"/>
        </w:rPr>
        <w:t>ředložené smlouvy</w:t>
      </w:r>
      <w:r w:rsidR="002E2006" w:rsidRPr="00EE07AF">
        <w:rPr>
          <w:rStyle w:val="Znakapoznpodarou"/>
          <w:i w:val="0"/>
        </w:rPr>
        <w:footnoteReference w:id="16"/>
      </w:r>
      <w:r w:rsidR="00E146ED" w:rsidRPr="00EE07AF">
        <w:rPr>
          <w:i w:val="0"/>
        </w:rPr>
        <w:t>.</w:t>
      </w:r>
    </w:p>
    <w:p w14:paraId="7A84A5E5" w14:textId="77777777" w:rsidR="002B7A34" w:rsidRDefault="002B7A34" w:rsidP="002B7A34">
      <w:pPr>
        <w:pStyle w:val="TextKP"/>
        <w:spacing w:before="0"/>
      </w:pPr>
    </w:p>
    <w:p w14:paraId="2419C83B" w14:textId="6852FD98" w:rsidR="00AE656C" w:rsidRDefault="00AE656C" w:rsidP="002B7A34">
      <w:pPr>
        <w:pStyle w:val="TextKP"/>
        <w:spacing w:before="0"/>
      </w:pPr>
      <w:r w:rsidRPr="00D25FBB">
        <w:t>NKÚ na základě výše uvedených zjištěných skutečností vyhodnotil, že postup budování CÚER nelze považovat za efektivní</w:t>
      </w:r>
      <w:r w:rsidR="00BF052C">
        <w:t>,</w:t>
      </w:r>
      <w:r w:rsidRPr="00D25FBB">
        <w:t xml:space="preserve"> a to zejména s ohledem na tvorbu, rozvoj, provoz a správu </w:t>
      </w:r>
      <w:r w:rsidR="002E2006" w:rsidRPr="00D25FBB">
        <w:t>ISVS</w:t>
      </w:r>
      <w:r w:rsidRPr="00D25FBB">
        <w:t xml:space="preserve"> CÚER v rozporu se zákonem č. 365/2000 Sb.</w:t>
      </w:r>
      <w:r w:rsidR="006D7DA9" w:rsidRPr="00D25FBB">
        <w:t>, v jehož důsledku docházelo k nedostatečné smluvní úpravě autorských práv</w:t>
      </w:r>
      <w:r w:rsidR="00B01140">
        <w:t>,</w:t>
      </w:r>
      <w:r w:rsidR="002E2006" w:rsidRPr="00D25FBB">
        <w:t xml:space="preserve"> a</w:t>
      </w:r>
      <w:r w:rsidR="006D7DA9" w:rsidRPr="00D25FBB">
        <w:t xml:space="preserve"> také s ohledem</w:t>
      </w:r>
      <w:r w:rsidR="002E2006" w:rsidRPr="00D25FBB">
        <w:t xml:space="preserve"> </w:t>
      </w:r>
      <w:r w:rsidR="00792800" w:rsidRPr="00D25FBB">
        <w:t>na</w:t>
      </w:r>
      <w:r w:rsidR="002E2006" w:rsidRPr="00D25FBB">
        <w:t xml:space="preserve"> </w:t>
      </w:r>
      <w:r w:rsidR="00792800" w:rsidRPr="00D25FBB">
        <w:t xml:space="preserve">výši </w:t>
      </w:r>
      <w:r w:rsidR="002E2006" w:rsidRPr="00D25FBB">
        <w:t xml:space="preserve">vynaložených peněžních prostředků </w:t>
      </w:r>
      <w:r w:rsidR="00792800" w:rsidRPr="00D25FBB">
        <w:t>ve</w:t>
      </w:r>
      <w:r w:rsidR="002E2006" w:rsidRPr="00D25FBB">
        <w:t xml:space="preserve"> </w:t>
      </w:r>
      <w:r w:rsidR="00792800" w:rsidRPr="00D25FBB">
        <w:t xml:space="preserve">vztahu k </w:t>
      </w:r>
      <w:r w:rsidR="002E2006" w:rsidRPr="00D25FBB">
        <w:t>zjištěný</w:t>
      </w:r>
      <w:r w:rsidR="00792800" w:rsidRPr="00D25FBB">
        <w:t>m</w:t>
      </w:r>
      <w:r w:rsidR="002E2006" w:rsidRPr="00D25FBB">
        <w:t xml:space="preserve"> informací</w:t>
      </w:r>
      <w:r w:rsidR="00792800" w:rsidRPr="00D25FBB">
        <w:t>m</w:t>
      </w:r>
      <w:r w:rsidR="002E2006" w:rsidRPr="00D25FBB">
        <w:t xml:space="preserve"> o využitelnosti předepisování lékařských předpisů formou elektronických receptů.</w:t>
      </w:r>
    </w:p>
    <w:p w14:paraId="57590645" w14:textId="77777777" w:rsidR="002B7A34" w:rsidRPr="00D25FBB" w:rsidRDefault="002B7A34" w:rsidP="002B7A34">
      <w:pPr>
        <w:pStyle w:val="TextKP"/>
        <w:spacing w:before="0"/>
      </w:pPr>
    </w:p>
    <w:p w14:paraId="2557FFFA" w14:textId="1856261C" w:rsidR="004749A3" w:rsidRPr="00EE07AF" w:rsidRDefault="004749A3" w:rsidP="002B7A34">
      <w:pPr>
        <w:rPr>
          <w:rFonts w:asciiTheme="minorHAnsi" w:hAnsiTheme="minorHAnsi" w:cstheme="minorHAnsi"/>
          <w:b/>
        </w:rPr>
      </w:pPr>
      <w:r w:rsidRPr="00EE07AF">
        <w:rPr>
          <w:rFonts w:asciiTheme="minorHAnsi" w:hAnsiTheme="minorHAnsi" w:cstheme="minorHAnsi"/>
          <w:b/>
        </w:rPr>
        <w:t xml:space="preserve">K části II. bodu </w:t>
      </w:r>
      <w:r w:rsidR="001F231B" w:rsidRPr="00EE07AF">
        <w:rPr>
          <w:rFonts w:asciiTheme="minorHAnsi" w:hAnsiTheme="minorHAnsi" w:cstheme="minorHAnsi"/>
          <w:b/>
        </w:rPr>
        <w:t>5</w:t>
      </w:r>
      <w:r w:rsidRPr="00EE07AF">
        <w:rPr>
          <w:rFonts w:asciiTheme="minorHAnsi" w:hAnsiTheme="minorHAnsi" w:cstheme="minorHAnsi"/>
          <w:b/>
        </w:rPr>
        <w:t>:</w:t>
      </w:r>
    </w:p>
    <w:p w14:paraId="2515C146" w14:textId="77777777" w:rsidR="002B7A34" w:rsidRPr="002B7A34" w:rsidRDefault="002B7A34" w:rsidP="002B7A34">
      <w:pPr>
        <w:rPr>
          <w:rFonts w:asciiTheme="minorHAnsi" w:hAnsiTheme="minorHAnsi" w:cstheme="minorHAnsi"/>
        </w:rPr>
      </w:pPr>
    </w:p>
    <w:p w14:paraId="195441F3" w14:textId="5072C505" w:rsidR="00882C7C" w:rsidRDefault="00882C7C" w:rsidP="002B7A34">
      <w:pPr>
        <w:pStyle w:val="TextKP"/>
        <w:spacing w:before="0"/>
        <w:rPr>
          <w:b/>
        </w:rPr>
      </w:pPr>
      <w:r w:rsidRPr="00882C7C">
        <w:rPr>
          <w:b/>
        </w:rPr>
        <w:t>Nekoncepční řízení IS a ICT vedlo k porušení autorského zákona</w:t>
      </w:r>
    </w:p>
    <w:p w14:paraId="2668672B" w14:textId="77777777" w:rsidR="002B7A34" w:rsidRDefault="002B7A34" w:rsidP="002B7A34">
      <w:pPr>
        <w:pStyle w:val="TextKP"/>
        <w:spacing w:before="0"/>
      </w:pPr>
    </w:p>
    <w:p w14:paraId="7A54BDDB" w14:textId="0164D9C0" w:rsidR="0052524C" w:rsidRDefault="00EE031D" w:rsidP="002B7A34">
      <w:pPr>
        <w:pStyle w:val="TextKP"/>
        <w:spacing w:before="0"/>
      </w:pPr>
      <w:r>
        <w:t>SÚKL</w:t>
      </w:r>
      <w:r w:rsidR="0052524C">
        <w:t xml:space="preserve"> </w:t>
      </w:r>
      <w:r w:rsidR="00D6255F">
        <w:t>dne 26. 5.</w:t>
      </w:r>
      <w:r w:rsidR="0052524C">
        <w:t xml:space="preserve"> 2014 uzavřel </w:t>
      </w:r>
      <w:r w:rsidR="00BE3455">
        <w:t>d</w:t>
      </w:r>
      <w:r w:rsidR="0052524C">
        <w:t>ohodu o narovnání č. 55/14 s dodavatelem licenčních oprávnění, jejímž</w:t>
      </w:r>
      <w:r w:rsidR="00B01140">
        <w:t xml:space="preserve"> </w:t>
      </w:r>
      <w:r w:rsidR="0052524C">
        <w:t xml:space="preserve">předmětem bylo narovnání sporných práv, resp. nároků dodavatele vzešlých </w:t>
      </w:r>
      <w:r w:rsidR="007D2448">
        <w:t xml:space="preserve">z provedeného licenčního auditu. Výsledkem licenčního auditu </w:t>
      </w:r>
      <w:r w:rsidR="0052524C">
        <w:t>byl</w:t>
      </w:r>
      <w:r w:rsidR="00584888">
        <w:t>o zjištění chybějících licencí k</w:t>
      </w:r>
      <w:r w:rsidR="009779FB">
        <w:t xml:space="preserve"> vybraným softwarovým </w:t>
      </w:r>
      <w:r w:rsidR="00584888">
        <w:t xml:space="preserve">produktům </w:t>
      </w:r>
      <w:r w:rsidR="009779FB">
        <w:t>(dále také „SW produkty)</w:t>
      </w:r>
      <w:r w:rsidR="00584888">
        <w:t xml:space="preserve">. </w:t>
      </w:r>
      <w:r w:rsidR="00EB0D46" w:rsidRPr="00EB0D46">
        <w:t xml:space="preserve">K porušení licenčních práv došlo při přechodu na </w:t>
      </w:r>
      <w:r w:rsidR="00217DF8">
        <w:t xml:space="preserve">novou ICT </w:t>
      </w:r>
      <w:r w:rsidR="00EB0D46" w:rsidRPr="00EB0D46">
        <w:t>architektu</w:t>
      </w:r>
      <w:r w:rsidR="00BA128A">
        <w:t>ru</w:t>
      </w:r>
      <w:r>
        <w:t xml:space="preserve"> v </w:t>
      </w:r>
      <w:r w:rsidR="00BA128A">
        <w:t>letech 2005 až 2009</w:t>
      </w:r>
      <w:r w:rsidR="00BA128A" w:rsidRPr="00BA128A">
        <w:t xml:space="preserve"> </w:t>
      </w:r>
      <w:r w:rsidR="00BA128A">
        <w:t>a</w:t>
      </w:r>
      <w:r>
        <w:t xml:space="preserve"> v důsledku</w:t>
      </w:r>
      <w:r w:rsidR="00BA128A">
        <w:t> </w:t>
      </w:r>
      <w:r w:rsidR="00BA128A" w:rsidRPr="00BA128A">
        <w:t xml:space="preserve">rozhodnutí ředitele SÚKL ze dne 28. 5. 2012 o vytvoření rozsáhlého </w:t>
      </w:r>
      <w:r w:rsidR="009779FB">
        <w:t>datového skladu</w:t>
      </w:r>
      <w:r w:rsidR="00BA128A" w:rsidRPr="00BA128A">
        <w:t xml:space="preserve"> na základě </w:t>
      </w:r>
      <w:r w:rsidR="00BA128A">
        <w:t>veřejné zakázky č.</w:t>
      </w:r>
      <w:r w:rsidR="00BA128A" w:rsidRPr="00BA128A">
        <w:t xml:space="preserve"> 19/2012</w:t>
      </w:r>
      <w:r w:rsidR="00BA128A">
        <w:t>.</w:t>
      </w:r>
    </w:p>
    <w:p w14:paraId="79FF2F5F" w14:textId="77777777" w:rsidR="002B7A34" w:rsidRDefault="002B7A34" w:rsidP="002B7A34">
      <w:pPr>
        <w:pStyle w:val="TextKP"/>
        <w:spacing w:before="0"/>
      </w:pPr>
    </w:p>
    <w:p w14:paraId="200461AA" w14:textId="4D6D6D19" w:rsidR="0052524C" w:rsidRPr="005E1FB3" w:rsidRDefault="0052524C" w:rsidP="002B7A34">
      <w:pPr>
        <w:pStyle w:val="TextKP"/>
        <w:spacing w:before="0"/>
      </w:pPr>
      <w:r>
        <w:t>V</w:t>
      </w:r>
      <w:r w:rsidR="00584888">
        <w:t> dohodě o narovnání</w:t>
      </w:r>
      <w:r>
        <w:t xml:space="preserve"> se smluvní strany dohodly na narovnání sporných práv, resp. </w:t>
      </w:r>
      <w:r w:rsidR="00BE3455" w:rsidRPr="00EE07AF">
        <w:rPr>
          <w:b/>
        </w:rPr>
        <w:t>SÚKL se </w:t>
      </w:r>
      <w:r w:rsidRPr="00EE07AF">
        <w:rPr>
          <w:b/>
        </w:rPr>
        <w:t xml:space="preserve">zavázal uhradit </w:t>
      </w:r>
      <w:r w:rsidR="00584888" w:rsidRPr="00EE07AF">
        <w:rPr>
          <w:b/>
        </w:rPr>
        <w:t>dodavateli licenčních oprávnění</w:t>
      </w:r>
      <w:r w:rsidRPr="00EE07AF">
        <w:rPr>
          <w:b/>
        </w:rPr>
        <w:t xml:space="preserve"> částku ve výši 98 691 34</w:t>
      </w:r>
      <w:r w:rsidR="00B765AF" w:rsidRPr="00EE07AF">
        <w:rPr>
          <w:b/>
        </w:rPr>
        <w:t>4</w:t>
      </w:r>
      <w:r w:rsidRPr="00EE07AF">
        <w:rPr>
          <w:b/>
        </w:rPr>
        <w:t xml:space="preserve"> Kč bez DPH</w:t>
      </w:r>
      <w:r w:rsidR="00B765AF" w:rsidRPr="00EE07AF">
        <w:rPr>
          <w:b/>
        </w:rPr>
        <w:t>, tj. </w:t>
      </w:r>
      <w:r w:rsidRPr="00EE07AF">
        <w:rPr>
          <w:b/>
        </w:rPr>
        <w:t>119 416 52</w:t>
      </w:r>
      <w:r w:rsidR="00B765AF" w:rsidRPr="00EE07AF">
        <w:rPr>
          <w:b/>
        </w:rPr>
        <w:t>6</w:t>
      </w:r>
      <w:r w:rsidRPr="00EE07AF">
        <w:rPr>
          <w:b/>
        </w:rPr>
        <w:t xml:space="preserve"> Kč včetně DPH</w:t>
      </w:r>
      <w:r w:rsidRPr="005464E4">
        <w:rPr>
          <w:b/>
        </w:rPr>
        <w:t>.</w:t>
      </w:r>
      <w:r>
        <w:t xml:space="preserve"> Uzavřením této dohody o narovnání a řádným uhrazením uvedené částky </w:t>
      </w:r>
      <w:r w:rsidR="00584888">
        <w:t>dodavatel licenčních oprávnění</w:t>
      </w:r>
      <w:r>
        <w:t xml:space="preserve"> potvrdil, že SÚKL disponuje řádnými podlicencemi k potřebnému množství užívacích práv </w:t>
      </w:r>
      <w:r w:rsidR="009779FB">
        <w:t>k SW produktům</w:t>
      </w:r>
      <w:r>
        <w:t>, které umožní jejich užívání ze strany SÚKL dle hardwarové a softwarové specifikace obsažené v</w:t>
      </w:r>
      <w:r w:rsidR="00BE3455">
        <w:t xml:space="preserve"> auditní </w:t>
      </w:r>
      <w:r>
        <w:t>zprávě</w:t>
      </w:r>
      <w:r w:rsidR="007D2448">
        <w:t>.</w:t>
      </w:r>
    </w:p>
    <w:p w14:paraId="2C3E0737" w14:textId="77777777" w:rsidR="002B7A34" w:rsidRDefault="002B7A34" w:rsidP="002B7A34">
      <w:pPr>
        <w:pStyle w:val="TextKP"/>
        <w:spacing w:before="0"/>
      </w:pPr>
    </w:p>
    <w:p w14:paraId="632367D6" w14:textId="5A9D7571" w:rsidR="00E157C2" w:rsidRDefault="00BE3455" w:rsidP="002B7A34">
      <w:pPr>
        <w:pStyle w:val="TextKP"/>
        <w:spacing w:before="0"/>
      </w:pPr>
      <w:r w:rsidRPr="00BE3455">
        <w:t xml:space="preserve">SÚKL od roku 2009 do roku </w:t>
      </w:r>
      <w:r w:rsidRPr="00CD3D71">
        <w:t>2014 užíval</w:t>
      </w:r>
      <w:r w:rsidR="0052524C" w:rsidRPr="00CD3D71">
        <w:t xml:space="preserve"> více </w:t>
      </w:r>
      <w:r w:rsidR="009779FB">
        <w:t>SW produktů</w:t>
      </w:r>
      <w:r w:rsidR="0052524C" w:rsidRPr="00CD3D71">
        <w:t>, příp. </w:t>
      </w:r>
      <w:r w:rsidR="009779FB">
        <w:t>jiným způsobem, než</w:t>
      </w:r>
      <w:r w:rsidR="00B01140">
        <w:t xml:space="preserve"> </w:t>
      </w:r>
      <w:r w:rsidRPr="00CD3D71">
        <w:t>odpovídalo</w:t>
      </w:r>
      <w:r w:rsidR="0052524C" w:rsidRPr="00CD3D71">
        <w:t xml:space="preserve"> p</w:t>
      </w:r>
      <w:r w:rsidRPr="00CD3D71">
        <w:t>oskytnutým licencím v minulosti, čímž</w:t>
      </w:r>
      <w:r w:rsidR="00A9156A">
        <w:t xml:space="preserve"> </w:t>
      </w:r>
      <w:r w:rsidRPr="00CD3D71">
        <w:t xml:space="preserve">porušoval </w:t>
      </w:r>
      <w:r w:rsidR="0052524C" w:rsidRPr="00CD3D71">
        <w:t>zákon</w:t>
      </w:r>
      <w:r w:rsidRPr="00CD3D71">
        <w:t xml:space="preserve"> </w:t>
      </w:r>
      <w:r w:rsidR="001200F7">
        <w:t xml:space="preserve">č. 121/2000 Sb. </w:t>
      </w:r>
      <w:r w:rsidR="00E63634">
        <w:t>a </w:t>
      </w:r>
      <w:r w:rsidR="0052524C" w:rsidRPr="00CD3D71">
        <w:t>bezdůvodn</w:t>
      </w:r>
      <w:r w:rsidR="00A9156A">
        <w:t>ě</w:t>
      </w:r>
      <w:r w:rsidR="00B01140" w:rsidRPr="00B01140">
        <w:t xml:space="preserve"> </w:t>
      </w:r>
      <w:r w:rsidR="00B01140">
        <w:t>se</w:t>
      </w:r>
      <w:r w:rsidR="0052524C" w:rsidRPr="00CD3D71">
        <w:t xml:space="preserve"> oboha</w:t>
      </w:r>
      <w:r w:rsidR="00A9156A">
        <w:t>til.</w:t>
      </w:r>
      <w:r w:rsidR="00CD3D71">
        <w:t xml:space="preserve"> Výsledky licenčního auditu potvrdil</w:t>
      </w:r>
      <w:r w:rsidR="00B01140">
        <w:t>y</w:t>
      </w:r>
      <w:r w:rsidR="00CD3D71">
        <w:t xml:space="preserve"> </w:t>
      </w:r>
      <w:r w:rsidR="001200F7">
        <w:t>také dva audity, posudky, které</w:t>
      </w:r>
      <w:r w:rsidR="00B01140">
        <w:t xml:space="preserve"> </w:t>
      </w:r>
      <w:r w:rsidR="001200F7">
        <w:t>si</w:t>
      </w:r>
      <w:r w:rsidR="00B01140">
        <w:t xml:space="preserve"> </w:t>
      </w:r>
      <w:r w:rsidR="00CD3D71">
        <w:t>SÚKL v</w:t>
      </w:r>
      <w:r w:rsidR="00EB0D46">
        <w:t> návaznosti na zaslanou zprávu z licenčního auditu nechal zpracovat</w:t>
      </w:r>
      <w:r w:rsidR="004D174C">
        <w:t>.</w:t>
      </w:r>
    </w:p>
    <w:p w14:paraId="04F8F950" w14:textId="77777777" w:rsidR="002B7A34" w:rsidRDefault="002B7A34" w:rsidP="002B7A34">
      <w:pPr>
        <w:pStyle w:val="TextKP"/>
        <w:spacing w:before="0"/>
      </w:pPr>
    </w:p>
    <w:p w14:paraId="6053559B" w14:textId="5A22D2AC" w:rsidR="0052524C" w:rsidRDefault="00E157C2" w:rsidP="002B7A34">
      <w:pPr>
        <w:pStyle w:val="TextKP"/>
        <w:spacing w:before="0"/>
        <w:rPr>
          <w:rFonts w:eastAsia="Calibri"/>
        </w:rPr>
      </w:pPr>
      <w:r w:rsidRPr="001D28E6">
        <w:t xml:space="preserve">Problematikou </w:t>
      </w:r>
      <w:r w:rsidR="00A9156A">
        <w:t>SW produktů</w:t>
      </w:r>
      <w:r w:rsidRPr="001D28E6">
        <w:t xml:space="preserve"> v prostředí SÚKL se zabýval také forenzní audit a analýza licencí. Obě šetření byl</w:t>
      </w:r>
      <w:r w:rsidR="00EE031D">
        <w:t>a</w:t>
      </w:r>
      <w:r w:rsidRPr="001D28E6">
        <w:t xml:space="preserve"> realizován</w:t>
      </w:r>
      <w:r w:rsidR="00EE031D">
        <w:t>a</w:t>
      </w:r>
      <w:r w:rsidRPr="001D28E6">
        <w:t xml:space="preserve"> u SÚKL externími dodavateli v roce 2014. </w:t>
      </w:r>
      <w:r w:rsidR="001D28E6" w:rsidRPr="001D28E6">
        <w:t xml:space="preserve">Zpráva z forenzního auditu mimo jiné </w:t>
      </w:r>
      <w:r w:rsidR="001D28E6">
        <w:t>uvádí</w:t>
      </w:r>
      <w:r w:rsidR="001D28E6" w:rsidRPr="001D28E6">
        <w:t xml:space="preserve">, že je zapotřebí přesunout </w:t>
      </w:r>
      <w:r w:rsidR="00A9156A">
        <w:t>dané</w:t>
      </w:r>
      <w:r w:rsidR="003F73AB">
        <w:t xml:space="preserve"> servery mimo </w:t>
      </w:r>
      <w:proofErr w:type="spellStart"/>
      <w:r w:rsidR="001D28E6" w:rsidRPr="001D28E6">
        <w:t>virtualizační</w:t>
      </w:r>
      <w:proofErr w:type="spellEnd"/>
      <w:r w:rsidR="001D28E6" w:rsidRPr="001D28E6">
        <w:t xml:space="preserve"> platformu</w:t>
      </w:r>
      <w:r w:rsidR="003F73AB">
        <w:t>,</w:t>
      </w:r>
      <w:r w:rsidR="001D28E6" w:rsidRPr="001D28E6">
        <w:t xml:space="preserve"> a tak snížit cenu za licence </w:t>
      </w:r>
      <w:r w:rsidR="00A9156A">
        <w:t>k SW produktům</w:t>
      </w:r>
      <w:r w:rsidR="001D28E6" w:rsidRPr="001D28E6">
        <w:t>, jejichž cena byla při stávající konfiguraci enormně vysoká (desítky miliónů Kč ročně). Nákladovost zvoleného tec</w:t>
      </w:r>
      <w:r w:rsidR="00A9156A">
        <w:t>hnologického řešení potvrdila i </w:t>
      </w:r>
      <w:r w:rsidR="001D28E6" w:rsidRPr="001D28E6">
        <w:t>proveden</w:t>
      </w:r>
      <w:r w:rsidR="003F73AB">
        <w:t>á</w:t>
      </w:r>
      <w:r w:rsidR="001D28E6" w:rsidRPr="001D28E6">
        <w:t xml:space="preserve"> analýza licencí, která mimo jiné uvedla, že hlavním důvodem vysokých licenčních nákladů na </w:t>
      </w:r>
      <w:r w:rsidR="00A9156A">
        <w:t>SW produkty</w:t>
      </w:r>
      <w:r w:rsidR="00A9156A" w:rsidRPr="001D28E6">
        <w:t xml:space="preserve"> </w:t>
      </w:r>
      <w:r w:rsidR="001D28E6" w:rsidRPr="001D28E6">
        <w:t>v prostředí SÚKL je jejich provozování v</w:t>
      </w:r>
      <w:r w:rsidR="00C74EEE">
        <w:t xml:space="preserve"> daném</w:t>
      </w:r>
      <w:r w:rsidR="001D28E6" w:rsidRPr="001D28E6">
        <w:t xml:space="preserve"> </w:t>
      </w:r>
      <w:proofErr w:type="spellStart"/>
      <w:r w:rsidR="001D28E6" w:rsidRPr="001D28E6">
        <w:t>virtualizovaném</w:t>
      </w:r>
      <w:proofErr w:type="spellEnd"/>
      <w:r w:rsidR="001D28E6" w:rsidRPr="001D28E6">
        <w:t xml:space="preserve"> prostředí</w:t>
      </w:r>
      <w:r w:rsidR="0052524C" w:rsidRPr="001D28E6">
        <w:rPr>
          <w:rFonts w:eastAsia="Calibri"/>
        </w:rPr>
        <w:t xml:space="preserve">, </w:t>
      </w:r>
      <w:r w:rsidR="001D28E6" w:rsidRPr="001D28E6">
        <w:rPr>
          <w:rFonts w:eastAsia="Calibri"/>
        </w:rPr>
        <w:t xml:space="preserve">ve kterém </w:t>
      </w:r>
      <w:r w:rsidR="0052524C" w:rsidRPr="001D28E6">
        <w:rPr>
          <w:rFonts w:eastAsia="Calibri"/>
        </w:rPr>
        <w:t>je nutnost licencovat všechny servery v</w:t>
      </w:r>
      <w:r w:rsidR="001D28E6" w:rsidRPr="001D28E6">
        <w:rPr>
          <w:rFonts w:eastAsia="Calibri"/>
        </w:rPr>
        <w:t> </w:t>
      </w:r>
      <w:r w:rsidR="00217DF8">
        <w:rPr>
          <w:rFonts w:eastAsia="Calibri"/>
        </w:rPr>
        <w:t>c</w:t>
      </w:r>
      <w:r w:rsidR="0052524C" w:rsidRPr="001D28E6">
        <w:rPr>
          <w:rFonts w:eastAsia="Calibri"/>
        </w:rPr>
        <w:t>lusteru</w:t>
      </w:r>
      <w:r w:rsidR="001D28E6" w:rsidRPr="001D28E6">
        <w:rPr>
          <w:rFonts w:eastAsia="Calibri"/>
        </w:rPr>
        <w:t xml:space="preserve">. </w:t>
      </w:r>
    </w:p>
    <w:p w14:paraId="71B1794B" w14:textId="77777777" w:rsidR="002B7A34" w:rsidRPr="001D28E6" w:rsidRDefault="002B7A34" w:rsidP="002B7A34">
      <w:pPr>
        <w:pStyle w:val="TextKP"/>
        <w:spacing w:before="0"/>
      </w:pPr>
    </w:p>
    <w:p w14:paraId="7808057B" w14:textId="41C37809" w:rsidR="009F1C91" w:rsidRDefault="00A9156A" w:rsidP="002B7A34">
      <w:pPr>
        <w:pStyle w:val="TextKP"/>
        <w:spacing w:before="0"/>
        <w:rPr>
          <w:rFonts w:eastAsia="Calibri"/>
        </w:rPr>
      </w:pPr>
      <w:r>
        <w:rPr>
          <w:rFonts w:eastAsia="Calibri"/>
        </w:rPr>
        <w:t>SÚKL v odpovědi NKÚ uvedl</w:t>
      </w:r>
      <w:r w:rsidR="003F73AB" w:rsidRPr="009F1C91">
        <w:rPr>
          <w:rFonts w:eastAsia="Calibri"/>
        </w:rPr>
        <w:t>, že</w:t>
      </w:r>
      <w:r w:rsidR="0052524C" w:rsidRPr="009F1C91">
        <w:rPr>
          <w:rFonts w:eastAsia="Calibri"/>
        </w:rPr>
        <w:t xml:space="preserve"> se plně ztotožňuje se závěry auditu v oblasti problematiky provozu </w:t>
      </w:r>
      <w:r>
        <w:rPr>
          <w:rFonts w:eastAsia="Calibri"/>
        </w:rPr>
        <w:t>SW produktů</w:t>
      </w:r>
      <w:r w:rsidR="0052524C" w:rsidRPr="009F1C91">
        <w:rPr>
          <w:rFonts w:eastAsia="Calibri"/>
        </w:rPr>
        <w:t xml:space="preserve"> v prostředí </w:t>
      </w:r>
      <w:r w:rsidR="00217DF8">
        <w:rPr>
          <w:rFonts w:eastAsia="Calibri"/>
        </w:rPr>
        <w:t xml:space="preserve">dané </w:t>
      </w:r>
      <w:proofErr w:type="spellStart"/>
      <w:r w:rsidR="0052524C" w:rsidRPr="009F1C91">
        <w:rPr>
          <w:rFonts w:eastAsia="Calibri"/>
        </w:rPr>
        <w:t>virtualizace</w:t>
      </w:r>
      <w:proofErr w:type="spellEnd"/>
      <w:r w:rsidR="0052524C" w:rsidRPr="009F1C91">
        <w:rPr>
          <w:rFonts w:eastAsia="Calibri"/>
        </w:rPr>
        <w:t xml:space="preserve"> a provádí p</w:t>
      </w:r>
      <w:r w:rsidR="007D2448" w:rsidRPr="009F1C91">
        <w:rPr>
          <w:rFonts w:eastAsia="Calibri"/>
        </w:rPr>
        <w:t xml:space="preserve">ostupné kroky k jejich naplnění, nicméně z důvodu zachování vlastností </w:t>
      </w:r>
      <w:r w:rsidR="00B01140">
        <w:rPr>
          <w:rFonts w:eastAsia="Calibri"/>
        </w:rPr>
        <w:t>a </w:t>
      </w:r>
      <w:r w:rsidR="007D2448" w:rsidRPr="009F1C91">
        <w:rPr>
          <w:rFonts w:eastAsia="Calibri"/>
        </w:rPr>
        <w:t>vysoké dostupnosti databází i ostatních systémů a</w:t>
      </w:r>
      <w:r w:rsidR="00B01140">
        <w:rPr>
          <w:rFonts w:eastAsia="Calibri"/>
        </w:rPr>
        <w:t> </w:t>
      </w:r>
      <w:r w:rsidR="007D2448" w:rsidRPr="009F1C91">
        <w:rPr>
          <w:rFonts w:eastAsia="Calibri"/>
        </w:rPr>
        <w:t xml:space="preserve">při </w:t>
      </w:r>
      <w:r w:rsidR="00B01140">
        <w:rPr>
          <w:rFonts w:eastAsia="Calibri"/>
        </w:rPr>
        <w:t>snaze o </w:t>
      </w:r>
      <w:r w:rsidR="007D2448" w:rsidRPr="009F1C91">
        <w:rPr>
          <w:rFonts w:eastAsia="Calibri"/>
        </w:rPr>
        <w:t>zachování výkonnostních parametrů ostatních částí používané sdílené virtuální platformy není možné doporučení realizovat na stávajícím HW vybavení.</w:t>
      </w:r>
      <w:r w:rsidR="009F1C91" w:rsidRPr="009F1C91">
        <w:rPr>
          <w:rFonts w:eastAsia="Calibri"/>
        </w:rPr>
        <w:t xml:space="preserve"> </w:t>
      </w:r>
      <w:r w:rsidR="007D2448" w:rsidRPr="009F1C91">
        <w:rPr>
          <w:rFonts w:eastAsia="Calibri"/>
        </w:rPr>
        <w:t xml:space="preserve">Optimalizace je spojena zejména s projektem datového centra, jehož výsledkem by mimo jiné mělo být splnění požadavků na provoz systému </w:t>
      </w:r>
      <w:proofErr w:type="spellStart"/>
      <w:r w:rsidR="007D2448" w:rsidRPr="009F1C91">
        <w:rPr>
          <w:rFonts w:eastAsia="Calibri"/>
        </w:rPr>
        <w:t>eRecept</w:t>
      </w:r>
      <w:proofErr w:type="spellEnd"/>
      <w:r w:rsidR="007D2448" w:rsidRPr="009F1C91">
        <w:rPr>
          <w:rFonts w:eastAsia="Calibri"/>
        </w:rPr>
        <w:t xml:space="preserve"> v režimu povinné elektronické preskripce od 1.</w:t>
      </w:r>
      <w:r w:rsidR="00B01140">
        <w:rPr>
          <w:rFonts w:eastAsia="Calibri"/>
        </w:rPr>
        <w:t> 1. </w:t>
      </w:r>
      <w:r w:rsidR="007D2448" w:rsidRPr="009F1C91">
        <w:rPr>
          <w:rFonts w:eastAsia="Calibri"/>
        </w:rPr>
        <w:t>2018.</w:t>
      </w:r>
    </w:p>
    <w:p w14:paraId="491965DE" w14:textId="77777777" w:rsidR="002B7A34" w:rsidRPr="009F1C91" w:rsidRDefault="002B7A34" w:rsidP="002B7A34">
      <w:pPr>
        <w:pStyle w:val="TextKP"/>
        <w:spacing w:before="0"/>
        <w:rPr>
          <w:rFonts w:eastAsia="Calibri"/>
        </w:rPr>
      </w:pPr>
    </w:p>
    <w:p w14:paraId="66C72848" w14:textId="2F1083DB" w:rsidR="0052524C" w:rsidRDefault="00D6255F" w:rsidP="002B7A34">
      <w:pPr>
        <w:pStyle w:val="TextKP"/>
        <w:spacing w:before="0"/>
        <w:rPr>
          <w:b/>
        </w:rPr>
      </w:pPr>
      <w:r w:rsidRPr="008842D0">
        <w:rPr>
          <w:rFonts w:cs="Calibri"/>
          <w:b/>
        </w:rPr>
        <w:t>NKÚ analýzou</w:t>
      </w:r>
      <w:r w:rsidR="00B01140">
        <w:rPr>
          <w:rFonts w:cs="Calibri"/>
          <w:b/>
        </w:rPr>
        <w:t xml:space="preserve"> </w:t>
      </w:r>
      <w:r w:rsidRPr="008842D0">
        <w:rPr>
          <w:rFonts w:cs="Calibri"/>
          <w:b/>
        </w:rPr>
        <w:t>podkladů vztahujících se</w:t>
      </w:r>
      <w:r w:rsidR="00B01140">
        <w:rPr>
          <w:rFonts w:cs="Calibri"/>
          <w:b/>
        </w:rPr>
        <w:t xml:space="preserve"> </w:t>
      </w:r>
      <w:r w:rsidRPr="008842D0">
        <w:rPr>
          <w:rFonts w:cs="Calibri"/>
          <w:b/>
        </w:rPr>
        <w:t xml:space="preserve">k licencování </w:t>
      </w:r>
      <w:r w:rsidR="005D609A">
        <w:rPr>
          <w:rFonts w:cs="Calibri"/>
          <w:b/>
        </w:rPr>
        <w:t>SW produktů</w:t>
      </w:r>
      <w:r>
        <w:rPr>
          <w:rFonts w:cs="Calibri"/>
          <w:b/>
        </w:rPr>
        <w:t xml:space="preserve"> a v souvislosti s</w:t>
      </w:r>
      <w:r w:rsidR="00B01140">
        <w:rPr>
          <w:rFonts w:cs="Calibri"/>
          <w:b/>
        </w:rPr>
        <w:t> </w:t>
      </w:r>
      <w:r w:rsidRPr="008842D0">
        <w:rPr>
          <w:rFonts w:cs="Calibri"/>
          <w:b/>
        </w:rPr>
        <w:t>vyhodnocením</w:t>
      </w:r>
      <w:r w:rsidR="00B01140">
        <w:rPr>
          <w:rFonts w:cs="Calibri"/>
          <w:b/>
        </w:rPr>
        <w:t xml:space="preserve"> </w:t>
      </w:r>
      <w:r w:rsidRPr="008842D0">
        <w:rPr>
          <w:rFonts w:cs="Calibri"/>
          <w:b/>
        </w:rPr>
        <w:t>řízení IS a ICT v prostředí SÚKL vyhodnotil, že v důsledku nekoncepčního budování a řízení IS a ICT:</w:t>
      </w:r>
    </w:p>
    <w:p w14:paraId="016141E1" w14:textId="627A213E" w:rsidR="0052524C" w:rsidRPr="00D25FBB" w:rsidRDefault="005D609A" w:rsidP="00BA77B1">
      <w:pPr>
        <w:pStyle w:val="TextKP"/>
        <w:numPr>
          <w:ilvl w:val="0"/>
          <w:numId w:val="43"/>
        </w:numPr>
        <w:spacing w:before="0"/>
        <w:ind w:left="284" w:hanging="284"/>
      </w:pPr>
      <w:r w:rsidRPr="00D25FBB">
        <w:t xml:space="preserve">SÚKL </w:t>
      </w:r>
      <w:r w:rsidR="0052524C" w:rsidRPr="00D25FBB">
        <w:t>v letech 2009 až 2014 porušoval zákon č. 121/2000 Sb.</w:t>
      </w:r>
      <w:r w:rsidRPr="00D25FBB">
        <w:t xml:space="preserve"> </w:t>
      </w:r>
      <w:r w:rsidR="0052524C" w:rsidRPr="00D25FBB">
        <w:t>tím, že neoprávněně nakládal s dílem, aniž by k tomu získal potřebnou licenci</w:t>
      </w:r>
      <w:r w:rsidR="00B01140">
        <w:t>;</w:t>
      </w:r>
      <w:r w:rsidR="0052524C" w:rsidRPr="00D25FBB">
        <w:t xml:space="preserve"> </w:t>
      </w:r>
      <w:r w:rsidR="00BA77B1">
        <w:t>tím</w:t>
      </w:r>
      <w:r w:rsidR="00B01140">
        <w:t xml:space="preserve"> </w:t>
      </w:r>
      <w:r w:rsidR="00BA77B1">
        <w:t>také</w:t>
      </w:r>
      <w:r w:rsidR="00B01140">
        <w:t xml:space="preserve"> </w:t>
      </w:r>
      <w:r w:rsidR="00BA77B1">
        <w:t>došlo na straně SÚKL k </w:t>
      </w:r>
      <w:r w:rsidR="0052524C" w:rsidRPr="00D25FBB">
        <w:t>bezdůvodnému oboha</w:t>
      </w:r>
      <w:r w:rsidR="00B01140">
        <w:t xml:space="preserve">cení, resp. na straně toho, kdo </w:t>
      </w:r>
      <w:r w:rsidR="0052524C" w:rsidRPr="00D25FBB">
        <w:t>neoprávněně nakládal s dílem, aniž by k tomu získal potřebnou licenci. K nápravě této skuteč</w:t>
      </w:r>
      <w:r w:rsidR="00BA77B1">
        <w:t>nosti došlo na základě dohody o </w:t>
      </w:r>
      <w:r w:rsidR="0052524C" w:rsidRPr="00D25FBB">
        <w:t>narovnání č. 55/14, ve</w:t>
      </w:r>
      <w:r w:rsidR="00B01140">
        <w:t xml:space="preserve"> </w:t>
      </w:r>
      <w:r w:rsidR="0052524C" w:rsidRPr="00D25FBB">
        <w:t>které</w:t>
      </w:r>
      <w:r w:rsidR="00B01140">
        <w:t xml:space="preserve"> </w:t>
      </w:r>
      <w:r w:rsidR="0052524C" w:rsidRPr="00D25FBB">
        <w:t>se</w:t>
      </w:r>
      <w:r w:rsidR="00B01140">
        <w:t xml:space="preserve"> </w:t>
      </w:r>
      <w:r w:rsidR="0052524C" w:rsidRPr="00D25FBB">
        <w:t xml:space="preserve">SÚKL zavázal uhradit </w:t>
      </w:r>
      <w:r w:rsidR="008A3F6F" w:rsidRPr="00D25FBB">
        <w:t>dodavateli licenčních oprávnění</w:t>
      </w:r>
      <w:r w:rsidR="00BA77B1">
        <w:t xml:space="preserve"> 119 </w:t>
      </w:r>
      <w:r w:rsidR="00B765AF">
        <w:t xml:space="preserve">416 526 </w:t>
      </w:r>
      <w:r w:rsidR="0052524C" w:rsidRPr="00D25FBB">
        <w:t>Kč včetně DPH.</w:t>
      </w:r>
    </w:p>
    <w:p w14:paraId="0B29018D" w14:textId="76261278" w:rsidR="0052524C" w:rsidRPr="00D25FBB" w:rsidRDefault="003652D7" w:rsidP="00BA77B1">
      <w:pPr>
        <w:pStyle w:val="TextKP"/>
        <w:numPr>
          <w:ilvl w:val="0"/>
          <w:numId w:val="43"/>
        </w:numPr>
        <w:spacing w:before="0"/>
        <w:ind w:left="284" w:hanging="284"/>
      </w:pPr>
      <w:r w:rsidRPr="00D25FBB">
        <w:t xml:space="preserve">SÚKL </w:t>
      </w:r>
      <w:r w:rsidR="0052524C" w:rsidRPr="00D25FBB">
        <w:t xml:space="preserve">zvolil nákladné technologické řešení, </w:t>
      </w:r>
      <w:r w:rsidRPr="00D25FBB">
        <w:t>neboť</w:t>
      </w:r>
      <w:r w:rsidR="00B01140">
        <w:t xml:space="preserve"> </w:t>
      </w:r>
      <w:r w:rsidRPr="00D25FBB">
        <w:t>SW produkty, zejména databáze a </w:t>
      </w:r>
      <w:r w:rsidR="0052524C" w:rsidRPr="00D25FBB">
        <w:t xml:space="preserve">aplikační servery byly instalovány převážně ve </w:t>
      </w:r>
      <w:proofErr w:type="spellStart"/>
      <w:r w:rsidR="0052524C" w:rsidRPr="00D25FBB">
        <w:t>virt</w:t>
      </w:r>
      <w:r w:rsidR="00C74EEE">
        <w:t>ualizovaném</w:t>
      </w:r>
      <w:proofErr w:type="spellEnd"/>
      <w:r w:rsidR="00C74EEE">
        <w:t xml:space="preserve"> prostředí</w:t>
      </w:r>
      <w:r w:rsidR="001C19C6">
        <w:t xml:space="preserve">, </w:t>
      </w:r>
      <w:r w:rsidR="005464E4">
        <w:t xml:space="preserve">čímž </w:t>
      </w:r>
      <w:r w:rsidR="0052524C" w:rsidRPr="00D25FBB">
        <w:t>vznikají značné licenční náklady</w:t>
      </w:r>
      <w:r w:rsidR="008A3F6F" w:rsidRPr="00D25FBB">
        <w:t>.</w:t>
      </w:r>
    </w:p>
    <w:p w14:paraId="408E0D43" w14:textId="77777777" w:rsidR="002B7A34" w:rsidRPr="001D28E6" w:rsidRDefault="002B7A34" w:rsidP="002B7A34">
      <w:pPr>
        <w:pStyle w:val="TextKP"/>
        <w:spacing w:before="0"/>
      </w:pPr>
    </w:p>
    <w:p w14:paraId="3F2D232A" w14:textId="260F4E4A" w:rsidR="00BA1AD7" w:rsidRDefault="0052524C" w:rsidP="002B7A34">
      <w:pPr>
        <w:pStyle w:val="TextKP"/>
        <w:spacing w:before="0"/>
        <w:rPr>
          <w:b/>
        </w:rPr>
      </w:pPr>
      <w:r w:rsidRPr="00960D7F">
        <w:rPr>
          <w:b/>
        </w:rPr>
        <w:t>Tím, že SÚKL v prostředí nekoncepčního budování a řízení IS a ICT zvolil v</w:t>
      </w:r>
      <w:r w:rsidR="00BA77B1">
        <w:rPr>
          <w:b/>
        </w:rPr>
        <w:t> </w:t>
      </w:r>
      <w:r>
        <w:rPr>
          <w:b/>
        </w:rPr>
        <w:t>letech</w:t>
      </w:r>
      <w:r w:rsidR="00BA77B1">
        <w:rPr>
          <w:b/>
        </w:rPr>
        <w:t xml:space="preserve"> </w:t>
      </w:r>
      <w:r>
        <w:rPr>
          <w:b/>
        </w:rPr>
        <w:t xml:space="preserve">2005 až 2009 a následně v roce </w:t>
      </w:r>
      <w:r w:rsidRPr="00960D7F">
        <w:rPr>
          <w:b/>
        </w:rPr>
        <w:t xml:space="preserve">2012 </w:t>
      </w:r>
      <w:r>
        <w:rPr>
          <w:b/>
        </w:rPr>
        <w:t>k zajištění provozu</w:t>
      </w:r>
      <w:r w:rsidRPr="00960D7F">
        <w:rPr>
          <w:b/>
        </w:rPr>
        <w:t xml:space="preserve"> </w:t>
      </w:r>
      <w:r w:rsidR="003652D7">
        <w:rPr>
          <w:b/>
        </w:rPr>
        <w:t>daných SW produktů</w:t>
      </w:r>
      <w:r>
        <w:rPr>
          <w:b/>
        </w:rPr>
        <w:t xml:space="preserve"> nákladné technologické řešení, </w:t>
      </w:r>
      <w:r w:rsidRPr="00960D7F">
        <w:rPr>
          <w:b/>
        </w:rPr>
        <w:t>díky n</w:t>
      </w:r>
      <w:r w:rsidR="001C19C6">
        <w:rPr>
          <w:b/>
        </w:rPr>
        <w:t>ěmu</w:t>
      </w:r>
      <w:r w:rsidRPr="00960D7F">
        <w:rPr>
          <w:b/>
        </w:rPr>
        <w:t xml:space="preserve">ž vznikly značné licenční náklady </w:t>
      </w:r>
      <w:r w:rsidR="00BA1AD7">
        <w:rPr>
          <w:b/>
        </w:rPr>
        <w:t>mimo jiné</w:t>
      </w:r>
      <w:r w:rsidRPr="00960D7F">
        <w:rPr>
          <w:b/>
        </w:rPr>
        <w:t xml:space="preserve"> i na základě </w:t>
      </w:r>
      <w:r w:rsidRPr="00960D7F">
        <w:rPr>
          <w:b/>
        </w:rPr>
        <w:lastRenderedPageBreak/>
        <w:t>dohody o narovnání č. 55/14 s</w:t>
      </w:r>
      <w:r w:rsidR="008A3F6F">
        <w:rPr>
          <w:b/>
        </w:rPr>
        <w:t> dodavatelem licenčních oprávnění</w:t>
      </w:r>
      <w:r w:rsidRPr="00960D7F">
        <w:rPr>
          <w:b/>
        </w:rPr>
        <w:t>, neprověři</w:t>
      </w:r>
      <w:r>
        <w:rPr>
          <w:b/>
        </w:rPr>
        <w:t>l ve smyslu ustanovení § 4 </w:t>
      </w:r>
      <w:r w:rsidRPr="00960D7F">
        <w:rPr>
          <w:b/>
        </w:rPr>
        <w:t>odst. 1 písm. d), ve spojení s ustanovením § 4 odst. 2</w:t>
      </w:r>
      <w:r>
        <w:rPr>
          <w:b/>
        </w:rPr>
        <w:t xml:space="preserve"> zákona č. 320/2001 Sb., zda</w:t>
      </w:r>
      <w:r w:rsidR="008E171A">
        <w:rPr>
          <w:b/>
        </w:rPr>
        <w:t xml:space="preserve"> </w:t>
      </w:r>
      <w:r w:rsidRPr="00960D7F">
        <w:rPr>
          <w:b/>
        </w:rPr>
        <w:t>navrhované řešení naplňuje z hlediska cílů finanční kontroly hospodárný výkon státní správy.</w:t>
      </w:r>
    </w:p>
    <w:p w14:paraId="2FAE3870" w14:textId="1B23249B" w:rsidR="00A410D6" w:rsidRDefault="00A410D6" w:rsidP="00510007">
      <w:pPr>
        <w:rPr>
          <w:rFonts w:asciiTheme="minorHAnsi" w:hAnsiTheme="minorHAnsi" w:cstheme="minorHAnsi"/>
          <w:u w:val="single"/>
        </w:rPr>
      </w:pPr>
    </w:p>
    <w:p w14:paraId="41AAD64A" w14:textId="1D552FBF" w:rsidR="001F231B" w:rsidRPr="007D3288" w:rsidRDefault="001F231B" w:rsidP="00510007">
      <w:pPr>
        <w:rPr>
          <w:rFonts w:asciiTheme="minorHAnsi" w:hAnsiTheme="minorHAnsi" w:cstheme="minorHAnsi"/>
          <w:b/>
        </w:rPr>
      </w:pPr>
      <w:r w:rsidRPr="007D3288">
        <w:rPr>
          <w:rFonts w:asciiTheme="minorHAnsi" w:hAnsiTheme="minorHAnsi" w:cstheme="minorHAnsi"/>
          <w:b/>
        </w:rPr>
        <w:t>K části II. bodu 6:</w:t>
      </w:r>
    </w:p>
    <w:p w14:paraId="50599EEB" w14:textId="77777777" w:rsidR="00BA77B1" w:rsidRPr="00BA77B1" w:rsidRDefault="00BA77B1" w:rsidP="00510007">
      <w:pPr>
        <w:rPr>
          <w:rFonts w:asciiTheme="minorHAnsi" w:hAnsiTheme="minorHAnsi" w:cstheme="minorHAnsi"/>
        </w:rPr>
      </w:pPr>
    </w:p>
    <w:p w14:paraId="51EBB6BD" w14:textId="220690D4" w:rsidR="001F53DA" w:rsidRPr="007D3288" w:rsidRDefault="001F53DA" w:rsidP="00510007">
      <w:pPr>
        <w:pStyle w:val="TextKP"/>
        <w:spacing w:before="0"/>
        <w:rPr>
          <w:b/>
        </w:rPr>
      </w:pPr>
      <w:r w:rsidRPr="007D3288">
        <w:rPr>
          <w:b/>
        </w:rPr>
        <w:t>Jiné zjištěné skutečnosti</w:t>
      </w:r>
    </w:p>
    <w:p w14:paraId="35DB5EA4" w14:textId="77777777" w:rsidR="00BA77B1" w:rsidRPr="00BA77B1" w:rsidRDefault="00BA77B1" w:rsidP="002B7A34">
      <w:pPr>
        <w:pStyle w:val="TextKP"/>
        <w:spacing w:before="0"/>
      </w:pPr>
    </w:p>
    <w:p w14:paraId="5ACE530A" w14:textId="77777777" w:rsidR="001F53DA" w:rsidRPr="001F53DA" w:rsidRDefault="001F53DA" w:rsidP="002B7A34">
      <w:pPr>
        <w:pStyle w:val="TextKP"/>
        <w:numPr>
          <w:ilvl w:val="0"/>
          <w:numId w:val="14"/>
        </w:numPr>
        <w:spacing w:before="0"/>
        <w:ind w:left="284" w:hanging="284"/>
        <w:rPr>
          <w:b/>
        </w:rPr>
      </w:pPr>
      <w:r w:rsidRPr="001F53DA">
        <w:rPr>
          <w:b/>
        </w:rPr>
        <w:t>Nakládání s majetkem SÚKL</w:t>
      </w:r>
    </w:p>
    <w:p w14:paraId="769890D5" w14:textId="77777777" w:rsidR="002B7A34" w:rsidRDefault="002B7A34" w:rsidP="002B7A34">
      <w:pPr>
        <w:pStyle w:val="TextKP"/>
        <w:spacing w:before="0"/>
      </w:pPr>
    </w:p>
    <w:p w14:paraId="3854936E" w14:textId="249835AE" w:rsidR="001F53DA" w:rsidRDefault="002E7CEE" w:rsidP="002B7A34">
      <w:pPr>
        <w:pStyle w:val="TextKP"/>
        <w:spacing w:before="0"/>
      </w:pPr>
      <w:r>
        <w:t>NKÚ</w:t>
      </w:r>
      <w:r w:rsidR="001F53DA" w:rsidRPr="00AC3752">
        <w:t xml:space="preserve"> </w:t>
      </w:r>
      <w:r>
        <w:t xml:space="preserve">kontrolou </w:t>
      </w:r>
      <w:r w:rsidR="001F53DA">
        <w:t>prověřil</w:t>
      </w:r>
      <w:r w:rsidR="001F53DA" w:rsidRPr="00AC3752">
        <w:t xml:space="preserve"> nakládání s majetkem </w:t>
      </w:r>
      <w:r w:rsidR="001F53DA">
        <w:t>SÚKL</w:t>
      </w:r>
      <w:r w:rsidR="001F53DA" w:rsidRPr="00AC3752">
        <w:t xml:space="preserve"> v celkové hodnotě </w:t>
      </w:r>
      <w:r w:rsidR="001F53DA" w:rsidRPr="001F53DA">
        <w:t>159 864 522 Kč</w:t>
      </w:r>
      <w:r w:rsidR="001F53DA">
        <w:t>.</w:t>
      </w:r>
      <w:r w:rsidR="001F53DA" w:rsidRPr="00AC3752">
        <w:t xml:space="preserve"> </w:t>
      </w:r>
      <w:r w:rsidR="001F53DA">
        <w:t>Kontrolou byla zjištěna dále popsaná porušení právních předpisů:</w:t>
      </w:r>
    </w:p>
    <w:p w14:paraId="67DF2B18" w14:textId="77777777" w:rsidR="002B7A34" w:rsidRPr="002B7A34" w:rsidRDefault="002B7A34" w:rsidP="002B7A34">
      <w:pPr>
        <w:jc w:val="both"/>
        <w:rPr>
          <w:rFonts w:cs="Arial"/>
        </w:rPr>
      </w:pPr>
    </w:p>
    <w:p w14:paraId="1FA8B2E9" w14:textId="2D210C3C" w:rsidR="001F53DA" w:rsidRPr="002B7A34" w:rsidRDefault="001F53DA" w:rsidP="002B7A34">
      <w:pPr>
        <w:pStyle w:val="Odstavecseseznamem"/>
        <w:numPr>
          <w:ilvl w:val="0"/>
          <w:numId w:val="40"/>
        </w:numPr>
        <w:ind w:left="284" w:hanging="284"/>
        <w:jc w:val="both"/>
        <w:rPr>
          <w:rFonts w:cs="Arial"/>
        </w:rPr>
      </w:pPr>
      <w:r w:rsidRPr="002B7A34">
        <w:rPr>
          <w:rFonts w:cs="Arial"/>
          <w:b/>
        </w:rPr>
        <w:t xml:space="preserve">Účtování o majetku </w:t>
      </w:r>
      <w:r w:rsidR="004F3F54" w:rsidRPr="002B7A34">
        <w:rPr>
          <w:rFonts w:cs="Arial"/>
          <w:b/>
        </w:rPr>
        <w:t>SÚKL</w:t>
      </w:r>
    </w:p>
    <w:p w14:paraId="00349433" w14:textId="77777777" w:rsidR="002B7A34" w:rsidRDefault="002B7A34" w:rsidP="002B7A34">
      <w:pPr>
        <w:jc w:val="both"/>
        <w:rPr>
          <w:rFonts w:cs="Arial"/>
        </w:rPr>
      </w:pPr>
    </w:p>
    <w:p w14:paraId="25E46738" w14:textId="410202B7" w:rsidR="00D05089" w:rsidRPr="00D05089" w:rsidRDefault="00D05089" w:rsidP="002B7A34">
      <w:pPr>
        <w:jc w:val="both"/>
        <w:rPr>
          <w:rFonts w:cs="Arial"/>
        </w:rPr>
      </w:pPr>
      <w:r w:rsidRPr="00D05089">
        <w:rPr>
          <w:rFonts w:cs="Arial"/>
        </w:rPr>
        <w:t>Na kontrolovaném vzorku bylo v některých případech zjištěno nedodržení postupů sta</w:t>
      </w:r>
      <w:r w:rsidR="00F52D94">
        <w:rPr>
          <w:rFonts w:cs="Arial"/>
        </w:rPr>
        <w:t xml:space="preserve">novených </w:t>
      </w:r>
      <w:r w:rsidR="00EC6277">
        <w:rPr>
          <w:rFonts w:cs="Arial"/>
        </w:rPr>
        <w:t xml:space="preserve">právními předpisy </w:t>
      </w:r>
      <w:r w:rsidR="00F52D94">
        <w:rPr>
          <w:rFonts w:cs="Arial"/>
        </w:rPr>
        <w:t>pro vedení účetnictví. Jednalo se zejména o nedostatky v účtování o pořizování, odepisování a vyřazování dlouhodobého hmotného a nehmotného majetku.</w:t>
      </w:r>
      <w:r w:rsidR="002E7F91">
        <w:rPr>
          <w:rFonts w:cs="Arial"/>
        </w:rPr>
        <w:t xml:space="preserve"> </w:t>
      </w:r>
    </w:p>
    <w:p w14:paraId="3E83935D" w14:textId="6BD61987" w:rsidR="002B7A34" w:rsidRDefault="002B7A34" w:rsidP="007D3288">
      <w:pPr>
        <w:pStyle w:val="TextKP"/>
        <w:spacing w:before="0"/>
        <w:rPr>
          <w:rFonts w:cs="Arial"/>
        </w:rPr>
      </w:pPr>
    </w:p>
    <w:p w14:paraId="46588943" w14:textId="0EA72D5A" w:rsidR="00D05089" w:rsidRDefault="00D05089" w:rsidP="002B7A34">
      <w:pPr>
        <w:pStyle w:val="TextKP"/>
        <w:spacing w:before="0"/>
        <w:rPr>
          <w:rFonts w:cs="Arial"/>
        </w:rPr>
      </w:pPr>
      <w:r>
        <w:rPr>
          <w:rFonts w:cs="Arial"/>
        </w:rPr>
        <w:t>SÚKL</w:t>
      </w:r>
      <w:r w:rsidR="00F52D94">
        <w:rPr>
          <w:rFonts w:cs="Arial"/>
        </w:rPr>
        <w:t xml:space="preserve"> tak nepostupoval v souladu s</w:t>
      </w:r>
      <w:r w:rsidRPr="00D05089">
        <w:rPr>
          <w:rFonts w:cs="Arial"/>
        </w:rPr>
        <w:t xml:space="preserve"> ustanovení</w:t>
      </w:r>
      <w:r w:rsidR="00F52D94">
        <w:rPr>
          <w:rFonts w:cs="Arial"/>
        </w:rPr>
        <w:t>m</w:t>
      </w:r>
      <w:r w:rsidRPr="00D05089">
        <w:rPr>
          <w:rFonts w:cs="Arial"/>
        </w:rPr>
        <w:t xml:space="preserve"> § 3 odst. 1, § 4 odst. 8 a § 8 odst. 2 a odst. 3 zákona č. 563/1991 Sb. a v účetních závěrkách ve výkazech rozvaha a </w:t>
      </w:r>
      <w:r>
        <w:rPr>
          <w:rFonts w:cs="Arial"/>
        </w:rPr>
        <w:t>výkazech zisku a ztráty vykázal</w:t>
      </w:r>
      <w:r w:rsidRPr="00D05089">
        <w:rPr>
          <w:rFonts w:cs="Arial"/>
        </w:rPr>
        <w:t xml:space="preserve"> nesprávné údaje.</w:t>
      </w:r>
    </w:p>
    <w:p w14:paraId="5212E6C1" w14:textId="77777777" w:rsidR="002B7A34" w:rsidRDefault="002B7A34" w:rsidP="002B7A34">
      <w:pPr>
        <w:pStyle w:val="TextKP"/>
        <w:spacing w:before="0"/>
        <w:rPr>
          <w:rFonts w:cs="Arial"/>
        </w:rPr>
      </w:pPr>
    </w:p>
    <w:p w14:paraId="4D96B8D7" w14:textId="5472C596" w:rsidR="004E254B" w:rsidRDefault="004E254B" w:rsidP="002B7A34">
      <w:pPr>
        <w:pStyle w:val="TextKP"/>
        <w:spacing w:before="0"/>
        <w:rPr>
          <w:rFonts w:cs="Arial"/>
        </w:rPr>
      </w:pPr>
      <w:r>
        <w:rPr>
          <w:rFonts w:cs="Arial"/>
        </w:rPr>
        <w:t xml:space="preserve">Vlivem nesprávného účtování SÚKL </w:t>
      </w:r>
      <w:r w:rsidRPr="004E254B">
        <w:rPr>
          <w:rFonts w:cs="Arial"/>
        </w:rPr>
        <w:t xml:space="preserve">neodpisoval majetek v </w:t>
      </w:r>
      <w:r w:rsidR="00A0055E">
        <w:rPr>
          <w:rFonts w:cs="Arial"/>
        </w:rPr>
        <w:t xml:space="preserve">souladu s odpisovým plánem </w:t>
      </w:r>
      <w:r w:rsidR="00A0055E" w:rsidRPr="00A0055E">
        <w:t>a</w:t>
      </w:r>
      <w:r w:rsidR="00A0055E">
        <w:t> </w:t>
      </w:r>
      <w:r w:rsidR="00A0055E" w:rsidRPr="00A0055E">
        <w:t>ve</w:t>
      </w:r>
      <w:r w:rsidR="00A0055E">
        <w:rPr>
          <w:rFonts w:cs="Arial"/>
        </w:rPr>
        <w:t> </w:t>
      </w:r>
      <w:r w:rsidRPr="004E254B">
        <w:rPr>
          <w:rFonts w:cs="Arial"/>
        </w:rPr>
        <w:t>správné výši.</w:t>
      </w:r>
      <w:r w:rsidR="00C77622">
        <w:rPr>
          <w:rFonts w:cs="Arial"/>
        </w:rPr>
        <w:t xml:space="preserve"> </w:t>
      </w:r>
      <w:r>
        <w:rPr>
          <w:rFonts w:cs="Arial"/>
        </w:rPr>
        <w:t>N</w:t>
      </w:r>
      <w:r w:rsidRPr="00AC3752">
        <w:rPr>
          <w:rFonts w:cs="Arial"/>
        </w:rPr>
        <w:t xml:space="preserve">esprávným účtováním </w:t>
      </w:r>
      <w:r>
        <w:rPr>
          <w:rFonts w:cs="Arial"/>
        </w:rPr>
        <w:t>SÚKL nadhodnotil</w:t>
      </w:r>
      <w:r w:rsidRPr="00AC3752">
        <w:rPr>
          <w:rFonts w:cs="Arial"/>
        </w:rPr>
        <w:t xml:space="preserve"> i</w:t>
      </w:r>
      <w:r>
        <w:rPr>
          <w:rFonts w:cs="Arial"/>
        </w:rPr>
        <w:t> podhodnotil</w:t>
      </w:r>
      <w:r w:rsidRPr="00AC3752">
        <w:rPr>
          <w:rFonts w:cs="Arial"/>
        </w:rPr>
        <w:t xml:space="preserve"> účty uvedené v</w:t>
      </w:r>
      <w:r>
        <w:rPr>
          <w:rFonts w:cs="Arial"/>
        </w:rPr>
        <w:t> příloze č. 3 tohoto kontrolního závěru.</w:t>
      </w:r>
    </w:p>
    <w:p w14:paraId="06BE247D" w14:textId="77777777" w:rsidR="002B7A34" w:rsidRDefault="002B7A34" w:rsidP="002B7A34">
      <w:pPr>
        <w:pStyle w:val="TextKP"/>
        <w:spacing w:before="0"/>
        <w:rPr>
          <w:rFonts w:cs="Arial"/>
        </w:rPr>
      </w:pPr>
    </w:p>
    <w:p w14:paraId="2A3DE05B" w14:textId="294A3924" w:rsidR="007F44C9" w:rsidRPr="002B7A34" w:rsidRDefault="007F44C9" w:rsidP="002B7A34">
      <w:pPr>
        <w:pStyle w:val="Odstavecseseznamem"/>
        <w:numPr>
          <w:ilvl w:val="0"/>
          <w:numId w:val="39"/>
        </w:numPr>
        <w:ind w:left="284" w:hanging="284"/>
        <w:jc w:val="both"/>
        <w:rPr>
          <w:rFonts w:cs="Arial"/>
        </w:rPr>
      </w:pPr>
      <w:r w:rsidRPr="002B7A34">
        <w:rPr>
          <w:rFonts w:cs="Arial"/>
          <w:b/>
        </w:rPr>
        <w:t>Veřejné zakázky související s</w:t>
      </w:r>
      <w:r w:rsidR="003652D7" w:rsidRPr="002B7A34">
        <w:rPr>
          <w:rFonts w:cs="Arial"/>
          <w:b/>
        </w:rPr>
        <w:t> pořízením majetku</w:t>
      </w:r>
      <w:r w:rsidRPr="002B7A34">
        <w:rPr>
          <w:rFonts w:cs="Arial"/>
          <w:b/>
        </w:rPr>
        <w:t xml:space="preserve"> SÚKL</w:t>
      </w:r>
    </w:p>
    <w:p w14:paraId="38600DFC" w14:textId="77777777" w:rsidR="002B7A34" w:rsidRDefault="002B7A34" w:rsidP="002B7A34">
      <w:pPr>
        <w:pStyle w:val="TextKP"/>
        <w:spacing w:before="0"/>
      </w:pPr>
    </w:p>
    <w:p w14:paraId="22D4CB24" w14:textId="28199F62" w:rsidR="001F53DA" w:rsidRPr="00D25FBB" w:rsidRDefault="007F44C9" w:rsidP="002B7A34">
      <w:pPr>
        <w:pStyle w:val="TextKP"/>
        <w:spacing w:before="0"/>
      </w:pPr>
      <w:r w:rsidRPr="00D25FBB">
        <w:t xml:space="preserve">Kontrolou NKÚ bylo zjištěno, že SÚKL ve dvou případech při pořizování osobních automobilů formou zakázek malého rozsahu nepostupoval v souladu s ustanovením § 18 odst. 5 zákona č. 137/2006 Sb., </w:t>
      </w:r>
      <w:r w:rsidR="002E7F91">
        <w:t>když</w:t>
      </w:r>
      <w:r w:rsidRPr="00D25FBB">
        <w:t xml:space="preserve"> porušil jednu ze základních zásad</w:t>
      </w:r>
      <w:r w:rsidR="002E7F91" w:rsidRPr="002E7F91">
        <w:t xml:space="preserve"> </w:t>
      </w:r>
      <w:r w:rsidR="002E7F91" w:rsidRPr="00D25FBB">
        <w:t>stanovenou v ustanovení § 6 zákona č.</w:t>
      </w:r>
      <w:r w:rsidR="007D3288">
        <w:t> </w:t>
      </w:r>
      <w:r w:rsidR="002E7F91" w:rsidRPr="00D25FBB">
        <w:t>137/2006 Sb</w:t>
      </w:r>
      <w:r w:rsidR="002E7F91">
        <w:t>.</w:t>
      </w:r>
      <w:r w:rsidR="00EC6277" w:rsidRPr="00D25FBB">
        <w:t>,</w:t>
      </w:r>
      <w:r w:rsidRPr="00D25FBB">
        <w:t xml:space="preserve"> a to zákaz diskriminace.</w:t>
      </w:r>
      <w:r w:rsidR="00440D49" w:rsidRPr="00D25FBB">
        <w:t xml:space="preserve"> </w:t>
      </w:r>
      <w:r w:rsidRPr="00D25FBB">
        <w:t xml:space="preserve">SÚKL porušil </w:t>
      </w:r>
      <w:r w:rsidR="00EC6277" w:rsidRPr="00D25FBB">
        <w:t>zákaz diskriminace</w:t>
      </w:r>
      <w:r w:rsidR="009758D3" w:rsidRPr="00D25FBB">
        <w:t xml:space="preserve"> tím, že </w:t>
      </w:r>
      <w:r w:rsidRPr="00D25FBB">
        <w:t>nevhodně formuloval technické specifikace v zadávací dokumentaci. Technické specifikace byly formulovány tak, že určitým dodavatelům zaručovaly konkurenční výhodu a jiným vytvořily neodůvodněné překážky v</w:t>
      </w:r>
      <w:r w:rsidR="002E7F91">
        <w:t> </w:t>
      </w:r>
      <w:r w:rsidRPr="00D25FBB">
        <w:t>zapojení se do hospodářské soutěže.</w:t>
      </w:r>
      <w:r w:rsidR="00A71D0C" w:rsidRPr="00D25FBB">
        <w:t xml:space="preserve"> </w:t>
      </w:r>
      <w:r w:rsidRPr="00D25FBB">
        <w:t>Ačkoliv byl SÚKL na totožná pochybení v minulosti upozorňován, ne</w:t>
      </w:r>
      <w:r w:rsidR="00EC6277" w:rsidRPr="00D25FBB">
        <w:t>z</w:t>
      </w:r>
      <w:r w:rsidRPr="00D25FBB">
        <w:t>jednal žádnou nápravu.</w:t>
      </w:r>
      <w:r w:rsidR="001F53DA" w:rsidRPr="00D25FBB">
        <w:t xml:space="preserve"> </w:t>
      </w:r>
    </w:p>
    <w:p w14:paraId="402513EB" w14:textId="77777777" w:rsidR="008B1EA4" w:rsidRDefault="008B1EA4" w:rsidP="002B7A34">
      <w:pPr>
        <w:pStyle w:val="TextKP"/>
        <w:spacing w:before="0"/>
      </w:pPr>
    </w:p>
    <w:p w14:paraId="5881F3E0" w14:textId="312DABD0" w:rsidR="001F231B" w:rsidRDefault="00440D49" w:rsidP="002B7A34">
      <w:pPr>
        <w:pStyle w:val="TextKP"/>
        <w:spacing w:before="0"/>
      </w:pPr>
      <w:r>
        <w:t xml:space="preserve">Dále bylo kontrolou zjištěno, že v jednom případě pořizování majetku SÚKL nepostupoval v souladu se zákonem </w:t>
      </w:r>
      <w:r w:rsidR="001200F7">
        <w:t>č. 137/2006 Sb.</w:t>
      </w:r>
      <w:r>
        <w:t xml:space="preserve"> tím, že neuvedl ve zjednodušeném oznámení délku zadávací lhůty ani její konec datem a neuveřejnil na profilu zadavat</w:t>
      </w:r>
      <w:r w:rsidR="00C77622">
        <w:t>ele písemnou zprávu zadavatele.</w:t>
      </w:r>
    </w:p>
    <w:p w14:paraId="729BCB07" w14:textId="5B529163" w:rsidR="002B7A34" w:rsidRDefault="002B7A34" w:rsidP="002B7A34">
      <w:pPr>
        <w:pStyle w:val="TextKP"/>
        <w:spacing w:before="0"/>
      </w:pPr>
    </w:p>
    <w:p w14:paraId="09A06114" w14:textId="64DE889A" w:rsidR="00CC5412" w:rsidRDefault="00CC5412" w:rsidP="002B7A34">
      <w:pPr>
        <w:pStyle w:val="TextKP"/>
        <w:spacing w:before="0"/>
      </w:pPr>
    </w:p>
    <w:p w14:paraId="482B7302" w14:textId="77777777" w:rsidR="00CC5412" w:rsidRDefault="00CC5412" w:rsidP="002B7A34">
      <w:pPr>
        <w:pStyle w:val="TextKP"/>
        <w:spacing w:before="0"/>
      </w:pPr>
    </w:p>
    <w:p w14:paraId="0C75C360" w14:textId="77777777" w:rsidR="00A0055E" w:rsidRPr="00A0055E" w:rsidRDefault="00A0055E" w:rsidP="002B7A34">
      <w:pPr>
        <w:pStyle w:val="Odstavecseseznamem"/>
        <w:numPr>
          <w:ilvl w:val="0"/>
          <w:numId w:val="14"/>
        </w:numPr>
        <w:ind w:left="284" w:hanging="284"/>
        <w:contextualSpacing w:val="0"/>
        <w:rPr>
          <w:rFonts w:asciiTheme="minorHAnsi" w:hAnsiTheme="minorHAnsi" w:cstheme="minorHAnsi"/>
          <w:b/>
        </w:rPr>
      </w:pPr>
      <w:r w:rsidRPr="00A0055E">
        <w:rPr>
          <w:rFonts w:asciiTheme="minorHAnsi" w:hAnsiTheme="minorHAnsi" w:cstheme="minorHAnsi"/>
          <w:b/>
        </w:rPr>
        <w:lastRenderedPageBreak/>
        <w:t>Peněžní prostředky státního rozpočtu na zajištění činnosti SÚKL</w:t>
      </w:r>
    </w:p>
    <w:p w14:paraId="0A70B2AE" w14:textId="77777777" w:rsidR="002B7A34" w:rsidRDefault="002B7A34" w:rsidP="002B7A34">
      <w:pPr>
        <w:jc w:val="both"/>
        <w:rPr>
          <w:rFonts w:asciiTheme="minorHAnsi" w:hAnsiTheme="minorHAnsi" w:cstheme="minorHAnsi"/>
        </w:rPr>
      </w:pPr>
    </w:p>
    <w:p w14:paraId="1CD4FC0A" w14:textId="528FC5BC" w:rsidR="004749A3" w:rsidRDefault="00A0055E" w:rsidP="002B7A34">
      <w:pPr>
        <w:jc w:val="both"/>
        <w:rPr>
          <w:rFonts w:asciiTheme="minorHAnsi" w:hAnsiTheme="minorHAnsi" w:cstheme="minorHAnsi"/>
        </w:rPr>
      </w:pPr>
      <w:r w:rsidRPr="00A0055E">
        <w:rPr>
          <w:rFonts w:asciiTheme="minorHAnsi" w:hAnsiTheme="minorHAnsi" w:cstheme="minorHAnsi"/>
        </w:rPr>
        <w:t xml:space="preserve">Kontrolou byly prověřeny náklady na </w:t>
      </w:r>
      <w:r w:rsidR="00F855CF">
        <w:rPr>
          <w:rFonts w:asciiTheme="minorHAnsi" w:hAnsiTheme="minorHAnsi" w:cstheme="minorHAnsi"/>
        </w:rPr>
        <w:t>o</w:t>
      </w:r>
      <w:r w:rsidRPr="00A0055E">
        <w:rPr>
          <w:rFonts w:asciiTheme="minorHAnsi" w:hAnsiTheme="minorHAnsi" w:cstheme="minorHAnsi"/>
        </w:rPr>
        <w:t xml:space="preserve">pravy a udržování, </w:t>
      </w:r>
      <w:r w:rsidR="00F855CF">
        <w:rPr>
          <w:rFonts w:asciiTheme="minorHAnsi" w:hAnsiTheme="minorHAnsi" w:cstheme="minorHAnsi"/>
        </w:rPr>
        <w:t>c</w:t>
      </w:r>
      <w:r w:rsidRPr="00A0055E">
        <w:rPr>
          <w:rFonts w:asciiTheme="minorHAnsi" w:hAnsiTheme="minorHAnsi" w:cstheme="minorHAnsi"/>
        </w:rPr>
        <w:t xml:space="preserve">estovné, </w:t>
      </w:r>
      <w:r w:rsidR="00F855CF">
        <w:rPr>
          <w:rFonts w:asciiTheme="minorHAnsi" w:hAnsiTheme="minorHAnsi" w:cstheme="minorHAnsi"/>
        </w:rPr>
        <w:t>ostatní služby a</w:t>
      </w:r>
      <w:r w:rsidRPr="00A0055E">
        <w:rPr>
          <w:rFonts w:asciiTheme="minorHAnsi" w:hAnsiTheme="minorHAnsi" w:cstheme="minorHAnsi"/>
        </w:rPr>
        <w:t xml:space="preserve"> </w:t>
      </w:r>
      <w:r w:rsidR="00F855CF">
        <w:rPr>
          <w:rFonts w:asciiTheme="minorHAnsi" w:hAnsiTheme="minorHAnsi" w:cstheme="minorHAnsi"/>
        </w:rPr>
        <w:t>mzdové náklady</w:t>
      </w:r>
      <w:r w:rsidRPr="00A0055E">
        <w:rPr>
          <w:rFonts w:asciiTheme="minorHAnsi" w:hAnsiTheme="minorHAnsi" w:cstheme="minorHAnsi"/>
        </w:rPr>
        <w:t xml:space="preserve">. Celková výše nákladů ke kontrole NKÚ vybraných nákladových účtů na zajištění činnosti </w:t>
      </w:r>
      <w:r>
        <w:rPr>
          <w:rFonts w:asciiTheme="minorHAnsi" w:hAnsiTheme="minorHAnsi" w:cstheme="minorHAnsi"/>
        </w:rPr>
        <w:t>SÚKL</w:t>
      </w:r>
      <w:r w:rsidRPr="00A0055E">
        <w:rPr>
          <w:rFonts w:asciiTheme="minorHAnsi" w:hAnsiTheme="minorHAnsi" w:cstheme="minorHAnsi"/>
        </w:rPr>
        <w:t xml:space="preserve"> v letech 20</w:t>
      </w:r>
      <w:r>
        <w:rPr>
          <w:rFonts w:asciiTheme="minorHAnsi" w:hAnsiTheme="minorHAnsi" w:cstheme="minorHAnsi"/>
        </w:rPr>
        <w:t>13</w:t>
      </w:r>
      <w:r w:rsidRPr="00A0055E">
        <w:rPr>
          <w:rFonts w:asciiTheme="minorHAnsi" w:hAnsiTheme="minorHAnsi" w:cstheme="minorHAnsi"/>
        </w:rPr>
        <w:t>, 201</w:t>
      </w:r>
      <w:r>
        <w:rPr>
          <w:rFonts w:asciiTheme="minorHAnsi" w:hAnsiTheme="minorHAnsi" w:cstheme="minorHAnsi"/>
        </w:rPr>
        <w:t>4</w:t>
      </w:r>
      <w:r w:rsidRPr="00A0055E">
        <w:rPr>
          <w:rFonts w:asciiTheme="minorHAnsi" w:hAnsiTheme="minorHAnsi" w:cstheme="minorHAnsi"/>
        </w:rPr>
        <w:t xml:space="preserve"> a 201</w:t>
      </w:r>
      <w:r>
        <w:rPr>
          <w:rFonts w:asciiTheme="minorHAnsi" w:hAnsiTheme="minorHAnsi" w:cstheme="minorHAnsi"/>
        </w:rPr>
        <w:t>5</w:t>
      </w:r>
      <w:r w:rsidRPr="00A0055E">
        <w:rPr>
          <w:rFonts w:asciiTheme="minorHAnsi" w:hAnsiTheme="minorHAnsi" w:cstheme="minorHAnsi"/>
        </w:rPr>
        <w:t xml:space="preserve"> </w:t>
      </w:r>
      <w:r w:rsidR="00F855CF">
        <w:rPr>
          <w:rFonts w:asciiTheme="minorHAnsi" w:hAnsiTheme="minorHAnsi" w:cstheme="minorHAnsi"/>
        </w:rPr>
        <w:t>byla</w:t>
      </w:r>
      <w:r>
        <w:rPr>
          <w:rFonts w:asciiTheme="minorHAnsi" w:hAnsiTheme="minorHAnsi" w:cstheme="minorHAnsi"/>
        </w:rPr>
        <w:t xml:space="preserve"> </w:t>
      </w:r>
      <w:r w:rsidRPr="00A0055E">
        <w:rPr>
          <w:rFonts w:asciiTheme="minorHAnsi" w:hAnsiTheme="minorHAnsi" w:cstheme="minorHAnsi"/>
        </w:rPr>
        <w:t>155 431 665 Kč</w:t>
      </w:r>
      <w:r w:rsidR="00F855CF">
        <w:rPr>
          <w:rFonts w:asciiTheme="minorHAnsi" w:hAnsiTheme="minorHAnsi" w:cstheme="minorHAnsi"/>
        </w:rPr>
        <w:t>.</w:t>
      </w:r>
    </w:p>
    <w:p w14:paraId="70A199D5" w14:textId="77777777" w:rsidR="002B7A34" w:rsidRDefault="002B7A34" w:rsidP="002B7A34">
      <w:pPr>
        <w:jc w:val="both"/>
        <w:rPr>
          <w:rFonts w:asciiTheme="minorHAnsi" w:hAnsiTheme="minorHAnsi" w:cstheme="minorHAnsi"/>
        </w:rPr>
      </w:pPr>
    </w:p>
    <w:p w14:paraId="31D5CE05" w14:textId="6609ACE4" w:rsidR="00E25255" w:rsidRPr="002B7A34" w:rsidRDefault="00E25255" w:rsidP="002B7A34">
      <w:pPr>
        <w:pStyle w:val="Odstavecseseznamem"/>
        <w:numPr>
          <w:ilvl w:val="0"/>
          <w:numId w:val="39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B7A34">
        <w:rPr>
          <w:rFonts w:asciiTheme="minorHAnsi" w:hAnsiTheme="minorHAnsi" w:cstheme="minorHAnsi"/>
          <w:b/>
        </w:rPr>
        <w:t>Ostatní služby</w:t>
      </w:r>
    </w:p>
    <w:p w14:paraId="1C3A894A" w14:textId="77777777" w:rsidR="002B7A34" w:rsidRPr="002B7A34" w:rsidRDefault="002B7A34" w:rsidP="002B7A34">
      <w:pPr>
        <w:jc w:val="both"/>
        <w:rPr>
          <w:rFonts w:asciiTheme="minorHAnsi" w:hAnsiTheme="minorHAnsi" w:cstheme="minorHAnsi"/>
        </w:rPr>
      </w:pPr>
    </w:p>
    <w:p w14:paraId="724D6D1B" w14:textId="1065DB7F" w:rsidR="00E25255" w:rsidRPr="00D25FBB" w:rsidRDefault="002B7A34" w:rsidP="002B7A34">
      <w:pPr>
        <w:pStyle w:val="TextKP"/>
        <w:spacing w:before="0"/>
        <w:rPr>
          <w:b/>
        </w:rPr>
      </w:pPr>
      <w:r>
        <w:rPr>
          <w:b/>
        </w:rPr>
        <w:t xml:space="preserve">a) </w:t>
      </w:r>
      <w:r w:rsidR="00B86096" w:rsidRPr="00D25FBB">
        <w:rPr>
          <w:b/>
        </w:rPr>
        <w:t>Nájemné</w:t>
      </w:r>
    </w:p>
    <w:p w14:paraId="0E7CB818" w14:textId="77777777" w:rsidR="002B7A34" w:rsidRDefault="002B7A34" w:rsidP="002B7A34">
      <w:pPr>
        <w:pStyle w:val="TextKP"/>
        <w:spacing w:before="0"/>
      </w:pPr>
    </w:p>
    <w:p w14:paraId="1F5F961A" w14:textId="37B8BF1D" w:rsidR="00B86096" w:rsidRDefault="00B86096" w:rsidP="002B7A34">
      <w:pPr>
        <w:pStyle w:val="TextKP"/>
        <w:spacing w:before="0"/>
      </w:pPr>
      <w:r w:rsidRPr="00B86096">
        <w:t>SÚKL</w:t>
      </w:r>
      <w:r>
        <w:t xml:space="preserve"> </w:t>
      </w:r>
      <w:r w:rsidRPr="00B86096">
        <w:t xml:space="preserve">využívá ke své činnosti i nemovitosti, které </w:t>
      </w:r>
      <w:r>
        <w:t>si pronajímá o</w:t>
      </w:r>
      <w:r w:rsidR="00EC6277">
        <w:t>d jiných subjektů. Mimo jiné si </w:t>
      </w:r>
      <w:r>
        <w:t xml:space="preserve">SÚKL od září roku 2013 pronajímá administrativní prostory </w:t>
      </w:r>
      <w:r w:rsidR="00EC6277">
        <w:t>v celkové výměře 1 067 m</w:t>
      </w:r>
      <w:r w:rsidR="00EC6277" w:rsidRPr="007D3288">
        <w:rPr>
          <w:vertAlign w:val="superscript"/>
        </w:rPr>
        <w:t>2</w:t>
      </w:r>
      <w:r w:rsidR="00EC6277">
        <w:t xml:space="preserve"> v</w:t>
      </w:r>
      <w:r w:rsidR="003E344F">
        <w:t> </w:t>
      </w:r>
      <w:r w:rsidRPr="00B86096">
        <w:t>budově</w:t>
      </w:r>
      <w:r w:rsidR="003E344F">
        <w:t xml:space="preserve"> v</w:t>
      </w:r>
      <w:r w:rsidRPr="00B86096">
        <w:t xml:space="preserve"> Pra</w:t>
      </w:r>
      <w:r w:rsidR="003E344F">
        <w:t>ze</w:t>
      </w:r>
      <w:r w:rsidRPr="00B86096">
        <w:t xml:space="preserve"> 10</w:t>
      </w:r>
      <w:r w:rsidR="003E344F">
        <w:t>.</w:t>
      </w:r>
      <w:r>
        <w:t xml:space="preserve"> </w:t>
      </w:r>
      <w:r w:rsidRPr="00EC6277">
        <w:rPr>
          <w:spacing w:val="-4"/>
        </w:rPr>
        <w:t>V letech 2013 až 2015 vynaložil SÚKL za</w:t>
      </w:r>
      <w:r w:rsidR="002E7F91">
        <w:rPr>
          <w:spacing w:val="-4"/>
        </w:rPr>
        <w:t xml:space="preserve"> </w:t>
      </w:r>
      <w:r w:rsidRPr="00EC6277">
        <w:rPr>
          <w:spacing w:val="-4"/>
        </w:rPr>
        <w:t>takto pronajaté administrativní prostory 7 859 761 Kč.</w:t>
      </w:r>
      <w:r>
        <w:t xml:space="preserve"> </w:t>
      </w:r>
    </w:p>
    <w:p w14:paraId="2B82C3B2" w14:textId="77777777" w:rsidR="002B7A34" w:rsidRDefault="002B7A34" w:rsidP="002B7A34">
      <w:pPr>
        <w:pStyle w:val="TextKP"/>
        <w:spacing w:before="0"/>
        <w:rPr>
          <w:b/>
        </w:rPr>
      </w:pPr>
    </w:p>
    <w:p w14:paraId="310E2F80" w14:textId="7B9CC9A0" w:rsidR="00B86096" w:rsidRDefault="00EC6277" w:rsidP="002B7A34">
      <w:pPr>
        <w:pStyle w:val="TextKP"/>
        <w:spacing w:before="0"/>
        <w:rPr>
          <w:b/>
        </w:rPr>
      </w:pPr>
      <w:r>
        <w:rPr>
          <w:b/>
        </w:rPr>
        <w:t xml:space="preserve">Kontrolou údajů zapsaných v </w:t>
      </w:r>
      <w:r w:rsidRPr="00080F3D">
        <w:rPr>
          <w:b/>
          <w:i/>
        </w:rPr>
        <w:t>C</w:t>
      </w:r>
      <w:r w:rsidR="00B86096" w:rsidRPr="00080F3D">
        <w:rPr>
          <w:b/>
          <w:i/>
        </w:rPr>
        <w:t>entrálním registru administrativních budov</w:t>
      </w:r>
      <w:r w:rsidR="00B86096" w:rsidRPr="001436C6">
        <w:rPr>
          <w:b/>
        </w:rPr>
        <w:t xml:space="preserve"> (dále též „CRAB“) bylo zjištěno, že SÚKL do CRAB neposkytl informace </w:t>
      </w:r>
      <w:r w:rsidR="00312DC5" w:rsidRPr="001436C6">
        <w:rPr>
          <w:b/>
        </w:rPr>
        <w:t xml:space="preserve">o výše uvedených pronajímaných prostorech, čímž </w:t>
      </w:r>
      <w:r w:rsidR="00B86096" w:rsidRPr="001436C6">
        <w:rPr>
          <w:b/>
        </w:rPr>
        <w:t xml:space="preserve">neuvedl </w:t>
      </w:r>
      <w:r w:rsidR="00312DC5" w:rsidRPr="001436C6">
        <w:rPr>
          <w:b/>
        </w:rPr>
        <w:t xml:space="preserve">v CRAB </w:t>
      </w:r>
      <w:r w:rsidR="00B86096" w:rsidRPr="001436C6">
        <w:rPr>
          <w:b/>
        </w:rPr>
        <w:t>úplné a pravdivé ú</w:t>
      </w:r>
      <w:r w:rsidR="00947223">
        <w:rPr>
          <w:b/>
        </w:rPr>
        <w:t>daje o nemovitých věcech, resp. </w:t>
      </w:r>
      <w:r w:rsidR="00B86096" w:rsidRPr="001436C6">
        <w:rPr>
          <w:b/>
        </w:rPr>
        <w:t>budovách a dalších souvisejících nemovitých věcech nebo jejich částech na území státu, které</w:t>
      </w:r>
      <w:r w:rsidR="001436C6">
        <w:rPr>
          <w:b/>
        </w:rPr>
        <w:t xml:space="preserve"> nejsou v jeho vlastnictví, ale </w:t>
      </w:r>
      <w:r w:rsidR="00B86096" w:rsidRPr="001436C6">
        <w:rPr>
          <w:b/>
        </w:rPr>
        <w:t>jsou pro správní a související činnosti v rámci plnění funkcí státu SÚKL užívány nebo používány.</w:t>
      </w:r>
      <w:r w:rsidR="00947223" w:rsidRPr="00947223">
        <w:t xml:space="preserve"> </w:t>
      </w:r>
      <w:r w:rsidR="00947223">
        <w:rPr>
          <w:b/>
        </w:rPr>
        <w:t xml:space="preserve">SÚKL uvedeným postupem </w:t>
      </w:r>
      <w:r w:rsidR="00947223" w:rsidRPr="00947223">
        <w:rPr>
          <w:b/>
        </w:rPr>
        <w:t>porušil § 14a</w:t>
      </w:r>
      <w:r w:rsidR="00947223">
        <w:rPr>
          <w:b/>
        </w:rPr>
        <w:t xml:space="preserve"> odst. 2 zákona č. 219/2000 Sb.</w:t>
      </w:r>
      <w:r w:rsidR="001200F7">
        <w:rPr>
          <w:rStyle w:val="Znakapoznpodarou"/>
          <w:b/>
        </w:rPr>
        <w:footnoteReference w:id="17"/>
      </w:r>
      <w:r w:rsidR="00947223">
        <w:rPr>
          <w:b/>
        </w:rPr>
        <w:t xml:space="preserve"> ve smyslu § 14a odst. 1 písm. b) zákona č. 219/2000 Sb.</w:t>
      </w:r>
    </w:p>
    <w:p w14:paraId="48EFE8C6" w14:textId="77777777" w:rsidR="002B7A34" w:rsidRPr="002B7A34" w:rsidRDefault="002B7A34" w:rsidP="002B7A34">
      <w:pPr>
        <w:pStyle w:val="TextKP"/>
        <w:spacing w:before="0"/>
      </w:pPr>
    </w:p>
    <w:p w14:paraId="084102FE" w14:textId="3C96732A" w:rsidR="00D84D4B" w:rsidRPr="002B7A34" w:rsidRDefault="002B7A34" w:rsidP="002B7A3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b) </w:t>
      </w:r>
      <w:r w:rsidR="00D84D4B" w:rsidRPr="002B7A34">
        <w:rPr>
          <w:rFonts w:asciiTheme="minorHAnsi" w:hAnsiTheme="minorHAnsi" w:cstheme="minorHAnsi"/>
          <w:b/>
        </w:rPr>
        <w:t>Právní služby</w:t>
      </w:r>
    </w:p>
    <w:p w14:paraId="3526FBF8" w14:textId="77777777" w:rsidR="002B7A34" w:rsidRDefault="002B7A34" w:rsidP="002B7A34">
      <w:pPr>
        <w:jc w:val="both"/>
        <w:rPr>
          <w:rFonts w:asciiTheme="minorHAnsi" w:hAnsiTheme="minorHAnsi" w:cstheme="minorHAnsi"/>
        </w:rPr>
      </w:pPr>
    </w:p>
    <w:p w14:paraId="411C744F" w14:textId="37E30FE4" w:rsidR="00BB51B8" w:rsidRDefault="00BB51B8" w:rsidP="002B7A34">
      <w:pPr>
        <w:jc w:val="both"/>
        <w:rPr>
          <w:rFonts w:asciiTheme="minorHAnsi" w:hAnsiTheme="minorHAnsi" w:cstheme="minorHAnsi"/>
        </w:rPr>
      </w:pPr>
      <w:r w:rsidRPr="00BB51B8">
        <w:rPr>
          <w:rFonts w:asciiTheme="minorHAnsi" w:hAnsiTheme="minorHAnsi" w:cstheme="minorHAnsi"/>
        </w:rPr>
        <w:t xml:space="preserve">Při kontrole peněžních prostředků vynaložených na </w:t>
      </w:r>
      <w:r>
        <w:rPr>
          <w:rFonts w:asciiTheme="minorHAnsi" w:hAnsiTheme="minorHAnsi" w:cstheme="minorHAnsi"/>
        </w:rPr>
        <w:t>právní služby</w:t>
      </w:r>
      <w:r w:rsidRPr="00BB51B8">
        <w:rPr>
          <w:rFonts w:asciiTheme="minorHAnsi" w:hAnsiTheme="minorHAnsi" w:cstheme="minorHAnsi"/>
        </w:rPr>
        <w:t xml:space="preserve"> byl</w:t>
      </w:r>
      <w:r w:rsidR="008F44FD">
        <w:rPr>
          <w:rFonts w:asciiTheme="minorHAnsi" w:hAnsiTheme="minorHAnsi" w:cstheme="minorHAnsi"/>
        </w:rPr>
        <w:t>y</w:t>
      </w:r>
      <w:r w:rsidRPr="00BB51B8">
        <w:rPr>
          <w:rFonts w:asciiTheme="minorHAnsi" w:hAnsiTheme="minorHAnsi" w:cstheme="minorHAnsi"/>
        </w:rPr>
        <w:t xml:space="preserve"> zjištěn</w:t>
      </w:r>
      <w:r w:rsidR="008F44FD">
        <w:rPr>
          <w:rFonts w:asciiTheme="minorHAnsi" w:hAnsiTheme="minorHAnsi" w:cstheme="minorHAnsi"/>
        </w:rPr>
        <w:t>y následující skutečnosti</w:t>
      </w:r>
      <w:r w:rsidRPr="00BB51B8">
        <w:rPr>
          <w:rFonts w:asciiTheme="minorHAnsi" w:hAnsiTheme="minorHAnsi" w:cstheme="minorHAnsi"/>
        </w:rPr>
        <w:t>:</w:t>
      </w:r>
    </w:p>
    <w:p w14:paraId="65F97746" w14:textId="48DAAF0F" w:rsidR="00AF497D" w:rsidRPr="00D25FBB" w:rsidRDefault="00D84D4B" w:rsidP="002B7A34">
      <w:pPr>
        <w:pStyle w:val="Odstavecseseznamem"/>
        <w:numPr>
          <w:ilvl w:val="0"/>
          <w:numId w:val="41"/>
        </w:numPr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D25FBB">
        <w:rPr>
          <w:rFonts w:asciiTheme="minorHAnsi" w:hAnsiTheme="minorHAnsi" w:cstheme="minorHAnsi"/>
        </w:rPr>
        <w:t xml:space="preserve">SÚKL v roce 2014 </w:t>
      </w:r>
      <w:r w:rsidR="001436C6" w:rsidRPr="00D25FBB">
        <w:rPr>
          <w:rFonts w:asciiTheme="minorHAnsi" w:hAnsiTheme="minorHAnsi" w:cstheme="minorHAnsi"/>
        </w:rPr>
        <w:t xml:space="preserve">neoprávněně </w:t>
      </w:r>
      <w:r w:rsidRPr="00D25FBB">
        <w:rPr>
          <w:rFonts w:asciiTheme="minorHAnsi" w:hAnsiTheme="minorHAnsi" w:cstheme="minorHAnsi"/>
        </w:rPr>
        <w:t>uhradil za právní služby poskytované v měsíci říjnu advokátní kanceláří fakturovanou částku ve výši 31 460 Kč</w:t>
      </w:r>
      <w:r w:rsidR="001436C6" w:rsidRPr="00D25FBB">
        <w:rPr>
          <w:rFonts w:asciiTheme="minorHAnsi" w:hAnsiTheme="minorHAnsi" w:cstheme="minorHAnsi"/>
        </w:rPr>
        <w:t>, která</w:t>
      </w:r>
      <w:r w:rsidRPr="00D25FBB">
        <w:rPr>
          <w:rFonts w:asciiTheme="minorHAnsi" w:hAnsiTheme="minorHAnsi" w:cstheme="minorHAnsi"/>
        </w:rPr>
        <w:t xml:space="preserve"> by</w:t>
      </w:r>
      <w:r w:rsidR="00B765AF">
        <w:rPr>
          <w:rFonts w:asciiTheme="minorHAnsi" w:hAnsiTheme="minorHAnsi" w:cstheme="minorHAnsi"/>
        </w:rPr>
        <w:t>la SÚKL fakturovaná v </w:t>
      </w:r>
      <w:r w:rsidR="001436C6" w:rsidRPr="00D25FBB">
        <w:rPr>
          <w:rFonts w:asciiTheme="minorHAnsi" w:hAnsiTheme="minorHAnsi" w:cstheme="minorHAnsi"/>
        </w:rPr>
        <w:t>rozporu s </w:t>
      </w:r>
      <w:r w:rsidRPr="00D25FBB">
        <w:rPr>
          <w:rFonts w:asciiTheme="minorHAnsi" w:hAnsiTheme="minorHAnsi" w:cstheme="minorHAnsi"/>
        </w:rPr>
        <w:t>podkladem pro fakturu (</w:t>
      </w:r>
      <w:r w:rsidR="003E344F" w:rsidRPr="00D25FBB">
        <w:rPr>
          <w:rFonts w:asciiTheme="minorHAnsi" w:hAnsiTheme="minorHAnsi" w:cstheme="minorHAnsi"/>
        </w:rPr>
        <w:t>věcn</w:t>
      </w:r>
      <w:r w:rsidRPr="00D25FBB">
        <w:rPr>
          <w:rFonts w:asciiTheme="minorHAnsi" w:hAnsiTheme="minorHAnsi" w:cstheme="minorHAnsi"/>
        </w:rPr>
        <w:t>ou specifikací poskytnutých právních služeb). SÚKL porušil ustanovení § 14 odst. 4</w:t>
      </w:r>
      <w:r w:rsidR="001436C6" w:rsidRPr="00D25FBB">
        <w:rPr>
          <w:rFonts w:asciiTheme="minorHAnsi" w:hAnsiTheme="minorHAnsi" w:cstheme="minorHAnsi"/>
        </w:rPr>
        <w:t xml:space="preserve"> zákona č. 219/2000 Sb. tím, že </w:t>
      </w:r>
      <w:r w:rsidRPr="00D25FBB">
        <w:rPr>
          <w:rFonts w:asciiTheme="minorHAnsi" w:hAnsiTheme="minorHAnsi" w:cstheme="minorHAnsi"/>
        </w:rPr>
        <w:t>důsledně nevyužíval všechny právní prostředky při hájení práv státu jako vlastníka, neboť uhrad</w:t>
      </w:r>
      <w:r w:rsidR="001436C6" w:rsidRPr="00D25FBB">
        <w:rPr>
          <w:rFonts w:asciiTheme="minorHAnsi" w:hAnsiTheme="minorHAnsi" w:cstheme="minorHAnsi"/>
        </w:rPr>
        <w:t>il celou fakturovanou částku ve </w:t>
      </w:r>
      <w:r w:rsidRPr="00D25FBB">
        <w:rPr>
          <w:rFonts w:asciiTheme="minorHAnsi" w:hAnsiTheme="minorHAnsi" w:cstheme="minorHAnsi"/>
        </w:rPr>
        <w:t>výš</w:t>
      </w:r>
      <w:r w:rsidR="001436C6" w:rsidRPr="00D25FBB">
        <w:rPr>
          <w:rFonts w:asciiTheme="minorHAnsi" w:hAnsiTheme="minorHAnsi" w:cstheme="minorHAnsi"/>
        </w:rPr>
        <w:t>i 164 991 Kč</w:t>
      </w:r>
      <w:r w:rsidR="00D16A02" w:rsidRPr="00D25FBB">
        <w:rPr>
          <w:rFonts w:asciiTheme="minorHAnsi" w:hAnsiTheme="minorHAnsi" w:cstheme="minorHAnsi"/>
        </w:rPr>
        <w:t>,</w:t>
      </w:r>
      <w:r w:rsidR="001436C6" w:rsidRPr="00D25FBB">
        <w:rPr>
          <w:rFonts w:asciiTheme="minorHAnsi" w:hAnsiTheme="minorHAnsi" w:cstheme="minorHAnsi"/>
        </w:rPr>
        <w:t xml:space="preserve"> aniž</w:t>
      </w:r>
      <w:r w:rsidR="00D16A02" w:rsidRPr="00D25FBB">
        <w:rPr>
          <w:rFonts w:asciiTheme="minorHAnsi" w:hAnsiTheme="minorHAnsi" w:cstheme="minorHAnsi"/>
        </w:rPr>
        <w:t xml:space="preserve"> </w:t>
      </w:r>
      <w:r w:rsidR="001436C6" w:rsidRPr="00D25FBB">
        <w:rPr>
          <w:rFonts w:asciiTheme="minorHAnsi" w:hAnsiTheme="minorHAnsi" w:cstheme="minorHAnsi"/>
        </w:rPr>
        <w:t>by </w:t>
      </w:r>
      <w:r w:rsidRPr="00D25FBB">
        <w:rPr>
          <w:rFonts w:asciiTheme="minorHAnsi" w:hAnsiTheme="minorHAnsi" w:cstheme="minorHAnsi"/>
        </w:rPr>
        <w:t xml:space="preserve">požadoval po </w:t>
      </w:r>
      <w:r w:rsidR="00BB51B8" w:rsidRPr="00D25FBB">
        <w:rPr>
          <w:rFonts w:asciiTheme="minorHAnsi" w:hAnsiTheme="minorHAnsi" w:cstheme="minorHAnsi"/>
        </w:rPr>
        <w:t>advokátní kanceláři</w:t>
      </w:r>
      <w:r w:rsidR="003E344F" w:rsidRPr="00D25FBB">
        <w:rPr>
          <w:rFonts w:asciiTheme="minorHAnsi" w:hAnsiTheme="minorHAnsi" w:cstheme="minorHAnsi"/>
        </w:rPr>
        <w:t>, aby </w:t>
      </w:r>
      <w:r w:rsidRPr="00D25FBB">
        <w:rPr>
          <w:rFonts w:asciiTheme="minorHAnsi" w:hAnsiTheme="minorHAnsi" w:cstheme="minorHAnsi"/>
        </w:rPr>
        <w:t>vystavila fa</w:t>
      </w:r>
      <w:r w:rsidR="00B765AF">
        <w:rPr>
          <w:rFonts w:asciiTheme="minorHAnsi" w:hAnsiTheme="minorHAnsi" w:cstheme="minorHAnsi"/>
        </w:rPr>
        <w:t>kturu v </w:t>
      </w:r>
      <w:r w:rsidR="001436C6" w:rsidRPr="00D25FBB">
        <w:rPr>
          <w:rFonts w:asciiTheme="minorHAnsi" w:hAnsiTheme="minorHAnsi" w:cstheme="minorHAnsi"/>
        </w:rPr>
        <w:t>souladu s podkladem pro</w:t>
      </w:r>
      <w:r w:rsidR="002E7F91">
        <w:rPr>
          <w:rFonts w:asciiTheme="minorHAnsi" w:hAnsiTheme="minorHAnsi" w:cstheme="minorHAnsi"/>
        </w:rPr>
        <w:t xml:space="preserve"> </w:t>
      </w:r>
      <w:r w:rsidR="003E344F" w:rsidRPr="00D25FBB">
        <w:rPr>
          <w:rFonts w:asciiTheme="minorHAnsi" w:hAnsiTheme="minorHAnsi" w:cstheme="minorHAnsi"/>
        </w:rPr>
        <w:t xml:space="preserve">fakturu, resp. </w:t>
      </w:r>
      <w:r w:rsidR="008F44FD">
        <w:rPr>
          <w:rFonts w:asciiTheme="minorHAnsi" w:hAnsiTheme="minorHAnsi" w:cstheme="minorHAnsi"/>
        </w:rPr>
        <w:t>v souladu s </w:t>
      </w:r>
      <w:r w:rsidR="003E344F" w:rsidRPr="00D25FBB">
        <w:rPr>
          <w:rFonts w:asciiTheme="minorHAnsi" w:hAnsiTheme="minorHAnsi" w:cstheme="minorHAnsi"/>
        </w:rPr>
        <w:t>věcn</w:t>
      </w:r>
      <w:r w:rsidRPr="00D25FBB">
        <w:rPr>
          <w:rFonts w:asciiTheme="minorHAnsi" w:hAnsiTheme="minorHAnsi" w:cstheme="minorHAnsi"/>
        </w:rPr>
        <w:t>ou specifikací poskytnutých právních služeb</w:t>
      </w:r>
      <w:r w:rsidR="00BB51B8" w:rsidRPr="00D25FBB">
        <w:rPr>
          <w:rFonts w:asciiTheme="minorHAnsi" w:hAnsiTheme="minorHAnsi" w:cstheme="minorHAnsi"/>
        </w:rPr>
        <w:t xml:space="preserve">. </w:t>
      </w:r>
      <w:r w:rsidRPr="00D25FBB">
        <w:rPr>
          <w:rFonts w:asciiTheme="minorHAnsi" w:hAnsiTheme="minorHAnsi" w:cstheme="minorHAnsi"/>
        </w:rPr>
        <w:t>Uvedeným způsobem SÚKL zaplatil za 74,12 hodin poskyt</w:t>
      </w:r>
      <w:r w:rsidR="001436C6" w:rsidRPr="00D25FBB">
        <w:rPr>
          <w:rFonts w:asciiTheme="minorHAnsi" w:hAnsiTheme="minorHAnsi" w:cstheme="minorHAnsi"/>
        </w:rPr>
        <w:t>ovaných právních služeb, i když</w:t>
      </w:r>
      <w:r w:rsidR="008F44FD">
        <w:rPr>
          <w:rFonts w:asciiTheme="minorHAnsi" w:hAnsiTheme="minorHAnsi" w:cstheme="minorHAnsi"/>
        </w:rPr>
        <w:t xml:space="preserve"> </w:t>
      </w:r>
      <w:r w:rsidR="00BB51B8" w:rsidRPr="00D25FBB">
        <w:rPr>
          <w:rFonts w:asciiTheme="minorHAnsi" w:hAnsiTheme="minorHAnsi" w:cstheme="minorHAnsi"/>
        </w:rPr>
        <w:t>po</w:t>
      </w:r>
      <w:r w:rsidRPr="00D25FBB">
        <w:rPr>
          <w:rFonts w:asciiTheme="minorHAnsi" w:hAnsiTheme="minorHAnsi" w:cstheme="minorHAnsi"/>
        </w:rPr>
        <w:t xml:space="preserve">dle podkladu pro fakturu </w:t>
      </w:r>
      <w:r w:rsidR="00BB51B8" w:rsidRPr="00D25FBB">
        <w:rPr>
          <w:rFonts w:asciiTheme="minorHAnsi" w:hAnsiTheme="minorHAnsi" w:cstheme="minorHAnsi"/>
        </w:rPr>
        <w:t>advokátní kancelář</w:t>
      </w:r>
      <w:r w:rsidRPr="00D25FBB">
        <w:rPr>
          <w:rFonts w:asciiTheme="minorHAnsi" w:hAnsiTheme="minorHAnsi" w:cstheme="minorHAnsi"/>
        </w:rPr>
        <w:t xml:space="preserve"> </w:t>
      </w:r>
      <w:r w:rsidR="00BB51B8" w:rsidRPr="00D25FBB">
        <w:rPr>
          <w:rFonts w:asciiTheme="minorHAnsi" w:hAnsiTheme="minorHAnsi" w:cstheme="minorHAnsi"/>
        </w:rPr>
        <w:t>vykázala</w:t>
      </w:r>
      <w:r w:rsidRPr="00D25FBB">
        <w:rPr>
          <w:rFonts w:asciiTheme="minorHAnsi" w:hAnsiTheme="minorHAnsi" w:cstheme="minorHAnsi"/>
        </w:rPr>
        <w:t xml:space="preserve"> </w:t>
      </w:r>
      <w:r w:rsidR="00BB51B8" w:rsidRPr="00D25FBB">
        <w:rPr>
          <w:rFonts w:asciiTheme="minorHAnsi" w:hAnsiTheme="minorHAnsi" w:cstheme="minorHAnsi"/>
        </w:rPr>
        <w:t>za dané období</w:t>
      </w:r>
      <w:r w:rsidRPr="00D25FBB">
        <w:rPr>
          <w:rFonts w:asciiTheme="minorHAnsi" w:hAnsiTheme="minorHAnsi" w:cstheme="minorHAnsi"/>
        </w:rPr>
        <w:t xml:space="preserve"> 54,12</w:t>
      </w:r>
      <w:r w:rsidR="008F44FD">
        <w:rPr>
          <w:rFonts w:asciiTheme="minorHAnsi" w:hAnsiTheme="minorHAnsi" w:cstheme="minorHAnsi"/>
        </w:rPr>
        <w:t> </w:t>
      </w:r>
      <w:r w:rsidRPr="00D25FBB">
        <w:rPr>
          <w:rFonts w:asciiTheme="minorHAnsi" w:hAnsiTheme="minorHAnsi" w:cstheme="minorHAnsi"/>
        </w:rPr>
        <w:t>hodin poskytování právních služeb.</w:t>
      </w:r>
      <w:r w:rsidR="00BB51B8" w:rsidRPr="00D25FBB">
        <w:t xml:space="preserve"> </w:t>
      </w:r>
      <w:r w:rsidR="003E344F" w:rsidRPr="00D25FBB">
        <w:rPr>
          <w:rFonts w:asciiTheme="minorHAnsi" w:hAnsiTheme="minorHAnsi" w:cstheme="minorHAnsi"/>
        </w:rPr>
        <w:t>Tímto postupem se </w:t>
      </w:r>
      <w:r w:rsidR="00BB51B8" w:rsidRPr="00D25FBB">
        <w:rPr>
          <w:rFonts w:asciiTheme="minorHAnsi" w:hAnsiTheme="minorHAnsi" w:cstheme="minorHAnsi"/>
        </w:rPr>
        <w:t>SÚKL dopustil porušení rozpočtové kázně ve smyslu ustanovení § 44 odst. 1 písm. f) zákona č. 218/2000 Sb.</w:t>
      </w:r>
    </w:p>
    <w:p w14:paraId="49A1EA66" w14:textId="6325C682" w:rsidR="001436C6" w:rsidRPr="00D25FBB" w:rsidRDefault="001436C6" w:rsidP="002B7A34">
      <w:pPr>
        <w:pStyle w:val="Odstavecseseznamem"/>
        <w:numPr>
          <w:ilvl w:val="0"/>
          <w:numId w:val="41"/>
        </w:numPr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D25FBB">
        <w:rPr>
          <w:rFonts w:asciiTheme="minorHAnsi" w:hAnsiTheme="minorHAnsi" w:cstheme="minorHAnsi"/>
        </w:rPr>
        <w:t>Ve třech případech SÚKL nepostupoval v souladu s ustanovením § 3 odst. 1 zákona č. 563/1991 Sb. a současně s ustanovením § 69 odst. 1 písm. d) vyhlášky č. 410/2009 Sb. tím, že náklady na ostatní služby ve výši 609 600 Kč</w:t>
      </w:r>
      <w:r w:rsidR="00765CC1" w:rsidRPr="00D25FBB">
        <w:rPr>
          <w:rFonts w:asciiTheme="minorHAnsi" w:hAnsiTheme="minorHAnsi" w:cstheme="minorHAnsi"/>
        </w:rPr>
        <w:t xml:space="preserve">, </w:t>
      </w:r>
      <w:r w:rsidR="00765CC1" w:rsidRPr="00D25FBB">
        <w:rPr>
          <w:lang w:eastAsia="cs-CZ"/>
        </w:rPr>
        <w:t>102 590</w:t>
      </w:r>
      <w:r w:rsidR="00765CC1" w:rsidRPr="00D25FBB">
        <w:t xml:space="preserve"> Kč a </w:t>
      </w:r>
      <w:r w:rsidR="00765CC1" w:rsidRPr="00D25FBB">
        <w:rPr>
          <w:lang w:eastAsia="cs-CZ"/>
        </w:rPr>
        <w:t>111 320</w:t>
      </w:r>
      <w:r w:rsidR="00765CC1" w:rsidRPr="00D25FBB">
        <w:t xml:space="preserve"> Kč</w:t>
      </w:r>
      <w:r w:rsidRPr="00D25FBB">
        <w:rPr>
          <w:rFonts w:asciiTheme="minorHAnsi" w:hAnsiTheme="minorHAnsi" w:cstheme="minorHAnsi"/>
        </w:rPr>
        <w:t xml:space="preserve"> za právní služby poskytnuté v období 12/2012</w:t>
      </w:r>
      <w:r w:rsidR="00765CC1" w:rsidRPr="00D25FBB">
        <w:rPr>
          <w:rFonts w:asciiTheme="minorHAnsi" w:hAnsiTheme="minorHAnsi" w:cstheme="minorHAnsi"/>
        </w:rPr>
        <w:t>, 12/2013 a 12/2014</w:t>
      </w:r>
      <w:r w:rsidRPr="00D25FBB">
        <w:rPr>
          <w:rFonts w:asciiTheme="minorHAnsi" w:hAnsiTheme="minorHAnsi" w:cstheme="minorHAnsi"/>
        </w:rPr>
        <w:t xml:space="preserve"> z</w:t>
      </w:r>
      <w:r w:rsidR="00B765AF">
        <w:rPr>
          <w:rFonts w:asciiTheme="minorHAnsi" w:hAnsiTheme="minorHAnsi" w:cstheme="minorHAnsi"/>
        </w:rPr>
        <w:t>aúčtoval do účetního období, se </w:t>
      </w:r>
      <w:r w:rsidRPr="00D25FBB">
        <w:rPr>
          <w:rFonts w:asciiTheme="minorHAnsi" w:hAnsiTheme="minorHAnsi" w:cstheme="minorHAnsi"/>
        </w:rPr>
        <w:t>kterým věcně a časově nesouvisely</w:t>
      </w:r>
      <w:r w:rsidR="001179C4">
        <w:rPr>
          <w:rFonts w:asciiTheme="minorHAnsi" w:hAnsiTheme="minorHAnsi" w:cstheme="minorHAnsi"/>
        </w:rPr>
        <w:t>,</w:t>
      </w:r>
      <w:r w:rsidRPr="00D25FBB">
        <w:rPr>
          <w:rFonts w:asciiTheme="minorHAnsi" w:hAnsiTheme="minorHAnsi" w:cstheme="minorHAnsi"/>
        </w:rPr>
        <w:t xml:space="preserve"> a současně ty</w:t>
      </w:r>
      <w:r w:rsidR="00765CC1" w:rsidRPr="00D25FBB">
        <w:rPr>
          <w:rFonts w:asciiTheme="minorHAnsi" w:hAnsiTheme="minorHAnsi" w:cstheme="minorHAnsi"/>
        </w:rPr>
        <w:t>to náklady časově nerozlišil ve </w:t>
      </w:r>
      <w:r w:rsidRPr="00D25FBB">
        <w:rPr>
          <w:rFonts w:asciiTheme="minorHAnsi" w:hAnsiTheme="minorHAnsi" w:cstheme="minorHAnsi"/>
        </w:rPr>
        <w:t>formě výdajů příštích období.</w:t>
      </w:r>
    </w:p>
    <w:p w14:paraId="2A3B70AB" w14:textId="77777777" w:rsidR="002B7A34" w:rsidRPr="002B7A34" w:rsidRDefault="002B7A34" w:rsidP="002B7A34">
      <w:pPr>
        <w:pStyle w:val="TextKP"/>
        <w:spacing w:before="0"/>
      </w:pPr>
    </w:p>
    <w:p w14:paraId="63AA36E0" w14:textId="08C70F4B" w:rsidR="00E92164" w:rsidRDefault="002B7A34" w:rsidP="002B7A34">
      <w:pPr>
        <w:pStyle w:val="TextKP"/>
        <w:spacing w:before="0"/>
        <w:rPr>
          <w:b/>
        </w:rPr>
      </w:pPr>
      <w:r>
        <w:rPr>
          <w:b/>
        </w:rPr>
        <w:lastRenderedPageBreak/>
        <w:t xml:space="preserve">c) </w:t>
      </w:r>
      <w:r w:rsidR="00E92164" w:rsidRPr="007049F4">
        <w:rPr>
          <w:b/>
        </w:rPr>
        <w:t>Servisní služby ICT</w:t>
      </w:r>
    </w:p>
    <w:p w14:paraId="1320681C" w14:textId="77777777" w:rsidR="002B7A34" w:rsidRPr="002B7A34" w:rsidRDefault="002B7A34" w:rsidP="002B7A34">
      <w:pPr>
        <w:pStyle w:val="TextKP"/>
        <w:spacing w:before="0"/>
      </w:pPr>
    </w:p>
    <w:p w14:paraId="140817D4" w14:textId="7CFC0D0B" w:rsidR="000C2A1B" w:rsidRPr="002B7A34" w:rsidRDefault="00A532C0" w:rsidP="002B7A34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B7A34">
        <w:rPr>
          <w:rFonts w:asciiTheme="minorHAnsi" w:hAnsiTheme="minorHAnsi" w:cstheme="minorHAnsi"/>
        </w:rPr>
        <w:t xml:space="preserve">SÚKL nepostupoval v souladu s ustanovením § 3 odst. 1 zákona č. 563/1991 Sb. a současně s ustanovením § 69 odst. 1 písm. d) vyhlášky č. 410/2009 Sb. tím, že náklady na ostatní </w:t>
      </w:r>
      <w:r w:rsidR="00A71D0C" w:rsidRPr="002B7A34">
        <w:rPr>
          <w:rFonts w:asciiTheme="minorHAnsi" w:hAnsiTheme="minorHAnsi" w:cstheme="minorHAnsi"/>
        </w:rPr>
        <w:t xml:space="preserve">služby </w:t>
      </w:r>
      <w:r w:rsidRPr="002B7A34">
        <w:rPr>
          <w:rFonts w:asciiTheme="minorHAnsi" w:hAnsiTheme="minorHAnsi" w:cstheme="minorHAnsi"/>
        </w:rPr>
        <w:t xml:space="preserve">ve výši 2 449 980 </w:t>
      </w:r>
      <w:r w:rsidRPr="00D25FBB">
        <w:t>Kč v roce 2012, 2 470</w:t>
      </w:r>
      <w:r w:rsidR="007049F4">
        <w:t> </w:t>
      </w:r>
      <w:r w:rsidRPr="00D25FBB">
        <w:t>39</w:t>
      </w:r>
      <w:r w:rsidR="00B765AF">
        <w:t>7</w:t>
      </w:r>
      <w:r w:rsidR="007049F4">
        <w:t xml:space="preserve"> </w:t>
      </w:r>
      <w:r w:rsidRPr="00D25FBB">
        <w:t>Kč v </w:t>
      </w:r>
      <w:r w:rsidR="00A71D0C" w:rsidRPr="00D25FBB">
        <w:t>roce 2013 a </w:t>
      </w:r>
      <w:r w:rsidRPr="00D25FBB">
        <w:t>2 563 99</w:t>
      </w:r>
      <w:r w:rsidR="00B765AF">
        <w:t>5</w:t>
      </w:r>
      <w:r w:rsidRPr="00D25FBB">
        <w:t xml:space="preserve"> Kč</w:t>
      </w:r>
      <w:r w:rsidRPr="002B7A34">
        <w:rPr>
          <w:rFonts w:asciiTheme="minorHAnsi" w:hAnsiTheme="minorHAnsi" w:cstheme="minorHAnsi"/>
        </w:rPr>
        <w:t xml:space="preserve"> v roce 2014 za služby spojené s ICT poskytnuté v období 12/2012, 12/2013 a 12/2014 zaúčtoval do účetního období, se kterým věcně a časově nesouvisely</w:t>
      </w:r>
      <w:r w:rsidR="001179C4">
        <w:rPr>
          <w:rFonts w:asciiTheme="minorHAnsi" w:hAnsiTheme="minorHAnsi" w:cstheme="minorHAnsi"/>
        </w:rPr>
        <w:t>,</w:t>
      </w:r>
      <w:r w:rsidRPr="002B7A34">
        <w:rPr>
          <w:rFonts w:asciiTheme="minorHAnsi" w:hAnsiTheme="minorHAnsi" w:cstheme="minorHAnsi"/>
        </w:rPr>
        <w:t xml:space="preserve"> a současně tyto náklady časově nerozlišil ve formě výdajů příštích období</w:t>
      </w:r>
      <w:r w:rsidRPr="002B7A34">
        <w:rPr>
          <w:rFonts w:asciiTheme="minorHAnsi" w:hAnsiTheme="minorHAnsi" w:cstheme="minorHAnsi"/>
          <w:b/>
        </w:rPr>
        <w:t>.</w:t>
      </w:r>
    </w:p>
    <w:p w14:paraId="75B71028" w14:textId="77777777" w:rsidR="002B7A34" w:rsidRDefault="002B7A34" w:rsidP="002B7A34">
      <w:pPr>
        <w:jc w:val="both"/>
        <w:rPr>
          <w:rFonts w:asciiTheme="minorHAnsi" w:hAnsiTheme="minorHAnsi" w:cstheme="minorHAnsi"/>
        </w:rPr>
      </w:pPr>
    </w:p>
    <w:p w14:paraId="7CEAD087" w14:textId="74E44EFC" w:rsidR="002B7A34" w:rsidRDefault="000C2A1B" w:rsidP="002B7A34">
      <w:pPr>
        <w:jc w:val="both"/>
      </w:pPr>
      <w:r w:rsidRPr="007049F4">
        <w:rPr>
          <w:rFonts w:asciiTheme="minorHAnsi" w:hAnsiTheme="minorHAnsi" w:cstheme="minorHAnsi"/>
        </w:rPr>
        <w:t xml:space="preserve">NKÚ zjistil </w:t>
      </w:r>
      <w:r w:rsidR="00F22A4F" w:rsidRPr="007049F4">
        <w:rPr>
          <w:rFonts w:asciiTheme="minorHAnsi" w:hAnsiTheme="minorHAnsi" w:cstheme="minorHAnsi"/>
        </w:rPr>
        <w:t xml:space="preserve">významné </w:t>
      </w:r>
      <w:r w:rsidRPr="007049F4">
        <w:rPr>
          <w:rFonts w:asciiTheme="minorHAnsi" w:hAnsiTheme="minorHAnsi" w:cstheme="minorHAnsi"/>
        </w:rPr>
        <w:t>nedostatky v účetnictví</w:t>
      </w:r>
      <w:r w:rsidRPr="00AD4E69">
        <w:rPr>
          <w:rFonts w:asciiTheme="minorHAnsi" w:hAnsiTheme="minorHAnsi" w:cstheme="minorHAnsi"/>
        </w:rPr>
        <w:t>,</w:t>
      </w:r>
      <w:r w:rsidRPr="001179C4">
        <w:rPr>
          <w:rFonts w:asciiTheme="minorHAnsi" w:hAnsiTheme="minorHAnsi" w:cstheme="minorHAnsi"/>
        </w:rPr>
        <w:t xml:space="preserve"> </w:t>
      </w:r>
      <w:r w:rsidRPr="00A17659">
        <w:rPr>
          <w:rFonts w:asciiTheme="minorHAnsi" w:hAnsiTheme="minorHAnsi" w:cstheme="minorHAnsi"/>
        </w:rPr>
        <w:t xml:space="preserve">na jejichž základě konstatoval, že účetnictví </w:t>
      </w:r>
      <w:r>
        <w:t>SÚKL</w:t>
      </w:r>
      <w:r w:rsidRPr="00A17659">
        <w:rPr>
          <w:rFonts w:asciiTheme="minorHAnsi" w:hAnsiTheme="minorHAnsi" w:cstheme="minorHAnsi"/>
        </w:rPr>
        <w:t xml:space="preserve"> nebylo v</w:t>
      </w:r>
      <w:r w:rsidRPr="001179C4">
        <w:rPr>
          <w:rFonts w:asciiTheme="minorHAnsi" w:hAnsiTheme="minorHAnsi" w:cstheme="minorHAnsi"/>
        </w:rPr>
        <w:t> </w:t>
      </w:r>
      <w:r w:rsidRPr="00A17659">
        <w:rPr>
          <w:rFonts w:asciiTheme="minorHAnsi" w:hAnsiTheme="minorHAnsi" w:cstheme="minorHAnsi"/>
        </w:rPr>
        <w:t xml:space="preserve">účetním období </w:t>
      </w:r>
      <w:r>
        <w:t>let 2013,</w:t>
      </w:r>
      <w:r w:rsidRPr="00A17659">
        <w:rPr>
          <w:rFonts w:asciiTheme="minorHAnsi" w:hAnsiTheme="minorHAnsi" w:cstheme="minorHAnsi"/>
        </w:rPr>
        <w:t xml:space="preserve"> 2014</w:t>
      </w:r>
      <w:r>
        <w:t xml:space="preserve"> a 2015 správné a úplné. </w:t>
      </w:r>
      <w:r w:rsidRPr="000C2A1B">
        <w:t>Nesprávným účtováním SÚKL nadhodnotil i podhodnotil účty uvedené v příloze č. 3 tohoto kontrolního závěru.</w:t>
      </w:r>
    </w:p>
    <w:p w14:paraId="7479CB6D" w14:textId="77777777" w:rsidR="002B7A34" w:rsidRDefault="002B7A34" w:rsidP="002B7A34">
      <w:pPr>
        <w:jc w:val="both"/>
      </w:pPr>
    </w:p>
    <w:p w14:paraId="217DDB7D" w14:textId="77777777" w:rsidR="002B7A34" w:rsidRDefault="002B7A34" w:rsidP="002B7A34">
      <w:pPr>
        <w:jc w:val="both"/>
      </w:pPr>
    </w:p>
    <w:p w14:paraId="719D0CBC" w14:textId="77777777" w:rsidR="000C2A1B" w:rsidRDefault="00D16A02" w:rsidP="002B7A34">
      <w:pPr>
        <w:jc w:val="both"/>
        <w:rPr>
          <w:b/>
        </w:rPr>
      </w:pPr>
      <w:r>
        <w:rPr>
          <w:b/>
        </w:rPr>
        <w:t>Seznam zkratek</w:t>
      </w:r>
    </w:p>
    <w:p w14:paraId="30FE7937" w14:textId="77777777" w:rsidR="00D16A02" w:rsidRDefault="00D16A02" w:rsidP="00362FE4">
      <w:pPr>
        <w:spacing w:before="120"/>
        <w:ind w:left="3686" w:hanging="3686"/>
        <w:jc w:val="both"/>
      </w:pPr>
      <w:r w:rsidRPr="00D16A02">
        <w:t>CRAB</w:t>
      </w:r>
      <w:r>
        <w:tab/>
      </w:r>
      <w:r w:rsidRPr="00AD4E69">
        <w:rPr>
          <w:i/>
        </w:rPr>
        <w:t>Centrální registr administrativních budov</w:t>
      </w:r>
    </w:p>
    <w:p w14:paraId="2D7D02A1" w14:textId="77777777" w:rsidR="00F30A58" w:rsidRPr="00D16A02" w:rsidRDefault="00F30A58" w:rsidP="00362FE4">
      <w:pPr>
        <w:spacing w:before="120"/>
        <w:ind w:left="3686" w:hanging="3686"/>
        <w:jc w:val="both"/>
      </w:pPr>
      <w:r>
        <w:t>ČNB</w:t>
      </w:r>
      <w:r>
        <w:tab/>
        <w:t>Česká národní banka</w:t>
      </w:r>
    </w:p>
    <w:p w14:paraId="2FDAB78D" w14:textId="77777777" w:rsidR="00D16A02" w:rsidRDefault="00D16A02" w:rsidP="00362FE4">
      <w:pPr>
        <w:spacing w:before="120"/>
        <w:ind w:left="3686" w:hanging="3686"/>
        <w:jc w:val="both"/>
      </w:pPr>
      <w:r w:rsidRPr="00D16A02">
        <w:t>CÚER</w:t>
      </w:r>
      <w:r>
        <w:tab/>
      </w:r>
      <w:r w:rsidRPr="00AD4E69">
        <w:rPr>
          <w:i/>
        </w:rPr>
        <w:t>Centrální úložiště elektronických receptů</w:t>
      </w:r>
    </w:p>
    <w:p w14:paraId="145B1BF5" w14:textId="5986C7E3" w:rsidR="00A71E50" w:rsidRDefault="00A71E50" w:rsidP="00362FE4">
      <w:pPr>
        <w:spacing w:before="120"/>
        <w:ind w:left="3686" w:hanging="3686"/>
        <w:jc w:val="both"/>
      </w:pPr>
      <w:r>
        <w:t>EIS RIS</w:t>
      </w:r>
      <w:r>
        <w:tab/>
        <w:t>Ekonomický informační systém RIS</w:t>
      </w:r>
    </w:p>
    <w:p w14:paraId="3922F822" w14:textId="32D07D27" w:rsidR="00B123D4" w:rsidRDefault="00B123D4" w:rsidP="00362FE4">
      <w:pPr>
        <w:spacing w:before="120"/>
        <w:ind w:left="3686" w:hanging="3686"/>
        <w:jc w:val="both"/>
      </w:pPr>
      <w:r>
        <w:t>EMA</w:t>
      </w:r>
      <w:r>
        <w:tab/>
      </w:r>
      <w:proofErr w:type="spellStart"/>
      <w:r w:rsidRPr="00B123D4">
        <w:t>European</w:t>
      </w:r>
      <w:proofErr w:type="spellEnd"/>
      <w:r w:rsidRPr="00B123D4">
        <w:t xml:space="preserve"> </w:t>
      </w:r>
      <w:proofErr w:type="spellStart"/>
      <w:r w:rsidRPr="00B123D4">
        <w:t>Medicines</w:t>
      </w:r>
      <w:proofErr w:type="spellEnd"/>
      <w:r w:rsidRPr="00B123D4">
        <w:t xml:space="preserve"> </w:t>
      </w:r>
      <w:proofErr w:type="spellStart"/>
      <w:r w:rsidRPr="00B123D4">
        <w:t>Agency</w:t>
      </w:r>
      <w:proofErr w:type="spellEnd"/>
    </w:p>
    <w:p w14:paraId="3A51271F" w14:textId="5656AB73" w:rsidR="003E344F" w:rsidRDefault="003E344F" w:rsidP="00362FE4">
      <w:pPr>
        <w:spacing w:before="120"/>
        <w:ind w:left="3686" w:hanging="3686"/>
        <w:jc w:val="both"/>
      </w:pPr>
      <w:r>
        <w:t>HW</w:t>
      </w:r>
      <w:r>
        <w:tab/>
        <w:t>Hardware</w:t>
      </w:r>
    </w:p>
    <w:p w14:paraId="74C066A0" w14:textId="77777777" w:rsidR="00D16A02" w:rsidRDefault="00D16A02" w:rsidP="00362FE4">
      <w:pPr>
        <w:spacing w:before="120"/>
        <w:ind w:left="3686" w:hanging="3686"/>
        <w:jc w:val="both"/>
      </w:pPr>
      <w:r>
        <w:t>ICT</w:t>
      </w:r>
      <w:r>
        <w:tab/>
        <w:t>Informační a komunikačních technologie</w:t>
      </w:r>
    </w:p>
    <w:p w14:paraId="142DF021" w14:textId="77777777" w:rsidR="00D16A02" w:rsidRDefault="00D16A02" w:rsidP="00362FE4">
      <w:pPr>
        <w:spacing w:before="120"/>
        <w:ind w:left="3686" w:hanging="3686"/>
        <w:jc w:val="both"/>
      </w:pPr>
      <w:r>
        <w:t>IS</w:t>
      </w:r>
      <w:r>
        <w:tab/>
        <w:t>Informační systémy</w:t>
      </w:r>
    </w:p>
    <w:p w14:paraId="4161D9F6" w14:textId="77777777" w:rsidR="00D16A02" w:rsidRDefault="00D16A02" w:rsidP="00362FE4">
      <w:pPr>
        <w:spacing w:before="120"/>
        <w:ind w:left="3686" w:hanging="3686"/>
        <w:jc w:val="both"/>
      </w:pPr>
      <w:r>
        <w:t>ISVS</w:t>
      </w:r>
      <w:r>
        <w:tab/>
        <w:t>Informační systémy veřejné správy</w:t>
      </w:r>
    </w:p>
    <w:p w14:paraId="5A3F1182" w14:textId="694277BA" w:rsidR="00362FE4" w:rsidRPr="00362FE4" w:rsidRDefault="00D16A02" w:rsidP="00AD4E69">
      <w:pPr>
        <w:spacing w:before="120"/>
        <w:ind w:left="3686" w:hanging="3686"/>
        <w:jc w:val="both"/>
      </w:pPr>
      <w:r>
        <w:t>JŘBU</w:t>
      </w:r>
      <w:r>
        <w:tab/>
        <w:t>Jednací řízení bez uveřejnění</w:t>
      </w:r>
    </w:p>
    <w:p w14:paraId="5587D3BF" w14:textId="0D42E45A" w:rsidR="00D16A02" w:rsidRDefault="00D16A02" w:rsidP="00362FE4">
      <w:pPr>
        <w:spacing w:before="120"/>
        <w:ind w:left="3686" w:hanging="3686"/>
        <w:jc w:val="both"/>
      </w:pPr>
      <w:proofErr w:type="spellStart"/>
      <w:r>
        <w:t>MZ</w:t>
      </w:r>
      <w:r w:rsidR="00CE6F3E">
        <w:t>d</w:t>
      </w:r>
      <w:proofErr w:type="spellEnd"/>
      <w:r>
        <w:tab/>
        <w:t>Ministerstvo zdravotnictví</w:t>
      </w:r>
    </w:p>
    <w:p w14:paraId="56D32B17" w14:textId="77777777" w:rsidR="00D16A02" w:rsidRDefault="00D16A02" w:rsidP="00362FE4">
      <w:pPr>
        <w:spacing w:before="120"/>
        <w:ind w:left="3686" w:hanging="3686"/>
        <w:jc w:val="both"/>
      </w:pPr>
      <w:r>
        <w:t>NKÚ</w:t>
      </w:r>
      <w:r>
        <w:tab/>
        <w:t>Nejvyšší kontrolní úřad</w:t>
      </w:r>
    </w:p>
    <w:p w14:paraId="55FC36CA" w14:textId="77777777" w:rsidR="003E344F" w:rsidRDefault="00D16A02" w:rsidP="00362FE4">
      <w:pPr>
        <w:spacing w:before="120"/>
        <w:ind w:left="3686" w:hanging="3686"/>
        <w:jc w:val="both"/>
      </w:pPr>
      <w:r>
        <w:t>SÚKL</w:t>
      </w:r>
      <w:r>
        <w:tab/>
        <w:t>Státní ústav pro kontrolu léčiv</w:t>
      </w:r>
    </w:p>
    <w:p w14:paraId="123DB303" w14:textId="07D0E3F9" w:rsidR="00BA77B1" w:rsidRDefault="003E344F" w:rsidP="00362FE4">
      <w:pPr>
        <w:spacing w:before="120"/>
        <w:ind w:left="3686" w:hanging="3686"/>
        <w:jc w:val="both"/>
      </w:pPr>
      <w:r>
        <w:t>SW</w:t>
      </w:r>
      <w:r>
        <w:tab/>
        <w:t>Software</w:t>
      </w:r>
    </w:p>
    <w:p w14:paraId="7B367ABB" w14:textId="6803E79B" w:rsidR="00332519" w:rsidRDefault="00332519" w:rsidP="00362FE4">
      <w:pPr>
        <w:spacing w:before="120"/>
        <w:ind w:left="3686" w:hanging="3686"/>
        <w:jc w:val="both"/>
      </w:pPr>
      <w:r>
        <w:t>VZZ</w:t>
      </w:r>
      <w:r>
        <w:tab/>
        <w:t>Výkaz zisku a ztráty</w:t>
      </w:r>
    </w:p>
    <w:p w14:paraId="52DED3F5" w14:textId="77777777" w:rsidR="00BA77B1" w:rsidRDefault="00BA77B1" w:rsidP="00BA77B1">
      <w:pPr>
        <w:jc w:val="both"/>
      </w:pPr>
    </w:p>
    <w:p w14:paraId="120676A4" w14:textId="77777777" w:rsidR="00BA77B1" w:rsidRDefault="00BA77B1" w:rsidP="00BA77B1">
      <w:pPr>
        <w:jc w:val="both"/>
      </w:pPr>
    </w:p>
    <w:p w14:paraId="7E28EFFD" w14:textId="318337F5" w:rsidR="00F30A58" w:rsidRDefault="00F30A58" w:rsidP="00BA77B1">
      <w:pPr>
        <w:jc w:val="both"/>
      </w:pPr>
      <w:r>
        <w:br w:type="page"/>
      </w:r>
    </w:p>
    <w:p w14:paraId="038BA690" w14:textId="77777777" w:rsidR="00AA3F09" w:rsidRPr="00DC1F44" w:rsidRDefault="007F7A3D" w:rsidP="00170EF5">
      <w:pPr>
        <w:jc w:val="right"/>
        <w:rPr>
          <w:rFonts w:asciiTheme="minorHAnsi" w:hAnsiTheme="minorHAnsi" w:cs="Arial"/>
          <w:b/>
          <w:szCs w:val="22"/>
        </w:rPr>
      </w:pPr>
      <w:r w:rsidRPr="00DC1F44">
        <w:rPr>
          <w:rFonts w:asciiTheme="minorHAnsi" w:hAnsiTheme="minorHAnsi" w:cs="Arial"/>
          <w:b/>
          <w:szCs w:val="22"/>
        </w:rPr>
        <w:lastRenderedPageBreak/>
        <w:t>P</w:t>
      </w:r>
      <w:r w:rsidR="00AA3F09" w:rsidRPr="00DC1F44">
        <w:rPr>
          <w:rFonts w:asciiTheme="minorHAnsi" w:hAnsiTheme="minorHAnsi" w:cs="Arial"/>
          <w:b/>
          <w:szCs w:val="22"/>
        </w:rPr>
        <w:t>říloha č. 1</w:t>
      </w:r>
    </w:p>
    <w:p w14:paraId="1F819A49" w14:textId="77777777" w:rsidR="008C1DDE" w:rsidRPr="00DC1F44" w:rsidRDefault="008C1DDE" w:rsidP="00DC1F44">
      <w:pPr>
        <w:pStyle w:val="TextKP"/>
        <w:spacing w:before="0"/>
        <w:jc w:val="center"/>
        <w:rPr>
          <w:b/>
        </w:rPr>
      </w:pPr>
      <w:r w:rsidRPr="00DC1F44">
        <w:rPr>
          <w:b/>
        </w:rPr>
        <w:t>Vznik a vývoj CÚER</w:t>
      </w:r>
    </w:p>
    <w:p w14:paraId="5378C2DA" w14:textId="77777777" w:rsidR="00170EF5" w:rsidRDefault="00170EF5" w:rsidP="00170EF5">
      <w:pPr>
        <w:pStyle w:val="TextKP"/>
        <w:spacing w:before="0"/>
      </w:pPr>
    </w:p>
    <w:p w14:paraId="4A08B04B" w14:textId="2CCB537E" w:rsidR="008C1DDE" w:rsidRDefault="008C1DDE" w:rsidP="00170EF5">
      <w:pPr>
        <w:pStyle w:val="TextKP"/>
        <w:spacing w:before="0"/>
      </w:pPr>
      <w:r>
        <w:t>P</w:t>
      </w:r>
      <w:r w:rsidRPr="00675EDF">
        <w:t>řípravy na zřízení elektronického receptu</w:t>
      </w:r>
      <w:r w:rsidRPr="0062767E">
        <w:t xml:space="preserve"> </w:t>
      </w:r>
      <w:r w:rsidRPr="00675EDF">
        <w:t xml:space="preserve">probíhaly přibližně od roku 2007. Předchůdcem elektronického receptu bylo </w:t>
      </w:r>
      <w:r w:rsidR="00FA2DFF">
        <w:t xml:space="preserve">elektronické </w:t>
      </w:r>
      <w:r w:rsidRPr="00675EDF">
        <w:t>hlášení lékáren o</w:t>
      </w:r>
      <w:r w:rsidR="00FA2DFF">
        <w:t> </w:t>
      </w:r>
      <w:r w:rsidRPr="00675EDF">
        <w:t>v</w:t>
      </w:r>
      <w:r w:rsidR="00DC1F44">
        <w:t>ydaných léčivých přípravcích. V </w:t>
      </w:r>
      <w:r w:rsidRPr="00675EDF">
        <w:t>letech 2007 až 2009 probíhalo budování infrastruktury pro sběr informací včetně vybu</w:t>
      </w:r>
      <w:r>
        <w:t>dování bezpečného přenosu dat z </w:t>
      </w:r>
      <w:r w:rsidRPr="00675EDF">
        <w:t>lékár</w:t>
      </w:r>
      <w:r>
        <w:t>en a zdravotnických zařízení do </w:t>
      </w:r>
      <w:r w:rsidRPr="00675EDF">
        <w:t>SÚKL. Takto vybudovaná infrastruktura by</w:t>
      </w:r>
      <w:r w:rsidR="004D174C">
        <w:t>la následně využita i pro CÚER.</w:t>
      </w:r>
    </w:p>
    <w:p w14:paraId="394636D2" w14:textId="77777777" w:rsidR="00170EF5" w:rsidRDefault="00170EF5" w:rsidP="00170EF5">
      <w:pPr>
        <w:pStyle w:val="TextKP"/>
        <w:spacing w:before="0"/>
      </w:pPr>
    </w:p>
    <w:p w14:paraId="4A601BEA" w14:textId="0E685526" w:rsidR="008C1DDE" w:rsidRDefault="008C1DDE" w:rsidP="00170EF5">
      <w:pPr>
        <w:pStyle w:val="TextKP"/>
        <w:spacing w:before="0"/>
      </w:pPr>
      <w:r w:rsidRPr="00675EDF">
        <w:t xml:space="preserve">Samotný systém Centrálního uložiště elektronických receptů byl vytvořen </w:t>
      </w:r>
      <w:r>
        <w:t>dodavatelem</w:t>
      </w:r>
      <w:r w:rsidRPr="00675EDF">
        <w:t xml:space="preserve"> </w:t>
      </w:r>
      <w:r>
        <w:t>„A“ na</w:t>
      </w:r>
      <w:r w:rsidR="00495A30">
        <w:t xml:space="preserve"> </w:t>
      </w:r>
      <w:r w:rsidRPr="00675EDF">
        <w:t>základě smlouvy č. 10/09 ze dne 26. 2. 2009</w:t>
      </w:r>
      <w:r>
        <w:t xml:space="preserve"> </w:t>
      </w:r>
      <w:r w:rsidRPr="00675EDF">
        <w:t>s termínem dodání díla do 9. 6. 2009.</w:t>
      </w:r>
      <w:r w:rsidRPr="009D0BFE">
        <w:t xml:space="preserve"> </w:t>
      </w:r>
      <w:r>
        <w:t>SÚKL</w:t>
      </w:r>
      <w:r w:rsidR="00495A30">
        <w:t xml:space="preserve"> </w:t>
      </w:r>
      <w:r w:rsidRPr="0062767E">
        <w:t>ve smlouvě č. 10/09 neupravil možnost provádě</w:t>
      </w:r>
      <w:r>
        <w:t>t úpravy či změny díla přímo či</w:t>
      </w:r>
      <w:r w:rsidR="00495A30">
        <w:t xml:space="preserve"> </w:t>
      </w:r>
      <w:r w:rsidRPr="0062767E">
        <w:t>prostřednictvím třetích osob.</w:t>
      </w:r>
      <w:r>
        <w:t xml:space="preserve"> Na</w:t>
      </w:r>
      <w:r w:rsidR="00495A30">
        <w:t xml:space="preserve"> </w:t>
      </w:r>
      <w:r>
        <w:t>základě smlouvy č.</w:t>
      </w:r>
      <w:r w:rsidR="00495A30">
        <w:t> </w:t>
      </w:r>
      <w:r>
        <w:t>32/09 stejný dodavatel zajišťoval do</w:t>
      </w:r>
      <w:r w:rsidR="00495A30">
        <w:t xml:space="preserve"> 8. 4. </w:t>
      </w:r>
      <w:r>
        <w:t>2012 poskytování podpory a servisu aplikačního SW pro CÚER.</w:t>
      </w:r>
    </w:p>
    <w:p w14:paraId="51D8ABA2" w14:textId="77777777" w:rsidR="00170EF5" w:rsidRDefault="00170EF5" w:rsidP="00170EF5">
      <w:pPr>
        <w:pStyle w:val="TextKP"/>
        <w:spacing w:before="0"/>
      </w:pPr>
    </w:p>
    <w:p w14:paraId="641BC4B6" w14:textId="617CDED3" w:rsidR="008C1DDE" w:rsidRDefault="008C1DDE" w:rsidP="00170EF5">
      <w:pPr>
        <w:pStyle w:val="TextKP"/>
        <w:spacing w:before="0"/>
      </w:pPr>
      <w:r>
        <w:t>SÚKL o</w:t>
      </w:r>
      <w:r w:rsidRPr="007E528B">
        <w:t xml:space="preserve">d února do září 2012 postupně uzavíral smlouvy </w:t>
      </w:r>
      <w:r>
        <w:t>formou</w:t>
      </w:r>
      <w:r w:rsidRPr="007E528B">
        <w:t xml:space="preserve"> objednávek na plnění služeb </w:t>
      </w:r>
      <w:r>
        <w:t>s dodavateli</w:t>
      </w:r>
      <w:r w:rsidRPr="007E528B">
        <w:t xml:space="preserve"> </w:t>
      </w:r>
      <w:r>
        <w:t>„B“ a „C“</w:t>
      </w:r>
      <w:r w:rsidRPr="007E528B">
        <w:t xml:space="preserve">, na </w:t>
      </w:r>
      <w:r w:rsidR="00495A30">
        <w:t xml:space="preserve">jejichž </w:t>
      </w:r>
      <w:r w:rsidRPr="007E528B">
        <w:t>základě realizoval z</w:t>
      </w:r>
      <w:r>
        <w:t>ajištění servisních činností na</w:t>
      </w:r>
      <w:r w:rsidR="00495A30">
        <w:t xml:space="preserve"> </w:t>
      </w:r>
      <w:r w:rsidRPr="007E528B">
        <w:t>softwar</w:t>
      </w:r>
      <w:r w:rsidR="00ED346E">
        <w:t>u</w:t>
      </w:r>
      <w:r w:rsidRPr="007E528B">
        <w:t xml:space="preserve"> (včetně CÚER) </w:t>
      </w:r>
      <w:r>
        <w:t>externími dodavateli.</w:t>
      </w:r>
      <w:r w:rsidRPr="007E528B">
        <w:t xml:space="preserve"> </w:t>
      </w:r>
      <w:r>
        <w:t xml:space="preserve">Tento postup uzavírání smluv SÚKL prostřednictvím jednotlivých objednávek byl předmětem šetření Úřadu </w:t>
      </w:r>
      <w:r w:rsidR="00F30A58">
        <w:t>pro</w:t>
      </w:r>
      <w:r w:rsidR="00495A30">
        <w:t xml:space="preserve"> </w:t>
      </w:r>
      <w:r w:rsidR="00F30A58">
        <w:t>ochranu hospodářské soutěže</w:t>
      </w:r>
      <w:r>
        <w:t>, který shledal, že se SÚKL dopustil správního deliktu tím, že nedodržel postup stanovený v zákoně č. 137/2006 Sb., když</w:t>
      </w:r>
      <w:r w:rsidR="00495A30">
        <w:t xml:space="preserve"> </w:t>
      </w:r>
      <w:r>
        <w:t>předmět veřejné zakázky rozdělil na 25, resp.</w:t>
      </w:r>
      <w:r w:rsidR="00495A30">
        <w:t> </w:t>
      </w:r>
      <w:r>
        <w:t>14 samostatných zakázek (objednávek služeb), čímž došlo ke snížení předpokládané hodnoty veřejných zakázek pod finanční limity stanovené v </w:t>
      </w:r>
      <w:r w:rsidR="003B49F7">
        <w:t xml:space="preserve">zákoně </w:t>
      </w:r>
      <w:r w:rsidR="001200F7">
        <w:t>č. 137/2006 Sb.</w:t>
      </w:r>
      <w:r w:rsidR="003B49F7">
        <w:t>, a </w:t>
      </w:r>
      <w:r>
        <w:t>nezadal veřejné zakázky, které byly realizovány na základě objednávek, v některém z druhů zadáva</w:t>
      </w:r>
      <w:r w:rsidR="001200F7">
        <w:t>cích řízení uvedených v zákoně č. 137/2006 Sb.</w:t>
      </w:r>
      <w:r>
        <w:t>, přičemž tento postup mohl podstatně ovlivnit výběr nejvhodnější nabídky.</w:t>
      </w:r>
    </w:p>
    <w:p w14:paraId="47BD66D5" w14:textId="77777777" w:rsidR="00170EF5" w:rsidRDefault="00170EF5" w:rsidP="00170EF5">
      <w:pPr>
        <w:pStyle w:val="TextKP"/>
        <w:spacing w:before="0"/>
      </w:pPr>
    </w:p>
    <w:p w14:paraId="185658C1" w14:textId="395767FC" w:rsidR="008C1DDE" w:rsidRDefault="008C1DDE" w:rsidP="00170EF5">
      <w:pPr>
        <w:pStyle w:val="TextKP"/>
        <w:spacing w:before="0"/>
      </w:pPr>
      <w:r>
        <w:t>Forenzní audit realizovaný u SÚKL v roce 2014 mimo jiné upozornil na skutečnost, že</w:t>
      </w:r>
      <w:r w:rsidR="00495A30">
        <w:t xml:space="preserve"> </w:t>
      </w:r>
      <w:r>
        <w:t xml:space="preserve">společnost </w:t>
      </w:r>
      <w:r w:rsidR="000820E7">
        <w:t xml:space="preserve">(dodavatel </w:t>
      </w:r>
      <w:r>
        <w:t>„B“</w:t>
      </w:r>
      <w:r w:rsidR="000820E7">
        <w:t>)</w:t>
      </w:r>
      <w:r>
        <w:t>, která v roce 2012 začala servisovat aplikační software SÚKL včetně CÚER, byla založena lidmi zastávajícími v této společnosti pozic</w:t>
      </w:r>
      <w:r w:rsidR="00DC1F44">
        <w:t>e</w:t>
      </w:r>
      <w:r>
        <w:t xml:space="preserve"> člen</w:t>
      </w:r>
      <w:r w:rsidR="00495A30">
        <w:t>ů</w:t>
      </w:r>
      <w:r>
        <w:t xml:space="preserve"> pře</w:t>
      </w:r>
      <w:r w:rsidR="00421B97">
        <w:t>dstavenstva, kteří měli sjednanou</w:t>
      </w:r>
      <w:r>
        <w:t xml:space="preserve"> dohodu o pracovní činnosti v SÚKL od 1. 2. 2010 do 31. 12. 2011, přičemž sjednaný pracovní úkol byl: programátorské, analytické konzultač</w:t>
      </w:r>
      <w:r w:rsidR="004D174C">
        <w:t>ní práce na ICT systémech SÚKL.</w:t>
      </w:r>
    </w:p>
    <w:p w14:paraId="4F7A388E" w14:textId="77777777" w:rsidR="00170EF5" w:rsidRDefault="00170EF5" w:rsidP="00170EF5">
      <w:pPr>
        <w:pStyle w:val="TextKP"/>
        <w:spacing w:before="0"/>
      </w:pPr>
    </w:p>
    <w:p w14:paraId="4397A766" w14:textId="339753E5" w:rsidR="008C1DDE" w:rsidRDefault="003B49F7" w:rsidP="00170EF5">
      <w:pPr>
        <w:pStyle w:val="TextKP"/>
        <w:spacing w:before="0"/>
      </w:pPr>
      <w:r>
        <w:t>V roce 2012 SÚ</w:t>
      </w:r>
      <w:r w:rsidR="008C1DDE">
        <w:t>KL postupně zadal</w:t>
      </w:r>
      <w:r w:rsidR="008C1DDE" w:rsidRPr="00766085">
        <w:t xml:space="preserve"> </w:t>
      </w:r>
      <w:r w:rsidR="008C1DDE">
        <w:t>dodavateli „B“ tyto veřejné zakázky:</w:t>
      </w:r>
    </w:p>
    <w:p w14:paraId="2BFDD23E" w14:textId="20536CD0" w:rsidR="008C1DDE" w:rsidRDefault="008C1DDE" w:rsidP="00170EF5">
      <w:pPr>
        <w:pStyle w:val="TextKP"/>
        <w:numPr>
          <w:ilvl w:val="0"/>
          <w:numId w:val="46"/>
        </w:numPr>
        <w:spacing w:before="0"/>
        <w:ind w:left="284" w:hanging="284"/>
      </w:pPr>
      <w:r>
        <w:t xml:space="preserve">VZ27/2012 </w:t>
      </w:r>
      <w:r w:rsidRPr="00A428C3">
        <w:rPr>
          <w:i/>
        </w:rPr>
        <w:t>Servisní podpora systémů Integrační infrastruktury</w:t>
      </w:r>
      <w:r>
        <w:t xml:space="preserve"> (smlouva č. 114/12);</w:t>
      </w:r>
    </w:p>
    <w:p w14:paraId="4377545D" w14:textId="18AF107F" w:rsidR="008C1DDE" w:rsidRDefault="008C1DDE" w:rsidP="00170EF5">
      <w:pPr>
        <w:pStyle w:val="TextKP"/>
        <w:numPr>
          <w:ilvl w:val="0"/>
          <w:numId w:val="46"/>
        </w:numPr>
        <w:spacing w:before="0"/>
        <w:ind w:left="284" w:hanging="284"/>
      </w:pPr>
      <w:r>
        <w:t xml:space="preserve">VZ28/2012 </w:t>
      </w:r>
      <w:r w:rsidRPr="00A428C3">
        <w:rPr>
          <w:i/>
        </w:rPr>
        <w:t>Podpora provozu aplikačního software LEK13 a DIS13 a zajištění provozu kontaktního centra pro podporu klientů…</w:t>
      </w:r>
      <w:r>
        <w:t xml:space="preserve"> (smlouva č. 79/12);</w:t>
      </w:r>
    </w:p>
    <w:p w14:paraId="53EC4455" w14:textId="21B19B63" w:rsidR="008C1DDE" w:rsidRDefault="008C1DDE" w:rsidP="00170EF5">
      <w:pPr>
        <w:pStyle w:val="TextKP"/>
        <w:numPr>
          <w:ilvl w:val="0"/>
          <w:numId w:val="46"/>
        </w:numPr>
        <w:spacing w:before="0"/>
        <w:ind w:left="284" w:hanging="284"/>
      </w:pPr>
      <w:r>
        <w:t xml:space="preserve">VZ31/2012 </w:t>
      </w:r>
      <w:r w:rsidRPr="00A428C3">
        <w:rPr>
          <w:i/>
        </w:rPr>
        <w:t>Servisní podpora infrastruktury</w:t>
      </w:r>
      <w:r>
        <w:t xml:space="preserve"> (smlouva č. 111/12);</w:t>
      </w:r>
    </w:p>
    <w:p w14:paraId="2A0654D6" w14:textId="0BDD346E" w:rsidR="008C1DDE" w:rsidRDefault="008C1DDE" w:rsidP="00170EF5">
      <w:pPr>
        <w:pStyle w:val="TextKP"/>
        <w:numPr>
          <w:ilvl w:val="0"/>
          <w:numId w:val="46"/>
        </w:numPr>
        <w:spacing w:before="0"/>
        <w:ind w:left="284" w:hanging="284"/>
      </w:pPr>
      <w:r>
        <w:t xml:space="preserve">VZ42/2012 </w:t>
      </w:r>
      <w:r w:rsidRPr="00A428C3">
        <w:rPr>
          <w:i/>
        </w:rPr>
        <w:t>Podpora provozu aplikačního software</w:t>
      </w:r>
      <w:r>
        <w:t xml:space="preserve"> (smlouva č. 115/12);</w:t>
      </w:r>
    </w:p>
    <w:p w14:paraId="4FF1550E" w14:textId="1EB8F49F" w:rsidR="008C1DDE" w:rsidRDefault="008C1DDE" w:rsidP="00170EF5">
      <w:pPr>
        <w:pStyle w:val="TextKP"/>
        <w:numPr>
          <w:ilvl w:val="0"/>
          <w:numId w:val="46"/>
        </w:numPr>
        <w:spacing w:before="0"/>
        <w:ind w:left="284" w:hanging="284"/>
      </w:pPr>
      <w:r>
        <w:t xml:space="preserve">VZ43/2012 </w:t>
      </w:r>
      <w:r w:rsidRPr="00A428C3">
        <w:rPr>
          <w:i/>
        </w:rPr>
        <w:t xml:space="preserve">Podpora provozu aplikačního software </w:t>
      </w:r>
      <w:proofErr w:type="spellStart"/>
      <w:r w:rsidRPr="00A428C3">
        <w:rPr>
          <w:i/>
        </w:rPr>
        <w:t>eRecept</w:t>
      </w:r>
      <w:proofErr w:type="spellEnd"/>
      <w:r>
        <w:t xml:space="preserve"> (smlouva č. 135/12).</w:t>
      </w:r>
    </w:p>
    <w:p w14:paraId="190AD75E" w14:textId="77777777" w:rsidR="00170EF5" w:rsidRDefault="00170EF5" w:rsidP="00170EF5">
      <w:pPr>
        <w:pStyle w:val="TextKP"/>
        <w:spacing w:before="0"/>
      </w:pPr>
    </w:p>
    <w:p w14:paraId="7858E694" w14:textId="1E3E5A5C" w:rsidR="008C1DDE" w:rsidRDefault="008C1DDE" w:rsidP="00170EF5">
      <w:pPr>
        <w:pStyle w:val="TextKP"/>
        <w:spacing w:before="0"/>
      </w:pPr>
      <w:r>
        <w:t>V</w:t>
      </w:r>
      <w:r w:rsidRPr="00766085">
        <w:t xml:space="preserve">šech pět </w:t>
      </w:r>
      <w:r>
        <w:t xml:space="preserve">servisních </w:t>
      </w:r>
      <w:r w:rsidRPr="00766085">
        <w:t xml:space="preserve">smluv na služby z roku 2012 </w:t>
      </w:r>
      <w:r>
        <w:t xml:space="preserve">uzavřené vždy </w:t>
      </w:r>
      <w:r w:rsidRPr="00766085">
        <w:t>na období 24 měsíc</w:t>
      </w:r>
      <w:r>
        <w:t>ů s celkovým plněním cca 2 041 tis. </w:t>
      </w:r>
      <w:r w:rsidRPr="00766085">
        <w:t>Kč bez DPH měs</w:t>
      </w:r>
      <w:r>
        <w:t>íčně bylo uzavřeno s </w:t>
      </w:r>
      <w:r w:rsidRPr="00766085">
        <w:t>velmi podobným plněním jednotlivých smluv a ze zadání nebylo zřejmé, zda</w:t>
      </w:r>
      <w:r w:rsidR="003B49F7">
        <w:t xml:space="preserve"> se nepřekrývají. Jednalo se</w:t>
      </w:r>
      <w:r>
        <w:t xml:space="preserve"> zejména o </w:t>
      </w:r>
      <w:r w:rsidR="003B49F7">
        <w:t>činnosti dohledu,</w:t>
      </w:r>
      <w:r w:rsidRPr="00766085">
        <w:t xml:space="preserve"> monitoringu a v případě servi</w:t>
      </w:r>
      <w:r>
        <w:t>sních smluv č. 79/12 a 135/12 o poskytování kontaktního centra.</w:t>
      </w:r>
      <w:r w:rsidRPr="001D6227">
        <w:t xml:space="preserve"> </w:t>
      </w:r>
      <w:r>
        <w:t xml:space="preserve">Uvedené servisní smlouvy neobsahují ustanovení o vypořádání autorských práv v případě, </w:t>
      </w:r>
      <w:r w:rsidR="00495A30">
        <w:t>kdy</w:t>
      </w:r>
      <w:r>
        <w:t xml:space="preserve"> dochází ke změnám nebo rozšíření funkcionalit systémů.</w:t>
      </w:r>
    </w:p>
    <w:p w14:paraId="592FFDAF" w14:textId="77777777" w:rsidR="00170EF5" w:rsidRDefault="00170EF5" w:rsidP="00170EF5">
      <w:pPr>
        <w:pStyle w:val="TextKP"/>
        <w:spacing w:before="0"/>
      </w:pPr>
    </w:p>
    <w:p w14:paraId="0592BC92" w14:textId="6A52F684" w:rsidR="008C1DDE" w:rsidRDefault="008C1DDE" w:rsidP="00170EF5">
      <w:pPr>
        <w:pStyle w:val="TextKP"/>
        <w:spacing w:before="0"/>
      </w:pPr>
      <w:r>
        <w:t>Následně SÚKL uzavřel s dodavatelem „B“ dne 7. 10. 2014 smlouvu o poskytování služeb technické podpory a smlouvu o </w:t>
      </w:r>
      <w:r w:rsidR="00495A30">
        <w:t xml:space="preserve">budoucí </w:t>
      </w:r>
      <w:r>
        <w:t>smlouvě lic</w:t>
      </w:r>
      <w:r w:rsidR="00495A30">
        <w:t>enční č. 89/14 na období do 31. 8. </w:t>
      </w:r>
      <w:r>
        <w:t>2015. Smlouva byla uzavřena na základě JŘBU</w:t>
      </w:r>
      <w:r w:rsidR="00E816D5">
        <w:t xml:space="preserve"> </w:t>
      </w:r>
      <w:r>
        <w:t>č. 02/2014 z</w:t>
      </w:r>
      <w:r w:rsidR="00495A30">
        <w:t> </w:t>
      </w:r>
      <w:r>
        <w:t>důvodu</w:t>
      </w:r>
      <w:r w:rsidR="00495A30">
        <w:t xml:space="preserve"> </w:t>
      </w:r>
      <w:r>
        <w:t>existence výhradních (autorských) práv k předmětnému aplikačnímu softwar</w:t>
      </w:r>
      <w:r w:rsidR="00ED346E">
        <w:t>u</w:t>
      </w:r>
      <w:r>
        <w:t xml:space="preserve"> na straně zájemce. Předmětem plnění smlouvy bylo poskytovat objednateli služby spočívající v zajištění technické a servisní podpory provozu následujících softwarových systémů: </w:t>
      </w:r>
      <w:r w:rsidR="00495A30">
        <w:t>s</w:t>
      </w:r>
      <w:r>
        <w:t>oft</w:t>
      </w:r>
      <w:r w:rsidR="00FB6B01">
        <w:t>warový aplikační systém LEK13 a </w:t>
      </w:r>
      <w:r>
        <w:t xml:space="preserve">DIS13; </w:t>
      </w:r>
      <w:r w:rsidR="00495A30">
        <w:t>s</w:t>
      </w:r>
      <w:r>
        <w:t xml:space="preserve">oftwarový systém integrační infrastruktury; </w:t>
      </w:r>
      <w:r w:rsidR="00495A30">
        <w:t>s</w:t>
      </w:r>
      <w:r>
        <w:t>ystém h</w:t>
      </w:r>
      <w:r w:rsidR="00FB6B01">
        <w:t>ardwarové infrastruktury a </w:t>
      </w:r>
      <w:r>
        <w:t xml:space="preserve">systém serverových operačních systémů („OS“) a virtuálních prostředí; </w:t>
      </w:r>
      <w:r w:rsidR="00495A30">
        <w:t>s</w:t>
      </w:r>
      <w:r>
        <w:t>ystém aplikačního softwar</w:t>
      </w:r>
      <w:r w:rsidR="00ED346E">
        <w:t>u</w:t>
      </w:r>
      <w:r>
        <w:t xml:space="preserve"> </w:t>
      </w:r>
      <w:proofErr w:type="spellStart"/>
      <w:r>
        <w:t>eRecept</w:t>
      </w:r>
      <w:proofErr w:type="spellEnd"/>
      <w:r>
        <w:t>. Účelem smlouv</w:t>
      </w:r>
      <w:r w:rsidR="00495A30">
        <w:t>y bylo zajištění spolehlivého a </w:t>
      </w:r>
      <w:r>
        <w:t xml:space="preserve">bezvadného provozu softwarových systémů. </w:t>
      </w:r>
      <w:r w:rsidRPr="00A428C3">
        <w:rPr>
          <w:b/>
        </w:rPr>
        <w:t>Smlouva neobsahuje ustanovení o možné modifikaci díla přímo nebo prostřednictvím třetí osoby.</w:t>
      </w:r>
    </w:p>
    <w:p w14:paraId="5AB47308" w14:textId="77777777" w:rsidR="00170EF5" w:rsidRDefault="00170EF5" w:rsidP="00170EF5">
      <w:pPr>
        <w:pStyle w:val="TextKP"/>
        <w:spacing w:before="0"/>
      </w:pPr>
    </w:p>
    <w:p w14:paraId="6958E9CE" w14:textId="11D3FE69" w:rsidR="008C1DDE" w:rsidRDefault="008C1DDE" w:rsidP="00170EF5">
      <w:pPr>
        <w:pStyle w:val="TextKP"/>
        <w:spacing w:before="0"/>
      </w:pPr>
      <w:r>
        <w:t xml:space="preserve">V roce 2015 vyhlásil SÚKL formou otevřeného řízení veřejnou zakázku č. 21/2015 na </w:t>
      </w:r>
      <w:r w:rsidR="00495A30">
        <w:t>z</w:t>
      </w:r>
      <w:r>
        <w:t xml:space="preserve">ajištění servisní podpory a rozvoje vybraného SW. V dodatečných informacích v rámci zadávacího řízení SÚKL uvedl, že </w:t>
      </w:r>
      <w:r w:rsidRPr="001D6227">
        <w:t xml:space="preserve">k veškerému aplikačnímu programovému vybavení mimo aplikačního SW </w:t>
      </w:r>
      <w:r>
        <w:t>RLPO</w:t>
      </w:r>
      <w:r w:rsidRPr="001D6227">
        <w:t xml:space="preserve"> má nevýhradní licenci a doplnil jejich rozsah. </w:t>
      </w:r>
      <w:r w:rsidR="00495A30">
        <w:t xml:space="preserve">Jelikož </w:t>
      </w:r>
      <w:r w:rsidRPr="007049F4">
        <w:t>ve</w:t>
      </w:r>
      <w:r w:rsidR="00495A30">
        <w:t xml:space="preserve"> </w:t>
      </w:r>
      <w:r w:rsidRPr="007049F4">
        <w:t>stanovené lhůtě nebyly podány žádné nabídky, SÚKL zrušil otevřené zadávací řízení.</w:t>
      </w:r>
    </w:p>
    <w:p w14:paraId="5FA534BE" w14:textId="77777777" w:rsidR="00495A30" w:rsidRPr="007049F4" w:rsidRDefault="00495A30" w:rsidP="00170EF5">
      <w:pPr>
        <w:pStyle w:val="TextKP"/>
        <w:spacing w:before="0"/>
      </w:pPr>
    </w:p>
    <w:p w14:paraId="130E6997" w14:textId="3D69BA0F" w:rsidR="008C1DDE" w:rsidRPr="00EE1A8E" w:rsidRDefault="008C1DDE" w:rsidP="00170EF5">
      <w:pPr>
        <w:pStyle w:val="TextKP"/>
        <w:spacing w:before="0"/>
        <w:rPr>
          <w:i/>
        </w:rPr>
      </w:pPr>
      <w:r>
        <w:t xml:space="preserve">SÚKL se poté obrátil formou JŘBU dne </w:t>
      </w:r>
      <w:r w:rsidRPr="00EE1A8E">
        <w:t>4. 9. 2015</w:t>
      </w:r>
      <w:r>
        <w:t xml:space="preserve"> </w:t>
      </w:r>
      <w:r w:rsidRPr="009E75F8">
        <w:t xml:space="preserve">na </w:t>
      </w:r>
      <w:r w:rsidR="00FB6B01">
        <w:t>dodavatele</w:t>
      </w:r>
      <w:r w:rsidRPr="009E75F8">
        <w:t xml:space="preserve"> </w:t>
      </w:r>
      <w:r>
        <w:t>„B“ s výzvou k jednání o podlimitní veřejné</w:t>
      </w:r>
      <w:r w:rsidRPr="00526B39">
        <w:t xml:space="preserve"> zakáz</w:t>
      </w:r>
      <w:r>
        <w:t>ce na</w:t>
      </w:r>
      <w:r w:rsidR="00495A30">
        <w:t xml:space="preserve"> </w:t>
      </w:r>
      <w:r>
        <w:t>služby, jejímž</w:t>
      </w:r>
      <w:r w:rsidR="00495A30">
        <w:t xml:space="preserve"> </w:t>
      </w:r>
      <w:r w:rsidRPr="00526B39">
        <w:t xml:space="preserve">předmětem </w:t>
      </w:r>
      <w:r>
        <w:t>bylo zajištění plynulého pokračování provozu vybranýc</w:t>
      </w:r>
      <w:r w:rsidR="00495A30">
        <w:t xml:space="preserve">h aplikačních SW, a to pouze po </w:t>
      </w:r>
      <w:r>
        <w:t>nezbytně nutnou dobu. Důvodem zadání zakázky prostřednictvím JŘBU bylo odvolání na</w:t>
      </w:r>
      <w:r w:rsidR="00495A30">
        <w:t xml:space="preserve"> </w:t>
      </w:r>
      <w:r>
        <w:t>skutečnost, že v předchozím otevřeném zadávacím řízení nebyly podány žádné nabídky.</w:t>
      </w:r>
    </w:p>
    <w:p w14:paraId="59337BFA" w14:textId="77777777" w:rsidR="00170EF5" w:rsidRDefault="00170EF5" w:rsidP="00170EF5">
      <w:pPr>
        <w:pStyle w:val="TextKP"/>
        <w:spacing w:before="0"/>
      </w:pPr>
    </w:p>
    <w:p w14:paraId="2AF592F5" w14:textId="287D4E77" w:rsidR="008C1DDE" w:rsidRDefault="008C1DDE" w:rsidP="00170EF5">
      <w:pPr>
        <w:pStyle w:val="TextKP"/>
        <w:spacing w:before="0"/>
      </w:pPr>
      <w:r w:rsidRPr="009E75F8">
        <w:t xml:space="preserve">Nabídka od </w:t>
      </w:r>
      <w:r>
        <w:t>dodavatele „B“</w:t>
      </w:r>
      <w:r w:rsidRPr="009E75F8">
        <w:t xml:space="preserve"> byla podána dne 11.</w:t>
      </w:r>
      <w:r>
        <w:t xml:space="preserve"> </w:t>
      </w:r>
      <w:r w:rsidRPr="009E75F8">
        <w:t>9.</w:t>
      </w:r>
      <w:r>
        <w:t xml:space="preserve"> </w:t>
      </w:r>
      <w:r w:rsidRPr="009E75F8">
        <w:t>2015, téhož dne byl vyhotoven i zápis z kontroly podané nabídky, kde byla nabíd</w:t>
      </w:r>
      <w:r>
        <w:t>ka shledána jako vyhovující. Ve</w:t>
      </w:r>
      <w:r w:rsidR="00495A30">
        <w:t xml:space="preserve"> </w:t>
      </w:r>
      <w:r w:rsidRPr="009E75F8">
        <w:t xml:space="preserve">stejný den bylo vyhotoveno rozhodnutí o výběru nejvhodnější nabídky. Protože se jednalo pouze o jediné nabídce, byla vybrána právě tato nabídka. </w:t>
      </w:r>
      <w:r>
        <w:t>Téhož dne uzavřel SÚKL smlouvu č. 213/15 s dodavatelem „B“, která byla sjednána na dobu 49 dnů tj. do 30. 10. 2015.</w:t>
      </w:r>
      <w:r w:rsidRPr="002A4B1D">
        <w:t xml:space="preserve"> </w:t>
      </w:r>
      <w:r>
        <w:t xml:space="preserve">Smlouva obsahuje </w:t>
      </w:r>
      <w:r w:rsidRPr="002A4B1D">
        <w:t>smluvn</w:t>
      </w:r>
      <w:r>
        <w:t>í</w:t>
      </w:r>
      <w:r w:rsidRPr="002A4B1D">
        <w:t xml:space="preserve"> ujednání k autorským právům</w:t>
      </w:r>
      <w:r>
        <w:t>, ze kterých</w:t>
      </w:r>
      <w:r w:rsidRPr="002A4B1D">
        <w:t xml:space="preserve"> vyplývá, že SÚKL na základě této smlouvy nemůže modifikovat dílo přímo nebo prostřednictvím třetí osoby.</w:t>
      </w:r>
    </w:p>
    <w:p w14:paraId="74789A72" w14:textId="77777777" w:rsidR="00170EF5" w:rsidRDefault="00170EF5" w:rsidP="00170EF5">
      <w:pPr>
        <w:pStyle w:val="TextKP"/>
        <w:spacing w:before="0"/>
      </w:pPr>
    </w:p>
    <w:p w14:paraId="2A139753" w14:textId="77777777" w:rsidR="008C1DDE" w:rsidRPr="005242CD" w:rsidRDefault="008C1DDE" w:rsidP="00170EF5">
      <w:pPr>
        <w:pStyle w:val="TextKP"/>
        <w:spacing w:before="0"/>
        <w:rPr>
          <w:b/>
          <w:u w:val="single"/>
        </w:rPr>
      </w:pPr>
      <w:r w:rsidRPr="005242CD">
        <w:rPr>
          <w:b/>
        </w:rPr>
        <w:t xml:space="preserve">SÚKL porušil ustanovení </w:t>
      </w:r>
      <w:r>
        <w:rPr>
          <w:b/>
        </w:rPr>
        <w:t xml:space="preserve">§ 82 odst. 1 </w:t>
      </w:r>
      <w:r w:rsidRPr="005242CD">
        <w:rPr>
          <w:b/>
        </w:rPr>
        <w:t>zákona</w:t>
      </w:r>
      <w:r>
        <w:rPr>
          <w:b/>
        </w:rPr>
        <w:t xml:space="preserve"> č. 137/2006 Sb.</w:t>
      </w:r>
      <w:r w:rsidRPr="005242CD">
        <w:rPr>
          <w:b/>
        </w:rPr>
        <w:t xml:space="preserve"> tím, že uzavřel smlouvu dříve, než stanovuje blokační lhůta dle § 82 odst. 2</w:t>
      </w:r>
      <w:r>
        <w:rPr>
          <w:b/>
        </w:rPr>
        <w:t>.</w:t>
      </w:r>
      <w:r w:rsidRPr="005242CD">
        <w:rPr>
          <w:b/>
        </w:rPr>
        <w:t xml:space="preserve"> </w:t>
      </w:r>
      <w:r>
        <w:rPr>
          <w:b/>
        </w:rPr>
        <w:t>zákona č. 137/2006 Sb. Zadavatel rozhodl o </w:t>
      </w:r>
      <w:r w:rsidRPr="005242CD">
        <w:rPr>
          <w:b/>
        </w:rPr>
        <w:t>výběru nabídky dne 11.</w:t>
      </w:r>
      <w:r>
        <w:rPr>
          <w:b/>
        </w:rPr>
        <w:t xml:space="preserve"> </w:t>
      </w:r>
      <w:r w:rsidRPr="005242CD">
        <w:rPr>
          <w:b/>
        </w:rPr>
        <w:t>9.</w:t>
      </w:r>
      <w:r>
        <w:rPr>
          <w:b/>
        </w:rPr>
        <w:t xml:space="preserve"> </w:t>
      </w:r>
      <w:r w:rsidRPr="005242CD">
        <w:rPr>
          <w:b/>
        </w:rPr>
        <w:t>2015, ve stejný den, tj. dne 11.</w:t>
      </w:r>
      <w:r>
        <w:rPr>
          <w:b/>
        </w:rPr>
        <w:t xml:space="preserve"> </w:t>
      </w:r>
      <w:r w:rsidRPr="005242CD">
        <w:rPr>
          <w:b/>
        </w:rPr>
        <w:t>9.</w:t>
      </w:r>
      <w:r>
        <w:rPr>
          <w:b/>
        </w:rPr>
        <w:t xml:space="preserve"> </w:t>
      </w:r>
      <w:r w:rsidRPr="005242CD">
        <w:rPr>
          <w:b/>
        </w:rPr>
        <w:t>2015 došlo také k uzavření písemné smlouvy mezi zadavatelem a poskytovatelem.</w:t>
      </w:r>
    </w:p>
    <w:p w14:paraId="28F010BB" w14:textId="77777777" w:rsidR="00170EF5" w:rsidRDefault="00170EF5" w:rsidP="00170EF5">
      <w:pPr>
        <w:pStyle w:val="TextKP"/>
        <w:spacing w:before="0"/>
      </w:pPr>
    </w:p>
    <w:p w14:paraId="4CA10838" w14:textId="2C5EC49D" w:rsidR="008C1DDE" w:rsidRDefault="008C1DDE" w:rsidP="00170EF5">
      <w:pPr>
        <w:pStyle w:val="TextKP"/>
        <w:spacing w:before="0"/>
      </w:pPr>
      <w:r>
        <w:t xml:space="preserve">Od 1. 11. 2015 nebyla smluvně zajištěna technická podpora a provoz CÚER a dalších softwarových aplikací, např. LEK13 a DIS13. </w:t>
      </w:r>
      <w:r w:rsidR="00AF497D">
        <w:t>Následně</w:t>
      </w:r>
      <w:r>
        <w:t xml:space="preserve"> SÚKL zahájil JŘB</w:t>
      </w:r>
      <w:r w:rsidR="003B49F7">
        <w:t>U</w:t>
      </w:r>
      <w:r>
        <w:t xml:space="preserve"> č. 45/2015 s</w:t>
      </w:r>
      <w:r w:rsidR="00AF497D">
        <w:t> </w:t>
      </w:r>
      <w:r w:rsidR="000820E7">
        <w:t>dodavatelem</w:t>
      </w:r>
      <w:r>
        <w:t xml:space="preserve"> „B“. JŘBU odůvodnil SÚKL tím, že v předcházejícím otevřeném zadávacím řízení nebyla podána nabídka a současně s přihlédnutím k „autorskému právu“, resp. že </w:t>
      </w:r>
      <w:r w:rsidRPr="004856A1">
        <w:t>veřejná zakázka může být splněna pouze určitým dodavatelem</w:t>
      </w:r>
      <w:r>
        <w:t>. Z důvodu nepodání</w:t>
      </w:r>
      <w:r w:rsidR="003B49F7">
        <w:t xml:space="preserve"> nabídky SÚ</w:t>
      </w:r>
      <w:r>
        <w:t xml:space="preserve">KL zrušil JŘBU a dne 7. 12. 2015 zahájil nové JŘBU č. 53/2015 opět s </w:t>
      </w:r>
      <w:r w:rsidR="000820E7">
        <w:t>dodavatelem</w:t>
      </w:r>
      <w:r>
        <w:t xml:space="preserve"> „B“ a se stejným odůvodněním. </w:t>
      </w:r>
      <w:r w:rsidR="000820E7">
        <w:t>Dodavatel</w:t>
      </w:r>
      <w:r>
        <w:t xml:space="preserve"> „B“ podal dne 22. 12. 2015 nabídku, v níž uvedl nabídkovou cenu 47 132 088 Kč bez DPH, tj. o 7 132 088 Kč více, než byla stanovena předpokládána hodnota </w:t>
      </w:r>
      <w:r>
        <w:lastRenderedPageBreak/>
        <w:t>VZ. SÚKL 11. 1. 2016 zrušil JŘBU z důvodu obdržení nabídky s nabídkovou cenou vyšší</w:t>
      </w:r>
      <w:r w:rsidR="00495A30">
        <w:t>,</w:t>
      </w:r>
      <w:r>
        <w:t xml:space="preserve"> než byla stanoven</w:t>
      </w:r>
      <w:r w:rsidR="00495A30">
        <w:t>á</w:t>
      </w:r>
      <w:r>
        <w:t xml:space="preserve"> předpokládaná hodnota VZ.</w:t>
      </w:r>
    </w:p>
    <w:p w14:paraId="25FE2A86" w14:textId="77777777" w:rsidR="00170EF5" w:rsidRDefault="00170EF5" w:rsidP="00170EF5">
      <w:pPr>
        <w:pStyle w:val="TextKP"/>
        <w:spacing w:before="0"/>
      </w:pPr>
    </w:p>
    <w:p w14:paraId="58C5279B" w14:textId="47F73E97" w:rsidR="008C1DDE" w:rsidRDefault="008C1DDE" w:rsidP="00170EF5">
      <w:pPr>
        <w:pStyle w:val="TextKP"/>
        <w:spacing w:before="0"/>
      </w:pPr>
      <w:r>
        <w:t xml:space="preserve">CÚER, resp. i další softwarové aplikace byly provozovány SÚKL bez servisní podpory dodavatele do prosince 2015, kdy bylo SÚKL na návrh </w:t>
      </w:r>
      <w:r w:rsidR="000820E7">
        <w:t>dodavatele</w:t>
      </w:r>
      <w:r>
        <w:t xml:space="preserve"> „B“ předběžným opatřením Městského soudu v Praze ze dne 11. prosince 2015 nařízeno zdržet se jakéhokoli užití SW aplikace </w:t>
      </w:r>
      <w:proofErr w:type="spellStart"/>
      <w:r>
        <w:t>eRecept</w:t>
      </w:r>
      <w:proofErr w:type="spellEnd"/>
      <w:r>
        <w:t xml:space="preserve"> (</w:t>
      </w:r>
      <w:proofErr w:type="spellStart"/>
      <w:r w:rsidR="00A65ABE">
        <w:t>e</w:t>
      </w:r>
      <w:r>
        <w:t>R</w:t>
      </w:r>
      <w:r w:rsidR="00A65ABE">
        <w:t>p</w:t>
      </w:r>
      <w:proofErr w:type="spellEnd"/>
      <w:r>
        <w:t xml:space="preserve">) </w:t>
      </w:r>
      <w:r w:rsidR="00495A30">
        <w:t>–</w:t>
      </w:r>
      <w:r>
        <w:t xml:space="preserve"> Centrální úložiště elektronických receptů. Dále bylo SÚKL předběžným opatřením Městského soudu v Praze ze dne 14. prosince 2015 nařízeno zdržet se</w:t>
      </w:r>
      <w:r w:rsidR="00495A30">
        <w:t xml:space="preserve"> </w:t>
      </w:r>
      <w:r>
        <w:t>jakéhokoli užití dalších softwarových aplikací, např. LEK13, DIS13 aj.</w:t>
      </w:r>
    </w:p>
    <w:p w14:paraId="484D64A6" w14:textId="77777777" w:rsidR="00170EF5" w:rsidRDefault="00170EF5" w:rsidP="00170EF5">
      <w:pPr>
        <w:pStyle w:val="TextKP"/>
        <w:spacing w:before="0"/>
      </w:pPr>
    </w:p>
    <w:p w14:paraId="1E8D484B" w14:textId="3CEF6DA0" w:rsidR="008C1DDE" w:rsidRDefault="008C1DDE" w:rsidP="00170EF5">
      <w:pPr>
        <w:pStyle w:val="TextKP"/>
        <w:spacing w:before="0"/>
      </w:pPr>
      <w:r>
        <w:t>SÚKL podal proti oběma předběžným opatření</w:t>
      </w:r>
      <w:r w:rsidR="003B49F7">
        <w:t>m</w:t>
      </w:r>
      <w:r>
        <w:t xml:space="preserve"> odvolání k Vrchnímu soudu v Praze. V obou případech změnil Vrchní soud v Praze usnesení soudu prvního stupně a návrhy na nařízení předběžného opatření zamítl. V případě CÚER rozhodnutí nabylo právní moci dne 15. 3. 2016.</w:t>
      </w:r>
    </w:p>
    <w:p w14:paraId="1D121979" w14:textId="77777777" w:rsidR="00170EF5" w:rsidRDefault="00170EF5" w:rsidP="00170EF5">
      <w:pPr>
        <w:pStyle w:val="TextKP"/>
        <w:spacing w:before="0"/>
      </w:pPr>
    </w:p>
    <w:p w14:paraId="2D1B16B3" w14:textId="57001755" w:rsidR="008C1DDE" w:rsidRDefault="008C1DDE" w:rsidP="00170EF5">
      <w:pPr>
        <w:pStyle w:val="TextKP"/>
        <w:spacing w:before="0"/>
      </w:pPr>
      <w:r w:rsidRPr="00141196">
        <w:t>SÚKL provoz zastaveného systému již neobnovil</w:t>
      </w:r>
      <w:r>
        <w:t xml:space="preserve">, neboť 8. února 2016 na základě JŘBU č. 01/2016 </w:t>
      </w:r>
      <w:r w:rsidRPr="003B49F7">
        <w:rPr>
          <w:i/>
        </w:rPr>
        <w:t xml:space="preserve">Zajištění úpravy </w:t>
      </w:r>
      <w:proofErr w:type="spellStart"/>
      <w:r w:rsidRPr="003B49F7">
        <w:rPr>
          <w:i/>
        </w:rPr>
        <w:t>CÚeR</w:t>
      </w:r>
      <w:proofErr w:type="spellEnd"/>
      <w:r w:rsidRPr="003B49F7">
        <w:rPr>
          <w:i/>
        </w:rPr>
        <w:t xml:space="preserve"> a zajištění jeho provozu</w:t>
      </w:r>
      <w:r>
        <w:t xml:space="preserve"> uzavřel smlouv</w:t>
      </w:r>
      <w:r w:rsidR="003B49F7">
        <w:t>u</w:t>
      </w:r>
      <w:r>
        <w:t xml:space="preserve"> o dílo č. 15/16 s původním dodavatelem „A“ na dodání díla, jehož předmětem bylo vytvoření a dodávka aplikačního softwar</w:t>
      </w:r>
      <w:r w:rsidR="00ED346E">
        <w:t>u</w:t>
      </w:r>
      <w:r>
        <w:t xml:space="preserve"> pro CÚER a souvisejících uživatelských rozhraní, vč. zpracování jeho prováděcí a technické dokumentace. </w:t>
      </w:r>
      <w:r w:rsidRPr="007049F4">
        <w:t>Od 31. března 2016 bylo na základě uvedené smlouvy spuštěno náhradní řešení pro elektronickou preskripci. SÚKL s původním dodavatelem „A“ uzavřel také smlouvu č. 14/16 na poskytování služeb servisní podpory a zajištění rozvoje CÚER.</w:t>
      </w:r>
    </w:p>
    <w:p w14:paraId="0C9A4691" w14:textId="77777777" w:rsidR="00170EF5" w:rsidRPr="007049F4" w:rsidRDefault="00170EF5" w:rsidP="00170EF5">
      <w:pPr>
        <w:pStyle w:val="TextKP"/>
        <w:spacing w:before="0"/>
      </w:pPr>
    </w:p>
    <w:p w14:paraId="0342A660" w14:textId="6FBF3AED" w:rsidR="008C1DDE" w:rsidRPr="00F90261" w:rsidRDefault="008C1DDE" w:rsidP="00170EF5">
      <w:pPr>
        <w:pStyle w:val="TextKP"/>
        <w:spacing w:before="0"/>
      </w:pPr>
      <w:r>
        <w:t xml:space="preserve">SÚKL v </w:t>
      </w:r>
      <w:r w:rsidRPr="008F46F9">
        <w:t xml:space="preserve">odůvodnění zadání </w:t>
      </w:r>
      <w:r>
        <w:t xml:space="preserve">JŘBU uvedl </w:t>
      </w:r>
      <w:r w:rsidRPr="00F90261">
        <w:t xml:space="preserve">existenci krajně naléhavého případu, tj. hrozby závažné škody spočívající v dlouhodobé nefunkčnosti </w:t>
      </w:r>
      <w:proofErr w:type="spellStart"/>
      <w:r w:rsidRPr="00F90261">
        <w:t>eReceptu</w:t>
      </w:r>
      <w:proofErr w:type="spellEnd"/>
      <w:r w:rsidRPr="00F90261">
        <w:t>, kter</w:t>
      </w:r>
      <w:r>
        <w:t>á bude nepochybně vyšší než 0,5 </w:t>
      </w:r>
      <w:r w:rsidRPr="00F90261">
        <w:t>mil. Kč a může se na navazujících systémech navýšit řádově až na jednotky mil. Kč</w:t>
      </w:r>
      <w:r w:rsidR="00290D8F">
        <w:t>. Dále </w:t>
      </w:r>
      <w:r>
        <w:t>SÚKL uvedl, že v</w:t>
      </w:r>
      <w:r w:rsidRPr="00F90261">
        <w:t>eřejnou zakázku současně ne</w:t>
      </w:r>
      <w:r>
        <w:t>bylo</w:t>
      </w:r>
      <w:r w:rsidRPr="00F90261">
        <w:t xml:space="preserve"> možné z časových důvodů zadat </w:t>
      </w:r>
      <w:r w:rsidR="00DE7A57">
        <w:t>v </w:t>
      </w:r>
      <w:r>
        <w:t>jiném druhu zadávacího řízení a</w:t>
      </w:r>
      <w:r w:rsidRPr="00F90261">
        <w:t xml:space="preserve"> </w:t>
      </w:r>
      <w:r>
        <w:t>z</w:t>
      </w:r>
      <w:r w:rsidRPr="00F90261">
        <w:t>a účelem rychlého a efe</w:t>
      </w:r>
      <w:r>
        <w:t>ktivního vyřešení</w:t>
      </w:r>
      <w:r w:rsidRPr="00F90261">
        <w:t xml:space="preserve"> krajně naléhavého případu </w:t>
      </w:r>
      <w:r>
        <w:t>SÚKL začal jednat s</w:t>
      </w:r>
      <w:r w:rsidR="00A65ABE">
        <w:t> </w:t>
      </w:r>
      <w:r>
        <w:t>původním</w:t>
      </w:r>
      <w:r w:rsidR="00A65ABE">
        <w:t xml:space="preserve"> </w:t>
      </w:r>
      <w:r>
        <w:t xml:space="preserve">dodavatelem „A“, který je na základě smlouvy č. 10/09 z roku 2009 autorem </w:t>
      </w:r>
      <w:r w:rsidRPr="00F90261">
        <w:t>aplikace CÚER a vlastníkem zdrojových k</w:t>
      </w:r>
      <w:r w:rsidR="00290D8F">
        <w:t>ódů k této aplikaci nutných pro </w:t>
      </w:r>
      <w:r w:rsidRPr="00F90261">
        <w:t>provedení úprav.</w:t>
      </w:r>
    </w:p>
    <w:p w14:paraId="4C904CAC" w14:textId="77777777" w:rsidR="00170EF5" w:rsidRDefault="00170EF5" w:rsidP="00170EF5">
      <w:pPr>
        <w:pStyle w:val="TextKP"/>
        <w:spacing w:before="0"/>
      </w:pPr>
    </w:p>
    <w:p w14:paraId="2EF56015" w14:textId="01E53154" w:rsidR="008C1DDE" w:rsidRPr="008F46F9" w:rsidRDefault="008C1DDE" w:rsidP="00170EF5">
      <w:pPr>
        <w:pStyle w:val="TextKP"/>
        <w:spacing w:before="0"/>
      </w:pPr>
      <w:r w:rsidRPr="008F46F9">
        <w:t>Z výkladu</w:t>
      </w:r>
      <w:r>
        <w:t xml:space="preserve"> zákona </w:t>
      </w:r>
      <w:r w:rsidR="001200F7">
        <w:t>č. 137/2006 Sb.</w:t>
      </w:r>
      <w:r>
        <w:t xml:space="preserve"> </w:t>
      </w:r>
      <w:r w:rsidRPr="008F46F9">
        <w:t>plyne, že jed</w:t>
      </w:r>
      <w:r>
        <w:t>nacího řízení bez uveřejnění ve </w:t>
      </w:r>
      <w:r w:rsidRPr="008F46F9">
        <w:t>smyslu ustanovení § 23 odst. 4) písm. b) lze použít pouze tehdy, dojde-li k současnému splnění všech předpokladů</w:t>
      </w:r>
      <w:r w:rsidR="00A65ABE">
        <w:t>,</w:t>
      </w:r>
      <w:r w:rsidRPr="008F46F9">
        <w:t xml:space="preserve"> a zadavatel musí být vždy schopen prokázat, že objektivně došlo k naplnění všech podmínek. Těmito podmínkami jsou:</w:t>
      </w:r>
    </w:p>
    <w:p w14:paraId="1673C9BE" w14:textId="77777777" w:rsidR="008C1DDE" w:rsidRPr="008F46F9" w:rsidRDefault="008C1DDE" w:rsidP="00170EF5">
      <w:pPr>
        <w:pStyle w:val="TextKP"/>
        <w:numPr>
          <w:ilvl w:val="0"/>
          <w:numId w:val="45"/>
        </w:numPr>
        <w:spacing w:before="0"/>
        <w:ind w:left="284" w:hanging="284"/>
      </w:pPr>
      <w:r w:rsidRPr="008F46F9">
        <w:t>existence krajně naléhavého případu;</w:t>
      </w:r>
    </w:p>
    <w:p w14:paraId="730F4CC5" w14:textId="0ACDDE09" w:rsidR="008C1DDE" w:rsidRPr="008F46F9" w:rsidRDefault="008C1DDE" w:rsidP="00170EF5">
      <w:pPr>
        <w:pStyle w:val="TextKP"/>
        <w:numPr>
          <w:ilvl w:val="0"/>
          <w:numId w:val="45"/>
        </w:numPr>
        <w:spacing w:before="0"/>
        <w:ind w:left="284" w:hanging="284"/>
      </w:pPr>
      <w:r w:rsidRPr="008F46F9">
        <w:t>krajně naléhavý případ</w:t>
      </w:r>
      <w:r w:rsidR="00A65ABE">
        <w:t>, který</w:t>
      </w:r>
      <w:r w:rsidRPr="008F46F9">
        <w:t xml:space="preserve"> zadavatel svým jednáním nezpůsobil;</w:t>
      </w:r>
    </w:p>
    <w:p w14:paraId="2D011E19" w14:textId="77777777" w:rsidR="008C1DDE" w:rsidRPr="008F46F9" w:rsidRDefault="008C1DDE" w:rsidP="00170EF5">
      <w:pPr>
        <w:pStyle w:val="TextKP"/>
        <w:numPr>
          <w:ilvl w:val="0"/>
          <w:numId w:val="45"/>
        </w:numPr>
        <w:spacing w:before="0"/>
        <w:ind w:left="284" w:hanging="284"/>
      </w:pPr>
      <w:r w:rsidRPr="008F46F9">
        <w:t>zadavatel tento krajně naléhavý případ nemohl předvídat;</w:t>
      </w:r>
    </w:p>
    <w:p w14:paraId="1EEC7ABA" w14:textId="77777777" w:rsidR="008C1DDE" w:rsidRPr="008F46F9" w:rsidRDefault="008C1DDE" w:rsidP="00170EF5">
      <w:pPr>
        <w:pStyle w:val="TextKP"/>
        <w:numPr>
          <w:ilvl w:val="0"/>
          <w:numId w:val="45"/>
        </w:numPr>
        <w:spacing w:before="0"/>
        <w:ind w:left="284" w:hanging="284"/>
      </w:pPr>
      <w:r w:rsidRPr="008F46F9">
        <w:t>z časových důvod</w:t>
      </w:r>
      <w:r w:rsidR="00290D8F">
        <w:t>ů</w:t>
      </w:r>
      <w:r w:rsidRPr="008F46F9">
        <w:t xml:space="preserve"> není možné zadat veřejnou zakázku v jiném druhu zadávacího řízení.</w:t>
      </w:r>
    </w:p>
    <w:p w14:paraId="7B3B107B" w14:textId="77777777" w:rsidR="00170EF5" w:rsidRDefault="00170EF5" w:rsidP="00170EF5">
      <w:pPr>
        <w:pStyle w:val="TextKP"/>
        <w:spacing w:before="0"/>
      </w:pPr>
    </w:p>
    <w:p w14:paraId="712CFCA5" w14:textId="33CF335C" w:rsidR="008C1DDE" w:rsidRPr="008F46F9" w:rsidRDefault="008C1DDE" w:rsidP="00170EF5">
      <w:pPr>
        <w:pStyle w:val="TextKP"/>
        <w:spacing w:before="0"/>
      </w:pPr>
      <w:r w:rsidRPr="008F46F9">
        <w:t xml:space="preserve">Za nepředvídatelné případy </w:t>
      </w:r>
      <w:r>
        <w:t>n</w:t>
      </w:r>
      <w:r w:rsidRPr="008F46F9">
        <w:t>elze považovat situace, které vznikly v důsledku jednání zadavatele, nebo pro jejichž vznik zada</w:t>
      </w:r>
      <w:r>
        <w:t>vatel připravil podmínky, ať už svým jednáním či </w:t>
      </w:r>
      <w:r w:rsidRPr="008F46F9">
        <w:t>opomenutím.</w:t>
      </w:r>
      <w:r>
        <w:t xml:space="preserve"> </w:t>
      </w:r>
      <w:r w:rsidRPr="008F46F9">
        <w:t xml:space="preserve">Krajně naléhavý případ </w:t>
      </w:r>
      <w:r>
        <w:t>SÚKL definoval jako</w:t>
      </w:r>
      <w:r w:rsidRPr="008F46F9">
        <w:t xml:space="preserve"> situaci, kdy Městský soud v Praze svým předběžným opatřením zakázal </w:t>
      </w:r>
      <w:r>
        <w:t>SÚKL</w:t>
      </w:r>
      <w:r w:rsidRPr="008F46F9">
        <w:t xml:space="preserve"> jakékoli užití aplikace </w:t>
      </w:r>
      <w:proofErr w:type="spellStart"/>
      <w:r w:rsidR="00A65ABE">
        <w:t>e</w:t>
      </w:r>
      <w:r w:rsidRPr="008F46F9">
        <w:t>R</w:t>
      </w:r>
      <w:r w:rsidR="00A65ABE">
        <w:t>p</w:t>
      </w:r>
      <w:proofErr w:type="spellEnd"/>
      <w:r w:rsidRPr="008F46F9">
        <w:t>, což ve svém důsledku znamenalo naprosté zablokování stávajícího způsobu elektron</w:t>
      </w:r>
      <w:r w:rsidR="00290D8F">
        <w:t xml:space="preserve">ické preskripce léčiv. </w:t>
      </w:r>
      <w:r w:rsidR="00A65ABE">
        <w:t>P</w:t>
      </w:r>
      <w:r>
        <w:t>odle</w:t>
      </w:r>
      <w:r w:rsidR="00A65ABE">
        <w:t xml:space="preserve"> </w:t>
      </w:r>
      <w:r w:rsidRPr="008F46F9">
        <w:t xml:space="preserve">tvrzení </w:t>
      </w:r>
      <w:r>
        <w:t>SÚKL</w:t>
      </w:r>
      <w:r w:rsidRPr="008F46F9">
        <w:t xml:space="preserve"> </w:t>
      </w:r>
      <w:r w:rsidR="00A65ABE">
        <w:t xml:space="preserve">tím </w:t>
      </w:r>
      <w:r w:rsidRPr="008F46F9">
        <w:t>došlo ke značně naléhavé krizové situaci, která nejenže ne</w:t>
      </w:r>
      <w:r>
        <w:t>byla zadavatelem způsobena, ale </w:t>
      </w:r>
      <w:r w:rsidRPr="008F46F9">
        <w:t>ani nemohla být z jeho strany předvídána.</w:t>
      </w:r>
    </w:p>
    <w:p w14:paraId="0366AC64" w14:textId="77777777" w:rsidR="00170EF5" w:rsidRDefault="00170EF5" w:rsidP="00170EF5">
      <w:pPr>
        <w:pStyle w:val="TextKP"/>
        <w:spacing w:before="0"/>
      </w:pPr>
    </w:p>
    <w:p w14:paraId="5078DAA7" w14:textId="57D7857F" w:rsidR="00170EF5" w:rsidRDefault="008C1DDE" w:rsidP="00170EF5">
      <w:pPr>
        <w:pStyle w:val="TextKP"/>
        <w:spacing w:before="0"/>
      </w:pPr>
      <w:r>
        <w:t>SÚKL</w:t>
      </w:r>
      <w:r w:rsidRPr="008F46F9">
        <w:t xml:space="preserve"> se do ukončení platnosti smlouvy ani v následujících </w:t>
      </w:r>
      <w:r>
        <w:t>JŘBU</w:t>
      </w:r>
      <w:r w:rsidRPr="008F46F9">
        <w:t xml:space="preserve"> nepodařilo oboustranně vyřešit dlouhodobý</w:t>
      </w:r>
      <w:r w:rsidR="00A65ABE">
        <w:t xml:space="preserve"> spor v oblasti autorských práv </w:t>
      </w:r>
      <w:r w:rsidRPr="008F46F9">
        <w:t>k servi</w:t>
      </w:r>
      <w:r>
        <w:t>sovaným softwarovým aplikacím s dodavatelem</w:t>
      </w:r>
      <w:r w:rsidRPr="008F46F9">
        <w:t xml:space="preserve"> </w:t>
      </w:r>
      <w:r>
        <w:t>„B“.</w:t>
      </w:r>
      <w:r w:rsidRPr="008F46F9">
        <w:t xml:space="preserve"> Nedostatečná úprava autorských práv spočívala z</w:t>
      </w:r>
      <w:r>
        <w:t>ejména v nemožnosti na </w:t>
      </w:r>
      <w:r w:rsidRPr="008F46F9">
        <w:t>základě poskytnutých licencí modifikovat či jinak upravovat původní softwaro</w:t>
      </w:r>
      <w:r>
        <w:t>vé</w:t>
      </w:r>
      <w:r w:rsidRPr="008F46F9">
        <w:t xml:space="preserve"> aplikace</w:t>
      </w:r>
      <w:r>
        <w:t xml:space="preserve">. </w:t>
      </w:r>
      <w:r w:rsidRPr="008F46F9">
        <w:t xml:space="preserve">V průběhu let 2012 až 2015 však docházelo k úpravám a nasazování nových verzí softwarových aplikací, které realizoval </w:t>
      </w:r>
      <w:r>
        <w:t>dodavatel „B“.</w:t>
      </w:r>
    </w:p>
    <w:p w14:paraId="77EFEFFA" w14:textId="77777777" w:rsidR="00170EF5" w:rsidRDefault="00170EF5" w:rsidP="00170EF5">
      <w:pPr>
        <w:pStyle w:val="TextKP"/>
        <w:spacing w:before="0"/>
      </w:pPr>
    </w:p>
    <w:p w14:paraId="550AA073" w14:textId="77777777" w:rsidR="00170EF5" w:rsidRDefault="00AE656C" w:rsidP="00170EF5">
      <w:pPr>
        <w:pStyle w:val="TextKP"/>
        <w:spacing w:before="0"/>
      </w:pPr>
      <w:r w:rsidRPr="00EE031D">
        <w:rPr>
          <w:b/>
        </w:rPr>
        <w:t xml:space="preserve">SÚKL v souvislosti s budováním informační a komunikační infrastruktury ve vztahu k CÚER vynaložil v letech 2007 až 2016 peněžní prostředky minimálně ve výši </w:t>
      </w:r>
      <w:r w:rsidRPr="00EE031D">
        <w:rPr>
          <w:rStyle w:val="TextKPChar"/>
          <w:b/>
          <w:lang w:eastAsia="cs-CZ"/>
        </w:rPr>
        <w:t>317 660 609</w:t>
      </w:r>
      <w:r w:rsidRPr="00EE031D">
        <w:rPr>
          <w:b/>
        </w:rPr>
        <w:t xml:space="preserve"> Kč. </w:t>
      </w:r>
      <w:r w:rsidR="00B765AF">
        <w:t>V této </w:t>
      </w:r>
      <w:r w:rsidR="00C56266">
        <w:t>částce nejsou zahrnuty</w:t>
      </w:r>
      <w:r w:rsidRPr="00EE031D">
        <w:t xml:space="preserve"> peněžní prostředky vynaložené na právní a jiné poradenské služby v souvislosti s řešením sporů v oblasti autorských práv, jiné kontrolou nezjištěné smluvní vztahy zajišťující provoz CÚER, zejména další náklady spojené se zajištěním provozu informační a komunikační infrastruktury SÚKL a ani odhad nákladů souvisejících s probíhajícím soudním sporem.</w:t>
      </w:r>
    </w:p>
    <w:p w14:paraId="3BB46E97" w14:textId="154361C6" w:rsidR="00AE58C1" w:rsidRDefault="00AE58C1" w:rsidP="00170EF5">
      <w:pPr>
        <w:pStyle w:val="TextKP"/>
        <w:spacing w:before="0"/>
      </w:pPr>
      <w:r>
        <w:br w:type="page"/>
      </w:r>
    </w:p>
    <w:p w14:paraId="140374E5" w14:textId="77777777" w:rsidR="00AE58C1" w:rsidRPr="00A428C3" w:rsidRDefault="00AE58C1" w:rsidP="00170EF5">
      <w:pPr>
        <w:pStyle w:val="TextKP"/>
        <w:spacing w:before="0"/>
        <w:jc w:val="right"/>
        <w:rPr>
          <w:b/>
          <w:lang w:eastAsia="cs-CZ"/>
        </w:rPr>
      </w:pPr>
      <w:r w:rsidRPr="00A428C3">
        <w:rPr>
          <w:b/>
          <w:lang w:eastAsia="cs-CZ"/>
        </w:rPr>
        <w:lastRenderedPageBreak/>
        <w:t>Příloha č. 2</w:t>
      </w:r>
    </w:p>
    <w:p w14:paraId="33CEEC97" w14:textId="77777777" w:rsidR="00170EF5" w:rsidRDefault="00170EF5" w:rsidP="00170EF5">
      <w:pPr>
        <w:pStyle w:val="TextKP"/>
        <w:spacing w:before="0"/>
        <w:rPr>
          <w:lang w:eastAsia="cs-CZ"/>
        </w:rPr>
      </w:pPr>
    </w:p>
    <w:p w14:paraId="63A82718" w14:textId="56B1E8F4" w:rsidR="007F7A3D" w:rsidRPr="00A428C3" w:rsidRDefault="00AE58C1" w:rsidP="00A428C3">
      <w:pPr>
        <w:pStyle w:val="TextKP"/>
        <w:spacing w:before="0"/>
        <w:jc w:val="center"/>
        <w:rPr>
          <w:b/>
          <w:lang w:eastAsia="cs-CZ"/>
        </w:rPr>
      </w:pPr>
      <w:r w:rsidRPr="00A428C3">
        <w:rPr>
          <w:b/>
          <w:lang w:eastAsia="cs-CZ"/>
        </w:rPr>
        <w:t>Statistika využitelnosti elektronických receptů od roku 2011 ve vztahu k receptům vydávaným v tištené podobě vychází z dat, které eviduje SÚKL</w:t>
      </w:r>
    </w:p>
    <w:p w14:paraId="5C53681B" w14:textId="77777777" w:rsidR="00170EF5" w:rsidRDefault="00170EF5" w:rsidP="00170EF5">
      <w:pPr>
        <w:pStyle w:val="TextKP"/>
        <w:spacing w:before="0"/>
        <w:rPr>
          <w:lang w:eastAsia="cs-CZ"/>
        </w:rPr>
      </w:pPr>
    </w:p>
    <w:p w14:paraId="44F09C82" w14:textId="77777777" w:rsidR="00AE58C1" w:rsidRPr="00A428C3" w:rsidRDefault="00AE58C1" w:rsidP="00170EF5">
      <w:pPr>
        <w:pStyle w:val="TextKP"/>
        <w:spacing w:before="0" w:after="40"/>
        <w:rPr>
          <w:b/>
          <w:lang w:eastAsia="cs-CZ"/>
        </w:rPr>
      </w:pPr>
      <w:r w:rsidRPr="00A428C3">
        <w:rPr>
          <w:b/>
          <w:lang w:eastAsia="cs-CZ"/>
        </w:rPr>
        <w:t xml:space="preserve">Tabulka č. </w:t>
      </w:r>
      <w:r w:rsidR="007F7A3D" w:rsidRPr="00A428C3">
        <w:rPr>
          <w:b/>
          <w:lang w:eastAsia="cs-CZ"/>
        </w:rPr>
        <w:t>1</w:t>
      </w:r>
      <w:r w:rsidRPr="00A428C3">
        <w:rPr>
          <w:b/>
          <w:lang w:eastAsia="cs-CZ"/>
        </w:rPr>
        <w:t xml:space="preserve">: Statistika vydaných </w:t>
      </w:r>
      <w:proofErr w:type="spellStart"/>
      <w:r w:rsidRPr="00A428C3">
        <w:rPr>
          <w:b/>
          <w:lang w:eastAsia="cs-CZ"/>
        </w:rPr>
        <w:t>eReceptů</w:t>
      </w:r>
      <w:proofErr w:type="spell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7F7A3D" w:rsidRPr="007F7A3D" w14:paraId="0CA8A48F" w14:textId="77777777" w:rsidTr="00E62921">
        <w:trPr>
          <w:trHeight w:val="28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B10A6E" w14:textId="3E70E35B" w:rsidR="00AE58C1" w:rsidRPr="007F7A3D" w:rsidRDefault="00AE58C1" w:rsidP="009E0C40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7F7A3D">
              <w:rPr>
                <w:b/>
                <w:sz w:val="20"/>
                <w:szCs w:val="20"/>
                <w:lang w:eastAsia="cs-CZ"/>
              </w:rPr>
              <w:t>Údaj</w:t>
            </w:r>
            <w:r w:rsidR="00B42A91" w:rsidRPr="00B42A91">
              <w:rPr>
                <w:b/>
                <w:sz w:val="20"/>
                <w:szCs w:val="20"/>
                <w:vertAlign w:val="superscript"/>
                <w:lang w:eastAsia="cs-CZ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BEA0AAE" w14:textId="77777777" w:rsidR="00AE58C1" w:rsidRPr="007F7A3D" w:rsidRDefault="00AE58C1" w:rsidP="009E0C40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7F7A3D">
              <w:rPr>
                <w:b/>
                <w:sz w:val="20"/>
                <w:szCs w:val="20"/>
                <w:lang w:eastAsia="cs-CZ"/>
              </w:rPr>
              <w:t>Hodnota</w:t>
            </w:r>
          </w:p>
        </w:tc>
      </w:tr>
      <w:tr w:rsidR="007F7A3D" w:rsidRPr="007F7A3D" w14:paraId="580BECD4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CBDB26E" w14:textId="6E04ECFF" w:rsidR="00AE58C1" w:rsidRPr="007F7A3D" w:rsidRDefault="00AE58C1" w:rsidP="009E0C40">
            <w:pPr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Počet přístupů celkem</w:t>
            </w:r>
            <w:r w:rsidR="00412CEA">
              <w:rPr>
                <w:sz w:val="20"/>
                <w:szCs w:val="20"/>
                <w:lang w:eastAsia="cs-CZ"/>
              </w:rPr>
              <w:t>, z toho: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472ED71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12 832</w:t>
            </w:r>
          </w:p>
        </w:tc>
      </w:tr>
      <w:tr w:rsidR="007F7A3D" w:rsidRPr="007F7A3D" w14:paraId="175482A9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669E" w14:textId="77777777" w:rsidR="00AE58C1" w:rsidRPr="00A428C3" w:rsidRDefault="00AE58C1" w:rsidP="00A428C3">
            <w:pPr>
              <w:pStyle w:val="Odstavecseseznamem"/>
              <w:numPr>
                <w:ilvl w:val="0"/>
                <w:numId w:val="47"/>
              </w:numPr>
              <w:ind w:left="345" w:hanging="284"/>
              <w:rPr>
                <w:sz w:val="20"/>
                <w:szCs w:val="20"/>
                <w:lang w:eastAsia="cs-CZ"/>
              </w:rPr>
            </w:pPr>
            <w:r w:rsidRPr="00A428C3">
              <w:rPr>
                <w:sz w:val="20"/>
                <w:szCs w:val="20"/>
                <w:lang w:eastAsia="cs-CZ"/>
              </w:rPr>
              <w:t>lékaři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0EE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5 253</w:t>
            </w:r>
          </w:p>
        </w:tc>
      </w:tr>
      <w:tr w:rsidR="007F7A3D" w:rsidRPr="007F7A3D" w14:paraId="29CEEE10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49B7" w14:textId="77777777" w:rsidR="00AE58C1" w:rsidRPr="00A428C3" w:rsidRDefault="00AE58C1" w:rsidP="00A428C3">
            <w:pPr>
              <w:pStyle w:val="Odstavecseseznamem"/>
              <w:numPr>
                <w:ilvl w:val="0"/>
                <w:numId w:val="47"/>
              </w:numPr>
              <w:ind w:left="345" w:hanging="284"/>
              <w:rPr>
                <w:sz w:val="20"/>
                <w:szCs w:val="20"/>
                <w:lang w:eastAsia="cs-CZ"/>
              </w:rPr>
            </w:pPr>
            <w:r w:rsidRPr="00A428C3">
              <w:rPr>
                <w:sz w:val="20"/>
                <w:szCs w:val="20"/>
                <w:lang w:eastAsia="cs-CZ"/>
              </w:rPr>
              <w:t>zdravotnická zařízení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AD6C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695</w:t>
            </w:r>
          </w:p>
        </w:tc>
      </w:tr>
      <w:tr w:rsidR="007F7A3D" w:rsidRPr="007F7A3D" w14:paraId="11319E6B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AFE3" w14:textId="77777777" w:rsidR="00AE58C1" w:rsidRPr="00A428C3" w:rsidRDefault="00AE58C1" w:rsidP="00A428C3">
            <w:pPr>
              <w:pStyle w:val="Odstavecseseznamem"/>
              <w:numPr>
                <w:ilvl w:val="0"/>
                <w:numId w:val="47"/>
              </w:numPr>
              <w:ind w:left="345" w:hanging="284"/>
              <w:rPr>
                <w:sz w:val="20"/>
                <w:szCs w:val="20"/>
                <w:lang w:eastAsia="cs-CZ"/>
              </w:rPr>
            </w:pPr>
            <w:r w:rsidRPr="00A428C3">
              <w:rPr>
                <w:sz w:val="20"/>
                <w:szCs w:val="20"/>
                <w:lang w:eastAsia="cs-CZ"/>
              </w:rPr>
              <w:t xml:space="preserve">lékárníci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434C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5 223</w:t>
            </w:r>
          </w:p>
        </w:tc>
      </w:tr>
      <w:tr w:rsidR="007F7A3D" w:rsidRPr="007F7A3D" w14:paraId="1BFEA140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3741" w14:textId="77777777" w:rsidR="00AE58C1" w:rsidRPr="00A428C3" w:rsidRDefault="00AE58C1" w:rsidP="00A428C3">
            <w:pPr>
              <w:pStyle w:val="Odstavecseseznamem"/>
              <w:numPr>
                <w:ilvl w:val="0"/>
                <w:numId w:val="47"/>
              </w:numPr>
              <w:ind w:left="345" w:hanging="284"/>
              <w:rPr>
                <w:sz w:val="20"/>
                <w:szCs w:val="20"/>
                <w:lang w:eastAsia="cs-CZ"/>
              </w:rPr>
            </w:pPr>
            <w:r w:rsidRPr="00A428C3">
              <w:rPr>
                <w:sz w:val="20"/>
                <w:szCs w:val="20"/>
                <w:lang w:eastAsia="cs-CZ"/>
              </w:rPr>
              <w:t>lékárny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DEC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1 661</w:t>
            </w:r>
          </w:p>
        </w:tc>
      </w:tr>
      <w:tr w:rsidR="007F7A3D" w:rsidRPr="007F7A3D" w14:paraId="2A71084C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7EA" w14:textId="4FDD155F" w:rsidR="00AE58C1" w:rsidRPr="007F7A3D" w:rsidRDefault="00AE58C1" w:rsidP="00412CEA">
            <w:pPr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 xml:space="preserve">Počet vystavených </w:t>
            </w:r>
            <w:proofErr w:type="spellStart"/>
            <w:r w:rsidRPr="007F7A3D">
              <w:rPr>
                <w:sz w:val="20"/>
                <w:szCs w:val="20"/>
                <w:lang w:eastAsia="cs-CZ"/>
              </w:rPr>
              <w:t>eReceptů</w:t>
            </w:r>
            <w:proofErr w:type="spellEnd"/>
            <w:r w:rsidRPr="007F7A3D">
              <w:rPr>
                <w:sz w:val="20"/>
                <w:szCs w:val="20"/>
                <w:lang w:eastAsia="cs-CZ"/>
              </w:rPr>
              <w:t xml:space="preserve"> netto (ks)</w:t>
            </w:r>
            <w:r w:rsidR="00B42A91" w:rsidRPr="00B42A91">
              <w:rPr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E04E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4 784 574</w:t>
            </w:r>
          </w:p>
        </w:tc>
      </w:tr>
      <w:tr w:rsidR="007F7A3D" w:rsidRPr="007F7A3D" w14:paraId="2E41E7FE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1E08" w14:textId="75F207D4" w:rsidR="00AE58C1" w:rsidRPr="007F7A3D" w:rsidRDefault="00AE58C1" w:rsidP="00412CEA">
            <w:pPr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 xml:space="preserve">Počet vystavených </w:t>
            </w:r>
            <w:proofErr w:type="spellStart"/>
            <w:r w:rsidRPr="007F7A3D">
              <w:rPr>
                <w:sz w:val="20"/>
                <w:szCs w:val="20"/>
                <w:lang w:eastAsia="cs-CZ"/>
              </w:rPr>
              <w:t>eReceptů</w:t>
            </w:r>
            <w:proofErr w:type="spellEnd"/>
            <w:r w:rsidRPr="007F7A3D">
              <w:rPr>
                <w:sz w:val="20"/>
                <w:szCs w:val="20"/>
                <w:lang w:eastAsia="cs-CZ"/>
              </w:rPr>
              <w:t xml:space="preserve"> netto na konopí (ks)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EB41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276</w:t>
            </w:r>
          </w:p>
        </w:tc>
      </w:tr>
      <w:tr w:rsidR="007F7A3D" w:rsidRPr="007F7A3D" w14:paraId="5B1534BB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16DCAC6" w14:textId="77777777" w:rsidR="00AE58C1" w:rsidRPr="007F7A3D" w:rsidRDefault="00AE58C1" w:rsidP="009E0C40">
            <w:pPr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 xml:space="preserve">Počet vystavených </w:t>
            </w:r>
            <w:proofErr w:type="spellStart"/>
            <w:r w:rsidRPr="007F7A3D">
              <w:rPr>
                <w:sz w:val="20"/>
                <w:szCs w:val="20"/>
                <w:lang w:eastAsia="cs-CZ"/>
              </w:rPr>
              <w:t>eReceptů</w:t>
            </w:r>
            <w:proofErr w:type="spellEnd"/>
            <w:r w:rsidRPr="007F7A3D">
              <w:rPr>
                <w:sz w:val="20"/>
                <w:szCs w:val="20"/>
                <w:lang w:eastAsia="cs-CZ"/>
              </w:rPr>
              <w:t xml:space="preserve"> netto celkem (ks)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C08DD0D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4 784 850</w:t>
            </w:r>
          </w:p>
        </w:tc>
      </w:tr>
      <w:tr w:rsidR="007F7A3D" w:rsidRPr="007F7A3D" w14:paraId="78217BC3" w14:textId="77777777" w:rsidTr="00E62921">
        <w:trPr>
          <w:trHeight w:val="28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794D12F" w14:textId="796661FB" w:rsidR="00AE58C1" w:rsidRPr="007F7A3D" w:rsidRDefault="00AE58C1" w:rsidP="00412CEA">
            <w:pPr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Hodnota úhrady vyda</w:t>
            </w:r>
            <w:r w:rsidR="00B42A91">
              <w:rPr>
                <w:sz w:val="20"/>
                <w:szCs w:val="20"/>
                <w:lang w:eastAsia="cs-CZ"/>
              </w:rPr>
              <w:t xml:space="preserve">ných </w:t>
            </w:r>
            <w:proofErr w:type="spellStart"/>
            <w:r w:rsidR="00B42A91">
              <w:rPr>
                <w:sz w:val="20"/>
                <w:szCs w:val="20"/>
                <w:lang w:eastAsia="cs-CZ"/>
              </w:rPr>
              <w:t>eReceptů</w:t>
            </w:r>
            <w:proofErr w:type="spellEnd"/>
            <w:r w:rsidR="00B42A91">
              <w:rPr>
                <w:sz w:val="20"/>
                <w:szCs w:val="20"/>
                <w:lang w:eastAsia="cs-CZ"/>
              </w:rPr>
              <w:t xml:space="preserve"> (v tisk. Kč)</w:t>
            </w:r>
            <w:r w:rsidR="00B42A91" w:rsidRPr="00B42A91">
              <w:rPr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329DD75" w14:textId="77777777" w:rsidR="00AE58C1" w:rsidRPr="007F7A3D" w:rsidRDefault="00AE58C1" w:rsidP="009E0C40">
            <w:pPr>
              <w:jc w:val="right"/>
              <w:rPr>
                <w:sz w:val="20"/>
                <w:szCs w:val="20"/>
                <w:lang w:eastAsia="cs-CZ"/>
              </w:rPr>
            </w:pPr>
            <w:r w:rsidRPr="007F7A3D">
              <w:rPr>
                <w:sz w:val="20"/>
                <w:szCs w:val="20"/>
                <w:lang w:eastAsia="cs-CZ"/>
              </w:rPr>
              <w:t>2 570 274</w:t>
            </w:r>
          </w:p>
        </w:tc>
      </w:tr>
    </w:tbl>
    <w:p w14:paraId="3795D2C4" w14:textId="3F3EAF97" w:rsidR="00AE58C1" w:rsidRPr="00A428C3" w:rsidRDefault="00AE58C1" w:rsidP="00170EF5">
      <w:pPr>
        <w:pStyle w:val="Zdrojapozn"/>
        <w:spacing w:before="40"/>
        <w:ind w:left="567" w:hanging="567"/>
        <w:rPr>
          <w:i w:val="0"/>
        </w:rPr>
      </w:pPr>
      <w:r w:rsidRPr="00A428C3">
        <w:rPr>
          <w:b/>
          <w:i w:val="0"/>
        </w:rPr>
        <w:t>Zdroj:</w:t>
      </w:r>
      <w:r w:rsidRPr="00A428C3">
        <w:rPr>
          <w:i w:val="0"/>
        </w:rPr>
        <w:tab/>
      </w:r>
      <w:r w:rsidR="00412CEA">
        <w:rPr>
          <w:i w:val="0"/>
        </w:rPr>
        <w:t>e</w:t>
      </w:r>
      <w:r w:rsidR="007F7A3D" w:rsidRPr="00A428C3">
        <w:rPr>
          <w:i w:val="0"/>
        </w:rPr>
        <w:t>vidence SÚKL</w:t>
      </w:r>
      <w:r w:rsidRPr="00A428C3">
        <w:rPr>
          <w:i w:val="0"/>
        </w:rPr>
        <w:t>, úprava vlastní</w:t>
      </w:r>
      <w:r w:rsidR="001862BD" w:rsidRPr="00A428C3">
        <w:rPr>
          <w:i w:val="0"/>
        </w:rPr>
        <w:t>.</w:t>
      </w:r>
    </w:p>
    <w:p w14:paraId="20C251DB" w14:textId="10A97150" w:rsidR="00412CEA" w:rsidRDefault="00412CEA" w:rsidP="00AE58C1">
      <w:pPr>
        <w:pStyle w:val="Zdrojapozn"/>
        <w:ind w:left="567" w:hanging="567"/>
        <w:rPr>
          <w:i w:val="0"/>
        </w:rPr>
      </w:pPr>
      <w:r>
        <w:rPr>
          <w:b/>
          <w:i w:val="0"/>
        </w:rPr>
        <w:t>Vysvětlivky:</w:t>
      </w:r>
    </w:p>
    <w:p w14:paraId="09C37B67" w14:textId="4C353B7B" w:rsidR="00AE58C1" w:rsidRPr="00A428C3" w:rsidRDefault="00B42A91" w:rsidP="00AE58C1">
      <w:pPr>
        <w:pStyle w:val="Zdrojapozn"/>
        <w:ind w:left="567" w:hanging="567"/>
        <w:rPr>
          <w:i w:val="0"/>
        </w:rPr>
      </w:pPr>
      <w:r w:rsidRPr="00A428C3">
        <w:rPr>
          <w:i w:val="0"/>
          <w:vertAlign w:val="superscript"/>
        </w:rPr>
        <w:t>1</w:t>
      </w:r>
      <w:r w:rsidRPr="00A428C3">
        <w:rPr>
          <w:i w:val="0"/>
        </w:rPr>
        <w:t xml:space="preserve"> </w:t>
      </w:r>
      <w:r w:rsidR="00AE58C1" w:rsidRPr="00A428C3">
        <w:rPr>
          <w:i w:val="0"/>
        </w:rPr>
        <w:t>Údaje jsou zpracovány od 1. srpna 2011 do 31. října 2016.</w:t>
      </w:r>
    </w:p>
    <w:p w14:paraId="2B61DBDC" w14:textId="0216FCD1" w:rsidR="00AE58C1" w:rsidRPr="00A428C3" w:rsidRDefault="00B42A91" w:rsidP="00AE58C1">
      <w:pPr>
        <w:pStyle w:val="Zdrojapozn"/>
        <w:ind w:left="567" w:hanging="567"/>
        <w:rPr>
          <w:i w:val="0"/>
        </w:rPr>
      </w:pPr>
      <w:r w:rsidRPr="00A428C3">
        <w:rPr>
          <w:i w:val="0"/>
          <w:vertAlign w:val="superscript"/>
        </w:rPr>
        <w:t>2</w:t>
      </w:r>
      <w:r w:rsidRPr="00A428C3">
        <w:rPr>
          <w:i w:val="0"/>
        </w:rPr>
        <w:t xml:space="preserve"> </w:t>
      </w:r>
      <w:r w:rsidR="00AE58C1" w:rsidRPr="00A428C3">
        <w:rPr>
          <w:i w:val="0"/>
        </w:rPr>
        <w:t xml:space="preserve">Za listopad a prosinec 2015 nejsou údaje k dispozici, v lednu až březnu 2016 nebyly vystavovány elektronické recepty, neobsahuje </w:t>
      </w:r>
      <w:proofErr w:type="spellStart"/>
      <w:r w:rsidR="00AE58C1" w:rsidRPr="00A428C3">
        <w:rPr>
          <w:i w:val="0"/>
        </w:rPr>
        <w:t>eRecepty</w:t>
      </w:r>
      <w:proofErr w:type="spellEnd"/>
      <w:r w:rsidR="00AE58C1" w:rsidRPr="00A428C3">
        <w:rPr>
          <w:i w:val="0"/>
        </w:rPr>
        <w:t xml:space="preserve"> na konopí.</w:t>
      </w:r>
    </w:p>
    <w:p w14:paraId="74F952AB" w14:textId="77777777" w:rsidR="00170EF5" w:rsidRDefault="00170EF5" w:rsidP="00170EF5">
      <w:pPr>
        <w:pStyle w:val="TextKP"/>
        <w:spacing w:before="0"/>
        <w:rPr>
          <w:lang w:eastAsia="cs-CZ"/>
        </w:rPr>
      </w:pPr>
    </w:p>
    <w:p w14:paraId="643C5EA9" w14:textId="755EA4EF" w:rsidR="00AE58C1" w:rsidRPr="00346AFF" w:rsidRDefault="00AE58C1" w:rsidP="00170EF5">
      <w:pPr>
        <w:pStyle w:val="TextKP"/>
        <w:spacing w:before="0" w:after="40"/>
        <w:rPr>
          <w:b/>
        </w:rPr>
      </w:pPr>
      <w:r w:rsidRPr="00346AFF">
        <w:rPr>
          <w:b/>
        </w:rPr>
        <w:t xml:space="preserve">Tabulka č. </w:t>
      </w:r>
      <w:r w:rsidR="007F7A3D" w:rsidRPr="00346AFF">
        <w:rPr>
          <w:b/>
        </w:rPr>
        <w:t>2</w:t>
      </w:r>
      <w:r w:rsidR="009A7DD8" w:rsidRPr="00346AFF">
        <w:rPr>
          <w:b/>
        </w:rPr>
        <w:t>: Přehled vystavených lékařských předpisů v období od srpna 20</w:t>
      </w:r>
      <w:r w:rsidR="00033E52" w:rsidRPr="00346AFF">
        <w:rPr>
          <w:b/>
        </w:rPr>
        <w:t>11</w:t>
      </w:r>
      <w:r w:rsidR="009A7DD8" w:rsidRPr="00346AFF">
        <w:rPr>
          <w:b/>
        </w:rPr>
        <w:t xml:space="preserve"> do října 2016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977"/>
        <w:gridCol w:w="837"/>
        <w:gridCol w:w="1127"/>
        <w:gridCol w:w="1664"/>
        <w:gridCol w:w="1533"/>
        <w:gridCol w:w="2092"/>
      </w:tblGrid>
      <w:tr w:rsidR="00EF1F36" w:rsidRPr="00EF1F36" w14:paraId="3AAD372B" w14:textId="77777777" w:rsidTr="00E62921">
        <w:trPr>
          <w:trHeight w:val="255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B086E21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Období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75E80B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 xml:space="preserve">Počet vydaných </w:t>
            </w:r>
            <w:proofErr w:type="spellStart"/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eReceptů</w:t>
            </w:r>
            <w:proofErr w:type="spellEnd"/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7F53B1CD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Počet vydaných listinných receptů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8D91470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Počet vydaných receptů celkem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AF1D60B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 xml:space="preserve">Poměr vydaných </w:t>
            </w:r>
            <w:proofErr w:type="spellStart"/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eReceptů</w:t>
            </w:r>
            <w:proofErr w:type="spellEnd"/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 xml:space="preserve"> na vydaných receptech</w:t>
            </w:r>
            <w:r w:rsidR="009A7DD8">
              <w:rPr>
                <w:b/>
                <w:color w:val="000000"/>
                <w:sz w:val="20"/>
                <w:szCs w:val="20"/>
                <w:lang w:eastAsia="cs-CZ"/>
              </w:rPr>
              <w:t xml:space="preserve"> (%)</w:t>
            </w:r>
          </w:p>
        </w:tc>
      </w:tr>
      <w:tr w:rsidR="00EF1F36" w:rsidRPr="00EF1F36" w14:paraId="72455400" w14:textId="77777777" w:rsidTr="00E62921">
        <w:trPr>
          <w:trHeight w:val="255"/>
        </w:trPr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22A37ED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8B047A1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bez konopí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DB8BEBC" w14:textId="6EE3163C" w:rsidR="00EF1F36" w:rsidRPr="00EF1F36" w:rsidRDefault="00EF1F36" w:rsidP="00C154F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na konopí</w:t>
            </w:r>
            <w:r w:rsidR="00A71D0C">
              <w:rPr>
                <w:b/>
                <w:color w:val="000000"/>
                <w:sz w:val="20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37A0492" w14:textId="77777777" w:rsidR="00EF1F36" w:rsidRPr="00EF1F36" w:rsidRDefault="00EF1F36" w:rsidP="00EF1F36">
            <w:pPr>
              <w:jc w:val="center"/>
              <w:rPr>
                <w:b/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B0E1974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6F32467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8C82BCE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</w:p>
        </w:tc>
      </w:tr>
      <w:tr w:rsidR="00EF1F36" w:rsidRPr="00EF1F36" w14:paraId="7EA55E60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7FDB" w14:textId="302BE630" w:rsidR="00EF1F36" w:rsidRPr="00EF1F36" w:rsidRDefault="00EF1F36" w:rsidP="008237F5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2011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D823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36 267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9FE9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AEBE" w14:textId="02BC5B12" w:rsidR="00EF1F36" w:rsidRPr="00EF1F36" w:rsidRDefault="00EF1F36" w:rsidP="00C154F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36</w:t>
            </w:r>
            <w:r w:rsidR="008237F5"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EF1F36">
              <w:rPr>
                <w:color w:val="000000"/>
                <w:sz w:val="20"/>
                <w:szCs w:val="20"/>
                <w:lang w:eastAsia="cs-CZ"/>
              </w:rPr>
              <w:t>267</w:t>
            </w:r>
            <w:r w:rsidR="008237F5" w:rsidRPr="00EF1F36">
              <w:rPr>
                <w:color w:val="000000"/>
                <w:sz w:val="20"/>
                <w:szCs w:val="20"/>
                <w:vertAlign w:val="superscript"/>
                <w:lang w:eastAsia="cs-CZ"/>
              </w:rPr>
              <w:t>1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AE07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25 696 649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17E4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25 732 916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3509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0,14</w:t>
            </w:r>
          </w:p>
        </w:tc>
      </w:tr>
      <w:tr w:rsidR="00EF1F36" w:rsidRPr="00EF1F36" w14:paraId="569018AA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8D5A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2012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6E91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257 368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558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48C" w14:textId="77777777" w:rsidR="00EF1F36" w:rsidRPr="00EF1F36" w:rsidRDefault="00EF1F36" w:rsidP="008C2A84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257 368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3810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57 608 342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7230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57 865 710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7401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0,44</w:t>
            </w:r>
          </w:p>
        </w:tc>
      </w:tr>
      <w:tr w:rsidR="00EF1F36" w:rsidRPr="00EF1F36" w14:paraId="066E0FA7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47A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2013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A8A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808 303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5176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1A32" w14:textId="77777777" w:rsidR="00EF1F36" w:rsidRPr="00EF1F36" w:rsidRDefault="00EF1F36" w:rsidP="008C2A84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808 303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399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60 445 226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97A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61 253 529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6AB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1,32</w:t>
            </w:r>
          </w:p>
        </w:tc>
      </w:tr>
      <w:tr w:rsidR="00EF1F36" w:rsidRPr="00EF1F36" w14:paraId="03DE96E8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F9E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2014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1D9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1 100 340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F651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5C03" w14:textId="77777777" w:rsidR="00EF1F36" w:rsidRPr="00EF1F36" w:rsidRDefault="00EF1F36" w:rsidP="008C2A84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1 100 340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D016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62 503 171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C2C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63 603 511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5F6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1,73</w:t>
            </w:r>
          </w:p>
        </w:tc>
      </w:tr>
      <w:tr w:rsidR="00EF1F36" w:rsidRPr="00EF1F36" w14:paraId="2E4F58D3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0007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36E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1 455 949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6736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842A" w14:textId="60694584" w:rsidR="00EF1F36" w:rsidRPr="00EF1F36" w:rsidRDefault="00EF1F36" w:rsidP="008C2A84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1 456 003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41B4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60 781 435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9FBB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62 237 438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731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2,34</w:t>
            </w:r>
          </w:p>
        </w:tc>
      </w:tr>
      <w:tr w:rsidR="00EF1F36" w:rsidRPr="00EF1F36" w14:paraId="6CA3E39E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F12" w14:textId="2C47CB0C" w:rsidR="00EF1F36" w:rsidRPr="00EF1F36" w:rsidRDefault="00EF1F36" w:rsidP="00C154F6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2016</w:t>
            </w:r>
            <w:r w:rsidR="00A71D0C">
              <w:rPr>
                <w:color w:val="000000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DCE8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1 126 347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822E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E6A5" w14:textId="77777777" w:rsidR="00EF1F36" w:rsidRPr="00EF1F36" w:rsidRDefault="00EF1F36" w:rsidP="008C2A84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1 126 569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09CE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36 499 243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F0B6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37 625 812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5DE4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2,99</w:t>
            </w:r>
          </w:p>
        </w:tc>
      </w:tr>
      <w:tr w:rsidR="00EF1F36" w:rsidRPr="00EF1F36" w14:paraId="097227E4" w14:textId="77777777" w:rsidTr="00E62921">
        <w:trPr>
          <w:trHeight w:val="255"/>
        </w:trPr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66024E6" w14:textId="77777777" w:rsidR="00EF1F36" w:rsidRPr="00EF1F36" w:rsidRDefault="00EF1F36" w:rsidP="00EF1F36">
            <w:pPr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174792E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4 784 574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C598339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10BED4F" w14:textId="77777777" w:rsidR="00EF1F36" w:rsidRPr="00EF1F36" w:rsidRDefault="00EF1F36" w:rsidP="008C2A84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4 784 850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19BD41A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303 534 066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224D291" w14:textId="77777777" w:rsidR="00EF1F36" w:rsidRPr="00EF1F36" w:rsidRDefault="00EF1F36" w:rsidP="00EF1F36">
            <w:pPr>
              <w:jc w:val="right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308 318 916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9AEFECF" w14:textId="77777777" w:rsidR="00EF1F36" w:rsidRPr="00EF1F36" w:rsidRDefault="00EF1F36" w:rsidP="00EF1F36">
            <w:pPr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F1F36">
              <w:rPr>
                <w:color w:val="000000"/>
                <w:sz w:val="20"/>
                <w:szCs w:val="20"/>
                <w:lang w:eastAsia="cs-CZ"/>
              </w:rPr>
              <w:t>1,55</w:t>
            </w:r>
          </w:p>
        </w:tc>
      </w:tr>
    </w:tbl>
    <w:p w14:paraId="7B70FD63" w14:textId="1AFF07B8" w:rsidR="00AE58C1" w:rsidRPr="00346AFF" w:rsidRDefault="00AE58C1" w:rsidP="00170EF5">
      <w:pPr>
        <w:pStyle w:val="Zdrojapozn"/>
        <w:spacing w:before="40"/>
        <w:ind w:left="567" w:hanging="567"/>
        <w:rPr>
          <w:i w:val="0"/>
        </w:rPr>
      </w:pPr>
      <w:r w:rsidRPr="00346AFF">
        <w:rPr>
          <w:b/>
          <w:i w:val="0"/>
        </w:rPr>
        <w:t>Zdroj:</w:t>
      </w:r>
      <w:r w:rsidR="009A7DD8" w:rsidRPr="00346AFF">
        <w:rPr>
          <w:i w:val="0"/>
        </w:rPr>
        <w:tab/>
      </w:r>
      <w:r w:rsidR="00412CEA">
        <w:rPr>
          <w:i w:val="0"/>
        </w:rPr>
        <w:t>e</w:t>
      </w:r>
      <w:r w:rsidR="007F7A3D" w:rsidRPr="00346AFF">
        <w:rPr>
          <w:i w:val="0"/>
        </w:rPr>
        <w:t>vidence SÚKL</w:t>
      </w:r>
      <w:r w:rsidRPr="00346AFF">
        <w:rPr>
          <w:i w:val="0"/>
        </w:rPr>
        <w:t>, úprava vlastní</w:t>
      </w:r>
      <w:r w:rsidR="001862BD" w:rsidRPr="00346AFF">
        <w:rPr>
          <w:i w:val="0"/>
        </w:rPr>
        <w:t>.</w:t>
      </w:r>
    </w:p>
    <w:p w14:paraId="52EF0BE7" w14:textId="6BEB0168" w:rsidR="00412CEA" w:rsidRDefault="00412CEA" w:rsidP="00AE58C1">
      <w:pPr>
        <w:pStyle w:val="Zdrojapozn"/>
        <w:ind w:left="567" w:hanging="567"/>
        <w:rPr>
          <w:b/>
          <w:i w:val="0"/>
        </w:rPr>
      </w:pPr>
      <w:r>
        <w:rPr>
          <w:b/>
          <w:i w:val="0"/>
        </w:rPr>
        <w:t>Vysvětlivky</w:t>
      </w:r>
      <w:r w:rsidR="00AE58C1" w:rsidRPr="00346AFF">
        <w:rPr>
          <w:b/>
          <w:i w:val="0"/>
        </w:rPr>
        <w:t>:</w:t>
      </w:r>
    </w:p>
    <w:p w14:paraId="38B5BB92" w14:textId="75403888" w:rsidR="00AE58C1" w:rsidRPr="00346AFF" w:rsidRDefault="00EF1F36" w:rsidP="00AE58C1">
      <w:pPr>
        <w:pStyle w:val="Zdrojapozn"/>
        <w:ind w:left="567" w:hanging="567"/>
        <w:rPr>
          <w:i w:val="0"/>
        </w:rPr>
      </w:pPr>
      <w:r w:rsidRPr="00346AFF">
        <w:rPr>
          <w:i w:val="0"/>
          <w:vertAlign w:val="superscript"/>
        </w:rPr>
        <w:t>1</w:t>
      </w:r>
      <w:r w:rsidR="00AE58C1" w:rsidRPr="00346AFF">
        <w:rPr>
          <w:i w:val="0"/>
        </w:rPr>
        <w:t xml:space="preserve"> Statistika obsahuje i leden 2012.</w:t>
      </w:r>
    </w:p>
    <w:p w14:paraId="2EE9AC94" w14:textId="26E5CA34" w:rsidR="00AE58C1" w:rsidRPr="00346AFF" w:rsidRDefault="00EF1F36" w:rsidP="00AE58C1">
      <w:pPr>
        <w:pStyle w:val="Zdrojapozn"/>
        <w:ind w:left="567" w:hanging="567"/>
        <w:rPr>
          <w:i w:val="0"/>
        </w:rPr>
      </w:pPr>
      <w:r w:rsidRPr="00346AFF">
        <w:rPr>
          <w:i w:val="0"/>
          <w:vertAlign w:val="superscript"/>
        </w:rPr>
        <w:t>2</w:t>
      </w:r>
      <w:r w:rsidR="00AE58C1" w:rsidRPr="00346AFF">
        <w:rPr>
          <w:i w:val="0"/>
        </w:rPr>
        <w:t xml:space="preserve"> Statistika za </w:t>
      </w:r>
      <w:r w:rsidR="00A71D0C" w:rsidRPr="00346AFF">
        <w:rPr>
          <w:i w:val="0"/>
        </w:rPr>
        <w:t>led</w:t>
      </w:r>
      <w:r w:rsidR="00AE58C1" w:rsidRPr="00346AFF">
        <w:rPr>
          <w:i w:val="0"/>
        </w:rPr>
        <w:t>en až říjen 2016.</w:t>
      </w:r>
    </w:p>
    <w:p w14:paraId="558E69C1" w14:textId="0005AB48" w:rsidR="00AE58C1" w:rsidRPr="00346AFF" w:rsidRDefault="00A71D0C" w:rsidP="00AE58C1">
      <w:pPr>
        <w:pStyle w:val="Zdrojapozn"/>
        <w:ind w:left="567" w:hanging="567"/>
        <w:rPr>
          <w:i w:val="0"/>
        </w:rPr>
      </w:pPr>
      <w:r w:rsidRPr="00346AFF">
        <w:rPr>
          <w:i w:val="0"/>
          <w:vertAlign w:val="superscript"/>
        </w:rPr>
        <w:t>3</w:t>
      </w:r>
      <w:r w:rsidR="00AE58C1" w:rsidRPr="00346AFF">
        <w:rPr>
          <w:i w:val="0"/>
        </w:rPr>
        <w:t xml:space="preserve"> Do roku 2015 nebylo konopí dostupné na trhu.</w:t>
      </w:r>
    </w:p>
    <w:p w14:paraId="6427CF52" w14:textId="69D35133" w:rsidR="00AF497D" w:rsidRPr="00346AFF" w:rsidRDefault="00412CEA" w:rsidP="00170EF5">
      <w:pPr>
        <w:pStyle w:val="Zdroj"/>
        <w:spacing w:before="60"/>
        <w:ind w:left="567" w:hanging="567"/>
        <w:rPr>
          <w:i w:val="0"/>
        </w:rPr>
      </w:pPr>
      <w:r>
        <w:rPr>
          <w:b/>
          <w:i w:val="0"/>
        </w:rPr>
        <w:t>Pozn.</w:t>
      </w:r>
      <w:r w:rsidR="00AF497D" w:rsidRPr="00346AFF">
        <w:rPr>
          <w:b/>
          <w:i w:val="0"/>
        </w:rPr>
        <w:t>:</w:t>
      </w:r>
      <w:r w:rsidR="00AF497D" w:rsidRPr="00346AFF">
        <w:rPr>
          <w:i w:val="0"/>
        </w:rPr>
        <w:t xml:space="preserve"> </w:t>
      </w:r>
      <w:r w:rsidR="00AE58C1" w:rsidRPr="00346AFF">
        <w:rPr>
          <w:i w:val="0"/>
        </w:rPr>
        <w:t>SÚKL nijak neeviduje papírové recepty vystavené poskytovate</w:t>
      </w:r>
      <w:r w:rsidR="007F7A3D" w:rsidRPr="00346AFF">
        <w:rPr>
          <w:i w:val="0"/>
        </w:rPr>
        <w:t>li zdravotní péče (lékaři), ale </w:t>
      </w:r>
      <w:r w:rsidR="00AE58C1" w:rsidRPr="00346AFF">
        <w:rPr>
          <w:i w:val="0"/>
        </w:rPr>
        <w:t>eviduje pouze data o vydaných léčivých přípravcích z</w:t>
      </w:r>
      <w:r w:rsidR="00AF497D" w:rsidRPr="00346AFF">
        <w:rPr>
          <w:i w:val="0"/>
        </w:rPr>
        <w:t> </w:t>
      </w:r>
      <w:r w:rsidR="00AE58C1" w:rsidRPr="00346AFF">
        <w:rPr>
          <w:i w:val="0"/>
        </w:rPr>
        <w:t>lékáren</w:t>
      </w:r>
      <w:r w:rsidR="00AF497D" w:rsidRPr="00346AFF">
        <w:rPr>
          <w:i w:val="0"/>
        </w:rPr>
        <w:t>.</w:t>
      </w:r>
    </w:p>
    <w:p w14:paraId="197273AC" w14:textId="6DEE3396" w:rsidR="00170EF5" w:rsidRPr="00346AFF" w:rsidRDefault="00AF497D" w:rsidP="00170EF5">
      <w:pPr>
        <w:pStyle w:val="Zdroj"/>
        <w:ind w:left="567"/>
        <w:rPr>
          <w:i w:val="0"/>
        </w:rPr>
      </w:pPr>
      <w:r w:rsidRPr="00346AFF">
        <w:rPr>
          <w:i w:val="0"/>
        </w:rPr>
        <w:t>P</w:t>
      </w:r>
      <w:r w:rsidR="00AE58C1" w:rsidRPr="00346AFF">
        <w:rPr>
          <w:i w:val="0"/>
        </w:rPr>
        <w:t xml:space="preserve">řehled obsahuje pouze vydané papírové (listinné) recepty z těch lékáren, které SÚKL poskytují hlášení podle pokynu SÚKL LEK-13 o vydaných léčivých přípravcích, v souladu s </w:t>
      </w:r>
      <w:r w:rsidR="00412CEA">
        <w:rPr>
          <w:i w:val="0"/>
        </w:rPr>
        <w:t>§ 82 odst. 3 písm. d) zákona č. </w:t>
      </w:r>
      <w:r w:rsidR="00AE58C1" w:rsidRPr="00346AFF">
        <w:rPr>
          <w:i w:val="0"/>
        </w:rPr>
        <w:t>378/2007 Sb., o léčivech a o změnách některých souvisejících zákonů (zákon o léčivech), ve znění pozdějších předpisů.</w:t>
      </w:r>
      <w:r w:rsidRPr="00346AFF">
        <w:rPr>
          <w:i w:val="0"/>
        </w:rPr>
        <w:t xml:space="preserve"> </w:t>
      </w:r>
      <w:r w:rsidR="00AE58C1" w:rsidRPr="00346AFF">
        <w:rPr>
          <w:i w:val="0"/>
        </w:rPr>
        <w:t>Hlášení je prováděno podle přidělených kódů jednotlivých pracovišť (lékáren). Lékárny hlásí výdeje o jednotlivých vydaných léčivých přípravcích, přičemž na jednom receptu mohou být maximálně dva druhy léčivých přípravků. Data jsou následně zpracována a na základě výdejů léčivých přípravků je vytvořen přehled jednotlivých papírových (listinných) receptů, na které </w:t>
      </w:r>
      <w:r w:rsidRPr="00346AFF">
        <w:rPr>
          <w:i w:val="0"/>
        </w:rPr>
        <w:t>byly léčivé přípravky vydány.</w:t>
      </w:r>
    </w:p>
    <w:p w14:paraId="2ABEDEF0" w14:textId="0E421D80" w:rsidR="009A7DD8" w:rsidRPr="00170EF5" w:rsidRDefault="009A7DD8" w:rsidP="00170EF5">
      <w:pPr>
        <w:pStyle w:val="Zdroj"/>
        <w:rPr>
          <w:i w:val="0"/>
          <w:sz w:val="24"/>
        </w:rPr>
      </w:pPr>
      <w:r w:rsidRPr="00170EF5">
        <w:rPr>
          <w:i w:val="0"/>
          <w:sz w:val="24"/>
        </w:rPr>
        <w:br w:type="page"/>
      </w:r>
    </w:p>
    <w:p w14:paraId="777B74C7" w14:textId="77777777" w:rsidR="000C2A1B" w:rsidRPr="00346AFF" w:rsidRDefault="000C2A1B" w:rsidP="00170EF5">
      <w:pPr>
        <w:pStyle w:val="TextKP"/>
        <w:spacing w:before="0"/>
        <w:jc w:val="right"/>
        <w:rPr>
          <w:b/>
        </w:rPr>
      </w:pPr>
      <w:r w:rsidRPr="00346AFF">
        <w:rPr>
          <w:b/>
        </w:rPr>
        <w:lastRenderedPageBreak/>
        <w:t>Příloha č. 3</w:t>
      </w:r>
    </w:p>
    <w:p w14:paraId="1C7AD52B" w14:textId="77777777" w:rsidR="00170EF5" w:rsidRDefault="00170EF5" w:rsidP="00170EF5">
      <w:pPr>
        <w:pStyle w:val="TextKP"/>
        <w:spacing w:before="0"/>
        <w:jc w:val="left"/>
      </w:pPr>
    </w:p>
    <w:p w14:paraId="563BDD18" w14:textId="6D13679D" w:rsidR="00136F7A" w:rsidRPr="00346AFF" w:rsidRDefault="005155D4" w:rsidP="00170EF5">
      <w:pPr>
        <w:pStyle w:val="TextKP"/>
        <w:spacing w:before="0" w:after="40"/>
        <w:jc w:val="left"/>
        <w:rPr>
          <w:b/>
        </w:rPr>
      </w:pPr>
      <w:r w:rsidRPr="00346AFF">
        <w:rPr>
          <w:b/>
        </w:rPr>
        <w:t>Tabulka č. 1: Vliv na účetní výkazy SÚKL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23"/>
        <w:gridCol w:w="1701"/>
        <w:gridCol w:w="567"/>
        <w:gridCol w:w="1134"/>
        <w:gridCol w:w="1417"/>
        <w:gridCol w:w="1276"/>
        <w:gridCol w:w="1417"/>
        <w:gridCol w:w="1372"/>
      </w:tblGrid>
      <w:tr w:rsidR="00D81380" w:rsidRPr="00170EF5" w14:paraId="11DEA4D6" w14:textId="77777777" w:rsidTr="00641916">
        <w:trPr>
          <w:trHeight w:val="227"/>
        </w:trPr>
        <w:tc>
          <w:tcPr>
            <w:tcW w:w="465" w:type="dxa"/>
            <w:vMerge w:val="restart"/>
            <w:shd w:val="clear" w:color="auto" w:fill="E5F1FF"/>
            <w:noWrap/>
            <w:vAlign w:val="center"/>
            <w:hideMark/>
          </w:tcPr>
          <w:p w14:paraId="519DC3A6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Rok</w:t>
            </w:r>
          </w:p>
        </w:tc>
        <w:tc>
          <w:tcPr>
            <w:tcW w:w="523" w:type="dxa"/>
            <w:vMerge w:val="restart"/>
            <w:shd w:val="clear" w:color="auto" w:fill="E5F1FF"/>
            <w:vAlign w:val="center"/>
            <w:hideMark/>
          </w:tcPr>
          <w:p w14:paraId="2C67A0A8" w14:textId="77777777" w:rsidR="00D81380" w:rsidRPr="00170EF5" w:rsidRDefault="00F22A4F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Část </w:t>
            </w:r>
            <w:r w:rsidR="00D81380"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KZ</w:t>
            </w:r>
          </w:p>
        </w:tc>
        <w:tc>
          <w:tcPr>
            <w:tcW w:w="1701" w:type="dxa"/>
            <w:vMerge w:val="restart"/>
            <w:shd w:val="clear" w:color="auto" w:fill="E5F1FF"/>
            <w:noWrap/>
            <w:vAlign w:val="center"/>
            <w:hideMark/>
          </w:tcPr>
          <w:p w14:paraId="1E8B0F58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Předmět kontroly</w:t>
            </w:r>
          </w:p>
        </w:tc>
        <w:tc>
          <w:tcPr>
            <w:tcW w:w="567" w:type="dxa"/>
            <w:vMerge w:val="restart"/>
            <w:shd w:val="clear" w:color="auto" w:fill="E5F1FF"/>
            <w:noWrap/>
            <w:vAlign w:val="center"/>
            <w:hideMark/>
          </w:tcPr>
          <w:p w14:paraId="57D8734A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Účet</w:t>
            </w:r>
          </w:p>
        </w:tc>
        <w:tc>
          <w:tcPr>
            <w:tcW w:w="2551" w:type="dxa"/>
            <w:gridSpan w:val="2"/>
            <w:shd w:val="clear" w:color="auto" w:fill="E5F1FF"/>
            <w:noWrap/>
            <w:vAlign w:val="center"/>
            <w:hideMark/>
          </w:tcPr>
          <w:p w14:paraId="25CBD34C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Rozvaha</w:t>
            </w:r>
          </w:p>
        </w:tc>
        <w:tc>
          <w:tcPr>
            <w:tcW w:w="2693" w:type="dxa"/>
            <w:gridSpan w:val="2"/>
            <w:shd w:val="clear" w:color="auto" w:fill="E5F1FF"/>
            <w:vAlign w:val="center"/>
          </w:tcPr>
          <w:p w14:paraId="1775D64A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Výkaz zisku a ztráty</w:t>
            </w:r>
          </w:p>
        </w:tc>
        <w:tc>
          <w:tcPr>
            <w:tcW w:w="1372" w:type="dxa"/>
            <w:vMerge w:val="restart"/>
            <w:shd w:val="clear" w:color="auto" w:fill="E5F1FF"/>
            <w:vAlign w:val="center"/>
            <w:hideMark/>
          </w:tcPr>
          <w:p w14:paraId="1EAA99E5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Výsledek hospodaření</w:t>
            </w:r>
          </w:p>
        </w:tc>
      </w:tr>
      <w:tr w:rsidR="00D81380" w:rsidRPr="00170EF5" w14:paraId="483870E3" w14:textId="77777777" w:rsidTr="00641916">
        <w:trPr>
          <w:trHeight w:val="227"/>
        </w:trPr>
        <w:tc>
          <w:tcPr>
            <w:tcW w:w="465" w:type="dxa"/>
            <w:vMerge/>
            <w:shd w:val="clear" w:color="auto" w:fill="E5F1FF"/>
            <w:vAlign w:val="center"/>
            <w:hideMark/>
          </w:tcPr>
          <w:p w14:paraId="25665386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E5F1FF"/>
            <w:vAlign w:val="center"/>
            <w:hideMark/>
          </w:tcPr>
          <w:p w14:paraId="619F14D8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shd w:val="clear" w:color="auto" w:fill="E5F1FF"/>
            <w:vAlign w:val="center"/>
            <w:hideMark/>
          </w:tcPr>
          <w:p w14:paraId="2EEF8227" w14:textId="77777777" w:rsidR="00D81380" w:rsidRPr="00170EF5" w:rsidRDefault="00D81380" w:rsidP="00170EF5">
            <w:pPr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vMerge/>
            <w:shd w:val="clear" w:color="auto" w:fill="E5F1FF"/>
            <w:vAlign w:val="center"/>
            <w:hideMark/>
          </w:tcPr>
          <w:p w14:paraId="3560EA49" w14:textId="77777777" w:rsidR="00D81380" w:rsidRPr="00170EF5" w:rsidRDefault="00D81380" w:rsidP="00170EF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shd w:val="clear" w:color="auto" w:fill="E5F1FF"/>
            <w:noWrap/>
            <w:vAlign w:val="center"/>
            <w:hideMark/>
          </w:tcPr>
          <w:p w14:paraId="6208BD5F" w14:textId="77777777" w:rsidR="00D81380" w:rsidRPr="00170EF5" w:rsidRDefault="00D81380" w:rsidP="00170EF5">
            <w:pPr>
              <w:ind w:right="117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Aktiva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0455D0F6" w14:textId="23F14423" w:rsidR="00D81380" w:rsidRPr="00170EF5" w:rsidRDefault="00D81380" w:rsidP="00170EF5">
            <w:pPr>
              <w:ind w:right="117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Pasiva</w:t>
            </w:r>
          </w:p>
        </w:tc>
        <w:tc>
          <w:tcPr>
            <w:tcW w:w="1276" w:type="dxa"/>
            <w:shd w:val="clear" w:color="auto" w:fill="E5F1FF"/>
            <w:noWrap/>
            <w:vAlign w:val="center"/>
            <w:hideMark/>
          </w:tcPr>
          <w:p w14:paraId="6B3E32F9" w14:textId="79CFB207" w:rsidR="00D81380" w:rsidRPr="00170EF5" w:rsidRDefault="00D81380" w:rsidP="00170EF5">
            <w:pPr>
              <w:ind w:right="117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Náklady</w:t>
            </w:r>
          </w:p>
        </w:tc>
        <w:tc>
          <w:tcPr>
            <w:tcW w:w="1417" w:type="dxa"/>
            <w:shd w:val="clear" w:color="auto" w:fill="E5F1FF"/>
            <w:noWrap/>
            <w:vAlign w:val="center"/>
            <w:hideMark/>
          </w:tcPr>
          <w:p w14:paraId="4C3670D8" w14:textId="77777777" w:rsidR="00D81380" w:rsidRPr="00170EF5" w:rsidRDefault="00D81380" w:rsidP="00170EF5">
            <w:pPr>
              <w:ind w:right="117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  <w:t>Výnosy</w:t>
            </w:r>
          </w:p>
        </w:tc>
        <w:tc>
          <w:tcPr>
            <w:tcW w:w="1372" w:type="dxa"/>
            <w:vMerge/>
            <w:shd w:val="clear" w:color="auto" w:fill="E5F1FF"/>
            <w:vAlign w:val="center"/>
            <w:hideMark/>
          </w:tcPr>
          <w:p w14:paraId="5F93E802" w14:textId="77777777" w:rsidR="00D81380" w:rsidRPr="00170EF5" w:rsidRDefault="00D81380" w:rsidP="00170EF5">
            <w:pPr>
              <w:ind w:right="11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E49BD" w:rsidRPr="00170EF5" w14:paraId="07527865" w14:textId="77777777" w:rsidTr="00641916">
        <w:trPr>
          <w:trHeight w:val="227"/>
        </w:trPr>
        <w:tc>
          <w:tcPr>
            <w:tcW w:w="465" w:type="dxa"/>
            <w:vMerge w:val="restart"/>
            <w:shd w:val="clear" w:color="auto" w:fill="D9D9D9"/>
            <w:noWrap/>
            <w:vAlign w:val="center"/>
            <w:hideMark/>
          </w:tcPr>
          <w:p w14:paraId="384F9E57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2011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14:paraId="617A3C55" w14:textId="77777777" w:rsidR="00EE49BD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96962B8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Technické zhodnocení NM 77/0, odpisy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CFE84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BCE757" w14:textId="4DF6B203" w:rsidR="00EE49BD" w:rsidRPr="00170EF5" w:rsidRDefault="00A65ABE" w:rsidP="00A65ABE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197 000,40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03E931" w14:textId="2FEDA30A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5EEEB" w14:textId="4A949112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7B796C" w14:textId="408E4298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0EE0C16" w14:textId="2C9DA001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E49BD" w:rsidRPr="00170EF5" w14:paraId="5D6ABAFD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1E16A5A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3FB99FE4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F37B337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3171B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FA1D47" w14:textId="36101796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197 000,40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422F05" w14:textId="2265AB70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12A0F7" w14:textId="316EA84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B60EE2" w14:textId="7D3A754B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8659DFD" w14:textId="46B2C5B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136F7A" w:rsidRPr="00170EF5" w14:paraId="670044A8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2947212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24" w:type="dxa"/>
            <w:gridSpan w:val="2"/>
            <w:shd w:val="clear" w:color="auto" w:fill="F2C6C9"/>
            <w:vAlign w:val="center"/>
            <w:hideMark/>
          </w:tcPr>
          <w:p w14:paraId="73E90789" w14:textId="5357E6E7" w:rsidR="00136F7A" w:rsidRPr="00170EF5" w:rsidRDefault="00136F7A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7" w:type="dxa"/>
            <w:shd w:val="clear" w:color="auto" w:fill="F2C6C9"/>
            <w:vAlign w:val="center"/>
          </w:tcPr>
          <w:p w14:paraId="4DD2FB4B" w14:textId="77777777" w:rsidR="00136F7A" w:rsidRPr="00170EF5" w:rsidRDefault="00136F7A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shd w:val="clear" w:color="auto" w:fill="F2C6C9"/>
            <w:noWrap/>
            <w:vAlign w:val="center"/>
            <w:hideMark/>
          </w:tcPr>
          <w:p w14:paraId="31FF5512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2B6F71CD" w14:textId="6E421B8F" w:rsidR="00136F7A" w:rsidRPr="00170EF5" w:rsidRDefault="00136F7A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F2C6C9"/>
            <w:noWrap/>
            <w:vAlign w:val="center"/>
            <w:hideMark/>
          </w:tcPr>
          <w:p w14:paraId="6D6D8C47" w14:textId="79282F83" w:rsidR="00136F7A" w:rsidRPr="00170EF5" w:rsidRDefault="00136F7A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1EAB7296" w14:textId="15B3AA74" w:rsidR="00136F7A" w:rsidRPr="00170EF5" w:rsidRDefault="00136F7A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F2C6C9"/>
            <w:noWrap/>
            <w:vAlign w:val="center"/>
            <w:hideMark/>
          </w:tcPr>
          <w:p w14:paraId="3257A276" w14:textId="289EF357" w:rsidR="00136F7A" w:rsidRPr="00170EF5" w:rsidRDefault="00136F7A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778A4335" w14:textId="77777777" w:rsidTr="00641916">
        <w:trPr>
          <w:trHeight w:val="227"/>
        </w:trPr>
        <w:tc>
          <w:tcPr>
            <w:tcW w:w="465" w:type="dxa"/>
            <w:vMerge w:val="restart"/>
            <w:shd w:val="clear" w:color="auto" w:fill="D9D9D9"/>
            <w:noWrap/>
            <w:vAlign w:val="center"/>
            <w:hideMark/>
          </w:tcPr>
          <w:p w14:paraId="1056DF4A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2012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14:paraId="6FC0CFD4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6</w:t>
            </w:r>
          </w:p>
          <w:p w14:paraId="52F1EFD3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68A5C94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právních služeb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E54F6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DE27E0" w14:textId="74EA2A38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AC934B" w14:textId="56628979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B72B3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609 600,00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8BF752" w14:textId="1D40CCC9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0B9BEAC5" w14:textId="22E2DD32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609 600,00</w:t>
            </w:r>
          </w:p>
        </w:tc>
      </w:tr>
      <w:tr w:rsidR="00F22A4F" w:rsidRPr="00170EF5" w14:paraId="454C3F20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E413893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77241DAA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F9300CA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20CF1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073EEF" w14:textId="59FD0F16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06384E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609 600,00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AEE3D" w14:textId="5C38B78D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827534" w14:textId="06E68008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4D6F39B" w14:textId="53CA6448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24B01D49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191E8E58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  <w:hideMark/>
          </w:tcPr>
          <w:p w14:paraId="444786C8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70A8512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servisních služeb ICT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FB1EC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796EEB" w14:textId="167612E6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A11273" w14:textId="4ABFB4E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DA0E3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2 449 980,00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221FDF" w14:textId="378B05D6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2E2D8E12" w14:textId="3944E8C0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2 449 980,00</w:t>
            </w:r>
          </w:p>
        </w:tc>
      </w:tr>
      <w:tr w:rsidR="00F22A4F" w:rsidRPr="00170EF5" w14:paraId="73C431CA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13603DB5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6E2C0777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2761B5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C31CC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F3F2A" w14:textId="6B6BC45F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D72937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2 449 980,00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54FFAC" w14:textId="2059645A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E1110C" w14:textId="206BA3A5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057CF9A" w14:textId="5C71A757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4C27F36C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48B7137C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  <w:hideMark/>
          </w:tcPr>
          <w:p w14:paraId="327354B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D84B936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Technické zhodnocení NM 77/0, odpisy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1F4DB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B3DCB" w14:textId="18BCD245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197 000,40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DE4C1E" w14:textId="0F2D898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1AFDA7" w14:textId="6100C59F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81D8F2" w14:textId="75AA4198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06C7742" w14:textId="1FA36672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1F7F39F7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3B244E9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90A6DD8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024D116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5F5C3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61F93C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197 000,40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A327EC" w14:textId="5A9DF190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3F5A42" w14:textId="78490C75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76616E" w14:textId="256FDAF8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3848F6D" w14:textId="4F301650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6F68B9D7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EDF8BC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1101287C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47AC787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585DF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2D915A" w14:textId="02D4DA1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2E25A1" w14:textId="3ABECAAB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6655BF" w14:textId="295B1F85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227 652,00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F46C6F" w14:textId="5CA0911B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2AF0B551" w14:textId="16EB950C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227 652</w:t>
            </w:r>
          </w:p>
        </w:tc>
      </w:tr>
      <w:tr w:rsidR="00F22A4F" w:rsidRPr="00170EF5" w14:paraId="785E56CF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1FAE7002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  <w:hideMark/>
          </w:tcPr>
          <w:p w14:paraId="020BBCCB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75676D7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Manka a škody HM 907 Volvo S60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19C755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0105AF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43E383" w14:textId="66C1B7D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C09BC" w14:textId="30B67BB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8E2F6B" w14:textId="63B4CF54" w:rsidR="00F22A4F" w:rsidRPr="00170EF5" w:rsidRDefault="00F22A4F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46BDBF3D" w14:textId="2A82BE08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1CDEE58A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6352BB9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0DB4108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65AAE2B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86E6D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113E64" w14:textId="74C0FDB0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93404B" w14:textId="2AD13F6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165F67" w14:textId="387A0CA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56CA4F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69C1503" w14:textId="3846C847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80 000,00</w:t>
            </w:r>
          </w:p>
        </w:tc>
      </w:tr>
      <w:tr w:rsidR="00136F7A" w:rsidRPr="00170EF5" w14:paraId="4F219F5B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2E18A39E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24" w:type="dxa"/>
            <w:gridSpan w:val="2"/>
            <w:shd w:val="clear" w:color="auto" w:fill="F2C6C9"/>
            <w:vAlign w:val="center"/>
            <w:hideMark/>
          </w:tcPr>
          <w:p w14:paraId="0249BEFE" w14:textId="77777777" w:rsidR="00136F7A" w:rsidRPr="00170EF5" w:rsidRDefault="00136F7A" w:rsidP="00170EF5">
            <w:pPr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7" w:type="dxa"/>
            <w:shd w:val="clear" w:color="auto" w:fill="F2C6C9"/>
            <w:vAlign w:val="center"/>
          </w:tcPr>
          <w:p w14:paraId="6230BA89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shd w:val="clear" w:color="auto" w:fill="F2C6C9"/>
            <w:noWrap/>
            <w:vAlign w:val="center"/>
            <w:hideMark/>
          </w:tcPr>
          <w:p w14:paraId="027116AE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477FD3D2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3 059 580,00</w:t>
            </w:r>
          </w:p>
        </w:tc>
        <w:tc>
          <w:tcPr>
            <w:tcW w:w="1276" w:type="dxa"/>
            <w:shd w:val="clear" w:color="auto" w:fill="F2C6C9"/>
            <w:noWrap/>
            <w:vAlign w:val="center"/>
            <w:hideMark/>
          </w:tcPr>
          <w:p w14:paraId="0DEE0B7E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3 059 580,00</w:t>
            </w: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003B8FFC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80 000,00</w:t>
            </w:r>
          </w:p>
        </w:tc>
        <w:tc>
          <w:tcPr>
            <w:tcW w:w="1372" w:type="dxa"/>
            <w:shd w:val="clear" w:color="auto" w:fill="F2C6C9"/>
            <w:noWrap/>
            <w:vAlign w:val="center"/>
            <w:hideMark/>
          </w:tcPr>
          <w:p w14:paraId="080F544C" w14:textId="0D8244AA" w:rsidR="00136F7A" w:rsidRPr="00170EF5" w:rsidRDefault="00A65ABE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136F7A"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3 139 580,00</w:t>
            </w:r>
          </w:p>
        </w:tc>
      </w:tr>
      <w:tr w:rsidR="00EE49BD" w:rsidRPr="00170EF5" w14:paraId="437065E9" w14:textId="77777777" w:rsidTr="00641916">
        <w:trPr>
          <w:trHeight w:val="227"/>
        </w:trPr>
        <w:tc>
          <w:tcPr>
            <w:tcW w:w="465" w:type="dxa"/>
            <w:vMerge w:val="restart"/>
            <w:shd w:val="clear" w:color="auto" w:fill="D9D9D9"/>
            <w:noWrap/>
            <w:vAlign w:val="center"/>
            <w:hideMark/>
          </w:tcPr>
          <w:p w14:paraId="57EB53AB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2013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79F5AE12" w14:textId="77777777" w:rsidR="00EE49BD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123D868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Mimorozpočtové prostředky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1EEF7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A943C3" w14:textId="3D43A839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995500" w14:textId="679978D5" w:rsidR="00EE49BD" w:rsidRPr="00170EF5" w:rsidRDefault="00EE49BD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EAD95" w14:textId="05BD7353" w:rsidR="00EE49BD" w:rsidRPr="00170EF5" w:rsidRDefault="00EE49BD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35D2AA" w14:textId="7C969B00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241 653 000,00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0DFC40A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241 653 000,00</w:t>
            </w:r>
          </w:p>
        </w:tc>
      </w:tr>
      <w:tr w:rsidR="00EE49BD" w:rsidRPr="00170EF5" w14:paraId="3F7E5566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4A0270EA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AB28F9B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3C1BE8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074AA8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C7CB6D" w14:textId="4FFDF8DD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D3D782" w14:textId="5D411B96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F77EF" w14:textId="25CC3983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A8F745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484 163 916,00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E22FE31" w14:textId="2C71DAC6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484 163 916,00</w:t>
            </w:r>
          </w:p>
        </w:tc>
      </w:tr>
      <w:tr w:rsidR="00EE49BD" w:rsidRPr="00170EF5" w14:paraId="3DC9254C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C9EFB59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2A1D889C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A0E8524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167FF6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7B797" w14:textId="26C71F46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8AF0AD" w14:textId="109E7A80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360 450 284,34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3FE801" w14:textId="40077B40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B428F6" w14:textId="7A10104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5941A7E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EE49BD" w:rsidRPr="00170EF5" w14:paraId="7B676F8C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8A8A00F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28115C48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D0E0129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4F54EA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7978BD" w14:textId="554D5F50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19BB6F" w14:textId="144E7315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360 450 284,34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3863D1" w14:textId="20A19923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5A489A" w14:textId="727CA981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A02990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0,00</w:t>
            </w:r>
          </w:p>
        </w:tc>
      </w:tr>
      <w:tr w:rsidR="00F22A4F" w:rsidRPr="00170EF5" w14:paraId="6F7C15F5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4A2F3FD3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11B06622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74AF015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právních služeb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92547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7F1DB" w14:textId="337FB93E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1628F7" w14:textId="45F2514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E4D5F" w14:textId="2C872303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498 280,00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AED7B" w14:textId="7C24A46C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9557BD2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498 280,00</w:t>
            </w:r>
          </w:p>
        </w:tc>
      </w:tr>
      <w:tr w:rsidR="00F22A4F" w:rsidRPr="00170EF5" w14:paraId="6852FEFC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6633CB6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281CCA64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8D219C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F6239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7E49E" w14:textId="24C4B3B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8A7F47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111 320,00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1A6A1" w14:textId="292ECC98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A22E2E" w14:textId="036BB2A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D25D52" w14:textId="55B12C1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7EA3119D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30CEE79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32258B7F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565646C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servisních služeb ICT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A628A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334A22" w14:textId="08F591DA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AFD9E3" w14:textId="4FE918B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46A3A4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20 416,50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00C40A" w14:textId="3C65C0A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C6D780B" w14:textId="601EA39D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20 416,50</w:t>
            </w:r>
          </w:p>
        </w:tc>
      </w:tr>
      <w:tr w:rsidR="00F22A4F" w:rsidRPr="00170EF5" w14:paraId="243B8E2E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0E7A926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6250ED0C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5A2C1D2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274AC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72CD16" w14:textId="269CABE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32C6B2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2 470 396,50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FD5E53" w14:textId="637B593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1870D0" w14:textId="0E1B6C5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ACD385" w14:textId="4D178CF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32730127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1BCA2DBD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364979E3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D5C538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Technické zhodnocení NM 77/0, odpisy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BC153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447AB" w14:textId="6B1981BD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197 000,40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AE6600" w14:textId="1B8786EC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C0A03" w14:textId="394FBF2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68B9E2" w14:textId="43646C6B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BAFCDB2" w14:textId="7EA0226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74A14A2F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10006B2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790D7FC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EAE596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65BAB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A7A775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197 000,40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D0028D" w14:textId="6053D77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ECD43" w14:textId="0B7D4C7E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56EDD" w14:textId="60EC3EF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54AE0DD" w14:textId="62383E4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149A9D1E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AA7ED59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47496E56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71AAE82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5A632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E56E08" w14:textId="22B92A1E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BB06A5" w14:textId="349186F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AA455" w14:textId="4D09E5AD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227 652,00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7F3A28" w14:textId="4DF3387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0E6E2E0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227 652,00</w:t>
            </w:r>
          </w:p>
        </w:tc>
      </w:tr>
      <w:tr w:rsidR="00F22A4F" w:rsidRPr="00170EF5" w14:paraId="02960F6B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A8A5767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7847B32D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1B1BE5B" w14:textId="06CA6123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Vyřazení majetku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09062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0FEC06" w14:textId="1CFD33C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DE75A7" w14:textId="38B7949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4487C" w14:textId="2B09B2EE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924 653,33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6D7518" w14:textId="75CC02A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C31EE76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924 653,33</w:t>
            </w:r>
          </w:p>
        </w:tc>
      </w:tr>
      <w:tr w:rsidR="00F22A4F" w:rsidRPr="00170EF5" w14:paraId="14ED79D7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1DA3A96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3C06679C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C1915B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2270E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D0F324" w14:textId="1A8F702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4 343 958,53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0C889E" w14:textId="2E8F8BE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E1D564" w14:textId="53F7DE4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C41574" w14:textId="67177288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D77B87E" w14:textId="0991A75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737AF01D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7567EC31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2EDD11C2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FEFFFD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F75CF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476B6E" w14:textId="33CDAFF0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F11DA6" w14:textId="74E3634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B361A" w14:textId="287E701F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111 219,00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278A9D" w14:textId="52647382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3FD9CF3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111 219,00</w:t>
            </w:r>
          </w:p>
        </w:tc>
      </w:tr>
      <w:tr w:rsidR="00F22A4F" w:rsidRPr="00170EF5" w14:paraId="76708F3B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4E5A8092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01033A95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EB1BED" w14:textId="6DDE6FB2" w:rsidR="00F22A4F" w:rsidRPr="00170EF5" w:rsidRDefault="00F22A4F" w:rsidP="006C67D6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Nepoužití 5 % zůstatkové ceny, chybné vyřazení majetku HM 833 a</w:t>
            </w:r>
            <w:r w:rsidR="006C67D6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HM</w:t>
            </w:r>
            <w:r w:rsidR="006C67D6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11 a špatné časové a věcné období u</w:t>
            </w:r>
            <w:r w:rsidR="006C67D6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HM 907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B3CFA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7EF4CC" w14:textId="72B01E7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8215DF" w14:textId="698D85B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DC4BB" w14:textId="448F36C1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333 729,00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C12707" w14:textId="754F5FDF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F03235D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333 729,00</w:t>
            </w:r>
          </w:p>
        </w:tc>
      </w:tr>
      <w:tr w:rsidR="00136F7A" w:rsidRPr="00170EF5" w14:paraId="106130D6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733D294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24" w:type="dxa"/>
            <w:gridSpan w:val="2"/>
            <w:shd w:val="clear" w:color="auto" w:fill="F2C6C9"/>
            <w:vAlign w:val="center"/>
            <w:hideMark/>
          </w:tcPr>
          <w:p w14:paraId="7A225340" w14:textId="77777777" w:rsidR="00136F7A" w:rsidRPr="00170EF5" w:rsidRDefault="00136F7A" w:rsidP="00170EF5">
            <w:pPr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7" w:type="dxa"/>
            <w:shd w:val="clear" w:color="auto" w:fill="F2C6C9"/>
            <w:vAlign w:val="center"/>
          </w:tcPr>
          <w:p w14:paraId="11E0B623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shd w:val="clear" w:color="auto" w:fill="F2C6C9"/>
            <w:vAlign w:val="center"/>
            <w:hideMark/>
          </w:tcPr>
          <w:p w14:paraId="74B8282A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17" w:type="dxa"/>
            <w:shd w:val="clear" w:color="auto" w:fill="F2C6C9"/>
            <w:vAlign w:val="center"/>
            <w:hideMark/>
          </w:tcPr>
          <w:p w14:paraId="57E9D016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2 581 716,50</w:t>
            </w:r>
          </w:p>
        </w:tc>
        <w:tc>
          <w:tcPr>
            <w:tcW w:w="1276" w:type="dxa"/>
            <w:shd w:val="clear" w:color="auto" w:fill="F2C6C9"/>
            <w:vAlign w:val="center"/>
            <w:hideMark/>
          </w:tcPr>
          <w:p w14:paraId="3FE0CD82" w14:textId="7FC09BCC" w:rsidR="00136F7A" w:rsidRPr="00170EF5" w:rsidRDefault="00A65ABE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136F7A"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2 075 116,83</w:t>
            </w:r>
          </w:p>
        </w:tc>
        <w:tc>
          <w:tcPr>
            <w:tcW w:w="1417" w:type="dxa"/>
            <w:shd w:val="clear" w:color="auto" w:fill="F2C6C9"/>
            <w:vAlign w:val="center"/>
            <w:hideMark/>
          </w:tcPr>
          <w:p w14:paraId="2E38D52F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242 510 916,00</w:t>
            </w:r>
          </w:p>
        </w:tc>
        <w:tc>
          <w:tcPr>
            <w:tcW w:w="1372" w:type="dxa"/>
            <w:shd w:val="clear" w:color="auto" w:fill="F2C6C9"/>
            <w:vAlign w:val="center"/>
            <w:hideMark/>
          </w:tcPr>
          <w:p w14:paraId="55574790" w14:textId="2DA7E278" w:rsidR="00136F7A" w:rsidRPr="00170EF5" w:rsidRDefault="00A65ABE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136F7A"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240 435 799,17</w:t>
            </w:r>
          </w:p>
        </w:tc>
      </w:tr>
      <w:tr w:rsidR="00EE49BD" w:rsidRPr="00170EF5" w14:paraId="44C782FF" w14:textId="77777777" w:rsidTr="00641916">
        <w:trPr>
          <w:trHeight w:val="227"/>
        </w:trPr>
        <w:tc>
          <w:tcPr>
            <w:tcW w:w="465" w:type="dxa"/>
            <w:vMerge w:val="restart"/>
            <w:shd w:val="clear" w:color="auto" w:fill="D9D9D9"/>
            <w:noWrap/>
            <w:vAlign w:val="center"/>
            <w:hideMark/>
          </w:tcPr>
          <w:p w14:paraId="7B9B4D31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2014</w:t>
            </w: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0FED4DA2" w14:textId="77777777" w:rsidR="00EE49BD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DC80B02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Mimorozpočtové prostředky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5B0653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0E5347" w14:textId="011DD62B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9D9C51" w14:textId="70ADCF50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29AE2" w14:textId="56F729E5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7C8034" w14:textId="0F5EA481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412 335 594,00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24F3C42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412 335 594,00</w:t>
            </w:r>
          </w:p>
        </w:tc>
      </w:tr>
      <w:tr w:rsidR="00EE49BD" w:rsidRPr="00170EF5" w14:paraId="4CC4685E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4F9545E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C266AEB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8E0B23B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225ABF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03F03" w14:textId="630F28E8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7DFFAC" w14:textId="57A129A4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6626B" w14:textId="5CC75EDB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BA8328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436 916 059,00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4658AB" w14:textId="4DE2B36A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436 916 059,00</w:t>
            </w:r>
          </w:p>
        </w:tc>
      </w:tr>
      <w:tr w:rsidR="00EE49BD" w:rsidRPr="00170EF5" w14:paraId="2D58C40B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25E4CC98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5589B304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EA58B74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E3A34D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CA9B8" w14:textId="678ECF13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07F57F" w14:textId="088960D0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406 338 712,19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61FA81" w14:textId="6CAAEBBC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D3F9F6" w14:textId="74227159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22916B3" w14:textId="68634C74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E49BD" w:rsidRPr="00170EF5" w14:paraId="20BDBB7E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4165ACF1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74A8764F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DCFAFF4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9E1C34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ACB469" w14:textId="4478F859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91D87E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406 338 712,19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B2407" w14:textId="6FDC51FC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11FA9B" w14:textId="724220B6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C7F2E2" w14:textId="6DEDE32C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6D6E051E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29CEA02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76E1ACCF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AAF8273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právních služeb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2C5C5B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FDC16" w14:textId="5A30EEF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0B0758" w14:textId="224C6DCC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57C29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102 590,00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18E56B" w14:textId="691CEC72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2262BDF" w14:textId="2229C27A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102 590,00</w:t>
            </w:r>
          </w:p>
        </w:tc>
      </w:tr>
      <w:tr w:rsidR="00F22A4F" w:rsidRPr="00170EF5" w14:paraId="5B35D792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0C73A73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661A0CA4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63D8A1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7A654A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8CA8B1" w14:textId="15A7BA3E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305BDA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102 590,00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093F5" w14:textId="5EA0946B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790F12" w14:textId="516ABA0A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B44030C" w14:textId="0670046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428DF2D3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B9BF1AD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68935A6E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8010CF8" w14:textId="77777777" w:rsidR="00F22A4F" w:rsidRPr="00170EF5" w:rsidRDefault="00691159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servisních služeb ICT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5B6C38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53905C" w14:textId="1266879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D60877" w14:textId="026B817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F9E69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93 598,34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3D128A" w14:textId="7152B07B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6FCFD4A" w14:textId="18C40A7B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93 598,34</w:t>
            </w:r>
          </w:p>
        </w:tc>
      </w:tr>
      <w:tr w:rsidR="00F22A4F" w:rsidRPr="00170EF5" w14:paraId="1F85ABDA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AA9548E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2D1DA58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62F823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D65259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1EEEE" w14:textId="0C49615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D80F0F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2 563 994,84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669D2" w14:textId="7628EEF2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D6800B" w14:textId="1B63A2AB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9FB0F46" w14:textId="58642B3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0D57E7DA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61E7F3E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3B045E71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A7E4A0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Technické zhodnocení NM 77/0, odpisy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FAA439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AC6DE" w14:textId="15DA1C6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2C1A46" w14:textId="6B801280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8D15C" w14:textId="44F4A5D0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244 887,00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849FC6" w14:textId="2B52A11A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3F2313E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244 887,00</w:t>
            </w:r>
          </w:p>
        </w:tc>
      </w:tr>
      <w:tr w:rsidR="00F22A4F" w:rsidRPr="00170EF5" w14:paraId="3E0D0237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0663EE3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6D872FC7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40D0AA" w14:textId="1BFB2BCD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Vyřazení majetku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1FD39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AC4A1A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4 139 882,10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A38B7C" w14:textId="0DCC2AA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AC4D3" w14:textId="6C8CC73E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CDB603" w14:textId="6FC4846A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4CC5606" w14:textId="6118D01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1E49B23C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141AD04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63B3D9AD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B2A50E" w14:textId="74BBD84A" w:rsidR="00F22A4F" w:rsidRPr="00170EF5" w:rsidRDefault="00F22A4F" w:rsidP="006C67D6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Nepoužití 5 % zůstatkové ceny, chybné vyřazení majetku HM 833 a</w:t>
            </w:r>
            <w:r w:rsidR="006C67D6">
              <w:rPr>
                <w:rFonts w:cs="Calibri"/>
                <w:color w:val="000000"/>
                <w:sz w:val="16"/>
                <w:szCs w:val="16"/>
                <w:lang w:eastAsia="cs-CZ"/>
              </w:rPr>
              <w:t> HM </w:t>
            </w: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11 a špatné časové a věcné období u HM 907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2D072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B36E66" w14:textId="0FF4E13F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9EEF63" w14:textId="4071F94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526283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376 224,00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9A0240" w14:textId="6F74753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4550FBE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-376 224,00</w:t>
            </w:r>
          </w:p>
        </w:tc>
      </w:tr>
      <w:tr w:rsidR="00136F7A" w:rsidRPr="00170EF5" w14:paraId="2DEAFC08" w14:textId="77777777" w:rsidTr="00C06D13">
        <w:trPr>
          <w:trHeight w:val="557"/>
        </w:trPr>
        <w:tc>
          <w:tcPr>
            <w:tcW w:w="46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0C4762D8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C6C9"/>
            <w:vAlign w:val="center"/>
            <w:hideMark/>
          </w:tcPr>
          <w:p w14:paraId="29A7B10B" w14:textId="77777777" w:rsidR="00136F7A" w:rsidRPr="00170EF5" w:rsidRDefault="00136F7A" w:rsidP="00170EF5">
            <w:pPr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C6C9"/>
            <w:vAlign w:val="center"/>
          </w:tcPr>
          <w:p w14:paraId="213FABCB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22AE5873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4 139 882,10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583F51E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2 666 584,84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025F425D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327 525,34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1B81A1AF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24 580 465,00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57247D62" w14:textId="600BD7C3" w:rsidR="00136F7A" w:rsidRPr="00170EF5" w:rsidRDefault="00A65ABE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136F7A"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24 907 990,34</w:t>
            </w:r>
          </w:p>
        </w:tc>
      </w:tr>
      <w:tr w:rsidR="00EE49BD" w:rsidRPr="00170EF5" w14:paraId="09E95ED8" w14:textId="77777777" w:rsidTr="00C06D13">
        <w:trPr>
          <w:trHeight w:val="227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D39A2C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lastRenderedPageBreak/>
              <w:t>2015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469B" w14:textId="77777777" w:rsidR="00EE49BD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7759C4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Mimorozpočtové prostředky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6330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D7A5" w14:textId="61C11B03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990E" w14:textId="48363B19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65D4" w14:textId="63861555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7B9D" w14:textId="77A6B958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437 352 792,00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0AC7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437 352 792,00</w:t>
            </w:r>
          </w:p>
        </w:tc>
      </w:tr>
      <w:tr w:rsidR="00EE49BD" w:rsidRPr="00170EF5" w14:paraId="0220BE1B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8E84355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616BFCED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6D30344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310225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602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C395B" w14:textId="29ED4342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A131D3" w14:textId="0E3A0B9A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1365C" w14:textId="63DBD781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8F1E92" w14:textId="7777777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452 200 725,00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F9494E3" w14:textId="663A9B2F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452 200 725,00</w:t>
            </w:r>
          </w:p>
        </w:tc>
      </w:tr>
      <w:tr w:rsidR="00EE49BD" w:rsidRPr="00170EF5" w14:paraId="39BA1F5C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D29CC2E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078AC74D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20C7D22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2968FA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D20C1" w14:textId="03E7516D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CE4F19" w14:textId="29044A6E" w:rsidR="00EE49BD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EE49BD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158 353 531,36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D5AC1" w14:textId="0777E9F2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4F94CC" w14:textId="1E569101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730C4B85" w14:textId="7A058DA7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E49BD" w:rsidRPr="00170EF5" w14:paraId="33FC182E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451D195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14:paraId="41E20DB5" w14:textId="77777777" w:rsidR="00EE49BD" w:rsidRPr="00170EF5" w:rsidRDefault="00EE49BD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34A4A9" w14:textId="77777777" w:rsidR="00EE49BD" w:rsidRPr="00170EF5" w:rsidRDefault="00EE49BD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9D9AF2" w14:textId="77777777" w:rsidR="00EE49BD" w:rsidRPr="00170EF5" w:rsidRDefault="00EE49BD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4E0E8E" w14:textId="42184C02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9132DA" w14:textId="3928CACF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158 353 531,36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8CA29" w14:textId="6CF9381F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504F20" w14:textId="2FEADDB2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5F85C5C" w14:textId="6047C6CF" w:rsidR="00EE49BD" w:rsidRPr="00170EF5" w:rsidRDefault="00EE49BD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1F28860D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9385F9F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 w:val="restart"/>
            <w:shd w:val="clear" w:color="auto" w:fill="auto"/>
            <w:noWrap/>
            <w:vAlign w:val="center"/>
            <w:hideMark/>
          </w:tcPr>
          <w:p w14:paraId="32B93878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II. bod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6B8280B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právních služeb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4D64E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FE63E7" w14:textId="3CA2E88A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B482C" w14:textId="50BFBAD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C7CC1" w14:textId="09C7240D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213 910,00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EAB782" w14:textId="666FB99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8E9CF6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213 910,00</w:t>
            </w:r>
          </w:p>
        </w:tc>
      </w:tr>
      <w:tr w:rsidR="00F22A4F" w:rsidRPr="00170EF5" w14:paraId="0A50106F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70AB5DC9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7939E9A4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C54212" w14:textId="77777777" w:rsidR="00F22A4F" w:rsidRPr="00170EF5" w:rsidRDefault="00691159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Poskytování servisních služeb ICT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4925E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FF438" w14:textId="67300735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78DA8A" w14:textId="38917A4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4C3F0" w14:textId="52E940F0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2 563 994,84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BDA5ED" w14:textId="400D09E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89369D6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2 563 994,84</w:t>
            </w:r>
          </w:p>
        </w:tc>
      </w:tr>
      <w:tr w:rsidR="00F22A4F" w:rsidRPr="00170EF5" w14:paraId="1A75351F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3C93360F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768DBF14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E8561B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Technické zhodnocení NM 77/0, odpisy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C1CC2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7F4E0" w14:textId="4F42A6E8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EA0A44" w14:textId="4B09FC0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8CB2F" w14:textId="6EDA2D16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250 632,00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B7CD47" w14:textId="5915978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5D4AD25E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250 632,00</w:t>
            </w:r>
          </w:p>
        </w:tc>
      </w:tr>
      <w:tr w:rsidR="00F22A4F" w:rsidRPr="00170EF5" w14:paraId="40380B19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1D8398FE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5C90FAA0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EBA85D" w14:textId="2C628509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Vyřazení majetku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A6C244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77734F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4 139 882,10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8F77E9" w14:textId="5A967B31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F81A29" w14:textId="5A00E73B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105BC2" w14:textId="6FB3B9DE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699CD22E" w14:textId="5CEE680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3FACB8C9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410E967F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67B06CDC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64D353F" w14:textId="411950B9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Manka a škody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09F5C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EE4E6F" w14:textId="033A98EF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43D324" w14:textId="7A09C67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7C540" w14:textId="7A9BBF05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21 003,00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26F26D" w14:textId="6410960F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52F390E" w14:textId="6B59968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5FF9C651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6039C3AB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vAlign w:val="center"/>
          </w:tcPr>
          <w:p w14:paraId="2314705B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22728DA" w14:textId="77777777" w:rsidR="00F22A4F" w:rsidRPr="00170EF5" w:rsidRDefault="00F22A4F" w:rsidP="00170EF5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70C37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C455E" w14:textId="66F104D9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7DE124" w14:textId="4753D512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3128C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21 003,00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5B5110" w14:textId="7621DE04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B41A23D" w14:textId="0C4F2E6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F22A4F" w:rsidRPr="00170EF5" w14:paraId="7ECED562" w14:textId="77777777" w:rsidTr="00C06D13">
        <w:trPr>
          <w:trHeight w:val="1229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0C39E832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23" w:type="dxa"/>
            <w:vMerge/>
            <w:shd w:val="clear" w:color="auto" w:fill="auto"/>
            <w:noWrap/>
            <w:vAlign w:val="center"/>
          </w:tcPr>
          <w:p w14:paraId="248D86AE" w14:textId="77777777" w:rsidR="00F22A4F" w:rsidRPr="00170EF5" w:rsidRDefault="00F22A4F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7483BF" w14:textId="63F36AE0" w:rsidR="00F22A4F" w:rsidRPr="00170EF5" w:rsidRDefault="00F22A4F" w:rsidP="006C67D6">
            <w:pPr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Nepoužití 5 % zůstatkové ceny, chybné vyřazení majetku HM 833 a</w:t>
            </w:r>
            <w:r w:rsidR="006C67D6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HM</w:t>
            </w:r>
            <w:r w:rsidR="006C67D6">
              <w:rPr>
                <w:rFonts w:cs="Calibri"/>
                <w:color w:val="000000"/>
                <w:sz w:val="16"/>
                <w:szCs w:val="16"/>
                <w:lang w:eastAsia="cs-CZ"/>
              </w:rPr>
              <w:t> </w:t>
            </w: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11 a špatné časové a věcné období u HM 907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F1B9D" w14:textId="77777777" w:rsidR="00F22A4F" w:rsidRPr="00170EF5" w:rsidRDefault="00F22A4F" w:rsidP="00170EF5">
            <w:pPr>
              <w:jc w:val="center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551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033F16" w14:textId="54B4BF86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97FBCB" w14:textId="35244CCD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37B8E" w14:textId="77777777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352 418,00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C7C423" w14:textId="4CA31523" w:rsidR="00F22A4F" w:rsidRPr="00170EF5" w:rsidRDefault="00F22A4F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1CBC4C7B" w14:textId="379A1CEF" w:rsidR="00F22A4F" w:rsidRPr="00170EF5" w:rsidRDefault="00A65ABE" w:rsidP="00170EF5">
            <w:pPr>
              <w:ind w:right="117"/>
              <w:jc w:val="right"/>
              <w:rPr>
                <w:rFonts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F22A4F" w:rsidRPr="00170EF5">
              <w:rPr>
                <w:rFonts w:cs="Calibri"/>
                <w:color w:val="000000"/>
                <w:sz w:val="16"/>
                <w:szCs w:val="16"/>
                <w:lang w:eastAsia="cs-CZ"/>
              </w:rPr>
              <w:t>352 418,00</w:t>
            </w:r>
          </w:p>
        </w:tc>
      </w:tr>
      <w:tr w:rsidR="00136F7A" w:rsidRPr="00170EF5" w14:paraId="3846F971" w14:textId="77777777" w:rsidTr="00641916">
        <w:trPr>
          <w:trHeight w:val="227"/>
        </w:trPr>
        <w:tc>
          <w:tcPr>
            <w:tcW w:w="465" w:type="dxa"/>
            <w:vMerge/>
            <w:shd w:val="clear" w:color="auto" w:fill="D9D9D9"/>
            <w:vAlign w:val="center"/>
            <w:hideMark/>
          </w:tcPr>
          <w:p w14:paraId="5FDD1479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24" w:type="dxa"/>
            <w:gridSpan w:val="2"/>
            <w:shd w:val="clear" w:color="auto" w:fill="F2C6C9"/>
            <w:vAlign w:val="center"/>
            <w:hideMark/>
          </w:tcPr>
          <w:p w14:paraId="3F675A2C" w14:textId="77777777" w:rsidR="00136F7A" w:rsidRPr="00170EF5" w:rsidRDefault="00136F7A" w:rsidP="00170EF5">
            <w:pPr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567" w:type="dxa"/>
            <w:shd w:val="clear" w:color="auto" w:fill="F2C6C9"/>
            <w:vAlign w:val="center"/>
          </w:tcPr>
          <w:p w14:paraId="7AFB1941" w14:textId="77777777" w:rsidR="00136F7A" w:rsidRPr="00170EF5" w:rsidRDefault="00136F7A" w:rsidP="00170EF5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shd w:val="clear" w:color="auto" w:fill="F2C6C9"/>
            <w:noWrap/>
            <w:vAlign w:val="center"/>
            <w:hideMark/>
          </w:tcPr>
          <w:p w14:paraId="0E04D990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4 139 882,10</w:t>
            </w: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6B1B2208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76" w:type="dxa"/>
            <w:shd w:val="clear" w:color="auto" w:fill="F2C6C9"/>
            <w:noWrap/>
            <w:vAlign w:val="center"/>
            <w:hideMark/>
          </w:tcPr>
          <w:p w14:paraId="0AF57A01" w14:textId="6C36C787" w:rsidR="00136F7A" w:rsidRPr="00170EF5" w:rsidRDefault="00A65ABE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136F7A"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2 676 118,84</w:t>
            </w:r>
          </w:p>
        </w:tc>
        <w:tc>
          <w:tcPr>
            <w:tcW w:w="1417" w:type="dxa"/>
            <w:shd w:val="clear" w:color="auto" w:fill="F2C6C9"/>
            <w:noWrap/>
            <w:vAlign w:val="center"/>
            <w:hideMark/>
          </w:tcPr>
          <w:p w14:paraId="06563DD3" w14:textId="77777777" w:rsidR="00136F7A" w:rsidRPr="00170EF5" w:rsidRDefault="00136F7A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14 847 933,00</w:t>
            </w:r>
          </w:p>
        </w:tc>
        <w:tc>
          <w:tcPr>
            <w:tcW w:w="1372" w:type="dxa"/>
            <w:shd w:val="clear" w:color="auto" w:fill="F2C6C9"/>
            <w:noWrap/>
            <w:vAlign w:val="center"/>
            <w:hideMark/>
          </w:tcPr>
          <w:p w14:paraId="358E89BD" w14:textId="3B6716ED" w:rsidR="00136F7A" w:rsidRPr="00170EF5" w:rsidRDefault="00A65ABE" w:rsidP="00170EF5">
            <w:pPr>
              <w:ind w:right="117"/>
              <w:jc w:val="right"/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cs-CZ"/>
              </w:rPr>
              <w:sym w:font="Symbol" w:char="F02D"/>
            </w:r>
            <w:r w:rsidR="00136F7A" w:rsidRPr="00170EF5">
              <w:rPr>
                <w:rFonts w:cs="Calibri"/>
                <w:bCs/>
                <w:color w:val="000000"/>
                <w:sz w:val="16"/>
                <w:szCs w:val="16"/>
                <w:lang w:eastAsia="cs-CZ"/>
              </w:rPr>
              <w:t>12 171 814,16</w:t>
            </w:r>
          </w:p>
        </w:tc>
      </w:tr>
    </w:tbl>
    <w:p w14:paraId="15DC3F77" w14:textId="20FCF477" w:rsidR="007F7A3D" w:rsidRPr="00346AFF" w:rsidRDefault="00B96EC5" w:rsidP="00170EF5">
      <w:pPr>
        <w:pStyle w:val="Zdroj"/>
        <w:spacing w:before="40"/>
        <w:rPr>
          <w:i w:val="0"/>
        </w:rPr>
      </w:pPr>
      <w:r w:rsidRPr="00346AFF">
        <w:rPr>
          <w:b/>
          <w:i w:val="0"/>
        </w:rPr>
        <w:t>Zdroj:</w:t>
      </w:r>
      <w:r w:rsidRPr="00346AFF">
        <w:rPr>
          <w:i w:val="0"/>
        </w:rPr>
        <w:t xml:space="preserve"> </w:t>
      </w:r>
      <w:r w:rsidR="006C67D6">
        <w:rPr>
          <w:i w:val="0"/>
        </w:rPr>
        <w:t>NKÚ z</w:t>
      </w:r>
      <w:r w:rsidRPr="00346AFF">
        <w:rPr>
          <w:i w:val="0"/>
        </w:rPr>
        <w:t>pracov</w:t>
      </w:r>
      <w:r w:rsidR="006C67D6">
        <w:rPr>
          <w:i w:val="0"/>
        </w:rPr>
        <w:t>al</w:t>
      </w:r>
      <w:r w:rsidRPr="00346AFF">
        <w:rPr>
          <w:i w:val="0"/>
        </w:rPr>
        <w:t xml:space="preserve"> na základě zjištěných účetních nesprávností</w:t>
      </w:r>
      <w:r w:rsidR="0043122B" w:rsidRPr="00346AFF">
        <w:rPr>
          <w:i w:val="0"/>
        </w:rPr>
        <w:t>.</w:t>
      </w:r>
    </w:p>
    <w:sectPr w:rsidR="007F7A3D" w:rsidRPr="00346AFF" w:rsidSect="00B24379">
      <w:headerReference w:type="default" r:id="rId20"/>
      <w:footerReference w:type="default" r:id="rId21"/>
      <w:pgSz w:w="11906" w:h="16838"/>
      <w:pgMar w:top="1418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6DC6" w14:textId="77777777" w:rsidR="002F0E8B" w:rsidRDefault="002F0E8B" w:rsidP="00716ABD">
      <w:r>
        <w:separator/>
      </w:r>
    </w:p>
  </w:endnote>
  <w:endnote w:type="continuationSeparator" w:id="0">
    <w:p w14:paraId="0798C5EC" w14:textId="77777777" w:rsidR="002F0E8B" w:rsidRDefault="002F0E8B" w:rsidP="00716ABD">
      <w:r>
        <w:continuationSeparator/>
      </w:r>
    </w:p>
  </w:endnote>
  <w:endnote w:type="continuationNotice" w:id="1">
    <w:p w14:paraId="666ACDC9" w14:textId="77777777" w:rsidR="002F0E8B" w:rsidRDefault="002F0E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5005"/>
      <w:docPartObj>
        <w:docPartGallery w:val="Page Numbers (Bottom of Page)"/>
        <w:docPartUnique/>
      </w:docPartObj>
    </w:sdtPr>
    <w:sdtEndPr/>
    <w:sdtContent>
      <w:p w14:paraId="0C86AB3B" w14:textId="5EA68711" w:rsidR="002F0E8B" w:rsidRPr="00B24379" w:rsidRDefault="002F0E8B" w:rsidP="00B243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B6C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782B2" w14:textId="77777777" w:rsidR="002F0E8B" w:rsidRDefault="002F0E8B" w:rsidP="00716ABD">
      <w:r>
        <w:separator/>
      </w:r>
    </w:p>
  </w:footnote>
  <w:footnote w:type="continuationSeparator" w:id="0">
    <w:p w14:paraId="5852E045" w14:textId="77777777" w:rsidR="002F0E8B" w:rsidRDefault="002F0E8B" w:rsidP="00716ABD">
      <w:r>
        <w:continuationSeparator/>
      </w:r>
    </w:p>
  </w:footnote>
  <w:footnote w:type="continuationNotice" w:id="1">
    <w:p w14:paraId="27177634" w14:textId="77777777" w:rsidR="002F0E8B" w:rsidRDefault="002F0E8B"/>
  </w:footnote>
  <w:footnote w:id="2">
    <w:p w14:paraId="315B2A13" w14:textId="0B040D2F" w:rsidR="002F0E8B" w:rsidRPr="00C13C8B" w:rsidRDefault="002F0E8B" w:rsidP="00D16D2C">
      <w:pPr>
        <w:pStyle w:val="Textpoznpodarou"/>
        <w:ind w:left="284" w:hanging="284"/>
        <w:jc w:val="both"/>
      </w:pPr>
      <w:r w:rsidRPr="00C13C8B">
        <w:rPr>
          <w:rStyle w:val="Znakapoznpodarou"/>
        </w:rPr>
        <w:footnoteRef/>
      </w:r>
      <w:r w:rsidRPr="00C13C8B">
        <w:t xml:space="preserve"> </w:t>
      </w:r>
      <w:r>
        <w:tab/>
      </w:r>
      <w:r w:rsidRPr="00C13C8B">
        <w:t>Zákon č. 378/2007 Sb., o léčivech a o změnách některých souvisejících zákonů (zákon o léčivech)</w:t>
      </w:r>
      <w:r>
        <w:t>.</w:t>
      </w:r>
    </w:p>
  </w:footnote>
  <w:footnote w:id="3">
    <w:p w14:paraId="297055BC" w14:textId="02ADA9AB" w:rsidR="002F0E8B" w:rsidRDefault="002F0E8B" w:rsidP="00D16D2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B0AB0">
        <w:t>Zákon č. 296/2008 Sb., o zajištění jakosti a bezpečnosti lidských tkání a buněk určených k použití u</w:t>
      </w:r>
      <w:r>
        <w:t xml:space="preserve"> člověka a o </w:t>
      </w:r>
      <w:r w:rsidRPr="000B0AB0">
        <w:t>změně souvisejících zákonů (zákon o lidských tkáních a buňkách)</w:t>
      </w:r>
      <w:r>
        <w:t>.</w:t>
      </w:r>
    </w:p>
  </w:footnote>
  <w:footnote w:id="4">
    <w:p w14:paraId="173D05AF" w14:textId="5792F48B" w:rsidR="002F0E8B" w:rsidRDefault="002F0E8B" w:rsidP="00D16D2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B0AB0">
        <w:t>Zákon č. 268/2014 Sb., o zdravotnických prostředcích a o změně zákona č. 634/2004 Sb., o správních poplatcích</w:t>
      </w:r>
      <w:r>
        <w:t>, ve znění pozdějších předpisů.</w:t>
      </w:r>
    </w:p>
  </w:footnote>
  <w:footnote w:id="5">
    <w:p w14:paraId="35BCEB5C" w14:textId="2B10912D" w:rsidR="002F0E8B" w:rsidRDefault="002F0E8B" w:rsidP="00D16D2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pravidla).</w:t>
      </w:r>
    </w:p>
  </w:footnote>
  <w:footnote w:id="6">
    <w:p w14:paraId="1169D9D8" w14:textId="7BEECC6C" w:rsidR="002F0E8B" w:rsidRDefault="002F0E8B" w:rsidP="00D16D2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71FCC">
        <w:t>Zákon č. 365/2000 Sb., o informačních systémech veřejné správy a o změně některých dalších zákonů</w:t>
      </w:r>
      <w:r>
        <w:t>.</w:t>
      </w:r>
    </w:p>
  </w:footnote>
  <w:footnote w:id="7">
    <w:p w14:paraId="24D6FD20" w14:textId="24E3F6C8" w:rsidR="002F0E8B" w:rsidRDefault="002F0E8B" w:rsidP="00D16D2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Vyhláška č. 529/2006 Sb., </w:t>
      </w:r>
      <w:r w:rsidRPr="00871FCC">
        <w:t>o požadavcích na strukturu a obsah informační ko</w:t>
      </w:r>
      <w:r>
        <w:t>ncepce a provozní dokumentace a </w:t>
      </w:r>
      <w:r w:rsidRPr="00871FCC">
        <w:t>o požadavcích na řízení bezpečnosti a kvality informačních sys</w:t>
      </w:r>
      <w:r>
        <w:t>témů veřejné správy (vyhláška o </w:t>
      </w:r>
      <w:r w:rsidRPr="00871FCC">
        <w:t>dlouhodobém řízení informačních systémů veřejné správy)</w:t>
      </w:r>
      <w:r>
        <w:t>.</w:t>
      </w:r>
    </w:p>
  </w:footnote>
  <w:footnote w:id="8">
    <w:p w14:paraId="66B97D4E" w14:textId="6795ECB6" w:rsidR="002F0E8B" w:rsidRPr="00D16D2C" w:rsidRDefault="002F0E8B" w:rsidP="00D16D2C">
      <w:pPr>
        <w:pStyle w:val="Textpoznpodarou"/>
        <w:ind w:left="284" w:hanging="284"/>
        <w:jc w:val="both"/>
        <w:rPr>
          <w:rFonts w:cs="Calibri"/>
        </w:rPr>
      </w:pPr>
      <w:r w:rsidRPr="00D16D2C">
        <w:rPr>
          <w:rStyle w:val="Znakapoznpodarou"/>
          <w:rFonts w:cs="Calibri"/>
        </w:rPr>
        <w:footnoteRef/>
      </w:r>
      <w:r w:rsidRPr="00D16D2C">
        <w:rPr>
          <w:rFonts w:cs="Calibri"/>
        </w:rPr>
        <w:t xml:space="preserve"> </w:t>
      </w:r>
      <w:r>
        <w:rPr>
          <w:rFonts w:cs="Calibri"/>
        </w:rPr>
        <w:tab/>
      </w:r>
      <w:r w:rsidRPr="00D16D2C">
        <w:rPr>
          <w:rFonts w:cs="Calibri"/>
        </w:rPr>
        <w:t xml:space="preserve">Zákon č. 378/2007 Sb. ukládá s účinností od 1. 1. 2018 povinnost vystavovat lékařské předpisy v elektronické podobě. Vystavení lékařského předpisu v listinné podobě bude přípustné jen výjimečně z objektivních důvodů. (viz </w:t>
      </w:r>
      <w:r>
        <w:rPr>
          <w:rFonts w:cs="Calibri"/>
        </w:rPr>
        <w:t>z</w:t>
      </w:r>
      <w:r w:rsidRPr="00D16D2C">
        <w:rPr>
          <w:rFonts w:cs="Calibri"/>
        </w:rPr>
        <w:t>ákon č. 70/2013 Sb., kterým se mění zákon č. 378/2007 Sb., o léčivech a o změnách některých souvisejících zákonů (zákon o léčivech), ve znění pozdějších předpisů).</w:t>
      </w:r>
    </w:p>
  </w:footnote>
  <w:footnote w:id="9">
    <w:p w14:paraId="4FA3EBFC" w14:textId="1F606F1E" w:rsidR="002F0E8B" w:rsidRPr="00D16D2C" w:rsidRDefault="002F0E8B" w:rsidP="008B1EA4">
      <w:pPr>
        <w:pStyle w:val="Textpoznpodarou"/>
        <w:ind w:left="284" w:hanging="284"/>
        <w:jc w:val="both"/>
        <w:rPr>
          <w:rFonts w:cs="Calibri"/>
        </w:rPr>
      </w:pPr>
      <w:r w:rsidRPr="00D16D2C">
        <w:rPr>
          <w:rStyle w:val="Znakapoznpodarou"/>
          <w:rFonts w:cs="Calibri"/>
        </w:rPr>
        <w:footnoteRef/>
      </w:r>
      <w:r w:rsidRPr="00D16D2C">
        <w:rPr>
          <w:rFonts w:cs="Calibri"/>
        </w:rPr>
        <w:t xml:space="preserve"> </w:t>
      </w:r>
      <w:r>
        <w:rPr>
          <w:rFonts w:cs="Calibri"/>
        </w:rPr>
        <w:tab/>
      </w:r>
      <w:r w:rsidRPr="00D16D2C">
        <w:rPr>
          <w:rFonts w:cs="Calibri"/>
        </w:rPr>
        <w:t>Zákon č. 121/2000 Sb., o právu autorském, o právech souvisejících s právem autorským a o změně některých zákonů (autorský zákon).</w:t>
      </w:r>
    </w:p>
  </w:footnote>
  <w:footnote w:id="10">
    <w:p w14:paraId="7508FA84" w14:textId="1EF755F6" w:rsidR="002F0E8B" w:rsidRPr="00D16D2C" w:rsidRDefault="002F0E8B" w:rsidP="00D16D2C">
      <w:pPr>
        <w:pStyle w:val="Textpoznpodarou"/>
        <w:ind w:left="284" w:hanging="284"/>
        <w:jc w:val="both"/>
        <w:rPr>
          <w:rFonts w:cs="Calibri"/>
        </w:rPr>
      </w:pPr>
      <w:r w:rsidRPr="00D16D2C">
        <w:rPr>
          <w:rStyle w:val="Znakapoznpodarou"/>
          <w:rFonts w:eastAsiaTheme="majorEastAsia" w:cs="Calibri"/>
        </w:rPr>
        <w:footnoteRef/>
      </w:r>
      <w:r w:rsidRPr="00D16D2C">
        <w:rPr>
          <w:rFonts w:cs="Calibri"/>
        </w:rPr>
        <w:t xml:space="preserve"> </w:t>
      </w:r>
      <w:r>
        <w:rPr>
          <w:rFonts w:cs="Calibri"/>
        </w:rPr>
        <w:tab/>
      </w:r>
      <w:r w:rsidRPr="00D16D2C">
        <w:rPr>
          <w:rFonts w:cs="Calibri"/>
        </w:rPr>
        <w:t>Zákon č. 320/2001 Sb., o finanční kontrole ve veřejné správě a o změně některých zákonů (zákon o finanční kontrole).</w:t>
      </w:r>
    </w:p>
  </w:footnote>
  <w:footnote w:id="11">
    <w:p w14:paraId="5BEB3D7D" w14:textId="31C08AF9" w:rsidR="002F0E8B" w:rsidRDefault="002F0E8B" w:rsidP="002B7A3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81/2006 Sb., </w:t>
      </w:r>
      <w:r w:rsidRPr="00105C4A">
        <w:t>kterým se mění zákon č. 365/2000 Sb., o informační</w:t>
      </w:r>
      <w:r>
        <w:t>ch systémech veřejné správy a o </w:t>
      </w:r>
      <w:r w:rsidRPr="00105C4A">
        <w:t>změně některých dalších zákonů, ve znění pozdějších předpisů, a další související zákony</w:t>
      </w:r>
      <w:r>
        <w:t>.</w:t>
      </w:r>
    </w:p>
  </w:footnote>
  <w:footnote w:id="12">
    <w:p w14:paraId="56FAED0F" w14:textId="1FCBFF18" w:rsidR="002F0E8B" w:rsidRDefault="002F0E8B" w:rsidP="00815EA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CÚER nebo také</w:t>
      </w:r>
      <w:r w:rsidRPr="00B72DCF">
        <w:t xml:space="preserve"> </w:t>
      </w:r>
      <w:proofErr w:type="spellStart"/>
      <w:r w:rsidRPr="00B72DCF">
        <w:t>eRecept</w:t>
      </w:r>
      <w:proofErr w:type="spellEnd"/>
      <w:r w:rsidRPr="00B72DCF">
        <w:t xml:space="preserve"> (</w:t>
      </w:r>
      <w:r>
        <w:t>e</w:t>
      </w:r>
      <w:r w:rsidRPr="00B72DCF">
        <w:t xml:space="preserve">lektronický recept) či </w:t>
      </w:r>
      <w:proofErr w:type="spellStart"/>
      <w:r w:rsidRPr="00B72DCF">
        <w:t>eRp</w:t>
      </w:r>
      <w:proofErr w:type="spellEnd"/>
      <w:r>
        <w:t xml:space="preserve"> –</w:t>
      </w:r>
      <w:r w:rsidRPr="00B72DCF">
        <w:t xml:space="preserve"> </w:t>
      </w:r>
      <w:r>
        <w:t>a</w:t>
      </w:r>
      <w:r w:rsidRPr="00B72DCF">
        <w:t xml:space="preserve">plikační systém </w:t>
      </w:r>
      <w:proofErr w:type="spellStart"/>
      <w:r w:rsidRPr="00B72DCF">
        <w:t>eRecept</w:t>
      </w:r>
      <w:proofErr w:type="spellEnd"/>
      <w:r>
        <w:t>.</w:t>
      </w:r>
    </w:p>
  </w:footnote>
  <w:footnote w:id="13">
    <w:p w14:paraId="75C05AEC" w14:textId="114F5061" w:rsidR="002F0E8B" w:rsidRDefault="002F0E8B" w:rsidP="002B7A3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Předběžné opatření Městského soudu v Praze bylo vydáno </w:t>
      </w:r>
      <w:r w:rsidRPr="00A53F5A">
        <w:t>na návrh společnosti zajišťující servis</w:t>
      </w:r>
      <w:r>
        <w:t>ní podporu CÚER do 31. 10. 2015 (dodavatel „B“).</w:t>
      </w:r>
    </w:p>
  </w:footnote>
  <w:footnote w:id="14">
    <w:p w14:paraId="1190CFD4" w14:textId="35203FD2" w:rsidR="002F0E8B" w:rsidRDefault="002F0E8B" w:rsidP="008B1EA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Smlouvy č. 14/16 a 15/16 uzavřel SÚKL s původním dodavatelem, který vytvořil a provozoval CÚER na základě smlouvy č. 10/09 do roku 2012 (dodavatel „A“).</w:t>
      </w:r>
    </w:p>
  </w:footnote>
  <w:footnote w:id="15">
    <w:p w14:paraId="6B265E35" w14:textId="777AEFAB" w:rsidR="002F0E8B" w:rsidRDefault="002F0E8B" w:rsidP="00BA77B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137/2006 Sb., o veřejných zakázkách.</w:t>
      </w:r>
    </w:p>
  </w:footnote>
  <w:footnote w:id="16">
    <w:p w14:paraId="5C8A5083" w14:textId="7D97E96E" w:rsidR="002F0E8B" w:rsidRPr="002B7A34" w:rsidRDefault="002F0E8B" w:rsidP="002B7A34">
      <w:pPr>
        <w:pStyle w:val="Textpoznpodarou"/>
        <w:ind w:left="284" w:hanging="284"/>
        <w:jc w:val="both"/>
        <w:rPr>
          <w:rFonts w:cs="Calibri"/>
        </w:rPr>
      </w:pPr>
      <w:r w:rsidRPr="002B7A34">
        <w:rPr>
          <w:rStyle w:val="Znakapoznpodarou"/>
          <w:rFonts w:cs="Calibri"/>
        </w:rPr>
        <w:footnoteRef/>
      </w:r>
      <w:r w:rsidRPr="002B7A34">
        <w:rPr>
          <w:rFonts w:cs="Calibri"/>
        </w:rPr>
        <w:t xml:space="preserve"> </w:t>
      </w:r>
      <w:r>
        <w:rPr>
          <w:rFonts w:cs="Calibri"/>
        </w:rPr>
        <w:tab/>
      </w:r>
      <w:r w:rsidRPr="002B7A34">
        <w:rPr>
          <w:rFonts w:cs="Calibri"/>
        </w:rPr>
        <w:t>V prosinci 2016 byly s novým dodavatelem uzavřeny smlouvy o dílo a o poskytování servisní podpor</w:t>
      </w:r>
      <w:r>
        <w:rPr>
          <w:rFonts w:cs="Calibri"/>
        </w:rPr>
        <w:t>y a </w:t>
      </w:r>
      <w:r w:rsidRPr="002B7A34">
        <w:rPr>
          <w:rFonts w:cs="Calibri"/>
        </w:rPr>
        <w:t xml:space="preserve">zajištění rozvoje informačního systému </w:t>
      </w:r>
      <w:proofErr w:type="spellStart"/>
      <w:r w:rsidRPr="002B7A34">
        <w:rPr>
          <w:rFonts w:cs="Calibri"/>
        </w:rPr>
        <w:t>e</w:t>
      </w:r>
      <w:r>
        <w:rPr>
          <w:rFonts w:cs="Calibri"/>
        </w:rPr>
        <w:t>R</w:t>
      </w:r>
      <w:r w:rsidRPr="002B7A34">
        <w:rPr>
          <w:rFonts w:cs="Calibri"/>
        </w:rPr>
        <w:t>ecept</w:t>
      </w:r>
      <w:proofErr w:type="spellEnd"/>
      <w:r w:rsidRPr="002B7A34">
        <w:rPr>
          <w:rFonts w:cs="Calibri"/>
        </w:rPr>
        <w:t xml:space="preserve"> na 48 měsíců.</w:t>
      </w:r>
    </w:p>
  </w:footnote>
  <w:footnote w:id="17">
    <w:p w14:paraId="3CFA9B65" w14:textId="44C9069F" w:rsidR="002F0E8B" w:rsidRDefault="002F0E8B" w:rsidP="002B7A3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Zákon č. 219/2000 Sb., o majetku České republiky a jejím vystupování v právních vztazích.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ACEF" w14:textId="77777777" w:rsidR="002F0E8B" w:rsidRDefault="002F0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A53"/>
    <w:multiLevelType w:val="hybridMultilevel"/>
    <w:tmpl w:val="0A6C4F56"/>
    <w:lvl w:ilvl="0" w:tplc="040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5F74FB"/>
    <w:multiLevelType w:val="hybridMultilevel"/>
    <w:tmpl w:val="9D9CE734"/>
    <w:lvl w:ilvl="0" w:tplc="C2EC6D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1B1D"/>
    <w:multiLevelType w:val="hybridMultilevel"/>
    <w:tmpl w:val="AEAEE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458"/>
    <w:multiLevelType w:val="hybridMultilevel"/>
    <w:tmpl w:val="260C12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508F"/>
    <w:multiLevelType w:val="hybridMultilevel"/>
    <w:tmpl w:val="AF725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0BA"/>
    <w:multiLevelType w:val="hybridMultilevel"/>
    <w:tmpl w:val="15908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6C90"/>
    <w:multiLevelType w:val="hybridMultilevel"/>
    <w:tmpl w:val="3B3E099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00C14B8"/>
    <w:multiLevelType w:val="hybridMultilevel"/>
    <w:tmpl w:val="3CF28F34"/>
    <w:lvl w:ilvl="0" w:tplc="66205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595"/>
      </w:rPr>
    </w:lvl>
    <w:lvl w:ilvl="1" w:tplc="4D5EA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4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4C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06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87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0D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5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54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E0ABB"/>
    <w:multiLevelType w:val="hybridMultilevel"/>
    <w:tmpl w:val="B7D2A460"/>
    <w:lvl w:ilvl="0" w:tplc="7DAE0F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color w:val="004595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2F3D2A"/>
    <w:multiLevelType w:val="hybridMultilevel"/>
    <w:tmpl w:val="CAD01DC6"/>
    <w:lvl w:ilvl="0" w:tplc="469671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829F7"/>
    <w:multiLevelType w:val="hybridMultilevel"/>
    <w:tmpl w:val="14207DC8"/>
    <w:lvl w:ilvl="0" w:tplc="C2EC6D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D0560"/>
    <w:multiLevelType w:val="hybridMultilevel"/>
    <w:tmpl w:val="CD38887A"/>
    <w:lvl w:ilvl="0" w:tplc="7DAE0F74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2" w15:restartNumberingAfterBreak="0">
    <w:nsid w:val="335E5CD8"/>
    <w:multiLevelType w:val="hybridMultilevel"/>
    <w:tmpl w:val="06902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7764B"/>
    <w:multiLevelType w:val="hybridMultilevel"/>
    <w:tmpl w:val="E4D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108D"/>
    <w:multiLevelType w:val="hybridMultilevel"/>
    <w:tmpl w:val="F866FE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D3756"/>
    <w:multiLevelType w:val="hybridMultilevel"/>
    <w:tmpl w:val="A5BA39CC"/>
    <w:lvl w:ilvl="0" w:tplc="AAF87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95"/>
      </w:rPr>
    </w:lvl>
    <w:lvl w:ilvl="1" w:tplc="C0565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50F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AA55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562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6A5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B674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9E29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86B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F601DF"/>
    <w:multiLevelType w:val="hybridMultilevel"/>
    <w:tmpl w:val="F654B7A0"/>
    <w:lvl w:ilvl="0" w:tplc="33A84288">
      <w:start w:val="2015"/>
      <w:numFmt w:val="bullet"/>
      <w:lvlText w:val="-"/>
      <w:lvlJc w:val="left"/>
      <w:pPr>
        <w:ind w:left="10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 w15:restartNumberingAfterBreak="0">
    <w:nsid w:val="3CB4026D"/>
    <w:multiLevelType w:val="hybridMultilevel"/>
    <w:tmpl w:val="BF5A51C2"/>
    <w:lvl w:ilvl="0" w:tplc="F8F0B5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D2A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61F95"/>
    <w:multiLevelType w:val="hybridMultilevel"/>
    <w:tmpl w:val="756C22D0"/>
    <w:lvl w:ilvl="0" w:tplc="AB94E54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44432D8" w:tentative="1">
      <w:start w:val="1"/>
      <w:numFmt w:val="lowerLetter"/>
      <w:lvlText w:val="%2."/>
      <w:lvlJc w:val="left"/>
      <w:pPr>
        <w:ind w:left="1505" w:hanging="360"/>
      </w:pPr>
    </w:lvl>
    <w:lvl w:ilvl="2" w:tplc="198C7A06" w:tentative="1">
      <w:start w:val="1"/>
      <w:numFmt w:val="lowerRoman"/>
      <w:lvlText w:val="%3."/>
      <w:lvlJc w:val="right"/>
      <w:pPr>
        <w:ind w:left="2225" w:hanging="180"/>
      </w:pPr>
    </w:lvl>
    <w:lvl w:ilvl="3" w:tplc="AF9438EE" w:tentative="1">
      <w:start w:val="1"/>
      <w:numFmt w:val="decimal"/>
      <w:lvlText w:val="%4."/>
      <w:lvlJc w:val="left"/>
      <w:pPr>
        <w:ind w:left="2945" w:hanging="360"/>
      </w:pPr>
    </w:lvl>
    <w:lvl w:ilvl="4" w:tplc="691CDA50" w:tentative="1">
      <w:start w:val="1"/>
      <w:numFmt w:val="lowerLetter"/>
      <w:lvlText w:val="%5."/>
      <w:lvlJc w:val="left"/>
      <w:pPr>
        <w:ind w:left="3665" w:hanging="360"/>
      </w:pPr>
    </w:lvl>
    <w:lvl w:ilvl="5" w:tplc="E544E002" w:tentative="1">
      <w:start w:val="1"/>
      <w:numFmt w:val="lowerRoman"/>
      <w:lvlText w:val="%6."/>
      <w:lvlJc w:val="right"/>
      <w:pPr>
        <w:ind w:left="4385" w:hanging="180"/>
      </w:pPr>
    </w:lvl>
    <w:lvl w:ilvl="6" w:tplc="66A6710C" w:tentative="1">
      <w:start w:val="1"/>
      <w:numFmt w:val="decimal"/>
      <w:lvlText w:val="%7."/>
      <w:lvlJc w:val="left"/>
      <w:pPr>
        <w:ind w:left="5105" w:hanging="360"/>
      </w:pPr>
    </w:lvl>
    <w:lvl w:ilvl="7" w:tplc="42DE96AE" w:tentative="1">
      <w:start w:val="1"/>
      <w:numFmt w:val="lowerLetter"/>
      <w:lvlText w:val="%8."/>
      <w:lvlJc w:val="left"/>
      <w:pPr>
        <w:ind w:left="5825" w:hanging="360"/>
      </w:pPr>
    </w:lvl>
    <w:lvl w:ilvl="8" w:tplc="34A88C9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1EF3A80"/>
    <w:multiLevelType w:val="hybridMultilevel"/>
    <w:tmpl w:val="01D49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82575"/>
    <w:multiLevelType w:val="hybridMultilevel"/>
    <w:tmpl w:val="4516C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66A37"/>
    <w:multiLevelType w:val="hybridMultilevel"/>
    <w:tmpl w:val="EB166434"/>
    <w:lvl w:ilvl="0" w:tplc="C2EC6D7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004595"/>
      </w:rPr>
    </w:lvl>
    <w:lvl w:ilvl="1" w:tplc="02C0E5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CD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4E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C4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8E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A4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A2D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32B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B3E97"/>
    <w:multiLevelType w:val="hybridMultilevel"/>
    <w:tmpl w:val="B7BC5544"/>
    <w:lvl w:ilvl="0" w:tplc="894C8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5A36"/>
    <w:multiLevelType w:val="hybridMultilevel"/>
    <w:tmpl w:val="0F1CE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C42"/>
    <w:multiLevelType w:val="hybridMultilevel"/>
    <w:tmpl w:val="85F8FA72"/>
    <w:lvl w:ilvl="0" w:tplc="C2EC6D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3C3E60"/>
    <w:multiLevelType w:val="hybridMultilevel"/>
    <w:tmpl w:val="6C66F3AE"/>
    <w:lvl w:ilvl="0" w:tplc="C2EC6D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28360D"/>
    <w:multiLevelType w:val="hybridMultilevel"/>
    <w:tmpl w:val="8968F6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5A9A"/>
    <w:multiLevelType w:val="hybridMultilevel"/>
    <w:tmpl w:val="3662C86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0911456"/>
    <w:multiLevelType w:val="hybridMultilevel"/>
    <w:tmpl w:val="9D5450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14227A1"/>
    <w:multiLevelType w:val="hybridMultilevel"/>
    <w:tmpl w:val="1CC4DAE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1C83CB1"/>
    <w:multiLevelType w:val="hybridMultilevel"/>
    <w:tmpl w:val="FD2A0204"/>
    <w:lvl w:ilvl="0" w:tplc="CC7C3A7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4595"/>
      </w:rPr>
    </w:lvl>
    <w:lvl w:ilvl="1" w:tplc="3F78535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92AA0EAC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0AEEB9C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51A20D8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E206A2DE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A14122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99E684B4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83EC77DE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5277784A"/>
    <w:multiLevelType w:val="hybridMultilevel"/>
    <w:tmpl w:val="C3703612"/>
    <w:lvl w:ilvl="0" w:tplc="50A2E9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50380"/>
    <w:multiLevelType w:val="hybridMultilevel"/>
    <w:tmpl w:val="B656B088"/>
    <w:lvl w:ilvl="0" w:tplc="CA829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6013"/>
    <w:multiLevelType w:val="hybridMultilevel"/>
    <w:tmpl w:val="27A66ABA"/>
    <w:lvl w:ilvl="0" w:tplc="7C460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43CFD"/>
    <w:multiLevelType w:val="hybridMultilevel"/>
    <w:tmpl w:val="F808F242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742463"/>
    <w:multiLevelType w:val="hybridMultilevel"/>
    <w:tmpl w:val="3EF0CB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D247201"/>
    <w:multiLevelType w:val="hybridMultilevel"/>
    <w:tmpl w:val="3C0ACDBC"/>
    <w:lvl w:ilvl="0" w:tplc="4E7EC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595"/>
      </w:rPr>
    </w:lvl>
    <w:lvl w:ilvl="1" w:tplc="10D653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E1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43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8FB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1E3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EC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47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26B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01874"/>
    <w:multiLevelType w:val="hybridMultilevel"/>
    <w:tmpl w:val="7A70A37C"/>
    <w:lvl w:ilvl="0" w:tplc="C2EC6D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D03C7"/>
    <w:multiLevelType w:val="hybridMultilevel"/>
    <w:tmpl w:val="839ECB6C"/>
    <w:lvl w:ilvl="0" w:tplc="6B6EFC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D2A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A5240"/>
    <w:multiLevelType w:val="hybridMultilevel"/>
    <w:tmpl w:val="661A5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26FB5"/>
    <w:multiLevelType w:val="hybridMultilevel"/>
    <w:tmpl w:val="F8D49374"/>
    <w:lvl w:ilvl="0" w:tplc="C2EC6D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4595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C84F59"/>
    <w:multiLevelType w:val="hybridMultilevel"/>
    <w:tmpl w:val="FA9E3EF6"/>
    <w:lvl w:ilvl="0" w:tplc="F8380660">
      <w:start w:val="1"/>
      <w:numFmt w:val="bullet"/>
      <w:lvlText w:val="–"/>
      <w:lvlJc w:val="left"/>
      <w:pPr>
        <w:ind w:left="1004" w:hanging="360"/>
      </w:pPr>
      <w:rPr>
        <w:rFonts w:asciiTheme="minorHAnsi" w:eastAsia="Times New Roman" w:hAnsiTheme="minorHAnsi" w:cs="Times New Roman" w:hint="default"/>
        <w:b/>
        <w:color w:val="004595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7AF5F88"/>
    <w:multiLevelType w:val="hybridMultilevel"/>
    <w:tmpl w:val="04988012"/>
    <w:lvl w:ilvl="0" w:tplc="B69615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BD2A33"/>
      </w:rPr>
    </w:lvl>
    <w:lvl w:ilvl="1" w:tplc="7BFA86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D2A33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92DF6"/>
    <w:multiLevelType w:val="multilevel"/>
    <w:tmpl w:val="FD5095E8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96345C6"/>
    <w:multiLevelType w:val="hybridMultilevel"/>
    <w:tmpl w:val="053E8F0A"/>
    <w:lvl w:ilvl="0" w:tplc="BBF8A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95D79"/>
    <w:multiLevelType w:val="hybridMultilevel"/>
    <w:tmpl w:val="74B47FEE"/>
    <w:lvl w:ilvl="0" w:tplc="7540A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595"/>
      </w:rPr>
    </w:lvl>
    <w:lvl w:ilvl="1" w:tplc="4F226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82C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8D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64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C1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E9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A6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66A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A48A9"/>
    <w:multiLevelType w:val="hybridMultilevel"/>
    <w:tmpl w:val="6A1AC802"/>
    <w:lvl w:ilvl="0" w:tplc="69C8C014">
      <w:start w:val="1"/>
      <w:numFmt w:val="bullet"/>
      <w:lvlText w:val="–"/>
      <w:lvlJc w:val="left"/>
      <w:pPr>
        <w:ind w:left="720" w:hanging="360"/>
      </w:pPr>
      <w:rPr>
        <w:rFonts w:asciiTheme="minorHAnsi" w:eastAsia="Times New Roman" w:hAnsiTheme="minorHAnsi" w:cs="Times New Roman" w:hint="default"/>
        <w:b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432D5A"/>
    <w:multiLevelType w:val="hybridMultilevel"/>
    <w:tmpl w:val="810AD07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4F647C6"/>
    <w:multiLevelType w:val="hybridMultilevel"/>
    <w:tmpl w:val="8640EA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718D2"/>
    <w:multiLevelType w:val="hybridMultilevel"/>
    <w:tmpl w:val="A992CE1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9313108"/>
    <w:multiLevelType w:val="hybridMultilevel"/>
    <w:tmpl w:val="7938C852"/>
    <w:lvl w:ilvl="0" w:tplc="9D0C3AC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459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F32440"/>
    <w:multiLevelType w:val="hybridMultilevel"/>
    <w:tmpl w:val="A90A7816"/>
    <w:lvl w:ilvl="0" w:tplc="6D549B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636F5"/>
    <w:multiLevelType w:val="hybridMultilevel"/>
    <w:tmpl w:val="E2161E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8"/>
  </w:num>
  <w:num w:numId="3">
    <w:abstractNumId w:val="16"/>
  </w:num>
  <w:num w:numId="4">
    <w:abstractNumId w:val="13"/>
  </w:num>
  <w:num w:numId="5">
    <w:abstractNumId w:val="0"/>
  </w:num>
  <w:num w:numId="6">
    <w:abstractNumId w:val="2"/>
  </w:num>
  <w:num w:numId="7">
    <w:abstractNumId w:val="29"/>
  </w:num>
  <w:num w:numId="8">
    <w:abstractNumId w:val="7"/>
  </w:num>
  <w:num w:numId="9">
    <w:abstractNumId w:val="30"/>
  </w:num>
  <w:num w:numId="10">
    <w:abstractNumId w:val="45"/>
  </w:num>
  <w:num w:numId="11">
    <w:abstractNumId w:val="15"/>
  </w:num>
  <w:num w:numId="12">
    <w:abstractNumId w:val="21"/>
  </w:num>
  <w:num w:numId="13">
    <w:abstractNumId w:val="36"/>
  </w:num>
  <w:num w:numId="14">
    <w:abstractNumId w:val="4"/>
  </w:num>
  <w:num w:numId="15">
    <w:abstractNumId w:val="22"/>
  </w:num>
  <w:num w:numId="16">
    <w:abstractNumId w:val="42"/>
  </w:num>
  <w:num w:numId="17">
    <w:abstractNumId w:val="17"/>
  </w:num>
  <w:num w:numId="18">
    <w:abstractNumId w:val="38"/>
  </w:num>
  <w:num w:numId="19">
    <w:abstractNumId w:val="6"/>
  </w:num>
  <w:num w:numId="20">
    <w:abstractNumId w:val="51"/>
  </w:num>
  <w:num w:numId="21">
    <w:abstractNumId w:val="50"/>
  </w:num>
  <w:num w:numId="22">
    <w:abstractNumId w:val="44"/>
  </w:num>
  <w:num w:numId="23">
    <w:abstractNumId w:val="46"/>
  </w:num>
  <w:num w:numId="24">
    <w:abstractNumId w:val="1"/>
  </w:num>
  <w:num w:numId="25">
    <w:abstractNumId w:val="10"/>
  </w:num>
  <w:num w:numId="26">
    <w:abstractNumId w:val="47"/>
  </w:num>
  <w:num w:numId="27">
    <w:abstractNumId w:val="40"/>
  </w:num>
  <w:num w:numId="28">
    <w:abstractNumId w:val="24"/>
  </w:num>
  <w:num w:numId="29">
    <w:abstractNumId w:val="25"/>
  </w:num>
  <w:num w:numId="30">
    <w:abstractNumId w:val="33"/>
  </w:num>
  <w:num w:numId="31">
    <w:abstractNumId w:val="9"/>
  </w:num>
  <w:num w:numId="32">
    <w:abstractNumId w:val="31"/>
  </w:num>
  <w:num w:numId="33">
    <w:abstractNumId w:val="32"/>
  </w:num>
  <w:num w:numId="34">
    <w:abstractNumId w:val="37"/>
  </w:num>
  <w:num w:numId="35">
    <w:abstractNumId w:val="41"/>
  </w:num>
  <w:num w:numId="36">
    <w:abstractNumId w:val="28"/>
  </w:num>
  <w:num w:numId="37">
    <w:abstractNumId w:val="27"/>
  </w:num>
  <w:num w:numId="38">
    <w:abstractNumId w:val="19"/>
  </w:num>
  <w:num w:numId="39">
    <w:abstractNumId w:val="39"/>
  </w:num>
  <w:num w:numId="40">
    <w:abstractNumId w:val="23"/>
  </w:num>
  <w:num w:numId="41">
    <w:abstractNumId w:val="8"/>
  </w:num>
  <w:num w:numId="42">
    <w:abstractNumId w:val="34"/>
  </w:num>
  <w:num w:numId="43">
    <w:abstractNumId w:val="35"/>
  </w:num>
  <w:num w:numId="44">
    <w:abstractNumId w:val="49"/>
  </w:num>
  <w:num w:numId="45">
    <w:abstractNumId w:val="5"/>
  </w:num>
  <w:num w:numId="46">
    <w:abstractNumId w:val="12"/>
  </w:num>
  <w:num w:numId="47">
    <w:abstractNumId w:val="11"/>
  </w:num>
  <w:num w:numId="48">
    <w:abstractNumId w:val="52"/>
  </w:num>
  <w:num w:numId="49">
    <w:abstractNumId w:val="48"/>
  </w:num>
  <w:num w:numId="50">
    <w:abstractNumId w:val="3"/>
  </w:num>
  <w:num w:numId="51">
    <w:abstractNumId w:val="14"/>
  </w:num>
  <w:num w:numId="52">
    <w:abstractNumId w:val="26"/>
  </w:num>
  <w:num w:numId="53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BD"/>
    <w:rsid w:val="00003339"/>
    <w:rsid w:val="000040EE"/>
    <w:rsid w:val="0001461A"/>
    <w:rsid w:val="00022D60"/>
    <w:rsid w:val="00023680"/>
    <w:rsid w:val="00031C5A"/>
    <w:rsid w:val="00033E52"/>
    <w:rsid w:val="00037684"/>
    <w:rsid w:val="00050CD2"/>
    <w:rsid w:val="0005260A"/>
    <w:rsid w:val="00052711"/>
    <w:rsid w:val="0005429B"/>
    <w:rsid w:val="0005496B"/>
    <w:rsid w:val="00056DB3"/>
    <w:rsid w:val="000600FF"/>
    <w:rsid w:val="0006072E"/>
    <w:rsid w:val="00062E6E"/>
    <w:rsid w:val="00063E74"/>
    <w:rsid w:val="000663AD"/>
    <w:rsid w:val="00066870"/>
    <w:rsid w:val="000678A0"/>
    <w:rsid w:val="000729C6"/>
    <w:rsid w:val="0007320C"/>
    <w:rsid w:val="00080F3D"/>
    <w:rsid w:val="0008156A"/>
    <w:rsid w:val="000820E7"/>
    <w:rsid w:val="00084962"/>
    <w:rsid w:val="000923A0"/>
    <w:rsid w:val="000945C6"/>
    <w:rsid w:val="00096A70"/>
    <w:rsid w:val="000A307E"/>
    <w:rsid w:val="000A37DA"/>
    <w:rsid w:val="000A4622"/>
    <w:rsid w:val="000A68A8"/>
    <w:rsid w:val="000B0AB0"/>
    <w:rsid w:val="000B6004"/>
    <w:rsid w:val="000B71F4"/>
    <w:rsid w:val="000B725A"/>
    <w:rsid w:val="000C1DCD"/>
    <w:rsid w:val="000C2A1B"/>
    <w:rsid w:val="000D28FF"/>
    <w:rsid w:val="000E1BFA"/>
    <w:rsid w:val="000E4E11"/>
    <w:rsid w:val="00105C4A"/>
    <w:rsid w:val="001068D1"/>
    <w:rsid w:val="00113ABC"/>
    <w:rsid w:val="001167B8"/>
    <w:rsid w:val="00116D3F"/>
    <w:rsid w:val="001179C4"/>
    <w:rsid w:val="001200F7"/>
    <w:rsid w:val="00122699"/>
    <w:rsid w:val="00132E0A"/>
    <w:rsid w:val="00134F96"/>
    <w:rsid w:val="00135A35"/>
    <w:rsid w:val="00136F7A"/>
    <w:rsid w:val="00141196"/>
    <w:rsid w:val="0014173A"/>
    <w:rsid w:val="00141AA5"/>
    <w:rsid w:val="00141BDB"/>
    <w:rsid w:val="001436C6"/>
    <w:rsid w:val="0015176C"/>
    <w:rsid w:val="00153C6C"/>
    <w:rsid w:val="00155FF3"/>
    <w:rsid w:val="00157D64"/>
    <w:rsid w:val="00163CF8"/>
    <w:rsid w:val="00170EF5"/>
    <w:rsid w:val="001721B1"/>
    <w:rsid w:val="001722B1"/>
    <w:rsid w:val="00175BF9"/>
    <w:rsid w:val="00176A2C"/>
    <w:rsid w:val="001862BD"/>
    <w:rsid w:val="00190C87"/>
    <w:rsid w:val="00192939"/>
    <w:rsid w:val="00193F5B"/>
    <w:rsid w:val="00194F4D"/>
    <w:rsid w:val="001A23DE"/>
    <w:rsid w:val="001A3A2F"/>
    <w:rsid w:val="001A68E3"/>
    <w:rsid w:val="001A7FED"/>
    <w:rsid w:val="001B01EA"/>
    <w:rsid w:val="001B49E0"/>
    <w:rsid w:val="001C0328"/>
    <w:rsid w:val="001C19C6"/>
    <w:rsid w:val="001C22C2"/>
    <w:rsid w:val="001C294F"/>
    <w:rsid w:val="001C515C"/>
    <w:rsid w:val="001C60D6"/>
    <w:rsid w:val="001C6C8D"/>
    <w:rsid w:val="001D1A19"/>
    <w:rsid w:val="001D28E6"/>
    <w:rsid w:val="001D3A73"/>
    <w:rsid w:val="001D4E5A"/>
    <w:rsid w:val="001D5437"/>
    <w:rsid w:val="001D6227"/>
    <w:rsid w:val="001E1AF5"/>
    <w:rsid w:val="001E222D"/>
    <w:rsid w:val="001E3CA3"/>
    <w:rsid w:val="001E42D5"/>
    <w:rsid w:val="001E5C26"/>
    <w:rsid w:val="001E65BC"/>
    <w:rsid w:val="001F231B"/>
    <w:rsid w:val="001F53DA"/>
    <w:rsid w:val="001F5949"/>
    <w:rsid w:val="001F79AE"/>
    <w:rsid w:val="00201441"/>
    <w:rsid w:val="002105B8"/>
    <w:rsid w:val="002159D0"/>
    <w:rsid w:val="00216847"/>
    <w:rsid w:val="00217DF8"/>
    <w:rsid w:val="0022268B"/>
    <w:rsid w:val="00226ABB"/>
    <w:rsid w:val="00230241"/>
    <w:rsid w:val="002322D0"/>
    <w:rsid w:val="00232683"/>
    <w:rsid w:val="00235BCB"/>
    <w:rsid w:val="0023682D"/>
    <w:rsid w:val="0024183D"/>
    <w:rsid w:val="0025001D"/>
    <w:rsid w:val="0025176B"/>
    <w:rsid w:val="00252DEB"/>
    <w:rsid w:val="00253B67"/>
    <w:rsid w:val="00265C71"/>
    <w:rsid w:val="002672DB"/>
    <w:rsid w:val="00281710"/>
    <w:rsid w:val="00281F51"/>
    <w:rsid w:val="00287644"/>
    <w:rsid w:val="00287F82"/>
    <w:rsid w:val="00290D8F"/>
    <w:rsid w:val="002A159D"/>
    <w:rsid w:val="002A3016"/>
    <w:rsid w:val="002A4B1D"/>
    <w:rsid w:val="002A7CBF"/>
    <w:rsid w:val="002B0A17"/>
    <w:rsid w:val="002B348C"/>
    <w:rsid w:val="002B5BCB"/>
    <w:rsid w:val="002B6FA9"/>
    <w:rsid w:val="002B7A34"/>
    <w:rsid w:val="002B7F74"/>
    <w:rsid w:val="002C00B0"/>
    <w:rsid w:val="002C0694"/>
    <w:rsid w:val="002C3130"/>
    <w:rsid w:val="002C357C"/>
    <w:rsid w:val="002C4D11"/>
    <w:rsid w:val="002D4061"/>
    <w:rsid w:val="002E0278"/>
    <w:rsid w:val="002E2006"/>
    <w:rsid w:val="002E3E26"/>
    <w:rsid w:val="002E3F76"/>
    <w:rsid w:val="002E7CEE"/>
    <w:rsid w:val="002E7F91"/>
    <w:rsid w:val="002F0D68"/>
    <w:rsid w:val="002F0E8B"/>
    <w:rsid w:val="002F729D"/>
    <w:rsid w:val="002F7DF1"/>
    <w:rsid w:val="00301CC1"/>
    <w:rsid w:val="00303CAD"/>
    <w:rsid w:val="00305951"/>
    <w:rsid w:val="0030698F"/>
    <w:rsid w:val="00312DC5"/>
    <w:rsid w:val="003140C6"/>
    <w:rsid w:val="0032180D"/>
    <w:rsid w:val="00322065"/>
    <w:rsid w:val="00324AF5"/>
    <w:rsid w:val="0033044C"/>
    <w:rsid w:val="00330944"/>
    <w:rsid w:val="00332519"/>
    <w:rsid w:val="00336B3C"/>
    <w:rsid w:val="003370BA"/>
    <w:rsid w:val="00340DAA"/>
    <w:rsid w:val="003431BD"/>
    <w:rsid w:val="003449EF"/>
    <w:rsid w:val="00346AFF"/>
    <w:rsid w:val="0034773A"/>
    <w:rsid w:val="0035606D"/>
    <w:rsid w:val="0036062B"/>
    <w:rsid w:val="00361A6F"/>
    <w:rsid w:val="00362FE4"/>
    <w:rsid w:val="003652D7"/>
    <w:rsid w:val="0036563E"/>
    <w:rsid w:val="003671A1"/>
    <w:rsid w:val="00367899"/>
    <w:rsid w:val="00367D18"/>
    <w:rsid w:val="003800E3"/>
    <w:rsid w:val="00384DBD"/>
    <w:rsid w:val="003A14A9"/>
    <w:rsid w:val="003A1EC0"/>
    <w:rsid w:val="003A2A8F"/>
    <w:rsid w:val="003A2C05"/>
    <w:rsid w:val="003A3005"/>
    <w:rsid w:val="003B4574"/>
    <w:rsid w:val="003B49F7"/>
    <w:rsid w:val="003B4F23"/>
    <w:rsid w:val="003B6E92"/>
    <w:rsid w:val="003C093A"/>
    <w:rsid w:val="003C4231"/>
    <w:rsid w:val="003C763D"/>
    <w:rsid w:val="003D01DE"/>
    <w:rsid w:val="003D2B83"/>
    <w:rsid w:val="003D4D15"/>
    <w:rsid w:val="003E2DB8"/>
    <w:rsid w:val="003E344F"/>
    <w:rsid w:val="003E4261"/>
    <w:rsid w:val="003E49D4"/>
    <w:rsid w:val="003E586F"/>
    <w:rsid w:val="003F146E"/>
    <w:rsid w:val="003F341D"/>
    <w:rsid w:val="003F73AB"/>
    <w:rsid w:val="003F7ABE"/>
    <w:rsid w:val="00402260"/>
    <w:rsid w:val="00402F11"/>
    <w:rsid w:val="004051D0"/>
    <w:rsid w:val="00412CEA"/>
    <w:rsid w:val="00414DCD"/>
    <w:rsid w:val="00415CA1"/>
    <w:rsid w:val="00417BAF"/>
    <w:rsid w:val="0042125B"/>
    <w:rsid w:val="00421B97"/>
    <w:rsid w:val="00423927"/>
    <w:rsid w:val="0043122B"/>
    <w:rsid w:val="00431A49"/>
    <w:rsid w:val="0043271E"/>
    <w:rsid w:val="00433361"/>
    <w:rsid w:val="00436DC9"/>
    <w:rsid w:val="0043724F"/>
    <w:rsid w:val="00440D49"/>
    <w:rsid w:val="00446FC1"/>
    <w:rsid w:val="004516EE"/>
    <w:rsid w:val="00460A8D"/>
    <w:rsid w:val="00463A0F"/>
    <w:rsid w:val="00466935"/>
    <w:rsid w:val="00471330"/>
    <w:rsid w:val="00473C88"/>
    <w:rsid w:val="00473DF1"/>
    <w:rsid w:val="004749A3"/>
    <w:rsid w:val="00477CE5"/>
    <w:rsid w:val="00491C94"/>
    <w:rsid w:val="00495A30"/>
    <w:rsid w:val="004A1056"/>
    <w:rsid w:val="004A14AF"/>
    <w:rsid w:val="004A7F1F"/>
    <w:rsid w:val="004B075F"/>
    <w:rsid w:val="004B10D9"/>
    <w:rsid w:val="004B564A"/>
    <w:rsid w:val="004C08A8"/>
    <w:rsid w:val="004C6C73"/>
    <w:rsid w:val="004D174C"/>
    <w:rsid w:val="004D23FD"/>
    <w:rsid w:val="004D5A8A"/>
    <w:rsid w:val="004D5A9C"/>
    <w:rsid w:val="004D5B02"/>
    <w:rsid w:val="004E254B"/>
    <w:rsid w:val="004E30BC"/>
    <w:rsid w:val="004E3697"/>
    <w:rsid w:val="004E389B"/>
    <w:rsid w:val="004F0344"/>
    <w:rsid w:val="004F3F54"/>
    <w:rsid w:val="004F5A07"/>
    <w:rsid w:val="004F6C5F"/>
    <w:rsid w:val="004F7F34"/>
    <w:rsid w:val="00500397"/>
    <w:rsid w:val="005006F2"/>
    <w:rsid w:val="00503445"/>
    <w:rsid w:val="0050379B"/>
    <w:rsid w:val="00503C07"/>
    <w:rsid w:val="00503FEE"/>
    <w:rsid w:val="00505B95"/>
    <w:rsid w:val="005065BD"/>
    <w:rsid w:val="005076B5"/>
    <w:rsid w:val="00510007"/>
    <w:rsid w:val="0051067A"/>
    <w:rsid w:val="00513EB5"/>
    <w:rsid w:val="005155D4"/>
    <w:rsid w:val="00517731"/>
    <w:rsid w:val="00520E19"/>
    <w:rsid w:val="0052524C"/>
    <w:rsid w:val="005275BF"/>
    <w:rsid w:val="00542E24"/>
    <w:rsid w:val="005464E4"/>
    <w:rsid w:val="00551DA4"/>
    <w:rsid w:val="00560496"/>
    <w:rsid w:val="00561920"/>
    <w:rsid w:val="00565B46"/>
    <w:rsid w:val="00566DD8"/>
    <w:rsid w:val="005672AE"/>
    <w:rsid w:val="0058042C"/>
    <w:rsid w:val="00584888"/>
    <w:rsid w:val="005907BD"/>
    <w:rsid w:val="00590813"/>
    <w:rsid w:val="005A0CA3"/>
    <w:rsid w:val="005A1EE1"/>
    <w:rsid w:val="005A7660"/>
    <w:rsid w:val="005B2033"/>
    <w:rsid w:val="005B5F0F"/>
    <w:rsid w:val="005C3CCF"/>
    <w:rsid w:val="005D0274"/>
    <w:rsid w:val="005D609A"/>
    <w:rsid w:val="005D6F96"/>
    <w:rsid w:val="005E0498"/>
    <w:rsid w:val="005E1E86"/>
    <w:rsid w:val="005E2C1D"/>
    <w:rsid w:val="005E4188"/>
    <w:rsid w:val="005E4E1E"/>
    <w:rsid w:val="005E551D"/>
    <w:rsid w:val="005F0A5E"/>
    <w:rsid w:val="006020E1"/>
    <w:rsid w:val="00604F05"/>
    <w:rsid w:val="006100B3"/>
    <w:rsid w:val="00611869"/>
    <w:rsid w:val="0061311D"/>
    <w:rsid w:val="00621BEC"/>
    <w:rsid w:val="0062321B"/>
    <w:rsid w:val="0062767E"/>
    <w:rsid w:val="00633C06"/>
    <w:rsid w:val="0063487F"/>
    <w:rsid w:val="006365FD"/>
    <w:rsid w:val="006413E5"/>
    <w:rsid w:val="00641916"/>
    <w:rsid w:val="006434D7"/>
    <w:rsid w:val="00650460"/>
    <w:rsid w:val="00660146"/>
    <w:rsid w:val="00675EDF"/>
    <w:rsid w:val="00676A1A"/>
    <w:rsid w:val="00677A0D"/>
    <w:rsid w:val="006849FE"/>
    <w:rsid w:val="00691159"/>
    <w:rsid w:val="006A2C79"/>
    <w:rsid w:val="006A38F7"/>
    <w:rsid w:val="006A47EF"/>
    <w:rsid w:val="006A4EFE"/>
    <w:rsid w:val="006B0621"/>
    <w:rsid w:val="006B1459"/>
    <w:rsid w:val="006B1CA5"/>
    <w:rsid w:val="006B3CBC"/>
    <w:rsid w:val="006B40F9"/>
    <w:rsid w:val="006B7B1C"/>
    <w:rsid w:val="006C1C2D"/>
    <w:rsid w:val="006C259F"/>
    <w:rsid w:val="006C30F8"/>
    <w:rsid w:val="006C67D6"/>
    <w:rsid w:val="006C766B"/>
    <w:rsid w:val="006D0B6C"/>
    <w:rsid w:val="006D1307"/>
    <w:rsid w:val="006D1752"/>
    <w:rsid w:val="006D25D1"/>
    <w:rsid w:val="006D4574"/>
    <w:rsid w:val="006D6438"/>
    <w:rsid w:val="006D7DA9"/>
    <w:rsid w:val="006E074B"/>
    <w:rsid w:val="006E4235"/>
    <w:rsid w:val="006E4A73"/>
    <w:rsid w:val="006F1911"/>
    <w:rsid w:val="006F23C1"/>
    <w:rsid w:val="006F28FC"/>
    <w:rsid w:val="006F66E8"/>
    <w:rsid w:val="006F6FC2"/>
    <w:rsid w:val="007049F4"/>
    <w:rsid w:val="00716ABD"/>
    <w:rsid w:val="00723CEB"/>
    <w:rsid w:val="00726335"/>
    <w:rsid w:val="00731091"/>
    <w:rsid w:val="00731A1C"/>
    <w:rsid w:val="00737C8B"/>
    <w:rsid w:val="0074006F"/>
    <w:rsid w:val="00743C65"/>
    <w:rsid w:val="00743C79"/>
    <w:rsid w:val="00744993"/>
    <w:rsid w:val="007514FE"/>
    <w:rsid w:val="00753A22"/>
    <w:rsid w:val="00754EE3"/>
    <w:rsid w:val="00762B31"/>
    <w:rsid w:val="00765CC1"/>
    <w:rsid w:val="00766085"/>
    <w:rsid w:val="00766262"/>
    <w:rsid w:val="00770224"/>
    <w:rsid w:val="00771A3D"/>
    <w:rsid w:val="00773CF8"/>
    <w:rsid w:val="00774E5E"/>
    <w:rsid w:val="007768ED"/>
    <w:rsid w:val="00785043"/>
    <w:rsid w:val="007910CF"/>
    <w:rsid w:val="00792800"/>
    <w:rsid w:val="007A1C79"/>
    <w:rsid w:val="007A734B"/>
    <w:rsid w:val="007A797F"/>
    <w:rsid w:val="007A7E3D"/>
    <w:rsid w:val="007B0537"/>
    <w:rsid w:val="007B0740"/>
    <w:rsid w:val="007B1349"/>
    <w:rsid w:val="007B24B5"/>
    <w:rsid w:val="007B73D8"/>
    <w:rsid w:val="007B7739"/>
    <w:rsid w:val="007C0211"/>
    <w:rsid w:val="007C1F95"/>
    <w:rsid w:val="007D01E4"/>
    <w:rsid w:val="007D1C96"/>
    <w:rsid w:val="007D2448"/>
    <w:rsid w:val="007D3288"/>
    <w:rsid w:val="007D40B2"/>
    <w:rsid w:val="007D49A5"/>
    <w:rsid w:val="007D5FE2"/>
    <w:rsid w:val="007D7EA3"/>
    <w:rsid w:val="007D7F91"/>
    <w:rsid w:val="007E12D1"/>
    <w:rsid w:val="007E528B"/>
    <w:rsid w:val="007E5667"/>
    <w:rsid w:val="007E603B"/>
    <w:rsid w:val="007F33AF"/>
    <w:rsid w:val="007F44C9"/>
    <w:rsid w:val="007F7A3D"/>
    <w:rsid w:val="0080124F"/>
    <w:rsid w:val="008013F8"/>
    <w:rsid w:val="00801FEE"/>
    <w:rsid w:val="00802F6F"/>
    <w:rsid w:val="008045E2"/>
    <w:rsid w:val="00813A21"/>
    <w:rsid w:val="00814565"/>
    <w:rsid w:val="00814825"/>
    <w:rsid w:val="00815A93"/>
    <w:rsid w:val="00815EAB"/>
    <w:rsid w:val="0082016A"/>
    <w:rsid w:val="008237F5"/>
    <w:rsid w:val="00824CAC"/>
    <w:rsid w:val="008250EA"/>
    <w:rsid w:val="008269D4"/>
    <w:rsid w:val="00830F95"/>
    <w:rsid w:val="00833B35"/>
    <w:rsid w:val="00834E19"/>
    <w:rsid w:val="008358F0"/>
    <w:rsid w:val="00837B1D"/>
    <w:rsid w:val="00842AE8"/>
    <w:rsid w:val="008441A5"/>
    <w:rsid w:val="0084558C"/>
    <w:rsid w:val="0086016B"/>
    <w:rsid w:val="008605B6"/>
    <w:rsid w:val="008616BE"/>
    <w:rsid w:val="008616CF"/>
    <w:rsid w:val="0086216D"/>
    <w:rsid w:val="00871FCC"/>
    <w:rsid w:val="00882956"/>
    <w:rsid w:val="00882C7C"/>
    <w:rsid w:val="008842D0"/>
    <w:rsid w:val="00890C25"/>
    <w:rsid w:val="00891E3B"/>
    <w:rsid w:val="00892D4D"/>
    <w:rsid w:val="00894B3D"/>
    <w:rsid w:val="008971F6"/>
    <w:rsid w:val="008A0E73"/>
    <w:rsid w:val="008A2D98"/>
    <w:rsid w:val="008A31AE"/>
    <w:rsid w:val="008A3F6F"/>
    <w:rsid w:val="008A79C4"/>
    <w:rsid w:val="008B1EA4"/>
    <w:rsid w:val="008B4A48"/>
    <w:rsid w:val="008B6F10"/>
    <w:rsid w:val="008C1DDE"/>
    <w:rsid w:val="008C2A84"/>
    <w:rsid w:val="008D21C6"/>
    <w:rsid w:val="008D7D69"/>
    <w:rsid w:val="008E171A"/>
    <w:rsid w:val="008E67E3"/>
    <w:rsid w:val="008E7CE3"/>
    <w:rsid w:val="008F3817"/>
    <w:rsid w:val="008F44FD"/>
    <w:rsid w:val="008F4F98"/>
    <w:rsid w:val="008F6580"/>
    <w:rsid w:val="009015A6"/>
    <w:rsid w:val="00902053"/>
    <w:rsid w:val="009063C1"/>
    <w:rsid w:val="00916D3F"/>
    <w:rsid w:val="00922C27"/>
    <w:rsid w:val="00924074"/>
    <w:rsid w:val="00930414"/>
    <w:rsid w:val="00947223"/>
    <w:rsid w:val="00947F4C"/>
    <w:rsid w:val="009524D5"/>
    <w:rsid w:val="00954331"/>
    <w:rsid w:val="0095549C"/>
    <w:rsid w:val="00955A4D"/>
    <w:rsid w:val="00956B10"/>
    <w:rsid w:val="00960C1F"/>
    <w:rsid w:val="00966B9D"/>
    <w:rsid w:val="00966DD6"/>
    <w:rsid w:val="00966E2F"/>
    <w:rsid w:val="0097090A"/>
    <w:rsid w:val="009758D3"/>
    <w:rsid w:val="00976E20"/>
    <w:rsid w:val="009779FB"/>
    <w:rsid w:val="00984D4E"/>
    <w:rsid w:val="0099116C"/>
    <w:rsid w:val="00993202"/>
    <w:rsid w:val="00994B0F"/>
    <w:rsid w:val="00994F9E"/>
    <w:rsid w:val="009A00FF"/>
    <w:rsid w:val="009A632A"/>
    <w:rsid w:val="009A7DD8"/>
    <w:rsid w:val="009B0B9F"/>
    <w:rsid w:val="009B3248"/>
    <w:rsid w:val="009B434B"/>
    <w:rsid w:val="009B6221"/>
    <w:rsid w:val="009B6D98"/>
    <w:rsid w:val="009C1EB3"/>
    <w:rsid w:val="009C4618"/>
    <w:rsid w:val="009D6EE4"/>
    <w:rsid w:val="009E00AE"/>
    <w:rsid w:val="009E0C40"/>
    <w:rsid w:val="009E105C"/>
    <w:rsid w:val="009E1B56"/>
    <w:rsid w:val="009E70D5"/>
    <w:rsid w:val="009F1C91"/>
    <w:rsid w:val="009F2B5E"/>
    <w:rsid w:val="009F4745"/>
    <w:rsid w:val="00A0055E"/>
    <w:rsid w:val="00A016D6"/>
    <w:rsid w:val="00A028E3"/>
    <w:rsid w:val="00A0403A"/>
    <w:rsid w:val="00A04141"/>
    <w:rsid w:val="00A23F4C"/>
    <w:rsid w:val="00A260CE"/>
    <w:rsid w:val="00A2748E"/>
    <w:rsid w:val="00A310FA"/>
    <w:rsid w:val="00A32E5E"/>
    <w:rsid w:val="00A410D6"/>
    <w:rsid w:val="00A428C3"/>
    <w:rsid w:val="00A42FDA"/>
    <w:rsid w:val="00A47208"/>
    <w:rsid w:val="00A51365"/>
    <w:rsid w:val="00A51B97"/>
    <w:rsid w:val="00A51CB9"/>
    <w:rsid w:val="00A532C0"/>
    <w:rsid w:val="00A53F5A"/>
    <w:rsid w:val="00A54739"/>
    <w:rsid w:val="00A573D5"/>
    <w:rsid w:val="00A638D8"/>
    <w:rsid w:val="00A64BE6"/>
    <w:rsid w:val="00A65291"/>
    <w:rsid w:val="00A65ABE"/>
    <w:rsid w:val="00A66B3B"/>
    <w:rsid w:val="00A718C5"/>
    <w:rsid w:val="00A71D0C"/>
    <w:rsid w:val="00A71E50"/>
    <w:rsid w:val="00A754FA"/>
    <w:rsid w:val="00A77341"/>
    <w:rsid w:val="00A81B76"/>
    <w:rsid w:val="00A81BEF"/>
    <w:rsid w:val="00A828A7"/>
    <w:rsid w:val="00A83C84"/>
    <w:rsid w:val="00A84605"/>
    <w:rsid w:val="00A900D5"/>
    <w:rsid w:val="00A9156A"/>
    <w:rsid w:val="00A91586"/>
    <w:rsid w:val="00A92553"/>
    <w:rsid w:val="00A92A88"/>
    <w:rsid w:val="00AA3F09"/>
    <w:rsid w:val="00AA5668"/>
    <w:rsid w:val="00AA6654"/>
    <w:rsid w:val="00AB08D2"/>
    <w:rsid w:val="00AB34A5"/>
    <w:rsid w:val="00AB5201"/>
    <w:rsid w:val="00AB61AD"/>
    <w:rsid w:val="00AC09D6"/>
    <w:rsid w:val="00AC30E3"/>
    <w:rsid w:val="00AD35DE"/>
    <w:rsid w:val="00AD4E69"/>
    <w:rsid w:val="00AD76C7"/>
    <w:rsid w:val="00AD7B4A"/>
    <w:rsid w:val="00AE2AA1"/>
    <w:rsid w:val="00AE58C1"/>
    <w:rsid w:val="00AE656C"/>
    <w:rsid w:val="00AE7082"/>
    <w:rsid w:val="00AE7B08"/>
    <w:rsid w:val="00AF4895"/>
    <w:rsid w:val="00AF497D"/>
    <w:rsid w:val="00B01140"/>
    <w:rsid w:val="00B0735B"/>
    <w:rsid w:val="00B10445"/>
    <w:rsid w:val="00B10799"/>
    <w:rsid w:val="00B12306"/>
    <w:rsid w:val="00B123D4"/>
    <w:rsid w:val="00B1264B"/>
    <w:rsid w:val="00B1549F"/>
    <w:rsid w:val="00B1557C"/>
    <w:rsid w:val="00B17C28"/>
    <w:rsid w:val="00B21F6A"/>
    <w:rsid w:val="00B236B0"/>
    <w:rsid w:val="00B24379"/>
    <w:rsid w:val="00B31B45"/>
    <w:rsid w:val="00B358A2"/>
    <w:rsid w:val="00B35B48"/>
    <w:rsid w:val="00B401DB"/>
    <w:rsid w:val="00B42A91"/>
    <w:rsid w:val="00B47D65"/>
    <w:rsid w:val="00B50339"/>
    <w:rsid w:val="00B60A1A"/>
    <w:rsid w:val="00B63516"/>
    <w:rsid w:val="00B7156C"/>
    <w:rsid w:val="00B72DCF"/>
    <w:rsid w:val="00B73D04"/>
    <w:rsid w:val="00B7569E"/>
    <w:rsid w:val="00B765AF"/>
    <w:rsid w:val="00B81425"/>
    <w:rsid w:val="00B85D54"/>
    <w:rsid w:val="00B86096"/>
    <w:rsid w:val="00B87276"/>
    <w:rsid w:val="00B92CD2"/>
    <w:rsid w:val="00B954CC"/>
    <w:rsid w:val="00B96EC5"/>
    <w:rsid w:val="00B9723D"/>
    <w:rsid w:val="00BA128A"/>
    <w:rsid w:val="00BA1AD7"/>
    <w:rsid w:val="00BA2D45"/>
    <w:rsid w:val="00BA35E3"/>
    <w:rsid w:val="00BA77B1"/>
    <w:rsid w:val="00BB4294"/>
    <w:rsid w:val="00BB4565"/>
    <w:rsid w:val="00BB51B8"/>
    <w:rsid w:val="00BB7D21"/>
    <w:rsid w:val="00BC3DCE"/>
    <w:rsid w:val="00BD0228"/>
    <w:rsid w:val="00BD5C22"/>
    <w:rsid w:val="00BD7D41"/>
    <w:rsid w:val="00BE333F"/>
    <w:rsid w:val="00BE3455"/>
    <w:rsid w:val="00BF052C"/>
    <w:rsid w:val="00BF0916"/>
    <w:rsid w:val="00BF1A7B"/>
    <w:rsid w:val="00BF375E"/>
    <w:rsid w:val="00C009D5"/>
    <w:rsid w:val="00C0565B"/>
    <w:rsid w:val="00C06D13"/>
    <w:rsid w:val="00C10D2B"/>
    <w:rsid w:val="00C13C8B"/>
    <w:rsid w:val="00C154F6"/>
    <w:rsid w:val="00C1675E"/>
    <w:rsid w:val="00C178AF"/>
    <w:rsid w:val="00C214D8"/>
    <w:rsid w:val="00C51455"/>
    <w:rsid w:val="00C5542F"/>
    <w:rsid w:val="00C56266"/>
    <w:rsid w:val="00C6207B"/>
    <w:rsid w:val="00C64439"/>
    <w:rsid w:val="00C67866"/>
    <w:rsid w:val="00C70139"/>
    <w:rsid w:val="00C74DC5"/>
    <w:rsid w:val="00C74EEE"/>
    <w:rsid w:val="00C7592F"/>
    <w:rsid w:val="00C75E39"/>
    <w:rsid w:val="00C770F3"/>
    <w:rsid w:val="00C77622"/>
    <w:rsid w:val="00C7764B"/>
    <w:rsid w:val="00C80C9D"/>
    <w:rsid w:val="00C81AB9"/>
    <w:rsid w:val="00C85BAB"/>
    <w:rsid w:val="00C95175"/>
    <w:rsid w:val="00CA3DA7"/>
    <w:rsid w:val="00CA59A2"/>
    <w:rsid w:val="00CA5BD6"/>
    <w:rsid w:val="00CB03DF"/>
    <w:rsid w:val="00CB0F24"/>
    <w:rsid w:val="00CB2FDB"/>
    <w:rsid w:val="00CB38FD"/>
    <w:rsid w:val="00CB4E25"/>
    <w:rsid w:val="00CB6F49"/>
    <w:rsid w:val="00CB745F"/>
    <w:rsid w:val="00CC0624"/>
    <w:rsid w:val="00CC0683"/>
    <w:rsid w:val="00CC422F"/>
    <w:rsid w:val="00CC4D18"/>
    <w:rsid w:val="00CC5412"/>
    <w:rsid w:val="00CD0CE9"/>
    <w:rsid w:val="00CD2089"/>
    <w:rsid w:val="00CD3D71"/>
    <w:rsid w:val="00CE1AD7"/>
    <w:rsid w:val="00CE3702"/>
    <w:rsid w:val="00CE61A4"/>
    <w:rsid w:val="00CE6F3E"/>
    <w:rsid w:val="00CF0216"/>
    <w:rsid w:val="00CF3E7D"/>
    <w:rsid w:val="00CF7F3D"/>
    <w:rsid w:val="00D004A3"/>
    <w:rsid w:val="00D0054E"/>
    <w:rsid w:val="00D05089"/>
    <w:rsid w:val="00D13AAE"/>
    <w:rsid w:val="00D151DB"/>
    <w:rsid w:val="00D16A02"/>
    <w:rsid w:val="00D16D2C"/>
    <w:rsid w:val="00D20DAB"/>
    <w:rsid w:val="00D210A1"/>
    <w:rsid w:val="00D25FBB"/>
    <w:rsid w:val="00D25FF6"/>
    <w:rsid w:val="00D264E2"/>
    <w:rsid w:val="00D26D36"/>
    <w:rsid w:val="00D30E9B"/>
    <w:rsid w:val="00D40DB7"/>
    <w:rsid w:val="00D40DEE"/>
    <w:rsid w:val="00D414B6"/>
    <w:rsid w:val="00D41E91"/>
    <w:rsid w:val="00D422AB"/>
    <w:rsid w:val="00D46FC4"/>
    <w:rsid w:val="00D53529"/>
    <w:rsid w:val="00D6255F"/>
    <w:rsid w:val="00D7448A"/>
    <w:rsid w:val="00D762EE"/>
    <w:rsid w:val="00D81380"/>
    <w:rsid w:val="00D83309"/>
    <w:rsid w:val="00D84D4B"/>
    <w:rsid w:val="00D918F9"/>
    <w:rsid w:val="00D93118"/>
    <w:rsid w:val="00D94C57"/>
    <w:rsid w:val="00D9644C"/>
    <w:rsid w:val="00D967DF"/>
    <w:rsid w:val="00DA515B"/>
    <w:rsid w:val="00DB27F3"/>
    <w:rsid w:val="00DB4B6C"/>
    <w:rsid w:val="00DB511C"/>
    <w:rsid w:val="00DC1BD3"/>
    <w:rsid w:val="00DC1F44"/>
    <w:rsid w:val="00DD24D2"/>
    <w:rsid w:val="00DD5C93"/>
    <w:rsid w:val="00DE09F3"/>
    <w:rsid w:val="00DE7A57"/>
    <w:rsid w:val="00DF240E"/>
    <w:rsid w:val="00DF333B"/>
    <w:rsid w:val="00DF51E9"/>
    <w:rsid w:val="00E03176"/>
    <w:rsid w:val="00E06F5D"/>
    <w:rsid w:val="00E118CA"/>
    <w:rsid w:val="00E146ED"/>
    <w:rsid w:val="00E157C2"/>
    <w:rsid w:val="00E20AE6"/>
    <w:rsid w:val="00E22971"/>
    <w:rsid w:val="00E25255"/>
    <w:rsid w:val="00E27C02"/>
    <w:rsid w:val="00E33C0F"/>
    <w:rsid w:val="00E36CE7"/>
    <w:rsid w:val="00E411ED"/>
    <w:rsid w:val="00E43C7A"/>
    <w:rsid w:val="00E462B5"/>
    <w:rsid w:val="00E5487E"/>
    <w:rsid w:val="00E569E4"/>
    <w:rsid w:val="00E574D1"/>
    <w:rsid w:val="00E602EC"/>
    <w:rsid w:val="00E62921"/>
    <w:rsid w:val="00E63634"/>
    <w:rsid w:val="00E75EDE"/>
    <w:rsid w:val="00E771FA"/>
    <w:rsid w:val="00E771FE"/>
    <w:rsid w:val="00E77B8E"/>
    <w:rsid w:val="00E816D5"/>
    <w:rsid w:val="00E8490E"/>
    <w:rsid w:val="00E849BA"/>
    <w:rsid w:val="00E85667"/>
    <w:rsid w:val="00E92164"/>
    <w:rsid w:val="00E92201"/>
    <w:rsid w:val="00EA46ED"/>
    <w:rsid w:val="00EA7D5E"/>
    <w:rsid w:val="00EB0D46"/>
    <w:rsid w:val="00EC6277"/>
    <w:rsid w:val="00EC70D0"/>
    <w:rsid w:val="00ED346E"/>
    <w:rsid w:val="00ED46E1"/>
    <w:rsid w:val="00ED5187"/>
    <w:rsid w:val="00ED69C7"/>
    <w:rsid w:val="00ED6EF1"/>
    <w:rsid w:val="00EE031D"/>
    <w:rsid w:val="00EE07AF"/>
    <w:rsid w:val="00EE1A42"/>
    <w:rsid w:val="00EE49BD"/>
    <w:rsid w:val="00EE4D4C"/>
    <w:rsid w:val="00EE5F7A"/>
    <w:rsid w:val="00EE6232"/>
    <w:rsid w:val="00EE6CC2"/>
    <w:rsid w:val="00EF1F36"/>
    <w:rsid w:val="00EF23EA"/>
    <w:rsid w:val="00EF59D2"/>
    <w:rsid w:val="00F0086D"/>
    <w:rsid w:val="00F011F6"/>
    <w:rsid w:val="00F055F0"/>
    <w:rsid w:val="00F07255"/>
    <w:rsid w:val="00F13A9C"/>
    <w:rsid w:val="00F17E65"/>
    <w:rsid w:val="00F20D50"/>
    <w:rsid w:val="00F22A4F"/>
    <w:rsid w:val="00F277AB"/>
    <w:rsid w:val="00F30A58"/>
    <w:rsid w:val="00F32959"/>
    <w:rsid w:val="00F33D2A"/>
    <w:rsid w:val="00F35EE5"/>
    <w:rsid w:val="00F36CB5"/>
    <w:rsid w:val="00F52D94"/>
    <w:rsid w:val="00F5688B"/>
    <w:rsid w:val="00F56934"/>
    <w:rsid w:val="00F616CF"/>
    <w:rsid w:val="00F64F96"/>
    <w:rsid w:val="00F80384"/>
    <w:rsid w:val="00F8305D"/>
    <w:rsid w:val="00F848C4"/>
    <w:rsid w:val="00F84D55"/>
    <w:rsid w:val="00F855CF"/>
    <w:rsid w:val="00F867D6"/>
    <w:rsid w:val="00F90261"/>
    <w:rsid w:val="00F907E6"/>
    <w:rsid w:val="00F94A63"/>
    <w:rsid w:val="00F95C1B"/>
    <w:rsid w:val="00F95F86"/>
    <w:rsid w:val="00F96127"/>
    <w:rsid w:val="00FA2DFF"/>
    <w:rsid w:val="00FB6B01"/>
    <w:rsid w:val="00FB725B"/>
    <w:rsid w:val="00FC05D7"/>
    <w:rsid w:val="00FD3042"/>
    <w:rsid w:val="00FE0E2C"/>
    <w:rsid w:val="00FE22C7"/>
    <w:rsid w:val="00FE3983"/>
    <w:rsid w:val="00FE3D40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E27CAC"/>
  <w15:chartTrackingRefBased/>
  <w15:docId w15:val="{89FB7644-022E-4A23-80F4-19E60D12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406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16ABD"/>
    <w:pPr>
      <w:keepNext/>
      <w:numPr>
        <w:numId w:val="1"/>
      </w:numPr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16ABD"/>
    <w:pPr>
      <w:keepNext/>
      <w:numPr>
        <w:ilvl w:val="1"/>
        <w:numId w:val="1"/>
      </w:numPr>
      <w:jc w:val="both"/>
      <w:outlineLvl w:val="1"/>
    </w:pPr>
    <w:rPr>
      <w:rFonts w:asciiTheme="minorHAnsi" w:hAnsiTheme="minorHAnsi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6ABD"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ABD"/>
    <w:pPr>
      <w:keepNext/>
      <w:keepLines/>
      <w:numPr>
        <w:ilvl w:val="3"/>
        <w:numId w:val="1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ABD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qFormat/>
    <w:rsid w:val="00716ABD"/>
    <w:pPr>
      <w:keepNext/>
      <w:numPr>
        <w:ilvl w:val="5"/>
        <w:numId w:val="1"/>
      </w:numPr>
      <w:spacing w:before="120"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ABD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ABD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ABD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6ABD"/>
    <w:rPr>
      <w:rFonts w:ascii="Calibri" w:eastAsia="Times New Roman" w:hAnsi="Calibri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16ABD"/>
    <w:rPr>
      <w:rFonts w:eastAsia="Times New Roman" w:cs="Arial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16AB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AB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A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716ABD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A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A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A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pat">
    <w:name w:val="footer"/>
    <w:basedOn w:val="Normln"/>
    <w:link w:val="ZpatChar"/>
    <w:uiPriority w:val="99"/>
    <w:rsid w:val="00716A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6AB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katabulky">
    <w:name w:val="Table Grid"/>
    <w:basedOn w:val="Normlntabulka"/>
    <w:uiPriority w:val="59"/>
    <w:rsid w:val="0071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16A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16AB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716ABD"/>
    <w:rPr>
      <w:vertAlign w:val="superscript"/>
    </w:rPr>
  </w:style>
  <w:style w:type="paragraph" w:styleId="Odstavecseseznamem">
    <w:name w:val="List Paragraph"/>
    <w:aliases w:val="odrážky,Nadpis pro KZ,List Paragraph_0,List Paragraph,Odstavec se seznamem1,Odstavec se seznamem2"/>
    <w:basedOn w:val="Normln"/>
    <w:link w:val="OdstavecseseznamemChar"/>
    <w:uiPriority w:val="34"/>
    <w:qFormat/>
    <w:rsid w:val="00716ABD"/>
    <w:pPr>
      <w:ind w:left="720"/>
      <w:contextualSpacing/>
    </w:pPr>
  </w:style>
  <w:style w:type="character" w:customStyle="1" w:styleId="OdstavecseseznamemChar">
    <w:name w:val="Odstavec se seznamem Char"/>
    <w:aliases w:val="odrážky Char,Nadpis pro KZ Char,List Paragraph_0 Char,List Paragraph Char,Odstavec se seznamem1 Char,Odstavec se seznamem2 Char"/>
    <w:link w:val="Odstavecseseznamem"/>
    <w:uiPriority w:val="34"/>
    <w:rsid w:val="00716A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16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ABD"/>
    <w:rPr>
      <w:rFonts w:ascii="Tahoma" w:eastAsia="Times New Roman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uiPriority w:val="99"/>
    <w:unhideWhenUsed/>
    <w:rsid w:val="00716A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6A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rsid w:val="00DF51E9"/>
    <w:rPr>
      <w:color w:val="0000FF"/>
      <w:u w:val="single"/>
    </w:rPr>
  </w:style>
  <w:style w:type="paragraph" w:customStyle="1" w:styleId="TextKP">
    <w:name w:val="Text KP"/>
    <w:basedOn w:val="Normln"/>
    <w:link w:val="TextKPChar"/>
    <w:qFormat/>
    <w:rsid w:val="00F5688B"/>
    <w:pPr>
      <w:spacing w:before="120"/>
      <w:jc w:val="both"/>
    </w:pPr>
    <w:rPr>
      <w:rFonts w:asciiTheme="minorHAnsi" w:hAnsiTheme="minorHAnsi" w:cstheme="minorHAnsi"/>
    </w:rPr>
  </w:style>
  <w:style w:type="character" w:customStyle="1" w:styleId="TextKPChar">
    <w:name w:val="Text KP Char"/>
    <w:basedOn w:val="Standardnpsmoodstavce"/>
    <w:link w:val="TextKP"/>
    <w:rsid w:val="00F5688B"/>
    <w:rPr>
      <w:rFonts w:eastAsia="Times New Roman" w:cstheme="minorHAnsi"/>
      <w:sz w:val="24"/>
      <w:szCs w:val="24"/>
    </w:rPr>
  </w:style>
  <w:style w:type="paragraph" w:customStyle="1" w:styleId="Zdroj">
    <w:name w:val="Zdroj"/>
    <w:basedOn w:val="Normln"/>
    <w:next w:val="TextKP"/>
    <w:link w:val="ZdrojChar"/>
    <w:qFormat/>
    <w:rsid w:val="00A2748E"/>
    <w:pPr>
      <w:jc w:val="both"/>
    </w:pPr>
    <w:rPr>
      <w:i/>
      <w:color w:val="000000" w:themeColor="text1"/>
      <w:sz w:val="20"/>
    </w:rPr>
  </w:style>
  <w:style w:type="paragraph" w:customStyle="1" w:styleId="Kritria">
    <w:name w:val="Kritéria"/>
    <w:basedOn w:val="TextKP"/>
    <w:link w:val="KritriaChar"/>
    <w:qFormat/>
    <w:rsid w:val="006434D7"/>
    <w:pPr>
      <w:spacing w:before="0"/>
    </w:pPr>
    <w:rPr>
      <w:i/>
    </w:rPr>
  </w:style>
  <w:style w:type="character" w:customStyle="1" w:styleId="ZdrojChar">
    <w:name w:val="Zdroj Char"/>
    <w:basedOn w:val="Standardnpsmoodstavce"/>
    <w:link w:val="Zdroj"/>
    <w:rsid w:val="00A2748E"/>
    <w:rPr>
      <w:rFonts w:ascii="Calibri" w:eastAsia="Times New Roman" w:hAnsi="Calibri" w:cs="Times New Roman"/>
      <w:i/>
      <w:color w:val="000000" w:themeColor="text1"/>
      <w:sz w:val="20"/>
      <w:szCs w:val="24"/>
    </w:rPr>
  </w:style>
  <w:style w:type="character" w:customStyle="1" w:styleId="KritriaChar">
    <w:name w:val="Kritéria Char"/>
    <w:basedOn w:val="TextKPChar"/>
    <w:link w:val="Kritria"/>
    <w:rsid w:val="006434D7"/>
    <w:rPr>
      <w:rFonts w:eastAsia="Times New Roman" w:cstheme="minorHAnsi"/>
      <w:i/>
      <w:sz w:val="24"/>
      <w:szCs w:val="24"/>
    </w:rPr>
  </w:style>
  <w:style w:type="paragraph" w:customStyle="1" w:styleId="Zdrojapozn">
    <w:name w:val="Zdroj a pozn."/>
    <w:basedOn w:val="Normln"/>
    <w:link w:val="ZdrojapoznChar"/>
    <w:qFormat/>
    <w:rsid w:val="003140C6"/>
    <w:pPr>
      <w:jc w:val="both"/>
    </w:pPr>
    <w:rPr>
      <w:i/>
      <w:sz w:val="20"/>
      <w:lang w:eastAsia="cs-CZ"/>
    </w:rPr>
  </w:style>
  <w:style w:type="character" w:customStyle="1" w:styleId="ZdrojapoznChar">
    <w:name w:val="Zdroj a pozn. Char"/>
    <w:basedOn w:val="Standardnpsmoodstavce"/>
    <w:link w:val="Zdrojapozn"/>
    <w:rsid w:val="003140C6"/>
    <w:rPr>
      <w:rFonts w:ascii="Calibri" w:eastAsia="Times New Roman" w:hAnsi="Calibri" w:cs="Times New Roman"/>
      <w:i/>
      <w:sz w:val="20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5352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D53529"/>
    <w:rPr>
      <w:rFonts w:eastAsia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417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17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173A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7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73A"/>
    <w:rPr>
      <w:rFonts w:ascii="Calibri" w:eastAsia="Times New Roman" w:hAnsi="Calibri" w:cs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37F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37F5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23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KA%2016_18\Kontroln&#237;%20z&#225;v&#283;r\Tabulky%20do%20z&#225;v&#283;ru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KA%2016_18\Kontroln&#237;%20z&#225;v&#283;r\Tabulky%20do%20z&#225;v&#283;ru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KA%2016_18\Kontroln&#237;%20z&#225;v&#283;r\Tabulky%20do%20z&#225;v&#283;ru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KA%2016_18\Kontroln&#237;%20z&#225;v&#283;r\Tabulky%20do%20z&#225;v&#283;ru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KA%2016_18\Kontroln&#237;%20z&#225;v&#283;r\Tabulky%20do%20z&#225;v&#283;ru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gendy\KA%2016_18\Pracovn&#237;%20listy\Realizace\Vlastn&#237;\Statistika%20eRecept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979301916656594E-2"/>
          <c:y val="0"/>
          <c:w val="0.91265796488983419"/>
          <c:h val="0.790131763832551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Zůstatek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1" vertOverflow="overflow" horzOverflow="overflow" vert="horz" wrap="square" lIns="36000" tIns="19050" rIns="360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46100DA-9426-4FD9-88A9-CC3952808E49}" type="VALUE">
                      <a:rPr lang="en-US" sz="800" baseline="0"/>
                      <a:pPr>
                        <a:defRPr sz="800"/>
                      </a:pPr>
                      <a:t>[HODNOTA]</a:t>
                    </a:fld>
                    <a:endParaRPr lang="cs-CZ"/>
                  </a:p>
                </c:rich>
              </c:tx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overflow" horzOverflow="overflow" vert="horz" wrap="square" lIns="36000" tIns="19050" rIns="360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>
                        <a:gd name="adj1" fmla="val -9778"/>
                        <a:gd name="adj2" fmla="val 93642"/>
                        <a:gd name="adj3" fmla="val 16667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3A6-4FAD-B574-D4C4F15768FF}"/>
                </c:ext>
              </c:extLst>
            </c:dLbl>
            <c:dLbl>
              <c:idx val="1"/>
              <c:layout/>
              <c:tx>
                <c:rich>
                  <a:bodyPr rot="0" spcFirstLastPara="1" vertOverflow="clip" horzOverflow="clip" vert="horz" wrap="square" lIns="36000" tIns="19050" rIns="360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66ACC42-BBF8-4B1D-88C0-920874CC36AE}" type="VALUE">
                      <a:rPr lang="en-US" baseline="0"/>
                      <a:pPr>
                        <a:defRPr sz="800"/>
                      </a:pPr>
                      <a:t>[HODNOTA]</a:t>
                    </a:fld>
                    <a:endParaRPr lang="cs-CZ"/>
                  </a:p>
                </c:rich>
              </c:tx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000" tIns="19050" rIns="360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>
                        <a:gd name="adj1" fmla="val -11958"/>
                        <a:gd name="adj2" fmla="val 87171"/>
                        <a:gd name="adj3" fmla="val 16667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3A6-4FAD-B574-D4C4F15768FF}"/>
                </c:ext>
              </c:extLst>
            </c:dLbl>
            <c:dLbl>
              <c:idx val="2"/>
              <c:layout/>
              <c:tx>
                <c:rich>
                  <a:bodyPr rot="0" spcFirstLastPara="1" vertOverflow="clip" horzOverflow="clip" vert="horz" wrap="square" lIns="36000" tIns="19050" rIns="360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105275C-291B-4F5F-B604-E9E4A825FCBD}" type="VALUE">
                      <a:rPr lang="en-US" baseline="0"/>
                      <a:pPr>
                        <a:defRPr sz="800"/>
                      </a:pPr>
                      <a:t>[HODNOTA]</a:t>
                    </a:fld>
                    <a:endParaRPr lang="cs-CZ"/>
                  </a:p>
                </c:rich>
              </c:tx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000" tIns="19050" rIns="360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>
                        <a:gd name="adj1" fmla="val -5094"/>
                        <a:gd name="adj2" fmla="val 90964"/>
                        <a:gd name="adj3" fmla="val 16667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53A6-4FAD-B574-D4C4F15768FF}"/>
                </c:ext>
              </c:extLst>
            </c:dLbl>
            <c:dLbl>
              <c:idx val="3"/>
              <c:layout/>
              <c:tx>
                <c:rich>
                  <a:bodyPr rot="0" spcFirstLastPara="1" vertOverflow="clip" horzOverflow="clip" vert="horz" wrap="square" lIns="36000" tIns="19050" rIns="360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285E405-F162-40AB-AA73-AFDA8F66C8B1}" type="VALUE">
                      <a:rPr lang="en-US" baseline="0"/>
                      <a:pPr>
                        <a:defRPr sz="800"/>
                      </a:pPr>
                      <a:t>[HODNOTA]</a:t>
                    </a:fld>
                    <a:endParaRPr lang="cs-CZ"/>
                  </a:p>
                </c:rich>
              </c:tx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000" tIns="19050" rIns="360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>
                        <a:gd name="adj1" fmla="val -636"/>
                        <a:gd name="adj2" fmla="val 92989"/>
                        <a:gd name="adj3" fmla="val 16667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3A6-4FAD-B574-D4C4F15768FF}"/>
                </c:ext>
              </c:extLst>
            </c:dLbl>
            <c:dLbl>
              <c:idx val="4"/>
              <c:layout/>
              <c:tx>
                <c:rich>
                  <a:bodyPr rot="0" spcFirstLastPara="1" vertOverflow="clip" horzOverflow="clip" vert="horz" wrap="square" lIns="36000" tIns="19050" rIns="360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DB0A8AE-E519-4262-A7D9-DBBBF3F34A2B}" type="VALUE">
                      <a:rPr lang="en-US" baseline="0"/>
                      <a:pPr>
                        <a:defRPr sz="800"/>
                      </a:pPr>
                      <a:t>[HODNOTA]</a:t>
                    </a:fld>
                    <a:endParaRPr lang="cs-CZ"/>
                  </a:p>
                </c:rich>
              </c:tx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000" tIns="19050" rIns="360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>
                        <a:gd name="adj1" fmla="val -3786"/>
                        <a:gd name="adj2" fmla="val 86404"/>
                        <a:gd name="adj3" fmla="val 16667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3A6-4FAD-B574-D4C4F15768FF}"/>
                </c:ext>
              </c:extLst>
            </c:dLbl>
            <c:dLbl>
              <c:idx val="5"/>
              <c:layout/>
              <c:tx>
                <c:rich>
                  <a:bodyPr rot="0" spcFirstLastPara="1" vertOverflow="clip" horzOverflow="clip" vert="horz" wrap="square" lIns="36000" tIns="19050" rIns="360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1FEF8E4-8749-4AC6-9144-0ADB65B35521}" type="VALUE">
                      <a:rPr lang="en-US" baseline="0"/>
                      <a:pPr>
                        <a:defRPr sz="800"/>
                      </a:pPr>
                      <a:t>[HODNOTA]</a:t>
                    </a:fld>
                    <a:endParaRPr lang="cs-CZ"/>
                  </a:p>
                </c:rich>
              </c:tx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000" tIns="19050" rIns="360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>
                        <a:gd name="adj1" fmla="val -5048"/>
                        <a:gd name="adj2" fmla="val 88597"/>
                        <a:gd name="adj3" fmla="val 16667"/>
                      </a:avLst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3A6-4FAD-B574-D4C4F15768FF}"/>
                </c:ext>
              </c:extLst>
            </c:dLbl>
            <c:numFmt formatCode="#,##0.0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000" tIns="19050" rIns="360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List1!$B$2:$G$2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List1!$B$3:$G$3</c:f>
              <c:numCache>
                <c:formatCode>#,##0.00</c:formatCode>
                <c:ptCount val="6"/>
                <c:pt idx="0">
                  <c:v>1546085.29</c:v>
                </c:pt>
                <c:pt idx="1">
                  <c:v>1793834.79</c:v>
                </c:pt>
                <c:pt idx="2">
                  <c:v>2072087.33</c:v>
                </c:pt>
                <c:pt idx="3">
                  <c:v>2163495.52</c:v>
                </c:pt>
                <c:pt idx="4">
                  <c:v>554288.02</c:v>
                </c:pt>
                <c:pt idx="5">
                  <c:v>610005.88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A6-4FAD-B574-D4C4F15768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2114928"/>
        <c:axId val="347383080"/>
      </c:barChart>
      <c:catAx>
        <c:axId val="22211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47383080"/>
        <c:crosses val="autoZero"/>
        <c:auto val="1"/>
        <c:lblAlgn val="ctr"/>
        <c:lblOffset val="100"/>
        <c:noMultiLvlLbl val="0"/>
      </c:catAx>
      <c:valAx>
        <c:axId val="347383080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22211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05793566563942"/>
          <c:y val="0.10160290915094949"/>
          <c:w val="0.72598775584795316"/>
          <c:h val="0.62002578040689071"/>
        </c:manualLayout>
      </c:layout>
      <c:barChart>
        <c:barDir val="col"/>
        <c:grouping val="percentStacked"/>
        <c:varyColors val="0"/>
        <c:ser>
          <c:idx val="0"/>
          <c:order val="0"/>
          <c:tx>
            <c:v>Podíl stálých aktiv</c:v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List1!$I$13:$K$13</c:f>
              <c:strCache>
                <c:ptCount val="3"/>
                <c:pt idx="0">
                  <c:v>k 31. 12. 2013</c:v>
                </c:pt>
                <c:pt idx="1">
                  <c:v>k 31. 12. 2014</c:v>
                </c:pt>
                <c:pt idx="2">
                  <c:v>k 31. 12. 2015</c:v>
                </c:pt>
              </c:strCache>
            </c:strRef>
          </c:cat>
          <c:val>
            <c:numRef>
              <c:f>List1!$M$15:$O$15</c:f>
              <c:numCache>
                <c:formatCode>General</c:formatCode>
                <c:ptCount val="3"/>
                <c:pt idx="0">
                  <c:v>13.52</c:v>
                </c:pt>
                <c:pt idx="1">
                  <c:v>15.33</c:v>
                </c:pt>
                <c:pt idx="2">
                  <c:v>40.770000000000003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15-4897-BD59-C71C5577E88F}"/>
            </c:ext>
          </c:extLst>
        </c:ser>
        <c:ser>
          <c:idx val="1"/>
          <c:order val="1"/>
          <c:tx>
            <c:v>Podíl oběžných aktiv</c:v>
          </c:tx>
          <c:spPr>
            <a:solidFill>
              <a:srgbClr val="BD2A33"/>
            </a:solidFill>
            <a:ln w="0">
              <a:solidFill>
                <a:sysClr val="windowText" lastClr="000000">
                  <a:lumMod val="25000"/>
                  <a:lumOff val="75000"/>
                </a:sysClr>
              </a:solidFill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List1!$M$16:$O$16</c:f>
              <c:numCache>
                <c:formatCode>General</c:formatCode>
                <c:ptCount val="3"/>
                <c:pt idx="0">
                  <c:v>86.48</c:v>
                </c:pt>
                <c:pt idx="1">
                  <c:v>84.67</c:v>
                </c:pt>
                <c:pt idx="2">
                  <c:v>59.23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15-4897-BD59-C71C5577E8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0"/>
        <c:overlap val="100"/>
        <c:axId val="158072504"/>
        <c:axId val="307692456"/>
      </c:barChart>
      <c:lineChart>
        <c:grouping val="standard"/>
        <c:varyColors val="0"/>
        <c:ser>
          <c:idx val="2"/>
          <c:order val="2"/>
          <c:tx>
            <c:v>Výše aktiv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F7F7F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819534540310816E-2"/>
                  <c:y val="-0.17816528943497448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944"/>
                        <a:gd name="adj2" fmla="val 211061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6915-4897-BD59-C71C5577E88F}"/>
                </c:ext>
              </c:extLst>
            </c:dLbl>
            <c:dLbl>
              <c:idx val="1"/>
              <c:layout>
                <c:manualLayout>
                  <c:x val="-5.6127285470307361E-2"/>
                  <c:y val="-0.14557951890629056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401"/>
                        <a:gd name="adj2" fmla="val 155268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6915-4897-BD59-C71C5577E88F}"/>
                </c:ext>
              </c:extLst>
            </c:dLbl>
            <c:dLbl>
              <c:idx val="2"/>
              <c:layout>
                <c:manualLayout>
                  <c:x val="-5.2674670743330113E-2"/>
                  <c:y val="-0.118646999210360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915-4897-BD59-C71C5577E88F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List1!$M$17:$O$17</c:f>
              <c:numCache>
                <c:formatCode>#,##0</c:formatCode>
                <c:ptCount val="3"/>
                <c:pt idx="0">
                  <c:v>2438099</c:v>
                </c:pt>
                <c:pt idx="1">
                  <c:v>2593478</c:v>
                </c:pt>
                <c:pt idx="2">
                  <c:v>990072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915-4897-BD59-C71C5577E8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6070096"/>
        <c:axId val="346211536"/>
      </c:lineChart>
      <c:catAx>
        <c:axId val="158072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07692456"/>
        <c:crosses val="autoZero"/>
        <c:auto val="1"/>
        <c:lblAlgn val="ctr"/>
        <c:lblOffset val="100"/>
        <c:noMultiLvlLbl val="0"/>
      </c:catAx>
      <c:valAx>
        <c:axId val="3076924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Podíl na aktivech (v %)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8072504"/>
        <c:crosses val="autoZero"/>
        <c:crossBetween val="between"/>
      </c:valAx>
      <c:valAx>
        <c:axId val="346211536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Výše</a:t>
                </a:r>
                <a:r>
                  <a:rPr lang="cs-CZ" baseline="0"/>
                  <a:t> aktiv (v tis. Kč)</a:t>
                </a:r>
                <a:endParaRPr lang="cs-CZ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06070096"/>
        <c:crosses val="max"/>
        <c:crossBetween val="between"/>
      </c:valAx>
      <c:catAx>
        <c:axId val="306070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462115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0132378862877721"/>
          <c:y val="0.81647148167392769"/>
          <c:w val="0.76294890433578011"/>
          <c:h val="0.151681721891362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2764932972916103"/>
          <c:h val="0.72086729044739439"/>
        </c:manualLayout>
      </c:layout>
      <c:doughnutChart>
        <c:varyColors val="1"/>
        <c:ser>
          <c:idx val="0"/>
          <c:order val="0"/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955-4517-955A-EBED2E65F4FD}"/>
              </c:ext>
            </c:extLst>
          </c:dPt>
          <c:dPt>
            <c:idx val="1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955-4517-955A-EBED2E65F4FD}"/>
              </c:ext>
            </c:extLst>
          </c:dPt>
          <c:dLbls>
            <c:dLbl>
              <c:idx val="0"/>
              <c:layout>
                <c:manualLayout>
                  <c:x val="-1.7638888888888909E-2"/>
                  <c:y val="-1.763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955-4517-955A-EBED2E65F4FD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val>
            <c:numRef>
              <c:f>List1!$I$38:$I$39</c:f>
              <c:numCache>
                <c:formatCode>General</c:formatCode>
                <c:ptCount val="2"/>
                <c:pt idx="0">
                  <c:v>84.99</c:v>
                </c:pt>
                <c:pt idx="1">
                  <c:v>15.010000000000005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55-4517-955A-EBED2E65F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5"/>
        <c:holeSize val="7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2045940642675472"/>
          <c:h val="0.71528051881684451"/>
        </c:manualLayout>
      </c:layout>
      <c:doughnutChart>
        <c:varyColors val="1"/>
        <c:ser>
          <c:idx val="0"/>
          <c:order val="0"/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1C-4D45-8675-A36FBE67F3DC}"/>
              </c:ext>
            </c:extLst>
          </c:dPt>
          <c:dPt>
            <c:idx val="1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1C-4D45-8675-A36FBE67F3DC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List1!$H$33:$H$34</c:f>
              <c:strCache>
                <c:ptCount val="2"/>
                <c:pt idx="0">
                  <c:v>Rezervní fond z ostatních titulů</c:v>
                </c:pt>
                <c:pt idx="1">
                  <c:v>Ostatní pasiva</c:v>
                </c:pt>
              </c:strCache>
            </c:strRef>
          </c:cat>
          <c:val>
            <c:numRef>
              <c:f>List1!$K$38:$K$39</c:f>
              <c:numCache>
                <c:formatCode>General</c:formatCode>
                <c:ptCount val="2"/>
                <c:pt idx="0">
                  <c:v>55.98</c:v>
                </c:pt>
                <c:pt idx="1">
                  <c:v>44.02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1C-4D45-8675-A36FBE67F3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05"/>
        <c:holeSize val="7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4432158449872827"/>
          <c:h val="0.7338232402578314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27-4BFE-98CF-5B53F9037A6B}"/>
              </c:ext>
            </c:extLst>
          </c:dPt>
          <c:dPt>
            <c:idx val="1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27-4BFE-98CF-5B53F9037A6B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List1!$H$33:$H$34</c:f>
              <c:strCache>
                <c:ptCount val="2"/>
                <c:pt idx="0">
                  <c:v>Rezervní fond z ostatních titulů</c:v>
                </c:pt>
                <c:pt idx="1">
                  <c:v>Ostatní pasiva</c:v>
                </c:pt>
              </c:strCache>
            </c:strRef>
          </c:cat>
          <c:val>
            <c:numRef>
              <c:f>List1!$J$38:$J$39</c:f>
              <c:numCache>
                <c:formatCode>General</c:formatCode>
                <c:ptCount val="2"/>
                <c:pt idx="0">
                  <c:v>83.42</c:v>
                </c:pt>
                <c:pt idx="1">
                  <c:v>16.579999999999998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27-4BFE-98CF-5B53F9037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5"/>
        <c:holeSize val="70"/>
      </c:doughnutChart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6295729233584408"/>
          <c:w val="1"/>
          <c:h val="0.15190814408330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5E-2"/>
          <c:y val="6.9940614965028819E-2"/>
          <c:w val="0.89019685039370078"/>
          <c:h val="0.68520934324550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List1!$I$72</c:f>
              <c:strCache>
                <c:ptCount val="1"/>
                <c:pt idx="0">
                  <c:v>Vlastní zdroje (z rozvahy)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4.4692737430167594E-3"/>
                </c:manualLayout>
              </c:layout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3062"/>
                        <a:gd name="adj2" fmla="val 103878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9153-471B-8A29-3C5633AD78B3}"/>
                </c:ext>
              </c:extLst>
            </c:dLbl>
            <c:dLbl>
              <c:idx val="1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302"/>
                        <a:gd name="adj2" fmla="val 12001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0-A014-45E5-820B-B64DAE350C55}"/>
                </c:ext>
              </c:extLst>
            </c:dLbl>
            <c:dLbl>
              <c:idx val="2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6403"/>
                        <a:gd name="adj2" fmla="val 11114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A014-45E5-820B-B64DAE350C55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List1!$L$35:$L$37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List1!$M$35:$M$37</c:f>
              <c:numCache>
                <c:formatCode>General</c:formatCode>
                <c:ptCount val="3"/>
                <c:pt idx="0">
                  <c:v>98.87</c:v>
                </c:pt>
                <c:pt idx="1">
                  <c:v>96.83</c:v>
                </c:pt>
                <c:pt idx="2">
                  <c:v>94.63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53-471B-8A29-3C5633AD78B3}"/>
            </c:ext>
          </c:extLst>
        </c:ser>
        <c:ser>
          <c:idx val="1"/>
          <c:order val="1"/>
          <c:tx>
            <c:strRef>
              <c:f>List1!$I$73</c:f>
              <c:strCache>
                <c:ptCount val="1"/>
                <c:pt idx="0">
                  <c:v>Cizí zdroje (z rozvahy)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dLbl>
              <c:idx val="2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0"/>
                        <a:gd name="adj2" fmla="val 80111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2-A014-45E5-820B-B64DAE350C55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List1!$L$35:$L$37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List1!$N$35:$N$37</c:f>
              <c:numCache>
                <c:formatCode>General</c:formatCode>
                <c:ptCount val="3"/>
                <c:pt idx="0">
                  <c:v>1.1299999999999999</c:v>
                </c:pt>
                <c:pt idx="1">
                  <c:v>3.17</c:v>
                </c:pt>
                <c:pt idx="2">
                  <c:v>5.37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53-471B-8A29-3C5633AD78B3}"/>
            </c:ext>
          </c:extLst>
        </c:ser>
        <c:ser>
          <c:idx val="2"/>
          <c:order val="2"/>
          <c:tx>
            <c:strRef>
              <c:f>List1!$I$74</c:f>
              <c:strCache>
                <c:ptCount val="1"/>
                <c:pt idx="0">
                  <c:v>Vlastní zdroje (bez zkreslení)</c:v>
                </c:pt>
              </c:strCache>
            </c:strRef>
          </c:tx>
          <c:spPr>
            <a:solidFill>
              <a:srgbClr val="004595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3062"/>
                        <a:gd name="adj2" fmla="val 103177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9153-471B-8A29-3C5633AD78B3}"/>
                </c:ext>
              </c:extLst>
            </c:dLbl>
            <c:dLbl>
              <c:idx val="1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201"/>
                        <a:gd name="adj2" fmla="val 115580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A014-45E5-820B-B64DAE350C55}"/>
                </c:ext>
              </c:extLst>
            </c:dLbl>
            <c:dLbl>
              <c:idx val="2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302"/>
                        <a:gd name="adj2" fmla="val 10671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A014-45E5-820B-B64DAE350C55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List1!$L$35:$L$37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List1!$O$35:$O$37</c:f>
              <c:numCache>
                <c:formatCode>General</c:formatCode>
                <c:ptCount val="3"/>
                <c:pt idx="0">
                  <c:v>84.08</c:v>
                </c:pt>
                <c:pt idx="1">
                  <c:v>81.16</c:v>
                </c:pt>
                <c:pt idx="2">
                  <c:v>78.64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53-471B-8A29-3C5633AD78B3}"/>
            </c:ext>
          </c:extLst>
        </c:ser>
        <c:ser>
          <c:idx val="3"/>
          <c:order val="3"/>
          <c:tx>
            <c:strRef>
              <c:f>List1!$I$75</c:f>
              <c:strCache>
                <c:ptCount val="1"/>
                <c:pt idx="0">
                  <c:v>Cízí zdroje (bez zkreslení)</c:v>
                </c:pt>
              </c:strCache>
            </c:strRef>
          </c:tx>
          <c:spPr>
            <a:solidFill>
              <a:srgbClr val="BD2A33">
                <a:alpha val="60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7416"/>
                        <a:gd name="adj2" fmla="val 10422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9153-471B-8A29-3C5633AD78B3}"/>
                </c:ext>
              </c:extLst>
            </c:dLbl>
            <c:dLbl>
              <c:idx val="1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302"/>
                        <a:gd name="adj2" fmla="val 10227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A014-45E5-820B-B64DAE350C55}"/>
                </c:ext>
              </c:extLst>
            </c:dLbl>
            <c:dLbl>
              <c:idx val="2"/>
              <c:numFmt formatCode="#,##0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8201"/>
                        <a:gd name="adj2" fmla="val 106713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A014-45E5-820B-B64DAE350C55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List1!$L$35:$L$37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List1!$P$35:$P$37</c:f>
              <c:numCache>
                <c:formatCode>General</c:formatCode>
                <c:ptCount val="3"/>
                <c:pt idx="0">
                  <c:v>15.92</c:v>
                </c:pt>
                <c:pt idx="1">
                  <c:v>18.84</c:v>
                </c:pt>
                <c:pt idx="2">
                  <c:v>21.36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53-471B-8A29-3C5633AD78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0"/>
        <c:overlap val="-5"/>
        <c:axId val="159341664"/>
        <c:axId val="159342056"/>
      </c:barChart>
      <c:catAx>
        <c:axId val="15934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9342056"/>
        <c:crosses val="autoZero"/>
        <c:auto val="1"/>
        <c:lblAlgn val="ctr"/>
        <c:lblOffset val="100"/>
        <c:tickMarkSkip val="1"/>
        <c:noMultiLvlLbl val="0"/>
      </c:catAx>
      <c:valAx>
        <c:axId val="159342056"/>
        <c:scaling>
          <c:orientation val="minMax"/>
          <c:max val="100"/>
        </c:scaling>
        <c:delete val="1"/>
        <c:axPos val="l"/>
        <c:numFmt formatCode="#,##0" sourceLinked="0"/>
        <c:majorTickMark val="none"/>
        <c:minorTickMark val="none"/>
        <c:tickLblPos val="nextTo"/>
        <c:crossAx val="1593416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16953301629375539"/>
          <c:y val="0.84519667244984209"/>
          <c:w val="0.67193506752250032"/>
          <c:h val="0.145763779527559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707889454994596"/>
          <c:y val="3.8142852436332489E-2"/>
          <c:w val="0.28226169349452607"/>
          <c:h val="0.89343502564271526"/>
        </c:manualLayout>
      </c:layout>
      <c:doughnutChart>
        <c:varyColors val="1"/>
        <c:ser>
          <c:idx val="0"/>
          <c:order val="0"/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89-4AAB-8BEF-D34407974F84}"/>
              </c:ext>
            </c:extLst>
          </c:dPt>
          <c:dPt>
            <c:idx val="1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89-4AAB-8BEF-D34407974F84}"/>
              </c:ext>
            </c:extLst>
          </c:dPt>
          <c:dLbls>
            <c:dLbl>
              <c:idx val="0"/>
              <c:layout>
                <c:manualLayout>
                  <c:x val="0.25097171842283755"/>
                  <c:y val="5.170619218940542E-2"/>
                </c:manualLayout>
              </c:layout>
              <c:tx>
                <c:rich>
                  <a:bodyPr rot="0" spcFirstLastPara="1" vertOverflow="clip" horzOverflow="clip" vert="horz" wrap="square" lIns="0" tIns="36000" rIns="36000" bIns="3600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/>
                      <a:t>Počet eR</a:t>
                    </a:r>
                    <a:r>
                      <a:rPr lang="en-US" sz="1000" baseline="0"/>
                      <a:t>eceptů</a:t>
                    </a:r>
                    <a:br>
                      <a:rPr lang="en-US" sz="1000" baseline="0"/>
                    </a:br>
                    <a:fld id="{0AC73963-2078-4DDA-9589-4B1A09A0E98A}" type="VALUE">
                      <a:rPr lang="en-US" sz="1000"/>
                      <a:pPr>
                        <a:defRPr/>
                      </a:pPr>
                      <a:t>[HODNOTA]</a:t>
                    </a:fld>
                    <a:endParaRPr lang="en-US" sz="1000" baseline="0"/>
                  </a:p>
                </c:rich>
              </c:tx>
              <c:spPr>
                <a:solidFill>
                  <a:sysClr val="window" lastClr="FFFFFF"/>
                </a:solidFill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0" tIns="36000" rIns="36000" bIns="3600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8735265494324777"/>
                      <c:h val="0.2518192776983718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789-4AAB-8BEF-D34407974F84}"/>
                </c:ext>
              </c:extLst>
            </c:dLbl>
            <c:dLbl>
              <c:idx val="1"/>
              <c:layout>
                <c:manualLayout>
                  <c:x val="-0.26370684166792435"/>
                  <c:y val="-6.5408498220736452E-2"/>
                </c:manualLayout>
              </c:layout>
              <c:tx>
                <c:rich>
                  <a:bodyPr rot="0" spcFirstLastPara="1" vertOverflow="clip" horzOverflow="clip" vert="horz" wrap="square" lIns="0" tIns="36000" rIns="36000" bIns="3600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/>
                      <a:t>Počet listinných receptů</a:t>
                    </a:r>
                    <a:br>
                      <a:rPr lang="en-US" sz="1000"/>
                    </a:br>
                    <a:fld id="{30915E82-B87A-4E45-ADDB-00402EE7555E}" type="VALUE">
                      <a:rPr lang="en-US" sz="1000"/>
                      <a:pPr>
                        <a:defRPr/>
                      </a:pPr>
                      <a:t>[HODNOTA]</a:t>
                    </a:fld>
                    <a:endParaRPr lang="en-US" sz="1000"/>
                  </a:p>
                </c:rich>
              </c:tx>
              <c:spPr>
                <a:solidFill>
                  <a:sysClr val="window" lastClr="FFFFFF"/>
                </a:solidFill>
                <a:ln w="9525"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0" tIns="36000" rIns="36000" bIns="3600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0277455403996505"/>
                      <c:h val="0.295433070866141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789-4AAB-8BEF-D34407974F84}"/>
                </c:ext>
              </c:extLst>
            </c:dLbl>
            <c:spPr>
              <a:solidFill>
                <a:sysClr val="window" lastClr="FFFFFF"/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val>
            <c:numRef>
              <c:f>List1!$I$22:$I$23</c:f>
              <c:numCache>
                <c:formatCode>#,##0</c:formatCode>
                <c:ptCount val="2"/>
                <c:pt idx="0">
                  <c:v>4784850</c:v>
                </c:pt>
                <c:pt idx="1">
                  <c:v>303534066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89-4AAB-8BEF-D34407974F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45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4C0-1F28-46A2-83B1-B55E757F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C8FE1B04.dotm</Template>
  <TotalTime>2</TotalTime>
  <Pages>25</Pages>
  <Words>8279</Words>
  <Characters>48850</Characters>
  <Application>Microsoft Office Word</Application>
  <DocSecurity>4</DocSecurity>
  <Lines>407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57015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KA 16/18 - Majetek a peněžní prostředky státu, se kterými je příslušný hospodařit Státní ústav pro kontrolu léčiv</dc:title>
  <dc:subject/>
  <dc:creator>Nejvyšší kontrolní úřad</dc:creator>
  <cp:keywords>kontrolní závěr;SÚKL;Státní ústav pro kontrolu léčiv</cp:keywords>
  <dc:description/>
  <cp:lastModifiedBy>KOKRDA Daniel</cp:lastModifiedBy>
  <cp:revision>2</cp:revision>
  <cp:lastPrinted>2017-04-18T06:22:00Z</cp:lastPrinted>
  <dcterms:created xsi:type="dcterms:W3CDTF">2017-04-25T07:12:00Z</dcterms:created>
  <dcterms:modified xsi:type="dcterms:W3CDTF">2017-04-25T07:12:00Z</dcterms:modified>
</cp:coreProperties>
</file>