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A4D7F" w14:textId="77777777" w:rsidR="00571866" w:rsidRDefault="00571866" w:rsidP="00F676E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B33461">
        <w:rPr>
          <w:rFonts w:ascii="Calibri" w:hAnsi="Calibri" w:cs="Calibri"/>
          <w:b/>
          <w:noProof/>
          <w:sz w:val="24"/>
          <w:szCs w:val="24"/>
          <w:lang w:eastAsia="cs-CZ"/>
        </w:rPr>
        <w:drawing>
          <wp:anchor distT="0" distB="0" distL="114935" distR="114935" simplePos="0" relativeHeight="251659264" behindDoc="0" locked="0" layoutInCell="1" allowOverlap="1" wp14:anchorId="37690635" wp14:editId="531FEB75">
            <wp:simplePos x="0" y="0"/>
            <wp:positionH relativeFrom="column">
              <wp:posOffset>2530879</wp:posOffset>
            </wp:positionH>
            <wp:positionV relativeFrom="paragraph">
              <wp:posOffset>116</wp:posOffset>
            </wp:positionV>
            <wp:extent cx="763905" cy="53975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BD8E0" w14:textId="77777777" w:rsidR="00F676EA" w:rsidRPr="00B33461" w:rsidRDefault="00F676EA" w:rsidP="0057186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29BFE1D" w14:textId="77777777" w:rsidR="00571866" w:rsidRPr="00B33461" w:rsidRDefault="00571866" w:rsidP="0057186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570783A" w14:textId="77777777" w:rsidR="00571866" w:rsidRPr="00184AA7" w:rsidRDefault="00571866" w:rsidP="00571866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bookmarkStart w:id="0" w:name="_GoBack"/>
      <w:r w:rsidRPr="00184AA7">
        <w:rPr>
          <w:rFonts w:ascii="Calibri" w:eastAsia="Times New Roman" w:hAnsi="Calibri" w:cs="Calibri"/>
          <w:b/>
          <w:sz w:val="28"/>
          <w:szCs w:val="28"/>
        </w:rPr>
        <w:t>Kontrolní závěr z kontrolní akce</w:t>
      </w:r>
    </w:p>
    <w:p w14:paraId="66C10CCE" w14:textId="77777777" w:rsidR="00571866" w:rsidRPr="00184AA7" w:rsidRDefault="00571866" w:rsidP="00571866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  <w:highlight w:val="lightGray"/>
        </w:rPr>
      </w:pPr>
    </w:p>
    <w:p w14:paraId="17151C78" w14:textId="77777777" w:rsidR="00571866" w:rsidRPr="00184AA7" w:rsidRDefault="00571866" w:rsidP="00571866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184AA7">
        <w:rPr>
          <w:rFonts w:ascii="Calibri" w:eastAsia="Times New Roman" w:hAnsi="Calibri" w:cs="Calibri"/>
          <w:b/>
          <w:sz w:val="28"/>
          <w:szCs w:val="28"/>
        </w:rPr>
        <w:t>1</w:t>
      </w:r>
      <w:r>
        <w:rPr>
          <w:rFonts w:ascii="Calibri" w:eastAsia="Times New Roman" w:hAnsi="Calibri" w:cs="Calibri"/>
          <w:b/>
          <w:sz w:val="28"/>
          <w:szCs w:val="28"/>
        </w:rPr>
        <w:t>6/17</w:t>
      </w:r>
    </w:p>
    <w:p w14:paraId="1FF1F512" w14:textId="77777777" w:rsidR="00571866" w:rsidRDefault="00571866" w:rsidP="00571866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14:paraId="20538656" w14:textId="77777777" w:rsidR="00571866" w:rsidRPr="00184AA7" w:rsidRDefault="00571866" w:rsidP="00571866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>Účetnictví Ministerstva zahraničních věcí</w:t>
      </w:r>
    </w:p>
    <w:bookmarkEnd w:id="0"/>
    <w:p w14:paraId="3F556011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49534950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green"/>
        </w:rPr>
      </w:pPr>
    </w:p>
    <w:p w14:paraId="1B305370" w14:textId="77777777" w:rsidR="00571866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Kontrolní akce byla zařazena do plánu kontrolní činnosti Nejvyššího kontrolního úřadu (dále jen „NKÚ“) na rok 201</w:t>
      </w:r>
      <w:r>
        <w:rPr>
          <w:rFonts w:ascii="Calibri" w:eastAsia="Times New Roman" w:hAnsi="Calibri" w:cs="Calibri"/>
          <w:sz w:val="24"/>
          <w:szCs w:val="24"/>
        </w:rPr>
        <w:t>6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pod číslem 1</w:t>
      </w:r>
      <w:r>
        <w:rPr>
          <w:rFonts w:ascii="Calibri" w:eastAsia="Times New Roman" w:hAnsi="Calibri" w:cs="Calibri"/>
          <w:sz w:val="24"/>
          <w:szCs w:val="24"/>
        </w:rPr>
        <w:t>6/17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. Kontrolní akci řídil a kontrolní závěr vypracoval člen NKÚ Ing. </w:t>
      </w:r>
      <w:r>
        <w:rPr>
          <w:rFonts w:ascii="Calibri" w:eastAsia="Times New Roman" w:hAnsi="Calibri" w:cs="Calibri"/>
          <w:sz w:val="24"/>
          <w:szCs w:val="24"/>
        </w:rPr>
        <w:t>Daniel Reisiegel, MPA</w:t>
      </w:r>
      <w:r w:rsidRPr="00184AA7">
        <w:rPr>
          <w:rFonts w:ascii="Calibri" w:eastAsia="Times New Roman" w:hAnsi="Calibri" w:cs="Calibri"/>
          <w:sz w:val="24"/>
          <w:szCs w:val="24"/>
        </w:rPr>
        <w:t>.</w:t>
      </w:r>
    </w:p>
    <w:p w14:paraId="27FDAD35" w14:textId="77777777" w:rsidR="00571866" w:rsidRPr="00B37B3A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9EA829A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 xml:space="preserve">Cílem kontroly bylo prověřit, </w:t>
      </w:r>
      <w:r w:rsidRPr="00184AA7">
        <w:rPr>
          <w:rFonts w:ascii="Calibri" w:eastAsia="Times New Roman" w:hAnsi="Calibri" w:cs="Calibri"/>
          <w:bCs/>
          <w:sz w:val="24"/>
          <w:szCs w:val="24"/>
        </w:rPr>
        <w:t>zda Ministerstvo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zahraničních věcí</w:t>
      </w:r>
      <w:r w:rsidRPr="00184AA7">
        <w:rPr>
          <w:rFonts w:ascii="Calibri" w:eastAsia="Times New Roman" w:hAnsi="Calibri" w:cs="Calibri"/>
          <w:bCs/>
          <w:sz w:val="24"/>
          <w:szCs w:val="24"/>
        </w:rPr>
        <w:t xml:space="preserve"> při vedení účetnictví </w:t>
      </w:r>
      <w:r>
        <w:rPr>
          <w:rFonts w:ascii="Calibri" w:eastAsia="Times New Roman" w:hAnsi="Calibri" w:cs="Calibri"/>
          <w:bCs/>
          <w:sz w:val="24"/>
          <w:szCs w:val="24"/>
        </w:rPr>
        <w:t>v roce 2015</w:t>
      </w:r>
      <w:r w:rsidRPr="00184AA7">
        <w:rPr>
          <w:rFonts w:ascii="Calibri" w:eastAsia="Times New Roman" w:hAnsi="Calibri" w:cs="Calibri"/>
          <w:bCs/>
          <w:sz w:val="24"/>
          <w:szCs w:val="24"/>
        </w:rPr>
        <w:t xml:space="preserve"> postupovalo v souladu s příslušnými právními předpisy. </w:t>
      </w:r>
    </w:p>
    <w:p w14:paraId="44A11833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732A3697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b/>
          <w:sz w:val="24"/>
          <w:szCs w:val="24"/>
        </w:rPr>
        <w:t>Kontrolovaná osoba: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Ministerstvo </w:t>
      </w:r>
      <w:r>
        <w:rPr>
          <w:rFonts w:ascii="Calibri" w:eastAsia="Times New Roman" w:hAnsi="Calibri" w:cs="Calibri"/>
          <w:sz w:val="24"/>
          <w:szCs w:val="24"/>
        </w:rPr>
        <w:t>zahraničních věcí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(dále také „M</w:t>
      </w:r>
      <w:r>
        <w:rPr>
          <w:rFonts w:ascii="Calibri" w:eastAsia="Times New Roman" w:hAnsi="Calibri" w:cs="Calibri"/>
          <w:sz w:val="24"/>
          <w:szCs w:val="24"/>
        </w:rPr>
        <w:t>Z</w:t>
      </w:r>
      <w:r w:rsidRPr="00184AA7">
        <w:rPr>
          <w:rFonts w:ascii="Calibri" w:eastAsia="Times New Roman" w:hAnsi="Calibri" w:cs="Calibri"/>
          <w:sz w:val="24"/>
          <w:szCs w:val="24"/>
        </w:rPr>
        <w:t>V“).</w:t>
      </w:r>
    </w:p>
    <w:p w14:paraId="357D256F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1D11E06E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Kontrolováno bylo období roku 201</w:t>
      </w:r>
      <w:r>
        <w:rPr>
          <w:rFonts w:ascii="Calibri" w:eastAsia="Times New Roman" w:hAnsi="Calibri" w:cs="Calibri"/>
          <w:sz w:val="24"/>
          <w:szCs w:val="24"/>
        </w:rPr>
        <w:t>5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včetně souvisejících skutečností </w:t>
      </w:r>
      <w:r w:rsidRPr="00184AA7">
        <w:rPr>
          <w:rFonts w:ascii="Calibri" w:eastAsia="Times New Roman" w:hAnsi="Calibri" w:cs="Calibri"/>
          <w:spacing w:val="-2"/>
          <w:sz w:val="24"/>
          <w:szCs w:val="24"/>
        </w:rPr>
        <w:t>z let předchozích a roku následujícího</w:t>
      </w:r>
      <w:r w:rsidRPr="00184AA7">
        <w:rPr>
          <w:rFonts w:ascii="Calibri" w:eastAsia="Times New Roman" w:hAnsi="Calibri" w:cs="Calibri"/>
          <w:sz w:val="24"/>
          <w:szCs w:val="24"/>
        </w:rPr>
        <w:t>.</w:t>
      </w:r>
    </w:p>
    <w:p w14:paraId="51DB8BEA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6E93736F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 xml:space="preserve">Kontrola byla prováděna u kontrolované osoby v době od </w:t>
      </w:r>
      <w:r>
        <w:rPr>
          <w:rFonts w:ascii="Calibri" w:eastAsia="Times New Roman" w:hAnsi="Calibri" w:cs="Calibri"/>
          <w:sz w:val="24"/>
          <w:szCs w:val="24"/>
        </w:rPr>
        <w:t>června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do </w:t>
      </w:r>
      <w:r>
        <w:rPr>
          <w:rFonts w:ascii="Calibri" w:eastAsia="Times New Roman" w:hAnsi="Calibri" w:cs="Calibri"/>
          <w:sz w:val="24"/>
          <w:szCs w:val="24"/>
        </w:rPr>
        <w:t>prosince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2016.</w:t>
      </w:r>
    </w:p>
    <w:p w14:paraId="29C06AF4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55D3CF68" w14:textId="03ED25D0" w:rsidR="00571866" w:rsidRPr="00053E78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184AA7">
        <w:rPr>
          <w:rFonts w:ascii="Calibri" w:eastAsia="Times New Roman" w:hAnsi="Calibri" w:cs="Calibri"/>
          <w:sz w:val="24"/>
          <w:szCs w:val="24"/>
        </w:rPr>
        <w:t>Námitky proti kontrolnímu protokolu, které M</w:t>
      </w:r>
      <w:r>
        <w:rPr>
          <w:rFonts w:ascii="Calibri" w:eastAsia="Times New Roman" w:hAnsi="Calibri" w:cs="Calibri"/>
          <w:sz w:val="24"/>
          <w:szCs w:val="24"/>
        </w:rPr>
        <w:t>Z</w:t>
      </w:r>
      <w:r w:rsidRPr="00184AA7">
        <w:rPr>
          <w:rFonts w:ascii="Calibri" w:eastAsia="Times New Roman" w:hAnsi="Calibri" w:cs="Calibri"/>
          <w:sz w:val="24"/>
          <w:szCs w:val="24"/>
        </w:rPr>
        <w:t>V podalo, vypořád</w:t>
      </w:r>
      <w:r w:rsidR="00F676EA">
        <w:rPr>
          <w:rFonts w:ascii="Calibri" w:eastAsia="Times New Roman" w:hAnsi="Calibri" w:cs="Calibri"/>
          <w:sz w:val="24"/>
          <w:szCs w:val="24"/>
        </w:rPr>
        <w:t>ala</w:t>
      </w:r>
      <w:r w:rsidRPr="00184AA7">
        <w:rPr>
          <w:rFonts w:ascii="Calibri" w:eastAsia="Times New Roman" w:hAnsi="Calibri" w:cs="Calibri"/>
          <w:sz w:val="24"/>
          <w:szCs w:val="24"/>
        </w:rPr>
        <w:t xml:space="preserve"> vedoucí skupiny kontrolujících rozhodnutím o námitkách. </w:t>
      </w:r>
    </w:p>
    <w:p w14:paraId="39C8AE89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2DC8ADE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1C86354" w14:textId="3BD053C9" w:rsidR="00571866" w:rsidRPr="00F627A3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F627A3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Kolegium</w:t>
      </w:r>
      <w:r w:rsidRPr="00F627A3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  </w:t>
      </w:r>
      <w:r w:rsidRPr="00F627A3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NKÚ</w:t>
      </w:r>
      <w:proofErr w:type="gramEnd"/>
      <w:r w:rsidRPr="00F627A3">
        <w:rPr>
          <w:rFonts w:ascii="Calibri" w:eastAsia="Times New Roman" w:hAnsi="Calibri" w:cs="Calibri"/>
          <w:sz w:val="24"/>
          <w:szCs w:val="24"/>
        </w:rPr>
        <w:t xml:space="preserve">   na svém </w:t>
      </w:r>
      <w:r>
        <w:rPr>
          <w:rFonts w:ascii="Calibri" w:eastAsia="Times New Roman" w:hAnsi="Calibri" w:cs="Calibri"/>
          <w:sz w:val="24"/>
          <w:szCs w:val="24"/>
        </w:rPr>
        <w:t>IV</w:t>
      </w:r>
      <w:r w:rsidRPr="00F627A3">
        <w:rPr>
          <w:rFonts w:ascii="Calibri" w:eastAsia="Times New Roman" w:hAnsi="Calibri" w:cs="Calibri"/>
          <w:sz w:val="24"/>
          <w:szCs w:val="24"/>
        </w:rPr>
        <w:t>. jednání</w:t>
      </w:r>
      <w:r w:rsidR="00F676EA">
        <w:rPr>
          <w:rFonts w:ascii="Calibri" w:eastAsia="Times New Roman" w:hAnsi="Calibri" w:cs="Calibri"/>
          <w:sz w:val="24"/>
          <w:szCs w:val="24"/>
        </w:rPr>
        <w:t xml:space="preserve"> v roce </w:t>
      </w:r>
      <w:r w:rsidR="00F676EA" w:rsidRPr="00F627A3">
        <w:rPr>
          <w:rFonts w:ascii="Calibri" w:eastAsia="Times New Roman" w:hAnsi="Calibri" w:cs="Calibri"/>
          <w:sz w:val="24"/>
          <w:szCs w:val="24"/>
        </w:rPr>
        <w:t>2017</w:t>
      </w:r>
      <w:r w:rsidRPr="00F627A3">
        <w:rPr>
          <w:rFonts w:ascii="Calibri" w:eastAsia="Times New Roman" w:hAnsi="Calibri" w:cs="Calibri"/>
          <w:sz w:val="24"/>
          <w:szCs w:val="24"/>
        </w:rPr>
        <w:t>, které se konalo dne</w:t>
      </w:r>
      <w:r>
        <w:rPr>
          <w:rFonts w:ascii="Calibri" w:eastAsia="Times New Roman" w:hAnsi="Calibri" w:cs="Calibri"/>
          <w:sz w:val="24"/>
          <w:szCs w:val="24"/>
        </w:rPr>
        <w:t xml:space="preserve"> 27. února</w:t>
      </w:r>
      <w:r w:rsidRPr="00F627A3">
        <w:rPr>
          <w:rFonts w:ascii="Calibri" w:eastAsia="Times New Roman" w:hAnsi="Calibri" w:cs="Calibri"/>
          <w:sz w:val="24"/>
          <w:szCs w:val="24"/>
        </w:rPr>
        <w:t>,</w:t>
      </w:r>
    </w:p>
    <w:p w14:paraId="3F9770F2" w14:textId="77777777" w:rsidR="00571866" w:rsidRPr="00F627A3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F627A3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schválilo</w:t>
      </w:r>
      <w:r w:rsidRPr="00F627A3">
        <w:rPr>
          <w:rFonts w:ascii="Calibri" w:eastAsia="Times New Roman" w:hAnsi="Calibri" w:cs="Calibri"/>
          <w:sz w:val="24"/>
          <w:szCs w:val="24"/>
        </w:rPr>
        <w:t xml:space="preserve">   usnesením</w:t>
      </w:r>
      <w:proofErr w:type="gramEnd"/>
      <w:r w:rsidRPr="00F627A3">
        <w:rPr>
          <w:rFonts w:ascii="Calibri" w:eastAsia="Times New Roman" w:hAnsi="Calibri" w:cs="Calibri"/>
          <w:sz w:val="24"/>
          <w:szCs w:val="24"/>
        </w:rPr>
        <w:t xml:space="preserve"> č. </w:t>
      </w:r>
      <w:r>
        <w:rPr>
          <w:rFonts w:ascii="Calibri" w:eastAsia="Times New Roman" w:hAnsi="Calibri" w:cs="Calibri"/>
          <w:sz w:val="24"/>
          <w:szCs w:val="24"/>
        </w:rPr>
        <w:t>8</w:t>
      </w:r>
      <w:r w:rsidRPr="00F627A3">
        <w:rPr>
          <w:rFonts w:ascii="Calibri" w:eastAsia="Times New Roman" w:hAnsi="Calibri" w:cs="Calibri"/>
          <w:sz w:val="24"/>
          <w:szCs w:val="24"/>
        </w:rPr>
        <w:t>/</w:t>
      </w:r>
      <w:r>
        <w:rPr>
          <w:rFonts w:ascii="Calibri" w:eastAsia="Times New Roman" w:hAnsi="Calibri" w:cs="Calibri"/>
          <w:sz w:val="24"/>
          <w:szCs w:val="24"/>
        </w:rPr>
        <w:t>IV</w:t>
      </w:r>
      <w:r w:rsidRPr="00F627A3">
        <w:rPr>
          <w:rFonts w:ascii="Calibri" w:eastAsia="Times New Roman" w:hAnsi="Calibri" w:cs="Calibri"/>
          <w:sz w:val="24"/>
          <w:szCs w:val="24"/>
        </w:rPr>
        <w:t>/2017</w:t>
      </w:r>
    </w:p>
    <w:p w14:paraId="2FD4CF2E" w14:textId="77777777" w:rsidR="00571866" w:rsidRPr="00053E78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proofErr w:type="gramStart"/>
      <w:r w:rsidRPr="00F627A3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kontrolní</w:t>
      </w:r>
      <w:r w:rsidRPr="00F627A3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  </w:t>
      </w:r>
      <w:r w:rsidRPr="00F627A3">
        <w:rPr>
          <w:rFonts w:ascii="Calibri" w:eastAsia="Times New Roman" w:hAnsi="Calibri" w:cs="Calibri"/>
          <w:b/>
          <w:bCs/>
          <w:i/>
          <w:iCs/>
          <w:spacing w:val="60"/>
          <w:sz w:val="24"/>
          <w:szCs w:val="24"/>
        </w:rPr>
        <w:t>závěr</w:t>
      </w:r>
      <w:proofErr w:type="gramEnd"/>
      <w:r w:rsidRPr="00F627A3">
        <w:rPr>
          <w:rFonts w:ascii="Calibri" w:eastAsia="Times New Roman" w:hAnsi="Calibri" w:cs="Calibri"/>
          <w:sz w:val="24"/>
          <w:szCs w:val="24"/>
        </w:rPr>
        <w:t xml:space="preserve">   v tomto znění:</w:t>
      </w:r>
    </w:p>
    <w:p w14:paraId="121CD455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770A7254" w14:textId="77777777" w:rsidR="00571866" w:rsidRPr="00184AA7" w:rsidRDefault="00571866" w:rsidP="00571866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7A68EC59" w14:textId="025A34B2" w:rsidR="005C6B68" w:rsidRPr="005C6B68" w:rsidRDefault="00571866" w:rsidP="00FC2C42">
      <w:pPr>
        <w:spacing w:after="0"/>
        <w:jc w:val="center"/>
        <w:rPr>
          <w:sz w:val="24"/>
          <w:szCs w:val="24"/>
        </w:rPr>
      </w:pPr>
      <w:r w:rsidRPr="009256FA"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98B6EE" wp14:editId="1FAE909F">
                <wp:simplePos x="0" y="0"/>
                <wp:positionH relativeFrom="column">
                  <wp:posOffset>5080</wp:posOffset>
                </wp:positionH>
                <wp:positionV relativeFrom="paragraph">
                  <wp:posOffset>60325</wp:posOffset>
                </wp:positionV>
                <wp:extent cx="5738495" cy="3786505"/>
                <wp:effectExtent l="0" t="0" r="0" b="44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3786505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6CD5C" w14:textId="77777777" w:rsidR="00AB4998" w:rsidRPr="00034864" w:rsidRDefault="00AB4998" w:rsidP="00C30C0E">
                            <w:pPr>
                              <w:pStyle w:val="textKZ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34864">
                              <w:rPr>
                                <w:b/>
                                <w:sz w:val="28"/>
                              </w:rPr>
                              <w:t>Účetnictví Ministerstva zahraničních věcí v kontrolovaném roce 2015 bylo nesprávné, neúplné, neprůkazné a nesrozumitelné.</w:t>
                            </w:r>
                          </w:p>
                          <w:p w14:paraId="3BF1447F" w14:textId="422B1AD7" w:rsidR="00AB4998" w:rsidRDefault="00AB4998" w:rsidP="00C30C0E">
                            <w:pPr>
                              <w:pStyle w:val="textKZ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Kontrolou byly v účetnictví zjištěny nesprávnosti v celkové výši 2,682 mld. Kč, na kterých se podílelo především chybné </w:t>
                            </w:r>
                            <w:r w:rsidRPr="009256FA">
                              <w:rPr>
                                <w:b/>
                              </w:rPr>
                              <w:t>účtování účetních případ</w:t>
                            </w:r>
                            <w:r>
                              <w:rPr>
                                <w:b/>
                              </w:rPr>
                              <w:t>ů</w:t>
                            </w:r>
                            <w:r w:rsidRPr="009256FA">
                              <w:rPr>
                                <w:b/>
                              </w:rPr>
                              <w:t xml:space="preserve"> zastupitelských úřadů</w:t>
                            </w:r>
                            <w:r>
                              <w:rPr>
                                <w:b/>
                              </w:rPr>
                              <w:t xml:space="preserve"> (dále také „ZÚ“), </w:t>
                            </w:r>
                            <w:r w:rsidRPr="009256FA">
                              <w:rPr>
                                <w:b/>
                              </w:rPr>
                              <w:t>podmíněných závazků z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9256FA">
                              <w:rPr>
                                <w:b/>
                              </w:rPr>
                              <w:t>transferů</w:t>
                            </w:r>
                            <w:r>
                              <w:rPr>
                                <w:b/>
                              </w:rPr>
                              <w:t xml:space="preserve"> a prostředků na financování záloh ZÚ</w:t>
                            </w:r>
                            <w:r w:rsidRPr="009256FA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31DDA291" w14:textId="0743BD51" w:rsidR="00AB4998" w:rsidRPr="009256FA" w:rsidRDefault="00AB4998" w:rsidP="00FC2C42">
                            <w:pPr>
                              <w:pStyle w:val="textKZ"/>
                              <w:spacing w:after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MZV nezaúčtovalo do účetního období roku 2015 všechny účetní případy, které se účetního období roku 2015 týkaly. MZV nestanovilo účetní období roku 2015 v souladu se zákonem č. 563/1991 Sb., o účetnictví, neboť pro účetní případy týkající se zastupitelských úřadů (s výjimkou nákladů) stanovilo účetní období od listopadu 2014 do října 2015; v důsledku toho:</w:t>
                            </w:r>
                          </w:p>
                          <w:p w14:paraId="1EB253C5" w14:textId="77777777" w:rsidR="00AB4998" w:rsidRPr="001117CE" w:rsidRDefault="00AB4998" w:rsidP="00FC2C42">
                            <w:pPr>
                              <w:pStyle w:val="textKZ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26"/>
                              <w:rPr>
                                <w:b/>
                              </w:rPr>
                            </w:pPr>
                            <w:r w:rsidRPr="001117CE">
                              <w:rPr>
                                <w:b/>
                              </w:rPr>
                              <w:t xml:space="preserve">nezaúčtovalo </w:t>
                            </w:r>
                            <w:r>
                              <w:rPr>
                                <w:b/>
                              </w:rPr>
                              <w:t>žádné pohyby peněžních prostředků ani žádné výnosy za období listopad a prosinec 2015;</w:t>
                            </w:r>
                          </w:p>
                          <w:p w14:paraId="3A445DCC" w14:textId="77777777" w:rsidR="00AB4998" w:rsidRPr="001117CE" w:rsidRDefault="00AB4998" w:rsidP="00FC2C42">
                            <w:pPr>
                              <w:pStyle w:val="textKZ"/>
                              <w:numPr>
                                <w:ilvl w:val="0"/>
                                <w:numId w:val="1"/>
                              </w:numPr>
                              <w:spacing w:after="40"/>
                              <w:ind w:left="4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</w:t>
                            </w:r>
                            <w:r w:rsidRPr="001117CE">
                              <w:rPr>
                                <w:b/>
                              </w:rPr>
                              <w:t>vykázalo peněžní prostředky, pohledávky, závazky a zásob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 w:rsidRPr="001117CE">
                              <w:rPr>
                                <w:b/>
                              </w:rPr>
                              <w:t xml:space="preserve"> ZÚ v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1117CE">
                              <w:rPr>
                                <w:b/>
                              </w:rPr>
                              <w:t xml:space="preserve">účetní závěrce </w:t>
                            </w:r>
                            <w:r>
                              <w:rPr>
                                <w:b/>
                              </w:rPr>
                              <w:t xml:space="preserve">k 31. prosinci 2015, ale </w:t>
                            </w:r>
                            <w:r w:rsidRPr="001117CE">
                              <w:rPr>
                                <w:b/>
                              </w:rPr>
                              <w:t>ve stavu k</w:t>
                            </w:r>
                            <w:r>
                              <w:rPr>
                                <w:b/>
                              </w:rPr>
                              <w:t> </w:t>
                            </w:r>
                            <w:r w:rsidRPr="001117CE">
                              <w:rPr>
                                <w:b/>
                              </w:rPr>
                              <w:t xml:space="preserve">31. říjnu 2015; </w:t>
                            </w:r>
                          </w:p>
                          <w:p w14:paraId="6BCF1B8C" w14:textId="77777777" w:rsidR="00AB4998" w:rsidRPr="001117CE" w:rsidRDefault="00AB4998" w:rsidP="00F27EA0">
                            <w:pPr>
                              <w:pStyle w:val="textKZ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b/>
                              </w:rPr>
                            </w:pPr>
                            <w:r w:rsidRPr="001117CE">
                              <w:rPr>
                                <w:b/>
                              </w:rPr>
                              <w:t>účetní zápisy za ZÚ (</w:t>
                            </w:r>
                            <w:r>
                              <w:rPr>
                                <w:b/>
                              </w:rPr>
                              <w:t xml:space="preserve">více než 302 tis., tj. </w:t>
                            </w:r>
                            <w:r w:rsidRPr="001117CE">
                              <w:rPr>
                                <w:b/>
                              </w:rPr>
                              <w:t>59 % všech zápisů MZV v roce 2015)</w:t>
                            </w:r>
                            <w:r>
                              <w:rPr>
                                <w:b/>
                              </w:rPr>
                              <w:t xml:space="preserve"> zaúčtovalo prostřednictvím dvou souhrnných účetních dokladů ze dne 31. prosince 2015 bez jasné vazby na podklady pro účetní zápisy, účetnictví v této oblasti tak bylo neprůkazné.</w:t>
                            </w:r>
                          </w:p>
                          <w:p w14:paraId="0360ABCB" w14:textId="77777777" w:rsidR="00AB4998" w:rsidRDefault="00AB4998" w:rsidP="00C30C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8B6E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4pt;margin-top:4.75pt;width:451.85pt;height:29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" fillcolor="#e5f1ff" stroked="f">
                <v:textbox>
                  <w:txbxContent>
                    <w:p w14:paraId="6CB6CD5C" w14:textId="77777777" w:rsidR="00AB4998" w:rsidRPr="00034864" w:rsidRDefault="00AB4998" w:rsidP="00C30C0E">
                      <w:pPr>
                        <w:pStyle w:val="textKZ"/>
                        <w:jc w:val="center"/>
                        <w:rPr>
                          <w:b/>
                          <w:sz w:val="28"/>
                        </w:rPr>
                      </w:pPr>
                      <w:r w:rsidRPr="00034864">
                        <w:rPr>
                          <w:b/>
                          <w:sz w:val="28"/>
                        </w:rPr>
                        <w:t>Účetnictví Ministerstva zahraničních věcí v kontrolovaném roce 2015 bylo nesprávné, neúplné, neprůkazné a nesrozumitelné.</w:t>
                      </w:r>
                    </w:p>
                    <w:p w14:paraId="3BF1447F" w14:textId="422B1AD7" w:rsidR="00AB4998" w:rsidRDefault="00AB4998" w:rsidP="00C30C0E">
                      <w:pPr>
                        <w:pStyle w:val="textKZ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Kontrolou byly v účetnictví zjištěny nesprávnosti v celkové výši 2,682 mld. Kč, na kterých se podílelo především chybné </w:t>
                      </w:r>
                      <w:r w:rsidRPr="009256FA">
                        <w:rPr>
                          <w:b/>
                        </w:rPr>
                        <w:t>účtování účetních případ</w:t>
                      </w:r>
                      <w:r>
                        <w:rPr>
                          <w:b/>
                        </w:rPr>
                        <w:t>ů</w:t>
                      </w:r>
                      <w:r w:rsidRPr="009256FA">
                        <w:rPr>
                          <w:b/>
                        </w:rPr>
                        <w:t xml:space="preserve"> zastupitelských úřadů</w:t>
                      </w:r>
                      <w:r>
                        <w:rPr>
                          <w:b/>
                        </w:rPr>
                        <w:t xml:space="preserve"> (dále také „ZÚ“), </w:t>
                      </w:r>
                      <w:r w:rsidRPr="009256FA">
                        <w:rPr>
                          <w:b/>
                        </w:rPr>
                        <w:t>podmíněných závazků z</w:t>
                      </w:r>
                      <w:r>
                        <w:rPr>
                          <w:b/>
                        </w:rPr>
                        <w:t> </w:t>
                      </w:r>
                      <w:r w:rsidRPr="009256FA">
                        <w:rPr>
                          <w:b/>
                        </w:rPr>
                        <w:t>transferů</w:t>
                      </w:r>
                      <w:r>
                        <w:rPr>
                          <w:b/>
                        </w:rPr>
                        <w:t xml:space="preserve"> a prostředků na financování záloh ZÚ</w:t>
                      </w:r>
                      <w:r w:rsidRPr="009256FA">
                        <w:rPr>
                          <w:b/>
                        </w:rPr>
                        <w:t xml:space="preserve">. </w:t>
                      </w:r>
                    </w:p>
                    <w:p w14:paraId="31DDA291" w14:textId="0743BD51" w:rsidR="00AB4998" w:rsidRPr="009256FA" w:rsidRDefault="00AB4998" w:rsidP="00FC2C42">
                      <w:pPr>
                        <w:pStyle w:val="textKZ"/>
                        <w:spacing w:after="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MZV nezaúčtovalo do účetního období roku 2015 všechny účetní případy, které se účetního období roku 2015 týkaly. MZV nestanovilo účetní období roku 2015 v souladu se zákonem č. 563/1991 Sb., o účetnictví, neboť pro účetní případy týkající se zastupitelských úřadů (s výjimkou nákladů) stanovilo účetní období od listopadu 2014 do října 2015; v důsledku toho:</w:t>
                      </w:r>
                    </w:p>
                    <w:p w14:paraId="1EB253C5" w14:textId="77777777" w:rsidR="00AB4998" w:rsidRPr="001117CE" w:rsidRDefault="00AB4998" w:rsidP="00FC2C42">
                      <w:pPr>
                        <w:pStyle w:val="textKZ"/>
                        <w:numPr>
                          <w:ilvl w:val="0"/>
                          <w:numId w:val="1"/>
                        </w:numPr>
                        <w:spacing w:after="40"/>
                        <w:ind w:left="426"/>
                        <w:rPr>
                          <w:b/>
                        </w:rPr>
                      </w:pPr>
                      <w:r w:rsidRPr="001117CE">
                        <w:rPr>
                          <w:b/>
                        </w:rPr>
                        <w:t xml:space="preserve">nezaúčtovalo </w:t>
                      </w:r>
                      <w:r>
                        <w:rPr>
                          <w:b/>
                        </w:rPr>
                        <w:t>žádné pohyby peněžních prostředků ani žádné výnosy za období listopad a prosinec 2015;</w:t>
                      </w:r>
                    </w:p>
                    <w:p w14:paraId="3A445DCC" w14:textId="77777777" w:rsidR="00AB4998" w:rsidRPr="001117CE" w:rsidRDefault="00AB4998" w:rsidP="00FC2C42">
                      <w:pPr>
                        <w:pStyle w:val="textKZ"/>
                        <w:numPr>
                          <w:ilvl w:val="0"/>
                          <w:numId w:val="1"/>
                        </w:numPr>
                        <w:spacing w:after="40"/>
                        <w:ind w:left="42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</w:t>
                      </w:r>
                      <w:r w:rsidRPr="001117CE">
                        <w:rPr>
                          <w:b/>
                        </w:rPr>
                        <w:t>vykázalo peněžní prostředky, pohledávky, závazky a zásob</w:t>
                      </w:r>
                      <w:r>
                        <w:rPr>
                          <w:b/>
                        </w:rPr>
                        <w:t>y</w:t>
                      </w:r>
                      <w:r w:rsidRPr="001117CE">
                        <w:rPr>
                          <w:b/>
                        </w:rPr>
                        <w:t xml:space="preserve"> ZÚ v</w:t>
                      </w:r>
                      <w:r>
                        <w:rPr>
                          <w:b/>
                        </w:rPr>
                        <w:t> </w:t>
                      </w:r>
                      <w:r w:rsidRPr="001117CE">
                        <w:rPr>
                          <w:b/>
                        </w:rPr>
                        <w:t xml:space="preserve">účetní závěrce </w:t>
                      </w:r>
                      <w:r>
                        <w:rPr>
                          <w:b/>
                        </w:rPr>
                        <w:t xml:space="preserve">k 31. prosinci 2015, ale </w:t>
                      </w:r>
                      <w:r w:rsidRPr="001117CE">
                        <w:rPr>
                          <w:b/>
                        </w:rPr>
                        <w:t>ve stavu k</w:t>
                      </w:r>
                      <w:r>
                        <w:rPr>
                          <w:b/>
                        </w:rPr>
                        <w:t> </w:t>
                      </w:r>
                      <w:r w:rsidRPr="001117CE">
                        <w:rPr>
                          <w:b/>
                        </w:rPr>
                        <w:t xml:space="preserve">31. říjnu 2015; </w:t>
                      </w:r>
                    </w:p>
                    <w:p w14:paraId="6BCF1B8C" w14:textId="77777777" w:rsidR="00AB4998" w:rsidRPr="001117CE" w:rsidRDefault="00AB4998" w:rsidP="00F27EA0">
                      <w:pPr>
                        <w:pStyle w:val="textKZ"/>
                        <w:numPr>
                          <w:ilvl w:val="0"/>
                          <w:numId w:val="1"/>
                        </w:numPr>
                        <w:ind w:left="426"/>
                        <w:rPr>
                          <w:b/>
                        </w:rPr>
                      </w:pPr>
                      <w:r w:rsidRPr="001117CE">
                        <w:rPr>
                          <w:b/>
                        </w:rPr>
                        <w:t>účetní zápisy za ZÚ (</w:t>
                      </w:r>
                      <w:r>
                        <w:rPr>
                          <w:b/>
                        </w:rPr>
                        <w:t xml:space="preserve">více než 302 tis., tj. </w:t>
                      </w:r>
                      <w:r w:rsidRPr="001117CE">
                        <w:rPr>
                          <w:b/>
                        </w:rPr>
                        <w:t>59 % všech zápisů MZV v roce 2015)</w:t>
                      </w:r>
                      <w:r>
                        <w:rPr>
                          <w:b/>
                        </w:rPr>
                        <w:t xml:space="preserve"> zaúčtovalo prostřednictvím dvou souhrnných účetních dokladů ze dne 31. prosince 2015 bez jasné vazby na podklady pro účetní zápisy, účetnictví v této oblasti tak bylo neprůkazné.</w:t>
                      </w:r>
                    </w:p>
                    <w:p w14:paraId="0360ABCB" w14:textId="77777777" w:rsidR="00AB4998" w:rsidRDefault="00AB4998" w:rsidP="00C30C0E"/>
                  </w:txbxContent>
                </v:textbox>
                <w10:wrap type="square"/>
              </v:shape>
            </w:pict>
          </mc:Fallback>
        </mc:AlternateContent>
      </w:r>
    </w:p>
    <w:p w14:paraId="264003C6" w14:textId="77777777" w:rsidR="005C6B68" w:rsidRPr="005C6B68" w:rsidRDefault="005C6B68" w:rsidP="005C6B68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</w:p>
    <w:p w14:paraId="00DD9D13" w14:textId="77777777" w:rsidR="005C6B68" w:rsidRPr="00184AA7" w:rsidRDefault="005C6B68" w:rsidP="005C6B68">
      <w:pPr>
        <w:pStyle w:val="Nadpis1"/>
        <w:numPr>
          <w:ilvl w:val="0"/>
          <w:numId w:val="0"/>
        </w:numPr>
        <w:spacing w:after="0"/>
      </w:pPr>
      <w:r>
        <w:t xml:space="preserve">I. </w:t>
      </w:r>
      <w:r w:rsidRPr="00ED1907">
        <w:t>Úvod</w:t>
      </w:r>
    </w:p>
    <w:p w14:paraId="50DF82B8" w14:textId="77777777" w:rsidR="00571866" w:rsidRPr="00571866" w:rsidRDefault="00571866" w:rsidP="005C6B68">
      <w:pPr>
        <w:spacing w:after="0"/>
        <w:rPr>
          <w:sz w:val="24"/>
          <w:szCs w:val="24"/>
        </w:rPr>
      </w:pPr>
    </w:p>
    <w:p w14:paraId="29A6BC1D" w14:textId="77777777" w:rsidR="00571866" w:rsidRDefault="00571866" w:rsidP="00571866">
      <w:pPr>
        <w:pStyle w:val="textKZ"/>
      </w:pPr>
      <w:r w:rsidRPr="0002069D">
        <w:t xml:space="preserve">MZV </w:t>
      </w:r>
      <w:r w:rsidRPr="00184AA7">
        <w:t>bylo zřízeno zákonem č. 2/1969 Sb.</w:t>
      </w:r>
      <w:r w:rsidR="005942D6">
        <w:rPr>
          <w:rStyle w:val="Znakapoznpodarou"/>
        </w:rPr>
        <w:footnoteReference w:id="1"/>
      </w:r>
      <w:r w:rsidRPr="00184AA7">
        <w:t>,</w:t>
      </w:r>
      <w:r>
        <w:t xml:space="preserve"> podle kterého je</w:t>
      </w:r>
      <w:r w:rsidRPr="00184AA7">
        <w:t xml:space="preserve"> </w:t>
      </w:r>
      <w:r w:rsidRPr="0002069D">
        <w:t>ústředním orgánem státní správy pro oblast zahraniční politiky, v jejímž rámci vytváří koncepci a koordinuje zahraniční rozvojovou pomoc, koordinuje vnější ekonomické vztahy, podílí se na sjednávání mezinárodních sankcí a koordinuje postoje České republiky k nim.</w:t>
      </w:r>
    </w:p>
    <w:p w14:paraId="7C8B7FB8" w14:textId="77777777" w:rsidR="00571866" w:rsidRPr="00A51DC3" w:rsidRDefault="00571866" w:rsidP="00571866">
      <w:pPr>
        <w:pStyle w:val="textKZ"/>
      </w:pPr>
      <w:r w:rsidRPr="00A51DC3">
        <w:t>MZV zabezpečuje vztahy České republiky k ostatním stá</w:t>
      </w:r>
      <w:r>
        <w:t>tům, mezinárodním organizacím a </w:t>
      </w:r>
      <w:r w:rsidRPr="00A51DC3">
        <w:t>integračním seskupením, koordinuje aktivity vyplývající z dvoustranné a mnohostranné spolupráce, s výjimkou věcí náležejících do působnosti Ministerstva spravedlnosti.</w:t>
      </w:r>
    </w:p>
    <w:p w14:paraId="0EAFB839" w14:textId="77777777" w:rsidR="00571866" w:rsidRPr="00184AA7" w:rsidRDefault="00571866" w:rsidP="00571866">
      <w:pPr>
        <w:pStyle w:val="textKZ"/>
        <w:rPr>
          <w:rFonts w:cs="Calibri"/>
        </w:rPr>
      </w:pPr>
      <w:r w:rsidRPr="00184AA7">
        <w:rPr>
          <w:rFonts w:cs="Calibri"/>
        </w:rPr>
        <w:t>M</w:t>
      </w:r>
      <w:r>
        <w:rPr>
          <w:rFonts w:cs="Calibri"/>
        </w:rPr>
        <w:t>Z</w:t>
      </w:r>
      <w:r w:rsidRPr="00184AA7">
        <w:rPr>
          <w:rFonts w:cs="Calibri"/>
        </w:rPr>
        <w:t xml:space="preserve">V je organizační složkou státu (dále </w:t>
      </w:r>
      <w:r>
        <w:rPr>
          <w:rFonts w:cs="Calibri"/>
        </w:rPr>
        <w:t xml:space="preserve">také </w:t>
      </w:r>
      <w:r w:rsidRPr="00184AA7">
        <w:rPr>
          <w:rFonts w:cs="Calibri"/>
        </w:rPr>
        <w:t xml:space="preserve">„OSS“), účetní jednotkou a správcem kapitoly státního rozpočtu </w:t>
      </w:r>
      <w:r>
        <w:rPr>
          <w:rFonts w:cs="Calibri"/>
        </w:rPr>
        <w:t xml:space="preserve">306 </w:t>
      </w:r>
      <w:r w:rsidR="00F27EA0">
        <w:rPr>
          <w:rFonts w:cs="Calibri"/>
        </w:rPr>
        <w:t xml:space="preserve">– </w:t>
      </w:r>
      <w:r w:rsidRPr="00FC2C42">
        <w:rPr>
          <w:rFonts w:cs="Calibri"/>
          <w:i/>
        </w:rPr>
        <w:t>Ministerstvo zahraničních věcí</w:t>
      </w:r>
      <w:r>
        <w:rPr>
          <w:rFonts w:cs="Calibri"/>
        </w:rPr>
        <w:t>. V roce 2015 MZV zajišťovalo provoz 116</w:t>
      </w:r>
      <w:r w:rsidR="005C6B68">
        <w:rPr>
          <w:rFonts w:cs="Calibri"/>
        </w:rPr>
        <w:t> </w:t>
      </w:r>
      <w:r>
        <w:rPr>
          <w:rFonts w:cs="Calibri"/>
        </w:rPr>
        <w:t>zastupitelských úřadů – velvyslanectví, stálých zastoupení, generálních konzulátů a konzulátů</w:t>
      </w:r>
      <w:r w:rsidRPr="00184AA7">
        <w:rPr>
          <w:rFonts w:cs="Calibri"/>
        </w:rPr>
        <w:t xml:space="preserve">. </w:t>
      </w:r>
    </w:p>
    <w:p w14:paraId="063B1849" w14:textId="1B346C9B" w:rsidR="00571866" w:rsidRDefault="00571866" w:rsidP="00571866">
      <w:pPr>
        <w:pStyle w:val="textKZ"/>
        <w:rPr>
          <w:rFonts w:cs="Calibri"/>
        </w:rPr>
      </w:pPr>
      <w:r w:rsidRPr="004431A6">
        <w:rPr>
          <w:rFonts w:cs="Calibri"/>
        </w:rPr>
        <w:t>Základním předpisem pro vedení účetnictví je</w:t>
      </w:r>
      <w:r w:rsidR="00E3023A">
        <w:rPr>
          <w:rFonts w:cs="Calibri"/>
        </w:rPr>
        <w:t xml:space="preserve"> </w:t>
      </w:r>
      <w:hyperlink r:id="rId9" w:tooltip="Zákon o učetnictví č.563/1991 Sb." w:history="1">
        <w:r>
          <w:rPr>
            <w:rFonts w:cs="Calibri"/>
          </w:rPr>
          <w:t>zákon č. 563/</w:t>
        </w:r>
        <w:r w:rsidRPr="004431A6">
          <w:rPr>
            <w:rFonts w:cs="Calibri"/>
          </w:rPr>
          <w:t>1991 Sb.</w:t>
        </w:r>
      </w:hyperlink>
      <w:r w:rsidR="005942D6">
        <w:rPr>
          <w:rStyle w:val="Znakapoznpodarou"/>
          <w:rFonts w:cs="Calibri"/>
        </w:rPr>
        <w:footnoteReference w:id="2"/>
      </w:r>
      <w:r w:rsidRPr="004431A6">
        <w:rPr>
          <w:rFonts w:cs="Calibri"/>
        </w:rPr>
        <w:t>, který stanoví rozsah a</w:t>
      </w:r>
      <w:r w:rsidR="006C618C">
        <w:rPr>
          <w:rFonts w:cs="Calibri"/>
        </w:rPr>
        <w:t> </w:t>
      </w:r>
      <w:r w:rsidRPr="004431A6">
        <w:rPr>
          <w:rFonts w:cs="Calibri"/>
        </w:rPr>
        <w:t xml:space="preserve">způsob vedení účetnictví a </w:t>
      </w:r>
      <w:r w:rsidR="00F27EA0">
        <w:rPr>
          <w:rFonts w:cs="Calibri"/>
        </w:rPr>
        <w:t xml:space="preserve">požadavky na </w:t>
      </w:r>
      <w:r w:rsidRPr="004431A6">
        <w:rPr>
          <w:rFonts w:cs="Calibri"/>
        </w:rPr>
        <w:t>jeho průkaznost</w:t>
      </w:r>
      <w:r>
        <w:rPr>
          <w:rFonts w:cs="Calibri"/>
        </w:rPr>
        <w:t>. Údaje z účetnictví musí být</w:t>
      </w:r>
      <w:r w:rsidRPr="004431A6">
        <w:rPr>
          <w:rFonts w:cs="Calibri"/>
        </w:rPr>
        <w:t xml:space="preserve"> </w:t>
      </w:r>
      <w:r>
        <w:rPr>
          <w:rFonts w:cs="Calibri"/>
        </w:rPr>
        <w:t xml:space="preserve">spolehlivé, </w:t>
      </w:r>
      <w:r w:rsidRPr="004431A6">
        <w:rPr>
          <w:rFonts w:cs="Calibri"/>
        </w:rPr>
        <w:t>srozumiteln</w:t>
      </w:r>
      <w:r>
        <w:rPr>
          <w:rFonts w:cs="Calibri"/>
        </w:rPr>
        <w:t>é</w:t>
      </w:r>
      <w:r w:rsidRPr="004431A6">
        <w:rPr>
          <w:rFonts w:cs="Calibri"/>
        </w:rPr>
        <w:t>, srovnateln</w:t>
      </w:r>
      <w:r>
        <w:rPr>
          <w:rFonts w:cs="Calibri"/>
        </w:rPr>
        <w:t>é</w:t>
      </w:r>
      <w:r w:rsidRPr="004431A6">
        <w:rPr>
          <w:rFonts w:cs="Calibri"/>
        </w:rPr>
        <w:t xml:space="preserve"> a správn</w:t>
      </w:r>
      <w:r>
        <w:rPr>
          <w:rFonts w:cs="Calibri"/>
        </w:rPr>
        <w:t xml:space="preserve">é. </w:t>
      </w:r>
    </w:p>
    <w:p w14:paraId="241F5721" w14:textId="755FDE12" w:rsidR="00571866" w:rsidRDefault="00571866" w:rsidP="00571866">
      <w:pPr>
        <w:pStyle w:val="textKZ"/>
        <w:rPr>
          <w:rFonts w:cs="Calibri"/>
        </w:rPr>
      </w:pPr>
      <w:r w:rsidRPr="001B3D5C">
        <w:rPr>
          <w:rFonts w:cs="Calibri"/>
        </w:rPr>
        <w:t>Hlavní funkcí účetnictví je poskytovat spolehlivé infor</w:t>
      </w:r>
      <w:r>
        <w:rPr>
          <w:rFonts w:cs="Calibri"/>
        </w:rPr>
        <w:t>mace o stavu a pohybu majetku a </w:t>
      </w:r>
      <w:r w:rsidRPr="001B3D5C">
        <w:rPr>
          <w:rFonts w:cs="Calibri"/>
        </w:rPr>
        <w:t>jiných aktiv, závazků a jiných pasiv, dále o nákladech a výnosech nebo o příjmech a výdajích a</w:t>
      </w:r>
      <w:r w:rsidR="00C30C0E">
        <w:rPr>
          <w:rFonts w:cs="Calibri"/>
        </w:rPr>
        <w:t> </w:t>
      </w:r>
      <w:r w:rsidRPr="001B3D5C">
        <w:rPr>
          <w:rFonts w:cs="Calibri"/>
        </w:rPr>
        <w:t>o</w:t>
      </w:r>
      <w:r w:rsidR="00C30C0E">
        <w:rPr>
          <w:rFonts w:cs="Calibri"/>
        </w:rPr>
        <w:t> </w:t>
      </w:r>
      <w:r w:rsidRPr="001B3D5C">
        <w:rPr>
          <w:rFonts w:cs="Calibri"/>
        </w:rPr>
        <w:t xml:space="preserve">výsledku hospodaření účetních jednotek za určité období. </w:t>
      </w:r>
      <w:r>
        <w:rPr>
          <w:rFonts w:cs="Calibri"/>
        </w:rPr>
        <w:t>Informace z účetnictví a z </w:t>
      </w:r>
      <w:r w:rsidRPr="001A2850">
        <w:rPr>
          <w:rFonts w:cs="Calibri"/>
        </w:rPr>
        <w:t>účetních závěrek jsou základním informačním z</w:t>
      </w:r>
      <w:r>
        <w:rPr>
          <w:rFonts w:cs="Calibri"/>
        </w:rPr>
        <w:t>drojem zejména pro operativní i </w:t>
      </w:r>
      <w:r w:rsidRPr="001A2850">
        <w:rPr>
          <w:rFonts w:cs="Calibri"/>
        </w:rPr>
        <w:t xml:space="preserve">strategické </w:t>
      </w:r>
      <w:r w:rsidRPr="001A2850">
        <w:rPr>
          <w:rFonts w:cs="Calibri"/>
        </w:rPr>
        <w:lastRenderedPageBreak/>
        <w:t>řízení na úrovni účetních jednotek i státu a pro účely statistik.</w:t>
      </w:r>
      <w:r>
        <w:rPr>
          <w:rFonts w:cs="Calibri"/>
        </w:rPr>
        <w:t xml:space="preserve"> </w:t>
      </w:r>
      <w:r w:rsidRPr="00730783">
        <w:rPr>
          <w:rFonts w:cs="Calibri"/>
        </w:rPr>
        <w:t>Současně poskytuj</w:t>
      </w:r>
      <w:r w:rsidR="006C618C">
        <w:rPr>
          <w:rFonts w:cs="Calibri"/>
        </w:rPr>
        <w:t>í</w:t>
      </w:r>
      <w:r w:rsidRPr="00730783">
        <w:rPr>
          <w:rFonts w:cs="Calibri"/>
        </w:rPr>
        <w:t xml:space="preserve"> zpětnou vazbu pro vyhodnocování účinků již přijatých rozhodnutí.</w:t>
      </w:r>
    </w:p>
    <w:p w14:paraId="615E3FB7" w14:textId="77777777" w:rsidR="00571866" w:rsidRPr="00730783" w:rsidRDefault="00571866" w:rsidP="00571866">
      <w:pPr>
        <w:pStyle w:val="textKZ"/>
        <w:rPr>
          <w:rFonts w:cs="Calibri"/>
        </w:rPr>
      </w:pPr>
      <w:r>
        <w:rPr>
          <w:rFonts w:cs="Calibri"/>
        </w:rPr>
        <w:t xml:space="preserve">Z uvedených důvodů je důležitá spolehlivost údajů z účetnictví, které proto musí být </w:t>
      </w:r>
      <w:r w:rsidRPr="001A2850">
        <w:rPr>
          <w:rFonts w:cs="Calibri"/>
        </w:rPr>
        <w:t>správné, úplné, průkazné</w:t>
      </w:r>
      <w:r>
        <w:rPr>
          <w:rFonts w:cs="Calibri"/>
        </w:rPr>
        <w:t xml:space="preserve"> a</w:t>
      </w:r>
      <w:r w:rsidRPr="001A2850">
        <w:rPr>
          <w:rFonts w:cs="Calibri"/>
        </w:rPr>
        <w:t xml:space="preserve"> srozumitelné</w:t>
      </w:r>
      <w:r>
        <w:rPr>
          <w:rFonts w:cs="Calibri"/>
        </w:rPr>
        <w:t>.</w:t>
      </w:r>
    </w:p>
    <w:p w14:paraId="77BF2831" w14:textId="0409FBF7" w:rsidR="00571866" w:rsidRDefault="00571866" w:rsidP="00571866">
      <w:pPr>
        <w:pStyle w:val="textKZ"/>
        <w:rPr>
          <w:rFonts w:cs="Calibri"/>
        </w:rPr>
      </w:pPr>
      <w:r>
        <w:rPr>
          <w:rFonts w:cs="Calibri"/>
        </w:rPr>
        <w:t>Údaje z účetnictví subjektů státu jsou základním informačním zdroj</w:t>
      </w:r>
      <w:r w:rsidR="0056435D">
        <w:rPr>
          <w:rFonts w:cs="Calibri"/>
        </w:rPr>
        <w:t>em</w:t>
      </w:r>
      <w:r>
        <w:rPr>
          <w:rFonts w:cs="Calibri"/>
        </w:rPr>
        <w:t xml:space="preserve"> národních účtů České republiky, které sestavuje Český statistický úřad. </w:t>
      </w:r>
    </w:p>
    <w:p w14:paraId="7B75E266" w14:textId="77777777" w:rsidR="00571866" w:rsidRDefault="00571866" w:rsidP="00571866">
      <w:pPr>
        <w:pStyle w:val="textKZ"/>
        <w:rPr>
          <w:rFonts w:cs="Calibri"/>
        </w:rPr>
      </w:pPr>
      <w:r>
        <w:rPr>
          <w:rFonts w:cs="Calibri"/>
        </w:rPr>
        <w:t>Kontrole byly podrobeny skutečnosti, které byly předmětem účetnictví a o kterých MZV účtovalo nebo mělo účtovat v průběhu roku 2015.</w:t>
      </w:r>
    </w:p>
    <w:p w14:paraId="747B53F8" w14:textId="1DA3A423" w:rsidR="00571866" w:rsidRPr="00184AA7" w:rsidRDefault="00571866" w:rsidP="005C6B68">
      <w:pPr>
        <w:pStyle w:val="textKZ"/>
        <w:spacing w:after="0"/>
        <w:rPr>
          <w:rFonts w:cs="Calibri"/>
        </w:rPr>
      </w:pPr>
      <w:r w:rsidRPr="003007A5">
        <w:rPr>
          <w:rFonts w:cs="Calibri"/>
        </w:rPr>
        <w:t>Kontrolována byla také správnost použív</w:t>
      </w:r>
      <w:r w:rsidR="0056435D">
        <w:rPr>
          <w:rFonts w:cs="Calibri"/>
        </w:rPr>
        <w:t>ání</w:t>
      </w:r>
      <w:r w:rsidRPr="003007A5">
        <w:rPr>
          <w:rFonts w:cs="Calibri"/>
        </w:rPr>
        <w:t xml:space="preserve"> účetních metod a ostatních podmínek vedení účetnictví stanovených účetními předpisy s účinností pro kontrolované období. </w:t>
      </w:r>
      <w:r w:rsidR="0056435D">
        <w:rPr>
          <w:rFonts w:cs="Calibri"/>
        </w:rPr>
        <w:t>Ú</w:t>
      </w:r>
      <w:r w:rsidRPr="003007A5">
        <w:rPr>
          <w:rFonts w:cs="Calibri"/>
        </w:rPr>
        <w:t xml:space="preserve">četní zápisy byly </w:t>
      </w:r>
      <w:r w:rsidR="0056435D">
        <w:rPr>
          <w:rFonts w:cs="Calibri"/>
        </w:rPr>
        <w:t xml:space="preserve">ke kontrole </w:t>
      </w:r>
      <w:r w:rsidRPr="003007A5">
        <w:rPr>
          <w:rFonts w:cs="Calibri"/>
        </w:rPr>
        <w:t xml:space="preserve">vybrány </w:t>
      </w:r>
      <w:r w:rsidR="0056435D">
        <w:rPr>
          <w:rFonts w:cs="Calibri"/>
        </w:rPr>
        <w:t>s ohledem</w:t>
      </w:r>
      <w:r w:rsidRPr="003007A5">
        <w:rPr>
          <w:rFonts w:cs="Calibri"/>
        </w:rPr>
        <w:t xml:space="preserve"> na významnost jednotlivých položek účetní závěrky MZV </w:t>
      </w:r>
      <w:r w:rsidRPr="008C01AD">
        <w:rPr>
          <w:rFonts w:cs="Calibri"/>
        </w:rPr>
        <w:t>sestavené k 31. prosinci 2015</w:t>
      </w:r>
      <w:r>
        <w:rPr>
          <w:rFonts w:cs="Calibri"/>
        </w:rPr>
        <w:t xml:space="preserve"> (dále také „ÚZ“)</w:t>
      </w:r>
      <w:r w:rsidRPr="003007A5">
        <w:rPr>
          <w:rFonts w:cs="Calibri"/>
        </w:rPr>
        <w:t xml:space="preserve"> a </w:t>
      </w:r>
      <w:r w:rsidR="0056435D">
        <w:rPr>
          <w:rFonts w:cs="Calibri"/>
        </w:rPr>
        <w:t xml:space="preserve">s ohledem na </w:t>
      </w:r>
      <w:r w:rsidRPr="003007A5">
        <w:rPr>
          <w:rFonts w:cs="Calibri"/>
        </w:rPr>
        <w:t xml:space="preserve">vyhodnocená rizika </w:t>
      </w:r>
      <w:r>
        <w:rPr>
          <w:rFonts w:cs="Calibri"/>
        </w:rPr>
        <w:t>nesprávného účtování</w:t>
      </w:r>
      <w:r w:rsidRPr="003007A5">
        <w:rPr>
          <w:rFonts w:cs="Calibri"/>
        </w:rPr>
        <w:t xml:space="preserve">. </w:t>
      </w:r>
    </w:p>
    <w:p w14:paraId="3A51471B" w14:textId="77777777" w:rsidR="00571866" w:rsidRPr="00184AA7" w:rsidRDefault="00571866" w:rsidP="005C6B6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5B21B3F1" w14:textId="29DC9687" w:rsidR="00571866" w:rsidRPr="00D532CC" w:rsidRDefault="00571866" w:rsidP="00571866">
      <w:pPr>
        <w:keepNext/>
        <w:tabs>
          <w:tab w:val="right" w:pos="8931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D532CC">
        <w:rPr>
          <w:rFonts w:ascii="Calibri" w:eastAsia="Times New Roman" w:hAnsi="Calibri" w:cs="Calibri"/>
          <w:b/>
          <w:bCs/>
          <w:sz w:val="24"/>
          <w:szCs w:val="24"/>
        </w:rPr>
        <w:t>Tabulka č. 1: Základní údaje účetní závěrky MZV k 31. prosinci 2015</w:t>
      </w:r>
      <w:r w:rsidRPr="00D532CC">
        <w:rPr>
          <w:rFonts w:ascii="Calibri" w:eastAsia="Times New Roman" w:hAnsi="Calibri" w:cs="Calibri"/>
          <w:b/>
          <w:bCs/>
          <w:sz w:val="24"/>
          <w:szCs w:val="24"/>
        </w:rPr>
        <w:tab/>
        <w:t>(v Kč)</w:t>
      </w: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2200"/>
      </w:tblGrid>
      <w:tr w:rsidR="00571866" w:rsidRPr="006E30E8" w14:paraId="61C727C3" w14:textId="77777777" w:rsidTr="00AB4998">
        <w:trPr>
          <w:trHeight w:val="266"/>
          <w:tblHeader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7011C49" w14:textId="77777777" w:rsidR="00571866" w:rsidRPr="006E30E8" w:rsidRDefault="00571866" w:rsidP="00AB499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A70066" w14:textId="77777777" w:rsidR="00571866" w:rsidRPr="006E30E8" w:rsidRDefault="00571866" w:rsidP="00AB4998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Účetní hodnota</w:t>
            </w:r>
          </w:p>
        </w:tc>
      </w:tr>
      <w:tr w:rsidR="00571866" w:rsidRPr="006E30E8" w14:paraId="27732F41" w14:textId="77777777" w:rsidTr="00AB4998">
        <w:trPr>
          <w:trHeight w:val="26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475" w14:textId="77777777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Aktiva</w:t>
            </w:r>
            <w:r w:rsidR="005942D6">
              <w:rPr>
                <w:rStyle w:val="Znakapoznpodarou"/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footnoteReference w:id="3"/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E692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12 985 110 248,30</w:t>
            </w:r>
          </w:p>
        </w:tc>
      </w:tr>
      <w:tr w:rsidR="00571866" w:rsidRPr="006E30E8" w14:paraId="61DD4AA6" w14:textId="77777777" w:rsidTr="00AB4998">
        <w:trPr>
          <w:trHeight w:val="26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DA5" w14:textId="77777777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Pasiva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6BED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12 985 110 248,30</w:t>
            </w:r>
          </w:p>
        </w:tc>
      </w:tr>
      <w:tr w:rsidR="00571866" w:rsidRPr="006E30E8" w14:paraId="6C784165" w14:textId="77777777" w:rsidTr="00AB4998">
        <w:trPr>
          <w:trHeight w:val="26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9D32" w14:textId="77777777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Náklady</w:t>
            </w:r>
            <w:r w:rsidR="005942D6">
              <w:rPr>
                <w:rStyle w:val="Znakapoznpodarou"/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footnoteReference w:id="4"/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74D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6 559 040 451,86</w:t>
            </w:r>
          </w:p>
        </w:tc>
      </w:tr>
      <w:tr w:rsidR="00571866" w:rsidRPr="006E30E8" w14:paraId="251B54E0" w14:textId="77777777" w:rsidTr="00AB4998">
        <w:trPr>
          <w:trHeight w:val="26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9EC6" w14:textId="355ADFE8" w:rsidR="00571866" w:rsidRPr="006E30E8" w:rsidRDefault="00571866" w:rsidP="00D53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Výnosy</w:t>
            </w:r>
            <w:r w:rsidR="00D532C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FF1B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861 240 129,01</w:t>
            </w:r>
          </w:p>
        </w:tc>
      </w:tr>
      <w:tr w:rsidR="00571866" w:rsidRPr="006E30E8" w14:paraId="144E1ABC" w14:textId="77777777" w:rsidTr="00AB4998">
        <w:trPr>
          <w:trHeight w:val="266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D358" w14:textId="20DDDD21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Výsledek hospodaření běžného účetního období</w:t>
            </w:r>
            <w:r w:rsidR="00D532CC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cs-CZ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92C3" w14:textId="7A79028B" w:rsidR="00571866" w:rsidRPr="006E30E8" w:rsidRDefault="008C24F0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571866"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5 697 800 322,85</w:t>
            </w:r>
          </w:p>
        </w:tc>
      </w:tr>
      <w:tr w:rsidR="00571866" w:rsidRPr="006E30E8" w14:paraId="37C595BA" w14:textId="77777777" w:rsidTr="00AB4998">
        <w:trPr>
          <w:trHeight w:val="266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45440" w14:textId="77777777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Podrozvahové účty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0C656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71866" w:rsidRPr="006E30E8" w14:paraId="2D0BB139" w14:textId="77777777" w:rsidTr="00AB4998">
        <w:trPr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DB29" w14:textId="77777777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proofErr w:type="gramStart"/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P.I.</w:t>
            </w:r>
            <w:proofErr w:type="gramEnd"/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 xml:space="preserve"> Majetek účetní jednotky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E86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44 927 693,45</w:t>
            </w:r>
          </w:p>
        </w:tc>
      </w:tr>
      <w:tr w:rsidR="00571866" w:rsidRPr="006E30E8" w14:paraId="50F0E146" w14:textId="77777777" w:rsidTr="00AB4998">
        <w:trPr>
          <w:trHeight w:val="300"/>
        </w:trPr>
        <w:tc>
          <w:tcPr>
            <w:tcW w:w="6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A9AE" w14:textId="77777777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proofErr w:type="gramStart"/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P.VII</w:t>
            </w:r>
            <w:proofErr w:type="gramEnd"/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. Další podmíněné závazky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471D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8 443 473,59</w:t>
            </w:r>
          </w:p>
        </w:tc>
      </w:tr>
      <w:tr w:rsidR="00571866" w:rsidRPr="006E30E8" w14:paraId="322BB270" w14:textId="77777777" w:rsidTr="00AB4998">
        <w:trPr>
          <w:trHeight w:val="313"/>
        </w:trPr>
        <w:tc>
          <w:tcPr>
            <w:tcW w:w="6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2E0B" w14:textId="77777777" w:rsidR="00571866" w:rsidRPr="006E30E8" w:rsidRDefault="00571866" w:rsidP="00AB4998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proofErr w:type="gramStart"/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P.VIII</w:t>
            </w:r>
            <w:proofErr w:type="gramEnd"/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.5 Vyrovnávací účet k podrozvahovým účtům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4040" w14:textId="77777777" w:rsidR="00571866" w:rsidRPr="006E30E8" w:rsidRDefault="00571866" w:rsidP="00AB49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</w:pPr>
            <w:r w:rsidRPr="006E30E8">
              <w:rPr>
                <w:rFonts w:ascii="Calibri" w:eastAsia="Times New Roman" w:hAnsi="Calibri" w:cs="Calibri"/>
                <w:i/>
                <w:sz w:val="20"/>
                <w:szCs w:val="20"/>
                <w:lang w:eastAsia="cs-CZ"/>
              </w:rPr>
              <w:t>36 484 219,86</w:t>
            </w:r>
          </w:p>
        </w:tc>
      </w:tr>
    </w:tbl>
    <w:p w14:paraId="51694EB3" w14:textId="77777777" w:rsidR="00571866" w:rsidRPr="00184AA7" w:rsidRDefault="00571866" w:rsidP="00C05257">
      <w:pPr>
        <w:spacing w:before="4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184AA7">
        <w:rPr>
          <w:rFonts w:ascii="Calibri" w:eastAsia="Times New Roman" w:hAnsi="Calibri" w:cs="Calibri"/>
          <w:b/>
          <w:sz w:val="20"/>
          <w:szCs w:val="20"/>
          <w:lang w:eastAsia="cs-CZ"/>
        </w:rPr>
        <w:t>Zdroj:</w:t>
      </w:r>
      <w:r w:rsidRPr="00184AA7">
        <w:rPr>
          <w:rFonts w:ascii="Calibri" w:eastAsia="Times New Roman" w:hAnsi="Calibri" w:cs="Calibri"/>
          <w:sz w:val="20"/>
          <w:szCs w:val="20"/>
          <w:lang w:eastAsia="cs-CZ"/>
        </w:rPr>
        <w:t xml:space="preserve"> účetní závěrka M</w:t>
      </w:r>
      <w:r>
        <w:rPr>
          <w:rFonts w:ascii="Calibri" w:eastAsia="Times New Roman" w:hAnsi="Calibri" w:cs="Calibri"/>
          <w:sz w:val="20"/>
          <w:szCs w:val="20"/>
          <w:lang w:eastAsia="cs-CZ"/>
        </w:rPr>
        <w:t>Z</w:t>
      </w:r>
      <w:r w:rsidRPr="00184AA7">
        <w:rPr>
          <w:rFonts w:ascii="Calibri" w:eastAsia="Times New Roman" w:hAnsi="Calibri" w:cs="Calibri"/>
          <w:sz w:val="20"/>
          <w:szCs w:val="20"/>
          <w:lang w:eastAsia="cs-CZ"/>
        </w:rPr>
        <w:t xml:space="preserve">V </w:t>
      </w: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sestavená </w:t>
      </w:r>
      <w:r w:rsidRPr="00184AA7">
        <w:rPr>
          <w:rFonts w:ascii="Calibri" w:eastAsia="Times New Roman" w:hAnsi="Calibri" w:cs="Calibri"/>
          <w:sz w:val="20"/>
          <w:szCs w:val="20"/>
          <w:lang w:eastAsia="cs-CZ"/>
        </w:rPr>
        <w:t>k 31. prosinci 201</w:t>
      </w:r>
      <w:r>
        <w:rPr>
          <w:rFonts w:ascii="Calibri" w:eastAsia="Times New Roman" w:hAnsi="Calibri" w:cs="Calibri"/>
          <w:sz w:val="20"/>
          <w:szCs w:val="20"/>
          <w:lang w:eastAsia="cs-CZ"/>
        </w:rPr>
        <w:t>5</w:t>
      </w:r>
      <w:r w:rsidRPr="00184AA7">
        <w:rPr>
          <w:rFonts w:ascii="Calibri" w:eastAsia="Times New Roman" w:hAnsi="Calibri" w:cs="Calibri"/>
          <w:sz w:val="20"/>
          <w:szCs w:val="20"/>
          <w:lang w:eastAsia="cs-CZ"/>
        </w:rPr>
        <w:t>.</w:t>
      </w:r>
    </w:p>
    <w:p w14:paraId="4FFD04F7" w14:textId="77777777" w:rsidR="00E3023A" w:rsidRDefault="00E3023A" w:rsidP="005942D6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iCs/>
          <w:sz w:val="20"/>
          <w:szCs w:val="20"/>
        </w:rPr>
      </w:pPr>
    </w:p>
    <w:p w14:paraId="38B44CB3" w14:textId="77777777" w:rsidR="00E3023A" w:rsidRDefault="00E3023A" w:rsidP="005942D6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b/>
          <w:iCs/>
          <w:sz w:val="20"/>
          <w:szCs w:val="20"/>
        </w:rPr>
      </w:pPr>
    </w:p>
    <w:p w14:paraId="77EF481D" w14:textId="77777777" w:rsidR="00571866" w:rsidRPr="00184AA7" w:rsidRDefault="00571866" w:rsidP="005942D6">
      <w:pPr>
        <w:spacing w:after="0" w:line="240" w:lineRule="auto"/>
        <w:ind w:left="567" w:hanging="567"/>
        <w:jc w:val="both"/>
        <w:rPr>
          <w:rFonts w:ascii="Calibri" w:eastAsia="Times New Roman" w:hAnsi="Calibri" w:cs="Calibri"/>
          <w:iCs/>
          <w:sz w:val="20"/>
          <w:szCs w:val="20"/>
        </w:rPr>
      </w:pPr>
      <w:r w:rsidRPr="00184AA7">
        <w:rPr>
          <w:rFonts w:ascii="Calibri" w:eastAsia="Times New Roman" w:hAnsi="Calibri" w:cs="Calibri"/>
          <w:b/>
          <w:iCs/>
          <w:sz w:val="20"/>
          <w:szCs w:val="20"/>
        </w:rPr>
        <w:t>Pozn.:</w:t>
      </w:r>
      <w:r w:rsidRPr="00184AA7">
        <w:rPr>
          <w:rFonts w:ascii="Calibri" w:eastAsia="Times New Roman" w:hAnsi="Calibri" w:cs="Calibri"/>
          <w:b/>
          <w:iCs/>
          <w:sz w:val="20"/>
          <w:szCs w:val="20"/>
        </w:rPr>
        <w:tab/>
      </w:r>
      <w:r w:rsidRPr="00184AA7">
        <w:rPr>
          <w:rFonts w:ascii="Calibri" w:eastAsia="Times New Roman" w:hAnsi="Calibri" w:cs="Calibri"/>
          <w:iCs/>
          <w:sz w:val="20"/>
          <w:szCs w:val="20"/>
        </w:rPr>
        <w:t>Všechny právní předpisy uvedené v tomto kontrolním závěru jsou aplikovány ve znění účinném pro kontrolované období.</w:t>
      </w:r>
    </w:p>
    <w:p w14:paraId="31AE7F9D" w14:textId="77777777" w:rsidR="00571866" w:rsidRDefault="00571866" w:rsidP="0057186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0E628646" w14:textId="77777777" w:rsidR="00571866" w:rsidRDefault="00571866" w:rsidP="0057186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74C5F5E8" w14:textId="77777777" w:rsidR="00571866" w:rsidRDefault="00571866" w:rsidP="00571866">
      <w:pPr>
        <w:pStyle w:val="Nadpis1"/>
        <w:numPr>
          <w:ilvl w:val="0"/>
          <w:numId w:val="0"/>
        </w:numPr>
        <w:spacing w:after="0"/>
      </w:pPr>
      <w:r>
        <w:t xml:space="preserve">II. </w:t>
      </w:r>
      <w:r w:rsidRPr="00184AA7">
        <w:t>Shrnutí a vyhodnocení</w:t>
      </w:r>
    </w:p>
    <w:p w14:paraId="6977B43F" w14:textId="77777777" w:rsidR="00571866" w:rsidRPr="005A5176" w:rsidRDefault="00571866" w:rsidP="00571866">
      <w:pPr>
        <w:spacing w:after="0"/>
        <w:rPr>
          <w:sz w:val="24"/>
          <w:szCs w:val="24"/>
        </w:rPr>
      </w:pPr>
    </w:p>
    <w:p w14:paraId="304AD58A" w14:textId="77777777" w:rsidR="00571866" w:rsidRDefault="00571866" w:rsidP="00571866">
      <w:pPr>
        <w:pStyle w:val="textKZ"/>
        <w:rPr>
          <w:lang w:eastAsia="cs-CZ"/>
        </w:rPr>
      </w:pPr>
      <w:r w:rsidRPr="00B6695F">
        <w:rPr>
          <w:lang w:eastAsia="cs-CZ"/>
        </w:rPr>
        <w:t xml:space="preserve">Cílem kontrolní akce č. 16/17 bylo prověřit, zda MZV při vedení účetnictví v roce 2015 postupovalo v souladu </w:t>
      </w:r>
      <w:r>
        <w:rPr>
          <w:lang w:eastAsia="cs-CZ"/>
        </w:rPr>
        <w:t xml:space="preserve">s příslušnými právními předpisy. Vzhledem k tomu, že se jednalo o první komplexní kontrolu vedení účetnictví MZV, nebylo cílem kontrolní akce vyhodnotit, zda účetní závěrka podává věrný a poctivý obraz předmětu účetnictví a finanční situace účetní jednotky. </w:t>
      </w:r>
    </w:p>
    <w:p w14:paraId="41EEE440" w14:textId="77777777" w:rsidR="005C6B68" w:rsidRPr="0059152C" w:rsidRDefault="005C6B68" w:rsidP="005942D6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9152C">
        <w:rPr>
          <w:rFonts w:ascii="Calibri" w:eastAsia="Times New Roman" w:hAnsi="Calibri" w:cs="Calibri"/>
          <w:b/>
          <w:sz w:val="24"/>
          <w:szCs w:val="24"/>
          <w:lang w:eastAsia="cs-CZ"/>
        </w:rPr>
        <w:t>Vedení účetnictví</w:t>
      </w:r>
    </w:p>
    <w:p w14:paraId="04B75248" w14:textId="77777777" w:rsidR="005C6B68" w:rsidRDefault="005C6B68" w:rsidP="005C6B68">
      <w:pPr>
        <w:pStyle w:val="textKZ"/>
        <w:rPr>
          <w:lang w:eastAsia="cs-CZ"/>
        </w:rPr>
      </w:pPr>
      <w:r>
        <w:rPr>
          <w:lang w:eastAsia="cs-CZ"/>
        </w:rPr>
        <w:t xml:space="preserve">V oblasti vedení účetnictví se kontrola zaměřila na jeho správnost, úplnost, průkaznost a srozumitelnost. Prověřila dodržování směrné účtové osnovy a správnost používání účetních metod. Byly identifikovány významné transakční cykly a posouzeno nastavení systému </w:t>
      </w:r>
      <w:r>
        <w:rPr>
          <w:lang w:eastAsia="cs-CZ"/>
        </w:rPr>
        <w:lastRenderedPageBreak/>
        <w:t>účtování. U vybraných účetních případů byla provedena kontrola s cílem prověřit systém účtování a vykazování informací o skutečnostech, které byly předmětem účetnictví.</w:t>
      </w:r>
    </w:p>
    <w:p w14:paraId="07DC3E45" w14:textId="68ED7FBA" w:rsidR="005C6B68" w:rsidRPr="00BA2CC0" w:rsidRDefault="00F9344F" w:rsidP="005C6B68">
      <w:pPr>
        <w:pStyle w:val="textKZ"/>
        <w:rPr>
          <w:lang w:eastAsia="cs-CZ"/>
        </w:rPr>
      </w:pPr>
      <w:r>
        <w:rPr>
          <w:lang w:eastAsia="cs-CZ"/>
        </w:rPr>
        <w:t>K</w:t>
      </w:r>
      <w:r w:rsidR="005C6B68">
        <w:rPr>
          <w:lang w:eastAsia="cs-CZ"/>
        </w:rPr>
        <w:t>ontrol</w:t>
      </w:r>
      <w:r>
        <w:rPr>
          <w:lang w:eastAsia="cs-CZ"/>
        </w:rPr>
        <w:t>a</w:t>
      </w:r>
      <w:r w:rsidR="005C6B68">
        <w:rPr>
          <w:lang w:eastAsia="cs-CZ"/>
        </w:rPr>
        <w:t xml:space="preserve"> </w:t>
      </w:r>
      <w:r>
        <w:rPr>
          <w:lang w:eastAsia="cs-CZ"/>
        </w:rPr>
        <w:t>prověřila rovněž</w:t>
      </w:r>
      <w:r w:rsidR="005C6B68">
        <w:rPr>
          <w:lang w:eastAsia="cs-CZ"/>
        </w:rPr>
        <w:t xml:space="preserve"> účtování dvou ze 116 zastupitelských úřadů</w:t>
      </w:r>
      <w:r>
        <w:rPr>
          <w:lang w:eastAsia="cs-CZ"/>
        </w:rPr>
        <w:t>, a to</w:t>
      </w:r>
      <w:r w:rsidR="005C6B68">
        <w:rPr>
          <w:lang w:eastAsia="cs-CZ"/>
        </w:rPr>
        <w:t xml:space="preserve"> </w:t>
      </w:r>
      <w:r w:rsidR="003372B4">
        <w:rPr>
          <w:lang w:eastAsia="cs-CZ"/>
        </w:rPr>
        <w:t>v</w:t>
      </w:r>
      <w:r w:rsidR="005C6B68">
        <w:rPr>
          <w:lang w:eastAsia="cs-CZ"/>
        </w:rPr>
        <w:t>elvyslanectví Č</w:t>
      </w:r>
      <w:r w:rsidR="003372B4">
        <w:rPr>
          <w:lang w:eastAsia="cs-CZ"/>
        </w:rPr>
        <w:t>R</w:t>
      </w:r>
      <w:r w:rsidR="005C6B68">
        <w:rPr>
          <w:lang w:eastAsia="cs-CZ"/>
        </w:rPr>
        <w:t xml:space="preserve"> v Bratislavě </w:t>
      </w:r>
      <w:r w:rsidR="005C6B68" w:rsidRPr="00BA2CC0">
        <w:rPr>
          <w:lang w:eastAsia="cs-CZ"/>
        </w:rPr>
        <w:t>a</w:t>
      </w:r>
      <w:r w:rsidR="005C6B68">
        <w:rPr>
          <w:lang w:eastAsia="cs-CZ"/>
        </w:rPr>
        <w:t xml:space="preserve"> </w:t>
      </w:r>
      <w:r w:rsidR="003372B4">
        <w:rPr>
          <w:lang w:eastAsia="cs-CZ"/>
        </w:rPr>
        <w:t>v</w:t>
      </w:r>
      <w:r w:rsidR="005C6B68">
        <w:rPr>
          <w:lang w:eastAsia="cs-CZ"/>
        </w:rPr>
        <w:t>elvyslanectví Č</w:t>
      </w:r>
      <w:r w:rsidR="003372B4">
        <w:rPr>
          <w:lang w:eastAsia="cs-CZ"/>
        </w:rPr>
        <w:t>R</w:t>
      </w:r>
      <w:r w:rsidR="005C6B68">
        <w:rPr>
          <w:lang w:eastAsia="cs-CZ"/>
        </w:rPr>
        <w:t xml:space="preserve"> v Moskvě.</w:t>
      </w:r>
    </w:p>
    <w:p w14:paraId="274D93B1" w14:textId="3446F56A" w:rsidR="005C6B68" w:rsidRPr="00547E6E" w:rsidRDefault="005C6B68" w:rsidP="00471618">
      <w:pPr>
        <w:pStyle w:val="textKZ"/>
        <w:rPr>
          <w:lang w:eastAsia="cs-CZ"/>
        </w:rPr>
      </w:pPr>
      <w:r w:rsidRPr="00034864">
        <w:rPr>
          <w:b/>
          <w:lang w:eastAsia="cs-CZ"/>
        </w:rPr>
        <w:t>Při kontrole byly zjištěny nesprávnosti s</w:t>
      </w:r>
      <w:r>
        <w:rPr>
          <w:b/>
          <w:lang w:eastAsia="cs-CZ"/>
        </w:rPr>
        <w:t> </w:t>
      </w:r>
      <w:r w:rsidRPr="00034864">
        <w:rPr>
          <w:b/>
          <w:lang w:eastAsia="cs-CZ"/>
        </w:rPr>
        <w:t>vlivem na ÚZ sestavenou k</w:t>
      </w:r>
      <w:r>
        <w:rPr>
          <w:b/>
          <w:lang w:eastAsia="cs-CZ"/>
        </w:rPr>
        <w:t> </w:t>
      </w:r>
      <w:r w:rsidRPr="00034864">
        <w:rPr>
          <w:b/>
          <w:lang w:eastAsia="cs-CZ"/>
        </w:rPr>
        <w:t>31.</w:t>
      </w:r>
      <w:r w:rsidR="0072264F">
        <w:rPr>
          <w:b/>
          <w:lang w:eastAsia="cs-CZ"/>
        </w:rPr>
        <w:t> </w:t>
      </w:r>
      <w:r w:rsidRPr="00034864">
        <w:rPr>
          <w:b/>
          <w:lang w:eastAsia="cs-CZ"/>
        </w:rPr>
        <w:t>12.</w:t>
      </w:r>
      <w:r w:rsidR="0072264F">
        <w:rPr>
          <w:b/>
          <w:lang w:eastAsia="cs-CZ"/>
        </w:rPr>
        <w:t> </w:t>
      </w:r>
      <w:r w:rsidRPr="00034864">
        <w:rPr>
          <w:b/>
          <w:lang w:eastAsia="cs-CZ"/>
        </w:rPr>
        <w:t>2015 ve výši</w:t>
      </w:r>
      <w:r w:rsidR="00471618">
        <w:rPr>
          <w:b/>
          <w:lang w:eastAsia="cs-CZ"/>
        </w:rPr>
        <w:t> </w:t>
      </w:r>
      <w:r w:rsidRPr="00034864">
        <w:rPr>
          <w:b/>
          <w:lang w:eastAsia="cs-CZ"/>
        </w:rPr>
        <w:t>2,682</w:t>
      </w:r>
      <w:r w:rsidR="00471618">
        <w:rPr>
          <w:b/>
          <w:lang w:eastAsia="cs-CZ"/>
        </w:rPr>
        <w:t> </w:t>
      </w:r>
      <w:r w:rsidRPr="00034864">
        <w:rPr>
          <w:b/>
          <w:lang w:eastAsia="cs-CZ"/>
        </w:rPr>
        <w:t xml:space="preserve">mld. Kč. </w:t>
      </w:r>
      <w:r w:rsidRPr="00471618">
        <w:rPr>
          <w:lang w:eastAsia="cs-CZ"/>
        </w:rPr>
        <w:t>N</w:t>
      </w:r>
      <w:r w:rsidRPr="00547E6E">
        <w:rPr>
          <w:lang w:eastAsia="cs-CZ"/>
        </w:rPr>
        <w:t xml:space="preserve">a </w:t>
      </w:r>
      <w:r w:rsidR="0072264F">
        <w:rPr>
          <w:lang w:eastAsia="cs-CZ"/>
        </w:rPr>
        <w:t>této celkové částce</w:t>
      </w:r>
      <w:r w:rsidRPr="00547E6E">
        <w:rPr>
          <w:lang w:eastAsia="cs-CZ"/>
        </w:rPr>
        <w:t xml:space="preserve"> </w:t>
      </w:r>
      <w:r>
        <w:rPr>
          <w:lang w:eastAsia="cs-CZ"/>
        </w:rPr>
        <w:t xml:space="preserve">se </w:t>
      </w:r>
      <w:r w:rsidRPr="00547E6E">
        <w:rPr>
          <w:lang w:eastAsia="cs-CZ"/>
        </w:rPr>
        <w:t>pod</w:t>
      </w:r>
      <w:r>
        <w:rPr>
          <w:lang w:eastAsia="cs-CZ"/>
        </w:rPr>
        <w:t>ílelo</w:t>
      </w:r>
      <w:r w:rsidRPr="00547E6E">
        <w:rPr>
          <w:lang w:eastAsia="cs-CZ"/>
        </w:rPr>
        <w:t xml:space="preserve"> </w:t>
      </w:r>
      <w:r>
        <w:rPr>
          <w:lang w:eastAsia="cs-CZ"/>
        </w:rPr>
        <w:t xml:space="preserve">jednak </w:t>
      </w:r>
      <w:r w:rsidRPr="00547E6E">
        <w:rPr>
          <w:lang w:eastAsia="cs-CZ"/>
        </w:rPr>
        <w:t>nesprávné účtování a</w:t>
      </w:r>
      <w:r w:rsidR="00DE2650">
        <w:rPr>
          <w:lang w:eastAsia="cs-CZ"/>
        </w:rPr>
        <w:t> </w:t>
      </w:r>
      <w:r w:rsidRPr="00547E6E">
        <w:rPr>
          <w:lang w:eastAsia="cs-CZ"/>
        </w:rPr>
        <w:t xml:space="preserve">vykazování podmíněných závazků </w:t>
      </w:r>
      <w:r w:rsidR="0072264F">
        <w:rPr>
          <w:lang w:eastAsia="cs-CZ"/>
        </w:rPr>
        <w:t>(nesprávnosti přesahující</w:t>
      </w:r>
      <w:r w:rsidRPr="00547E6E">
        <w:rPr>
          <w:lang w:eastAsia="cs-CZ"/>
        </w:rPr>
        <w:t xml:space="preserve"> 1,5</w:t>
      </w:r>
      <w:r>
        <w:rPr>
          <w:lang w:eastAsia="cs-CZ"/>
        </w:rPr>
        <w:t> </w:t>
      </w:r>
      <w:r w:rsidRPr="00547E6E">
        <w:rPr>
          <w:lang w:eastAsia="cs-CZ"/>
        </w:rPr>
        <w:t>mld.</w:t>
      </w:r>
      <w:r w:rsidR="00DE2650">
        <w:rPr>
          <w:lang w:eastAsia="cs-CZ"/>
        </w:rPr>
        <w:t> </w:t>
      </w:r>
      <w:r w:rsidRPr="00547E6E">
        <w:rPr>
          <w:lang w:eastAsia="cs-CZ"/>
        </w:rPr>
        <w:t>Kč</w:t>
      </w:r>
      <w:r w:rsidR="0072264F">
        <w:rPr>
          <w:lang w:eastAsia="cs-CZ"/>
        </w:rPr>
        <w:t>)</w:t>
      </w:r>
      <w:r>
        <w:rPr>
          <w:lang w:eastAsia="cs-CZ"/>
        </w:rPr>
        <w:t xml:space="preserve"> </w:t>
      </w:r>
      <w:r w:rsidR="0072264F">
        <w:rPr>
          <w:lang w:eastAsia="cs-CZ"/>
        </w:rPr>
        <w:t>a také chybné účtování</w:t>
      </w:r>
      <w:r>
        <w:rPr>
          <w:lang w:eastAsia="cs-CZ"/>
        </w:rPr>
        <w:t xml:space="preserve"> na rozvahových a</w:t>
      </w:r>
      <w:r w:rsidR="004E350E">
        <w:rPr>
          <w:lang w:eastAsia="cs-CZ"/>
        </w:rPr>
        <w:t> </w:t>
      </w:r>
      <w:r>
        <w:rPr>
          <w:lang w:eastAsia="cs-CZ"/>
        </w:rPr>
        <w:t xml:space="preserve">výnosových účtech </w:t>
      </w:r>
      <w:r w:rsidR="0072264F">
        <w:rPr>
          <w:lang w:eastAsia="cs-CZ"/>
        </w:rPr>
        <w:t xml:space="preserve">(zde nesprávnosti přesáhly </w:t>
      </w:r>
      <w:r>
        <w:rPr>
          <w:lang w:eastAsia="cs-CZ"/>
        </w:rPr>
        <w:t>1 mld. Kč</w:t>
      </w:r>
      <w:r w:rsidR="0072264F">
        <w:rPr>
          <w:lang w:eastAsia="cs-CZ"/>
        </w:rPr>
        <w:t>)</w:t>
      </w:r>
      <w:r>
        <w:rPr>
          <w:lang w:eastAsia="cs-CZ"/>
        </w:rPr>
        <w:t>.</w:t>
      </w:r>
    </w:p>
    <w:p w14:paraId="6627B0BC" w14:textId="77777777" w:rsidR="005C6B68" w:rsidRPr="008042C1" w:rsidRDefault="005C6B68" w:rsidP="005942D6">
      <w:pPr>
        <w:pStyle w:val="textKZ"/>
        <w:spacing w:after="0"/>
        <w:rPr>
          <w:b/>
          <w:lang w:eastAsia="cs-CZ"/>
        </w:rPr>
      </w:pPr>
      <w:r w:rsidRPr="008042C1">
        <w:rPr>
          <w:b/>
          <w:lang w:eastAsia="cs-CZ"/>
        </w:rPr>
        <w:t>Uvedené zjištěné nesprávnosti jsou ve svém celkovém rozsahu významné. Na základě zjištěných skutečností NKÚ konstatuje, že MZV v</w:t>
      </w:r>
      <w:r>
        <w:rPr>
          <w:b/>
          <w:lang w:eastAsia="cs-CZ"/>
        </w:rPr>
        <w:t> </w:t>
      </w:r>
      <w:r w:rsidRPr="008042C1">
        <w:rPr>
          <w:b/>
          <w:lang w:eastAsia="cs-CZ"/>
        </w:rPr>
        <w:t xml:space="preserve">roce 2015 nevedlo správné, úplné, průkazné a srozumitelné účetnictví ve smyslu </w:t>
      </w:r>
      <w:r>
        <w:rPr>
          <w:b/>
          <w:lang w:eastAsia="cs-CZ"/>
        </w:rPr>
        <w:t>ustanovení § 8 odst. 1 až 5 zákona o </w:t>
      </w:r>
      <w:r w:rsidRPr="008042C1">
        <w:rPr>
          <w:b/>
          <w:lang w:eastAsia="cs-CZ"/>
        </w:rPr>
        <w:t xml:space="preserve">účetnictví. </w:t>
      </w:r>
    </w:p>
    <w:p w14:paraId="1BB4086C" w14:textId="77777777" w:rsidR="005C6B68" w:rsidRDefault="005C6B68" w:rsidP="005942D6">
      <w:pPr>
        <w:pStyle w:val="textKZ"/>
        <w:spacing w:after="0"/>
        <w:rPr>
          <w:lang w:eastAsia="cs-CZ"/>
        </w:rPr>
      </w:pPr>
    </w:p>
    <w:p w14:paraId="64B3CED4" w14:textId="61423BA3" w:rsidR="005C6B68" w:rsidRDefault="0072264F" w:rsidP="005C6B68">
      <w:pPr>
        <w:pStyle w:val="textKZ"/>
        <w:spacing w:after="60"/>
        <w:rPr>
          <w:lang w:eastAsia="cs-CZ"/>
        </w:rPr>
      </w:pPr>
      <w:r>
        <w:rPr>
          <w:lang w:eastAsia="cs-CZ"/>
        </w:rPr>
        <w:t>V oblasti</w:t>
      </w:r>
      <w:r w:rsidR="005C6B68">
        <w:rPr>
          <w:lang w:eastAsia="cs-CZ"/>
        </w:rPr>
        <w:t xml:space="preserve"> vedení účetnictví</w:t>
      </w:r>
      <w:r>
        <w:rPr>
          <w:lang w:eastAsia="cs-CZ"/>
        </w:rPr>
        <w:t xml:space="preserve"> </w:t>
      </w:r>
      <w:r w:rsidRPr="00D87BB1">
        <w:rPr>
          <w:lang w:eastAsia="cs-CZ"/>
        </w:rPr>
        <w:t>byly mj. zjištěny</w:t>
      </w:r>
      <w:r w:rsidRPr="00034864">
        <w:rPr>
          <w:b/>
          <w:lang w:eastAsia="cs-CZ"/>
        </w:rPr>
        <w:t xml:space="preserve"> </w:t>
      </w:r>
      <w:r w:rsidR="009606C3" w:rsidRPr="00DD0591">
        <w:rPr>
          <w:lang w:eastAsia="cs-CZ"/>
        </w:rPr>
        <w:t>následující</w:t>
      </w:r>
      <w:r w:rsidR="009606C3">
        <w:rPr>
          <w:b/>
          <w:lang w:eastAsia="cs-CZ"/>
        </w:rPr>
        <w:t xml:space="preserve"> </w:t>
      </w:r>
      <w:r w:rsidRPr="00034864">
        <w:rPr>
          <w:b/>
          <w:lang w:eastAsia="cs-CZ"/>
        </w:rPr>
        <w:t>systémové nedostatky</w:t>
      </w:r>
      <w:r w:rsidR="005C6B68" w:rsidRPr="00D87BB1">
        <w:rPr>
          <w:b/>
          <w:lang w:eastAsia="cs-CZ"/>
        </w:rPr>
        <w:t>:</w:t>
      </w:r>
    </w:p>
    <w:p w14:paraId="611292AD" w14:textId="6B6ADC09" w:rsidR="005C6B68" w:rsidRPr="00F2445B" w:rsidRDefault="00DC6D2F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MZV neúčtovalo </w:t>
      </w:r>
      <w:r w:rsidR="005C6B68" w:rsidRPr="00F2445B">
        <w:rPr>
          <w:rFonts w:ascii="Calibri" w:eastAsia="Times New Roman" w:hAnsi="Calibri" w:cs="Times New Roman"/>
          <w:b/>
          <w:sz w:val="24"/>
          <w:szCs w:val="24"/>
          <w:lang w:eastAsia="cs-CZ"/>
        </w:rPr>
        <w:t>účetní operace za zastupitelské úřady průběžně</w:t>
      </w:r>
      <w:r w:rsidR="005C6B68" w:rsidRPr="00D87BB1">
        <w:rPr>
          <w:rFonts w:ascii="Calibri" w:eastAsia="Times New Roman" w:hAnsi="Calibri" w:cs="Times New Roman"/>
          <w:b/>
          <w:sz w:val="24"/>
          <w:szCs w:val="24"/>
          <w:lang w:eastAsia="cs-CZ"/>
        </w:rPr>
        <w:t>,</w:t>
      </w:r>
      <w:r w:rsidR="005C6B68" w:rsidRPr="00F2445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ale jednorázově</w:t>
      </w:r>
      <w:r w:rsidR="003B352B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  <w:r w:rsidR="005C6B68" w:rsidRPr="00F2445B">
        <w:rPr>
          <w:rFonts w:ascii="Calibri" w:hAnsi="Calibri"/>
          <w:sz w:val="24"/>
          <w:szCs w:val="24"/>
          <w:lang w:eastAsia="cs-CZ"/>
        </w:rPr>
        <w:t xml:space="preserve"> </w:t>
      </w:r>
      <w:r w:rsidR="003B352B">
        <w:rPr>
          <w:rFonts w:ascii="Calibri" w:hAnsi="Calibri"/>
          <w:b/>
          <w:sz w:val="24"/>
          <w:szCs w:val="24"/>
          <w:lang w:eastAsia="cs-CZ"/>
        </w:rPr>
        <w:t>V</w:t>
      </w:r>
      <w:r w:rsidR="005C6B68" w:rsidRPr="00F2445B">
        <w:rPr>
          <w:rFonts w:ascii="Calibri" w:hAnsi="Calibri"/>
          <w:b/>
          <w:sz w:val="24"/>
          <w:szCs w:val="24"/>
          <w:lang w:eastAsia="cs-CZ"/>
        </w:rPr>
        <w:t>íce než 302 tis. účetních zápisů (59 % všech zápisů MZV v roce 2015) zaúčtovalo dvěma</w:t>
      </w:r>
      <w:r w:rsidR="005C6B68" w:rsidRPr="00F2445B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souhrnnými účetními doklady</w:t>
      </w:r>
      <w:r w:rsidR="005C6B68" w:rsidRPr="00F2445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s datem 31. prosinc</w:t>
      </w:r>
      <w:r w:rsidR="003B352B">
        <w:rPr>
          <w:rFonts w:ascii="Calibri" w:eastAsia="Times New Roman" w:hAnsi="Calibri" w:cs="Times New Roman"/>
          <w:sz w:val="24"/>
          <w:szCs w:val="24"/>
          <w:lang w:eastAsia="cs-CZ"/>
        </w:rPr>
        <w:t>e</w:t>
      </w:r>
      <w:r w:rsidR="005C6B68" w:rsidRPr="00F2445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2015, které nesplňovaly zákonné náležitosti účetních dokladů</w:t>
      </w:r>
      <w:r w:rsidR="005C6B68" w:rsidRPr="00F2445B">
        <w:rPr>
          <w:rFonts w:ascii="Calibri" w:hAnsi="Calibri"/>
          <w:sz w:val="24"/>
          <w:szCs w:val="24"/>
          <w:lang w:eastAsia="cs-CZ"/>
        </w:rPr>
        <w:t xml:space="preserve"> (</w:t>
      </w:r>
      <w:r w:rsidR="005C6B68" w:rsidRPr="00F2445B">
        <w:rPr>
          <w:rFonts w:ascii="Calibri" w:eastAsia="Times New Roman" w:hAnsi="Calibri" w:cs="Times New Roman"/>
          <w:sz w:val="24"/>
          <w:szCs w:val="24"/>
          <w:lang w:eastAsia="cs-CZ"/>
        </w:rPr>
        <w:t>zejména byly bez vazby na prvotní doklad, proto z účetního zápisu nebylo zřejmé, čeho se týká a které dokumenty dokládají jeho správnost)</w:t>
      </w:r>
      <w:r w:rsidR="003B352B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2091D3C3" w14:textId="7D883C67" w:rsidR="005C6B68" w:rsidRPr="00F2445B" w:rsidRDefault="003B352B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Ú</w:t>
      </w:r>
      <w:r w:rsidR="005C6B68" w:rsidRPr="00F2445B">
        <w:rPr>
          <w:rFonts w:ascii="Calibri" w:eastAsia="Times New Roman" w:hAnsi="Calibri" w:cs="Times New Roman"/>
          <w:b/>
          <w:sz w:val="24"/>
          <w:szCs w:val="24"/>
          <w:lang w:eastAsia="cs-CZ"/>
        </w:rPr>
        <w:t>četní období pro zastupitelské úřady neodpovídalo v následujících případech kalendářnímu roku 2015</w:t>
      </w:r>
      <w:r w:rsidR="005C6B68" w:rsidRPr="00D87BB1">
        <w:rPr>
          <w:rFonts w:ascii="Calibri" w:eastAsia="Times New Roman" w:hAnsi="Calibri" w:cs="Times New Roman"/>
          <w:b/>
          <w:sz w:val="24"/>
          <w:szCs w:val="24"/>
          <w:lang w:eastAsia="cs-CZ"/>
        </w:rPr>
        <w:t>,</w:t>
      </w:r>
      <w:r w:rsidR="005C6B68" w:rsidRPr="00F2445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bylo nesprávně stanoveno na období listopad 2014 až říjen 2015:</w:t>
      </w:r>
    </w:p>
    <w:p w14:paraId="15759C4F" w14:textId="1861BB80" w:rsidR="005C6B68" w:rsidRPr="007545A6" w:rsidRDefault="003B352B" w:rsidP="005942D6">
      <w:pPr>
        <w:pStyle w:val="Odstavecseseznamem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D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 účetního období roku 2015 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neúčtovalo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MZV 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 pohybech 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peněžních prostřed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ků, pohledávek, závazků a výnosů 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na zastupitelských úřadech za období listopad a</w:t>
      </w:r>
      <w:r w:rsidR="00CE6BDF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prosinec 2015;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naopak je </w:t>
      </w:r>
      <w:r w:rsidR="005C6B68" w:rsidRPr="00B67385">
        <w:rPr>
          <w:rFonts w:ascii="Calibri" w:eastAsia="Times New Roman" w:hAnsi="Calibri" w:cs="Times New Roman"/>
          <w:sz w:val="24"/>
          <w:szCs w:val="24"/>
          <w:lang w:eastAsia="cs-CZ"/>
        </w:rPr>
        <w:t>v roce 2015 vykázalo z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</w:t>
      </w:r>
      <w:r w:rsidR="005C6B68" w:rsidRPr="00B67385">
        <w:rPr>
          <w:rFonts w:ascii="Calibri" w:eastAsia="Times New Roman" w:hAnsi="Calibri" w:cs="Times New Roman"/>
          <w:sz w:val="24"/>
          <w:szCs w:val="24"/>
          <w:lang w:eastAsia="cs-CZ"/>
        </w:rPr>
        <w:t>listopad a prosin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e</w:t>
      </w:r>
      <w:r w:rsidR="005C6B68" w:rsidRPr="00B67385">
        <w:rPr>
          <w:rFonts w:ascii="Calibri" w:eastAsia="Times New Roman" w:hAnsi="Calibri" w:cs="Times New Roman"/>
          <w:sz w:val="24"/>
          <w:szCs w:val="24"/>
          <w:lang w:eastAsia="cs-CZ"/>
        </w:rPr>
        <w:t>c roku předchozího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5BFA4C94" w14:textId="0F8B8E6F" w:rsidR="005C6B68" w:rsidRPr="00267031" w:rsidRDefault="005C6B68" w:rsidP="005942D6">
      <w:pPr>
        <w:pStyle w:val="Odstavecseseznamem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MZV za listopad a prosinec 2015 </w:t>
      </w:r>
      <w:proofErr w:type="gramStart"/>
      <w:r>
        <w:rPr>
          <w:rFonts w:ascii="Calibri" w:eastAsia="Times New Roman" w:hAnsi="Calibri" w:cs="Times New Roman"/>
          <w:sz w:val="24"/>
          <w:szCs w:val="24"/>
          <w:lang w:eastAsia="cs-CZ"/>
        </w:rPr>
        <w:t>za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ZÚ </w:t>
      </w:r>
      <w:proofErr w:type="gramStart"/>
      <w:r>
        <w:rPr>
          <w:rFonts w:ascii="Calibri" w:eastAsia="Times New Roman" w:hAnsi="Calibri" w:cs="Times New Roman"/>
          <w:sz w:val="24"/>
          <w:szCs w:val="24"/>
          <w:lang w:eastAsia="cs-CZ"/>
        </w:rPr>
        <w:t>zaúčtovalo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náklady (na rozdíl od roku 2014), </w:t>
      </w:r>
      <w:r w:rsidRPr="00B6738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do účetního období roku 2015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tak zahrnulo náklady za 14 </w:t>
      </w:r>
      <w:r w:rsidRPr="00B67385">
        <w:rPr>
          <w:rFonts w:ascii="Calibri" w:eastAsia="Times New Roman" w:hAnsi="Calibri" w:cs="Times New Roman"/>
          <w:sz w:val="24"/>
          <w:szCs w:val="24"/>
          <w:lang w:eastAsia="cs-CZ"/>
        </w:rPr>
        <w:t>měsíců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(tj. za listopad 2014 až prosinec 2015), souvztažně s náklady však účtovalo prostřednictvím </w:t>
      </w:r>
      <w:r w:rsidR="00CC6D4F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nesprávně použitého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účtu časového rozlišení (383 – </w:t>
      </w:r>
      <w:r w:rsidRPr="00FE7AD0">
        <w:rPr>
          <w:rFonts w:ascii="Calibri" w:eastAsia="Times New Roman" w:hAnsi="Calibri" w:cs="Times New Roman"/>
          <w:i/>
          <w:sz w:val="24"/>
          <w:szCs w:val="24"/>
          <w:lang w:eastAsia="cs-CZ"/>
        </w:rPr>
        <w:t>Výdaje příštích období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), </w:t>
      </w:r>
      <w:r w:rsidRPr="008042C1">
        <w:rPr>
          <w:rFonts w:ascii="Calibri" w:eastAsia="Times New Roman" w:hAnsi="Calibri" w:cs="Times New Roman"/>
          <w:sz w:val="24"/>
          <w:szCs w:val="24"/>
          <w:lang w:eastAsia="cs-CZ"/>
        </w:rPr>
        <w:t>neboť v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8042C1">
        <w:rPr>
          <w:rFonts w:ascii="Calibri" w:eastAsia="Times New Roman" w:hAnsi="Calibri" w:cs="Times New Roman"/>
          <w:sz w:val="24"/>
          <w:szCs w:val="24"/>
          <w:lang w:eastAsia="cs-CZ"/>
        </w:rPr>
        <w:t>uvedeném případě výdaje z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8042C1">
        <w:rPr>
          <w:rFonts w:ascii="Calibri" w:eastAsia="Times New Roman" w:hAnsi="Calibri" w:cs="Times New Roman"/>
          <w:sz w:val="24"/>
          <w:szCs w:val="24"/>
          <w:lang w:eastAsia="cs-CZ"/>
        </w:rPr>
        <w:t>bankovních účtů (resp. z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8042C1">
        <w:rPr>
          <w:rFonts w:ascii="Calibri" w:eastAsia="Times New Roman" w:hAnsi="Calibri" w:cs="Times New Roman"/>
          <w:sz w:val="24"/>
          <w:szCs w:val="24"/>
          <w:lang w:eastAsia="cs-CZ"/>
        </w:rPr>
        <w:t>pokladen) byly v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Pr="008042C1">
        <w:rPr>
          <w:rFonts w:ascii="Calibri" w:eastAsia="Times New Roman" w:hAnsi="Calibri" w:cs="Times New Roman"/>
          <w:sz w:val="24"/>
          <w:szCs w:val="24"/>
          <w:lang w:eastAsia="cs-CZ"/>
        </w:rPr>
        <w:t>roce 2015 provedeny</w:t>
      </w:r>
      <w:r w:rsidR="003B352B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2C58A75A" w14:textId="26FD4435" w:rsidR="005C6B68" w:rsidRDefault="003B352B" w:rsidP="005942D6">
      <w:pPr>
        <w:pStyle w:val="Odstavecseseznamem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MZV 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nezjistilo skutečný stav majetku a závazků k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31. prosinci 2015, 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neboť 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peněžní prostředky, zásoby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pohledávky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a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závazky 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na 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zastupitelských úřad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ech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vykázalo v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účetní závěrce ve stavu k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7545A6">
        <w:rPr>
          <w:rFonts w:ascii="Calibri" w:eastAsia="Times New Roman" w:hAnsi="Calibri" w:cs="Times New Roman"/>
          <w:sz w:val="24"/>
          <w:szCs w:val="24"/>
          <w:lang w:eastAsia="cs-CZ"/>
        </w:rPr>
        <w:t>31. říjnu 2015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6018FC83" w14:textId="5D2E7E31" w:rsidR="005C6B68" w:rsidRPr="00476856" w:rsidRDefault="003B352B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D87BB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MZV </w:t>
      </w:r>
      <w:r w:rsidR="005C6B68" w:rsidRPr="00476856">
        <w:rPr>
          <w:rFonts w:ascii="Calibri" w:eastAsia="Times New Roman" w:hAnsi="Calibri" w:cs="Times New Roman"/>
          <w:b/>
          <w:sz w:val="24"/>
          <w:szCs w:val="24"/>
          <w:lang w:eastAsia="cs-CZ"/>
        </w:rPr>
        <w:t>nerozlišovalo mezi hotovostními a bezhotovostními pohyby peněžních prostředků</w:t>
      </w:r>
      <w:r w:rsidR="005C6B68" w:rsidRPr="00D87BB1">
        <w:rPr>
          <w:rFonts w:ascii="Calibri" w:eastAsia="Times New Roman" w:hAnsi="Calibri" w:cs="Times New Roman"/>
          <w:b/>
          <w:sz w:val="24"/>
          <w:szCs w:val="24"/>
          <w:lang w:eastAsia="cs-CZ"/>
        </w:rPr>
        <w:t>,</w:t>
      </w:r>
      <w:r w:rsidR="005C6B68" w:rsidRPr="0047685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neúčtovalo prostřednictvím účtu 261 – </w:t>
      </w:r>
      <w:r w:rsidR="005C6B68" w:rsidRPr="00476856">
        <w:rPr>
          <w:rFonts w:ascii="Calibri" w:eastAsia="Times New Roman" w:hAnsi="Calibri" w:cs="Times New Roman"/>
          <w:i/>
          <w:sz w:val="24"/>
          <w:szCs w:val="24"/>
          <w:lang w:eastAsia="cs-CZ"/>
        </w:rPr>
        <w:t>Pokladna</w:t>
      </w:r>
      <w:r w:rsidR="005C6B68" w:rsidRPr="00476856">
        <w:rPr>
          <w:rFonts w:ascii="Calibri" w:eastAsia="Times New Roman" w:hAnsi="Calibri" w:cs="Times New Roman"/>
          <w:sz w:val="24"/>
          <w:szCs w:val="24"/>
          <w:lang w:eastAsia="cs-CZ"/>
        </w:rPr>
        <w:t>, ale veškeré hotovostní operace účtovalo jako pohyby na bankovních účtech, v důsledku toho nesouhlasil účetní zůstatek bankovních účtů jednotlivých ZÚ se stavem peněžních prostředků uvedeným na výpise z bankovního účtu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399C1F1B" w14:textId="5BAC0EF1" w:rsidR="005C6B68" w:rsidRPr="002107E0" w:rsidRDefault="003B352B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D677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MZV </w:t>
      </w:r>
      <w:r w:rsidR="005C6B68" w:rsidRPr="002107E0">
        <w:rPr>
          <w:rFonts w:ascii="Calibri" w:eastAsia="Times New Roman" w:hAnsi="Calibri" w:cs="Times New Roman"/>
          <w:b/>
          <w:sz w:val="24"/>
          <w:szCs w:val="24"/>
          <w:lang w:eastAsia="cs-CZ"/>
        </w:rPr>
        <w:t>neúčtovalo o předpisech závazků a pohledávek na zastupitelských úřadech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průběhu roku 2015, stav pohledávek a závazků zaúčtovalo až na konci roku jako rozdíl mezi stavem k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31. říjnu 2014 a k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31. říjnu 2015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35622FC4" w14:textId="72C61807" w:rsidR="005C6B68" w:rsidRPr="002107E0" w:rsidRDefault="003B352B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MZV </w:t>
      </w:r>
      <w:r w:rsidR="005C6B68" w:rsidRPr="002107E0">
        <w:rPr>
          <w:rFonts w:ascii="Calibri" w:eastAsia="Times New Roman" w:hAnsi="Calibri" w:cs="Times New Roman"/>
          <w:b/>
          <w:sz w:val="24"/>
          <w:szCs w:val="24"/>
          <w:lang w:eastAsia="cs-CZ"/>
        </w:rPr>
        <w:t>neúčtovalo o kurzových rozdílech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vzniklých při úhradě pohledávek a závazků v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cizí měně a dále nepřecenilo pohledávky a závazky k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rozvahovému dni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12CF4DB2" w14:textId="5C421B58" w:rsidR="005C6B68" w:rsidRPr="002107E0" w:rsidRDefault="003B352B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P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rostředky na financování záloh zastupitelských úřadů ve výši </w:t>
      </w:r>
      <w:r w:rsidR="005C6B68" w:rsidRPr="002107E0">
        <w:rPr>
          <w:rFonts w:ascii="Calibri" w:eastAsia="Times New Roman" w:hAnsi="Calibri" w:cs="Times New Roman"/>
          <w:b/>
          <w:sz w:val="24"/>
          <w:szCs w:val="24"/>
          <w:lang w:eastAsia="cs-CZ"/>
        </w:rPr>
        <w:t>200 mil. Kč vykázalo</w:t>
      </w:r>
      <w:r w:rsidR="00BC1BBE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="00BC1BBE" w:rsidRPr="009D6771">
        <w:rPr>
          <w:rFonts w:ascii="Calibri" w:eastAsia="Times New Roman" w:hAnsi="Calibri" w:cs="Times New Roman"/>
          <w:b/>
          <w:sz w:val="24"/>
          <w:szCs w:val="24"/>
          <w:lang w:eastAsia="cs-CZ"/>
        </w:rPr>
        <w:t>MZV</w:t>
      </w:r>
      <w:r w:rsidR="005C6B68" w:rsidRPr="002107E0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jako závazek, přestože se jednalo o vlastní rozpočtové prostředky ministerstva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35E450D3" w14:textId="36822CF2" w:rsidR="005C6B68" w:rsidRPr="002107E0" w:rsidRDefault="00BC1BBE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lastRenderedPageBreak/>
        <w:t>V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knihách podrozvahových účtů neúčtovalo </w:t>
      </w:r>
      <w:r w:rsidR="006C37D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Ministerstvo zahraničních věcí 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 významných skutečnostech, např. o dlouhodobých podmíněných závazcích ze zahraničních transferů </w:t>
      </w:r>
      <w:r w:rsidR="006C37D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či o 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dlouhodobých podmíněných závazcích z</w:t>
      </w:r>
      <w:r w:rsidR="005C6B68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jiných smluv</w:t>
      </w:r>
      <w:r w:rsidR="003B352B">
        <w:rPr>
          <w:rFonts w:ascii="Calibri" w:eastAsia="Times New Roman" w:hAnsi="Calibri" w:cs="Times New Roman"/>
          <w:sz w:val="24"/>
          <w:szCs w:val="24"/>
          <w:lang w:eastAsia="cs-CZ"/>
        </w:rPr>
        <w:t>.</w:t>
      </w:r>
    </w:p>
    <w:p w14:paraId="12FD7A1C" w14:textId="3AC8189E" w:rsidR="005C6B68" w:rsidRDefault="00BC1BBE" w:rsidP="005942D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D87BB1">
        <w:rPr>
          <w:rFonts w:ascii="Calibri" w:eastAsia="Times New Roman" w:hAnsi="Calibri" w:cs="Times New Roman"/>
          <w:sz w:val="24"/>
          <w:szCs w:val="24"/>
          <w:lang w:eastAsia="cs-CZ"/>
        </w:rPr>
        <w:t>MZV</w:t>
      </w:r>
      <w:r w:rsidRPr="009D677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neprovedlo kvalifikovaný odhad zbývající doby používání </w:t>
      </w:r>
      <w:r w:rsidR="006C37D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majetku 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na začátku </w:t>
      </w:r>
      <w:r w:rsidR="00D87BB1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jeho 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odpisování </w:t>
      </w:r>
      <w:r w:rsidR="006C37D8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neodpisovalo majetek po celou dobu jeho používání, </w:t>
      </w:r>
      <w:r w:rsidR="006C37D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aplikovalo </w:t>
      </w:r>
      <w:r w:rsidR="006C37D8">
        <w:rPr>
          <w:rFonts w:ascii="Calibri" w:eastAsia="Times New Roman" w:hAnsi="Calibri" w:cs="Times New Roman"/>
          <w:sz w:val="24"/>
          <w:szCs w:val="24"/>
          <w:lang w:eastAsia="cs-CZ"/>
        </w:rPr>
        <w:t>tedy</w:t>
      </w:r>
      <w:r w:rsidR="006C37D8" w:rsidRPr="002107E0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5C6B68" w:rsidRPr="002107E0">
        <w:rPr>
          <w:rFonts w:ascii="Calibri" w:eastAsia="Times New Roman" w:hAnsi="Calibri" w:cs="Times New Roman"/>
          <w:sz w:val="24"/>
          <w:szCs w:val="24"/>
          <w:lang w:eastAsia="cs-CZ"/>
        </w:rPr>
        <w:t>nesprávně účetní metodu odpisování dlouhodobého majetku.</w:t>
      </w:r>
    </w:p>
    <w:p w14:paraId="21423447" w14:textId="77777777" w:rsidR="005C6B68" w:rsidRDefault="005C6B68" w:rsidP="00F676E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03DC52CD" w14:textId="77777777" w:rsidR="005C6B68" w:rsidRPr="005C6B68" w:rsidRDefault="005C6B68" w:rsidP="00F676E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6612F21" w14:textId="77777777" w:rsidR="005C6B68" w:rsidRDefault="005C6B68" w:rsidP="005C6B68">
      <w:pPr>
        <w:pStyle w:val="Nadpis1"/>
        <w:keepNext/>
        <w:numPr>
          <w:ilvl w:val="0"/>
          <w:numId w:val="0"/>
        </w:numPr>
        <w:spacing w:after="0"/>
      </w:pPr>
      <w:r>
        <w:t>III. Podrobné informace ke zjištěným skutečnostem</w:t>
      </w:r>
    </w:p>
    <w:p w14:paraId="4959E8B8" w14:textId="77777777" w:rsidR="005C6B68" w:rsidRPr="005C6B68" w:rsidRDefault="005C6B68" w:rsidP="00F676EA">
      <w:pPr>
        <w:spacing w:after="0"/>
        <w:jc w:val="center"/>
        <w:rPr>
          <w:sz w:val="24"/>
          <w:szCs w:val="24"/>
        </w:rPr>
      </w:pPr>
    </w:p>
    <w:p w14:paraId="1941AB9E" w14:textId="77777777" w:rsidR="005C6B68" w:rsidRPr="00A17AD4" w:rsidRDefault="005C6B68" w:rsidP="00BF5312">
      <w:pPr>
        <w:pStyle w:val="Nadpis2"/>
        <w:numPr>
          <w:ilvl w:val="1"/>
          <w:numId w:val="5"/>
        </w:numPr>
        <w:spacing w:after="120"/>
        <w:ind w:left="284" w:hanging="284"/>
      </w:pPr>
      <w:r w:rsidRPr="00A17AD4">
        <w:t>Zjištěné nesprávnosti a hlavní příčiny těchto nesprávností</w:t>
      </w:r>
    </w:p>
    <w:p w14:paraId="07619EE6" w14:textId="32A3F061" w:rsidR="005C6B68" w:rsidRDefault="005C6B68" w:rsidP="005C6B68">
      <w:pPr>
        <w:pStyle w:val="textKZ"/>
        <w:rPr>
          <w:lang w:eastAsia="cs-CZ"/>
        </w:rPr>
      </w:pPr>
      <w:r>
        <w:rPr>
          <w:lang w:eastAsia="cs-CZ"/>
        </w:rPr>
        <w:t xml:space="preserve">MZV v roce 2015 nevedlo </w:t>
      </w:r>
      <w:r w:rsidRPr="005532C2">
        <w:rPr>
          <w:lang w:eastAsia="cs-CZ"/>
        </w:rPr>
        <w:t>správné, úplné, průkazné ani srozumitelné</w:t>
      </w:r>
      <w:r>
        <w:rPr>
          <w:lang w:eastAsia="cs-CZ"/>
        </w:rPr>
        <w:t xml:space="preserve"> účetnictví,</w:t>
      </w:r>
      <w:r w:rsidDel="00B67385">
        <w:rPr>
          <w:lang w:eastAsia="cs-CZ"/>
        </w:rPr>
        <w:t xml:space="preserve"> </w:t>
      </w:r>
      <w:r>
        <w:rPr>
          <w:lang w:eastAsia="cs-CZ"/>
        </w:rPr>
        <w:t>nedodrželo obsahov</w:t>
      </w:r>
      <w:r w:rsidR="006C37D8">
        <w:rPr>
          <w:lang w:eastAsia="cs-CZ"/>
        </w:rPr>
        <w:t>á</w:t>
      </w:r>
      <w:r>
        <w:rPr>
          <w:lang w:eastAsia="cs-CZ"/>
        </w:rPr>
        <w:t xml:space="preserve"> vymezení položek účetní závěrky stanoven</w:t>
      </w:r>
      <w:r w:rsidR="006C37D8">
        <w:rPr>
          <w:lang w:eastAsia="cs-CZ"/>
        </w:rPr>
        <w:t>á</w:t>
      </w:r>
      <w:r>
        <w:rPr>
          <w:lang w:eastAsia="cs-CZ"/>
        </w:rPr>
        <w:t xml:space="preserve"> vyhláškou č. 410/2009 Sb.</w:t>
      </w:r>
      <w:r w:rsidR="005942D6">
        <w:rPr>
          <w:rStyle w:val="Znakapoznpodarou"/>
          <w:lang w:eastAsia="cs-CZ"/>
        </w:rPr>
        <w:footnoteReference w:id="5"/>
      </w:r>
      <w:r>
        <w:rPr>
          <w:lang w:eastAsia="cs-CZ"/>
        </w:rPr>
        <w:t xml:space="preserve">, nesprávně aplikovalo účetní metody a neprovedlo úplnou inventarizaci veškerého majetku a závazků. Nedostatky byly zjištěny zejména v níže uvedených případech. </w:t>
      </w:r>
    </w:p>
    <w:p w14:paraId="47199081" w14:textId="77777777" w:rsidR="005C6B68" w:rsidRDefault="005C6B68" w:rsidP="005C6B6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AC9927C" w14:textId="77777777" w:rsidR="005C6B68" w:rsidRDefault="005C6B68" w:rsidP="00BF5312">
      <w:pPr>
        <w:pStyle w:val="Nadpis3"/>
        <w:numPr>
          <w:ilvl w:val="2"/>
          <w:numId w:val="5"/>
        </w:numPr>
        <w:spacing w:after="120"/>
        <w:ind w:left="426" w:hanging="426"/>
      </w:pPr>
      <w:r w:rsidRPr="00633FA5">
        <w:t>Účtování zastupitelských úřadů – nesprávné, neúplné a neprůkazné účetnictví MZV</w:t>
      </w:r>
    </w:p>
    <w:p w14:paraId="62056EEB" w14:textId="77777777" w:rsidR="005C6B68" w:rsidRPr="00071596" w:rsidRDefault="005C6B68" w:rsidP="005C6B68">
      <w:pPr>
        <w:pStyle w:val="textKZ"/>
      </w:pPr>
      <w:r w:rsidRPr="008741B0">
        <w:t>Zastupitelské úřady, jako vnitřní organizační jednotky MZV, hospodaří na základě schváleného rozpočtu. Oproti řádnému rozpočtov</w:t>
      </w:r>
      <w:r>
        <w:t>ému roku, který je shodný s </w:t>
      </w:r>
      <w:r w:rsidRPr="008741B0">
        <w:t>kalendářním rokem, je rozpočtové období pro ZÚ o dva</w:t>
      </w:r>
      <w:r>
        <w:t xml:space="preserve"> měsíce posunuto, tj. začíná 1. </w:t>
      </w:r>
      <w:r w:rsidRPr="008741B0">
        <w:t>listopadu a končí 31. října následujícího roku.</w:t>
      </w:r>
    </w:p>
    <w:p w14:paraId="057D1F57" w14:textId="77777777" w:rsidR="005C6B68" w:rsidRDefault="005C6B68" w:rsidP="005C6B68">
      <w:pPr>
        <w:pStyle w:val="textKZ"/>
      </w:pPr>
      <w:r>
        <w:t xml:space="preserve">V případě zastupitelských úřadů MZV nestanovilo účetní období v roce 2015 v souladu se zákonem o účetnictví od ledna do prosince, ale shodně s rozpočtovým obdobím od listopadu 2014 do října 2015 a účetní případy (vyjma nákladů) týkající se ZÚ za období listopad a prosinec 2015 zaúčtovalo v účetním období roku 2016, čímž </w:t>
      </w:r>
      <w:r w:rsidRPr="00546769">
        <w:t>nedodrž</w:t>
      </w:r>
      <w:r>
        <w:t>elo</w:t>
      </w:r>
      <w:r w:rsidRPr="00546769">
        <w:t xml:space="preserve"> věcné a časové souvislosti</w:t>
      </w:r>
      <w:r>
        <w:t xml:space="preserve"> jednotlivých</w:t>
      </w:r>
      <w:r w:rsidRPr="00546769">
        <w:t xml:space="preserve"> účetních případů</w:t>
      </w:r>
      <w:r>
        <w:t>.</w:t>
      </w:r>
      <w:r w:rsidRPr="00546769">
        <w:t xml:space="preserve"> </w:t>
      </w:r>
    </w:p>
    <w:p w14:paraId="2C280AA6" w14:textId="7DDAB5D6" w:rsidR="005C6B68" w:rsidRPr="00055609" w:rsidRDefault="005C6B68" w:rsidP="005C6B68">
      <w:pPr>
        <w:pStyle w:val="textKZ"/>
      </w:pPr>
      <w:r w:rsidRPr="00546769">
        <w:t xml:space="preserve">MZV </w:t>
      </w:r>
      <w:r>
        <w:t>v roce 2015</w:t>
      </w:r>
      <w:r w:rsidRPr="00546769">
        <w:t xml:space="preserve"> </w:t>
      </w:r>
      <w:r>
        <w:t xml:space="preserve">do svého účetnictví zaúčtovalo dvěma souhrnnými vnitřními účetními doklady 302 tis. účetních zápisů </w:t>
      </w:r>
      <w:r w:rsidRPr="00055609">
        <w:t>(59 % všech zápisů MZV v roce 2015)</w:t>
      </w:r>
      <w:r>
        <w:t xml:space="preserve"> týkající</w:t>
      </w:r>
      <w:r w:rsidR="006C37D8">
        <w:t>ch</w:t>
      </w:r>
      <w:r>
        <w:t xml:space="preserve"> se účetních případů jednotlivých ZÚ za období listopad 2014 až říjen 2015</w:t>
      </w:r>
      <w:r w:rsidR="006C37D8">
        <w:t>.</w:t>
      </w:r>
      <w:r w:rsidRPr="00546769">
        <w:t xml:space="preserve"> </w:t>
      </w:r>
      <w:r w:rsidR="006C37D8">
        <w:t>Tyto souhrnné doklady</w:t>
      </w:r>
      <w:r w:rsidRPr="00546769">
        <w:t xml:space="preserve"> nesplňovaly zákonné náležitosti účetních dokladů</w:t>
      </w:r>
      <w:r w:rsidR="006C37D8">
        <w:t>,</w:t>
      </w:r>
      <w:r w:rsidRPr="00546769">
        <w:t xml:space="preserve"> </w:t>
      </w:r>
      <w:r w:rsidR="006C37D8">
        <w:t xml:space="preserve">neboť neobsahovaly údaj o </w:t>
      </w:r>
      <w:r w:rsidRPr="00546769">
        <w:t>okamžik</w:t>
      </w:r>
      <w:r w:rsidR="006C37D8">
        <w:t>u</w:t>
      </w:r>
      <w:r w:rsidRPr="00546769">
        <w:t xml:space="preserve"> uskutečnění účetního případu, podpisový záznam osoby odpovědné za jeho zaúčtování</w:t>
      </w:r>
      <w:r>
        <w:t xml:space="preserve"> a</w:t>
      </w:r>
      <w:r w:rsidR="00DA7186">
        <w:t> </w:t>
      </w:r>
      <w:r>
        <w:t>zejména</w:t>
      </w:r>
      <w:r w:rsidRPr="00546769">
        <w:t xml:space="preserve"> identifikátor, kterým lze nezaměnitelně určit vzájemnou vazbu mezi účetním záznamem a</w:t>
      </w:r>
      <w:r>
        <w:t> </w:t>
      </w:r>
      <w:r w:rsidRPr="00546769">
        <w:t>účetním dokladem, vč</w:t>
      </w:r>
      <w:r>
        <w:t xml:space="preserve">etně souvisejících skutečností, čímž MZV </w:t>
      </w:r>
      <w:r w:rsidRPr="00A5406E">
        <w:t>porušilo povinnost zajištění průkaznosti a srozumitelnosti účetnictví dle zákona o účetnictví.</w:t>
      </w:r>
      <w:r>
        <w:t xml:space="preserve"> </w:t>
      </w:r>
    </w:p>
    <w:p w14:paraId="172D4512" w14:textId="6E53F135" w:rsidR="005C6B68" w:rsidRPr="00546769" w:rsidRDefault="005C6B68" w:rsidP="005C6B68">
      <w:pPr>
        <w:pStyle w:val="textKZ"/>
        <w:spacing w:after="0"/>
      </w:pPr>
      <w:r>
        <w:t xml:space="preserve">Veškeré uvedené účetní zápisy za zastupitelské úřady zaúčtovalo </w:t>
      </w:r>
      <w:r w:rsidR="00FE1DC3">
        <w:t xml:space="preserve">MZV </w:t>
      </w:r>
      <w:r>
        <w:t xml:space="preserve">s datem 31. prosince 2015, čímž v rozporu se zákonem o účetnictví </w:t>
      </w:r>
      <w:r w:rsidRPr="00546769">
        <w:t xml:space="preserve">neuvádělo </w:t>
      </w:r>
      <w:r>
        <w:t>v hlavní knize denní</w:t>
      </w:r>
      <w:r w:rsidRPr="00546769">
        <w:t xml:space="preserve"> obraty strany </w:t>
      </w:r>
      <w:r w:rsidR="00FE1DC3">
        <w:t>„m</w:t>
      </w:r>
      <w:r>
        <w:t>á dáti</w:t>
      </w:r>
      <w:r w:rsidR="00FE1DC3">
        <w:t>“</w:t>
      </w:r>
      <w:r w:rsidRPr="00546769">
        <w:t xml:space="preserve"> a </w:t>
      </w:r>
      <w:r w:rsidR="00FE1DC3">
        <w:t>„d</w:t>
      </w:r>
      <w:r w:rsidRPr="00546769">
        <w:t>al</w:t>
      </w:r>
      <w:r w:rsidR="00FE1DC3">
        <w:t>“</w:t>
      </w:r>
      <w:r w:rsidR="005942D6">
        <w:rPr>
          <w:rStyle w:val="Znakapoznpodarou"/>
        </w:rPr>
        <w:footnoteReference w:id="6"/>
      </w:r>
      <w:r>
        <w:t>.</w:t>
      </w:r>
    </w:p>
    <w:p w14:paraId="3EBF70F2" w14:textId="77777777" w:rsidR="005C6B68" w:rsidRPr="00633FA5" w:rsidRDefault="005C6B68" w:rsidP="005C6B68">
      <w:pPr>
        <w:pStyle w:val="textKZ"/>
        <w:spacing w:after="0"/>
        <w:rPr>
          <w:lang w:eastAsia="cs-CZ"/>
        </w:rPr>
      </w:pPr>
    </w:p>
    <w:p w14:paraId="515CD09A" w14:textId="77777777" w:rsidR="005C6B68" w:rsidRDefault="00F676EA" w:rsidP="00CE0218">
      <w:pPr>
        <w:pStyle w:val="Nadpis4"/>
        <w:numPr>
          <w:ilvl w:val="0"/>
          <w:numId w:val="0"/>
        </w:numPr>
        <w:ind w:left="567" w:hanging="567"/>
      </w:pPr>
      <w:r>
        <w:lastRenderedPageBreak/>
        <w:t xml:space="preserve">1.1.1 </w:t>
      </w:r>
      <w:r w:rsidR="00283A91">
        <w:tab/>
      </w:r>
      <w:r w:rsidR="005C6B68">
        <w:t>Nesprávné účtování o pohybech peněžních prostředků ZÚ</w:t>
      </w:r>
    </w:p>
    <w:p w14:paraId="70BB71DE" w14:textId="77777777" w:rsidR="005C6B68" w:rsidRPr="00CE0218" w:rsidRDefault="005C6B68" w:rsidP="00283A91">
      <w:pPr>
        <w:pStyle w:val="Nadpis5"/>
        <w:keepLines w:val="0"/>
        <w:numPr>
          <w:ilvl w:val="0"/>
          <w:numId w:val="4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CE0218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Nesprávné použití účtu 245 – Jiné běžné účty</w:t>
      </w:r>
    </w:p>
    <w:p w14:paraId="620C4E41" w14:textId="255965CF" w:rsidR="005C6B68" w:rsidRDefault="005C6B68" w:rsidP="00283A91">
      <w:pPr>
        <w:pStyle w:val="textKZ"/>
        <w:ind w:left="426"/>
      </w:pPr>
      <w:r>
        <w:t xml:space="preserve">V roce 2015 </w:t>
      </w:r>
      <w:r w:rsidRPr="008741B0">
        <w:t xml:space="preserve">ZÚ </w:t>
      </w:r>
      <w:r>
        <w:t>financovaly</w:t>
      </w:r>
      <w:r w:rsidRPr="008741B0">
        <w:t xml:space="preserve"> </w:t>
      </w:r>
      <w:r>
        <w:t xml:space="preserve">své </w:t>
      </w:r>
      <w:r w:rsidRPr="008741B0">
        <w:t>provozní činnosti ze záloh</w:t>
      </w:r>
      <w:r w:rsidR="005942D6">
        <w:rPr>
          <w:rStyle w:val="Znakapoznpodarou"/>
        </w:rPr>
        <w:footnoteReference w:id="7"/>
      </w:r>
      <w:r w:rsidRPr="008741B0">
        <w:t xml:space="preserve">, které </w:t>
      </w:r>
      <w:r>
        <w:t xml:space="preserve">obdržely </w:t>
      </w:r>
      <w:r w:rsidRPr="008741B0">
        <w:t xml:space="preserve">z ústředí MZV ze zvláštního </w:t>
      </w:r>
      <w:r>
        <w:t>bankovního účtu</w:t>
      </w:r>
      <w:r w:rsidR="00FE1DC3">
        <w:rPr>
          <w:rStyle w:val="Znakapoznpodarou"/>
        </w:rPr>
        <w:footnoteReference w:id="8"/>
      </w:r>
      <w:r>
        <w:t xml:space="preserve"> stálé mimorozpočtové zálohy</w:t>
      </w:r>
      <w:r w:rsidRPr="001957FD">
        <w:t xml:space="preserve">. </w:t>
      </w:r>
      <w:r>
        <w:t>MZV dále zřídilo bankovní</w:t>
      </w:r>
      <w:r w:rsidRPr="00D40E33">
        <w:t xml:space="preserve"> účty</w:t>
      </w:r>
      <w:r w:rsidR="005942D6">
        <w:rPr>
          <w:rStyle w:val="Znakapoznpodarou"/>
        </w:rPr>
        <w:footnoteReference w:id="9"/>
      </w:r>
      <w:r w:rsidRPr="00D40E33">
        <w:t xml:space="preserve"> pro jednotlivé ZÚ u bank v zahraničí. </w:t>
      </w:r>
    </w:p>
    <w:p w14:paraId="0D22F027" w14:textId="77777777" w:rsidR="005C6B68" w:rsidRPr="008741B0" w:rsidRDefault="005C6B68" w:rsidP="00283A91">
      <w:pPr>
        <w:pStyle w:val="textKZ"/>
        <w:ind w:left="426"/>
      </w:pPr>
      <w:r>
        <w:t>O peněžních prostředcích na těchto účtech MZV</w:t>
      </w:r>
      <w:r w:rsidRPr="001957FD">
        <w:t> </w:t>
      </w:r>
      <w:r>
        <w:t xml:space="preserve">v </w:t>
      </w:r>
      <w:r w:rsidRPr="001957FD">
        <w:t xml:space="preserve">průběhu roku </w:t>
      </w:r>
      <w:r>
        <w:t xml:space="preserve">nesprávně </w:t>
      </w:r>
      <w:r w:rsidRPr="001957FD">
        <w:t xml:space="preserve">účtovalo prostřednictvím účtu 245 – </w:t>
      </w:r>
      <w:r w:rsidRPr="00B0130F">
        <w:rPr>
          <w:i/>
        </w:rPr>
        <w:t>Jiné běžné účty</w:t>
      </w:r>
      <w:r w:rsidRPr="00C96D32">
        <w:t xml:space="preserve"> namísto </w:t>
      </w:r>
      <w:r>
        <w:t xml:space="preserve">účtu 241 – </w:t>
      </w:r>
      <w:r w:rsidRPr="00B0130F">
        <w:rPr>
          <w:i/>
        </w:rPr>
        <w:t>Běžný účet</w:t>
      </w:r>
      <w:r w:rsidR="005942D6" w:rsidRPr="005942D6">
        <w:rPr>
          <w:rStyle w:val="Znakapoznpodarou"/>
        </w:rPr>
        <w:footnoteReference w:id="10"/>
      </w:r>
      <w:r>
        <w:t>, neboť se nejednalo o</w:t>
      </w:r>
      <w:r w:rsidRPr="001957FD">
        <w:t xml:space="preserve"> cizí prostředky ve smyslu </w:t>
      </w:r>
      <w:r>
        <w:t xml:space="preserve">ustanovení </w:t>
      </w:r>
      <w:r w:rsidRPr="001957FD">
        <w:t>§ 45 odst. 9 zákona č. 218/2000 Sb.</w:t>
      </w:r>
    </w:p>
    <w:p w14:paraId="1063C829" w14:textId="77777777" w:rsidR="005C6B68" w:rsidRDefault="005C6B68" w:rsidP="00283A91">
      <w:pPr>
        <w:pStyle w:val="textKZ"/>
        <w:ind w:left="426"/>
      </w:pPr>
      <w:r>
        <w:t xml:space="preserve">V případě bankovního účtu stálé mimorozpočtové zálohy mělo nesprávné účtování vliv na konečné zůstatky účtů </w:t>
      </w:r>
      <w:r w:rsidRPr="001957FD">
        <w:t xml:space="preserve">245 – </w:t>
      </w:r>
      <w:r w:rsidRPr="00304C38">
        <w:rPr>
          <w:i/>
        </w:rPr>
        <w:t>Jiné běžné účty</w:t>
      </w:r>
      <w:r w:rsidRPr="001957FD">
        <w:t xml:space="preserve"> a 241 – </w:t>
      </w:r>
      <w:r w:rsidRPr="00304C38">
        <w:rPr>
          <w:i/>
        </w:rPr>
        <w:t>Běžný účet</w:t>
      </w:r>
      <w:r>
        <w:t xml:space="preserve"> ve výši 252,75 mil. Kč (stav peněžních prostředků na tomto účtu k 31. prosinci 2015). </w:t>
      </w:r>
    </w:p>
    <w:p w14:paraId="5F028504" w14:textId="51A0DD1B" w:rsidR="005C6B68" w:rsidRPr="001957FD" w:rsidRDefault="005C6B68" w:rsidP="00283A91">
      <w:pPr>
        <w:pStyle w:val="textKZ"/>
        <w:ind w:left="426"/>
      </w:pPr>
      <w:r>
        <w:t>V ÚZ sestavené k 31. prosinci 2015 vykázalo MZV zůstatek peněžních prostředků jednotlivých ZÚ (bankovní účty i pokladny) ve výši 249,66 mil. Kč, což byl stav k 31. říjnu 2015. Účtování o těchto prostředcích bylo předmětem kontroly pouze u prověřovaných ZÚ, tj. u vzorku účetních případů, z tohoto důvodu nebyl vyčíslen dopad nesprávného účtování o peněžních prostředcích ZÚ na konečn</w:t>
      </w:r>
      <w:r w:rsidR="00FE1DC3">
        <w:t>é</w:t>
      </w:r>
      <w:r>
        <w:t xml:space="preserve"> zůstat</w:t>
      </w:r>
      <w:r w:rsidR="00FE1DC3">
        <w:t>ky</w:t>
      </w:r>
      <w:r>
        <w:t xml:space="preserve"> účtů 245 – </w:t>
      </w:r>
      <w:r w:rsidRPr="00304C38">
        <w:rPr>
          <w:i/>
        </w:rPr>
        <w:t>Jiné běžné účty</w:t>
      </w:r>
      <w:r>
        <w:t>, 241</w:t>
      </w:r>
      <w:r w:rsidR="00283A91">
        <w:t> </w:t>
      </w:r>
      <w:r>
        <w:t xml:space="preserve">– </w:t>
      </w:r>
      <w:r w:rsidRPr="00304C38">
        <w:rPr>
          <w:i/>
        </w:rPr>
        <w:t>Běžný účet</w:t>
      </w:r>
      <w:r>
        <w:t xml:space="preserve"> a 261 – </w:t>
      </w:r>
      <w:r w:rsidRPr="00304C38">
        <w:rPr>
          <w:i/>
        </w:rPr>
        <w:t>Pokladna</w:t>
      </w:r>
      <w:r>
        <w:t xml:space="preserve"> k 31. prosinci 2015.</w:t>
      </w:r>
    </w:p>
    <w:p w14:paraId="7EB5C629" w14:textId="77777777" w:rsidR="005C6B68" w:rsidRPr="00CE0218" w:rsidRDefault="005C6B68" w:rsidP="00283A91">
      <w:pPr>
        <w:pStyle w:val="Nadpis5"/>
        <w:keepLines w:val="0"/>
        <w:numPr>
          <w:ilvl w:val="0"/>
          <w:numId w:val="4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CE0218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Neúplné účtování o peněžních prostředcích</w:t>
      </w:r>
    </w:p>
    <w:p w14:paraId="1E801FB0" w14:textId="77777777" w:rsidR="005C6B68" w:rsidRDefault="005C6B68" w:rsidP="00283A91">
      <w:pPr>
        <w:pStyle w:val="textKZ"/>
        <w:ind w:left="426"/>
      </w:pPr>
      <w:r>
        <w:t xml:space="preserve">MZV do účetního období roku 2015 neúčtovalo o pohybech peněžních prostředků na zastupitelských úřadech za období listopad a prosinec, veškeré peněžní transakce za tyto dva měsíce zaúčtovalo až v účetním období roku 2016. </w:t>
      </w:r>
    </w:p>
    <w:p w14:paraId="344C621A" w14:textId="5CD5ED7D" w:rsidR="005C6B68" w:rsidRDefault="005C6B68" w:rsidP="00283A91">
      <w:pPr>
        <w:pStyle w:val="textKZ"/>
        <w:ind w:left="426"/>
      </w:pPr>
      <w:r>
        <w:t xml:space="preserve">MZV v případě převodu peněžních prostředků z bankovního účtu stálé mimorozpočtové zálohy na financování provozní činnosti ZÚ účtovalo prostřednictvím účtu 262 – </w:t>
      </w:r>
      <w:r w:rsidRPr="005C6B65">
        <w:rPr>
          <w:i/>
        </w:rPr>
        <w:t>Peníze na cestě</w:t>
      </w:r>
      <w:r>
        <w:t xml:space="preserve"> a 245 – </w:t>
      </w:r>
      <w:r w:rsidRPr="005C6B65">
        <w:rPr>
          <w:i/>
        </w:rPr>
        <w:t>Jiné běžné účty</w:t>
      </w:r>
      <w:r>
        <w:t xml:space="preserve">. O prostředcích, které ZÚ přijaly na bankovní účty v zahraničí a do svých pokladen v listopadu a prosinci 2015, MZV v roce 2015 neúčtovalo, ale vykázalo je v ÚZ sestavené k 31. 12. 2015 na účtu 262 – </w:t>
      </w:r>
      <w:r w:rsidRPr="00A90790">
        <w:rPr>
          <w:i/>
        </w:rPr>
        <w:t>Peníze na cestě</w:t>
      </w:r>
      <w:r w:rsidR="00FE1DC3">
        <w:t>,</w:t>
      </w:r>
      <w:r w:rsidRPr="00190C97">
        <w:t xml:space="preserve"> </w:t>
      </w:r>
      <w:r>
        <w:t>a to ve výši 362,65 mil. Kč.</w:t>
      </w:r>
      <w:r w:rsidRPr="00144ADD">
        <w:t xml:space="preserve"> </w:t>
      </w:r>
    </w:p>
    <w:p w14:paraId="715C5E01" w14:textId="30FC799F" w:rsidR="005C6B68" w:rsidRDefault="005C6B68" w:rsidP="00283A91">
      <w:pPr>
        <w:pStyle w:val="textKZ"/>
        <w:ind w:left="426"/>
      </w:pPr>
      <w:r>
        <w:t xml:space="preserve">Kontrolou bylo zjištěno, že </w:t>
      </w:r>
      <w:r w:rsidR="00FE1DC3">
        <w:t>MZV</w:t>
      </w:r>
      <w:r w:rsidR="00FE1DC3" w:rsidRPr="00887AC5">
        <w:t xml:space="preserve"> </w:t>
      </w:r>
      <w:r>
        <w:t>u prověřovaných</w:t>
      </w:r>
      <w:r w:rsidRPr="00887AC5">
        <w:t xml:space="preserve"> </w:t>
      </w:r>
      <w:r>
        <w:t xml:space="preserve">zastupitelských úřadů </w:t>
      </w:r>
      <w:r w:rsidRPr="00887AC5">
        <w:t>nezjistilo</w:t>
      </w:r>
      <w:r>
        <w:t xml:space="preserve"> ani</w:t>
      </w:r>
      <w:r w:rsidRPr="00887AC5">
        <w:t xml:space="preserve"> inventarizací skutečný stav majetk</w:t>
      </w:r>
      <w:r>
        <w:t xml:space="preserve">u a vykázalo k 31. prosinci 2015 </w:t>
      </w:r>
      <w:r w:rsidRPr="00887AC5">
        <w:t>zůstat</w:t>
      </w:r>
      <w:r>
        <w:t>ky</w:t>
      </w:r>
      <w:r w:rsidRPr="00887AC5">
        <w:t xml:space="preserve"> peněžních prostředků na </w:t>
      </w:r>
      <w:r>
        <w:t>těchto ZÚ</w:t>
      </w:r>
      <w:r w:rsidRPr="00887AC5">
        <w:t xml:space="preserve"> ve stavu k 31. </w:t>
      </w:r>
      <w:r>
        <w:t>říjnu</w:t>
      </w:r>
      <w:r w:rsidRPr="00887AC5">
        <w:t xml:space="preserve"> 2015</w:t>
      </w:r>
      <w:r>
        <w:t xml:space="preserve">, tj. </w:t>
      </w:r>
      <w:r w:rsidRPr="00887AC5">
        <w:t>k</w:t>
      </w:r>
      <w:r>
        <w:t xml:space="preserve"> jinému </w:t>
      </w:r>
      <w:r w:rsidRPr="00887AC5">
        <w:t xml:space="preserve">okamžiku, </w:t>
      </w:r>
      <w:r>
        <w:t xml:space="preserve">než </w:t>
      </w:r>
      <w:r w:rsidRPr="00887AC5">
        <w:t>ke kterému sestavilo řádnou účetní závěrku</w:t>
      </w:r>
      <w:r>
        <w:t>.</w:t>
      </w:r>
      <w:r w:rsidRPr="00614137">
        <w:t xml:space="preserve"> </w:t>
      </w:r>
    </w:p>
    <w:p w14:paraId="7F8F2F0A" w14:textId="29138631" w:rsidR="005C6B68" w:rsidRDefault="005C6B68" w:rsidP="00283A91">
      <w:pPr>
        <w:pStyle w:val="textKZ"/>
        <w:ind w:left="426"/>
      </w:pPr>
      <w:r>
        <w:t xml:space="preserve">Jednalo se o systémový nedostatek, v případě dvou prověřovaných ZÚ </w:t>
      </w:r>
      <w:r w:rsidR="00BF5312">
        <w:t xml:space="preserve">toto nesprávné účtování ovlivnilo především </w:t>
      </w:r>
      <w:r w:rsidRPr="00F33DBE">
        <w:t>zůstat</w:t>
      </w:r>
      <w:r w:rsidR="0019278A">
        <w:t>e</w:t>
      </w:r>
      <w:r w:rsidRPr="00F33DBE">
        <w:t>k účt</w:t>
      </w:r>
      <w:r w:rsidR="0019278A">
        <w:t>u</w:t>
      </w:r>
      <w:r w:rsidRPr="00F33DBE">
        <w:t xml:space="preserve"> 262 – </w:t>
      </w:r>
      <w:r w:rsidRPr="009928B6">
        <w:rPr>
          <w:i/>
        </w:rPr>
        <w:t>Peníze na cestě</w:t>
      </w:r>
      <w:r>
        <w:t xml:space="preserve"> </w:t>
      </w:r>
      <w:r w:rsidR="00BF5312">
        <w:t>o</w:t>
      </w:r>
      <w:r>
        <w:t xml:space="preserve"> 4,33 </w:t>
      </w:r>
      <w:r w:rsidRPr="00F33DBE">
        <w:t>mil.</w:t>
      </w:r>
      <w:r w:rsidR="008C24F0">
        <w:t> </w:t>
      </w:r>
      <w:r w:rsidRPr="00F33DBE">
        <w:t>Kč</w:t>
      </w:r>
      <w:r>
        <w:t xml:space="preserve"> a </w:t>
      </w:r>
      <w:r w:rsidR="0019278A" w:rsidRPr="00F33DBE">
        <w:t>zůstat</w:t>
      </w:r>
      <w:r w:rsidR="0019278A">
        <w:t>e</w:t>
      </w:r>
      <w:r w:rsidR="0019278A" w:rsidRPr="00F33DBE">
        <w:t>k účt</w:t>
      </w:r>
      <w:r w:rsidR="0019278A">
        <w:t>u</w:t>
      </w:r>
      <w:r w:rsidR="0019278A" w:rsidRPr="00F33DBE">
        <w:t xml:space="preserve"> </w:t>
      </w:r>
      <w:r w:rsidRPr="00F33DBE">
        <w:t xml:space="preserve">241 – </w:t>
      </w:r>
      <w:r w:rsidRPr="009928B6">
        <w:rPr>
          <w:i/>
        </w:rPr>
        <w:t>Běžný účet</w:t>
      </w:r>
      <w:r w:rsidRPr="00F33DBE">
        <w:t xml:space="preserve"> </w:t>
      </w:r>
      <w:r w:rsidR="00BF5312">
        <w:t xml:space="preserve">o </w:t>
      </w:r>
      <w:r w:rsidRPr="00F33DBE">
        <w:t>4,29 mil. Kč</w:t>
      </w:r>
      <w:r w:rsidR="0019278A">
        <w:t>.</w:t>
      </w:r>
      <w:r>
        <w:t xml:space="preserve"> </w:t>
      </w:r>
    </w:p>
    <w:p w14:paraId="330C9B61" w14:textId="6E44FA3F" w:rsidR="005C6B68" w:rsidRPr="00071596" w:rsidRDefault="005C6B68" w:rsidP="00283A91">
      <w:pPr>
        <w:pStyle w:val="textKZ"/>
        <w:ind w:left="426"/>
      </w:pPr>
      <w:r>
        <w:t>MZV k 31. prosinci 2015 zaúčtovalo vnitřním účetním dokladem náklady za všechny ZÚ za období listopad a prosinec 2015. MZV sice náklady uskutečněné v listopadu a prosinci 2015 na zastupitelských úřadech správně zaúčtovalo do účetního období roku 2015, souvztažně však proti příslušným nákladovým účtům zaúčtovalo časové</w:t>
      </w:r>
      <w:r w:rsidRPr="00071596">
        <w:t xml:space="preserve"> rozlišení ve formě výdajů příštích období</w:t>
      </w:r>
      <w:r>
        <w:t xml:space="preserve">. MZV tak </w:t>
      </w:r>
      <w:r w:rsidR="001970CA">
        <w:t xml:space="preserve">použilo </w:t>
      </w:r>
      <w:r>
        <w:t xml:space="preserve">nesprávně metodu časového rozlišení, neboť </w:t>
      </w:r>
      <w:r>
        <w:lastRenderedPageBreak/>
        <w:t xml:space="preserve">v uvedeném případě výdaje </w:t>
      </w:r>
      <w:r w:rsidRPr="00071596">
        <w:t>z bankovních účtů</w:t>
      </w:r>
      <w:r>
        <w:t xml:space="preserve"> (resp. z pokladen) byly v roce 2015 provedeny. </w:t>
      </w:r>
    </w:p>
    <w:p w14:paraId="05B19EC0" w14:textId="6BE52353" w:rsidR="005C6B68" w:rsidRDefault="005C6B68" w:rsidP="00F40EAE">
      <w:pPr>
        <w:pStyle w:val="textKZ"/>
        <w:ind w:left="426"/>
      </w:pPr>
      <w:r>
        <w:t xml:space="preserve">Toto nesprávné účtování </w:t>
      </w:r>
      <w:r w:rsidR="00380F2D">
        <w:t>o</w:t>
      </w:r>
      <w:r>
        <w:t>vliv</w:t>
      </w:r>
      <w:r w:rsidR="00380F2D">
        <w:t>nilo</w:t>
      </w:r>
      <w:r>
        <w:t xml:space="preserve"> </w:t>
      </w:r>
      <w:r w:rsidRPr="00635DE9">
        <w:t xml:space="preserve">zůstatky účtů 383 – </w:t>
      </w:r>
      <w:r w:rsidRPr="00064BEF">
        <w:rPr>
          <w:i/>
        </w:rPr>
        <w:t>Výdaje příštích období</w:t>
      </w:r>
      <w:r w:rsidRPr="0038559D">
        <w:t xml:space="preserve"> </w:t>
      </w:r>
      <w:r>
        <w:t xml:space="preserve">a </w:t>
      </w:r>
      <w:r w:rsidRPr="00635DE9">
        <w:t xml:space="preserve">241 – </w:t>
      </w:r>
      <w:r w:rsidRPr="00064BEF">
        <w:rPr>
          <w:i/>
        </w:rPr>
        <w:t>Běžný účet</w:t>
      </w:r>
      <w:r w:rsidRPr="00635DE9">
        <w:t xml:space="preserve"> </w:t>
      </w:r>
      <w:r>
        <w:t xml:space="preserve">(resp. </w:t>
      </w:r>
      <w:r w:rsidRPr="00635DE9">
        <w:t xml:space="preserve">261 – </w:t>
      </w:r>
      <w:r w:rsidRPr="00064BEF">
        <w:rPr>
          <w:i/>
        </w:rPr>
        <w:t>Pokladna</w:t>
      </w:r>
      <w:r w:rsidRPr="0038559D">
        <w:t>)</w:t>
      </w:r>
      <w:r w:rsidRPr="00635DE9">
        <w:t xml:space="preserve"> </w:t>
      </w:r>
      <w:r w:rsidR="00380F2D">
        <w:t xml:space="preserve">o </w:t>
      </w:r>
      <w:r w:rsidRPr="00635DE9">
        <w:t>168,92</w:t>
      </w:r>
      <w:r w:rsidR="001970CA">
        <w:t> </w:t>
      </w:r>
      <w:r w:rsidRPr="00635DE9">
        <w:t>mil.</w:t>
      </w:r>
      <w:r w:rsidR="001970CA">
        <w:t> </w:t>
      </w:r>
      <w:r w:rsidRPr="00635DE9">
        <w:t>Kč.</w:t>
      </w:r>
    </w:p>
    <w:p w14:paraId="0A23DC4F" w14:textId="77777777" w:rsidR="005C6B68" w:rsidRPr="00CE0218" w:rsidRDefault="005C6B68" w:rsidP="00F40EAE">
      <w:pPr>
        <w:pStyle w:val="Nadpis5"/>
        <w:keepLines w:val="0"/>
        <w:numPr>
          <w:ilvl w:val="0"/>
          <w:numId w:val="4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CE0218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Nesprávné účtování o hotovostních pohybech peněžních prostředků</w:t>
      </w:r>
    </w:p>
    <w:p w14:paraId="1CC76ACA" w14:textId="77777777" w:rsidR="005C6B68" w:rsidRDefault="005C6B68" w:rsidP="00F40EAE">
      <w:pPr>
        <w:pStyle w:val="textKZ"/>
        <w:ind w:left="426"/>
      </w:pPr>
      <w:r>
        <w:t xml:space="preserve">MZV </w:t>
      </w:r>
      <w:r w:rsidRPr="00D718C8">
        <w:t xml:space="preserve">nerozlišovalo mezi hotovostními a bezhotovostními pohyby peněžních prostředků, </w:t>
      </w:r>
      <w:r>
        <w:t xml:space="preserve">neboť </w:t>
      </w:r>
      <w:r w:rsidRPr="00D718C8">
        <w:t xml:space="preserve">neúčtovalo prostřednictvím účtu 261 – </w:t>
      </w:r>
      <w:r w:rsidRPr="00D01343">
        <w:rPr>
          <w:i/>
        </w:rPr>
        <w:t>Pokladna</w:t>
      </w:r>
      <w:r w:rsidRPr="00D718C8">
        <w:t>, ale veškeré hotovostní operace účtovalo jako pohyby na bankovních účtech</w:t>
      </w:r>
      <w:r>
        <w:t xml:space="preserve">. </w:t>
      </w:r>
    </w:p>
    <w:p w14:paraId="295881AE" w14:textId="468C47DB" w:rsidR="005C6B68" w:rsidRPr="001D3D22" w:rsidRDefault="005C6B68" w:rsidP="00F40EAE">
      <w:pPr>
        <w:pStyle w:val="textKZ"/>
        <w:ind w:left="426"/>
      </w:pPr>
      <w:r>
        <w:t>MZV nedodrželo obsahové vymezení účtu (v ÚZ sestavené k 31. </w:t>
      </w:r>
      <w:r w:rsidRPr="00D718C8">
        <w:t xml:space="preserve">prosinci 2015 </w:t>
      </w:r>
      <w:r>
        <w:t>veškeré peněžní prostředky ZÚ</w:t>
      </w:r>
      <w:r w:rsidRPr="00D718C8">
        <w:t xml:space="preserve"> vykázalo na účtu 245 – </w:t>
      </w:r>
      <w:r w:rsidRPr="00D01343">
        <w:rPr>
          <w:i/>
        </w:rPr>
        <w:t>Jiné běžné účty</w:t>
      </w:r>
      <w:r w:rsidRPr="00D718C8">
        <w:t xml:space="preserve"> místo </w:t>
      </w:r>
      <w:r w:rsidR="001970CA">
        <w:t xml:space="preserve">na </w:t>
      </w:r>
      <w:r w:rsidRPr="00D718C8">
        <w:t xml:space="preserve">účtu 241 – </w:t>
      </w:r>
      <w:r w:rsidRPr="00D01343">
        <w:rPr>
          <w:i/>
        </w:rPr>
        <w:t>Běžný účet</w:t>
      </w:r>
      <w:r>
        <w:t xml:space="preserve">), </w:t>
      </w:r>
      <w:r w:rsidRPr="00F96071">
        <w:t xml:space="preserve">nerozlišovalo mezi hotovostními a bezhotovostními pohyby peněžních prostředků, </w:t>
      </w:r>
      <w:r>
        <w:t xml:space="preserve">tj. </w:t>
      </w:r>
      <w:r w:rsidRPr="00F96071">
        <w:t xml:space="preserve">neúčtovalo prostřednictvím účtu 261 – </w:t>
      </w:r>
      <w:r w:rsidRPr="00C96D32">
        <w:rPr>
          <w:i/>
        </w:rPr>
        <w:t>Pokladna</w:t>
      </w:r>
      <w:r w:rsidRPr="00F96071">
        <w:t>, ale veškeré hotovostní operace účtovalo jako pohyby na bankovních účtech</w:t>
      </w:r>
      <w:r>
        <w:t xml:space="preserve"> ZÚ v</w:t>
      </w:r>
      <w:r w:rsidR="001970CA">
        <w:t> </w:t>
      </w:r>
      <w:r>
        <w:t>zahraničí</w:t>
      </w:r>
      <w:r w:rsidR="001970CA">
        <w:t>,</w:t>
      </w:r>
      <w:r>
        <w:t xml:space="preserve"> a</w:t>
      </w:r>
      <w:r w:rsidRPr="00A90790">
        <w:t xml:space="preserve"> </w:t>
      </w:r>
      <w:r>
        <w:t>nesprávně provedlo inventarizaci peněžních prostředků. Tím ovlivnilo za prověřované ZÚ z</w:t>
      </w:r>
      <w:r w:rsidRPr="00887AC5">
        <w:t>ůstat</w:t>
      </w:r>
      <w:r w:rsidR="001970CA">
        <w:t>e</w:t>
      </w:r>
      <w:r w:rsidRPr="00887AC5">
        <w:t>k účt</w:t>
      </w:r>
      <w:r w:rsidR="001970CA">
        <w:t>u</w:t>
      </w:r>
      <w:r w:rsidRPr="00887AC5">
        <w:t xml:space="preserve"> </w:t>
      </w:r>
      <w:r w:rsidR="008C24F0">
        <w:br/>
      </w:r>
      <w:r w:rsidRPr="00887AC5">
        <w:t xml:space="preserve">241 – </w:t>
      </w:r>
      <w:r w:rsidRPr="00C96D32">
        <w:rPr>
          <w:i/>
        </w:rPr>
        <w:t>Běžný účet</w:t>
      </w:r>
      <w:r>
        <w:t xml:space="preserve"> </w:t>
      </w:r>
      <w:r w:rsidR="00FE744D">
        <w:t>o</w:t>
      </w:r>
      <w:r>
        <w:t xml:space="preserve"> 18,63 mil. </w:t>
      </w:r>
      <w:r w:rsidRPr="00887AC5">
        <w:t xml:space="preserve">Kč a </w:t>
      </w:r>
      <w:r w:rsidR="00FE744D">
        <w:t>z</w:t>
      </w:r>
      <w:r w:rsidR="00FE744D" w:rsidRPr="00887AC5">
        <w:t>ůstat</w:t>
      </w:r>
      <w:r w:rsidR="00FE744D">
        <w:t>e</w:t>
      </w:r>
      <w:r w:rsidR="00FE744D" w:rsidRPr="00887AC5">
        <w:t>k účt</w:t>
      </w:r>
      <w:r w:rsidR="00FE744D">
        <w:t>u</w:t>
      </w:r>
      <w:r w:rsidR="00FE744D" w:rsidRPr="00887AC5">
        <w:t xml:space="preserve"> </w:t>
      </w:r>
      <w:r w:rsidRPr="00887AC5">
        <w:t xml:space="preserve">261 – </w:t>
      </w:r>
      <w:r w:rsidRPr="00C96D32">
        <w:rPr>
          <w:i/>
        </w:rPr>
        <w:t>Pokladna</w:t>
      </w:r>
      <w:r w:rsidRPr="001D3D22">
        <w:t xml:space="preserve"> </w:t>
      </w:r>
      <w:r w:rsidR="00FE744D">
        <w:t>o</w:t>
      </w:r>
      <w:r w:rsidRPr="00887AC5">
        <w:t xml:space="preserve"> </w:t>
      </w:r>
      <w:r>
        <w:t>2,33</w:t>
      </w:r>
      <w:r w:rsidR="00FE744D">
        <w:t> </w:t>
      </w:r>
      <w:r>
        <w:t>mil.</w:t>
      </w:r>
      <w:r w:rsidR="00FE744D">
        <w:t> </w:t>
      </w:r>
      <w:r>
        <w:t>Kč</w:t>
      </w:r>
      <w:r w:rsidR="00FE744D">
        <w:t>.</w:t>
      </w:r>
      <w:r>
        <w:t xml:space="preserve"> </w:t>
      </w:r>
      <w:r w:rsidR="00FE744D">
        <w:t>O</w:t>
      </w:r>
      <w:r>
        <w:t>pět se jednalo o systémov</w:t>
      </w:r>
      <w:r w:rsidR="00FE744D">
        <w:t>é</w:t>
      </w:r>
      <w:r>
        <w:t xml:space="preserve"> nedostat</w:t>
      </w:r>
      <w:r w:rsidR="00FE744D">
        <w:t>ky</w:t>
      </w:r>
      <w:r>
        <w:t xml:space="preserve">. </w:t>
      </w:r>
    </w:p>
    <w:p w14:paraId="4373AFD3" w14:textId="77777777" w:rsidR="005C6B68" w:rsidRPr="00CE0218" w:rsidRDefault="005C6B68" w:rsidP="00F40EAE">
      <w:pPr>
        <w:pStyle w:val="Nadpis5"/>
        <w:keepLines w:val="0"/>
        <w:numPr>
          <w:ilvl w:val="0"/>
          <w:numId w:val="4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CE0218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 xml:space="preserve">Výnosy ZÚ </w:t>
      </w:r>
    </w:p>
    <w:p w14:paraId="482D13A9" w14:textId="470D8796" w:rsidR="005C6B68" w:rsidRPr="004D3ACE" w:rsidRDefault="001352C7" w:rsidP="00F40EAE">
      <w:pPr>
        <w:pStyle w:val="textKZ"/>
        <w:ind w:left="426" w:hanging="1"/>
      </w:pPr>
      <w:r>
        <w:t>Z</w:t>
      </w:r>
      <w:r w:rsidR="005C6B68">
        <w:t>astupitelské úřady</w:t>
      </w:r>
      <w:r w:rsidR="005C6B68" w:rsidRPr="0038559D">
        <w:t xml:space="preserve"> realizují </w:t>
      </w:r>
      <w:r>
        <w:t>v</w:t>
      </w:r>
      <w:r w:rsidRPr="0038559D">
        <w:t xml:space="preserve">ýnosy </w:t>
      </w:r>
      <w:r w:rsidR="005C6B68" w:rsidRPr="0038559D">
        <w:t>především z výběru správních poplatků. M</w:t>
      </w:r>
      <w:r w:rsidR="005C6B68" w:rsidRPr="004D3ACE">
        <w:t>ZV vykázalo v ÚZ sestavené k 31. prosinci 2015 vý</w:t>
      </w:r>
      <w:r w:rsidR="005C6B68">
        <w:t xml:space="preserve">nosy uskutečněné na ZÚ </w:t>
      </w:r>
      <w:r>
        <w:t>v </w:t>
      </w:r>
      <w:r w:rsidR="005C6B68">
        <w:t>Moskv</w:t>
      </w:r>
      <w:r>
        <w:t>ě</w:t>
      </w:r>
      <w:r w:rsidR="005C6B68">
        <w:t xml:space="preserve"> a </w:t>
      </w:r>
      <w:r>
        <w:t>v </w:t>
      </w:r>
      <w:r w:rsidR="005C6B68" w:rsidRPr="004D3ACE">
        <w:t>Bratislav</w:t>
      </w:r>
      <w:r>
        <w:t>ě</w:t>
      </w:r>
      <w:r w:rsidR="005C6B68" w:rsidRPr="004D3ACE">
        <w:t xml:space="preserve"> v období listopad a prosinec 2014, nao</w:t>
      </w:r>
      <w:r w:rsidR="005C6B68">
        <w:t>pak výnosy za období listopad a </w:t>
      </w:r>
      <w:r w:rsidR="005C6B68" w:rsidRPr="004D3ACE">
        <w:t>prosinec 2015 v této ÚZ nevykázalo.</w:t>
      </w:r>
    </w:p>
    <w:p w14:paraId="0458045A" w14:textId="4722F493" w:rsidR="005C6B68" w:rsidRPr="00846F66" w:rsidRDefault="005C6B68" w:rsidP="00F40EAE">
      <w:pPr>
        <w:pStyle w:val="textKZ"/>
        <w:ind w:left="426"/>
      </w:pPr>
      <w:r>
        <w:t xml:space="preserve">Toto nesprávné účtování za prověřované ZÚ </w:t>
      </w:r>
      <w:r w:rsidR="00380F2D">
        <w:t xml:space="preserve">ovlivnilo především </w:t>
      </w:r>
      <w:r w:rsidRPr="00635DE9">
        <w:t>zůstatky účtů</w:t>
      </w:r>
      <w:r>
        <w:t xml:space="preserve"> </w:t>
      </w:r>
      <w:r w:rsidR="00F40EAE">
        <w:br/>
      </w:r>
      <w:r w:rsidRPr="00846F66">
        <w:t xml:space="preserve">241 – </w:t>
      </w:r>
      <w:r w:rsidRPr="005E01B8">
        <w:rPr>
          <w:i/>
        </w:rPr>
        <w:t>Běžný účet</w:t>
      </w:r>
      <w:r w:rsidRPr="00846F66">
        <w:t xml:space="preserve"> </w:t>
      </w:r>
      <w:r w:rsidR="003B3697">
        <w:t>o</w:t>
      </w:r>
      <w:r w:rsidRPr="00846F66">
        <w:t xml:space="preserve"> 4,87 mil. Kč, 605 – </w:t>
      </w:r>
      <w:r w:rsidRPr="005E01B8">
        <w:rPr>
          <w:i/>
        </w:rPr>
        <w:t>Výnosy ze správních poplatků</w:t>
      </w:r>
      <w:r>
        <w:t xml:space="preserve"> ve výši 5,22 </w:t>
      </w:r>
      <w:r w:rsidRPr="00846F66">
        <w:t>mil.</w:t>
      </w:r>
      <w:r w:rsidR="00F40EAE">
        <w:t> </w:t>
      </w:r>
      <w:r w:rsidR="00BD73FF">
        <w:t>Kč a </w:t>
      </w:r>
      <w:r w:rsidRPr="00846F66">
        <w:t xml:space="preserve">245 – </w:t>
      </w:r>
      <w:r w:rsidRPr="005E01B8">
        <w:rPr>
          <w:i/>
        </w:rPr>
        <w:t>Jiné běžné účty</w:t>
      </w:r>
      <w:r w:rsidRPr="00846F66">
        <w:t xml:space="preserve"> </w:t>
      </w:r>
      <w:r w:rsidR="003B3697">
        <w:t>o</w:t>
      </w:r>
      <w:r w:rsidRPr="00846F66">
        <w:t xml:space="preserve"> 5,23 mil. Kč</w:t>
      </w:r>
      <w:r w:rsidR="001352C7">
        <w:t>;</w:t>
      </w:r>
      <w:r>
        <w:t xml:space="preserve"> opět se jednalo o systémový nedostatek.</w:t>
      </w:r>
    </w:p>
    <w:p w14:paraId="3FABAEE3" w14:textId="77777777" w:rsidR="005C6B68" w:rsidRPr="00CE0218" w:rsidRDefault="005C6B68" w:rsidP="00F40EAE">
      <w:pPr>
        <w:pStyle w:val="Nadpis5"/>
        <w:keepLines w:val="0"/>
        <w:numPr>
          <w:ilvl w:val="0"/>
          <w:numId w:val="4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CE0218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 xml:space="preserve">Poskytování záloh a </w:t>
      </w:r>
      <w:proofErr w:type="gramStart"/>
      <w:r w:rsidRPr="00CE0218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t>kaucí u ZÚ</w:t>
      </w:r>
      <w:proofErr w:type="gramEnd"/>
    </w:p>
    <w:p w14:paraId="38610B2A" w14:textId="11503FAC" w:rsidR="005C6B68" w:rsidRDefault="005C6B68" w:rsidP="00F40EAE">
      <w:pPr>
        <w:pStyle w:val="textKZ"/>
        <w:ind w:left="426"/>
      </w:pPr>
      <w:r w:rsidRPr="00B90A1F">
        <w:t xml:space="preserve">Zálohy a kauce </w:t>
      </w:r>
      <w:r>
        <w:t>účtovalo</w:t>
      </w:r>
      <w:r w:rsidRPr="00B90A1F">
        <w:t xml:space="preserve"> </w:t>
      </w:r>
      <w:proofErr w:type="gramStart"/>
      <w:r w:rsidRPr="00B90A1F">
        <w:t>MZV u ZÚ</w:t>
      </w:r>
      <w:proofErr w:type="gramEnd"/>
      <w:r>
        <w:t xml:space="preserve"> zejména v </w:t>
      </w:r>
      <w:r w:rsidRPr="00B90A1F">
        <w:t xml:space="preserve">případech, kdy </w:t>
      </w:r>
      <w:r>
        <w:t xml:space="preserve">platilo </w:t>
      </w:r>
      <w:r w:rsidRPr="00B90A1F">
        <w:t>kauce na byty, které používají zaměstnanci MZV při pobytu v zahraničí, dále např. na fr</w:t>
      </w:r>
      <w:r>
        <w:t>ankovací stroje a</w:t>
      </w:r>
      <w:r w:rsidR="00F40EAE">
        <w:t> </w:t>
      </w:r>
      <w:r>
        <w:t>elektroměry. MZV v průběhu roku 2015 účtovalo zaplacené zálohy a kauce</w:t>
      </w:r>
      <w:r w:rsidRPr="008A20F7">
        <w:t xml:space="preserve"> </w:t>
      </w:r>
      <w:r w:rsidRPr="00DC3196">
        <w:t xml:space="preserve">prostřednictvím účtu 518 – </w:t>
      </w:r>
      <w:r w:rsidRPr="005E01B8">
        <w:rPr>
          <w:i/>
        </w:rPr>
        <w:t>Ostatní služby</w:t>
      </w:r>
      <w:r w:rsidRPr="00DC3196">
        <w:t xml:space="preserve"> míst</w:t>
      </w:r>
      <w:r>
        <w:t>o příslušného rozvahového účtu</w:t>
      </w:r>
      <w:r w:rsidRPr="00B90A1F">
        <w:t>. O</w:t>
      </w:r>
      <w:r>
        <w:t> </w:t>
      </w:r>
      <w:r w:rsidRPr="00B90A1F">
        <w:t>pohledávkách plynoucích z</w:t>
      </w:r>
      <w:r>
        <w:t>e</w:t>
      </w:r>
      <w:r w:rsidRPr="00B90A1F">
        <w:t xml:space="preserve"> záloh a kaucí účtovalo MZV</w:t>
      </w:r>
      <w:r>
        <w:t xml:space="preserve"> v roce 2015</w:t>
      </w:r>
      <w:r w:rsidRPr="00B90A1F">
        <w:t xml:space="preserve"> </w:t>
      </w:r>
      <w:r>
        <w:t>pouze jednou (31.</w:t>
      </w:r>
      <w:r w:rsidR="00F40EAE">
        <w:t> </w:t>
      </w:r>
      <w:r>
        <w:t>prosince 2015), a to ve stavu k 31. říjnu 2015, přičemž tento účetní zápis v lednu následujícího roku stornovalo.</w:t>
      </w:r>
      <w:r w:rsidRPr="00DC4B8C">
        <w:t xml:space="preserve"> </w:t>
      </w:r>
      <w:r w:rsidRPr="00DC3196">
        <w:t xml:space="preserve">MZV o zálohách a kaucích vyplacených v období </w:t>
      </w:r>
      <w:r>
        <w:t>listopad a</w:t>
      </w:r>
      <w:r w:rsidR="008C24F0">
        <w:t> </w:t>
      </w:r>
      <w:r>
        <w:t xml:space="preserve">prosinec </w:t>
      </w:r>
      <w:r w:rsidRPr="00DC3196">
        <w:t xml:space="preserve">2015 účtovalo </w:t>
      </w:r>
      <w:r>
        <w:t>až v</w:t>
      </w:r>
      <w:r w:rsidRPr="00DC3196">
        <w:t xml:space="preserve"> účetní</w:t>
      </w:r>
      <w:r>
        <w:t>m</w:t>
      </w:r>
      <w:r w:rsidRPr="00DC3196">
        <w:t xml:space="preserve"> období roku 201</w:t>
      </w:r>
      <w:r>
        <w:t>6</w:t>
      </w:r>
      <w:r w:rsidRPr="00DC3196">
        <w:t>.</w:t>
      </w:r>
    </w:p>
    <w:p w14:paraId="7DF615C8" w14:textId="77777777" w:rsidR="005C6B68" w:rsidRPr="00DC3196" w:rsidRDefault="005C6B68" w:rsidP="00F40EAE">
      <w:pPr>
        <w:pStyle w:val="textKZ"/>
        <w:ind w:left="426"/>
      </w:pPr>
      <w:r>
        <w:t>Jelikož MZV</w:t>
      </w:r>
      <w:r w:rsidRPr="00DC3196">
        <w:t xml:space="preserve"> </w:t>
      </w:r>
      <w:r>
        <w:t>neúčtovalo pohledávky</w:t>
      </w:r>
      <w:r w:rsidRPr="00DC3196">
        <w:t xml:space="preserve"> </w:t>
      </w:r>
      <w:r>
        <w:t xml:space="preserve">průběžně </w:t>
      </w:r>
      <w:r w:rsidRPr="00DC3196">
        <w:t>prostřednictvím příslušných účtů</w:t>
      </w:r>
      <w:r>
        <w:t xml:space="preserve">, nezachycovalo ani kurzové rozdíly </w:t>
      </w:r>
      <w:r w:rsidRPr="00DC3196">
        <w:t>vznikl</w:t>
      </w:r>
      <w:r>
        <w:t>é</w:t>
      </w:r>
      <w:r w:rsidRPr="00DC3196">
        <w:t xml:space="preserve"> rozdíln</w:t>
      </w:r>
      <w:r>
        <w:t>ým</w:t>
      </w:r>
      <w:r w:rsidRPr="00DC3196">
        <w:t xml:space="preserve"> kurzem účetního případu při poskytnutí záloh</w:t>
      </w:r>
      <w:r>
        <w:t xml:space="preserve"> a </w:t>
      </w:r>
      <w:r w:rsidRPr="00DC3196">
        <w:t>kaucí u ZÚ</w:t>
      </w:r>
      <w:r>
        <w:t>,</w:t>
      </w:r>
      <w:r w:rsidRPr="00DC3196">
        <w:t xml:space="preserve"> při jejich </w:t>
      </w:r>
      <w:r>
        <w:t>vypořádání a na konci rozvahového dne.</w:t>
      </w:r>
      <w:r w:rsidRPr="00DC3196">
        <w:t xml:space="preserve"> </w:t>
      </w:r>
      <w:r w:rsidRPr="00B90A1F">
        <w:t>Částky, které by odpovídaly případným kurzovým rozdílům, tak zůstaly</w:t>
      </w:r>
      <w:r>
        <w:t xml:space="preserve"> vykázány</w:t>
      </w:r>
      <w:r w:rsidRPr="00B90A1F">
        <w:t xml:space="preserve"> </w:t>
      </w:r>
      <w:r>
        <w:t xml:space="preserve">nesprávně </w:t>
      </w:r>
      <w:r w:rsidRPr="00B90A1F">
        <w:t xml:space="preserve">na účtu 518 – </w:t>
      </w:r>
      <w:r w:rsidRPr="00E52D4F">
        <w:rPr>
          <w:i/>
        </w:rPr>
        <w:t>Ostatní služby</w:t>
      </w:r>
      <w:r w:rsidRPr="00B90A1F">
        <w:t>.</w:t>
      </w:r>
    </w:p>
    <w:p w14:paraId="64AE9D74" w14:textId="044D2A90" w:rsidR="005C6B68" w:rsidRPr="00DC3196" w:rsidRDefault="005C6B68" w:rsidP="00F40EAE">
      <w:pPr>
        <w:pStyle w:val="textKZ"/>
        <w:ind w:left="426"/>
      </w:pPr>
      <w:r w:rsidRPr="00DC3196">
        <w:t>MZV o zálohách</w:t>
      </w:r>
      <w:r>
        <w:t xml:space="preserve"> a </w:t>
      </w:r>
      <w:r w:rsidRPr="00DC3196">
        <w:t xml:space="preserve">kaucích, které měly charakter dlouhodobé pohledávky, účtovalo </w:t>
      </w:r>
      <w:r>
        <w:t>prostřednictvím účtu 377 – </w:t>
      </w:r>
      <w:r w:rsidRPr="00E52D4F">
        <w:rPr>
          <w:i/>
        </w:rPr>
        <w:t>Ostatní krátkodobé pohledávky</w:t>
      </w:r>
      <w:r w:rsidRPr="00DC3196">
        <w:t xml:space="preserve"> namísto účtu</w:t>
      </w:r>
      <w:r w:rsidR="00F40EAE">
        <w:t xml:space="preserve"> </w:t>
      </w:r>
      <w:r w:rsidRPr="00DC3196">
        <w:t xml:space="preserve">469 – </w:t>
      </w:r>
      <w:r w:rsidRPr="00E52D4F">
        <w:rPr>
          <w:i/>
        </w:rPr>
        <w:t>Ostatní dlouhodobé pohledávky</w:t>
      </w:r>
      <w:r w:rsidRPr="0038559D">
        <w:t xml:space="preserve">, </w:t>
      </w:r>
      <w:r w:rsidR="001352C7">
        <w:t>čímž</w:t>
      </w:r>
      <w:r w:rsidRPr="0038559D">
        <w:t xml:space="preserve"> ovlivnilo zůstatky těchto účtů minimálně </w:t>
      </w:r>
      <w:r w:rsidR="001352C7">
        <w:t>o</w:t>
      </w:r>
      <w:r>
        <w:rPr>
          <w:i/>
        </w:rPr>
        <w:t xml:space="preserve"> </w:t>
      </w:r>
      <w:r>
        <w:t>1,95</w:t>
      </w:r>
      <w:r w:rsidR="001352C7">
        <w:t> </w:t>
      </w:r>
      <w:r>
        <w:t>mil.</w:t>
      </w:r>
      <w:r w:rsidR="001352C7">
        <w:t> </w:t>
      </w:r>
      <w:r w:rsidRPr="00DC3196">
        <w:t xml:space="preserve">Kč. </w:t>
      </w:r>
    </w:p>
    <w:p w14:paraId="19DB5877" w14:textId="77777777" w:rsidR="005C6B68" w:rsidRPr="00CE0218" w:rsidRDefault="005C6B68" w:rsidP="00F40EAE">
      <w:pPr>
        <w:pStyle w:val="Nadpis5"/>
        <w:keepLines w:val="0"/>
        <w:numPr>
          <w:ilvl w:val="0"/>
          <w:numId w:val="4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</w:pPr>
      <w:r w:rsidRPr="00CE0218">
        <w:rPr>
          <w:rFonts w:asciiTheme="minorHAnsi" w:hAnsiTheme="minorHAnsi" w:cstheme="minorHAnsi"/>
          <w:i/>
          <w:color w:val="auto"/>
          <w:sz w:val="24"/>
          <w:szCs w:val="24"/>
          <w:u w:val="single"/>
        </w:rPr>
        <w:lastRenderedPageBreak/>
        <w:t>Náhrady zvýšených životních nákladů</w:t>
      </w:r>
    </w:p>
    <w:p w14:paraId="0EDD813C" w14:textId="28843500" w:rsidR="005C6B68" w:rsidRPr="00D40E33" w:rsidRDefault="005C6B68" w:rsidP="00F40EAE">
      <w:pPr>
        <w:pStyle w:val="textKZ"/>
        <w:ind w:left="426"/>
      </w:pPr>
      <w:r w:rsidRPr="00D40E33">
        <w:t>MZV dle nařízení vlády č. 62/1994 Sb.</w:t>
      </w:r>
      <w:r w:rsidR="00AA080F">
        <w:rPr>
          <w:rStyle w:val="Znakapoznpodarou"/>
        </w:rPr>
        <w:footnoteReference w:id="11"/>
      </w:r>
      <w:r>
        <w:t xml:space="preserve"> </w:t>
      </w:r>
      <w:r w:rsidRPr="00D40E33">
        <w:t>poskytuje náhrady zvýšených životních nákladů (dál</w:t>
      </w:r>
      <w:r>
        <w:t xml:space="preserve">e </w:t>
      </w:r>
      <w:r w:rsidR="00DE2650">
        <w:t>jen</w:t>
      </w:r>
      <w:r>
        <w:t xml:space="preserve"> „NZŽ</w:t>
      </w:r>
      <w:r w:rsidRPr="00D40E33">
        <w:t>N“)</w:t>
      </w:r>
      <w:r>
        <w:t xml:space="preserve"> </w:t>
      </w:r>
      <w:r w:rsidRPr="00D40E33">
        <w:t>zaměstnancům, kteří mají místo výkonu práce v zahraničí určen</w:t>
      </w:r>
      <w:r>
        <w:t>é</w:t>
      </w:r>
      <w:r w:rsidRPr="00D40E33">
        <w:t xml:space="preserve"> jako pravidelné pracoviště.</w:t>
      </w:r>
    </w:p>
    <w:p w14:paraId="62B39085" w14:textId="49FCFE4F" w:rsidR="005C6B68" w:rsidRPr="00D40E33" w:rsidRDefault="005C6B68" w:rsidP="00F40EAE">
      <w:pPr>
        <w:pStyle w:val="textKZ"/>
        <w:ind w:left="426"/>
      </w:pPr>
      <w:r w:rsidRPr="00D40E33">
        <w:t>MZV o závazcích z titulu NZŽN v roce 2015 účtovalo prostřednictvím účtu</w:t>
      </w:r>
      <w:r w:rsidR="00F40EAE">
        <w:t xml:space="preserve"> </w:t>
      </w:r>
      <w:r w:rsidR="00DE2650">
        <w:br/>
      </w:r>
      <w:r w:rsidRPr="00D40E33">
        <w:t xml:space="preserve">331 – </w:t>
      </w:r>
      <w:r w:rsidRPr="005E01B8">
        <w:rPr>
          <w:i/>
        </w:rPr>
        <w:t>Zaměstnanci</w:t>
      </w:r>
      <w:r w:rsidRPr="00D40E33">
        <w:t xml:space="preserve"> namísto účtu 333 – </w:t>
      </w:r>
      <w:r w:rsidRPr="005E01B8">
        <w:rPr>
          <w:i/>
        </w:rPr>
        <w:t>Jiné závazky vůči zaměstnancům</w:t>
      </w:r>
      <w:r w:rsidRPr="00D40E33">
        <w:t>.</w:t>
      </w:r>
      <w:r>
        <w:t xml:space="preserve"> MZV vykázalo k datu 31. prosinc</w:t>
      </w:r>
      <w:r w:rsidR="005235B5">
        <w:t>e</w:t>
      </w:r>
      <w:r>
        <w:t xml:space="preserve"> </w:t>
      </w:r>
      <w:r w:rsidRPr="00EE20E3">
        <w:t xml:space="preserve">2015 jako neuhrazené závazky ZÚ i ty závazky, které ve skutečnosti byly k datu 31. </w:t>
      </w:r>
      <w:r>
        <w:t>prosinc</w:t>
      </w:r>
      <w:r w:rsidR="005235B5">
        <w:t>e</w:t>
      </w:r>
      <w:r w:rsidRPr="00EE20E3">
        <w:t xml:space="preserve"> 2015 uhrazeny. Tyto závazky byly uhrazeny na jednotlivých ZÚ v období </w:t>
      </w:r>
      <w:r>
        <w:t xml:space="preserve">listopad a prosinec </w:t>
      </w:r>
      <w:r w:rsidRPr="00EE20E3">
        <w:t xml:space="preserve">2015, účetní zápisy o těchto skutečnostech však byly provedeny až v účetním období roku 2016. </w:t>
      </w:r>
    </w:p>
    <w:p w14:paraId="1DBC2139" w14:textId="40CF1DFD" w:rsidR="005C6B68" w:rsidRDefault="005C6B68" w:rsidP="00F40EAE">
      <w:pPr>
        <w:pStyle w:val="textKZ"/>
        <w:spacing w:after="0"/>
        <w:ind w:left="426"/>
      </w:pPr>
      <w:r>
        <w:t xml:space="preserve">Toto nesprávné účtování </w:t>
      </w:r>
      <w:r w:rsidR="005235B5">
        <w:t>ovlivnilo</w:t>
      </w:r>
      <w:r>
        <w:t xml:space="preserve"> </w:t>
      </w:r>
      <w:r w:rsidRPr="00635DE9">
        <w:t>zůstat</w:t>
      </w:r>
      <w:r w:rsidR="005235B5">
        <w:t>e</w:t>
      </w:r>
      <w:r w:rsidRPr="00635DE9">
        <w:t>k účt</w:t>
      </w:r>
      <w:r w:rsidR="005235B5">
        <w:t>u</w:t>
      </w:r>
      <w:r>
        <w:t xml:space="preserve"> 331 – </w:t>
      </w:r>
      <w:r w:rsidRPr="005E01B8">
        <w:rPr>
          <w:i/>
        </w:rPr>
        <w:t>Zaměstnanci</w:t>
      </w:r>
      <w:r>
        <w:t xml:space="preserve"> </w:t>
      </w:r>
      <w:r w:rsidR="005235B5">
        <w:t xml:space="preserve">o </w:t>
      </w:r>
      <w:r>
        <w:t>306,53 mil.</w:t>
      </w:r>
      <w:r w:rsidR="00F40EAE">
        <w:t> </w:t>
      </w:r>
      <w:r w:rsidRPr="00EE20E3">
        <w:t>Kč</w:t>
      </w:r>
      <w:r w:rsidR="00BA40AC">
        <w:t>,</w:t>
      </w:r>
      <w:r w:rsidRPr="00EE20E3">
        <w:t xml:space="preserve"> </w:t>
      </w:r>
      <w:r w:rsidR="00BA40AC" w:rsidRPr="00635DE9">
        <w:t>účt</w:t>
      </w:r>
      <w:r w:rsidR="00BA40AC">
        <w:t xml:space="preserve">u </w:t>
      </w:r>
      <w:r w:rsidRPr="00EE20E3">
        <w:t xml:space="preserve">333 – </w:t>
      </w:r>
      <w:r w:rsidRPr="005E01B8">
        <w:rPr>
          <w:i/>
        </w:rPr>
        <w:t>Jiné závazky vůči zaměstnancům</w:t>
      </w:r>
      <w:r w:rsidRPr="00EE20E3">
        <w:t xml:space="preserve"> minimálně </w:t>
      </w:r>
      <w:r w:rsidR="00BA40AC">
        <w:t>o</w:t>
      </w:r>
      <w:r w:rsidRPr="00EE20E3">
        <w:t xml:space="preserve"> 110</w:t>
      </w:r>
      <w:r>
        <w:t xml:space="preserve">,65 mil. </w:t>
      </w:r>
      <w:r w:rsidRPr="00EE20E3">
        <w:t xml:space="preserve">Kč, </w:t>
      </w:r>
      <w:r w:rsidR="00BA40AC" w:rsidRPr="00635DE9">
        <w:t>účt</w:t>
      </w:r>
      <w:r w:rsidR="00BA40AC">
        <w:t xml:space="preserve">u </w:t>
      </w:r>
      <w:r w:rsidRPr="00EE20E3">
        <w:t>24</w:t>
      </w:r>
      <w:r>
        <w:t xml:space="preserve">5 – </w:t>
      </w:r>
      <w:r w:rsidRPr="005E01B8">
        <w:rPr>
          <w:i/>
        </w:rPr>
        <w:t>Jiné běžné účty</w:t>
      </w:r>
      <w:r>
        <w:t xml:space="preserve"> </w:t>
      </w:r>
      <w:r w:rsidR="00BA40AC">
        <w:t>o</w:t>
      </w:r>
      <w:r>
        <w:t xml:space="preserve"> 306,53 mil. </w:t>
      </w:r>
      <w:r w:rsidRPr="00EE20E3">
        <w:t xml:space="preserve">Kč a </w:t>
      </w:r>
      <w:r w:rsidR="00BA40AC">
        <w:t xml:space="preserve">zůstatek účtu </w:t>
      </w:r>
      <w:r w:rsidRPr="00EE20E3">
        <w:t xml:space="preserve">241 – </w:t>
      </w:r>
      <w:r w:rsidRPr="005E01B8">
        <w:rPr>
          <w:i/>
        </w:rPr>
        <w:t>Běžný účet</w:t>
      </w:r>
      <w:r w:rsidRPr="00EE20E3">
        <w:t xml:space="preserve"> minimálně </w:t>
      </w:r>
      <w:r w:rsidR="00BA40AC">
        <w:t>o</w:t>
      </w:r>
      <w:r w:rsidRPr="00EE20E3">
        <w:t xml:space="preserve"> </w:t>
      </w:r>
      <w:r>
        <w:t>110,65</w:t>
      </w:r>
      <w:r w:rsidR="00F40EAE">
        <w:t> </w:t>
      </w:r>
      <w:r>
        <w:t>mil.</w:t>
      </w:r>
      <w:r w:rsidRPr="00EE20E3">
        <w:t xml:space="preserve"> Kč.</w:t>
      </w:r>
    </w:p>
    <w:p w14:paraId="5553588E" w14:textId="77777777" w:rsidR="008800AA" w:rsidRDefault="008800AA" w:rsidP="008800AA">
      <w:pPr>
        <w:pStyle w:val="textKZ"/>
        <w:spacing w:after="0"/>
      </w:pPr>
    </w:p>
    <w:p w14:paraId="7979190C" w14:textId="77777777" w:rsidR="008800AA" w:rsidRPr="00432632" w:rsidRDefault="00F40EAE" w:rsidP="00481B14">
      <w:pPr>
        <w:pStyle w:val="Nadpis4"/>
        <w:numPr>
          <w:ilvl w:val="0"/>
          <w:numId w:val="0"/>
        </w:numPr>
        <w:ind w:left="567" w:hanging="567"/>
      </w:pPr>
      <w:r>
        <w:t>1.1.2</w:t>
      </w:r>
      <w:r>
        <w:tab/>
      </w:r>
      <w:r w:rsidR="008800AA" w:rsidRPr="00432632">
        <w:t xml:space="preserve">Inventarizace </w:t>
      </w:r>
      <w:proofErr w:type="gramStart"/>
      <w:r w:rsidR="008800AA" w:rsidRPr="00432632">
        <w:t>na</w:t>
      </w:r>
      <w:proofErr w:type="gramEnd"/>
      <w:r w:rsidR="008800AA" w:rsidRPr="00432632">
        <w:t xml:space="preserve"> ZÚ</w:t>
      </w:r>
    </w:p>
    <w:p w14:paraId="35C2DCEB" w14:textId="7B2682C8" w:rsidR="008800AA" w:rsidRDefault="008800AA" w:rsidP="008800AA">
      <w:pPr>
        <w:pStyle w:val="textKZ"/>
      </w:pPr>
      <w:r w:rsidRPr="00432632">
        <w:t xml:space="preserve">MZV na </w:t>
      </w:r>
      <w:r>
        <w:t>prověřovaných ZÚ</w:t>
      </w:r>
      <w:r w:rsidRPr="00432632">
        <w:t xml:space="preserve"> nezjistilo inventarizací skutečn</w:t>
      </w:r>
      <w:r w:rsidR="00BA40AC">
        <w:t>é</w:t>
      </w:r>
      <w:r w:rsidRPr="00432632">
        <w:t xml:space="preserve"> stav</w:t>
      </w:r>
      <w:r w:rsidR="00BA40AC">
        <w:t>y</w:t>
      </w:r>
      <w:r>
        <w:t xml:space="preserve"> bankovních účtů, pokladen, pohledávek, závazků a zásob</w:t>
      </w:r>
      <w:r w:rsidRPr="00432632">
        <w:t xml:space="preserve"> k okamžiku, ke kterému sestavil</w:t>
      </w:r>
      <w:r>
        <w:t>o řádnou účetní závěrku</w:t>
      </w:r>
      <w:r w:rsidR="00BA40AC">
        <w:t>.</w:t>
      </w:r>
      <w:r>
        <w:t xml:space="preserve"> </w:t>
      </w:r>
      <w:r w:rsidR="00BA40AC">
        <w:t>K</w:t>
      </w:r>
      <w:r>
        <w:t> 31. prosinci</w:t>
      </w:r>
      <w:r w:rsidRPr="00432632">
        <w:t xml:space="preserve"> 2015 </w:t>
      </w:r>
      <w:r>
        <w:t xml:space="preserve">tak </w:t>
      </w:r>
      <w:r w:rsidRPr="00432632">
        <w:t>vykázalo</w:t>
      </w:r>
      <w:r>
        <w:t xml:space="preserve"> </w:t>
      </w:r>
      <w:r w:rsidRPr="00432632">
        <w:t xml:space="preserve">za </w:t>
      </w:r>
      <w:r>
        <w:t>prověřované ZÚ</w:t>
      </w:r>
      <w:r w:rsidRPr="00432632">
        <w:t xml:space="preserve"> zůstatky zjištěné k</w:t>
      </w:r>
      <w:r>
        <w:t> </w:t>
      </w:r>
      <w:r w:rsidRPr="00432632">
        <w:t>31.</w:t>
      </w:r>
      <w:r>
        <w:t> říjnu</w:t>
      </w:r>
      <w:r w:rsidRPr="00432632">
        <w:t xml:space="preserve"> 2015.</w:t>
      </w:r>
    </w:p>
    <w:p w14:paraId="0FA1EB15" w14:textId="7803B156" w:rsidR="008800AA" w:rsidRPr="00EE20E3" w:rsidRDefault="008800AA" w:rsidP="008800AA">
      <w:pPr>
        <w:pStyle w:val="textKZ"/>
        <w:spacing w:after="0"/>
      </w:pPr>
      <w:r>
        <w:t xml:space="preserve">V případě peněžních prostředků však nebyl vykázán správný stav ani k 31. říjnu 2015, neboť v zůstatku účtu 245 – </w:t>
      </w:r>
      <w:r w:rsidRPr="00304C38">
        <w:rPr>
          <w:i/>
        </w:rPr>
        <w:t xml:space="preserve">Jiné běžné účty </w:t>
      </w:r>
      <w:r>
        <w:t>byl</w:t>
      </w:r>
      <w:r w:rsidR="00BA40AC">
        <w:t>y</w:t>
      </w:r>
      <w:r>
        <w:t xml:space="preserve"> zahrnut</w:t>
      </w:r>
      <w:r w:rsidR="00BA40AC">
        <w:t>y</w:t>
      </w:r>
      <w:r>
        <w:t xml:space="preserve"> výše jak bankovních účtů jednotlivých ZÚ, tak jejich pokladen.</w:t>
      </w:r>
    </w:p>
    <w:p w14:paraId="51C43196" w14:textId="77777777" w:rsidR="008800AA" w:rsidRPr="00DD1EA1" w:rsidRDefault="008800AA" w:rsidP="008800A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EAF20BB" w14:textId="77777777" w:rsidR="008800AA" w:rsidRDefault="008800AA" w:rsidP="00481B14">
      <w:pPr>
        <w:pStyle w:val="Nadpis3"/>
        <w:numPr>
          <w:ilvl w:val="2"/>
          <w:numId w:val="5"/>
        </w:numPr>
        <w:spacing w:after="120"/>
        <w:ind w:left="426" w:hanging="426"/>
      </w:pPr>
      <w:r>
        <w:t>Dlouhodobý závazek</w:t>
      </w:r>
    </w:p>
    <w:p w14:paraId="4F878C96" w14:textId="77777777" w:rsidR="008800AA" w:rsidRDefault="008800AA" w:rsidP="008800AA">
      <w:pPr>
        <w:pStyle w:val="textKZ"/>
      </w:pPr>
      <w:r>
        <w:t xml:space="preserve">MZV vykázalo v ÚZ sestavené k 31. prosinci 2015 na účtu 459 – </w:t>
      </w:r>
      <w:r w:rsidRPr="008D529E">
        <w:rPr>
          <w:i/>
        </w:rPr>
        <w:t>Ostatní dlouhodobé závazky</w:t>
      </w:r>
      <w:r w:rsidRPr="003A5E48">
        <w:t xml:space="preserve"> </w:t>
      </w:r>
      <w:r>
        <w:t>částku</w:t>
      </w:r>
      <w:r w:rsidRPr="003A5E48">
        <w:t xml:space="preserve"> ve výši 650,6 mil. Kč</w:t>
      </w:r>
      <w:r>
        <w:t>, přičemž:</w:t>
      </w:r>
    </w:p>
    <w:p w14:paraId="475938AE" w14:textId="62BFE890" w:rsidR="004808A9" w:rsidRDefault="004808A9" w:rsidP="00481B14">
      <w:pPr>
        <w:pStyle w:val="textKZ"/>
        <w:numPr>
          <w:ilvl w:val="0"/>
          <w:numId w:val="4"/>
        </w:numPr>
        <w:spacing w:after="0"/>
        <w:ind w:left="426" w:hanging="426"/>
      </w:pPr>
      <w:r>
        <w:t>částka 0,6 mil. Kč byla poskytnuta vnitřní organizační jednotce – vlastní závodní jídelně;</w:t>
      </w:r>
    </w:p>
    <w:p w14:paraId="60EA8240" w14:textId="4911D468" w:rsidR="004808A9" w:rsidRDefault="004808A9" w:rsidP="00481B14">
      <w:pPr>
        <w:pStyle w:val="textKZ"/>
        <w:numPr>
          <w:ilvl w:val="0"/>
          <w:numId w:val="4"/>
        </w:numPr>
        <w:spacing w:after="0"/>
        <w:ind w:left="426" w:hanging="426"/>
      </w:pPr>
      <w:r>
        <w:t xml:space="preserve">částka 200 mil. Kč představovala prostředky určené na financování záloh pro zastupitelské úřady, jednalo se o peněžní prostředky poskytnuté z vlastních zdrojů MZV; </w:t>
      </w:r>
    </w:p>
    <w:p w14:paraId="1E292AA4" w14:textId="0CA2265D" w:rsidR="008800AA" w:rsidRDefault="004808A9" w:rsidP="00DF5C16">
      <w:pPr>
        <w:pStyle w:val="textKZ"/>
        <w:numPr>
          <w:ilvl w:val="0"/>
          <w:numId w:val="4"/>
        </w:numPr>
        <w:ind w:left="426" w:hanging="426"/>
      </w:pPr>
      <w:r>
        <w:t>č</w:t>
      </w:r>
      <w:r w:rsidR="008800AA">
        <w:t xml:space="preserve">ástka ve výši 450 mil. Kč představovala prostředky, které byly </w:t>
      </w:r>
      <w:r>
        <w:t xml:space="preserve">rovněž </w:t>
      </w:r>
      <w:r w:rsidR="008800AA">
        <w:t xml:space="preserve">určeny k financování záloh pro zastupitelské úřady, byla </w:t>
      </w:r>
      <w:r>
        <w:t xml:space="preserve">však </w:t>
      </w:r>
      <w:r w:rsidR="008800AA">
        <w:t xml:space="preserve">poskytnuta Ministerstvem financí z rozpočtu </w:t>
      </w:r>
      <w:r w:rsidR="008800AA" w:rsidRPr="006D1786">
        <w:t>kapitoly 398</w:t>
      </w:r>
      <w:r>
        <w:t> –</w:t>
      </w:r>
      <w:r w:rsidR="00F40EAE">
        <w:t> </w:t>
      </w:r>
      <w:r w:rsidR="008800AA" w:rsidRPr="00481B14">
        <w:rPr>
          <w:i/>
        </w:rPr>
        <w:t>Všeobecná pokladní správa</w:t>
      </w:r>
      <w:r w:rsidR="008800AA">
        <w:t xml:space="preserve">. V průběhu kontroly nepředložilo </w:t>
      </w:r>
      <w:r>
        <w:t xml:space="preserve">MZV </w:t>
      </w:r>
      <w:r w:rsidR="008800AA">
        <w:t>k této částce podklady, ze</w:t>
      </w:r>
      <w:r>
        <w:t xml:space="preserve"> </w:t>
      </w:r>
      <w:r w:rsidR="008800AA">
        <w:t xml:space="preserve">kterých by bylo možné vyvodit, že v případě vztahu mezi MF a MZV se jednalo o závazek MZV poskytnuté peněžní prostředky vrátit. Z tohoto důvodu nebylo možné jednoznačně prokázat správnost zaúčtování a vykázání závazku v ÚZ. </w:t>
      </w:r>
      <w:r w:rsidR="008800AA" w:rsidRPr="003A5E48">
        <w:t>T</w:t>
      </w:r>
      <w:r w:rsidR="008800AA">
        <w:t>ato</w:t>
      </w:r>
      <w:r w:rsidR="008800AA" w:rsidRPr="003A5E48">
        <w:t xml:space="preserve"> skutečnost</w:t>
      </w:r>
      <w:r w:rsidR="008800AA">
        <w:t xml:space="preserve"> je však významná, proto ji</w:t>
      </w:r>
      <w:r w:rsidR="008800AA" w:rsidRPr="003A5E48">
        <w:t xml:space="preserve"> MZV</w:t>
      </w:r>
      <w:r w:rsidR="008800AA">
        <w:t xml:space="preserve"> </w:t>
      </w:r>
      <w:r w:rsidR="008800AA" w:rsidRPr="003A5E48">
        <w:t>mělo uvést v</w:t>
      </w:r>
      <w:r w:rsidR="008800AA">
        <w:t> </w:t>
      </w:r>
      <w:r w:rsidR="008800AA" w:rsidRPr="003A5E48">
        <w:t>příloze účetní závěrky</w:t>
      </w:r>
      <w:r w:rsidR="008800AA">
        <w:t>.</w:t>
      </w:r>
    </w:p>
    <w:p w14:paraId="7224C5D9" w14:textId="5BAB09A8" w:rsidR="008800AA" w:rsidRPr="007B60B8" w:rsidRDefault="008800AA" w:rsidP="008800AA">
      <w:pPr>
        <w:pStyle w:val="textKZ"/>
        <w:spacing w:after="0"/>
      </w:pPr>
      <w:r>
        <w:t>V případě peněžních prostředků ve výši 200,6 mil</w:t>
      </w:r>
      <w:r w:rsidR="00DF5C16">
        <w:t>.</w:t>
      </w:r>
      <w:r>
        <w:t xml:space="preserve"> Kč </w:t>
      </w:r>
      <w:r w:rsidR="00DF5C16">
        <w:t>MZV</w:t>
      </w:r>
      <w:r>
        <w:t xml:space="preserve"> pouze převádělo prostředky mezi vlastními bankovními účty, nejednalo se o vznik závazku za jiným subjektem s vlastní právní subjektivitou</w:t>
      </w:r>
      <w:r w:rsidR="00DF5C16">
        <w:t>.</w:t>
      </w:r>
      <w:r>
        <w:t xml:space="preserve"> MZV tak </w:t>
      </w:r>
      <w:r w:rsidR="00DF5C16">
        <w:t xml:space="preserve">o tuto částku </w:t>
      </w:r>
      <w:r>
        <w:t xml:space="preserve">ovlivnilo </w:t>
      </w:r>
      <w:r w:rsidRPr="007B60B8">
        <w:t>zůstat</w:t>
      </w:r>
      <w:r>
        <w:t>ek</w:t>
      </w:r>
      <w:r w:rsidRPr="007B60B8">
        <w:t xml:space="preserve"> účt</w:t>
      </w:r>
      <w:r>
        <w:t>u</w:t>
      </w:r>
      <w:r w:rsidRPr="007B60B8">
        <w:t xml:space="preserve"> </w:t>
      </w:r>
      <w:r>
        <w:t xml:space="preserve">459 – </w:t>
      </w:r>
      <w:r w:rsidRPr="008D529E">
        <w:rPr>
          <w:i/>
        </w:rPr>
        <w:t>Ostatní dlouhodobé závazky</w:t>
      </w:r>
      <w:r>
        <w:t>.</w:t>
      </w:r>
    </w:p>
    <w:p w14:paraId="07C7070D" w14:textId="77777777" w:rsidR="008800AA" w:rsidRPr="00AA080F" w:rsidRDefault="008800AA" w:rsidP="008800A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96642E1" w14:textId="77777777" w:rsidR="008800AA" w:rsidRDefault="008800AA" w:rsidP="00481B14">
      <w:pPr>
        <w:pStyle w:val="Nadpis3"/>
        <w:numPr>
          <w:ilvl w:val="2"/>
          <w:numId w:val="5"/>
        </w:numPr>
        <w:spacing w:after="120"/>
        <w:ind w:left="426" w:hanging="426"/>
      </w:pPr>
      <w:r>
        <w:t>Pozdní účtování o z</w:t>
      </w:r>
      <w:r w:rsidRPr="00E31540">
        <w:t>mařen</w:t>
      </w:r>
      <w:r>
        <w:t xml:space="preserve">é </w:t>
      </w:r>
      <w:r w:rsidRPr="00E31540">
        <w:t>investic</w:t>
      </w:r>
      <w:r>
        <w:t>i</w:t>
      </w:r>
    </w:p>
    <w:p w14:paraId="6320A4AD" w14:textId="4B9E51DD" w:rsidR="008800AA" w:rsidRPr="008741B0" w:rsidRDefault="008800AA" w:rsidP="008800AA">
      <w:pPr>
        <w:pStyle w:val="textKZ"/>
      </w:pPr>
      <w:r w:rsidRPr="008741B0">
        <w:t>MZV o nákladech z titulu odpisu z</w:t>
      </w:r>
      <w:r>
        <w:t>mařené</w:t>
      </w:r>
      <w:r w:rsidRPr="008741B0">
        <w:t xml:space="preserve"> investice </w:t>
      </w:r>
      <w:r w:rsidRPr="005E0C7B">
        <w:t>ve výši</w:t>
      </w:r>
      <w:r w:rsidRPr="008741B0">
        <w:t xml:space="preserve"> </w:t>
      </w:r>
      <w:r>
        <w:t>20,49 mil.</w:t>
      </w:r>
      <w:r w:rsidRPr="008741B0">
        <w:t xml:space="preserve"> Kč účtovalo nesprávně až v roce 2015, </w:t>
      </w:r>
      <w:r w:rsidR="00E24E58">
        <w:t>ačkoli</w:t>
      </w:r>
      <w:r w:rsidRPr="008741B0">
        <w:t xml:space="preserve"> o zrušení záměru na výstavbu nového objektu bylo rozhodnuto na </w:t>
      </w:r>
      <w:r w:rsidRPr="008741B0">
        <w:lastRenderedPageBreak/>
        <w:t>základě usnesení vlády ze dne 3</w:t>
      </w:r>
      <w:r>
        <w:t>.</w:t>
      </w:r>
      <w:r w:rsidRPr="008741B0">
        <w:t xml:space="preserve"> listopadu 2014 č. 903. K tomuto okamžiku mělo MZV nedokončenou investiční akci z účtu 042 – </w:t>
      </w:r>
      <w:r w:rsidRPr="008D529E">
        <w:rPr>
          <w:i/>
        </w:rPr>
        <w:t>Nedokončený dlouhodobý hmotný majetek</w:t>
      </w:r>
      <w:r w:rsidRPr="008741B0">
        <w:t xml:space="preserve"> odúčtovat.</w:t>
      </w:r>
    </w:p>
    <w:p w14:paraId="765A7343" w14:textId="3FFDBE60" w:rsidR="008800AA" w:rsidRPr="008741B0" w:rsidRDefault="008800AA" w:rsidP="00481B14">
      <w:pPr>
        <w:pStyle w:val="textKZ"/>
        <w:spacing w:after="0"/>
      </w:pPr>
      <w:r>
        <w:t xml:space="preserve">Toto nesprávné účtování </w:t>
      </w:r>
      <w:r w:rsidR="00E24E58">
        <w:t>ovlivnilo o 20,49 mil.</w:t>
      </w:r>
      <w:r w:rsidR="00E24E58" w:rsidRPr="008741B0">
        <w:t xml:space="preserve"> Kč</w:t>
      </w:r>
      <w:r>
        <w:t xml:space="preserve"> zůstatky </w:t>
      </w:r>
      <w:r w:rsidRPr="008741B0">
        <w:t xml:space="preserve">účtů 547 – </w:t>
      </w:r>
      <w:r w:rsidRPr="008D529E">
        <w:rPr>
          <w:i/>
        </w:rPr>
        <w:t>Manka a škody</w:t>
      </w:r>
      <w:r w:rsidRPr="008741B0">
        <w:t xml:space="preserve"> a</w:t>
      </w:r>
      <w:r w:rsidR="00880F7A">
        <w:t> </w:t>
      </w:r>
      <w:r w:rsidRPr="008741B0">
        <w:t>432</w:t>
      </w:r>
      <w:r w:rsidR="00880F7A">
        <w:t> </w:t>
      </w:r>
      <w:r w:rsidRPr="008741B0">
        <w:t>–</w:t>
      </w:r>
      <w:r w:rsidR="00880F7A">
        <w:t> </w:t>
      </w:r>
      <w:r w:rsidRPr="008D529E">
        <w:rPr>
          <w:i/>
        </w:rPr>
        <w:t>Výsledek hospodaření předcházejících účetních období</w:t>
      </w:r>
      <w:r w:rsidRPr="008741B0">
        <w:t>.</w:t>
      </w:r>
    </w:p>
    <w:p w14:paraId="0704B932" w14:textId="77777777" w:rsidR="008800AA" w:rsidRPr="00481B14" w:rsidRDefault="008800AA" w:rsidP="00481B14">
      <w:pPr>
        <w:spacing w:after="0"/>
        <w:rPr>
          <w:sz w:val="24"/>
          <w:szCs w:val="24"/>
        </w:rPr>
      </w:pPr>
    </w:p>
    <w:p w14:paraId="5B415D59" w14:textId="77777777" w:rsidR="008800AA" w:rsidRPr="00656438" w:rsidRDefault="008800AA" w:rsidP="00481B14">
      <w:pPr>
        <w:pStyle w:val="Nadpis3"/>
        <w:numPr>
          <w:ilvl w:val="2"/>
          <w:numId w:val="5"/>
        </w:numPr>
        <w:spacing w:after="120"/>
        <w:ind w:left="426" w:hanging="426"/>
      </w:pPr>
      <w:r w:rsidRPr="00656438">
        <w:t xml:space="preserve">Investiční transfery poskytnuté zřízeným příspěvkovým organizacím </w:t>
      </w:r>
    </w:p>
    <w:p w14:paraId="75A70349" w14:textId="77777777" w:rsidR="008800AA" w:rsidRPr="00227F16" w:rsidRDefault="008800AA" w:rsidP="008800AA">
      <w:pPr>
        <w:pStyle w:val="textKZ"/>
      </w:pPr>
      <w:r w:rsidRPr="00227F16">
        <w:t xml:space="preserve">MZV o dotacích na pořízení dlouhodobého majetku, které poskytlo ve výši 13 mil. Kč vlastním příspěvkovým organizacím, účtovalo nesprávně jako o transferu prostřednictvím účtu </w:t>
      </w:r>
      <w:r w:rsidR="00331DAE">
        <w:br/>
      </w:r>
      <w:r w:rsidRPr="00227F16">
        <w:t xml:space="preserve">571 – </w:t>
      </w:r>
      <w:r w:rsidRPr="001479C5">
        <w:rPr>
          <w:i/>
        </w:rPr>
        <w:t xml:space="preserve">Náklady vybraných </w:t>
      </w:r>
      <w:r>
        <w:rPr>
          <w:i/>
        </w:rPr>
        <w:t xml:space="preserve">ústředních </w:t>
      </w:r>
      <w:r w:rsidRPr="001479C5">
        <w:rPr>
          <w:i/>
        </w:rPr>
        <w:t>vládních institucí na transfery</w:t>
      </w:r>
      <w:r w:rsidRPr="00227F16">
        <w:t>. Dle ČÚS</w:t>
      </w:r>
      <w:r w:rsidR="00E13E33">
        <w:t xml:space="preserve"> </w:t>
      </w:r>
      <w:r w:rsidRPr="00227F16">
        <w:t xml:space="preserve">č. 703 – </w:t>
      </w:r>
      <w:r w:rsidRPr="001479C5">
        <w:rPr>
          <w:i/>
        </w:rPr>
        <w:t>Transfery</w:t>
      </w:r>
      <w:r w:rsidRPr="00227F16">
        <w:t xml:space="preserve"> se prostředky zřizovatele určené na pořízení dlouhodobého majetku pro jím zřízenou příspěvkovou organizaci za transfer nepovažují. V souladu s ČÚS č. 709 – </w:t>
      </w:r>
      <w:r w:rsidRPr="001479C5">
        <w:rPr>
          <w:i/>
        </w:rPr>
        <w:t>Vlastní zdroje</w:t>
      </w:r>
      <w:r>
        <w:t xml:space="preserve"> mělo MZV</w:t>
      </w:r>
      <w:r w:rsidRPr="00227F16">
        <w:t xml:space="preserve"> o</w:t>
      </w:r>
      <w:r>
        <w:t> </w:t>
      </w:r>
      <w:r w:rsidRPr="00227F16">
        <w:t>těchto prostřed</w:t>
      </w:r>
      <w:r>
        <w:t>c</w:t>
      </w:r>
      <w:r w:rsidRPr="00227F16">
        <w:t xml:space="preserve">ích </w:t>
      </w:r>
      <w:r>
        <w:t>účtovat</w:t>
      </w:r>
      <w:r w:rsidRPr="00227F16">
        <w:t xml:space="preserve"> prostřednictvím účtu 401 – </w:t>
      </w:r>
      <w:r w:rsidRPr="008D529E">
        <w:rPr>
          <w:i/>
        </w:rPr>
        <w:t>Jmění účetní jednotky</w:t>
      </w:r>
      <w:r w:rsidRPr="00227F16">
        <w:t xml:space="preserve">. </w:t>
      </w:r>
    </w:p>
    <w:p w14:paraId="2335ED33" w14:textId="4875B841" w:rsidR="008800AA" w:rsidRPr="00227F16" w:rsidRDefault="008800AA" w:rsidP="008800AA">
      <w:pPr>
        <w:pStyle w:val="textKZ"/>
        <w:spacing w:after="0"/>
      </w:pPr>
      <w:r>
        <w:t xml:space="preserve">Toto nesprávné účtování </w:t>
      </w:r>
      <w:r w:rsidR="00880F7A">
        <w:t xml:space="preserve">ovlivnilo o </w:t>
      </w:r>
      <w:r w:rsidR="00880F7A" w:rsidRPr="00227F16">
        <w:t>13 mil. Kč</w:t>
      </w:r>
      <w:r>
        <w:t xml:space="preserve"> </w:t>
      </w:r>
      <w:r w:rsidRPr="007B60B8">
        <w:t>zůstat</w:t>
      </w:r>
      <w:r>
        <w:t>ky účtů 401 – </w:t>
      </w:r>
      <w:r w:rsidRPr="008D529E">
        <w:rPr>
          <w:i/>
        </w:rPr>
        <w:t>Jmění účetní jednotky</w:t>
      </w:r>
      <w:r w:rsidR="00331DAE">
        <w:rPr>
          <w:i/>
        </w:rPr>
        <w:t xml:space="preserve"> </w:t>
      </w:r>
      <w:r>
        <w:t>a</w:t>
      </w:r>
      <w:r w:rsidR="00331DAE">
        <w:t> </w:t>
      </w:r>
      <w:r w:rsidRPr="00227F16">
        <w:t>571</w:t>
      </w:r>
      <w:r w:rsidR="00880F7A">
        <w:t> </w:t>
      </w:r>
      <w:r w:rsidRPr="00227F16">
        <w:t xml:space="preserve">– </w:t>
      </w:r>
      <w:r w:rsidRPr="008D529E">
        <w:rPr>
          <w:i/>
        </w:rPr>
        <w:t>Náklady vybraných ústředních vládních institucí na transfery</w:t>
      </w:r>
      <w:r w:rsidRPr="00227F16">
        <w:t xml:space="preserve">. </w:t>
      </w:r>
    </w:p>
    <w:p w14:paraId="66D983BC" w14:textId="77777777" w:rsidR="008800AA" w:rsidRPr="008800AA" w:rsidRDefault="008800AA" w:rsidP="008800AA">
      <w:pPr>
        <w:spacing w:after="0"/>
        <w:rPr>
          <w:rFonts w:cs="Calibri"/>
          <w:bCs/>
          <w:iCs/>
          <w:sz w:val="24"/>
          <w:szCs w:val="24"/>
        </w:rPr>
      </w:pPr>
    </w:p>
    <w:p w14:paraId="419FA4B4" w14:textId="77777777" w:rsidR="008800AA" w:rsidRPr="00795A42" w:rsidRDefault="008800AA" w:rsidP="00481B14">
      <w:pPr>
        <w:pStyle w:val="Nadpis3"/>
        <w:numPr>
          <w:ilvl w:val="2"/>
          <w:numId w:val="5"/>
        </w:numPr>
        <w:spacing w:after="120"/>
        <w:ind w:left="426" w:hanging="426"/>
      </w:pPr>
      <w:r w:rsidRPr="00795A42">
        <w:t>Pozdní zařazení majetku do užívání</w:t>
      </w:r>
    </w:p>
    <w:p w14:paraId="247E6C54" w14:textId="77777777" w:rsidR="008800AA" w:rsidRDefault="008800AA" w:rsidP="008800AA">
      <w:pPr>
        <w:pStyle w:val="textKZ"/>
        <w:rPr>
          <w:lang w:eastAsia="cs-CZ"/>
        </w:rPr>
      </w:pPr>
      <w:r w:rsidRPr="006E0859">
        <w:rPr>
          <w:lang w:eastAsia="cs-CZ"/>
        </w:rPr>
        <w:t>MZV evidovalo</w:t>
      </w:r>
      <w:r>
        <w:rPr>
          <w:lang w:eastAsia="cs-CZ"/>
        </w:rPr>
        <w:t xml:space="preserve"> v roce 2015 </w:t>
      </w:r>
      <w:r w:rsidRPr="006E0859">
        <w:rPr>
          <w:lang w:eastAsia="cs-CZ"/>
        </w:rPr>
        <w:t xml:space="preserve">na účtu 042 – </w:t>
      </w:r>
      <w:r w:rsidRPr="006F0387">
        <w:rPr>
          <w:i/>
          <w:lang w:eastAsia="cs-CZ"/>
        </w:rPr>
        <w:t>Nedokončený dlouhodobý hmotný majetek</w:t>
      </w:r>
      <w:r>
        <w:rPr>
          <w:lang w:eastAsia="cs-CZ"/>
        </w:rPr>
        <w:t xml:space="preserve"> </w:t>
      </w:r>
      <w:r w:rsidRPr="006E0859">
        <w:rPr>
          <w:lang w:eastAsia="cs-CZ"/>
        </w:rPr>
        <w:t xml:space="preserve">investiční akce, </w:t>
      </w:r>
      <w:r>
        <w:rPr>
          <w:lang w:eastAsia="cs-CZ"/>
        </w:rPr>
        <w:t xml:space="preserve">které již byly uvedeny do stavu </w:t>
      </w:r>
      <w:r w:rsidRPr="006E0859">
        <w:rPr>
          <w:lang w:eastAsia="cs-CZ"/>
        </w:rPr>
        <w:t>způsobilého</w:t>
      </w:r>
      <w:r>
        <w:rPr>
          <w:lang w:eastAsia="cs-CZ"/>
        </w:rPr>
        <w:t xml:space="preserve"> k užívání a jejichž zařazení mělo být účtováno již před rokem 2015. </w:t>
      </w:r>
    </w:p>
    <w:p w14:paraId="210E8B50" w14:textId="4B2C10A0" w:rsidR="008800AA" w:rsidRDefault="008800AA" w:rsidP="008800AA">
      <w:pPr>
        <w:pStyle w:val="textKZ"/>
        <w:spacing w:after="0"/>
        <w:rPr>
          <w:lang w:eastAsia="cs-CZ"/>
        </w:rPr>
      </w:pPr>
      <w:r>
        <w:rPr>
          <w:lang w:eastAsia="cs-CZ"/>
        </w:rPr>
        <w:t xml:space="preserve">Toto nesprávné účtování </w:t>
      </w:r>
      <w:r w:rsidR="00880F7A">
        <w:t xml:space="preserve">ovlivnilo o </w:t>
      </w:r>
      <w:r w:rsidR="00880F7A">
        <w:rPr>
          <w:lang w:eastAsia="cs-CZ"/>
        </w:rPr>
        <w:t xml:space="preserve">16,07 mil. Kč </w:t>
      </w:r>
      <w:r w:rsidRPr="007B60B8">
        <w:t>zůstatky účtů</w:t>
      </w:r>
      <w:r>
        <w:rPr>
          <w:lang w:eastAsia="cs-CZ"/>
        </w:rPr>
        <w:t xml:space="preserve"> 021 – </w:t>
      </w:r>
      <w:r w:rsidRPr="006F0387">
        <w:rPr>
          <w:i/>
          <w:lang w:eastAsia="cs-CZ"/>
        </w:rPr>
        <w:t xml:space="preserve">Stavby </w:t>
      </w:r>
      <w:r w:rsidRPr="00481B14">
        <w:rPr>
          <w:lang w:eastAsia="cs-CZ"/>
        </w:rPr>
        <w:t>ve sloupci BRUTTO</w:t>
      </w:r>
      <w:r w:rsidR="00E13E33">
        <w:rPr>
          <w:i/>
          <w:lang w:eastAsia="cs-CZ"/>
        </w:rPr>
        <w:t xml:space="preserve"> </w:t>
      </w:r>
      <w:r>
        <w:rPr>
          <w:lang w:eastAsia="cs-CZ"/>
        </w:rPr>
        <w:t xml:space="preserve">a 042 – </w:t>
      </w:r>
      <w:r w:rsidRPr="006F0387">
        <w:rPr>
          <w:i/>
          <w:lang w:eastAsia="cs-CZ"/>
        </w:rPr>
        <w:t>Nedokončený dlouhodobý hmotný majetek</w:t>
      </w:r>
      <w:r>
        <w:rPr>
          <w:lang w:eastAsia="cs-CZ"/>
        </w:rPr>
        <w:t>. Dále mělo vliv na vykázaný výsledek hospodaření</w:t>
      </w:r>
      <w:r w:rsidR="00D86DC8">
        <w:rPr>
          <w:lang w:eastAsia="cs-CZ"/>
        </w:rPr>
        <w:t>, a to</w:t>
      </w:r>
      <w:r>
        <w:rPr>
          <w:lang w:eastAsia="cs-CZ"/>
        </w:rPr>
        <w:t xml:space="preserve"> ve výši nezaúčtovaných odpisů. </w:t>
      </w:r>
    </w:p>
    <w:p w14:paraId="460349C3" w14:textId="77777777" w:rsidR="008800AA" w:rsidRDefault="008800AA" w:rsidP="008800AA">
      <w:pPr>
        <w:pStyle w:val="textKZ"/>
        <w:spacing w:after="0"/>
        <w:rPr>
          <w:lang w:eastAsia="cs-CZ"/>
        </w:rPr>
      </w:pPr>
    </w:p>
    <w:p w14:paraId="0731A58B" w14:textId="77777777" w:rsidR="008800AA" w:rsidRDefault="008800AA" w:rsidP="00481B14">
      <w:pPr>
        <w:pStyle w:val="Nadpis3"/>
        <w:numPr>
          <w:ilvl w:val="2"/>
          <w:numId w:val="5"/>
        </w:numPr>
        <w:spacing w:after="120"/>
        <w:ind w:left="426" w:hanging="426"/>
      </w:pPr>
      <w:r>
        <w:t>Podrozvahové účty</w:t>
      </w:r>
    </w:p>
    <w:p w14:paraId="16A887F6" w14:textId="77777777" w:rsidR="008800AA" w:rsidRPr="00CD3FFB" w:rsidRDefault="000454E6" w:rsidP="00481B14">
      <w:pPr>
        <w:pStyle w:val="Nadpis4"/>
        <w:numPr>
          <w:ilvl w:val="0"/>
          <w:numId w:val="0"/>
        </w:numPr>
      </w:pPr>
      <w:r>
        <w:t xml:space="preserve">1.6.1 </w:t>
      </w:r>
      <w:r w:rsidR="008800AA" w:rsidRPr="00CD3FFB">
        <w:t>Vykazování podmíněných závazků</w:t>
      </w:r>
    </w:p>
    <w:p w14:paraId="5A74A043" w14:textId="77777777" w:rsidR="008800AA" w:rsidRDefault="008800AA" w:rsidP="008800AA">
      <w:pPr>
        <w:pStyle w:val="textKZ"/>
        <w:rPr>
          <w:lang w:eastAsia="cs-CZ"/>
        </w:rPr>
      </w:pPr>
      <w:r w:rsidRPr="00B7770E">
        <w:rPr>
          <w:lang w:eastAsia="cs-CZ"/>
        </w:rPr>
        <w:t>MZV</w:t>
      </w:r>
      <w:r>
        <w:rPr>
          <w:lang w:eastAsia="cs-CZ"/>
        </w:rPr>
        <w:t xml:space="preserve"> v roce 2015 neúčtovalo a v ÚZ nevykázalo následující podmíněné závazky:</w:t>
      </w:r>
    </w:p>
    <w:p w14:paraId="47351783" w14:textId="7486A2D6" w:rsidR="008800AA" w:rsidRPr="00D431AD" w:rsidRDefault="008800AA" w:rsidP="008800AA">
      <w:pPr>
        <w:pStyle w:val="textKZ"/>
        <w:numPr>
          <w:ilvl w:val="0"/>
          <w:numId w:val="4"/>
        </w:numPr>
        <w:spacing w:after="0"/>
        <w:rPr>
          <w:lang w:eastAsia="cs-CZ"/>
        </w:rPr>
      </w:pPr>
      <w:r w:rsidRPr="00D431AD">
        <w:rPr>
          <w:lang w:eastAsia="cs-CZ"/>
        </w:rPr>
        <w:t>podmíněné závazky ve výši 1 428,34 mil. Kč z</w:t>
      </w:r>
      <w:r>
        <w:rPr>
          <w:lang w:eastAsia="cs-CZ"/>
        </w:rPr>
        <w:t> </w:t>
      </w:r>
      <w:r w:rsidRPr="00D431AD">
        <w:rPr>
          <w:lang w:eastAsia="cs-CZ"/>
        </w:rPr>
        <w:t>titulu povinnosti dané MZV usneseními vlády, např. hradit příspěvky mezinárodním organizacím, jichž je Č</w:t>
      </w:r>
      <w:r>
        <w:rPr>
          <w:lang w:eastAsia="cs-CZ"/>
        </w:rPr>
        <w:t xml:space="preserve">eská republika </w:t>
      </w:r>
      <w:r w:rsidRPr="00D431AD">
        <w:rPr>
          <w:lang w:eastAsia="cs-CZ"/>
        </w:rPr>
        <w:t xml:space="preserve">členem, na účtu 954 – </w:t>
      </w:r>
      <w:r w:rsidRPr="00D431AD">
        <w:rPr>
          <w:i/>
          <w:lang w:eastAsia="cs-CZ"/>
        </w:rPr>
        <w:t>Dlouhodobé podmíněné závazky ze zahraničních transferů</w:t>
      </w:r>
      <w:r w:rsidRPr="00D431AD">
        <w:rPr>
          <w:lang w:eastAsia="cs-CZ"/>
        </w:rPr>
        <w:t>;</w:t>
      </w:r>
    </w:p>
    <w:p w14:paraId="5AD3C904" w14:textId="77777777" w:rsidR="008800AA" w:rsidRPr="00D431AD" w:rsidRDefault="008800AA" w:rsidP="008800AA">
      <w:pPr>
        <w:pStyle w:val="textKZ"/>
        <w:numPr>
          <w:ilvl w:val="0"/>
          <w:numId w:val="4"/>
        </w:numPr>
        <w:spacing w:after="0"/>
        <w:rPr>
          <w:lang w:eastAsia="cs-CZ"/>
        </w:rPr>
      </w:pPr>
      <w:r w:rsidRPr="00D431AD">
        <w:rPr>
          <w:lang w:eastAsia="cs-CZ"/>
        </w:rPr>
        <w:t>podmíněn</w:t>
      </w:r>
      <w:r>
        <w:rPr>
          <w:lang w:eastAsia="cs-CZ"/>
        </w:rPr>
        <w:t>ý</w:t>
      </w:r>
      <w:r w:rsidRPr="00D431AD">
        <w:rPr>
          <w:lang w:eastAsia="cs-CZ"/>
        </w:rPr>
        <w:t xml:space="preserve"> závaz</w:t>
      </w:r>
      <w:r>
        <w:rPr>
          <w:lang w:eastAsia="cs-CZ"/>
        </w:rPr>
        <w:t>ek</w:t>
      </w:r>
      <w:r w:rsidRPr="00D431AD">
        <w:rPr>
          <w:lang w:eastAsia="cs-CZ"/>
        </w:rPr>
        <w:t xml:space="preserve"> ve výši 3,69 mil. Kč vyplývající</w:t>
      </w:r>
      <w:r>
        <w:rPr>
          <w:lang w:eastAsia="cs-CZ"/>
        </w:rPr>
        <w:t xml:space="preserve"> ze sml</w:t>
      </w:r>
      <w:r w:rsidRPr="00D431AD">
        <w:rPr>
          <w:lang w:eastAsia="cs-CZ"/>
        </w:rPr>
        <w:t>uv o pořízení d</w:t>
      </w:r>
      <w:r>
        <w:rPr>
          <w:lang w:eastAsia="cs-CZ"/>
        </w:rPr>
        <w:t>louhodobého majetku na účtu 971 – </w:t>
      </w:r>
      <w:r w:rsidRPr="006F0387">
        <w:rPr>
          <w:i/>
          <w:lang w:eastAsia="cs-CZ"/>
        </w:rPr>
        <w:t>Krátkodobé podmíněné závazky ze smluv o pořízení dlouhodobého majetku</w:t>
      </w:r>
      <w:r w:rsidRPr="00D431AD">
        <w:rPr>
          <w:lang w:eastAsia="cs-CZ"/>
        </w:rPr>
        <w:t>;</w:t>
      </w:r>
    </w:p>
    <w:p w14:paraId="09D382C9" w14:textId="77777777" w:rsidR="008800AA" w:rsidRPr="00D431AD" w:rsidRDefault="008800AA" w:rsidP="008800AA">
      <w:pPr>
        <w:pStyle w:val="textKZ"/>
        <w:numPr>
          <w:ilvl w:val="0"/>
          <w:numId w:val="4"/>
        </w:numPr>
        <w:spacing w:after="0"/>
        <w:rPr>
          <w:lang w:eastAsia="cs-CZ"/>
        </w:rPr>
      </w:pPr>
      <w:r w:rsidRPr="00D431AD">
        <w:rPr>
          <w:lang w:eastAsia="cs-CZ"/>
        </w:rPr>
        <w:t>krátkodobé podmíněné závazky ve výši 6,6 mil. Kč z</w:t>
      </w:r>
      <w:r>
        <w:rPr>
          <w:lang w:eastAsia="cs-CZ"/>
        </w:rPr>
        <w:t> </w:t>
      </w:r>
      <w:r w:rsidRPr="00D431AD">
        <w:rPr>
          <w:lang w:eastAsia="cs-CZ"/>
        </w:rPr>
        <w:t xml:space="preserve">titulu uzavřených smluv nájemních a na poskytování služeb na účtu 973 – </w:t>
      </w:r>
      <w:r w:rsidRPr="006F0387">
        <w:rPr>
          <w:i/>
          <w:lang w:eastAsia="cs-CZ"/>
        </w:rPr>
        <w:t>Krátkodobé podmíněné závazky z</w:t>
      </w:r>
      <w:r>
        <w:rPr>
          <w:i/>
          <w:lang w:eastAsia="cs-CZ"/>
        </w:rPr>
        <w:t> </w:t>
      </w:r>
      <w:r w:rsidRPr="006F0387">
        <w:rPr>
          <w:i/>
          <w:lang w:eastAsia="cs-CZ"/>
        </w:rPr>
        <w:t>jiných smluv</w:t>
      </w:r>
      <w:r w:rsidRPr="00D431AD">
        <w:rPr>
          <w:lang w:eastAsia="cs-CZ"/>
        </w:rPr>
        <w:t>;</w:t>
      </w:r>
    </w:p>
    <w:p w14:paraId="124D14D1" w14:textId="77777777" w:rsidR="008800AA" w:rsidRPr="00D431AD" w:rsidRDefault="008800AA" w:rsidP="008800AA">
      <w:pPr>
        <w:pStyle w:val="textKZ"/>
        <w:numPr>
          <w:ilvl w:val="0"/>
          <w:numId w:val="4"/>
        </w:numPr>
        <w:spacing w:after="0"/>
        <w:rPr>
          <w:lang w:eastAsia="cs-CZ"/>
        </w:rPr>
      </w:pPr>
      <w:r w:rsidRPr="00D431AD">
        <w:rPr>
          <w:lang w:eastAsia="cs-CZ"/>
        </w:rPr>
        <w:t>dlouhodob</w:t>
      </w:r>
      <w:r>
        <w:rPr>
          <w:lang w:eastAsia="cs-CZ"/>
        </w:rPr>
        <w:t>é</w:t>
      </w:r>
      <w:r w:rsidRPr="00D431AD">
        <w:rPr>
          <w:lang w:eastAsia="cs-CZ"/>
        </w:rPr>
        <w:t xml:space="preserve"> podmíněn</w:t>
      </w:r>
      <w:r>
        <w:rPr>
          <w:lang w:eastAsia="cs-CZ"/>
        </w:rPr>
        <w:t>é</w:t>
      </w:r>
      <w:r w:rsidRPr="00D431AD">
        <w:rPr>
          <w:lang w:eastAsia="cs-CZ"/>
        </w:rPr>
        <w:t xml:space="preserve"> závaz</w:t>
      </w:r>
      <w:r>
        <w:rPr>
          <w:lang w:eastAsia="cs-CZ"/>
        </w:rPr>
        <w:t>ky</w:t>
      </w:r>
      <w:r w:rsidRPr="00D431AD">
        <w:rPr>
          <w:lang w:eastAsia="cs-CZ"/>
        </w:rPr>
        <w:t xml:space="preserve"> ve výši 149,28 mil. Kč z titulu uzavřených smluv nájemních a na poskytování služeb na účtu 974 – </w:t>
      </w:r>
      <w:r w:rsidRPr="006F0387">
        <w:rPr>
          <w:i/>
          <w:lang w:eastAsia="cs-CZ"/>
        </w:rPr>
        <w:t>Dlouhodobé podmíněné závazky z jiných smluv</w:t>
      </w:r>
      <w:r w:rsidRPr="00D431AD">
        <w:rPr>
          <w:lang w:eastAsia="cs-CZ"/>
        </w:rPr>
        <w:t>.</w:t>
      </w:r>
    </w:p>
    <w:p w14:paraId="32244774" w14:textId="77777777" w:rsidR="008800AA" w:rsidRDefault="008800AA" w:rsidP="008800A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4D60974" w14:textId="77777777" w:rsidR="008800AA" w:rsidRPr="00CD3FFB" w:rsidRDefault="000454E6" w:rsidP="00481B14">
      <w:pPr>
        <w:pStyle w:val="Nadpis4"/>
        <w:numPr>
          <w:ilvl w:val="0"/>
          <w:numId w:val="0"/>
        </w:numPr>
      </w:pPr>
      <w:r>
        <w:t xml:space="preserve">1.6.2 </w:t>
      </w:r>
      <w:r w:rsidR="008800AA">
        <w:t>Vykazování cizího majetku</w:t>
      </w:r>
    </w:p>
    <w:p w14:paraId="285FFD57" w14:textId="179C8E1A" w:rsidR="008800AA" w:rsidRPr="007B60B8" w:rsidRDefault="008800AA" w:rsidP="00B47A46">
      <w:pPr>
        <w:pStyle w:val="textKZ"/>
      </w:pPr>
      <w:r>
        <w:t>MZV vykáza</w:t>
      </w:r>
      <w:r w:rsidRPr="007B60B8">
        <w:t xml:space="preserve">lo v ÚZ sestavené k 31. </w:t>
      </w:r>
      <w:r>
        <w:t>prosinci</w:t>
      </w:r>
      <w:r w:rsidRPr="007B60B8">
        <w:t xml:space="preserve"> 2015 na účtu 909 – </w:t>
      </w:r>
      <w:r w:rsidRPr="006F0387">
        <w:rPr>
          <w:i/>
        </w:rPr>
        <w:t>Ostatní majetek</w:t>
      </w:r>
      <w:r w:rsidRPr="007B60B8">
        <w:t xml:space="preserve"> propůjčený majetek, ke kterému nemělo příslušnost hospodaření</w:t>
      </w:r>
      <w:r w:rsidR="009A13DB">
        <w:t>;</w:t>
      </w:r>
      <w:r w:rsidRPr="007B60B8">
        <w:t xml:space="preserve"> zároveň se nejednalo o majetek, který by MZV jako zřizovatel předalo své příspě</w:t>
      </w:r>
      <w:r>
        <w:t>vkové organizaci k hospodaření.</w:t>
      </w:r>
      <w:r w:rsidR="00466D9D">
        <w:t xml:space="preserve"> </w:t>
      </w:r>
      <w:r>
        <w:t xml:space="preserve">Toto nesprávné účtování </w:t>
      </w:r>
      <w:r w:rsidR="00AD3828">
        <w:t xml:space="preserve">ovlivnilo o </w:t>
      </w:r>
      <w:r w:rsidR="00AD3828" w:rsidRPr="007B60B8">
        <w:t>1</w:t>
      </w:r>
      <w:r w:rsidR="00AD3828">
        <w:t xml:space="preserve">,62 mil. </w:t>
      </w:r>
      <w:r w:rsidR="00AD3828" w:rsidRPr="007B60B8">
        <w:t>Kč</w:t>
      </w:r>
      <w:r w:rsidR="00AD3828">
        <w:t xml:space="preserve"> </w:t>
      </w:r>
      <w:r>
        <w:t>zůstatek účtu</w:t>
      </w:r>
      <w:r w:rsidRPr="007B60B8">
        <w:t xml:space="preserve"> 909 – </w:t>
      </w:r>
      <w:r w:rsidRPr="006F0387">
        <w:rPr>
          <w:i/>
        </w:rPr>
        <w:t>Ostatní majetek</w:t>
      </w:r>
      <w:r w:rsidRPr="007B60B8">
        <w:t xml:space="preserve">. </w:t>
      </w:r>
    </w:p>
    <w:p w14:paraId="0586CD33" w14:textId="77777777" w:rsidR="008800AA" w:rsidRPr="008800AA" w:rsidRDefault="008800AA" w:rsidP="008800AA">
      <w:pPr>
        <w:spacing w:after="0"/>
        <w:rPr>
          <w:rFonts w:cs="Calibri"/>
          <w:b/>
          <w:bCs/>
          <w:iCs/>
          <w:sz w:val="24"/>
          <w:szCs w:val="24"/>
        </w:rPr>
      </w:pPr>
    </w:p>
    <w:p w14:paraId="1F7AC1CC" w14:textId="77777777" w:rsidR="008800AA" w:rsidRPr="00227F16" w:rsidRDefault="008800AA" w:rsidP="00481B14">
      <w:pPr>
        <w:pStyle w:val="Nadpis3"/>
        <w:numPr>
          <w:ilvl w:val="2"/>
          <w:numId w:val="5"/>
        </w:numPr>
        <w:spacing w:after="120"/>
        <w:ind w:left="426" w:hanging="426"/>
      </w:pPr>
      <w:bookmarkStart w:id="1" w:name="_Toc468454621"/>
      <w:r>
        <w:t>Nesprávná aplikace účetní metody odpisování dlouhodobého majetku</w:t>
      </w:r>
    </w:p>
    <w:p w14:paraId="43695F4A" w14:textId="25D5B7B0" w:rsidR="008800AA" w:rsidRDefault="008800AA" w:rsidP="008800AA">
      <w:pPr>
        <w:pStyle w:val="textKZ"/>
        <w:rPr>
          <w:lang w:eastAsia="cs-CZ"/>
        </w:rPr>
      </w:pPr>
      <w:r>
        <w:rPr>
          <w:lang w:eastAsia="cs-CZ"/>
        </w:rPr>
        <w:t xml:space="preserve">MZV v roce 2015 </w:t>
      </w:r>
      <w:r w:rsidRPr="00B7770E">
        <w:rPr>
          <w:lang w:eastAsia="cs-CZ"/>
        </w:rPr>
        <w:t xml:space="preserve">nesprávně </w:t>
      </w:r>
      <w:r>
        <w:rPr>
          <w:lang w:eastAsia="cs-CZ"/>
        </w:rPr>
        <w:t>a</w:t>
      </w:r>
      <w:r w:rsidRPr="00B7770E">
        <w:rPr>
          <w:lang w:eastAsia="cs-CZ"/>
        </w:rPr>
        <w:t xml:space="preserve"> nedostatečně </w:t>
      </w:r>
      <w:r>
        <w:rPr>
          <w:lang w:eastAsia="cs-CZ"/>
        </w:rPr>
        <w:t>upravilo</w:t>
      </w:r>
      <w:r w:rsidRPr="00B7770E">
        <w:rPr>
          <w:lang w:eastAsia="cs-CZ"/>
        </w:rPr>
        <w:t xml:space="preserve"> účetní metod</w:t>
      </w:r>
      <w:r>
        <w:rPr>
          <w:lang w:eastAsia="cs-CZ"/>
        </w:rPr>
        <w:t>u</w:t>
      </w:r>
      <w:r w:rsidRPr="00B7770E">
        <w:rPr>
          <w:lang w:eastAsia="cs-CZ"/>
        </w:rPr>
        <w:t xml:space="preserve"> odpisování dlouhodobého majetku</w:t>
      </w:r>
      <w:r>
        <w:rPr>
          <w:lang w:eastAsia="cs-CZ"/>
        </w:rPr>
        <w:t xml:space="preserve"> dle povinností stanovených vyhláškou č. 410/2009 Sb. a ČÚS</w:t>
      </w:r>
      <w:r w:rsidR="000454E6">
        <w:rPr>
          <w:lang w:eastAsia="cs-CZ"/>
        </w:rPr>
        <w:t xml:space="preserve"> </w:t>
      </w:r>
      <w:r>
        <w:rPr>
          <w:lang w:eastAsia="cs-CZ"/>
        </w:rPr>
        <w:t xml:space="preserve">č. 708 – </w:t>
      </w:r>
      <w:r w:rsidRPr="006F0387">
        <w:rPr>
          <w:i/>
          <w:lang w:eastAsia="cs-CZ"/>
        </w:rPr>
        <w:t>Odpisování dlouhodobého hmotného majetku</w:t>
      </w:r>
      <w:r>
        <w:rPr>
          <w:lang w:eastAsia="cs-CZ"/>
        </w:rPr>
        <w:t>. Jednalo se o následující systémové nedostatky:</w:t>
      </w:r>
    </w:p>
    <w:p w14:paraId="3C796BDB" w14:textId="6C042B06" w:rsidR="008800AA" w:rsidRPr="00426D03" w:rsidRDefault="008800AA" w:rsidP="000454E6">
      <w:pPr>
        <w:pStyle w:val="textKZ"/>
        <w:numPr>
          <w:ilvl w:val="0"/>
          <w:numId w:val="4"/>
        </w:numPr>
        <w:spacing w:after="0"/>
        <w:ind w:left="426" w:hanging="426"/>
        <w:rPr>
          <w:lang w:eastAsia="cs-CZ"/>
        </w:rPr>
      </w:pPr>
      <w:r>
        <w:rPr>
          <w:lang w:eastAsia="cs-CZ"/>
        </w:rPr>
        <w:t xml:space="preserve">MZV neprovedlo </w:t>
      </w:r>
      <w:r w:rsidRPr="00426D03">
        <w:rPr>
          <w:lang w:eastAsia="cs-CZ"/>
        </w:rPr>
        <w:t>kvalifikovan</w:t>
      </w:r>
      <w:r>
        <w:rPr>
          <w:lang w:eastAsia="cs-CZ"/>
        </w:rPr>
        <w:t>ý</w:t>
      </w:r>
      <w:r w:rsidRPr="00426D03">
        <w:rPr>
          <w:lang w:eastAsia="cs-CZ"/>
        </w:rPr>
        <w:t xml:space="preserve"> odhad zbývající doby používání </w:t>
      </w:r>
      <w:r w:rsidR="00466D9D">
        <w:rPr>
          <w:lang w:eastAsia="cs-CZ"/>
        </w:rPr>
        <w:t xml:space="preserve">majetku </w:t>
      </w:r>
      <w:r w:rsidRPr="00426D03">
        <w:rPr>
          <w:lang w:eastAsia="cs-CZ"/>
        </w:rPr>
        <w:t>při prvním použití metody</w:t>
      </w:r>
      <w:r>
        <w:rPr>
          <w:lang w:eastAsia="cs-CZ"/>
        </w:rPr>
        <w:t xml:space="preserve">, čímž nezohlednilo zbývající dobu používání při dopočtu oprávek k 31. prosinci 2011. Kromě toho </w:t>
      </w:r>
      <w:r w:rsidR="00466D9D">
        <w:rPr>
          <w:lang w:eastAsia="cs-CZ"/>
        </w:rPr>
        <w:t xml:space="preserve">MZV </w:t>
      </w:r>
      <w:r>
        <w:rPr>
          <w:lang w:eastAsia="cs-CZ"/>
        </w:rPr>
        <w:t>v důsledku neprovedení kvalifikovaného odhadu zbývající doby používání majetku neodpisovalo dlouhodobý majetek po celou dobu jeho používání.</w:t>
      </w:r>
    </w:p>
    <w:p w14:paraId="192B7F76" w14:textId="11E7EF44" w:rsidR="008800AA" w:rsidRPr="00426D03" w:rsidRDefault="008800AA" w:rsidP="000454E6">
      <w:pPr>
        <w:pStyle w:val="textKZ"/>
        <w:numPr>
          <w:ilvl w:val="0"/>
          <w:numId w:val="4"/>
        </w:numPr>
        <w:spacing w:after="0"/>
        <w:ind w:left="426" w:hanging="426"/>
        <w:rPr>
          <w:lang w:eastAsia="cs-CZ"/>
        </w:rPr>
      </w:pPr>
      <w:r>
        <w:rPr>
          <w:lang w:eastAsia="cs-CZ"/>
        </w:rPr>
        <w:t>Dále MZV nezjišťovalo</w:t>
      </w:r>
      <w:r w:rsidRPr="00B7770E">
        <w:rPr>
          <w:lang w:eastAsia="cs-CZ"/>
        </w:rPr>
        <w:t>, zda předpokládaná doba používání dlouhodobého majetku odpovídá odpisovému plánu</w:t>
      </w:r>
      <w:r w:rsidR="00466D9D">
        <w:rPr>
          <w:lang w:eastAsia="cs-CZ"/>
        </w:rPr>
        <w:t>,</w:t>
      </w:r>
      <w:r w:rsidRPr="00B7770E">
        <w:rPr>
          <w:lang w:eastAsia="cs-CZ"/>
        </w:rPr>
        <w:t xml:space="preserve"> a </w:t>
      </w:r>
      <w:r>
        <w:rPr>
          <w:lang w:eastAsia="cs-CZ"/>
        </w:rPr>
        <w:t>nezohlednilo tuto skutečnost</w:t>
      </w:r>
      <w:r w:rsidRPr="00B7770E">
        <w:rPr>
          <w:lang w:eastAsia="cs-CZ"/>
        </w:rPr>
        <w:t xml:space="preserve"> při úpravě odpisových plánů</w:t>
      </w:r>
      <w:r>
        <w:rPr>
          <w:lang w:eastAsia="cs-CZ"/>
        </w:rPr>
        <w:t>.</w:t>
      </w:r>
    </w:p>
    <w:p w14:paraId="34C58F9C" w14:textId="61B86EBB" w:rsidR="008800AA" w:rsidRPr="007B60B8" w:rsidRDefault="002B39BA" w:rsidP="000454E6">
      <w:pPr>
        <w:pStyle w:val="textKZ"/>
        <w:numPr>
          <w:ilvl w:val="0"/>
          <w:numId w:val="4"/>
        </w:numPr>
        <w:spacing w:after="0"/>
        <w:ind w:left="426" w:hanging="426"/>
        <w:rPr>
          <w:bCs/>
          <w:iCs/>
        </w:rPr>
      </w:pPr>
      <w:r>
        <w:rPr>
          <w:lang w:eastAsia="cs-CZ"/>
        </w:rPr>
        <w:t xml:space="preserve">MZV k 1. lednu 2015 </w:t>
      </w:r>
      <w:r w:rsidR="00466D9D">
        <w:rPr>
          <w:lang w:eastAsia="cs-CZ"/>
        </w:rPr>
        <w:t>vy</w:t>
      </w:r>
      <w:r w:rsidR="008800AA">
        <w:rPr>
          <w:lang w:eastAsia="cs-CZ"/>
        </w:rPr>
        <w:t>pracovalo odpisový plán</w:t>
      </w:r>
      <w:r>
        <w:rPr>
          <w:lang w:eastAsia="cs-CZ"/>
        </w:rPr>
        <w:t>, který byl</w:t>
      </w:r>
      <w:r w:rsidR="008800AA">
        <w:rPr>
          <w:lang w:eastAsia="cs-CZ"/>
        </w:rPr>
        <w:t xml:space="preserve"> v</w:t>
      </w:r>
      <w:r>
        <w:rPr>
          <w:lang w:eastAsia="cs-CZ"/>
        </w:rPr>
        <w:t xml:space="preserve"> rozporu </w:t>
      </w:r>
      <w:r w:rsidR="008800AA">
        <w:rPr>
          <w:lang w:eastAsia="cs-CZ"/>
        </w:rPr>
        <w:t>s účetní regulací</w:t>
      </w:r>
      <w:r>
        <w:rPr>
          <w:lang w:eastAsia="cs-CZ"/>
        </w:rPr>
        <w:t>,</w:t>
      </w:r>
      <w:r w:rsidR="008800AA">
        <w:rPr>
          <w:lang w:eastAsia="cs-CZ"/>
        </w:rPr>
        <w:t xml:space="preserve"> a </w:t>
      </w:r>
      <w:r>
        <w:rPr>
          <w:lang w:eastAsia="cs-CZ"/>
        </w:rPr>
        <w:t>u </w:t>
      </w:r>
      <w:r w:rsidR="00466D9D" w:rsidRPr="006C5FD3">
        <w:rPr>
          <w:lang w:eastAsia="cs-CZ"/>
        </w:rPr>
        <w:t xml:space="preserve">většiny odpisovaného majetku ponechalo </w:t>
      </w:r>
      <w:r w:rsidR="008800AA">
        <w:rPr>
          <w:lang w:eastAsia="cs-CZ"/>
        </w:rPr>
        <w:t xml:space="preserve">zbytkovou hodnotu </w:t>
      </w:r>
      <w:r w:rsidR="008800AA" w:rsidRPr="006C5FD3">
        <w:rPr>
          <w:lang w:eastAsia="cs-CZ"/>
        </w:rPr>
        <w:t>bez ohledu na to, zda předpokládá, že v okamžiku vyřazení</w:t>
      </w:r>
      <w:r w:rsidR="008800AA">
        <w:rPr>
          <w:lang w:eastAsia="cs-CZ"/>
        </w:rPr>
        <w:t xml:space="preserve"> (např. prodejem)</w:t>
      </w:r>
      <w:r w:rsidR="008800AA" w:rsidRPr="006C5FD3">
        <w:rPr>
          <w:lang w:eastAsia="cs-CZ"/>
        </w:rPr>
        <w:t xml:space="preserve"> </w:t>
      </w:r>
      <w:r w:rsidR="00466D9D">
        <w:rPr>
          <w:lang w:eastAsia="cs-CZ"/>
        </w:rPr>
        <w:t>získá za vyřazený majetek</w:t>
      </w:r>
      <w:r w:rsidR="008800AA" w:rsidRPr="006C5FD3">
        <w:rPr>
          <w:lang w:eastAsia="cs-CZ"/>
        </w:rPr>
        <w:t xml:space="preserve"> určitou hodnotu</w:t>
      </w:r>
      <w:r w:rsidR="00466D9D">
        <w:rPr>
          <w:lang w:eastAsia="cs-CZ"/>
        </w:rPr>
        <w:t>,</w:t>
      </w:r>
      <w:r w:rsidR="008800AA">
        <w:rPr>
          <w:lang w:eastAsia="cs-CZ"/>
        </w:rPr>
        <w:t xml:space="preserve"> či nikoliv.</w:t>
      </w:r>
    </w:p>
    <w:p w14:paraId="1A2320ED" w14:textId="77777777" w:rsidR="008800AA" w:rsidRPr="008800AA" w:rsidRDefault="008800AA" w:rsidP="008800AA">
      <w:pPr>
        <w:spacing w:after="0" w:line="240" w:lineRule="auto"/>
        <w:jc w:val="both"/>
        <w:rPr>
          <w:rFonts w:cs="Calibri"/>
          <w:bCs/>
          <w:iCs/>
          <w:sz w:val="24"/>
          <w:szCs w:val="24"/>
        </w:rPr>
      </w:pPr>
    </w:p>
    <w:bookmarkEnd w:id="1"/>
    <w:p w14:paraId="50B2E1FD" w14:textId="77777777" w:rsidR="008800AA" w:rsidRDefault="008800AA" w:rsidP="00B75F98">
      <w:pPr>
        <w:pStyle w:val="Nadpis3"/>
        <w:numPr>
          <w:ilvl w:val="2"/>
          <w:numId w:val="5"/>
        </w:numPr>
        <w:spacing w:after="120"/>
        <w:ind w:left="426" w:hanging="426"/>
      </w:pPr>
      <w:r>
        <w:t>Inventarizace</w:t>
      </w:r>
    </w:p>
    <w:p w14:paraId="79948218" w14:textId="6FBD49F0" w:rsidR="008800AA" w:rsidRDefault="008800AA" w:rsidP="008800AA">
      <w:pPr>
        <w:pStyle w:val="textKZ"/>
      </w:pPr>
      <w:r>
        <w:t>MZV k 31. 12. 2015 neprovedlo úplnou inventarizaci majetku a závazků a neověřilo, zda zjištěný skutečný stav odpovídá stavu majetku a závazků v účetnictví, neboť v rozporu s vyhláškou č. 270/2010 Sb.</w:t>
      </w:r>
      <w:r w:rsidR="00AA080F">
        <w:rPr>
          <w:rStyle w:val="Znakapoznpodarou"/>
        </w:rPr>
        <w:footnoteReference w:id="12"/>
      </w:r>
      <w:r>
        <w:t>:</w:t>
      </w:r>
    </w:p>
    <w:p w14:paraId="514FD518" w14:textId="77777777" w:rsidR="008800AA" w:rsidRDefault="008800AA" w:rsidP="000454E6">
      <w:pPr>
        <w:pStyle w:val="textKZ"/>
        <w:numPr>
          <w:ilvl w:val="0"/>
          <w:numId w:val="4"/>
        </w:numPr>
        <w:spacing w:after="0"/>
        <w:ind w:left="426" w:hanging="426"/>
      </w:pPr>
      <w:r w:rsidRPr="00CD3FFB">
        <w:t>neprovedlo dokladovou inventuru nemovitost</w:t>
      </w:r>
      <w:r>
        <w:t>í;</w:t>
      </w:r>
    </w:p>
    <w:p w14:paraId="7EAED5A7" w14:textId="77777777" w:rsidR="008800AA" w:rsidRDefault="008800AA" w:rsidP="000454E6">
      <w:pPr>
        <w:pStyle w:val="textKZ"/>
        <w:numPr>
          <w:ilvl w:val="0"/>
          <w:numId w:val="4"/>
        </w:numPr>
        <w:ind w:left="426" w:hanging="426"/>
      </w:pPr>
      <w:r>
        <w:t>nestanovilo výši ocenění pohledávek a závazků, od které bude provádět jejich vzájemné odsouhlasení.</w:t>
      </w:r>
    </w:p>
    <w:p w14:paraId="14476301" w14:textId="77777777" w:rsidR="008800AA" w:rsidRDefault="008800AA" w:rsidP="008800A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Kontrolou bylo dále zjištěno nesprávné provedení inventarizace na zastupitelských úřadech (viz část </w:t>
      </w:r>
      <w:proofErr w:type="gramStart"/>
      <w:r>
        <w:rPr>
          <w:rFonts w:eastAsia="Times New Roman" w:cs="Times New Roman"/>
          <w:sz w:val="24"/>
          <w:szCs w:val="24"/>
        </w:rPr>
        <w:t>III.1.1.2</w:t>
      </w:r>
      <w:proofErr w:type="gramEnd"/>
      <w:r>
        <w:rPr>
          <w:rFonts w:eastAsia="Times New Roman" w:cs="Times New Roman"/>
          <w:sz w:val="24"/>
          <w:szCs w:val="24"/>
        </w:rPr>
        <w:t xml:space="preserve"> tohoto kontrolního závěru).</w:t>
      </w:r>
    </w:p>
    <w:p w14:paraId="11ADD03E" w14:textId="77777777" w:rsidR="008800AA" w:rsidRPr="00ED1907" w:rsidRDefault="008800AA" w:rsidP="008800A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541A9AD0" w14:textId="77777777" w:rsidR="008800AA" w:rsidRDefault="008800AA" w:rsidP="00B75F98">
      <w:pPr>
        <w:pStyle w:val="Nadpis3"/>
        <w:numPr>
          <w:ilvl w:val="2"/>
          <w:numId w:val="5"/>
        </w:numPr>
        <w:spacing w:after="120"/>
        <w:ind w:left="426" w:hanging="426"/>
      </w:pPr>
      <w:r>
        <w:t>Neúplnost textové části přílohy ÚZ</w:t>
      </w:r>
    </w:p>
    <w:p w14:paraId="1BB1F18F" w14:textId="77777777" w:rsidR="008800AA" w:rsidRPr="00B6703F" w:rsidRDefault="008800AA" w:rsidP="008800AA">
      <w:pPr>
        <w:pStyle w:val="textKZ"/>
      </w:pPr>
      <w:r w:rsidRPr="00B6703F">
        <w:t>Příloha ÚZ neobsahovala informace, popřípadě doplňující informace:</w:t>
      </w:r>
    </w:p>
    <w:p w14:paraId="148CC62E" w14:textId="4BCA68E8" w:rsidR="008800AA" w:rsidRPr="00B0421B" w:rsidRDefault="008800AA" w:rsidP="000454E6">
      <w:pPr>
        <w:pStyle w:val="textKZ"/>
        <w:numPr>
          <w:ilvl w:val="0"/>
          <w:numId w:val="4"/>
        </w:numPr>
        <w:spacing w:after="0"/>
        <w:ind w:left="426" w:hanging="426"/>
      </w:pPr>
      <w:r>
        <w:t xml:space="preserve">o použitých účetních metodách, přestože tuto povinnost stanovuje zákon o účetnictví v ustanovení </w:t>
      </w:r>
      <w:r w:rsidRPr="00B0421B">
        <w:t>§</w:t>
      </w:r>
      <w:r>
        <w:t xml:space="preserve"> </w:t>
      </w:r>
      <w:r w:rsidRPr="00B0421B">
        <w:t xml:space="preserve">7 odst. 5 </w:t>
      </w:r>
      <w:r>
        <w:t>a návazně i vyhláška č. 410/2009 Sb.;</w:t>
      </w:r>
    </w:p>
    <w:p w14:paraId="779B9445" w14:textId="18C15FB1" w:rsidR="008800AA" w:rsidRPr="00B0421B" w:rsidRDefault="008800AA" w:rsidP="000454E6">
      <w:pPr>
        <w:pStyle w:val="textKZ"/>
        <w:numPr>
          <w:ilvl w:val="0"/>
          <w:numId w:val="4"/>
        </w:numPr>
        <w:spacing w:after="0"/>
        <w:ind w:left="426" w:hanging="426"/>
      </w:pPr>
      <w:r>
        <w:t xml:space="preserve">o </w:t>
      </w:r>
      <w:r w:rsidRPr="00B0421B">
        <w:t>počtu jednotlivých věcí souborů majetku (nebo seznam</w:t>
      </w:r>
      <w:r w:rsidR="00C154E8">
        <w:t xml:space="preserve"> tohoto majetku</w:t>
      </w:r>
      <w:r w:rsidRPr="00B0421B">
        <w:t xml:space="preserve">), který byl oceněn podle </w:t>
      </w:r>
      <w:r>
        <w:t xml:space="preserve">ustanovení </w:t>
      </w:r>
      <w:r w:rsidRPr="00B0421B">
        <w:t>§ 25 odst.</w:t>
      </w:r>
      <w:r w:rsidR="00C154E8">
        <w:t> 1</w:t>
      </w:r>
      <w:r w:rsidRPr="00B0421B">
        <w:t xml:space="preserve"> písm.</w:t>
      </w:r>
      <w:r w:rsidR="00C154E8">
        <w:t> </w:t>
      </w:r>
      <w:r w:rsidRPr="00B0421B">
        <w:t xml:space="preserve">k) zákona </w:t>
      </w:r>
      <w:r>
        <w:t>o účetnictví</w:t>
      </w:r>
      <w:r w:rsidRPr="00B0421B">
        <w:t xml:space="preserve">, přestože MZV </w:t>
      </w:r>
      <w:r>
        <w:t xml:space="preserve">je příslušné hospodařit s kulturními památkami oceněnými </w:t>
      </w:r>
      <w:r w:rsidRPr="00B0421B">
        <w:t>pořizovací cenou ve výši 1 Kč;</w:t>
      </w:r>
    </w:p>
    <w:p w14:paraId="269418CC" w14:textId="58D1A8CD" w:rsidR="008800AA" w:rsidRPr="00B0421B" w:rsidRDefault="008800AA" w:rsidP="000454E6">
      <w:pPr>
        <w:pStyle w:val="textKZ"/>
        <w:numPr>
          <w:ilvl w:val="0"/>
          <w:numId w:val="4"/>
        </w:numPr>
        <w:spacing w:after="0"/>
        <w:ind w:left="426" w:hanging="426"/>
      </w:pPr>
      <w:r w:rsidRPr="00B0421B">
        <w:t>k</w:t>
      </w:r>
      <w:r>
        <w:t> </w:t>
      </w:r>
      <w:r w:rsidRPr="00B0421B">
        <w:t xml:space="preserve">jiným částem ÚZ, přestože se jednalo o významné informace dle </w:t>
      </w:r>
      <w:r>
        <w:t xml:space="preserve">ustanovení </w:t>
      </w:r>
      <w:r w:rsidRPr="00B0421B">
        <w:t>§ 19 odst.</w:t>
      </w:r>
      <w:r w:rsidR="000454E6">
        <w:t> </w:t>
      </w:r>
      <w:r w:rsidRPr="00B0421B">
        <w:t xml:space="preserve">6 zákona </w:t>
      </w:r>
      <w:r>
        <w:t xml:space="preserve">o účetnictví (např. MZV neuvedlo, že na účtu 245 – </w:t>
      </w:r>
      <w:r w:rsidRPr="008D529E">
        <w:rPr>
          <w:i/>
        </w:rPr>
        <w:t>Jiné běžné účty</w:t>
      </w:r>
      <w:r>
        <w:t xml:space="preserve"> vykázalo skutečnosti týkající se ZÚ k datu 31. října 2015 místo k</w:t>
      </w:r>
      <w:r w:rsidR="00C154E8">
        <w:t xml:space="preserve"> datu </w:t>
      </w:r>
      <w:r>
        <w:t>31. prosinc</w:t>
      </w:r>
      <w:r w:rsidR="00C154E8">
        <w:t>e</w:t>
      </w:r>
      <w:r>
        <w:t xml:space="preserve"> 2015, kromě toho na účtu 245 – </w:t>
      </w:r>
      <w:r w:rsidRPr="008D529E">
        <w:rPr>
          <w:i/>
        </w:rPr>
        <w:t>Jiné běžné účty</w:t>
      </w:r>
      <w:r>
        <w:t xml:space="preserve"> vykázalo i zůstatky pokladen ZÚ, dále v příloze ÚZ </w:t>
      </w:r>
      <w:r w:rsidR="00C154E8">
        <w:t xml:space="preserve">neuvedlo a </w:t>
      </w:r>
      <w:r>
        <w:t>nevysvětlilo skutečnosti týkající se</w:t>
      </w:r>
      <w:r w:rsidR="00C154E8">
        <w:t xml:space="preserve"> </w:t>
      </w:r>
      <w:r>
        <w:t xml:space="preserve">účtu 459 – </w:t>
      </w:r>
      <w:r w:rsidRPr="008D529E">
        <w:rPr>
          <w:i/>
        </w:rPr>
        <w:t>Ostatní dlouhodobé závazky</w:t>
      </w:r>
      <w:r>
        <w:t xml:space="preserve">); </w:t>
      </w:r>
    </w:p>
    <w:p w14:paraId="1A881C29" w14:textId="257F7A41" w:rsidR="008800AA" w:rsidRPr="00B0421B" w:rsidRDefault="008800AA" w:rsidP="008C24F0">
      <w:pPr>
        <w:pStyle w:val="textKZ"/>
        <w:numPr>
          <w:ilvl w:val="0"/>
          <w:numId w:val="4"/>
        </w:numPr>
        <w:spacing w:after="0"/>
        <w:ind w:left="426" w:hanging="426"/>
      </w:pPr>
      <w:r w:rsidRPr="00B0421B">
        <w:t xml:space="preserve">k položkám, které </w:t>
      </w:r>
      <w:r w:rsidR="00C154E8">
        <w:t xml:space="preserve">MZV </w:t>
      </w:r>
      <w:r w:rsidRPr="00B0421B">
        <w:t xml:space="preserve">vykázalo v ÚZ na účtu 984 – </w:t>
      </w:r>
      <w:r w:rsidRPr="008D529E">
        <w:rPr>
          <w:i/>
        </w:rPr>
        <w:t>Dlouhodobé podmíněné závazky z</w:t>
      </w:r>
      <w:r>
        <w:rPr>
          <w:i/>
        </w:rPr>
        <w:t> </w:t>
      </w:r>
      <w:r w:rsidRPr="008D529E">
        <w:rPr>
          <w:i/>
        </w:rPr>
        <w:t>poskytnutých garancí ostatních</w:t>
      </w:r>
      <w:r>
        <w:t xml:space="preserve"> ve výši 2,8 mil. Kč.</w:t>
      </w:r>
    </w:p>
    <w:p w14:paraId="72AD0065" w14:textId="77777777" w:rsidR="008800AA" w:rsidRPr="00546769" w:rsidRDefault="008800AA" w:rsidP="008800A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1F52909" w14:textId="77777777" w:rsidR="008800AA" w:rsidRPr="002E6348" w:rsidRDefault="008800AA" w:rsidP="00B75F98">
      <w:pPr>
        <w:pStyle w:val="Nadpis2"/>
        <w:keepNext/>
        <w:numPr>
          <w:ilvl w:val="1"/>
          <w:numId w:val="5"/>
        </w:numPr>
        <w:spacing w:after="120"/>
        <w:ind w:left="284" w:hanging="284"/>
      </w:pPr>
      <w:r>
        <w:lastRenderedPageBreak/>
        <w:t>Porušení zákona č. 235/2004 Sb., o dani z přidané hodnoty</w:t>
      </w:r>
    </w:p>
    <w:p w14:paraId="65343255" w14:textId="77777777" w:rsidR="008800AA" w:rsidRDefault="008800AA" w:rsidP="008800AA">
      <w:pPr>
        <w:pStyle w:val="textKZ"/>
        <w:spacing w:after="0"/>
      </w:pPr>
      <w:r w:rsidRPr="00373233">
        <w:t>MZ</w:t>
      </w:r>
      <w:r>
        <w:t xml:space="preserve">V v kontrolovaném roce 2015, i v roce předešlém provozovalo závodní jídelnu a kantýnu. </w:t>
      </w:r>
      <w:r w:rsidRPr="00373233">
        <w:t>MZ</w:t>
      </w:r>
      <w:r>
        <w:t>V</w:t>
      </w:r>
      <w:r w:rsidRPr="00373233">
        <w:t xml:space="preserve"> tím uskutečňovalo činnost, při které se podle zákona č. 235/2004 Sb. považuje za osobu povinnou k dani. Výše obratu z této činnosti </w:t>
      </w:r>
      <w:r>
        <w:t>přesáhla hranici</w:t>
      </w:r>
      <w:r w:rsidRPr="00373233">
        <w:t>, od které vzniká osobě povinné k</w:t>
      </w:r>
      <w:r>
        <w:t> </w:t>
      </w:r>
      <w:r w:rsidRPr="00373233">
        <w:t xml:space="preserve">dani povinnost podat na místně příslušný finanční úřad přihlášku k registraci a stát se plátcem </w:t>
      </w:r>
      <w:r>
        <w:t>daně z přidané hodnoty</w:t>
      </w:r>
      <w:r w:rsidRPr="00373233">
        <w:t>. MZ</w:t>
      </w:r>
      <w:r>
        <w:t>V</w:t>
      </w:r>
      <w:r w:rsidRPr="00373233">
        <w:t xml:space="preserve"> tuto zákonnou povinnost nesplnilo, neboť v rozporu se zákonem č.</w:t>
      </w:r>
      <w:r>
        <w:t> </w:t>
      </w:r>
      <w:r w:rsidRPr="00373233">
        <w:t xml:space="preserve">235/2004 Sb. nepodalo přihlášku k </w:t>
      </w:r>
      <w:r w:rsidRPr="006D53C7">
        <w:t>registraci a příslušnou daň neodvedlo.</w:t>
      </w:r>
      <w:r>
        <w:t xml:space="preserve"> </w:t>
      </w:r>
    </w:p>
    <w:p w14:paraId="1E7BCEA8" w14:textId="77777777" w:rsidR="008800AA" w:rsidRPr="00AC62E6" w:rsidRDefault="008800AA" w:rsidP="008800AA">
      <w:pPr>
        <w:pStyle w:val="textKZ"/>
        <w:spacing w:after="0"/>
      </w:pPr>
    </w:p>
    <w:p w14:paraId="0EB3CC77" w14:textId="77777777" w:rsidR="008800AA" w:rsidRPr="003C3729" w:rsidRDefault="008800AA" w:rsidP="008C24F0">
      <w:pPr>
        <w:pStyle w:val="Nadpis2"/>
        <w:keepNext/>
        <w:numPr>
          <w:ilvl w:val="1"/>
          <w:numId w:val="8"/>
        </w:numPr>
        <w:spacing w:after="120"/>
        <w:ind w:left="284" w:hanging="284"/>
      </w:pPr>
      <w:r>
        <w:t>Nedostatečná právní úprava – m</w:t>
      </w:r>
      <w:r w:rsidRPr="00ED1907">
        <w:t xml:space="preserve">ajetkové účasti </w:t>
      </w:r>
      <w:r>
        <w:t xml:space="preserve">státu </w:t>
      </w:r>
      <w:r w:rsidRPr="00ED1907">
        <w:t>v obchodních společnostech</w:t>
      </w:r>
    </w:p>
    <w:p w14:paraId="22B7A502" w14:textId="77777777" w:rsidR="008800AA" w:rsidRPr="0038559D" w:rsidRDefault="008800AA" w:rsidP="008800AA">
      <w:pPr>
        <w:pStyle w:val="textKZ"/>
        <w:rPr>
          <w:lang w:eastAsia="cs-CZ"/>
        </w:rPr>
      </w:pPr>
      <w:r w:rsidRPr="0038559D">
        <w:rPr>
          <w:lang w:eastAsia="cs-CZ"/>
        </w:rPr>
        <w:t xml:space="preserve">MZV vykázalo v ÚZ sestavené k 31. </w:t>
      </w:r>
      <w:r>
        <w:rPr>
          <w:lang w:eastAsia="cs-CZ"/>
        </w:rPr>
        <w:t>prosinci</w:t>
      </w:r>
      <w:r w:rsidRPr="0038559D">
        <w:rPr>
          <w:lang w:eastAsia="cs-CZ"/>
        </w:rPr>
        <w:t xml:space="preserve"> 2015 na účtu 069 – </w:t>
      </w:r>
      <w:r w:rsidRPr="0038559D">
        <w:rPr>
          <w:i/>
          <w:lang w:eastAsia="cs-CZ"/>
        </w:rPr>
        <w:t>Ostatní dlouhodobý finanční majetek</w:t>
      </w:r>
      <w:r w:rsidRPr="0038559D">
        <w:rPr>
          <w:lang w:eastAsia="cs-CZ"/>
        </w:rPr>
        <w:t xml:space="preserve"> částku ve výši 540 </w:t>
      </w:r>
      <w:r>
        <w:rPr>
          <w:lang w:eastAsia="cs-CZ"/>
        </w:rPr>
        <w:t xml:space="preserve">mil. </w:t>
      </w:r>
      <w:r w:rsidRPr="0038559D">
        <w:rPr>
          <w:lang w:eastAsia="cs-CZ"/>
        </w:rPr>
        <w:t>Kč.</w:t>
      </w:r>
    </w:p>
    <w:p w14:paraId="7A4204E8" w14:textId="77777777" w:rsidR="008800AA" w:rsidRPr="00227F16" w:rsidRDefault="008800AA" w:rsidP="008800AA">
      <w:pPr>
        <w:pStyle w:val="textKZ"/>
        <w:rPr>
          <w:lang w:eastAsia="cs-CZ"/>
        </w:rPr>
      </w:pPr>
      <w:r>
        <w:rPr>
          <w:lang w:eastAsia="cs-CZ"/>
        </w:rPr>
        <w:t>Právní p</w:t>
      </w:r>
      <w:r w:rsidRPr="00227F16">
        <w:rPr>
          <w:lang w:eastAsia="cs-CZ"/>
        </w:rPr>
        <w:t xml:space="preserve">ředpisy regulující účetnictví a výkaznictví </w:t>
      </w:r>
      <w:r>
        <w:rPr>
          <w:lang w:eastAsia="cs-CZ"/>
        </w:rPr>
        <w:t>OSS</w:t>
      </w:r>
      <w:r w:rsidRPr="00227F16">
        <w:rPr>
          <w:lang w:eastAsia="cs-CZ"/>
        </w:rPr>
        <w:t xml:space="preserve"> vybraných účetních jednotek v oblasti majetkových účastí státu zůstaly i pro rok 2015 nedostatečné a nejednoznačné</w:t>
      </w:r>
      <w:r>
        <w:rPr>
          <w:lang w:eastAsia="cs-CZ"/>
        </w:rPr>
        <w:t>.</w:t>
      </w:r>
      <w:r w:rsidRPr="00227F16">
        <w:rPr>
          <w:lang w:eastAsia="cs-CZ"/>
        </w:rPr>
        <w:t xml:space="preserve"> OSS má ve svém finančním majetku vykazovat majetkovou účast státu v obchodní společnosti podle vlivu, který má v dané obchodní společnosti. </w:t>
      </w:r>
      <w:r>
        <w:rPr>
          <w:lang w:eastAsia="cs-CZ"/>
        </w:rPr>
        <w:t xml:space="preserve">Z právní úpravy však není zřejmé, zda organizační složky státu v případě jednotlivých majetkových účastí vykonávaly vliv rozhodující, podstatný či ostatní. </w:t>
      </w:r>
    </w:p>
    <w:p w14:paraId="51C3278D" w14:textId="77777777" w:rsidR="008800AA" w:rsidRPr="00227F16" w:rsidRDefault="008800AA" w:rsidP="008800AA">
      <w:pPr>
        <w:pStyle w:val="textKZ"/>
        <w:rPr>
          <w:lang w:eastAsia="cs-CZ"/>
        </w:rPr>
      </w:pPr>
      <w:r w:rsidRPr="00227F16">
        <w:rPr>
          <w:lang w:eastAsia="cs-CZ"/>
        </w:rPr>
        <w:t>Pokud by měl být vykázán vliv OSS, je nutné vzít v úvahu, že je vždy omezen v rozsahu ustanovení zákona č. 219/2000 Sb.</w:t>
      </w:r>
      <w:r w:rsidR="00AA080F">
        <w:rPr>
          <w:rStyle w:val="Znakapoznpodarou"/>
          <w:lang w:eastAsia="cs-CZ"/>
        </w:rPr>
        <w:footnoteReference w:id="13"/>
      </w:r>
      <w:r>
        <w:rPr>
          <w:lang w:eastAsia="cs-CZ"/>
        </w:rPr>
        <w:t>, podle kterého jsou práva</w:t>
      </w:r>
      <w:r w:rsidRPr="00227F16">
        <w:rPr>
          <w:lang w:eastAsia="cs-CZ"/>
        </w:rPr>
        <w:t xml:space="preserve"> akcionáře vykonává</w:t>
      </w:r>
      <w:r>
        <w:rPr>
          <w:lang w:eastAsia="cs-CZ"/>
        </w:rPr>
        <w:t>na</w:t>
      </w:r>
      <w:r w:rsidRPr="00227F16">
        <w:rPr>
          <w:lang w:eastAsia="cs-CZ"/>
        </w:rPr>
        <w:t xml:space="preserve"> jménem státu, nikoliv jménem OSS. Někter</w:t>
      </w:r>
      <w:r>
        <w:rPr>
          <w:lang w:eastAsia="cs-CZ"/>
        </w:rPr>
        <w:t>ými právy</w:t>
      </w:r>
      <w:r w:rsidRPr="00227F16">
        <w:rPr>
          <w:lang w:eastAsia="cs-CZ"/>
        </w:rPr>
        <w:t xml:space="preserve"> zákon č. 219/2000 Sb. pověřil </w:t>
      </w:r>
      <w:r>
        <w:rPr>
          <w:lang w:eastAsia="cs-CZ"/>
        </w:rPr>
        <w:t>přímo</w:t>
      </w:r>
      <w:r w:rsidRPr="00227F16">
        <w:rPr>
          <w:lang w:eastAsia="cs-CZ"/>
        </w:rPr>
        <w:t xml:space="preserve"> vládu. </w:t>
      </w:r>
      <w:r>
        <w:rPr>
          <w:lang w:eastAsia="cs-CZ"/>
        </w:rPr>
        <w:t>Z tohoto důvodu je o</w:t>
      </w:r>
      <w:r w:rsidRPr="00227F16">
        <w:rPr>
          <w:lang w:eastAsia="cs-CZ"/>
        </w:rPr>
        <w:t xml:space="preserve"> některých úkonech </w:t>
      </w:r>
      <w:r>
        <w:rPr>
          <w:lang w:eastAsia="cs-CZ"/>
        </w:rPr>
        <w:t>rozhodováno</w:t>
      </w:r>
      <w:r w:rsidRPr="00227F16">
        <w:rPr>
          <w:lang w:eastAsia="cs-CZ"/>
        </w:rPr>
        <w:t xml:space="preserve"> pouze s</w:t>
      </w:r>
      <w:r>
        <w:rPr>
          <w:lang w:eastAsia="cs-CZ"/>
        </w:rPr>
        <w:t xml:space="preserve"> jejím </w:t>
      </w:r>
      <w:r w:rsidRPr="00227F16">
        <w:rPr>
          <w:lang w:eastAsia="cs-CZ"/>
        </w:rPr>
        <w:t>předchozím souhlasem. Žádné ministerstvo tedy nemůže vykonávat hlasovací práva na základě vlastního uvážení bez ohledu na právní důvody a bez ovlivňování. Ve vztahu k OSS t</w:t>
      </w:r>
      <w:r>
        <w:rPr>
          <w:lang w:eastAsia="cs-CZ"/>
        </w:rPr>
        <w:t>ak nelze hovořit o </w:t>
      </w:r>
      <w:r w:rsidRPr="00227F16">
        <w:rPr>
          <w:lang w:eastAsia="cs-CZ"/>
        </w:rPr>
        <w:t>ovládající osobě. Z uvedeného je zřejmé, že účtující OSS je v disponování s těmito majetkovými účastmi státu v obchodních společnostech omezena.</w:t>
      </w:r>
    </w:p>
    <w:p w14:paraId="46D11C05" w14:textId="77777777" w:rsidR="008800AA" w:rsidRDefault="008800AA" w:rsidP="008800AA">
      <w:pPr>
        <w:pStyle w:val="textKZ"/>
        <w:rPr>
          <w:lang w:eastAsia="cs-CZ"/>
        </w:rPr>
      </w:pPr>
      <w:r w:rsidRPr="00227F16">
        <w:rPr>
          <w:lang w:eastAsia="cs-CZ"/>
        </w:rPr>
        <w:t xml:space="preserve">Pokud by měl být vykázán vliv státu, není to možné, protože jiné </w:t>
      </w:r>
      <w:proofErr w:type="gramStart"/>
      <w:r w:rsidRPr="00227F16">
        <w:rPr>
          <w:lang w:eastAsia="cs-CZ"/>
        </w:rPr>
        <w:t>OSS mohou</w:t>
      </w:r>
      <w:proofErr w:type="gramEnd"/>
      <w:r w:rsidRPr="00227F16">
        <w:rPr>
          <w:lang w:eastAsia="cs-CZ"/>
        </w:rPr>
        <w:t xml:space="preserve"> mít </w:t>
      </w:r>
      <w:proofErr w:type="gramStart"/>
      <w:r w:rsidRPr="00227F16">
        <w:rPr>
          <w:lang w:eastAsia="cs-CZ"/>
        </w:rPr>
        <w:t>příslušnost</w:t>
      </w:r>
      <w:proofErr w:type="gramEnd"/>
      <w:r w:rsidRPr="00227F16">
        <w:rPr>
          <w:lang w:eastAsia="cs-CZ"/>
        </w:rPr>
        <w:t xml:space="preserve"> hospodařit s dalšími majetkovými účastmi ve stejné společnosti, které vykazují ve svých účetních závěrkách, a vliv státu je tak možné určit až na základě součtu majetkových účastí u všech OSS.</w:t>
      </w:r>
    </w:p>
    <w:p w14:paraId="5F2CD6D0" w14:textId="77777777" w:rsidR="008800AA" w:rsidRPr="008800AA" w:rsidRDefault="008800AA" w:rsidP="00DE2650">
      <w:pPr>
        <w:jc w:val="both"/>
        <w:rPr>
          <w:rFonts w:cs="Calibri"/>
          <w:b/>
          <w:bCs/>
          <w:iCs/>
          <w:sz w:val="24"/>
          <w:szCs w:val="24"/>
        </w:rPr>
      </w:pPr>
      <w:r w:rsidRPr="008800AA">
        <w:rPr>
          <w:sz w:val="24"/>
          <w:szCs w:val="24"/>
          <w:lang w:eastAsia="cs-CZ"/>
        </w:rPr>
        <w:t>Organizační složka státu je v disponování s majetkovými účastmi státu v obchodních společnostech omezena a dle dlouhodobého názoru NKÚ toto omezení nelze dostatečně přesně kvantifikovat</w:t>
      </w:r>
      <w:r>
        <w:rPr>
          <w:sz w:val="24"/>
          <w:szCs w:val="24"/>
          <w:lang w:eastAsia="cs-CZ"/>
        </w:rPr>
        <w:t>.</w:t>
      </w:r>
    </w:p>
    <w:p w14:paraId="5639D216" w14:textId="77777777" w:rsidR="00571866" w:rsidRDefault="00571866" w:rsidP="0057186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33D7EBF" w14:textId="77777777" w:rsidR="00DE2650" w:rsidRDefault="00DE265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341650" w14:textId="77777777" w:rsidR="00571866" w:rsidRPr="00B47A46" w:rsidRDefault="00DE2650" w:rsidP="00B47A46">
      <w:pPr>
        <w:spacing w:after="360"/>
        <w:rPr>
          <w:b/>
          <w:sz w:val="28"/>
          <w:szCs w:val="28"/>
        </w:rPr>
      </w:pPr>
      <w:r w:rsidRPr="00B47A46">
        <w:rPr>
          <w:b/>
          <w:sz w:val="28"/>
          <w:szCs w:val="28"/>
        </w:rPr>
        <w:lastRenderedPageBreak/>
        <w:t>Seznam zkratek</w:t>
      </w:r>
    </w:p>
    <w:p w14:paraId="09127742" w14:textId="58313123" w:rsidR="003372B4" w:rsidRPr="00FC2C42" w:rsidRDefault="003372B4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6B2E44">
        <w:rPr>
          <w:rFonts w:cstheme="minorHAnsi"/>
          <w:sz w:val="24"/>
          <w:szCs w:val="24"/>
        </w:rPr>
        <w:t>ČR</w:t>
      </w:r>
      <w:r w:rsidRPr="006B2E44">
        <w:rPr>
          <w:rFonts w:cstheme="minorHAnsi"/>
          <w:sz w:val="24"/>
          <w:szCs w:val="24"/>
        </w:rPr>
        <w:tab/>
        <w:t>Česká republika</w:t>
      </w:r>
    </w:p>
    <w:p w14:paraId="0E48EC5C" w14:textId="77777777" w:rsidR="00DE2650" w:rsidRPr="00FC2C42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FC2C42">
        <w:rPr>
          <w:rFonts w:cstheme="minorHAnsi"/>
          <w:sz w:val="24"/>
          <w:szCs w:val="24"/>
        </w:rPr>
        <w:t>ČÚS</w:t>
      </w:r>
      <w:r w:rsidRPr="00FC2C42">
        <w:rPr>
          <w:rFonts w:cstheme="minorHAnsi"/>
          <w:sz w:val="24"/>
          <w:szCs w:val="24"/>
        </w:rPr>
        <w:tab/>
        <w:t>český účetní standard</w:t>
      </w:r>
    </w:p>
    <w:p w14:paraId="1EA0421E" w14:textId="77777777" w:rsidR="00DE2650" w:rsidRPr="00FC2C42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FC2C42">
        <w:rPr>
          <w:rFonts w:cstheme="minorHAnsi"/>
          <w:sz w:val="24"/>
          <w:szCs w:val="24"/>
        </w:rPr>
        <w:t>MF</w:t>
      </w:r>
      <w:r w:rsidRPr="00FC2C42">
        <w:rPr>
          <w:rFonts w:cstheme="minorHAnsi"/>
          <w:sz w:val="24"/>
          <w:szCs w:val="24"/>
        </w:rPr>
        <w:tab/>
        <w:t>Ministerstvo financí</w:t>
      </w:r>
    </w:p>
    <w:p w14:paraId="05153153" w14:textId="77777777" w:rsidR="00DE2650" w:rsidRPr="00D532CC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D532CC">
        <w:rPr>
          <w:rFonts w:cstheme="minorHAnsi"/>
          <w:sz w:val="24"/>
          <w:szCs w:val="24"/>
        </w:rPr>
        <w:t>MZV</w:t>
      </w:r>
      <w:r w:rsidRPr="00D532CC">
        <w:rPr>
          <w:rFonts w:cstheme="minorHAnsi"/>
          <w:sz w:val="24"/>
          <w:szCs w:val="24"/>
        </w:rPr>
        <w:tab/>
        <w:t>Ministerstvo zahraničních věcí</w:t>
      </w:r>
    </w:p>
    <w:p w14:paraId="1911E804" w14:textId="77777777" w:rsidR="00DE2650" w:rsidRPr="00D532CC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D532CC">
        <w:rPr>
          <w:rFonts w:cstheme="minorHAnsi"/>
          <w:sz w:val="24"/>
          <w:szCs w:val="24"/>
        </w:rPr>
        <w:t>NKÚ</w:t>
      </w:r>
      <w:r w:rsidRPr="00D532CC">
        <w:rPr>
          <w:rFonts w:cstheme="minorHAnsi"/>
          <w:sz w:val="24"/>
          <w:szCs w:val="24"/>
        </w:rPr>
        <w:tab/>
        <w:t>Nejvyšší kontrolní úřad</w:t>
      </w:r>
    </w:p>
    <w:p w14:paraId="5EFE9108" w14:textId="77777777" w:rsidR="00DE2650" w:rsidRPr="00FC2C42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D532CC">
        <w:rPr>
          <w:rFonts w:cstheme="minorHAnsi"/>
          <w:sz w:val="24"/>
          <w:szCs w:val="24"/>
        </w:rPr>
        <w:t>NZŽN</w:t>
      </w:r>
      <w:r w:rsidRPr="00D532CC">
        <w:rPr>
          <w:rFonts w:cstheme="minorHAnsi"/>
          <w:sz w:val="24"/>
          <w:szCs w:val="24"/>
        </w:rPr>
        <w:tab/>
        <w:t>n</w:t>
      </w:r>
      <w:r w:rsidRPr="00B47A46">
        <w:rPr>
          <w:rFonts w:cstheme="minorHAnsi"/>
          <w:sz w:val="24"/>
          <w:szCs w:val="24"/>
        </w:rPr>
        <w:t>áhr</w:t>
      </w:r>
      <w:r w:rsidRPr="006B2E44">
        <w:rPr>
          <w:rFonts w:cstheme="minorHAnsi"/>
          <w:sz w:val="24"/>
          <w:szCs w:val="24"/>
        </w:rPr>
        <w:t>ady zvýšených životních nákladů</w:t>
      </w:r>
    </w:p>
    <w:p w14:paraId="670EC6DB" w14:textId="77777777" w:rsidR="00DE2650" w:rsidRPr="00FC2C42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FC2C42">
        <w:rPr>
          <w:rFonts w:cstheme="minorHAnsi"/>
          <w:sz w:val="24"/>
          <w:szCs w:val="24"/>
        </w:rPr>
        <w:t>OSS</w:t>
      </w:r>
      <w:r w:rsidRPr="00FC2C42">
        <w:rPr>
          <w:rFonts w:cstheme="minorHAnsi"/>
          <w:sz w:val="24"/>
          <w:szCs w:val="24"/>
        </w:rPr>
        <w:tab/>
        <w:t>organizační složka státu</w:t>
      </w:r>
    </w:p>
    <w:p w14:paraId="3CEFAF6D" w14:textId="77777777" w:rsidR="00DE2650" w:rsidRPr="00D532CC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FC2C42">
        <w:rPr>
          <w:rFonts w:cstheme="minorHAnsi"/>
          <w:sz w:val="24"/>
          <w:szCs w:val="24"/>
        </w:rPr>
        <w:t>ÚZ</w:t>
      </w:r>
      <w:r w:rsidRPr="00FC2C42">
        <w:rPr>
          <w:rFonts w:cstheme="minorHAnsi"/>
          <w:sz w:val="24"/>
          <w:szCs w:val="24"/>
        </w:rPr>
        <w:tab/>
        <w:t>ú</w:t>
      </w:r>
      <w:r w:rsidRPr="00D532CC">
        <w:rPr>
          <w:rFonts w:cstheme="minorHAnsi"/>
          <w:sz w:val="24"/>
          <w:szCs w:val="24"/>
        </w:rPr>
        <w:t>četní závěrka</w:t>
      </w:r>
    </w:p>
    <w:p w14:paraId="5229C9B4" w14:textId="77777777" w:rsidR="00DE2650" w:rsidRPr="00D532CC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  <w:r w:rsidRPr="00D532CC">
        <w:rPr>
          <w:rFonts w:cstheme="minorHAnsi"/>
          <w:sz w:val="24"/>
          <w:szCs w:val="24"/>
        </w:rPr>
        <w:t>ZÚ</w:t>
      </w:r>
      <w:r w:rsidRPr="00D532CC">
        <w:rPr>
          <w:rFonts w:cstheme="minorHAnsi"/>
          <w:sz w:val="24"/>
          <w:szCs w:val="24"/>
        </w:rPr>
        <w:tab/>
        <w:t>zastupitelské úřady</w:t>
      </w:r>
    </w:p>
    <w:p w14:paraId="282BE7D1" w14:textId="77777777" w:rsidR="00DE2650" w:rsidRPr="00D532CC" w:rsidRDefault="00DE2650" w:rsidP="00DE2650">
      <w:pPr>
        <w:tabs>
          <w:tab w:val="left" w:pos="1701"/>
        </w:tabs>
        <w:rPr>
          <w:rFonts w:cstheme="minorHAnsi"/>
          <w:sz w:val="24"/>
          <w:szCs w:val="24"/>
        </w:rPr>
      </w:pPr>
    </w:p>
    <w:sectPr w:rsidR="00DE2650" w:rsidRPr="00D532CC" w:rsidSect="00FC2C4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FCC14" w14:textId="77777777" w:rsidR="00AB4998" w:rsidRDefault="00AB4998" w:rsidP="00571866">
      <w:pPr>
        <w:spacing w:after="0" w:line="240" w:lineRule="auto"/>
      </w:pPr>
      <w:r>
        <w:separator/>
      </w:r>
    </w:p>
  </w:endnote>
  <w:endnote w:type="continuationSeparator" w:id="0">
    <w:p w14:paraId="0AECF859" w14:textId="77777777" w:rsidR="00AB4998" w:rsidRDefault="00AB4998" w:rsidP="0057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67524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2D57493" w14:textId="77777777" w:rsidR="00AB4998" w:rsidRPr="005C6B68" w:rsidRDefault="00AB4998" w:rsidP="005C6B68">
        <w:pPr>
          <w:pStyle w:val="Zpat"/>
          <w:spacing w:before="200"/>
          <w:jc w:val="center"/>
          <w:rPr>
            <w:sz w:val="24"/>
            <w:szCs w:val="24"/>
          </w:rPr>
        </w:pPr>
        <w:r w:rsidRPr="005C6B68">
          <w:rPr>
            <w:sz w:val="24"/>
            <w:szCs w:val="24"/>
          </w:rPr>
          <w:fldChar w:fldCharType="begin"/>
        </w:r>
        <w:r w:rsidRPr="005C6B68">
          <w:rPr>
            <w:sz w:val="24"/>
            <w:szCs w:val="24"/>
          </w:rPr>
          <w:instrText>PAGE   \* MERGEFORMAT</w:instrText>
        </w:r>
        <w:r w:rsidRPr="005C6B68">
          <w:rPr>
            <w:sz w:val="24"/>
            <w:szCs w:val="24"/>
          </w:rPr>
          <w:fldChar w:fldCharType="separate"/>
        </w:r>
        <w:r w:rsidR="006F4C8D">
          <w:rPr>
            <w:noProof/>
            <w:sz w:val="24"/>
            <w:szCs w:val="24"/>
          </w:rPr>
          <w:t>12</w:t>
        </w:r>
        <w:r w:rsidRPr="005C6B68">
          <w:rPr>
            <w:sz w:val="24"/>
            <w:szCs w:val="24"/>
          </w:rPr>
          <w:fldChar w:fldCharType="end"/>
        </w:r>
      </w:p>
    </w:sdtContent>
  </w:sdt>
  <w:p w14:paraId="31E604F1" w14:textId="77777777" w:rsidR="00AB4998" w:rsidRDefault="00AB49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9145F" w14:textId="77777777" w:rsidR="00AB4998" w:rsidRDefault="00AB4998" w:rsidP="00571866">
      <w:pPr>
        <w:spacing w:after="0" w:line="240" w:lineRule="auto"/>
      </w:pPr>
      <w:r>
        <w:separator/>
      </w:r>
    </w:p>
  </w:footnote>
  <w:footnote w:type="continuationSeparator" w:id="0">
    <w:p w14:paraId="2065D6DF" w14:textId="77777777" w:rsidR="00AB4998" w:rsidRDefault="00AB4998" w:rsidP="00571866">
      <w:pPr>
        <w:spacing w:after="0" w:line="240" w:lineRule="auto"/>
      </w:pPr>
      <w:r>
        <w:continuationSeparator/>
      </w:r>
    </w:p>
  </w:footnote>
  <w:footnote w:id="1">
    <w:p w14:paraId="30AC8500" w14:textId="77777777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2/1969 Sb., </w:t>
      </w:r>
      <w:r w:rsidRPr="00184AA7">
        <w:t>o zřízení ministerstev a jiných ústředních orgánů státní správy České republiky</w:t>
      </w:r>
      <w:r>
        <w:t>.</w:t>
      </w:r>
    </w:p>
  </w:footnote>
  <w:footnote w:id="2">
    <w:p w14:paraId="65772AD6" w14:textId="77777777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563/1991 Sb., o účetnictví.</w:t>
      </w:r>
    </w:p>
  </w:footnote>
  <w:footnote w:id="3">
    <w:p w14:paraId="27B34BC7" w14:textId="77777777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Hodnota aktiv je uvedena v netto hodnotě, brutto hodnota aktiv byla v ÚZ vykázána ve výši 18 204 581 545,64 Kč (korekce činily 5 219 471 297,34 Kč).</w:t>
      </w:r>
    </w:p>
  </w:footnote>
  <w:footnote w:id="4">
    <w:p w14:paraId="246EEAAF" w14:textId="77777777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Náklady, výnosy i výsledek hospodaření byly v ÚZ vykázány pouze ve sloupci „hlavní činnost“.</w:t>
      </w:r>
    </w:p>
  </w:footnote>
  <w:footnote w:id="5">
    <w:p w14:paraId="4E2E09CC" w14:textId="77777777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410/2009 Sb., k</w:t>
      </w:r>
      <w:r w:rsidRPr="00205994">
        <w:rPr>
          <w:rFonts w:cs="Calibri"/>
          <w:lang w:eastAsia="cs-CZ"/>
        </w:rPr>
        <w:t>terou se provádějí některá ustanovení zákona č. 563/1991 Sb., o účetnictví</w:t>
      </w:r>
      <w:r>
        <w:rPr>
          <w:rFonts w:cs="Calibri"/>
          <w:lang w:eastAsia="cs-CZ"/>
        </w:rPr>
        <w:t>, ve znění pozdějších předpisů, pro některé vybrané účetní jednotky.</w:t>
      </w:r>
    </w:p>
  </w:footnote>
  <w:footnote w:id="6">
    <w:p w14:paraId="573AC939" w14:textId="77777777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Dle ustanovení § 13 odst. 2 zákona č. 563/1991 Sb.</w:t>
      </w:r>
    </w:p>
  </w:footnote>
  <w:footnote w:id="7">
    <w:p w14:paraId="0546820D" w14:textId="42D9418F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</w:t>
      </w:r>
      <w:r w:rsidRPr="008741B0">
        <w:t>le ustanovení § 52 odst. 1 zákona č. 218/2000 Sb.</w:t>
      </w:r>
      <w:r>
        <w:t>,</w:t>
      </w:r>
      <w:r w:rsidRPr="00542D33">
        <w:t xml:space="preserve"> </w:t>
      </w:r>
      <w:r w:rsidRPr="00184AA7">
        <w:t>o rozpočtových pravidlech a o změně některých souvisejících zákonů (rozpočtová pravidla)</w:t>
      </w:r>
      <w:r>
        <w:t>.</w:t>
      </w:r>
    </w:p>
  </w:footnote>
  <w:footnote w:id="8">
    <w:p w14:paraId="18E7D632" w14:textId="77777777" w:rsidR="00AB4998" w:rsidRDefault="00AB4998" w:rsidP="00FE1DC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Zřízen </w:t>
      </w:r>
      <w:r w:rsidRPr="001957FD">
        <w:t>dle</w:t>
      </w:r>
      <w:r>
        <w:t xml:space="preserve"> ustanovení</w:t>
      </w:r>
      <w:r w:rsidRPr="001957FD">
        <w:t xml:space="preserve"> § 45 odst.</w:t>
      </w:r>
      <w:r>
        <w:t> </w:t>
      </w:r>
      <w:r w:rsidRPr="001957FD">
        <w:t>6 zákona č.</w:t>
      </w:r>
      <w:r>
        <w:t> </w:t>
      </w:r>
      <w:r w:rsidRPr="001957FD">
        <w:t>218/2000 Sb</w:t>
      </w:r>
      <w:r>
        <w:t>.</w:t>
      </w:r>
    </w:p>
  </w:footnote>
  <w:footnote w:id="9">
    <w:p w14:paraId="4D6F0A0B" w14:textId="60D2A512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Zřízeny dle</w:t>
      </w:r>
      <w:r w:rsidRPr="00D40E33">
        <w:t xml:space="preserve"> ustanovení § 52 odst. 6 zákona č. 218/2000 Sb.</w:t>
      </w:r>
    </w:p>
  </w:footnote>
  <w:footnote w:id="10">
    <w:p w14:paraId="37E11DA4" w14:textId="77777777" w:rsidR="00AB4998" w:rsidRDefault="00AB4998" w:rsidP="005942D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Na účtu 241 – </w:t>
      </w:r>
      <w:r w:rsidRPr="00C96D32">
        <w:rPr>
          <w:i/>
        </w:rPr>
        <w:t>Běžný účet</w:t>
      </w:r>
      <w:r>
        <w:t xml:space="preserve"> se</w:t>
      </w:r>
      <w:r w:rsidRPr="001957FD">
        <w:t xml:space="preserve"> dle </w:t>
      </w:r>
      <w:r>
        <w:t xml:space="preserve">ustanovení </w:t>
      </w:r>
      <w:r w:rsidRPr="001957FD">
        <w:t>§ 25 odst. 1 písm. e) vy</w:t>
      </w:r>
      <w:r>
        <w:t>hlášky č. 410/2009 Sb. účtují u </w:t>
      </w:r>
      <w:r w:rsidRPr="001957FD">
        <w:t>organizačních složek státu prostředky podle jiných právních předpisů</w:t>
      </w:r>
      <w:r>
        <w:t>.</w:t>
      </w:r>
    </w:p>
  </w:footnote>
  <w:footnote w:id="11">
    <w:p w14:paraId="523AE7A8" w14:textId="77777777" w:rsidR="00AB4998" w:rsidRDefault="00AB4998" w:rsidP="00AA08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Nařízení vlády č. 62/1994 Sb., </w:t>
      </w:r>
      <w:r w:rsidRPr="00D40E33">
        <w:t>o poskytování náhrad některých výda</w:t>
      </w:r>
      <w:r>
        <w:t>jů zaměstnancům rozpočtových a </w:t>
      </w:r>
      <w:r w:rsidRPr="00D40E33">
        <w:t>příspěvkových organizací s pravidelným pracovištěm v</w:t>
      </w:r>
      <w:r>
        <w:t> </w:t>
      </w:r>
      <w:r w:rsidRPr="00D40E33">
        <w:t>zahraničí</w:t>
      </w:r>
      <w:r>
        <w:t>.</w:t>
      </w:r>
    </w:p>
  </w:footnote>
  <w:footnote w:id="12">
    <w:p w14:paraId="38D5F205" w14:textId="77777777" w:rsidR="00AB4998" w:rsidRDefault="00AB4998" w:rsidP="00AA08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270/2010 Sb., o inventarizaci majetku a závazků.</w:t>
      </w:r>
    </w:p>
  </w:footnote>
  <w:footnote w:id="13">
    <w:p w14:paraId="02B2896E" w14:textId="51D8B9BC" w:rsidR="00AB4998" w:rsidRDefault="00AB4998" w:rsidP="00AA08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219/2000 Sb., o majetku České republiky a jejím vystupování v právních vztazích.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04055"/>
    <w:multiLevelType w:val="hybridMultilevel"/>
    <w:tmpl w:val="562C36DE"/>
    <w:lvl w:ilvl="0" w:tplc="57166C82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67BF4"/>
    <w:multiLevelType w:val="hybridMultilevel"/>
    <w:tmpl w:val="A2B0B9A8"/>
    <w:lvl w:ilvl="0" w:tplc="008087FA">
      <w:start w:val="1"/>
      <w:numFmt w:val="bullet"/>
      <w:pStyle w:val="Fousnadpis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5490A94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E4B9E"/>
    <w:multiLevelType w:val="hybridMultilevel"/>
    <w:tmpl w:val="7790632E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FDD07B4"/>
    <w:multiLevelType w:val="hybridMultilevel"/>
    <w:tmpl w:val="77BCEED0"/>
    <w:lvl w:ilvl="0" w:tplc="C1E618E2">
      <w:numFmt w:val="bullet"/>
      <w:lvlText w:val="–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E785014"/>
    <w:multiLevelType w:val="multilevel"/>
    <w:tmpl w:val="9DCE7682"/>
    <w:lvl w:ilvl="0">
      <w:start w:val="1"/>
      <w:numFmt w:val="upperRoman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1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09D1563"/>
    <w:multiLevelType w:val="hybridMultilevel"/>
    <w:tmpl w:val="EE6C677C"/>
    <w:lvl w:ilvl="0" w:tplc="C1E618E2">
      <w:numFmt w:val="bullet"/>
      <w:lvlText w:val="–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B3330AE"/>
    <w:multiLevelType w:val="multilevel"/>
    <w:tmpl w:val="678CFF0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2127" w:firstLine="0"/>
      </w:pPr>
      <w:rPr>
        <w:rFonts w:hint="default"/>
      </w:rPr>
    </w:lvl>
    <w:lvl w:ilvl="3">
      <w:start w:val="1"/>
      <w:numFmt w:val="decimal"/>
      <w:pStyle w:val="Nadpis4"/>
      <w:lvlText w:val="1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66"/>
    <w:rsid w:val="000454E6"/>
    <w:rsid w:val="000626A3"/>
    <w:rsid w:val="001352C7"/>
    <w:rsid w:val="0019278A"/>
    <w:rsid w:val="001970CA"/>
    <w:rsid w:val="001D14E9"/>
    <w:rsid w:val="00283A91"/>
    <w:rsid w:val="002B39BA"/>
    <w:rsid w:val="002E2134"/>
    <w:rsid w:val="002F6B3A"/>
    <w:rsid w:val="003312C4"/>
    <w:rsid w:val="00331DAE"/>
    <w:rsid w:val="0033225A"/>
    <w:rsid w:val="003372B4"/>
    <w:rsid w:val="00376EB5"/>
    <w:rsid w:val="00380F2D"/>
    <w:rsid w:val="003B352B"/>
    <w:rsid w:val="003B3697"/>
    <w:rsid w:val="00466D9D"/>
    <w:rsid w:val="00471618"/>
    <w:rsid w:val="004808A9"/>
    <w:rsid w:val="00481B14"/>
    <w:rsid w:val="004B1268"/>
    <w:rsid w:val="004E350E"/>
    <w:rsid w:val="005235B5"/>
    <w:rsid w:val="0054379B"/>
    <w:rsid w:val="0056435D"/>
    <w:rsid w:val="00571866"/>
    <w:rsid w:val="005942D6"/>
    <w:rsid w:val="005C2A6E"/>
    <w:rsid w:val="005C6B68"/>
    <w:rsid w:val="005F6246"/>
    <w:rsid w:val="006A69E2"/>
    <w:rsid w:val="006B2E44"/>
    <w:rsid w:val="006C37D8"/>
    <w:rsid w:val="006C618C"/>
    <w:rsid w:val="006D6253"/>
    <w:rsid w:val="006F4C8D"/>
    <w:rsid w:val="00710CE0"/>
    <w:rsid w:val="007139A7"/>
    <w:rsid w:val="0072264F"/>
    <w:rsid w:val="008800AA"/>
    <w:rsid w:val="00880F7A"/>
    <w:rsid w:val="008B0AC9"/>
    <w:rsid w:val="008C24F0"/>
    <w:rsid w:val="009606C3"/>
    <w:rsid w:val="00996DC4"/>
    <w:rsid w:val="009A13DB"/>
    <w:rsid w:val="00A5652E"/>
    <w:rsid w:val="00A6325E"/>
    <w:rsid w:val="00AA080F"/>
    <w:rsid w:val="00AB162F"/>
    <w:rsid w:val="00AB4998"/>
    <w:rsid w:val="00AB5A03"/>
    <w:rsid w:val="00AD3828"/>
    <w:rsid w:val="00AF0194"/>
    <w:rsid w:val="00B47A46"/>
    <w:rsid w:val="00B52312"/>
    <w:rsid w:val="00B572DA"/>
    <w:rsid w:val="00B75F98"/>
    <w:rsid w:val="00BA40AC"/>
    <w:rsid w:val="00BC1BBE"/>
    <w:rsid w:val="00BD73FF"/>
    <w:rsid w:val="00BF5312"/>
    <w:rsid w:val="00C05257"/>
    <w:rsid w:val="00C154E8"/>
    <w:rsid w:val="00C30C0E"/>
    <w:rsid w:val="00CB7D4B"/>
    <w:rsid w:val="00CC6D4F"/>
    <w:rsid w:val="00CE0218"/>
    <w:rsid w:val="00CE672B"/>
    <w:rsid w:val="00CE6BDF"/>
    <w:rsid w:val="00D532CC"/>
    <w:rsid w:val="00D86DC8"/>
    <w:rsid w:val="00D87BB1"/>
    <w:rsid w:val="00DA7186"/>
    <w:rsid w:val="00DC6D2F"/>
    <w:rsid w:val="00DD0591"/>
    <w:rsid w:val="00DD3CB7"/>
    <w:rsid w:val="00DE2650"/>
    <w:rsid w:val="00DE288B"/>
    <w:rsid w:val="00DF5C16"/>
    <w:rsid w:val="00E13E33"/>
    <w:rsid w:val="00E24E58"/>
    <w:rsid w:val="00E3023A"/>
    <w:rsid w:val="00EA1F2A"/>
    <w:rsid w:val="00EA4751"/>
    <w:rsid w:val="00F27EA0"/>
    <w:rsid w:val="00F40EAE"/>
    <w:rsid w:val="00F5459C"/>
    <w:rsid w:val="00F6267B"/>
    <w:rsid w:val="00F676EA"/>
    <w:rsid w:val="00F9344F"/>
    <w:rsid w:val="00FA672A"/>
    <w:rsid w:val="00FB5D05"/>
    <w:rsid w:val="00FC2C42"/>
    <w:rsid w:val="00FE1DC3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1E24F7"/>
  <w15:chartTrackingRefBased/>
  <w15:docId w15:val="{B58E4CC3-D279-4A30-BCD5-B2089B56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1866"/>
    <w:pPr>
      <w:numPr>
        <w:numId w:val="2"/>
      </w:numPr>
      <w:spacing w:after="120" w:line="240" w:lineRule="auto"/>
      <w:jc w:val="center"/>
      <w:outlineLvl w:val="0"/>
    </w:pPr>
    <w:rPr>
      <w:rFonts w:ascii="Calibri" w:eastAsia="Times New Roman" w:hAnsi="Calibri" w:cs="Calibr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qFormat/>
    <w:rsid w:val="00571866"/>
    <w:pPr>
      <w:numPr>
        <w:ilvl w:val="1"/>
        <w:numId w:val="2"/>
      </w:numPr>
      <w:spacing w:after="0" w:line="240" w:lineRule="auto"/>
      <w:jc w:val="both"/>
      <w:outlineLvl w:val="1"/>
    </w:pPr>
    <w:rPr>
      <w:rFonts w:ascii="Calibri" w:eastAsia="Times New Roman" w:hAnsi="Calibri" w:cs="Calibri"/>
      <w:b/>
      <w:sz w:val="24"/>
      <w:szCs w:val="24"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qFormat/>
    <w:rsid w:val="00571866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Calibri" w:eastAsia="Times New Roman" w:hAnsi="Calibri" w:cs="Calibri"/>
      <w:b/>
      <w:i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5C6B68"/>
    <w:pPr>
      <w:keepNext/>
      <w:numPr>
        <w:ilvl w:val="3"/>
        <w:numId w:val="5"/>
      </w:numPr>
      <w:spacing w:after="0" w:line="240" w:lineRule="auto"/>
      <w:jc w:val="both"/>
      <w:outlineLvl w:val="3"/>
    </w:pPr>
    <w:rPr>
      <w:rFonts w:eastAsia="Times New Roman" w:cs="Arial"/>
      <w:b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571866"/>
    <w:pPr>
      <w:keepNext/>
      <w:numPr>
        <w:ilvl w:val="5"/>
        <w:numId w:val="2"/>
      </w:numPr>
      <w:spacing w:after="120" w:line="240" w:lineRule="auto"/>
      <w:jc w:val="both"/>
      <w:outlineLvl w:val="5"/>
    </w:pPr>
    <w:rPr>
      <w:rFonts w:ascii="Calibri" w:eastAsia="Times New Roman" w:hAnsi="Calibri" w:cs="Times New Roman"/>
      <w:b/>
      <w:bCs/>
      <w:sz w:val="32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1866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71866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71866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8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8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866"/>
    <w:rPr>
      <w:vertAlign w:val="superscript"/>
    </w:rPr>
  </w:style>
  <w:style w:type="paragraph" w:customStyle="1" w:styleId="textKZ">
    <w:name w:val="text KZ"/>
    <w:basedOn w:val="Normln"/>
    <w:link w:val="textKZChar"/>
    <w:qFormat/>
    <w:rsid w:val="00571866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textKZChar">
    <w:name w:val="text KZ Char"/>
    <w:basedOn w:val="Standardnpsmoodstavce"/>
    <w:link w:val="textKZ"/>
    <w:rsid w:val="00571866"/>
    <w:rPr>
      <w:rFonts w:ascii="Calibri" w:eastAsia="Times New Roman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71866"/>
    <w:rPr>
      <w:rFonts w:ascii="Calibri" w:eastAsia="Times New Roman" w:hAnsi="Calibri" w:cs="Calibr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71866"/>
    <w:rPr>
      <w:rFonts w:ascii="Calibri" w:eastAsia="Times New Roman" w:hAnsi="Calibri" w:cs="Calibri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1866"/>
    <w:rPr>
      <w:rFonts w:ascii="Calibri" w:eastAsia="Times New Roman" w:hAnsi="Calibri" w:cs="Calibri"/>
      <w:b/>
      <w:i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71866"/>
    <w:rPr>
      <w:rFonts w:ascii="Calibri" w:eastAsia="Times New Roman" w:hAnsi="Calibri" w:cs="Times New Roman"/>
      <w:b/>
      <w:bCs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71866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71866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71866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pis pro KZ,odrážky"/>
    <w:basedOn w:val="Normln"/>
    <w:link w:val="OdstavecseseznamemChar"/>
    <w:uiPriority w:val="34"/>
    <w:qFormat/>
    <w:rsid w:val="005718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B68"/>
  </w:style>
  <w:style w:type="paragraph" w:styleId="Zpat">
    <w:name w:val="footer"/>
    <w:basedOn w:val="Normln"/>
    <w:link w:val="ZpatChar"/>
    <w:uiPriority w:val="99"/>
    <w:unhideWhenUsed/>
    <w:rsid w:val="005C6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B68"/>
  </w:style>
  <w:style w:type="character" w:customStyle="1" w:styleId="OdstavecseseznamemChar">
    <w:name w:val="Odstavec se seznamem Char"/>
    <w:aliases w:val="Nadpis pro KZ Char,odrážky Char"/>
    <w:link w:val="Odstavecseseznamem"/>
    <w:uiPriority w:val="34"/>
    <w:locked/>
    <w:rsid w:val="005C6B68"/>
  </w:style>
  <w:style w:type="character" w:customStyle="1" w:styleId="Nadpis4Char">
    <w:name w:val="Nadpis 4 Char"/>
    <w:basedOn w:val="Standardnpsmoodstavce"/>
    <w:link w:val="Nadpis4"/>
    <w:uiPriority w:val="9"/>
    <w:rsid w:val="005C6B68"/>
    <w:rPr>
      <w:rFonts w:eastAsia="Times New Roman" w:cs="Arial"/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5C6B6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Fousnadpis">
    <w:name w:val="Fous nadpis"/>
    <w:basedOn w:val="Normln"/>
    <w:rsid w:val="005C6B68"/>
    <w:pPr>
      <w:numPr>
        <w:numId w:val="6"/>
      </w:numPr>
      <w:tabs>
        <w:tab w:val="clear" w:pos="720"/>
        <w:tab w:val="num" w:pos="360"/>
      </w:tabs>
      <w:spacing w:before="120" w:after="120" w:line="240" w:lineRule="auto"/>
      <w:ind w:left="360" w:hanging="360"/>
      <w:jc w:val="both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6E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626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26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26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6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6A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62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dnikator.cz/zacatek-podnikani/pravo/n:1833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2D8AB-9742-4ECD-8EE3-C76FD1FC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131EA9C9.dotm</Template>
  <TotalTime>0</TotalTime>
  <Pages>12</Pages>
  <Words>3989</Words>
  <Characters>23541</Characters>
  <Application>Microsoft Office Word</Application>
  <DocSecurity>4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27476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16/17 - Účetnictví Ministerstva zahraničních věcí</dc:title>
  <dc:subject/>
  <dc:creator>Nejvyšší kontrolní úřad</dc:creator>
  <cp:keywords/>
  <dc:description/>
  <cp:lastModifiedBy>KOKRDA Daniel</cp:lastModifiedBy>
  <cp:revision>2</cp:revision>
  <cp:lastPrinted>2017-03-02T10:26:00Z</cp:lastPrinted>
  <dcterms:created xsi:type="dcterms:W3CDTF">2017-03-08T11:42:00Z</dcterms:created>
  <dcterms:modified xsi:type="dcterms:W3CDTF">2017-03-08T11:42:00Z</dcterms:modified>
</cp:coreProperties>
</file>