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15DE9" w14:textId="77777777" w:rsidR="00194849" w:rsidRPr="00611CE1" w:rsidRDefault="00194849" w:rsidP="00194849">
      <w:pPr>
        <w:pStyle w:val="Nadpis9"/>
        <w:spacing w:before="0" w:after="0" w:line="280" w:lineRule="atLeast"/>
        <w:rPr>
          <w:rFonts w:asciiTheme="minorHAnsi" w:hAnsiTheme="minorHAnsi" w:cs="Arial"/>
          <w:b/>
          <w:sz w:val="24"/>
          <w:szCs w:val="24"/>
        </w:rPr>
      </w:pPr>
    </w:p>
    <w:p w14:paraId="39CC9B32" w14:textId="77777777" w:rsidR="00194849" w:rsidRPr="00611CE1" w:rsidRDefault="00CF06FA" w:rsidP="00194849">
      <w:pPr>
        <w:pStyle w:val="Nadpis9"/>
        <w:spacing w:before="0" w:after="0" w:line="280" w:lineRule="atLeast"/>
        <w:rPr>
          <w:rFonts w:asciiTheme="minorHAnsi" w:hAnsiTheme="minorHAnsi" w:cs="Arial"/>
          <w:b/>
          <w:sz w:val="24"/>
          <w:szCs w:val="24"/>
        </w:rPr>
      </w:pPr>
      <w:r w:rsidRPr="00611CE1">
        <w:rPr>
          <w:rFonts w:asciiTheme="minorHAnsi" w:hAnsiTheme="minorHAnsi"/>
          <w:noProof/>
          <w:sz w:val="24"/>
          <w:szCs w:val="24"/>
        </w:rPr>
        <w:drawing>
          <wp:anchor distT="0" distB="0" distL="114300" distR="114300" simplePos="0" relativeHeight="251658240" behindDoc="0" locked="0" layoutInCell="1" allowOverlap="1" wp14:anchorId="434F82C4" wp14:editId="5C58645B">
            <wp:simplePos x="0" y="0"/>
            <wp:positionH relativeFrom="column">
              <wp:align>center</wp:align>
            </wp:positionH>
            <wp:positionV relativeFrom="paragraph">
              <wp:posOffset>-162560</wp:posOffset>
            </wp:positionV>
            <wp:extent cx="791210" cy="559435"/>
            <wp:effectExtent l="0" t="0" r="8890" b="0"/>
            <wp:wrapSquare wrapText="bothSides"/>
            <wp:docPr id="2" name="obrázek 2" descr="NKU_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02099" name="obrázek 2" descr="NKU_LOGO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91210" cy="559435"/>
                    </a:xfrm>
                    <a:prstGeom prst="rect">
                      <a:avLst/>
                    </a:prstGeom>
                    <a:noFill/>
                  </pic:spPr>
                </pic:pic>
              </a:graphicData>
            </a:graphic>
          </wp:anchor>
        </w:drawing>
      </w:r>
    </w:p>
    <w:p w14:paraId="796AA80D" w14:textId="77777777" w:rsidR="00194849" w:rsidRPr="00611CE1" w:rsidRDefault="00194849" w:rsidP="00194849">
      <w:pPr>
        <w:pStyle w:val="Nadpis9"/>
        <w:spacing w:before="0" w:after="0" w:line="280" w:lineRule="atLeast"/>
        <w:rPr>
          <w:rFonts w:asciiTheme="minorHAnsi" w:hAnsiTheme="minorHAnsi" w:cs="Arial"/>
          <w:b/>
          <w:sz w:val="24"/>
          <w:szCs w:val="24"/>
        </w:rPr>
      </w:pPr>
    </w:p>
    <w:p w14:paraId="0BBDE13A" w14:textId="77777777" w:rsidR="00194849" w:rsidRPr="00611CE1" w:rsidRDefault="00194849" w:rsidP="00194849">
      <w:pPr>
        <w:pStyle w:val="Nadpis9"/>
        <w:spacing w:before="0" w:after="0" w:line="280" w:lineRule="atLeast"/>
        <w:rPr>
          <w:rFonts w:asciiTheme="minorHAnsi" w:hAnsiTheme="minorHAnsi" w:cs="Arial"/>
          <w:b/>
          <w:sz w:val="24"/>
          <w:szCs w:val="24"/>
        </w:rPr>
      </w:pPr>
    </w:p>
    <w:p w14:paraId="0E763422" w14:textId="77777777" w:rsidR="00194849" w:rsidRPr="00611CE1" w:rsidRDefault="00194849" w:rsidP="00194849">
      <w:pPr>
        <w:pStyle w:val="Nadpis9"/>
        <w:spacing w:before="0" w:after="0" w:line="280" w:lineRule="atLeast"/>
        <w:rPr>
          <w:rFonts w:asciiTheme="minorHAnsi" w:hAnsiTheme="minorHAnsi" w:cs="Arial"/>
          <w:b/>
          <w:sz w:val="24"/>
          <w:szCs w:val="24"/>
        </w:rPr>
      </w:pPr>
    </w:p>
    <w:p w14:paraId="67BAA975" w14:textId="77777777" w:rsidR="00194849" w:rsidRPr="00412B6B" w:rsidRDefault="00194849" w:rsidP="00194849">
      <w:pPr>
        <w:spacing w:line="280" w:lineRule="atLeast"/>
      </w:pPr>
    </w:p>
    <w:p w14:paraId="7F03D4AD" w14:textId="77777777" w:rsidR="00194849" w:rsidRPr="007D260D" w:rsidRDefault="00CF06FA" w:rsidP="00194849">
      <w:pPr>
        <w:pStyle w:val="Nadpis9"/>
        <w:spacing w:before="0" w:after="0" w:line="280" w:lineRule="atLeast"/>
        <w:jc w:val="center"/>
        <w:rPr>
          <w:rFonts w:asciiTheme="minorHAnsi" w:hAnsiTheme="minorHAnsi" w:cs="Arial"/>
          <w:b/>
          <w:sz w:val="28"/>
          <w:szCs w:val="28"/>
        </w:rPr>
      </w:pPr>
      <w:bookmarkStart w:id="0" w:name="_GoBack"/>
      <w:r w:rsidRPr="007D260D">
        <w:rPr>
          <w:rFonts w:asciiTheme="minorHAnsi" w:hAnsiTheme="minorHAnsi" w:cs="Arial"/>
          <w:b/>
          <w:sz w:val="28"/>
          <w:szCs w:val="28"/>
        </w:rPr>
        <w:t>Kontrolní závěr z kontrolní akce</w:t>
      </w:r>
    </w:p>
    <w:p w14:paraId="5102F59F" w14:textId="77777777" w:rsidR="00194849" w:rsidRPr="007D260D" w:rsidRDefault="00194849" w:rsidP="00194849">
      <w:pPr>
        <w:spacing w:line="280" w:lineRule="atLeast"/>
        <w:jc w:val="center"/>
        <w:rPr>
          <w:sz w:val="28"/>
          <w:szCs w:val="28"/>
        </w:rPr>
      </w:pPr>
    </w:p>
    <w:p w14:paraId="7995A981" w14:textId="77777777" w:rsidR="00194849" w:rsidRDefault="00CF06FA" w:rsidP="00194849">
      <w:pPr>
        <w:spacing w:line="280" w:lineRule="atLeast"/>
        <w:ind w:right="68"/>
        <w:jc w:val="center"/>
        <w:rPr>
          <w:rFonts w:cs="Arial"/>
          <w:b/>
          <w:bCs/>
          <w:sz w:val="28"/>
          <w:szCs w:val="28"/>
        </w:rPr>
      </w:pPr>
      <w:r w:rsidRPr="007D260D">
        <w:rPr>
          <w:rFonts w:cs="Arial"/>
          <w:b/>
          <w:bCs/>
          <w:sz w:val="28"/>
          <w:szCs w:val="28"/>
        </w:rPr>
        <w:t>1</w:t>
      </w:r>
      <w:r>
        <w:rPr>
          <w:rFonts w:cs="Arial"/>
          <w:b/>
          <w:bCs/>
          <w:sz w:val="28"/>
          <w:szCs w:val="28"/>
        </w:rPr>
        <w:t>6</w:t>
      </w:r>
      <w:r w:rsidRPr="007D260D">
        <w:rPr>
          <w:rFonts w:cs="Arial"/>
          <w:b/>
          <w:bCs/>
          <w:sz w:val="28"/>
          <w:szCs w:val="28"/>
        </w:rPr>
        <w:t>/0</w:t>
      </w:r>
      <w:r>
        <w:rPr>
          <w:rFonts w:cs="Arial"/>
          <w:b/>
          <w:bCs/>
          <w:sz w:val="28"/>
          <w:szCs w:val="28"/>
        </w:rPr>
        <w:t>9</w:t>
      </w:r>
    </w:p>
    <w:p w14:paraId="7D94A468" w14:textId="77777777" w:rsidR="00194849" w:rsidRPr="004F51CF" w:rsidRDefault="00194849" w:rsidP="00194849">
      <w:pPr>
        <w:spacing w:line="280" w:lineRule="atLeast"/>
        <w:jc w:val="center"/>
        <w:rPr>
          <w:rFonts w:cs="Arial"/>
          <w:bCs/>
          <w:sz w:val="28"/>
          <w:szCs w:val="28"/>
        </w:rPr>
      </w:pPr>
    </w:p>
    <w:p w14:paraId="4A74355F" w14:textId="77777777" w:rsidR="00194849" w:rsidRPr="007D260D" w:rsidRDefault="00CF06FA" w:rsidP="00194849">
      <w:pPr>
        <w:spacing w:line="280" w:lineRule="atLeast"/>
        <w:jc w:val="center"/>
        <w:rPr>
          <w:rFonts w:cs="Arial"/>
        </w:rPr>
      </w:pPr>
      <w:r>
        <w:rPr>
          <w:rFonts w:cs="Arial"/>
          <w:b/>
          <w:sz w:val="28"/>
          <w:szCs w:val="28"/>
        </w:rPr>
        <w:t>Nároky z nespotřebovaných výdajů vykazované organizačními složkami státu</w:t>
      </w:r>
    </w:p>
    <w:bookmarkEnd w:id="0"/>
    <w:p w14:paraId="673066A2" w14:textId="77777777" w:rsidR="00194849" w:rsidRDefault="00194849" w:rsidP="00194849">
      <w:pPr>
        <w:spacing w:line="280" w:lineRule="atLeast"/>
        <w:contextualSpacing/>
        <w:rPr>
          <w:rFonts w:cs="Arial"/>
        </w:rPr>
      </w:pPr>
    </w:p>
    <w:p w14:paraId="46DE4EFC" w14:textId="77777777" w:rsidR="00194849" w:rsidRDefault="00194849" w:rsidP="00194849">
      <w:pPr>
        <w:pStyle w:val="Zkladn"/>
        <w:spacing w:before="0" w:line="280" w:lineRule="atLeast"/>
        <w:contextualSpacing/>
        <w:rPr>
          <w:rFonts w:cs="Arial"/>
        </w:rPr>
      </w:pPr>
    </w:p>
    <w:p w14:paraId="5988F63B" w14:textId="77777777" w:rsidR="00194849" w:rsidRPr="007D260D" w:rsidRDefault="00CF06FA" w:rsidP="00194849">
      <w:pPr>
        <w:pStyle w:val="Zkladn"/>
        <w:spacing w:before="0" w:line="280" w:lineRule="atLeast"/>
        <w:contextualSpacing/>
        <w:rPr>
          <w:rFonts w:cs="Arial"/>
        </w:rPr>
      </w:pPr>
      <w:r w:rsidRPr="007D260D">
        <w:rPr>
          <w:rFonts w:cs="Arial"/>
        </w:rPr>
        <w:t>Kontrolní akce byla zařazena do plánu kontrolní činnosti Nejvyššího kontrolního úřadu (dále také „NKÚ“) na rok 201</w:t>
      </w:r>
      <w:r>
        <w:rPr>
          <w:rFonts w:cs="Arial"/>
        </w:rPr>
        <w:t>6</w:t>
      </w:r>
      <w:r w:rsidRPr="007D260D">
        <w:rPr>
          <w:rFonts w:cs="Arial"/>
        </w:rPr>
        <w:t xml:space="preserve"> pod číslem 1</w:t>
      </w:r>
      <w:r>
        <w:rPr>
          <w:rFonts w:cs="Arial"/>
        </w:rPr>
        <w:t>6</w:t>
      </w:r>
      <w:r w:rsidRPr="007D260D">
        <w:rPr>
          <w:rFonts w:cs="Arial"/>
        </w:rPr>
        <w:t>/</w:t>
      </w:r>
      <w:r>
        <w:rPr>
          <w:rFonts w:cs="Arial"/>
        </w:rPr>
        <w:t>09</w:t>
      </w:r>
      <w:r w:rsidRPr="007D260D">
        <w:rPr>
          <w:rFonts w:cs="Arial"/>
        </w:rPr>
        <w:t>. Kontrolní akci řídila a kontrolní závěr vypracovala členka NKÚ RNDr. Hana Pýchová.</w:t>
      </w:r>
    </w:p>
    <w:p w14:paraId="765B29B8" w14:textId="77777777" w:rsidR="00194849" w:rsidRPr="007D260D" w:rsidRDefault="00194849" w:rsidP="00194849">
      <w:pPr>
        <w:pStyle w:val="Zkladn"/>
        <w:spacing w:before="0" w:line="280" w:lineRule="atLeast"/>
        <w:contextualSpacing/>
        <w:rPr>
          <w:rFonts w:cs="Arial"/>
        </w:rPr>
      </w:pPr>
    </w:p>
    <w:p w14:paraId="225C7474" w14:textId="77777777" w:rsidR="00194849" w:rsidRPr="007D260D" w:rsidRDefault="00CF06FA" w:rsidP="00194849">
      <w:pPr>
        <w:pStyle w:val="Zkladntextodsazen"/>
        <w:spacing w:after="0" w:line="280" w:lineRule="atLeast"/>
        <w:ind w:left="0"/>
        <w:contextualSpacing/>
        <w:rPr>
          <w:rFonts w:cs="Arial"/>
        </w:rPr>
      </w:pPr>
      <w:r w:rsidRPr="008C3BC7">
        <w:rPr>
          <w:rFonts w:cs="Arial"/>
        </w:rPr>
        <w:t>Cílem kontroly</w:t>
      </w:r>
      <w:r w:rsidRPr="007D260D">
        <w:rPr>
          <w:rFonts w:cs="Arial"/>
        </w:rPr>
        <w:t xml:space="preserve"> bylo prověřit </w:t>
      </w:r>
      <w:r>
        <w:rPr>
          <w:rFonts w:cs="Arial"/>
        </w:rPr>
        <w:t>výpočet, evidenci a použití nároků peněžních prostředků z nespotřebovaných výdajů vykazovaných organizačními složkami státu a prověřit důvody vzniku nároků z nespotřebovaných výdajů</w:t>
      </w:r>
      <w:r w:rsidRPr="007D260D">
        <w:rPr>
          <w:rFonts w:cs="Arial"/>
        </w:rPr>
        <w:t>.</w:t>
      </w:r>
    </w:p>
    <w:p w14:paraId="4FEC3C50" w14:textId="77777777" w:rsidR="00194849" w:rsidRPr="007D260D" w:rsidRDefault="00194849" w:rsidP="00194849">
      <w:pPr>
        <w:pStyle w:val="Zkladntextodsazen"/>
        <w:spacing w:after="0" w:line="280" w:lineRule="atLeast"/>
        <w:ind w:left="0"/>
        <w:contextualSpacing/>
        <w:rPr>
          <w:rFonts w:cs="Arial"/>
        </w:rPr>
      </w:pPr>
    </w:p>
    <w:p w14:paraId="34D2AF6A" w14:textId="77777777" w:rsidR="00194849" w:rsidRPr="007D260D" w:rsidRDefault="00CF06FA" w:rsidP="00194849">
      <w:pPr>
        <w:spacing w:line="280" w:lineRule="atLeast"/>
        <w:contextualSpacing/>
        <w:rPr>
          <w:rFonts w:cs="Arial"/>
        </w:rPr>
      </w:pPr>
      <w:r w:rsidRPr="00B06601">
        <w:rPr>
          <w:rFonts w:cs="Arial"/>
        </w:rPr>
        <w:t>Kontrolovaným období</w:t>
      </w:r>
      <w:r>
        <w:rPr>
          <w:rFonts w:cs="Arial"/>
        </w:rPr>
        <w:t>m</w:t>
      </w:r>
      <w:r w:rsidRPr="00B06601">
        <w:rPr>
          <w:rFonts w:cs="Arial"/>
        </w:rPr>
        <w:t xml:space="preserve"> byly roky 2014 až 2015, v případě věcných</w:t>
      </w:r>
      <w:r w:rsidRPr="007D260D">
        <w:rPr>
          <w:rFonts w:cs="Arial"/>
        </w:rPr>
        <w:t xml:space="preserve"> souvislostí i období předcházející a </w:t>
      </w:r>
      <w:r>
        <w:rPr>
          <w:rFonts w:cs="Arial"/>
        </w:rPr>
        <w:t>následující.</w:t>
      </w:r>
      <w:r w:rsidRPr="0025470A">
        <w:rPr>
          <w:rFonts w:cs="Arial"/>
        </w:rPr>
        <w:t xml:space="preserve"> </w:t>
      </w:r>
      <w:r w:rsidRPr="007D260D">
        <w:rPr>
          <w:rFonts w:cs="Arial"/>
        </w:rPr>
        <w:t xml:space="preserve">Kontrola byla prováděna </w:t>
      </w:r>
      <w:r>
        <w:rPr>
          <w:rFonts w:cs="Arial"/>
        </w:rPr>
        <w:t xml:space="preserve">u kontrolovaných </w:t>
      </w:r>
      <w:r w:rsidRPr="00C678F5">
        <w:rPr>
          <w:rFonts w:cs="Arial"/>
        </w:rPr>
        <w:t>osob od března 2016 do</w:t>
      </w:r>
      <w:r w:rsidRPr="007D260D">
        <w:rPr>
          <w:rFonts w:cs="Arial"/>
        </w:rPr>
        <w:t xml:space="preserve"> </w:t>
      </w:r>
      <w:r>
        <w:rPr>
          <w:rFonts w:cs="Arial"/>
        </w:rPr>
        <w:t>října 2016</w:t>
      </w:r>
      <w:r w:rsidRPr="007D260D">
        <w:rPr>
          <w:rFonts w:cs="Arial"/>
        </w:rPr>
        <w:t>.</w:t>
      </w:r>
    </w:p>
    <w:p w14:paraId="11A053FF" w14:textId="77777777" w:rsidR="00194849" w:rsidRPr="007D260D" w:rsidRDefault="00194849" w:rsidP="00194849">
      <w:pPr>
        <w:spacing w:line="280" w:lineRule="atLeast"/>
        <w:contextualSpacing/>
        <w:rPr>
          <w:rFonts w:cs="Arial"/>
        </w:rPr>
      </w:pPr>
    </w:p>
    <w:p w14:paraId="4EC312FC" w14:textId="77777777" w:rsidR="00194849" w:rsidRPr="00F175A8" w:rsidRDefault="00CF06FA" w:rsidP="00194849">
      <w:pPr>
        <w:pStyle w:val="Zkladn"/>
        <w:spacing w:before="0" w:line="280" w:lineRule="atLeast"/>
        <w:contextualSpacing/>
        <w:rPr>
          <w:rFonts w:cs="Arial"/>
          <w:b/>
        </w:rPr>
      </w:pPr>
      <w:r w:rsidRPr="00F175A8">
        <w:rPr>
          <w:rFonts w:cs="Arial"/>
          <w:b/>
        </w:rPr>
        <w:t>Kontrolované osoby:</w:t>
      </w:r>
    </w:p>
    <w:p w14:paraId="2CBC33FA" w14:textId="44392FC3" w:rsidR="00194849" w:rsidRDefault="00CF06FA" w:rsidP="00194849">
      <w:pPr>
        <w:pStyle w:val="Zkladn"/>
        <w:spacing w:before="0" w:line="280" w:lineRule="atLeast"/>
        <w:contextualSpacing/>
        <w:rPr>
          <w:rFonts w:cs="Arial"/>
        </w:rPr>
      </w:pPr>
      <w:r>
        <w:rPr>
          <w:rFonts w:cs="Arial"/>
        </w:rPr>
        <w:t>Ministerstvo dopravy (dále také „MD“)</w:t>
      </w:r>
      <w:r w:rsidR="007445B2">
        <w:rPr>
          <w:rFonts w:cs="Arial"/>
        </w:rPr>
        <w:t>,</w:t>
      </w:r>
    </w:p>
    <w:p w14:paraId="4B22BCE9" w14:textId="60EA2C59" w:rsidR="00194849" w:rsidRDefault="00CF06FA" w:rsidP="00194849">
      <w:pPr>
        <w:pStyle w:val="Zkladn"/>
        <w:spacing w:before="0" w:line="280" w:lineRule="atLeast"/>
        <w:contextualSpacing/>
        <w:rPr>
          <w:rFonts w:cs="Arial"/>
        </w:rPr>
      </w:pPr>
      <w:r>
        <w:rPr>
          <w:rFonts w:cs="Arial"/>
        </w:rPr>
        <w:t>Ministerstvo financí (dále také „MF“)</w:t>
      </w:r>
      <w:r w:rsidR="007445B2">
        <w:rPr>
          <w:rFonts w:cs="Arial"/>
        </w:rPr>
        <w:t>,</w:t>
      </w:r>
    </w:p>
    <w:p w14:paraId="0EB60E3D" w14:textId="12B42A60" w:rsidR="00194849" w:rsidRDefault="00CF06FA" w:rsidP="00194849">
      <w:pPr>
        <w:pStyle w:val="Zkladn"/>
        <w:spacing w:before="0" w:line="280" w:lineRule="atLeast"/>
        <w:contextualSpacing/>
        <w:rPr>
          <w:rFonts w:cs="Arial"/>
        </w:rPr>
      </w:pPr>
      <w:r w:rsidRPr="007D260D">
        <w:rPr>
          <w:rFonts w:cs="Arial"/>
        </w:rPr>
        <w:t xml:space="preserve">Ministerstvo </w:t>
      </w:r>
      <w:r>
        <w:rPr>
          <w:rFonts w:cs="Arial"/>
        </w:rPr>
        <w:t>pro místní rozvoj (dále také „MMR“)</w:t>
      </w:r>
      <w:r w:rsidR="007445B2">
        <w:rPr>
          <w:rFonts w:cs="Arial"/>
        </w:rPr>
        <w:t>,</w:t>
      </w:r>
    </w:p>
    <w:p w14:paraId="794CFA98" w14:textId="24CA68C3" w:rsidR="00194849" w:rsidRDefault="00CF06FA" w:rsidP="00194849">
      <w:pPr>
        <w:pStyle w:val="Zkladn"/>
        <w:spacing w:before="0" w:line="280" w:lineRule="atLeast"/>
        <w:contextualSpacing/>
        <w:rPr>
          <w:rFonts w:cs="Arial"/>
        </w:rPr>
      </w:pPr>
      <w:r>
        <w:rPr>
          <w:rFonts w:cs="Arial"/>
        </w:rPr>
        <w:t>Ministerstvo zdravotnictví (dále také „</w:t>
      </w:r>
      <w:proofErr w:type="spellStart"/>
      <w:r>
        <w:rPr>
          <w:rFonts w:cs="Arial"/>
        </w:rPr>
        <w:t>MZd</w:t>
      </w:r>
      <w:proofErr w:type="spellEnd"/>
      <w:r>
        <w:rPr>
          <w:rFonts w:cs="Arial"/>
        </w:rPr>
        <w:t>“)</w:t>
      </w:r>
      <w:r w:rsidR="007445B2">
        <w:rPr>
          <w:rFonts w:cs="Arial"/>
        </w:rPr>
        <w:t>,</w:t>
      </w:r>
    </w:p>
    <w:p w14:paraId="1936A184" w14:textId="77777777" w:rsidR="00194849" w:rsidRDefault="00CF06FA" w:rsidP="00194849">
      <w:pPr>
        <w:pStyle w:val="Zkladn"/>
        <w:spacing w:before="0" w:line="280" w:lineRule="atLeast"/>
        <w:contextualSpacing/>
        <w:rPr>
          <w:rFonts w:cs="Arial"/>
        </w:rPr>
      </w:pPr>
      <w:r>
        <w:rPr>
          <w:rFonts w:cs="Arial"/>
        </w:rPr>
        <w:t>Ministerstvo zemědělství (dále také „</w:t>
      </w:r>
      <w:proofErr w:type="spellStart"/>
      <w:r>
        <w:rPr>
          <w:rFonts w:cs="Arial"/>
        </w:rPr>
        <w:t>MZe</w:t>
      </w:r>
      <w:proofErr w:type="spellEnd"/>
      <w:r>
        <w:rPr>
          <w:rFonts w:cs="Arial"/>
        </w:rPr>
        <w:t>“).</w:t>
      </w:r>
    </w:p>
    <w:p w14:paraId="5FDF0803" w14:textId="77777777" w:rsidR="00194849" w:rsidRPr="007D260D" w:rsidRDefault="00194849" w:rsidP="00194849">
      <w:pPr>
        <w:pStyle w:val="Zkladn"/>
        <w:spacing w:before="0" w:line="280" w:lineRule="atLeast"/>
        <w:contextualSpacing/>
        <w:rPr>
          <w:rFonts w:cs="Arial"/>
        </w:rPr>
      </w:pPr>
    </w:p>
    <w:p w14:paraId="0A434ABD" w14:textId="1F50F398" w:rsidR="00194849" w:rsidRPr="007D260D" w:rsidRDefault="00CF06FA" w:rsidP="00194849">
      <w:pPr>
        <w:spacing w:line="280" w:lineRule="atLeast"/>
        <w:rPr>
          <w:rFonts w:cs="Calibri"/>
        </w:rPr>
      </w:pPr>
      <w:r w:rsidRPr="007D260D">
        <w:rPr>
          <w:rFonts w:cs="Calibri"/>
        </w:rPr>
        <w:t>Námitky</w:t>
      </w:r>
      <w:r w:rsidR="00881596">
        <w:rPr>
          <w:rFonts w:cs="Calibri"/>
        </w:rPr>
        <w:t>,</w:t>
      </w:r>
      <w:r w:rsidRPr="007D260D">
        <w:rPr>
          <w:rFonts w:cs="Calibri"/>
        </w:rPr>
        <w:t xml:space="preserve"> </w:t>
      </w:r>
      <w:r w:rsidR="00881596">
        <w:rPr>
          <w:rFonts w:cs="Calibri"/>
        </w:rPr>
        <w:t>které</w:t>
      </w:r>
      <w:r w:rsidR="00881596" w:rsidRPr="007D260D">
        <w:rPr>
          <w:rFonts w:cs="Calibri"/>
        </w:rPr>
        <w:t xml:space="preserve"> </w:t>
      </w:r>
      <w:r w:rsidRPr="007D260D">
        <w:rPr>
          <w:rFonts w:cs="Calibri"/>
        </w:rPr>
        <w:t>proti kontrolním protokol</w:t>
      </w:r>
      <w:r>
        <w:rPr>
          <w:rFonts w:cs="Calibri"/>
        </w:rPr>
        <w:t>ům podaly</w:t>
      </w:r>
      <w:r w:rsidRPr="007D260D">
        <w:rPr>
          <w:rFonts w:cs="Calibri"/>
        </w:rPr>
        <w:t xml:space="preserve"> Ministerstvo </w:t>
      </w:r>
      <w:r>
        <w:rPr>
          <w:rFonts w:cs="Calibri"/>
        </w:rPr>
        <w:t>financí, Ministerstvo pro místní rozvoj a Ministerstvo zdravotnictví,</w:t>
      </w:r>
      <w:r w:rsidRPr="007D260D">
        <w:rPr>
          <w:rFonts w:cs="Calibri"/>
        </w:rPr>
        <w:t xml:space="preserve"> vypořádali vedoucí skupin kontrolujících rozhodnutími o</w:t>
      </w:r>
      <w:r>
        <w:rPr>
          <w:rFonts w:cs="Calibri"/>
        </w:rPr>
        <w:t> </w:t>
      </w:r>
      <w:r w:rsidRPr="007D260D">
        <w:rPr>
          <w:rFonts w:cs="Calibri"/>
        </w:rPr>
        <w:t>námitká</w:t>
      </w:r>
      <w:r w:rsidRPr="00FE2ED8">
        <w:rPr>
          <w:rFonts w:cs="Calibri"/>
        </w:rPr>
        <w:t xml:space="preserve">ch. Odvolání, které proti rozhodnutí o námitkách podalo Ministerstvo zdravotnictví, bylo vypořádáno </w:t>
      </w:r>
      <w:r w:rsidRPr="0035074D">
        <w:rPr>
          <w:rFonts w:cs="Calibri"/>
        </w:rPr>
        <w:t>usnesením Kolegia NKÚ.</w:t>
      </w:r>
    </w:p>
    <w:p w14:paraId="5296DA80" w14:textId="77777777" w:rsidR="00194849" w:rsidRDefault="00194849" w:rsidP="00194849">
      <w:pPr>
        <w:spacing w:line="280" w:lineRule="atLeast"/>
        <w:ind w:right="70"/>
        <w:contextualSpacing/>
        <w:rPr>
          <w:rFonts w:cs="Arial"/>
        </w:rPr>
      </w:pPr>
    </w:p>
    <w:p w14:paraId="00492FEE" w14:textId="77777777" w:rsidR="00194849" w:rsidRPr="007D260D" w:rsidRDefault="00194849" w:rsidP="00194849">
      <w:pPr>
        <w:spacing w:line="280" w:lineRule="atLeast"/>
        <w:ind w:right="70"/>
        <w:contextualSpacing/>
        <w:rPr>
          <w:rFonts w:cs="Arial"/>
        </w:rPr>
      </w:pPr>
    </w:p>
    <w:p w14:paraId="12C05F42" w14:textId="6BF9BF59" w:rsidR="00194849" w:rsidRPr="004E0115" w:rsidRDefault="00CF06FA" w:rsidP="00194849">
      <w:pPr>
        <w:spacing w:line="280" w:lineRule="atLeast"/>
        <w:ind w:right="70"/>
        <w:contextualSpacing/>
        <w:rPr>
          <w:rFonts w:cs="Arial"/>
        </w:rPr>
      </w:pPr>
      <w:r w:rsidRPr="004E0115">
        <w:rPr>
          <w:rFonts w:cs="Arial"/>
          <w:b/>
          <w:bCs/>
          <w:i/>
          <w:iCs/>
        </w:rPr>
        <w:t>K o l e g i u m</w:t>
      </w:r>
      <w:r w:rsidRPr="004E0115">
        <w:rPr>
          <w:rFonts w:cs="Arial"/>
        </w:rPr>
        <w:t xml:space="preserve">   </w:t>
      </w:r>
      <w:r w:rsidRPr="004E0115">
        <w:rPr>
          <w:rFonts w:cs="Arial"/>
          <w:b/>
          <w:bCs/>
          <w:i/>
          <w:iCs/>
        </w:rPr>
        <w:t xml:space="preserve">N K Ú  </w:t>
      </w:r>
      <w:r w:rsidRPr="004E0115">
        <w:rPr>
          <w:rFonts w:cs="Arial"/>
          <w:b/>
          <w:bCs/>
          <w:iCs/>
        </w:rPr>
        <w:t xml:space="preserve"> </w:t>
      </w:r>
      <w:r w:rsidRPr="004E0115">
        <w:rPr>
          <w:rFonts w:cs="Arial"/>
        </w:rPr>
        <w:t xml:space="preserve">na svém </w:t>
      </w:r>
      <w:r w:rsidR="00846383">
        <w:rPr>
          <w:rFonts w:cs="Arial"/>
        </w:rPr>
        <w:t>I</w:t>
      </w:r>
      <w:r w:rsidRPr="004E0115">
        <w:rPr>
          <w:rFonts w:cs="Arial"/>
        </w:rPr>
        <w:t xml:space="preserve">. </w:t>
      </w:r>
      <w:r>
        <w:rPr>
          <w:rFonts w:cs="Arial"/>
        </w:rPr>
        <w:t>jednání</w:t>
      </w:r>
      <w:r w:rsidRPr="004E0115">
        <w:rPr>
          <w:rFonts w:cs="Arial"/>
        </w:rPr>
        <w:t>, k</w:t>
      </w:r>
      <w:r>
        <w:rPr>
          <w:rFonts w:cs="Arial"/>
        </w:rPr>
        <w:t xml:space="preserve">teré se konalo </w:t>
      </w:r>
      <w:r w:rsidRPr="004E0115">
        <w:rPr>
          <w:rFonts w:cs="Arial"/>
        </w:rPr>
        <w:t xml:space="preserve">dne </w:t>
      </w:r>
      <w:r w:rsidR="00846383">
        <w:rPr>
          <w:rFonts w:cs="Arial"/>
        </w:rPr>
        <w:t xml:space="preserve">16. ledna </w:t>
      </w:r>
      <w:r w:rsidRPr="004E0115">
        <w:rPr>
          <w:rFonts w:cs="Arial"/>
        </w:rPr>
        <w:t>201</w:t>
      </w:r>
      <w:r>
        <w:rPr>
          <w:rFonts w:cs="Arial"/>
        </w:rPr>
        <w:t>7</w:t>
      </w:r>
      <w:r w:rsidRPr="004E0115">
        <w:rPr>
          <w:rFonts w:cs="Arial"/>
        </w:rPr>
        <w:t>,</w:t>
      </w:r>
    </w:p>
    <w:p w14:paraId="79131761" w14:textId="16E15D51" w:rsidR="00194849" w:rsidRPr="004E0115" w:rsidRDefault="00CF06FA" w:rsidP="00194849">
      <w:pPr>
        <w:spacing w:line="280" w:lineRule="atLeast"/>
        <w:ind w:right="70"/>
        <w:contextualSpacing/>
        <w:rPr>
          <w:rFonts w:cs="Arial"/>
        </w:rPr>
      </w:pPr>
      <w:proofErr w:type="gramStart"/>
      <w:r w:rsidRPr="004E0115">
        <w:rPr>
          <w:rFonts w:cs="Arial"/>
          <w:b/>
          <w:bCs/>
          <w:i/>
          <w:iCs/>
        </w:rPr>
        <w:t>s c h v á l i l o</w:t>
      </w:r>
      <w:r w:rsidRPr="004E0115">
        <w:rPr>
          <w:rFonts w:cs="Arial"/>
        </w:rPr>
        <w:t xml:space="preserve">   usnesením č.</w:t>
      </w:r>
      <w:proofErr w:type="gramEnd"/>
      <w:r w:rsidRPr="004E0115">
        <w:rPr>
          <w:rFonts w:cs="Arial"/>
        </w:rPr>
        <w:t xml:space="preserve"> </w:t>
      </w:r>
      <w:r w:rsidR="00846383">
        <w:rPr>
          <w:rFonts w:cs="Arial"/>
        </w:rPr>
        <w:t>4</w:t>
      </w:r>
      <w:r w:rsidRPr="004E0115">
        <w:rPr>
          <w:rFonts w:cs="Arial"/>
        </w:rPr>
        <w:t>/</w:t>
      </w:r>
      <w:r w:rsidR="00846383">
        <w:rPr>
          <w:rFonts w:cs="Arial"/>
        </w:rPr>
        <w:t>I</w:t>
      </w:r>
      <w:r w:rsidRPr="004E0115">
        <w:rPr>
          <w:rFonts w:cs="Arial"/>
        </w:rPr>
        <w:t>/201</w:t>
      </w:r>
      <w:r>
        <w:rPr>
          <w:rFonts w:cs="Arial"/>
        </w:rPr>
        <w:t>7</w:t>
      </w:r>
    </w:p>
    <w:p w14:paraId="6C74D97B" w14:textId="77777777" w:rsidR="00194849" w:rsidRPr="004E0115" w:rsidRDefault="00CF06FA" w:rsidP="00194849">
      <w:pPr>
        <w:spacing w:line="280" w:lineRule="atLeast"/>
        <w:ind w:right="70"/>
        <w:contextualSpacing/>
        <w:rPr>
          <w:rFonts w:cs="Arial"/>
        </w:rPr>
      </w:pPr>
      <w:r w:rsidRPr="004E0115">
        <w:rPr>
          <w:rFonts w:cs="Arial"/>
          <w:b/>
          <w:bCs/>
          <w:i/>
          <w:iCs/>
          <w:spacing w:val="60"/>
        </w:rPr>
        <w:t>kontrolní závěr</w:t>
      </w:r>
      <w:r w:rsidRPr="004E0115">
        <w:rPr>
          <w:rFonts w:cs="Arial"/>
        </w:rPr>
        <w:t xml:space="preserve">   v tomto znění:</w:t>
      </w:r>
    </w:p>
    <w:p w14:paraId="59C82FA7" w14:textId="77777777" w:rsidR="00194849" w:rsidRPr="004E0115" w:rsidRDefault="00194849" w:rsidP="00194849">
      <w:pPr>
        <w:rPr>
          <w:rFonts w:cs="Calibri"/>
          <w:color w:val="000000"/>
          <w:lang w:eastAsia="en-US"/>
        </w:rPr>
      </w:pPr>
    </w:p>
    <w:p w14:paraId="6FD91021" w14:textId="77777777" w:rsidR="00194849" w:rsidRDefault="00CF06FA" w:rsidP="00194849">
      <w:pPr>
        <w:rPr>
          <w:rFonts w:cs="Calibri"/>
          <w:b/>
          <w:color w:val="000000"/>
          <w:highlight w:val="yellow"/>
          <w:lang w:eastAsia="en-US"/>
        </w:rPr>
      </w:pPr>
      <w:r>
        <w:rPr>
          <w:rFonts w:cs="Calibri"/>
          <w:b/>
          <w:color w:val="000000"/>
          <w:highlight w:val="yellow"/>
          <w:lang w:eastAsia="en-US"/>
        </w:rPr>
        <w:br w:type="page"/>
      </w:r>
    </w:p>
    <w:p w14:paraId="754CA27E" w14:textId="77777777" w:rsidR="00194849" w:rsidRPr="00DD49DD" w:rsidRDefault="00CF06FA" w:rsidP="00194849">
      <w:pPr>
        <w:pStyle w:val="Nadpis1"/>
        <w:rPr>
          <w:lang w:eastAsia="en-US"/>
        </w:rPr>
      </w:pPr>
      <w:r>
        <w:rPr>
          <w:lang w:eastAsia="en-US"/>
        </w:rPr>
        <w:lastRenderedPageBreak/>
        <w:t xml:space="preserve">I. </w:t>
      </w:r>
      <w:r w:rsidRPr="00DD49DD">
        <w:rPr>
          <w:lang w:eastAsia="en-US"/>
        </w:rPr>
        <w:t>Úvod</w:t>
      </w:r>
    </w:p>
    <w:p w14:paraId="1802BA2E" w14:textId="77777777" w:rsidR="00194849" w:rsidRDefault="00194849" w:rsidP="00194849">
      <w:pPr>
        <w:spacing w:line="280" w:lineRule="atLeast"/>
        <w:rPr>
          <w:rFonts w:cstheme="minorHAnsi"/>
        </w:rPr>
      </w:pPr>
    </w:p>
    <w:p w14:paraId="3BAD3AAC" w14:textId="6D764D11" w:rsidR="00194849" w:rsidRDefault="00CF06FA" w:rsidP="00194849">
      <w:pPr>
        <w:spacing w:line="280" w:lineRule="atLeast"/>
        <w:rPr>
          <w:rFonts w:cstheme="minorHAnsi"/>
        </w:rPr>
      </w:pPr>
      <w:r>
        <w:rPr>
          <w:rFonts w:cstheme="minorHAnsi"/>
        </w:rPr>
        <w:t xml:space="preserve">Kontrolované osoby </w:t>
      </w:r>
      <w:r w:rsidRPr="00D63139">
        <w:rPr>
          <w:rFonts w:cstheme="minorHAnsi"/>
        </w:rPr>
        <w:t xml:space="preserve">Ministerstvo dopravy, Ministerstvo financí, Ministerstvo pro místní rozvoj, </w:t>
      </w:r>
      <w:r>
        <w:rPr>
          <w:rFonts w:cstheme="minorHAnsi"/>
        </w:rPr>
        <w:t>M</w:t>
      </w:r>
      <w:r w:rsidRPr="00D63139">
        <w:rPr>
          <w:rFonts w:cstheme="minorHAnsi"/>
        </w:rPr>
        <w:t xml:space="preserve">inisterstvo zdravotnictví </w:t>
      </w:r>
      <w:r>
        <w:rPr>
          <w:rFonts w:cstheme="minorHAnsi"/>
        </w:rPr>
        <w:t xml:space="preserve">a </w:t>
      </w:r>
      <w:r w:rsidRPr="00D63139">
        <w:rPr>
          <w:rFonts w:cstheme="minorHAnsi"/>
        </w:rPr>
        <w:t>Ministerstvo zemědělství jsou ústředními orgány státní správy dle zákona č. 2/1969 Sb.</w:t>
      </w:r>
      <w:r w:rsidR="00DD33A4">
        <w:rPr>
          <w:rFonts w:cstheme="minorHAnsi"/>
        </w:rPr>
        <w:t>, o zřízení ministerstev a jiných ústředních orgánů státní správy České republiky</w:t>
      </w:r>
      <w:r w:rsidR="008B0FC9">
        <w:rPr>
          <w:rFonts w:cstheme="minorHAnsi"/>
        </w:rPr>
        <w:t>,</w:t>
      </w:r>
      <w:r>
        <w:rPr>
          <w:rFonts w:cstheme="minorHAnsi"/>
        </w:rPr>
        <w:t xml:space="preserve"> </w:t>
      </w:r>
      <w:r w:rsidRPr="00A9514A">
        <w:rPr>
          <w:rFonts w:cstheme="minorHAnsi"/>
        </w:rPr>
        <w:t>a</w:t>
      </w:r>
      <w:r w:rsidR="00DD33A4">
        <w:rPr>
          <w:rFonts w:cstheme="minorHAnsi"/>
        </w:rPr>
        <w:t> </w:t>
      </w:r>
      <w:r w:rsidRPr="00D63139">
        <w:rPr>
          <w:rFonts w:cstheme="minorHAnsi"/>
        </w:rPr>
        <w:t>organizačními složkami státu</w:t>
      </w:r>
      <w:r>
        <w:rPr>
          <w:rFonts w:cstheme="minorHAnsi"/>
        </w:rPr>
        <w:t xml:space="preserve"> (dále také „OSS“)</w:t>
      </w:r>
      <w:r w:rsidRPr="00D63139">
        <w:rPr>
          <w:rFonts w:cstheme="minorHAnsi"/>
        </w:rPr>
        <w:t xml:space="preserve"> dle zákona č. 219/2000 Sb</w:t>
      </w:r>
      <w:r w:rsidR="00220464">
        <w:rPr>
          <w:rFonts w:cstheme="minorHAnsi"/>
        </w:rPr>
        <w:t>., o majetku České republiky a jejím vystupování v právních vztazích</w:t>
      </w:r>
      <w:r w:rsidRPr="00D63139">
        <w:rPr>
          <w:rFonts w:cstheme="minorHAnsi"/>
        </w:rPr>
        <w:t xml:space="preserve">. </w:t>
      </w:r>
      <w:r>
        <w:rPr>
          <w:rFonts w:cstheme="minorHAnsi"/>
        </w:rPr>
        <w:t>Jako</w:t>
      </w:r>
      <w:r w:rsidRPr="00D63139">
        <w:rPr>
          <w:rFonts w:cstheme="minorHAnsi"/>
        </w:rPr>
        <w:t xml:space="preserve"> správci kapitol státního rozpočtu dle zákona č. 218/2000 Sb.</w:t>
      </w:r>
      <w:r w:rsidR="00220464">
        <w:rPr>
          <w:rFonts w:cstheme="minorHAnsi"/>
        </w:rPr>
        <w:t>, o rozpočtových pravidlech a o změně některých souvisejících zákonů (rozpočtová pravidla)</w:t>
      </w:r>
      <w:r w:rsidR="008B0FC9">
        <w:rPr>
          <w:rFonts w:cstheme="minorHAnsi"/>
        </w:rPr>
        <w:t>,</w:t>
      </w:r>
      <w:r w:rsidRPr="00D63139">
        <w:rPr>
          <w:rFonts w:cstheme="minorHAnsi"/>
        </w:rPr>
        <w:t xml:space="preserve"> </w:t>
      </w:r>
      <w:r>
        <w:rPr>
          <w:rFonts w:cstheme="minorHAnsi"/>
        </w:rPr>
        <w:t xml:space="preserve">jsou mj. </w:t>
      </w:r>
      <w:r w:rsidRPr="00D63139">
        <w:rPr>
          <w:rFonts w:cstheme="minorHAnsi"/>
        </w:rPr>
        <w:t>povinn</w:t>
      </w:r>
      <w:r w:rsidR="008B0FC9">
        <w:rPr>
          <w:rFonts w:cstheme="minorHAnsi"/>
        </w:rPr>
        <w:t>y</w:t>
      </w:r>
      <w:r w:rsidRPr="00D63139">
        <w:rPr>
          <w:rFonts w:cstheme="minorHAnsi"/>
        </w:rPr>
        <w:t xml:space="preserve"> sestavovat rozpočet </w:t>
      </w:r>
      <w:r>
        <w:rPr>
          <w:rFonts w:cstheme="minorHAnsi"/>
        </w:rPr>
        <w:t xml:space="preserve">OSS </w:t>
      </w:r>
      <w:r w:rsidRPr="00D63139">
        <w:rPr>
          <w:rFonts w:cstheme="minorHAnsi"/>
        </w:rPr>
        <w:t>ve své působnosti.</w:t>
      </w:r>
    </w:p>
    <w:p w14:paraId="7FB0A8A7" w14:textId="77777777" w:rsidR="00194849" w:rsidRDefault="00194849" w:rsidP="00194849">
      <w:pPr>
        <w:spacing w:line="280" w:lineRule="atLeast"/>
        <w:rPr>
          <w:rFonts w:cstheme="minorHAnsi"/>
        </w:rPr>
      </w:pPr>
    </w:p>
    <w:p w14:paraId="37431C82" w14:textId="01F1F064" w:rsidR="00194849" w:rsidRDefault="00CF06FA" w:rsidP="00194849">
      <w:pPr>
        <w:spacing w:line="280" w:lineRule="atLeast"/>
        <w:rPr>
          <w:rFonts w:cstheme="minorHAnsi"/>
        </w:rPr>
      </w:pPr>
      <w:r>
        <w:rPr>
          <w:rFonts w:cstheme="minorHAnsi"/>
        </w:rPr>
        <w:t>Kontrole NKÚ bylo podrobeno zpracování rozpočt</w:t>
      </w:r>
      <w:r w:rsidR="00512264">
        <w:rPr>
          <w:rFonts w:cstheme="minorHAnsi"/>
        </w:rPr>
        <w:t>ů</w:t>
      </w:r>
      <w:r>
        <w:rPr>
          <w:rFonts w:cstheme="minorHAnsi"/>
        </w:rPr>
        <w:t xml:space="preserve"> kapitol státního rozpočtu </w:t>
      </w:r>
      <w:r w:rsidR="000E6E8A">
        <w:rPr>
          <w:rFonts w:cstheme="minorHAnsi"/>
        </w:rPr>
        <w:br/>
      </w:r>
      <w:r w:rsidR="00512264">
        <w:rPr>
          <w:rFonts w:cstheme="minorHAnsi"/>
        </w:rPr>
        <w:t xml:space="preserve">327 – </w:t>
      </w:r>
      <w:r w:rsidR="00512264" w:rsidRPr="00761EB6">
        <w:rPr>
          <w:rFonts w:cstheme="minorHAnsi"/>
          <w:i/>
        </w:rPr>
        <w:t>Ministerstvo dopravy</w:t>
      </w:r>
      <w:r w:rsidR="0009352C">
        <w:rPr>
          <w:rFonts w:cstheme="minorHAnsi"/>
          <w:i/>
        </w:rPr>
        <w:t xml:space="preserve"> </w:t>
      </w:r>
      <w:r w:rsidR="0009352C">
        <w:rPr>
          <w:rFonts w:cstheme="minorHAnsi"/>
        </w:rPr>
        <w:t>(dále také „kapitola</w:t>
      </w:r>
      <w:r w:rsidR="00164C64">
        <w:rPr>
          <w:rFonts w:cstheme="minorHAnsi"/>
        </w:rPr>
        <w:t xml:space="preserve"> 327 – MD“)</w:t>
      </w:r>
      <w:r>
        <w:rPr>
          <w:rFonts w:cstheme="minorHAnsi"/>
        </w:rPr>
        <w:t xml:space="preserve">, </w:t>
      </w:r>
      <w:r w:rsidR="00512264">
        <w:rPr>
          <w:rFonts w:cstheme="minorHAnsi"/>
        </w:rPr>
        <w:t xml:space="preserve">312 – </w:t>
      </w:r>
      <w:r w:rsidR="00512264" w:rsidRPr="00761EB6">
        <w:rPr>
          <w:rFonts w:cstheme="minorHAnsi"/>
          <w:i/>
        </w:rPr>
        <w:t>Ministerstvo financí</w:t>
      </w:r>
      <w:r w:rsidR="00164C64">
        <w:rPr>
          <w:rFonts w:cstheme="minorHAnsi"/>
          <w:i/>
        </w:rPr>
        <w:t xml:space="preserve"> </w:t>
      </w:r>
      <w:r w:rsidR="00164C64">
        <w:rPr>
          <w:rFonts w:cstheme="minorHAnsi"/>
        </w:rPr>
        <w:t>(dále také „kapitola 312 – MF“)</w:t>
      </w:r>
      <w:r>
        <w:rPr>
          <w:rFonts w:cstheme="minorHAnsi"/>
        </w:rPr>
        <w:t xml:space="preserve">, </w:t>
      </w:r>
      <w:r w:rsidR="00512264">
        <w:rPr>
          <w:rFonts w:cstheme="minorHAnsi"/>
        </w:rPr>
        <w:t xml:space="preserve">317 – </w:t>
      </w:r>
      <w:r w:rsidR="00512264" w:rsidRPr="00761EB6">
        <w:rPr>
          <w:rFonts w:cstheme="minorHAnsi"/>
          <w:i/>
        </w:rPr>
        <w:t>Ministerstvo pro místní rozvoj</w:t>
      </w:r>
      <w:r w:rsidR="00164C64">
        <w:rPr>
          <w:rFonts w:cstheme="minorHAnsi"/>
        </w:rPr>
        <w:t xml:space="preserve"> (dále také „kapitola 317 – MMR“)</w:t>
      </w:r>
      <w:r>
        <w:rPr>
          <w:rFonts w:cstheme="minorHAnsi"/>
        </w:rPr>
        <w:t xml:space="preserve">, </w:t>
      </w:r>
      <w:r w:rsidR="00512264">
        <w:rPr>
          <w:rFonts w:cstheme="minorHAnsi"/>
        </w:rPr>
        <w:t xml:space="preserve">329 – </w:t>
      </w:r>
      <w:r w:rsidR="00512264" w:rsidRPr="00761EB6">
        <w:rPr>
          <w:rFonts w:cstheme="minorHAnsi"/>
          <w:i/>
        </w:rPr>
        <w:t>Ministerstvo zemědělství</w:t>
      </w:r>
      <w:r>
        <w:rPr>
          <w:rFonts w:cstheme="minorHAnsi"/>
        </w:rPr>
        <w:t xml:space="preserve"> </w:t>
      </w:r>
      <w:r w:rsidR="00164C64">
        <w:rPr>
          <w:rFonts w:cstheme="minorHAnsi"/>
        </w:rPr>
        <w:t xml:space="preserve">(dále také „kapitola 329 – </w:t>
      </w:r>
      <w:proofErr w:type="spellStart"/>
      <w:r w:rsidR="00164C64">
        <w:rPr>
          <w:rFonts w:cstheme="minorHAnsi"/>
        </w:rPr>
        <w:t>MZe</w:t>
      </w:r>
      <w:proofErr w:type="spellEnd"/>
      <w:r w:rsidR="00164C64">
        <w:rPr>
          <w:rFonts w:cstheme="minorHAnsi"/>
        </w:rPr>
        <w:t>“)</w:t>
      </w:r>
      <w:r>
        <w:rPr>
          <w:rFonts w:cstheme="minorHAnsi"/>
        </w:rPr>
        <w:t xml:space="preserve">a </w:t>
      </w:r>
      <w:r w:rsidR="00512264">
        <w:rPr>
          <w:rFonts w:cstheme="minorHAnsi"/>
        </w:rPr>
        <w:t xml:space="preserve">335 – </w:t>
      </w:r>
      <w:r w:rsidR="00512264" w:rsidRPr="00761EB6">
        <w:rPr>
          <w:rFonts w:cstheme="minorHAnsi"/>
          <w:i/>
        </w:rPr>
        <w:t>Ministerstvo zdravotnictví</w:t>
      </w:r>
      <w:r w:rsidR="00512264">
        <w:rPr>
          <w:rFonts w:cstheme="minorHAnsi"/>
        </w:rPr>
        <w:t xml:space="preserve"> </w:t>
      </w:r>
      <w:r w:rsidR="00164C64">
        <w:rPr>
          <w:rFonts w:cstheme="minorHAnsi"/>
        </w:rPr>
        <w:t xml:space="preserve">(dále také „kapitola 335 – </w:t>
      </w:r>
      <w:proofErr w:type="spellStart"/>
      <w:r w:rsidR="00164C64">
        <w:rPr>
          <w:rFonts w:cstheme="minorHAnsi"/>
        </w:rPr>
        <w:t>MZd</w:t>
      </w:r>
      <w:proofErr w:type="spellEnd"/>
      <w:r w:rsidR="00164C64">
        <w:rPr>
          <w:rFonts w:cstheme="minorHAnsi"/>
        </w:rPr>
        <w:t xml:space="preserve">“) </w:t>
      </w:r>
      <w:r>
        <w:rPr>
          <w:rFonts w:cstheme="minorHAnsi"/>
        </w:rPr>
        <w:t>pro roky 2014, 2015 a 2016, postupy organizačních složek státu MD, MF, MMR</w:t>
      </w:r>
      <w:r w:rsidR="00F04C4C">
        <w:rPr>
          <w:rFonts w:cstheme="minorHAnsi"/>
        </w:rPr>
        <w:t>,</w:t>
      </w:r>
      <w:r>
        <w:rPr>
          <w:rFonts w:cstheme="minorHAnsi"/>
        </w:rPr>
        <w:t xml:space="preserve"> </w:t>
      </w:r>
      <w:proofErr w:type="spellStart"/>
      <w:r>
        <w:rPr>
          <w:rFonts w:cstheme="minorHAnsi"/>
        </w:rPr>
        <w:t>MZe</w:t>
      </w:r>
      <w:proofErr w:type="spellEnd"/>
      <w:r>
        <w:rPr>
          <w:rFonts w:cstheme="minorHAnsi"/>
        </w:rPr>
        <w:t xml:space="preserve"> a</w:t>
      </w:r>
      <w:r w:rsidR="004156B3">
        <w:rPr>
          <w:rFonts w:cstheme="minorHAnsi"/>
        </w:rPr>
        <w:t> </w:t>
      </w:r>
      <w:proofErr w:type="spellStart"/>
      <w:r>
        <w:rPr>
          <w:rFonts w:cstheme="minorHAnsi"/>
        </w:rPr>
        <w:t>MZd</w:t>
      </w:r>
      <w:proofErr w:type="spellEnd"/>
      <w:r>
        <w:rPr>
          <w:rFonts w:cstheme="minorHAnsi"/>
        </w:rPr>
        <w:t xml:space="preserve"> při sestavování rozpočtu a při provádění jeho změn a kontrola </w:t>
      </w:r>
      <w:r w:rsidR="008B0FC9">
        <w:rPr>
          <w:rFonts w:cstheme="minorHAnsi"/>
        </w:rPr>
        <w:t xml:space="preserve">prověřila </w:t>
      </w:r>
      <w:r>
        <w:rPr>
          <w:rFonts w:cstheme="minorHAnsi"/>
        </w:rPr>
        <w:t>vybran</w:t>
      </w:r>
      <w:r w:rsidR="008B0FC9">
        <w:rPr>
          <w:rFonts w:cstheme="minorHAnsi"/>
        </w:rPr>
        <w:t>é</w:t>
      </w:r>
      <w:r>
        <w:rPr>
          <w:rFonts w:cstheme="minorHAnsi"/>
        </w:rPr>
        <w:t xml:space="preserve"> rozpočtov</w:t>
      </w:r>
      <w:r w:rsidR="008B0FC9">
        <w:rPr>
          <w:rFonts w:cstheme="minorHAnsi"/>
        </w:rPr>
        <w:t>é</w:t>
      </w:r>
      <w:r>
        <w:rPr>
          <w:rFonts w:cstheme="minorHAnsi"/>
        </w:rPr>
        <w:t xml:space="preserve"> polož</w:t>
      </w:r>
      <w:r w:rsidR="008B0FC9">
        <w:rPr>
          <w:rFonts w:cstheme="minorHAnsi"/>
        </w:rPr>
        <w:t>ky</w:t>
      </w:r>
      <w:r>
        <w:rPr>
          <w:rFonts w:cstheme="minorHAnsi"/>
        </w:rPr>
        <w:t>, u nichž by mohly vznikat nároky z nespotřebovaných neprofilujících výdajů. U nich byla prověřována tvorba rozpočtu, změny schváleného rozpočtu a byly zjišťovány</w:t>
      </w:r>
      <w:r w:rsidR="00E676A7">
        <w:rPr>
          <w:rFonts w:cstheme="minorHAnsi"/>
        </w:rPr>
        <w:t xml:space="preserve"> </w:t>
      </w:r>
      <w:r>
        <w:rPr>
          <w:rFonts w:cstheme="minorHAnsi"/>
        </w:rPr>
        <w:t xml:space="preserve">důvody nečerpání rozpočtovaných výdajů. Dále byly kontrolovány nároky z nespotřebovaných výdajů (dále také „NNV“) </w:t>
      </w:r>
      <w:r w:rsidRPr="00497D50">
        <w:rPr>
          <w:rFonts w:cstheme="minorHAnsi"/>
        </w:rPr>
        <w:t>evidované zejména u</w:t>
      </w:r>
      <w:r w:rsidR="00B1210C">
        <w:rPr>
          <w:rFonts w:cstheme="minorHAnsi"/>
        </w:rPr>
        <w:t> </w:t>
      </w:r>
      <w:r>
        <w:rPr>
          <w:rFonts w:cstheme="minorHAnsi"/>
        </w:rPr>
        <w:t xml:space="preserve">vybraných ukončených </w:t>
      </w:r>
      <w:r w:rsidRPr="00B1210C">
        <w:rPr>
          <w:rFonts w:cstheme="minorHAnsi"/>
        </w:rPr>
        <w:t xml:space="preserve">akcí </w:t>
      </w:r>
      <w:r w:rsidR="0015218F">
        <w:rPr>
          <w:rFonts w:cstheme="minorHAnsi"/>
        </w:rPr>
        <w:t>v</w:t>
      </w:r>
      <w:r w:rsidR="0015218F" w:rsidRPr="00DB295F">
        <w:rPr>
          <w:rFonts w:cstheme="minorHAnsi"/>
        </w:rPr>
        <w:t xml:space="preserve"> </w:t>
      </w:r>
      <w:r w:rsidRPr="00B1210C">
        <w:rPr>
          <w:rFonts w:cstheme="minorHAnsi"/>
        </w:rPr>
        <w:t>EDS/SMVS</w:t>
      </w:r>
      <w:r>
        <w:rPr>
          <w:rStyle w:val="Znakapoznpodarou"/>
        </w:rPr>
        <w:footnoteReference w:id="1"/>
      </w:r>
      <w:r>
        <w:rPr>
          <w:rFonts w:cstheme="minorHAnsi"/>
        </w:rPr>
        <w:t xml:space="preserve"> v kontrolovaném období. U NNV </w:t>
      </w:r>
      <w:r w:rsidR="00E676A7">
        <w:rPr>
          <w:rFonts w:cstheme="minorHAnsi"/>
        </w:rPr>
        <w:t>se kontrola zaměřila na</w:t>
      </w:r>
      <w:r>
        <w:rPr>
          <w:rFonts w:cstheme="minorHAnsi"/>
        </w:rPr>
        <w:t xml:space="preserve"> jejich výpočet</w:t>
      </w:r>
      <w:r w:rsidR="00E676A7">
        <w:rPr>
          <w:rFonts w:cstheme="minorHAnsi"/>
        </w:rPr>
        <w:t xml:space="preserve"> a</w:t>
      </w:r>
      <w:r w:rsidR="009050A5">
        <w:rPr>
          <w:rFonts w:cstheme="minorHAnsi"/>
        </w:rPr>
        <w:t> </w:t>
      </w:r>
      <w:r>
        <w:rPr>
          <w:rFonts w:cstheme="minorHAnsi"/>
        </w:rPr>
        <w:t>evidenc</w:t>
      </w:r>
      <w:r w:rsidR="00E676A7">
        <w:rPr>
          <w:rFonts w:cstheme="minorHAnsi"/>
        </w:rPr>
        <w:t>i</w:t>
      </w:r>
      <w:r>
        <w:rPr>
          <w:rFonts w:cstheme="minorHAnsi"/>
        </w:rPr>
        <w:t xml:space="preserve">, u vybraných rozpočtových položek pak </w:t>
      </w:r>
      <w:r w:rsidR="00E676A7">
        <w:rPr>
          <w:rFonts w:cstheme="minorHAnsi"/>
        </w:rPr>
        <w:t xml:space="preserve">NKÚ prověřil </w:t>
      </w:r>
      <w:r>
        <w:rPr>
          <w:rFonts w:cstheme="minorHAnsi"/>
        </w:rPr>
        <w:t xml:space="preserve">zapojení nároků z nespotřebovaných výdajů do rozpočtu, důvody tohoto zapojení a případného nečerpání. Kontrole bylo podrobeno i zpracování informací o NNV v závěrečných účtech kapitol </w:t>
      </w:r>
      <w:r w:rsidR="00164C64">
        <w:rPr>
          <w:rFonts w:cstheme="minorHAnsi"/>
        </w:rPr>
        <w:t xml:space="preserve">327 – </w:t>
      </w:r>
      <w:r>
        <w:rPr>
          <w:rFonts w:cstheme="minorHAnsi"/>
        </w:rPr>
        <w:t xml:space="preserve">MD, </w:t>
      </w:r>
      <w:r w:rsidR="00164C64">
        <w:rPr>
          <w:rFonts w:cstheme="minorHAnsi"/>
        </w:rPr>
        <w:t xml:space="preserve">312 – </w:t>
      </w:r>
      <w:r>
        <w:rPr>
          <w:rFonts w:cstheme="minorHAnsi"/>
        </w:rPr>
        <w:t xml:space="preserve">MF, </w:t>
      </w:r>
      <w:r w:rsidR="00164C64">
        <w:rPr>
          <w:rFonts w:cstheme="minorHAnsi"/>
        </w:rPr>
        <w:t xml:space="preserve">317 – </w:t>
      </w:r>
      <w:r>
        <w:rPr>
          <w:rFonts w:cstheme="minorHAnsi"/>
        </w:rPr>
        <w:t xml:space="preserve">MMR, </w:t>
      </w:r>
      <w:r w:rsidR="00164C64">
        <w:rPr>
          <w:rFonts w:cstheme="minorHAnsi"/>
        </w:rPr>
        <w:t xml:space="preserve">329 – </w:t>
      </w:r>
      <w:proofErr w:type="spellStart"/>
      <w:r>
        <w:rPr>
          <w:rFonts w:cstheme="minorHAnsi"/>
        </w:rPr>
        <w:t>MZe</w:t>
      </w:r>
      <w:proofErr w:type="spellEnd"/>
      <w:r>
        <w:rPr>
          <w:rFonts w:cstheme="minorHAnsi"/>
        </w:rPr>
        <w:t xml:space="preserve"> a </w:t>
      </w:r>
      <w:r w:rsidR="00164C64">
        <w:rPr>
          <w:rFonts w:cstheme="minorHAnsi"/>
        </w:rPr>
        <w:t xml:space="preserve">335 – </w:t>
      </w:r>
      <w:proofErr w:type="spellStart"/>
      <w:r>
        <w:rPr>
          <w:rFonts w:cstheme="minorHAnsi"/>
        </w:rPr>
        <w:t>MZd</w:t>
      </w:r>
      <w:proofErr w:type="spellEnd"/>
      <w:r>
        <w:rPr>
          <w:rFonts w:cstheme="minorHAnsi"/>
        </w:rPr>
        <w:t xml:space="preserve"> za roky 2014 a 2015. Kontrolou byl dále ověřen postup při nastavení počátečního stavu nároků z nespotřebovaných výdajů evidovaných u</w:t>
      </w:r>
      <w:r w:rsidR="000E6E8A">
        <w:rPr>
          <w:rFonts w:cstheme="minorHAnsi"/>
        </w:rPr>
        <w:t> </w:t>
      </w:r>
      <w:r>
        <w:rPr>
          <w:rFonts w:cstheme="minorHAnsi"/>
        </w:rPr>
        <w:t>všech organizačních složek státu v </w:t>
      </w:r>
      <w:r w:rsidRPr="00B1210C">
        <w:rPr>
          <w:rFonts w:cstheme="minorHAnsi"/>
          <w:i/>
        </w:rPr>
        <w:t>Rozpočtovém informačním systému</w:t>
      </w:r>
      <w:r>
        <w:rPr>
          <w:rFonts w:cstheme="minorHAnsi"/>
        </w:rPr>
        <w:t xml:space="preserve"> a zpracování informace o NNV ve </w:t>
      </w:r>
      <w:r w:rsidR="00F04C4C">
        <w:rPr>
          <w:rFonts w:cstheme="minorHAnsi"/>
        </w:rPr>
        <w:t xml:space="preserve">státních </w:t>
      </w:r>
      <w:r>
        <w:rPr>
          <w:rFonts w:cstheme="minorHAnsi"/>
        </w:rPr>
        <w:t>závěrečn</w:t>
      </w:r>
      <w:r w:rsidR="008B0FC9">
        <w:rPr>
          <w:rFonts w:cstheme="minorHAnsi"/>
        </w:rPr>
        <w:t>ých</w:t>
      </w:r>
      <w:r>
        <w:rPr>
          <w:rFonts w:cstheme="minorHAnsi"/>
        </w:rPr>
        <w:t xml:space="preserve"> účt</w:t>
      </w:r>
      <w:r w:rsidR="008B0FC9">
        <w:rPr>
          <w:rFonts w:cstheme="minorHAnsi"/>
        </w:rPr>
        <w:t>ech</w:t>
      </w:r>
      <w:r>
        <w:rPr>
          <w:rFonts w:cstheme="minorHAnsi"/>
        </w:rPr>
        <w:t xml:space="preserve"> za rok</w:t>
      </w:r>
      <w:r w:rsidR="008B0FC9">
        <w:rPr>
          <w:rFonts w:cstheme="minorHAnsi"/>
        </w:rPr>
        <w:t>y</w:t>
      </w:r>
      <w:r>
        <w:rPr>
          <w:rFonts w:cstheme="minorHAnsi"/>
        </w:rPr>
        <w:t xml:space="preserve"> 2014 a 2015.</w:t>
      </w:r>
    </w:p>
    <w:p w14:paraId="24A97B39" w14:textId="77777777" w:rsidR="00194849" w:rsidRDefault="00194849" w:rsidP="00194849">
      <w:pPr>
        <w:spacing w:line="280" w:lineRule="atLeast"/>
        <w:rPr>
          <w:rFonts w:cstheme="minorHAnsi"/>
          <w:bCs/>
        </w:rPr>
      </w:pPr>
    </w:p>
    <w:p w14:paraId="14E904F0" w14:textId="20A5137E" w:rsidR="00194849" w:rsidRDefault="00CF06FA" w:rsidP="00194849">
      <w:pPr>
        <w:spacing w:line="280" w:lineRule="atLeast"/>
      </w:pPr>
      <w:r>
        <w:t>S účinností od 1. 3. 2008 byla zrušena možnost převádět do rezervních fondů OSS rozpočtové prostředky nevyčerpané na plnění úkolů v běžném rozpočtovém roce a určené k použití v letech následujících</w:t>
      </w:r>
      <w:r w:rsidR="00C06BF6">
        <w:rPr>
          <w:rStyle w:val="Znakapoznpodarou"/>
        </w:rPr>
        <w:footnoteReference w:id="2"/>
      </w:r>
      <w:r>
        <w:t>. Zároveň byl zaveden institut nároků z nespotřebovaných výdajů umožňující čerpat nevyčerpané prostředky v následujících letech. Dřívější postup, kdy byly ze státního rozpočtu převáděny nevyčerpané prostředky na bankovní účty rezervních fondů OSS</w:t>
      </w:r>
      <w:r w:rsidR="004156B3">
        <w:t>, čímž docházelo ke zvyšování</w:t>
      </w:r>
      <w:r>
        <w:t xml:space="preserve"> schod</w:t>
      </w:r>
      <w:r w:rsidR="00AA5E13">
        <w:t>ku</w:t>
      </w:r>
      <w:r>
        <w:t xml:space="preserve"> státního rozpočtu, se změnil. Zavedením institutu NNV se nevyčerpané prostředky nepřevádějí na bankovní účty, ale pouze se evidují. </w:t>
      </w:r>
    </w:p>
    <w:p w14:paraId="4A6F2CC0" w14:textId="77777777" w:rsidR="00194849" w:rsidRDefault="00194849" w:rsidP="00194849">
      <w:pPr>
        <w:spacing w:line="280" w:lineRule="atLeast"/>
      </w:pPr>
    </w:p>
    <w:p w14:paraId="2614991E" w14:textId="3F7F430B" w:rsidR="00194849" w:rsidRDefault="00CF06FA" w:rsidP="00194849">
      <w:pPr>
        <w:spacing w:line="280" w:lineRule="atLeast"/>
      </w:pPr>
      <w:r>
        <w:t xml:space="preserve">Protože </w:t>
      </w:r>
      <w:r w:rsidR="00E03281">
        <w:t xml:space="preserve">státní </w:t>
      </w:r>
      <w:r>
        <w:t xml:space="preserve">rozpočet schvalovaný pro následující rok Poslaneckou sněmovnou Parlamentu České republiky (dále také „Poslanecká sněmovna“) neuvažuje s NNV, o jejichž hodnotu mohou OSS překročit svůj rozpočet, přesouvá se riziko zvýšení výpůjční potřeby státu (schodku státního rozpočtu) do dalších rozpočtových období. </w:t>
      </w:r>
      <w:r w:rsidRPr="0068437F">
        <w:t xml:space="preserve">Překročení rozpočtu výdajů o použití NNV </w:t>
      </w:r>
      <w:r w:rsidRPr="0068437F">
        <w:lastRenderedPageBreak/>
        <w:t xml:space="preserve">je plně v kompetenci OSS, dochází k němu </w:t>
      </w:r>
      <w:r w:rsidR="00A132E1">
        <w:t xml:space="preserve">bez </w:t>
      </w:r>
      <w:r w:rsidRPr="0068437F">
        <w:t>souhlasu Poslanecké sněmovny</w:t>
      </w:r>
      <w:r>
        <w:t>,</w:t>
      </w:r>
      <w:r w:rsidRPr="0068437F">
        <w:t xml:space="preserve"> vlády České republiky (dále také „vlád</w:t>
      </w:r>
      <w:r>
        <w:t>a</w:t>
      </w:r>
      <w:r w:rsidRPr="0068437F">
        <w:t>“) i MF.</w:t>
      </w:r>
      <w:r>
        <w:t xml:space="preserve"> </w:t>
      </w:r>
    </w:p>
    <w:p w14:paraId="7F42E5CB" w14:textId="77E992F3" w:rsidR="00194849" w:rsidRDefault="00CF06FA" w:rsidP="00194849">
      <w:pPr>
        <w:spacing w:line="280" w:lineRule="atLeast"/>
      </w:pPr>
      <w:r>
        <w:t>Podle zákona č. 218/2000 Sb.</w:t>
      </w:r>
      <w:r>
        <w:rPr>
          <w:rStyle w:val="Znakapoznpodarou"/>
        </w:rPr>
        <w:footnoteReference w:id="3"/>
      </w:r>
      <w:r>
        <w:t xml:space="preserve"> vypočítávají organizační složky státu NNV ke dni 1. 1. běžného roku</w:t>
      </w:r>
      <w:r>
        <w:rPr>
          <w:rStyle w:val="Znakapoznpodarou"/>
        </w:rPr>
        <w:footnoteReference w:id="4"/>
      </w:r>
      <w:r>
        <w:t xml:space="preserve">. O částku těchto NNV může organizační složka státu překročit rozpočet výdajů běžného roku. Každou částku, o kterou se při využití tohoto práva rozhodne rozpočet překročit, zanese do evidence NNV a zařadí na příslušnou položku a paragraf rozpočtové skladby. Tím se </w:t>
      </w:r>
      <w:r w:rsidR="00E03281">
        <w:t xml:space="preserve">OSS </w:t>
      </w:r>
      <w:r>
        <w:t>stane oprávněnou překročit rozpočet výdajů</w:t>
      </w:r>
      <w:r w:rsidR="00AA5E13">
        <w:t xml:space="preserve"> a</w:t>
      </w:r>
      <w:r>
        <w:t xml:space="preserve"> uvedená částka se stane součástí konečného rozpočtu výdajů. O každou takovou částku se stav NNV sníží.</w:t>
      </w:r>
    </w:p>
    <w:p w14:paraId="44768B0A" w14:textId="77777777" w:rsidR="00194849" w:rsidRDefault="00194849" w:rsidP="00194849">
      <w:pPr>
        <w:spacing w:line="280" w:lineRule="atLeast"/>
      </w:pPr>
    </w:p>
    <w:p w14:paraId="6713956B" w14:textId="77777777" w:rsidR="00563DC4" w:rsidRPr="00B1210C" w:rsidRDefault="00563DC4" w:rsidP="00563DC4">
      <w:pPr>
        <w:spacing w:line="280" w:lineRule="atLeast"/>
      </w:pPr>
      <w:r w:rsidRPr="00B1210C">
        <w:t>Graf č. 1 – Stav RF a NNV</w:t>
      </w:r>
    </w:p>
    <w:p w14:paraId="7558091A" w14:textId="120ACC22" w:rsidR="00563DC4" w:rsidRDefault="00E03281" w:rsidP="00563DC4">
      <w:pPr>
        <w:tabs>
          <w:tab w:val="left" w:pos="8505"/>
        </w:tabs>
        <w:spacing w:line="280" w:lineRule="atLeast"/>
        <w:rPr>
          <w:rFonts w:cstheme="minorHAnsi"/>
          <w:bCs/>
        </w:rPr>
      </w:pPr>
      <w:r>
        <w:rPr>
          <w:noProof/>
        </w:rPr>
        <w:drawing>
          <wp:inline distT="0" distB="0" distL="0" distR="0" wp14:anchorId="680E301D" wp14:editId="25F25BB2">
            <wp:extent cx="4675517" cy="2706256"/>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81453" cy="2709692"/>
                    </a:xfrm>
                    <a:prstGeom prst="rect">
                      <a:avLst/>
                    </a:prstGeom>
                  </pic:spPr>
                </pic:pic>
              </a:graphicData>
            </a:graphic>
          </wp:inline>
        </w:drawing>
      </w:r>
    </w:p>
    <w:p w14:paraId="6DFF22C3" w14:textId="0D044E7A" w:rsidR="00AA5E13" w:rsidRPr="00761EB6" w:rsidRDefault="00AA5E13" w:rsidP="00D72156">
      <w:pPr>
        <w:spacing w:line="280" w:lineRule="atLeast"/>
        <w:rPr>
          <w:rFonts w:cstheme="minorHAnsi"/>
          <w:bCs/>
          <w:sz w:val="20"/>
          <w:szCs w:val="20"/>
        </w:rPr>
      </w:pPr>
      <w:r w:rsidRPr="00761EB6">
        <w:rPr>
          <w:rFonts w:cstheme="minorHAnsi"/>
          <w:b/>
          <w:bCs/>
          <w:sz w:val="20"/>
          <w:szCs w:val="20"/>
        </w:rPr>
        <w:t>Zdroj:</w:t>
      </w:r>
      <w:r w:rsidRPr="00761EB6">
        <w:rPr>
          <w:rFonts w:cstheme="minorHAnsi"/>
          <w:bCs/>
          <w:sz w:val="20"/>
          <w:szCs w:val="20"/>
        </w:rPr>
        <w:t xml:space="preserve"> </w:t>
      </w:r>
      <w:r w:rsidR="00F04C4C">
        <w:rPr>
          <w:rFonts w:cstheme="minorHAnsi"/>
          <w:bCs/>
          <w:sz w:val="20"/>
          <w:szCs w:val="20"/>
        </w:rPr>
        <w:t>s</w:t>
      </w:r>
      <w:r w:rsidR="00F04C4C" w:rsidRPr="00761EB6">
        <w:rPr>
          <w:rFonts w:cstheme="minorHAnsi"/>
          <w:bCs/>
          <w:sz w:val="20"/>
          <w:szCs w:val="20"/>
        </w:rPr>
        <w:t xml:space="preserve">tátní </w:t>
      </w:r>
      <w:r w:rsidRPr="00761EB6">
        <w:rPr>
          <w:rFonts w:cstheme="minorHAnsi"/>
          <w:bCs/>
          <w:sz w:val="20"/>
          <w:szCs w:val="20"/>
        </w:rPr>
        <w:t xml:space="preserve">závěrečné účty za roky 2005, 2007 a 2009; </w:t>
      </w:r>
      <w:r w:rsidRPr="000115DF">
        <w:rPr>
          <w:rFonts w:cstheme="minorHAnsi"/>
          <w:bCs/>
          <w:i/>
          <w:sz w:val="20"/>
          <w:szCs w:val="20"/>
        </w:rPr>
        <w:t>Integrovaný informační systém Státní pokladny</w:t>
      </w:r>
      <w:r w:rsidRPr="00761EB6">
        <w:rPr>
          <w:rFonts w:cstheme="minorHAnsi"/>
          <w:bCs/>
          <w:sz w:val="20"/>
          <w:szCs w:val="20"/>
        </w:rPr>
        <w:t xml:space="preserve"> (dále také „IISSP“).</w:t>
      </w:r>
    </w:p>
    <w:p w14:paraId="7204E17F" w14:textId="79436007" w:rsidR="00E03281" w:rsidRPr="00761EB6" w:rsidRDefault="00E03281" w:rsidP="00D72156">
      <w:pPr>
        <w:spacing w:line="280" w:lineRule="atLeast"/>
        <w:rPr>
          <w:rFonts w:cstheme="minorHAnsi"/>
          <w:bCs/>
          <w:sz w:val="20"/>
          <w:szCs w:val="20"/>
        </w:rPr>
      </w:pPr>
      <w:r w:rsidRPr="00761EB6">
        <w:rPr>
          <w:rFonts w:cstheme="minorHAnsi"/>
          <w:b/>
          <w:bCs/>
          <w:sz w:val="20"/>
          <w:szCs w:val="20"/>
        </w:rPr>
        <w:t>Pozn</w:t>
      </w:r>
      <w:r w:rsidR="00AA5E13" w:rsidRPr="00761EB6">
        <w:rPr>
          <w:rFonts w:cstheme="minorHAnsi"/>
          <w:b/>
          <w:bCs/>
          <w:sz w:val="20"/>
          <w:szCs w:val="20"/>
        </w:rPr>
        <w:t>.:</w:t>
      </w:r>
      <w:r w:rsidRPr="00761EB6">
        <w:rPr>
          <w:rFonts w:cstheme="minorHAnsi"/>
          <w:bCs/>
          <w:sz w:val="20"/>
          <w:szCs w:val="20"/>
        </w:rPr>
        <w:t xml:space="preserve"> </w:t>
      </w:r>
      <w:r w:rsidR="00E219F1">
        <w:rPr>
          <w:rFonts w:cstheme="minorHAnsi"/>
          <w:bCs/>
          <w:sz w:val="20"/>
          <w:szCs w:val="20"/>
        </w:rPr>
        <w:t>S</w:t>
      </w:r>
      <w:r w:rsidRPr="00761EB6">
        <w:rPr>
          <w:rFonts w:cstheme="minorHAnsi"/>
          <w:bCs/>
          <w:sz w:val="20"/>
          <w:szCs w:val="20"/>
        </w:rPr>
        <w:t xml:space="preserve">tav NNV k 1. 1. 2017 </w:t>
      </w:r>
      <w:r w:rsidR="00E219F1">
        <w:rPr>
          <w:rFonts w:cstheme="minorHAnsi"/>
          <w:bCs/>
          <w:sz w:val="20"/>
          <w:szCs w:val="20"/>
        </w:rPr>
        <w:t xml:space="preserve">nebyl </w:t>
      </w:r>
      <w:r w:rsidRPr="00761EB6">
        <w:rPr>
          <w:rFonts w:cstheme="minorHAnsi"/>
          <w:bCs/>
          <w:sz w:val="20"/>
          <w:szCs w:val="20"/>
        </w:rPr>
        <w:t xml:space="preserve">v době schválení </w:t>
      </w:r>
      <w:r w:rsidR="00E219F1">
        <w:rPr>
          <w:rFonts w:cstheme="minorHAnsi"/>
          <w:bCs/>
          <w:sz w:val="20"/>
          <w:szCs w:val="20"/>
        </w:rPr>
        <w:t>k</w:t>
      </w:r>
      <w:r w:rsidRPr="00761EB6">
        <w:rPr>
          <w:rFonts w:cstheme="minorHAnsi"/>
          <w:bCs/>
          <w:sz w:val="20"/>
          <w:szCs w:val="20"/>
        </w:rPr>
        <w:t>ontrolního závěru znám; stav NNV k 31. 12. 2016</w:t>
      </w:r>
      <w:r w:rsidR="00E219F1">
        <w:rPr>
          <w:rFonts w:cstheme="minorHAnsi"/>
          <w:bCs/>
          <w:sz w:val="20"/>
          <w:szCs w:val="20"/>
        </w:rPr>
        <w:t xml:space="preserve"> je</w:t>
      </w:r>
      <w:r w:rsidRPr="00761EB6">
        <w:rPr>
          <w:rFonts w:cstheme="minorHAnsi"/>
          <w:bCs/>
          <w:sz w:val="20"/>
          <w:szCs w:val="20"/>
        </w:rPr>
        <w:t xml:space="preserve"> pouze předběžný údaj z IISSP (k 10. 1. 2017)</w:t>
      </w:r>
      <w:r w:rsidR="00E219F1">
        <w:rPr>
          <w:rFonts w:cstheme="minorHAnsi"/>
          <w:bCs/>
          <w:sz w:val="20"/>
          <w:szCs w:val="20"/>
        </w:rPr>
        <w:t>.</w:t>
      </w:r>
    </w:p>
    <w:p w14:paraId="6849CC7E" w14:textId="77777777" w:rsidR="00563DC4" w:rsidRDefault="00563DC4" w:rsidP="00D51FC5">
      <w:pPr>
        <w:spacing w:line="280" w:lineRule="atLeast"/>
        <w:rPr>
          <w:rFonts w:cstheme="minorHAnsi"/>
          <w:bCs/>
        </w:rPr>
      </w:pPr>
    </w:p>
    <w:p w14:paraId="58E3A99E" w14:textId="43168AD4" w:rsidR="00CC27E7" w:rsidRDefault="00CC27E7" w:rsidP="00D51FC5">
      <w:pPr>
        <w:spacing w:line="280" w:lineRule="atLeast"/>
        <w:rPr>
          <w:rFonts w:cstheme="minorHAnsi"/>
          <w:bCs/>
        </w:rPr>
      </w:pPr>
      <w:r>
        <w:rPr>
          <w:rFonts w:cstheme="minorHAnsi"/>
          <w:bCs/>
        </w:rPr>
        <w:t>Tabulka č. 1 – Stav NNV</w:t>
      </w:r>
      <w:r w:rsidR="0076189E">
        <w:rPr>
          <w:rFonts w:cstheme="minorHAnsi"/>
          <w:bCs/>
        </w:rPr>
        <w:tab/>
      </w:r>
      <w:r w:rsidR="0076189E">
        <w:rPr>
          <w:rFonts w:cstheme="minorHAnsi"/>
          <w:bCs/>
        </w:rPr>
        <w:tab/>
      </w:r>
      <w:r w:rsidR="0076189E">
        <w:rPr>
          <w:rFonts w:cstheme="minorHAnsi"/>
          <w:bCs/>
        </w:rPr>
        <w:tab/>
      </w:r>
      <w:r w:rsidR="0076189E">
        <w:rPr>
          <w:rFonts w:cstheme="minorHAnsi"/>
          <w:bCs/>
        </w:rPr>
        <w:tab/>
      </w:r>
      <w:r w:rsidR="0076189E">
        <w:rPr>
          <w:rFonts w:cstheme="minorHAnsi"/>
          <w:bCs/>
        </w:rPr>
        <w:tab/>
      </w:r>
      <w:r w:rsidR="0076189E">
        <w:rPr>
          <w:rFonts w:cstheme="minorHAnsi"/>
          <w:bCs/>
        </w:rPr>
        <w:tab/>
      </w:r>
      <w:r w:rsidR="0076189E">
        <w:rPr>
          <w:rFonts w:cstheme="minorHAnsi"/>
          <w:bCs/>
        </w:rPr>
        <w:tab/>
      </w:r>
      <w:r>
        <w:rPr>
          <w:rFonts w:cstheme="minorHAnsi"/>
          <w:bCs/>
        </w:rPr>
        <w:tab/>
      </w:r>
      <w:r w:rsidR="0076189E">
        <w:rPr>
          <w:rFonts w:cstheme="minorHAnsi"/>
          <w:bCs/>
        </w:rPr>
        <w:t xml:space="preserve">      </w:t>
      </w:r>
      <w:r w:rsidR="00F04C4C">
        <w:rPr>
          <w:rFonts w:cstheme="minorHAnsi"/>
          <w:bCs/>
        </w:rPr>
        <w:t>(</w:t>
      </w:r>
      <w:r>
        <w:rPr>
          <w:rFonts w:cstheme="minorHAnsi"/>
          <w:bCs/>
        </w:rPr>
        <w:t>v mil. Kč</w:t>
      </w:r>
      <w:r w:rsidR="00F04C4C">
        <w:rPr>
          <w:rFonts w:cstheme="minorHAnsi"/>
          <w:bCs/>
        </w:rPr>
        <w:t>)</w:t>
      </w:r>
    </w:p>
    <w:tbl>
      <w:tblPr>
        <w:tblStyle w:val="Mkatabulky"/>
        <w:tblW w:w="0" w:type="auto"/>
        <w:tblLook w:val="04A0" w:firstRow="1" w:lastRow="0" w:firstColumn="1" w:lastColumn="0" w:noHBand="0" w:noVBand="1"/>
      </w:tblPr>
      <w:tblGrid>
        <w:gridCol w:w="846"/>
        <w:gridCol w:w="2054"/>
        <w:gridCol w:w="2054"/>
        <w:gridCol w:w="2054"/>
        <w:gridCol w:w="2054"/>
      </w:tblGrid>
      <w:tr w:rsidR="00CC27E7" w14:paraId="4D23C801" w14:textId="77777777" w:rsidTr="0076189E">
        <w:tc>
          <w:tcPr>
            <w:tcW w:w="846" w:type="dxa"/>
            <w:shd w:val="clear" w:color="auto" w:fill="E5F1FF"/>
            <w:vAlign w:val="center"/>
          </w:tcPr>
          <w:p w14:paraId="0AF21AE3" w14:textId="054B9BC7" w:rsidR="00CC27E7" w:rsidRPr="0076189E" w:rsidRDefault="00CC27E7" w:rsidP="00D7533F">
            <w:pPr>
              <w:spacing w:line="280" w:lineRule="atLeast"/>
              <w:jc w:val="center"/>
              <w:rPr>
                <w:rFonts w:ascii="Calibri" w:hAnsi="Calibri" w:cstheme="minorHAnsi"/>
                <w:b/>
                <w:bCs/>
                <w:sz w:val="20"/>
              </w:rPr>
            </w:pPr>
            <w:r w:rsidRPr="0076189E">
              <w:rPr>
                <w:rFonts w:ascii="Calibri" w:hAnsi="Calibri" w:cstheme="minorHAnsi"/>
                <w:b/>
                <w:bCs/>
                <w:sz w:val="20"/>
              </w:rPr>
              <w:t>Rok</w:t>
            </w:r>
          </w:p>
        </w:tc>
        <w:tc>
          <w:tcPr>
            <w:tcW w:w="2054" w:type="dxa"/>
            <w:shd w:val="clear" w:color="auto" w:fill="E5F1FF"/>
            <w:vAlign w:val="center"/>
          </w:tcPr>
          <w:p w14:paraId="04FE1FE7" w14:textId="2FED6B10" w:rsidR="00CC27E7" w:rsidRPr="0076189E" w:rsidRDefault="00CC27E7" w:rsidP="00D7533F">
            <w:pPr>
              <w:spacing w:line="280" w:lineRule="atLeast"/>
              <w:jc w:val="center"/>
              <w:rPr>
                <w:rFonts w:ascii="Calibri" w:hAnsi="Calibri" w:cstheme="minorHAnsi"/>
                <w:b/>
                <w:bCs/>
                <w:sz w:val="20"/>
              </w:rPr>
            </w:pPr>
            <w:r w:rsidRPr="0076189E">
              <w:rPr>
                <w:rFonts w:ascii="Calibri" w:hAnsi="Calibri" w:cstheme="minorHAnsi"/>
                <w:b/>
                <w:bCs/>
                <w:sz w:val="20"/>
              </w:rPr>
              <w:t>Stav k 1. 1.</w:t>
            </w:r>
          </w:p>
        </w:tc>
        <w:tc>
          <w:tcPr>
            <w:tcW w:w="2054" w:type="dxa"/>
            <w:shd w:val="clear" w:color="auto" w:fill="E5F1FF"/>
            <w:vAlign w:val="center"/>
          </w:tcPr>
          <w:p w14:paraId="241AA58E" w14:textId="42310DF1" w:rsidR="00CC27E7" w:rsidRPr="0076189E" w:rsidRDefault="00CC27E7" w:rsidP="00D7533F">
            <w:pPr>
              <w:spacing w:line="280" w:lineRule="atLeast"/>
              <w:jc w:val="center"/>
              <w:rPr>
                <w:rFonts w:ascii="Calibri" w:hAnsi="Calibri" w:cstheme="minorHAnsi"/>
                <w:b/>
                <w:bCs/>
                <w:sz w:val="20"/>
              </w:rPr>
            </w:pPr>
            <w:r w:rsidRPr="0076189E">
              <w:rPr>
                <w:rFonts w:ascii="Calibri" w:hAnsi="Calibri" w:cstheme="minorHAnsi"/>
                <w:b/>
                <w:bCs/>
                <w:sz w:val="20"/>
              </w:rPr>
              <w:t>Snížení NNV</w:t>
            </w:r>
          </w:p>
        </w:tc>
        <w:tc>
          <w:tcPr>
            <w:tcW w:w="2054" w:type="dxa"/>
            <w:shd w:val="clear" w:color="auto" w:fill="E5F1FF"/>
            <w:vAlign w:val="center"/>
          </w:tcPr>
          <w:p w14:paraId="2D4DFAC0" w14:textId="780DAA7D" w:rsidR="00CC27E7" w:rsidRPr="0076189E" w:rsidRDefault="00CC27E7" w:rsidP="00D7533F">
            <w:pPr>
              <w:spacing w:line="280" w:lineRule="atLeast"/>
              <w:jc w:val="center"/>
              <w:rPr>
                <w:rFonts w:ascii="Calibri" w:hAnsi="Calibri" w:cstheme="minorHAnsi"/>
                <w:b/>
                <w:bCs/>
                <w:sz w:val="20"/>
              </w:rPr>
            </w:pPr>
            <w:r w:rsidRPr="0076189E">
              <w:rPr>
                <w:rFonts w:ascii="Calibri" w:hAnsi="Calibri" w:cstheme="minorHAnsi"/>
                <w:b/>
                <w:bCs/>
                <w:sz w:val="20"/>
              </w:rPr>
              <w:t>Stav k 31. 12.</w:t>
            </w:r>
          </w:p>
        </w:tc>
        <w:tc>
          <w:tcPr>
            <w:tcW w:w="2054" w:type="dxa"/>
            <w:shd w:val="clear" w:color="auto" w:fill="E5F1FF"/>
            <w:vAlign w:val="center"/>
          </w:tcPr>
          <w:p w14:paraId="23995A23" w14:textId="3F528541" w:rsidR="00CC27E7" w:rsidRPr="0076189E" w:rsidRDefault="00CC27E7" w:rsidP="00D7533F">
            <w:pPr>
              <w:spacing w:line="280" w:lineRule="atLeast"/>
              <w:jc w:val="center"/>
              <w:rPr>
                <w:rFonts w:ascii="Calibri" w:hAnsi="Calibri" w:cstheme="minorHAnsi"/>
                <w:b/>
                <w:bCs/>
                <w:sz w:val="20"/>
              </w:rPr>
            </w:pPr>
            <w:r w:rsidRPr="0076189E">
              <w:rPr>
                <w:rFonts w:ascii="Calibri" w:hAnsi="Calibri" w:cstheme="minorHAnsi"/>
                <w:b/>
                <w:bCs/>
                <w:sz w:val="20"/>
              </w:rPr>
              <w:t>Zvýšení NNV</w:t>
            </w:r>
          </w:p>
        </w:tc>
      </w:tr>
      <w:tr w:rsidR="00CC27E7" w14:paraId="573BBACE" w14:textId="77777777" w:rsidTr="0076189E">
        <w:tc>
          <w:tcPr>
            <w:tcW w:w="846" w:type="dxa"/>
            <w:vAlign w:val="center"/>
          </w:tcPr>
          <w:p w14:paraId="70BCBFA7" w14:textId="6FF0DBA6" w:rsidR="00CC27E7" w:rsidRPr="0076189E" w:rsidRDefault="00CC27E7" w:rsidP="0076189E">
            <w:pPr>
              <w:spacing w:line="280" w:lineRule="atLeast"/>
              <w:jc w:val="center"/>
              <w:rPr>
                <w:rFonts w:ascii="Calibri" w:hAnsi="Calibri" w:cstheme="minorHAnsi"/>
                <w:bCs/>
                <w:sz w:val="20"/>
              </w:rPr>
            </w:pPr>
            <w:r w:rsidRPr="0076189E">
              <w:rPr>
                <w:rFonts w:ascii="Calibri" w:hAnsi="Calibri" w:cstheme="minorHAnsi"/>
                <w:bCs/>
                <w:sz w:val="20"/>
              </w:rPr>
              <w:t>2008</w:t>
            </w:r>
          </w:p>
        </w:tc>
        <w:tc>
          <w:tcPr>
            <w:tcW w:w="2054" w:type="dxa"/>
            <w:vAlign w:val="center"/>
          </w:tcPr>
          <w:p w14:paraId="14115C16" w14:textId="41DD4F62"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0</w:t>
            </w:r>
          </w:p>
        </w:tc>
        <w:tc>
          <w:tcPr>
            <w:tcW w:w="2054" w:type="dxa"/>
            <w:vAlign w:val="center"/>
          </w:tcPr>
          <w:p w14:paraId="7906798D" w14:textId="623B3C4A"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0</w:t>
            </w:r>
          </w:p>
        </w:tc>
        <w:tc>
          <w:tcPr>
            <w:tcW w:w="2054" w:type="dxa"/>
            <w:vAlign w:val="center"/>
          </w:tcPr>
          <w:p w14:paraId="087213F5" w14:textId="1584CCFC"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0</w:t>
            </w:r>
          </w:p>
        </w:tc>
        <w:tc>
          <w:tcPr>
            <w:tcW w:w="2054" w:type="dxa"/>
            <w:vAlign w:val="center"/>
          </w:tcPr>
          <w:p w14:paraId="1B7449B1" w14:textId="22B89AD1"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72 492</w:t>
            </w:r>
          </w:p>
        </w:tc>
      </w:tr>
      <w:tr w:rsidR="00CC27E7" w14:paraId="71C1917D" w14:textId="77777777" w:rsidTr="0076189E">
        <w:tc>
          <w:tcPr>
            <w:tcW w:w="846" w:type="dxa"/>
            <w:vAlign w:val="center"/>
          </w:tcPr>
          <w:p w14:paraId="297A50D2" w14:textId="0627531D" w:rsidR="00CC27E7" w:rsidRPr="0076189E" w:rsidRDefault="00CC27E7" w:rsidP="0076189E">
            <w:pPr>
              <w:spacing w:line="280" w:lineRule="atLeast"/>
              <w:jc w:val="center"/>
              <w:rPr>
                <w:rFonts w:ascii="Calibri" w:hAnsi="Calibri" w:cstheme="minorHAnsi"/>
                <w:bCs/>
                <w:sz w:val="20"/>
              </w:rPr>
            </w:pPr>
            <w:r w:rsidRPr="0076189E">
              <w:rPr>
                <w:rFonts w:ascii="Calibri" w:hAnsi="Calibri" w:cstheme="minorHAnsi"/>
                <w:bCs/>
                <w:sz w:val="20"/>
              </w:rPr>
              <w:t>2009</w:t>
            </w:r>
          </w:p>
        </w:tc>
        <w:tc>
          <w:tcPr>
            <w:tcW w:w="2054" w:type="dxa"/>
            <w:vAlign w:val="center"/>
          </w:tcPr>
          <w:p w14:paraId="547B55EA" w14:textId="1F181167"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72 492</w:t>
            </w:r>
          </w:p>
        </w:tc>
        <w:tc>
          <w:tcPr>
            <w:tcW w:w="2054" w:type="dxa"/>
            <w:vAlign w:val="center"/>
          </w:tcPr>
          <w:p w14:paraId="1A9BD2BE" w14:textId="2D946D0D"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44 656</w:t>
            </w:r>
          </w:p>
        </w:tc>
        <w:tc>
          <w:tcPr>
            <w:tcW w:w="2054" w:type="dxa"/>
            <w:vAlign w:val="center"/>
          </w:tcPr>
          <w:p w14:paraId="66F0899B" w14:textId="3E0214D1"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27 386</w:t>
            </w:r>
          </w:p>
        </w:tc>
        <w:tc>
          <w:tcPr>
            <w:tcW w:w="2054" w:type="dxa"/>
            <w:vAlign w:val="center"/>
          </w:tcPr>
          <w:p w14:paraId="34DBDD32" w14:textId="52A439FB"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61 979</w:t>
            </w:r>
          </w:p>
        </w:tc>
      </w:tr>
      <w:tr w:rsidR="00CC27E7" w14:paraId="0CEB08BE" w14:textId="77777777" w:rsidTr="0076189E">
        <w:tc>
          <w:tcPr>
            <w:tcW w:w="846" w:type="dxa"/>
            <w:vAlign w:val="center"/>
          </w:tcPr>
          <w:p w14:paraId="29F76FCF" w14:textId="2DAC30EA" w:rsidR="00CC27E7" w:rsidRPr="0076189E" w:rsidRDefault="00CC27E7" w:rsidP="0076189E">
            <w:pPr>
              <w:spacing w:line="280" w:lineRule="atLeast"/>
              <w:jc w:val="center"/>
              <w:rPr>
                <w:rFonts w:ascii="Calibri" w:hAnsi="Calibri" w:cstheme="minorHAnsi"/>
                <w:bCs/>
                <w:sz w:val="20"/>
              </w:rPr>
            </w:pPr>
            <w:r w:rsidRPr="0076189E">
              <w:rPr>
                <w:rFonts w:ascii="Calibri" w:hAnsi="Calibri" w:cstheme="minorHAnsi"/>
                <w:bCs/>
                <w:sz w:val="20"/>
              </w:rPr>
              <w:t>2010</w:t>
            </w:r>
          </w:p>
        </w:tc>
        <w:tc>
          <w:tcPr>
            <w:tcW w:w="2054" w:type="dxa"/>
            <w:vAlign w:val="center"/>
          </w:tcPr>
          <w:p w14:paraId="1489145F" w14:textId="31DA53E5"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89 815</w:t>
            </w:r>
          </w:p>
        </w:tc>
        <w:tc>
          <w:tcPr>
            <w:tcW w:w="2054" w:type="dxa"/>
            <w:vAlign w:val="center"/>
          </w:tcPr>
          <w:p w14:paraId="69DF2E84" w14:textId="32284917"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64 520</w:t>
            </w:r>
          </w:p>
        </w:tc>
        <w:tc>
          <w:tcPr>
            <w:tcW w:w="2054" w:type="dxa"/>
            <w:vAlign w:val="center"/>
          </w:tcPr>
          <w:p w14:paraId="32086C06" w14:textId="70E573B2"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25 295</w:t>
            </w:r>
          </w:p>
        </w:tc>
        <w:tc>
          <w:tcPr>
            <w:tcW w:w="2054" w:type="dxa"/>
            <w:vAlign w:val="center"/>
          </w:tcPr>
          <w:p w14:paraId="0824F581" w14:textId="015143DB"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75 840</w:t>
            </w:r>
          </w:p>
        </w:tc>
      </w:tr>
      <w:tr w:rsidR="00CC27E7" w14:paraId="3BEAA082" w14:textId="77777777" w:rsidTr="0076189E">
        <w:tc>
          <w:tcPr>
            <w:tcW w:w="846" w:type="dxa"/>
            <w:vAlign w:val="center"/>
          </w:tcPr>
          <w:p w14:paraId="2FBB2150" w14:textId="539EC323" w:rsidR="00CC27E7" w:rsidRPr="0076189E" w:rsidRDefault="00CC27E7" w:rsidP="0076189E">
            <w:pPr>
              <w:spacing w:line="280" w:lineRule="atLeast"/>
              <w:jc w:val="center"/>
              <w:rPr>
                <w:rFonts w:ascii="Calibri" w:hAnsi="Calibri" w:cstheme="minorHAnsi"/>
                <w:bCs/>
                <w:sz w:val="20"/>
              </w:rPr>
            </w:pPr>
            <w:r w:rsidRPr="0076189E">
              <w:rPr>
                <w:rFonts w:ascii="Calibri" w:hAnsi="Calibri" w:cstheme="minorHAnsi"/>
                <w:bCs/>
                <w:sz w:val="20"/>
              </w:rPr>
              <w:t>2011</w:t>
            </w:r>
          </w:p>
        </w:tc>
        <w:tc>
          <w:tcPr>
            <w:tcW w:w="2054" w:type="dxa"/>
            <w:vAlign w:val="center"/>
          </w:tcPr>
          <w:p w14:paraId="38F9CE0F" w14:textId="0CB10596"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101 135</w:t>
            </w:r>
          </w:p>
        </w:tc>
        <w:tc>
          <w:tcPr>
            <w:tcW w:w="2054" w:type="dxa"/>
            <w:vAlign w:val="center"/>
          </w:tcPr>
          <w:p w14:paraId="6262E0AD" w14:textId="7E30063C"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64 577</w:t>
            </w:r>
          </w:p>
        </w:tc>
        <w:tc>
          <w:tcPr>
            <w:tcW w:w="2054" w:type="dxa"/>
            <w:vAlign w:val="center"/>
          </w:tcPr>
          <w:p w14:paraId="065234C7" w14:textId="136C1539"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36 558</w:t>
            </w:r>
          </w:p>
        </w:tc>
        <w:tc>
          <w:tcPr>
            <w:tcW w:w="2054" w:type="dxa"/>
            <w:vAlign w:val="center"/>
          </w:tcPr>
          <w:p w14:paraId="1ABF674C" w14:textId="25A4CABA"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 xml:space="preserve"> 93 375</w:t>
            </w:r>
          </w:p>
        </w:tc>
      </w:tr>
      <w:tr w:rsidR="00CC27E7" w14:paraId="5FC25B1A" w14:textId="77777777" w:rsidTr="0076189E">
        <w:tc>
          <w:tcPr>
            <w:tcW w:w="846" w:type="dxa"/>
            <w:vAlign w:val="center"/>
          </w:tcPr>
          <w:p w14:paraId="331C6329" w14:textId="4E88C821" w:rsidR="00CC27E7" w:rsidRPr="0076189E" w:rsidRDefault="00CC27E7" w:rsidP="0076189E">
            <w:pPr>
              <w:spacing w:line="280" w:lineRule="atLeast"/>
              <w:jc w:val="center"/>
              <w:rPr>
                <w:rFonts w:ascii="Calibri" w:hAnsi="Calibri" w:cstheme="minorHAnsi"/>
                <w:bCs/>
                <w:sz w:val="20"/>
              </w:rPr>
            </w:pPr>
            <w:r w:rsidRPr="0076189E">
              <w:rPr>
                <w:rFonts w:ascii="Calibri" w:hAnsi="Calibri" w:cstheme="minorHAnsi"/>
                <w:bCs/>
                <w:sz w:val="20"/>
              </w:rPr>
              <w:t>2012</w:t>
            </w:r>
          </w:p>
        </w:tc>
        <w:tc>
          <w:tcPr>
            <w:tcW w:w="2054" w:type="dxa"/>
            <w:vAlign w:val="center"/>
          </w:tcPr>
          <w:p w14:paraId="6314DDC1" w14:textId="70726C7B"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129 933</w:t>
            </w:r>
          </w:p>
        </w:tc>
        <w:tc>
          <w:tcPr>
            <w:tcW w:w="2054" w:type="dxa"/>
            <w:vAlign w:val="center"/>
          </w:tcPr>
          <w:p w14:paraId="328C285B" w14:textId="70B8AA5C"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74 218</w:t>
            </w:r>
          </w:p>
        </w:tc>
        <w:tc>
          <w:tcPr>
            <w:tcW w:w="2054" w:type="dxa"/>
            <w:vAlign w:val="center"/>
          </w:tcPr>
          <w:p w14:paraId="45F4EC79" w14:textId="776C790A"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55 715</w:t>
            </w:r>
          </w:p>
        </w:tc>
        <w:tc>
          <w:tcPr>
            <w:tcW w:w="2054" w:type="dxa"/>
            <w:vAlign w:val="center"/>
          </w:tcPr>
          <w:p w14:paraId="6020A763" w14:textId="176C6AF3"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77 481</w:t>
            </w:r>
          </w:p>
        </w:tc>
      </w:tr>
      <w:tr w:rsidR="00CC27E7" w14:paraId="32A78321" w14:textId="77777777" w:rsidTr="0076189E">
        <w:tc>
          <w:tcPr>
            <w:tcW w:w="846" w:type="dxa"/>
            <w:vAlign w:val="center"/>
          </w:tcPr>
          <w:p w14:paraId="3E2DE1FE" w14:textId="354F9890" w:rsidR="00CC27E7" w:rsidRPr="0076189E" w:rsidRDefault="00CC27E7" w:rsidP="0076189E">
            <w:pPr>
              <w:spacing w:line="280" w:lineRule="atLeast"/>
              <w:jc w:val="center"/>
              <w:rPr>
                <w:rFonts w:ascii="Calibri" w:hAnsi="Calibri" w:cstheme="minorHAnsi"/>
                <w:bCs/>
                <w:sz w:val="20"/>
              </w:rPr>
            </w:pPr>
            <w:r w:rsidRPr="0076189E">
              <w:rPr>
                <w:rFonts w:ascii="Calibri" w:hAnsi="Calibri" w:cstheme="minorHAnsi"/>
                <w:bCs/>
                <w:sz w:val="20"/>
              </w:rPr>
              <w:t>2013</w:t>
            </w:r>
          </w:p>
        </w:tc>
        <w:tc>
          <w:tcPr>
            <w:tcW w:w="2054" w:type="dxa"/>
            <w:vAlign w:val="center"/>
          </w:tcPr>
          <w:p w14:paraId="0143962F" w14:textId="499C8D33"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133 196</w:t>
            </w:r>
          </w:p>
        </w:tc>
        <w:tc>
          <w:tcPr>
            <w:tcW w:w="2054" w:type="dxa"/>
            <w:vAlign w:val="center"/>
          </w:tcPr>
          <w:p w14:paraId="18E53270" w14:textId="15E1C2E9"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90 372</w:t>
            </w:r>
          </w:p>
        </w:tc>
        <w:tc>
          <w:tcPr>
            <w:tcW w:w="2054" w:type="dxa"/>
            <w:vAlign w:val="center"/>
          </w:tcPr>
          <w:p w14:paraId="2BCCB05B" w14:textId="10FF0EE8"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42 824</w:t>
            </w:r>
          </w:p>
        </w:tc>
        <w:tc>
          <w:tcPr>
            <w:tcW w:w="2054" w:type="dxa"/>
            <w:vAlign w:val="center"/>
          </w:tcPr>
          <w:p w14:paraId="669664D7" w14:textId="23EB9ED8"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103 774</w:t>
            </w:r>
          </w:p>
        </w:tc>
      </w:tr>
      <w:tr w:rsidR="00CC27E7" w14:paraId="5802FA5D" w14:textId="77777777" w:rsidTr="0076189E">
        <w:tc>
          <w:tcPr>
            <w:tcW w:w="846" w:type="dxa"/>
            <w:vAlign w:val="center"/>
          </w:tcPr>
          <w:p w14:paraId="5F5E6440" w14:textId="21397FAA" w:rsidR="00CC27E7" w:rsidRPr="0076189E" w:rsidRDefault="00CC27E7" w:rsidP="0076189E">
            <w:pPr>
              <w:spacing w:line="280" w:lineRule="atLeast"/>
              <w:jc w:val="center"/>
              <w:rPr>
                <w:rFonts w:ascii="Calibri" w:hAnsi="Calibri" w:cstheme="minorHAnsi"/>
                <w:bCs/>
                <w:sz w:val="20"/>
              </w:rPr>
            </w:pPr>
            <w:r w:rsidRPr="0076189E">
              <w:rPr>
                <w:rFonts w:ascii="Calibri" w:hAnsi="Calibri" w:cstheme="minorHAnsi"/>
                <w:bCs/>
                <w:sz w:val="20"/>
              </w:rPr>
              <w:t>2014</w:t>
            </w:r>
          </w:p>
        </w:tc>
        <w:tc>
          <w:tcPr>
            <w:tcW w:w="2054" w:type="dxa"/>
            <w:vAlign w:val="center"/>
          </w:tcPr>
          <w:p w14:paraId="4338CE3B" w14:textId="35E36344"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146 598</w:t>
            </w:r>
          </w:p>
        </w:tc>
        <w:tc>
          <w:tcPr>
            <w:tcW w:w="2054" w:type="dxa"/>
            <w:vAlign w:val="center"/>
          </w:tcPr>
          <w:p w14:paraId="754C853F" w14:textId="6F63FE9E"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106 340</w:t>
            </w:r>
          </w:p>
        </w:tc>
        <w:tc>
          <w:tcPr>
            <w:tcW w:w="2054" w:type="dxa"/>
            <w:vAlign w:val="center"/>
          </w:tcPr>
          <w:p w14:paraId="13A0BD99" w14:textId="6A2BE836"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40 258</w:t>
            </w:r>
          </w:p>
        </w:tc>
        <w:tc>
          <w:tcPr>
            <w:tcW w:w="2054" w:type="dxa"/>
            <w:vAlign w:val="center"/>
          </w:tcPr>
          <w:p w14:paraId="189645DD" w14:textId="3178405A" w:rsidR="00CC27E7" w:rsidRPr="0076189E" w:rsidRDefault="00CC27E7" w:rsidP="00D7533F">
            <w:pPr>
              <w:spacing w:line="280" w:lineRule="atLeast"/>
              <w:jc w:val="right"/>
              <w:rPr>
                <w:rFonts w:ascii="Calibri" w:hAnsi="Calibri" w:cstheme="minorHAnsi"/>
                <w:bCs/>
                <w:sz w:val="20"/>
              </w:rPr>
            </w:pPr>
            <w:r w:rsidRPr="0076189E">
              <w:rPr>
                <w:rFonts w:ascii="Calibri" w:hAnsi="Calibri" w:cstheme="minorHAnsi"/>
                <w:bCs/>
                <w:sz w:val="20"/>
              </w:rPr>
              <w:t>114 681</w:t>
            </w:r>
          </w:p>
        </w:tc>
      </w:tr>
      <w:tr w:rsidR="00CC27E7" w14:paraId="17DE9F40" w14:textId="77777777" w:rsidTr="0076189E">
        <w:tc>
          <w:tcPr>
            <w:tcW w:w="846" w:type="dxa"/>
            <w:vAlign w:val="center"/>
          </w:tcPr>
          <w:p w14:paraId="03CA1317" w14:textId="52901A17" w:rsidR="00CC27E7" w:rsidRPr="0076189E" w:rsidRDefault="00CC27E7" w:rsidP="0076189E">
            <w:pPr>
              <w:spacing w:line="280" w:lineRule="atLeast"/>
              <w:jc w:val="center"/>
              <w:rPr>
                <w:rFonts w:ascii="Calibri" w:hAnsi="Calibri" w:cstheme="minorHAnsi"/>
                <w:bCs/>
                <w:sz w:val="20"/>
              </w:rPr>
            </w:pPr>
            <w:r w:rsidRPr="0076189E">
              <w:rPr>
                <w:rFonts w:ascii="Calibri" w:hAnsi="Calibri" w:cstheme="minorHAnsi"/>
                <w:bCs/>
                <w:sz w:val="20"/>
              </w:rPr>
              <w:t>2015</w:t>
            </w:r>
          </w:p>
        </w:tc>
        <w:tc>
          <w:tcPr>
            <w:tcW w:w="2054" w:type="dxa"/>
            <w:vAlign w:val="center"/>
          </w:tcPr>
          <w:p w14:paraId="7A4AFB4B" w14:textId="393AA660" w:rsidR="00CC27E7" w:rsidRPr="0076189E" w:rsidRDefault="00D7533F" w:rsidP="00D7533F">
            <w:pPr>
              <w:spacing w:line="280" w:lineRule="atLeast"/>
              <w:jc w:val="right"/>
              <w:rPr>
                <w:rFonts w:ascii="Calibri" w:hAnsi="Calibri" w:cstheme="minorHAnsi"/>
                <w:bCs/>
                <w:sz w:val="20"/>
              </w:rPr>
            </w:pPr>
            <w:r w:rsidRPr="0076189E">
              <w:rPr>
                <w:rFonts w:ascii="Calibri" w:hAnsi="Calibri" w:cstheme="minorHAnsi"/>
                <w:bCs/>
                <w:sz w:val="20"/>
              </w:rPr>
              <w:t>154 939</w:t>
            </w:r>
          </w:p>
        </w:tc>
        <w:tc>
          <w:tcPr>
            <w:tcW w:w="2054" w:type="dxa"/>
            <w:vAlign w:val="center"/>
          </w:tcPr>
          <w:p w14:paraId="29977751" w14:textId="11566546" w:rsidR="00CC27E7" w:rsidRPr="0076189E" w:rsidRDefault="00D7533F" w:rsidP="00D7533F">
            <w:pPr>
              <w:spacing w:line="280" w:lineRule="atLeast"/>
              <w:jc w:val="right"/>
              <w:rPr>
                <w:rFonts w:ascii="Calibri" w:hAnsi="Calibri" w:cstheme="minorHAnsi"/>
                <w:bCs/>
                <w:sz w:val="20"/>
              </w:rPr>
            </w:pPr>
            <w:r w:rsidRPr="0076189E">
              <w:rPr>
                <w:rFonts w:ascii="Calibri" w:hAnsi="Calibri" w:cstheme="minorHAnsi"/>
                <w:bCs/>
                <w:sz w:val="20"/>
              </w:rPr>
              <w:t>126 337</w:t>
            </w:r>
          </w:p>
        </w:tc>
        <w:tc>
          <w:tcPr>
            <w:tcW w:w="2054" w:type="dxa"/>
            <w:vAlign w:val="center"/>
          </w:tcPr>
          <w:p w14:paraId="32C916B3" w14:textId="2316FEFC" w:rsidR="00CC27E7" w:rsidRPr="0076189E" w:rsidRDefault="00D7533F" w:rsidP="00D7533F">
            <w:pPr>
              <w:spacing w:line="280" w:lineRule="atLeast"/>
              <w:jc w:val="right"/>
              <w:rPr>
                <w:rFonts w:ascii="Calibri" w:hAnsi="Calibri" w:cstheme="minorHAnsi"/>
                <w:bCs/>
                <w:sz w:val="20"/>
              </w:rPr>
            </w:pPr>
            <w:r w:rsidRPr="0076189E">
              <w:rPr>
                <w:rFonts w:ascii="Calibri" w:hAnsi="Calibri" w:cstheme="minorHAnsi"/>
                <w:bCs/>
                <w:sz w:val="20"/>
              </w:rPr>
              <w:t>28 602</w:t>
            </w:r>
          </w:p>
        </w:tc>
        <w:tc>
          <w:tcPr>
            <w:tcW w:w="2054" w:type="dxa"/>
            <w:vAlign w:val="center"/>
          </w:tcPr>
          <w:p w14:paraId="67789450" w14:textId="4440BC33" w:rsidR="00CC27E7" w:rsidRPr="0076189E" w:rsidRDefault="00D7533F" w:rsidP="00D7533F">
            <w:pPr>
              <w:spacing w:line="280" w:lineRule="atLeast"/>
              <w:jc w:val="right"/>
              <w:rPr>
                <w:rFonts w:ascii="Calibri" w:hAnsi="Calibri" w:cstheme="minorHAnsi"/>
                <w:bCs/>
                <w:sz w:val="20"/>
              </w:rPr>
            </w:pPr>
            <w:r w:rsidRPr="0076189E">
              <w:rPr>
                <w:rFonts w:ascii="Calibri" w:hAnsi="Calibri" w:cstheme="minorHAnsi"/>
                <w:bCs/>
                <w:sz w:val="20"/>
              </w:rPr>
              <w:t>122 633</w:t>
            </w:r>
          </w:p>
        </w:tc>
      </w:tr>
      <w:tr w:rsidR="00D7533F" w14:paraId="7E212F7C" w14:textId="77777777" w:rsidTr="0076189E">
        <w:tc>
          <w:tcPr>
            <w:tcW w:w="846" w:type="dxa"/>
            <w:vAlign w:val="center"/>
          </w:tcPr>
          <w:p w14:paraId="60651890" w14:textId="5A27B583" w:rsidR="00D7533F" w:rsidRPr="0076189E" w:rsidRDefault="00D7533F" w:rsidP="0076189E">
            <w:pPr>
              <w:spacing w:line="280" w:lineRule="atLeast"/>
              <w:jc w:val="center"/>
              <w:rPr>
                <w:rFonts w:ascii="Calibri" w:hAnsi="Calibri" w:cstheme="minorHAnsi"/>
                <w:bCs/>
                <w:sz w:val="20"/>
              </w:rPr>
            </w:pPr>
            <w:r w:rsidRPr="0076189E">
              <w:rPr>
                <w:rFonts w:ascii="Calibri" w:hAnsi="Calibri" w:cstheme="minorHAnsi"/>
                <w:bCs/>
                <w:sz w:val="20"/>
              </w:rPr>
              <w:t>2016</w:t>
            </w:r>
          </w:p>
        </w:tc>
        <w:tc>
          <w:tcPr>
            <w:tcW w:w="2054" w:type="dxa"/>
            <w:vAlign w:val="center"/>
          </w:tcPr>
          <w:p w14:paraId="216C4912" w14:textId="406B3A08" w:rsidR="00D7533F" w:rsidRPr="0076189E" w:rsidRDefault="00D7533F" w:rsidP="00D7533F">
            <w:pPr>
              <w:spacing w:line="280" w:lineRule="atLeast"/>
              <w:jc w:val="right"/>
              <w:rPr>
                <w:rFonts w:ascii="Calibri" w:hAnsi="Calibri" w:cstheme="minorHAnsi"/>
                <w:bCs/>
                <w:sz w:val="20"/>
              </w:rPr>
            </w:pPr>
            <w:r w:rsidRPr="0076189E">
              <w:rPr>
                <w:rFonts w:ascii="Calibri" w:hAnsi="Calibri" w:cstheme="minorHAnsi"/>
                <w:bCs/>
                <w:sz w:val="20"/>
              </w:rPr>
              <w:t>151 235</w:t>
            </w:r>
          </w:p>
        </w:tc>
        <w:tc>
          <w:tcPr>
            <w:tcW w:w="2054" w:type="dxa"/>
            <w:vAlign w:val="center"/>
          </w:tcPr>
          <w:p w14:paraId="523BFB93" w14:textId="6C9E1DC5" w:rsidR="00D7533F" w:rsidRPr="0076189E" w:rsidRDefault="00D7533F" w:rsidP="00D7533F">
            <w:pPr>
              <w:spacing w:line="280" w:lineRule="atLeast"/>
              <w:jc w:val="right"/>
              <w:rPr>
                <w:rFonts w:ascii="Calibri" w:hAnsi="Calibri" w:cstheme="minorHAnsi"/>
                <w:bCs/>
                <w:sz w:val="20"/>
              </w:rPr>
            </w:pPr>
            <w:r w:rsidRPr="0076189E">
              <w:rPr>
                <w:rFonts w:ascii="Calibri" w:hAnsi="Calibri" w:cstheme="minorHAnsi"/>
                <w:bCs/>
                <w:sz w:val="20"/>
              </w:rPr>
              <w:t>116 380</w:t>
            </w:r>
          </w:p>
        </w:tc>
        <w:tc>
          <w:tcPr>
            <w:tcW w:w="2054" w:type="dxa"/>
            <w:vAlign w:val="center"/>
          </w:tcPr>
          <w:p w14:paraId="622F0D8B" w14:textId="08E8F8BE" w:rsidR="00D7533F" w:rsidRPr="0076189E" w:rsidRDefault="00D7533F" w:rsidP="00D7533F">
            <w:pPr>
              <w:spacing w:line="280" w:lineRule="atLeast"/>
              <w:jc w:val="right"/>
              <w:rPr>
                <w:rFonts w:ascii="Calibri" w:hAnsi="Calibri" w:cstheme="minorHAnsi"/>
                <w:bCs/>
                <w:sz w:val="20"/>
              </w:rPr>
            </w:pPr>
            <w:r w:rsidRPr="0076189E">
              <w:rPr>
                <w:rFonts w:ascii="Calibri" w:hAnsi="Calibri" w:cstheme="minorHAnsi"/>
                <w:bCs/>
                <w:sz w:val="20"/>
              </w:rPr>
              <w:t>34 855</w:t>
            </w:r>
          </w:p>
        </w:tc>
        <w:tc>
          <w:tcPr>
            <w:tcW w:w="2054" w:type="dxa"/>
            <w:vAlign w:val="center"/>
          </w:tcPr>
          <w:p w14:paraId="422770DA" w14:textId="5560C1A2" w:rsidR="00D7533F" w:rsidRPr="0076189E" w:rsidRDefault="00D7533F" w:rsidP="00D7533F">
            <w:pPr>
              <w:spacing w:line="280" w:lineRule="atLeast"/>
              <w:jc w:val="right"/>
              <w:rPr>
                <w:rFonts w:ascii="Calibri" w:hAnsi="Calibri" w:cstheme="minorHAnsi"/>
                <w:bCs/>
                <w:sz w:val="20"/>
              </w:rPr>
            </w:pPr>
            <w:r w:rsidRPr="0076189E">
              <w:rPr>
                <w:rFonts w:ascii="Calibri" w:hAnsi="Calibri" w:cstheme="minorHAnsi"/>
                <w:bCs/>
                <w:sz w:val="20"/>
              </w:rPr>
              <w:t>.</w:t>
            </w:r>
          </w:p>
        </w:tc>
      </w:tr>
    </w:tbl>
    <w:p w14:paraId="139A94FB" w14:textId="10910249" w:rsidR="00CC27E7" w:rsidRPr="0084400A" w:rsidRDefault="0084400A" w:rsidP="00D51FC5">
      <w:pPr>
        <w:spacing w:line="280" w:lineRule="atLeast"/>
        <w:rPr>
          <w:rFonts w:cstheme="minorHAnsi"/>
          <w:bCs/>
          <w:sz w:val="20"/>
          <w:szCs w:val="20"/>
        </w:rPr>
      </w:pPr>
      <w:r w:rsidRPr="0084400A">
        <w:rPr>
          <w:rFonts w:cstheme="minorHAnsi"/>
          <w:b/>
          <w:bCs/>
          <w:sz w:val="20"/>
          <w:szCs w:val="20"/>
        </w:rPr>
        <w:t>Zdroj:</w:t>
      </w:r>
      <w:r w:rsidRPr="0084400A">
        <w:rPr>
          <w:rFonts w:cstheme="minorHAnsi"/>
          <w:bCs/>
          <w:sz w:val="20"/>
          <w:szCs w:val="20"/>
        </w:rPr>
        <w:t xml:space="preserve"> </w:t>
      </w:r>
      <w:r w:rsidR="00F04C4C">
        <w:rPr>
          <w:rFonts w:cstheme="minorHAnsi"/>
          <w:bCs/>
          <w:sz w:val="20"/>
          <w:szCs w:val="20"/>
        </w:rPr>
        <w:t>s</w:t>
      </w:r>
      <w:r w:rsidR="00F04C4C" w:rsidRPr="0084400A">
        <w:rPr>
          <w:rFonts w:cstheme="minorHAnsi"/>
          <w:bCs/>
          <w:sz w:val="20"/>
          <w:szCs w:val="20"/>
        </w:rPr>
        <w:t xml:space="preserve">tátní </w:t>
      </w:r>
      <w:r w:rsidRPr="0084400A">
        <w:rPr>
          <w:rFonts w:cstheme="minorHAnsi"/>
          <w:bCs/>
          <w:sz w:val="20"/>
          <w:szCs w:val="20"/>
        </w:rPr>
        <w:t>závěrečné účty za roky 2005, 2007 a 2009; IISSP a vlastní výpočet.</w:t>
      </w:r>
    </w:p>
    <w:p w14:paraId="443D2FF3" w14:textId="2C712FEF" w:rsidR="0084400A" w:rsidRPr="0084400A" w:rsidRDefault="0084400A" w:rsidP="00D51FC5">
      <w:pPr>
        <w:spacing w:line="280" w:lineRule="atLeast"/>
        <w:rPr>
          <w:rFonts w:cstheme="minorHAnsi"/>
          <w:bCs/>
          <w:sz w:val="20"/>
          <w:szCs w:val="20"/>
        </w:rPr>
      </w:pPr>
      <w:r w:rsidRPr="0084400A">
        <w:rPr>
          <w:rFonts w:cstheme="minorHAnsi"/>
          <w:b/>
          <w:bCs/>
          <w:sz w:val="20"/>
          <w:szCs w:val="20"/>
        </w:rPr>
        <w:t>Pozn.:</w:t>
      </w:r>
      <w:r w:rsidRPr="0084400A">
        <w:rPr>
          <w:rFonts w:cstheme="minorHAnsi"/>
          <w:bCs/>
          <w:sz w:val="20"/>
          <w:szCs w:val="20"/>
        </w:rPr>
        <w:t xml:space="preserve"> „</w:t>
      </w:r>
      <w:r w:rsidRPr="00BC3C55">
        <w:rPr>
          <w:rFonts w:cstheme="minorHAnsi"/>
          <w:bCs/>
          <w:sz w:val="20"/>
          <w:szCs w:val="20"/>
        </w:rPr>
        <w:t>Zvýšení NNV“, tj. rozdíl mezi stavem NNV k 31. 12. běžného roku a k 1. 1. následujícího roku; stav NNV k 1. 1. 2017</w:t>
      </w:r>
      <w:r w:rsidRPr="0084400A">
        <w:rPr>
          <w:rFonts w:cstheme="minorHAnsi"/>
          <w:bCs/>
          <w:sz w:val="20"/>
          <w:szCs w:val="20"/>
        </w:rPr>
        <w:t xml:space="preserve"> nebyl v době schválení kontrolního závěru znám; stav NNV k 31. 12. 2016 je pouze předběžný údaj z IISSP (k 10. 1. 2017).</w:t>
      </w:r>
    </w:p>
    <w:p w14:paraId="43493632" w14:textId="77777777" w:rsidR="00194849" w:rsidRPr="00A8241B" w:rsidRDefault="00CF06FA" w:rsidP="00194849">
      <w:pPr>
        <w:spacing w:line="280" w:lineRule="atLeast"/>
        <w:rPr>
          <w:rFonts w:cstheme="minorHAnsi"/>
          <w:bCs/>
        </w:rPr>
      </w:pPr>
      <w:r w:rsidRPr="00873FD6">
        <w:rPr>
          <w:rFonts w:cstheme="minorHAnsi"/>
          <w:bCs/>
        </w:rPr>
        <w:lastRenderedPageBreak/>
        <w:t xml:space="preserve">Rozdíl mezi konečným rozpočtem a skutečností, který bude k 1. 1. zanesen do evidence NNV, je </w:t>
      </w:r>
      <w:r>
        <w:rPr>
          <w:rFonts w:cstheme="minorHAnsi"/>
          <w:bCs/>
        </w:rPr>
        <w:t xml:space="preserve">ovlivněn i výší </w:t>
      </w:r>
      <w:r w:rsidRPr="00873FD6">
        <w:rPr>
          <w:rFonts w:cstheme="minorHAnsi"/>
          <w:bCs/>
        </w:rPr>
        <w:t xml:space="preserve">schváleného </w:t>
      </w:r>
      <w:r w:rsidRPr="00B06601">
        <w:rPr>
          <w:rFonts w:cstheme="minorHAnsi"/>
          <w:bCs/>
        </w:rPr>
        <w:t xml:space="preserve">rozpočtu. Čím více </w:t>
      </w:r>
      <w:r>
        <w:rPr>
          <w:rFonts w:cstheme="minorHAnsi"/>
          <w:bCs/>
        </w:rPr>
        <w:t>odráží schválený rozpočet reálné potřeby OSS</w:t>
      </w:r>
      <w:r w:rsidRPr="00B06601">
        <w:rPr>
          <w:rFonts w:cstheme="minorHAnsi"/>
          <w:bCs/>
        </w:rPr>
        <w:t>, tím nižší je</w:t>
      </w:r>
      <w:r>
        <w:rPr>
          <w:rFonts w:cstheme="minorHAnsi"/>
          <w:bCs/>
        </w:rPr>
        <w:t xml:space="preserve"> riziko</w:t>
      </w:r>
      <w:r w:rsidRPr="00B06601">
        <w:rPr>
          <w:rFonts w:cstheme="minorHAnsi"/>
          <w:bCs/>
        </w:rPr>
        <w:t xml:space="preserve"> růstu NNV z důvodu převedení výdajů</w:t>
      </w:r>
      <w:r>
        <w:rPr>
          <w:rFonts w:cstheme="minorHAnsi"/>
          <w:bCs/>
        </w:rPr>
        <w:t xml:space="preserve"> (</w:t>
      </w:r>
      <w:r w:rsidRPr="00B06601">
        <w:rPr>
          <w:rFonts w:cstheme="minorHAnsi"/>
          <w:bCs/>
        </w:rPr>
        <w:t>úkolů</w:t>
      </w:r>
      <w:r>
        <w:rPr>
          <w:rFonts w:cstheme="minorHAnsi"/>
          <w:bCs/>
        </w:rPr>
        <w:t>)</w:t>
      </w:r>
      <w:r w:rsidRPr="00B06601">
        <w:rPr>
          <w:rFonts w:cstheme="minorHAnsi"/>
          <w:bCs/>
        </w:rPr>
        <w:t xml:space="preserve"> do následujících rozpočtových období.</w:t>
      </w:r>
      <w:r w:rsidRPr="00873FD6">
        <w:rPr>
          <w:rFonts w:cstheme="minorHAnsi"/>
          <w:bCs/>
        </w:rPr>
        <w:t xml:space="preserve"> </w:t>
      </w:r>
    </w:p>
    <w:p w14:paraId="6AB0E332" w14:textId="77777777" w:rsidR="00194849" w:rsidRPr="00A8241B" w:rsidRDefault="00194849" w:rsidP="00194849">
      <w:pPr>
        <w:spacing w:line="280" w:lineRule="atLeast"/>
        <w:rPr>
          <w:rFonts w:cstheme="minorHAnsi"/>
          <w:bCs/>
        </w:rPr>
      </w:pPr>
    </w:p>
    <w:p w14:paraId="1F08D680" w14:textId="26144698" w:rsidR="00194849" w:rsidRPr="00A8241B" w:rsidRDefault="00CF06FA" w:rsidP="00A16233">
      <w:pPr>
        <w:spacing w:line="280" w:lineRule="atLeast"/>
        <w:rPr>
          <w:rFonts w:cstheme="minorHAnsi"/>
          <w:bCs/>
        </w:rPr>
      </w:pPr>
      <w:r w:rsidRPr="00A8241B">
        <w:rPr>
          <w:rFonts w:cstheme="minorHAnsi"/>
          <w:bCs/>
        </w:rPr>
        <w:t>Výdaje</w:t>
      </w:r>
      <w:r w:rsidR="00F04C4C">
        <w:rPr>
          <w:rFonts w:cstheme="minorHAnsi"/>
          <w:bCs/>
        </w:rPr>
        <w:t>,</w:t>
      </w:r>
      <w:r w:rsidRPr="00A8241B">
        <w:rPr>
          <w:rFonts w:cstheme="minorHAnsi"/>
          <w:bCs/>
        </w:rPr>
        <w:t xml:space="preserve"> pro potřeby členění nároků z nespotřebovaných výdajů</w:t>
      </w:r>
      <w:r>
        <w:rPr>
          <w:rStyle w:val="Znakapoznpodarou"/>
          <w:bCs/>
        </w:rPr>
        <w:footnoteReference w:id="5"/>
      </w:r>
      <w:r w:rsidR="00F04C4C">
        <w:rPr>
          <w:rFonts w:cstheme="minorHAnsi"/>
          <w:bCs/>
        </w:rPr>
        <w:t>, jsou</w:t>
      </w:r>
      <w:r w:rsidRPr="00A8241B">
        <w:rPr>
          <w:rFonts w:cstheme="minorHAnsi"/>
          <w:bCs/>
        </w:rPr>
        <w:t xml:space="preserve"> rozděleny </w:t>
      </w:r>
      <w:proofErr w:type="gramStart"/>
      <w:r w:rsidRPr="00A8241B">
        <w:rPr>
          <w:rFonts w:cstheme="minorHAnsi"/>
          <w:bCs/>
        </w:rPr>
        <w:t>na</w:t>
      </w:r>
      <w:proofErr w:type="gramEnd"/>
      <w:r w:rsidRPr="00A8241B">
        <w:rPr>
          <w:rFonts w:cstheme="minorHAnsi"/>
          <w:bCs/>
        </w:rPr>
        <w:t>:</w:t>
      </w:r>
    </w:p>
    <w:p w14:paraId="31199E1B" w14:textId="77777777" w:rsidR="00194849" w:rsidRPr="00B06601" w:rsidRDefault="00CF06FA" w:rsidP="00E7535E">
      <w:pPr>
        <w:pStyle w:val="Odstavecseseznamem"/>
        <w:numPr>
          <w:ilvl w:val="0"/>
          <w:numId w:val="29"/>
        </w:numPr>
        <w:spacing w:after="0" w:line="280" w:lineRule="atLeast"/>
      </w:pPr>
      <w:r w:rsidRPr="00A8241B">
        <w:rPr>
          <w:b/>
        </w:rPr>
        <w:t>profilující</w:t>
      </w:r>
      <w:r w:rsidRPr="00A8241B">
        <w:t xml:space="preserve"> </w:t>
      </w:r>
      <w:r>
        <w:t>–</w:t>
      </w:r>
      <w:r w:rsidRPr="00A8241B">
        <w:t xml:space="preserve"> účelové, jejichž použití je časově omezeno</w:t>
      </w:r>
      <w:r>
        <w:t xml:space="preserve"> a rozloženo</w:t>
      </w:r>
      <w:r w:rsidRPr="00B06601">
        <w:t xml:space="preserve"> do několika rozpočtových období;</w:t>
      </w:r>
    </w:p>
    <w:p w14:paraId="3ED32EBA" w14:textId="77777777" w:rsidR="00194849" w:rsidRPr="00B06601" w:rsidRDefault="00CF06FA" w:rsidP="00E7535E">
      <w:pPr>
        <w:pStyle w:val="Odstavecseseznamem"/>
        <w:numPr>
          <w:ilvl w:val="0"/>
          <w:numId w:val="29"/>
        </w:numPr>
        <w:spacing w:after="0" w:line="280" w:lineRule="atLeast"/>
      </w:pPr>
      <w:r w:rsidRPr="00A8241B">
        <w:rPr>
          <w:b/>
        </w:rPr>
        <w:t>neprofilující</w:t>
      </w:r>
      <w:r w:rsidRPr="00B06601">
        <w:t xml:space="preserve"> – neúčelové, </w:t>
      </w:r>
      <w:r>
        <w:t xml:space="preserve">jejichž použití není </w:t>
      </w:r>
      <w:r w:rsidRPr="00B06601">
        <w:t>časově omezen</w:t>
      </w:r>
      <w:r>
        <w:t>o</w:t>
      </w:r>
      <w:r w:rsidRPr="00B06601">
        <w:t>.</w:t>
      </w:r>
    </w:p>
    <w:p w14:paraId="46B462E5" w14:textId="77777777" w:rsidR="00194849" w:rsidRDefault="00194849" w:rsidP="00194849">
      <w:pPr>
        <w:spacing w:line="280" w:lineRule="atLeast"/>
        <w:rPr>
          <w:rFonts w:cstheme="minorHAnsi"/>
          <w:bCs/>
        </w:rPr>
      </w:pPr>
    </w:p>
    <w:p w14:paraId="1142D66B" w14:textId="2D1FF425" w:rsidR="00194849" w:rsidRDefault="00CF06FA" w:rsidP="00194849">
      <w:pPr>
        <w:spacing w:line="280" w:lineRule="atLeast"/>
        <w:rPr>
          <w:rFonts w:cstheme="minorHAnsi"/>
          <w:bCs/>
        </w:rPr>
      </w:pPr>
      <w:r>
        <w:rPr>
          <w:rFonts w:cstheme="minorHAnsi"/>
          <w:bCs/>
        </w:rPr>
        <w:t>Nároky z nespotřebovaných výdajů nevznikají u profilujících výdajů na sociální dávky a dále v</w:t>
      </w:r>
      <w:r w:rsidR="00CC373B">
        <w:rPr>
          <w:rFonts w:cstheme="minorHAnsi"/>
          <w:bCs/>
        </w:rPr>
        <w:t> </w:t>
      </w:r>
      <w:r>
        <w:rPr>
          <w:rFonts w:cstheme="minorHAnsi"/>
          <w:bCs/>
        </w:rPr>
        <w:t>případě</w:t>
      </w:r>
      <w:r w:rsidR="00CC373B">
        <w:rPr>
          <w:rFonts w:cstheme="minorHAnsi"/>
          <w:bCs/>
        </w:rPr>
        <w:t>,</w:t>
      </w:r>
      <w:r>
        <w:rPr>
          <w:rFonts w:cstheme="minorHAnsi"/>
          <w:bCs/>
        </w:rPr>
        <w:t xml:space="preserve"> nejsou-li vykázány za minulý rok ve výkaz</w:t>
      </w:r>
      <w:r w:rsidR="00CC373B">
        <w:rPr>
          <w:rFonts w:cstheme="minorHAnsi"/>
          <w:bCs/>
        </w:rPr>
        <w:t>u</w:t>
      </w:r>
      <w:r>
        <w:rPr>
          <w:rStyle w:val="Znakapoznpodarou"/>
          <w:bCs/>
        </w:rPr>
        <w:footnoteReference w:id="6"/>
      </w:r>
      <w:r>
        <w:rPr>
          <w:rFonts w:cstheme="minorHAnsi"/>
          <w:bCs/>
        </w:rPr>
        <w:t xml:space="preserve"> za leden běžného roku.</w:t>
      </w:r>
    </w:p>
    <w:p w14:paraId="4C287793" w14:textId="77777777" w:rsidR="00194849" w:rsidRDefault="00194849" w:rsidP="00194849">
      <w:pPr>
        <w:spacing w:line="280" w:lineRule="atLeast"/>
        <w:rPr>
          <w:rFonts w:cstheme="minorHAnsi"/>
          <w:bCs/>
        </w:rPr>
      </w:pPr>
    </w:p>
    <w:p w14:paraId="47801ECA" w14:textId="3DE607A2" w:rsidR="00194849" w:rsidRPr="00497D50" w:rsidRDefault="00CF06FA" w:rsidP="00A16233">
      <w:r w:rsidRPr="00497D50">
        <w:t>Podle zákona č. 218/2000 Sb.</w:t>
      </w:r>
      <w:r>
        <w:rPr>
          <w:rStyle w:val="Znakapoznpodarou"/>
        </w:rPr>
        <w:footnoteReference w:id="7"/>
      </w:r>
      <w:r w:rsidRPr="00497D50">
        <w:t xml:space="preserve"> do </w:t>
      </w:r>
      <w:r w:rsidRPr="00497D50">
        <w:rPr>
          <w:b/>
        </w:rPr>
        <w:t>nároků z nespotřebovaných profilujících výdajů</w:t>
      </w:r>
      <w:r w:rsidRPr="00497D50">
        <w:t xml:space="preserve"> patří </w:t>
      </w:r>
      <w:r w:rsidR="00CC373B">
        <w:t>nároky z nespotřebovaných</w:t>
      </w:r>
      <w:r w:rsidRPr="00497D50">
        <w:t xml:space="preserve"> výdajů:</w:t>
      </w:r>
    </w:p>
    <w:p w14:paraId="7BE08FD5" w14:textId="75E3EAB0" w:rsidR="00194849" w:rsidRDefault="00CF06FA" w:rsidP="00E7535E">
      <w:pPr>
        <w:pStyle w:val="Odstavecseseznamem"/>
        <w:numPr>
          <w:ilvl w:val="0"/>
          <w:numId w:val="29"/>
        </w:numPr>
        <w:spacing w:after="0"/>
        <w:ind w:left="709" w:hanging="357"/>
      </w:pPr>
      <w:r>
        <w:t>na platy státní</w:t>
      </w:r>
      <w:r w:rsidR="00C06BF6">
        <w:t xml:space="preserve">ch zaměstnanců a </w:t>
      </w:r>
      <w:r>
        <w:t>na platy a ostatní platby za provedenou práci kromě platů státních zaměstnanců (od 20. 2. 2015);</w:t>
      </w:r>
    </w:p>
    <w:p w14:paraId="70FADFB4" w14:textId="77777777" w:rsidR="00194849" w:rsidRDefault="00CF06FA" w:rsidP="00E7535E">
      <w:pPr>
        <w:pStyle w:val="Odstavecseseznamem"/>
        <w:numPr>
          <w:ilvl w:val="0"/>
          <w:numId w:val="29"/>
        </w:numPr>
        <w:spacing w:after="0"/>
        <w:ind w:left="709" w:hanging="357"/>
      </w:pPr>
      <w:r>
        <w:t>na jejichž provedení dostává Česká republika peněžní prostředky nebo jejich část z rozpočtu Evropské unie;</w:t>
      </w:r>
    </w:p>
    <w:p w14:paraId="6364EA02" w14:textId="77777777" w:rsidR="00194849" w:rsidRDefault="00CF06FA" w:rsidP="00E7535E">
      <w:pPr>
        <w:pStyle w:val="Odstavecseseznamem"/>
        <w:numPr>
          <w:ilvl w:val="0"/>
          <w:numId w:val="29"/>
        </w:numPr>
        <w:spacing w:after="0"/>
        <w:ind w:left="709" w:hanging="357"/>
      </w:pPr>
      <w:r>
        <w:t>na jejichž provedení dostává Česká republika peněžní prostředky nebo jejich část z finančních mechanismů;</w:t>
      </w:r>
    </w:p>
    <w:p w14:paraId="3172450A" w14:textId="77777777" w:rsidR="00194849" w:rsidRDefault="00CF06FA" w:rsidP="00E7535E">
      <w:pPr>
        <w:pStyle w:val="Odstavecseseznamem"/>
        <w:numPr>
          <w:ilvl w:val="0"/>
          <w:numId w:val="29"/>
        </w:numPr>
        <w:spacing w:after="0"/>
        <w:ind w:left="709" w:hanging="357"/>
      </w:pPr>
      <w:r>
        <w:t>na jejichž provedení dostává Česká republika peněžní prostředky nebo jejich část od Organizace Severoatlantické smlouvy;</w:t>
      </w:r>
    </w:p>
    <w:p w14:paraId="07CF6335" w14:textId="77777777" w:rsidR="00194849" w:rsidRDefault="00CF06FA" w:rsidP="00E7535E">
      <w:pPr>
        <w:pStyle w:val="Odstavecseseznamem"/>
        <w:numPr>
          <w:ilvl w:val="0"/>
          <w:numId w:val="29"/>
        </w:numPr>
        <w:spacing w:after="0"/>
        <w:ind w:left="709" w:hanging="357"/>
      </w:pPr>
      <w:r>
        <w:t xml:space="preserve">na programy podle ustanovení § 13 odst. 3 zákona č. 218/2000 Sb.; </w:t>
      </w:r>
    </w:p>
    <w:p w14:paraId="3A1DA22D" w14:textId="3CBFA3AC" w:rsidR="00194849" w:rsidRDefault="00CF06FA" w:rsidP="00E7535E">
      <w:pPr>
        <w:pStyle w:val="Odstavecseseznamem"/>
        <w:numPr>
          <w:ilvl w:val="0"/>
          <w:numId w:val="29"/>
        </w:numPr>
        <w:spacing w:after="0"/>
        <w:ind w:left="709" w:hanging="357"/>
      </w:pPr>
      <w:r>
        <w:t>účelově určen</w:t>
      </w:r>
      <w:r w:rsidR="00CC373B">
        <w:t>ých</w:t>
      </w:r>
      <w:r>
        <w:t xml:space="preserve"> podle ustanovení § 21 odst. 3 a 4 zákona č. 218/2000 Sb.;</w:t>
      </w:r>
    </w:p>
    <w:p w14:paraId="1DE35B7C" w14:textId="77777777" w:rsidR="00194849" w:rsidRDefault="00CF06FA" w:rsidP="00E7535E">
      <w:pPr>
        <w:pStyle w:val="Odstavecseseznamem"/>
        <w:numPr>
          <w:ilvl w:val="0"/>
          <w:numId w:val="29"/>
        </w:numPr>
        <w:spacing w:after="0"/>
        <w:ind w:left="709" w:hanging="357"/>
      </w:pPr>
      <w:r>
        <w:t>na výzkum a vývoj.</w:t>
      </w:r>
    </w:p>
    <w:p w14:paraId="3639744C" w14:textId="77777777" w:rsidR="00194849" w:rsidRDefault="00194849" w:rsidP="00194849"/>
    <w:p w14:paraId="552F4FB0" w14:textId="77777777" w:rsidR="00194849" w:rsidRDefault="00CF06FA" w:rsidP="00194849">
      <w:pPr>
        <w:ind w:left="624" w:hanging="624"/>
        <w:rPr>
          <w:rFonts w:cstheme="minorHAnsi"/>
          <w:sz w:val="20"/>
          <w:szCs w:val="20"/>
        </w:rPr>
      </w:pPr>
      <w:r w:rsidRPr="002E505E">
        <w:rPr>
          <w:rFonts w:cstheme="minorHAnsi"/>
          <w:b/>
          <w:sz w:val="20"/>
          <w:szCs w:val="20"/>
        </w:rPr>
        <w:t>Pozn.:</w:t>
      </w:r>
      <w:r>
        <w:rPr>
          <w:rFonts w:cstheme="minorHAnsi"/>
          <w:sz w:val="20"/>
          <w:szCs w:val="20"/>
        </w:rPr>
        <w:tab/>
      </w:r>
      <w:r w:rsidRPr="002E505E">
        <w:rPr>
          <w:rFonts w:cstheme="minorHAnsi"/>
          <w:sz w:val="20"/>
          <w:szCs w:val="20"/>
        </w:rPr>
        <w:t>Právní předpisy uvedené v tomto kontrolním závěru jsou aplikovány ve znění účinném pro kontrolované období.</w:t>
      </w:r>
    </w:p>
    <w:p w14:paraId="0F96EF15" w14:textId="77777777" w:rsidR="00194849" w:rsidRDefault="00194849" w:rsidP="00194849">
      <w:pPr>
        <w:spacing w:line="280" w:lineRule="atLeast"/>
        <w:rPr>
          <w:rFonts w:cstheme="minorHAnsi"/>
          <w:bCs/>
        </w:rPr>
      </w:pPr>
    </w:p>
    <w:p w14:paraId="2C5EBACB" w14:textId="77777777" w:rsidR="00194849" w:rsidRPr="00611CE1" w:rsidRDefault="00CF06FA" w:rsidP="00194849">
      <w:pPr>
        <w:pStyle w:val="Nadpis1"/>
        <w:rPr>
          <w:lang w:eastAsia="en-US"/>
        </w:rPr>
      </w:pPr>
      <w:r w:rsidRPr="00611CE1">
        <w:rPr>
          <w:lang w:eastAsia="en-US"/>
        </w:rPr>
        <w:t xml:space="preserve">II. </w:t>
      </w:r>
      <w:r>
        <w:rPr>
          <w:lang w:eastAsia="en-US"/>
        </w:rPr>
        <w:t>Shrnutí a v</w:t>
      </w:r>
      <w:r w:rsidRPr="00611CE1">
        <w:rPr>
          <w:lang w:eastAsia="en-US"/>
        </w:rPr>
        <w:t>yhodno</w:t>
      </w:r>
      <w:r>
        <w:rPr>
          <w:lang w:eastAsia="en-US"/>
        </w:rPr>
        <w:t>c</w:t>
      </w:r>
      <w:r w:rsidRPr="00611CE1">
        <w:rPr>
          <w:lang w:eastAsia="en-US"/>
        </w:rPr>
        <w:t xml:space="preserve">ení </w:t>
      </w:r>
      <w:r>
        <w:rPr>
          <w:lang w:eastAsia="en-US"/>
        </w:rPr>
        <w:t>zjištěných skutečností</w:t>
      </w:r>
    </w:p>
    <w:p w14:paraId="4930C022" w14:textId="26115B86" w:rsidR="00194849" w:rsidRPr="00694699" w:rsidRDefault="00CF06FA" w:rsidP="00761EB6">
      <w:pPr>
        <w:pStyle w:val="Nadpis2"/>
        <w:ind w:left="284" w:hanging="284"/>
        <w:jc w:val="left"/>
        <w:rPr>
          <w:color w:val="000000"/>
        </w:rPr>
      </w:pPr>
      <w:r>
        <w:t xml:space="preserve">Nároky z nespotřebovaných výdajů organizačních složek státu a dopad </w:t>
      </w:r>
      <w:r w:rsidR="00F04C4C">
        <w:t xml:space="preserve">NNV </w:t>
      </w:r>
      <w:r>
        <w:t>na hospodaření státu</w:t>
      </w:r>
    </w:p>
    <w:p w14:paraId="6E47AFA4" w14:textId="28C7F836" w:rsidR="00194849" w:rsidRDefault="00CF06FA" w:rsidP="00194849">
      <w:pPr>
        <w:contextualSpacing/>
        <w:rPr>
          <w:rFonts w:cstheme="minorHAnsi"/>
        </w:rPr>
      </w:pPr>
      <w:r w:rsidRPr="00334F27">
        <w:rPr>
          <w:color w:val="000000"/>
        </w:rPr>
        <w:t xml:space="preserve">Organizační složky </w:t>
      </w:r>
      <w:r w:rsidRPr="00AF01D2">
        <w:t>státu jsou oprávněny překročit rozpočet výdajů o použití NNV bez vědomí</w:t>
      </w:r>
      <w:r>
        <w:t> </w:t>
      </w:r>
      <w:r w:rsidRPr="00AF01D2">
        <w:t>a souhlasu Poslanecké sněmovny, vlády i MF. V roce 2015 takto organizační složky státu</w:t>
      </w:r>
      <w:r w:rsidR="0015218F">
        <w:t xml:space="preserve"> </w:t>
      </w:r>
      <w:r w:rsidR="00F04C4C">
        <w:t>(kapitol</w:t>
      </w:r>
      <w:r w:rsidR="00D72156">
        <w:t>y</w:t>
      </w:r>
      <w:r w:rsidR="00F04C4C">
        <w:t xml:space="preserve"> SR 301 až 381)</w:t>
      </w:r>
      <w:r w:rsidRPr="00AF01D2">
        <w:t xml:space="preserve"> překročily rozpočet o 93,78 mld. Kč, z toho o 12,52 mld. Kč použití</w:t>
      </w:r>
      <w:r w:rsidR="00E03281">
        <w:t>m</w:t>
      </w:r>
      <w:r w:rsidRPr="00AF01D2">
        <w:t xml:space="preserve"> nároků z nespotřebovaných neprofilujících výdajů. </w:t>
      </w:r>
      <w:r w:rsidR="00D331F3" w:rsidRPr="00D331F3">
        <w:rPr>
          <w:rFonts w:cstheme="minorHAnsi"/>
        </w:rPr>
        <w:t xml:space="preserve">NNV mají pozitivní i negativní dopad na hospodaření státu. Pozitivním dopadem je to, že oproti převádění prostředků z výdajových účtů </w:t>
      </w:r>
      <w:r w:rsidR="00D331F3">
        <w:rPr>
          <w:rFonts w:cstheme="minorHAnsi"/>
        </w:rPr>
        <w:t>státního rozpočtu</w:t>
      </w:r>
      <w:r w:rsidR="00D331F3" w:rsidRPr="00D331F3">
        <w:rPr>
          <w:rFonts w:cstheme="minorHAnsi"/>
        </w:rPr>
        <w:t xml:space="preserve"> na bankovní účty rezervních fondů</w:t>
      </w:r>
      <w:r w:rsidR="00D331F3">
        <w:rPr>
          <w:rFonts w:cstheme="minorHAnsi"/>
        </w:rPr>
        <w:t xml:space="preserve"> OSS</w:t>
      </w:r>
      <w:r w:rsidR="00D331F3" w:rsidRPr="00D331F3">
        <w:rPr>
          <w:rFonts w:cstheme="minorHAnsi"/>
        </w:rPr>
        <w:t xml:space="preserve"> se stát nezadlužuje, </w:t>
      </w:r>
      <w:r w:rsidR="00654F98">
        <w:rPr>
          <w:rFonts w:cstheme="minorHAnsi"/>
        </w:rPr>
        <w:t>neboť</w:t>
      </w:r>
      <w:r w:rsidR="00D331F3" w:rsidRPr="00D331F3">
        <w:rPr>
          <w:rFonts w:cstheme="minorHAnsi"/>
        </w:rPr>
        <w:t xml:space="preserve"> se žádné prostředky nepřevádějí, ale pouze evidují. Negativním dopadem je to, že překročením rozpočtu výdajů o použití úspor z minulých let </w:t>
      </w:r>
      <w:r w:rsidR="00654F98">
        <w:rPr>
          <w:rFonts w:cstheme="minorHAnsi"/>
        </w:rPr>
        <w:t>vzniká</w:t>
      </w:r>
      <w:r w:rsidR="00D331F3" w:rsidRPr="00D331F3">
        <w:rPr>
          <w:rFonts w:cstheme="minorHAnsi"/>
        </w:rPr>
        <w:t xml:space="preserve"> riziko, že </w:t>
      </w:r>
      <w:r w:rsidR="00E03281">
        <w:rPr>
          <w:rFonts w:cstheme="minorHAnsi"/>
        </w:rPr>
        <w:t xml:space="preserve">se </w:t>
      </w:r>
      <w:r w:rsidR="00D331F3" w:rsidRPr="00D331F3">
        <w:rPr>
          <w:rFonts w:cstheme="minorHAnsi"/>
        </w:rPr>
        <w:t>stát</w:t>
      </w:r>
      <w:r w:rsidR="00E03281">
        <w:rPr>
          <w:rFonts w:cstheme="minorHAnsi"/>
        </w:rPr>
        <w:t>u</w:t>
      </w:r>
      <w:r w:rsidR="00D331F3" w:rsidRPr="00D331F3">
        <w:rPr>
          <w:rFonts w:cstheme="minorHAnsi"/>
        </w:rPr>
        <w:t xml:space="preserve"> zvýší výpůjční potřeb</w:t>
      </w:r>
      <w:r w:rsidR="00E03281">
        <w:rPr>
          <w:rFonts w:cstheme="minorHAnsi"/>
        </w:rPr>
        <w:t>a</w:t>
      </w:r>
      <w:r w:rsidR="00D331F3" w:rsidRPr="00D331F3">
        <w:rPr>
          <w:rFonts w:cstheme="minorHAnsi"/>
        </w:rPr>
        <w:t xml:space="preserve"> (v závislosti na vývoji ekonomiky). Z toho plyne, že NNV ovlivňují výši výpůjční potřeby státu a</w:t>
      </w:r>
      <w:r w:rsidR="00D24699">
        <w:rPr>
          <w:rFonts w:cstheme="minorHAnsi"/>
        </w:rPr>
        <w:t> </w:t>
      </w:r>
      <w:r w:rsidR="00D331F3" w:rsidRPr="00D331F3">
        <w:rPr>
          <w:rFonts w:cstheme="minorHAnsi"/>
        </w:rPr>
        <w:t>státního dluhu, když OSS mohou překročit rozpočet výdajů o</w:t>
      </w:r>
      <w:r w:rsidR="00C06BF6">
        <w:rPr>
          <w:rFonts w:cstheme="minorHAnsi"/>
        </w:rPr>
        <w:t> </w:t>
      </w:r>
      <w:r w:rsidR="00D331F3" w:rsidRPr="00D331F3">
        <w:rPr>
          <w:rFonts w:cstheme="minorHAnsi"/>
        </w:rPr>
        <w:t>NNV</w:t>
      </w:r>
      <w:r w:rsidR="00D331F3">
        <w:rPr>
          <w:rFonts w:cstheme="minorHAnsi"/>
        </w:rPr>
        <w:t>.</w:t>
      </w:r>
    </w:p>
    <w:p w14:paraId="4F2A17DE" w14:textId="77777777" w:rsidR="00194849" w:rsidRDefault="00CF06FA" w:rsidP="003F4DB6">
      <w:pPr>
        <w:pStyle w:val="Nadpis2"/>
        <w:ind w:left="284" w:hanging="284"/>
      </w:pPr>
      <w:r>
        <w:lastRenderedPageBreak/>
        <w:t>Vykazování nároků z nespotřebovaných výdajů</w:t>
      </w:r>
    </w:p>
    <w:p w14:paraId="1CE29211" w14:textId="00D48111" w:rsidR="00194849" w:rsidRDefault="009D6E07" w:rsidP="00194849">
      <w:r>
        <w:t>Vypovídací schopnost v</w:t>
      </w:r>
      <w:r w:rsidR="00CF06FA" w:rsidRPr="00557B75">
        <w:t>ýkaz</w:t>
      </w:r>
      <w:r>
        <w:t>u</w:t>
      </w:r>
      <w:r w:rsidR="00CF06FA" w:rsidRPr="00557B75">
        <w:t xml:space="preserve"> NNV</w:t>
      </w:r>
      <w:r w:rsidR="00CF06FA">
        <w:rPr>
          <w:rStyle w:val="Znakapoznpodarou"/>
        </w:rPr>
        <w:footnoteReference w:id="8"/>
      </w:r>
      <w:r w:rsidR="00FE3353">
        <w:t xml:space="preserve"> je omezena, neboť zobrazuje záporné stavy NNV, </w:t>
      </w:r>
      <w:r w:rsidR="00CF06FA" w:rsidRPr="00557B75">
        <w:t>které mohou být</w:t>
      </w:r>
      <w:r w:rsidR="00CF06FA">
        <w:t> </w:t>
      </w:r>
      <w:r w:rsidR="00CF06FA" w:rsidRPr="00557B75">
        <w:t>interpretovány nesprávně, a to zejména proto, že výkaz nezohledňuje druh rozpočtu</w:t>
      </w:r>
      <w:r w:rsidR="00FE3353">
        <w:t xml:space="preserve"> na rozdíl od evidence NNV</w:t>
      </w:r>
      <w:r w:rsidR="00CF06FA" w:rsidRPr="00557B75">
        <w:t>.</w:t>
      </w:r>
      <w:r w:rsidR="00CF06FA">
        <w:t xml:space="preserve"> </w:t>
      </w:r>
      <w:r w:rsidR="00FE3353">
        <w:t>Tím dochází k tomu, že ve výkazu o NNV nejsou zachyceny reálné stavy výdajů</w:t>
      </w:r>
      <w:r w:rsidR="00CF06FA" w:rsidRPr="00557B75">
        <w:t>.</w:t>
      </w:r>
    </w:p>
    <w:p w14:paraId="3B0A57AA" w14:textId="77777777" w:rsidR="00194849" w:rsidRPr="00694699" w:rsidRDefault="00CF06FA" w:rsidP="003F4DB6">
      <w:pPr>
        <w:pStyle w:val="Nadpis2"/>
        <w:ind w:left="284" w:hanging="284"/>
      </w:pPr>
      <w:r>
        <w:t xml:space="preserve">Rozpočet </w:t>
      </w:r>
    </w:p>
    <w:p w14:paraId="16D1E529" w14:textId="43AB4DB4" w:rsidR="00194849" w:rsidRPr="003F502D" w:rsidRDefault="00CF06FA" w:rsidP="00761EB6">
      <w:pPr>
        <w:spacing w:after="120"/>
      </w:pPr>
      <w:r w:rsidRPr="003F502D">
        <w:t>OSS jsou oprávněny překročit závazné ukazatele výdajů, a to mj. o použití úspor z minulých let (NNV). Ve skutečnosti se ve většině případů nejedná o úspory, ale o převody úkolů do následujících rozpočtových období, v nichž však není plnění těchto úkolů schváleným rozpočtem zajištěn</w:t>
      </w:r>
      <w:r w:rsidR="00B64203">
        <w:t>o</w:t>
      </w:r>
      <w:r w:rsidRPr="003F502D">
        <w:t>.</w:t>
      </w:r>
      <w:r>
        <w:t xml:space="preserve"> </w:t>
      </w:r>
      <w:r w:rsidR="00FE3353">
        <w:t>Schváleným rozpočtem nebyly zajištěny prostředky ani pro plánované úkoly re</w:t>
      </w:r>
      <w:r w:rsidR="000E6E8A">
        <w:t>z</w:t>
      </w:r>
      <w:r w:rsidR="00FE3353">
        <w:t>ort</w:t>
      </w:r>
      <w:r w:rsidR="00B64203">
        <w:t>ů</w:t>
      </w:r>
      <w:r w:rsidR="00FE3353">
        <w:t xml:space="preserve">, protože při </w:t>
      </w:r>
      <w:r w:rsidRPr="003F502D">
        <w:t xml:space="preserve">přípravě rozpočtu byla u </w:t>
      </w:r>
      <w:r w:rsidR="00B64203">
        <w:t xml:space="preserve">některých </w:t>
      </w:r>
      <w:r w:rsidRPr="003F502D">
        <w:t xml:space="preserve">kontrolovaných osob </w:t>
      </w:r>
      <w:r>
        <w:t>(MF a</w:t>
      </w:r>
      <w:r w:rsidR="00B64203">
        <w:t> </w:t>
      </w:r>
      <w:r>
        <w:t xml:space="preserve">MD) </w:t>
      </w:r>
      <w:r w:rsidRPr="003F502D">
        <w:t>brána v úvahu výše NNV</w:t>
      </w:r>
      <w:r w:rsidR="00FE3353">
        <w:t>,</w:t>
      </w:r>
      <w:r w:rsidRPr="003F502D">
        <w:t xml:space="preserve"> </w:t>
      </w:r>
      <w:r w:rsidR="00FE3353">
        <w:t xml:space="preserve">a to tak, že </w:t>
      </w:r>
      <w:r w:rsidRPr="003F502D">
        <w:t xml:space="preserve">požadavky správců rozpočtových položek byly kráceny. </w:t>
      </w:r>
    </w:p>
    <w:p w14:paraId="0D51058D" w14:textId="7C3485B6" w:rsidR="00194849" w:rsidRDefault="00CF06FA" w:rsidP="00194849">
      <w:r w:rsidRPr="003F502D">
        <w:t>Pouze dvě z pěti kontrolovaných osob</w:t>
      </w:r>
      <w:r w:rsidR="00A132E1">
        <w:t xml:space="preserve"> </w:t>
      </w:r>
      <w:r w:rsidR="00A132E1" w:rsidRPr="003F502D">
        <w:t>(</w:t>
      </w:r>
      <w:proofErr w:type="spellStart"/>
      <w:r w:rsidR="00A132E1" w:rsidRPr="003F502D">
        <w:t>MZd</w:t>
      </w:r>
      <w:proofErr w:type="spellEnd"/>
      <w:r w:rsidR="00A132E1" w:rsidRPr="003F502D">
        <w:t xml:space="preserve"> a </w:t>
      </w:r>
      <w:proofErr w:type="spellStart"/>
      <w:r w:rsidR="00A132E1" w:rsidRPr="003F502D">
        <w:t>MZe</w:t>
      </w:r>
      <w:proofErr w:type="spellEnd"/>
      <w:r w:rsidR="00A132E1" w:rsidRPr="003F502D">
        <w:t xml:space="preserve">) </w:t>
      </w:r>
      <w:r>
        <w:t xml:space="preserve">přesně </w:t>
      </w:r>
      <w:r w:rsidRPr="003F502D">
        <w:t>vyčísl</w:t>
      </w:r>
      <w:r>
        <w:t>ily</w:t>
      </w:r>
      <w:r w:rsidRPr="003F502D">
        <w:t xml:space="preserve"> nevyčerpané rozpočtové prostředky z důvodu úspory a z důvodu převedení výdajů (úkolů) do následujících rozpočtových období.</w:t>
      </w:r>
    </w:p>
    <w:p w14:paraId="784EB9C7" w14:textId="13334B4B" w:rsidR="00194849" w:rsidRDefault="00CF06FA" w:rsidP="003F4DB6">
      <w:pPr>
        <w:pStyle w:val="Nadpis2"/>
        <w:tabs>
          <w:tab w:val="left" w:pos="284"/>
        </w:tabs>
        <w:rPr>
          <w:lang w:eastAsia="en-US"/>
        </w:rPr>
      </w:pPr>
      <w:r>
        <w:rPr>
          <w:lang w:eastAsia="en-US"/>
        </w:rPr>
        <w:t xml:space="preserve">Výpočet a evidence nároků z nespotřebovaných výdajů </w:t>
      </w:r>
      <w:r w:rsidR="00F04C4C">
        <w:rPr>
          <w:lang w:eastAsia="en-US"/>
        </w:rPr>
        <w:t xml:space="preserve">u </w:t>
      </w:r>
      <w:r>
        <w:rPr>
          <w:lang w:eastAsia="en-US"/>
        </w:rPr>
        <w:t>kontrolovaných osob</w:t>
      </w:r>
    </w:p>
    <w:p w14:paraId="7F39F309" w14:textId="721A1B6E" w:rsidR="00194849" w:rsidRDefault="00CF06FA" w:rsidP="00761EB6">
      <w:pPr>
        <w:spacing w:after="120"/>
        <w:rPr>
          <w:rFonts w:cs="Calibri"/>
          <w:color w:val="000000"/>
          <w:lang w:eastAsia="en-US"/>
        </w:rPr>
      </w:pPr>
      <w:r>
        <w:rPr>
          <w:rFonts w:cs="Calibri"/>
          <w:color w:val="000000"/>
          <w:lang w:eastAsia="en-US"/>
        </w:rPr>
        <w:t>Nevyčerpané prostředky určené na transfery, u kterých nebyl vymezen účel, jsou do evidence NNV zaneseny jako nároky z nespotřebovaných neprofilujících výdajů. To znamená, že v následujících rozpočtových obdobích organizační složky státu mohou tyto nároky z nespotřebovaných neprofilujících výdajů použít na jakékoliv neprofilující výdaje.</w:t>
      </w:r>
      <w:r w:rsidR="00FE3353">
        <w:rPr>
          <w:rFonts w:cs="Calibri"/>
          <w:color w:val="000000"/>
          <w:lang w:eastAsia="en-US"/>
        </w:rPr>
        <w:t xml:space="preserve"> NKÚ shledává riziko v tom, že OSS může získat (na základě rozpočtového opatření) další prostředky navíc ze státního rozpočtu, ačkoliv je měla původně rozpočtem zajištěné, a to z důvodu, že transfery nejsou vymezeny jako profilující výdaje.</w:t>
      </w:r>
    </w:p>
    <w:p w14:paraId="6D2DA843" w14:textId="1C6A390A" w:rsidR="00194849" w:rsidRDefault="00CF06FA" w:rsidP="00194849">
      <w:pPr>
        <w:rPr>
          <w:rFonts w:cs="Calibri"/>
          <w:color w:val="000000"/>
          <w:lang w:eastAsia="en-US"/>
        </w:rPr>
      </w:pPr>
      <w:r>
        <w:rPr>
          <w:rFonts w:cs="Calibri"/>
          <w:color w:val="000000"/>
          <w:lang w:eastAsia="en-US"/>
        </w:rPr>
        <w:t>Stávající obecně závazné právní předpisy neupravují, aby identifikace koruny (</w:t>
      </w:r>
      <w:r w:rsidR="00FE3353">
        <w:rPr>
          <w:rFonts w:cs="Calibri"/>
          <w:color w:val="000000"/>
          <w:lang w:eastAsia="en-US"/>
        </w:rPr>
        <w:t xml:space="preserve">tj. </w:t>
      </w:r>
      <w:r>
        <w:rPr>
          <w:rFonts w:cs="Calibri"/>
          <w:color w:val="000000"/>
          <w:lang w:eastAsia="en-US"/>
        </w:rPr>
        <w:t xml:space="preserve">třídění příjmů a výdajů dle rozpočtové skladby) počátečních stavů NNV byly při výpočtu stejné, na jakých byly výdaje v předchozím roce rozpočtovány či zapojeny a následně čerpány. Dále </w:t>
      </w:r>
      <w:r w:rsidR="00B64203">
        <w:rPr>
          <w:rFonts w:cs="Calibri"/>
          <w:color w:val="000000"/>
          <w:lang w:eastAsia="en-US"/>
        </w:rPr>
        <w:t>nestanovují ani</w:t>
      </w:r>
      <w:r>
        <w:rPr>
          <w:rFonts w:cs="Calibri"/>
          <w:color w:val="000000"/>
          <w:lang w:eastAsia="en-US"/>
        </w:rPr>
        <w:t xml:space="preserve"> jednoznačný postup při změně identifikace koruny v evidenci NNV. Výše uvedené postupy jsou upraveny pouze </w:t>
      </w:r>
      <w:r w:rsidR="00B64203">
        <w:rPr>
          <w:rFonts w:cs="Calibri"/>
          <w:color w:val="000000"/>
          <w:lang w:eastAsia="en-US"/>
        </w:rPr>
        <w:t>m</w:t>
      </w:r>
      <w:r>
        <w:rPr>
          <w:rFonts w:cs="Calibri"/>
          <w:color w:val="000000"/>
          <w:lang w:eastAsia="en-US"/>
        </w:rPr>
        <w:t>etodikou</w:t>
      </w:r>
      <w:r w:rsidR="00F04C4C">
        <w:rPr>
          <w:rStyle w:val="Znakapoznpodarou"/>
          <w:color w:val="000000"/>
          <w:lang w:eastAsia="en-US"/>
        </w:rPr>
        <w:footnoteReference w:id="9"/>
      </w:r>
      <w:r>
        <w:rPr>
          <w:rFonts w:cs="Calibri"/>
          <w:color w:val="000000"/>
          <w:lang w:eastAsia="en-US"/>
        </w:rPr>
        <w:t xml:space="preserve"> MF, která není obecně závazným právním předpisem.</w:t>
      </w:r>
    </w:p>
    <w:p w14:paraId="0B9D0642" w14:textId="5C73A475" w:rsidR="00194849" w:rsidRDefault="00CF06FA" w:rsidP="003F4DB6">
      <w:pPr>
        <w:pStyle w:val="Nadpis2"/>
        <w:tabs>
          <w:tab w:val="left" w:pos="284"/>
        </w:tabs>
        <w:rPr>
          <w:color w:val="000000"/>
        </w:rPr>
      </w:pPr>
      <w:r w:rsidRPr="00694699">
        <w:rPr>
          <w:lang w:eastAsia="en-US"/>
        </w:rPr>
        <w:t xml:space="preserve">Snižování </w:t>
      </w:r>
      <w:r>
        <w:rPr>
          <w:lang w:eastAsia="en-US"/>
        </w:rPr>
        <w:t xml:space="preserve">nároků z nespotřebovaných výdajů </w:t>
      </w:r>
      <w:r w:rsidR="00F04C4C">
        <w:rPr>
          <w:lang w:eastAsia="en-US"/>
        </w:rPr>
        <w:t xml:space="preserve">u </w:t>
      </w:r>
      <w:r>
        <w:rPr>
          <w:lang w:eastAsia="en-US"/>
        </w:rPr>
        <w:t>kontrolovaných osob</w:t>
      </w:r>
    </w:p>
    <w:p w14:paraId="2205C574" w14:textId="6113025A" w:rsidR="00194849" w:rsidRPr="008B2CE2" w:rsidRDefault="00CF06FA" w:rsidP="00761EB6">
      <w:pPr>
        <w:spacing w:after="120" w:line="280" w:lineRule="atLeast"/>
        <w:rPr>
          <w:rFonts w:ascii="Calibri" w:hAnsi="Calibri" w:cs="Calibri"/>
        </w:rPr>
      </w:pPr>
      <w:r w:rsidRPr="008B2CE2">
        <w:rPr>
          <w:rFonts w:ascii="Calibri" w:hAnsi="Calibri" w:cs="Calibri"/>
        </w:rPr>
        <w:t xml:space="preserve">Postup při zapojování nároků z nespotřebovaných výdajů do konečného rozpočtu a také postup při snižování (ukončování) NNV upravuje pouze </w:t>
      </w:r>
      <w:r w:rsidR="00B64203">
        <w:rPr>
          <w:rFonts w:ascii="Calibri" w:hAnsi="Calibri" w:cs="Calibri"/>
        </w:rPr>
        <w:t>m</w:t>
      </w:r>
      <w:r w:rsidRPr="008B2CE2">
        <w:rPr>
          <w:rFonts w:ascii="Calibri" w:hAnsi="Calibri" w:cs="Calibri"/>
        </w:rPr>
        <w:t>etodika</w:t>
      </w:r>
      <w:r w:rsidR="00D72156">
        <w:rPr>
          <w:rFonts w:ascii="Calibri" w:hAnsi="Calibri" w:cs="Calibri"/>
          <w:vertAlign w:val="superscript"/>
        </w:rPr>
        <w:t>9</w:t>
      </w:r>
      <w:r w:rsidRPr="008B2CE2">
        <w:rPr>
          <w:rFonts w:ascii="Calibri" w:hAnsi="Calibri" w:cs="Calibri"/>
        </w:rPr>
        <w:t xml:space="preserve"> MF. Obecně závazné právní předpisy postupy zapojování NNV</w:t>
      </w:r>
      <w:r w:rsidR="00AF339C">
        <w:rPr>
          <w:rFonts w:ascii="Calibri" w:hAnsi="Calibri" w:cs="Calibri"/>
        </w:rPr>
        <w:t xml:space="preserve"> jasně a jednoznačně neupravují a</w:t>
      </w:r>
      <w:r w:rsidRPr="008B2CE2">
        <w:rPr>
          <w:rFonts w:ascii="Calibri" w:hAnsi="Calibri" w:cs="Calibri"/>
        </w:rPr>
        <w:t xml:space="preserve"> nezabývají se ani skutečností, že se zapojené NNV </w:t>
      </w:r>
      <w:r w:rsidR="00B64203" w:rsidRPr="008B2CE2">
        <w:rPr>
          <w:rFonts w:ascii="Calibri" w:hAnsi="Calibri" w:cs="Calibri"/>
        </w:rPr>
        <w:t xml:space="preserve">nečerpané </w:t>
      </w:r>
      <w:r w:rsidRPr="008B2CE2">
        <w:rPr>
          <w:rFonts w:ascii="Calibri" w:hAnsi="Calibri" w:cs="Calibri"/>
        </w:rPr>
        <w:t xml:space="preserve">v běžném roce opětovně zařazují do evidence NNV k 1. 1. následujícího roku, čímž dochází k jejich cyklování. </w:t>
      </w:r>
    </w:p>
    <w:p w14:paraId="5274C4D0" w14:textId="5955F038" w:rsidR="00194849" w:rsidRDefault="00CF06FA" w:rsidP="00194849">
      <w:pPr>
        <w:spacing w:line="280" w:lineRule="atLeast"/>
        <w:rPr>
          <w:rFonts w:ascii="Calibri" w:hAnsi="Calibri" w:cs="Calibri"/>
        </w:rPr>
      </w:pPr>
      <w:r w:rsidRPr="008B2CE2">
        <w:rPr>
          <w:rFonts w:ascii="Calibri" w:hAnsi="Calibri" w:cs="Calibri"/>
        </w:rPr>
        <w:t xml:space="preserve">Kontrolované osoby zapojovaly NNV různě, některé, např. </w:t>
      </w:r>
      <w:proofErr w:type="spellStart"/>
      <w:r w:rsidRPr="008B2CE2">
        <w:rPr>
          <w:rFonts w:ascii="Calibri" w:hAnsi="Calibri" w:cs="Calibri"/>
        </w:rPr>
        <w:t>MZd</w:t>
      </w:r>
      <w:proofErr w:type="spellEnd"/>
      <w:r w:rsidRPr="008B2CE2">
        <w:rPr>
          <w:rFonts w:ascii="Calibri" w:hAnsi="Calibri" w:cs="Calibri"/>
        </w:rPr>
        <w:t xml:space="preserve">, již začátkem rozpočtového období, aniž znaly skutečné potřeby, jiné kontrolované osoby až v případě potřeby realizace. Prostředky ze zapojených NNV kontrolované osoby nečerpaly </w:t>
      </w:r>
      <w:r w:rsidR="00C06BF6">
        <w:rPr>
          <w:rFonts w:ascii="Calibri" w:hAnsi="Calibri" w:cs="Calibri"/>
        </w:rPr>
        <w:t xml:space="preserve">v plné výši </w:t>
      </w:r>
      <w:r w:rsidRPr="008B2CE2">
        <w:rPr>
          <w:rFonts w:ascii="Calibri" w:hAnsi="Calibri" w:cs="Calibri"/>
        </w:rPr>
        <w:t>např. z</w:t>
      </w:r>
      <w:r>
        <w:rPr>
          <w:rFonts w:ascii="Calibri" w:hAnsi="Calibri" w:cs="Calibri"/>
        </w:rPr>
        <w:t> </w:t>
      </w:r>
      <w:r w:rsidRPr="008B2CE2">
        <w:rPr>
          <w:rFonts w:ascii="Calibri" w:hAnsi="Calibri" w:cs="Calibri"/>
        </w:rPr>
        <w:t xml:space="preserve">důvodu úspory z realizovaných výběrových řízení, jejich zrušení, zpoždění </w:t>
      </w:r>
      <w:r w:rsidR="00B64203">
        <w:rPr>
          <w:rFonts w:ascii="Calibri" w:hAnsi="Calibri" w:cs="Calibri"/>
        </w:rPr>
        <w:t xml:space="preserve">při </w:t>
      </w:r>
      <w:r w:rsidRPr="008B2CE2">
        <w:rPr>
          <w:rFonts w:ascii="Calibri" w:hAnsi="Calibri" w:cs="Calibri"/>
        </w:rPr>
        <w:t xml:space="preserve">plnění harmonogramu dopravních projektů, přednostního dočerpávání prostředků programového období </w:t>
      </w:r>
      <w:r w:rsidR="00846383">
        <w:rPr>
          <w:rFonts w:ascii="Calibri" w:hAnsi="Calibri" w:cs="Calibri"/>
        </w:rPr>
        <w:br/>
      </w:r>
      <w:r w:rsidRPr="008B2CE2">
        <w:rPr>
          <w:rFonts w:ascii="Calibri" w:hAnsi="Calibri" w:cs="Calibri"/>
        </w:rPr>
        <w:t>2007</w:t>
      </w:r>
      <w:r w:rsidR="00846383">
        <w:rPr>
          <w:rFonts w:ascii="Calibri" w:hAnsi="Calibri" w:cs="Calibri"/>
        </w:rPr>
        <w:t>–</w:t>
      </w:r>
      <w:r w:rsidR="00C06BF6">
        <w:rPr>
          <w:rFonts w:ascii="Calibri" w:hAnsi="Calibri" w:cs="Calibri"/>
        </w:rPr>
        <w:t>2</w:t>
      </w:r>
      <w:r w:rsidRPr="008B2CE2">
        <w:rPr>
          <w:rFonts w:ascii="Calibri" w:hAnsi="Calibri" w:cs="Calibri"/>
        </w:rPr>
        <w:t xml:space="preserve">013. </w:t>
      </w:r>
    </w:p>
    <w:p w14:paraId="64AF38F3" w14:textId="77777777" w:rsidR="00194849" w:rsidRPr="00694699" w:rsidRDefault="00CF06FA" w:rsidP="003F4DB6">
      <w:pPr>
        <w:pStyle w:val="Nadpis2"/>
        <w:ind w:left="284" w:hanging="284"/>
        <w:rPr>
          <w:rFonts w:cs="Calibri"/>
          <w:lang w:eastAsia="en-US"/>
        </w:rPr>
      </w:pPr>
      <w:r w:rsidRPr="002178AA">
        <w:lastRenderedPageBreak/>
        <w:t xml:space="preserve">Informace o </w:t>
      </w:r>
      <w:r>
        <w:t>nárocích z nespotřebovaných výdajů v závěrečných účtech kontrolovaných osob</w:t>
      </w:r>
    </w:p>
    <w:p w14:paraId="3128B6DE" w14:textId="4B935E00" w:rsidR="00194849" w:rsidRDefault="00CF06FA" w:rsidP="00194849">
      <w:pPr>
        <w:spacing w:line="280" w:lineRule="atLeast"/>
        <w:contextualSpacing/>
        <w:rPr>
          <w:color w:val="000000"/>
        </w:rPr>
      </w:pPr>
      <w:r w:rsidRPr="00AE574A">
        <w:rPr>
          <w:color w:val="000000"/>
        </w:rPr>
        <w:t>Kontrolované osoby</w:t>
      </w:r>
      <w:r>
        <w:rPr>
          <w:color w:val="000000"/>
        </w:rPr>
        <w:t xml:space="preserve"> ve svých </w:t>
      </w:r>
      <w:r w:rsidRPr="00AE574A">
        <w:rPr>
          <w:color w:val="000000"/>
        </w:rPr>
        <w:t>závěrečných účt</w:t>
      </w:r>
      <w:r>
        <w:rPr>
          <w:color w:val="000000"/>
        </w:rPr>
        <w:t>ech</w:t>
      </w:r>
      <w:r w:rsidRPr="00AE574A">
        <w:rPr>
          <w:color w:val="000000"/>
        </w:rPr>
        <w:t xml:space="preserve"> ne</w:t>
      </w:r>
      <w:r>
        <w:rPr>
          <w:color w:val="000000"/>
        </w:rPr>
        <w:t>u</w:t>
      </w:r>
      <w:r w:rsidRPr="00AE574A">
        <w:rPr>
          <w:color w:val="000000"/>
        </w:rPr>
        <w:t>vedly vyčíslení stavů nároků z nespotřebovaných výdajů u jednotlivých organizačních složek</w:t>
      </w:r>
      <w:r w:rsidR="00A67806">
        <w:rPr>
          <w:color w:val="000000"/>
        </w:rPr>
        <w:t xml:space="preserve"> státu</w:t>
      </w:r>
      <w:r w:rsidRPr="00AE574A">
        <w:rPr>
          <w:color w:val="000000"/>
        </w:rPr>
        <w:t xml:space="preserve"> v rámci kapitoly k požadovaným datům, hlavní důvody nespotřebování rozpočtovaných výdajů a nečerpání nároků z nespotřebovaných výdajů z minulých let</w:t>
      </w:r>
      <w:r>
        <w:rPr>
          <w:color w:val="000000"/>
        </w:rPr>
        <w:t xml:space="preserve"> </w:t>
      </w:r>
      <w:r w:rsidRPr="00406461">
        <w:rPr>
          <w:color w:val="000000"/>
        </w:rPr>
        <w:t>v souladu s vyhláškou č. 419/2001 Sb.</w:t>
      </w:r>
      <w:r w:rsidR="00220464">
        <w:rPr>
          <w:color w:val="000000"/>
        </w:rPr>
        <w:t>,</w:t>
      </w:r>
      <w:r w:rsidR="00220464" w:rsidRPr="00220464">
        <w:t xml:space="preserve"> </w:t>
      </w:r>
      <w:r w:rsidR="00220464">
        <w:t xml:space="preserve">o rozsahu, struktuře a termínech údajů předkládaných pro vypracování návrhu státního závěrečného účtu a o rozsahu a termínech sestavení návrhů závěrečných účtů kapitol. </w:t>
      </w:r>
      <w:r w:rsidR="00AF339C">
        <w:rPr>
          <w:color w:val="000000"/>
        </w:rPr>
        <w:t>Závěrečný účet za rok 2014 zpracovalo v souladu s citovanou vyhláškou pouze MF</w:t>
      </w:r>
      <w:r>
        <w:rPr>
          <w:color w:val="000000"/>
        </w:rPr>
        <w:t>.</w:t>
      </w:r>
    </w:p>
    <w:p w14:paraId="4E44A818" w14:textId="77777777" w:rsidR="00E7535E" w:rsidRDefault="00E7535E" w:rsidP="00194849">
      <w:pPr>
        <w:spacing w:line="280" w:lineRule="atLeast"/>
        <w:contextualSpacing/>
        <w:rPr>
          <w:color w:val="000000"/>
        </w:rPr>
      </w:pPr>
    </w:p>
    <w:p w14:paraId="5C35ED30" w14:textId="77777777" w:rsidR="009E2120" w:rsidRPr="009E2120" w:rsidRDefault="009E2120" w:rsidP="00761EB6">
      <w:pPr>
        <w:spacing w:after="120"/>
        <w:rPr>
          <w:b/>
        </w:rPr>
      </w:pPr>
      <w:r w:rsidRPr="009E2120">
        <w:rPr>
          <w:b/>
        </w:rPr>
        <w:t>V souvislosti se zjištěnými skutečnostmi Nejvyšší kontrolní úřad vyhodnotil následující rizika:</w:t>
      </w:r>
    </w:p>
    <w:p w14:paraId="1BD93A75" w14:textId="0FB857BF" w:rsidR="009E2120" w:rsidRPr="00E7535E" w:rsidRDefault="009E2120" w:rsidP="00761EB6">
      <w:pPr>
        <w:pStyle w:val="Odstavecseseznamem"/>
        <w:numPr>
          <w:ilvl w:val="0"/>
          <w:numId w:val="29"/>
        </w:numPr>
        <w:spacing w:after="0"/>
      </w:pPr>
      <w:r w:rsidRPr="00E7535E">
        <w:t>Výše příjmů a výdajů státního rozpočtu vč. výsledku hospodaření j</w:t>
      </w:r>
      <w:r w:rsidR="00843C10">
        <w:t>sou</w:t>
      </w:r>
      <w:r w:rsidRPr="00E7535E">
        <w:t xml:space="preserve"> stanoven</w:t>
      </w:r>
      <w:r w:rsidR="00843C10">
        <w:t>y</w:t>
      </w:r>
      <w:r w:rsidRPr="00E7535E">
        <w:t xml:space="preserve"> zákonem o SR přijatým Poslaneckou sněmovnou. Zákonem č. 218/2000 Sb. jsou OSS oprávněny k překročení rozpočtu výdajů o použití úspor z minulých let (NNV), to však představuje riziko zvýšení výpůjční potřeby státu, tj. vyššího zadlužení státu. </w:t>
      </w:r>
    </w:p>
    <w:p w14:paraId="787DE341" w14:textId="75AA1990" w:rsidR="009E2120" w:rsidRPr="00E7535E" w:rsidRDefault="009E2120" w:rsidP="00761EB6">
      <w:pPr>
        <w:pStyle w:val="Odstavecseseznamem"/>
        <w:numPr>
          <w:ilvl w:val="0"/>
          <w:numId w:val="35"/>
        </w:numPr>
        <w:spacing w:after="0"/>
      </w:pPr>
      <w:r w:rsidRPr="00E7535E">
        <w:t xml:space="preserve">Při sestavení rozpočtu nemá </w:t>
      </w:r>
      <w:r w:rsidR="00843C10" w:rsidRPr="00E7535E">
        <w:t xml:space="preserve">MF </w:t>
      </w:r>
      <w:r w:rsidRPr="00E7535E">
        <w:t xml:space="preserve">k dispozici </w:t>
      </w:r>
      <w:r w:rsidR="00843C10" w:rsidRPr="00E7535E">
        <w:t xml:space="preserve">od jednotlivých správců kapitol státního rozpočtu </w:t>
      </w:r>
      <w:r w:rsidRPr="00E7535E">
        <w:t xml:space="preserve">informaci o předpokládané výši zapojení NNV do konečného rozpočtu, tím vzniká riziko, že MF nebude dostatečně připraveno na situaci, </w:t>
      </w:r>
      <w:r w:rsidR="00F754DC" w:rsidRPr="00E7535E">
        <w:t>kdy</w:t>
      </w:r>
      <w:r w:rsidRPr="00E7535E">
        <w:t xml:space="preserve"> bude muset zajistit finanční prostředky nad rámec schváleného státního rozpočtu.</w:t>
      </w:r>
    </w:p>
    <w:p w14:paraId="388F62D5" w14:textId="38064563" w:rsidR="009E2120" w:rsidRPr="00E7535E" w:rsidRDefault="009E2120" w:rsidP="00761EB6">
      <w:pPr>
        <w:pStyle w:val="Odstavecseseznamem"/>
        <w:numPr>
          <w:ilvl w:val="0"/>
          <w:numId w:val="35"/>
        </w:numPr>
        <w:spacing w:after="0"/>
      </w:pPr>
      <w:r w:rsidRPr="00E7535E">
        <w:t>Pro</w:t>
      </w:r>
      <w:r w:rsidR="007B49A7">
        <w:t xml:space="preserve"> </w:t>
      </w:r>
      <w:r w:rsidRPr="00E7535E">
        <w:t>roky 2015 a 2016 byl vládou snížen limit pro výdaje jednotlivých kapitol SR, ze kterého správci kapitol vycházeli při sestavování rozpočt</w:t>
      </w:r>
      <w:r w:rsidR="007B49A7">
        <w:t>ů</w:t>
      </w:r>
      <w:r w:rsidRPr="00E7535E">
        <w:t xml:space="preserve">. Ve schváleném </w:t>
      </w:r>
      <w:r w:rsidR="007B49A7">
        <w:t xml:space="preserve">státním </w:t>
      </w:r>
      <w:r w:rsidRPr="00E7535E">
        <w:t xml:space="preserve">rozpočtu tak nebyly zajištěny prostředky pro některé plánované úkoly jednotlivých rezortů. Tímto postupem vzniká </w:t>
      </w:r>
      <w:r w:rsidR="007B49A7">
        <w:t xml:space="preserve">pro </w:t>
      </w:r>
      <w:r w:rsidRPr="00E7535E">
        <w:t>následující rozpočtov</w:t>
      </w:r>
      <w:r w:rsidR="007B49A7">
        <w:t>á</w:t>
      </w:r>
      <w:r w:rsidRPr="00E7535E">
        <w:t xml:space="preserve"> období riziko, že rozpočet nemusí odpovídat reálným potřebám jednotlivých rezortů. </w:t>
      </w:r>
    </w:p>
    <w:p w14:paraId="7FF52AFD" w14:textId="61E4D675" w:rsidR="009E2120" w:rsidRPr="00E7535E" w:rsidRDefault="009E2120" w:rsidP="00761EB6">
      <w:pPr>
        <w:pStyle w:val="Odstavecseseznamem"/>
        <w:numPr>
          <w:ilvl w:val="0"/>
          <w:numId w:val="35"/>
        </w:numPr>
        <w:spacing w:after="0"/>
      </w:pPr>
      <w:r w:rsidRPr="00E7535E">
        <w:t xml:space="preserve">Nevyčerpané prostředky určené na transfery, u kterých nebyl vymezen účel, jsou do evidence NNV zaneseny jako nároky z nespotřebovaných neprofilujících výdajů. V následujících rozpočtových obdobích organizační složky státu mohou tyto nároky z nespotřebovaných neprofilujících výdajů použít na jakékoliv neprofilující výdaje. Vzhledem k tomu, že transfery nejsou vymezeny jako profilující výdaje, existuje riziko, že OSS může získat (na základě rozpočtového opatření) navíc další prostředky ze státního rozpočtu, ačkoliv je měla původně </w:t>
      </w:r>
      <w:r w:rsidR="00C06BF6" w:rsidRPr="00E7535E">
        <w:t xml:space="preserve">v minulých obdobích </w:t>
      </w:r>
      <w:r w:rsidRPr="00E7535E">
        <w:t>rozpočtem zajištěné.</w:t>
      </w:r>
    </w:p>
    <w:p w14:paraId="58592B74" w14:textId="251D9E08" w:rsidR="009E2120" w:rsidRPr="00E7535E" w:rsidRDefault="009E2120" w:rsidP="00761EB6">
      <w:pPr>
        <w:pStyle w:val="Odstavecseseznamem"/>
        <w:numPr>
          <w:ilvl w:val="0"/>
          <w:numId w:val="35"/>
        </w:numPr>
        <w:spacing w:after="0"/>
      </w:pPr>
      <w:r w:rsidRPr="00E7535E">
        <w:t>Nevyčerpané prostředky z mimorozpočtových zdrojů, o které OSS posílily své rozpočty, jsou zanesen</w:t>
      </w:r>
      <w:r w:rsidR="007B49A7">
        <w:t>y</w:t>
      </w:r>
      <w:r w:rsidRPr="00E7535E">
        <w:t xml:space="preserve"> do evidence NNV. OSS tak v následujících rozpočtových obdobích již nemohou použít mimorozpočtové zdroje pro potřeby, které z nich měly být původně hrazeny, ale tyto potřeby budou tzv. kryty NNV. Existuje riziko, že vláda rozhodne o</w:t>
      </w:r>
      <w:r w:rsidR="00C06BF6" w:rsidRPr="00E7535E">
        <w:t> </w:t>
      </w:r>
      <w:r w:rsidRPr="00E7535E">
        <w:t>snížení NNV</w:t>
      </w:r>
      <w:r w:rsidR="007B49A7">
        <w:t>,</w:t>
      </w:r>
      <w:r w:rsidRPr="00E7535E">
        <w:t xml:space="preserve"> příp. </w:t>
      </w:r>
      <w:r w:rsidR="007B49A7">
        <w:t xml:space="preserve">o </w:t>
      </w:r>
      <w:r w:rsidRPr="00E7535E">
        <w:t>jejich zablokování</w:t>
      </w:r>
      <w:r w:rsidR="007B49A7">
        <w:t>,</w:t>
      </w:r>
      <w:r w:rsidRPr="00E7535E">
        <w:t xml:space="preserve"> a OSS tak nebudou moci uhradit potřeby, kter</w:t>
      </w:r>
      <w:r w:rsidR="00F754DC" w:rsidRPr="00E7535E">
        <w:t>é nejsou</w:t>
      </w:r>
      <w:r w:rsidRPr="00E7535E">
        <w:t xml:space="preserve"> rozpočtem zajištěn</w:t>
      </w:r>
      <w:r w:rsidR="007B49A7">
        <w:t>y</w:t>
      </w:r>
      <w:r w:rsidRPr="00E7535E">
        <w:t>.</w:t>
      </w:r>
    </w:p>
    <w:p w14:paraId="42A51219" w14:textId="77777777" w:rsidR="003F4DB6" w:rsidRDefault="003F4DB6" w:rsidP="009E2120">
      <w:pPr>
        <w:spacing w:line="280" w:lineRule="atLeast"/>
        <w:contextualSpacing/>
        <w:rPr>
          <w:b/>
        </w:rPr>
      </w:pPr>
    </w:p>
    <w:p w14:paraId="4F96833F" w14:textId="205805D6" w:rsidR="009E2120" w:rsidRDefault="009E2120" w:rsidP="009E2120">
      <w:pPr>
        <w:spacing w:line="280" w:lineRule="atLeast"/>
        <w:contextualSpacing/>
        <w:rPr>
          <w:b/>
        </w:rPr>
      </w:pPr>
      <w:r w:rsidRPr="009E2120">
        <w:rPr>
          <w:b/>
        </w:rPr>
        <w:t xml:space="preserve">S ohledem na zjištěné skutečnosti NKÚ doporučuje Ministerstvu financí, aby upravilo obecně </w:t>
      </w:r>
      <w:r w:rsidR="00413F48">
        <w:rPr>
          <w:b/>
        </w:rPr>
        <w:t xml:space="preserve">závazné </w:t>
      </w:r>
      <w:r w:rsidRPr="009E2120">
        <w:rPr>
          <w:b/>
        </w:rPr>
        <w:t>právní předpisy v oblasti NNV tak, aby výše uvedená rizika byla minimalizována.</w:t>
      </w:r>
    </w:p>
    <w:p w14:paraId="475B08AB" w14:textId="77777777" w:rsidR="009034EF" w:rsidRDefault="009034EF" w:rsidP="009E2120">
      <w:pPr>
        <w:spacing w:line="280" w:lineRule="atLeast"/>
        <w:contextualSpacing/>
        <w:rPr>
          <w:b/>
        </w:rPr>
      </w:pPr>
    </w:p>
    <w:p w14:paraId="0A685FF1" w14:textId="77777777" w:rsidR="009034EF" w:rsidRDefault="009034EF" w:rsidP="009E2120">
      <w:pPr>
        <w:spacing w:line="280" w:lineRule="atLeast"/>
        <w:contextualSpacing/>
        <w:rPr>
          <w:b/>
        </w:rPr>
      </w:pPr>
    </w:p>
    <w:p w14:paraId="51B41A27" w14:textId="322D646C" w:rsidR="003F4DB6" w:rsidRDefault="00CF06FA" w:rsidP="00794235">
      <w:pPr>
        <w:pStyle w:val="Nadpis1"/>
        <w:rPr>
          <w:lang w:eastAsia="en-US"/>
        </w:rPr>
      </w:pPr>
      <w:r w:rsidRPr="00611CE1">
        <w:rPr>
          <w:lang w:eastAsia="en-US"/>
        </w:rPr>
        <w:lastRenderedPageBreak/>
        <w:t>III. Podrobn</w:t>
      </w:r>
      <w:r>
        <w:rPr>
          <w:lang w:eastAsia="en-US"/>
        </w:rPr>
        <w:t>é informace ke zjištěným skutečnostem</w:t>
      </w:r>
    </w:p>
    <w:p w14:paraId="14361CCF" w14:textId="77777777" w:rsidR="00794235" w:rsidRPr="00794235" w:rsidRDefault="00794235" w:rsidP="00794235">
      <w:pPr>
        <w:rPr>
          <w:lang w:eastAsia="en-US"/>
        </w:rPr>
      </w:pPr>
    </w:p>
    <w:p w14:paraId="4B81C4BE" w14:textId="7109F6B2" w:rsidR="00194849" w:rsidRPr="00E37D39" w:rsidRDefault="00CF06FA" w:rsidP="00194849">
      <w:pPr>
        <w:pStyle w:val="Nadpis2"/>
        <w:numPr>
          <w:ilvl w:val="0"/>
          <w:numId w:val="0"/>
        </w:numPr>
        <w:rPr>
          <w:rFonts w:cs="Arial"/>
        </w:rPr>
      </w:pPr>
      <w:r w:rsidRPr="00930786">
        <w:t>K bodu 1</w:t>
      </w:r>
      <w:r w:rsidR="00B55444">
        <w:t>.</w:t>
      </w:r>
      <w:r>
        <w:t xml:space="preserve"> Nároky </w:t>
      </w:r>
      <w:r w:rsidR="00B55444">
        <w:t xml:space="preserve">z </w:t>
      </w:r>
      <w:r>
        <w:t xml:space="preserve">nespotřebovaných výdajů organizačních složek státu a dopad </w:t>
      </w:r>
      <w:r w:rsidR="00F04C4C">
        <w:t xml:space="preserve">NNV </w:t>
      </w:r>
      <w:r>
        <w:t>na hospodaření státu</w:t>
      </w:r>
      <w:r w:rsidRPr="00674DEE">
        <w:rPr>
          <w:rFonts w:cs="Arial"/>
        </w:rPr>
        <w:t>:</w:t>
      </w:r>
    </w:p>
    <w:p w14:paraId="4C659506" w14:textId="314E2717" w:rsidR="00194849" w:rsidRDefault="00CF06FA" w:rsidP="00194849">
      <w:r w:rsidRPr="000342E3">
        <w:rPr>
          <w:b/>
        </w:rPr>
        <w:t>NNV nejsou součástí schváleného rozpočtu</w:t>
      </w:r>
      <w:r>
        <w:rPr>
          <w:b/>
        </w:rPr>
        <w:t xml:space="preserve"> výdajů</w:t>
      </w:r>
      <w:r>
        <w:t xml:space="preserve">, tj. rozpočtu schváleného Poslaneckou sněmovnou, </w:t>
      </w:r>
      <w:r w:rsidRPr="000342E3">
        <w:rPr>
          <w:b/>
        </w:rPr>
        <w:t>ale jsou součástí konečného rozpočtu</w:t>
      </w:r>
      <w:r>
        <w:rPr>
          <w:rStyle w:val="Znakapoznpodarou"/>
          <w:b/>
        </w:rPr>
        <w:footnoteReference w:id="10"/>
      </w:r>
      <w:r>
        <w:rPr>
          <w:b/>
        </w:rPr>
        <w:t xml:space="preserve"> </w:t>
      </w:r>
      <w:r w:rsidRPr="009E2120">
        <w:t>(dále také „RK“)</w:t>
      </w:r>
      <w:r w:rsidRPr="00AF01D2">
        <w:rPr>
          <w:b/>
        </w:rPr>
        <w:t>, který není schvalován Ministerstvem financí, vládou ani Poslaneckou sněmovnou.</w:t>
      </w:r>
      <w:r w:rsidRPr="0043760F">
        <w:t xml:space="preserve"> Z důvodu </w:t>
      </w:r>
      <w:r>
        <w:t xml:space="preserve">zapojení NNV do RK byla jeho výše </w:t>
      </w:r>
      <w:r w:rsidRPr="00AF01D2">
        <w:t xml:space="preserve">oproti schválenému rozpočtu vyšší v roce 2014 o 105,44 mld. Kč a v roce 2015 o 122,94 mld. Kč. </w:t>
      </w:r>
      <w:r w:rsidRPr="00804849">
        <w:rPr>
          <w:b/>
        </w:rPr>
        <w:t>NNV</w:t>
      </w:r>
      <w:r w:rsidRPr="00761EB6">
        <w:rPr>
          <w:b/>
        </w:rPr>
        <w:t xml:space="preserve"> </w:t>
      </w:r>
      <w:r w:rsidR="00804849" w:rsidRPr="00804849">
        <w:t>v době,</w:t>
      </w:r>
      <w:r w:rsidR="00804849">
        <w:t xml:space="preserve"> kdy jsou </w:t>
      </w:r>
      <w:r w:rsidRPr="00AF01D2">
        <w:t>veden</w:t>
      </w:r>
      <w:r w:rsidR="00804849">
        <w:t>y</w:t>
      </w:r>
      <w:r w:rsidRPr="00AF01D2">
        <w:t xml:space="preserve"> v</w:t>
      </w:r>
      <w:r w:rsidR="00804849">
        <w:t> </w:t>
      </w:r>
      <w:r w:rsidRPr="00AF01D2">
        <w:t>evidenci</w:t>
      </w:r>
      <w:r w:rsidR="00804849">
        <w:t>,</w:t>
      </w:r>
      <w:r w:rsidRPr="00AF01D2">
        <w:t xml:space="preserve"> </w:t>
      </w:r>
      <w:r w:rsidR="00FE1EBD">
        <w:t>ale i</w:t>
      </w:r>
      <w:r w:rsidRPr="00AF01D2">
        <w:t xml:space="preserve"> v okamžiku zapojení do konečného rozpočtu </w:t>
      </w:r>
      <w:r w:rsidRPr="00AF01D2">
        <w:rPr>
          <w:b/>
        </w:rPr>
        <w:t>nejsou kryty žádnými zdroji financování</w:t>
      </w:r>
      <w:r w:rsidRPr="00761EB6">
        <w:rPr>
          <w:b/>
        </w:rPr>
        <w:t>.</w:t>
      </w:r>
      <w:r w:rsidRPr="00AF01D2">
        <w:t xml:space="preserve"> </w:t>
      </w:r>
    </w:p>
    <w:p w14:paraId="5C8D098F" w14:textId="77777777" w:rsidR="003F4DB6" w:rsidRDefault="003F4DB6" w:rsidP="00194849"/>
    <w:p w14:paraId="7012E583" w14:textId="5111CB72" w:rsidR="00194849" w:rsidRDefault="003B5064" w:rsidP="00194849">
      <w:pPr>
        <w:spacing w:line="280" w:lineRule="atLeast"/>
        <w:contextualSpacing/>
      </w:pPr>
      <w:r>
        <w:t>P</w:t>
      </w:r>
      <w:r w:rsidR="00CF06FA">
        <w:t>řekroč</w:t>
      </w:r>
      <w:r>
        <w:t>ením závazného</w:t>
      </w:r>
      <w:r w:rsidR="00CF06FA">
        <w:t xml:space="preserve"> ukazatel</w:t>
      </w:r>
      <w:r>
        <w:t>e OSS</w:t>
      </w:r>
      <w:r w:rsidR="00CF06FA">
        <w:t xml:space="preserve"> schválen</w:t>
      </w:r>
      <w:r>
        <w:t>ého</w:t>
      </w:r>
      <w:r w:rsidR="00CF06FA">
        <w:t xml:space="preserve"> Poslaneckou sněmovnou o použití úspor z minulých let (NNV) </w:t>
      </w:r>
      <w:r w:rsidR="00100B52">
        <w:t>existuje riziko</w:t>
      </w:r>
      <w:r w:rsidR="00CF06FA">
        <w:t xml:space="preserve">, že nebudou k dispozici prostředky státního rozpočtu </w:t>
      </w:r>
      <w:r w:rsidR="00A67806">
        <w:t xml:space="preserve">(dále také „SR“) </w:t>
      </w:r>
      <w:r w:rsidR="00CF06FA">
        <w:t>pro plnění rozpočtu schváleného Poslaneckou sněmovnou, příp. upraveného rozpočtu</w:t>
      </w:r>
      <w:r w:rsidR="00A96CE8">
        <w:rPr>
          <w:rStyle w:val="Znakapoznpodarou"/>
        </w:rPr>
        <w:footnoteReference w:id="11"/>
      </w:r>
      <w:r w:rsidR="00CF06FA">
        <w:t xml:space="preserve"> schváleného ministrem financí, vládou či Poslaneckou sněmovnou. Ministerstvo financí, jako ústřední orgán státní správy mj. pro státní rozpočet a pro státní pokladnu, by muselo zajistit vypořádání </w:t>
      </w:r>
      <w:r w:rsidR="00CF06FA" w:rsidRPr="00E73B84">
        <w:t>vyššího než schváleného schodku státního</w:t>
      </w:r>
      <w:r w:rsidR="00CF06FA">
        <w:t xml:space="preserve"> rozpočtu např. zvýšením stavu státních dluhopisů. </w:t>
      </w:r>
    </w:p>
    <w:p w14:paraId="29B48C1E" w14:textId="77777777" w:rsidR="003F4DB6" w:rsidRDefault="003F4DB6" w:rsidP="00194849">
      <w:pPr>
        <w:spacing w:line="280" w:lineRule="atLeast"/>
        <w:contextualSpacing/>
      </w:pPr>
    </w:p>
    <w:p w14:paraId="1FFBC6BB" w14:textId="2997D75F" w:rsidR="00194849" w:rsidRDefault="00CF06FA" w:rsidP="00194849">
      <w:r>
        <w:t xml:space="preserve">V roce 2015 </w:t>
      </w:r>
      <w:r w:rsidR="00100B52">
        <w:t>OSS čerpaly</w:t>
      </w:r>
      <w:r>
        <w:t xml:space="preserve"> prostředk</w:t>
      </w:r>
      <w:r w:rsidR="00100B52">
        <w:t>y</w:t>
      </w:r>
      <w:r>
        <w:t xml:space="preserve"> nad rámec schváleného rozpočtu ve výši 93,78 mld. Kč (z toho 12,52 mld. Kč bylo čerpáno k úhradě neprofilujících výdajů). </w:t>
      </w:r>
      <w:r w:rsidR="00A24BBB">
        <w:t xml:space="preserve">Celkové příjmy a výdaje státního rozpočtu a jejich skutečné čerpání dle podkladové jednotky </w:t>
      </w:r>
      <w:r>
        <w:t>uv</w:t>
      </w:r>
      <w:r w:rsidR="00AC736D">
        <w:t xml:space="preserve">ádí </w:t>
      </w:r>
      <w:r w:rsidRPr="00817D9A">
        <w:t>tabul</w:t>
      </w:r>
      <w:r w:rsidR="00AC736D">
        <w:t>ka</w:t>
      </w:r>
      <w:r w:rsidRPr="00817D9A">
        <w:t xml:space="preserve"> č.</w:t>
      </w:r>
      <w:r w:rsidR="00A24BBB">
        <w:t> </w:t>
      </w:r>
      <w:r>
        <w:t>2.</w:t>
      </w:r>
    </w:p>
    <w:p w14:paraId="424918FE" w14:textId="77777777" w:rsidR="00EC7C16" w:rsidRDefault="00EC7C16" w:rsidP="00194849"/>
    <w:p w14:paraId="7BF14F4C" w14:textId="4BBDCCD2" w:rsidR="00D7533F" w:rsidRDefault="00D7533F" w:rsidP="00194849">
      <w:r>
        <w:t>Tabulka č. 2 – Příjmy a výdaje SR dle podkladové jednotky</w:t>
      </w:r>
      <w:r>
        <w:tab/>
      </w:r>
      <w:r>
        <w:tab/>
      </w:r>
      <w:r w:rsidR="0076189E">
        <w:tab/>
      </w:r>
      <w:r w:rsidR="0076189E">
        <w:tab/>
        <w:t xml:space="preserve">     </w:t>
      </w:r>
      <w:r w:rsidR="00F04C4C">
        <w:t>(</w:t>
      </w:r>
      <w:r>
        <w:t>v mld. Kč</w:t>
      </w:r>
      <w:r w:rsidR="00F04C4C">
        <w:t>)</w:t>
      </w:r>
    </w:p>
    <w:tbl>
      <w:tblPr>
        <w:tblStyle w:val="Mkatabulky"/>
        <w:tblW w:w="0" w:type="auto"/>
        <w:tblLook w:val="04A0" w:firstRow="1" w:lastRow="0" w:firstColumn="1" w:lastColumn="0" w:noHBand="0" w:noVBand="1"/>
      </w:tblPr>
      <w:tblGrid>
        <w:gridCol w:w="1831"/>
        <w:gridCol w:w="1141"/>
        <w:gridCol w:w="1522"/>
        <w:gridCol w:w="1523"/>
        <w:gridCol w:w="1522"/>
        <w:gridCol w:w="1523"/>
      </w:tblGrid>
      <w:tr w:rsidR="00D7533F" w14:paraId="2A253D1A" w14:textId="77777777" w:rsidTr="0076189E">
        <w:tc>
          <w:tcPr>
            <w:tcW w:w="2972" w:type="dxa"/>
            <w:gridSpan w:val="2"/>
            <w:shd w:val="clear" w:color="auto" w:fill="E5F1FF"/>
          </w:tcPr>
          <w:p w14:paraId="7BCCE60F" w14:textId="77777777" w:rsidR="00D7533F" w:rsidRPr="0076189E" w:rsidRDefault="00D7533F" w:rsidP="00194849">
            <w:pPr>
              <w:rPr>
                <w:rFonts w:ascii="Calibri" w:hAnsi="Calibri"/>
                <w:sz w:val="20"/>
                <w:szCs w:val="20"/>
              </w:rPr>
            </w:pPr>
          </w:p>
        </w:tc>
        <w:tc>
          <w:tcPr>
            <w:tcW w:w="1522" w:type="dxa"/>
            <w:shd w:val="clear" w:color="auto" w:fill="E5F1FF"/>
            <w:vAlign w:val="center"/>
          </w:tcPr>
          <w:p w14:paraId="7EA2D66A" w14:textId="1222F4E0" w:rsidR="00D7533F" w:rsidRPr="0076189E" w:rsidRDefault="00D7533F" w:rsidP="00D7533F">
            <w:pPr>
              <w:jc w:val="center"/>
              <w:rPr>
                <w:rFonts w:ascii="Calibri" w:hAnsi="Calibri"/>
                <w:b/>
                <w:sz w:val="20"/>
                <w:szCs w:val="20"/>
              </w:rPr>
            </w:pPr>
            <w:r w:rsidRPr="0076189E">
              <w:rPr>
                <w:rFonts w:ascii="Calibri" w:hAnsi="Calibri"/>
                <w:b/>
                <w:sz w:val="20"/>
                <w:szCs w:val="20"/>
              </w:rPr>
              <w:t>RS 2015</w:t>
            </w:r>
          </w:p>
        </w:tc>
        <w:tc>
          <w:tcPr>
            <w:tcW w:w="1523" w:type="dxa"/>
            <w:shd w:val="clear" w:color="auto" w:fill="E5F1FF"/>
            <w:vAlign w:val="center"/>
          </w:tcPr>
          <w:p w14:paraId="4808A235" w14:textId="6218E57A" w:rsidR="00D7533F" w:rsidRPr="0076189E" w:rsidRDefault="00D7533F" w:rsidP="00D7533F">
            <w:pPr>
              <w:jc w:val="center"/>
              <w:rPr>
                <w:rFonts w:ascii="Calibri" w:hAnsi="Calibri"/>
                <w:b/>
                <w:sz w:val="20"/>
                <w:szCs w:val="20"/>
              </w:rPr>
            </w:pPr>
            <w:r w:rsidRPr="0076189E">
              <w:rPr>
                <w:rFonts w:ascii="Calibri" w:hAnsi="Calibri"/>
                <w:b/>
                <w:sz w:val="20"/>
                <w:szCs w:val="20"/>
              </w:rPr>
              <w:t>RZ 2015</w:t>
            </w:r>
          </w:p>
        </w:tc>
        <w:tc>
          <w:tcPr>
            <w:tcW w:w="1522" w:type="dxa"/>
            <w:shd w:val="clear" w:color="auto" w:fill="E5F1FF"/>
            <w:vAlign w:val="center"/>
          </w:tcPr>
          <w:p w14:paraId="0E43B548" w14:textId="70286AAF" w:rsidR="00D7533F" w:rsidRPr="0076189E" w:rsidRDefault="00D7533F" w:rsidP="00D7533F">
            <w:pPr>
              <w:jc w:val="center"/>
              <w:rPr>
                <w:rFonts w:ascii="Calibri" w:hAnsi="Calibri"/>
                <w:b/>
                <w:sz w:val="20"/>
                <w:szCs w:val="20"/>
              </w:rPr>
            </w:pPr>
            <w:r w:rsidRPr="0076189E">
              <w:rPr>
                <w:rFonts w:ascii="Calibri" w:hAnsi="Calibri"/>
                <w:b/>
                <w:sz w:val="20"/>
                <w:szCs w:val="20"/>
              </w:rPr>
              <w:t>RK 2015</w:t>
            </w:r>
          </w:p>
        </w:tc>
        <w:tc>
          <w:tcPr>
            <w:tcW w:w="1523" w:type="dxa"/>
            <w:shd w:val="clear" w:color="auto" w:fill="E5F1FF"/>
            <w:vAlign w:val="center"/>
          </w:tcPr>
          <w:p w14:paraId="568E3F75" w14:textId="5991B4F5" w:rsidR="00D7533F" w:rsidRPr="0076189E" w:rsidRDefault="00D7533F" w:rsidP="00D7533F">
            <w:pPr>
              <w:jc w:val="center"/>
              <w:rPr>
                <w:rFonts w:ascii="Calibri" w:hAnsi="Calibri"/>
                <w:b/>
                <w:sz w:val="20"/>
                <w:szCs w:val="20"/>
              </w:rPr>
            </w:pPr>
            <w:r w:rsidRPr="0076189E">
              <w:rPr>
                <w:rFonts w:ascii="Calibri" w:hAnsi="Calibri"/>
                <w:b/>
                <w:sz w:val="20"/>
                <w:szCs w:val="20"/>
              </w:rPr>
              <w:t>SK 2015</w:t>
            </w:r>
          </w:p>
        </w:tc>
      </w:tr>
      <w:tr w:rsidR="00D7533F" w14:paraId="58E80D0D" w14:textId="77777777" w:rsidTr="00D7533F">
        <w:tc>
          <w:tcPr>
            <w:tcW w:w="2972" w:type="dxa"/>
            <w:gridSpan w:val="2"/>
          </w:tcPr>
          <w:p w14:paraId="71A5E0DD" w14:textId="0A544313" w:rsidR="00D7533F" w:rsidRPr="0076189E" w:rsidRDefault="00D7533F" w:rsidP="00194849">
            <w:pPr>
              <w:rPr>
                <w:rFonts w:ascii="Calibri" w:hAnsi="Calibri"/>
                <w:sz w:val="20"/>
                <w:szCs w:val="20"/>
              </w:rPr>
            </w:pPr>
            <w:r w:rsidRPr="0076189E">
              <w:rPr>
                <w:rFonts w:ascii="Calibri" w:hAnsi="Calibri"/>
                <w:sz w:val="20"/>
                <w:szCs w:val="20"/>
              </w:rPr>
              <w:t>Příjmy</w:t>
            </w:r>
          </w:p>
        </w:tc>
        <w:tc>
          <w:tcPr>
            <w:tcW w:w="1522" w:type="dxa"/>
            <w:vAlign w:val="center"/>
          </w:tcPr>
          <w:p w14:paraId="03B07700" w14:textId="714B14F9" w:rsidR="00D7533F" w:rsidRPr="0076189E" w:rsidRDefault="00D7533F" w:rsidP="00D7533F">
            <w:pPr>
              <w:jc w:val="right"/>
              <w:rPr>
                <w:rFonts w:ascii="Calibri" w:hAnsi="Calibri"/>
                <w:sz w:val="20"/>
                <w:szCs w:val="20"/>
              </w:rPr>
            </w:pPr>
            <w:r w:rsidRPr="0076189E">
              <w:rPr>
                <w:rFonts w:ascii="Calibri" w:hAnsi="Calibri"/>
                <w:sz w:val="20"/>
                <w:szCs w:val="20"/>
              </w:rPr>
              <w:t>1 118,46</w:t>
            </w:r>
          </w:p>
        </w:tc>
        <w:tc>
          <w:tcPr>
            <w:tcW w:w="1523" w:type="dxa"/>
            <w:vAlign w:val="center"/>
          </w:tcPr>
          <w:p w14:paraId="23D1E017" w14:textId="3E451657" w:rsidR="00D7533F" w:rsidRPr="0076189E" w:rsidRDefault="00D7533F" w:rsidP="00D7533F">
            <w:pPr>
              <w:jc w:val="right"/>
              <w:rPr>
                <w:rFonts w:ascii="Calibri" w:hAnsi="Calibri"/>
                <w:sz w:val="20"/>
                <w:szCs w:val="20"/>
              </w:rPr>
            </w:pPr>
            <w:r w:rsidRPr="0076189E">
              <w:rPr>
                <w:rFonts w:ascii="Calibri" w:hAnsi="Calibri"/>
                <w:sz w:val="20"/>
                <w:szCs w:val="20"/>
              </w:rPr>
              <w:t>1 212,90</w:t>
            </w:r>
          </w:p>
        </w:tc>
        <w:tc>
          <w:tcPr>
            <w:tcW w:w="1522" w:type="dxa"/>
            <w:vAlign w:val="center"/>
          </w:tcPr>
          <w:p w14:paraId="458EA8D3" w14:textId="7B76DE4B" w:rsidR="00D7533F" w:rsidRPr="0076189E" w:rsidRDefault="00D7533F" w:rsidP="00D7533F">
            <w:pPr>
              <w:jc w:val="right"/>
              <w:rPr>
                <w:rFonts w:ascii="Calibri" w:hAnsi="Calibri"/>
                <w:sz w:val="20"/>
                <w:szCs w:val="20"/>
              </w:rPr>
            </w:pPr>
            <w:r w:rsidRPr="0076189E">
              <w:rPr>
                <w:rFonts w:ascii="Calibri" w:hAnsi="Calibri"/>
                <w:sz w:val="20"/>
                <w:szCs w:val="20"/>
              </w:rPr>
              <w:t>–</w:t>
            </w:r>
          </w:p>
        </w:tc>
        <w:tc>
          <w:tcPr>
            <w:tcW w:w="1523" w:type="dxa"/>
            <w:vAlign w:val="center"/>
          </w:tcPr>
          <w:p w14:paraId="0CEF71A9" w14:textId="41F3E545" w:rsidR="00D7533F" w:rsidRPr="0076189E" w:rsidRDefault="00D7533F" w:rsidP="00D7533F">
            <w:pPr>
              <w:jc w:val="right"/>
              <w:rPr>
                <w:rFonts w:ascii="Calibri" w:hAnsi="Calibri"/>
                <w:sz w:val="20"/>
                <w:szCs w:val="20"/>
              </w:rPr>
            </w:pPr>
            <w:r w:rsidRPr="0076189E">
              <w:rPr>
                <w:rFonts w:ascii="Calibri" w:hAnsi="Calibri"/>
                <w:sz w:val="20"/>
                <w:szCs w:val="20"/>
              </w:rPr>
              <w:t>1 234,52</w:t>
            </w:r>
          </w:p>
        </w:tc>
      </w:tr>
      <w:tr w:rsidR="00D7533F" w14:paraId="1F6344DC" w14:textId="77777777" w:rsidTr="00D7533F">
        <w:tc>
          <w:tcPr>
            <w:tcW w:w="2972" w:type="dxa"/>
            <w:gridSpan w:val="2"/>
          </w:tcPr>
          <w:p w14:paraId="59498F73" w14:textId="5D9DDC09" w:rsidR="00D7533F" w:rsidRPr="0076189E" w:rsidRDefault="00D7533F" w:rsidP="00194849">
            <w:pPr>
              <w:rPr>
                <w:rFonts w:ascii="Calibri" w:hAnsi="Calibri"/>
                <w:sz w:val="20"/>
                <w:szCs w:val="20"/>
              </w:rPr>
            </w:pPr>
            <w:r w:rsidRPr="0076189E">
              <w:rPr>
                <w:rFonts w:ascii="Calibri" w:hAnsi="Calibri"/>
                <w:sz w:val="20"/>
                <w:szCs w:val="20"/>
              </w:rPr>
              <w:t>Výdaje</w:t>
            </w:r>
          </w:p>
        </w:tc>
        <w:tc>
          <w:tcPr>
            <w:tcW w:w="1522" w:type="dxa"/>
            <w:vAlign w:val="center"/>
          </w:tcPr>
          <w:p w14:paraId="761125E9" w14:textId="116B099D" w:rsidR="00D7533F" w:rsidRPr="0076189E" w:rsidRDefault="00D7533F" w:rsidP="00D7533F">
            <w:pPr>
              <w:jc w:val="right"/>
              <w:rPr>
                <w:rFonts w:ascii="Calibri" w:hAnsi="Calibri"/>
                <w:sz w:val="20"/>
                <w:szCs w:val="20"/>
              </w:rPr>
            </w:pPr>
            <w:r w:rsidRPr="0076189E">
              <w:rPr>
                <w:rFonts w:ascii="Calibri" w:hAnsi="Calibri"/>
                <w:sz w:val="20"/>
                <w:szCs w:val="20"/>
              </w:rPr>
              <w:t>1 218,46</w:t>
            </w:r>
          </w:p>
        </w:tc>
        <w:tc>
          <w:tcPr>
            <w:tcW w:w="1523" w:type="dxa"/>
            <w:vAlign w:val="center"/>
          </w:tcPr>
          <w:p w14:paraId="0AE85482" w14:textId="54B906AB" w:rsidR="00D7533F" w:rsidRPr="0076189E" w:rsidRDefault="00D7533F" w:rsidP="00D7533F">
            <w:pPr>
              <w:jc w:val="right"/>
              <w:rPr>
                <w:rFonts w:ascii="Calibri" w:hAnsi="Calibri"/>
                <w:sz w:val="20"/>
                <w:szCs w:val="20"/>
              </w:rPr>
            </w:pPr>
            <w:r w:rsidRPr="0076189E">
              <w:rPr>
                <w:rFonts w:ascii="Calibri" w:hAnsi="Calibri"/>
                <w:sz w:val="20"/>
                <w:szCs w:val="20"/>
              </w:rPr>
              <w:t>1 312,90</w:t>
            </w:r>
          </w:p>
        </w:tc>
        <w:tc>
          <w:tcPr>
            <w:tcW w:w="1522" w:type="dxa"/>
            <w:vAlign w:val="center"/>
          </w:tcPr>
          <w:p w14:paraId="0DFEB242" w14:textId="21B406EE" w:rsidR="00D7533F" w:rsidRPr="0076189E" w:rsidRDefault="00D7533F" w:rsidP="00D7533F">
            <w:pPr>
              <w:jc w:val="right"/>
              <w:rPr>
                <w:rFonts w:ascii="Calibri" w:hAnsi="Calibri"/>
                <w:sz w:val="20"/>
                <w:szCs w:val="20"/>
              </w:rPr>
            </w:pPr>
            <w:r w:rsidRPr="0076189E">
              <w:rPr>
                <w:rFonts w:ascii="Calibri" w:hAnsi="Calibri"/>
                <w:sz w:val="20"/>
                <w:szCs w:val="20"/>
              </w:rPr>
              <w:t>1 432,91</w:t>
            </w:r>
          </w:p>
        </w:tc>
        <w:tc>
          <w:tcPr>
            <w:tcW w:w="1523" w:type="dxa"/>
            <w:vAlign w:val="center"/>
          </w:tcPr>
          <w:p w14:paraId="7F0935D6" w14:textId="76D81E2E" w:rsidR="00D7533F" w:rsidRPr="0076189E" w:rsidRDefault="00D7533F" w:rsidP="00D7533F">
            <w:pPr>
              <w:jc w:val="right"/>
              <w:rPr>
                <w:rFonts w:ascii="Calibri" w:hAnsi="Calibri"/>
                <w:sz w:val="20"/>
                <w:szCs w:val="20"/>
              </w:rPr>
            </w:pPr>
            <w:r w:rsidRPr="0076189E">
              <w:rPr>
                <w:rFonts w:ascii="Calibri" w:hAnsi="Calibri"/>
                <w:sz w:val="20"/>
                <w:szCs w:val="20"/>
              </w:rPr>
              <w:t>1 297,32</w:t>
            </w:r>
          </w:p>
        </w:tc>
      </w:tr>
      <w:tr w:rsidR="00D7533F" w14:paraId="331451A3" w14:textId="77777777" w:rsidTr="00D7533F">
        <w:tc>
          <w:tcPr>
            <w:tcW w:w="2972" w:type="dxa"/>
            <w:gridSpan w:val="2"/>
          </w:tcPr>
          <w:p w14:paraId="3E5577F9" w14:textId="0C0F1E96" w:rsidR="00D7533F" w:rsidRPr="0076189E" w:rsidRDefault="00D7533F" w:rsidP="00194849">
            <w:pPr>
              <w:rPr>
                <w:rFonts w:ascii="Calibri" w:hAnsi="Calibri"/>
                <w:b/>
                <w:sz w:val="20"/>
                <w:szCs w:val="20"/>
              </w:rPr>
            </w:pPr>
            <w:r w:rsidRPr="0076189E">
              <w:rPr>
                <w:rFonts w:ascii="Calibri" w:hAnsi="Calibri"/>
                <w:b/>
                <w:sz w:val="20"/>
                <w:szCs w:val="20"/>
              </w:rPr>
              <w:t>Rozdíl mezi příjmy a výdaji</w:t>
            </w:r>
          </w:p>
        </w:tc>
        <w:tc>
          <w:tcPr>
            <w:tcW w:w="1522" w:type="dxa"/>
            <w:vAlign w:val="center"/>
          </w:tcPr>
          <w:p w14:paraId="6FE8734E" w14:textId="4B676549" w:rsidR="00D7533F" w:rsidRPr="0076189E" w:rsidRDefault="00614062" w:rsidP="00D7533F">
            <w:pPr>
              <w:jc w:val="right"/>
              <w:rPr>
                <w:rFonts w:ascii="Calibri" w:hAnsi="Calibri"/>
                <w:b/>
                <w:color w:val="FF0000"/>
                <w:sz w:val="20"/>
                <w:szCs w:val="20"/>
              </w:rPr>
            </w:pPr>
            <w:r>
              <w:rPr>
                <w:rFonts w:ascii="Calibri" w:hAnsi="Calibri"/>
                <w:b/>
                <w:color w:val="FF0000"/>
                <w:sz w:val="20"/>
                <w:szCs w:val="20"/>
              </w:rPr>
              <w:t>–</w:t>
            </w:r>
            <w:r w:rsidR="00D7533F" w:rsidRPr="0076189E">
              <w:rPr>
                <w:rFonts w:ascii="Calibri" w:hAnsi="Calibri"/>
                <w:b/>
                <w:color w:val="FF0000"/>
                <w:sz w:val="20"/>
                <w:szCs w:val="20"/>
              </w:rPr>
              <w:t>100</w:t>
            </w:r>
            <w:r w:rsidR="00F04C4C">
              <w:rPr>
                <w:rFonts w:ascii="Calibri" w:hAnsi="Calibri"/>
                <w:b/>
                <w:color w:val="FF0000"/>
                <w:sz w:val="20"/>
                <w:szCs w:val="20"/>
              </w:rPr>
              <w:t>,00</w:t>
            </w:r>
          </w:p>
        </w:tc>
        <w:tc>
          <w:tcPr>
            <w:tcW w:w="1523" w:type="dxa"/>
            <w:vAlign w:val="center"/>
          </w:tcPr>
          <w:p w14:paraId="439C6E19" w14:textId="58A588EB" w:rsidR="00D7533F" w:rsidRPr="0076189E" w:rsidRDefault="00614062" w:rsidP="00D7533F">
            <w:pPr>
              <w:jc w:val="right"/>
              <w:rPr>
                <w:rFonts w:ascii="Calibri" w:hAnsi="Calibri"/>
                <w:b/>
                <w:color w:val="FF0000"/>
                <w:sz w:val="20"/>
                <w:szCs w:val="20"/>
              </w:rPr>
            </w:pPr>
            <w:r>
              <w:rPr>
                <w:rFonts w:ascii="Calibri" w:hAnsi="Calibri"/>
                <w:b/>
                <w:color w:val="FF0000"/>
                <w:sz w:val="20"/>
                <w:szCs w:val="20"/>
              </w:rPr>
              <w:t>–</w:t>
            </w:r>
            <w:r w:rsidR="00D7533F" w:rsidRPr="0076189E">
              <w:rPr>
                <w:rFonts w:ascii="Calibri" w:hAnsi="Calibri"/>
                <w:b/>
                <w:color w:val="FF0000"/>
                <w:sz w:val="20"/>
                <w:szCs w:val="20"/>
              </w:rPr>
              <w:t>100</w:t>
            </w:r>
            <w:r w:rsidR="00F04C4C">
              <w:rPr>
                <w:rFonts w:ascii="Calibri" w:hAnsi="Calibri"/>
                <w:b/>
                <w:color w:val="FF0000"/>
                <w:sz w:val="20"/>
                <w:szCs w:val="20"/>
              </w:rPr>
              <w:t>,00</w:t>
            </w:r>
          </w:p>
        </w:tc>
        <w:tc>
          <w:tcPr>
            <w:tcW w:w="1522" w:type="dxa"/>
            <w:vAlign w:val="center"/>
          </w:tcPr>
          <w:p w14:paraId="63388B2C" w14:textId="58C270F0" w:rsidR="00D7533F" w:rsidRPr="0076189E" w:rsidRDefault="00614062" w:rsidP="00D7533F">
            <w:pPr>
              <w:jc w:val="right"/>
              <w:rPr>
                <w:rFonts w:ascii="Calibri" w:hAnsi="Calibri"/>
                <w:b/>
                <w:color w:val="FF0000"/>
                <w:sz w:val="20"/>
                <w:szCs w:val="20"/>
              </w:rPr>
            </w:pPr>
            <w:r>
              <w:rPr>
                <w:rFonts w:ascii="Calibri" w:hAnsi="Calibri"/>
                <w:b/>
                <w:color w:val="FF0000"/>
                <w:sz w:val="20"/>
                <w:szCs w:val="20"/>
              </w:rPr>
              <w:t>–</w:t>
            </w:r>
            <w:r w:rsidR="00D7533F" w:rsidRPr="0076189E">
              <w:rPr>
                <w:rFonts w:ascii="Calibri" w:hAnsi="Calibri"/>
                <w:b/>
                <w:color w:val="FF0000"/>
                <w:sz w:val="20"/>
                <w:szCs w:val="20"/>
              </w:rPr>
              <w:t>220,01</w:t>
            </w:r>
          </w:p>
        </w:tc>
        <w:tc>
          <w:tcPr>
            <w:tcW w:w="1523" w:type="dxa"/>
            <w:vAlign w:val="center"/>
          </w:tcPr>
          <w:p w14:paraId="0B400BE0" w14:textId="0C400C25" w:rsidR="00D7533F" w:rsidRPr="0076189E" w:rsidRDefault="00614062" w:rsidP="00D7533F">
            <w:pPr>
              <w:jc w:val="right"/>
              <w:rPr>
                <w:rFonts w:ascii="Calibri" w:hAnsi="Calibri"/>
                <w:b/>
                <w:color w:val="FF0000"/>
                <w:sz w:val="20"/>
                <w:szCs w:val="20"/>
              </w:rPr>
            </w:pPr>
            <w:r>
              <w:rPr>
                <w:rFonts w:ascii="Calibri" w:hAnsi="Calibri"/>
                <w:b/>
                <w:color w:val="FF0000"/>
                <w:sz w:val="20"/>
                <w:szCs w:val="20"/>
              </w:rPr>
              <w:t>–</w:t>
            </w:r>
            <w:r w:rsidR="00D7533F" w:rsidRPr="0076189E">
              <w:rPr>
                <w:rFonts w:ascii="Calibri" w:hAnsi="Calibri"/>
                <w:b/>
                <w:color w:val="FF0000"/>
                <w:sz w:val="20"/>
                <w:szCs w:val="20"/>
              </w:rPr>
              <w:t>62,80</w:t>
            </w:r>
          </w:p>
        </w:tc>
      </w:tr>
      <w:tr w:rsidR="00D7533F" w14:paraId="0F1AE4F5" w14:textId="77777777" w:rsidTr="00412E84">
        <w:tc>
          <w:tcPr>
            <w:tcW w:w="9062" w:type="dxa"/>
            <w:gridSpan w:val="6"/>
          </w:tcPr>
          <w:p w14:paraId="0A9EF49D" w14:textId="37C64328" w:rsidR="00D7533F" w:rsidRPr="0076189E" w:rsidRDefault="00D7533F" w:rsidP="00194849">
            <w:pPr>
              <w:rPr>
                <w:rFonts w:ascii="Calibri" w:hAnsi="Calibri"/>
                <w:sz w:val="20"/>
                <w:szCs w:val="20"/>
              </w:rPr>
            </w:pPr>
            <w:r w:rsidRPr="0076189E">
              <w:rPr>
                <w:rFonts w:ascii="Calibri" w:hAnsi="Calibri"/>
                <w:sz w:val="20"/>
                <w:szCs w:val="20"/>
              </w:rPr>
              <w:t>Dle podkladové jednotky</w:t>
            </w:r>
            <w:r w:rsidR="0076189E">
              <w:rPr>
                <w:rFonts w:ascii="Calibri" w:hAnsi="Calibri"/>
                <w:sz w:val="20"/>
                <w:szCs w:val="20"/>
              </w:rPr>
              <w:t>:</w:t>
            </w:r>
          </w:p>
        </w:tc>
      </w:tr>
      <w:tr w:rsidR="00D7533F" w14:paraId="5144C052" w14:textId="77777777" w:rsidTr="00D7533F">
        <w:tc>
          <w:tcPr>
            <w:tcW w:w="1831" w:type="dxa"/>
            <w:vMerge w:val="restart"/>
          </w:tcPr>
          <w:p w14:paraId="15CE4E24" w14:textId="77777777" w:rsidR="00D7533F" w:rsidRPr="0076189E" w:rsidRDefault="00D7533F" w:rsidP="00194849">
            <w:pPr>
              <w:rPr>
                <w:rFonts w:ascii="Calibri" w:hAnsi="Calibri"/>
                <w:sz w:val="20"/>
                <w:szCs w:val="20"/>
              </w:rPr>
            </w:pPr>
          </w:p>
        </w:tc>
        <w:tc>
          <w:tcPr>
            <w:tcW w:w="5708" w:type="dxa"/>
            <w:gridSpan w:val="4"/>
          </w:tcPr>
          <w:p w14:paraId="58B30661" w14:textId="60DAE713" w:rsidR="00D7533F" w:rsidRPr="0076189E" w:rsidRDefault="0076189E" w:rsidP="00194849">
            <w:pPr>
              <w:rPr>
                <w:rFonts w:ascii="Calibri" w:hAnsi="Calibri"/>
                <w:sz w:val="20"/>
                <w:szCs w:val="20"/>
              </w:rPr>
            </w:pPr>
            <w:r>
              <w:rPr>
                <w:rFonts w:ascii="Calibri" w:hAnsi="Calibri"/>
                <w:sz w:val="20"/>
                <w:szCs w:val="20"/>
              </w:rPr>
              <w:t>z</w:t>
            </w:r>
            <w:r w:rsidR="00D7533F" w:rsidRPr="0076189E">
              <w:rPr>
                <w:rFonts w:ascii="Calibri" w:hAnsi="Calibri"/>
                <w:sz w:val="20"/>
                <w:szCs w:val="20"/>
              </w:rPr>
              <w:t>ákladní rozpočet</w:t>
            </w:r>
          </w:p>
        </w:tc>
        <w:tc>
          <w:tcPr>
            <w:tcW w:w="1523" w:type="dxa"/>
            <w:vAlign w:val="center"/>
          </w:tcPr>
          <w:p w14:paraId="6708A23C" w14:textId="4E021B19" w:rsidR="00D7533F" w:rsidRPr="0076189E" w:rsidRDefault="00D7533F" w:rsidP="00D7533F">
            <w:pPr>
              <w:jc w:val="right"/>
              <w:rPr>
                <w:rFonts w:ascii="Calibri" w:hAnsi="Calibri"/>
                <w:b/>
                <w:sz w:val="20"/>
                <w:szCs w:val="20"/>
              </w:rPr>
            </w:pPr>
            <w:r w:rsidRPr="0076189E">
              <w:rPr>
                <w:rFonts w:ascii="Calibri" w:hAnsi="Calibri"/>
                <w:b/>
                <w:sz w:val="20"/>
                <w:szCs w:val="20"/>
              </w:rPr>
              <w:t>31,00</w:t>
            </w:r>
          </w:p>
        </w:tc>
      </w:tr>
      <w:tr w:rsidR="00D7533F" w14:paraId="57282B9F" w14:textId="77777777" w:rsidTr="00D7533F">
        <w:tc>
          <w:tcPr>
            <w:tcW w:w="1831" w:type="dxa"/>
            <w:vMerge/>
          </w:tcPr>
          <w:p w14:paraId="5592F28A" w14:textId="77777777" w:rsidR="00D7533F" w:rsidRPr="0076189E" w:rsidRDefault="00D7533F" w:rsidP="00194849">
            <w:pPr>
              <w:rPr>
                <w:rFonts w:ascii="Calibri" w:hAnsi="Calibri"/>
                <w:sz w:val="20"/>
                <w:szCs w:val="20"/>
              </w:rPr>
            </w:pPr>
          </w:p>
        </w:tc>
        <w:tc>
          <w:tcPr>
            <w:tcW w:w="5708" w:type="dxa"/>
            <w:gridSpan w:val="4"/>
          </w:tcPr>
          <w:p w14:paraId="7DE6CE18" w14:textId="485C950B" w:rsidR="00D7533F" w:rsidRPr="0076189E" w:rsidRDefault="0076189E" w:rsidP="00194849">
            <w:pPr>
              <w:rPr>
                <w:rFonts w:ascii="Calibri" w:hAnsi="Calibri"/>
                <w:sz w:val="20"/>
                <w:szCs w:val="20"/>
              </w:rPr>
            </w:pPr>
            <w:r>
              <w:rPr>
                <w:rFonts w:ascii="Calibri" w:hAnsi="Calibri"/>
                <w:sz w:val="20"/>
                <w:szCs w:val="20"/>
              </w:rPr>
              <w:t>v</w:t>
            </w:r>
            <w:r w:rsidR="00D7533F" w:rsidRPr="0076189E">
              <w:rPr>
                <w:rFonts w:ascii="Calibri" w:hAnsi="Calibri"/>
                <w:sz w:val="20"/>
                <w:szCs w:val="20"/>
              </w:rPr>
              <w:t>ýdaje kryté nároky z nespotřebovaných výdajů</w:t>
            </w:r>
          </w:p>
        </w:tc>
        <w:tc>
          <w:tcPr>
            <w:tcW w:w="1523" w:type="dxa"/>
            <w:vAlign w:val="center"/>
          </w:tcPr>
          <w:p w14:paraId="1A7D6213" w14:textId="0083428C" w:rsidR="00D7533F" w:rsidRPr="0076189E" w:rsidRDefault="00614062" w:rsidP="00D7533F">
            <w:pPr>
              <w:jc w:val="right"/>
              <w:rPr>
                <w:rFonts w:ascii="Calibri" w:hAnsi="Calibri"/>
                <w:b/>
                <w:sz w:val="20"/>
                <w:szCs w:val="20"/>
              </w:rPr>
            </w:pPr>
            <w:r>
              <w:rPr>
                <w:rFonts w:ascii="Calibri" w:hAnsi="Calibri"/>
                <w:b/>
                <w:color w:val="FF0000"/>
                <w:sz w:val="20"/>
                <w:szCs w:val="20"/>
              </w:rPr>
              <w:t>–</w:t>
            </w:r>
            <w:r w:rsidR="00D7533F" w:rsidRPr="0076189E">
              <w:rPr>
                <w:rFonts w:ascii="Calibri" w:hAnsi="Calibri"/>
                <w:b/>
                <w:color w:val="FF0000"/>
                <w:sz w:val="20"/>
                <w:szCs w:val="20"/>
              </w:rPr>
              <w:t>93,78</w:t>
            </w:r>
          </w:p>
        </w:tc>
      </w:tr>
      <w:tr w:rsidR="00D7533F" w14:paraId="32020267" w14:textId="77777777" w:rsidTr="00D7533F">
        <w:tc>
          <w:tcPr>
            <w:tcW w:w="1831" w:type="dxa"/>
            <w:vMerge/>
          </w:tcPr>
          <w:p w14:paraId="3B1E5FDC" w14:textId="77777777" w:rsidR="00D7533F" w:rsidRPr="0076189E" w:rsidRDefault="00D7533F" w:rsidP="00194849">
            <w:pPr>
              <w:rPr>
                <w:rFonts w:ascii="Calibri" w:hAnsi="Calibri"/>
                <w:sz w:val="20"/>
                <w:szCs w:val="20"/>
              </w:rPr>
            </w:pPr>
          </w:p>
        </w:tc>
        <w:tc>
          <w:tcPr>
            <w:tcW w:w="5708" w:type="dxa"/>
            <w:gridSpan w:val="4"/>
          </w:tcPr>
          <w:p w14:paraId="54278EB8" w14:textId="1A688BC2" w:rsidR="00D7533F" w:rsidRPr="0076189E" w:rsidRDefault="00D7533F" w:rsidP="0076189E">
            <w:pPr>
              <w:rPr>
                <w:rFonts w:ascii="Calibri" w:hAnsi="Calibri"/>
                <w:sz w:val="20"/>
                <w:szCs w:val="20"/>
              </w:rPr>
            </w:pPr>
            <w:r w:rsidRPr="0076189E">
              <w:rPr>
                <w:rFonts w:ascii="Calibri" w:hAnsi="Calibri"/>
                <w:sz w:val="20"/>
                <w:szCs w:val="20"/>
              </w:rPr>
              <w:t>RF a ost</w:t>
            </w:r>
            <w:r w:rsidR="0076189E">
              <w:rPr>
                <w:rFonts w:ascii="Calibri" w:hAnsi="Calibri"/>
                <w:sz w:val="20"/>
                <w:szCs w:val="20"/>
              </w:rPr>
              <w:t>atní</w:t>
            </w:r>
            <w:r w:rsidRPr="0076189E">
              <w:rPr>
                <w:rFonts w:ascii="Calibri" w:hAnsi="Calibri"/>
                <w:sz w:val="20"/>
                <w:szCs w:val="20"/>
              </w:rPr>
              <w:t xml:space="preserve"> mimorozpočtové a podobné prostředky</w:t>
            </w:r>
          </w:p>
        </w:tc>
        <w:tc>
          <w:tcPr>
            <w:tcW w:w="1523" w:type="dxa"/>
            <w:vAlign w:val="center"/>
          </w:tcPr>
          <w:p w14:paraId="0C9B0456" w14:textId="0CD1EF7A" w:rsidR="00D7533F" w:rsidRPr="0076189E" w:rsidRDefault="00D7533F" w:rsidP="00D7533F">
            <w:pPr>
              <w:jc w:val="right"/>
              <w:rPr>
                <w:rFonts w:ascii="Calibri" w:hAnsi="Calibri"/>
                <w:b/>
                <w:sz w:val="20"/>
                <w:szCs w:val="20"/>
              </w:rPr>
            </w:pPr>
            <w:r w:rsidRPr="0076189E">
              <w:rPr>
                <w:rFonts w:ascii="Calibri" w:hAnsi="Calibri"/>
                <w:b/>
                <w:sz w:val="20"/>
                <w:szCs w:val="20"/>
              </w:rPr>
              <w:t>0,13</w:t>
            </w:r>
          </w:p>
        </w:tc>
      </w:tr>
      <w:tr w:rsidR="00D7533F" w14:paraId="74E5FCE5" w14:textId="77777777" w:rsidTr="00D7533F">
        <w:tc>
          <w:tcPr>
            <w:tcW w:w="1831" w:type="dxa"/>
            <w:vMerge/>
          </w:tcPr>
          <w:p w14:paraId="2EEB528D" w14:textId="77777777" w:rsidR="00D7533F" w:rsidRPr="0076189E" w:rsidRDefault="00D7533F" w:rsidP="00194849">
            <w:pPr>
              <w:rPr>
                <w:rFonts w:ascii="Calibri" w:hAnsi="Calibri"/>
                <w:sz w:val="20"/>
                <w:szCs w:val="20"/>
              </w:rPr>
            </w:pPr>
          </w:p>
        </w:tc>
        <w:tc>
          <w:tcPr>
            <w:tcW w:w="5708" w:type="dxa"/>
            <w:gridSpan w:val="4"/>
          </w:tcPr>
          <w:p w14:paraId="14CAB2EF" w14:textId="6F08005D" w:rsidR="00D7533F" w:rsidRPr="0076189E" w:rsidRDefault="0076189E" w:rsidP="00194849">
            <w:pPr>
              <w:rPr>
                <w:rFonts w:ascii="Calibri" w:hAnsi="Calibri"/>
                <w:sz w:val="20"/>
                <w:szCs w:val="20"/>
              </w:rPr>
            </w:pPr>
            <w:r>
              <w:rPr>
                <w:rFonts w:ascii="Calibri" w:hAnsi="Calibri"/>
                <w:sz w:val="20"/>
                <w:szCs w:val="20"/>
              </w:rPr>
              <w:t>v</w:t>
            </w:r>
            <w:r w:rsidR="00D7533F" w:rsidRPr="0076189E">
              <w:rPr>
                <w:rFonts w:ascii="Calibri" w:hAnsi="Calibri"/>
                <w:sz w:val="20"/>
                <w:szCs w:val="20"/>
              </w:rPr>
              <w:t>ýdaje nad rozpočet podle zvláštních zákonů</w:t>
            </w:r>
          </w:p>
        </w:tc>
        <w:tc>
          <w:tcPr>
            <w:tcW w:w="1523" w:type="dxa"/>
            <w:vAlign w:val="center"/>
          </w:tcPr>
          <w:p w14:paraId="3F3F27C8" w14:textId="0434AE6F" w:rsidR="00D7533F" w:rsidRPr="0076189E" w:rsidRDefault="00614062" w:rsidP="00D7533F">
            <w:pPr>
              <w:jc w:val="right"/>
              <w:rPr>
                <w:rFonts w:ascii="Calibri" w:hAnsi="Calibri"/>
                <w:b/>
                <w:sz w:val="20"/>
                <w:szCs w:val="20"/>
              </w:rPr>
            </w:pPr>
            <w:r>
              <w:rPr>
                <w:rFonts w:ascii="Calibri" w:hAnsi="Calibri"/>
                <w:b/>
                <w:color w:val="FF0000"/>
                <w:sz w:val="20"/>
                <w:szCs w:val="20"/>
              </w:rPr>
              <w:t>–</w:t>
            </w:r>
            <w:r w:rsidR="00D7533F" w:rsidRPr="0076189E">
              <w:rPr>
                <w:rFonts w:ascii="Calibri" w:hAnsi="Calibri"/>
                <w:b/>
                <w:color w:val="FF0000"/>
                <w:sz w:val="20"/>
                <w:szCs w:val="20"/>
              </w:rPr>
              <w:t>0,16</w:t>
            </w:r>
          </w:p>
        </w:tc>
      </w:tr>
    </w:tbl>
    <w:p w14:paraId="32E0A2C1" w14:textId="5E2A01E5" w:rsidR="00D7533F" w:rsidRPr="00B56E27" w:rsidRDefault="0084400A" w:rsidP="00194849">
      <w:pPr>
        <w:rPr>
          <w:sz w:val="20"/>
          <w:szCs w:val="20"/>
        </w:rPr>
      </w:pPr>
      <w:r w:rsidRPr="00B56E27">
        <w:rPr>
          <w:b/>
          <w:sz w:val="20"/>
          <w:szCs w:val="20"/>
        </w:rPr>
        <w:t>Zdroj:</w:t>
      </w:r>
      <w:r w:rsidRPr="00B56E27">
        <w:rPr>
          <w:sz w:val="20"/>
          <w:szCs w:val="20"/>
        </w:rPr>
        <w:t xml:space="preserve"> IISSP.</w:t>
      </w:r>
    </w:p>
    <w:p w14:paraId="0C97A3AF" w14:textId="2A06362C" w:rsidR="0084400A" w:rsidRPr="0084400A" w:rsidRDefault="0084400A" w:rsidP="00194849">
      <w:r w:rsidRPr="00B56E27">
        <w:rPr>
          <w:b/>
          <w:sz w:val="20"/>
          <w:szCs w:val="20"/>
        </w:rPr>
        <w:t xml:space="preserve">Pozn.: </w:t>
      </w:r>
      <w:r w:rsidRPr="00B56E27">
        <w:rPr>
          <w:sz w:val="20"/>
          <w:szCs w:val="20"/>
        </w:rPr>
        <w:t xml:space="preserve">RS – rozpočet schválený </w:t>
      </w:r>
      <w:r w:rsidRPr="00BC3C55">
        <w:rPr>
          <w:sz w:val="20"/>
          <w:szCs w:val="20"/>
        </w:rPr>
        <w:t>(upravený zákonem o státním rozpočtu České republiky); RZ – rozpočet po změnách (upravený rozpočet); RK – konečný rozpočet (vč. zapojení NNV do rozpočtu); SK – skutečné plnění příjmů a čerpání výdajů; v řádku „Rozdíl mezi příjmy a výdaji“</w:t>
      </w:r>
      <w:r w:rsidRPr="00B56E27">
        <w:rPr>
          <w:sz w:val="20"/>
          <w:szCs w:val="20"/>
        </w:rPr>
        <w:t xml:space="preserve"> je ve sloupci „RK 2015“ uveden</w:t>
      </w:r>
      <w:r w:rsidR="00B56E27" w:rsidRPr="00B56E27">
        <w:rPr>
          <w:sz w:val="20"/>
          <w:szCs w:val="20"/>
        </w:rPr>
        <w:t xml:space="preserve"> rozdíl mezi RZ 2015 (příjmy) a RK 2015 (výdaje).</w:t>
      </w:r>
    </w:p>
    <w:p w14:paraId="660937A7" w14:textId="77777777" w:rsidR="00D7533F" w:rsidRDefault="00D7533F" w:rsidP="00194849"/>
    <w:p w14:paraId="5972DCBF" w14:textId="2649F2E5" w:rsidR="00194849" w:rsidRDefault="00CF06FA" w:rsidP="00194849">
      <w:pPr>
        <w:spacing w:line="280" w:lineRule="atLeast"/>
        <w:contextualSpacing/>
      </w:pPr>
      <w:r w:rsidRPr="00281CE4">
        <w:rPr>
          <w:b/>
        </w:rPr>
        <w:t xml:space="preserve">Při sestavování rozpočtu </w:t>
      </w:r>
      <w:r w:rsidR="00A96CE8">
        <w:rPr>
          <w:b/>
        </w:rPr>
        <w:t xml:space="preserve">nemá </w:t>
      </w:r>
      <w:r w:rsidR="00F85ECC" w:rsidRPr="00281CE4">
        <w:rPr>
          <w:b/>
        </w:rPr>
        <w:t xml:space="preserve">MF </w:t>
      </w:r>
      <w:r w:rsidR="00A96CE8">
        <w:rPr>
          <w:b/>
        </w:rPr>
        <w:t>k dispozici</w:t>
      </w:r>
      <w:r w:rsidRPr="00281CE4">
        <w:rPr>
          <w:b/>
        </w:rPr>
        <w:t xml:space="preserve"> informaci o předpokládané výši zapojení NNV do konečného rozpočtu od </w:t>
      </w:r>
      <w:r>
        <w:rPr>
          <w:b/>
        </w:rPr>
        <w:t xml:space="preserve">jednotlivých </w:t>
      </w:r>
      <w:r w:rsidRPr="00281CE4">
        <w:rPr>
          <w:b/>
        </w:rPr>
        <w:t xml:space="preserve">správců kapitol státního rozpočtu. </w:t>
      </w:r>
      <w:r w:rsidR="00A96CE8" w:rsidRPr="00A96CE8">
        <w:t xml:space="preserve">Vzniká tak riziko plynoucí z možného překročení </w:t>
      </w:r>
      <w:r w:rsidRPr="00B744CE">
        <w:t>ukazatelů výdajů, ke kterému jsou OSS</w:t>
      </w:r>
      <w:r w:rsidR="00F85ECC" w:rsidRPr="00F85ECC">
        <w:t xml:space="preserve"> </w:t>
      </w:r>
      <w:r w:rsidR="00F85ECC" w:rsidRPr="00B744CE">
        <w:t>oprávněny</w:t>
      </w:r>
      <w:r w:rsidRPr="00B744CE">
        <w:t xml:space="preserve"> dle zákona č.</w:t>
      </w:r>
      <w:r w:rsidR="00A96CE8">
        <w:t> </w:t>
      </w:r>
      <w:r w:rsidRPr="00B744CE">
        <w:t>218/2000</w:t>
      </w:r>
      <w:r w:rsidR="00563D59">
        <w:t> </w:t>
      </w:r>
      <w:r w:rsidRPr="00B744CE">
        <w:t xml:space="preserve">Sb. Ministerstvo financí </w:t>
      </w:r>
      <w:r w:rsidR="00F04C4C">
        <w:t>tak není</w:t>
      </w:r>
      <w:r w:rsidR="00A96CE8">
        <w:t xml:space="preserve"> připraveno</w:t>
      </w:r>
      <w:r w:rsidRPr="002C72E8">
        <w:t xml:space="preserve"> </w:t>
      </w:r>
      <w:r w:rsidR="00794ADC">
        <w:t xml:space="preserve">na </w:t>
      </w:r>
      <w:r w:rsidRPr="002C72E8">
        <w:t xml:space="preserve">situaci, ve které bude muset zajistit </w:t>
      </w:r>
      <w:r w:rsidRPr="002C72E8">
        <w:lastRenderedPageBreak/>
        <w:t>finanční prostředky nad rámec schodku státního rozpočtu schváleného Poslaneckou sněmovnou.</w:t>
      </w:r>
    </w:p>
    <w:p w14:paraId="0E701439" w14:textId="77777777" w:rsidR="003F4DB6" w:rsidRDefault="003F4DB6" w:rsidP="00194849">
      <w:pPr>
        <w:spacing w:line="280" w:lineRule="atLeast"/>
        <w:contextualSpacing/>
      </w:pPr>
    </w:p>
    <w:p w14:paraId="4EB3FCDA" w14:textId="77777777" w:rsidR="00194849" w:rsidRPr="001962B7" w:rsidRDefault="00CF06FA" w:rsidP="00761EB6">
      <w:pPr>
        <w:spacing w:after="120" w:line="280" w:lineRule="atLeast"/>
        <w:ind w:right="70"/>
        <w:contextualSpacing/>
        <w:rPr>
          <w:rFonts w:cs="Arial"/>
        </w:rPr>
      </w:pPr>
      <w:r>
        <w:rPr>
          <w:rFonts w:cs="Arial"/>
        </w:rPr>
        <w:t xml:space="preserve">Níže uvedenými příklady NKÚ upozorňuje na rizikové situace, které nastávají a mají negativní dopad na hospodaření státu: </w:t>
      </w:r>
    </w:p>
    <w:p w14:paraId="69F8100F" w14:textId="7DF7F8B4" w:rsidR="00194849" w:rsidRDefault="00CF06FA" w:rsidP="00194849">
      <w:pPr>
        <w:pStyle w:val="Odstavecseseznamem"/>
        <w:numPr>
          <w:ilvl w:val="0"/>
          <w:numId w:val="32"/>
        </w:numPr>
      </w:pPr>
      <w:r>
        <w:t>Dle finančního výkazu</w:t>
      </w:r>
      <w:r>
        <w:rPr>
          <w:rStyle w:val="Znakapoznpodarou"/>
        </w:rPr>
        <w:footnoteReference w:id="12"/>
      </w:r>
      <w:r>
        <w:t xml:space="preserve"> v roce 2015 např. k</w:t>
      </w:r>
      <w:r w:rsidRPr="00680EB7">
        <w:t xml:space="preserve">apitola </w:t>
      </w:r>
      <w:r w:rsidR="00F04C4C">
        <w:t>327</w:t>
      </w:r>
      <w:r w:rsidR="00FB34AE">
        <w:t xml:space="preserve"> – </w:t>
      </w:r>
      <w:r w:rsidR="003735FE">
        <w:t>MD</w:t>
      </w:r>
      <w:r w:rsidRPr="00680EB7">
        <w:t xml:space="preserve"> vykázala rozpočet výdajů po změnách ve výši 54</w:t>
      </w:r>
      <w:r>
        <w:t>,</w:t>
      </w:r>
      <w:r w:rsidRPr="00680EB7">
        <w:t>86 ml</w:t>
      </w:r>
      <w:r>
        <w:t>d</w:t>
      </w:r>
      <w:r w:rsidRPr="00680EB7">
        <w:t>. Kč, ze kterých nepoužila peněžní prostředky ve výši 5</w:t>
      </w:r>
      <w:r>
        <w:t>,</w:t>
      </w:r>
      <w:r w:rsidRPr="00680EB7">
        <w:t>7</w:t>
      </w:r>
      <w:r>
        <w:t>9</w:t>
      </w:r>
      <w:r w:rsidR="00DF328E">
        <w:t> </w:t>
      </w:r>
      <w:r w:rsidRPr="00680EB7">
        <w:t>ml</w:t>
      </w:r>
      <w:r>
        <w:t>d</w:t>
      </w:r>
      <w:r w:rsidRPr="00680EB7">
        <w:t>.</w:t>
      </w:r>
      <w:r w:rsidR="00DF328E">
        <w:t> </w:t>
      </w:r>
      <w:r w:rsidRPr="00680EB7">
        <w:t xml:space="preserve">Kč. Přesto tato kapitola </w:t>
      </w:r>
      <w:r>
        <w:t>státního rozpočtu</w:t>
      </w:r>
      <w:r w:rsidRPr="00680EB7">
        <w:t xml:space="preserve"> překročila rozpočet výdajů o</w:t>
      </w:r>
      <w:r w:rsidR="00DF328E">
        <w:t> </w:t>
      </w:r>
      <w:r w:rsidRPr="00680EB7">
        <w:t>18</w:t>
      </w:r>
      <w:r>
        <w:t>,</w:t>
      </w:r>
      <w:r w:rsidRPr="00680EB7">
        <w:t>8</w:t>
      </w:r>
      <w:r>
        <w:t>2</w:t>
      </w:r>
      <w:r w:rsidR="00DF328E">
        <w:t> </w:t>
      </w:r>
      <w:r w:rsidRPr="00680EB7">
        <w:t>ml</w:t>
      </w:r>
      <w:r>
        <w:t>d</w:t>
      </w:r>
      <w:r w:rsidRPr="00680EB7">
        <w:t>.</w:t>
      </w:r>
      <w:r w:rsidR="00DF328E">
        <w:t> </w:t>
      </w:r>
      <w:r w:rsidRPr="00680EB7">
        <w:t>Kč, a</w:t>
      </w:r>
      <w:r>
        <w:t> </w:t>
      </w:r>
      <w:r w:rsidRPr="00680EB7">
        <w:t xml:space="preserve">to </w:t>
      </w:r>
      <w:r>
        <w:t xml:space="preserve">v důsledku </w:t>
      </w:r>
      <w:r w:rsidRPr="00680EB7">
        <w:t>použití tzv. úspor z minulých let ve výši 30</w:t>
      </w:r>
      <w:r>
        <w:t>,</w:t>
      </w:r>
      <w:r w:rsidRPr="00680EB7">
        <w:t>19 ml</w:t>
      </w:r>
      <w:r>
        <w:t>d</w:t>
      </w:r>
      <w:r w:rsidRPr="00680EB7">
        <w:t>. Kč.</w:t>
      </w:r>
      <w:r>
        <w:t xml:space="preserve"> Pokud by došlo k situaci, že by některá kapitola čerpáním zapojených NNV spotřebovala více prostředků (jako např. kapitola 327 – MD), než </w:t>
      </w:r>
      <w:r w:rsidR="00A83C69">
        <w:t>kolik jich</w:t>
      </w:r>
      <w:r>
        <w:t xml:space="preserve"> měla zajištěn</w:t>
      </w:r>
      <w:r w:rsidR="00A83C69">
        <w:t>ých</w:t>
      </w:r>
      <w:r>
        <w:t xml:space="preserve"> schváleným rozpočtem, příp. rozpočtem po změnách, musely by být pro jiné kapitoly zajištěny prostředky:</w:t>
      </w:r>
    </w:p>
    <w:p w14:paraId="6C8CF99F" w14:textId="77777777" w:rsidR="00194849" w:rsidRDefault="00CF06FA" w:rsidP="00194849">
      <w:pPr>
        <w:pStyle w:val="Odstavecseseznamem"/>
        <w:numPr>
          <w:ilvl w:val="0"/>
          <w:numId w:val="17"/>
        </w:numPr>
        <w:ind w:left="1276"/>
        <w:contextualSpacing/>
      </w:pPr>
      <w:r>
        <w:t>vyšším plněním příjmů SR;</w:t>
      </w:r>
    </w:p>
    <w:p w14:paraId="7751315C" w14:textId="08908873" w:rsidR="00194849" w:rsidRDefault="00CF06FA" w:rsidP="00194849">
      <w:pPr>
        <w:pStyle w:val="Odstavecseseznamem"/>
        <w:numPr>
          <w:ilvl w:val="0"/>
          <w:numId w:val="17"/>
        </w:numPr>
        <w:ind w:left="1276"/>
        <w:contextualSpacing/>
      </w:pPr>
      <w:r>
        <w:t xml:space="preserve">nižším čerpáním výdajů oproti rozpočtu po změnách, </w:t>
      </w:r>
      <w:r w:rsidR="00FB34AE">
        <w:t xml:space="preserve">k čemuž </w:t>
      </w:r>
      <w:r w:rsidR="003E5A55">
        <w:t xml:space="preserve">dochází </w:t>
      </w:r>
      <w:r w:rsidR="00FB34AE">
        <w:t>v důsledku úspor</w:t>
      </w:r>
      <w:r>
        <w:t xml:space="preserve"> nebo </w:t>
      </w:r>
      <w:r w:rsidR="00F17305">
        <w:t>vlivem</w:t>
      </w:r>
      <w:r w:rsidR="00717324">
        <w:t xml:space="preserve"> </w:t>
      </w:r>
      <w:r>
        <w:t>převedení výdajů (úkolů) do následujících rozpočtových období;</w:t>
      </w:r>
    </w:p>
    <w:p w14:paraId="00DF8625" w14:textId="48066278" w:rsidR="00194849" w:rsidRDefault="00CF06FA" w:rsidP="00761EB6">
      <w:pPr>
        <w:pStyle w:val="Odstavecseseznamem"/>
        <w:numPr>
          <w:ilvl w:val="0"/>
          <w:numId w:val="17"/>
        </w:numPr>
        <w:ind w:left="1276" w:hanging="357"/>
      </w:pPr>
      <w:r>
        <w:t>např. zvýšením stavu státních dluhopisů (zvýšení státního dluhu).</w:t>
      </w:r>
    </w:p>
    <w:p w14:paraId="1A29E653" w14:textId="119753A7" w:rsidR="00194849" w:rsidRDefault="00CF06FA" w:rsidP="003F4DB6">
      <w:pPr>
        <w:pStyle w:val="Odstavecseseznamem"/>
        <w:numPr>
          <w:ilvl w:val="0"/>
          <w:numId w:val="33"/>
        </w:numPr>
      </w:pPr>
      <w:r>
        <w:t>V</w:t>
      </w:r>
      <w:r w:rsidRPr="00B06601">
        <w:t> roce 2015 organizační složky státu posílily rozpočet výdajů prostředky rezervního fondu o 1</w:t>
      </w:r>
      <w:r>
        <w:t> </w:t>
      </w:r>
      <w:r w:rsidRPr="00B06601">
        <w:t>182</w:t>
      </w:r>
      <w:r>
        <w:t>,</w:t>
      </w:r>
      <w:r w:rsidRPr="00B06601">
        <w:t>25</w:t>
      </w:r>
      <w:r w:rsidR="004D3D95">
        <w:t> </w:t>
      </w:r>
      <w:r>
        <w:t>mil.</w:t>
      </w:r>
      <w:r w:rsidR="004D3D95">
        <w:t> </w:t>
      </w:r>
      <w:r w:rsidRPr="00B06601">
        <w:t>Kč (v roce 2014 o 713</w:t>
      </w:r>
      <w:r>
        <w:t>,</w:t>
      </w:r>
      <w:r w:rsidRPr="00B06601">
        <w:t>99</w:t>
      </w:r>
      <w:r w:rsidR="004D3D95">
        <w:t> </w:t>
      </w:r>
      <w:r>
        <w:t>mil.</w:t>
      </w:r>
      <w:r w:rsidR="004D3D95">
        <w:t> </w:t>
      </w:r>
      <w:r w:rsidRPr="00B06601">
        <w:t>Kč), ze kterých nevyčerpaly 46</w:t>
      </w:r>
      <w:r>
        <w:t>,</w:t>
      </w:r>
      <w:r w:rsidRPr="00B06601">
        <w:t>3</w:t>
      </w:r>
      <w:r>
        <w:t>5 mil.</w:t>
      </w:r>
      <w:r w:rsidRPr="00B06601">
        <w:t xml:space="preserve"> Kč (v roce 2014 </w:t>
      </w:r>
      <w:r>
        <w:t>pak</w:t>
      </w:r>
      <w:r w:rsidRPr="00B06601">
        <w:t xml:space="preserve"> 5</w:t>
      </w:r>
      <w:r>
        <w:t>,</w:t>
      </w:r>
      <w:r w:rsidRPr="00B06601">
        <w:t>54</w:t>
      </w:r>
      <w:r w:rsidR="004D3D95">
        <w:t> </w:t>
      </w:r>
      <w:r>
        <w:t>mil.</w:t>
      </w:r>
      <w:r w:rsidR="004D3D95">
        <w:t> </w:t>
      </w:r>
      <w:r w:rsidRPr="00B06601">
        <w:t>Kč). Tyto nevyčerpané prostře</w:t>
      </w:r>
      <w:r>
        <w:t>dky nebyly převedeny zpět na úč</w:t>
      </w:r>
      <w:r w:rsidRPr="00B06601">
        <w:t>t</w:t>
      </w:r>
      <w:r>
        <w:t>y</w:t>
      </w:r>
      <w:r w:rsidRPr="00B06601">
        <w:t xml:space="preserve"> rezervních fondů</w:t>
      </w:r>
      <w:r>
        <w:t xml:space="preserve"> OSS</w:t>
      </w:r>
      <w:r w:rsidRPr="00B06601">
        <w:t xml:space="preserve">, ale byly zaneseny do evidence NNV. </w:t>
      </w:r>
    </w:p>
    <w:p w14:paraId="5475D06D" w14:textId="71AE5DA2" w:rsidR="00194849" w:rsidRDefault="00CF06FA" w:rsidP="00194849">
      <w:pPr>
        <w:pStyle w:val="Odstavecseseznamem"/>
        <w:ind w:left="720"/>
      </w:pPr>
      <w:r w:rsidRPr="00B06601">
        <w:t>Kromě prostředků z rezervních fond</w:t>
      </w:r>
      <w:r>
        <w:t>ů</w:t>
      </w:r>
      <w:r w:rsidRPr="00B06601">
        <w:t xml:space="preserve"> mohou OSS posílit rozpočet o další mimorozpočtové zdroje. V roce 2015 OSS posílily rozpočet výdajů o 721</w:t>
      </w:r>
      <w:r>
        <w:t>,</w:t>
      </w:r>
      <w:r w:rsidRPr="00B06601">
        <w:t>5</w:t>
      </w:r>
      <w:r>
        <w:t>2</w:t>
      </w:r>
      <w:r w:rsidR="004D3D95">
        <w:t> </w:t>
      </w:r>
      <w:r>
        <w:t>mil.</w:t>
      </w:r>
      <w:r w:rsidR="004D3D95">
        <w:t> </w:t>
      </w:r>
      <w:r w:rsidRPr="00B06601">
        <w:t>Kč (v</w:t>
      </w:r>
      <w:r>
        <w:t> </w:t>
      </w:r>
      <w:r w:rsidRPr="00B06601">
        <w:t xml:space="preserve">roce 2014 </w:t>
      </w:r>
      <w:r>
        <w:t>o</w:t>
      </w:r>
      <w:r w:rsidRPr="00B06601">
        <w:t> 697</w:t>
      </w:r>
      <w:r>
        <w:t>,</w:t>
      </w:r>
      <w:r w:rsidRPr="00B06601">
        <w:t>6</w:t>
      </w:r>
      <w:r>
        <w:t>3 mil.</w:t>
      </w:r>
      <w:r w:rsidRPr="00B06601">
        <w:t xml:space="preserve"> Kč), ze kterých nevyčerpaly 109</w:t>
      </w:r>
      <w:r>
        <w:t>,</w:t>
      </w:r>
      <w:r w:rsidRPr="00B06601">
        <w:t>89</w:t>
      </w:r>
      <w:r>
        <w:t xml:space="preserve"> mil.</w:t>
      </w:r>
      <w:r w:rsidRPr="00B06601">
        <w:t xml:space="preserve"> Kč (v roce 2014 </w:t>
      </w:r>
      <w:r>
        <w:t>pak</w:t>
      </w:r>
      <w:r w:rsidRPr="00B06601">
        <w:t xml:space="preserve"> 55</w:t>
      </w:r>
      <w:r>
        <w:t>,50</w:t>
      </w:r>
      <w:r w:rsidR="004D3D95">
        <w:t> </w:t>
      </w:r>
      <w:r>
        <w:t>mil.</w:t>
      </w:r>
      <w:r w:rsidR="004D3D95">
        <w:t> </w:t>
      </w:r>
      <w:r w:rsidRPr="00B06601">
        <w:t xml:space="preserve">Kč). Tyto nevyčerpané prostředky nebyly převedeny zpět na účet mimorozpočtových zdrojů, ale byly </w:t>
      </w:r>
      <w:r>
        <w:t xml:space="preserve">rovněž </w:t>
      </w:r>
      <w:r w:rsidRPr="00B06601">
        <w:t xml:space="preserve">zaneseny do evidence </w:t>
      </w:r>
      <w:r w:rsidRPr="001A727F">
        <w:t xml:space="preserve">NNV. </w:t>
      </w:r>
    </w:p>
    <w:p w14:paraId="46C9B582" w14:textId="0D36DAB7" w:rsidR="00194849" w:rsidRDefault="00CF06FA" w:rsidP="00194849">
      <w:pPr>
        <w:pStyle w:val="Odstavecseseznamem"/>
        <w:ind w:left="720"/>
        <w:rPr>
          <w:rFonts w:cs="Arial"/>
        </w:rPr>
      </w:pPr>
      <w:r w:rsidRPr="001A727F">
        <w:t>Z toho plyne, že OSS v následujících období</w:t>
      </w:r>
      <w:r>
        <w:t>ch</w:t>
      </w:r>
      <w:r w:rsidRPr="001A727F">
        <w:t xml:space="preserve"> již nemohou použít mimorozpočtové zdroje pro potřeby, které měly být původně hrazeny z těchto zdrojů, ale tyto potřeby budou takzvaně kryty NNV. Existuje riziko, že pokud rozhodne vláda o snížení NNV</w:t>
      </w:r>
      <w:r w:rsidR="00A83C69">
        <w:t>,</w:t>
      </w:r>
      <w:r w:rsidRPr="001A727F">
        <w:t xml:space="preserve"> příp. </w:t>
      </w:r>
      <w:r w:rsidR="00A83C69">
        <w:t xml:space="preserve">o </w:t>
      </w:r>
      <w:r w:rsidRPr="001A727F">
        <w:t>jejich zablokování, OSS nebudou moci provést úhradu potřeby, která není rozpočtem zajištěná.</w:t>
      </w:r>
      <w:r>
        <w:rPr>
          <w:rFonts w:cs="Arial"/>
        </w:rPr>
        <w:t xml:space="preserve"> </w:t>
      </w:r>
    </w:p>
    <w:p w14:paraId="4DB12D3C" w14:textId="22E87406" w:rsidR="00194849" w:rsidRDefault="00CF06FA" w:rsidP="00194849">
      <w:pPr>
        <w:spacing w:line="280" w:lineRule="atLeast"/>
        <w:contextualSpacing/>
      </w:pPr>
      <w:r>
        <w:t>V</w:t>
      </w:r>
      <w:r w:rsidRPr="00654477">
        <w:t xml:space="preserve">e </w:t>
      </w:r>
      <w:r w:rsidR="00FB34AE">
        <w:t>s</w:t>
      </w:r>
      <w:r w:rsidR="00FB34AE" w:rsidRPr="00654477">
        <w:t>tátní</w:t>
      </w:r>
      <w:r w:rsidR="00FB34AE">
        <w:t>ch</w:t>
      </w:r>
      <w:r w:rsidR="00FB34AE" w:rsidRPr="00654477">
        <w:t xml:space="preserve"> </w:t>
      </w:r>
      <w:r w:rsidRPr="00654477">
        <w:t>závěrečn</w:t>
      </w:r>
      <w:r w:rsidR="004D3D95">
        <w:t>ých</w:t>
      </w:r>
      <w:r w:rsidRPr="00654477">
        <w:t xml:space="preserve"> účt</w:t>
      </w:r>
      <w:r w:rsidR="004D3D95">
        <w:t>ech</w:t>
      </w:r>
      <w:r w:rsidRPr="00654477">
        <w:t xml:space="preserve"> za rok</w:t>
      </w:r>
      <w:r w:rsidR="004D3D95">
        <w:t>y</w:t>
      </w:r>
      <w:r w:rsidRPr="00654477">
        <w:t xml:space="preserve"> 2014 a 2015 </w:t>
      </w:r>
      <w:r w:rsidR="00AF339C">
        <w:t>(</w:t>
      </w:r>
      <w:r w:rsidR="00FB34AE">
        <w:t xml:space="preserve">jejichž </w:t>
      </w:r>
      <w:r w:rsidR="00AF339C">
        <w:t xml:space="preserve">zpracovatelem je Ministerstvo financí) </w:t>
      </w:r>
      <w:r w:rsidRPr="00654477">
        <w:t xml:space="preserve">bylo mj. uvedeno, že na výdajové straně došlo </w:t>
      </w:r>
      <w:r w:rsidR="004D3D95">
        <w:t>o</w:t>
      </w:r>
      <w:r w:rsidRPr="00654477">
        <w:t>proti rozpočtu po změnách k úspoře o</w:t>
      </w:r>
      <w:r w:rsidR="00AF339C">
        <w:t> </w:t>
      </w:r>
      <w:r w:rsidRPr="00654477">
        <w:t>28,8</w:t>
      </w:r>
      <w:r w:rsidR="00A64121">
        <w:t> </w:t>
      </w:r>
      <w:r w:rsidRPr="00654477">
        <w:t>mld.</w:t>
      </w:r>
      <w:r w:rsidR="00A64121">
        <w:t> </w:t>
      </w:r>
      <w:r w:rsidRPr="00654477">
        <w:t xml:space="preserve">Kč (rok 2014) a o </w:t>
      </w:r>
      <w:r>
        <w:t>15,6</w:t>
      </w:r>
      <w:r w:rsidR="00A64121">
        <w:t> </w:t>
      </w:r>
      <w:r>
        <w:t>mld.</w:t>
      </w:r>
      <w:r w:rsidR="00A64121">
        <w:t> </w:t>
      </w:r>
      <w:r>
        <w:t>Kč (rok</w:t>
      </w:r>
      <w:r w:rsidR="00A64121">
        <w:t xml:space="preserve"> </w:t>
      </w:r>
      <w:r w:rsidRPr="00654477">
        <w:t>2015).</w:t>
      </w:r>
      <w:r w:rsidRPr="00AF01D2">
        <w:t xml:space="preserve"> Z </w:t>
      </w:r>
      <w:r w:rsidRPr="00654477">
        <w:t xml:space="preserve">textu není zřejmé, zda nižšího rozpočtovaného schodku hospodaření SR bylo na výdajové straně dosaženo úsporou nebo přesunutím výdajů (úkolů) do následujícího rozpočtového období. Dále ve </w:t>
      </w:r>
      <w:r w:rsidRPr="00761EB6">
        <w:rPr>
          <w:i/>
        </w:rPr>
        <w:t>Státním závěrečném účtu za rok 2015</w:t>
      </w:r>
      <w:r w:rsidRPr="00654477">
        <w:t xml:space="preserve"> v tabulce, ve které je uvedeno členění NNV, nejsou ve sloupci </w:t>
      </w:r>
      <w:r w:rsidRPr="00654477">
        <w:rPr>
          <w:i/>
        </w:rPr>
        <w:t>Stav NNV k 1. 1. 2016</w:t>
      </w:r>
      <w:r w:rsidRPr="00654477">
        <w:t xml:space="preserve"> uvedeny údaje v souladu s ustanovením § 47 zákona č. 218/2000 Sb., dle kterého mají být mezi profilující výdaje zařazeny také výdaje určené na platy státních zaměstnanců a na platy a</w:t>
      </w:r>
      <w:r>
        <w:t> </w:t>
      </w:r>
      <w:r w:rsidRPr="00654477">
        <w:t>ostatní platby za provedenou práci kromě platů státních zaměstnanců.</w:t>
      </w:r>
    </w:p>
    <w:p w14:paraId="71199241" w14:textId="77777777" w:rsidR="00563D59" w:rsidRDefault="00563D59" w:rsidP="00194849">
      <w:pPr>
        <w:spacing w:line="280" w:lineRule="atLeast"/>
        <w:contextualSpacing/>
      </w:pPr>
    </w:p>
    <w:p w14:paraId="107658D9" w14:textId="261433BF" w:rsidR="00194849" w:rsidRPr="00674DEE" w:rsidRDefault="00CF06FA" w:rsidP="00761EB6">
      <w:pPr>
        <w:pStyle w:val="Nadpis2"/>
        <w:numPr>
          <w:ilvl w:val="0"/>
          <w:numId w:val="0"/>
        </w:numPr>
        <w:spacing w:before="0"/>
        <w:rPr>
          <w:rFonts w:cs="Arial"/>
        </w:rPr>
      </w:pPr>
      <w:r w:rsidRPr="00930786">
        <w:lastRenderedPageBreak/>
        <w:t xml:space="preserve">K bodu </w:t>
      </w:r>
      <w:r>
        <w:t>2</w:t>
      </w:r>
      <w:r w:rsidR="004D3D95">
        <w:t>.</w:t>
      </w:r>
      <w:r>
        <w:t xml:space="preserve"> Vykazování nároků z nespotřebovaných výdajů:</w:t>
      </w:r>
    </w:p>
    <w:p w14:paraId="273B3A46" w14:textId="4AB7BF14" w:rsidR="00194849" w:rsidRDefault="00CF06FA" w:rsidP="00194849">
      <w:r w:rsidRPr="00690D0C">
        <w:t xml:space="preserve">Významným zdrojem </w:t>
      </w:r>
      <w:r>
        <w:t xml:space="preserve">informací </w:t>
      </w:r>
      <w:r w:rsidRPr="00690D0C">
        <w:t xml:space="preserve">nejen pro kontrolu, ale zejména pro průběžné monitorování pohybů NNV </w:t>
      </w:r>
      <w:r>
        <w:t xml:space="preserve">není výkaz o nárocích z nespotřebovaných výdajů (jehož struktura a rozsah </w:t>
      </w:r>
      <w:r w:rsidR="00817A5D">
        <w:t>jsou</w:t>
      </w:r>
      <w:r>
        <w:t xml:space="preserve"> upraven</w:t>
      </w:r>
      <w:r w:rsidR="00817A5D">
        <w:t>y</w:t>
      </w:r>
      <w:r>
        <w:t xml:space="preserve"> právním předpisem</w:t>
      </w:r>
      <w:r>
        <w:rPr>
          <w:rStyle w:val="Znakapoznpodarou"/>
        </w:rPr>
        <w:footnoteReference w:id="13"/>
      </w:r>
      <w:r w:rsidR="00AF339C">
        <w:t>, který je stanoven Ministerstvem financí</w:t>
      </w:r>
      <w:r>
        <w:t>), ale sestavy z </w:t>
      </w:r>
      <w:r w:rsidRPr="00B1210C">
        <w:rPr>
          <w:i/>
        </w:rPr>
        <w:t>Rozpočtového informačního systému</w:t>
      </w:r>
      <w:r>
        <w:t xml:space="preserve">, z části RISRE (dále také „evidence NNV“), </w:t>
      </w:r>
      <w:r w:rsidRPr="001A727F">
        <w:t>např.</w:t>
      </w:r>
      <w:r w:rsidR="00B3744C">
        <w:t xml:space="preserve"> je to</w:t>
      </w:r>
      <w:r w:rsidRPr="001A727F">
        <w:t xml:space="preserve"> sestava </w:t>
      </w:r>
      <w:r w:rsidRPr="001A727F">
        <w:rPr>
          <w:i/>
        </w:rPr>
        <w:t>„Přehled rozpočtových dokladů“,</w:t>
      </w:r>
      <w:r w:rsidRPr="001A727F">
        <w:t xml:space="preserve"> která umožňuje zobrazit doklady s druhem rozpočtu </w:t>
      </w:r>
      <w:r w:rsidR="00FB34AE">
        <w:t>„</w:t>
      </w:r>
      <w:r w:rsidRPr="001A727F">
        <w:t>NARC</w:t>
      </w:r>
      <w:r w:rsidR="00FB34AE">
        <w:t>“</w:t>
      </w:r>
      <w:r w:rsidRPr="001A727F">
        <w:t xml:space="preserve"> (sledován pohyb počátečního stavu), </w:t>
      </w:r>
      <w:r w:rsidR="00FB34AE">
        <w:t>„</w:t>
      </w:r>
      <w:r w:rsidRPr="001A727F">
        <w:t>NARP</w:t>
      </w:r>
      <w:r w:rsidR="00FB34AE">
        <w:t>“</w:t>
      </w:r>
      <w:r w:rsidRPr="001A727F">
        <w:t xml:space="preserve"> (sledováno pouze zapojení NNV do RK) a</w:t>
      </w:r>
      <w:r w:rsidR="009050A5">
        <w:t> </w:t>
      </w:r>
      <w:r w:rsidR="00FB34AE">
        <w:t>„</w:t>
      </w:r>
      <w:r w:rsidRPr="001A727F">
        <w:t>NARK</w:t>
      </w:r>
      <w:r w:rsidR="00FB34AE">
        <w:t>“</w:t>
      </w:r>
      <w:r w:rsidRPr="001A727F">
        <w:t xml:space="preserve"> (sledováno </w:t>
      </w:r>
      <w:r>
        <w:t xml:space="preserve">ukončení </w:t>
      </w:r>
      <w:r w:rsidRPr="001A727F">
        <w:t>NNV v evidenci)</w:t>
      </w:r>
      <w:r w:rsidR="00B3744C">
        <w:t>,</w:t>
      </w:r>
      <w:r w:rsidRPr="001A727F">
        <w:rPr>
          <w:i/>
        </w:rPr>
        <w:t xml:space="preserve"> </w:t>
      </w:r>
      <w:r w:rsidRPr="001A727F">
        <w:t>nebo „</w:t>
      </w:r>
      <w:r w:rsidR="000E6E8A" w:rsidRPr="000E6E8A">
        <w:rPr>
          <w:i/>
        </w:rPr>
        <w:t>O</w:t>
      </w:r>
      <w:r w:rsidRPr="001A727F">
        <w:rPr>
          <w:i/>
        </w:rPr>
        <w:t>perativní výkaz o nárocích z nespotřebovaných výdajů OSS</w:t>
      </w:r>
      <w:r w:rsidRPr="001A727F">
        <w:t xml:space="preserve">“. Evidence NNV je dostupná pouze uživatelům pracujícím v IISSP v části </w:t>
      </w:r>
      <w:r w:rsidRPr="00A86C8B">
        <w:rPr>
          <w:i/>
        </w:rPr>
        <w:t>Realizace rozpočtu – Závěrkové práce</w:t>
      </w:r>
      <w:r w:rsidRPr="001A727F">
        <w:t xml:space="preserve"> a podává informace dle detailní identifikace koruny</w:t>
      </w:r>
      <w:r>
        <w:t xml:space="preserve"> (tj. třídění příjmů a výdajů dle rozpočtové skladby)</w:t>
      </w:r>
      <w:r w:rsidRPr="001A727F">
        <w:t xml:space="preserve"> včetně jednotlivých způsobů</w:t>
      </w:r>
      <w:r>
        <w:t xml:space="preserve"> ukončení </w:t>
      </w:r>
      <w:r w:rsidRPr="001A727F">
        <w:t>NNV. Hodno</w:t>
      </w:r>
      <w:r>
        <w:t xml:space="preserve">ty vykazované ve výkazu o nárocích z nespotřebovaných výdajů vycházejí z evidence NNV, která </w:t>
      </w:r>
      <w:r w:rsidR="00FB34AE">
        <w:t>se zakládá na vstupních údajích z</w:t>
      </w:r>
      <w:r>
        <w:t> RISRE. Výkaz o nárocích z nespotřebovaných výdajů sestavený v</w:t>
      </w:r>
      <w:r w:rsidR="00A96CE8">
        <w:t xml:space="preserve">e struktuře stanovené </w:t>
      </w:r>
      <w:r>
        <w:t>právní</w:t>
      </w:r>
      <w:r w:rsidR="00A96CE8">
        <w:t>m</w:t>
      </w:r>
      <w:r>
        <w:t xml:space="preserve"> předpis</w:t>
      </w:r>
      <w:r w:rsidR="00A96CE8">
        <w:t>em</w:t>
      </w:r>
      <w:r>
        <w:t xml:space="preserve"> vykazuje správné hodnoty. V případě, že hodnoty v členění </w:t>
      </w:r>
      <w:r w:rsidR="00D30258">
        <w:t>po</w:t>
      </w:r>
      <w:r>
        <w:t>dle ustanovení § 47 odst. 4 zákona č. 218/2000 Sb. jsou rozšířeny o třídění výdajů, např. o rozpočtové položky, pak výkaz o</w:t>
      </w:r>
      <w:r w:rsidR="00B81F3E">
        <w:t> </w:t>
      </w:r>
      <w:r>
        <w:t>nárocích z nespotřebovaných výdajů již nemusí uvádět správné hodnoty (např. konečný stav NNV tříděný</w:t>
      </w:r>
      <w:r w:rsidR="00D30258">
        <w:t>ch</w:t>
      </w:r>
      <w:r>
        <w:t xml:space="preserve"> dle druhu výdajů může být záporný). </w:t>
      </w:r>
    </w:p>
    <w:p w14:paraId="5C71056F" w14:textId="77777777" w:rsidR="003F4DB6" w:rsidRDefault="003F4DB6" w:rsidP="00194849"/>
    <w:p w14:paraId="2637672C" w14:textId="77777777" w:rsidR="00194849" w:rsidRDefault="00CF06FA" w:rsidP="00194849">
      <w:r>
        <w:t xml:space="preserve">U </w:t>
      </w:r>
      <w:proofErr w:type="gramStart"/>
      <w:r>
        <w:t>OSS</w:t>
      </w:r>
      <w:proofErr w:type="gramEnd"/>
      <w:r>
        <w:t xml:space="preserve"> MF bylo kontrolou zjištěno, že konečný stav k 31. 12. 2014 na RP 5171 </w:t>
      </w:r>
      <w:r w:rsidRPr="00AF748F">
        <w:rPr>
          <w:i/>
        </w:rPr>
        <w:t>– Opravy a</w:t>
      </w:r>
      <w:r>
        <w:rPr>
          <w:i/>
        </w:rPr>
        <w:t> </w:t>
      </w:r>
      <w:r w:rsidRPr="00AF748F">
        <w:rPr>
          <w:i/>
        </w:rPr>
        <w:t>udržování</w:t>
      </w:r>
      <w:r>
        <w:t xml:space="preserve"> (neprofilující) dle evidence NNV je evidován ve výši 3,08 mil. Kč, dle výkazu o NNV je vykazován stav v záporné výši, a to 2,28 mil. Kč. U </w:t>
      </w:r>
      <w:proofErr w:type="gramStart"/>
      <w:r>
        <w:t>OSS</w:t>
      </w:r>
      <w:proofErr w:type="gramEnd"/>
      <w:r>
        <w:t xml:space="preserve"> MD byl kontrolou zjištěn záporný stav k 31. 12. 2014 ve výkazu o nárocích z nespotřebovaných výdajů na RP 5511 – </w:t>
      </w:r>
      <w:r w:rsidRPr="0085073B">
        <w:rPr>
          <w:i/>
        </w:rPr>
        <w:t>Neinvestiční transfery mezinárodním organizacím</w:t>
      </w:r>
      <w:r>
        <w:t xml:space="preserve"> ve výši 92,08 mil. Kč, a to kvůli zapojení NNV do konečného rozpočtu na RP 5171. Tyto přesuny nebyly zachyceny ve výkazu o nárocích z nespotřebovaných výdajů, ale pouze v evidenci NNV.</w:t>
      </w:r>
    </w:p>
    <w:p w14:paraId="367DD15C" w14:textId="77777777" w:rsidR="00194849" w:rsidRDefault="00194849" w:rsidP="00194849"/>
    <w:p w14:paraId="13D5901D" w14:textId="0ADFEBB8" w:rsidR="00194849" w:rsidRPr="0065149D" w:rsidRDefault="00CF06FA" w:rsidP="00194849">
      <w:pPr>
        <w:rPr>
          <w:b/>
          <w:strike/>
        </w:rPr>
      </w:pPr>
      <w:r w:rsidRPr="0065149D">
        <w:rPr>
          <w:b/>
        </w:rPr>
        <w:t>Výkaz o nárocích z nespotřebovaných výdajů nezohledňuje</w:t>
      </w:r>
      <w:r>
        <w:t xml:space="preserve"> druh rozpočtu, neboli nezohledňuje</w:t>
      </w:r>
      <w:r w:rsidRPr="007865CF">
        <w:t xml:space="preserve">, </w:t>
      </w:r>
      <w:r w:rsidRPr="0065149D">
        <w:rPr>
          <w:b/>
        </w:rPr>
        <w:t>zda se jedná o zapojení NNV do konečného rozpočtu z jiné RP</w:t>
      </w:r>
      <w:r w:rsidRPr="007865CF">
        <w:t xml:space="preserve">, které je možné rozlišit prostřednictvím druhu rozpočtu </w:t>
      </w:r>
      <w:r w:rsidR="00FB34AE">
        <w:t>„</w:t>
      </w:r>
      <w:r w:rsidRPr="007865CF">
        <w:t>NARC</w:t>
      </w:r>
      <w:r w:rsidR="00FB34AE">
        <w:t>“</w:t>
      </w:r>
      <w:r w:rsidRPr="007865CF">
        <w:t xml:space="preserve">, </w:t>
      </w:r>
      <w:r w:rsidR="00FB34AE">
        <w:t>„</w:t>
      </w:r>
      <w:r w:rsidRPr="007865CF">
        <w:t>NARP</w:t>
      </w:r>
      <w:r w:rsidR="00FB34AE">
        <w:t>“</w:t>
      </w:r>
      <w:r w:rsidRPr="007865CF">
        <w:t xml:space="preserve"> </w:t>
      </w:r>
      <w:r>
        <w:t xml:space="preserve">a </w:t>
      </w:r>
      <w:r w:rsidR="00FB34AE">
        <w:t>„</w:t>
      </w:r>
      <w:r>
        <w:t>NARK</w:t>
      </w:r>
      <w:r w:rsidR="00FB34AE">
        <w:t>“</w:t>
      </w:r>
      <w:r>
        <w:t xml:space="preserve">. </w:t>
      </w:r>
      <w:r w:rsidRPr="0065149D">
        <w:rPr>
          <w:b/>
        </w:rPr>
        <w:t>Z toho plyne, že hodnoty vykazované v tomto výkazu mohou být interpretovány nesprávně.</w:t>
      </w:r>
    </w:p>
    <w:p w14:paraId="03066C46" w14:textId="77777777" w:rsidR="00194849" w:rsidRDefault="00194849" w:rsidP="00194849"/>
    <w:p w14:paraId="287474B3" w14:textId="3658E39A" w:rsidR="00194849" w:rsidRDefault="00CF06FA" w:rsidP="00194849">
      <w:r>
        <w:t>Zákon č. 218/2000 Sb. upravuje pouze výpočet částky nároků z nespotřebovaných výdajů k 1. 1., a to jako rozdíl mezi konečným rozpočtem a skutečně čerpanými prostředky (též bez ohledu na to, zda se jedná o profilující nebo neprofilující výdaje). Rozpočtová pravidla na rozdíl od metodiky</w:t>
      </w:r>
      <w:r>
        <w:rPr>
          <w:rStyle w:val="Znakapoznpodarou"/>
        </w:rPr>
        <w:footnoteReference w:id="14"/>
      </w:r>
      <w:r>
        <w:t xml:space="preserve"> zpracované MF neupravuj</w:t>
      </w:r>
      <w:r w:rsidR="0057142C">
        <w:t>í</w:t>
      </w:r>
      <w:r>
        <w:t xml:space="preserve">, aby identifikace koruny (tj. třídění příjmů a výdajů dle rozpočtové skladby) počátečních stavů NNV byly při výpočtu stejné, na jakých byly výdaje v předchozím roce rozpočtovány či zapojeny a následně čerpány. </w:t>
      </w:r>
    </w:p>
    <w:p w14:paraId="235872AA" w14:textId="74B60577" w:rsidR="00194849" w:rsidRDefault="00CF06FA" w:rsidP="00761EB6">
      <w:pPr>
        <w:pStyle w:val="Nadpis2"/>
        <w:numPr>
          <w:ilvl w:val="0"/>
          <w:numId w:val="0"/>
        </w:numPr>
        <w:spacing w:before="0"/>
      </w:pPr>
      <w:r w:rsidRPr="00674DEE">
        <w:lastRenderedPageBreak/>
        <w:t>K</w:t>
      </w:r>
      <w:r>
        <w:t> bodu 3</w:t>
      </w:r>
      <w:r w:rsidR="0057142C">
        <w:t>.</w:t>
      </w:r>
      <w:r>
        <w:t xml:space="preserve"> Rozpočet:</w:t>
      </w:r>
    </w:p>
    <w:p w14:paraId="1333A985" w14:textId="352C1BCE" w:rsidR="00194849" w:rsidRDefault="00CF06FA" w:rsidP="00194849">
      <w:r>
        <w:t xml:space="preserve">Závazné ukazatele státního rozpočtu je možné měnit pouze rozpočtovými opatřeními, která by měla být </w:t>
      </w:r>
      <w:r w:rsidR="00494BF9">
        <w:t xml:space="preserve">uskutečněna </w:t>
      </w:r>
      <w:r>
        <w:t xml:space="preserve">před provedením úhrady rozpočtově nezajištěné potřeby. Kontrolou bylo zjištěno, že kontrolované osoby zákonem schválené ukazatele příjmů a výdajů, tedy rozpočet, rozepsaly v </w:t>
      </w:r>
      <w:r w:rsidRPr="00B1210C">
        <w:rPr>
          <w:i/>
        </w:rPr>
        <w:t>Rozpočtovém informačním systému</w:t>
      </w:r>
      <w:r>
        <w:t xml:space="preserve"> v třídění příjmů a</w:t>
      </w:r>
      <w:r w:rsidR="000E64ED">
        <w:t> </w:t>
      </w:r>
      <w:r>
        <w:t>výdajů dle rozpočtové skladby. Organizační složky státu jsou oprávněny překročit závazné ukazatele výdajů mj. o použití úspor z minulých let, tj. NNV. Úspory z minulých let však nejsou součástí schváleného rozpočtu, ale konečného rozpočtu, který není schválen MF, vládou ani Poslaneckou sněmovnou.</w:t>
      </w:r>
    </w:p>
    <w:p w14:paraId="009D29BB" w14:textId="77777777" w:rsidR="003F4DB6" w:rsidRDefault="003F4DB6" w:rsidP="00194849"/>
    <w:p w14:paraId="3FFB0AEA" w14:textId="3D1CFF3A" w:rsidR="00194849" w:rsidRPr="00AF01D2" w:rsidRDefault="00CF06FA" w:rsidP="00194849">
      <w:r>
        <w:t xml:space="preserve">Při sestavení návrhu rozpočtu výdajů na rok 2015 správci kapitol vycházeli z limitu pro výdaje, který byl mj. snížen o 30 % NNV vzniklých na položce </w:t>
      </w:r>
      <w:r w:rsidRPr="00CC7653">
        <w:rPr>
          <w:i/>
        </w:rPr>
        <w:t>Nákup ostatních služeb</w:t>
      </w:r>
      <w:r>
        <w:t xml:space="preserve"> v roce 2013. Při sestavení návrhu </w:t>
      </w:r>
      <w:r w:rsidRPr="00AF01D2">
        <w:t>rozpočtu výdajů na rok 2016 správci kapitol vycházeli z limitu pro výdaje, který byl mj. snížen o 10 % stavu NNV k 1. 1. 2015</w:t>
      </w:r>
      <w:r w:rsidRPr="00AF01D2">
        <w:rPr>
          <w:rFonts w:eastAsia="Calibri"/>
        </w:rPr>
        <w:t xml:space="preserve">. </w:t>
      </w:r>
      <w:r>
        <w:rPr>
          <w:rFonts w:eastAsia="Calibri"/>
        </w:rPr>
        <w:t>Informaci o v</w:t>
      </w:r>
      <w:r w:rsidRPr="00AF01D2">
        <w:t>ýši schváleného rozpočtu, jeho úprav a</w:t>
      </w:r>
      <w:r w:rsidR="00146851">
        <w:t xml:space="preserve"> </w:t>
      </w:r>
      <w:r w:rsidRPr="00AF01D2">
        <w:t>plnění vybraných kontrolovaných rozpočtových položek podáv</w:t>
      </w:r>
      <w:r w:rsidR="00C66FD8">
        <w:t>ají</w:t>
      </w:r>
      <w:r w:rsidRPr="00AF01D2">
        <w:t xml:space="preserve"> tabulk</w:t>
      </w:r>
      <w:r w:rsidR="00C66FD8">
        <w:t>y</w:t>
      </w:r>
      <w:r w:rsidRPr="00AF01D2">
        <w:t xml:space="preserve"> č. 3 a č. 4.</w:t>
      </w:r>
    </w:p>
    <w:p w14:paraId="1CDE844F" w14:textId="77777777" w:rsidR="00194849" w:rsidRPr="00AF01D2" w:rsidRDefault="00194849" w:rsidP="00194849"/>
    <w:p w14:paraId="5000C582" w14:textId="73D625A3" w:rsidR="00D7533F" w:rsidRPr="0076189E" w:rsidRDefault="00D7533F" w:rsidP="00D7533F">
      <w:pPr>
        <w:keepNext/>
      </w:pPr>
      <w:r w:rsidRPr="0076189E">
        <w:t>Tabulka č. 3 – Vybrané kontrolované rozpočtové položky</w:t>
      </w:r>
      <w:r w:rsidRPr="0076189E">
        <w:tab/>
      </w:r>
      <w:r w:rsidRPr="0076189E">
        <w:tab/>
      </w:r>
      <w:r w:rsidR="0076189E">
        <w:tab/>
      </w:r>
      <w:r w:rsidR="0076189E">
        <w:tab/>
        <w:t xml:space="preserve">      </w:t>
      </w:r>
      <w:r w:rsidR="00FB34AE">
        <w:t>(</w:t>
      </w:r>
      <w:r w:rsidRPr="0076189E">
        <w:t>v mil. Kč</w:t>
      </w:r>
      <w:r w:rsidR="00FB34AE">
        <w:t>)</w:t>
      </w:r>
    </w:p>
    <w:tbl>
      <w:tblPr>
        <w:tblStyle w:val="Mkatabulky"/>
        <w:tblW w:w="0" w:type="auto"/>
        <w:tblLayout w:type="fixed"/>
        <w:tblLook w:val="04A0" w:firstRow="1" w:lastRow="0" w:firstColumn="1" w:lastColumn="0" w:noHBand="0" w:noVBand="1"/>
      </w:tblPr>
      <w:tblGrid>
        <w:gridCol w:w="2689"/>
        <w:gridCol w:w="1134"/>
        <w:gridCol w:w="1134"/>
        <w:gridCol w:w="1275"/>
        <w:gridCol w:w="1134"/>
        <w:gridCol w:w="1696"/>
      </w:tblGrid>
      <w:tr w:rsidR="00D7533F" w14:paraId="54F23652" w14:textId="77777777" w:rsidTr="0076189E">
        <w:tc>
          <w:tcPr>
            <w:tcW w:w="2689" w:type="dxa"/>
            <w:vMerge w:val="restart"/>
            <w:shd w:val="clear" w:color="auto" w:fill="E5F1FF"/>
            <w:vAlign w:val="center"/>
          </w:tcPr>
          <w:p w14:paraId="3FEBD2E1" w14:textId="35113B15" w:rsidR="00D7533F" w:rsidRPr="0076189E" w:rsidRDefault="00D7533F" w:rsidP="00D7533F">
            <w:pPr>
              <w:keepNext/>
              <w:jc w:val="center"/>
              <w:rPr>
                <w:rFonts w:ascii="Calibri" w:hAnsi="Calibri"/>
                <w:b/>
                <w:sz w:val="20"/>
                <w:szCs w:val="20"/>
              </w:rPr>
            </w:pPr>
            <w:r w:rsidRPr="0076189E">
              <w:rPr>
                <w:rFonts w:ascii="Calibri" w:hAnsi="Calibri"/>
                <w:b/>
                <w:sz w:val="20"/>
                <w:szCs w:val="20"/>
              </w:rPr>
              <w:t>Organizační složka státu</w:t>
            </w:r>
          </w:p>
        </w:tc>
        <w:tc>
          <w:tcPr>
            <w:tcW w:w="6373" w:type="dxa"/>
            <w:gridSpan w:val="5"/>
            <w:shd w:val="clear" w:color="auto" w:fill="E5F1FF"/>
            <w:vAlign w:val="center"/>
          </w:tcPr>
          <w:p w14:paraId="639E8F74" w14:textId="7C7809D2" w:rsidR="00D7533F" w:rsidRPr="0076189E" w:rsidRDefault="00D7533F" w:rsidP="00D7533F">
            <w:pPr>
              <w:keepNext/>
              <w:jc w:val="center"/>
              <w:rPr>
                <w:rFonts w:ascii="Calibri" w:hAnsi="Calibri"/>
                <w:b/>
                <w:sz w:val="20"/>
                <w:szCs w:val="20"/>
              </w:rPr>
            </w:pPr>
            <w:r w:rsidRPr="0076189E">
              <w:rPr>
                <w:rFonts w:ascii="Calibri" w:hAnsi="Calibri"/>
                <w:b/>
                <w:sz w:val="20"/>
                <w:szCs w:val="20"/>
              </w:rPr>
              <w:t>Rok 2014</w:t>
            </w:r>
          </w:p>
        </w:tc>
      </w:tr>
      <w:tr w:rsidR="00412E84" w14:paraId="730140EB" w14:textId="77777777" w:rsidTr="00B75FE3">
        <w:tc>
          <w:tcPr>
            <w:tcW w:w="2689" w:type="dxa"/>
            <w:vMerge/>
            <w:shd w:val="clear" w:color="auto" w:fill="E5F1FF"/>
          </w:tcPr>
          <w:p w14:paraId="6B1AD82E" w14:textId="77777777" w:rsidR="00D7533F" w:rsidRPr="0076189E" w:rsidRDefault="00D7533F" w:rsidP="00D7533F">
            <w:pPr>
              <w:keepNext/>
              <w:rPr>
                <w:rFonts w:ascii="Calibri" w:hAnsi="Calibri"/>
                <w:b/>
                <w:sz w:val="20"/>
                <w:szCs w:val="20"/>
              </w:rPr>
            </w:pPr>
          </w:p>
        </w:tc>
        <w:tc>
          <w:tcPr>
            <w:tcW w:w="1134" w:type="dxa"/>
            <w:shd w:val="clear" w:color="auto" w:fill="E5F1FF"/>
            <w:vAlign w:val="center"/>
          </w:tcPr>
          <w:p w14:paraId="7FE4483B" w14:textId="382F3FA5" w:rsidR="00D7533F" w:rsidRPr="0076189E" w:rsidRDefault="00D7533F" w:rsidP="00D7533F">
            <w:pPr>
              <w:keepNext/>
              <w:jc w:val="center"/>
              <w:rPr>
                <w:rFonts w:ascii="Calibri" w:hAnsi="Calibri"/>
                <w:b/>
                <w:sz w:val="20"/>
                <w:szCs w:val="20"/>
              </w:rPr>
            </w:pPr>
            <w:r w:rsidRPr="0076189E">
              <w:rPr>
                <w:rFonts w:ascii="Calibri" w:hAnsi="Calibri"/>
                <w:b/>
                <w:sz w:val="20"/>
                <w:szCs w:val="20"/>
              </w:rPr>
              <w:t>Rozpočet schválený</w:t>
            </w:r>
          </w:p>
        </w:tc>
        <w:tc>
          <w:tcPr>
            <w:tcW w:w="1134" w:type="dxa"/>
            <w:shd w:val="clear" w:color="auto" w:fill="E5F1FF"/>
            <w:vAlign w:val="center"/>
          </w:tcPr>
          <w:p w14:paraId="73B3F272" w14:textId="07A9762F" w:rsidR="00D7533F" w:rsidRPr="0076189E" w:rsidRDefault="00D7533F" w:rsidP="00D7533F">
            <w:pPr>
              <w:keepNext/>
              <w:jc w:val="center"/>
              <w:rPr>
                <w:rFonts w:ascii="Calibri" w:hAnsi="Calibri"/>
                <w:b/>
                <w:sz w:val="20"/>
                <w:szCs w:val="20"/>
              </w:rPr>
            </w:pPr>
            <w:r w:rsidRPr="0076189E">
              <w:rPr>
                <w:rFonts w:ascii="Calibri" w:hAnsi="Calibri"/>
                <w:b/>
                <w:sz w:val="20"/>
                <w:szCs w:val="20"/>
              </w:rPr>
              <w:t>Úprava rozpočtu</w:t>
            </w:r>
          </w:p>
        </w:tc>
        <w:tc>
          <w:tcPr>
            <w:tcW w:w="1275" w:type="dxa"/>
            <w:shd w:val="clear" w:color="auto" w:fill="E5F1FF"/>
            <w:vAlign w:val="center"/>
          </w:tcPr>
          <w:p w14:paraId="5968F8B9" w14:textId="0B27A95E" w:rsidR="00D7533F" w:rsidRPr="0076189E" w:rsidRDefault="00D7533F" w:rsidP="00D7533F">
            <w:pPr>
              <w:keepNext/>
              <w:jc w:val="center"/>
              <w:rPr>
                <w:rFonts w:ascii="Calibri" w:hAnsi="Calibri"/>
                <w:b/>
                <w:sz w:val="20"/>
                <w:szCs w:val="20"/>
              </w:rPr>
            </w:pPr>
            <w:r w:rsidRPr="0076189E">
              <w:rPr>
                <w:rFonts w:ascii="Calibri" w:hAnsi="Calibri"/>
                <w:b/>
                <w:sz w:val="20"/>
                <w:szCs w:val="20"/>
              </w:rPr>
              <w:t>Rozpočet po změnách</w:t>
            </w:r>
          </w:p>
        </w:tc>
        <w:tc>
          <w:tcPr>
            <w:tcW w:w="1134" w:type="dxa"/>
            <w:shd w:val="clear" w:color="auto" w:fill="E5F1FF"/>
            <w:vAlign w:val="center"/>
          </w:tcPr>
          <w:p w14:paraId="2B1AAE0B" w14:textId="0B9928C9" w:rsidR="00D7533F" w:rsidRPr="0076189E" w:rsidRDefault="00D7533F" w:rsidP="00D7533F">
            <w:pPr>
              <w:keepNext/>
              <w:jc w:val="center"/>
              <w:rPr>
                <w:rFonts w:ascii="Calibri" w:hAnsi="Calibri"/>
                <w:b/>
                <w:sz w:val="20"/>
                <w:szCs w:val="20"/>
              </w:rPr>
            </w:pPr>
            <w:r w:rsidRPr="0076189E">
              <w:rPr>
                <w:rFonts w:ascii="Calibri" w:hAnsi="Calibri"/>
                <w:b/>
                <w:sz w:val="20"/>
                <w:szCs w:val="20"/>
              </w:rPr>
              <w:t>Čerpáno</w:t>
            </w:r>
          </w:p>
        </w:tc>
        <w:tc>
          <w:tcPr>
            <w:tcW w:w="1696" w:type="dxa"/>
            <w:shd w:val="clear" w:color="auto" w:fill="E5F1FF"/>
            <w:vAlign w:val="center"/>
          </w:tcPr>
          <w:p w14:paraId="13591AED" w14:textId="77777777" w:rsidR="0076189E" w:rsidRDefault="00D7533F" w:rsidP="00D7533F">
            <w:pPr>
              <w:keepNext/>
              <w:jc w:val="center"/>
              <w:rPr>
                <w:rFonts w:ascii="Calibri" w:hAnsi="Calibri"/>
                <w:b/>
                <w:sz w:val="20"/>
                <w:szCs w:val="20"/>
              </w:rPr>
            </w:pPr>
            <w:r w:rsidRPr="0076189E">
              <w:rPr>
                <w:rFonts w:ascii="Calibri" w:hAnsi="Calibri"/>
                <w:b/>
                <w:sz w:val="20"/>
                <w:szCs w:val="20"/>
              </w:rPr>
              <w:t xml:space="preserve">Zvýšení NNV </w:t>
            </w:r>
          </w:p>
          <w:p w14:paraId="3993B7DC" w14:textId="06941732" w:rsidR="00D7533F" w:rsidRPr="0076189E" w:rsidRDefault="0076189E" w:rsidP="0076189E">
            <w:pPr>
              <w:keepNext/>
              <w:jc w:val="center"/>
              <w:rPr>
                <w:rFonts w:ascii="Calibri" w:hAnsi="Calibri"/>
                <w:b/>
                <w:sz w:val="20"/>
                <w:szCs w:val="20"/>
              </w:rPr>
            </w:pPr>
            <w:r>
              <w:rPr>
                <w:rFonts w:ascii="Calibri" w:hAnsi="Calibri"/>
                <w:b/>
                <w:sz w:val="20"/>
                <w:szCs w:val="20"/>
              </w:rPr>
              <w:t xml:space="preserve">k </w:t>
            </w:r>
            <w:r w:rsidR="00D7533F" w:rsidRPr="0076189E">
              <w:rPr>
                <w:rFonts w:ascii="Calibri" w:hAnsi="Calibri"/>
                <w:b/>
                <w:sz w:val="20"/>
                <w:szCs w:val="20"/>
              </w:rPr>
              <w:t>1. 1. 2015 o</w:t>
            </w:r>
          </w:p>
        </w:tc>
      </w:tr>
      <w:tr w:rsidR="00412E84" w14:paraId="66D55671" w14:textId="77777777" w:rsidTr="00B75FE3">
        <w:tc>
          <w:tcPr>
            <w:tcW w:w="2689" w:type="dxa"/>
          </w:tcPr>
          <w:p w14:paraId="12247AF3" w14:textId="02B6585D" w:rsidR="00D7533F" w:rsidRPr="0076189E" w:rsidRDefault="00412E84" w:rsidP="00D7533F">
            <w:pPr>
              <w:keepNext/>
              <w:rPr>
                <w:rFonts w:ascii="Calibri" w:hAnsi="Calibri"/>
                <w:sz w:val="20"/>
                <w:szCs w:val="20"/>
              </w:rPr>
            </w:pPr>
            <w:r w:rsidRPr="0076189E">
              <w:rPr>
                <w:rFonts w:ascii="Calibri" w:hAnsi="Calibri"/>
                <w:sz w:val="20"/>
                <w:szCs w:val="20"/>
              </w:rPr>
              <w:t>Ministerstvo financí</w:t>
            </w:r>
          </w:p>
        </w:tc>
        <w:tc>
          <w:tcPr>
            <w:tcW w:w="1134" w:type="dxa"/>
            <w:vAlign w:val="center"/>
          </w:tcPr>
          <w:p w14:paraId="1C8D6E42" w14:textId="2868914C" w:rsidR="00D7533F" w:rsidRPr="0076189E" w:rsidRDefault="00412E84" w:rsidP="00412E84">
            <w:pPr>
              <w:keepNext/>
              <w:jc w:val="right"/>
              <w:rPr>
                <w:rFonts w:ascii="Calibri" w:hAnsi="Calibri"/>
                <w:sz w:val="20"/>
                <w:szCs w:val="20"/>
              </w:rPr>
            </w:pPr>
            <w:r w:rsidRPr="0076189E">
              <w:rPr>
                <w:rFonts w:ascii="Calibri" w:hAnsi="Calibri"/>
                <w:sz w:val="20"/>
                <w:szCs w:val="20"/>
              </w:rPr>
              <w:t>717,78</w:t>
            </w:r>
          </w:p>
        </w:tc>
        <w:tc>
          <w:tcPr>
            <w:tcW w:w="1134" w:type="dxa"/>
            <w:vAlign w:val="center"/>
          </w:tcPr>
          <w:p w14:paraId="78CB935E" w14:textId="54BC9834" w:rsidR="00D7533F" w:rsidRPr="0076189E" w:rsidRDefault="00614062" w:rsidP="00412E84">
            <w:pPr>
              <w:keepNext/>
              <w:jc w:val="right"/>
              <w:rPr>
                <w:rFonts w:ascii="Calibri" w:hAnsi="Calibri"/>
                <w:color w:val="FF0000"/>
                <w:sz w:val="20"/>
                <w:szCs w:val="20"/>
              </w:rPr>
            </w:pPr>
            <w:r>
              <w:rPr>
                <w:rFonts w:ascii="Calibri" w:hAnsi="Calibri"/>
                <w:color w:val="FF0000"/>
                <w:sz w:val="20"/>
                <w:szCs w:val="20"/>
              </w:rPr>
              <w:t>–</w:t>
            </w:r>
            <w:r w:rsidR="00412E84" w:rsidRPr="0076189E">
              <w:rPr>
                <w:rFonts w:ascii="Calibri" w:hAnsi="Calibri"/>
                <w:color w:val="FF0000"/>
                <w:sz w:val="20"/>
                <w:szCs w:val="20"/>
              </w:rPr>
              <w:t>84,98</w:t>
            </w:r>
          </w:p>
        </w:tc>
        <w:tc>
          <w:tcPr>
            <w:tcW w:w="1275" w:type="dxa"/>
            <w:vAlign w:val="center"/>
          </w:tcPr>
          <w:p w14:paraId="34E18299" w14:textId="560127AD" w:rsidR="00D7533F" w:rsidRPr="0076189E" w:rsidRDefault="00412E84" w:rsidP="00412E84">
            <w:pPr>
              <w:keepNext/>
              <w:jc w:val="right"/>
              <w:rPr>
                <w:rFonts w:ascii="Calibri" w:hAnsi="Calibri"/>
                <w:sz w:val="20"/>
                <w:szCs w:val="20"/>
              </w:rPr>
            </w:pPr>
            <w:r w:rsidRPr="0076189E">
              <w:rPr>
                <w:rFonts w:ascii="Calibri" w:hAnsi="Calibri"/>
                <w:sz w:val="20"/>
                <w:szCs w:val="20"/>
              </w:rPr>
              <w:t>632,8</w:t>
            </w:r>
            <w:r w:rsidR="00B75FE3">
              <w:rPr>
                <w:rFonts w:ascii="Calibri" w:hAnsi="Calibri"/>
                <w:sz w:val="20"/>
                <w:szCs w:val="20"/>
              </w:rPr>
              <w:t>0</w:t>
            </w:r>
          </w:p>
        </w:tc>
        <w:tc>
          <w:tcPr>
            <w:tcW w:w="1134" w:type="dxa"/>
            <w:vAlign w:val="center"/>
          </w:tcPr>
          <w:p w14:paraId="4A5BEE64" w14:textId="428A693D" w:rsidR="00D7533F" w:rsidRPr="0076189E" w:rsidRDefault="00412E84" w:rsidP="00412E84">
            <w:pPr>
              <w:keepNext/>
              <w:jc w:val="right"/>
              <w:rPr>
                <w:rFonts w:ascii="Calibri" w:hAnsi="Calibri"/>
                <w:sz w:val="20"/>
                <w:szCs w:val="20"/>
              </w:rPr>
            </w:pPr>
            <w:r w:rsidRPr="0076189E">
              <w:rPr>
                <w:rFonts w:ascii="Calibri" w:hAnsi="Calibri"/>
                <w:sz w:val="20"/>
                <w:szCs w:val="20"/>
              </w:rPr>
              <w:t>576,47</w:t>
            </w:r>
          </w:p>
        </w:tc>
        <w:tc>
          <w:tcPr>
            <w:tcW w:w="1696" w:type="dxa"/>
            <w:vAlign w:val="center"/>
          </w:tcPr>
          <w:p w14:paraId="43D53EC1" w14:textId="52F41DC1" w:rsidR="00D7533F" w:rsidRPr="0076189E" w:rsidRDefault="00412E84" w:rsidP="00412E84">
            <w:pPr>
              <w:keepNext/>
              <w:jc w:val="right"/>
              <w:rPr>
                <w:rFonts w:ascii="Calibri" w:hAnsi="Calibri"/>
                <w:sz w:val="20"/>
                <w:szCs w:val="20"/>
              </w:rPr>
            </w:pPr>
            <w:r w:rsidRPr="0076189E">
              <w:rPr>
                <w:rFonts w:ascii="Calibri" w:hAnsi="Calibri"/>
                <w:sz w:val="20"/>
                <w:szCs w:val="20"/>
              </w:rPr>
              <w:t>56,33</w:t>
            </w:r>
          </w:p>
        </w:tc>
      </w:tr>
      <w:tr w:rsidR="00412E84" w14:paraId="367245A8" w14:textId="77777777" w:rsidTr="00B75FE3">
        <w:tc>
          <w:tcPr>
            <w:tcW w:w="2689" w:type="dxa"/>
          </w:tcPr>
          <w:p w14:paraId="21620F36" w14:textId="7A2651B9" w:rsidR="00D7533F" w:rsidRPr="0076189E" w:rsidRDefault="00412E84" w:rsidP="00D7533F">
            <w:pPr>
              <w:keepNext/>
              <w:rPr>
                <w:rFonts w:ascii="Calibri" w:hAnsi="Calibri"/>
                <w:sz w:val="20"/>
                <w:szCs w:val="20"/>
              </w:rPr>
            </w:pPr>
            <w:r w:rsidRPr="0076189E">
              <w:rPr>
                <w:rFonts w:ascii="Calibri" w:hAnsi="Calibri"/>
                <w:sz w:val="20"/>
                <w:szCs w:val="20"/>
              </w:rPr>
              <w:t>Ministerstvo pro místní rozvoj</w:t>
            </w:r>
          </w:p>
        </w:tc>
        <w:tc>
          <w:tcPr>
            <w:tcW w:w="1134" w:type="dxa"/>
            <w:vAlign w:val="center"/>
          </w:tcPr>
          <w:p w14:paraId="49EE3C25" w14:textId="2B1A1387" w:rsidR="00D7533F" w:rsidRPr="0076189E" w:rsidRDefault="00412E84" w:rsidP="00412E84">
            <w:pPr>
              <w:keepNext/>
              <w:jc w:val="right"/>
              <w:rPr>
                <w:rFonts w:ascii="Calibri" w:hAnsi="Calibri"/>
                <w:sz w:val="20"/>
                <w:szCs w:val="20"/>
              </w:rPr>
            </w:pPr>
            <w:r w:rsidRPr="0076189E">
              <w:rPr>
                <w:rFonts w:ascii="Calibri" w:hAnsi="Calibri"/>
                <w:sz w:val="20"/>
                <w:szCs w:val="20"/>
              </w:rPr>
              <w:t>419,51</w:t>
            </w:r>
          </w:p>
        </w:tc>
        <w:tc>
          <w:tcPr>
            <w:tcW w:w="1134" w:type="dxa"/>
            <w:vAlign w:val="center"/>
          </w:tcPr>
          <w:p w14:paraId="538633C1" w14:textId="2DD3090A" w:rsidR="00D7533F" w:rsidRPr="0076189E" w:rsidRDefault="00614062" w:rsidP="00412E84">
            <w:pPr>
              <w:keepNext/>
              <w:jc w:val="right"/>
              <w:rPr>
                <w:rFonts w:ascii="Calibri" w:hAnsi="Calibri"/>
                <w:color w:val="FF0000"/>
                <w:sz w:val="20"/>
                <w:szCs w:val="20"/>
              </w:rPr>
            </w:pPr>
            <w:r>
              <w:rPr>
                <w:rFonts w:ascii="Calibri" w:hAnsi="Calibri"/>
                <w:color w:val="FF0000"/>
                <w:sz w:val="20"/>
                <w:szCs w:val="20"/>
              </w:rPr>
              <w:t>–</w:t>
            </w:r>
            <w:r w:rsidR="00412E84" w:rsidRPr="0076189E">
              <w:rPr>
                <w:rFonts w:ascii="Calibri" w:hAnsi="Calibri"/>
                <w:color w:val="FF0000"/>
                <w:sz w:val="20"/>
                <w:szCs w:val="20"/>
              </w:rPr>
              <w:t>43,96</w:t>
            </w:r>
          </w:p>
        </w:tc>
        <w:tc>
          <w:tcPr>
            <w:tcW w:w="1275" w:type="dxa"/>
            <w:vAlign w:val="center"/>
          </w:tcPr>
          <w:p w14:paraId="5E7C448F" w14:textId="23C1DDBE" w:rsidR="00D7533F" w:rsidRPr="0076189E" w:rsidRDefault="00412E84" w:rsidP="00412E84">
            <w:pPr>
              <w:keepNext/>
              <w:jc w:val="right"/>
              <w:rPr>
                <w:rFonts w:ascii="Calibri" w:hAnsi="Calibri"/>
                <w:sz w:val="20"/>
                <w:szCs w:val="20"/>
              </w:rPr>
            </w:pPr>
            <w:r w:rsidRPr="0076189E">
              <w:rPr>
                <w:rFonts w:ascii="Calibri" w:hAnsi="Calibri"/>
                <w:sz w:val="20"/>
                <w:szCs w:val="20"/>
              </w:rPr>
              <w:t>375,55</w:t>
            </w:r>
          </w:p>
        </w:tc>
        <w:tc>
          <w:tcPr>
            <w:tcW w:w="1134" w:type="dxa"/>
            <w:vAlign w:val="center"/>
          </w:tcPr>
          <w:p w14:paraId="605F0CCC" w14:textId="5F647A71" w:rsidR="00D7533F" w:rsidRPr="0076189E" w:rsidRDefault="00412E84" w:rsidP="00412E84">
            <w:pPr>
              <w:keepNext/>
              <w:jc w:val="right"/>
              <w:rPr>
                <w:rFonts w:ascii="Calibri" w:hAnsi="Calibri"/>
                <w:sz w:val="20"/>
                <w:szCs w:val="20"/>
              </w:rPr>
            </w:pPr>
            <w:r w:rsidRPr="0076189E">
              <w:rPr>
                <w:rFonts w:ascii="Calibri" w:hAnsi="Calibri"/>
                <w:sz w:val="20"/>
                <w:szCs w:val="20"/>
              </w:rPr>
              <w:t>142,37</w:t>
            </w:r>
          </w:p>
        </w:tc>
        <w:tc>
          <w:tcPr>
            <w:tcW w:w="1696" w:type="dxa"/>
            <w:vAlign w:val="center"/>
          </w:tcPr>
          <w:p w14:paraId="397AC8B3" w14:textId="2CBA38A3" w:rsidR="00D7533F" w:rsidRPr="0076189E" w:rsidRDefault="00412E84" w:rsidP="00412E84">
            <w:pPr>
              <w:keepNext/>
              <w:jc w:val="right"/>
              <w:rPr>
                <w:rFonts w:ascii="Calibri" w:hAnsi="Calibri"/>
                <w:sz w:val="20"/>
                <w:szCs w:val="20"/>
              </w:rPr>
            </w:pPr>
            <w:r w:rsidRPr="0076189E">
              <w:rPr>
                <w:rFonts w:ascii="Calibri" w:hAnsi="Calibri"/>
                <w:sz w:val="20"/>
                <w:szCs w:val="20"/>
              </w:rPr>
              <w:t>233,18</w:t>
            </w:r>
          </w:p>
        </w:tc>
      </w:tr>
      <w:tr w:rsidR="00412E84" w14:paraId="1113863B" w14:textId="77777777" w:rsidTr="00B75FE3">
        <w:tc>
          <w:tcPr>
            <w:tcW w:w="2689" w:type="dxa"/>
          </w:tcPr>
          <w:p w14:paraId="58E71492" w14:textId="7F1B9B27" w:rsidR="00D7533F" w:rsidRPr="0076189E" w:rsidRDefault="00412E84" w:rsidP="00D7533F">
            <w:pPr>
              <w:keepNext/>
              <w:rPr>
                <w:rFonts w:ascii="Calibri" w:hAnsi="Calibri"/>
                <w:sz w:val="20"/>
                <w:szCs w:val="20"/>
              </w:rPr>
            </w:pPr>
            <w:r w:rsidRPr="0076189E">
              <w:rPr>
                <w:rFonts w:ascii="Calibri" w:hAnsi="Calibri"/>
                <w:sz w:val="20"/>
                <w:szCs w:val="20"/>
              </w:rPr>
              <w:t>Ministerstvo dopravy</w:t>
            </w:r>
          </w:p>
        </w:tc>
        <w:tc>
          <w:tcPr>
            <w:tcW w:w="1134" w:type="dxa"/>
            <w:vAlign w:val="center"/>
          </w:tcPr>
          <w:p w14:paraId="340D1D60" w14:textId="3F80DFB9" w:rsidR="00D7533F" w:rsidRPr="0076189E" w:rsidRDefault="00412E84" w:rsidP="00412E84">
            <w:pPr>
              <w:keepNext/>
              <w:jc w:val="right"/>
              <w:rPr>
                <w:rFonts w:ascii="Calibri" w:hAnsi="Calibri"/>
                <w:sz w:val="20"/>
                <w:szCs w:val="20"/>
              </w:rPr>
            </w:pPr>
            <w:r w:rsidRPr="0076189E">
              <w:rPr>
                <w:rFonts w:ascii="Calibri" w:hAnsi="Calibri"/>
                <w:sz w:val="20"/>
                <w:szCs w:val="20"/>
              </w:rPr>
              <w:t>18 448,55</w:t>
            </w:r>
          </w:p>
        </w:tc>
        <w:tc>
          <w:tcPr>
            <w:tcW w:w="1134" w:type="dxa"/>
            <w:vAlign w:val="center"/>
          </w:tcPr>
          <w:p w14:paraId="762CBAC6" w14:textId="0D027ABD" w:rsidR="00D7533F" w:rsidRPr="0076189E" w:rsidRDefault="00614062" w:rsidP="00412E84">
            <w:pPr>
              <w:keepNext/>
              <w:jc w:val="right"/>
              <w:rPr>
                <w:rFonts w:ascii="Calibri" w:hAnsi="Calibri"/>
                <w:color w:val="FF0000"/>
                <w:sz w:val="20"/>
                <w:szCs w:val="20"/>
              </w:rPr>
            </w:pPr>
            <w:r>
              <w:rPr>
                <w:rFonts w:ascii="Calibri" w:hAnsi="Calibri"/>
                <w:color w:val="FF0000"/>
                <w:sz w:val="20"/>
                <w:szCs w:val="20"/>
              </w:rPr>
              <w:t>–</w:t>
            </w:r>
            <w:r w:rsidR="00412E84" w:rsidRPr="0076189E">
              <w:rPr>
                <w:rFonts w:ascii="Calibri" w:hAnsi="Calibri"/>
                <w:color w:val="FF0000"/>
                <w:sz w:val="20"/>
                <w:szCs w:val="20"/>
              </w:rPr>
              <w:t>83,91</w:t>
            </w:r>
          </w:p>
        </w:tc>
        <w:tc>
          <w:tcPr>
            <w:tcW w:w="1275" w:type="dxa"/>
            <w:vAlign w:val="center"/>
          </w:tcPr>
          <w:p w14:paraId="2D062209" w14:textId="522D5B41" w:rsidR="00D7533F" w:rsidRPr="0076189E" w:rsidRDefault="00412E84" w:rsidP="00412E84">
            <w:pPr>
              <w:keepNext/>
              <w:jc w:val="right"/>
              <w:rPr>
                <w:rFonts w:ascii="Calibri" w:hAnsi="Calibri"/>
                <w:sz w:val="20"/>
                <w:szCs w:val="20"/>
              </w:rPr>
            </w:pPr>
            <w:r w:rsidRPr="0076189E">
              <w:rPr>
                <w:rFonts w:ascii="Calibri" w:hAnsi="Calibri"/>
                <w:sz w:val="20"/>
                <w:szCs w:val="20"/>
              </w:rPr>
              <w:t>18 364,64</w:t>
            </w:r>
          </w:p>
        </w:tc>
        <w:tc>
          <w:tcPr>
            <w:tcW w:w="1134" w:type="dxa"/>
            <w:vAlign w:val="center"/>
          </w:tcPr>
          <w:p w14:paraId="5F548085" w14:textId="30EDC06E" w:rsidR="00D7533F" w:rsidRPr="0076189E" w:rsidRDefault="00412E84" w:rsidP="00412E84">
            <w:pPr>
              <w:keepNext/>
              <w:jc w:val="right"/>
              <w:rPr>
                <w:rFonts w:ascii="Calibri" w:hAnsi="Calibri"/>
                <w:sz w:val="20"/>
                <w:szCs w:val="20"/>
              </w:rPr>
            </w:pPr>
            <w:r w:rsidRPr="0076189E">
              <w:rPr>
                <w:rFonts w:ascii="Calibri" w:hAnsi="Calibri"/>
                <w:sz w:val="20"/>
                <w:szCs w:val="20"/>
              </w:rPr>
              <w:t>17 081,69</w:t>
            </w:r>
          </w:p>
        </w:tc>
        <w:tc>
          <w:tcPr>
            <w:tcW w:w="1696" w:type="dxa"/>
            <w:vAlign w:val="center"/>
          </w:tcPr>
          <w:p w14:paraId="47D35292" w14:textId="2BFD568A" w:rsidR="00D7533F" w:rsidRPr="0076189E" w:rsidRDefault="00412E84" w:rsidP="00412E84">
            <w:pPr>
              <w:keepNext/>
              <w:jc w:val="right"/>
              <w:rPr>
                <w:rFonts w:ascii="Calibri" w:hAnsi="Calibri"/>
                <w:sz w:val="20"/>
                <w:szCs w:val="20"/>
              </w:rPr>
            </w:pPr>
            <w:r w:rsidRPr="0076189E">
              <w:rPr>
                <w:rFonts w:ascii="Calibri" w:hAnsi="Calibri"/>
                <w:sz w:val="20"/>
                <w:szCs w:val="20"/>
              </w:rPr>
              <w:t>1 282,95</w:t>
            </w:r>
          </w:p>
        </w:tc>
      </w:tr>
      <w:tr w:rsidR="00412E84" w14:paraId="25ADFA09" w14:textId="77777777" w:rsidTr="00B75FE3">
        <w:tc>
          <w:tcPr>
            <w:tcW w:w="2689" w:type="dxa"/>
          </w:tcPr>
          <w:p w14:paraId="5D604FD1" w14:textId="1E5DECC2" w:rsidR="00412E84" w:rsidRPr="0076189E" w:rsidRDefault="00412E84" w:rsidP="00D7533F">
            <w:pPr>
              <w:keepNext/>
              <w:rPr>
                <w:rFonts w:ascii="Calibri" w:hAnsi="Calibri"/>
                <w:sz w:val="20"/>
                <w:szCs w:val="20"/>
              </w:rPr>
            </w:pPr>
            <w:r w:rsidRPr="0076189E">
              <w:rPr>
                <w:rFonts w:ascii="Calibri" w:hAnsi="Calibri"/>
                <w:sz w:val="20"/>
                <w:szCs w:val="20"/>
              </w:rPr>
              <w:t>Ministerstvo zdravotnictví</w:t>
            </w:r>
          </w:p>
        </w:tc>
        <w:tc>
          <w:tcPr>
            <w:tcW w:w="1134" w:type="dxa"/>
            <w:vAlign w:val="center"/>
          </w:tcPr>
          <w:p w14:paraId="52E2EFEC" w14:textId="2BA2BFAC" w:rsidR="00412E84" w:rsidRPr="0076189E" w:rsidRDefault="00412E84" w:rsidP="00412E84">
            <w:pPr>
              <w:keepNext/>
              <w:jc w:val="right"/>
              <w:rPr>
                <w:rFonts w:ascii="Calibri" w:hAnsi="Calibri"/>
                <w:sz w:val="20"/>
                <w:szCs w:val="20"/>
              </w:rPr>
            </w:pPr>
            <w:r w:rsidRPr="0076189E">
              <w:rPr>
                <w:rFonts w:ascii="Calibri" w:hAnsi="Calibri"/>
                <w:sz w:val="20"/>
                <w:szCs w:val="20"/>
              </w:rPr>
              <w:t>3 734,32</w:t>
            </w:r>
          </w:p>
        </w:tc>
        <w:tc>
          <w:tcPr>
            <w:tcW w:w="1134" w:type="dxa"/>
            <w:vAlign w:val="center"/>
          </w:tcPr>
          <w:p w14:paraId="671B1942" w14:textId="5391B87A" w:rsidR="00412E84" w:rsidRPr="0076189E" w:rsidRDefault="00412E84" w:rsidP="00412E84">
            <w:pPr>
              <w:keepNext/>
              <w:jc w:val="right"/>
              <w:rPr>
                <w:rFonts w:ascii="Calibri" w:hAnsi="Calibri"/>
                <w:sz w:val="20"/>
                <w:szCs w:val="20"/>
              </w:rPr>
            </w:pPr>
            <w:r w:rsidRPr="0076189E">
              <w:rPr>
                <w:rFonts w:ascii="Calibri" w:hAnsi="Calibri"/>
                <w:sz w:val="20"/>
                <w:szCs w:val="20"/>
              </w:rPr>
              <w:t>1 342,73</w:t>
            </w:r>
          </w:p>
        </w:tc>
        <w:tc>
          <w:tcPr>
            <w:tcW w:w="1275" w:type="dxa"/>
            <w:vAlign w:val="center"/>
          </w:tcPr>
          <w:p w14:paraId="15A4E1BB" w14:textId="12BD79E2" w:rsidR="00412E84" w:rsidRPr="0076189E" w:rsidRDefault="00412E84" w:rsidP="00412E84">
            <w:pPr>
              <w:keepNext/>
              <w:jc w:val="right"/>
              <w:rPr>
                <w:rFonts w:ascii="Calibri" w:hAnsi="Calibri"/>
                <w:sz w:val="20"/>
                <w:szCs w:val="20"/>
              </w:rPr>
            </w:pPr>
            <w:r w:rsidRPr="0076189E">
              <w:rPr>
                <w:rFonts w:ascii="Calibri" w:hAnsi="Calibri"/>
                <w:sz w:val="20"/>
                <w:szCs w:val="20"/>
              </w:rPr>
              <w:t>5 077,05</w:t>
            </w:r>
          </w:p>
        </w:tc>
        <w:tc>
          <w:tcPr>
            <w:tcW w:w="1134" w:type="dxa"/>
            <w:vAlign w:val="center"/>
          </w:tcPr>
          <w:p w14:paraId="717473DC" w14:textId="36120230" w:rsidR="00412E84" w:rsidRPr="0076189E" w:rsidRDefault="00412E84" w:rsidP="00412E84">
            <w:pPr>
              <w:keepNext/>
              <w:jc w:val="right"/>
              <w:rPr>
                <w:rFonts w:ascii="Calibri" w:hAnsi="Calibri"/>
                <w:sz w:val="20"/>
                <w:szCs w:val="20"/>
              </w:rPr>
            </w:pPr>
            <w:r w:rsidRPr="0076189E">
              <w:rPr>
                <w:rFonts w:ascii="Calibri" w:hAnsi="Calibri"/>
                <w:sz w:val="20"/>
                <w:szCs w:val="20"/>
              </w:rPr>
              <w:t>2 346,39</w:t>
            </w:r>
          </w:p>
        </w:tc>
        <w:tc>
          <w:tcPr>
            <w:tcW w:w="1696" w:type="dxa"/>
            <w:vAlign w:val="center"/>
          </w:tcPr>
          <w:p w14:paraId="1B8DB037" w14:textId="09AB6D21" w:rsidR="00412E84" w:rsidRPr="0076189E" w:rsidRDefault="00412E84" w:rsidP="00412E84">
            <w:pPr>
              <w:keepNext/>
              <w:jc w:val="right"/>
              <w:rPr>
                <w:rFonts w:ascii="Calibri" w:hAnsi="Calibri"/>
                <w:sz w:val="20"/>
                <w:szCs w:val="20"/>
              </w:rPr>
            </w:pPr>
            <w:r w:rsidRPr="0076189E">
              <w:rPr>
                <w:rFonts w:ascii="Calibri" w:hAnsi="Calibri"/>
                <w:sz w:val="20"/>
                <w:szCs w:val="20"/>
              </w:rPr>
              <w:t>2 730,66</w:t>
            </w:r>
          </w:p>
        </w:tc>
      </w:tr>
      <w:tr w:rsidR="00412E84" w14:paraId="3668BFF5" w14:textId="77777777" w:rsidTr="00B75FE3">
        <w:tc>
          <w:tcPr>
            <w:tcW w:w="2689" w:type="dxa"/>
          </w:tcPr>
          <w:p w14:paraId="0109029A" w14:textId="6B98F6C3" w:rsidR="00412E84" w:rsidRPr="0076189E" w:rsidRDefault="00412E84" w:rsidP="00D7533F">
            <w:pPr>
              <w:keepNext/>
              <w:rPr>
                <w:rFonts w:ascii="Calibri" w:hAnsi="Calibri"/>
                <w:sz w:val="20"/>
                <w:szCs w:val="20"/>
              </w:rPr>
            </w:pPr>
            <w:r w:rsidRPr="0076189E">
              <w:rPr>
                <w:rFonts w:ascii="Calibri" w:hAnsi="Calibri"/>
                <w:sz w:val="20"/>
                <w:szCs w:val="20"/>
              </w:rPr>
              <w:t>Ministerstvo zemědělství</w:t>
            </w:r>
          </w:p>
        </w:tc>
        <w:tc>
          <w:tcPr>
            <w:tcW w:w="1134" w:type="dxa"/>
            <w:vAlign w:val="center"/>
          </w:tcPr>
          <w:p w14:paraId="51B56BD7" w14:textId="1A168353" w:rsidR="00412E84" w:rsidRPr="0076189E" w:rsidRDefault="00412E84" w:rsidP="00412E84">
            <w:pPr>
              <w:keepNext/>
              <w:jc w:val="right"/>
              <w:rPr>
                <w:rFonts w:ascii="Calibri" w:hAnsi="Calibri"/>
                <w:sz w:val="20"/>
                <w:szCs w:val="20"/>
              </w:rPr>
            </w:pPr>
            <w:r w:rsidRPr="0076189E">
              <w:rPr>
                <w:rFonts w:ascii="Calibri" w:hAnsi="Calibri"/>
                <w:sz w:val="20"/>
                <w:szCs w:val="20"/>
              </w:rPr>
              <w:t>4 111,45</w:t>
            </w:r>
          </w:p>
        </w:tc>
        <w:tc>
          <w:tcPr>
            <w:tcW w:w="1134" w:type="dxa"/>
            <w:vAlign w:val="center"/>
          </w:tcPr>
          <w:p w14:paraId="37F70327" w14:textId="23AFA80F" w:rsidR="00412E84" w:rsidRPr="0076189E" w:rsidRDefault="00614062" w:rsidP="00412E84">
            <w:pPr>
              <w:keepNext/>
              <w:jc w:val="right"/>
              <w:rPr>
                <w:rFonts w:ascii="Calibri" w:hAnsi="Calibri"/>
                <w:sz w:val="20"/>
                <w:szCs w:val="20"/>
              </w:rPr>
            </w:pPr>
            <w:r>
              <w:rPr>
                <w:rFonts w:ascii="Calibri" w:hAnsi="Calibri"/>
                <w:color w:val="FF0000"/>
                <w:sz w:val="20"/>
                <w:szCs w:val="20"/>
              </w:rPr>
              <w:t>–</w:t>
            </w:r>
            <w:r w:rsidR="00412E84" w:rsidRPr="0076189E">
              <w:rPr>
                <w:rFonts w:ascii="Calibri" w:hAnsi="Calibri"/>
                <w:color w:val="FF0000"/>
                <w:sz w:val="20"/>
                <w:szCs w:val="20"/>
              </w:rPr>
              <w:t>449,51</w:t>
            </w:r>
          </w:p>
        </w:tc>
        <w:tc>
          <w:tcPr>
            <w:tcW w:w="1275" w:type="dxa"/>
            <w:vAlign w:val="center"/>
          </w:tcPr>
          <w:p w14:paraId="1A40D1A0" w14:textId="2CAFE280" w:rsidR="00412E84" w:rsidRPr="0076189E" w:rsidRDefault="00412E84" w:rsidP="00412E84">
            <w:pPr>
              <w:keepNext/>
              <w:jc w:val="right"/>
              <w:rPr>
                <w:rFonts w:ascii="Calibri" w:hAnsi="Calibri"/>
                <w:sz w:val="20"/>
                <w:szCs w:val="20"/>
              </w:rPr>
            </w:pPr>
            <w:r w:rsidRPr="0076189E">
              <w:rPr>
                <w:rFonts w:ascii="Calibri" w:hAnsi="Calibri"/>
                <w:sz w:val="20"/>
                <w:szCs w:val="20"/>
              </w:rPr>
              <w:t>3 661,94</w:t>
            </w:r>
          </w:p>
        </w:tc>
        <w:tc>
          <w:tcPr>
            <w:tcW w:w="1134" w:type="dxa"/>
            <w:vAlign w:val="center"/>
          </w:tcPr>
          <w:p w14:paraId="43B6B487" w14:textId="3206DD20" w:rsidR="00412E84" w:rsidRPr="0076189E" w:rsidRDefault="00412E84" w:rsidP="00412E84">
            <w:pPr>
              <w:keepNext/>
              <w:jc w:val="right"/>
              <w:rPr>
                <w:rFonts w:ascii="Calibri" w:hAnsi="Calibri"/>
                <w:sz w:val="20"/>
                <w:szCs w:val="20"/>
              </w:rPr>
            </w:pPr>
            <w:r w:rsidRPr="0076189E">
              <w:rPr>
                <w:rFonts w:ascii="Calibri" w:hAnsi="Calibri"/>
                <w:sz w:val="20"/>
                <w:szCs w:val="20"/>
              </w:rPr>
              <w:t>2 845,25</w:t>
            </w:r>
          </w:p>
        </w:tc>
        <w:tc>
          <w:tcPr>
            <w:tcW w:w="1696" w:type="dxa"/>
            <w:vAlign w:val="center"/>
          </w:tcPr>
          <w:p w14:paraId="53386ADF" w14:textId="4C5DE2C6" w:rsidR="00412E84" w:rsidRPr="0076189E" w:rsidRDefault="00412E84" w:rsidP="00412E84">
            <w:pPr>
              <w:keepNext/>
              <w:jc w:val="right"/>
              <w:rPr>
                <w:rFonts w:ascii="Calibri" w:hAnsi="Calibri"/>
                <w:sz w:val="20"/>
                <w:szCs w:val="20"/>
              </w:rPr>
            </w:pPr>
            <w:r w:rsidRPr="0076189E">
              <w:rPr>
                <w:rFonts w:ascii="Calibri" w:hAnsi="Calibri"/>
                <w:sz w:val="20"/>
                <w:szCs w:val="20"/>
              </w:rPr>
              <w:t>816,69</w:t>
            </w:r>
          </w:p>
        </w:tc>
      </w:tr>
    </w:tbl>
    <w:p w14:paraId="68D31FE2" w14:textId="35047E5C" w:rsidR="00D7533F" w:rsidRPr="00794235" w:rsidRDefault="00B56E27" w:rsidP="00794235">
      <w:pPr>
        <w:rPr>
          <w:sz w:val="20"/>
          <w:szCs w:val="20"/>
        </w:rPr>
      </w:pPr>
      <w:r w:rsidRPr="00794235">
        <w:rPr>
          <w:b/>
          <w:sz w:val="20"/>
          <w:szCs w:val="20"/>
        </w:rPr>
        <w:t>Zdroj</w:t>
      </w:r>
      <w:r w:rsidRPr="00794235">
        <w:rPr>
          <w:sz w:val="20"/>
          <w:szCs w:val="20"/>
        </w:rPr>
        <w:t>: IISSP a vlastní výpočet</w:t>
      </w:r>
      <w:r w:rsidR="00FC6168">
        <w:rPr>
          <w:sz w:val="20"/>
          <w:szCs w:val="20"/>
        </w:rPr>
        <w:t>.</w:t>
      </w:r>
    </w:p>
    <w:p w14:paraId="2D5A34F9" w14:textId="1EAF59B4" w:rsidR="00B56E27" w:rsidRPr="00794235" w:rsidRDefault="00B56E27" w:rsidP="00794235">
      <w:pPr>
        <w:rPr>
          <w:sz w:val="20"/>
          <w:szCs w:val="20"/>
        </w:rPr>
      </w:pPr>
      <w:r w:rsidRPr="00794235">
        <w:rPr>
          <w:b/>
          <w:sz w:val="20"/>
          <w:szCs w:val="20"/>
        </w:rPr>
        <w:t>Pozn.:</w:t>
      </w:r>
      <w:r w:rsidRPr="00794235">
        <w:rPr>
          <w:sz w:val="20"/>
          <w:szCs w:val="20"/>
        </w:rPr>
        <w:t xml:space="preserve"> </w:t>
      </w:r>
      <w:r w:rsidR="00BC3C55" w:rsidRPr="00794235">
        <w:rPr>
          <w:sz w:val="20"/>
          <w:szCs w:val="20"/>
        </w:rPr>
        <w:t>R</w:t>
      </w:r>
      <w:r w:rsidRPr="00794235">
        <w:rPr>
          <w:sz w:val="20"/>
          <w:szCs w:val="20"/>
        </w:rPr>
        <w:t xml:space="preserve">ozpočtové položky byly u jednotlivých kontrolovaných osob vybrány zejména s ohledem na </w:t>
      </w:r>
      <w:r w:rsidR="00FB34AE" w:rsidRPr="00794235">
        <w:rPr>
          <w:sz w:val="20"/>
          <w:szCs w:val="20"/>
        </w:rPr>
        <w:t xml:space="preserve">svou </w:t>
      </w:r>
      <w:r w:rsidRPr="00794235">
        <w:rPr>
          <w:sz w:val="20"/>
          <w:szCs w:val="20"/>
        </w:rPr>
        <w:t>výši k 1.</w:t>
      </w:r>
      <w:r w:rsidR="000E2645" w:rsidRPr="00794235">
        <w:rPr>
          <w:sz w:val="20"/>
          <w:szCs w:val="20"/>
        </w:rPr>
        <w:t> </w:t>
      </w:r>
      <w:r w:rsidRPr="00794235">
        <w:rPr>
          <w:sz w:val="20"/>
          <w:szCs w:val="20"/>
        </w:rPr>
        <w:t xml:space="preserve">1. 2015 v evidenci NNV, to znamená, že u </w:t>
      </w:r>
      <w:proofErr w:type="gramStart"/>
      <w:r w:rsidRPr="00794235">
        <w:rPr>
          <w:sz w:val="20"/>
          <w:szCs w:val="20"/>
        </w:rPr>
        <w:t>OSS</w:t>
      </w:r>
      <w:proofErr w:type="gramEnd"/>
      <w:r w:rsidRPr="00794235">
        <w:rPr>
          <w:sz w:val="20"/>
          <w:szCs w:val="20"/>
        </w:rPr>
        <w:t xml:space="preserve"> nemusely být vybrány stejné rozpočtové položky</w:t>
      </w:r>
      <w:r w:rsidR="000E2645" w:rsidRPr="00794235">
        <w:rPr>
          <w:sz w:val="20"/>
          <w:szCs w:val="20"/>
        </w:rPr>
        <w:t>.</w:t>
      </w:r>
    </w:p>
    <w:p w14:paraId="1FEAE6AD" w14:textId="77777777" w:rsidR="00D7533F" w:rsidRDefault="00D7533F" w:rsidP="00794235"/>
    <w:p w14:paraId="5F1B9053" w14:textId="3CF5B329" w:rsidR="00412E84" w:rsidRDefault="0076189E" w:rsidP="00794235">
      <w:r w:rsidRPr="0076189E">
        <w:t xml:space="preserve">Tabulka č. </w:t>
      </w:r>
      <w:r>
        <w:t>4</w:t>
      </w:r>
      <w:r w:rsidRPr="0076189E">
        <w:t xml:space="preserve"> – Vybrané kontrolované rozpočtové položky</w:t>
      </w:r>
      <w:r w:rsidRPr="0076189E">
        <w:tab/>
      </w:r>
      <w:r w:rsidRPr="0076189E">
        <w:tab/>
      </w:r>
      <w:r>
        <w:tab/>
      </w:r>
      <w:r>
        <w:tab/>
        <w:t xml:space="preserve">      </w:t>
      </w:r>
      <w:r w:rsidR="00FB34AE">
        <w:t>(</w:t>
      </w:r>
      <w:r w:rsidRPr="0076189E">
        <w:t>v mil. Kč</w:t>
      </w:r>
      <w:r w:rsidR="00FB34AE">
        <w:t>)</w:t>
      </w:r>
    </w:p>
    <w:tbl>
      <w:tblPr>
        <w:tblStyle w:val="Mkatabulky"/>
        <w:tblW w:w="9067" w:type="dxa"/>
        <w:tblLayout w:type="fixed"/>
        <w:tblLook w:val="04A0" w:firstRow="1" w:lastRow="0" w:firstColumn="1" w:lastColumn="0" w:noHBand="0" w:noVBand="1"/>
      </w:tblPr>
      <w:tblGrid>
        <w:gridCol w:w="2689"/>
        <w:gridCol w:w="1134"/>
        <w:gridCol w:w="1134"/>
        <w:gridCol w:w="1275"/>
        <w:gridCol w:w="1134"/>
        <w:gridCol w:w="1701"/>
      </w:tblGrid>
      <w:tr w:rsidR="00412E84" w:rsidRPr="00D7533F" w14:paraId="769E4A21" w14:textId="77777777" w:rsidTr="006E434C">
        <w:tc>
          <w:tcPr>
            <w:tcW w:w="2689" w:type="dxa"/>
            <w:vMerge w:val="restart"/>
            <w:shd w:val="clear" w:color="auto" w:fill="E5F1FF"/>
            <w:vAlign w:val="center"/>
          </w:tcPr>
          <w:p w14:paraId="4E162648" w14:textId="77777777" w:rsidR="00412E84" w:rsidRPr="0076189E" w:rsidRDefault="00412E84" w:rsidP="00412E84">
            <w:pPr>
              <w:keepNext/>
              <w:jc w:val="center"/>
              <w:rPr>
                <w:rFonts w:ascii="Calibri" w:hAnsi="Calibri"/>
                <w:b/>
                <w:sz w:val="20"/>
                <w:szCs w:val="20"/>
              </w:rPr>
            </w:pPr>
            <w:r w:rsidRPr="0076189E">
              <w:rPr>
                <w:rFonts w:ascii="Calibri" w:hAnsi="Calibri"/>
                <w:b/>
                <w:sz w:val="20"/>
                <w:szCs w:val="20"/>
              </w:rPr>
              <w:t>Organizační složka státu</w:t>
            </w:r>
          </w:p>
        </w:tc>
        <w:tc>
          <w:tcPr>
            <w:tcW w:w="6378" w:type="dxa"/>
            <w:gridSpan w:val="5"/>
            <w:shd w:val="clear" w:color="auto" w:fill="E5F1FF"/>
            <w:vAlign w:val="center"/>
          </w:tcPr>
          <w:p w14:paraId="42C765EF" w14:textId="0A69AB57" w:rsidR="00412E84" w:rsidRPr="0076189E" w:rsidRDefault="00412E84" w:rsidP="00412E84">
            <w:pPr>
              <w:keepNext/>
              <w:jc w:val="center"/>
              <w:rPr>
                <w:rFonts w:ascii="Calibri" w:hAnsi="Calibri"/>
                <w:b/>
                <w:sz w:val="20"/>
                <w:szCs w:val="20"/>
              </w:rPr>
            </w:pPr>
            <w:r w:rsidRPr="0076189E">
              <w:rPr>
                <w:rFonts w:ascii="Calibri" w:hAnsi="Calibri"/>
                <w:b/>
                <w:sz w:val="20"/>
                <w:szCs w:val="20"/>
              </w:rPr>
              <w:t>Rok 2015</w:t>
            </w:r>
          </w:p>
        </w:tc>
      </w:tr>
      <w:tr w:rsidR="00412E84" w:rsidRPr="00D7533F" w14:paraId="5429CDA6" w14:textId="77777777" w:rsidTr="00FB34AE">
        <w:tc>
          <w:tcPr>
            <w:tcW w:w="2689" w:type="dxa"/>
            <w:vMerge/>
            <w:shd w:val="clear" w:color="auto" w:fill="E5F1FF"/>
          </w:tcPr>
          <w:p w14:paraId="318EB8B1" w14:textId="77777777" w:rsidR="00412E84" w:rsidRPr="0076189E" w:rsidRDefault="00412E84" w:rsidP="00412E84">
            <w:pPr>
              <w:keepNext/>
              <w:rPr>
                <w:rFonts w:ascii="Calibri" w:hAnsi="Calibri"/>
                <w:b/>
                <w:sz w:val="20"/>
                <w:szCs w:val="20"/>
              </w:rPr>
            </w:pPr>
          </w:p>
        </w:tc>
        <w:tc>
          <w:tcPr>
            <w:tcW w:w="1134" w:type="dxa"/>
            <w:shd w:val="clear" w:color="auto" w:fill="E5F1FF"/>
            <w:vAlign w:val="center"/>
          </w:tcPr>
          <w:p w14:paraId="4B503CEF" w14:textId="77777777" w:rsidR="00412E84" w:rsidRPr="0076189E" w:rsidRDefault="00412E84" w:rsidP="00412E84">
            <w:pPr>
              <w:keepNext/>
              <w:jc w:val="center"/>
              <w:rPr>
                <w:rFonts w:ascii="Calibri" w:hAnsi="Calibri"/>
                <w:b/>
                <w:sz w:val="20"/>
                <w:szCs w:val="20"/>
              </w:rPr>
            </w:pPr>
            <w:r w:rsidRPr="0076189E">
              <w:rPr>
                <w:rFonts w:ascii="Calibri" w:hAnsi="Calibri"/>
                <w:b/>
                <w:sz w:val="20"/>
                <w:szCs w:val="20"/>
              </w:rPr>
              <w:t>Rozpočet schválený</w:t>
            </w:r>
          </w:p>
        </w:tc>
        <w:tc>
          <w:tcPr>
            <w:tcW w:w="1134" w:type="dxa"/>
            <w:shd w:val="clear" w:color="auto" w:fill="E5F1FF"/>
            <w:vAlign w:val="center"/>
          </w:tcPr>
          <w:p w14:paraId="603E8679" w14:textId="77777777" w:rsidR="00412E84" w:rsidRPr="0076189E" w:rsidRDefault="00412E84" w:rsidP="00412E84">
            <w:pPr>
              <w:keepNext/>
              <w:jc w:val="center"/>
              <w:rPr>
                <w:rFonts w:ascii="Calibri" w:hAnsi="Calibri"/>
                <w:b/>
                <w:sz w:val="20"/>
                <w:szCs w:val="20"/>
              </w:rPr>
            </w:pPr>
            <w:r w:rsidRPr="0076189E">
              <w:rPr>
                <w:rFonts w:ascii="Calibri" w:hAnsi="Calibri"/>
                <w:b/>
                <w:sz w:val="20"/>
                <w:szCs w:val="20"/>
              </w:rPr>
              <w:t>Úprava rozpočtu</w:t>
            </w:r>
          </w:p>
        </w:tc>
        <w:tc>
          <w:tcPr>
            <w:tcW w:w="1275" w:type="dxa"/>
            <w:shd w:val="clear" w:color="auto" w:fill="E5F1FF"/>
            <w:vAlign w:val="center"/>
          </w:tcPr>
          <w:p w14:paraId="59B9AE24" w14:textId="77777777" w:rsidR="00412E84" w:rsidRPr="0076189E" w:rsidRDefault="00412E84" w:rsidP="00412E84">
            <w:pPr>
              <w:keepNext/>
              <w:jc w:val="center"/>
              <w:rPr>
                <w:rFonts w:ascii="Calibri" w:hAnsi="Calibri"/>
                <w:b/>
                <w:sz w:val="20"/>
                <w:szCs w:val="20"/>
              </w:rPr>
            </w:pPr>
            <w:r w:rsidRPr="0076189E">
              <w:rPr>
                <w:rFonts w:ascii="Calibri" w:hAnsi="Calibri"/>
                <w:b/>
                <w:sz w:val="20"/>
                <w:szCs w:val="20"/>
              </w:rPr>
              <w:t>Rozpočet po změnách</w:t>
            </w:r>
          </w:p>
        </w:tc>
        <w:tc>
          <w:tcPr>
            <w:tcW w:w="1134" w:type="dxa"/>
            <w:shd w:val="clear" w:color="auto" w:fill="E5F1FF"/>
            <w:vAlign w:val="center"/>
          </w:tcPr>
          <w:p w14:paraId="435A8148" w14:textId="77777777" w:rsidR="00412E84" w:rsidRPr="0076189E" w:rsidRDefault="00412E84" w:rsidP="00412E84">
            <w:pPr>
              <w:keepNext/>
              <w:jc w:val="center"/>
              <w:rPr>
                <w:rFonts w:ascii="Calibri" w:hAnsi="Calibri"/>
                <w:b/>
                <w:sz w:val="20"/>
                <w:szCs w:val="20"/>
              </w:rPr>
            </w:pPr>
            <w:r w:rsidRPr="0076189E">
              <w:rPr>
                <w:rFonts w:ascii="Calibri" w:hAnsi="Calibri"/>
                <w:b/>
                <w:sz w:val="20"/>
                <w:szCs w:val="20"/>
              </w:rPr>
              <w:t>Čerpáno</w:t>
            </w:r>
          </w:p>
        </w:tc>
        <w:tc>
          <w:tcPr>
            <w:tcW w:w="1701" w:type="dxa"/>
            <w:shd w:val="clear" w:color="auto" w:fill="E5F1FF"/>
            <w:vAlign w:val="center"/>
          </w:tcPr>
          <w:p w14:paraId="65E31858" w14:textId="481123BC" w:rsidR="00412E84" w:rsidRPr="0076189E" w:rsidRDefault="00412E84" w:rsidP="00FB34AE">
            <w:pPr>
              <w:keepNext/>
              <w:jc w:val="center"/>
              <w:rPr>
                <w:rFonts w:ascii="Calibri" w:hAnsi="Calibri"/>
                <w:b/>
                <w:sz w:val="20"/>
                <w:szCs w:val="20"/>
              </w:rPr>
            </w:pPr>
            <w:r w:rsidRPr="0076189E">
              <w:rPr>
                <w:rFonts w:ascii="Calibri" w:hAnsi="Calibri"/>
                <w:b/>
                <w:sz w:val="20"/>
                <w:szCs w:val="20"/>
              </w:rPr>
              <w:t>Zvýšení NNV k</w:t>
            </w:r>
            <w:r w:rsidR="006E434C">
              <w:rPr>
                <w:rFonts w:ascii="Calibri" w:hAnsi="Calibri"/>
                <w:b/>
                <w:sz w:val="20"/>
                <w:szCs w:val="20"/>
              </w:rPr>
              <w:t> </w:t>
            </w:r>
            <w:r w:rsidRPr="0076189E">
              <w:rPr>
                <w:rFonts w:ascii="Calibri" w:hAnsi="Calibri"/>
                <w:b/>
                <w:sz w:val="20"/>
                <w:szCs w:val="20"/>
              </w:rPr>
              <w:t>1.</w:t>
            </w:r>
            <w:r w:rsidR="006E434C">
              <w:rPr>
                <w:rFonts w:ascii="Calibri" w:hAnsi="Calibri"/>
                <w:b/>
                <w:sz w:val="20"/>
                <w:szCs w:val="20"/>
              </w:rPr>
              <w:t> </w:t>
            </w:r>
            <w:r w:rsidRPr="0076189E">
              <w:rPr>
                <w:rFonts w:ascii="Calibri" w:hAnsi="Calibri"/>
                <w:b/>
                <w:sz w:val="20"/>
                <w:szCs w:val="20"/>
              </w:rPr>
              <w:t>1.</w:t>
            </w:r>
            <w:r w:rsidR="006E434C">
              <w:rPr>
                <w:rFonts w:ascii="Calibri" w:hAnsi="Calibri"/>
                <w:b/>
                <w:sz w:val="20"/>
                <w:szCs w:val="20"/>
              </w:rPr>
              <w:t> </w:t>
            </w:r>
            <w:r w:rsidRPr="0076189E">
              <w:rPr>
                <w:rFonts w:ascii="Calibri" w:hAnsi="Calibri"/>
                <w:b/>
                <w:sz w:val="20"/>
                <w:szCs w:val="20"/>
              </w:rPr>
              <w:t>201</w:t>
            </w:r>
            <w:r w:rsidR="00FB34AE">
              <w:rPr>
                <w:rFonts w:ascii="Calibri" w:hAnsi="Calibri"/>
                <w:b/>
                <w:sz w:val="20"/>
                <w:szCs w:val="20"/>
              </w:rPr>
              <w:t>6</w:t>
            </w:r>
            <w:r w:rsidRPr="0076189E">
              <w:rPr>
                <w:rFonts w:ascii="Calibri" w:hAnsi="Calibri"/>
                <w:b/>
                <w:sz w:val="20"/>
                <w:szCs w:val="20"/>
              </w:rPr>
              <w:t xml:space="preserve"> o</w:t>
            </w:r>
          </w:p>
        </w:tc>
      </w:tr>
      <w:tr w:rsidR="00412E84" w:rsidRPr="00412E84" w14:paraId="23876DDC" w14:textId="77777777" w:rsidTr="00FB34AE">
        <w:tc>
          <w:tcPr>
            <w:tcW w:w="2689" w:type="dxa"/>
          </w:tcPr>
          <w:p w14:paraId="62C33670" w14:textId="77777777" w:rsidR="00412E84" w:rsidRPr="0076189E" w:rsidRDefault="00412E84" w:rsidP="00412E84">
            <w:pPr>
              <w:keepNext/>
              <w:rPr>
                <w:rFonts w:ascii="Calibri" w:hAnsi="Calibri"/>
                <w:sz w:val="20"/>
                <w:szCs w:val="20"/>
              </w:rPr>
            </w:pPr>
            <w:r w:rsidRPr="0076189E">
              <w:rPr>
                <w:rFonts w:ascii="Calibri" w:hAnsi="Calibri"/>
                <w:sz w:val="20"/>
                <w:szCs w:val="20"/>
              </w:rPr>
              <w:t>Ministerstvo financí</w:t>
            </w:r>
          </w:p>
        </w:tc>
        <w:tc>
          <w:tcPr>
            <w:tcW w:w="1134" w:type="dxa"/>
            <w:vAlign w:val="center"/>
          </w:tcPr>
          <w:p w14:paraId="760C5E6C" w14:textId="7DB2AD37" w:rsidR="00412E84" w:rsidRPr="0076189E" w:rsidRDefault="00412E84" w:rsidP="00412E84">
            <w:pPr>
              <w:keepNext/>
              <w:jc w:val="right"/>
              <w:rPr>
                <w:rFonts w:ascii="Calibri" w:hAnsi="Calibri"/>
                <w:sz w:val="20"/>
                <w:szCs w:val="20"/>
              </w:rPr>
            </w:pPr>
            <w:r w:rsidRPr="0076189E">
              <w:rPr>
                <w:rFonts w:ascii="Calibri" w:hAnsi="Calibri"/>
                <w:sz w:val="20"/>
                <w:szCs w:val="20"/>
              </w:rPr>
              <w:t>167,43</w:t>
            </w:r>
          </w:p>
        </w:tc>
        <w:tc>
          <w:tcPr>
            <w:tcW w:w="1134" w:type="dxa"/>
            <w:vAlign w:val="center"/>
          </w:tcPr>
          <w:p w14:paraId="538F391D" w14:textId="4AAC07F9" w:rsidR="00412E84" w:rsidRPr="0076189E" w:rsidRDefault="00412E84" w:rsidP="00412E84">
            <w:pPr>
              <w:keepNext/>
              <w:jc w:val="right"/>
              <w:rPr>
                <w:rFonts w:ascii="Calibri" w:hAnsi="Calibri"/>
                <w:sz w:val="20"/>
                <w:szCs w:val="20"/>
              </w:rPr>
            </w:pPr>
            <w:r w:rsidRPr="0076189E">
              <w:rPr>
                <w:rFonts w:ascii="Calibri" w:hAnsi="Calibri"/>
                <w:sz w:val="20"/>
                <w:szCs w:val="20"/>
              </w:rPr>
              <w:t>125,88</w:t>
            </w:r>
          </w:p>
        </w:tc>
        <w:tc>
          <w:tcPr>
            <w:tcW w:w="1275" w:type="dxa"/>
            <w:vAlign w:val="center"/>
          </w:tcPr>
          <w:p w14:paraId="388EEC52" w14:textId="44BAB200" w:rsidR="00412E84" w:rsidRPr="0076189E" w:rsidRDefault="00412E84" w:rsidP="00412E84">
            <w:pPr>
              <w:keepNext/>
              <w:jc w:val="right"/>
              <w:rPr>
                <w:rFonts w:ascii="Calibri" w:hAnsi="Calibri"/>
                <w:sz w:val="20"/>
                <w:szCs w:val="20"/>
              </w:rPr>
            </w:pPr>
            <w:r w:rsidRPr="0076189E">
              <w:rPr>
                <w:rFonts w:ascii="Calibri" w:hAnsi="Calibri"/>
                <w:sz w:val="20"/>
                <w:szCs w:val="20"/>
              </w:rPr>
              <w:t>293,31</w:t>
            </w:r>
          </w:p>
        </w:tc>
        <w:tc>
          <w:tcPr>
            <w:tcW w:w="1134" w:type="dxa"/>
            <w:vAlign w:val="center"/>
          </w:tcPr>
          <w:p w14:paraId="5E0CD703" w14:textId="494B7BF9" w:rsidR="00412E84" w:rsidRPr="0076189E" w:rsidRDefault="00412E84" w:rsidP="00412E84">
            <w:pPr>
              <w:keepNext/>
              <w:jc w:val="right"/>
              <w:rPr>
                <w:rFonts w:ascii="Calibri" w:hAnsi="Calibri"/>
                <w:sz w:val="20"/>
                <w:szCs w:val="20"/>
              </w:rPr>
            </w:pPr>
            <w:r w:rsidRPr="0076189E">
              <w:rPr>
                <w:rFonts w:ascii="Calibri" w:hAnsi="Calibri"/>
                <w:sz w:val="20"/>
                <w:szCs w:val="20"/>
              </w:rPr>
              <w:t>196,34</w:t>
            </w:r>
          </w:p>
        </w:tc>
        <w:tc>
          <w:tcPr>
            <w:tcW w:w="1701" w:type="dxa"/>
            <w:vAlign w:val="center"/>
          </w:tcPr>
          <w:p w14:paraId="2DA16409" w14:textId="6FDFCE5B" w:rsidR="00412E84" w:rsidRPr="0076189E" w:rsidRDefault="00412E84" w:rsidP="00412E84">
            <w:pPr>
              <w:keepNext/>
              <w:jc w:val="right"/>
              <w:rPr>
                <w:rFonts w:ascii="Calibri" w:hAnsi="Calibri"/>
                <w:sz w:val="20"/>
                <w:szCs w:val="20"/>
              </w:rPr>
            </w:pPr>
            <w:r w:rsidRPr="0076189E">
              <w:rPr>
                <w:rFonts w:ascii="Calibri" w:hAnsi="Calibri"/>
                <w:sz w:val="20"/>
                <w:szCs w:val="20"/>
              </w:rPr>
              <w:t>96,97</w:t>
            </w:r>
          </w:p>
        </w:tc>
      </w:tr>
      <w:tr w:rsidR="00412E84" w:rsidRPr="00412E84" w14:paraId="54699F6F" w14:textId="77777777" w:rsidTr="00FB34AE">
        <w:tc>
          <w:tcPr>
            <w:tcW w:w="2689" w:type="dxa"/>
          </w:tcPr>
          <w:p w14:paraId="1D8E5A6E" w14:textId="77777777" w:rsidR="00412E84" w:rsidRPr="0076189E" w:rsidRDefault="00412E84" w:rsidP="00412E84">
            <w:pPr>
              <w:keepNext/>
              <w:rPr>
                <w:rFonts w:ascii="Calibri" w:hAnsi="Calibri"/>
                <w:sz w:val="20"/>
                <w:szCs w:val="20"/>
              </w:rPr>
            </w:pPr>
            <w:r w:rsidRPr="0076189E">
              <w:rPr>
                <w:rFonts w:ascii="Calibri" w:hAnsi="Calibri"/>
                <w:sz w:val="20"/>
                <w:szCs w:val="20"/>
              </w:rPr>
              <w:t>Ministerstvo pro místní rozvoj</w:t>
            </w:r>
          </w:p>
        </w:tc>
        <w:tc>
          <w:tcPr>
            <w:tcW w:w="1134" w:type="dxa"/>
            <w:vAlign w:val="center"/>
          </w:tcPr>
          <w:p w14:paraId="792FE8B4" w14:textId="77FC5D29" w:rsidR="00412E84" w:rsidRPr="0076189E" w:rsidRDefault="00412E84" w:rsidP="00412E84">
            <w:pPr>
              <w:keepNext/>
              <w:jc w:val="right"/>
              <w:rPr>
                <w:rFonts w:ascii="Calibri" w:hAnsi="Calibri"/>
                <w:sz w:val="20"/>
                <w:szCs w:val="20"/>
              </w:rPr>
            </w:pPr>
            <w:r w:rsidRPr="0076189E">
              <w:rPr>
                <w:rFonts w:ascii="Calibri" w:hAnsi="Calibri"/>
                <w:sz w:val="20"/>
                <w:szCs w:val="20"/>
              </w:rPr>
              <w:t>277,78</w:t>
            </w:r>
          </w:p>
        </w:tc>
        <w:tc>
          <w:tcPr>
            <w:tcW w:w="1134" w:type="dxa"/>
            <w:vAlign w:val="center"/>
          </w:tcPr>
          <w:p w14:paraId="3DFF2AD1" w14:textId="34409EFA" w:rsidR="00412E84" w:rsidRPr="0076189E" w:rsidRDefault="00614062" w:rsidP="00412E84">
            <w:pPr>
              <w:keepNext/>
              <w:jc w:val="right"/>
              <w:rPr>
                <w:rFonts w:ascii="Calibri" w:hAnsi="Calibri"/>
                <w:color w:val="FF0000"/>
                <w:sz w:val="20"/>
                <w:szCs w:val="20"/>
              </w:rPr>
            </w:pPr>
            <w:r>
              <w:rPr>
                <w:rFonts w:ascii="Calibri" w:hAnsi="Calibri"/>
                <w:color w:val="FF0000"/>
                <w:sz w:val="20"/>
                <w:szCs w:val="20"/>
              </w:rPr>
              <w:t>–</w:t>
            </w:r>
            <w:r w:rsidR="00412E84" w:rsidRPr="0076189E">
              <w:rPr>
                <w:rFonts w:ascii="Calibri" w:hAnsi="Calibri"/>
                <w:color w:val="FF0000"/>
                <w:sz w:val="20"/>
                <w:szCs w:val="20"/>
              </w:rPr>
              <w:t>145,33</w:t>
            </w:r>
          </w:p>
        </w:tc>
        <w:tc>
          <w:tcPr>
            <w:tcW w:w="1275" w:type="dxa"/>
            <w:vAlign w:val="center"/>
          </w:tcPr>
          <w:p w14:paraId="011A5D49" w14:textId="2F6E1C8F" w:rsidR="00412E84" w:rsidRPr="0076189E" w:rsidRDefault="00412E84" w:rsidP="00412E84">
            <w:pPr>
              <w:keepNext/>
              <w:jc w:val="right"/>
              <w:rPr>
                <w:rFonts w:ascii="Calibri" w:hAnsi="Calibri"/>
                <w:sz w:val="20"/>
                <w:szCs w:val="20"/>
              </w:rPr>
            </w:pPr>
            <w:r w:rsidRPr="0076189E">
              <w:rPr>
                <w:rFonts w:ascii="Calibri" w:hAnsi="Calibri"/>
                <w:sz w:val="20"/>
                <w:szCs w:val="20"/>
              </w:rPr>
              <w:t>132,45</w:t>
            </w:r>
          </w:p>
        </w:tc>
        <w:tc>
          <w:tcPr>
            <w:tcW w:w="1134" w:type="dxa"/>
            <w:vAlign w:val="center"/>
          </w:tcPr>
          <w:p w14:paraId="6B796653" w14:textId="2E4A55BE" w:rsidR="00412E84" w:rsidRPr="0076189E" w:rsidRDefault="00412E84" w:rsidP="00412E84">
            <w:pPr>
              <w:keepNext/>
              <w:jc w:val="right"/>
              <w:rPr>
                <w:rFonts w:ascii="Calibri" w:hAnsi="Calibri"/>
                <w:sz w:val="20"/>
                <w:szCs w:val="20"/>
              </w:rPr>
            </w:pPr>
            <w:r w:rsidRPr="0076189E">
              <w:rPr>
                <w:rFonts w:ascii="Calibri" w:hAnsi="Calibri"/>
                <w:sz w:val="20"/>
                <w:szCs w:val="20"/>
              </w:rPr>
              <w:t>52,16</w:t>
            </w:r>
          </w:p>
        </w:tc>
        <w:tc>
          <w:tcPr>
            <w:tcW w:w="1701" w:type="dxa"/>
            <w:vAlign w:val="center"/>
          </w:tcPr>
          <w:p w14:paraId="2B576FD2" w14:textId="74C831E9" w:rsidR="00412E84" w:rsidRPr="0076189E" w:rsidRDefault="00412E84" w:rsidP="00412E84">
            <w:pPr>
              <w:keepNext/>
              <w:jc w:val="right"/>
              <w:rPr>
                <w:rFonts w:ascii="Calibri" w:hAnsi="Calibri"/>
                <w:sz w:val="20"/>
                <w:szCs w:val="20"/>
              </w:rPr>
            </w:pPr>
            <w:r w:rsidRPr="0076189E">
              <w:rPr>
                <w:rFonts w:ascii="Calibri" w:hAnsi="Calibri"/>
                <w:sz w:val="20"/>
                <w:szCs w:val="20"/>
              </w:rPr>
              <w:t>80,29</w:t>
            </w:r>
          </w:p>
        </w:tc>
      </w:tr>
      <w:tr w:rsidR="00412E84" w:rsidRPr="00412E84" w14:paraId="78096953" w14:textId="77777777" w:rsidTr="00FB34AE">
        <w:tc>
          <w:tcPr>
            <w:tcW w:w="2689" w:type="dxa"/>
          </w:tcPr>
          <w:p w14:paraId="73163E7C" w14:textId="77777777" w:rsidR="00412E84" w:rsidRPr="0076189E" w:rsidRDefault="00412E84" w:rsidP="00412E84">
            <w:pPr>
              <w:keepNext/>
              <w:rPr>
                <w:rFonts w:ascii="Calibri" w:hAnsi="Calibri"/>
                <w:sz w:val="20"/>
                <w:szCs w:val="20"/>
              </w:rPr>
            </w:pPr>
            <w:r w:rsidRPr="0076189E">
              <w:rPr>
                <w:rFonts w:ascii="Calibri" w:hAnsi="Calibri"/>
                <w:sz w:val="20"/>
                <w:szCs w:val="20"/>
              </w:rPr>
              <w:t>Ministerstvo dopravy</w:t>
            </w:r>
          </w:p>
        </w:tc>
        <w:tc>
          <w:tcPr>
            <w:tcW w:w="1134" w:type="dxa"/>
            <w:vAlign w:val="center"/>
          </w:tcPr>
          <w:p w14:paraId="37682118" w14:textId="7A6EB187" w:rsidR="00412E84" w:rsidRPr="0076189E" w:rsidRDefault="00412E84" w:rsidP="00412E84">
            <w:pPr>
              <w:keepNext/>
              <w:jc w:val="right"/>
              <w:rPr>
                <w:rFonts w:ascii="Calibri" w:hAnsi="Calibri"/>
                <w:sz w:val="20"/>
                <w:szCs w:val="20"/>
              </w:rPr>
            </w:pPr>
            <w:r w:rsidRPr="0076189E">
              <w:rPr>
                <w:rFonts w:ascii="Calibri" w:hAnsi="Calibri"/>
                <w:sz w:val="20"/>
                <w:szCs w:val="20"/>
              </w:rPr>
              <w:t>19 240,77</w:t>
            </w:r>
          </w:p>
        </w:tc>
        <w:tc>
          <w:tcPr>
            <w:tcW w:w="1134" w:type="dxa"/>
            <w:vAlign w:val="center"/>
          </w:tcPr>
          <w:p w14:paraId="30CA6DE9" w14:textId="0FDD9805" w:rsidR="00412E84" w:rsidRPr="0076189E" w:rsidRDefault="00614062" w:rsidP="00412E84">
            <w:pPr>
              <w:keepNext/>
              <w:jc w:val="right"/>
              <w:rPr>
                <w:rFonts w:ascii="Calibri" w:hAnsi="Calibri"/>
                <w:color w:val="FF0000"/>
                <w:sz w:val="20"/>
                <w:szCs w:val="20"/>
              </w:rPr>
            </w:pPr>
            <w:r>
              <w:rPr>
                <w:rFonts w:ascii="Calibri" w:hAnsi="Calibri"/>
                <w:color w:val="FF0000"/>
                <w:sz w:val="20"/>
                <w:szCs w:val="20"/>
              </w:rPr>
              <w:t>–</w:t>
            </w:r>
            <w:r w:rsidR="00412E84" w:rsidRPr="0076189E">
              <w:rPr>
                <w:rFonts w:ascii="Calibri" w:hAnsi="Calibri"/>
                <w:color w:val="FF0000"/>
                <w:sz w:val="20"/>
                <w:szCs w:val="20"/>
              </w:rPr>
              <w:t>8,51</w:t>
            </w:r>
          </w:p>
        </w:tc>
        <w:tc>
          <w:tcPr>
            <w:tcW w:w="1275" w:type="dxa"/>
            <w:vAlign w:val="center"/>
          </w:tcPr>
          <w:p w14:paraId="60E75577" w14:textId="3944656E" w:rsidR="00412E84" w:rsidRPr="0076189E" w:rsidRDefault="00412E84" w:rsidP="00412E84">
            <w:pPr>
              <w:keepNext/>
              <w:jc w:val="right"/>
              <w:rPr>
                <w:rFonts w:ascii="Calibri" w:hAnsi="Calibri"/>
                <w:sz w:val="20"/>
                <w:szCs w:val="20"/>
              </w:rPr>
            </w:pPr>
            <w:r w:rsidRPr="0076189E">
              <w:rPr>
                <w:rFonts w:ascii="Calibri" w:hAnsi="Calibri"/>
                <w:sz w:val="20"/>
                <w:szCs w:val="20"/>
              </w:rPr>
              <w:t>19 232,26</w:t>
            </w:r>
          </w:p>
        </w:tc>
        <w:tc>
          <w:tcPr>
            <w:tcW w:w="1134" w:type="dxa"/>
            <w:vAlign w:val="center"/>
          </w:tcPr>
          <w:p w14:paraId="25C69D8F" w14:textId="16FC4D53" w:rsidR="00412E84" w:rsidRPr="0076189E" w:rsidRDefault="00412E84" w:rsidP="00412E84">
            <w:pPr>
              <w:keepNext/>
              <w:jc w:val="right"/>
              <w:rPr>
                <w:rFonts w:ascii="Calibri" w:hAnsi="Calibri"/>
                <w:sz w:val="20"/>
                <w:szCs w:val="20"/>
              </w:rPr>
            </w:pPr>
            <w:r w:rsidRPr="0076189E">
              <w:rPr>
                <w:rFonts w:ascii="Calibri" w:hAnsi="Calibri"/>
                <w:sz w:val="20"/>
                <w:szCs w:val="20"/>
              </w:rPr>
              <w:t>15 518,28</w:t>
            </w:r>
          </w:p>
        </w:tc>
        <w:tc>
          <w:tcPr>
            <w:tcW w:w="1701" w:type="dxa"/>
            <w:vAlign w:val="center"/>
          </w:tcPr>
          <w:p w14:paraId="4F973CEE" w14:textId="1C991EEF" w:rsidR="00412E84" w:rsidRPr="0076189E" w:rsidRDefault="00412E84" w:rsidP="00412E84">
            <w:pPr>
              <w:keepNext/>
              <w:jc w:val="right"/>
              <w:rPr>
                <w:rFonts w:ascii="Calibri" w:hAnsi="Calibri"/>
                <w:sz w:val="20"/>
                <w:szCs w:val="20"/>
              </w:rPr>
            </w:pPr>
            <w:r w:rsidRPr="0076189E">
              <w:rPr>
                <w:rFonts w:ascii="Calibri" w:hAnsi="Calibri"/>
                <w:sz w:val="20"/>
                <w:szCs w:val="20"/>
              </w:rPr>
              <w:t>3 713,98</w:t>
            </w:r>
          </w:p>
        </w:tc>
      </w:tr>
      <w:tr w:rsidR="00412E84" w:rsidRPr="00412E84" w14:paraId="7C6F231C" w14:textId="77777777" w:rsidTr="00FB34AE">
        <w:tc>
          <w:tcPr>
            <w:tcW w:w="2689" w:type="dxa"/>
          </w:tcPr>
          <w:p w14:paraId="1C1A8074" w14:textId="77777777" w:rsidR="00412E84" w:rsidRPr="0076189E" w:rsidRDefault="00412E84" w:rsidP="00412E84">
            <w:pPr>
              <w:keepNext/>
              <w:rPr>
                <w:rFonts w:ascii="Calibri" w:hAnsi="Calibri"/>
                <w:sz w:val="20"/>
                <w:szCs w:val="20"/>
              </w:rPr>
            </w:pPr>
            <w:r w:rsidRPr="0076189E">
              <w:rPr>
                <w:rFonts w:ascii="Calibri" w:hAnsi="Calibri"/>
                <w:sz w:val="20"/>
                <w:szCs w:val="20"/>
              </w:rPr>
              <w:t>Ministerstvo zdravotnictví</w:t>
            </w:r>
          </w:p>
        </w:tc>
        <w:tc>
          <w:tcPr>
            <w:tcW w:w="1134" w:type="dxa"/>
            <w:vAlign w:val="center"/>
          </w:tcPr>
          <w:p w14:paraId="3FBE99D0" w14:textId="2F9C2FBA" w:rsidR="00412E84" w:rsidRPr="0076189E" w:rsidRDefault="00412E84" w:rsidP="00412E84">
            <w:pPr>
              <w:keepNext/>
              <w:jc w:val="right"/>
              <w:rPr>
                <w:rFonts w:ascii="Calibri" w:hAnsi="Calibri"/>
                <w:sz w:val="20"/>
                <w:szCs w:val="20"/>
              </w:rPr>
            </w:pPr>
            <w:r w:rsidRPr="0076189E">
              <w:rPr>
                <w:rFonts w:ascii="Calibri" w:hAnsi="Calibri"/>
                <w:sz w:val="20"/>
                <w:szCs w:val="20"/>
              </w:rPr>
              <w:t>3 218,97</w:t>
            </w:r>
          </w:p>
        </w:tc>
        <w:tc>
          <w:tcPr>
            <w:tcW w:w="1134" w:type="dxa"/>
            <w:vAlign w:val="center"/>
          </w:tcPr>
          <w:p w14:paraId="0E1F98D5" w14:textId="15DFC0B9" w:rsidR="00412E84" w:rsidRPr="0076189E" w:rsidRDefault="00412E84" w:rsidP="00412E84">
            <w:pPr>
              <w:keepNext/>
              <w:jc w:val="right"/>
              <w:rPr>
                <w:rFonts w:ascii="Calibri" w:hAnsi="Calibri"/>
                <w:sz w:val="20"/>
                <w:szCs w:val="20"/>
              </w:rPr>
            </w:pPr>
            <w:r w:rsidRPr="0076189E">
              <w:rPr>
                <w:rFonts w:ascii="Calibri" w:hAnsi="Calibri"/>
                <w:sz w:val="20"/>
                <w:szCs w:val="20"/>
              </w:rPr>
              <w:t>680,53</w:t>
            </w:r>
          </w:p>
        </w:tc>
        <w:tc>
          <w:tcPr>
            <w:tcW w:w="1275" w:type="dxa"/>
            <w:vAlign w:val="center"/>
          </w:tcPr>
          <w:p w14:paraId="6D36D5CE" w14:textId="16E531DC" w:rsidR="00412E84" w:rsidRPr="0076189E" w:rsidRDefault="00412E84" w:rsidP="00412E84">
            <w:pPr>
              <w:keepNext/>
              <w:jc w:val="right"/>
              <w:rPr>
                <w:rFonts w:ascii="Calibri" w:hAnsi="Calibri"/>
                <w:sz w:val="20"/>
                <w:szCs w:val="20"/>
              </w:rPr>
            </w:pPr>
            <w:r w:rsidRPr="0076189E">
              <w:rPr>
                <w:rFonts w:ascii="Calibri" w:hAnsi="Calibri"/>
                <w:sz w:val="20"/>
                <w:szCs w:val="20"/>
              </w:rPr>
              <w:t>3 899,50</w:t>
            </w:r>
          </w:p>
        </w:tc>
        <w:tc>
          <w:tcPr>
            <w:tcW w:w="1134" w:type="dxa"/>
            <w:vAlign w:val="center"/>
          </w:tcPr>
          <w:p w14:paraId="6BB5230A" w14:textId="7679F1F1" w:rsidR="00412E84" w:rsidRPr="0076189E" w:rsidRDefault="00412E84" w:rsidP="00412E84">
            <w:pPr>
              <w:keepNext/>
              <w:jc w:val="right"/>
              <w:rPr>
                <w:rFonts w:ascii="Calibri" w:hAnsi="Calibri"/>
                <w:sz w:val="20"/>
                <w:szCs w:val="20"/>
              </w:rPr>
            </w:pPr>
            <w:r w:rsidRPr="0076189E">
              <w:rPr>
                <w:rFonts w:ascii="Calibri" w:hAnsi="Calibri"/>
                <w:sz w:val="20"/>
                <w:szCs w:val="20"/>
              </w:rPr>
              <w:t>2 856,94</w:t>
            </w:r>
          </w:p>
        </w:tc>
        <w:tc>
          <w:tcPr>
            <w:tcW w:w="1701" w:type="dxa"/>
            <w:vAlign w:val="center"/>
          </w:tcPr>
          <w:p w14:paraId="1F0E235B" w14:textId="7E6B9102" w:rsidR="00412E84" w:rsidRPr="0076189E" w:rsidRDefault="00412E84" w:rsidP="00412E84">
            <w:pPr>
              <w:keepNext/>
              <w:jc w:val="right"/>
              <w:rPr>
                <w:rFonts w:ascii="Calibri" w:hAnsi="Calibri"/>
                <w:sz w:val="20"/>
                <w:szCs w:val="20"/>
              </w:rPr>
            </w:pPr>
            <w:r w:rsidRPr="0076189E">
              <w:rPr>
                <w:rFonts w:ascii="Calibri" w:hAnsi="Calibri"/>
                <w:sz w:val="20"/>
                <w:szCs w:val="20"/>
              </w:rPr>
              <w:t>1 042,56</w:t>
            </w:r>
          </w:p>
        </w:tc>
      </w:tr>
      <w:tr w:rsidR="00412E84" w:rsidRPr="00412E84" w14:paraId="0C28A050" w14:textId="77777777" w:rsidTr="00FB34AE">
        <w:tc>
          <w:tcPr>
            <w:tcW w:w="2689" w:type="dxa"/>
          </w:tcPr>
          <w:p w14:paraId="4EA2ED32" w14:textId="77777777" w:rsidR="00412E84" w:rsidRPr="0076189E" w:rsidRDefault="00412E84" w:rsidP="00412E84">
            <w:pPr>
              <w:keepNext/>
              <w:rPr>
                <w:rFonts w:ascii="Calibri" w:hAnsi="Calibri"/>
                <w:sz w:val="20"/>
                <w:szCs w:val="20"/>
              </w:rPr>
            </w:pPr>
            <w:r w:rsidRPr="0076189E">
              <w:rPr>
                <w:rFonts w:ascii="Calibri" w:hAnsi="Calibri"/>
                <w:sz w:val="20"/>
                <w:szCs w:val="20"/>
              </w:rPr>
              <w:t>Ministerstvo zemědělství</w:t>
            </w:r>
          </w:p>
        </w:tc>
        <w:tc>
          <w:tcPr>
            <w:tcW w:w="1134" w:type="dxa"/>
            <w:vAlign w:val="center"/>
          </w:tcPr>
          <w:p w14:paraId="5B72731A" w14:textId="3B0AED38" w:rsidR="00412E84" w:rsidRPr="0076189E" w:rsidRDefault="00412E84" w:rsidP="00412E84">
            <w:pPr>
              <w:keepNext/>
              <w:jc w:val="right"/>
              <w:rPr>
                <w:rFonts w:ascii="Calibri" w:hAnsi="Calibri"/>
                <w:sz w:val="20"/>
                <w:szCs w:val="20"/>
              </w:rPr>
            </w:pPr>
            <w:r w:rsidRPr="0076189E">
              <w:rPr>
                <w:rFonts w:ascii="Calibri" w:hAnsi="Calibri"/>
                <w:sz w:val="20"/>
                <w:szCs w:val="20"/>
              </w:rPr>
              <w:t>5 060,80</w:t>
            </w:r>
          </w:p>
        </w:tc>
        <w:tc>
          <w:tcPr>
            <w:tcW w:w="1134" w:type="dxa"/>
            <w:vAlign w:val="center"/>
          </w:tcPr>
          <w:p w14:paraId="50B6816A" w14:textId="6680140D" w:rsidR="00412E84" w:rsidRPr="0076189E" w:rsidRDefault="00614062" w:rsidP="00412E84">
            <w:pPr>
              <w:keepNext/>
              <w:jc w:val="right"/>
              <w:rPr>
                <w:rFonts w:ascii="Calibri" w:hAnsi="Calibri"/>
                <w:color w:val="FF0000"/>
                <w:sz w:val="20"/>
                <w:szCs w:val="20"/>
              </w:rPr>
            </w:pPr>
            <w:r>
              <w:rPr>
                <w:rFonts w:ascii="Calibri" w:hAnsi="Calibri"/>
                <w:color w:val="FF0000"/>
                <w:sz w:val="20"/>
                <w:szCs w:val="20"/>
              </w:rPr>
              <w:t>–</w:t>
            </w:r>
            <w:r w:rsidR="00412E84" w:rsidRPr="0076189E">
              <w:rPr>
                <w:rFonts w:ascii="Calibri" w:hAnsi="Calibri"/>
                <w:color w:val="FF0000"/>
                <w:sz w:val="20"/>
                <w:szCs w:val="20"/>
              </w:rPr>
              <w:t>1 322,08</w:t>
            </w:r>
          </w:p>
        </w:tc>
        <w:tc>
          <w:tcPr>
            <w:tcW w:w="1275" w:type="dxa"/>
            <w:vAlign w:val="center"/>
          </w:tcPr>
          <w:p w14:paraId="048F989A" w14:textId="726CBAAA" w:rsidR="00412E84" w:rsidRPr="0076189E" w:rsidRDefault="00412E84" w:rsidP="00412E84">
            <w:pPr>
              <w:keepNext/>
              <w:jc w:val="right"/>
              <w:rPr>
                <w:rFonts w:ascii="Calibri" w:hAnsi="Calibri"/>
                <w:sz w:val="20"/>
                <w:szCs w:val="20"/>
              </w:rPr>
            </w:pPr>
            <w:r w:rsidRPr="0076189E">
              <w:rPr>
                <w:rFonts w:ascii="Calibri" w:hAnsi="Calibri"/>
                <w:sz w:val="20"/>
                <w:szCs w:val="20"/>
              </w:rPr>
              <w:t>3 738,72</w:t>
            </w:r>
          </w:p>
        </w:tc>
        <w:tc>
          <w:tcPr>
            <w:tcW w:w="1134" w:type="dxa"/>
            <w:vAlign w:val="center"/>
          </w:tcPr>
          <w:p w14:paraId="13DDFE4D" w14:textId="065CA4BA" w:rsidR="00412E84" w:rsidRPr="0076189E" w:rsidRDefault="00412E84" w:rsidP="00412E84">
            <w:pPr>
              <w:keepNext/>
              <w:jc w:val="right"/>
              <w:rPr>
                <w:rFonts w:ascii="Calibri" w:hAnsi="Calibri"/>
                <w:sz w:val="20"/>
                <w:szCs w:val="20"/>
              </w:rPr>
            </w:pPr>
            <w:r w:rsidRPr="0076189E">
              <w:rPr>
                <w:rFonts w:ascii="Calibri" w:hAnsi="Calibri"/>
                <w:sz w:val="20"/>
                <w:szCs w:val="20"/>
              </w:rPr>
              <w:t>2 945,13</w:t>
            </w:r>
          </w:p>
        </w:tc>
        <w:tc>
          <w:tcPr>
            <w:tcW w:w="1701" w:type="dxa"/>
            <w:vAlign w:val="center"/>
          </w:tcPr>
          <w:p w14:paraId="467185D9" w14:textId="2B2833DC" w:rsidR="00412E84" w:rsidRPr="0076189E" w:rsidRDefault="00412E84" w:rsidP="00412E84">
            <w:pPr>
              <w:keepNext/>
              <w:jc w:val="right"/>
              <w:rPr>
                <w:rFonts w:ascii="Calibri" w:hAnsi="Calibri"/>
                <w:sz w:val="20"/>
                <w:szCs w:val="20"/>
              </w:rPr>
            </w:pPr>
            <w:r w:rsidRPr="0076189E">
              <w:rPr>
                <w:rFonts w:ascii="Calibri" w:hAnsi="Calibri"/>
                <w:sz w:val="20"/>
                <w:szCs w:val="20"/>
              </w:rPr>
              <w:t>793,59</w:t>
            </w:r>
          </w:p>
        </w:tc>
      </w:tr>
    </w:tbl>
    <w:p w14:paraId="11DF1F37" w14:textId="0870697D" w:rsidR="000E2645" w:rsidRPr="00794235" w:rsidRDefault="000E2645" w:rsidP="00794235">
      <w:pPr>
        <w:rPr>
          <w:sz w:val="20"/>
          <w:szCs w:val="20"/>
        </w:rPr>
      </w:pPr>
      <w:r w:rsidRPr="00794235">
        <w:rPr>
          <w:b/>
          <w:sz w:val="20"/>
          <w:szCs w:val="20"/>
        </w:rPr>
        <w:t>Zdroj</w:t>
      </w:r>
      <w:r w:rsidRPr="00794235">
        <w:rPr>
          <w:sz w:val="20"/>
          <w:szCs w:val="20"/>
        </w:rPr>
        <w:t>: IISSP a vlastní výpočet</w:t>
      </w:r>
      <w:r w:rsidR="00FC6168">
        <w:rPr>
          <w:sz w:val="20"/>
          <w:szCs w:val="20"/>
        </w:rPr>
        <w:t>.</w:t>
      </w:r>
    </w:p>
    <w:p w14:paraId="3F7C9D37" w14:textId="6884E0C2" w:rsidR="00412E84" w:rsidRPr="00794235" w:rsidRDefault="000E2645" w:rsidP="00794235">
      <w:pPr>
        <w:rPr>
          <w:sz w:val="20"/>
          <w:szCs w:val="20"/>
        </w:rPr>
      </w:pPr>
      <w:r w:rsidRPr="00794235">
        <w:rPr>
          <w:b/>
          <w:sz w:val="20"/>
          <w:szCs w:val="20"/>
        </w:rPr>
        <w:t>Pozn.:</w:t>
      </w:r>
      <w:r w:rsidR="00BC3C55" w:rsidRPr="00794235">
        <w:rPr>
          <w:sz w:val="20"/>
          <w:szCs w:val="20"/>
        </w:rPr>
        <w:t xml:space="preserve"> R</w:t>
      </w:r>
      <w:r w:rsidRPr="00794235">
        <w:rPr>
          <w:sz w:val="20"/>
          <w:szCs w:val="20"/>
        </w:rPr>
        <w:t xml:space="preserve">ozpočtové položky byly u jednotlivých kontrolovaných osob vybrány zejména s ohledem na </w:t>
      </w:r>
      <w:r w:rsidR="00FB34AE" w:rsidRPr="00794235">
        <w:rPr>
          <w:sz w:val="20"/>
          <w:szCs w:val="20"/>
        </w:rPr>
        <w:t xml:space="preserve">svou </w:t>
      </w:r>
      <w:r w:rsidRPr="00794235">
        <w:rPr>
          <w:sz w:val="20"/>
          <w:szCs w:val="20"/>
        </w:rPr>
        <w:t xml:space="preserve">výši k 1. 1. 2015 v evidenci NNV, to znamená, že u </w:t>
      </w:r>
      <w:proofErr w:type="gramStart"/>
      <w:r w:rsidRPr="00794235">
        <w:rPr>
          <w:sz w:val="20"/>
          <w:szCs w:val="20"/>
        </w:rPr>
        <w:t>OSS</w:t>
      </w:r>
      <w:proofErr w:type="gramEnd"/>
      <w:r w:rsidRPr="00794235">
        <w:rPr>
          <w:sz w:val="20"/>
          <w:szCs w:val="20"/>
        </w:rPr>
        <w:t xml:space="preserve"> nemusely být vybrány stejné rozpočtové položky.</w:t>
      </w:r>
    </w:p>
    <w:p w14:paraId="3E976824" w14:textId="77777777" w:rsidR="00194849" w:rsidRDefault="00CF06FA" w:rsidP="00194849">
      <w:pPr>
        <w:pStyle w:val="Nadpis3"/>
      </w:pPr>
      <w:r>
        <w:t>MF</w:t>
      </w:r>
    </w:p>
    <w:p w14:paraId="5183039F" w14:textId="4CAF5096" w:rsidR="00194849" w:rsidRDefault="00CF06FA" w:rsidP="00194849">
      <w:r>
        <w:t xml:space="preserve">Ministerstvo financí při přípravě rozpočtu </w:t>
      </w:r>
      <w:r w:rsidR="009120FE">
        <w:t xml:space="preserve">zohledňuje </w:t>
      </w:r>
      <w:r>
        <w:t xml:space="preserve">výši nároků z nespotřebovaných výdajů krácením (snižováním) požadavků správců rozpočtových položek. Tento postup znamená, že to, oč sníží požadavek správců rozpočtových položek, bude potřebou rozpočtem nezajištěnou. S ohledem na výše uvedené </w:t>
      </w:r>
      <w:r w:rsidR="009120FE">
        <w:t xml:space="preserve">skutečnosti </w:t>
      </w:r>
      <w:r>
        <w:t>schválený rozpočet MF (OSS</w:t>
      </w:r>
      <w:r w:rsidR="009120FE">
        <w:t>,</w:t>
      </w:r>
      <w:r>
        <w:t xml:space="preserve"> potažmo kapitoly státního rozpočtu) </w:t>
      </w:r>
      <w:r w:rsidRPr="0001600B">
        <w:t>obsahuje n</w:t>
      </w:r>
      <w:r>
        <w:t xml:space="preserve">ižší potřebu zajištěnou rozpočtem, než je její reálná </w:t>
      </w:r>
      <w:r w:rsidR="00FB34AE">
        <w:t>výše</w:t>
      </w:r>
      <w:r>
        <w:t>.</w:t>
      </w:r>
    </w:p>
    <w:p w14:paraId="27A98564" w14:textId="77777777" w:rsidR="003F4DB6" w:rsidRDefault="003F4DB6" w:rsidP="00194849"/>
    <w:p w14:paraId="5E0B4732" w14:textId="77777777" w:rsidR="00194849" w:rsidRDefault="00CF06FA" w:rsidP="00194849">
      <w:r>
        <w:lastRenderedPageBreak/>
        <w:t>Kontrolou vybraných RP</w:t>
      </w:r>
      <w:r>
        <w:rPr>
          <w:rStyle w:val="Znakapoznpodarou"/>
        </w:rPr>
        <w:footnoteReference w:id="15"/>
      </w:r>
      <w:r>
        <w:t xml:space="preserve"> bylo zjištěno, že správci rozpočtových položek komentují výši požadovaných prostředků státního rozpočtu na různé úrovni (ne každý z nich uvádí zdůvodnění). V roce 2014 nebyl uveden komentář 16 správci rozpočtových položek u více než 4 % schváleného rozpočtu výdajů, v roce 2015 pak nebyl uveden 10 správci rozpočtových položek u více než 21 % schváleného rozpočtu výdajů. </w:t>
      </w:r>
    </w:p>
    <w:p w14:paraId="71B72D44" w14:textId="77777777" w:rsidR="00194849" w:rsidRDefault="00CF06FA" w:rsidP="00194849">
      <w:pPr>
        <w:pStyle w:val="Nadpis3"/>
      </w:pPr>
      <w:r>
        <w:t>MMR</w:t>
      </w:r>
    </w:p>
    <w:p w14:paraId="1B507D52" w14:textId="026424EC" w:rsidR="00194849" w:rsidRDefault="00CF06FA" w:rsidP="00194849">
      <w:pPr>
        <w:rPr>
          <w:rFonts w:eastAsiaTheme="minorHAnsi"/>
          <w:b/>
          <w:lang w:eastAsia="en-US"/>
        </w:rPr>
      </w:pPr>
      <w:r>
        <w:rPr>
          <w:rFonts w:eastAsiaTheme="minorHAnsi"/>
          <w:lang w:eastAsia="en-US"/>
        </w:rPr>
        <w:t xml:space="preserve">Rozpočet kapitoly </w:t>
      </w:r>
      <w:r w:rsidR="003735FE">
        <w:rPr>
          <w:rFonts w:eastAsiaTheme="minorHAnsi"/>
          <w:lang w:eastAsia="en-US"/>
        </w:rPr>
        <w:t xml:space="preserve">317 – </w:t>
      </w:r>
      <w:r>
        <w:rPr>
          <w:rFonts w:eastAsiaTheme="minorHAnsi"/>
          <w:lang w:eastAsia="en-US"/>
        </w:rPr>
        <w:t xml:space="preserve">MMR obsahoval pouze rozpočtové příjmy a výdaje správce kapitoly, tj. OSS MMR, nikoliv také rozpočtové příjmy a výdaje OSS PRIVUM pro rok 2014, 2015 a 2016 a OSS Ústav územního rozvoje pro rok 2014. </w:t>
      </w:r>
      <w:r w:rsidRPr="00110E7B">
        <w:rPr>
          <w:rFonts w:eastAsiaTheme="minorHAnsi"/>
          <w:b/>
          <w:lang w:eastAsia="en-US"/>
        </w:rPr>
        <w:t>Tím, že MMR nestanovilo příjmy a výdaje organizačních složek státu ve své působnosti, nepostupovalo v souladu s ustanovením §</w:t>
      </w:r>
      <w:r>
        <w:rPr>
          <w:rFonts w:eastAsiaTheme="minorHAnsi"/>
          <w:b/>
          <w:lang w:eastAsia="en-US"/>
        </w:rPr>
        <w:t> </w:t>
      </w:r>
      <w:r w:rsidRPr="00110E7B">
        <w:rPr>
          <w:rFonts w:eastAsiaTheme="minorHAnsi"/>
          <w:b/>
          <w:lang w:eastAsia="en-US"/>
        </w:rPr>
        <w:t>10</w:t>
      </w:r>
      <w:r>
        <w:rPr>
          <w:rFonts w:eastAsiaTheme="minorHAnsi"/>
          <w:b/>
          <w:lang w:eastAsia="en-US"/>
        </w:rPr>
        <w:t> </w:t>
      </w:r>
      <w:r w:rsidRPr="00110E7B">
        <w:rPr>
          <w:rFonts w:eastAsiaTheme="minorHAnsi"/>
          <w:b/>
          <w:lang w:eastAsia="en-US"/>
        </w:rPr>
        <w:t>odst. 2 zákona č. 218/2000 Sb.</w:t>
      </w:r>
    </w:p>
    <w:p w14:paraId="79E470C0" w14:textId="7D6D0859" w:rsidR="00194849" w:rsidRDefault="00CF06FA" w:rsidP="00194849">
      <w:pPr>
        <w:rPr>
          <w:rFonts w:eastAsiaTheme="minorHAnsi"/>
          <w:lang w:eastAsia="en-US"/>
        </w:rPr>
      </w:pPr>
      <w:r>
        <w:rPr>
          <w:rFonts w:eastAsiaTheme="minorHAnsi"/>
          <w:lang w:eastAsia="en-US"/>
        </w:rPr>
        <w:t>MMR provedlo v některých případech změnu rozpočtu v rozpočtovém systému dříve, než byla rozpočtová opatření zpracována a než byla schválena správcem rozpočtu. Z 34 kontrolovaných rozpočtových opatření v kompetenci správce rozpočtu kapitoly tak MMR postupovalo v roce 2014 u 13, přičemž absolutní hodnota provedených změn vztahujících se jen k vybraným rozpočtovým položkám</w:t>
      </w:r>
      <w:r>
        <w:rPr>
          <w:rStyle w:val="Znakapoznpodarou"/>
          <w:rFonts w:eastAsiaTheme="minorHAnsi"/>
          <w:lang w:eastAsia="en-US"/>
        </w:rPr>
        <w:footnoteReference w:id="16"/>
      </w:r>
      <w:r>
        <w:rPr>
          <w:rFonts w:eastAsiaTheme="minorHAnsi"/>
          <w:lang w:eastAsia="en-US"/>
        </w:rPr>
        <w:t xml:space="preserve"> činila 103,85 mil. Kč. Z 31 kontrolovaných rozpočtových opatření </w:t>
      </w:r>
      <w:r w:rsidR="009120FE">
        <w:rPr>
          <w:rFonts w:eastAsiaTheme="minorHAnsi"/>
          <w:lang w:eastAsia="en-US"/>
        </w:rPr>
        <w:t xml:space="preserve">provedených </w:t>
      </w:r>
      <w:r>
        <w:rPr>
          <w:rFonts w:eastAsiaTheme="minorHAnsi"/>
          <w:lang w:eastAsia="en-US"/>
        </w:rPr>
        <w:t>v roce 2015 pak MMR postupovalo obdobně u 12 rozpočtových opatření, přičemž absolutní hodnota provedených změn vztahujících se opět pouze k vybraným rozpočtovým položkám činila 290,75 mil. Kč.</w:t>
      </w:r>
    </w:p>
    <w:p w14:paraId="175366F1" w14:textId="77777777" w:rsidR="003F4DB6" w:rsidRDefault="003F4DB6" w:rsidP="00194849">
      <w:pPr>
        <w:rPr>
          <w:rFonts w:eastAsiaTheme="minorHAnsi"/>
          <w:lang w:eastAsia="en-US"/>
        </w:rPr>
      </w:pPr>
    </w:p>
    <w:p w14:paraId="4BC67E45" w14:textId="77777777" w:rsidR="00194849" w:rsidRDefault="00CF06FA" w:rsidP="00761EB6">
      <w:pPr>
        <w:pStyle w:val="Nadpis3"/>
        <w:spacing w:before="0"/>
      </w:pPr>
      <w:r>
        <w:t>MD</w:t>
      </w:r>
    </w:p>
    <w:p w14:paraId="18E6F51C" w14:textId="2C642854" w:rsidR="00194849" w:rsidRPr="002751AA" w:rsidRDefault="00CF06FA" w:rsidP="00761EB6">
      <w:pPr>
        <w:spacing w:after="120"/>
      </w:pPr>
      <w:r>
        <w:t xml:space="preserve">Schváleným rozpočtem OSS MD na rok 2016 </w:t>
      </w:r>
      <w:r w:rsidR="009120FE">
        <w:t xml:space="preserve">nebyly </w:t>
      </w:r>
      <w:r>
        <w:t xml:space="preserve">z důvodu snížení objemu výdajů zajištěny </w:t>
      </w:r>
      <w:r w:rsidR="009120FE">
        <w:t xml:space="preserve">mj. </w:t>
      </w:r>
      <w:r>
        <w:t>prostředky</w:t>
      </w:r>
      <w:r w:rsidRPr="002751AA">
        <w:t>:</w:t>
      </w:r>
    </w:p>
    <w:p w14:paraId="6F55F70E" w14:textId="7EDCE654" w:rsidR="00194849" w:rsidRPr="002751AA" w:rsidRDefault="00CF06FA" w:rsidP="00194849">
      <w:pPr>
        <w:numPr>
          <w:ilvl w:val="0"/>
          <w:numId w:val="27"/>
        </w:numPr>
        <w:contextualSpacing/>
        <w:rPr>
          <w:rFonts w:eastAsia="Calibri"/>
        </w:rPr>
      </w:pPr>
      <w:r>
        <w:rPr>
          <w:rFonts w:eastAsia="Calibri"/>
        </w:rPr>
        <w:t>ve výši 100</w:t>
      </w:r>
      <w:r w:rsidR="00B81F3E">
        <w:rPr>
          <w:rFonts w:eastAsia="Calibri"/>
        </w:rPr>
        <w:t>–</w:t>
      </w:r>
      <w:r>
        <w:rPr>
          <w:rFonts w:eastAsia="Calibri"/>
        </w:rPr>
        <w:t>130 mil. Kč pro ČD, a.</w:t>
      </w:r>
      <w:r w:rsidR="00FB34AE">
        <w:rPr>
          <w:rFonts w:eastAsia="Calibri"/>
        </w:rPr>
        <w:t xml:space="preserve"> </w:t>
      </w:r>
      <w:r>
        <w:rPr>
          <w:rFonts w:eastAsia="Calibri"/>
        </w:rPr>
        <w:t>s., a pro kraje a hl. m. Prahu na úhradu</w:t>
      </w:r>
      <w:r w:rsidRPr="002751AA">
        <w:rPr>
          <w:rFonts w:eastAsia="Calibri"/>
        </w:rPr>
        <w:t xml:space="preserve"> ztráty ze závazku veřejné služby ve veřejné drážní osobní dopravě </w:t>
      </w:r>
      <w:r>
        <w:rPr>
          <w:rFonts w:eastAsia="Calibri"/>
        </w:rPr>
        <w:t>(inflační navýšení pro rok 2016)</w:t>
      </w:r>
      <w:r w:rsidRPr="002751AA">
        <w:rPr>
          <w:rFonts w:eastAsia="Calibri"/>
        </w:rPr>
        <w:t>;</w:t>
      </w:r>
    </w:p>
    <w:p w14:paraId="4FF3C3A7" w14:textId="59AB8033" w:rsidR="00194849" w:rsidRPr="002751AA" w:rsidRDefault="00CF06FA" w:rsidP="00194849">
      <w:pPr>
        <w:numPr>
          <w:ilvl w:val="0"/>
          <w:numId w:val="27"/>
        </w:numPr>
        <w:contextualSpacing/>
        <w:rPr>
          <w:rFonts w:eastAsia="Calibri"/>
        </w:rPr>
      </w:pPr>
      <w:r>
        <w:rPr>
          <w:rFonts w:eastAsia="Calibri"/>
        </w:rPr>
        <w:t xml:space="preserve">ve výši 300 mil. Kč na </w:t>
      </w:r>
      <w:r w:rsidRPr="002751AA">
        <w:rPr>
          <w:rFonts w:eastAsia="Calibri"/>
        </w:rPr>
        <w:t>příspěvek na dopravní cestu nehrazený ze S</w:t>
      </w:r>
      <w:r>
        <w:rPr>
          <w:rFonts w:eastAsia="Calibri"/>
        </w:rPr>
        <w:t>tátního fondu dopravní infrastruktury</w:t>
      </w:r>
      <w:r w:rsidRPr="002751AA">
        <w:rPr>
          <w:rFonts w:eastAsia="Calibri"/>
        </w:rPr>
        <w:t>;</w:t>
      </w:r>
    </w:p>
    <w:p w14:paraId="55A5C957" w14:textId="23621AD7" w:rsidR="00194849" w:rsidRDefault="00CF06FA" w:rsidP="00194849">
      <w:pPr>
        <w:numPr>
          <w:ilvl w:val="0"/>
          <w:numId w:val="27"/>
        </w:numPr>
        <w:contextualSpacing/>
        <w:rPr>
          <w:rFonts w:eastAsia="Calibri"/>
        </w:rPr>
      </w:pPr>
      <w:r>
        <w:rPr>
          <w:rFonts w:eastAsia="Calibri"/>
        </w:rPr>
        <w:t>ve výši 400</w:t>
      </w:r>
      <w:r w:rsidR="00B81F3E">
        <w:rPr>
          <w:rFonts w:eastAsia="Calibri"/>
        </w:rPr>
        <w:t>–</w:t>
      </w:r>
      <w:r>
        <w:rPr>
          <w:rFonts w:eastAsia="Calibri"/>
        </w:rPr>
        <w:t xml:space="preserve">500 mil. Kč na </w:t>
      </w:r>
      <w:r w:rsidRPr="002751AA">
        <w:rPr>
          <w:rFonts w:eastAsia="Calibri"/>
        </w:rPr>
        <w:t>v</w:t>
      </w:r>
      <w:r>
        <w:rPr>
          <w:rFonts w:eastAsia="Calibri"/>
        </w:rPr>
        <w:t>ýdaje na údržbu silnic I. třídy</w:t>
      </w:r>
      <w:r w:rsidRPr="002751AA">
        <w:rPr>
          <w:rFonts w:eastAsia="Calibri"/>
        </w:rPr>
        <w:t>;</w:t>
      </w:r>
    </w:p>
    <w:p w14:paraId="5429E91E" w14:textId="05AC7CAE" w:rsidR="00194849" w:rsidRPr="002751AA" w:rsidRDefault="00CF06FA" w:rsidP="00194849">
      <w:pPr>
        <w:numPr>
          <w:ilvl w:val="0"/>
          <w:numId w:val="27"/>
        </w:numPr>
        <w:contextualSpacing/>
        <w:rPr>
          <w:rFonts w:eastAsia="Calibri"/>
        </w:rPr>
      </w:pPr>
      <w:r>
        <w:rPr>
          <w:rFonts w:eastAsia="Calibri"/>
        </w:rPr>
        <w:t xml:space="preserve">ve výši 2 441 mil. Kč na </w:t>
      </w:r>
      <w:r w:rsidRPr="002751AA">
        <w:rPr>
          <w:rFonts w:eastAsia="Calibri"/>
        </w:rPr>
        <w:t>úhradu nákupu nádražních budov a souvisejícího majetku</w:t>
      </w:r>
      <w:r>
        <w:rPr>
          <w:rFonts w:eastAsia="Calibri"/>
        </w:rPr>
        <w:t>.</w:t>
      </w:r>
    </w:p>
    <w:p w14:paraId="75A0E086" w14:textId="77777777" w:rsidR="003F4DB6" w:rsidRDefault="003F4DB6" w:rsidP="00794235"/>
    <w:p w14:paraId="66E10DEB" w14:textId="77777777" w:rsidR="00194849" w:rsidRDefault="00CF06FA" w:rsidP="00761EB6">
      <w:pPr>
        <w:pStyle w:val="Nadpis3"/>
        <w:spacing w:before="0"/>
      </w:pPr>
      <w:proofErr w:type="spellStart"/>
      <w:r>
        <w:t>MZd</w:t>
      </w:r>
      <w:proofErr w:type="spellEnd"/>
    </w:p>
    <w:p w14:paraId="62DFF165" w14:textId="0A91B07E" w:rsidR="00194849" w:rsidRDefault="00CF06FA" w:rsidP="00194849">
      <w:pPr>
        <w:rPr>
          <w:rFonts w:ascii="Calibri" w:hAnsi="Calibri" w:cs="Calibri"/>
          <w:iCs/>
          <w:lang w:eastAsia="en-US"/>
        </w:rPr>
      </w:pPr>
      <w:r>
        <w:rPr>
          <w:rFonts w:ascii="Calibri" w:hAnsi="Calibri" w:cs="Calibri"/>
          <w:iCs/>
          <w:lang w:eastAsia="en-US"/>
        </w:rPr>
        <w:t>V</w:t>
      </w:r>
      <w:r w:rsidRPr="00BD6A46">
        <w:rPr>
          <w:rFonts w:ascii="Calibri" w:hAnsi="Calibri" w:cs="Calibri"/>
          <w:iCs/>
          <w:lang w:eastAsia="en-US"/>
        </w:rPr>
        <w:t> druhé polovině roku 2015</w:t>
      </w:r>
      <w:r>
        <w:rPr>
          <w:rFonts w:ascii="Calibri" w:hAnsi="Calibri" w:cs="Calibri"/>
          <w:iCs/>
          <w:lang w:eastAsia="en-US"/>
        </w:rPr>
        <w:t xml:space="preserve"> na základě předchozí vzájemné dohody mezi </w:t>
      </w:r>
      <w:proofErr w:type="spellStart"/>
      <w:r>
        <w:rPr>
          <w:rFonts w:ascii="Calibri" w:hAnsi="Calibri" w:cs="Calibri"/>
          <w:iCs/>
          <w:lang w:eastAsia="en-US"/>
        </w:rPr>
        <w:t>MZd</w:t>
      </w:r>
      <w:proofErr w:type="spellEnd"/>
      <w:r>
        <w:rPr>
          <w:rFonts w:ascii="Calibri" w:hAnsi="Calibri" w:cs="Calibri"/>
          <w:iCs/>
          <w:lang w:eastAsia="en-US"/>
        </w:rPr>
        <w:t xml:space="preserve"> a MF, Ministerstvem školství, mládeže a tělovýchovy a současně mezi Univerzitou Karlovou a Fakultní nemocnicí Motol</w:t>
      </w:r>
      <w:r w:rsidRPr="00BD6A46">
        <w:rPr>
          <w:rFonts w:ascii="Calibri" w:hAnsi="Calibri" w:cs="Calibri"/>
          <w:iCs/>
          <w:lang w:eastAsia="en-US"/>
        </w:rPr>
        <w:t xml:space="preserve"> </w:t>
      </w:r>
      <w:r>
        <w:rPr>
          <w:rFonts w:ascii="Calibri" w:hAnsi="Calibri" w:cs="Calibri"/>
          <w:iCs/>
          <w:lang w:eastAsia="en-US"/>
        </w:rPr>
        <w:t xml:space="preserve">požádalo </w:t>
      </w:r>
      <w:r w:rsidR="00E95FDA">
        <w:rPr>
          <w:rFonts w:ascii="Calibri" w:hAnsi="Calibri" w:cs="Calibri"/>
          <w:iCs/>
          <w:lang w:eastAsia="en-US"/>
        </w:rPr>
        <w:t xml:space="preserve">Ministerstvo zdravotnictví </w:t>
      </w:r>
      <w:r>
        <w:rPr>
          <w:rFonts w:ascii="Calibri" w:hAnsi="Calibri" w:cs="Calibri"/>
          <w:iCs/>
          <w:lang w:eastAsia="en-US"/>
        </w:rPr>
        <w:t>mj.</w:t>
      </w:r>
      <w:r w:rsidRPr="00BD6A46">
        <w:rPr>
          <w:rFonts w:ascii="Calibri" w:hAnsi="Calibri" w:cs="Calibri"/>
          <w:iCs/>
          <w:lang w:eastAsia="en-US"/>
        </w:rPr>
        <w:t xml:space="preserve"> o převod </w:t>
      </w:r>
      <w:r>
        <w:rPr>
          <w:rFonts w:ascii="Calibri" w:hAnsi="Calibri" w:cs="Calibri"/>
          <w:iCs/>
          <w:lang w:eastAsia="en-US"/>
        </w:rPr>
        <w:t xml:space="preserve">20 mil. Kč </w:t>
      </w:r>
      <w:r w:rsidRPr="00BD6A46">
        <w:rPr>
          <w:rFonts w:ascii="Calibri" w:hAnsi="Calibri" w:cs="Calibri"/>
          <w:iCs/>
          <w:lang w:eastAsia="en-US"/>
        </w:rPr>
        <w:t>z</w:t>
      </w:r>
      <w:r>
        <w:rPr>
          <w:rFonts w:ascii="Calibri" w:hAnsi="Calibri" w:cs="Calibri"/>
          <w:iCs/>
          <w:lang w:eastAsia="en-US"/>
        </w:rPr>
        <w:t xml:space="preserve"> vládní rozpočtové rezervy na </w:t>
      </w:r>
      <w:r w:rsidRPr="00BD6A46">
        <w:rPr>
          <w:rFonts w:ascii="Calibri" w:hAnsi="Calibri" w:cs="Calibri"/>
          <w:iCs/>
          <w:lang w:eastAsia="en-US"/>
        </w:rPr>
        <w:t>realizac</w:t>
      </w:r>
      <w:r>
        <w:rPr>
          <w:rFonts w:ascii="Calibri" w:hAnsi="Calibri" w:cs="Calibri"/>
          <w:iCs/>
          <w:lang w:eastAsia="en-US"/>
        </w:rPr>
        <w:t>i</w:t>
      </w:r>
      <w:r w:rsidRPr="00BD6A46">
        <w:rPr>
          <w:rFonts w:ascii="Calibri" w:hAnsi="Calibri" w:cs="Calibri"/>
          <w:iCs/>
          <w:lang w:eastAsia="en-US"/>
        </w:rPr>
        <w:t xml:space="preserve"> investiční akce rekonstrukce objektu H</w:t>
      </w:r>
      <w:r w:rsidR="00BE5534">
        <w:rPr>
          <w:rFonts w:ascii="Calibri" w:hAnsi="Calibri" w:cs="Calibri"/>
          <w:iCs/>
          <w:lang w:eastAsia="en-US"/>
        </w:rPr>
        <w:t xml:space="preserve"> Fakultní nemocnice Motol</w:t>
      </w:r>
      <w:r w:rsidRPr="00BD6A46">
        <w:rPr>
          <w:rFonts w:ascii="Calibri" w:hAnsi="Calibri" w:cs="Calibri"/>
          <w:iCs/>
          <w:lang w:eastAsia="en-US"/>
        </w:rPr>
        <w:t xml:space="preserve">, </w:t>
      </w:r>
      <w:r w:rsidRPr="000C6ABA">
        <w:rPr>
          <w:rFonts w:ascii="Calibri" w:hAnsi="Calibri" w:cs="Calibri"/>
          <w:iCs/>
          <w:lang w:eastAsia="en-US"/>
        </w:rPr>
        <w:t>přestože měl</w:t>
      </w:r>
      <w:r w:rsidR="00E03281">
        <w:rPr>
          <w:rFonts w:ascii="Calibri" w:hAnsi="Calibri" w:cs="Calibri"/>
          <w:iCs/>
          <w:lang w:eastAsia="en-US"/>
        </w:rPr>
        <w:t>o</w:t>
      </w:r>
      <w:r w:rsidRPr="000C6ABA">
        <w:rPr>
          <w:rFonts w:ascii="Calibri" w:hAnsi="Calibri" w:cs="Calibri"/>
          <w:iCs/>
          <w:lang w:eastAsia="en-US"/>
        </w:rPr>
        <w:t xml:space="preserve"> možnost použít prostředky svého rozpočtu či úspory z minulých let, tj. NNV. Převedené prostředky OSS </w:t>
      </w:r>
      <w:proofErr w:type="spellStart"/>
      <w:r w:rsidRPr="000C6ABA">
        <w:rPr>
          <w:rFonts w:ascii="Calibri" w:hAnsi="Calibri" w:cs="Calibri"/>
          <w:iCs/>
          <w:lang w:eastAsia="en-US"/>
        </w:rPr>
        <w:t>MZd</w:t>
      </w:r>
      <w:proofErr w:type="spellEnd"/>
      <w:r w:rsidRPr="000C6ABA">
        <w:rPr>
          <w:rFonts w:ascii="Calibri" w:hAnsi="Calibri" w:cs="Calibri"/>
          <w:iCs/>
          <w:lang w:eastAsia="en-US"/>
        </w:rPr>
        <w:t xml:space="preserve"> v roce 2015 nečerpala, a tak byly ke dni 1. 1. 2016 zaneseny do evidence NNV.</w:t>
      </w:r>
    </w:p>
    <w:p w14:paraId="443CA7A7" w14:textId="54649932" w:rsidR="00194849" w:rsidRDefault="00CF06FA" w:rsidP="00194849">
      <w:pPr>
        <w:rPr>
          <w:rFonts w:cs="Calibri"/>
        </w:rPr>
      </w:pPr>
      <w:r w:rsidRPr="00AF01D2">
        <w:rPr>
          <w:rFonts w:ascii="Calibri" w:hAnsi="Calibri" w:cs="Calibri"/>
          <w:lang w:eastAsia="en-US"/>
        </w:rPr>
        <w:lastRenderedPageBreak/>
        <w:t>Na obdobné případy uvolňování prostředků z vládní rozpočtové rezervy upozornil NKÚ</w:t>
      </w:r>
      <w:r w:rsidR="00BE5534">
        <w:rPr>
          <w:rFonts w:ascii="Calibri" w:hAnsi="Calibri" w:cs="Calibri"/>
          <w:lang w:eastAsia="en-US"/>
        </w:rPr>
        <w:t xml:space="preserve"> </w:t>
      </w:r>
      <w:r w:rsidRPr="00AF01D2">
        <w:rPr>
          <w:rFonts w:ascii="Calibri" w:hAnsi="Calibri" w:cs="Calibri"/>
          <w:lang w:eastAsia="en-US"/>
        </w:rPr>
        <w:t>v</w:t>
      </w:r>
      <w:r w:rsidR="00E90BC9">
        <w:rPr>
          <w:rFonts w:ascii="Calibri" w:hAnsi="Calibri" w:cs="Calibri"/>
          <w:lang w:eastAsia="en-US"/>
        </w:rPr>
        <w:t> </w:t>
      </w:r>
      <w:r w:rsidRPr="00AF01D2">
        <w:rPr>
          <w:rFonts w:ascii="Calibri" w:hAnsi="Calibri" w:cs="Calibri"/>
          <w:lang w:eastAsia="en-US"/>
        </w:rPr>
        <w:t>kontrolní</w:t>
      </w:r>
      <w:r w:rsidR="00BE5534">
        <w:rPr>
          <w:rFonts w:ascii="Calibri" w:hAnsi="Calibri" w:cs="Calibri"/>
          <w:lang w:eastAsia="en-US"/>
        </w:rPr>
        <w:t>m</w:t>
      </w:r>
      <w:r w:rsidRPr="00AF01D2">
        <w:rPr>
          <w:rFonts w:ascii="Calibri" w:hAnsi="Calibri" w:cs="Calibri"/>
          <w:lang w:eastAsia="en-US"/>
        </w:rPr>
        <w:t xml:space="preserve"> závěru z kontrolní akce 14/14 </w:t>
      </w:r>
      <w:r>
        <w:rPr>
          <w:rFonts w:ascii="Calibri" w:hAnsi="Calibri" w:cs="Calibri"/>
          <w:lang w:eastAsia="en-US"/>
        </w:rPr>
        <w:t>–</w:t>
      </w:r>
      <w:r w:rsidRPr="00AF01D2">
        <w:rPr>
          <w:rFonts w:ascii="Calibri" w:hAnsi="Calibri" w:cs="Calibri"/>
          <w:lang w:eastAsia="en-US"/>
        </w:rPr>
        <w:t xml:space="preserve"> </w:t>
      </w:r>
      <w:r w:rsidRPr="00AF01D2">
        <w:rPr>
          <w:rFonts w:ascii="Calibri" w:hAnsi="Calibri" w:cs="Calibri"/>
          <w:i/>
          <w:lang w:eastAsia="en-US"/>
        </w:rPr>
        <w:t>Peněžní prostředky státního rozpočtu zahrnuté do kapitoly státního rozpočtu Všeobecná pokladní správa</w:t>
      </w:r>
      <w:r w:rsidRPr="00AF01D2">
        <w:rPr>
          <w:rFonts w:ascii="Calibri" w:hAnsi="Calibri" w:cs="Calibri"/>
          <w:lang w:eastAsia="en-US"/>
        </w:rPr>
        <w:t>, kd</w:t>
      </w:r>
      <w:r w:rsidR="00BE5534">
        <w:rPr>
          <w:rFonts w:ascii="Calibri" w:hAnsi="Calibri" w:cs="Calibri"/>
          <w:lang w:eastAsia="en-US"/>
        </w:rPr>
        <w:t>e</w:t>
      </w:r>
      <w:r w:rsidRPr="00AF01D2">
        <w:rPr>
          <w:rFonts w:ascii="Calibri" w:hAnsi="Calibri" w:cs="Calibri"/>
          <w:lang w:eastAsia="en-US"/>
        </w:rPr>
        <w:t xml:space="preserve"> vyzval vládu </w:t>
      </w:r>
      <w:r w:rsidRPr="00AF01D2">
        <w:rPr>
          <w:rFonts w:cs="Calibri"/>
        </w:rPr>
        <w:t>a</w:t>
      </w:r>
      <w:r>
        <w:rPr>
          <w:rFonts w:cs="Calibri"/>
        </w:rPr>
        <w:t> </w:t>
      </w:r>
      <w:r w:rsidRPr="00AF01D2">
        <w:rPr>
          <w:rFonts w:cs="Calibri"/>
        </w:rPr>
        <w:t>Poslaneckou sněmovnu, aby se intenzivně zabývaly tím, zda je účel prostředků uvolňovaných z vládní rozpočtové rezervy v souladu s</w:t>
      </w:r>
      <w:r w:rsidR="00E90BC9">
        <w:rPr>
          <w:rFonts w:cs="Calibri"/>
        </w:rPr>
        <w:t> </w:t>
      </w:r>
      <w:r w:rsidRPr="00AF01D2">
        <w:rPr>
          <w:rFonts w:cs="Calibri"/>
        </w:rPr>
        <w:t xml:space="preserve">rozpočtovými pravidly. </w:t>
      </w:r>
    </w:p>
    <w:p w14:paraId="1C851A56" w14:textId="77777777" w:rsidR="003F4DB6" w:rsidRPr="00AF01D2" w:rsidRDefault="003F4DB6" w:rsidP="00194849">
      <w:pPr>
        <w:rPr>
          <w:rFonts w:ascii="Calibri" w:hAnsi="Calibri" w:cs="Calibri"/>
          <w:lang w:eastAsia="en-US"/>
        </w:rPr>
      </w:pPr>
    </w:p>
    <w:p w14:paraId="65F88416" w14:textId="77777777" w:rsidR="00194849" w:rsidRDefault="00CF06FA" w:rsidP="00761EB6">
      <w:pPr>
        <w:pStyle w:val="Nadpis3"/>
        <w:spacing w:before="0"/>
      </w:pPr>
      <w:proofErr w:type="spellStart"/>
      <w:r>
        <w:t>MZe</w:t>
      </w:r>
      <w:proofErr w:type="spellEnd"/>
    </w:p>
    <w:p w14:paraId="316C384D" w14:textId="08B1BB9F" w:rsidR="00194849" w:rsidRPr="000C7729" w:rsidRDefault="00CF06FA" w:rsidP="00761EB6">
      <w:pPr>
        <w:tabs>
          <w:tab w:val="left" w:pos="921"/>
        </w:tabs>
      </w:pPr>
      <w:r w:rsidRPr="00053D32">
        <w:t xml:space="preserve">Koncem roku 2015 byl rozpočtovým opatřením zvýšen rozpočet výdajů OSS </w:t>
      </w:r>
      <w:proofErr w:type="spellStart"/>
      <w:r w:rsidRPr="00053D32">
        <w:t>MZe</w:t>
      </w:r>
      <w:proofErr w:type="spellEnd"/>
      <w:r w:rsidRPr="00053D32">
        <w:t>, konkrétně specifický ukazatel „</w:t>
      </w:r>
      <w:r w:rsidRPr="00053D32">
        <w:rPr>
          <w:i/>
        </w:rPr>
        <w:t>Podpora agropotravinářského komplexu“</w:t>
      </w:r>
      <w:r w:rsidRPr="00B81F3E">
        <w:t>,</w:t>
      </w:r>
      <w:r w:rsidRPr="00053D32">
        <w:rPr>
          <w:i/>
        </w:rPr>
        <w:t xml:space="preserve"> </w:t>
      </w:r>
      <w:r w:rsidRPr="00053D32">
        <w:t xml:space="preserve">o 1 mld. Kč z kapitoly </w:t>
      </w:r>
      <w:r w:rsidR="003735FE">
        <w:t>SR</w:t>
      </w:r>
      <w:r w:rsidR="00FE6C7A">
        <w:br/>
      </w:r>
      <w:r w:rsidR="00BE5534">
        <w:t xml:space="preserve">396 – </w:t>
      </w:r>
      <w:r w:rsidRPr="00761EB6">
        <w:rPr>
          <w:i/>
        </w:rPr>
        <w:t>Státní dluh</w:t>
      </w:r>
      <w:r w:rsidRPr="00053D32">
        <w:t>.</w:t>
      </w:r>
      <w:r w:rsidR="00BE5534">
        <w:t xml:space="preserve"> </w:t>
      </w:r>
      <w:r w:rsidRPr="000C7729">
        <w:t xml:space="preserve">NKÚ opakovaně </w:t>
      </w:r>
      <w:r>
        <w:t>upozorňuje</w:t>
      </w:r>
      <w:r w:rsidRPr="000C7729">
        <w:t xml:space="preserve"> ve </w:t>
      </w:r>
      <w:r w:rsidR="00BE5534" w:rsidRPr="00761EB6">
        <w:rPr>
          <w:i/>
        </w:rPr>
        <w:t>s</w:t>
      </w:r>
      <w:r w:rsidRPr="00761EB6">
        <w:rPr>
          <w:i/>
        </w:rPr>
        <w:t>tanoviscích k návrhu státního závěrečného účtu ČR</w:t>
      </w:r>
      <w:r w:rsidRPr="000C7729">
        <w:t xml:space="preserve"> </w:t>
      </w:r>
      <w:r w:rsidR="00A96CE8">
        <w:t xml:space="preserve">na </w:t>
      </w:r>
      <w:r w:rsidRPr="000C7729">
        <w:t xml:space="preserve">přesuny výdajů rozpočtovaných v kapitole </w:t>
      </w:r>
      <w:r w:rsidR="003735FE">
        <w:t xml:space="preserve">SR </w:t>
      </w:r>
      <w:r w:rsidR="00BE5534">
        <w:t xml:space="preserve">396 – </w:t>
      </w:r>
      <w:r w:rsidRPr="00761EB6">
        <w:rPr>
          <w:i/>
        </w:rPr>
        <w:t>Státní dluh</w:t>
      </w:r>
      <w:r w:rsidRPr="000C7729">
        <w:t xml:space="preserve"> do jiných kapitol státního rozpočtu ke krytí rozpočtově nezajištěných potřeb. Tato kapitola by neměla sloužit jako další případná rezerva výdajů státního rozpočtu.</w:t>
      </w:r>
    </w:p>
    <w:p w14:paraId="1FB8B49F" w14:textId="77777777" w:rsidR="00194849" w:rsidRDefault="00194849" w:rsidP="003F4DB6"/>
    <w:p w14:paraId="0BF5F8A7" w14:textId="2117EAFC" w:rsidR="00194849" w:rsidRPr="000C477A" w:rsidRDefault="0077204B" w:rsidP="00761EB6">
      <w:pPr>
        <w:pStyle w:val="Nadpis2"/>
        <w:numPr>
          <w:ilvl w:val="0"/>
          <w:numId w:val="0"/>
        </w:numPr>
        <w:spacing w:before="0"/>
      </w:pPr>
      <w:r>
        <w:t>Důvody vzniku nároků z nespotřebovaných výdajů</w:t>
      </w:r>
    </w:p>
    <w:p w14:paraId="7650DDAE" w14:textId="7E8B3244" w:rsidR="00194849" w:rsidRDefault="00CF06FA" w:rsidP="00194849">
      <w:r>
        <w:t>Rozpočet je finanční plán hospodaření pro daný rozpočtový rok. Rozpočet výdajů zahrnuje odhadované výdaje určené k</w:t>
      </w:r>
      <w:r w:rsidR="00BE5534">
        <w:t xml:space="preserve"> </w:t>
      </w:r>
      <w:r>
        <w:t>plnění úkolů/priorit, to znamená, že se jedná o úkoly/priority, které jsou rozpočtem zajištěné. Po skončení rozpočtového období jsou správci kapitol povinni dle vyhlášky č. 419/2001 Sb. mj. hodnotit skutečné plnění státního rozpočtu ve vztahu k rozpočtu po změnách k 31. </w:t>
      </w:r>
      <w:r w:rsidR="00563D59">
        <w:t xml:space="preserve">12. </w:t>
      </w:r>
      <w:r>
        <w:t>hodnoceného roku se zdůvodněním odchylek skutečného plnění od rozpočtu.</w:t>
      </w:r>
    </w:p>
    <w:p w14:paraId="4FE3DB93" w14:textId="77777777" w:rsidR="003F4DB6" w:rsidRDefault="003F4DB6" w:rsidP="00194849"/>
    <w:p w14:paraId="17555333" w14:textId="3813791F" w:rsidR="00194849" w:rsidRDefault="00CF06FA" w:rsidP="00761EB6">
      <w:pPr>
        <w:spacing w:after="120"/>
      </w:pPr>
      <w:r>
        <w:t xml:space="preserve">V hodnocení rozpočtového hospodaření </w:t>
      </w:r>
      <w:r w:rsidR="0077204B">
        <w:t>jsou správci kapitol povinni uvádět důvody</w:t>
      </w:r>
      <w:r>
        <w:t xml:space="preserve"> nečerpání rozpočtovaných výdajů vč. vyčíslení. Mezi hlavní důvody nečerpání rozpočtovaných výdajů patří:</w:t>
      </w:r>
    </w:p>
    <w:p w14:paraId="3F659016" w14:textId="0F9AABD0" w:rsidR="00194849" w:rsidRDefault="00CF06FA" w:rsidP="00194849">
      <w:pPr>
        <w:pStyle w:val="Odstavecseseznamem"/>
        <w:numPr>
          <w:ilvl w:val="0"/>
          <w:numId w:val="19"/>
        </w:numPr>
        <w:contextualSpacing/>
      </w:pPr>
      <w:r w:rsidRPr="00A62D75">
        <w:t xml:space="preserve">úspora, </w:t>
      </w:r>
      <w:r w:rsidR="00BE5534">
        <w:t>tj.</w:t>
      </w:r>
      <w:r w:rsidRPr="00A62D75">
        <w:t xml:space="preserve"> skutečně</w:t>
      </w:r>
      <w:r>
        <w:t xml:space="preserve"> ušetřené prostředky rozpočtu (např. uzavření smlouvy za výhodnějších podmínek, nižší úhrada za služby</w:t>
      </w:r>
      <w:r w:rsidR="00BE5534">
        <w:t xml:space="preserve"> nebo</w:t>
      </w:r>
      <w:r>
        <w:t xml:space="preserve"> zboží oproti předchozí smlouvě);</w:t>
      </w:r>
    </w:p>
    <w:p w14:paraId="36557D8D" w14:textId="31E29879" w:rsidR="00194849" w:rsidRDefault="00CF06FA" w:rsidP="00E90BC9">
      <w:pPr>
        <w:pStyle w:val="Odstavecseseznamem"/>
        <w:numPr>
          <w:ilvl w:val="0"/>
          <w:numId w:val="19"/>
        </w:numPr>
        <w:contextualSpacing/>
      </w:pPr>
      <w:r>
        <w:t xml:space="preserve">převedení úkolů (výdajů) do následujících rozpočtových období </w:t>
      </w:r>
      <w:r w:rsidR="00662B3E">
        <w:t xml:space="preserve">– jedná se o </w:t>
      </w:r>
      <w:r>
        <w:t>úkoly rozpočtem zajištěné, které nemohly být provedeny/uskutečněny v rozpočtovém období např. z důvodu zrušení veřejné zakázky a</w:t>
      </w:r>
      <w:r w:rsidR="00662B3E">
        <w:t xml:space="preserve"> jejího </w:t>
      </w:r>
      <w:r>
        <w:t>opětovného vyhlášení; to znamená, že číselné vyjádření nevyčerpaných rozpočtových prostředků je převedeno do nároků z nespotřebovaných výdajů. Nároky z nespotřebovaných výdajů nejsou kryty finančními prostředky. Znamená to tedy, že pokud se OSS rozhodne provést úkol, který převedla z předchozího rozpočtového období, nemusí tím být zatížen státní rozpočet, ale v případě úhrady za provedení úkolu se již bude jednat o úhradu rozpočtem nezajištěné potřeby, která bude pokryta buď převedením jiného úkolu do následujících rozpočtových období, nebo úsporou rozpočtových prostředků v rozpočtu této OSS. Pokud OSS nenajde prostředky ve svém rozpočtu, pak zatíží státní rozpočet, což může znamenat i zvýšení státního dluhu.</w:t>
      </w:r>
    </w:p>
    <w:p w14:paraId="0A8B4CAB" w14:textId="77777777" w:rsidR="00794235" w:rsidRDefault="00794235" w:rsidP="00194849">
      <w:pPr>
        <w:contextualSpacing/>
      </w:pPr>
    </w:p>
    <w:p w14:paraId="0D3890C2" w14:textId="77777777" w:rsidR="00825D5A" w:rsidRDefault="00825D5A" w:rsidP="00194849">
      <w:pPr>
        <w:contextualSpacing/>
      </w:pPr>
    </w:p>
    <w:p w14:paraId="5A09C993" w14:textId="77777777" w:rsidR="007F694C" w:rsidRDefault="007F694C" w:rsidP="00194849">
      <w:pPr>
        <w:contextualSpacing/>
      </w:pPr>
    </w:p>
    <w:p w14:paraId="4486E0B2" w14:textId="77777777" w:rsidR="007F694C" w:rsidRDefault="007F694C" w:rsidP="00194849">
      <w:pPr>
        <w:contextualSpacing/>
      </w:pPr>
    </w:p>
    <w:p w14:paraId="4E161D4B" w14:textId="77777777" w:rsidR="00825D5A" w:rsidRDefault="00825D5A" w:rsidP="00194849">
      <w:pPr>
        <w:contextualSpacing/>
      </w:pPr>
    </w:p>
    <w:p w14:paraId="416EB6A4" w14:textId="77777777" w:rsidR="00825D5A" w:rsidRDefault="00825D5A" w:rsidP="00194849">
      <w:pPr>
        <w:contextualSpacing/>
      </w:pPr>
    </w:p>
    <w:p w14:paraId="4F6176BC" w14:textId="77777777" w:rsidR="00825D5A" w:rsidRDefault="00825D5A" w:rsidP="00194849">
      <w:pPr>
        <w:contextualSpacing/>
      </w:pPr>
    </w:p>
    <w:p w14:paraId="08BE50BC" w14:textId="45F1C9B2" w:rsidR="00194849" w:rsidRDefault="00412E84" w:rsidP="00194849">
      <w:pPr>
        <w:contextualSpacing/>
      </w:pPr>
      <w:r>
        <w:lastRenderedPageBreak/>
        <w:t xml:space="preserve">Tabulka č. 5 – Vyčíslení úspory a převedení úkolů do násl. </w:t>
      </w:r>
      <w:proofErr w:type="spellStart"/>
      <w:r>
        <w:t>rozp</w:t>
      </w:r>
      <w:proofErr w:type="spellEnd"/>
      <w:r>
        <w:t xml:space="preserve">. období </w:t>
      </w:r>
      <w:r w:rsidR="0076067B">
        <w:tab/>
      </w:r>
      <w:r w:rsidR="0076067B">
        <w:tab/>
        <w:t xml:space="preserve">    </w:t>
      </w:r>
      <w:r w:rsidR="00FB34AE">
        <w:t>(</w:t>
      </w:r>
      <w:r>
        <w:t>v mil. Kč</w:t>
      </w:r>
      <w:r w:rsidR="00FB34AE">
        <w:t>)</w:t>
      </w:r>
    </w:p>
    <w:tbl>
      <w:tblPr>
        <w:tblStyle w:val="Mkatabulky"/>
        <w:tblW w:w="8926" w:type="dxa"/>
        <w:tblLayout w:type="fixed"/>
        <w:tblLook w:val="04A0" w:firstRow="1" w:lastRow="0" w:firstColumn="1" w:lastColumn="0" w:noHBand="0" w:noVBand="1"/>
      </w:tblPr>
      <w:tblGrid>
        <w:gridCol w:w="2405"/>
        <w:gridCol w:w="851"/>
        <w:gridCol w:w="2126"/>
        <w:gridCol w:w="850"/>
        <w:gridCol w:w="2694"/>
      </w:tblGrid>
      <w:tr w:rsidR="00412E84" w14:paraId="7A7B66F2" w14:textId="77777777" w:rsidTr="00FB34AE">
        <w:tc>
          <w:tcPr>
            <w:tcW w:w="2405" w:type="dxa"/>
            <w:vMerge w:val="restart"/>
            <w:shd w:val="clear" w:color="auto" w:fill="E5F1FF"/>
            <w:vAlign w:val="center"/>
          </w:tcPr>
          <w:p w14:paraId="459D9885" w14:textId="7F4FA15B" w:rsidR="00412E84" w:rsidRPr="0076189E" w:rsidRDefault="00412E84" w:rsidP="0068634E">
            <w:pPr>
              <w:contextualSpacing/>
              <w:jc w:val="center"/>
              <w:rPr>
                <w:rFonts w:ascii="Calibri" w:hAnsi="Calibri"/>
                <w:b/>
                <w:sz w:val="20"/>
                <w:szCs w:val="20"/>
              </w:rPr>
            </w:pPr>
            <w:r w:rsidRPr="0076189E">
              <w:rPr>
                <w:rFonts w:ascii="Calibri" w:hAnsi="Calibri"/>
                <w:b/>
                <w:sz w:val="20"/>
                <w:szCs w:val="20"/>
              </w:rPr>
              <w:t>Kontrolovaná osoba</w:t>
            </w:r>
          </w:p>
        </w:tc>
        <w:tc>
          <w:tcPr>
            <w:tcW w:w="851" w:type="dxa"/>
            <w:vMerge w:val="restart"/>
            <w:shd w:val="clear" w:color="auto" w:fill="E5F1FF"/>
            <w:vAlign w:val="center"/>
          </w:tcPr>
          <w:p w14:paraId="49F1021A" w14:textId="2CEE2702" w:rsidR="00412E84" w:rsidRPr="0076189E" w:rsidRDefault="00412E84" w:rsidP="0068634E">
            <w:pPr>
              <w:contextualSpacing/>
              <w:jc w:val="center"/>
              <w:rPr>
                <w:rFonts w:ascii="Calibri" w:hAnsi="Calibri"/>
                <w:b/>
                <w:sz w:val="20"/>
                <w:szCs w:val="20"/>
              </w:rPr>
            </w:pPr>
            <w:r w:rsidRPr="0076189E">
              <w:rPr>
                <w:rFonts w:ascii="Calibri" w:hAnsi="Calibri"/>
                <w:b/>
                <w:sz w:val="20"/>
                <w:szCs w:val="20"/>
              </w:rPr>
              <w:t>Rok</w:t>
            </w:r>
          </w:p>
        </w:tc>
        <w:tc>
          <w:tcPr>
            <w:tcW w:w="2126" w:type="dxa"/>
            <w:vMerge w:val="restart"/>
            <w:shd w:val="clear" w:color="auto" w:fill="E5F1FF"/>
            <w:vAlign w:val="center"/>
          </w:tcPr>
          <w:p w14:paraId="5D95C1A9" w14:textId="2D8DFC22" w:rsidR="0068634E" w:rsidRPr="0076189E" w:rsidRDefault="00412E84" w:rsidP="0068634E">
            <w:pPr>
              <w:contextualSpacing/>
              <w:jc w:val="center"/>
              <w:rPr>
                <w:rFonts w:ascii="Calibri" w:hAnsi="Calibri"/>
                <w:b/>
                <w:sz w:val="20"/>
                <w:szCs w:val="20"/>
              </w:rPr>
            </w:pPr>
            <w:r w:rsidRPr="0076189E">
              <w:rPr>
                <w:rFonts w:ascii="Calibri" w:hAnsi="Calibri"/>
                <w:b/>
                <w:sz w:val="20"/>
                <w:szCs w:val="20"/>
              </w:rPr>
              <w:t xml:space="preserve">Rozdíl mezi rozpočtem po </w:t>
            </w:r>
            <w:r w:rsidR="0068634E" w:rsidRPr="0076189E">
              <w:rPr>
                <w:rFonts w:ascii="Calibri" w:hAnsi="Calibri"/>
                <w:b/>
                <w:sz w:val="20"/>
                <w:szCs w:val="20"/>
              </w:rPr>
              <w:t>z</w:t>
            </w:r>
            <w:r w:rsidRPr="0076189E">
              <w:rPr>
                <w:rFonts w:ascii="Calibri" w:hAnsi="Calibri"/>
                <w:b/>
                <w:sz w:val="20"/>
                <w:szCs w:val="20"/>
              </w:rPr>
              <w:t>měnách</w:t>
            </w:r>
          </w:p>
          <w:p w14:paraId="3DEA8CD7" w14:textId="55335699" w:rsidR="00412E84" w:rsidRPr="0076189E" w:rsidRDefault="00412E84" w:rsidP="0068634E">
            <w:pPr>
              <w:contextualSpacing/>
              <w:jc w:val="center"/>
              <w:rPr>
                <w:rFonts w:ascii="Calibri" w:hAnsi="Calibri"/>
                <w:b/>
                <w:sz w:val="20"/>
                <w:szCs w:val="20"/>
              </w:rPr>
            </w:pPr>
            <w:r w:rsidRPr="0076189E">
              <w:rPr>
                <w:rFonts w:ascii="Calibri" w:hAnsi="Calibri"/>
                <w:b/>
                <w:sz w:val="20"/>
                <w:szCs w:val="20"/>
              </w:rPr>
              <w:t>a skutečnými výdaji</w:t>
            </w:r>
          </w:p>
        </w:tc>
        <w:tc>
          <w:tcPr>
            <w:tcW w:w="3544" w:type="dxa"/>
            <w:gridSpan w:val="2"/>
            <w:shd w:val="clear" w:color="auto" w:fill="E5F1FF"/>
            <w:vAlign w:val="center"/>
          </w:tcPr>
          <w:p w14:paraId="66B9A1A7" w14:textId="3857243A" w:rsidR="00412E84" w:rsidRPr="0076189E" w:rsidRDefault="00412E84" w:rsidP="0068634E">
            <w:pPr>
              <w:contextualSpacing/>
              <w:jc w:val="center"/>
              <w:rPr>
                <w:rFonts w:ascii="Calibri" w:hAnsi="Calibri"/>
                <w:b/>
                <w:i/>
                <w:sz w:val="20"/>
                <w:szCs w:val="20"/>
              </w:rPr>
            </w:pPr>
            <w:r w:rsidRPr="0076189E">
              <w:rPr>
                <w:rFonts w:ascii="Calibri" w:hAnsi="Calibri"/>
                <w:b/>
                <w:i/>
                <w:sz w:val="20"/>
                <w:szCs w:val="20"/>
              </w:rPr>
              <w:t>v tom</w:t>
            </w:r>
          </w:p>
        </w:tc>
      </w:tr>
      <w:tr w:rsidR="00412E84" w14:paraId="21E5AD9B" w14:textId="77777777" w:rsidTr="00FB34AE">
        <w:tc>
          <w:tcPr>
            <w:tcW w:w="2405" w:type="dxa"/>
            <w:vMerge/>
            <w:shd w:val="clear" w:color="auto" w:fill="E5F1FF"/>
            <w:vAlign w:val="center"/>
          </w:tcPr>
          <w:p w14:paraId="6B29459A" w14:textId="77777777" w:rsidR="00412E84" w:rsidRPr="0076189E" w:rsidRDefault="00412E84" w:rsidP="0068634E">
            <w:pPr>
              <w:contextualSpacing/>
              <w:jc w:val="center"/>
              <w:rPr>
                <w:rFonts w:ascii="Calibri" w:hAnsi="Calibri"/>
                <w:b/>
                <w:sz w:val="20"/>
                <w:szCs w:val="20"/>
              </w:rPr>
            </w:pPr>
          </w:p>
        </w:tc>
        <w:tc>
          <w:tcPr>
            <w:tcW w:w="851" w:type="dxa"/>
            <w:vMerge/>
            <w:shd w:val="clear" w:color="auto" w:fill="E5F1FF"/>
            <w:vAlign w:val="center"/>
          </w:tcPr>
          <w:p w14:paraId="2960102B" w14:textId="77777777" w:rsidR="00412E84" w:rsidRPr="0076189E" w:rsidRDefault="00412E84" w:rsidP="0068634E">
            <w:pPr>
              <w:contextualSpacing/>
              <w:jc w:val="center"/>
              <w:rPr>
                <w:rFonts w:ascii="Calibri" w:hAnsi="Calibri"/>
                <w:b/>
                <w:sz w:val="20"/>
                <w:szCs w:val="20"/>
              </w:rPr>
            </w:pPr>
          </w:p>
        </w:tc>
        <w:tc>
          <w:tcPr>
            <w:tcW w:w="2126" w:type="dxa"/>
            <w:vMerge/>
            <w:shd w:val="clear" w:color="auto" w:fill="E5F1FF"/>
            <w:vAlign w:val="center"/>
          </w:tcPr>
          <w:p w14:paraId="655918C3" w14:textId="77777777" w:rsidR="00412E84" w:rsidRPr="0076189E" w:rsidRDefault="00412E84" w:rsidP="0068634E">
            <w:pPr>
              <w:contextualSpacing/>
              <w:jc w:val="center"/>
              <w:rPr>
                <w:rFonts w:ascii="Calibri" w:hAnsi="Calibri"/>
                <w:b/>
                <w:sz w:val="20"/>
                <w:szCs w:val="20"/>
              </w:rPr>
            </w:pPr>
          </w:p>
        </w:tc>
        <w:tc>
          <w:tcPr>
            <w:tcW w:w="850" w:type="dxa"/>
            <w:shd w:val="clear" w:color="auto" w:fill="E5F1FF"/>
            <w:vAlign w:val="center"/>
          </w:tcPr>
          <w:p w14:paraId="2617D432" w14:textId="02935DCB" w:rsidR="00412E84" w:rsidRPr="0076189E" w:rsidRDefault="0068634E" w:rsidP="0068634E">
            <w:pPr>
              <w:contextualSpacing/>
              <w:jc w:val="center"/>
              <w:rPr>
                <w:rFonts w:ascii="Calibri" w:hAnsi="Calibri"/>
                <w:b/>
                <w:i/>
                <w:sz w:val="20"/>
                <w:szCs w:val="20"/>
              </w:rPr>
            </w:pPr>
            <w:r w:rsidRPr="0076189E">
              <w:rPr>
                <w:rFonts w:ascii="Calibri" w:hAnsi="Calibri"/>
                <w:b/>
                <w:i/>
                <w:sz w:val="20"/>
                <w:szCs w:val="20"/>
              </w:rPr>
              <w:t>ú</w:t>
            </w:r>
            <w:r w:rsidR="00412E84" w:rsidRPr="0076189E">
              <w:rPr>
                <w:rFonts w:ascii="Calibri" w:hAnsi="Calibri"/>
                <w:b/>
                <w:i/>
                <w:sz w:val="20"/>
                <w:szCs w:val="20"/>
              </w:rPr>
              <w:t>spora</w:t>
            </w:r>
          </w:p>
        </w:tc>
        <w:tc>
          <w:tcPr>
            <w:tcW w:w="2694" w:type="dxa"/>
            <w:shd w:val="clear" w:color="auto" w:fill="E5F1FF"/>
            <w:vAlign w:val="center"/>
          </w:tcPr>
          <w:p w14:paraId="7B345675" w14:textId="430CDE1D" w:rsidR="00412E84" w:rsidRPr="0076189E" w:rsidRDefault="0068634E" w:rsidP="0068634E">
            <w:pPr>
              <w:contextualSpacing/>
              <w:jc w:val="center"/>
              <w:rPr>
                <w:rFonts w:ascii="Calibri" w:hAnsi="Calibri"/>
                <w:b/>
                <w:i/>
                <w:sz w:val="20"/>
                <w:szCs w:val="20"/>
              </w:rPr>
            </w:pPr>
            <w:r w:rsidRPr="0076189E">
              <w:rPr>
                <w:rFonts w:ascii="Calibri" w:hAnsi="Calibri"/>
                <w:b/>
                <w:i/>
                <w:sz w:val="20"/>
                <w:szCs w:val="20"/>
              </w:rPr>
              <w:t>p</w:t>
            </w:r>
            <w:r w:rsidR="00412E84" w:rsidRPr="0076189E">
              <w:rPr>
                <w:rFonts w:ascii="Calibri" w:hAnsi="Calibri"/>
                <w:b/>
                <w:i/>
                <w:sz w:val="20"/>
                <w:szCs w:val="20"/>
              </w:rPr>
              <w:t xml:space="preserve">řevedení úkolů do následujících </w:t>
            </w:r>
            <w:proofErr w:type="spellStart"/>
            <w:r w:rsidR="00412E84" w:rsidRPr="0076189E">
              <w:rPr>
                <w:rFonts w:ascii="Calibri" w:hAnsi="Calibri"/>
                <w:b/>
                <w:i/>
                <w:sz w:val="20"/>
                <w:szCs w:val="20"/>
              </w:rPr>
              <w:t>rozp</w:t>
            </w:r>
            <w:proofErr w:type="spellEnd"/>
            <w:r w:rsidR="00412E84" w:rsidRPr="0076189E">
              <w:rPr>
                <w:rFonts w:ascii="Calibri" w:hAnsi="Calibri"/>
                <w:b/>
                <w:i/>
                <w:sz w:val="20"/>
                <w:szCs w:val="20"/>
              </w:rPr>
              <w:t>. období</w:t>
            </w:r>
          </w:p>
        </w:tc>
      </w:tr>
      <w:tr w:rsidR="0068634E" w14:paraId="530BE87B" w14:textId="77777777" w:rsidTr="00FB34AE">
        <w:tc>
          <w:tcPr>
            <w:tcW w:w="2405" w:type="dxa"/>
            <w:vMerge w:val="restart"/>
            <w:vAlign w:val="center"/>
          </w:tcPr>
          <w:p w14:paraId="0341EAC1" w14:textId="10FBD2DD" w:rsidR="0068634E" w:rsidRPr="0076189E" w:rsidRDefault="0068634E" w:rsidP="0068634E">
            <w:pPr>
              <w:contextualSpacing/>
              <w:jc w:val="left"/>
              <w:rPr>
                <w:rFonts w:ascii="Calibri" w:hAnsi="Calibri"/>
                <w:sz w:val="20"/>
                <w:szCs w:val="20"/>
              </w:rPr>
            </w:pPr>
            <w:r w:rsidRPr="0076189E">
              <w:rPr>
                <w:rFonts w:ascii="Calibri" w:hAnsi="Calibri"/>
                <w:sz w:val="20"/>
                <w:szCs w:val="20"/>
              </w:rPr>
              <w:t>Ministerstvo financí</w:t>
            </w:r>
          </w:p>
        </w:tc>
        <w:tc>
          <w:tcPr>
            <w:tcW w:w="851" w:type="dxa"/>
            <w:vAlign w:val="center"/>
          </w:tcPr>
          <w:p w14:paraId="12D7A09E" w14:textId="27D52FEB" w:rsidR="0068634E" w:rsidRPr="0076189E" w:rsidRDefault="0068634E" w:rsidP="0076189E">
            <w:pPr>
              <w:contextualSpacing/>
              <w:jc w:val="center"/>
              <w:rPr>
                <w:rFonts w:ascii="Calibri" w:hAnsi="Calibri"/>
                <w:sz w:val="20"/>
                <w:szCs w:val="20"/>
              </w:rPr>
            </w:pPr>
            <w:r w:rsidRPr="0076189E">
              <w:rPr>
                <w:rFonts w:ascii="Calibri" w:hAnsi="Calibri"/>
                <w:sz w:val="20"/>
                <w:szCs w:val="20"/>
              </w:rPr>
              <w:t>2014</w:t>
            </w:r>
          </w:p>
        </w:tc>
        <w:tc>
          <w:tcPr>
            <w:tcW w:w="2126" w:type="dxa"/>
            <w:vAlign w:val="center"/>
          </w:tcPr>
          <w:p w14:paraId="75399135" w14:textId="389C16B9" w:rsidR="0068634E" w:rsidRPr="0076189E" w:rsidRDefault="0068634E" w:rsidP="0068634E">
            <w:pPr>
              <w:contextualSpacing/>
              <w:jc w:val="right"/>
              <w:rPr>
                <w:rFonts w:ascii="Calibri" w:hAnsi="Calibri"/>
                <w:sz w:val="20"/>
                <w:szCs w:val="20"/>
              </w:rPr>
            </w:pPr>
            <w:r w:rsidRPr="0076189E">
              <w:rPr>
                <w:rFonts w:ascii="Calibri" w:hAnsi="Calibri"/>
                <w:sz w:val="20"/>
                <w:szCs w:val="20"/>
              </w:rPr>
              <w:t>770</w:t>
            </w:r>
          </w:p>
        </w:tc>
        <w:tc>
          <w:tcPr>
            <w:tcW w:w="3544" w:type="dxa"/>
            <w:gridSpan w:val="2"/>
            <w:vAlign w:val="center"/>
          </w:tcPr>
          <w:p w14:paraId="46A8C149" w14:textId="3A124AE5" w:rsidR="0068634E" w:rsidRPr="0076189E" w:rsidRDefault="0068634E" w:rsidP="0068634E">
            <w:pPr>
              <w:contextualSpacing/>
              <w:jc w:val="center"/>
              <w:rPr>
                <w:rFonts w:ascii="Calibri" w:hAnsi="Calibri"/>
                <w:i/>
                <w:sz w:val="20"/>
                <w:szCs w:val="20"/>
              </w:rPr>
            </w:pPr>
            <w:r w:rsidRPr="0076189E">
              <w:rPr>
                <w:rFonts w:ascii="Calibri" w:hAnsi="Calibri"/>
                <w:i/>
                <w:sz w:val="20"/>
                <w:szCs w:val="20"/>
              </w:rPr>
              <w:t>viz text níže</w:t>
            </w:r>
          </w:p>
        </w:tc>
      </w:tr>
      <w:tr w:rsidR="0068634E" w14:paraId="2D00624A" w14:textId="77777777" w:rsidTr="00FB34AE">
        <w:tc>
          <w:tcPr>
            <w:tcW w:w="2405" w:type="dxa"/>
            <w:vMerge/>
            <w:vAlign w:val="center"/>
          </w:tcPr>
          <w:p w14:paraId="0AE2A428" w14:textId="77777777" w:rsidR="0068634E" w:rsidRPr="0076189E" w:rsidRDefault="0068634E" w:rsidP="0068634E">
            <w:pPr>
              <w:contextualSpacing/>
              <w:jc w:val="left"/>
              <w:rPr>
                <w:rFonts w:ascii="Calibri" w:hAnsi="Calibri"/>
                <w:sz w:val="20"/>
                <w:szCs w:val="20"/>
              </w:rPr>
            </w:pPr>
          </w:p>
        </w:tc>
        <w:tc>
          <w:tcPr>
            <w:tcW w:w="851" w:type="dxa"/>
            <w:vAlign w:val="center"/>
          </w:tcPr>
          <w:p w14:paraId="33C05478" w14:textId="6ACFFFD7" w:rsidR="0068634E" w:rsidRPr="0076189E" w:rsidRDefault="0068634E" w:rsidP="0076189E">
            <w:pPr>
              <w:contextualSpacing/>
              <w:jc w:val="center"/>
              <w:rPr>
                <w:rFonts w:ascii="Calibri" w:hAnsi="Calibri"/>
                <w:sz w:val="20"/>
                <w:szCs w:val="20"/>
              </w:rPr>
            </w:pPr>
            <w:r w:rsidRPr="0076189E">
              <w:rPr>
                <w:rFonts w:ascii="Calibri" w:hAnsi="Calibri"/>
                <w:sz w:val="20"/>
                <w:szCs w:val="20"/>
              </w:rPr>
              <w:t>2015</w:t>
            </w:r>
          </w:p>
        </w:tc>
        <w:tc>
          <w:tcPr>
            <w:tcW w:w="2126" w:type="dxa"/>
            <w:vAlign w:val="center"/>
          </w:tcPr>
          <w:p w14:paraId="74755370" w14:textId="4896D457" w:rsidR="0068634E" w:rsidRPr="0076189E" w:rsidRDefault="0068634E" w:rsidP="0068634E">
            <w:pPr>
              <w:contextualSpacing/>
              <w:jc w:val="right"/>
              <w:rPr>
                <w:rFonts w:ascii="Calibri" w:hAnsi="Calibri"/>
                <w:sz w:val="20"/>
                <w:szCs w:val="20"/>
              </w:rPr>
            </w:pPr>
            <w:r w:rsidRPr="0076189E">
              <w:rPr>
                <w:rFonts w:ascii="Calibri" w:hAnsi="Calibri"/>
                <w:sz w:val="20"/>
                <w:szCs w:val="20"/>
              </w:rPr>
              <w:t>991</w:t>
            </w:r>
          </w:p>
        </w:tc>
        <w:tc>
          <w:tcPr>
            <w:tcW w:w="3544" w:type="dxa"/>
            <w:gridSpan w:val="2"/>
            <w:vAlign w:val="center"/>
          </w:tcPr>
          <w:p w14:paraId="57CEA0EC" w14:textId="5BF53A58" w:rsidR="0068634E" w:rsidRPr="0076189E" w:rsidRDefault="0068634E" w:rsidP="0068634E">
            <w:pPr>
              <w:contextualSpacing/>
              <w:jc w:val="center"/>
              <w:rPr>
                <w:rFonts w:ascii="Calibri" w:hAnsi="Calibri"/>
                <w:i/>
                <w:sz w:val="20"/>
                <w:szCs w:val="20"/>
              </w:rPr>
            </w:pPr>
            <w:r w:rsidRPr="0076189E">
              <w:rPr>
                <w:rFonts w:ascii="Calibri" w:hAnsi="Calibri"/>
                <w:i/>
                <w:sz w:val="20"/>
                <w:szCs w:val="20"/>
              </w:rPr>
              <w:t>viz text níže</w:t>
            </w:r>
          </w:p>
        </w:tc>
      </w:tr>
      <w:tr w:rsidR="0068634E" w14:paraId="7A6A581E" w14:textId="77777777" w:rsidTr="00FB34AE">
        <w:tc>
          <w:tcPr>
            <w:tcW w:w="2405" w:type="dxa"/>
            <w:vMerge w:val="restart"/>
            <w:vAlign w:val="center"/>
          </w:tcPr>
          <w:p w14:paraId="02C78196" w14:textId="10E11855" w:rsidR="0068634E" w:rsidRPr="0076189E" w:rsidRDefault="0068634E" w:rsidP="0068634E">
            <w:pPr>
              <w:contextualSpacing/>
              <w:jc w:val="left"/>
              <w:rPr>
                <w:rFonts w:ascii="Calibri" w:hAnsi="Calibri"/>
                <w:sz w:val="20"/>
                <w:szCs w:val="20"/>
              </w:rPr>
            </w:pPr>
            <w:r w:rsidRPr="0076189E">
              <w:rPr>
                <w:rFonts w:ascii="Calibri" w:hAnsi="Calibri"/>
                <w:sz w:val="20"/>
                <w:szCs w:val="20"/>
              </w:rPr>
              <w:t>Ministerstvo pro místní rozvoj</w:t>
            </w:r>
          </w:p>
        </w:tc>
        <w:tc>
          <w:tcPr>
            <w:tcW w:w="851" w:type="dxa"/>
            <w:vAlign w:val="center"/>
          </w:tcPr>
          <w:p w14:paraId="3AC2FCA8" w14:textId="266F33BF" w:rsidR="0068634E" w:rsidRPr="0076189E" w:rsidRDefault="0068634E" w:rsidP="0076189E">
            <w:pPr>
              <w:contextualSpacing/>
              <w:jc w:val="center"/>
              <w:rPr>
                <w:rFonts w:ascii="Calibri" w:hAnsi="Calibri"/>
                <w:sz w:val="20"/>
                <w:szCs w:val="20"/>
              </w:rPr>
            </w:pPr>
            <w:r w:rsidRPr="0076189E">
              <w:rPr>
                <w:rFonts w:ascii="Calibri" w:hAnsi="Calibri"/>
                <w:sz w:val="20"/>
                <w:szCs w:val="20"/>
              </w:rPr>
              <w:t>2014</w:t>
            </w:r>
          </w:p>
        </w:tc>
        <w:tc>
          <w:tcPr>
            <w:tcW w:w="2126" w:type="dxa"/>
            <w:vAlign w:val="center"/>
          </w:tcPr>
          <w:p w14:paraId="65639678" w14:textId="1320E913" w:rsidR="0068634E" w:rsidRPr="0076189E" w:rsidRDefault="0068634E" w:rsidP="0068634E">
            <w:pPr>
              <w:contextualSpacing/>
              <w:jc w:val="right"/>
              <w:rPr>
                <w:rFonts w:ascii="Calibri" w:hAnsi="Calibri"/>
                <w:sz w:val="20"/>
                <w:szCs w:val="20"/>
              </w:rPr>
            </w:pPr>
            <w:r w:rsidRPr="0076189E">
              <w:rPr>
                <w:rFonts w:ascii="Calibri" w:hAnsi="Calibri"/>
                <w:sz w:val="20"/>
                <w:szCs w:val="20"/>
              </w:rPr>
              <w:t>3 200</w:t>
            </w:r>
          </w:p>
        </w:tc>
        <w:tc>
          <w:tcPr>
            <w:tcW w:w="3544" w:type="dxa"/>
            <w:gridSpan w:val="2"/>
            <w:vAlign w:val="center"/>
          </w:tcPr>
          <w:p w14:paraId="1478D404" w14:textId="0E445A9F" w:rsidR="0068634E" w:rsidRPr="0076189E" w:rsidRDefault="0068634E" w:rsidP="0068634E">
            <w:pPr>
              <w:contextualSpacing/>
              <w:jc w:val="center"/>
              <w:rPr>
                <w:rFonts w:ascii="Calibri" w:hAnsi="Calibri"/>
                <w:i/>
                <w:sz w:val="20"/>
                <w:szCs w:val="20"/>
              </w:rPr>
            </w:pPr>
            <w:r w:rsidRPr="0076189E">
              <w:rPr>
                <w:rFonts w:ascii="Calibri" w:hAnsi="Calibri"/>
                <w:i/>
                <w:sz w:val="20"/>
                <w:szCs w:val="20"/>
              </w:rPr>
              <w:t>viz text níže</w:t>
            </w:r>
          </w:p>
        </w:tc>
      </w:tr>
      <w:tr w:rsidR="0068634E" w14:paraId="6AA60D0D" w14:textId="77777777" w:rsidTr="00FB34AE">
        <w:tc>
          <w:tcPr>
            <w:tcW w:w="2405" w:type="dxa"/>
            <w:vMerge/>
            <w:vAlign w:val="center"/>
          </w:tcPr>
          <w:p w14:paraId="5CC37FB7" w14:textId="77777777" w:rsidR="0068634E" w:rsidRPr="0076189E" w:rsidRDefault="0068634E" w:rsidP="0068634E">
            <w:pPr>
              <w:contextualSpacing/>
              <w:jc w:val="left"/>
              <w:rPr>
                <w:rFonts w:ascii="Calibri" w:hAnsi="Calibri"/>
                <w:sz w:val="20"/>
                <w:szCs w:val="20"/>
              </w:rPr>
            </w:pPr>
          </w:p>
        </w:tc>
        <w:tc>
          <w:tcPr>
            <w:tcW w:w="851" w:type="dxa"/>
            <w:vAlign w:val="center"/>
          </w:tcPr>
          <w:p w14:paraId="53078365" w14:textId="10458F65" w:rsidR="0068634E" w:rsidRPr="0076189E" w:rsidRDefault="0068634E" w:rsidP="0076189E">
            <w:pPr>
              <w:contextualSpacing/>
              <w:jc w:val="center"/>
              <w:rPr>
                <w:rFonts w:ascii="Calibri" w:hAnsi="Calibri"/>
                <w:sz w:val="20"/>
                <w:szCs w:val="20"/>
              </w:rPr>
            </w:pPr>
            <w:r w:rsidRPr="0076189E">
              <w:rPr>
                <w:rFonts w:ascii="Calibri" w:hAnsi="Calibri"/>
                <w:sz w:val="20"/>
                <w:szCs w:val="20"/>
              </w:rPr>
              <w:t>2015</w:t>
            </w:r>
          </w:p>
        </w:tc>
        <w:tc>
          <w:tcPr>
            <w:tcW w:w="2126" w:type="dxa"/>
            <w:vAlign w:val="center"/>
          </w:tcPr>
          <w:p w14:paraId="62489374" w14:textId="579AD3E1" w:rsidR="0068634E" w:rsidRPr="0076189E" w:rsidRDefault="0068634E" w:rsidP="0068634E">
            <w:pPr>
              <w:contextualSpacing/>
              <w:jc w:val="right"/>
              <w:rPr>
                <w:rFonts w:ascii="Calibri" w:hAnsi="Calibri"/>
                <w:sz w:val="20"/>
                <w:szCs w:val="20"/>
              </w:rPr>
            </w:pPr>
            <w:r w:rsidRPr="0076189E">
              <w:rPr>
                <w:rFonts w:ascii="Calibri" w:hAnsi="Calibri"/>
                <w:sz w:val="20"/>
                <w:szCs w:val="20"/>
              </w:rPr>
              <w:t>24 332</w:t>
            </w:r>
          </w:p>
        </w:tc>
        <w:tc>
          <w:tcPr>
            <w:tcW w:w="3544" w:type="dxa"/>
            <w:gridSpan w:val="2"/>
            <w:vAlign w:val="center"/>
          </w:tcPr>
          <w:p w14:paraId="61ED60C3" w14:textId="0936A431" w:rsidR="0068634E" w:rsidRPr="0076189E" w:rsidRDefault="0068634E" w:rsidP="0068634E">
            <w:pPr>
              <w:contextualSpacing/>
              <w:jc w:val="center"/>
              <w:rPr>
                <w:rFonts w:ascii="Calibri" w:hAnsi="Calibri"/>
                <w:i/>
                <w:sz w:val="20"/>
                <w:szCs w:val="20"/>
              </w:rPr>
            </w:pPr>
            <w:r w:rsidRPr="0076189E">
              <w:rPr>
                <w:rFonts w:ascii="Calibri" w:hAnsi="Calibri"/>
                <w:i/>
                <w:sz w:val="20"/>
                <w:szCs w:val="20"/>
              </w:rPr>
              <w:t>viz text níže</w:t>
            </w:r>
          </w:p>
        </w:tc>
      </w:tr>
      <w:tr w:rsidR="0068634E" w14:paraId="70E8CECA" w14:textId="77777777" w:rsidTr="00FB34AE">
        <w:tc>
          <w:tcPr>
            <w:tcW w:w="2405" w:type="dxa"/>
            <w:vMerge w:val="restart"/>
            <w:vAlign w:val="center"/>
          </w:tcPr>
          <w:p w14:paraId="446A9190" w14:textId="2E5201A9" w:rsidR="0068634E" w:rsidRPr="0076189E" w:rsidRDefault="0068634E" w:rsidP="0068634E">
            <w:pPr>
              <w:contextualSpacing/>
              <w:jc w:val="left"/>
              <w:rPr>
                <w:rFonts w:ascii="Calibri" w:hAnsi="Calibri"/>
                <w:sz w:val="20"/>
                <w:szCs w:val="20"/>
              </w:rPr>
            </w:pPr>
            <w:r w:rsidRPr="0076189E">
              <w:rPr>
                <w:rFonts w:ascii="Calibri" w:hAnsi="Calibri"/>
                <w:sz w:val="20"/>
                <w:szCs w:val="20"/>
              </w:rPr>
              <w:t>Ministerstvo dopravy</w:t>
            </w:r>
          </w:p>
        </w:tc>
        <w:tc>
          <w:tcPr>
            <w:tcW w:w="851" w:type="dxa"/>
            <w:vAlign w:val="center"/>
          </w:tcPr>
          <w:p w14:paraId="475F1681" w14:textId="1B1687FD" w:rsidR="0068634E" w:rsidRPr="0076189E" w:rsidRDefault="0068634E" w:rsidP="0076189E">
            <w:pPr>
              <w:contextualSpacing/>
              <w:jc w:val="center"/>
              <w:rPr>
                <w:rFonts w:ascii="Calibri" w:hAnsi="Calibri"/>
                <w:sz w:val="20"/>
                <w:szCs w:val="20"/>
              </w:rPr>
            </w:pPr>
            <w:r w:rsidRPr="0076189E">
              <w:rPr>
                <w:rFonts w:ascii="Calibri" w:hAnsi="Calibri"/>
                <w:sz w:val="20"/>
                <w:szCs w:val="20"/>
              </w:rPr>
              <w:t>2014</w:t>
            </w:r>
          </w:p>
        </w:tc>
        <w:tc>
          <w:tcPr>
            <w:tcW w:w="2126" w:type="dxa"/>
            <w:vAlign w:val="center"/>
          </w:tcPr>
          <w:p w14:paraId="25EF40DC" w14:textId="4A6BB559" w:rsidR="0068634E" w:rsidRPr="0076189E" w:rsidRDefault="0068634E" w:rsidP="0068634E">
            <w:pPr>
              <w:contextualSpacing/>
              <w:jc w:val="right"/>
              <w:rPr>
                <w:rFonts w:ascii="Calibri" w:hAnsi="Calibri"/>
                <w:sz w:val="20"/>
                <w:szCs w:val="20"/>
              </w:rPr>
            </w:pPr>
            <w:r w:rsidRPr="0076189E">
              <w:rPr>
                <w:rFonts w:ascii="Calibri" w:hAnsi="Calibri"/>
                <w:sz w:val="20"/>
                <w:szCs w:val="20"/>
              </w:rPr>
              <w:t>16 351</w:t>
            </w:r>
          </w:p>
        </w:tc>
        <w:tc>
          <w:tcPr>
            <w:tcW w:w="3544" w:type="dxa"/>
            <w:gridSpan w:val="2"/>
            <w:vAlign w:val="center"/>
          </w:tcPr>
          <w:p w14:paraId="66980446" w14:textId="120E55E9" w:rsidR="0068634E" w:rsidRPr="0076189E" w:rsidRDefault="0068634E" w:rsidP="0068634E">
            <w:pPr>
              <w:contextualSpacing/>
              <w:jc w:val="center"/>
              <w:rPr>
                <w:rFonts w:ascii="Calibri" w:hAnsi="Calibri"/>
                <w:i/>
                <w:sz w:val="20"/>
                <w:szCs w:val="20"/>
              </w:rPr>
            </w:pPr>
            <w:r w:rsidRPr="0076189E">
              <w:rPr>
                <w:rFonts w:ascii="Calibri" w:hAnsi="Calibri"/>
                <w:i/>
                <w:sz w:val="20"/>
                <w:szCs w:val="20"/>
              </w:rPr>
              <w:t>viz text níže</w:t>
            </w:r>
          </w:p>
        </w:tc>
      </w:tr>
      <w:tr w:rsidR="0068634E" w14:paraId="0C39DBF4" w14:textId="77777777" w:rsidTr="00FB34AE">
        <w:tc>
          <w:tcPr>
            <w:tcW w:w="2405" w:type="dxa"/>
            <w:vMerge/>
            <w:vAlign w:val="center"/>
          </w:tcPr>
          <w:p w14:paraId="3DB76335" w14:textId="77777777" w:rsidR="0068634E" w:rsidRPr="0076189E" w:rsidRDefault="0068634E" w:rsidP="0068634E">
            <w:pPr>
              <w:contextualSpacing/>
              <w:jc w:val="left"/>
              <w:rPr>
                <w:rFonts w:ascii="Calibri" w:hAnsi="Calibri"/>
                <w:sz w:val="20"/>
                <w:szCs w:val="20"/>
              </w:rPr>
            </w:pPr>
          </w:p>
        </w:tc>
        <w:tc>
          <w:tcPr>
            <w:tcW w:w="851" w:type="dxa"/>
            <w:vAlign w:val="center"/>
          </w:tcPr>
          <w:p w14:paraId="3F65C444" w14:textId="22B7D1FF" w:rsidR="0068634E" w:rsidRPr="0076189E" w:rsidRDefault="0068634E" w:rsidP="0076189E">
            <w:pPr>
              <w:contextualSpacing/>
              <w:jc w:val="center"/>
              <w:rPr>
                <w:rFonts w:ascii="Calibri" w:hAnsi="Calibri"/>
                <w:sz w:val="20"/>
                <w:szCs w:val="20"/>
              </w:rPr>
            </w:pPr>
            <w:r w:rsidRPr="0076189E">
              <w:rPr>
                <w:rFonts w:ascii="Calibri" w:hAnsi="Calibri"/>
                <w:sz w:val="20"/>
                <w:szCs w:val="20"/>
              </w:rPr>
              <w:t>2015</w:t>
            </w:r>
          </w:p>
        </w:tc>
        <w:tc>
          <w:tcPr>
            <w:tcW w:w="2126" w:type="dxa"/>
            <w:vAlign w:val="center"/>
          </w:tcPr>
          <w:p w14:paraId="3E2740A4" w14:textId="00FFF082" w:rsidR="0068634E" w:rsidRPr="0076189E" w:rsidRDefault="0068634E" w:rsidP="0068634E">
            <w:pPr>
              <w:contextualSpacing/>
              <w:jc w:val="right"/>
              <w:rPr>
                <w:rFonts w:ascii="Calibri" w:hAnsi="Calibri"/>
                <w:sz w:val="20"/>
                <w:szCs w:val="20"/>
              </w:rPr>
            </w:pPr>
            <w:r w:rsidRPr="0076189E">
              <w:rPr>
                <w:rFonts w:ascii="Calibri" w:hAnsi="Calibri"/>
                <w:sz w:val="20"/>
                <w:szCs w:val="20"/>
              </w:rPr>
              <w:t>5 739</w:t>
            </w:r>
          </w:p>
        </w:tc>
        <w:tc>
          <w:tcPr>
            <w:tcW w:w="3544" w:type="dxa"/>
            <w:gridSpan w:val="2"/>
            <w:vAlign w:val="center"/>
          </w:tcPr>
          <w:p w14:paraId="02E7A88D" w14:textId="3B3809E6" w:rsidR="0068634E" w:rsidRPr="0076189E" w:rsidRDefault="0068634E" w:rsidP="0068634E">
            <w:pPr>
              <w:contextualSpacing/>
              <w:jc w:val="center"/>
              <w:rPr>
                <w:rFonts w:ascii="Calibri" w:hAnsi="Calibri"/>
                <w:i/>
                <w:sz w:val="20"/>
                <w:szCs w:val="20"/>
              </w:rPr>
            </w:pPr>
            <w:r w:rsidRPr="0076189E">
              <w:rPr>
                <w:rFonts w:ascii="Calibri" w:hAnsi="Calibri"/>
                <w:i/>
                <w:sz w:val="20"/>
                <w:szCs w:val="20"/>
              </w:rPr>
              <w:t>viz text níže</w:t>
            </w:r>
          </w:p>
        </w:tc>
      </w:tr>
      <w:tr w:rsidR="0068634E" w14:paraId="1906B231" w14:textId="77777777" w:rsidTr="00FB34AE">
        <w:tc>
          <w:tcPr>
            <w:tcW w:w="2405" w:type="dxa"/>
            <w:vMerge w:val="restart"/>
            <w:vAlign w:val="center"/>
          </w:tcPr>
          <w:p w14:paraId="3028F741" w14:textId="30EEBD13" w:rsidR="0068634E" w:rsidRPr="0076189E" w:rsidRDefault="0068634E" w:rsidP="0068634E">
            <w:pPr>
              <w:contextualSpacing/>
              <w:jc w:val="left"/>
              <w:rPr>
                <w:rFonts w:ascii="Calibri" w:hAnsi="Calibri"/>
                <w:sz w:val="20"/>
                <w:szCs w:val="20"/>
              </w:rPr>
            </w:pPr>
            <w:r w:rsidRPr="0076189E">
              <w:rPr>
                <w:rFonts w:ascii="Calibri" w:hAnsi="Calibri"/>
                <w:sz w:val="20"/>
                <w:szCs w:val="20"/>
              </w:rPr>
              <w:t>Ministerstvo zdravotnictví</w:t>
            </w:r>
          </w:p>
        </w:tc>
        <w:tc>
          <w:tcPr>
            <w:tcW w:w="851" w:type="dxa"/>
            <w:vAlign w:val="center"/>
          </w:tcPr>
          <w:p w14:paraId="2EA2505B" w14:textId="51D84004" w:rsidR="0068634E" w:rsidRPr="0076189E" w:rsidRDefault="0068634E" w:rsidP="0076189E">
            <w:pPr>
              <w:contextualSpacing/>
              <w:jc w:val="center"/>
              <w:rPr>
                <w:rFonts w:ascii="Calibri" w:hAnsi="Calibri"/>
                <w:sz w:val="20"/>
                <w:szCs w:val="20"/>
              </w:rPr>
            </w:pPr>
            <w:r w:rsidRPr="0076189E">
              <w:rPr>
                <w:rFonts w:ascii="Calibri" w:hAnsi="Calibri"/>
                <w:sz w:val="20"/>
                <w:szCs w:val="20"/>
              </w:rPr>
              <w:t>2014</w:t>
            </w:r>
          </w:p>
        </w:tc>
        <w:tc>
          <w:tcPr>
            <w:tcW w:w="2126" w:type="dxa"/>
            <w:vAlign w:val="center"/>
          </w:tcPr>
          <w:p w14:paraId="23F18170" w14:textId="701CC98B" w:rsidR="0068634E" w:rsidRPr="0076189E" w:rsidRDefault="0068634E" w:rsidP="0068634E">
            <w:pPr>
              <w:contextualSpacing/>
              <w:jc w:val="right"/>
              <w:rPr>
                <w:rFonts w:ascii="Calibri" w:hAnsi="Calibri"/>
                <w:sz w:val="20"/>
                <w:szCs w:val="20"/>
              </w:rPr>
            </w:pPr>
            <w:r w:rsidRPr="0076189E">
              <w:rPr>
                <w:rFonts w:ascii="Calibri" w:hAnsi="Calibri"/>
                <w:sz w:val="20"/>
                <w:szCs w:val="20"/>
              </w:rPr>
              <w:t>3 419</w:t>
            </w:r>
          </w:p>
        </w:tc>
        <w:tc>
          <w:tcPr>
            <w:tcW w:w="850" w:type="dxa"/>
            <w:vAlign w:val="center"/>
          </w:tcPr>
          <w:p w14:paraId="18C10952" w14:textId="77777777" w:rsidR="0068634E" w:rsidRPr="0076189E" w:rsidRDefault="0068634E" w:rsidP="0068634E">
            <w:pPr>
              <w:contextualSpacing/>
              <w:jc w:val="right"/>
              <w:rPr>
                <w:rFonts w:ascii="Calibri" w:hAnsi="Calibri"/>
                <w:i/>
                <w:sz w:val="20"/>
                <w:szCs w:val="20"/>
              </w:rPr>
            </w:pPr>
            <w:r w:rsidRPr="0076189E">
              <w:rPr>
                <w:rFonts w:ascii="Calibri" w:hAnsi="Calibri"/>
                <w:i/>
                <w:sz w:val="20"/>
                <w:szCs w:val="20"/>
              </w:rPr>
              <w:t>1 000</w:t>
            </w:r>
          </w:p>
        </w:tc>
        <w:tc>
          <w:tcPr>
            <w:tcW w:w="2694" w:type="dxa"/>
            <w:vAlign w:val="center"/>
          </w:tcPr>
          <w:p w14:paraId="02FF5904" w14:textId="408F52E6" w:rsidR="0068634E" w:rsidRPr="0076189E" w:rsidRDefault="0068634E" w:rsidP="0068634E">
            <w:pPr>
              <w:contextualSpacing/>
              <w:jc w:val="right"/>
              <w:rPr>
                <w:rFonts w:ascii="Calibri" w:hAnsi="Calibri"/>
                <w:i/>
                <w:sz w:val="20"/>
                <w:szCs w:val="20"/>
              </w:rPr>
            </w:pPr>
            <w:r w:rsidRPr="0076189E">
              <w:rPr>
                <w:rFonts w:ascii="Calibri" w:hAnsi="Calibri"/>
                <w:i/>
                <w:sz w:val="20"/>
                <w:szCs w:val="20"/>
              </w:rPr>
              <w:t>2 419</w:t>
            </w:r>
          </w:p>
        </w:tc>
      </w:tr>
      <w:tr w:rsidR="0068634E" w14:paraId="3B130E17" w14:textId="77777777" w:rsidTr="00FB34AE">
        <w:tc>
          <w:tcPr>
            <w:tcW w:w="2405" w:type="dxa"/>
            <w:vMerge/>
            <w:vAlign w:val="center"/>
          </w:tcPr>
          <w:p w14:paraId="2BF83FD0" w14:textId="77777777" w:rsidR="0068634E" w:rsidRPr="0076189E" w:rsidRDefault="0068634E" w:rsidP="0068634E">
            <w:pPr>
              <w:contextualSpacing/>
              <w:jc w:val="left"/>
              <w:rPr>
                <w:rFonts w:ascii="Calibri" w:hAnsi="Calibri"/>
                <w:sz w:val="20"/>
                <w:szCs w:val="20"/>
              </w:rPr>
            </w:pPr>
          </w:p>
        </w:tc>
        <w:tc>
          <w:tcPr>
            <w:tcW w:w="851" w:type="dxa"/>
            <w:vAlign w:val="center"/>
          </w:tcPr>
          <w:p w14:paraId="6DB4E8A0" w14:textId="556C1FAA" w:rsidR="0068634E" w:rsidRPr="0076189E" w:rsidRDefault="0068634E" w:rsidP="0076189E">
            <w:pPr>
              <w:contextualSpacing/>
              <w:jc w:val="center"/>
              <w:rPr>
                <w:rFonts w:ascii="Calibri" w:hAnsi="Calibri"/>
                <w:sz w:val="20"/>
                <w:szCs w:val="20"/>
              </w:rPr>
            </w:pPr>
            <w:r w:rsidRPr="0076189E">
              <w:rPr>
                <w:rFonts w:ascii="Calibri" w:hAnsi="Calibri"/>
                <w:sz w:val="20"/>
                <w:szCs w:val="20"/>
              </w:rPr>
              <w:t>2015</w:t>
            </w:r>
          </w:p>
        </w:tc>
        <w:tc>
          <w:tcPr>
            <w:tcW w:w="2126" w:type="dxa"/>
            <w:vAlign w:val="center"/>
          </w:tcPr>
          <w:p w14:paraId="504D28B3" w14:textId="30079BFE" w:rsidR="0068634E" w:rsidRPr="0076189E" w:rsidRDefault="0068634E" w:rsidP="0068634E">
            <w:pPr>
              <w:contextualSpacing/>
              <w:jc w:val="right"/>
              <w:rPr>
                <w:rFonts w:ascii="Calibri" w:hAnsi="Calibri"/>
                <w:sz w:val="20"/>
                <w:szCs w:val="20"/>
              </w:rPr>
            </w:pPr>
            <w:r w:rsidRPr="0076189E">
              <w:rPr>
                <w:rFonts w:ascii="Calibri" w:hAnsi="Calibri"/>
                <w:sz w:val="20"/>
                <w:szCs w:val="20"/>
              </w:rPr>
              <w:t>3 371</w:t>
            </w:r>
          </w:p>
        </w:tc>
        <w:tc>
          <w:tcPr>
            <w:tcW w:w="850" w:type="dxa"/>
            <w:vAlign w:val="center"/>
          </w:tcPr>
          <w:p w14:paraId="7C81BD97" w14:textId="77777777" w:rsidR="0068634E" w:rsidRPr="0076189E" w:rsidRDefault="0068634E" w:rsidP="0068634E">
            <w:pPr>
              <w:contextualSpacing/>
              <w:jc w:val="right"/>
              <w:rPr>
                <w:rFonts w:ascii="Calibri" w:hAnsi="Calibri"/>
                <w:i/>
                <w:sz w:val="20"/>
                <w:szCs w:val="20"/>
              </w:rPr>
            </w:pPr>
            <w:r w:rsidRPr="0076189E">
              <w:rPr>
                <w:rFonts w:ascii="Calibri" w:hAnsi="Calibri"/>
                <w:i/>
                <w:sz w:val="20"/>
                <w:szCs w:val="20"/>
              </w:rPr>
              <w:t>767</w:t>
            </w:r>
          </w:p>
        </w:tc>
        <w:tc>
          <w:tcPr>
            <w:tcW w:w="2694" w:type="dxa"/>
            <w:vAlign w:val="center"/>
          </w:tcPr>
          <w:p w14:paraId="3B1F4E7E" w14:textId="58BF3250" w:rsidR="0068634E" w:rsidRPr="0076189E" w:rsidRDefault="0068634E" w:rsidP="0068634E">
            <w:pPr>
              <w:contextualSpacing/>
              <w:jc w:val="right"/>
              <w:rPr>
                <w:rFonts w:ascii="Calibri" w:hAnsi="Calibri"/>
                <w:i/>
                <w:sz w:val="20"/>
                <w:szCs w:val="20"/>
              </w:rPr>
            </w:pPr>
            <w:r w:rsidRPr="0076189E">
              <w:rPr>
                <w:rFonts w:ascii="Calibri" w:hAnsi="Calibri"/>
                <w:i/>
                <w:sz w:val="20"/>
                <w:szCs w:val="20"/>
              </w:rPr>
              <w:t>2 604</w:t>
            </w:r>
          </w:p>
        </w:tc>
      </w:tr>
      <w:tr w:rsidR="0068634E" w14:paraId="669E8F4F" w14:textId="77777777" w:rsidTr="00FB34AE">
        <w:tc>
          <w:tcPr>
            <w:tcW w:w="2405" w:type="dxa"/>
            <w:vMerge w:val="restart"/>
            <w:vAlign w:val="center"/>
          </w:tcPr>
          <w:p w14:paraId="51B2909B" w14:textId="4C056D60" w:rsidR="0068634E" w:rsidRPr="0076189E" w:rsidRDefault="0068634E" w:rsidP="0068634E">
            <w:pPr>
              <w:contextualSpacing/>
              <w:jc w:val="left"/>
              <w:rPr>
                <w:rFonts w:ascii="Calibri" w:hAnsi="Calibri"/>
                <w:sz w:val="20"/>
                <w:szCs w:val="20"/>
              </w:rPr>
            </w:pPr>
            <w:r w:rsidRPr="0076189E">
              <w:rPr>
                <w:rFonts w:ascii="Calibri" w:hAnsi="Calibri"/>
                <w:sz w:val="20"/>
                <w:szCs w:val="20"/>
              </w:rPr>
              <w:t>Ministerstvo zemědělství</w:t>
            </w:r>
          </w:p>
        </w:tc>
        <w:tc>
          <w:tcPr>
            <w:tcW w:w="851" w:type="dxa"/>
            <w:vAlign w:val="center"/>
          </w:tcPr>
          <w:p w14:paraId="4A625DDA" w14:textId="0741CDDA" w:rsidR="0068634E" w:rsidRPr="0076189E" w:rsidRDefault="0068634E" w:rsidP="0076189E">
            <w:pPr>
              <w:contextualSpacing/>
              <w:jc w:val="center"/>
              <w:rPr>
                <w:rFonts w:ascii="Calibri" w:hAnsi="Calibri"/>
                <w:sz w:val="20"/>
                <w:szCs w:val="20"/>
              </w:rPr>
            </w:pPr>
            <w:r w:rsidRPr="0076189E">
              <w:rPr>
                <w:rFonts w:ascii="Calibri" w:hAnsi="Calibri"/>
                <w:sz w:val="20"/>
                <w:szCs w:val="20"/>
              </w:rPr>
              <w:t>2014</w:t>
            </w:r>
          </w:p>
        </w:tc>
        <w:tc>
          <w:tcPr>
            <w:tcW w:w="2126" w:type="dxa"/>
            <w:vAlign w:val="center"/>
          </w:tcPr>
          <w:p w14:paraId="3AB76257" w14:textId="0282CCBC" w:rsidR="0068634E" w:rsidRPr="0076189E" w:rsidRDefault="0068634E" w:rsidP="0068634E">
            <w:pPr>
              <w:contextualSpacing/>
              <w:jc w:val="right"/>
              <w:rPr>
                <w:rFonts w:ascii="Calibri" w:hAnsi="Calibri"/>
                <w:sz w:val="20"/>
                <w:szCs w:val="20"/>
              </w:rPr>
            </w:pPr>
            <w:r w:rsidRPr="0076189E">
              <w:rPr>
                <w:rFonts w:ascii="Calibri" w:hAnsi="Calibri"/>
                <w:sz w:val="20"/>
                <w:szCs w:val="20"/>
              </w:rPr>
              <w:t>17 919</w:t>
            </w:r>
          </w:p>
        </w:tc>
        <w:tc>
          <w:tcPr>
            <w:tcW w:w="850" w:type="dxa"/>
            <w:vAlign w:val="center"/>
          </w:tcPr>
          <w:p w14:paraId="4B9C8831" w14:textId="77777777" w:rsidR="0068634E" w:rsidRPr="0076189E" w:rsidRDefault="0068634E" w:rsidP="0068634E">
            <w:pPr>
              <w:contextualSpacing/>
              <w:jc w:val="right"/>
              <w:rPr>
                <w:rFonts w:ascii="Calibri" w:hAnsi="Calibri"/>
                <w:i/>
                <w:sz w:val="20"/>
                <w:szCs w:val="20"/>
              </w:rPr>
            </w:pPr>
            <w:r w:rsidRPr="0076189E">
              <w:rPr>
                <w:rFonts w:ascii="Calibri" w:hAnsi="Calibri"/>
                <w:i/>
                <w:sz w:val="20"/>
                <w:szCs w:val="20"/>
              </w:rPr>
              <w:t>384</w:t>
            </w:r>
          </w:p>
        </w:tc>
        <w:tc>
          <w:tcPr>
            <w:tcW w:w="2694" w:type="dxa"/>
            <w:vAlign w:val="center"/>
          </w:tcPr>
          <w:p w14:paraId="28447DE5" w14:textId="4F21A4E1" w:rsidR="0068634E" w:rsidRPr="0076189E" w:rsidRDefault="0068634E" w:rsidP="0068634E">
            <w:pPr>
              <w:contextualSpacing/>
              <w:jc w:val="right"/>
              <w:rPr>
                <w:rFonts w:ascii="Calibri" w:hAnsi="Calibri"/>
                <w:i/>
                <w:sz w:val="20"/>
                <w:szCs w:val="20"/>
              </w:rPr>
            </w:pPr>
            <w:r w:rsidRPr="0076189E">
              <w:rPr>
                <w:rFonts w:ascii="Calibri" w:hAnsi="Calibri"/>
                <w:i/>
                <w:sz w:val="20"/>
                <w:szCs w:val="20"/>
              </w:rPr>
              <w:t>17 535</w:t>
            </w:r>
          </w:p>
        </w:tc>
      </w:tr>
      <w:tr w:rsidR="0068634E" w14:paraId="76414E24" w14:textId="77777777" w:rsidTr="00FB34AE">
        <w:tc>
          <w:tcPr>
            <w:tcW w:w="2405" w:type="dxa"/>
            <w:vMerge/>
          </w:tcPr>
          <w:p w14:paraId="56B1996B" w14:textId="77777777" w:rsidR="0068634E" w:rsidRPr="0076189E" w:rsidRDefault="0068634E" w:rsidP="0068634E">
            <w:pPr>
              <w:contextualSpacing/>
              <w:rPr>
                <w:rFonts w:ascii="Calibri" w:hAnsi="Calibri"/>
                <w:sz w:val="20"/>
                <w:szCs w:val="20"/>
              </w:rPr>
            </w:pPr>
          </w:p>
        </w:tc>
        <w:tc>
          <w:tcPr>
            <w:tcW w:w="851" w:type="dxa"/>
            <w:vAlign w:val="center"/>
          </w:tcPr>
          <w:p w14:paraId="76578FAF" w14:textId="425FB2F7" w:rsidR="0068634E" w:rsidRPr="0076189E" w:rsidRDefault="0068634E" w:rsidP="0076189E">
            <w:pPr>
              <w:contextualSpacing/>
              <w:jc w:val="center"/>
              <w:rPr>
                <w:rFonts w:ascii="Calibri" w:hAnsi="Calibri"/>
                <w:sz w:val="20"/>
                <w:szCs w:val="20"/>
              </w:rPr>
            </w:pPr>
            <w:r w:rsidRPr="0076189E">
              <w:rPr>
                <w:rFonts w:ascii="Calibri" w:hAnsi="Calibri"/>
                <w:sz w:val="20"/>
                <w:szCs w:val="20"/>
              </w:rPr>
              <w:t>2015</w:t>
            </w:r>
          </w:p>
        </w:tc>
        <w:tc>
          <w:tcPr>
            <w:tcW w:w="2126" w:type="dxa"/>
            <w:vAlign w:val="center"/>
          </w:tcPr>
          <w:p w14:paraId="18302968" w14:textId="6C61792E" w:rsidR="0068634E" w:rsidRPr="0076189E" w:rsidRDefault="0068634E" w:rsidP="0068634E">
            <w:pPr>
              <w:contextualSpacing/>
              <w:jc w:val="right"/>
              <w:rPr>
                <w:rFonts w:ascii="Calibri" w:hAnsi="Calibri"/>
                <w:sz w:val="20"/>
                <w:szCs w:val="20"/>
              </w:rPr>
            </w:pPr>
            <w:r w:rsidRPr="0076189E">
              <w:rPr>
                <w:rFonts w:ascii="Calibri" w:hAnsi="Calibri"/>
                <w:sz w:val="20"/>
                <w:szCs w:val="20"/>
              </w:rPr>
              <w:t>21 965</w:t>
            </w:r>
          </w:p>
        </w:tc>
        <w:tc>
          <w:tcPr>
            <w:tcW w:w="850" w:type="dxa"/>
            <w:vAlign w:val="center"/>
          </w:tcPr>
          <w:p w14:paraId="0AB145F0" w14:textId="7272D68A" w:rsidR="0068634E" w:rsidRPr="0076189E" w:rsidRDefault="0068634E" w:rsidP="0068634E">
            <w:pPr>
              <w:contextualSpacing/>
              <w:jc w:val="right"/>
              <w:rPr>
                <w:rFonts w:ascii="Calibri" w:hAnsi="Calibri"/>
                <w:i/>
                <w:sz w:val="20"/>
                <w:szCs w:val="20"/>
              </w:rPr>
            </w:pPr>
            <w:r w:rsidRPr="0076189E">
              <w:rPr>
                <w:rFonts w:ascii="Calibri" w:hAnsi="Calibri"/>
                <w:i/>
                <w:sz w:val="20"/>
                <w:szCs w:val="20"/>
              </w:rPr>
              <w:t>869</w:t>
            </w:r>
          </w:p>
        </w:tc>
        <w:tc>
          <w:tcPr>
            <w:tcW w:w="2694" w:type="dxa"/>
            <w:vAlign w:val="center"/>
          </w:tcPr>
          <w:p w14:paraId="4DD4C2C8" w14:textId="3A9D5DA6" w:rsidR="0068634E" w:rsidRPr="0076189E" w:rsidRDefault="0068634E" w:rsidP="0068634E">
            <w:pPr>
              <w:contextualSpacing/>
              <w:jc w:val="right"/>
              <w:rPr>
                <w:rFonts w:ascii="Calibri" w:hAnsi="Calibri"/>
                <w:i/>
                <w:sz w:val="20"/>
                <w:szCs w:val="20"/>
              </w:rPr>
            </w:pPr>
            <w:r w:rsidRPr="0076189E">
              <w:rPr>
                <w:rFonts w:ascii="Calibri" w:hAnsi="Calibri"/>
                <w:i/>
                <w:sz w:val="20"/>
                <w:szCs w:val="20"/>
              </w:rPr>
              <w:t>21 096</w:t>
            </w:r>
          </w:p>
        </w:tc>
      </w:tr>
    </w:tbl>
    <w:p w14:paraId="04749F45" w14:textId="77777777" w:rsidR="00FB34AE" w:rsidRPr="00FB34AE" w:rsidRDefault="0076067B" w:rsidP="00FB34AE">
      <w:pPr>
        <w:rPr>
          <w:sz w:val="20"/>
          <w:szCs w:val="20"/>
        </w:rPr>
      </w:pPr>
      <w:r w:rsidRPr="00FB34AE">
        <w:rPr>
          <w:b/>
          <w:sz w:val="20"/>
          <w:szCs w:val="20"/>
        </w:rPr>
        <w:t>Zdroj</w:t>
      </w:r>
      <w:r w:rsidRPr="00FB34AE">
        <w:rPr>
          <w:sz w:val="20"/>
          <w:szCs w:val="20"/>
        </w:rPr>
        <w:t>: IISSP.</w:t>
      </w:r>
    </w:p>
    <w:p w14:paraId="39ED628F" w14:textId="090EBF76" w:rsidR="00194849" w:rsidRDefault="00CF06FA" w:rsidP="00194849">
      <w:pPr>
        <w:pStyle w:val="Nadpis3"/>
      </w:pPr>
      <w:r>
        <w:t>MF</w:t>
      </w:r>
    </w:p>
    <w:p w14:paraId="44A30C8F" w14:textId="72649AD0" w:rsidR="00194849" w:rsidRDefault="00CF06FA" w:rsidP="00194849">
      <w:pPr>
        <w:spacing w:line="280" w:lineRule="atLeast"/>
      </w:pPr>
      <w:proofErr w:type="gramStart"/>
      <w:r>
        <w:t>OSS</w:t>
      </w:r>
      <w:proofErr w:type="gramEnd"/>
      <w:r>
        <w:t xml:space="preserve"> MF </w:t>
      </w:r>
      <w:r w:rsidR="00A96CE8">
        <w:t>nevyčíslila</w:t>
      </w:r>
      <w:r>
        <w:t xml:space="preserve"> </w:t>
      </w:r>
      <w:proofErr w:type="gramStart"/>
      <w:r>
        <w:t>údaj</w:t>
      </w:r>
      <w:proofErr w:type="gramEnd"/>
      <w:r>
        <w:t xml:space="preserve"> v peněžním vyjádření, kterým by bylo možné vyhodnotit, zda MF nastavilo a realizovalo úsporná opatření</w:t>
      </w:r>
      <w:r w:rsidR="00E90BC9">
        <w:t>,</w:t>
      </w:r>
      <w:r>
        <w:t xml:space="preserve"> či nikoliv. Rovněž </w:t>
      </w:r>
      <w:r w:rsidR="00E84D37">
        <w:t>nevyčíslila</w:t>
      </w:r>
      <w:r>
        <w:t xml:space="preserve"> údaj v peněžním vyjádření, který by představoval hodnotu výdajů (úkolů), která by měla být zohledněna při zpracování rozpočtu v následujících rozpočtových obdobích.</w:t>
      </w:r>
      <w:r w:rsidR="00E90BC9">
        <w:t xml:space="preserve"> </w:t>
      </w:r>
      <w:r>
        <w:t xml:space="preserve">V roce 2015 se rozhodující část nedočerpaných rozpočtových prostředků týkala profilujících výdajů a v oblasti neprofilujících výdajů měly největší podíl na objemu nevyčerpaných rozpočtových prostředků prostředky přesunuté do rozpočtu MF z kapitoly </w:t>
      </w:r>
      <w:r w:rsidR="003735FE">
        <w:t xml:space="preserve">SR </w:t>
      </w:r>
      <w:r w:rsidR="00E90BC9">
        <w:t xml:space="preserve">396 – </w:t>
      </w:r>
      <w:r w:rsidRPr="00761EB6">
        <w:rPr>
          <w:i/>
        </w:rPr>
        <w:t>Státní dluh</w:t>
      </w:r>
      <w:r>
        <w:t>.</w:t>
      </w:r>
      <w:r w:rsidR="003F4DB6">
        <w:t xml:space="preserve"> </w:t>
      </w:r>
      <w:r>
        <w:t>OSS</w:t>
      </w:r>
      <w:r w:rsidR="003F4DB6">
        <w:t> </w:t>
      </w:r>
      <w:r>
        <w:t>MF disponuje pouze údaji k výdajům účelově určeným na programové financování.</w:t>
      </w:r>
    </w:p>
    <w:p w14:paraId="39C89313" w14:textId="77777777" w:rsidR="003F4DB6" w:rsidRDefault="003F4DB6" w:rsidP="00194849">
      <w:pPr>
        <w:spacing w:line="280" w:lineRule="atLeast"/>
      </w:pPr>
    </w:p>
    <w:p w14:paraId="3E259AA6" w14:textId="77777777" w:rsidR="00194849" w:rsidRDefault="00CF06FA" w:rsidP="00761EB6">
      <w:pPr>
        <w:pStyle w:val="Nadpis3"/>
        <w:spacing w:before="0"/>
      </w:pPr>
      <w:r>
        <w:t>MMR</w:t>
      </w:r>
    </w:p>
    <w:p w14:paraId="43AA9DD5" w14:textId="07A74836" w:rsidR="00194849" w:rsidRDefault="00CF06FA" w:rsidP="00194849">
      <w:r>
        <w:t xml:space="preserve">OSS MMR uvádí, že rozdíl mezi rozpočtem po změnách a čerpáním v roce 2015 se v převážné většině týká programového financování, ať už </w:t>
      </w:r>
      <w:r w:rsidR="00C650FD">
        <w:t xml:space="preserve">vedeného </w:t>
      </w:r>
      <w:r w:rsidR="00E90BC9">
        <w:t xml:space="preserve">v </w:t>
      </w:r>
      <w:r>
        <w:t>EDS/SMVS</w:t>
      </w:r>
      <w:r w:rsidR="00E90BC9">
        <w:t>,</w:t>
      </w:r>
      <w:r>
        <w:t xml:space="preserve"> nebo mimo něj, a že z charakteru programového financování je možno odvodit, že nedočerpání rozpočtu není úsporou. O úsporách lze hovořit pouze u platů a ostatních plateb za provedenou práci, účelových výdajů a neprofilujících výdajů.</w:t>
      </w:r>
    </w:p>
    <w:p w14:paraId="5EBF152B" w14:textId="77777777" w:rsidR="003F4DB6" w:rsidRDefault="003F4DB6" w:rsidP="00194849"/>
    <w:p w14:paraId="0375D1D2" w14:textId="77777777" w:rsidR="00194849" w:rsidRPr="00407912" w:rsidRDefault="00CF06FA" w:rsidP="00761EB6">
      <w:pPr>
        <w:pStyle w:val="Nadpis3"/>
        <w:spacing w:before="0"/>
      </w:pPr>
      <w:r>
        <w:t>MD</w:t>
      </w:r>
    </w:p>
    <w:p w14:paraId="278EA999" w14:textId="2BCF620B" w:rsidR="00194849" w:rsidRDefault="00CF06FA" w:rsidP="00C53F18">
      <w:pPr>
        <w:suppressAutoHyphens/>
        <w:overflowPunct w:val="0"/>
        <w:autoSpaceDE w:val="0"/>
        <w:autoSpaceDN w:val="0"/>
        <w:adjustRightInd w:val="0"/>
        <w:textAlignment w:val="baseline"/>
        <w:rPr>
          <w:szCs w:val="20"/>
        </w:rPr>
      </w:pPr>
      <w:r>
        <w:rPr>
          <w:rFonts w:ascii="Calibri" w:hAnsi="Calibri" w:cs="Calibri"/>
        </w:rPr>
        <w:t xml:space="preserve">Kontrolovaná osoba </w:t>
      </w:r>
      <w:r w:rsidR="00A96CE8">
        <w:rPr>
          <w:rFonts w:ascii="Calibri" w:hAnsi="Calibri" w:cs="Calibri"/>
        </w:rPr>
        <w:t>nevyčíslila</w:t>
      </w:r>
      <w:r>
        <w:rPr>
          <w:rFonts w:ascii="Calibri" w:hAnsi="Calibri" w:cs="Calibri"/>
        </w:rPr>
        <w:t xml:space="preserve"> údaje, ze kterých by bylo možné vyčíslit úsporu výdajů (úkolů), které jsou převáděny do následujících rozpočtových období.</w:t>
      </w:r>
      <w:r w:rsidR="003F4DB6">
        <w:rPr>
          <w:rFonts w:ascii="Calibri" w:hAnsi="Calibri" w:cs="Calibri"/>
        </w:rPr>
        <w:t xml:space="preserve"> </w:t>
      </w:r>
      <w:r>
        <w:rPr>
          <w:szCs w:val="20"/>
        </w:rPr>
        <w:t>V</w:t>
      </w:r>
      <w:r w:rsidRPr="005C738D">
        <w:rPr>
          <w:szCs w:val="20"/>
        </w:rPr>
        <w:t>ětšin</w:t>
      </w:r>
      <w:r w:rsidR="0049391F">
        <w:rPr>
          <w:szCs w:val="20"/>
        </w:rPr>
        <w:t>u</w:t>
      </w:r>
      <w:r w:rsidRPr="005C738D">
        <w:rPr>
          <w:szCs w:val="20"/>
        </w:rPr>
        <w:t xml:space="preserve"> nevyčerpaných prostředků </w:t>
      </w:r>
      <w:r>
        <w:rPr>
          <w:szCs w:val="20"/>
        </w:rPr>
        <w:t xml:space="preserve">OSS MD </w:t>
      </w:r>
      <w:r w:rsidRPr="005C738D">
        <w:rPr>
          <w:szCs w:val="20"/>
        </w:rPr>
        <w:t>tvoří prostředky fondů EU, které se převádějí do</w:t>
      </w:r>
      <w:r w:rsidR="00316CC1">
        <w:rPr>
          <w:szCs w:val="20"/>
        </w:rPr>
        <w:t xml:space="preserve"> </w:t>
      </w:r>
      <w:r w:rsidRPr="005C738D">
        <w:rPr>
          <w:szCs w:val="20"/>
        </w:rPr>
        <w:t xml:space="preserve">následujících období z důvodu pokračování realizace projektů EU nebo z důvodu pokračování realizace příslušných programů a akcí </w:t>
      </w:r>
      <w:r w:rsidR="00316CC1">
        <w:rPr>
          <w:szCs w:val="20"/>
        </w:rPr>
        <w:t xml:space="preserve">evidovaných v </w:t>
      </w:r>
      <w:r w:rsidRPr="005C738D">
        <w:rPr>
          <w:szCs w:val="20"/>
        </w:rPr>
        <w:t>EDS/SMVS. V případě běžných výdajů, nesouvisejících s fondy EU a programovým financování</w:t>
      </w:r>
      <w:r>
        <w:rPr>
          <w:szCs w:val="20"/>
        </w:rPr>
        <w:t>m</w:t>
      </w:r>
      <w:r w:rsidRPr="005C738D">
        <w:rPr>
          <w:szCs w:val="20"/>
        </w:rPr>
        <w:t>, se jedná o uspořené prostředky, zejména z důvodu, že výše nevyčerpaných prostředků je významně ovlivněna klimatickými podmínkami nebo změnami legislativy a následný</w:t>
      </w:r>
      <w:r w:rsidR="0049391F">
        <w:rPr>
          <w:szCs w:val="20"/>
        </w:rPr>
        <w:t>m</w:t>
      </w:r>
      <w:r w:rsidRPr="005C738D">
        <w:rPr>
          <w:szCs w:val="20"/>
        </w:rPr>
        <w:t xml:space="preserve"> </w:t>
      </w:r>
      <w:r w:rsidR="0049391F">
        <w:rPr>
          <w:szCs w:val="20"/>
        </w:rPr>
        <w:t>uzavíráním</w:t>
      </w:r>
      <w:r w:rsidRPr="005C738D">
        <w:rPr>
          <w:szCs w:val="20"/>
        </w:rPr>
        <w:t xml:space="preserve"> dodatků ke smlouvě, </w:t>
      </w:r>
      <w:r w:rsidR="0049391F">
        <w:rPr>
          <w:szCs w:val="20"/>
        </w:rPr>
        <w:t xml:space="preserve">což jsou faktory, </w:t>
      </w:r>
      <w:r w:rsidRPr="005C738D">
        <w:rPr>
          <w:szCs w:val="20"/>
        </w:rPr>
        <w:t xml:space="preserve">které není možné při </w:t>
      </w:r>
      <w:r>
        <w:rPr>
          <w:szCs w:val="20"/>
        </w:rPr>
        <w:t xml:space="preserve">sestavování </w:t>
      </w:r>
      <w:r w:rsidRPr="005C738D">
        <w:rPr>
          <w:szCs w:val="20"/>
        </w:rPr>
        <w:t xml:space="preserve">rozpočtu přesně predikovat. Takto </w:t>
      </w:r>
      <w:r>
        <w:rPr>
          <w:szCs w:val="20"/>
        </w:rPr>
        <w:t xml:space="preserve">uspořené </w:t>
      </w:r>
      <w:r w:rsidRPr="005C738D">
        <w:rPr>
          <w:szCs w:val="20"/>
        </w:rPr>
        <w:t xml:space="preserve">prostředky se pak využívají </w:t>
      </w:r>
      <w:r w:rsidR="0049391F">
        <w:rPr>
          <w:szCs w:val="20"/>
        </w:rPr>
        <w:t>ke</w:t>
      </w:r>
      <w:r w:rsidRPr="005C738D">
        <w:rPr>
          <w:szCs w:val="20"/>
        </w:rPr>
        <w:t xml:space="preserve"> krytí těchto výdajů v následujících obdobích, kdy schválený rozpočet nedosahuje odpovídající výše. </w:t>
      </w:r>
    </w:p>
    <w:p w14:paraId="52700FF1" w14:textId="77777777" w:rsidR="003F4DB6" w:rsidRPr="005C738D" w:rsidRDefault="003F4DB6" w:rsidP="00C53F18">
      <w:pPr>
        <w:suppressAutoHyphens/>
        <w:overflowPunct w:val="0"/>
        <w:autoSpaceDE w:val="0"/>
        <w:autoSpaceDN w:val="0"/>
        <w:adjustRightInd w:val="0"/>
        <w:textAlignment w:val="baseline"/>
        <w:rPr>
          <w:szCs w:val="20"/>
        </w:rPr>
      </w:pPr>
    </w:p>
    <w:p w14:paraId="270D0C6E" w14:textId="77777777" w:rsidR="00194849" w:rsidRDefault="00CF06FA" w:rsidP="00761EB6">
      <w:pPr>
        <w:pStyle w:val="Nadpis3"/>
        <w:spacing w:before="0"/>
      </w:pPr>
      <w:proofErr w:type="spellStart"/>
      <w:r>
        <w:t>MZd</w:t>
      </w:r>
      <w:proofErr w:type="spellEnd"/>
    </w:p>
    <w:p w14:paraId="3AA29421" w14:textId="4F9E2C19" w:rsidR="00194849" w:rsidRDefault="00CF06FA" w:rsidP="00194849">
      <w:r w:rsidRPr="000C7729">
        <w:t>Kontrolovaná osoba vyčíslila úsporu a výdaje (úkoly), které jsou převáděny do následujících rozpočtových období, přičemž navíc identifikovala, jaká část se vztahovala k</w:t>
      </w:r>
      <w:r>
        <w:t> profilujícím a neprofilujícím výdajům. N</w:t>
      </w:r>
      <w:r w:rsidRPr="000C7729">
        <w:t xml:space="preserve">ejvíce nevyčerpaných výdajů </w:t>
      </w:r>
      <w:r>
        <w:t xml:space="preserve">se </w:t>
      </w:r>
      <w:r w:rsidR="00F754DC">
        <w:t>vztahovalo</w:t>
      </w:r>
      <w:r>
        <w:t xml:space="preserve"> k </w:t>
      </w:r>
      <w:r w:rsidRPr="000C7729">
        <w:t>programu specializačního vzdělávání pracovníků ve zdravotnictví.</w:t>
      </w:r>
    </w:p>
    <w:p w14:paraId="0A198A5C" w14:textId="77777777" w:rsidR="00194849" w:rsidRDefault="00CF06FA" w:rsidP="00761EB6">
      <w:pPr>
        <w:pStyle w:val="Nadpis3"/>
        <w:spacing w:before="0"/>
      </w:pPr>
      <w:proofErr w:type="spellStart"/>
      <w:r>
        <w:lastRenderedPageBreak/>
        <w:t>MZe</w:t>
      </w:r>
      <w:proofErr w:type="spellEnd"/>
    </w:p>
    <w:p w14:paraId="10DDB322" w14:textId="7CB369B9" w:rsidR="00194849" w:rsidRDefault="00CF06FA" w:rsidP="00194849">
      <w:r>
        <w:t>R</w:t>
      </w:r>
      <w:r w:rsidRPr="000C7729">
        <w:t>ozdíl mezi rozpočtem po změnách a čerpáním byl způsoben převážně převedení</w:t>
      </w:r>
      <w:r w:rsidR="00316CC1">
        <w:t>m</w:t>
      </w:r>
      <w:r w:rsidRPr="000C7729">
        <w:t xml:space="preserve"> úkolů do následujících rozpočtových období. Rozhodující </w:t>
      </w:r>
      <w:r>
        <w:t xml:space="preserve">vliv </w:t>
      </w:r>
      <w:r w:rsidRPr="000C7729">
        <w:t xml:space="preserve">na nečerpání prostředků má především odlišný postup vyplácení závazků v rámci </w:t>
      </w:r>
      <w:r w:rsidR="00794235">
        <w:t>s</w:t>
      </w:r>
      <w:r w:rsidR="00794235" w:rsidRPr="000C7729">
        <w:t xml:space="preserve">polečné </w:t>
      </w:r>
      <w:r w:rsidRPr="000C7729">
        <w:t xml:space="preserve">zemědělské politiky </w:t>
      </w:r>
      <w:r w:rsidR="00316CC1">
        <w:t xml:space="preserve">EU </w:t>
      </w:r>
      <w:r w:rsidRPr="000C7729">
        <w:t xml:space="preserve">(přímé platby a tzv. nárokové platby </w:t>
      </w:r>
      <w:r w:rsidRPr="00761EB6">
        <w:rPr>
          <w:i/>
        </w:rPr>
        <w:t>Programu rozvoje venkova</w:t>
      </w:r>
      <w:r w:rsidRPr="000C7729">
        <w:t xml:space="preserve">), </w:t>
      </w:r>
      <w:r w:rsidR="00316CC1">
        <w:t xml:space="preserve">neboť </w:t>
      </w:r>
      <w:r w:rsidRPr="000C7729">
        <w:t xml:space="preserve">u </w:t>
      </w:r>
      <w:r w:rsidR="00316CC1">
        <w:t>této politiky</w:t>
      </w:r>
      <w:r w:rsidRPr="000C7729">
        <w:t xml:space="preserve"> je nastaveno rozpočtové období od října do září následujícího roku. Nečerpání prostředků bylo způsobeno i posunem </w:t>
      </w:r>
      <w:r>
        <w:t>zahájení</w:t>
      </w:r>
      <w:r w:rsidRPr="000C7729">
        <w:t xml:space="preserve"> přípravy a realizace projektů a akcí programového období 2014</w:t>
      </w:r>
      <w:r>
        <w:t>–</w:t>
      </w:r>
      <w:r w:rsidRPr="000C7729">
        <w:t>2020. Skutečné úspory</w:t>
      </w:r>
      <w:r>
        <w:t xml:space="preserve"> vznikly </w:t>
      </w:r>
      <w:r w:rsidRPr="000C7729">
        <w:t xml:space="preserve">zejména u mzdových výdajů včetně jejich příslušenství </w:t>
      </w:r>
      <w:r w:rsidR="00316CC1">
        <w:t xml:space="preserve">nebo </w:t>
      </w:r>
      <w:r w:rsidRPr="000C7729">
        <w:t>u</w:t>
      </w:r>
      <w:r>
        <w:t> </w:t>
      </w:r>
      <w:r w:rsidRPr="000C7729">
        <w:t>ostatních běžných výdajů</w:t>
      </w:r>
      <w:r w:rsidR="00316CC1">
        <w:t>,</w:t>
      </w:r>
      <w:r w:rsidRPr="000C7729">
        <w:t xml:space="preserve"> jako </w:t>
      </w:r>
      <w:r w:rsidR="00316CC1">
        <w:t xml:space="preserve">jsou </w:t>
      </w:r>
      <w:r w:rsidRPr="000C7729">
        <w:t>nákup</w:t>
      </w:r>
      <w:r w:rsidR="00316CC1">
        <w:t>y</w:t>
      </w:r>
      <w:r w:rsidRPr="000C7729">
        <w:t xml:space="preserve"> energií, </w:t>
      </w:r>
      <w:r w:rsidR="00316CC1">
        <w:t xml:space="preserve">nákupy </w:t>
      </w:r>
      <w:r w:rsidRPr="000C7729">
        <w:t xml:space="preserve">kancelářských potřeb, </w:t>
      </w:r>
      <w:r>
        <w:t xml:space="preserve">poskytování služeb v oblasti </w:t>
      </w:r>
      <w:r w:rsidRPr="000C7729">
        <w:t>informačních a</w:t>
      </w:r>
      <w:r>
        <w:t> </w:t>
      </w:r>
      <w:r w:rsidRPr="000C7729">
        <w:t>komunikačních technologií</w:t>
      </w:r>
      <w:r>
        <w:t>,</w:t>
      </w:r>
      <w:r w:rsidRPr="000C7729">
        <w:t xml:space="preserve"> poradenských a</w:t>
      </w:r>
      <w:r w:rsidR="000E64ED">
        <w:t> </w:t>
      </w:r>
      <w:r w:rsidRPr="000C7729">
        <w:t>právních služeb</w:t>
      </w:r>
      <w:r>
        <w:t xml:space="preserve"> (služby OSS</w:t>
      </w:r>
      <w:r w:rsidR="00A1362F">
        <w:t> </w:t>
      </w:r>
      <w:proofErr w:type="spellStart"/>
      <w:r>
        <w:t>MZe</w:t>
      </w:r>
      <w:proofErr w:type="spellEnd"/>
      <w:r>
        <w:t xml:space="preserve"> zajišťovala </w:t>
      </w:r>
      <w:r w:rsidRPr="000C7729">
        <w:t>vlastními zaměstnanci</w:t>
      </w:r>
      <w:r>
        <w:t>, nevýhodné smlouvy byly zrušeny).</w:t>
      </w:r>
    </w:p>
    <w:p w14:paraId="242DCC50" w14:textId="77777777" w:rsidR="00194849" w:rsidRDefault="00194849" w:rsidP="00194849"/>
    <w:p w14:paraId="0C03CBF1" w14:textId="5B78F538" w:rsidR="00194849" w:rsidRDefault="00CF06FA" w:rsidP="00194849">
      <w:pPr>
        <w:pStyle w:val="Nadpis2"/>
        <w:numPr>
          <w:ilvl w:val="0"/>
          <w:numId w:val="0"/>
        </w:numPr>
      </w:pPr>
      <w:r>
        <w:t>K bodu 4. V</w:t>
      </w:r>
      <w:r w:rsidRPr="00CF4676">
        <w:t xml:space="preserve">ýpočet a evidence </w:t>
      </w:r>
      <w:r>
        <w:t xml:space="preserve">nároků z nespotřebovaných výdajů </w:t>
      </w:r>
      <w:r w:rsidR="00F04C4C">
        <w:t xml:space="preserve">u </w:t>
      </w:r>
      <w:r>
        <w:t>kontrolovaných osob:</w:t>
      </w:r>
    </w:p>
    <w:p w14:paraId="7D6788AB" w14:textId="732F75AD" w:rsidR="00194849" w:rsidRDefault="00CF06FA" w:rsidP="00194849">
      <w:r>
        <w:t>Organizační složky státu vypočítávají NNV k 1. 1. běžného roku jako rozdíl mezi konečným rozpočtem výdajů na minulý rok a</w:t>
      </w:r>
      <w:r w:rsidR="00EB5DB5">
        <w:t xml:space="preserve"> </w:t>
      </w:r>
      <w:r>
        <w:t>skutečnými rozpočtovými výdaji za minulý rok</w:t>
      </w:r>
      <w:r w:rsidR="00EB5DB5">
        <w:t xml:space="preserve"> a k takto vypočítanému rozdílu přičtou </w:t>
      </w:r>
      <w:r>
        <w:t xml:space="preserve">nároky z nespotřebovaných výdajů ke dni 31. </w:t>
      </w:r>
      <w:r w:rsidR="00B81F3E">
        <w:t xml:space="preserve">12. </w:t>
      </w:r>
      <w:r>
        <w:t>minulého roku. Nároky z nespotřebovaných neprofilujících výdajů OSS používa</w:t>
      </w:r>
      <w:r w:rsidR="0077204B">
        <w:t>jí</w:t>
      </w:r>
      <w:r>
        <w:t xml:space="preserve"> od roku 2015 na neprofilující výdaje, tj. na výdaje, které nejsou vymezeny jako profilující (není jim přiřazen účel).</w:t>
      </w:r>
      <w:r w:rsidR="00EB5DB5">
        <w:t xml:space="preserve"> </w:t>
      </w:r>
      <w:r>
        <w:t>Informace o stavu NNV</w:t>
      </w:r>
      <w:r w:rsidRPr="00053D32">
        <w:t xml:space="preserve"> k 1. 1. a k 31. 12., </w:t>
      </w:r>
      <w:r>
        <w:t>o hodnotě sníž</w:t>
      </w:r>
      <w:r w:rsidRPr="00053D32">
        <w:t>ení NNV v průběhu roku a</w:t>
      </w:r>
      <w:r w:rsidR="009050A5">
        <w:t> </w:t>
      </w:r>
      <w:r>
        <w:t>o</w:t>
      </w:r>
      <w:r w:rsidR="009050A5">
        <w:t> </w:t>
      </w:r>
      <w:r>
        <w:t xml:space="preserve">hodnotě, o kterou se zvyšuje stav </w:t>
      </w:r>
      <w:r w:rsidRPr="00053D32">
        <w:t xml:space="preserve">NNV </w:t>
      </w:r>
      <w:r>
        <w:t>v</w:t>
      </w:r>
      <w:r w:rsidRPr="00053D32">
        <w:t xml:space="preserve"> následující</w:t>
      </w:r>
      <w:r>
        <w:t>m</w:t>
      </w:r>
      <w:r w:rsidRPr="00053D32">
        <w:t xml:space="preserve"> ro</w:t>
      </w:r>
      <w:r>
        <w:t>ce,</w:t>
      </w:r>
      <w:r w:rsidRPr="00053D32">
        <w:t xml:space="preserve"> u</w:t>
      </w:r>
      <w:r>
        <w:t xml:space="preserve"> jednotlivých </w:t>
      </w:r>
      <w:r w:rsidRPr="00053D32">
        <w:t>kontrolovaných osob podává tabulka č. 6.</w:t>
      </w:r>
    </w:p>
    <w:p w14:paraId="6112B9AC" w14:textId="77777777" w:rsidR="0076189E" w:rsidRPr="00053D32" w:rsidRDefault="0076189E" w:rsidP="00194849">
      <w:pPr>
        <w:rPr>
          <w:strike/>
        </w:rPr>
      </w:pPr>
    </w:p>
    <w:p w14:paraId="1E0C778A" w14:textId="75A77C3F" w:rsidR="00194849" w:rsidRDefault="00D813EB" w:rsidP="00194849">
      <w:r>
        <w:t>Tabulka č. 6 – Stavy NNV u kontrolovaných osob</w:t>
      </w:r>
      <w:r>
        <w:tab/>
      </w:r>
      <w:r w:rsidR="0084400A">
        <w:tab/>
      </w:r>
      <w:r w:rsidR="0084400A">
        <w:tab/>
      </w:r>
      <w:r w:rsidR="0084400A">
        <w:tab/>
      </w:r>
      <w:r w:rsidR="0084400A">
        <w:tab/>
        <w:t xml:space="preserve">     </w:t>
      </w:r>
      <w:r w:rsidR="002715E5">
        <w:t>(</w:t>
      </w:r>
      <w:r>
        <w:t>v mil. Kč</w:t>
      </w:r>
      <w:r w:rsidR="002715E5">
        <w:t>)</w:t>
      </w:r>
    </w:p>
    <w:tbl>
      <w:tblPr>
        <w:tblStyle w:val="Mkatabulky"/>
        <w:tblW w:w="0" w:type="auto"/>
        <w:tblLook w:val="04A0" w:firstRow="1" w:lastRow="0" w:firstColumn="1" w:lastColumn="0" w:noHBand="0" w:noVBand="1"/>
      </w:tblPr>
      <w:tblGrid>
        <w:gridCol w:w="1510"/>
        <w:gridCol w:w="753"/>
        <w:gridCol w:w="1699"/>
        <w:gridCol w:w="1700"/>
        <w:gridCol w:w="1846"/>
        <w:gridCol w:w="1554"/>
      </w:tblGrid>
      <w:tr w:rsidR="00D813EB" w14:paraId="7FCE1F86" w14:textId="77777777" w:rsidTr="0076189E">
        <w:tc>
          <w:tcPr>
            <w:tcW w:w="1510" w:type="dxa"/>
            <w:shd w:val="clear" w:color="auto" w:fill="E5F1FF"/>
            <w:vAlign w:val="center"/>
          </w:tcPr>
          <w:p w14:paraId="21EE0959" w14:textId="23C4EAD7" w:rsidR="00D813EB" w:rsidRPr="0076189E" w:rsidRDefault="00D813EB" w:rsidP="00D813EB">
            <w:pPr>
              <w:jc w:val="center"/>
              <w:rPr>
                <w:rFonts w:ascii="Calibri" w:hAnsi="Calibri"/>
                <w:b/>
                <w:sz w:val="20"/>
                <w:szCs w:val="20"/>
              </w:rPr>
            </w:pPr>
            <w:r w:rsidRPr="0076189E">
              <w:rPr>
                <w:rFonts w:ascii="Calibri" w:hAnsi="Calibri"/>
                <w:b/>
                <w:sz w:val="20"/>
                <w:szCs w:val="20"/>
              </w:rPr>
              <w:t>OSS</w:t>
            </w:r>
          </w:p>
        </w:tc>
        <w:tc>
          <w:tcPr>
            <w:tcW w:w="753" w:type="dxa"/>
            <w:shd w:val="clear" w:color="auto" w:fill="E5F1FF"/>
            <w:vAlign w:val="center"/>
          </w:tcPr>
          <w:p w14:paraId="43E95EEB" w14:textId="5472009D" w:rsidR="00D813EB" w:rsidRPr="0076189E" w:rsidRDefault="00D813EB" w:rsidP="00D813EB">
            <w:pPr>
              <w:jc w:val="center"/>
              <w:rPr>
                <w:rFonts w:ascii="Calibri" w:hAnsi="Calibri"/>
                <w:b/>
                <w:sz w:val="20"/>
                <w:szCs w:val="20"/>
              </w:rPr>
            </w:pPr>
            <w:r w:rsidRPr="0076189E">
              <w:rPr>
                <w:rFonts w:ascii="Calibri" w:hAnsi="Calibri"/>
                <w:b/>
                <w:sz w:val="20"/>
                <w:szCs w:val="20"/>
              </w:rPr>
              <w:t>Rok</w:t>
            </w:r>
          </w:p>
        </w:tc>
        <w:tc>
          <w:tcPr>
            <w:tcW w:w="1699" w:type="dxa"/>
            <w:shd w:val="clear" w:color="auto" w:fill="E5F1FF"/>
            <w:vAlign w:val="center"/>
          </w:tcPr>
          <w:p w14:paraId="6AEB3110" w14:textId="70A3E811" w:rsidR="00D813EB" w:rsidRPr="0076189E" w:rsidRDefault="00D813EB" w:rsidP="00D813EB">
            <w:pPr>
              <w:jc w:val="center"/>
              <w:rPr>
                <w:rFonts w:ascii="Calibri" w:hAnsi="Calibri"/>
                <w:b/>
                <w:sz w:val="20"/>
                <w:szCs w:val="20"/>
              </w:rPr>
            </w:pPr>
            <w:r w:rsidRPr="0076189E">
              <w:rPr>
                <w:rFonts w:ascii="Calibri" w:hAnsi="Calibri"/>
                <w:b/>
                <w:sz w:val="20"/>
                <w:szCs w:val="20"/>
              </w:rPr>
              <w:t>Stav k 1. 1.</w:t>
            </w:r>
          </w:p>
        </w:tc>
        <w:tc>
          <w:tcPr>
            <w:tcW w:w="1700" w:type="dxa"/>
            <w:shd w:val="clear" w:color="auto" w:fill="E5F1FF"/>
            <w:vAlign w:val="center"/>
          </w:tcPr>
          <w:p w14:paraId="5BC62EE4" w14:textId="5B0AB62E" w:rsidR="00D813EB" w:rsidRPr="0076189E" w:rsidRDefault="00D813EB" w:rsidP="00D813EB">
            <w:pPr>
              <w:jc w:val="center"/>
              <w:rPr>
                <w:rFonts w:ascii="Calibri" w:hAnsi="Calibri"/>
                <w:b/>
                <w:sz w:val="20"/>
                <w:szCs w:val="20"/>
              </w:rPr>
            </w:pPr>
            <w:r w:rsidRPr="0076189E">
              <w:rPr>
                <w:rFonts w:ascii="Calibri" w:hAnsi="Calibri"/>
                <w:b/>
                <w:sz w:val="20"/>
                <w:szCs w:val="20"/>
              </w:rPr>
              <w:t>Snížení NNV</w:t>
            </w:r>
          </w:p>
        </w:tc>
        <w:tc>
          <w:tcPr>
            <w:tcW w:w="1846" w:type="dxa"/>
            <w:shd w:val="clear" w:color="auto" w:fill="E5F1FF"/>
            <w:vAlign w:val="center"/>
          </w:tcPr>
          <w:p w14:paraId="5D01D93D" w14:textId="350BAF2F" w:rsidR="00D813EB" w:rsidRPr="0076189E" w:rsidRDefault="00D813EB" w:rsidP="00D813EB">
            <w:pPr>
              <w:jc w:val="center"/>
              <w:rPr>
                <w:rFonts w:ascii="Calibri" w:hAnsi="Calibri"/>
                <w:b/>
                <w:sz w:val="20"/>
                <w:szCs w:val="20"/>
              </w:rPr>
            </w:pPr>
            <w:r w:rsidRPr="0076189E">
              <w:rPr>
                <w:rFonts w:ascii="Calibri" w:hAnsi="Calibri"/>
                <w:b/>
                <w:sz w:val="20"/>
                <w:szCs w:val="20"/>
              </w:rPr>
              <w:t>Stav k 31. 12.</w:t>
            </w:r>
          </w:p>
        </w:tc>
        <w:tc>
          <w:tcPr>
            <w:tcW w:w="1554" w:type="dxa"/>
            <w:shd w:val="clear" w:color="auto" w:fill="E5F1FF"/>
            <w:vAlign w:val="center"/>
          </w:tcPr>
          <w:p w14:paraId="2AF7CF08" w14:textId="1C4C7B83" w:rsidR="00D813EB" w:rsidRPr="0076189E" w:rsidRDefault="00D813EB" w:rsidP="00D813EB">
            <w:pPr>
              <w:jc w:val="center"/>
              <w:rPr>
                <w:rFonts w:ascii="Calibri" w:hAnsi="Calibri"/>
                <w:b/>
                <w:sz w:val="20"/>
                <w:szCs w:val="20"/>
              </w:rPr>
            </w:pPr>
            <w:r w:rsidRPr="0076189E">
              <w:rPr>
                <w:rFonts w:ascii="Calibri" w:hAnsi="Calibri"/>
                <w:b/>
                <w:sz w:val="20"/>
                <w:szCs w:val="20"/>
              </w:rPr>
              <w:t>Zvýšení NNV</w:t>
            </w:r>
          </w:p>
        </w:tc>
      </w:tr>
      <w:tr w:rsidR="00AC331C" w14:paraId="4BF94E08" w14:textId="77777777" w:rsidTr="0076189E">
        <w:tc>
          <w:tcPr>
            <w:tcW w:w="1510" w:type="dxa"/>
            <w:vMerge w:val="restart"/>
            <w:vAlign w:val="center"/>
          </w:tcPr>
          <w:p w14:paraId="219C4BAC" w14:textId="285C6128" w:rsidR="00AC331C" w:rsidRPr="0076189E" w:rsidRDefault="00AC331C" w:rsidP="0084400A">
            <w:pPr>
              <w:jc w:val="left"/>
              <w:rPr>
                <w:rFonts w:ascii="Calibri" w:hAnsi="Calibri"/>
                <w:sz w:val="20"/>
                <w:szCs w:val="20"/>
              </w:rPr>
            </w:pPr>
            <w:r w:rsidRPr="0076189E">
              <w:rPr>
                <w:rFonts w:ascii="Calibri" w:hAnsi="Calibri"/>
                <w:sz w:val="20"/>
                <w:szCs w:val="20"/>
              </w:rPr>
              <w:t>M</w:t>
            </w:r>
            <w:r w:rsidR="0084400A">
              <w:rPr>
                <w:rFonts w:ascii="Calibri" w:hAnsi="Calibri"/>
                <w:sz w:val="20"/>
                <w:szCs w:val="20"/>
              </w:rPr>
              <w:t>inisterstvo financí</w:t>
            </w:r>
          </w:p>
        </w:tc>
        <w:tc>
          <w:tcPr>
            <w:tcW w:w="753" w:type="dxa"/>
            <w:vAlign w:val="center"/>
          </w:tcPr>
          <w:p w14:paraId="040FBFDC" w14:textId="39C0B31E" w:rsidR="00AC331C" w:rsidRPr="0076189E" w:rsidRDefault="00AC331C" w:rsidP="0076189E">
            <w:pPr>
              <w:jc w:val="center"/>
              <w:rPr>
                <w:rFonts w:ascii="Calibri" w:hAnsi="Calibri"/>
                <w:sz w:val="20"/>
                <w:szCs w:val="20"/>
              </w:rPr>
            </w:pPr>
            <w:r w:rsidRPr="0076189E">
              <w:rPr>
                <w:rFonts w:ascii="Calibri" w:hAnsi="Calibri"/>
                <w:sz w:val="20"/>
                <w:szCs w:val="20"/>
              </w:rPr>
              <w:t>2014</w:t>
            </w:r>
          </w:p>
        </w:tc>
        <w:tc>
          <w:tcPr>
            <w:tcW w:w="1699" w:type="dxa"/>
            <w:vAlign w:val="center"/>
          </w:tcPr>
          <w:p w14:paraId="6B3FFB24" w14:textId="30A454CD" w:rsidR="00AC331C" w:rsidRPr="0076189E" w:rsidRDefault="00AC331C" w:rsidP="00AC331C">
            <w:pPr>
              <w:jc w:val="right"/>
              <w:rPr>
                <w:rFonts w:ascii="Calibri" w:hAnsi="Calibri"/>
                <w:sz w:val="20"/>
                <w:szCs w:val="20"/>
              </w:rPr>
            </w:pPr>
            <w:r w:rsidRPr="0076189E">
              <w:rPr>
                <w:rFonts w:ascii="Calibri" w:hAnsi="Calibri"/>
                <w:sz w:val="20"/>
                <w:szCs w:val="20"/>
              </w:rPr>
              <w:t>1 822</w:t>
            </w:r>
          </w:p>
        </w:tc>
        <w:tc>
          <w:tcPr>
            <w:tcW w:w="1700" w:type="dxa"/>
            <w:vAlign w:val="center"/>
          </w:tcPr>
          <w:p w14:paraId="109271F7" w14:textId="2B55FA37" w:rsidR="00AC331C" w:rsidRPr="0076189E" w:rsidRDefault="00AC331C" w:rsidP="00AC331C">
            <w:pPr>
              <w:jc w:val="right"/>
              <w:rPr>
                <w:rFonts w:ascii="Calibri" w:hAnsi="Calibri"/>
                <w:sz w:val="20"/>
                <w:szCs w:val="20"/>
              </w:rPr>
            </w:pPr>
            <w:r w:rsidRPr="0076189E">
              <w:rPr>
                <w:rFonts w:ascii="Calibri" w:hAnsi="Calibri"/>
                <w:sz w:val="20"/>
                <w:szCs w:val="20"/>
              </w:rPr>
              <w:t>1 244</w:t>
            </w:r>
          </w:p>
        </w:tc>
        <w:tc>
          <w:tcPr>
            <w:tcW w:w="1846" w:type="dxa"/>
            <w:vAlign w:val="center"/>
          </w:tcPr>
          <w:p w14:paraId="5D2ADB22" w14:textId="1C6CDD3C" w:rsidR="00AC331C" w:rsidRPr="0076189E" w:rsidRDefault="00AC331C" w:rsidP="00AC331C">
            <w:pPr>
              <w:jc w:val="right"/>
              <w:rPr>
                <w:rFonts w:ascii="Calibri" w:hAnsi="Calibri"/>
                <w:sz w:val="20"/>
                <w:szCs w:val="20"/>
              </w:rPr>
            </w:pPr>
            <w:r w:rsidRPr="0076189E">
              <w:rPr>
                <w:rFonts w:ascii="Calibri" w:hAnsi="Calibri"/>
                <w:sz w:val="20"/>
                <w:szCs w:val="20"/>
              </w:rPr>
              <w:t>578</w:t>
            </w:r>
          </w:p>
        </w:tc>
        <w:tc>
          <w:tcPr>
            <w:tcW w:w="1554" w:type="dxa"/>
            <w:vAlign w:val="center"/>
          </w:tcPr>
          <w:p w14:paraId="50258F5A" w14:textId="177004B1" w:rsidR="00AC331C" w:rsidRPr="0076189E" w:rsidRDefault="00AC331C" w:rsidP="00AC331C">
            <w:pPr>
              <w:jc w:val="right"/>
              <w:rPr>
                <w:rFonts w:ascii="Calibri" w:hAnsi="Calibri"/>
                <w:sz w:val="20"/>
                <w:szCs w:val="20"/>
              </w:rPr>
            </w:pPr>
            <w:r w:rsidRPr="0076189E">
              <w:rPr>
                <w:rFonts w:ascii="Calibri" w:hAnsi="Calibri"/>
                <w:sz w:val="20"/>
                <w:szCs w:val="20"/>
              </w:rPr>
              <w:t>1 832</w:t>
            </w:r>
          </w:p>
        </w:tc>
      </w:tr>
      <w:tr w:rsidR="00AC331C" w14:paraId="50410408" w14:textId="77777777" w:rsidTr="0076189E">
        <w:tc>
          <w:tcPr>
            <w:tcW w:w="1510" w:type="dxa"/>
            <w:vMerge/>
            <w:vAlign w:val="center"/>
          </w:tcPr>
          <w:p w14:paraId="363356AF" w14:textId="77777777" w:rsidR="00AC331C" w:rsidRPr="0076189E" w:rsidRDefault="00AC331C" w:rsidP="0076189E">
            <w:pPr>
              <w:jc w:val="left"/>
              <w:rPr>
                <w:rFonts w:ascii="Calibri" w:hAnsi="Calibri"/>
                <w:sz w:val="20"/>
                <w:szCs w:val="20"/>
              </w:rPr>
            </w:pPr>
          </w:p>
        </w:tc>
        <w:tc>
          <w:tcPr>
            <w:tcW w:w="753" w:type="dxa"/>
            <w:vAlign w:val="center"/>
          </w:tcPr>
          <w:p w14:paraId="6A913FE1" w14:textId="3F70AF20" w:rsidR="00AC331C" w:rsidRPr="0076189E" w:rsidRDefault="00AC331C" w:rsidP="0076189E">
            <w:pPr>
              <w:jc w:val="center"/>
              <w:rPr>
                <w:rFonts w:ascii="Calibri" w:hAnsi="Calibri"/>
                <w:sz w:val="20"/>
                <w:szCs w:val="20"/>
              </w:rPr>
            </w:pPr>
            <w:r w:rsidRPr="0076189E">
              <w:rPr>
                <w:rFonts w:ascii="Calibri" w:hAnsi="Calibri"/>
                <w:sz w:val="20"/>
                <w:szCs w:val="20"/>
              </w:rPr>
              <w:t>2015</w:t>
            </w:r>
          </w:p>
        </w:tc>
        <w:tc>
          <w:tcPr>
            <w:tcW w:w="1699" w:type="dxa"/>
            <w:vAlign w:val="center"/>
          </w:tcPr>
          <w:p w14:paraId="614C7F71" w14:textId="60FB3AA3" w:rsidR="00AC331C" w:rsidRPr="0076189E" w:rsidRDefault="00AC331C" w:rsidP="00AC331C">
            <w:pPr>
              <w:jc w:val="right"/>
              <w:rPr>
                <w:rFonts w:ascii="Calibri" w:hAnsi="Calibri"/>
                <w:sz w:val="20"/>
                <w:szCs w:val="20"/>
              </w:rPr>
            </w:pPr>
            <w:r w:rsidRPr="0076189E">
              <w:rPr>
                <w:rFonts w:ascii="Calibri" w:hAnsi="Calibri"/>
                <w:sz w:val="20"/>
                <w:szCs w:val="20"/>
              </w:rPr>
              <w:t>2 410</w:t>
            </w:r>
          </w:p>
        </w:tc>
        <w:tc>
          <w:tcPr>
            <w:tcW w:w="1700" w:type="dxa"/>
            <w:vAlign w:val="center"/>
          </w:tcPr>
          <w:p w14:paraId="4EC1F0AF" w14:textId="21055B27" w:rsidR="00AC331C" w:rsidRPr="0076189E" w:rsidRDefault="00AC331C" w:rsidP="00AC331C">
            <w:pPr>
              <w:jc w:val="right"/>
              <w:rPr>
                <w:rFonts w:ascii="Calibri" w:hAnsi="Calibri"/>
                <w:sz w:val="20"/>
                <w:szCs w:val="20"/>
              </w:rPr>
            </w:pPr>
            <w:r w:rsidRPr="0076189E">
              <w:rPr>
                <w:rFonts w:ascii="Calibri" w:hAnsi="Calibri"/>
                <w:sz w:val="20"/>
                <w:szCs w:val="20"/>
              </w:rPr>
              <w:t>1 376</w:t>
            </w:r>
          </w:p>
        </w:tc>
        <w:tc>
          <w:tcPr>
            <w:tcW w:w="1846" w:type="dxa"/>
            <w:vAlign w:val="center"/>
          </w:tcPr>
          <w:p w14:paraId="013B533A" w14:textId="6586BC22" w:rsidR="00AC331C" w:rsidRPr="0076189E" w:rsidRDefault="00AC331C" w:rsidP="00AC331C">
            <w:pPr>
              <w:jc w:val="right"/>
              <w:rPr>
                <w:rFonts w:ascii="Calibri" w:hAnsi="Calibri"/>
                <w:sz w:val="20"/>
                <w:szCs w:val="20"/>
              </w:rPr>
            </w:pPr>
            <w:r w:rsidRPr="0076189E">
              <w:rPr>
                <w:rFonts w:ascii="Calibri" w:hAnsi="Calibri"/>
                <w:sz w:val="20"/>
                <w:szCs w:val="20"/>
              </w:rPr>
              <w:t>1 034</w:t>
            </w:r>
          </w:p>
        </w:tc>
        <w:tc>
          <w:tcPr>
            <w:tcW w:w="1554" w:type="dxa"/>
            <w:vAlign w:val="center"/>
          </w:tcPr>
          <w:p w14:paraId="5BF48FE4" w14:textId="5D690058" w:rsidR="00AC331C" w:rsidRPr="0076189E" w:rsidRDefault="00AC331C" w:rsidP="00AC331C">
            <w:pPr>
              <w:jc w:val="right"/>
              <w:rPr>
                <w:rFonts w:ascii="Calibri" w:hAnsi="Calibri"/>
                <w:sz w:val="20"/>
                <w:szCs w:val="20"/>
              </w:rPr>
            </w:pPr>
            <w:r w:rsidRPr="0076189E">
              <w:rPr>
                <w:rFonts w:ascii="Calibri" w:hAnsi="Calibri"/>
                <w:sz w:val="20"/>
                <w:szCs w:val="20"/>
              </w:rPr>
              <w:t>1 867</w:t>
            </w:r>
          </w:p>
        </w:tc>
      </w:tr>
      <w:tr w:rsidR="0076189E" w14:paraId="24B38F61" w14:textId="77777777" w:rsidTr="00BC3C55">
        <w:tc>
          <w:tcPr>
            <w:tcW w:w="1510" w:type="dxa"/>
            <w:vMerge/>
            <w:vAlign w:val="center"/>
          </w:tcPr>
          <w:p w14:paraId="694482EA" w14:textId="77777777" w:rsidR="0076189E" w:rsidRPr="0076189E" w:rsidRDefault="0076189E" w:rsidP="0076189E">
            <w:pPr>
              <w:jc w:val="left"/>
              <w:rPr>
                <w:rFonts w:ascii="Calibri" w:hAnsi="Calibri"/>
                <w:sz w:val="20"/>
                <w:szCs w:val="20"/>
              </w:rPr>
            </w:pPr>
          </w:p>
        </w:tc>
        <w:tc>
          <w:tcPr>
            <w:tcW w:w="753" w:type="dxa"/>
            <w:vAlign w:val="center"/>
          </w:tcPr>
          <w:p w14:paraId="045F4D50" w14:textId="203F1F17" w:rsidR="0076189E" w:rsidRPr="0076189E" w:rsidRDefault="0076189E" w:rsidP="0076189E">
            <w:pPr>
              <w:jc w:val="center"/>
              <w:rPr>
                <w:rFonts w:ascii="Calibri" w:hAnsi="Calibri"/>
                <w:sz w:val="20"/>
                <w:szCs w:val="20"/>
              </w:rPr>
            </w:pPr>
            <w:r w:rsidRPr="0076189E">
              <w:rPr>
                <w:rFonts w:ascii="Calibri" w:hAnsi="Calibri"/>
                <w:sz w:val="20"/>
                <w:szCs w:val="20"/>
              </w:rPr>
              <w:t>2016</w:t>
            </w:r>
          </w:p>
        </w:tc>
        <w:tc>
          <w:tcPr>
            <w:tcW w:w="1699" w:type="dxa"/>
            <w:vAlign w:val="center"/>
          </w:tcPr>
          <w:p w14:paraId="5725A4AB" w14:textId="30987725" w:rsidR="0076189E" w:rsidRPr="0076189E" w:rsidRDefault="0076189E" w:rsidP="00AC331C">
            <w:pPr>
              <w:jc w:val="right"/>
              <w:rPr>
                <w:rFonts w:ascii="Calibri" w:hAnsi="Calibri"/>
                <w:sz w:val="20"/>
                <w:szCs w:val="20"/>
              </w:rPr>
            </w:pPr>
            <w:r w:rsidRPr="0076189E">
              <w:rPr>
                <w:rFonts w:ascii="Calibri" w:hAnsi="Calibri"/>
                <w:sz w:val="20"/>
                <w:szCs w:val="20"/>
              </w:rPr>
              <w:t>2 901</w:t>
            </w:r>
          </w:p>
        </w:tc>
        <w:tc>
          <w:tcPr>
            <w:tcW w:w="5100" w:type="dxa"/>
            <w:gridSpan w:val="3"/>
            <w:vAlign w:val="center"/>
          </w:tcPr>
          <w:p w14:paraId="54BAFE1D" w14:textId="77777777" w:rsidR="0076189E" w:rsidRPr="0076189E" w:rsidRDefault="0076189E" w:rsidP="00AC331C">
            <w:pPr>
              <w:jc w:val="right"/>
              <w:rPr>
                <w:rFonts w:ascii="Calibri" w:hAnsi="Calibri"/>
                <w:sz w:val="20"/>
                <w:szCs w:val="20"/>
              </w:rPr>
            </w:pPr>
          </w:p>
        </w:tc>
      </w:tr>
      <w:tr w:rsidR="00AC331C" w14:paraId="2F2AC054" w14:textId="77777777" w:rsidTr="0076189E">
        <w:tc>
          <w:tcPr>
            <w:tcW w:w="1510" w:type="dxa"/>
            <w:vMerge w:val="restart"/>
            <w:vAlign w:val="center"/>
          </w:tcPr>
          <w:p w14:paraId="179044D9" w14:textId="7CC4963D" w:rsidR="00AC331C" w:rsidRPr="0076189E" w:rsidRDefault="0084400A" w:rsidP="0076189E">
            <w:pPr>
              <w:jc w:val="left"/>
              <w:rPr>
                <w:rFonts w:ascii="Calibri" w:hAnsi="Calibri"/>
                <w:sz w:val="20"/>
                <w:szCs w:val="20"/>
              </w:rPr>
            </w:pPr>
            <w:r>
              <w:rPr>
                <w:rFonts w:ascii="Calibri" w:hAnsi="Calibri"/>
                <w:sz w:val="20"/>
                <w:szCs w:val="20"/>
              </w:rPr>
              <w:t>Ministerstvo pro místní rozvoj</w:t>
            </w:r>
          </w:p>
        </w:tc>
        <w:tc>
          <w:tcPr>
            <w:tcW w:w="753" w:type="dxa"/>
            <w:vAlign w:val="center"/>
          </w:tcPr>
          <w:p w14:paraId="14ADECAF" w14:textId="29581E3B" w:rsidR="00AC331C" w:rsidRPr="0076189E" w:rsidRDefault="00AC331C" w:rsidP="0076189E">
            <w:pPr>
              <w:jc w:val="center"/>
              <w:rPr>
                <w:rFonts w:ascii="Calibri" w:hAnsi="Calibri"/>
                <w:sz w:val="20"/>
                <w:szCs w:val="20"/>
              </w:rPr>
            </w:pPr>
            <w:r w:rsidRPr="0076189E">
              <w:rPr>
                <w:rFonts w:ascii="Calibri" w:hAnsi="Calibri"/>
                <w:sz w:val="20"/>
                <w:szCs w:val="20"/>
              </w:rPr>
              <w:t>2014</w:t>
            </w:r>
          </w:p>
        </w:tc>
        <w:tc>
          <w:tcPr>
            <w:tcW w:w="1699" w:type="dxa"/>
            <w:vAlign w:val="center"/>
          </w:tcPr>
          <w:p w14:paraId="6F5DC3B9" w14:textId="348C867D" w:rsidR="00AC331C" w:rsidRPr="0076189E" w:rsidRDefault="00AC331C" w:rsidP="00AC331C">
            <w:pPr>
              <w:jc w:val="right"/>
              <w:rPr>
                <w:rFonts w:ascii="Calibri" w:hAnsi="Calibri"/>
                <w:sz w:val="20"/>
                <w:szCs w:val="20"/>
              </w:rPr>
            </w:pPr>
            <w:r w:rsidRPr="0076189E">
              <w:rPr>
                <w:rFonts w:ascii="Calibri" w:hAnsi="Calibri"/>
                <w:sz w:val="20"/>
                <w:szCs w:val="20"/>
              </w:rPr>
              <w:t>22 679</w:t>
            </w:r>
          </w:p>
        </w:tc>
        <w:tc>
          <w:tcPr>
            <w:tcW w:w="1700" w:type="dxa"/>
            <w:vAlign w:val="center"/>
          </w:tcPr>
          <w:p w14:paraId="7B2A7B5A" w14:textId="0E104713" w:rsidR="00AC331C" w:rsidRPr="0076189E" w:rsidRDefault="00AC331C" w:rsidP="00AC331C">
            <w:pPr>
              <w:jc w:val="right"/>
              <w:rPr>
                <w:rFonts w:ascii="Calibri" w:hAnsi="Calibri"/>
                <w:sz w:val="20"/>
                <w:szCs w:val="20"/>
              </w:rPr>
            </w:pPr>
            <w:r w:rsidRPr="0076189E">
              <w:rPr>
                <w:rFonts w:ascii="Calibri" w:hAnsi="Calibri"/>
                <w:sz w:val="20"/>
                <w:szCs w:val="20"/>
              </w:rPr>
              <w:t>11 634</w:t>
            </w:r>
          </w:p>
        </w:tc>
        <w:tc>
          <w:tcPr>
            <w:tcW w:w="1846" w:type="dxa"/>
            <w:vAlign w:val="center"/>
          </w:tcPr>
          <w:p w14:paraId="27CB224F" w14:textId="21835954" w:rsidR="00AC331C" w:rsidRPr="0076189E" w:rsidRDefault="00AC331C" w:rsidP="00AC331C">
            <w:pPr>
              <w:jc w:val="right"/>
              <w:rPr>
                <w:rFonts w:ascii="Calibri" w:hAnsi="Calibri"/>
                <w:sz w:val="20"/>
                <w:szCs w:val="20"/>
              </w:rPr>
            </w:pPr>
            <w:r w:rsidRPr="0076189E">
              <w:rPr>
                <w:rFonts w:ascii="Calibri" w:hAnsi="Calibri"/>
                <w:sz w:val="20"/>
                <w:szCs w:val="20"/>
              </w:rPr>
              <w:t>11 045</w:t>
            </w:r>
          </w:p>
        </w:tc>
        <w:tc>
          <w:tcPr>
            <w:tcW w:w="1554" w:type="dxa"/>
            <w:vAlign w:val="center"/>
          </w:tcPr>
          <w:p w14:paraId="36EFF8DB" w14:textId="4706B28C" w:rsidR="00AC331C" w:rsidRPr="0076189E" w:rsidRDefault="00AC331C" w:rsidP="00AC331C">
            <w:pPr>
              <w:jc w:val="right"/>
              <w:rPr>
                <w:rFonts w:ascii="Calibri" w:hAnsi="Calibri"/>
                <w:sz w:val="20"/>
                <w:szCs w:val="20"/>
              </w:rPr>
            </w:pPr>
            <w:r w:rsidRPr="0076189E">
              <w:rPr>
                <w:rFonts w:ascii="Calibri" w:hAnsi="Calibri"/>
                <w:sz w:val="20"/>
                <w:szCs w:val="20"/>
              </w:rPr>
              <w:t>6 323</w:t>
            </w:r>
          </w:p>
        </w:tc>
      </w:tr>
      <w:tr w:rsidR="00AC331C" w14:paraId="4ACBB094" w14:textId="77777777" w:rsidTr="0076189E">
        <w:tc>
          <w:tcPr>
            <w:tcW w:w="1510" w:type="dxa"/>
            <w:vMerge/>
            <w:vAlign w:val="center"/>
          </w:tcPr>
          <w:p w14:paraId="16211708" w14:textId="77777777" w:rsidR="00AC331C" w:rsidRPr="0076189E" w:rsidRDefault="00AC331C" w:rsidP="0076189E">
            <w:pPr>
              <w:jc w:val="left"/>
              <w:rPr>
                <w:rFonts w:ascii="Calibri" w:hAnsi="Calibri"/>
                <w:sz w:val="20"/>
                <w:szCs w:val="20"/>
              </w:rPr>
            </w:pPr>
          </w:p>
        </w:tc>
        <w:tc>
          <w:tcPr>
            <w:tcW w:w="753" w:type="dxa"/>
            <w:vAlign w:val="center"/>
          </w:tcPr>
          <w:p w14:paraId="0E7D5072" w14:textId="66FC8630" w:rsidR="00AC331C" w:rsidRPr="0076189E" w:rsidRDefault="00AC331C" w:rsidP="0076189E">
            <w:pPr>
              <w:jc w:val="center"/>
              <w:rPr>
                <w:rFonts w:ascii="Calibri" w:hAnsi="Calibri"/>
                <w:sz w:val="20"/>
                <w:szCs w:val="20"/>
              </w:rPr>
            </w:pPr>
            <w:r w:rsidRPr="0076189E">
              <w:rPr>
                <w:rFonts w:ascii="Calibri" w:hAnsi="Calibri"/>
                <w:sz w:val="20"/>
                <w:szCs w:val="20"/>
              </w:rPr>
              <w:t>2015</w:t>
            </w:r>
          </w:p>
        </w:tc>
        <w:tc>
          <w:tcPr>
            <w:tcW w:w="1699" w:type="dxa"/>
            <w:vAlign w:val="center"/>
          </w:tcPr>
          <w:p w14:paraId="7883E447" w14:textId="00B4DDC5" w:rsidR="00AC331C" w:rsidRPr="0076189E" w:rsidRDefault="00AC331C" w:rsidP="00AC331C">
            <w:pPr>
              <w:jc w:val="right"/>
              <w:rPr>
                <w:rFonts w:ascii="Calibri" w:hAnsi="Calibri"/>
                <w:sz w:val="20"/>
                <w:szCs w:val="20"/>
              </w:rPr>
            </w:pPr>
            <w:r w:rsidRPr="0076189E">
              <w:rPr>
                <w:rFonts w:ascii="Calibri" w:hAnsi="Calibri"/>
                <w:sz w:val="20"/>
                <w:szCs w:val="20"/>
              </w:rPr>
              <w:t>17 368</w:t>
            </w:r>
          </w:p>
        </w:tc>
        <w:tc>
          <w:tcPr>
            <w:tcW w:w="1700" w:type="dxa"/>
            <w:vAlign w:val="center"/>
          </w:tcPr>
          <w:p w14:paraId="76D960D7" w14:textId="35AC8B7C" w:rsidR="00AC331C" w:rsidRPr="0076189E" w:rsidRDefault="00AC331C" w:rsidP="00AC331C">
            <w:pPr>
              <w:jc w:val="right"/>
              <w:rPr>
                <w:rFonts w:ascii="Calibri" w:hAnsi="Calibri"/>
                <w:sz w:val="20"/>
                <w:szCs w:val="20"/>
              </w:rPr>
            </w:pPr>
            <w:r w:rsidRPr="0076189E">
              <w:rPr>
                <w:rFonts w:ascii="Calibri" w:hAnsi="Calibri"/>
                <w:sz w:val="20"/>
                <w:szCs w:val="20"/>
              </w:rPr>
              <w:t>14 403</w:t>
            </w:r>
          </w:p>
        </w:tc>
        <w:tc>
          <w:tcPr>
            <w:tcW w:w="1846" w:type="dxa"/>
            <w:vAlign w:val="center"/>
          </w:tcPr>
          <w:p w14:paraId="0C650B6C" w14:textId="376FE160" w:rsidR="00AC331C" w:rsidRPr="0076189E" w:rsidRDefault="00AC331C" w:rsidP="00AC331C">
            <w:pPr>
              <w:jc w:val="right"/>
              <w:rPr>
                <w:rFonts w:ascii="Calibri" w:hAnsi="Calibri"/>
                <w:sz w:val="20"/>
                <w:szCs w:val="20"/>
              </w:rPr>
            </w:pPr>
            <w:r w:rsidRPr="0076189E">
              <w:rPr>
                <w:rFonts w:ascii="Calibri" w:hAnsi="Calibri"/>
                <w:sz w:val="20"/>
                <w:szCs w:val="20"/>
              </w:rPr>
              <w:t>2 965</w:t>
            </w:r>
          </w:p>
        </w:tc>
        <w:tc>
          <w:tcPr>
            <w:tcW w:w="1554" w:type="dxa"/>
            <w:vAlign w:val="center"/>
          </w:tcPr>
          <w:p w14:paraId="1B73F6B1" w14:textId="5A25F032" w:rsidR="00AC331C" w:rsidRPr="0076189E" w:rsidRDefault="00AC331C" w:rsidP="00AC331C">
            <w:pPr>
              <w:jc w:val="right"/>
              <w:rPr>
                <w:rFonts w:ascii="Calibri" w:hAnsi="Calibri"/>
                <w:sz w:val="20"/>
                <w:szCs w:val="20"/>
              </w:rPr>
            </w:pPr>
            <w:r w:rsidRPr="0076189E">
              <w:rPr>
                <w:rFonts w:ascii="Calibri" w:hAnsi="Calibri"/>
                <w:sz w:val="20"/>
                <w:szCs w:val="20"/>
              </w:rPr>
              <w:t>27 109</w:t>
            </w:r>
          </w:p>
        </w:tc>
      </w:tr>
      <w:tr w:rsidR="0076189E" w14:paraId="14C2CD9B" w14:textId="77777777" w:rsidTr="00BC3C55">
        <w:tc>
          <w:tcPr>
            <w:tcW w:w="1510" w:type="dxa"/>
            <w:vMerge/>
            <w:vAlign w:val="center"/>
          </w:tcPr>
          <w:p w14:paraId="0341F429" w14:textId="77777777" w:rsidR="0076189E" w:rsidRPr="0076189E" w:rsidRDefault="0076189E" w:rsidP="0076189E">
            <w:pPr>
              <w:jc w:val="left"/>
              <w:rPr>
                <w:rFonts w:ascii="Calibri" w:hAnsi="Calibri"/>
                <w:sz w:val="20"/>
                <w:szCs w:val="20"/>
              </w:rPr>
            </w:pPr>
          </w:p>
        </w:tc>
        <w:tc>
          <w:tcPr>
            <w:tcW w:w="753" w:type="dxa"/>
            <w:vAlign w:val="center"/>
          </w:tcPr>
          <w:p w14:paraId="14408CEF" w14:textId="7C7CA393" w:rsidR="0076189E" w:rsidRPr="0076189E" w:rsidRDefault="0076189E" w:rsidP="0076189E">
            <w:pPr>
              <w:jc w:val="center"/>
              <w:rPr>
                <w:rFonts w:ascii="Calibri" w:hAnsi="Calibri"/>
                <w:sz w:val="20"/>
                <w:szCs w:val="20"/>
              </w:rPr>
            </w:pPr>
            <w:r w:rsidRPr="0076189E">
              <w:rPr>
                <w:rFonts w:ascii="Calibri" w:hAnsi="Calibri"/>
                <w:sz w:val="20"/>
                <w:szCs w:val="20"/>
              </w:rPr>
              <w:t>2016</w:t>
            </w:r>
          </w:p>
        </w:tc>
        <w:tc>
          <w:tcPr>
            <w:tcW w:w="1699" w:type="dxa"/>
            <w:vAlign w:val="center"/>
          </w:tcPr>
          <w:p w14:paraId="0B6B5D9C" w14:textId="7168B5FA" w:rsidR="0076189E" w:rsidRPr="0076189E" w:rsidRDefault="0076189E" w:rsidP="00AC331C">
            <w:pPr>
              <w:jc w:val="right"/>
              <w:rPr>
                <w:rFonts w:ascii="Calibri" w:hAnsi="Calibri"/>
                <w:sz w:val="20"/>
                <w:szCs w:val="20"/>
              </w:rPr>
            </w:pPr>
            <w:r w:rsidRPr="0076189E">
              <w:rPr>
                <w:rFonts w:ascii="Calibri" w:hAnsi="Calibri"/>
                <w:sz w:val="20"/>
                <w:szCs w:val="20"/>
              </w:rPr>
              <w:t>30 074</w:t>
            </w:r>
          </w:p>
        </w:tc>
        <w:tc>
          <w:tcPr>
            <w:tcW w:w="5100" w:type="dxa"/>
            <w:gridSpan w:val="3"/>
            <w:vAlign w:val="center"/>
          </w:tcPr>
          <w:p w14:paraId="35AEFA3D" w14:textId="77777777" w:rsidR="0076189E" w:rsidRPr="0076189E" w:rsidRDefault="0076189E" w:rsidP="00AC331C">
            <w:pPr>
              <w:jc w:val="right"/>
              <w:rPr>
                <w:rFonts w:ascii="Calibri" w:hAnsi="Calibri"/>
                <w:sz w:val="20"/>
                <w:szCs w:val="20"/>
              </w:rPr>
            </w:pPr>
          </w:p>
        </w:tc>
      </w:tr>
      <w:tr w:rsidR="00AC331C" w14:paraId="386C09E8" w14:textId="77777777" w:rsidTr="0076189E">
        <w:tc>
          <w:tcPr>
            <w:tcW w:w="1510" w:type="dxa"/>
            <w:vMerge w:val="restart"/>
            <w:vAlign w:val="center"/>
          </w:tcPr>
          <w:p w14:paraId="105665D0" w14:textId="3B4E414C" w:rsidR="00AC331C" w:rsidRPr="0076189E" w:rsidRDefault="0084400A" w:rsidP="0076189E">
            <w:pPr>
              <w:jc w:val="left"/>
              <w:rPr>
                <w:rFonts w:ascii="Calibri" w:hAnsi="Calibri"/>
                <w:sz w:val="20"/>
                <w:szCs w:val="20"/>
              </w:rPr>
            </w:pPr>
            <w:r>
              <w:rPr>
                <w:rFonts w:ascii="Calibri" w:hAnsi="Calibri"/>
                <w:sz w:val="20"/>
                <w:szCs w:val="20"/>
              </w:rPr>
              <w:t>Ministerstvo dopravy</w:t>
            </w:r>
          </w:p>
        </w:tc>
        <w:tc>
          <w:tcPr>
            <w:tcW w:w="753" w:type="dxa"/>
            <w:vAlign w:val="center"/>
          </w:tcPr>
          <w:p w14:paraId="5D8CA05F" w14:textId="68112F46" w:rsidR="00AC331C" w:rsidRPr="0076189E" w:rsidRDefault="00AC331C" w:rsidP="0076189E">
            <w:pPr>
              <w:jc w:val="center"/>
              <w:rPr>
                <w:rFonts w:ascii="Calibri" w:hAnsi="Calibri"/>
                <w:sz w:val="20"/>
                <w:szCs w:val="20"/>
              </w:rPr>
            </w:pPr>
            <w:r w:rsidRPr="0076189E">
              <w:rPr>
                <w:rFonts w:ascii="Calibri" w:hAnsi="Calibri"/>
                <w:sz w:val="20"/>
                <w:szCs w:val="20"/>
              </w:rPr>
              <w:t>2014</w:t>
            </w:r>
          </w:p>
        </w:tc>
        <w:tc>
          <w:tcPr>
            <w:tcW w:w="1699" w:type="dxa"/>
            <w:vAlign w:val="center"/>
          </w:tcPr>
          <w:p w14:paraId="76F1451C" w14:textId="764F8C95" w:rsidR="00AC331C" w:rsidRPr="0076189E" w:rsidRDefault="00AC331C" w:rsidP="00AC331C">
            <w:pPr>
              <w:jc w:val="right"/>
              <w:rPr>
                <w:rFonts w:ascii="Calibri" w:hAnsi="Calibri"/>
                <w:sz w:val="20"/>
                <w:szCs w:val="20"/>
              </w:rPr>
            </w:pPr>
            <w:r w:rsidRPr="0076189E">
              <w:rPr>
                <w:rFonts w:ascii="Calibri" w:hAnsi="Calibri"/>
                <w:sz w:val="20"/>
                <w:szCs w:val="20"/>
              </w:rPr>
              <w:t>34 256</w:t>
            </w:r>
          </w:p>
        </w:tc>
        <w:tc>
          <w:tcPr>
            <w:tcW w:w="1700" w:type="dxa"/>
            <w:vAlign w:val="center"/>
          </w:tcPr>
          <w:p w14:paraId="20F532E4" w14:textId="64D12F81" w:rsidR="00AC331C" w:rsidRPr="0076189E" w:rsidRDefault="00AC331C" w:rsidP="00AC331C">
            <w:pPr>
              <w:jc w:val="right"/>
              <w:rPr>
                <w:rFonts w:ascii="Calibri" w:hAnsi="Calibri"/>
                <w:sz w:val="20"/>
                <w:szCs w:val="20"/>
              </w:rPr>
            </w:pPr>
            <w:r w:rsidRPr="0076189E">
              <w:rPr>
                <w:rFonts w:ascii="Calibri" w:hAnsi="Calibri"/>
                <w:sz w:val="20"/>
                <w:szCs w:val="20"/>
              </w:rPr>
              <w:t>21 945</w:t>
            </w:r>
          </w:p>
        </w:tc>
        <w:tc>
          <w:tcPr>
            <w:tcW w:w="1846" w:type="dxa"/>
            <w:vAlign w:val="center"/>
          </w:tcPr>
          <w:p w14:paraId="79AE2812" w14:textId="48185FF9" w:rsidR="00AC331C" w:rsidRPr="0076189E" w:rsidRDefault="00AC331C" w:rsidP="00AC331C">
            <w:pPr>
              <w:jc w:val="right"/>
              <w:rPr>
                <w:rFonts w:ascii="Calibri" w:hAnsi="Calibri"/>
                <w:sz w:val="20"/>
                <w:szCs w:val="20"/>
              </w:rPr>
            </w:pPr>
            <w:r w:rsidRPr="0076189E">
              <w:rPr>
                <w:rFonts w:ascii="Calibri" w:hAnsi="Calibri"/>
                <w:sz w:val="20"/>
                <w:szCs w:val="20"/>
              </w:rPr>
              <w:t>12 311</w:t>
            </w:r>
          </w:p>
        </w:tc>
        <w:tc>
          <w:tcPr>
            <w:tcW w:w="1554" w:type="dxa"/>
            <w:vAlign w:val="center"/>
          </w:tcPr>
          <w:p w14:paraId="2944332D" w14:textId="6A26B3D0" w:rsidR="00AC331C" w:rsidRPr="0076189E" w:rsidRDefault="00AC331C" w:rsidP="00AC331C">
            <w:pPr>
              <w:jc w:val="right"/>
              <w:rPr>
                <w:rFonts w:ascii="Calibri" w:hAnsi="Calibri"/>
                <w:sz w:val="20"/>
                <w:szCs w:val="20"/>
              </w:rPr>
            </w:pPr>
            <w:r w:rsidRPr="0076189E">
              <w:rPr>
                <w:rFonts w:ascii="Calibri" w:hAnsi="Calibri"/>
                <w:sz w:val="20"/>
                <w:szCs w:val="20"/>
              </w:rPr>
              <w:t>24 282</w:t>
            </w:r>
          </w:p>
        </w:tc>
      </w:tr>
      <w:tr w:rsidR="00AC331C" w14:paraId="74A24672" w14:textId="77777777" w:rsidTr="0076189E">
        <w:tc>
          <w:tcPr>
            <w:tcW w:w="1510" w:type="dxa"/>
            <w:vMerge/>
            <w:vAlign w:val="center"/>
          </w:tcPr>
          <w:p w14:paraId="5636ED27" w14:textId="77777777" w:rsidR="00AC331C" w:rsidRPr="0076189E" w:rsidRDefault="00AC331C" w:rsidP="0076189E">
            <w:pPr>
              <w:jc w:val="left"/>
              <w:rPr>
                <w:rFonts w:ascii="Calibri" w:hAnsi="Calibri"/>
                <w:sz w:val="20"/>
                <w:szCs w:val="20"/>
              </w:rPr>
            </w:pPr>
          </w:p>
        </w:tc>
        <w:tc>
          <w:tcPr>
            <w:tcW w:w="753" w:type="dxa"/>
            <w:vAlign w:val="center"/>
          </w:tcPr>
          <w:p w14:paraId="1434D101" w14:textId="107567AC" w:rsidR="00AC331C" w:rsidRPr="0076189E" w:rsidRDefault="00AC331C" w:rsidP="0076189E">
            <w:pPr>
              <w:jc w:val="center"/>
              <w:rPr>
                <w:rFonts w:ascii="Calibri" w:hAnsi="Calibri"/>
                <w:sz w:val="20"/>
                <w:szCs w:val="20"/>
              </w:rPr>
            </w:pPr>
            <w:r w:rsidRPr="0076189E">
              <w:rPr>
                <w:rFonts w:ascii="Calibri" w:hAnsi="Calibri"/>
                <w:sz w:val="20"/>
                <w:szCs w:val="20"/>
              </w:rPr>
              <w:t>2015</w:t>
            </w:r>
          </w:p>
        </w:tc>
        <w:tc>
          <w:tcPr>
            <w:tcW w:w="1699" w:type="dxa"/>
            <w:vAlign w:val="center"/>
          </w:tcPr>
          <w:p w14:paraId="4942D30D" w14:textId="0316F1DA" w:rsidR="00AC331C" w:rsidRPr="0076189E" w:rsidRDefault="00AC331C" w:rsidP="00AC331C">
            <w:pPr>
              <w:jc w:val="right"/>
              <w:rPr>
                <w:rFonts w:ascii="Calibri" w:hAnsi="Calibri"/>
                <w:sz w:val="20"/>
                <w:szCs w:val="20"/>
              </w:rPr>
            </w:pPr>
            <w:r w:rsidRPr="0076189E">
              <w:rPr>
                <w:rFonts w:ascii="Calibri" w:hAnsi="Calibri"/>
                <w:sz w:val="20"/>
                <w:szCs w:val="20"/>
              </w:rPr>
              <w:t>36 593</w:t>
            </w:r>
          </w:p>
        </w:tc>
        <w:tc>
          <w:tcPr>
            <w:tcW w:w="1700" w:type="dxa"/>
            <w:vAlign w:val="center"/>
          </w:tcPr>
          <w:p w14:paraId="23A782B3" w14:textId="2248ECCC" w:rsidR="00AC331C" w:rsidRPr="0076189E" w:rsidRDefault="00AC331C" w:rsidP="00AC331C">
            <w:pPr>
              <w:jc w:val="right"/>
              <w:rPr>
                <w:rFonts w:ascii="Calibri" w:hAnsi="Calibri"/>
                <w:sz w:val="20"/>
                <w:szCs w:val="20"/>
              </w:rPr>
            </w:pPr>
            <w:r w:rsidRPr="0076189E">
              <w:rPr>
                <w:rFonts w:ascii="Calibri" w:hAnsi="Calibri"/>
                <w:sz w:val="20"/>
                <w:szCs w:val="20"/>
              </w:rPr>
              <w:t>31 188</w:t>
            </w:r>
          </w:p>
        </w:tc>
        <w:tc>
          <w:tcPr>
            <w:tcW w:w="1846" w:type="dxa"/>
            <w:vAlign w:val="center"/>
          </w:tcPr>
          <w:p w14:paraId="6C4DD2DC" w14:textId="62B11538" w:rsidR="00AC331C" w:rsidRPr="0076189E" w:rsidRDefault="00AC331C" w:rsidP="00AC331C">
            <w:pPr>
              <w:jc w:val="right"/>
              <w:rPr>
                <w:rFonts w:ascii="Calibri" w:hAnsi="Calibri"/>
                <w:sz w:val="20"/>
                <w:szCs w:val="20"/>
              </w:rPr>
            </w:pPr>
            <w:r w:rsidRPr="0076189E">
              <w:rPr>
                <w:rFonts w:ascii="Calibri" w:hAnsi="Calibri"/>
                <w:sz w:val="20"/>
                <w:szCs w:val="20"/>
              </w:rPr>
              <w:t>5 405</w:t>
            </w:r>
          </w:p>
        </w:tc>
        <w:tc>
          <w:tcPr>
            <w:tcW w:w="1554" w:type="dxa"/>
            <w:vAlign w:val="center"/>
          </w:tcPr>
          <w:p w14:paraId="009F26DB" w14:textId="3E87DE49" w:rsidR="00AC331C" w:rsidRPr="0076189E" w:rsidRDefault="00AC331C" w:rsidP="00AC331C">
            <w:pPr>
              <w:jc w:val="right"/>
              <w:rPr>
                <w:rFonts w:ascii="Calibri" w:hAnsi="Calibri"/>
                <w:sz w:val="20"/>
                <w:szCs w:val="20"/>
              </w:rPr>
            </w:pPr>
            <w:r w:rsidRPr="0076189E">
              <w:rPr>
                <w:rFonts w:ascii="Calibri" w:hAnsi="Calibri"/>
                <w:sz w:val="20"/>
                <w:szCs w:val="20"/>
              </w:rPr>
              <w:t>11 312</w:t>
            </w:r>
          </w:p>
        </w:tc>
      </w:tr>
      <w:tr w:rsidR="0076189E" w14:paraId="5E5480A0" w14:textId="77777777" w:rsidTr="00BC3C55">
        <w:tc>
          <w:tcPr>
            <w:tcW w:w="1510" w:type="dxa"/>
            <w:vMerge/>
            <w:vAlign w:val="center"/>
          </w:tcPr>
          <w:p w14:paraId="47D075BA" w14:textId="77777777" w:rsidR="0076189E" w:rsidRPr="0076189E" w:rsidRDefault="0076189E" w:rsidP="0076189E">
            <w:pPr>
              <w:jc w:val="left"/>
              <w:rPr>
                <w:rFonts w:ascii="Calibri" w:hAnsi="Calibri"/>
                <w:sz w:val="20"/>
                <w:szCs w:val="20"/>
              </w:rPr>
            </w:pPr>
          </w:p>
        </w:tc>
        <w:tc>
          <w:tcPr>
            <w:tcW w:w="753" w:type="dxa"/>
            <w:vAlign w:val="center"/>
          </w:tcPr>
          <w:p w14:paraId="23414859" w14:textId="6AD75CE1" w:rsidR="0076189E" w:rsidRPr="0076189E" w:rsidRDefault="0076189E" w:rsidP="0076189E">
            <w:pPr>
              <w:jc w:val="center"/>
              <w:rPr>
                <w:rFonts w:ascii="Calibri" w:hAnsi="Calibri"/>
                <w:sz w:val="20"/>
                <w:szCs w:val="20"/>
              </w:rPr>
            </w:pPr>
            <w:r w:rsidRPr="0076189E">
              <w:rPr>
                <w:rFonts w:ascii="Calibri" w:hAnsi="Calibri"/>
                <w:sz w:val="20"/>
                <w:szCs w:val="20"/>
              </w:rPr>
              <w:t>2016</w:t>
            </w:r>
          </w:p>
        </w:tc>
        <w:tc>
          <w:tcPr>
            <w:tcW w:w="1699" w:type="dxa"/>
            <w:vAlign w:val="center"/>
          </w:tcPr>
          <w:p w14:paraId="1A8147C4" w14:textId="770BFF6C" w:rsidR="0076189E" w:rsidRPr="0076189E" w:rsidRDefault="0076189E" w:rsidP="00AC331C">
            <w:pPr>
              <w:jc w:val="right"/>
              <w:rPr>
                <w:rFonts w:ascii="Calibri" w:hAnsi="Calibri"/>
                <w:sz w:val="20"/>
                <w:szCs w:val="20"/>
              </w:rPr>
            </w:pPr>
            <w:r w:rsidRPr="0076189E">
              <w:rPr>
                <w:rFonts w:ascii="Calibri" w:hAnsi="Calibri"/>
                <w:sz w:val="20"/>
                <w:szCs w:val="20"/>
              </w:rPr>
              <w:t>16 717</w:t>
            </w:r>
          </w:p>
        </w:tc>
        <w:tc>
          <w:tcPr>
            <w:tcW w:w="5100" w:type="dxa"/>
            <w:gridSpan w:val="3"/>
            <w:vAlign w:val="center"/>
          </w:tcPr>
          <w:p w14:paraId="5191B834" w14:textId="77777777" w:rsidR="0076189E" w:rsidRPr="0076189E" w:rsidRDefault="0076189E" w:rsidP="00AC331C">
            <w:pPr>
              <w:jc w:val="right"/>
              <w:rPr>
                <w:rFonts w:ascii="Calibri" w:hAnsi="Calibri"/>
                <w:sz w:val="20"/>
                <w:szCs w:val="20"/>
              </w:rPr>
            </w:pPr>
          </w:p>
        </w:tc>
      </w:tr>
      <w:tr w:rsidR="00AC331C" w14:paraId="372ABD54" w14:textId="77777777" w:rsidTr="0076189E">
        <w:tc>
          <w:tcPr>
            <w:tcW w:w="1510" w:type="dxa"/>
            <w:vMerge w:val="restart"/>
            <w:vAlign w:val="center"/>
          </w:tcPr>
          <w:p w14:paraId="18F1B895" w14:textId="5EBEFE19" w:rsidR="00AC331C" w:rsidRPr="0076189E" w:rsidRDefault="00AC331C" w:rsidP="0076189E">
            <w:pPr>
              <w:jc w:val="left"/>
              <w:rPr>
                <w:rFonts w:ascii="Calibri" w:hAnsi="Calibri"/>
                <w:sz w:val="20"/>
                <w:szCs w:val="20"/>
              </w:rPr>
            </w:pPr>
            <w:r w:rsidRPr="0076189E">
              <w:rPr>
                <w:rFonts w:ascii="Calibri" w:hAnsi="Calibri"/>
                <w:sz w:val="20"/>
                <w:szCs w:val="20"/>
              </w:rPr>
              <w:t>M</w:t>
            </w:r>
            <w:r w:rsidR="0084400A">
              <w:rPr>
                <w:rFonts w:ascii="Calibri" w:hAnsi="Calibri"/>
                <w:sz w:val="20"/>
                <w:szCs w:val="20"/>
              </w:rPr>
              <w:t>inisterstvo zdravotnictví</w:t>
            </w:r>
          </w:p>
        </w:tc>
        <w:tc>
          <w:tcPr>
            <w:tcW w:w="753" w:type="dxa"/>
            <w:vAlign w:val="center"/>
          </w:tcPr>
          <w:p w14:paraId="0C42F470" w14:textId="1A26B435" w:rsidR="00AC331C" w:rsidRPr="0076189E" w:rsidRDefault="00AC331C" w:rsidP="0076189E">
            <w:pPr>
              <w:jc w:val="center"/>
              <w:rPr>
                <w:rFonts w:ascii="Calibri" w:hAnsi="Calibri"/>
                <w:sz w:val="20"/>
                <w:szCs w:val="20"/>
              </w:rPr>
            </w:pPr>
            <w:r w:rsidRPr="0076189E">
              <w:rPr>
                <w:rFonts w:ascii="Calibri" w:hAnsi="Calibri"/>
                <w:sz w:val="20"/>
                <w:szCs w:val="20"/>
              </w:rPr>
              <w:t>2014</w:t>
            </w:r>
          </w:p>
        </w:tc>
        <w:tc>
          <w:tcPr>
            <w:tcW w:w="1699" w:type="dxa"/>
            <w:vAlign w:val="center"/>
          </w:tcPr>
          <w:p w14:paraId="7FA82B06" w14:textId="59DC2341" w:rsidR="00AC331C" w:rsidRPr="0076189E" w:rsidRDefault="00AC331C" w:rsidP="00AC331C">
            <w:pPr>
              <w:jc w:val="right"/>
              <w:rPr>
                <w:rFonts w:ascii="Calibri" w:hAnsi="Calibri"/>
                <w:sz w:val="20"/>
                <w:szCs w:val="20"/>
              </w:rPr>
            </w:pPr>
            <w:r w:rsidRPr="0076189E">
              <w:rPr>
                <w:rFonts w:ascii="Calibri" w:hAnsi="Calibri"/>
                <w:sz w:val="20"/>
                <w:szCs w:val="20"/>
              </w:rPr>
              <w:t>5 879</w:t>
            </w:r>
          </w:p>
        </w:tc>
        <w:tc>
          <w:tcPr>
            <w:tcW w:w="1700" w:type="dxa"/>
            <w:vAlign w:val="center"/>
          </w:tcPr>
          <w:p w14:paraId="71878A2D" w14:textId="6D4151D2" w:rsidR="00AC331C" w:rsidRPr="0076189E" w:rsidRDefault="00AC331C" w:rsidP="00AC331C">
            <w:pPr>
              <w:jc w:val="right"/>
              <w:rPr>
                <w:rFonts w:ascii="Calibri" w:hAnsi="Calibri"/>
                <w:sz w:val="20"/>
                <w:szCs w:val="20"/>
              </w:rPr>
            </w:pPr>
            <w:r w:rsidRPr="0076189E">
              <w:rPr>
                <w:rFonts w:ascii="Calibri" w:hAnsi="Calibri"/>
                <w:sz w:val="20"/>
                <w:szCs w:val="20"/>
              </w:rPr>
              <w:t>4 070</w:t>
            </w:r>
          </w:p>
        </w:tc>
        <w:tc>
          <w:tcPr>
            <w:tcW w:w="1846" w:type="dxa"/>
            <w:vAlign w:val="center"/>
          </w:tcPr>
          <w:p w14:paraId="77CCCA12" w14:textId="7DECE3FD" w:rsidR="00AC331C" w:rsidRPr="0076189E" w:rsidRDefault="00AC331C" w:rsidP="00AC331C">
            <w:pPr>
              <w:jc w:val="right"/>
              <w:rPr>
                <w:rFonts w:ascii="Calibri" w:hAnsi="Calibri"/>
                <w:sz w:val="20"/>
                <w:szCs w:val="20"/>
              </w:rPr>
            </w:pPr>
            <w:r w:rsidRPr="0076189E">
              <w:rPr>
                <w:rFonts w:ascii="Calibri" w:hAnsi="Calibri"/>
                <w:sz w:val="20"/>
                <w:szCs w:val="20"/>
              </w:rPr>
              <w:t>1 809</w:t>
            </w:r>
          </w:p>
        </w:tc>
        <w:tc>
          <w:tcPr>
            <w:tcW w:w="1554" w:type="dxa"/>
            <w:vAlign w:val="center"/>
          </w:tcPr>
          <w:p w14:paraId="0670F9C5" w14:textId="03F3671C" w:rsidR="00AC331C" w:rsidRPr="0076189E" w:rsidRDefault="00AC331C" w:rsidP="00AC331C">
            <w:pPr>
              <w:jc w:val="right"/>
              <w:rPr>
                <w:rFonts w:ascii="Calibri" w:hAnsi="Calibri"/>
                <w:sz w:val="20"/>
                <w:szCs w:val="20"/>
              </w:rPr>
            </w:pPr>
            <w:r w:rsidRPr="0076189E">
              <w:rPr>
                <w:rFonts w:ascii="Calibri" w:hAnsi="Calibri"/>
                <w:sz w:val="20"/>
                <w:szCs w:val="20"/>
              </w:rPr>
              <w:t>5 376</w:t>
            </w:r>
          </w:p>
        </w:tc>
      </w:tr>
      <w:tr w:rsidR="00AC331C" w14:paraId="1F8DDCB8" w14:textId="77777777" w:rsidTr="0076189E">
        <w:tc>
          <w:tcPr>
            <w:tcW w:w="1510" w:type="dxa"/>
            <w:vMerge/>
            <w:vAlign w:val="center"/>
          </w:tcPr>
          <w:p w14:paraId="6B59E1C9" w14:textId="77777777" w:rsidR="00AC331C" w:rsidRPr="0076189E" w:rsidRDefault="00AC331C" w:rsidP="0076189E">
            <w:pPr>
              <w:jc w:val="left"/>
              <w:rPr>
                <w:rFonts w:ascii="Calibri" w:hAnsi="Calibri"/>
                <w:sz w:val="20"/>
                <w:szCs w:val="20"/>
              </w:rPr>
            </w:pPr>
          </w:p>
        </w:tc>
        <w:tc>
          <w:tcPr>
            <w:tcW w:w="753" w:type="dxa"/>
            <w:vAlign w:val="center"/>
          </w:tcPr>
          <w:p w14:paraId="7237CC69" w14:textId="20595098" w:rsidR="00AC331C" w:rsidRPr="0076189E" w:rsidRDefault="00AC331C" w:rsidP="0076189E">
            <w:pPr>
              <w:jc w:val="center"/>
              <w:rPr>
                <w:rFonts w:ascii="Calibri" w:hAnsi="Calibri"/>
                <w:sz w:val="20"/>
                <w:szCs w:val="20"/>
              </w:rPr>
            </w:pPr>
            <w:r w:rsidRPr="0076189E">
              <w:rPr>
                <w:rFonts w:ascii="Calibri" w:hAnsi="Calibri"/>
                <w:sz w:val="20"/>
                <w:szCs w:val="20"/>
              </w:rPr>
              <w:t>2015</w:t>
            </w:r>
          </w:p>
        </w:tc>
        <w:tc>
          <w:tcPr>
            <w:tcW w:w="1699" w:type="dxa"/>
            <w:vAlign w:val="center"/>
          </w:tcPr>
          <w:p w14:paraId="61A9C3AA" w14:textId="1D759137" w:rsidR="00AC331C" w:rsidRPr="0076189E" w:rsidRDefault="00AC331C" w:rsidP="00AC331C">
            <w:pPr>
              <w:jc w:val="right"/>
              <w:rPr>
                <w:rFonts w:ascii="Calibri" w:hAnsi="Calibri"/>
                <w:sz w:val="20"/>
                <w:szCs w:val="20"/>
              </w:rPr>
            </w:pPr>
            <w:r w:rsidRPr="0076189E">
              <w:rPr>
                <w:rFonts w:ascii="Calibri" w:hAnsi="Calibri"/>
                <w:sz w:val="20"/>
                <w:szCs w:val="20"/>
              </w:rPr>
              <w:t>7 185</w:t>
            </w:r>
          </w:p>
        </w:tc>
        <w:tc>
          <w:tcPr>
            <w:tcW w:w="1700" w:type="dxa"/>
            <w:vAlign w:val="center"/>
          </w:tcPr>
          <w:p w14:paraId="48C443C6" w14:textId="4250B516" w:rsidR="00AC331C" w:rsidRPr="0076189E" w:rsidRDefault="00AC331C" w:rsidP="00AC331C">
            <w:pPr>
              <w:jc w:val="right"/>
              <w:rPr>
                <w:rFonts w:ascii="Calibri" w:hAnsi="Calibri"/>
                <w:sz w:val="20"/>
                <w:szCs w:val="20"/>
              </w:rPr>
            </w:pPr>
            <w:r w:rsidRPr="0076189E">
              <w:rPr>
                <w:rFonts w:ascii="Calibri" w:hAnsi="Calibri"/>
                <w:sz w:val="20"/>
                <w:szCs w:val="20"/>
              </w:rPr>
              <w:t>5 574</w:t>
            </w:r>
          </w:p>
        </w:tc>
        <w:tc>
          <w:tcPr>
            <w:tcW w:w="1846" w:type="dxa"/>
            <w:vAlign w:val="center"/>
          </w:tcPr>
          <w:p w14:paraId="2C68D5CD" w14:textId="2D3FD91F" w:rsidR="00AC331C" w:rsidRPr="0076189E" w:rsidRDefault="00AC331C" w:rsidP="00AC331C">
            <w:pPr>
              <w:jc w:val="right"/>
              <w:rPr>
                <w:rFonts w:ascii="Calibri" w:hAnsi="Calibri"/>
                <w:sz w:val="20"/>
                <w:szCs w:val="20"/>
              </w:rPr>
            </w:pPr>
            <w:r w:rsidRPr="0076189E">
              <w:rPr>
                <w:rFonts w:ascii="Calibri" w:hAnsi="Calibri"/>
                <w:sz w:val="20"/>
                <w:szCs w:val="20"/>
              </w:rPr>
              <w:t>1 611</w:t>
            </w:r>
          </w:p>
        </w:tc>
        <w:tc>
          <w:tcPr>
            <w:tcW w:w="1554" w:type="dxa"/>
            <w:vAlign w:val="center"/>
          </w:tcPr>
          <w:p w14:paraId="4CDEEF44" w14:textId="057942B9" w:rsidR="00AC331C" w:rsidRPr="0076189E" w:rsidRDefault="00AC331C" w:rsidP="00AC331C">
            <w:pPr>
              <w:jc w:val="right"/>
              <w:rPr>
                <w:rFonts w:ascii="Calibri" w:hAnsi="Calibri"/>
                <w:sz w:val="20"/>
                <w:szCs w:val="20"/>
              </w:rPr>
            </w:pPr>
            <w:r w:rsidRPr="0076189E">
              <w:rPr>
                <w:rFonts w:ascii="Calibri" w:hAnsi="Calibri"/>
                <w:sz w:val="20"/>
                <w:szCs w:val="20"/>
              </w:rPr>
              <w:t>6 433</w:t>
            </w:r>
          </w:p>
        </w:tc>
      </w:tr>
      <w:tr w:rsidR="0076189E" w14:paraId="754E83E1" w14:textId="77777777" w:rsidTr="00BC3C55">
        <w:tc>
          <w:tcPr>
            <w:tcW w:w="1510" w:type="dxa"/>
            <w:vMerge/>
            <w:vAlign w:val="center"/>
          </w:tcPr>
          <w:p w14:paraId="6EA36360" w14:textId="77777777" w:rsidR="0076189E" w:rsidRPr="0076189E" w:rsidRDefault="0076189E" w:rsidP="0076189E">
            <w:pPr>
              <w:jc w:val="left"/>
              <w:rPr>
                <w:rFonts w:ascii="Calibri" w:hAnsi="Calibri"/>
                <w:sz w:val="20"/>
                <w:szCs w:val="20"/>
              </w:rPr>
            </w:pPr>
          </w:p>
        </w:tc>
        <w:tc>
          <w:tcPr>
            <w:tcW w:w="753" w:type="dxa"/>
            <w:vAlign w:val="center"/>
          </w:tcPr>
          <w:p w14:paraId="0D2857AF" w14:textId="6026523C" w:rsidR="0076189E" w:rsidRPr="0076189E" w:rsidRDefault="0076189E" w:rsidP="0076189E">
            <w:pPr>
              <w:jc w:val="center"/>
              <w:rPr>
                <w:rFonts w:ascii="Calibri" w:hAnsi="Calibri"/>
                <w:sz w:val="20"/>
                <w:szCs w:val="20"/>
              </w:rPr>
            </w:pPr>
            <w:r w:rsidRPr="0076189E">
              <w:rPr>
                <w:rFonts w:ascii="Calibri" w:hAnsi="Calibri"/>
                <w:sz w:val="20"/>
                <w:szCs w:val="20"/>
              </w:rPr>
              <w:t>2016</w:t>
            </w:r>
          </w:p>
        </w:tc>
        <w:tc>
          <w:tcPr>
            <w:tcW w:w="1699" w:type="dxa"/>
            <w:vAlign w:val="center"/>
          </w:tcPr>
          <w:p w14:paraId="5FB88726" w14:textId="00A04120" w:rsidR="0076189E" w:rsidRPr="0076189E" w:rsidRDefault="0076189E" w:rsidP="00AC331C">
            <w:pPr>
              <w:jc w:val="right"/>
              <w:rPr>
                <w:rFonts w:ascii="Calibri" w:hAnsi="Calibri"/>
                <w:sz w:val="20"/>
                <w:szCs w:val="20"/>
              </w:rPr>
            </w:pPr>
            <w:r w:rsidRPr="0076189E">
              <w:rPr>
                <w:rFonts w:ascii="Calibri" w:hAnsi="Calibri"/>
                <w:sz w:val="20"/>
                <w:szCs w:val="20"/>
              </w:rPr>
              <w:t>8 044</w:t>
            </w:r>
          </w:p>
        </w:tc>
        <w:tc>
          <w:tcPr>
            <w:tcW w:w="5100" w:type="dxa"/>
            <w:gridSpan w:val="3"/>
            <w:vAlign w:val="center"/>
          </w:tcPr>
          <w:p w14:paraId="7635496B" w14:textId="77777777" w:rsidR="0076189E" w:rsidRPr="0076189E" w:rsidRDefault="0076189E" w:rsidP="00AC331C">
            <w:pPr>
              <w:jc w:val="right"/>
              <w:rPr>
                <w:rFonts w:ascii="Calibri" w:hAnsi="Calibri"/>
                <w:sz w:val="20"/>
                <w:szCs w:val="20"/>
              </w:rPr>
            </w:pPr>
          </w:p>
        </w:tc>
      </w:tr>
      <w:tr w:rsidR="00AC331C" w14:paraId="0FCA2B92" w14:textId="77777777" w:rsidTr="0076189E">
        <w:tc>
          <w:tcPr>
            <w:tcW w:w="1510" w:type="dxa"/>
            <w:vMerge w:val="restart"/>
            <w:vAlign w:val="center"/>
          </w:tcPr>
          <w:p w14:paraId="67DA829E" w14:textId="50D517CA" w:rsidR="00AC331C" w:rsidRPr="0076189E" w:rsidRDefault="0084400A" w:rsidP="0076189E">
            <w:pPr>
              <w:jc w:val="left"/>
              <w:rPr>
                <w:rFonts w:ascii="Calibri" w:hAnsi="Calibri"/>
                <w:sz w:val="20"/>
                <w:szCs w:val="20"/>
              </w:rPr>
            </w:pPr>
            <w:r>
              <w:rPr>
                <w:rFonts w:ascii="Calibri" w:hAnsi="Calibri"/>
                <w:sz w:val="20"/>
                <w:szCs w:val="20"/>
              </w:rPr>
              <w:t>Ministerstvo zemědělství</w:t>
            </w:r>
          </w:p>
        </w:tc>
        <w:tc>
          <w:tcPr>
            <w:tcW w:w="753" w:type="dxa"/>
            <w:vAlign w:val="center"/>
          </w:tcPr>
          <w:p w14:paraId="44D1D458" w14:textId="5376D3E5" w:rsidR="00AC331C" w:rsidRPr="0076189E" w:rsidRDefault="00AC331C" w:rsidP="0076189E">
            <w:pPr>
              <w:jc w:val="center"/>
              <w:rPr>
                <w:rFonts w:ascii="Calibri" w:hAnsi="Calibri"/>
                <w:sz w:val="20"/>
                <w:szCs w:val="20"/>
              </w:rPr>
            </w:pPr>
            <w:r w:rsidRPr="0076189E">
              <w:rPr>
                <w:rFonts w:ascii="Calibri" w:hAnsi="Calibri"/>
                <w:sz w:val="20"/>
                <w:szCs w:val="20"/>
              </w:rPr>
              <w:t>2014</w:t>
            </w:r>
          </w:p>
        </w:tc>
        <w:tc>
          <w:tcPr>
            <w:tcW w:w="1699" w:type="dxa"/>
            <w:vAlign w:val="center"/>
          </w:tcPr>
          <w:p w14:paraId="40CC11DB" w14:textId="10ABD1CF" w:rsidR="00AC331C" w:rsidRPr="0076189E" w:rsidRDefault="00AC331C" w:rsidP="00AC331C">
            <w:pPr>
              <w:jc w:val="right"/>
              <w:rPr>
                <w:rFonts w:ascii="Calibri" w:hAnsi="Calibri"/>
                <w:sz w:val="20"/>
                <w:szCs w:val="20"/>
              </w:rPr>
            </w:pPr>
            <w:r w:rsidRPr="0076189E">
              <w:rPr>
                <w:rFonts w:ascii="Calibri" w:hAnsi="Calibri"/>
                <w:sz w:val="20"/>
                <w:szCs w:val="20"/>
              </w:rPr>
              <w:t>14 654</w:t>
            </w:r>
          </w:p>
        </w:tc>
        <w:tc>
          <w:tcPr>
            <w:tcW w:w="1700" w:type="dxa"/>
            <w:vAlign w:val="center"/>
          </w:tcPr>
          <w:p w14:paraId="6FD5C8E3" w14:textId="2A9CAEF8" w:rsidR="00AC331C" w:rsidRPr="0076189E" w:rsidRDefault="00AC331C" w:rsidP="00AC331C">
            <w:pPr>
              <w:jc w:val="right"/>
              <w:rPr>
                <w:rFonts w:ascii="Calibri" w:hAnsi="Calibri"/>
                <w:sz w:val="20"/>
                <w:szCs w:val="20"/>
              </w:rPr>
            </w:pPr>
            <w:r w:rsidRPr="0076189E">
              <w:rPr>
                <w:rFonts w:ascii="Calibri" w:hAnsi="Calibri"/>
                <w:sz w:val="20"/>
                <w:szCs w:val="20"/>
              </w:rPr>
              <w:t>12 756</w:t>
            </w:r>
          </w:p>
        </w:tc>
        <w:tc>
          <w:tcPr>
            <w:tcW w:w="1846" w:type="dxa"/>
            <w:vAlign w:val="center"/>
          </w:tcPr>
          <w:p w14:paraId="77888D7E" w14:textId="57F11F7B" w:rsidR="00AC331C" w:rsidRPr="0076189E" w:rsidRDefault="00AC331C" w:rsidP="00AC331C">
            <w:pPr>
              <w:jc w:val="right"/>
              <w:rPr>
                <w:rFonts w:ascii="Calibri" w:hAnsi="Calibri"/>
                <w:sz w:val="20"/>
                <w:szCs w:val="20"/>
              </w:rPr>
            </w:pPr>
            <w:r w:rsidRPr="0076189E">
              <w:rPr>
                <w:rFonts w:ascii="Calibri" w:hAnsi="Calibri"/>
                <w:sz w:val="20"/>
                <w:szCs w:val="20"/>
              </w:rPr>
              <w:t>1 898</w:t>
            </w:r>
          </w:p>
        </w:tc>
        <w:tc>
          <w:tcPr>
            <w:tcW w:w="1554" w:type="dxa"/>
            <w:vAlign w:val="center"/>
          </w:tcPr>
          <w:p w14:paraId="4CA923AB" w14:textId="5851A526" w:rsidR="00AC331C" w:rsidRPr="0076189E" w:rsidRDefault="00AC331C" w:rsidP="00AC331C">
            <w:pPr>
              <w:jc w:val="right"/>
              <w:rPr>
                <w:rFonts w:ascii="Calibri" w:hAnsi="Calibri"/>
                <w:sz w:val="20"/>
                <w:szCs w:val="20"/>
              </w:rPr>
            </w:pPr>
            <w:r w:rsidRPr="0076189E">
              <w:rPr>
                <w:rFonts w:ascii="Calibri" w:hAnsi="Calibri"/>
                <w:sz w:val="20"/>
                <w:szCs w:val="20"/>
              </w:rPr>
              <w:t>18 932</w:t>
            </w:r>
          </w:p>
        </w:tc>
      </w:tr>
      <w:tr w:rsidR="00AC331C" w14:paraId="11611078" w14:textId="77777777" w:rsidTr="0076189E">
        <w:tc>
          <w:tcPr>
            <w:tcW w:w="1510" w:type="dxa"/>
            <w:vMerge/>
          </w:tcPr>
          <w:p w14:paraId="377F0765" w14:textId="77777777" w:rsidR="00AC331C" w:rsidRPr="0076189E" w:rsidRDefault="00AC331C" w:rsidP="00194849">
            <w:pPr>
              <w:rPr>
                <w:rFonts w:ascii="Calibri" w:hAnsi="Calibri"/>
                <w:sz w:val="20"/>
                <w:szCs w:val="20"/>
              </w:rPr>
            </w:pPr>
          </w:p>
        </w:tc>
        <w:tc>
          <w:tcPr>
            <w:tcW w:w="753" w:type="dxa"/>
            <w:vAlign w:val="center"/>
          </w:tcPr>
          <w:p w14:paraId="1F4B9180" w14:textId="53C19925" w:rsidR="00AC331C" w:rsidRPr="0076189E" w:rsidRDefault="00AC331C" w:rsidP="0076189E">
            <w:pPr>
              <w:jc w:val="center"/>
              <w:rPr>
                <w:rFonts w:ascii="Calibri" w:hAnsi="Calibri"/>
                <w:sz w:val="20"/>
                <w:szCs w:val="20"/>
              </w:rPr>
            </w:pPr>
            <w:r w:rsidRPr="0076189E">
              <w:rPr>
                <w:rFonts w:ascii="Calibri" w:hAnsi="Calibri"/>
                <w:sz w:val="20"/>
                <w:szCs w:val="20"/>
              </w:rPr>
              <w:t>2015</w:t>
            </w:r>
          </w:p>
        </w:tc>
        <w:tc>
          <w:tcPr>
            <w:tcW w:w="1699" w:type="dxa"/>
            <w:vAlign w:val="center"/>
          </w:tcPr>
          <w:p w14:paraId="31198CE1" w14:textId="43E13A92" w:rsidR="00AC331C" w:rsidRPr="0076189E" w:rsidRDefault="00B75FE3" w:rsidP="00AC331C">
            <w:pPr>
              <w:jc w:val="right"/>
              <w:rPr>
                <w:rFonts w:ascii="Calibri" w:hAnsi="Calibri"/>
                <w:sz w:val="20"/>
                <w:szCs w:val="20"/>
              </w:rPr>
            </w:pPr>
            <w:r>
              <w:rPr>
                <w:rFonts w:ascii="Calibri" w:hAnsi="Calibri"/>
                <w:sz w:val="20"/>
                <w:szCs w:val="20"/>
              </w:rPr>
              <w:t>20 830</w:t>
            </w:r>
          </w:p>
        </w:tc>
        <w:tc>
          <w:tcPr>
            <w:tcW w:w="1700" w:type="dxa"/>
            <w:vAlign w:val="center"/>
          </w:tcPr>
          <w:p w14:paraId="3C3E621D" w14:textId="293C196A" w:rsidR="00AC331C" w:rsidRPr="0076189E" w:rsidRDefault="00B75FE3" w:rsidP="00B75FE3">
            <w:pPr>
              <w:jc w:val="right"/>
              <w:rPr>
                <w:rFonts w:ascii="Calibri" w:hAnsi="Calibri"/>
                <w:sz w:val="20"/>
                <w:szCs w:val="20"/>
              </w:rPr>
            </w:pPr>
            <w:r>
              <w:rPr>
                <w:rFonts w:ascii="Calibri" w:hAnsi="Calibri"/>
                <w:sz w:val="20"/>
                <w:szCs w:val="20"/>
              </w:rPr>
              <w:t>17 938</w:t>
            </w:r>
          </w:p>
        </w:tc>
        <w:tc>
          <w:tcPr>
            <w:tcW w:w="1846" w:type="dxa"/>
            <w:vAlign w:val="center"/>
          </w:tcPr>
          <w:p w14:paraId="4046CC3A" w14:textId="53FE82B6" w:rsidR="00AC331C" w:rsidRPr="0076189E" w:rsidRDefault="00B75FE3" w:rsidP="00AC331C">
            <w:pPr>
              <w:jc w:val="right"/>
              <w:rPr>
                <w:rFonts w:ascii="Calibri" w:hAnsi="Calibri"/>
                <w:sz w:val="20"/>
                <w:szCs w:val="20"/>
              </w:rPr>
            </w:pPr>
            <w:r>
              <w:rPr>
                <w:rFonts w:ascii="Calibri" w:hAnsi="Calibri"/>
                <w:sz w:val="20"/>
                <w:szCs w:val="20"/>
              </w:rPr>
              <w:t>2 892</w:t>
            </w:r>
          </w:p>
        </w:tc>
        <w:tc>
          <w:tcPr>
            <w:tcW w:w="1554" w:type="dxa"/>
            <w:vAlign w:val="center"/>
          </w:tcPr>
          <w:p w14:paraId="771590CD" w14:textId="470093C0" w:rsidR="00AC331C" w:rsidRPr="0076189E" w:rsidRDefault="00B75FE3" w:rsidP="00B75FE3">
            <w:pPr>
              <w:jc w:val="right"/>
              <w:rPr>
                <w:rFonts w:ascii="Calibri" w:hAnsi="Calibri"/>
                <w:sz w:val="20"/>
                <w:szCs w:val="20"/>
              </w:rPr>
            </w:pPr>
            <w:r>
              <w:rPr>
                <w:rFonts w:ascii="Calibri" w:hAnsi="Calibri"/>
                <w:sz w:val="20"/>
                <w:szCs w:val="20"/>
              </w:rPr>
              <w:t>25 749</w:t>
            </w:r>
          </w:p>
        </w:tc>
      </w:tr>
      <w:tr w:rsidR="0076189E" w14:paraId="4BEAD992" w14:textId="77777777" w:rsidTr="00BC3C55">
        <w:tc>
          <w:tcPr>
            <w:tcW w:w="1510" w:type="dxa"/>
            <w:vMerge/>
          </w:tcPr>
          <w:p w14:paraId="3371772E" w14:textId="77777777" w:rsidR="0076189E" w:rsidRPr="0076189E" w:rsidRDefault="0076189E" w:rsidP="00194849">
            <w:pPr>
              <w:rPr>
                <w:rFonts w:ascii="Calibri" w:hAnsi="Calibri"/>
                <w:sz w:val="20"/>
                <w:szCs w:val="20"/>
              </w:rPr>
            </w:pPr>
          </w:p>
        </w:tc>
        <w:tc>
          <w:tcPr>
            <w:tcW w:w="753" w:type="dxa"/>
            <w:vAlign w:val="center"/>
          </w:tcPr>
          <w:p w14:paraId="22F5DDBF" w14:textId="0BA989D0" w:rsidR="0076189E" w:rsidRPr="0076189E" w:rsidRDefault="0076189E" w:rsidP="0076189E">
            <w:pPr>
              <w:jc w:val="center"/>
              <w:rPr>
                <w:rFonts w:ascii="Calibri" w:hAnsi="Calibri"/>
                <w:sz w:val="20"/>
                <w:szCs w:val="20"/>
              </w:rPr>
            </w:pPr>
            <w:r w:rsidRPr="0076189E">
              <w:rPr>
                <w:rFonts w:ascii="Calibri" w:hAnsi="Calibri"/>
                <w:sz w:val="20"/>
                <w:szCs w:val="20"/>
              </w:rPr>
              <w:t>2016</w:t>
            </w:r>
          </w:p>
        </w:tc>
        <w:tc>
          <w:tcPr>
            <w:tcW w:w="1699" w:type="dxa"/>
            <w:vAlign w:val="center"/>
          </w:tcPr>
          <w:p w14:paraId="4D489BE6" w14:textId="4913550C" w:rsidR="0076189E" w:rsidRPr="0076189E" w:rsidRDefault="00B75FE3" w:rsidP="00AC331C">
            <w:pPr>
              <w:jc w:val="right"/>
              <w:rPr>
                <w:rFonts w:ascii="Calibri" w:hAnsi="Calibri"/>
                <w:sz w:val="20"/>
                <w:szCs w:val="20"/>
              </w:rPr>
            </w:pPr>
            <w:r>
              <w:rPr>
                <w:rFonts w:ascii="Calibri" w:hAnsi="Calibri"/>
                <w:sz w:val="20"/>
                <w:szCs w:val="20"/>
              </w:rPr>
              <w:t>28 641</w:t>
            </w:r>
          </w:p>
        </w:tc>
        <w:tc>
          <w:tcPr>
            <w:tcW w:w="5100" w:type="dxa"/>
            <w:gridSpan w:val="3"/>
            <w:vAlign w:val="center"/>
          </w:tcPr>
          <w:p w14:paraId="272B871B" w14:textId="77777777" w:rsidR="0076189E" w:rsidRPr="0076189E" w:rsidRDefault="0076189E" w:rsidP="00AC331C">
            <w:pPr>
              <w:jc w:val="right"/>
              <w:rPr>
                <w:rFonts w:ascii="Calibri" w:hAnsi="Calibri"/>
                <w:sz w:val="20"/>
                <w:szCs w:val="20"/>
              </w:rPr>
            </w:pPr>
          </w:p>
        </w:tc>
      </w:tr>
    </w:tbl>
    <w:p w14:paraId="7B1C9931" w14:textId="0EF60762" w:rsidR="00D813EB" w:rsidRPr="0084400A" w:rsidRDefault="0084400A" w:rsidP="00194849">
      <w:pPr>
        <w:rPr>
          <w:sz w:val="20"/>
          <w:szCs w:val="20"/>
        </w:rPr>
      </w:pPr>
      <w:r w:rsidRPr="0084400A">
        <w:rPr>
          <w:b/>
          <w:sz w:val="20"/>
          <w:szCs w:val="20"/>
        </w:rPr>
        <w:t>Zdroj:</w:t>
      </w:r>
      <w:r w:rsidRPr="0084400A">
        <w:rPr>
          <w:sz w:val="20"/>
          <w:szCs w:val="20"/>
        </w:rPr>
        <w:t xml:space="preserve"> IISSP a vlastní výpočet</w:t>
      </w:r>
      <w:r>
        <w:rPr>
          <w:sz w:val="20"/>
          <w:szCs w:val="20"/>
        </w:rPr>
        <w:t>.</w:t>
      </w:r>
    </w:p>
    <w:p w14:paraId="64546C40" w14:textId="77777777" w:rsidR="00D813EB" w:rsidRDefault="00D813EB" w:rsidP="00194849"/>
    <w:p w14:paraId="1F231190" w14:textId="3BF2587C" w:rsidR="0077204B" w:rsidRDefault="00CF06FA" w:rsidP="00761EB6">
      <w:pPr>
        <w:spacing w:after="120"/>
      </w:pPr>
      <w:r>
        <w:t xml:space="preserve">Mezi </w:t>
      </w:r>
      <w:r w:rsidRPr="00A41D18">
        <w:t>nároky z</w:t>
      </w:r>
      <w:r>
        <w:t> </w:t>
      </w:r>
      <w:r w:rsidRPr="00A41D18">
        <w:t>nespotřebovaných</w:t>
      </w:r>
      <w:r>
        <w:t xml:space="preserve"> neprofilujících</w:t>
      </w:r>
      <w:r w:rsidRPr="00A41D18">
        <w:t xml:space="preserve"> výdajů jsou zařazeny mj. NN</w:t>
      </w:r>
      <w:r>
        <w:t>N</w:t>
      </w:r>
      <w:r w:rsidRPr="00A41D18">
        <w:t>V vzniklé z</w:t>
      </w:r>
      <w:r>
        <w:t> transferů, které by měly být poskytovány vždy na stanovený účel a</w:t>
      </w:r>
      <w:r w:rsidR="002C3645">
        <w:t xml:space="preserve"> </w:t>
      </w:r>
      <w:r>
        <w:t>v důsledku toho zahrnovány do NNPV</w:t>
      </w:r>
      <w:r w:rsidR="002C3645">
        <w:t>:</w:t>
      </w:r>
    </w:p>
    <w:p w14:paraId="2BADA283" w14:textId="32E17B49" w:rsidR="00194849" w:rsidRDefault="002C3645" w:rsidP="00761EB6">
      <w:pPr>
        <w:pStyle w:val="Odstavecseseznamem"/>
        <w:numPr>
          <w:ilvl w:val="0"/>
          <w:numId w:val="27"/>
        </w:numPr>
        <w:spacing w:after="0"/>
      </w:pPr>
      <w:r>
        <w:t>P</w:t>
      </w:r>
      <w:r w:rsidRPr="002B519D">
        <w:t xml:space="preserve">říkladem </w:t>
      </w:r>
      <w:r>
        <w:t>neprofilujících výdajů,</w:t>
      </w:r>
      <w:r w:rsidRPr="002B519D">
        <w:t xml:space="preserve"> </w:t>
      </w:r>
      <w:r w:rsidR="00CF06FA" w:rsidRPr="002B519D">
        <w:t xml:space="preserve">u kterých nejsou zřejmé důvody pro jejich evidenci </w:t>
      </w:r>
      <w:r w:rsidR="00CF06FA">
        <w:t>v </w:t>
      </w:r>
      <w:r w:rsidR="00CF06FA" w:rsidRPr="002B519D">
        <w:t>NNV</w:t>
      </w:r>
      <w:r w:rsidR="00CF06FA">
        <w:t>,</w:t>
      </w:r>
      <w:r w:rsidR="00CF06FA" w:rsidRPr="002B519D">
        <w:t xml:space="preserve"> je příspěv</w:t>
      </w:r>
      <w:r w:rsidR="00CF06FA">
        <w:t>e</w:t>
      </w:r>
      <w:r w:rsidR="00CF06FA" w:rsidRPr="002B519D">
        <w:t>k na provoz zřízeným příspěvkovým organizacím.</w:t>
      </w:r>
      <w:r w:rsidR="00CF06FA">
        <w:t xml:space="preserve"> Tento příspěvek je rozpočtován v případě, že v</w:t>
      </w:r>
      <w:r w:rsidR="0077204B">
        <w:t> </w:t>
      </w:r>
      <w:r w:rsidR="00CF06FA">
        <w:t>návrhu rozpočtu příspěvkové organizace, který je sestavován na jedno rozpočtové období, náklady převyšují výnosy.</w:t>
      </w:r>
    </w:p>
    <w:p w14:paraId="3F4051C2" w14:textId="2BCED6E7" w:rsidR="00194849" w:rsidRDefault="00CF06FA" w:rsidP="00761EB6">
      <w:pPr>
        <w:pStyle w:val="Odstavecseseznamem"/>
        <w:numPr>
          <w:ilvl w:val="0"/>
          <w:numId w:val="27"/>
        </w:numPr>
        <w:spacing w:after="0"/>
      </w:pPr>
      <w:r>
        <w:lastRenderedPageBreak/>
        <w:t xml:space="preserve">Dalším příkladem zařazení nároků z nespotřebovaných výdajů mezi NNNV </w:t>
      </w:r>
      <w:r w:rsidR="002C3645">
        <w:t>je</w:t>
      </w:r>
      <w:r>
        <w:t xml:space="preserve"> případ kapitálového posílení Českomoravské záruční a rozvojové banky, a. s., kdy byl účel stanoven rozhodnutím vlády, ale MF nerozhodlo o přiřazení účelu. V roce 2015 vlád</w:t>
      </w:r>
      <w:r w:rsidR="002C3645">
        <w:t>a</w:t>
      </w:r>
      <w:r>
        <w:t xml:space="preserve"> ČR </w:t>
      </w:r>
      <w:r w:rsidR="002C3645">
        <w:t xml:space="preserve">svým usnesením </w:t>
      </w:r>
      <w:r>
        <w:t xml:space="preserve">ze dne 20. 11. 2015 č. 964, </w:t>
      </w:r>
      <w:r w:rsidRPr="00761EB6">
        <w:rPr>
          <w:i/>
        </w:rPr>
        <w:t>o kapitálovém posílení Českomoravské záruční a rozvojové banky, a. s.,</w:t>
      </w:r>
      <w:r w:rsidR="002C3645" w:rsidRPr="00761EB6">
        <w:rPr>
          <w:i/>
        </w:rPr>
        <w:t xml:space="preserve"> v roce 2015</w:t>
      </w:r>
      <w:r w:rsidR="002C3645">
        <w:t>,</w:t>
      </w:r>
      <w:r>
        <w:t xml:space="preserve"> souhlasila mj. se zvýšením výdajů kapitol </w:t>
      </w:r>
      <w:r w:rsidR="003735FE">
        <w:t xml:space="preserve">312 – </w:t>
      </w:r>
      <w:r>
        <w:t xml:space="preserve">MF, </w:t>
      </w:r>
      <w:r w:rsidR="003735FE">
        <w:t xml:space="preserve">317 – </w:t>
      </w:r>
      <w:r>
        <w:t>MMR a </w:t>
      </w:r>
      <w:r w:rsidR="003E5A55">
        <w:t xml:space="preserve">322 – </w:t>
      </w:r>
      <w:r w:rsidRPr="003E5A55">
        <w:rPr>
          <w:i/>
        </w:rPr>
        <w:t>Ministerstvo průmyslu a obchodu</w:t>
      </w:r>
      <w:r>
        <w:t xml:space="preserve"> v celkové výši 500,08</w:t>
      </w:r>
      <w:r w:rsidR="003E5A55">
        <w:t> </w:t>
      </w:r>
      <w:r>
        <w:t>mil.</w:t>
      </w:r>
      <w:r w:rsidR="00B1210C">
        <w:t> </w:t>
      </w:r>
      <w:r>
        <w:t>Kč. Tím, že MF nevymezilo účel, evidují se tyto nevyčerpané prostředky v nárocích z nespotřebovaných neprofilujících výdajů, nikoliv v nárocích z nespotřebovaných profilujících výdajů. Existuje riziko, že MF, MMR a MPO by mohly tyto NNV zapojit do konečného rozpočtu a použít je na jiný druh výdaje než stanovený rozhodnutím vlády.</w:t>
      </w:r>
    </w:p>
    <w:p w14:paraId="218D54F9" w14:textId="77777777" w:rsidR="00194849" w:rsidRDefault="00194849" w:rsidP="00194849"/>
    <w:p w14:paraId="46019199" w14:textId="594AD514" w:rsidR="00194849" w:rsidRDefault="00CF06FA" w:rsidP="00194849">
      <w:r>
        <w:t xml:space="preserve">Kontrolou bylo ověřeno, </w:t>
      </w:r>
      <w:r w:rsidRPr="00934762">
        <w:t>že kontrolované osoby postupovaly při výpočtu</w:t>
      </w:r>
      <w:r>
        <w:t xml:space="preserve"> NNV k 1. 1. 2014, k 1. 1. 2015 a k 1. 1. 2016 v souladu s </w:t>
      </w:r>
      <w:r w:rsidRPr="002D30DA">
        <w:t>ustanovení</w:t>
      </w:r>
      <w:r>
        <w:t>m</w:t>
      </w:r>
      <w:r w:rsidRPr="002D30DA">
        <w:t xml:space="preserve"> § 47 odst. 1 </w:t>
      </w:r>
      <w:r>
        <w:t>písm. d) zákona</w:t>
      </w:r>
      <w:r w:rsidRPr="002D30DA">
        <w:t xml:space="preserve"> č.</w:t>
      </w:r>
      <w:r>
        <w:t> </w:t>
      </w:r>
      <w:r w:rsidRPr="002D30DA">
        <w:t>218</w:t>
      </w:r>
      <w:r>
        <w:t>/2000</w:t>
      </w:r>
      <w:r w:rsidR="00FB008F">
        <w:t> </w:t>
      </w:r>
      <w:r>
        <w:t>Sb. U níže uvedených kontrolovaných osob</w:t>
      </w:r>
      <w:r w:rsidRPr="000847D6">
        <w:t xml:space="preserve"> </w:t>
      </w:r>
      <w:r>
        <w:t>byl</w:t>
      </w:r>
      <w:r w:rsidR="00290808">
        <w:t>y</w:t>
      </w:r>
      <w:r>
        <w:t xml:space="preserve"> </w:t>
      </w:r>
      <w:r w:rsidR="00290808">
        <w:t>dále zjištěny tyto skutečnosti</w:t>
      </w:r>
      <w:r>
        <w:t>:</w:t>
      </w:r>
    </w:p>
    <w:p w14:paraId="0C56F806" w14:textId="77777777" w:rsidR="00E4215C" w:rsidRDefault="00E4215C" w:rsidP="00194849"/>
    <w:p w14:paraId="453B7CD0" w14:textId="77777777" w:rsidR="00194849" w:rsidRDefault="00CF06FA" w:rsidP="00761EB6">
      <w:pPr>
        <w:pStyle w:val="Nadpis3"/>
        <w:spacing w:before="0"/>
      </w:pPr>
      <w:r>
        <w:t>MF</w:t>
      </w:r>
    </w:p>
    <w:p w14:paraId="1630166D" w14:textId="26DD444C" w:rsidR="00194849" w:rsidRDefault="00CF06FA" w:rsidP="00194849">
      <w:r>
        <w:t>V rámci ukončení vybraných akcí registrovaných v </w:t>
      </w:r>
      <w:r w:rsidRPr="00761EB6">
        <w:rPr>
          <w:i/>
        </w:rPr>
        <w:t>Informačním systému programového financování</w:t>
      </w:r>
      <w:r>
        <w:t xml:space="preserve"> rozhodl správce programu 112090 o převedení nevyčerpaných prostředků v celkové výši 605,13 mil. Kč na akci </w:t>
      </w:r>
      <w:r w:rsidRPr="00761EB6">
        <w:t>„</w:t>
      </w:r>
      <w:r>
        <w:rPr>
          <w:i/>
        </w:rPr>
        <w:t>Rezerva v nákladech na projekty ...</w:t>
      </w:r>
      <w:r w:rsidRPr="00761EB6">
        <w:t>“.</w:t>
      </w:r>
      <w:r>
        <w:t xml:space="preserve"> Financování nových akcí tohoto programu bude zabezpečeno pouze z převedených nároků z nespotřebovaných výdajů</w:t>
      </w:r>
      <w:r w:rsidR="00837CDC">
        <w:t>,</w:t>
      </w:r>
      <w:r>
        <w:t xml:space="preserve"> a nebude tak zahrnuto ve schváleném rozpočtu, tj. prostředky nebudou zajištěny prostřednictvím rozpočtu. Dle sdělení MF financování nových akcí nezatíží státní rozpočet. Z toho plyne, že prostředky budou zajištěny </w:t>
      </w:r>
      <w:r w:rsidR="0077204B">
        <w:t>na úkor akc</w:t>
      </w:r>
      <w:r>
        <w:t xml:space="preserve">í, jejichž výdaje byly uvedeny ve schváleném rozpočtu, ale k jejichž financování nedojde, nebo </w:t>
      </w:r>
      <w:r w:rsidR="00837CDC">
        <w:t xml:space="preserve">akcí, </w:t>
      </w:r>
      <w:r>
        <w:t>u nichž dojde k hospodárnějšímu provedení úkolů.</w:t>
      </w:r>
    </w:p>
    <w:p w14:paraId="7F75B819" w14:textId="77777777" w:rsidR="00E4215C" w:rsidRDefault="00E4215C" w:rsidP="00194849"/>
    <w:p w14:paraId="4DD9056D" w14:textId="77777777" w:rsidR="00194849" w:rsidRDefault="00CF06FA" w:rsidP="00761EB6">
      <w:pPr>
        <w:pStyle w:val="Nadpis3"/>
        <w:spacing w:before="0"/>
      </w:pPr>
      <w:proofErr w:type="spellStart"/>
      <w:r>
        <w:t>MZe</w:t>
      </w:r>
      <w:proofErr w:type="spellEnd"/>
    </w:p>
    <w:p w14:paraId="19B1F86C" w14:textId="1191DDE5" w:rsidR="00194849" w:rsidRDefault="00CF06FA" w:rsidP="00194849">
      <w:pPr>
        <w:widowControl w:val="0"/>
        <w:shd w:val="clear" w:color="auto" w:fill="FFFFFF"/>
        <w:tabs>
          <w:tab w:val="left" w:pos="1085"/>
        </w:tabs>
        <w:autoSpaceDE w:val="0"/>
        <w:autoSpaceDN w:val="0"/>
        <w:adjustRightInd w:val="0"/>
        <w:spacing w:line="280" w:lineRule="atLeast"/>
        <w:ind w:right="6"/>
        <w:rPr>
          <w:rFonts w:ascii="Calibri" w:hAnsi="Calibri"/>
        </w:rPr>
      </w:pPr>
      <w:r w:rsidRPr="00E96F28">
        <w:rPr>
          <w:rFonts w:ascii="Calibri" w:hAnsi="Calibri"/>
        </w:rPr>
        <w:t xml:space="preserve">OSS </w:t>
      </w:r>
      <w:proofErr w:type="spellStart"/>
      <w:r w:rsidRPr="00E96F28">
        <w:rPr>
          <w:rFonts w:ascii="Calibri" w:hAnsi="Calibri"/>
        </w:rPr>
        <w:t>MZe</w:t>
      </w:r>
      <w:proofErr w:type="spellEnd"/>
      <w:r w:rsidRPr="00E96F28">
        <w:rPr>
          <w:rFonts w:ascii="Calibri" w:hAnsi="Calibri"/>
        </w:rPr>
        <w:t xml:space="preserve"> vykazovala ve výkaz</w:t>
      </w:r>
      <w:r>
        <w:rPr>
          <w:rFonts w:ascii="Calibri" w:hAnsi="Calibri"/>
        </w:rPr>
        <w:t>ech o nárocích z nespotřebovaných výdajů za roky 2014 a 2015 NNV</w:t>
      </w:r>
      <w:r w:rsidRPr="00E96F28">
        <w:rPr>
          <w:rFonts w:ascii="Calibri" w:hAnsi="Calibri"/>
        </w:rPr>
        <w:t xml:space="preserve"> na RP 5901</w:t>
      </w:r>
      <w:r>
        <w:rPr>
          <w:rFonts w:ascii="Calibri" w:hAnsi="Calibri"/>
        </w:rPr>
        <w:t xml:space="preserve"> </w:t>
      </w:r>
      <w:r w:rsidRPr="00FF357E">
        <w:rPr>
          <w:rFonts w:ascii="Calibri" w:hAnsi="Calibri"/>
          <w:i/>
        </w:rPr>
        <w:t>– Nespecifikované rezervy</w:t>
      </w:r>
      <w:r w:rsidRPr="00E96F28">
        <w:rPr>
          <w:rFonts w:ascii="Calibri" w:hAnsi="Calibri"/>
        </w:rPr>
        <w:t xml:space="preserve"> a 6901</w:t>
      </w:r>
      <w:r w:rsidRPr="00FF357E">
        <w:rPr>
          <w:rFonts w:ascii="Calibri" w:hAnsi="Calibri"/>
          <w:i/>
        </w:rPr>
        <w:t xml:space="preserve"> – Rezervy kapitálových výdajů</w:t>
      </w:r>
      <w:r w:rsidRPr="00E96F28">
        <w:rPr>
          <w:rFonts w:ascii="Calibri" w:hAnsi="Calibri"/>
        </w:rPr>
        <w:t xml:space="preserve">, </w:t>
      </w:r>
      <w:r>
        <w:rPr>
          <w:rFonts w:ascii="Calibri" w:hAnsi="Calibri"/>
        </w:rPr>
        <w:t>i když ve svém ekonomickém informačním systému je uváděla na rozpočtových položkách</w:t>
      </w:r>
      <w:r w:rsidR="00F806C2">
        <w:rPr>
          <w:rStyle w:val="Znakapoznpodarou"/>
          <w:rFonts w:ascii="Calibri" w:hAnsi="Calibri"/>
        </w:rPr>
        <w:footnoteReference w:id="17"/>
      </w:r>
      <w:r>
        <w:rPr>
          <w:rFonts w:ascii="Calibri" w:hAnsi="Calibri"/>
        </w:rPr>
        <w:t xml:space="preserve">, které nejsou </w:t>
      </w:r>
      <w:r w:rsidRPr="00E96F28">
        <w:rPr>
          <w:rFonts w:ascii="Calibri" w:hAnsi="Calibri"/>
        </w:rPr>
        <w:t>vyhláškou č. 323/2002 Sb.</w:t>
      </w:r>
      <w:r w:rsidR="00E95FDA">
        <w:rPr>
          <w:rFonts w:ascii="Calibri" w:hAnsi="Calibri"/>
        </w:rPr>
        <w:t>, o rozpočtové skladbě,</w:t>
      </w:r>
      <w:r>
        <w:rPr>
          <w:rFonts w:ascii="Calibri" w:hAnsi="Calibri"/>
        </w:rPr>
        <w:t xml:space="preserve"> </w:t>
      </w:r>
      <w:r w:rsidRPr="00E96F28">
        <w:rPr>
          <w:rFonts w:ascii="Calibri" w:hAnsi="Calibri"/>
        </w:rPr>
        <w:t>upraveny.</w:t>
      </w:r>
    </w:p>
    <w:p w14:paraId="5B940832" w14:textId="77777777" w:rsidR="00194849" w:rsidRDefault="00194849" w:rsidP="000E64ED">
      <w:pPr>
        <w:spacing w:line="259" w:lineRule="auto"/>
        <w:jc w:val="left"/>
        <w:rPr>
          <w:rFonts w:cs="Arial"/>
          <w:b/>
        </w:rPr>
      </w:pPr>
    </w:p>
    <w:p w14:paraId="590B5282" w14:textId="4A644195" w:rsidR="00194849" w:rsidRDefault="00CF06FA" w:rsidP="00761EB6">
      <w:pPr>
        <w:pStyle w:val="Nadpis2"/>
        <w:numPr>
          <w:ilvl w:val="0"/>
          <w:numId w:val="0"/>
        </w:numPr>
        <w:spacing w:before="0"/>
      </w:pPr>
      <w:r w:rsidRPr="00674DEE">
        <w:t>K </w:t>
      </w:r>
      <w:r>
        <w:t>bodu 5</w:t>
      </w:r>
      <w:r w:rsidR="00837CDC">
        <w:t>.</w:t>
      </w:r>
      <w:r>
        <w:t xml:space="preserve"> Snižování nároků z nespotřebovaných výdajů </w:t>
      </w:r>
      <w:r w:rsidR="00F04C4C">
        <w:t xml:space="preserve">u </w:t>
      </w:r>
      <w:r>
        <w:t>kontrolovaných osob</w:t>
      </w:r>
      <w:r w:rsidRPr="00674DEE">
        <w:t>:</w:t>
      </w:r>
    </w:p>
    <w:p w14:paraId="7245FB21" w14:textId="4DB0B9E3" w:rsidR="00F806C2" w:rsidRPr="00F806C2" w:rsidRDefault="00CF06FA" w:rsidP="00761EB6">
      <w:pPr>
        <w:spacing w:after="120"/>
        <w:rPr>
          <w:rFonts w:cstheme="minorHAnsi"/>
        </w:rPr>
      </w:pPr>
      <w:r>
        <w:t xml:space="preserve">Nároky z nespotřebovaných výdajů nejsou součástí schváleného rozpočtu, výdaj, který má být takzvaně kryt NNV, není rozpočtem zajištěn. OSS je povinna zajistit prostředky státního rozpočtu na úhradu rozpočtem nezajištěné potřeby přednostně přesunem prostředků uvnitř svého rozpočtu. Před provedením této úhrady je třeba provést rozpočtové opatření. Zapojení NNV do konečného rozpočtu se provádí prostřednictvím rozpočtového opatření, které musí být zaneseno do chronologické evidence rozpočtových opatření. </w:t>
      </w:r>
      <w:r w:rsidRPr="00A46A23">
        <w:rPr>
          <w:b/>
        </w:rPr>
        <w:t xml:space="preserve">Zákon č. 218/2000 Sb. postup zapojení NNV do konečného rozpočtu </w:t>
      </w:r>
      <w:r w:rsidR="009D6016" w:rsidRPr="00A46A23">
        <w:rPr>
          <w:b/>
        </w:rPr>
        <w:t>neupravuje</w:t>
      </w:r>
      <w:r w:rsidR="009D6016">
        <w:rPr>
          <w:b/>
        </w:rPr>
        <w:t xml:space="preserve"> </w:t>
      </w:r>
      <w:r>
        <w:rPr>
          <w:b/>
        </w:rPr>
        <w:t>explicitně a jednoznačně.</w:t>
      </w:r>
      <w:r>
        <w:t xml:space="preserve"> </w:t>
      </w:r>
      <w:r w:rsidR="00F806C2" w:rsidRPr="00F806C2">
        <w:rPr>
          <w:rFonts w:cstheme="minorHAnsi"/>
        </w:rPr>
        <w:t>Například</w:t>
      </w:r>
      <w:r w:rsidR="009D6016">
        <w:rPr>
          <w:rFonts w:cstheme="minorHAnsi"/>
        </w:rPr>
        <w:t xml:space="preserve"> nestanovuje</w:t>
      </w:r>
      <w:r w:rsidR="00F806C2" w:rsidRPr="00F806C2">
        <w:rPr>
          <w:rFonts w:cstheme="minorHAnsi"/>
        </w:rPr>
        <w:t>, zda:</w:t>
      </w:r>
    </w:p>
    <w:p w14:paraId="01C022D8" w14:textId="09EBD93E" w:rsidR="00F806C2" w:rsidRPr="00F806C2" w:rsidRDefault="00F806C2" w:rsidP="00F806C2">
      <w:pPr>
        <w:pStyle w:val="Odstavecseseznamem"/>
        <w:numPr>
          <w:ilvl w:val="0"/>
          <w:numId w:val="34"/>
        </w:numPr>
        <w:contextualSpacing/>
        <w:rPr>
          <w:rFonts w:cstheme="minorHAnsi"/>
        </w:rPr>
      </w:pPr>
      <w:r w:rsidRPr="00F806C2">
        <w:rPr>
          <w:rFonts w:cstheme="minorHAnsi"/>
        </w:rPr>
        <w:t xml:space="preserve">před schválením a provedením rozpočtového opatření musí OSS zajistit prostředky přednostně přesunem </w:t>
      </w:r>
      <w:r w:rsidR="00425E37">
        <w:rPr>
          <w:rFonts w:cstheme="minorHAnsi"/>
        </w:rPr>
        <w:t xml:space="preserve">finančních </w:t>
      </w:r>
      <w:r w:rsidRPr="00F806C2">
        <w:rPr>
          <w:rFonts w:cstheme="minorHAnsi"/>
        </w:rPr>
        <w:t>prostředků uvnitř svého rozpočtu;</w:t>
      </w:r>
    </w:p>
    <w:p w14:paraId="430563B4" w14:textId="77777777" w:rsidR="00F806C2" w:rsidRPr="00F806C2" w:rsidRDefault="00F806C2" w:rsidP="00F806C2">
      <w:pPr>
        <w:pStyle w:val="Odstavecseseznamem"/>
        <w:numPr>
          <w:ilvl w:val="0"/>
          <w:numId w:val="34"/>
        </w:numPr>
        <w:contextualSpacing/>
        <w:rPr>
          <w:rFonts w:cstheme="minorHAnsi"/>
        </w:rPr>
      </w:pPr>
      <w:r w:rsidRPr="00F806C2">
        <w:rPr>
          <w:rFonts w:cstheme="minorHAnsi"/>
        </w:rPr>
        <w:lastRenderedPageBreak/>
        <w:t>musí OSS doložit možnost či nemožnost krytí v rámci svého rozpočtu na základě dosavadního skutečného čerpání svého rozpočtu;</w:t>
      </w:r>
    </w:p>
    <w:p w14:paraId="40CEC2D0" w14:textId="079BE79B" w:rsidR="00F806C2" w:rsidRPr="00F806C2" w:rsidRDefault="00F806C2" w:rsidP="00BD31CA">
      <w:pPr>
        <w:pStyle w:val="Odstavecseseznamem"/>
        <w:numPr>
          <w:ilvl w:val="0"/>
          <w:numId w:val="34"/>
        </w:numPr>
        <w:contextualSpacing/>
        <w:rPr>
          <w:rFonts w:cstheme="minorHAnsi"/>
        </w:rPr>
      </w:pPr>
      <w:r w:rsidRPr="00F806C2">
        <w:rPr>
          <w:rFonts w:cstheme="minorHAnsi"/>
        </w:rPr>
        <w:t xml:space="preserve">k rozpočtovému opatření musí být přiložena žádost, a </w:t>
      </w:r>
      <w:r w:rsidR="00425E37">
        <w:rPr>
          <w:rFonts w:cstheme="minorHAnsi"/>
        </w:rPr>
        <w:t xml:space="preserve">nestanovuje ani </w:t>
      </w:r>
      <w:r>
        <w:rPr>
          <w:rFonts w:cstheme="minorHAnsi"/>
        </w:rPr>
        <w:t>náležitosti</w:t>
      </w:r>
      <w:r w:rsidR="00425E37">
        <w:rPr>
          <w:rFonts w:cstheme="minorHAnsi"/>
        </w:rPr>
        <w:t>,</w:t>
      </w:r>
      <w:r w:rsidR="00425E37" w:rsidRPr="00425E37">
        <w:rPr>
          <w:rFonts w:cstheme="minorHAnsi"/>
        </w:rPr>
        <w:t xml:space="preserve"> </w:t>
      </w:r>
      <w:r w:rsidR="00425E37" w:rsidRPr="00F806C2">
        <w:rPr>
          <w:rFonts w:cstheme="minorHAnsi"/>
        </w:rPr>
        <w:t>kt</w:t>
      </w:r>
      <w:r w:rsidR="00425E37">
        <w:rPr>
          <w:rFonts w:cstheme="minorHAnsi"/>
        </w:rPr>
        <w:t>eré</w:t>
      </w:r>
      <w:r>
        <w:rPr>
          <w:rFonts w:cstheme="minorHAnsi"/>
        </w:rPr>
        <w:t xml:space="preserve"> musí obsahovat.</w:t>
      </w:r>
    </w:p>
    <w:p w14:paraId="62248094" w14:textId="77777777" w:rsidR="00E4215C" w:rsidRDefault="00E4215C" w:rsidP="00794235"/>
    <w:p w14:paraId="58DAA5B4" w14:textId="77777777" w:rsidR="00194849" w:rsidRDefault="00CF06FA" w:rsidP="00761EB6">
      <w:pPr>
        <w:pStyle w:val="Nadpis2"/>
        <w:numPr>
          <w:ilvl w:val="0"/>
          <w:numId w:val="0"/>
        </w:numPr>
        <w:spacing w:before="0"/>
      </w:pPr>
      <w:r>
        <w:t>5.1 Zapojení nároků z nespotřebovaných výdajů do konečného rozpočtu</w:t>
      </w:r>
    </w:p>
    <w:p w14:paraId="6A548CED" w14:textId="5825C696" w:rsidR="00AC331C" w:rsidRDefault="00AC331C" w:rsidP="00AC331C">
      <w:r>
        <w:t xml:space="preserve">Tabulka č. 7 – Vybrané kontrolované rozpočtové položky </w:t>
      </w:r>
      <w:r w:rsidR="00425E37">
        <w:tab/>
      </w:r>
      <w:r w:rsidR="00425E37">
        <w:tab/>
      </w:r>
      <w:r w:rsidR="00425E37">
        <w:tab/>
      </w:r>
      <w:r w:rsidR="00425E37">
        <w:tab/>
        <w:t xml:space="preserve">      (</w:t>
      </w:r>
      <w:r>
        <w:t>v mil. Kč</w:t>
      </w:r>
      <w:r w:rsidR="00425E37">
        <w:t>)</w:t>
      </w:r>
    </w:p>
    <w:tbl>
      <w:tblPr>
        <w:tblStyle w:val="Mkatabulky"/>
        <w:tblW w:w="9209" w:type="dxa"/>
        <w:tblLayout w:type="fixed"/>
        <w:tblLook w:val="04A0" w:firstRow="1" w:lastRow="0" w:firstColumn="1" w:lastColumn="0" w:noHBand="0" w:noVBand="1"/>
      </w:tblPr>
      <w:tblGrid>
        <w:gridCol w:w="846"/>
        <w:gridCol w:w="1369"/>
        <w:gridCol w:w="1324"/>
        <w:gridCol w:w="1559"/>
        <w:gridCol w:w="1276"/>
        <w:gridCol w:w="1276"/>
        <w:gridCol w:w="1559"/>
      </w:tblGrid>
      <w:tr w:rsidR="00AC331C" w14:paraId="0C800573" w14:textId="7913DD44" w:rsidTr="0076189E">
        <w:tc>
          <w:tcPr>
            <w:tcW w:w="846" w:type="dxa"/>
            <w:vMerge w:val="restart"/>
            <w:shd w:val="clear" w:color="auto" w:fill="E5F1FF"/>
            <w:vAlign w:val="center"/>
          </w:tcPr>
          <w:p w14:paraId="1F31F9E3" w14:textId="7C7D6145" w:rsidR="00AC331C" w:rsidRPr="0076189E" w:rsidRDefault="00AC331C" w:rsidP="00AC331C">
            <w:pPr>
              <w:jc w:val="center"/>
              <w:rPr>
                <w:rFonts w:ascii="Calibri" w:hAnsi="Calibri"/>
                <w:b/>
                <w:sz w:val="20"/>
                <w:szCs w:val="20"/>
              </w:rPr>
            </w:pPr>
            <w:r w:rsidRPr="0076189E">
              <w:rPr>
                <w:rFonts w:ascii="Calibri" w:hAnsi="Calibri"/>
                <w:b/>
                <w:sz w:val="20"/>
                <w:szCs w:val="20"/>
              </w:rPr>
              <w:t>OSS</w:t>
            </w:r>
          </w:p>
        </w:tc>
        <w:tc>
          <w:tcPr>
            <w:tcW w:w="4252" w:type="dxa"/>
            <w:gridSpan w:val="3"/>
            <w:shd w:val="clear" w:color="auto" w:fill="E5F1FF"/>
            <w:vAlign w:val="center"/>
          </w:tcPr>
          <w:p w14:paraId="42E588D4" w14:textId="188D9C3E" w:rsidR="00AC331C" w:rsidRPr="0076189E" w:rsidRDefault="00AC331C" w:rsidP="00AC331C">
            <w:pPr>
              <w:jc w:val="center"/>
              <w:rPr>
                <w:rFonts w:ascii="Calibri" w:hAnsi="Calibri"/>
                <w:b/>
                <w:sz w:val="20"/>
                <w:szCs w:val="20"/>
              </w:rPr>
            </w:pPr>
            <w:r w:rsidRPr="0076189E">
              <w:rPr>
                <w:rFonts w:ascii="Calibri" w:hAnsi="Calibri"/>
                <w:b/>
                <w:sz w:val="20"/>
                <w:szCs w:val="20"/>
              </w:rPr>
              <w:t>Rok 2014</w:t>
            </w:r>
          </w:p>
        </w:tc>
        <w:tc>
          <w:tcPr>
            <w:tcW w:w="4111" w:type="dxa"/>
            <w:gridSpan w:val="3"/>
            <w:shd w:val="clear" w:color="auto" w:fill="E5F1FF"/>
            <w:vAlign w:val="center"/>
          </w:tcPr>
          <w:p w14:paraId="0A1C6814" w14:textId="02C64F07" w:rsidR="00AC331C" w:rsidRPr="0076189E" w:rsidRDefault="00AC331C" w:rsidP="00AC331C">
            <w:pPr>
              <w:jc w:val="center"/>
              <w:rPr>
                <w:rFonts w:ascii="Calibri" w:hAnsi="Calibri"/>
                <w:b/>
                <w:sz w:val="20"/>
                <w:szCs w:val="20"/>
              </w:rPr>
            </w:pPr>
            <w:r w:rsidRPr="0076189E">
              <w:rPr>
                <w:rFonts w:ascii="Calibri" w:hAnsi="Calibri"/>
                <w:b/>
                <w:sz w:val="20"/>
                <w:szCs w:val="20"/>
              </w:rPr>
              <w:t>Rok 2015</w:t>
            </w:r>
          </w:p>
        </w:tc>
      </w:tr>
      <w:tr w:rsidR="00AC331C" w14:paraId="51702310" w14:textId="7ED17831" w:rsidTr="0076189E">
        <w:tc>
          <w:tcPr>
            <w:tcW w:w="846" w:type="dxa"/>
            <w:vMerge/>
            <w:shd w:val="clear" w:color="auto" w:fill="E5F1FF"/>
          </w:tcPr>
          <w:p w14:paraId="265DD1B7" w14:textId="77777777" w:rsidR="00AC331C" w:rsidRPr="0076189E" w:rsidRDefault="00AC331C" w:rsidP="00AC331C">
            <w:pPr>
              <w:rPr>
                <w:rFonts w:ascii="Calibri" w:hAnsi="Calibri"/>
                <w:b/>
                <w:sz w:val="20"/>
                <w:szCs w:val="20"/>
              </w:rPr>
            </w:pPr>
          </w:p>
        </w:tc>
        <w:tc>
          <w:tcPr>
            <w:tcW w:w="1369" w:type="dxa"/>
            <w:shd w:val="clear" w:color="auto" w:fill="E5F1FF"/>
            <w:vAlign w:val="center"/>
          </w:tcPr>
          <w:p w14:paraId="78431126" w14:textId="17A3CB94" w:rsidR="00AC331C" w:rsidRPr="0076189E" w:rsidRDefault="00AC331C" w:rsidP="00AC331C">
            <w:pPr>
              <w:jc w:val="center"/>
              <w:rPr>
                <w:rFonts w:ascii="Calibri" w:hAnsi="Calibri"/>
                <w:b/>
                <w:sz w:val="20"/>
                <w:szCs w:val="20"/>
              </w:rPr>
            </w:pPr>
            <w:r w:rsidRPr="0076189E">
              <w:rPr>
                <w:rFonts w:ascii="Calibri" w:hAnsi="Calibri"/>
                <w:b/>
                <w:sz w:val="20"/>
                <w:szCs w:val="20"/>
              </w:rPr>
              <w:t>Zapojení NNV</w:t>
            </w:r>
          </w:p>
        </w:tc>
        <w:tc>
          <w:tcPr>
            <w:tcW w:w="1324" w:type="dxa"/>
            <w:shd w:val="clear" w:color="auto" w:fill="E5F1FF"/>
            <w:vAlign w:val="center"/>
          </w:tcPr>
          <w:p w14:paraId="3FF5DD6F" w14:textId="01C5A125" w:rsidR="00AC331C" w:rsidRPr="0076189E" w:rsidRDefault="00AC331C" w:rsidP="00AC331C">
            <w:pPr>
              <w:jc w:val="center"/>
              <w:rPr>
                <w:rFonts w:ascii="Calibri" w:hAnsi="Calibri"/>
                <w:b/>
                <w:sz w:val="20"/>
                <w:szCs w:val="20"/>
              </w:rPr>
            </w:pPr>
            <w:r w:rsidRPr="0076189E">
              <w:rPr>
                <w:rFonts w:ascii="Calibri" w:hAnsi="Calibri"/>
                <w:b/>
                <w:sz w:val="20"/>
                <w:szCs w:val="20"/>
              </w:rPr>
              <w:t>Čerpáno</w:t>
            </w:r>
          </w:p>
        </w:tc>
        <w:tc>
          <w:tcPr>
            <w:tcW w:w="1559" w:type="dxa"/>
            <w:shd w:val="clear" w:color="auto" w:fill="E5F1FF"/>
            <w:vAlign w:val="center"/>
          </w:tcPr>
          <w:p w14:paraId="563CC443" w14:textId="15C3BAA5" w:rsidR="00AC331C" w:rsidRPr="0076189E" w:rsidRDefault="00AC331C" w:rsidP="00AC331C">
            <w:pPr>
              <w:jc w:val="center"/>
              <w:rPr>
                <w:rFonts w:ascii="Calibri" w:hAnsi="Calibri"/>
                <w:b/>
                <w:sz w:val="20"/>
                <w:szCs w:val="20"/>
              </w:rPr>
            </w:pPr>
            <w:r w:rsidRPr="0076189E">
              <w:rPr>
                <w:rFonts w:ascii="Calibri" w:hAnsi="Calibri"/>
                <w:b/>
                <w:sz w:val="20"/>
                <w:szCs w:val="20"/>
              </w:rPr>
              <w:t xml:space="preserve">Nečerpáno </w:t>
            </w:r>
            <w:proofErr w:type="gramStart"/>
            <w:r w:rsidRPr="0076189E">
              <w:rPr>
                <w:rFonts w:ascii="Calibri" w:hAnsi="Calibri"/>
                <w:b/>
                <w:sz w:val="20"/>
                <w:szCs w:val="20"/>
              </w:rPr>
              <w:t>ze zapoj</w:t>
            </w:r>
            <w:proofErr w:type="gramEnd"/>
            <w:r w:rsidRPr="0076189E">
              <w:rPr>
                <w:rFonts w:ascii="Calibri" w:hAnsi="Calibri"/>
                <w:b/>
                <w:sz w:val="20"/>
                <w:szCs w:val="20"/>
              </w:rPr>
              <w:t>. NNV</w:t>
            </w:r>
          </w:p>
        </w:tc>
        <w:tc>
          <w:tcPr>
            <w:tcW w:w="1276" w:type="dxa"/>
            <w:shd w:val="clear" w:color="auto" w:fill="E5F1FF"/>
            <w:vAlign w:val="center"/>
          </w:tcPr>
          <w:p w14:paraId="74422F7B" w14:textId="10DC1A3F" w:rsidR="00AC331C" w:rsidRPr="0076189E" w:rsidRDefault="00AC331C" w:rsidP="00AC331C">
            <w:pPr>
              <w:jc w:val="center"/>
              <w:rPr>
                <w:rFonts w:ascii="Calibri" w:hAnsi="Calibri"/>
                <w:b/>
                <w:sz w:val="20"/>
                <w:szCs w:val="20"/>
              </w:rPr>
            </w:pPr>
            <w:r w:rsidRPr="0076189E">
              <w:rPr>
                <w:rFonts w:ascii="Calibri" w:hAnsi="Calibri"/>
                <w:b/>
                <w:sz w:val="20"/>
                <w:szCs w:val="20"/>
              </w:rPr>
              <w:t>Zapojení NNV</w:t>
            </w:r>
          </w:p>
        </w:tc>
        <w:tc>
          <w:tcPr>
            <w:tcW w:w="1276" w:type="dxa"/>
            <w:shd w:val="clear" w:color="auto" w:fill="E5F1FF"/>
            <w:vAlign w:val="center"/>
          </w:tcPr>
          <w:p w14:paraId="2A24662A" w14:textId="66E7A63F" w:rsidR="00AC331C" w:rsidRPr="0076189E" w:rsidRDefault="00AC331C" w:rsidP="00AC331C">
            <w:pPr>
              <w:jc w:val="center"/>
              <w:rPr>
                <w:rFonts w:ascii="Calibri" w:hAnsi="Calibri"/>
                <w:b/>
                <w:sz w:val="20"/>
                <w:szCs w:val="20"/>
              </w:rPr>
            </w:pPr>
            <w:r w:rsidRPr="0076189E">
              <w:rPr>
                <w:rFonts w:ascii="Calibri" w:hAnsi="Calibri"/>
                <w:b/>
                <w:sz w:val="20"/>
                <w:szCs w:val="20"/>
              </w:rPr>
              <w:t>Čerpáno</w:t>
            </w:r>
          </w:p>
        </w:tc>
        <w:tc>
          <w:tcPr>
            <w:tcW w:w="1559" w:type="dxa"/>
            <w:shd w:val="clear" w:color="auto" w:fill="E5F1FF"/>
            <w:vAlign w:val="center"/>
          </w:tcPr>
          <w:p w14:paraId="44FCE118" w14:textId="6AA42A2F" w:rsidR="00AC331C" w:rsidRPr="0076189E" w:rsidRDefault="00AC331C" w:rsidP="00362142">
            <w:pPr>
              <w:jc w:val="center"/>
              <w:rPr>
                <w:rFonts w:ascii="Calibri" w:hAnsi="Calibri"/>
                <w:b/>
                <w:sz w:val="20"/>
                <w:szCs w:val="20"/>
              </w:rPr>
            </w:pPr>
            <w:r w:rsidRPr="0076189E">
              <w:rPr>
                <w:rFonts w:ascii="Calibri" w:hAnsi="Calibri"/>
                <w:b/>
                <w:sz w:val="20"/>
                <w:szCs w:val="20"/>
              </w:rPr>
              <w:t xml:space="preserve">Nečerpáno </w:t>
            </w:r>
            <w:proofErr w:type="gramStart"/>
            <w:r w:rsidRPr="0076189E">
              <w:rPr>
                <w:rFonts w:ascii="Calibri" w:hAnsi="Calibri"/>
                <w:b/>
                <w:sz w:val="20"/>
                <w:szCs w:val="20"/>
              </w:rPr>
              <w:t>ze</w:t>
            </w:r>
            <w:r w:rsidR="00362142">
              <w:rPr>
                <w:rFonts w:ascii="Calibri" w:hAnsi="Calibri"/>
                <w:b/>
                <w:sz w:val="20"/>
                <w:szCs w:val="20"/>
              </w:rPr>
              <w:t xml:space="preserve"> </w:t>
            </w:r>
            <w:r w:rsidRPr="0076189E">
              <w:rPr>
                <w:rFonts w:ascii="Calibri" w:hAnsi="Calibri"/>
                <w:b/>
                <w:sz w:val="20"/>
                <w:szCs w:val="20"/>
              </w:rPr>
              <w:t>zapoj</w:t>
            </w:r>
            <w:proofErr w:type="gramEnd"/>
            <w:r w:rsidRPr="0076189E">
              <w:rPr>
                <w:rFonts w:ascii="Calibri" w:hAnsi="Calibri"/>
                <w:b/>
                <w:sz w:val="20"/>
                <w:szCs w:val="20"/>
              </w:rPr>
              <w:t>. NNV</w:t>
            </w:r>
          </w:p>
        </w:tc>
      </w:tr>
      <w:tr w:rsidR="00AC331C" w14:paraId="764E87E9" w14:textId="345421C6" w:rsidTr="00AC331C">
        <w:tc>
          <w:tcPr>
            <w:tcW w:w="846" w:type="dxa"/>
          </w:tcPr>
          <w:p w14:paraId="55FDF36E" w14:textId="22231591" w:rsidR="00AC331C" w:rsidRPr="0076189E" w:rsidRDefault="00AC331C" w:rsidP="00AC331C">
            <w:pPr>
              <w:rPr>
                <w:rFonts w:ascii="Calibri" w:hAnsi="Calibri"/>
                <w:sz w:val="20"/>
                <w:szCs w:val="20"/>
              </w:rPr>
            </w:pPr>
            <w:r w:rsidRPr="0076189E">
              <w:rPr>
                <w:rFonts w:ascii="Calibri" w:hAnsi="Calibri"/>
                <w:sz w:val="20"/>
                <w:szCs w:val="20"/>
              </w:rPr>
              <w:t>MF</w:t>
            </w:r>
          </w:p>
        </w:tc>
        <w:tc>
          <w:tcPr>
            <w:tcW w:w="1369" w:type="dxa"/>
            <w:vAlign w:val="center"/>
          </w:tcPr>
          <w:p w14:paraId="0A709BE8" w14:textId="15649657" w:rsidR="00AC331C" w:rsidRPr="0076189E" w:rsidRDefault="00AC331C" w:rsidP="00AC331C">
            <w:pPr>
              <w:jc w:val="right"/>
              <w:rPr>
                <w:rFonts w:ascii="Calibri" w:hAnsi="Calibri"/>
                <w:sz w:val="20"/>
                <w:szCs w:val="20"/>
              </w:rPr>
            </w:pPr>
            <w:r w:rsidRPr="0076189E">
              <w:rPr>
                <w:rFonts w:ascii="Calibri" w:hAnsi="Calibri"/>
                <w:sz w:val="20"/>
                <w:szCs w:val="20"/>
              </w:rPr>
              <w:t>375,30</w:t>
            </w:r>
          </w:p>
        </w:tc>
        <w:tc>
          <w:tcPr>
            <w:tcW w:w="1324" w:type="dxa"/>
            <w:vAlign w:val="center"/>
          </w:tcPr>
          <w:p w14:paraId="1D19B7B3" w14:textId="7719A19B" w:rsidR="00AC331C" w:rsidRPr="0076189E" w:rsidRDefault="00AC331C" w:rsidP="00AC331C">
            <w:pPr>
              <w:jc w:val="right"/>
              <w:rPr>
                <w:rFonts w:ascii="Calibri" w:hAnsi="Calibri"/>
                <w:sz w:val="20"/>
                <w:szCs w:val="20"/>
              </w:rPr>
            </w:pPr>
            <w:r w:rsidRPr="0076189E">
              <w:rPr>
                <w:rFonts w:ascii="Calibri" w:hAnsi="Calibri"/>
                <w:sz w:val="20"/>
                <w:szCs w:val="20"/>
              </w:rPr>
              <w:t>61,62</w:t>
            </w:r>
          </w:p>
        </w:tc>
        <w:tc>
          <w:tcPr>
            <w:tcW w:w="1559" w:type="dxa"/>
            <w:vAlign w:val="center"/>
          </w:tcPr>
          <w:p w14:paraId="7EA90C24" w14:textId="2D59AF6C" w:rsidR="00AC331C" w:rsidRPr="0076189E" w:rsidRDefault="00AC331C" w:rsidP="00AC331C">
            <w:pPr>
              <w:jc w:val="right"/>
              <w:rPr>
                <w:rFonts w:ascii="Calibri" w:hAnsi="Calibri"/>
                <w:sz w:val="20"/>
                <w:szCs w:val="20"/>
              </w:rPr>
            </w:pPr>
            <w:r w:rsidRPr="0076189E">
              <w:rPr>
                <w:rFonts w:ascii="Calibri" w:hAnsi="Calibri"/>
                <w:sz w:val="20"/>
                <w:szCs w:val="20"/>
              </w:rPr>
              <w:t>83,58 %</w:t>
            </w:r>
          </w:p>
        </w:tc>
        <w:tc>
          <w:tcPr>
            <w:tcW w:w="1276" w:type="dxa"/>
            <w:vAlign w:val="center"/>
          </w:tcPr>
          <w:p w14:paraId="3643B12C" w14:textId="64AB7C4D" w:rsidR="00AC331C" w:rsidRPr="0076189E" w:rsidRDefault="00AC331C" w:rsidP="00AC331C">
            <w:pPr>
              <w:jc w:val="right"/>
              <w:rPr>
                <w:rFonts w:ascii="Calibri" w:hAnsi="Calibri"/>
                <w:sz w:val="20"/>
                <w:szCs w:val="20"/>
              </w:rPr>
            </w:pPr>
            <w:r w:rsidRPr="0076189E">
              <w:rPr>
                <w:rFonts w:ascii="Calibri" w:hAnsi="Calibri"/>
                <w:sz w:val="20"/>
                <w:szCs w:val="20"/>
              </w:rPr>
              <w:t>147,00</w:t>
            </w:r>
          </w:p>
        </w:tc>
        <w:tc>
          <w:tcPr>
            <w:tcW w:w="1276" w:type="dxa"/>
            <w:vAlign w:val="center"/>
          </w:tcPr>
          <w:p w14:paraId="5DF0B4A2" w14:textId="21CC8D69" w:rsidR="00AC331C" w:rsidRPr="0076189E" w:rsidRDefault="00AC331C" w:rsidP="00AC331C">
            <w:pPr>
              <w:jc w:val="right"/>
              <w:rPr>
                <w:rFonts w:ascii="Calibri" w:hAnsi="Calibri"/>
                <w:sz w:val="20"/>
                <w:szCs w:val="20"/>
              </w:rPr>
            </w:pPr>
            <w:r w:rsidRPr="0076189E">
              <w:rPr>
                <w:rFonts w:ascii="Calibri" w:hAnsi="Calibri"/>
                <w:sz w:val="20"/>
                <w:szCs w:val="20"/>
              </w:rPr>
              <w:t>59,19</w:t>
            </w:r>
          </w:p>
        </w:tc>
        <w:tc>
          <w:tcPr>
            <w:tcW w:w="1559" w:type="dxa"/>
            <w:vAlign w:val="center"/>
          </w:tcPr>
          <w:p w14:paraId="1AA06A6B" w14:textId="3F59BD27" w:rsidR="00AC331C" w:rsidRPr="0076189E" w:rsidRDefault="00AC331C" w:rsidP="00AC331C">
            <w:pPr>
              <w:jc w:val="right"/>
              <w:rPr>
                <w:rFonts w:ascii="Calibri" w:hAnsi="Calibri"/>
                <w:sz w:val="20"/>
                <w:szCs w:val="20"/>
              </w:rPr>
            </w:pPr>
            <w:r w:rsidRPr="0076189E">
              <w:rPr>
                <w:rFonts w:ascii="Calibri" w:hAnsi="Calibri"/>
                <w:sz w:val="20"/>
                <w:szCs w:val="20"/>
              </w:rPr>
              <w:t>59,74 %</w:t>
            </w:r>
          </w:p>
        </w:tc>
      </w:tr>
      <w:tr w:rsidR="00AC331C" w14:paraId="5EDBFD86" w14:textId="171F5B46" w:rsidTr="00AC331C">
        <w:tc>
          <w:tcPr>
            <w:tcW w:w="846" w:type="dxa"/>
          </w:tcPr>
          <w:p w14:paraId="3DC0E669" w14:textId="70BA49FF" w:rsidR="00AC331C" w:rsidRPr="0076189E" w:rsidRDefault="00AC331C" w:rsidP="00AC331C">
            <w:pPr>
              <w:rPr>
                <w:rFonts w:ascii="Calibri" w:hAnsi="Calibri"/>
                <w:sz w:val="20"/>
                <w:szCs w:val="20"/>
              </w:rPr>
            </w:pPr>
            <w:r w:rsidRPr="0076189E">
              <w:rPr>
                <w:rFonts w:ascii="Calibri" w:hAnsi="Calibri"/>
                <w:sz w:val="20"/>
                <w:szCs w:val="20"/>
              </w:rPr>
              <w:t>MMR</w:t>
            </w:r>
          </w:p>
        </w:tc>
        <w:tc>
          <w:tcPr>
            <w:tcW w:w="1369" w:type="dxa"/>
            <w:vAlign w:val="center"/>
          </w:tcPr>
          <w:p w14:paraId="2C543239" w14:textId="35B5AAC2" w:rsidR="00AC331C" w:rsidRPr="0076189E" w:rsidRDefault="00AC331C" w:rsidP="00AC331C">
            <w:pPr>
              <w:jc w:val="right"/>
              <w:rPr>
                <w:rFonts w:ascii="Calibri" w:hAnsi="Calibri"/>
                <w:sz w:val="20"/>
                <w:szCs w:val="20"/>
              </w:rPr>
            </w:pPr>
            <w:r w:rsidRPr="0076189E">
              <w:rPr>
                <w:rFonts w:ascii="Calibri" w:hAnsi="Calibri"/>
                <w:sz w:val="20"/>
                <w:szCs w:val="20"/>
              </w:rPr>
              <w:t>0,00</w:t>
            </w:r>
          </w:p>
        </w:tc>
        <w:tc>
          <w:tcPr>
            <w:tcW w:w="1324" w:type="dxa"/>
            <w:vAlign w:val="center"/>
          </w:tcPr>
          <w:p w14:paraId="351773A6" w14:textId="4EE8547B" w:rsidR="00AC331C" w:rsidRPr="0076189E" w:rsidRDefault="00AC331C" w:rsidP="00AC331C">
            <w:pPr>
              <w:jc w:val="right"/>
              <w:rPr>
                <w:rFonts w:ascii="Calibri" w:hAnsi="Calibri"/>
                <w:sz w:val="20"/>
                <w:szCs w:val="20"/>
              </w:rPr>
            </w:pPr>
            <w:r w:rsidRPr="0076189E">
              <w:rPr>
                <w:rFonts w:ascii="Calibri" w:hAnsi="Calibri"/>
                <w:sz w:val="20"/>
                <w:szCs w:val="20"/>
              </w:rPr>
              <w:t>0,00</w:t>
            </w:r>
          </w:p>
        </w:tc>
        <w:tc>
          <w:tcPr>
            <w:tcW w:w="1559" w:type="dxa"/>
            <w:vAlign w:val="center"/>
          </w:tcPr>
          <w:p w14:paraId="5FBC70F5" w14:textId="41FDDA76" w:rsidR="00AC331C" w:rsidRPr="0076189E" w:rsidRDefault="00AC331C" w:rsidP="00AC331C">
            <w:pPr>
              <w:jc w:val="right"/>
              <w:rPr>
                <w:rFonts w:ascii="Calibri" w:hAnsi="Calibri"/>
                <w:sz w:val="20"/>
                <w:szCs w:val="20"/>
              </w:rPr>
            </w:pPr>
            <w:r w:rsidRPr="0076189E">
              <w:rPr>
                <w:rFonts w:ascii="Calibri" w:hAnsi="Calibri"/>
                <w:sz w:val="20"/>
                <w:szCs w:val="20"/>
              </w:rPr>
              <w:t>0,00 %</w:t>
            </w:r>
          </w:p>
        </w:tc>
        <w:tc>
          <w:tcPr>
            <w:tcW w:w="1276" w:type="dxa"/>
            <w:vAlign w:val="center"/>
          </w:tcPr>
          <w:p w14:paraId="5B46560C" w14:textId="42B2AA4C" w:rsidR="00AC331C" w:rsidRPr="0076189E" w:rsidRDefault="00AC331C" w:rsidP="00AC331C">
            <w:pPr>
              <w:jc w:val="right"/>
              <w:rPr>
                <w:rFonts w:ascii="Calibri" w:hAnsi="Calibri"/>
                <w:sz w:val="20"/>
                <w:szCs w:val="20"/>
              </w:rPr>
            </w:pPr>
            <w:r w:rsidRPr="0076189E">
              <w:rPr>
                <w:rFonts w:ascii="Calibri" w:hAnsi="Calibri"/>
                <w:sz w:val="20"/>
                <w:szCs w:val="20"/>
              </w:rPr>
              <w:t>40,00</w:t>
            </w:r>
          </w:p>
        </w:tc>
        <w:tc>
          <w:tcPr>
            <w:tcW w:w="1276" w:type="dxa"/>
            <w:vAlign w:val="center"/>
          </w:tcPr>
          <w:p w14:paraId="345FEB8B" w14:textId="5B3BFFBF" w:rsidR="00AC331C" w:rsidRPr="0076189E" w:rsidRDefault="00AC331C" w:rsidP="00AC331C">
            <w:pPr>
              <w:jc w:val="right"/>
              <w:rPr>
                <w:rFonts w:ascii="Calibri" w:hAnsi="Calibri"/>
                <w:sz w:val="20"/>
                <w:szCs w:val="20"/>
              </w:rPr>
            </w:pPr>
            <w:r w:rsidRPr="0076189E">
              <w:rPr>
                <w:rFonts w:ascii="Calibri" w:hAnsi="Calibri"/>
                <w:sz w:val="20"/>
                <w:szCs w:val="20"/>
              </w:rPr>
              <w:t>11,63</w:t>
            </w:r>
          </w:p>
        </w:tc>
        <w:tc>
          <w:tcPr>
            <w:tcW w:w="1559" w:type="dxa"/>
            <w:vAlign w:val="center"/>
          </w:tcPr>
          <w:p w14:paraId="28FD3C16" w14:textId="27CF2FEF" w:rsidR="00AC331C" w:rsidRPr="0076189E" w:rsidRDefault="00AC331C" w:rsidP="00AC331C">
            <w:pPr>
              <w:jc w:val="right"/>
              <w:rPr>
                <w:rFonts w:ascii="Calibri" w:hAnsi="Calibri"/>
                <w:sz w:val="20"/>
                <w:szCs w:val="20"/>
              </w:rPr>
            </w:pPr>
            <w:r w:rsidRPr="0076189E">
              <w:rPr>
                <w:rFonts w:ascii="Calibri" w:hAnsi="Calibri"/>
                <w:sz w:val="20"/>
                <w:szCs w:val="20"/>
              </w:rPr>
              <w:t>70,92 %</w:t>
            </w:r>
          </w:p>
        </w:tc>
      </w:tr>
      <w:tr w:rsidR="00AC331C" w14:paraId="1D2F48B1" w14:textId="15F6DF8D" w:rsidTr="00AC331C">
        <w:tc>
          <w:tcPr>
            <w:tcW w:w="846" w:type="dxa"/>
          </w:tcPr>
          <w:p w14:paraId="3899E934" w14:textId="526EACBB" w:rsidR="00AC331C" w:rsidRPr="0076189E" w:rsidRDefault="00AC331C" w:rsidP="00AC331C">
            <w:pPr>
              <w:rPr>
                <w:rFonts w:ascii="Calibri" w:hAnsi="Calibri"/>
                <w:sz w:val="20"/>
                <w:szCs w:val="20"/>
              </w:rPr>
            </w:pPr>
            <w:r w:rsidRPr="0076189E">
              <w:rPr>
                <w:rFonts w:ascii="Calibri" w:hAnsi="Calibri"/>
                <w:sz w:val="20"/>
                <w:szCs w:val="20"/>
              </w:rPr>
              <w:t>MD</w:t>
            </w:r>
          </w:p>
        </w:tc>
        <w:tc>
          <w:tcPr>
            <w:tcW w:w="1369" w:type="dxa"/>
            <w:vAlign w:val="center"/>
          </w:tcPr>
          <w:p w14:paraId="03943C79" w14:textId="1B514AF8" w:rsidR="00AC331C" w:rsidRPr="0076189E" w:rsidRDefault="00AC331C" w:rsidP="00AC331C">
            <w:pPr>
              <w:jc w:val="right"/>
              <w:rPr>
                <w:rFonts w:ascii="Calibri" w:hAnsi="Calibri"/>
                <w:sz w:val="20"/>
                <w:szCs w:val="20"/>
              </w:rPr>
            </w:pPr>
            <w:r w:rsidRPr="0076189E">
              <w:rPr>
                <w:rFonts w:ascii="Calibri" w:hAnsi="Calibri"/>
                <w:sz w:val="20"/>
                <w:szCs w:val="20"/>
              </w:rPr>
              <w:t>1 316,32</w:t>
            </w:r>
          </w:p>
        </w:tc>
        <w:tc>
          <w:tcPr>
            <w:tcW w:w="1324" w:type="dxa"/>
            <w:vAlign w:val="center"/>
          </w:tcPr>
          <w:p w14:paraId="68E0937E" w14:textId="18B5BC6D" w:rsidR="00AC331C" w:rsidRPr="0076189E" w:rsidRDefault="00AC331C" w:rsidP="00AC331C">
            <w:pPr>
              <w:jc w:val="right"/>
              <w:rPr>
                <w:rFonts w:ascii="Calibri" w:hAnsi="Calibri"/>
                <w:sz w:val="20"/>
                <w:szCs w:val="20"/>
              </w:rPr>
            </w:pPr>
            <w:r w:rsidRPr="0076189E">
              <w:rPr>
                <w:rFonts w:ascii="Calibri" w:hAnsi="Calibri"/>
                <w:sz w:val="20"/>
                <w:szCs w:val="20"/>
              </w:rPr>
              <w:t>952,85</w:t>
            </w:r>
          </w:p>
        </w:tc>
        <w:tc>
          <w:tcPr>
            <w:tcW w:w="1559" w:type="dxa"/>
            <w:vAlign w:val="center"/>
          </w:tcPr>
          <w:p w14:paraId="0A87490E" w14:textId="0F0A5B25" w:rsidR="00AC331C" w:rsidRPr="0076189E" w:rsidRDefault="00AC331C" w:rsidP="00AC331C">
            <w:pPr>
              <w:jc w:val="right"/>
              <w:rPr>
                <w:rFonts w:ascii="Calibri" w:hAnsi="Calibri"/>
                <w:sz w:val="20"/>
                <w:szCs w:val="20"/>
              </w:rPr>
            </w:pPr>
            <w:r w:rsidRPr="0076189E">
              <w:rPr>
                <w:rFonts w:ascii="Calibri" w:hAnsi="Calibri"/>
                <w:sz w:val="20"/>
                <w:szCs w:val="20"/>
              </w:rPr>
              <w:t>27,61 %</w:t>
            </w:r>
          </w:p>
        </w:tc>
        <w:tc>
          <w:tcPr>
            <w:tcW w:w="1276" w:type="dxa"/>
            <w:vAlign w:val="center"/>
          </w:tcPr>
          <w:p w14:paraId="030A505E" w14:textId="1B57611A" w:rsidR="00AC331C" w:rsidRPr="0076189E" w:rsidRDefault="00AC331C" w:rsidP="00AC331C">
            <w:pPr>
              <w:jc w:val="right"/>
              <w:rPr>
                <w:rFonts w:ascii="Calibri" w:hAnsi="Calibri"/>
                <w:sz w:val="20"/>
                <w:szCs w:val="20"/>
              </w:rPr>
            </w:pPr>
            <w:r w:rsidRPr="0076189E">
              <w:rPr>
                <w:rFonts w:ascii="Calibri" w:hAnsi="Calibri"/>
                <w:sz w:val="20"/>
                <w:szCs w:val="20"/>
              </w:rPr>
              <w:t>347,72</w:t>
            </w:r>
          </w:p>
        </w:tc>
        <w:tc>
          <w:tcPr>
            <w:tcW w:w="1276" w:type="dxa"/>
            <w:vAlign w:val="center"/>
          </w:tcPr>
          <w:p w14:paraId="3DB9D50E" w14:textId="0234E0F1" w:rsidR="00AC331C" w:rsidRPr="0076189E" w:rsidRDefault="00AC331C" w:rsidP="00AC331C">
            <w:pPr>
              <w:jc w:val="right"/>
              <w:rPr>
                <w:rFonts w:ascii="Calibri" w:hAnsi="Calibri"/>
                <w:sz w:val="20"/>
                <w:szCs w:val="20"/>
              </w:rPr>
            </w:pPr>
            <w:r w:rsidRPr="0076189E">
              <w:rPr>
                <w:rFonts w:ascii="Calibri" w:hAnsi="Calibri"/>
                <w:sz w:val="20"/>
                <w:szCs w:val="20"/>
              </w:rPr>
              <w:t>203,68</w:t>
            </w:r>
          </w:p>
        </w:tc>
        <w:tc>
          <w:tcPr>
            <w:tcW w:w="1559" w:type="dxa"/>
            <w:vAlign w:val="center"/>
          </w:tcPr>
          <w:p w14:paraId="3AEAE99B" w14:textId="41A61D65" w:rsidR="00AC331C" w:rsidRPr="0076189E" w:rsidRDefault="00AC331C" w:rsidP="00AC331C">
            <w:pPr>
              <w:jc w:val="right"/>
              <w:rPr>
                <w:rFonts w:ascii="Calibri" w:hAnsi="Calibri"/>
                <w:sz w:val="20"/>
                <w:szCs w:val="20"/>
              </w:rPr>
            </w:pPr>
            <w:r w:rsidRPr="0076189E">
              <w:rPr>
                <w:rFonts w:ascii="Calibri" w:hAnsi="Calibri"/>
                <w:sz w:val="20"/>
                <w:szCs w:val="20"/>
              </w:rPr>
              <w:t>41,42 %</w:t>
            </w:r>
          </w:p>
        </w:tc>
      </w:tr>
      <w:tr w:rsidR="00AC331C" w14:paraId="63EB4FCC" w14:textId="6110C0CA" w:rsidTr="00AC331C">
        <w:tc>
          <w:tcPr>
            <w:tcW w:w="846" w:type="dxa"/>
          </w:tcPr>
          <w:p w14:paraId="3A04672C" w14:textId="1CC28D1A" w:rsidR="00AC331C" w:rsidRPr="0076189E" w:rsidRDefault="00AC331C" w:rsidP="00AC331C">
            <w:pPr>
              <w:rPr>
                <w:rFonts w:ascii="Calibri" w:hAnsi="Calibri"/>
                <w:sz w:val="20"/>
                <w:szCs w:val="20"/>
              </w:rPr>
            </w:pPr>
            <w:proofErr w:type="spellStart"/>
            <w:r w:rsidRPr="0076189E">
              <w:rPr>
                <w:rFonts w:ascii="Calibri" w:hAnsi="Calibri"/>
                <w:sz w:val="20"/>
                <w:szCs w:val="20"/>
              </w:rPr>
              <w:t>MZd</w:t>
            </w:r>
            <w:proofErr w:type="spellEnd"/>
          </w:p>
        </w:tc>
        <w:tc>
          <w:tcPr>
            <w:tcW w:w="1369" w:type="dxa"/>
            <w:vAlign w:val="center"/>
          </w:tcPr>
          <w:p w14:paraId="55F6D7A7" w14:textId="25D9111F" w:rsidR="00AC331C" w:rsidRPr="0076189E" w:rsidRDefault="00AC331C" w:rsidP="00AC331C">
            <w:pPr>
              <w:jc w:val="right"/>
              <w:rPr>
                <w:rFonts w:ascii="Calibri" w:hAnsi="Calibri"/>
                <w:sz w:val="20"/>
                <w:szCs w:val="20"/>
              </w:rPr>
            </w:pPr>
            <w:r w:rsidRPr="0076189E">
              <w:rPr>
                <w:rFonts w:ascii="Calibri" w:hAnsi="Calibri"/>
                <w:sz w:val="20"/>
                <w:szCs w:val="20"/>
              </w:rPr>
              <w:t>3 281,48</w:t>
            </w:r>
          </w:p>
        </w:tc>
        <w:tc>
          <w:tcPr>
            <w:tcW w:w="1324" w:type="dxa"/>
            <w:vAlign w:val="center"/>
          </w:tcPr>
          <w:p w14:paraId="79BC053F" w14:textId="722CCAD5" w:rsidR="00AC331C" w:rsidRPr="0076189E" w:rsidRDefault="00AC331C" w:rsidP="00AC331C">
            <w:pPr>
              <w:jc w:val="right"/>
              <w:rPr>
                <w:rFonts w:ascii="Calibri" w:hAnsi="Calibri"/>
                <w:sz w:val="20"/>
                <w:szCs w:val="20"/>
              </w:rPr>
            </w:pPr>
            <w:r w:rsidRPr="0076189E">
              <w:rPr>
                <w:rFonts w:ascii="Calibri" w:hAnsi="Calibri"/>
                <w:sz w:val="20"/>
                <w:szCs w:val="20"/>
              </w:rPr>
              <w:t>1 398,01</w:t>
            </w:r>
          </w:p>
        </w:tc>
        <w:tc>
          <w:tcPr>
            <w:tcW w:w="1559" w:type="dxa"/>
            <w:vAlign w:val="center"/>
          </w:tcPr>
          <w:p w14:paraId="3D222B16" w14:textId="3B6E4830" w:rsidR="00AC331C" w:rsidRPr="0076189E" w:rsidRDefault="00AC331C" w:rsidP="00AC331C">
            <w:pPr>
              <w:jc w:val="right"/>
              <w:rPr>
                <w:rFonts w:ascii="Calibri" w:hAnsi="Calibri"/>
                <w:sz w:val="20"/>
                <w:szCs w:val="20"/>
              </w:rPr>
            </w:pPr>
            <w:r w:rsidRPr="0076189E">
              <w:rPr>
                <w:rFonts w:ascii="Calibri" w:hAnsi="Calibri"/>
                <w:sz w:val="20"/>
                <w:szCs w:val="20"/>
              </w:rPr>
              <w:t>57,40 %</w:t>
            </w:r>
          </w:p>
        </w:tc>
        <w:tc>
          <w:tcPr>
            <w:tcW w:w="1276" w:type="dxa"/>
            <w:vAlign w:val="center"/>
          </w:tcPr>
          <w:p w14:paraId="62DBC5BB" w14:textId="21C855FB" w:rsidR="00AC331C" w:rsidRPr="0076189E" w:rsidRDefault="00AC331C" w:rsidP="00AC331C">
            <w:pPr>
              <w:jc w:val="right"/>
              <w:rPr>
                <w:rFonts w:ascii="Calibri" w:hAnsi="Calibri"/>
                <w:sz w:val="20"/>
                <w:szCs w:val="20"/>
              </w:rPr>
            </w:pPr>
            <w:r w:rsidRPr="0076189E">
              <w:rPr>
                <w:rFonts w:ascii="Calibri" w:hAnsi="Calibri"/>
                <w:sz w:val="20"/>
                <w:szCs w:val="20"/>
              </w:rPr>
              <w:t>4 210,54</w:t>
            </w:r>
          </w:p>
        </w:tc>
        <w:tc>
          <w:tcPr>
            <w:tcW w:w="1276" w:type="dxa"/>
            <w:vAlign w:val="center"/>
          </w:tcPr>
          <w:p w14:paraId="243D6F80" w14:textId="549B529C" w:rsidR="00AC331C" w:rsidRPr="0076189E" w:rsidRDefault="00AC331C" w:rsidP="00AC331C">
            <w:pPr>
              <w:jc w:val="right"/>
              <w:rPr>
                <w:rFonts w:ascii="Calibri" w:hAnsi="Calibri"/>
                <w:sz w:val="20"/>
                <w:szCs w:val="20"/>
              </w:rPr>
            </w:pPr>
            <w:r w:rsidRPr="0076189E">
              <w:rPr>
                <w:rFonts w:ascii="Calibri" w:hAnsi="Calibri"/>
                <w:sz w:val="20"/>
                <w:szCs w:val="20"/>
              </w:rPr>
              <w:t>1 798,12</w:t>
            </w:r>
          </w:p>
        </w:tc>
        <w:tc>
          <w:tcPr>
            <w:tcW w:w="1559" w:type="dxa"/>
            <w:vAlign w:val="center"/>
          </w:tcPr>
          <w:p w14:paraId="5AC0EB49" w14:textId="65BD11FF" w:rsidR="00AC331C" w:rsidRPr="0076189E" w:rsidRDefault="00AC331C" w:rsidP="00AC331C">
            <w:pPr>
              <w:jc w:val="right"/>
              <w:rPr>
                <w:rFonts w:ascii="Calibri" w:hAnsi="Calibri"/>
                <w:sz w:val="20"/>
                <w:szCs w:val="20"/>
              </w:rPr>
            </w:pPr>
            <w:r w:rsidRPr="0076189E">
              <w:rPr>
                <w:rFonts w:ascii="Calibri" w:hAnsi="Calibri"/>
                <w:sz w:val="20"/>
                <w:szCs w:val="20"/>
              </w:rPr>
              <w:t>57,29 %</w:t>
            </w:r>
          </w:p>
        </w:tc>
      </w:tr>
      <w:tr w:rsidR="00AC331C" w14:paraId="20807E63" w14:textId="360F2A8F" w:rsidTr="00AC331C">
        <w:tc>
          <w:tcPr>
            <w:tcW w:w="846" w:type="dxa"/>
          </w:tcPr>
          <w:p w14:paraId="55613E31" w14:textId="2C060EA9" w:rsidR="00AC331C" w:rsidRPr="0076189E" w:rsidRDefault="00AC331C" w:rsidP="00AC331C">
            <w:pPr>
              <w:rPr>
                <w:rFonts w:ascii="Calibri" w:hAnsi="Calibri"/>
                <w:sz w:val="20"/>
                <w:szCs w:val="20"/>
              </w:rPr>
            </w:pPr>
            <w:proofErr w:type="spellStart"/>
            <w:r w:rsidRPr="0076189E">
              <w:rPr>
                <w:rFonts w:ascii="Calibri" w:hAnsi="Calibri"/>
                <w:sz w:val="20"/>
                <w:szCs w:val="20"/>
              </w:rPr>
              <w:t>MZe</w:t>
            </w:r>
            <w:proofErr w:type="spellEnd"/>
          </w:p>
        </w:tc>
        <w:tc>
          <w:tcPr>
            <w:tcW w:w="1369" w:type="dxa"/>
            <w:vAlign w:val="center"/>
          </w:tcPr>
          <w:p w14:paraId="0E9BCC06" w14:textId="7F6D2110" w:rsidR="00AC331C" w:rsidRPr="0076189E" w:rsidRDefault="00AC331C" w:rsidP="00AC331C">
            <w:pPr>
              <w:jc w:val="right"/>
              <w:rPr>
                <w:rFonts w:ascii="Calibri" w:hAnsi="Calibri"/>
                <w:sz w:val="20"/>
                <w:szCs w:val="20"/>
              </w:rPr>
            </w:pPr>
            <w:r w:rsidRPr="0076189E">
              <w:rPr>
                <w:rFonts w:ascii="Calibri" w:hAnsi="Calibri"/>
                <w:sz w:val="20"/>
                <w:szCs w:val="20"/>
              </w:rPr>
              <w:t>409,09</w:t>
            </w:r>
          </w:p>
        </w:tc>
        <w:tc>
          <w:tcPr>
            <w:tcW w:w="1324" w:type="dxa"/>
            <w:vAlign w:val="center"/>
          </w:tcPr>
          <w:p w14:paraId="09EEBD14" w14:textId="189A6172" w:rsidR="00AC331C" w:rsidRPr="0076189E" w:rsidRDefault="00AC331C" w:rsidP="00AC331C">
            <w:pPr>
              <w:jc w:val="right"/>
              <w:rPr>
                <w:rFonts w:ascii="Calibri" w:hAnsi="Calibri"/>
                <w:sz w:val="20"/>
                <w:szCs w:val="20"/>
              </w:rPr>
            </w:pPr>
            <w:r w:rsidRPr="0076189E">
              <w:rPr>
                <w:rFonts w:ascii="Calibri" w:hAnsi="Calibri"/>
                <w:sz w:val="20"/>
                <w:szCs w:val="20"/>
              </w:rPr>
              <w:t>373,05</w:t>
            </w:r>
          </w:p>
        </w:tc>
        <w:tc>
          <w:tcPr>
            <w:tcW w:w="1559" w:type="dxa"/>
            <w:vAlign w:val="center"/>
          </w:tcPr>
          <w:p w14:paraId="26D852E7" w14:textId="759904FD" w:rsidR="00AC331C" w:rsidRPr="0076189E" w:rsidRDefault="00AC331C" w:rsidP="00AC331C">
            <w:pPr>
              <w:jc w:val="right"/>
              <w:rPr>
                <w:rFonts w:ascii="Calibri" w:hAnsi="Calibri"/>
                <w:sz w:val="20"/>
                <w:szCs w:val="20"/>
              </w:rPr>
            </w:pPr>
            <w:r w:rsidRPr="0076189E">
              <w:rPr>
                <w:rFonts w:ascii="Calibri" w:hAnsi="Calibri"/>
                <w:sz w:val="20"/>
                <w:szCs w:val="20"/>
              </w:rPr>
              <w:t>8,81 %</w:t>
            </w:r>
          </w:p>
        </w:tc>
        <w:tc>
          <w:tcPr>
            <w:tcW w:w="1276" w:type="dxa"/>
            <w:vAlign w:val="center"/>
          </w:tcPr>
          <w:p w14:paraId="53F128F4" w14:textId="0A614F0E" w:rsidR="00AC331C" w:rsidRPr="0076189E" w:rsidRDefault="00AC331C" w:rsidP="00AC331C">
            <w:pPr>
              <w:jc w:val="right"/>
              <w:rPr>
                <w:rFonts w:ascii="Calibri" w:hAnsi="Calibri"/>
                <w:sz w:val="20"/>
                <w:szCs w:val="20"/>
              </w:rPr>
            </w:pPr>
            <w:r w:rsidRPr="0076189E">
              <w:rPr>
                <w:rFonts w:ascii="Calibri" w:hAnsi="Calibri"/>
                <w:sz w:val="20"/>
                <w:szCs w:val="20"/>
              </w:rPr>
              <w:t>951,90</w:t>
            </w:r>
          </w:p>
        </w:tc>
        <w:tc>
          <w:tcPr>
            <w:tcW w:w="1276" w:type="dxa"/>
            <w:vAlign w:val="center"/>
          </w:tcPr>
          <w:p w14:paraId="65BD0BF4" w14:textId="52228A5A" w:rsidR="00AC331C" w:rsidRPr="0076189E" w:rsidRDefault="00AC331C" w:rsidP="00AC331C">
            <w:pPr>
              <w:jc w:val="right"/>
              <w:rPr>
                <w:rFonts w:ascii="Calibri" w:hAnsi="Calibri"/>
                <w:sz w:val="20"/>
                <w:szCs w:val="20"/>
              </w:rPr>
            </w:pPr>
            <w:r w:rsidRPr="0076189E">
              <w:rPr>
                <w:rFonts w:ascii="Calibri" w:hAnsi="Calibri"/>
                <w:sz w:val="20"/>
                <w:szCs w:val="20"/>
              </w:rPr>
              <w:t>276,27</w:t>
            </w:r>
          </w:p>
        </w:tc>
        <w:tc>
          <w:tcPr>
            <w:tcW w:w="1559" w:type="dxa"/>
            <w:vAlign w:val="center"/>
          </w:tcPr>
          <w:p w14:paraId="7EE07E05" w14:textId="1222765D" w:rsidR="00AC331C" w:rsidRPr="0076189E" w:rsidRDefault="00AC331C" w:rsidP="00AC331C">
            <w:pPr>
              <w:jc w:val="right"/>
              <w:rPr>
                <w:rFonts w:ascii="Calibri" w:hAnsi="Calibri"/>
                <w:sz w:val="20"/>
                <w:szCs w:val="20"/>
              </w:rPr>
            </w:pPr>
            <w:r w:rsidRPr="0076189E">
              <w:rPr>
                <w:rFonts w:ascii="Calibri" w:hAnsi="Calibri"/>
                <w:sz w:val="20"/>
                <w:szCs w:val="20"/>
              </w:rPr>
              <w:t>70,98 %</w:t>
            </w:r>
          </w:p>
        </w:tc>
      </w:tr>
    </w:tbl>
    <w:p w14:paraId="2AC8B696" w14:textId="1FE5E89F" w:rsidR="00AC331C" w:rsidRPr="0084400A" w:rsidRDefault="0084400A" w:rsidP="00AC331C">
      <w:pPr>
        <w:rPr>
          <w:sz w:val="20"/>
          <w:szCs w:val="20"/>
        </w:rPr>
      </w:pPr>
      <w:r w:rsidRPr="0084400A">
        <w:rPr>
          <w:b/>
          <w:sz w:val="20"/>
          <w:szCs w:val="20"/>
        </w:rPr>
        <w:t>Zdroj:</w:t>
      </w:r>
      <w:r w:rsidRPr="0084400A">
        <w:rPr>
          <w:sz w:val="20"/>
          <w:szCs w:val="20"/>
        </w:rPr>
        <w:t xml:space="preserve"> IISSP a vlastní výpočet.</w:t>
      </w:r>
    </w:p>
    <w:p w14:paraId="0F85ED1B" w14:textId="373FB55E" w:rsidR="0084400A" w:rsidRPr="0084400A" w:rsidRDefault="0084400A" w:rsidP="00AC331C">
      <w:pPr>
        <w:rPr>
          <w:sz w:val="20"/>
          <w:szCs w:val="20"/>
        </w:rPr>
      </w:pPr>
      <w:r w:rsidRPr="0084400A">
        <w:rPr>
          <w:b/>
          <w:sz w:val="20"/>
          <w:szCs w:val="20"/>
        </w:rPr>
        <w:t>Pozn.:</w:t>
      </w:r>
      <w:r w:rsidRPr="0084400A">
        <w:rPr>
          <w:sz w:val="20"/>
          <w:szCs w:val="20"/>
        </w:rPr>
        <w:t xml:space="preserve"> </w:t>
      </w:r>
      <w:r w:rsidR="00BC3C55">
        <w:rPr>
          <w:sz w:val="20"/>
          <w:szCs w:val="20"/>
        </w:rPr>
        <w:t>R</w:t>
      </w:r>
      <w:r w:rsidRPr="0084400A">
        <w:rPr>
          <w:sz w:val="20"/>
          <w:szCs w:val="20"/>
        </w:rPr>
        <w:t xml:space="preserve">ozpočtové položky byly u jednotlivých kontrolovaných osob vybrány zejména s ohledem na </w:t>
      </w:r>
      <w:r w:rsidR="00425E37">
        <w:rPr>
          <w:sz w:val="20"/>
          <w:szCs w:val="20"/>
        </w:rPr>
        <w:t>svou</w:t>
      </w:r>
      <w:r w:rsidR="00425E37" w:rsidRPr="0084400A">
        <w:rPr>
          <w:sz w:val="20"/>
          <w:szCs w:val="20"/>
        </w:rPr>
        <w:t xml:space="preserve"> </w:t>
      </w:r>
      <w:r w:rsidRPr="0084400A">
        <w:rPr>
          <w:sz w:val="20"/>
          <w:szCs w:val="20"/>
        </w:rPr>
        <w:t>výši k 1.</w:t>
      </w:r>
      <w:r>
        <w:rPr>
          <w:sz w:val="20"/>
          <w:szCs w:val="20"/>
        </w:rPr>
        <w:t> </w:t>
      </w:r>
      <w:r w:rsidRPr="0084400A">
        <w:rPr>
          <w:sz w:val="20"/>
          <w:szCs w:val="20"/>
        </w:rPr>
        <w:t xml:space="preserve">1. 2015 v evidenci NNV, to znamená, že u </w:t>
      </w:r>
      <w:proofErr w:type="gramStart"/>
      <w:r w:rsidRPr="0084400A">
        <w:rPr>
          <w:sz w:val="20"/>
          <w:szCs w:val="20"/>
        </w:rPr>
        <w:t>OSS</w:t>
      </w:r>
      <w:proofErr w:type="gramEnd"/>
      <w:r w:rsidRPr="0084400A">
        <w:rPr>
          <w:sz w:val="20"/>
          <w:szCs w:val="20"/>
        </w:rPr>
        <w:t xml:space="preserve"> nemusely být vybrány stejné rozpočtové položky.</w:t>
      </w:r>
    </w:p>
    <w:p w14:paraId="0307C5DB" w14:textId="77777777" w:rsidR="006B5588" w:rsidRDefault="006B5588" w:rsidP="00794235"/>
    <w:p w14:paraId="4D19951E" w14:textId="77777777" w:rsidR="00194849" w:rsidRDefault="00CF06FA" w:rsidP="00761EB6">
      <w:pPr>
        <w:pStyle w:val="Nadpis3"/>
        <w:spacing w:before="0"/>
      </w:pPr>
      <w:r>
        <w:t>MF</w:t>
      </w:r>
    </w:p>
    <w:p w14:paraId="697A7697" w14:textId="2AFD8DC4" w:rsidR="00194849" w:rsidRDefault="00CF06FA" w:rsidP="00194849">
      <w:r>
        <w:t>Podle MF je správné přednostn</w:t>
      </w:r>
      <w:r w:rsidR="00DA29B2">
        <w:t>ě</w:t>
      </w:r>
      <w:r>
        <w:t xml:space="preserve"> čerp</w:t>
      </w:r>
      <w:r w:rsidR="00DA29B2">
        <w:t>at</w:t>
      </w:r>
      <w:r>
        <w:t xml:space="preserve"> NNV. V</w:t>
      </w:r>
      <w:r w:rsidRPr="007C6E35">
        <w:t xml:space="preserve">zhledem k tomu, že finanční prostředky musí být zajištěny vždy před vznikem závazku MF, k uvolnění NNV dochází v počáteční </w:t>
      </w:r>
      <w:r>
        <w:t xml:space="preserve">fázi </w:t>
      </w:r>
      <w:r w:rsidRPr="007C6E35">
        <w:t>rozpracovanosti projektů/akcí</w:t>
      </w:r>
      <w:r>
        <w:t xml:space="preserve">. MF </w:t>
      </w:r>
      <w:r w:rsidRPr="004826AD">
        <w:t>upřednostňuje realiz</w:t>
      </w:r>
      <w:r w:rsidR="00DA29B2">
        <w:t>ování</w:t>
      </w:r>
      <w:r w:rsidRPr="004826AD">
        <w:t xml:space="preserve"> svých aktivit a úkolů, které </w:t>
      </w:r>
      <w:r>
        <w:t>nejsou</w:t>
      </w:r>
      <w:r w:rsidRPr="004826AD">
        <w:t xml:space="preserve"> zabezpečeny rozpočtem (</w:t>
      </w:r>
      <w:r w:rsidR="00DA29B2" w:rsidRPr="004826AD">
        <w:t>schválený</w:t>
      </w:r>
      <w:r w:rsidR="00DA29B2">
        <w:t>m</w:t>
      </w:r>
      <w:r w:rsidR="00DA29B2" w:rsidRPr="004826AD">
        <w:t xml:space="preserve"> </w:t>
      </w:r>
      <w:r w:rsidRPr="004826AD">
        <w:t>rozpoč</w:t>
      </w:r>
      <w:r w:rsidR="00DA29B2">
        <w:t>tem</w:t>
      </w:r>
      <w:r w:rsidRPr="004826AD">
        <w:t>, příp.</w:t>
      </w:r>
      <w:r w:rsidR="00DA29B2">
        <w:t xml:space="preserve"> rozpočtem</w:t>
      </w:r>
      <w:r w:rsidRPr="004826AD">
        <w:t xml:space="preserve"> po změnách).</w:t>
      </w:r>
    </w:p>
    <w:p w14:paraId="75D149EA" w14:textId="77777777" w:rsidR="00E4215C" w:rsidRDefault="00E4215C" w:rsidP="00194849"/>
    <w:p w14:paraId="1A245EC4" w14:textId="77777777" w:rsidR="00194849" w:rsidRDefault="00CF06FA" w:rsidP="00761EB6">
      <w:pPr>
        <w:pStyle w:val="Nadpis3"/>
        <w:spacing w:before="0"/>
      </w:pPr>
      <w:r>
        <w:t>MMR</w:t>
      </w:r>
    </w:p>
    <w:p w14:paraId="00544BDD" w14:textId="3FDA04EA" w:rsidR="00194849" w:rsidRPr="00053D32" w:rsidRDefault="00CF06FA" w:rsidP="00194849">
      <w:pPr>
        <w:rPr>
          <w:rFonts w:eastAsiaTheme="minorHAnsi"/>
          <w:lang w:eastAsia="en-US"/>
        </w:rPr>
      </w:pPr>
      <w:r w:rsidRPr="00053D32">
        <w:rPr>
          <w:rFonts w:eastAsiaTheme="minorHAnsi"/>
          <w:lang w:eastAsia="en-US"/>
        </w:rPr>
        <w:t xml:space="preserve">Na základě usnesení vlády </w:t>
      </w:r>
      <w:r w:rsidR="00BE11D6">
        <w:rPr>
          <w:rFonts w:eastAsiaTheme="minorHAnsi"/>
          <w:lang w:eastAsia="en-US"/>
        </w:rPr>
        <w:t xml:space="preserve">ČR ze dne 6. 5. 2015 </w:t>
      </w:r>
      <w:r w:rsidRPr="00053D32">
        <w:rPr>
          <w:rFonts w:eastAsiaTheme="minorHAnsi"/>
          <w:lang w:eastAsia="en-US"/>
        </w:rPr>
        <w:t xml:space="preserve">č. 328 převedlo MMR nároky z nespotřebovaných neprofilujících výdajů ve výši 486 mil. Kč do NNPV. </w:t>
      </w:r>
      <w:r w:rsidRPr="00053D32">
        <w:rPr>
          <w:rFonts w:eastAsiaTheme="minorHAnsi"/>
          <w:b/>
          <w:lang w:eastAsia="en-US"/>
        </w:rPr>
        <w:t>Ve výkaz</w:t>
      </w:r>
      <w:r w:rsidR="00BE11D6">
        <w:rPr>
          <w:rFonts w:eastAsiaTheme="minorHAnsi"/>
          <w:b/>
          <w:lang w:eastAsia="en-US"/>
        </w:rPr>
        <w:t>u</w:t>
      </w:r>
      <w:r w:rsidRPr="00053D32">
        <w:rPr>
          <w:rFonts w:eastAsiaTheme="minorHAnsi"/>
          <w:b/>
          <w:lang w:eastAsia="en-US"/>
        </w:rPr>
        <w:t xml:space="preserve"> o nárocích z nespotřebovaných výdajů ve sloupci 5 však hodnotu převedených NNNV nevykázalo, nepostupovalo tak v souladu s přílohou č. 4 vyhlášky č. 5/2014 Sb.</w:t>
      </w:r>
      <w:r w:rsidR="00E95FDA">
        <w:rPr>
          <w:rFonts w:eastAsiaTheme="minorHAnsi"/>
          <w:b/>
          <w:lang w:eastAsia="en-US"/>
        </w:rPr>
        <w:t xml:space="preserve">, </w:t>
      </w:r>
      <w:r w:rsidR="00E95FDA" w:rsidRPr="00E95FDA">
        <w:rPr>
          <w:rFonts w:eastAsiaTheme="minorHAnsi"/>
          <w:lang w:eastAsia="en-US"/>
        </w:rPr>
        <w:t>o způsobu, termínech a</w:t>
      </w:r>
      <w:r w:rsidR="00C82F7F">
        <w:rPr>
          <w:rFonts w:eastAsiaTheme="minorHAnsi"/>
          <w:lang w:eastAsia="en-US"/>
        </w:rPr>
        <w:t> </w:t>
      </w:r>
      <w:r w:rsidR="00E95FDA" w:rsidRPr="00E95FDA">
        <w:rPr>
          <w:rFonts w:eastAsiaTheme="minorHAnsi"/>
          <w:lang w:eastAsia="en-US"/>
        </w:rPr>
        <w:t>rozsahu údajů předkládaných pro hodnocení plnění státního rozpočtu, rozpočtů státních fondů, rozpočtů územních samosprávných celků, rozpočtů dobrovolných svazků obcí a</w:t>
      </w:r>
      <w:r w:rsidR="00C82F7F">
        <w:rPr>
          <w:rFonts w:eastAsiaTheme="minorHAnsi"/>
          <w:lang w:eastAsia="en-US"/>
        </w:rPr>
        <w:t> </w:t>
      </w:r>
      <w:r w:rsidR="00E95FDA" w:rsidRPr="00E95FDA">
        <w:rPr>
          <w:rFonts w:eastAsiaTheme="minorHAnsi"/>
          <w:lang w:eastAsia="en-US"/>
        </w:rPr>
        <w:t>rozpočtů Regionálních rad regionů soudržnosti</w:t>
      </w:r>
      <w:r w:rsidR="00E95FDA" w:rsidRPr="00761EB6">
        <w:rPr>
          <w:rFonts w:eastAsiaTheme="minorHAnsi"/>
          <w:lang w:eastAsia="en-US"/>
        </w:rPr>
        <w:t>.</w:t>
      </w:r>
    </w:p>
    <w:p w14:paraId="3CEF1BC7" w14:textId="77777777" w:rsidR="00194849" w:rsidRDefault="00194849" w:rsidP="00194849">
      <w:pPr>
        <w:rPr>
          <w:rFonts w:eastAsiaTheme="minorHAnsi"/>
          <w:lang w:eastAsia="en-US"/>
        </w:rPr>
      </w:pPr>
    </w:p>
    <w:p w14:paraId="3C096781" w14:textId="722CDAD7" w:rsidR="00194849" w:rsidRDefault="00CF06FA" w:rsidP="00194849">
      <w:pPr>
        <w:rPr>
          <w:rFonts w:ascii="Calibri" w:eastAsiaTheme="minorHAnsi" w:hAnsi="Calibri" w:cs="Calibri"/>
          <w:lang w:eastAsia="en-US"/>
        </w:rPr>
      </w:pPr>
      <w:r>
        <w:rPr>
          <w:rFonts w:ascii="Calibri" w:eastAsiaTheme="minorHAnsi" w:hAnsi="Calibri" w:cs="Calibri"/>
          <w:lang w:eastAsia="en-US"/>
        </w:rPr>
        <w:t xml:space="preserve">V roce 2015 </w:t>
      </w:r>
      <w:r w:rsidR="00BE11D6">
        <w:rPr>
          <w:rFonts w:ascii="Calibri" w:eastAsiaTheme="minorHAnsi" w:hAnsi="Calibri" w:cs="Calibri"/>
          <w:lang w:eastAsia="en-US"/>
        </w:rPr>
        <w:t xml:space="preserve">MMR </w:t>
      </w:r>
      <w:r w:rsidR="00F806C2">
        <w:rPr>
          <w:rFonts w:ascii="Calibri" w:eastAsiaTheme="minorHAnsi" w:hAnsi="Calibri" w:cs="Calibri"/>
          <w:lang w:eastAsia="en-US"/>
        </w:rPr>
        <w:t>rozhodlo</w:t>
      </w:r>
      <w:r>
        <w:rPr>
          <w:rFonts w:ascii="Calibri" w:eastAsiaTheme="minorHAnsi" w:hAnsi="Calibri" w:cs="Calibri"/>
          <w:lang w:eastAsia="en-US"/>
        </w:rPr>
        <w:t xml:space="preserve"> snížit NNPV určené na výzkum, vývoj a inovace ve výši 1,66</w:t>
      </w:r>
      <w:r w:rsidR="00FD1A44">
        <w:rPr>
          <w:rFonts w:ascii="Calibri" w:eastAsiaTheme="minorHAnsi" w:hAnsi="Calibri" w:cs="Calibri"/>
          <w:lang w:eastAsia="en-US"/>
        </w:rPr>
        <w:t> </w:t>
      </w:r>
      <w:r>
        <w:rPr>
          <w:rFonts w:ascii="Calibri" w:eastAsiaTheme="minorHAnsi" w:hAnsi="Calibri" w:cs="Calibri"/>
          <w:lang w:eastAsia="en-US"/>
        </w:rPr>
        <w:t>mil.</w:t>
      </w:r>
      <w:r w:rsidR="00FD1A44">
        <w:rPr>
          <w:rFonts w:ascii="Calibri" w:eastAsiaTheme="minorHAnsi" w:hAnsi="Calibri" w:cs="Calibri"/>
          <w:lang w:eastAsia="en-US"/>
        </w:rPr>
        <w:t> </w:t>
      </w:r>
      <w:r>
        <w:rPr>
          <w:rFonts w:ascii="Calibri" w:eastAsiaTheme="minorHAnsi" w:hAnsi="Calibri" w:cs="Calibri"/>
          <w:lang w:eastAsia="en-US"/>
        </w:rPr>
        <w:t xml:space="preserve">Kč z důvodu pominutí účelu jejich </w:t>
      </w:r>
      <w:proofErr w:type="spellStart"/>
      <w:r>
        <w:rPr>
          <w:rFonts w:ascii="Calibri" w:eastAsiaTheme="minorHAnsi" w:hAnsi="Calibri" w:cs="Calibri"/>
          <w:lang w:eastAsia="en-US"/>
        </w:rPr>
        <w:t>narozpočtování</w:t>
      </w:r>
      <w:proofErr w:type="spellEnd"/>
      <w:r>
        <w:rPr>
          <w:rFonts w:ascii="Calibri" w:eastAsiaTheme="minorHAnsi" w:hAnsi="Calibri" w:cs="Calibri"/>
          <w:lang w:eastAsia="en-US"/>
        </w:rPr>
        <w:t>. Tuto operaci však nerealizovalo, místo toho provedlo přesun ve výši 1,66 mil. Kč z</w:t>
      </w:r>
      <w:r w:rsidR="00BE11D6">
        <w:rPr>
          <w:rFonts w:ascii="Calibri" w:eastAsiaTheme="minorHAnsi" w:hAnsi="Calibri" w:cs="Calibri"/>
          <w:lang w:eastAsia="en-US"/>
        </w:rPr>
        <w:t> </w:t>
      </w:r>
      <w:r>
        <w:rPr>
          <w:rFonts w:ascii="Calibri" w:eastAsiaTheme="minorHAnsi" w:hAnsi="Calibri" w:cs="Calibri"/>
          <w:lang w:eastAsia="en-US"/>
        </w:rPr>
        <w:t>nároků</w:t>
      </w:r>
      <w:r w:rsidR="00BE11D6">
        <w:rPr>
          <w:rFonts w:ascii="Calibri" w:eastAsiaTheme="minorHAnsi" w:hAnsi="Calibri" w:cs="Calibri"/>
          <w:lang w:eastAsia="en-US"/>
        </w:rPr>
        <w:t xml:space="preserve"> z</w:t>
      </w:r>
      <w:r>
        <w:rPr>
          <w:rFonts w:ascii="Calibri" w:eastAsiaTheme="minorHAnsi" w:hAnsi="Calibri" w:cs="Calibri"/>
          <w:lang w:eastAsia="en-US"/>
        </w:rPr>
        <w:t xml:space="preserve"> nespotřebovaných profilujících výdajů do nároků z nespotřebovaných neprofilujících výdajů. </w:t>
      </w:r>
      <w:r w:rsidRPr="007E6AEA">
        <w:rPr>
          <w:rFonts w:ascii="Calibri" w:eastAsiaTheme="minorHAnsi" w:hAnsi="Calibri" w:cs="Calibri"/>
          <w:b/>
          <w:lang w:eastAsia="en-US"/>
        </w:rPr>
        <w:t xml:space="preserve">Tím, že MMR nesnížilo </w:t>
      </w:r>
      <w:r>
        <w:rPr>
          <w:rFonts w:ascii="Calibri" w:eastAsiaTheme="minorHAnsi" w:hAnsi="Calibri" w:cs="Calibri"/>
          <w:b/>
          <w:lang w:eastAsia="en-US"/>
        </w:rPr>
        <w:t>nároky z nespotřebovaných profilujících výdajů</w:t>
      </w:r>
      <w:r w:rsidRPr="007E6AEA">
        <w:rPr>
          <w:rFonts w:ascii="Calibri" w:eastAsiaTheme="minorHAnsi" w:hAnsi="Calibri" w:cs="Calibri"/>
          <w:b/>
          <w:lang w:eastAsia="en-US"/>
        </w:rPr>
        <w:t xml:space="preserve"> tak, jak mělo v úmyslu, ani tyto NNV nadále neuvádělo ve výkazu o nárocích z nespotřebovaných výdajů v řádku </w:t>
      </w:r>
      <w:r w:rsidRPr="007E6AEA">
        <w:rPr>
          <w:rFonts w:ascii="Calibri" w:eastAsiaTheme="minorHAnsi" w:hAnsi="Calibri" w:cs="Calibri"/>
          <w:b/>
          <w:i/>
          <w:lang w:eastAsia="en-US"/>
        </w:rPr>
        <w:t>E. Na výzkum, vývoj a</w:t>
      </w:r>
      <w:r>
        <w:rPr>
          <w:rFonts w:ascii="Calibri" w:eastAsiaTheme="minorHAnsi" w:hAnsi="Calibri" w:cs="Calibri"/>
          <w:b/>
          <w:i/>
          <w:lang w:eastAsia="en-US"/>
        </w:rPr>
        <w:t> </w:t>
      </w:r>
      <w:r w:rsidRPr="007E6AEA">
        <w:rPr>
          <w:rFonts w:ascii="Calibri" w:eastAsiaTheme="minorHAnsi" w:hAnsi="Calibri" w:cs="Calibri"/>
          <w:b/>
          <w:i/>
          <w:lang w:eastAsia="en-US"/>
        </w:rPr>
        <w:t>inovace</w:t>
      </w:r>
      <w:r w:rsidRPr="007E6AEA">
        <w:rPr>
          <w:rFonts w:ascii="Calibri" w:eastAsiaTheme="minorHAnsi" w:hAnsi="Calibri" w:cs="Calibri"/>
          <w:b/>
          <w:lang w:eastAsia="en-US"/>
        </w:rPr>
        <w:t>, postupovalo v rozporu s přílohou č. 4 vyhlášky č.</w:t>
      </w:r>
      <w:r>
        <w:rPr>
          <w:rFonts w:ascii="Calibri" w:eastAsiaTheme="minorHAnsi" w:hAnsi="Calibri" w:cs="Calibri"/>
          <w:b/>
          <w:lang w:eastAsia="en-US"/>
        </w:rPr>
        <w:t> </w:t>
      </w:r>
      <w:r w:rsidRPr="007E6AEA">
        <w:rPr>
          <w:rFonts w:ascii="Calibri" w:eastAsiaTheme="minorHAnsi" w:hAnsi="Calibri" w:cs="Calibri"/>
          <w:b/>
          <w:lang w:eastAsia="en-US"/>
        </w:rPr>
        <w:t>5/2014 Sb</w:t>
      </w:r>
      <w:r w:rsidRPr="00761EB6">
        <w:rPr>
          <w:rFonts w:ascii="Calibri" w:eastAsiaTheme="minorHAnsi" w:hAnsi="Calibri" w:cs="Calibri"/>
          <w:b/>
          <w:lang w:eastAsia="en-US"/>
        </w:rPr>
        <w:t xml:space="preserve">. </w:t>
      </w:r>
      <w:r w:rsidRPr="000847D6">
        <w:rPr>
          <w:rFonts w:ascii="Calibri" w:eastAsiaTheme="minorHAnsi" w:hAnsi="Calibri" w:cs="Calibri"/>
          <w:b/>
          <w:lang w:eastAsia="en-US"/>
        </w:rPr>
        <w:t xml:space="preserve">O částku 1,66 mil. Kč si tak zvýšilo </w:t>
      </w:r>
      <w:r>
        <w:rPr>
          <w:rFonts w:ascii="Calibri" w:eastAsiaTheme="minorHAnsi" w:hAnsi="Calibri" w:cs="Calibri"/>
          <w:b/>
          <w:lang w:eastAsia="en-US"/>
        </w:rPr>
        <w:t>nároky z nespotřebovaných neprofilujících výdajů</w:t>
      </w:r>
      <w:r w:rsidRPr="000847D6">
        <w:rPr>
          <w:rFonts w:ascii="Calibri" w:eastAsiaTheme="minorHAnsi" w:hAnsi="Calibri" w:cs="Calibri"/>
          <w:b/>
          <w:lang w:eastAsia="en-US"/>
        </w:rPr>
        <w:t xml:space="preserve">, tedy NNV, které lze využít </w:t>
      </w:r>
      <w:r w:rsidR="00FD1A44">
        <w:rPr>
          <w:rFonts w:ascii="Calibri" w:eastAsiaTheme="minorHAnsi" w:hAnsi="Calibri" w:cs="Calibri"/>
          <w:b/>
          <w:lang w:eastAsia="en-US"/>
        </w:rPr>
        <w:t xml:space="preserve">na </w:t>
      </w:r>
      <w:r w:rsidRPr="000847D6">
        <w:rPr>
          <w:rFonts w:ascii="Calibri" w:eastAsiaTheme="minorHAnsi" w:hAnsi="Calibri" w:cs="Calibri"/>
          <w:b/>
          <w:lang w:eastAsia="en-US"/>
        </w:rPr>
        <w:t>jakýkoliv účel.</w:t>
      </w:r>
    </w:p>
    <w:p w14:paraId="4FD4894B" w14:textId="77777777" w:rsidR="00194849" w:rsidRDefault="00194849" w:rsidP="00194849">
      <w:pPr>
        <w:rPr>
          <w:rFonts w:ascii="Calibri" w:eastAsiaTheme="minorHAnsi" w:hAnsi="Calibri" w:cs="Calibri"/>
          <w:lang w:eastAsia="en-US"/>
        </w:rPr>
      </w:pPr>
    </w:p>
    <w:p w14:paraId="27A3DC63" w14:textId="17634801" w:rsidR="00194849" w:rsidRDefault="00CF06FA" w:rsidP="00194849">
      <w:pPr>
        <w:rPr>
          <w:rFonts w:ascii="Calibri" w:eastAsiaTheme="minorHAnsi" w:hAnsi="Calibri" w:cs="Calibri"/>
          <w:lang w:eastAsia="en-US"/>
        </w:rPr>
      </w:pPr>
      <w:r>
        <w:rPr>
          <w:rFonts w:ascii="Calibri" w:eastAsiaTheme="minorHAnsi" w:hAnsi="Calibri" w:cs="Calibri"/>
          <w:color w:val="000000"/>
          <w:lang w:eastAsia="en-US"/>
        </w:rPr>
        <w:t xml:space="preserve">V rámci nároků z nespotřebovaných neprofilujících výdajů bylo v některých případech provedeno vrácení prostředků zapojených do konečného rozpočtu zpět do NNV. </w:t>
      </w:r>
      <w:r w:rsidR="00425E37">
        <w:rPr>
          <w:rFonts w:ascii="Calibri" w:eastAsiaTheme="minorHAnsi" w:hAnsi="Calibri" w:cs="Calibri"/>
          <w:b/>
          <w:color w:val="000000"/>
          <w:lang w:eastAsia="en-US"/>
        </w:rPr>
        <w:t>Tento postup vedl ke snížení konečného rozpočtu</w:t>
      </w:r>
      <w:r w:rsidR="003E5A55">
        <w:rPr>
          <w:rFonts w:ascii="Calibri" w:eastAsiaTheme="minorHAnsi" w:hAnsi="Calibri" w:cs="Calibri"/>
          <w:b/>
          <w:color w:val="000000"/>
          <w:lang w:eastAsia="en-US"/>
        </w:rPr>
        <w:t xml:space="preserve"> takovým způsobem</w:t>
      </w:r>
      <w:r w:rsidR="00425E37">
        <w:rPr>
          <w:rFonts w:ascii="Calibri" w:eastAsiaTheme="minorHAnsi" w:hAnsi="Calibri" w:cs="Calibri"/>
          <w:b/>
          <w:color w:val="000000"/>
          <w:lang w:eastAsia="en-US"/>
        </w:rPr>
        <w:t xml:space="preserve">, </w:t>
      </w:r>
      <w:r w:rsidR="003E5A55">
        <w:rPr>
          <w:rFonts w:ascii="Calibri" w:eastAsiaTheme="minorHAnsi" w:hAnsi="Calibri" w:cs="Calibri"/>
          <w:b/>
          <w:color w:val="000000"/>
          <w:lang w:eastAsia="en-US"/>
        </w:rPr>
        <w:t xml:space="preserve">který </w:t>
      </w:r>
      <w:r w:rsidR="00425E37">
        <w:rPr>
          <w:rFonts w:ascii="Calibri" w:eastAsiaTheme="minorHAnsi" w:hAnsi="Calibri" w:cs="Calibri"/>
          <w:b/>
          <w:color w:val="000000"/>
          <w:lang w:eastAsia="en-US"/>
        </w:rPr>
        <w:t>nebyl v souladu s vyhláškou č. 5/2014 Sb.</w:t>
      </w:r>
    </w:p>
    <w:p w14:paraId="790D8CC4" w14:textId="77777777" w:rsidR="00E4215C" w:rsidRDefault="00E4215C" w:rsidP="00194849">
      <w:pPr>
        <w:rPr>
          <w:rFonts w:ascii="Calibri" w:eastAsiaTheme="minorHAnsi" w:hAnsi="Calibri" w:cs="Calibri"/>
          <w:lang w:eastAsia="en-US"/>
        </w:rPr>
      </w:pPr>
    </w:p>
    <w:p w14:paraId="544A8925" w14:textId="77777777" w:rsidR="00194849" w:rsidRDefault="00CF06FA" w:rsidP="00761EB6">
      <w:pPr>
        <w:pStyle w:val="Nadpis3"/>
        <w:spacing w:before="0"/>
        <w:rPr>
          <w:rFonts w:eastAsiaTheme="minorHAnsi"/>
          <w:lang w:eastAsia="en-US"/>
        </w:rPr>
      </w:pPr>
      <w:r>
        <w:rPr>
          <w:rFonts w:eastAsiaTheme="minorHAnsi"/>
          <w:lang w:eastAsia="en-US"/>
        </w:rPr>
        <w:t xml:space="preserve">MD </w:t>
      </w:r>
    </w:p>
    <w:p w14:paraId="4A7C3FB6" w14:textId="77777777" w:rsidR="00194849" w:rsidRDefault="00CF06FA" w:rsidP="00194849">
      <w:pPr>
        <w:rPr>
          <w:rFonts w:ascii="Calibri" w:eastAsiaTheme="minorHAnsi" w:hAnsi="Calibri" w:cs="Calibri"/>
          <w:lang w:eastAsia="en-US"/>
        </w:rPr>
      </w:pPr>
      <w:r>
        <w:rPr>
          <w:rFonts w:ascii="Calibri" w:eastAsiaTheme="minorHAnsi" w:hAnsi="Calibri" w:cs="Calibri"/>
          <w:lang w:eastAsia="en-US"/>
        </w:rPr>
        <w:t xml:space="preserve">OSS MD zapojovala NNV do konečného rozpočtu v průběhu roku, a to s ohledem na pokrytí aktuálních potřeb. </w:t>
      </w:r>
    </w:p>
    <w:p w14:paraId="5C3E07A6" w14:textId="77777777" w:rsidR="006B5588" w:rsidRDefault="006B5588" w:rsidP="00794235"/>
    <w:p w14:paraId="1BA4F8D8" w14:textId="77777777" w:rsidR="00194849" w:rsidRDefault="00CF06FA" w:rsidP="00761EB6">
      <w:pPr>
        <w:pStyle w:val="Nadpis3"/>
        <w:spacing w:before="0"/>
      </w:pPr>
      <w:proofErr w:type="spellStart"/>
      <w:r>
        <w:t>MZd</w:t>
      </w:r>
      <w:proofErr w:type="spellEnd"/>
    </w:p>
    <w:p w14:paraId="22EB3423" w14:textId="4519DCFE" w:rsidR="00194849" w:rsidRDefault="00CF06FA" w:rsidP="00194849">
      <w:pPr>
        <w:spacing w:line="280" w:lineRule="atLeast"/>
        <w:ind w:right="70"/>
        <w:contextualSpacing/>
        <w:rPr>
          <w:rFonts w:ascii="Calibri" w:hAnsi="Calibri"/>
        </w:rPr>
      </w:pPr>
      <w:r>
        <w:rPr>
          <w:rFonts w:ascii="Calibri" w:hAnsi="Calibri"/>
        </w:rPr>
        <w:t xml:space="preserve">OSS </w:t>
      </w:r>
      <w:proofErr w:type="spellStart"/>
      <w:r>
        <w:rPr>
          <w:rFonts w:ascii="Calibri" w:hAnsi="Calibri"/>
        </w:rPr>
        <w:t>MZd</w:t>
      </w:r>
      <w:proofErr w:type="spellEnd"/>
      <w:r>
        <w:rPr>
          <w:rFonts w:ascii="Calibri" w:hAnsi="Calibri"/>
        </w:rPr>
        <w:t xml:space="preserve"> do roku 2014 zapojovala NNV do konečného rozpočtu až v případě, kdy bylo zřejmé, že prostředky v rámci rozpočtu na dané odvětví nebudou dostatečné. </w:t>
      </w:r>
      <w:r w:rsidR="00F754DC">
        <w:rPr>
          <w:rFonts w:ascii="Calibri" w:hAnsi="Calibri"/>
        </w:rPr>
        <w:t xml:space="preserve">OSS </w:t>
      </w:r>
      <w:proofErr w:type="spellStart"/>
      <w:r>
        <w:rPr>
          <w:rFonts w:ascii="Calibri" w:hAnsi="Calibri"/>
        </w:rPr>
        <w:t>MZd</w:t>
      </w:r>
      <w:proofErr w:type="spellEnd"/>
      <w:r>
        <w:rPr>
          <w:rFonts w:ascii="Calibri" w:hAnsi="Calibri"/>
        </w:rPr>
        <w:t xml:space="preserve"> udržoval</w:t>
      </w:r>
      <w:r w:rsidR="00F754DC">
        <w:rPr>
          <w:rFonts w:ascii="Calibri" w:hAnsi="Calibri"/>
        </w:rPr>
        <w:t>a</w:t>
      </w:r>
      <w:r>
        <w:rPr>
          <w:rFonts w:ascii="Calibri" w:hAnsi="Calibri"/>
        </w:rPr>
        <w:t xml:space="preserve"> ve výdajích (v rozpočtu výdajů) určitý objem rezerv na případné nezbytné převody do rozpočt</w:t>
      </w:r>
      <w:r w:rsidR="0032359D">
        <w:rPr>
          <w:rFonts w:ascii="Calibri" w:hAnsi="Calibri"/>
        </w:rPr>
        <w:t>ů</w:t>
      </w:r>
      <w:r>
        <w:rPr>
          <w:rFonts w:ascii="Calibri" w:hAnsi="Calibri"/>
        </w:rPr>
        <w:t xml:space="preserve"> jiných OSS, </w:t>
      </w:r>
      <w:r w:rsidR="0032359D">
        <w:rPr>
          <w:rFonts w:ascii="Calibri" w:hAnsi="Calibri"/>
        </w:rPr>
        <w:t>pro</w:t>
      </w:r>
      <w:r>
        <w:rPr>
          <w:rFonts w:ascii="Calibri" w:hAnsi="Calibri"/>
        </w:rPr>
        <w:t xml:space="preserve"> které nelze NNV použít. V letech 2015 a 2016 byly nároky z nespotřebovaných neprofilujících výdajů zapojeny do konečného rozpočtu již při rozpisu rozpočtu, neboť požadavky jednotlivých útvarů nebylo bez zapojení NNV možné v rámci schváleného rozpočtu zabezpečit.</w:t>
      </w:r>
    </w:p>
    <w:p w14:paraId="430A1CFF" w14:textId="77777777" w:rsidR="00E4215C" w:rsidRDefault="00E4215C" w:rsidP="00194849">
      <w:pPr>
        <w:spacing w:line="280" w:lineRule="atLeast"/>
        <w:ind w:right="70"/>
        <w:contextualSpacing/>
        <w:rPr>
          <w:rFonts w:cs="Arial"/>
        </w:rPr>
      </w:pPr>
    </w:p>
    <w:p w14:paraId="343BE900" w14:textId="77777777" w:rsidR="00194849" w:rsidRPr="00F26A32" w:rsidRDefault="00CF06FA" w:rsidP="00761EB6">
      <w:pPr>
        <w:pStyle w:val="Nadpis3"/>
        <w:spacing w:before="0"/>
      </w:pPr>
      <w:proofErr w:type="spellStart"/>
      <w:r>
        <w:t>MZe</w:t>
      </w:r>
      <w:proofErr w:type="spellEnd"/>
    </w:p>
    <w:p w14:paraId="688AB8E7" w14:textId="2D0E24FB" w:rsidR="00194849" w:rsidRPr="00053D32" w:rsidRDefault="00CF06FA" w:rsidP="00194849">
      <w:r w:rsidRPr="00053D32">
        <w:rPr>
          <w:rFonts w:ascii="Calibri" w:hAnsi="Calibri"/>
        </w:rPr>
        <w:t xml:space="preserve">OSS </w:t>
      </w:r>
      <w:proofErr w:type="spellStart"/>
      <w:r w:rsidRPr="00053D32">
        <w:rPr>
          <w:rFonts w:ascii="Calibri" w:hAnsi="Calibri"/>
        </w:rPr>
        <w:t>MZe</w:t>
      </w:r>
      <w:proofErr w:type="spellEnd"/>
      <w:r w:rsidRPr="00053D32">
        <w:rPr>
          <w:rFonts w:ascii="Calibri" w:hAnsi="Calibri"/>
        </w:rPr>
        <w:t xml:space="preserve"> realizovala dne 5. 12. 2014 přesun</w:t>
      </w:r>
      <w:r w:rsidR="0032359D">
        <w:rPr>
          <w:rFonts w:ascii="Calibri" w:hAnsi="Calibri"/>
        </w:rPr>
        <w:t xml:space="preserve"> </w:t>
      </w:r>
      <w:r w:rsidRPr="00053D32">
        <w:rPr>
          <w:rFonts w:ascii="Calibri" w:hAnsi="Calibri"/>
        </w:rPr>
        <w:t xml:space="preserve">NNNV do NNPV ve výši 60 mil. Kč na základě usnesení vlády </w:t>
      </w:r>
      <w:r w:rsidR="0032359D">
        <w:rPr>
          <w:rFonts w:ascii="Calibri" w:hAnsi="Calibri"/>
        </w:rPr>
        <w:t xml:space="preserve">ČR ze dne 24. 11. 2014 </w:t>
      </w:r>
      <w:r w:rsidRPr="00053D32">
        <w:rPr>
          <w:rFonts w:ascii="Calibri" w:hAnsi="Calibri"/>
        </w:rPr>
        <w:t>č. 979.</w:t>
      </w:r>
      <w:r w:rsidR="0032359D">
        <w:rPr>
          <w:rFonts w:ascii="Calibri" w:hAnsi="Calibri"/>
        </w:rPr>
        <w:t xml:space="preserve"> </w:t>
      </w:r>
      <w:r w:rsidRPr="00053D32">
        <w:rPr>
          <w:rFonts w:ascii="Calibri" w:hAnsi="Calibri" w:cstheme="minorHAnsi"/>
          <w:b/>
        </w:rPr>
        <w:t xml:space="preserve">Tento přesun OSS </w:t>
      </w:r>
      <w:proofErr w:type="spellStart"/>
      <w:r w:rsidRPr="00053D32">
        <w:rPr>
          <w:rFonts w:ascii="Calibri" w:hAnsi="Calibri" w:cstheme="minorHAnsi"/>
          <w:b/>
        </w:rPr>
        <w:t>MZe</w:t>
      </w:r>
      <w:proofErr w:type="spellEnd"/>
      <w:r w:rsidRPr="00053D32">
        <w:rPr>
          <w:rFonts w:ascii="Calibri" w:hAnsi="Calibri" w:cstheme="minorHAnsi"/>
          <w:b/>
        </w:rPr>
        <w:t xml:space="preserve"> nevykázala v souladu s</w:t>
      </w:r>
      <w:r w:rsidR="00477CCF">
        <w:rPr>
          <w:rFonts w:ascii="Calibri" w:hAnsi="Calibri" w:cstheme="minorHAnsi"/>
          <w:b/>
        </w:rPr>
        <w:t> </w:t>
      </w:r>
      <w:r w:rsidRPr="00053D32">
        <w:rPr>
          <w:rFonts w:ascii="Calibri" w:hAnsi="Calibri" w:cstheme="minorHAnsi"/>
          <w:b/>
        </w:rPr>
        <w:t>přílohou č. 7 vyhlášky č. 449/2009 Sb</w:t>
      </w:r>
      <w:r w:rsidRPr="00761EB6">
        <w:rPr>
          <w:rFonts w:ascii="Calibri" w:hAnsi="Calibri" w:cstheme="minorHAnsi"/>
          <w:b/>
        </w:rPr>
        <w:t>.</w:t>
      </w:r>
      <w:r w:rsidR="00E95FDA" w:rsidRPr="00761EB6">
        <w:rPr>
          <w:rFonts w:ascii="Calibri" w:hAnsi="Calibri" w:cstheme="minorHAnsi"/>
          <w:b/>
        </w:rPr>
        <w:t>,</w:t>
      </w:r>
      <w:r w:rsidR="00E95FDA">
        <w:rPr>
          <w:rFonts w:ascii="Calibri" w:hAnsi="Calibri" w:cstheme="minorHAnsi"/>
        </w:rPr>
        <w:t xml:space="preserve"> o způsobu, termínech a rozsahu údajů předkládaných pro hodnocení plnění státního rozpočtu, rozpočtů státních fondů, rozpočtů územních samosprávných celků, rozpočtů dobrovolných svazků obcí a rozpočtů Regionálních rad regionů soudržnosti.</w:t>
      </w:r>
    </w:p>
    <w:p w14:paraId="2CE45574" w14:textId="77777777" w:rsidR="00194849" w:rsidRDefault="00194849" w:rsidP="00194849">
      <w:pPr>
        <w:spacing w:line="280" w:lineRule="atLeast"/>
        <w:ind w:right="70"/>
        <w:contextualSpacing/>
        <w:rPr>
          <w:rFonts w:cs="Arial"/>
        </w:rPr>
      </w:pPr>
    </w:p>
    <w:p w14:paraId="648029CC" w14:textId="12AD8BDA" w:rsidR="00194849" w:rsidRDefault="00CF06FA" w:rsidP="00761EB6">
      <w:pPr>
        <w:pStyle w:val="Nadpis2"/>
        <w:numPr>
          <w:ilvl w:val="0"/>
          <w:numId w:val="0"/>
        </w:numPr>
        <w:spacing w:before="0"/>
      </w:pPr>
      <w:r>
        <w:t xml:space="preserve">5.2 </w:t>
      </w:r>
      <w:r w:rsidRPr="00EC76DA">
        <w:t xml:space="preserve">Snížení </w:t>
      </w:r>
      <w:r>
        <w:t>nároků z nespotřebovaných výdajů</w:t>
      </w:r>
      <w:r w:rsidRPr="00EC76DA">
        <w:t xml:space="preserve"> z jiných důvodů než </w:t>
      </w:r>
      <w:r w:rsidR="00425E37">
        <w:t>z důvodu zapojení</w:t>
      </w:r>
      <w:r w:rsidR="00425E37" w:rsidRPr="00EC76DA">
        <w:t xml:space="preserve"> </w:t>
      </w:r>
      <w:r w:rsidRPr="00EC76DA">
        <w:t>do rozpočtu</w:t>
      </w:r>
    </w:p>
    <w:p w14:paraId="23D06A20" w14:textId="343AAF62" w:rsidR="00194849" w:rsidRDefault="00425E37" w:rsidP="00194849">
      <w:pPr>
        <w:rPr>
          <w:rFonts w:ascii="Calibri" w:hAnsi="Calibri"/>
        </w:rPr>
      </w:pPr>
      <w:r>
        <w:rPr>
          <w:rFonts w:ascii="Calibri" w:hAnsi="Calibri"/>
        </w:rPr>
        <w:t>Jiné důvody snížení NNV</w:t>
      </w:r>
      <w:r w:rsidR="00CF06FA" w:rsidRPr="00053D32">
        <w:rPr>
          <w:rFonts w:ascii="Calibri" w:hAnsi="Calibri"/>
        </w:rPr>
        <w:t xml:space="preserve"> v roce 2014 a</w:t>
      </w:r>
      <w:r w:rsidR="00030350">
        <w:rPr>
          <w:rFonts w:ascii="Calibri" w:hAnsi="Calibri"/>
        </w:rPr>
        <w:t> </w:t>
      </w:r>
      <w:r w:rsidR="00CF06FA" w:rsidRPr="00053D32">
        <w:rPr>
          <w:rFonts w:ascii="Calibri" w:hAnsi="Calibri"/>
        </w:rPr>
        <w:t>2015, které kontrolované osoby</w:t>
      </w:r>
      <w:r>
        <w:rPr>
          <w:rFonts w:ascii="Calibri" w:hAnsi="Calibri"/>
        </w:rPr>
        <w:t xml:space="preserve"> </w:t>
      </w:r>
      <w:r w:rsidRPr="00053D32">
        <w:rPr>
          <w:rFonts w:ascii="Calibri" w:hAnsi="Calibri"/>
        </w:rPr>
        <w:t>vykázaly</w:t>
      </w:r>
      <w:r w:rsidR="00CF06FA" w:rsidRPr="00053D32">
        <w:rPr>
          <w:rFonts w:ascii="Calibri" w:hAnsi="Calibri"/>
        </w:rPr>
        <w:t xml:space="preserve">, </w:t>
      </w:r>
      <w:r w:rsidR="00030350">
        <w:rPr>
          <w:rFonts w:ascii="Calibri" w:hAnsi="Calibri"/>
        </w:rPr>
        <w:t>obsahují</w:t>
      </w:r>
      <w:r w:rsidR="0032359D">
        <w:rPr>
          <w:rFonts w:ascii="Calibri" w:hAnsi="Calibri"/>
        </w:rPr>
        <w:t xml:space="preserve"> </w:t>
      </w:r>
      <w:r w:rsidR="00CF06FA" w:rsidRPr="00053D32">
        <w:rPr>
          <w:rFonts w:ascii="Calibri" w:hAnsi="Calibri"/>
        </w:rPr>
        <w:t>tabul</w:t>
      </w:r>
      <w:r w:rsidR="0032359D">
        <w:rPr>
          <w:rFonts w:ascii="Calibri" w:hAnsi="Calibri"/>
        </w:rPr>
        <w:t>ky</w:t>
      </w:r>
      <w:r w:rsidR="00CF06FA" w:rsidRPr="00053D32">
        <w:rPr>
          <w:rFonts w:ascii="Calibri" w:hAnsi="Calibri"/>
        </w:rPr>
        <w:t xml:space="preserve"> č. 8 a </w:t>
      </w:r>
      <w:r w:rsidR="006B5588">
        <w:rPr>
          <w:rFonts w:ascii="Calibri" w:hAnsi="Calibri"/>
        </w:rPr>
        <w:t xml:space="preserve">č. </w:t>
      </w:r>
      <w:r w:rsidR="00CF06FA" w:rsidRPr="00053D32">
        <w:rPr>
          <w:rFonts w:ascii="Calibri" w:hAnsi="Calibri"/>
        </w:rPr>
        <w:t>9.</w:t>
      </w:r>
    </w:p>
    <w:p w14:paraId="4E07659F" w14:textId="77777777" w:rsidR="00773C32" w:rsidRDefault="00773C32" w:rsidP="00194849">
      <w:pPr>
        <w:rPr>
          <w:rFonts w:ascii="Calibri" w:hAnsi="Calibri"/>
        </w:rPr>
      </w:pPr>
    </w:p>
    <w:p w14:paraId="1B8CD697" w14:textId="1377680B" w:rsidR="00AC331C" w:rsidRDefault="00AC331C" w:rsidP="00194849">
      <w:pPr>
        <w:rPr>
          <w:rFonts w:ascii="Calibri" w:hAnsi="Calibri"/>
        </w:rPr>
      </w:pPr>
      <w:r>
        <w:rPr>
          <w:rFonts w:ascii="Calibri" w:hAnsi="Calibri"/>
        </w:rPr>
        <w:t>Tabulka č. 8 – Důvody snížení NNV v roce 2014</w:t>
      </w:r>
      <w:r>
        <w:rPr>
          <w:rFonts w:ascii="Calibri" w:hAnsi="Calibri"/>
        </w:rPr>
        <w:tab/>
      </w:r>
      <w:r w:rsidR="0084400A">
        <w:rPr>
          <w:rFonts w:ascii="Calibri" w:hAnsi="Calibri"/>
        </w:rPr>
        <w:tab/>
      </w:r>
      <w:r w:rsidR="0084400A">
        <w:rPr>
          <w:rFonts w:ascii="Calibri" w:hAnsi="Calibri"/>
        </w:rPr>
        <w:tab/>
      </w:r>
      <w:r w:rsidR="0084400A">
        <w:rPr>
          <w:rFonts w:ascii="Calibri" w:hAnsi="Calibri"/>
        </w:rPr>
        <w:tab/>
      </w:r>
      <w:r w:rsidR="0084400A">
        <w:rPr>
          <w:rFonts w:ascii="Calibri" w:hAnsi="Calibri"/>
        </w:rPr>
        <w:tab/>
        <w:t xml:space="preserve">       </w:t>
      </w:r>
      <w:r w:rsidR="00425E37">
        <w:rPr>
          <w:rFonts w:ascii="Calibri" w:hAnsi="Calibri"/>
        </w:rPr>
        <w:t>(</w:t>
      </w:r>
      <w:r>
        <w:rPr>
          <w:rFonts w:ascii="Calibri" w:hAnsi="Calibri"/>
        </w:rPr>
        <w:t>v tis. Kč</w:t>
      </w:r>
      <w:r w:rsidR="00425E37">
        <w:rPr>
          <w:rFonts w:ascii="Calibri" w:hAnsi="Calibri"/>
        </w:rPr>
        <w:t>)</w:t>
      </w:r>
    </w:p>
    <w:tbl>
      <w:tblPr>
        <w:tblStyle w:val="Mkatabulky"/>
        <w:tblW w:w="0" w:type="auto"/>
        <w:tblLook w:val="04A0" w:firstRow="1" w:lastRow="0" w:firstColumn="1" w:lastColumn="0" w:noHBand="0" w:noVBand="1"/>
      </w:tblPr>
      <w:tblGrid>
        <w:gridCol w:w="1129"/>
        <w:gridCol w:w="2495"/>
        <w:gridCol w:w="1812"/>
        <w:gridCol w:w="1813"/>
        <w:gridCol w:w="1813"/>
      </w:tblGrid>
      <w:tr w:rsidR="00AC331C" w14:paraId="0765E277" w14:textId="77777777" w:rsidTr="0076189E">
        <w:tc>
          <w:tcPr>
            <w:tcW w:w="1129" w:type="dxa"/>
            <w:vMerge w:val="restart"/>
            <w:shd w:val="clear" w:color="auto" w:fill="E5F1FF"/>
            <w:vAlign w:val="center"/>
          </w:tcPr>
          <w:p w14:paraId="4CA8A5D2" w14:textId="6B33DD44" w:rsidR="00AC331C" w:rsidRPr="0076189E" w:rsidRDefault="00AC331C" w:rsidP="00AC331C">
            <w:pPr>
              <w:jc w:val="center"/>
              <w:rPr>
                <w:rFonts w:ascii="Calibri" w:hAnsi="Calibri"/>
                <w:b/>
                <w:sz w:val="20"/>
                <w:szCs w:val="20"/>
              </w:rPr>
            </w:pPr>
            <w:r w:rsidRPr="0076189E">
              <w:rPr>
                <w:rFonts w:ascii="Calibri" w:hAnsi="Calibri"/>
                <w:b/>
                <w:sz w:val="20"/>
                <w:szCs w:val="20"/>
              </w:rPr>
              <w:t>OSS</w:t>
            </w:r>
          </w:p>
        </w:tc>
        <w:tc>
          <w:tcPr>
            <w:tcW w:w="7933" w:type="dxa"/>
            <w:gridSpan w:val="4"/>
            <w:shd w:val="clear" w:color="auto" w:fill="E5F1FF"/>
            <w:vAlign w:val="center"/>
          </w:tcPr>
          <w:p w14:paraId="514962F3" w14:textId="5CE8D4AD" w:rsidR="00AC331C" w:rsidRPr="0076189E" w:rsidRDefault="00AC331C" w:rsidP="00AC331C">
            <w:pPr>
              <w:jc w:val="center"/>
              <w:rPr>
                <w:rFonts w:ascii="Calibri" w:hAnsi="Calibri"/>
                <w:b/>
                <w:sz w:val="20"/>
                <w:szCs w:val="20"/>
              </w:rPr>
            </w:pPr>
            <w:r w:rsidRPr="0076189E">
              <w:rPr>
                <w:rFonts w:ascii="Calibri" w:hAnsi="Calibri"/>
                <w:b/>
                <w:sz w:val="20"/>
                <w:szCs w:val="20"/>
              </w:rPr>
              <w:t>Rok 2014 – důvody snížení NNV</w:t>
            </w:r>
          </w:p>
        </w:tc>
      </w:tr>
      <w:tr w:rsidR="00AC331C" w14:paraId="5987A222" w14:textId="77777777" w:rsidTr="0076189E">
        <w:tc>
          <w:tcPr>
            <w:tcW w:w="1129" w:type="dxa"/>
            <w:vMerge/>
            <w:shd w:val="clear" w:color="auto" w:fill="E5F1FF"/>
            <w:vAlign w:val="center"/>
          </w:tcPr>
          <w:p w14:paraId="6AADAF11" w14:textId="77777777" w:rsidR="00AC331C" w:rsidRPr="0076189E" w:rsidRDefault="00AC331C" w:rsidP="00AC331C">
            <w:pPr>
              <w:jc w:val="center"/>
              <w:rPr>
                <w:rFonts w:ascii="Calibri" w:hAnsi="Calibri"/>
                <w:b/>
                <w:sz w:val="20"/>
                <w:szCs w:val="20"/>
              </w:rPr>
            </w:pPr>
          </w:p>
        </w:tc>
        <w:tc>
          <w:tcPr>
            <w:tcW w:w="2495" w:type="dxa"/>
            <w:shd w:val="clear" w:color="auto" w:fill="E5F1FF"/>
            <w:vAlign w:val="center"/>
          </w:tcPr>
          <w:p w14:paraId="24221617" w14:textId="3BDF8121" w:rsidR="00AC331C" w:rsidRPr="0076189E" w:rsidRDefault="00AC331C" w:rsidP="006E434C">
            <w:pPr>
              <w:jc w:val="center"/>
              <w:rPr>
                <w:rFonts w:ascii="Calibri" w:hAnsi="Calibri"/>
                <w:b/>
                <w:sz w:val="20"/>
                <w:szCs w:val="20"/>
              </w:rPr>
            </w:pPr>
            <w:r w:rsidRPr="0076189E">
              <w:rPr>
                <w:rFonts w:ascii="Calibri" w:hAnsi="Calibri"/>
                <w:b/>
                <w:sz w:val="20"/>
                <w:szCs w:val="20"/>
              </w:rPr>
              <w:t>Programy a projekty spolufinancované z rozpočtu EU a programy podle § 13 odst. 3 zák. č.</w:t>
            </w:r>
            <w:r w:rsidR="006E434C">
              <w:rPr>
                <w:rFonts w:ascii="Calibri" w:hAnsi="Calibri"/>
                <w:b/>
                <w:sz w:val="20"/>
                <w:szCs w:val="20"/>
              </w:rPr>
              <w:t> </w:t>
            </w:r>
            <w:r w:rsidRPr="0076189E">
              <w:rPr>
                <w:rFonts w:ascii="Calibri" w:hAnsi="Calibri"/>
                <w:b/>
                <w:sz w:val="20"/>
                <w:szCs w:val="20"/>
              </w:rPr>
              <w:t>218/2000 Sb.</w:t>
            </w:r>
          </w:p>
        </w:tc>
        <w:tc>
          <w:tcPr>
            <w:tcW w:w="1812" w:type="dxa"/>
            <w:shd w:val="clear" w:color="auto" w:fill="E5F1FF"/>
            <w:vAlign w:val="center"/>
          </w:tcPr>
          <w:p w14:paraId="4AB62DF2" w14:textId="55E97C6E" w:rsidR="00AC331C" w:rsidRPr="0076189E" w:rsidRDefault="00AC331C" w:rsidP="006E434C">
            <w:pPr>
              <w:jc w:val="center"/>
              <w:rPr>
                <w:rFonts w:ascii="Calibri" w:hAnsi="Calibri"/>
                <w:b/>
                <w:sz w:val="20"/>
                <w:szCs w:val="20"/>
              </w:rPr>
            </w:pPr>
            <w:r w:rsidRPr="0076189E">
              <w:rPr>
                <w:rFonts w:ascii="Calibri" w:hAnsi="Calibri"/>
                <w:b/>
                <w:sz w:val="20"/>
                <w:szCs w:val="20"/>
              </w:rPr>
              <w:t>Programy a</w:t>
            </w:r>
            <w:r w:rsidR="006E434C">
              <w:rPr>
                <w:rFonts w:ascii="Calibri" w:hAnsi="Calibri"/>
                <w:b/>
                <w:sz w:val="20"/>
                <w:szCs w:val="20"/>
              </w:rPr>
              <w:t> </w:t>
            </w:r>
            <w:r w:rsidRPr="0076189E">
              <w:rPr>
                <w:rFonts w:ascii="Calibri" w:hAnsi="Calibri"/>
                <w:b/>
                <w:sz w:val="20"/>
                <w:szCs w:val="20"/>
              </w:rPr>
              <w:t>projekty spolufinancované z finančních mechanismů</w:t>
            </w:r>
          </w:p>
        </w:tc>
        <w:tc>
          <w:tcPr>
            <w:tcW w:w="1813" w:type="dxa"/>
            <w:shd w:val="clear" w:color="auto" w:fill="E5F1FF"/>
            <w:vAlign w:val="center"/>
          </w:tcPr>
          <w:p w14:paraId="4A0D8297" w14:textId="58C1FDEF" w:rsidR="00AC331C" w:rsidRPr="0076189E" w:rsidRDefault="00AC331C" w:rsidP="00AC331C">
            <w:pPr>
              <w:jc w:val="center"/>
              <w:rPr>
                <w:rFonts w:ascii="Calibri" w:hAnsi="Calibri"/>
                <w:b/>
                <w:sz w:val="20"/>
                <w:szCs w:val="20"/>
              </w:rPr>
            </w:pPr>
            <w:r w:rsidRPr="0076189E">
              <w:rPr>
                <w:rFonts w:ascii="Calibri" w:hAnsi="Calibri"/>
                <w:b/>
                <w:sz w:val="20"/>
                <w:szCs w:val="20"/>
              </w:rPr>
              <w:t>OSS zjistila, že je již nepoužije</w:t>
            </w:r>
          </w:p>
        </w:tc>
        <w:tc>
          <w:tcPr>
            <w:tcW w:w="1813" w:type="dxa"/>
            <w:shd w:val="clear" w:color="auto" w:fill="E5F1FF"/>
            <w:vAlign w:val="center"/>
          </w:tcPr>
          <w:p w14:paraId="0357C75B" w14:textId="04C8ED16" w:rsidR="00AC331C" w:rsidRPr="0076189E" w:rsidRDefault="00AC331C" w:rsidP="006E434C">
            <w:pPr>
              <w:jc w:val="center"/>
              <w:rPr>
                <w:rFonts w:ascii="Calibri" w:hAnsi="Calibri"/>
                <w:b/>
                <w:sz w:val="20"/>
                <w:szCs w:val="20"/>
              </w:rPr>
            </w:pPr>
            <w:r w:rsidRPr="0076189E">
              <w:rPr>
                <w:rFonts w:ascii="Calibri" w:hAnsi="Calibri"/>
                <w:b/>
                <w:sz w:val="20"/>
                <w:szCs w:val="20"/>
              </w:rPr>
              <w:t>Profilující výdaje, u</w:t>
            </w:r>
            <w:r w:rsidR="006E434C">
              <w:rPr>
                <w:rFonts w:ascii="Calibri" w:hAnsi="Calibri"/>
                <w:b/>
                <w:sz w:val="20"/>
                <w:szCs w:val="20"/>
              </w:rPr>
              <w:t> </w:t>
            </w:r>
            <w:r w:rsidRPr="0076189E">
              <w:rPr>
                <w:rFonts w:ascii="Calibri" w:hAnsi="Calibri"/>
                <w:b/>
                <w:sz w:val="20"/>
                <w:szCs w:val="20"/>
              </w:rPr>
              <w:t>nichž pominul účel</w:t>
            </w:r>
          </w:p>
        </w:tc>
      </w:tr>
      <w:tr w:rsidR="00AC331C" w14:paraId="0E241FDD" w14:textId="77777777" w:rsidTr="00ED28AF">
        <w:tc>
          <w:tcPr>
            <w:tcW w:w="1129" w:type="dxa"/>
          </w:tcPr>
          <w:p w14:paraId="4363D568" w14:textId="5026C69C" w:rsidR="00AC331C" w:rsidRPr="0076189E" w:rsidRDefault="00AC331C" w:rsidP="00194849">
            <w:pPr>
              <w:rPr>
                <w:rFonts w:ascii="Calibri" w:hAnsi="Calibri"/>
                <w:sz w:val="20"/>
                <w:szCs w:val="20"/>
              </w:rPr>
            </w:pPr>
            <w:r w:rsidRPr="0076189E">
              <w:rPr>
                <w:rFonts w:ascii="Calibri" w:hAnsi="Calibri"/>
                <w:sz w:val="20"/>
                <w:szCs w:val="20"/>
              </w:rPr>
              <w:t>MF</w:t>
            </w:r>
          </w:p>
        </w:tc>
        <w:tc>
          <w:tcPr>
            <w:tcW w:w="2495" w:type="dxa"/>
            <w:vAlign w:val="center"/>
          </w:tcPr>
          <w:p w14:paraId="67FED590" w14:textId="5F1D5E75" w:rsidR="00AC331C" w:rsidRPr="0076189E" w:rsidRDefault="00AC331C" w:rsidP="00ED28AF">
            <w:pPr>
              <w:jc w:val="right"/>
              <w:rPr>
                <w:rFonts w:ascii="Calibri" w:hAnsi="Calibri"/>
                <w:sz w:val="20"/>
                <w:szCs w:val="20"/>
              </w:rPr>
            </w:pPr>
            <w:r w:rsidRPr="0076189E">
              <w:rPr>
                <w:rFonts w:ascii="Calibri" w:hAnsi="Calibri"/>
                <w:sz w:val="20"/>
                <w:szCs w:val="20"/>
              </w:rPr>
              <w:t>0,00</w:t>
            </w:r>
          </w:p>
        </w:tc>
        <w:tc>
          <w:tcPr>
            <w:tcW w:w="1812" w:type="dxa"/>
            <w:vAlign w:val="center"/>
          </w:tcPr>
          <w:p w14:paraId="3653ECE6" w14:textId="04BD8786" w:rsidR="00AC331C" w:rsidRPr="0076189E" w:rsidRDefault="00AC331C" w:rsidP="00ED28AF">
            <w:pPr>
              <w:jc w:val="right"/>
              <w:rPr>
                <w:rFonts w:ascii="Calibri" w:hAnsi="Calibri"/>
                <w:sz w:val="20"/>
                <w:szCs w:val="20"/>
              </w:rPr>
            </w:pPr>
            <w:r w:rsidRPr="0076189E">
              <w:rPr>
                <w:rFonts w:ascii="Calibri" w:hAnsi="Calibri"/>
                <w:sz w:val="20"/>
                <w:szCs w:val="20"/>
              </w:rPr>
              <w:t>0,00</w:t>
            </w:r>
          </w:p>
        </w:tc>
        <w:tc>
          <w:tcPr>
            <w:tcW w:w="1813" w:type="dxa"/>
            <w:vAlign w:val="center"/>
          </w:tcPr>
          <w:p w14:paraId="4CB4097F" w14:textId="7604CB0F" w:rsidR="00AC331C" w:rsidRPr="0076189E" w:rsidRDefault="00AC331C" w:rsidP="00ED28AF">
            <w:pPr>
              <w:jc w:val="right"/>
              <w:rPr>
                <w:rFonts w:ascii="Calibri" w:hAnsi="Calibri"/>
                <w:sz w:val="20"/>
                <w:szCs w:val="20"/>
              </w:rPr>
            </w:pPr>
            <w:r w:rsidRPr="0076189E">
              <w:rPr>
                <w:rFonts w:ascii="Calibri" w:hAnsi="Calibri"/>
                <w:sz w:val="20"/>
                <w:szCs w:val="20"/>
              </w:rPr>
              <w:t>0,00</w:t>
            </w:r>
          </w:p>
        </w:tc>
        <w:tc>
          <w:tcPr>
            <w:tcW w:w="1813" w:type="dxa"/>
            <w:vAlign w:val="center"/>
          </w:tcPr>
          <w:p w14:paraId="31DD3417" w14:textId="30EF052C" w:rsidR="00AC331C" w:rsidRPr="0076189E" w:rsidRDefault="00AC331C" w:rsidP="00ED28AF">
            <w:pPr>
              <w:jc w:val="right"/>
              <w:rPr>
                <w:rFonts w:ascii="Calibri" w:hAnsi="Calibri"/>
                <w:sz w:val="20"/>
                <w:szCs w:val="20"/>
              </w:rPr>
            </w:pPr>
            <w:r w:rsidRPr="0076189E">
              <w:rPr>
                <w:rFonts w:ascii="Calibri" w:hAnsi="Calibri"/>
                <w:sz w:val="20"/>
                <w:szCs w:val="20"/>
              </w:rPr>
              <w:t>0,00</w:t>
            </w:r>
          </w:p>
        </w:tc>
      </w:tr>
      <w:tr w:rsidR="00AC331C" w14:paraId="06D2BB76" w14:textId="77777777" w:rsidTr="00ED28AF">
        <w:tc>
          <w:tcPr>
            <w:tcW w:w="1129" w:type="dxa"/>
          </w:tcPr>
          <w:p w14:paraId="1AE71C08" w14:textId="5CA6333D" w:rsidR="00AC331C" w:rsidRPr="0076189E" w:rsidRDefault="00AC331C" w:rsidP="00194849">
            <w:pPr>
              <w:rPr>
                <w:rFonts w:ascii="Calibri" w:hAnsi="Calibri"/>
                <w:sz w:val="20"/>
                <w:szCs w:val="20"/>
              </w:rPr>
            </w:pPr>
            <w:r w:rsidRPr="0076189E">
              <w:rPr>
                <w:rFonts w:ascii="Calibri" w:hAnsi="Calibri"/>
                <w:sz w:val="20"/>
                <w:szCs w:val="20"/>
              </w:rPr>
              <w:t>MMR</w:t>
            </w:r>
          </w:p>
        </w:tc>
        <w:tc>
          <w:tcPr>
            <w:tcW w:w="2495" w:type="dxa"/>
            <w:vAlign w:val="center"/>
          </w:tcPr>
          <w:p w14:paraId="2F2B21F8" w14:textId="5227A514" w:rsidR="00AC331C" w:rsidRPr="0076189E" w:rsidRDefault="00AC331C" w:rsidP="00ED28AF">
            <w:pPr>
              <w:jc w:val="right"/>
              <w:rPr>
                <w:rFonts w:ascii="Calibri" w:hAnsi="Calibri"/>
                <w:sz w:val="20"/>
                <w:szCs w:val="20"/>
              </w:rPr>
            </w:pPr>
            <w:r w:rsidRPr="0076189E">
              <w:rPr>
                <w:rFonts w:ascii="Calibri" w:hAnsi="Calibri"/>
                <w:sz w:val="20"/>
                <w:szCs w:val="20"/>
              </w:rPr>
              <w:t>23 616,64</w:t>
            </w:r>
          </w:p>
        </w:tc>
        <w:tc>
          <w:tcPr>
            <w:tcW w:w="1812" w:type="dxa"/>
            <w:vAlign w:val="center"/>
          </w:tcPr>
          <w:p w14:paraId="24C2F060" w14:textId="55F4D3B2" w:rsidR="00AC331C" w:rsidRPr="0076189E" w:rsidRDefault="00AC331C" w:rsidP="00ED28AF">
            <w:pPr>
              <w:jc w:val="right"/>
              <w:rPr>
                <w:rFonts w:ascii="Calibri" w:hAnsi="Calibri"/>
                <w:sz w:val="20"/>
                <w:szCs w:val="20"/>
              </w:rPr>
            </w:pPr>
            <w:r w:rsidRPr="0076189E">
              <w:rPr>
                <w:rFonts w:ascii="Calibri" w:hAnsi="Calibri"/>
                <w:sz w:val="20"/>
                <w:szCs w:val="20"/>
              </w:rPr>
              <w:t>0,00</w:t>
            </w:r>
          </w:p>
        </w:tc>
        <w:tc>
          <w:tcPr>
            <w:tcW w:w="1813" w:type="dxa"/>
            <w:vAlign w:val="center"/>
          </w:tcPr>
          <w:p w14:paraId="658C5F13" w14:textId="2C6A2EEE" w:rsidR="00AC331C" w:rsidRPr="0076189E" w:rsidRDefault="00AC331C" w:rsidP="00ED28AF">
            <w:pPr>
              <w:jc w:val="right"/>
              <w:rPr>
                <w:rFonts w:ascii="Calibri" w:hAnsi="Calibri"/>
                <w:sz w:val="20"/>
                <w:szCs w:val="20"/>
              </w:rPr>
            </w:pPr>
            <w:r w:rsidRPr="0076189E">
              <w:rPr>
                <w:rFonts w:ascii="Calibri" w:hAnsi="Calibri"/>
                <w:sz w:val="20"/>
                <w:szCs w:val="20"/>
              </w:rPr>
              <w:t>325,00</w:t>
            </w:r>
          </w:p>
        </w:tc>
        <w:tc>
          <w:tcPr>
            <w:tcW w:w="1813" w:type="dxa"/>
            <w:vAlign w:val="center"/>
          </w:tcPr>
          <w:p w14:paraId="552851B0" w14:textId="00971D15" w:rsidR="00AC331C" w:rsidRPr="0076189E" w:rsidRDefault="00AC331C" w:rsidP="00ED28AF">
            <w:pPr>
              <w:jc w:val="right"/>
              <w:rPr>
                <w:rFonts w:ascii="Calibri" w:hAnsi="Calibri"/>
                <w:sz w:val="20"/>
                <w:szCs w:val="20"/>
              </w:rPr>
            </w:pPr>
            <w:r w:rsidRPr="0076189E">
              <w:rPr>
                <w:rFonts w:ascii="Calibri" w:hAnsi="Calibri"/>
                <w:sz w:val="20"/>
                <w:szCs w:val="20"/>
              </w:rPr>
              <w:t>0,00</w:t>
            </w:r>
          </w:p>
        </w:tc>
      </w:tr>
      <w:tr w:rsidR="00AC331C" w14:paraId="69A92C75" w14:textId="77777777" w:rsidTr="00ED28AF">
        <w:tc>
          <w:tcPr>
            <w:tcW w:w="1129" w:type="dxa"/>
          </w:tcPr>
          <w:p w14:paraId="5D6E4E45" w14:textId="40436015" w:rsidR="00AC331C" w:rsidRPr="0076189E" w:rsidRDefault="00AC331C" w:rsidP="00194849">
            <w:pPr>
              <w:rPr>
                <w:rFonts w:ascii="Calibri" w:hAnsi="Calibri"/>
                <w:sz w:val="20"/>
                <w:szCs w:val="20"/>
              </w:rPr>
            </w:pPr>
            <w:r w:rsidRPr="0076189E">
              <w:rPr>
                <w:rFonts w:ascii="Calibri" w:hAnsi="Calibri"/>
                <w:sz w:val="20"/>
                <w:szCs w:val="20"/>
              </w:rPr>
              <w:t>MD</w:t>
            </w:r>
          </w:p>
        </w:tc>
        <w:tc>
          <w:tcPr>
            <w:tcW w:w="2495" w:type="dxa"/>
            <w:vAlign w:val="center"/>
          </w:tcPr>
          <w:p w14:paraId="6BBD93F1" w14:textId="41D1B5EC" w:rsidR="00AC331C" w:rsidRPr="0076189E" w:rsidRDefault="00AC331C" w:rsidP="00ED28AF">
            <w:pPr>
              <w:jc w:val="right"/>
              <w:rPr>
                <w:rFonts w:ascii="Calibri" w:hAnsi="Calibri"/>
                <w:sz w:val="20"/>
                <w:szCs w:val="20"/>
              </w:rPr>
            </w:pPr>
            <w:r w:rsidRPr="0076189E">
              <w:rPr>
                <w:rFonts w:ascii="Calibri" w:hAnsi="Calibri"/>
                <w:sz w:val="20"/>
                <w:szCs w:val="20"/>
              </w:rPr>
              <w:t>1 311,01</w:t>
            </w:r>
          </w:p>
        </w:tc>
        <w:tc>
          <w:tcPr>
            <w:tcW w:w="1812" w:type="dxa"/>
            <w:vAlign w:val="center"/>
          </w:tcPr>
          <w:p w14:paraId="62E16D73" w14:textId="253CE671" w:rsidR="00AC331C" w:rsidRPr="0076189E" w:rsidRDefault="00AC331C" w:rsidP="00ED28AF">
            <w:pPr>
              <w:jc w:val="right"/>
              <w:rPr>
                <w:rFonts w:ascii="Calibri" w:hAnsi="Calibri"/>
                <w:sz w:val="20"/>
                <w:szCs w:val="20"/>
              </w:rPr>
            </w:pPr>
            <w:r w:rsidRPr="0076189E">
              <w:rPr>
                <w:rFonts w:ascii="Calibri" w:hAnsi="Calibri"/>
                <w:sz w:val="20"/>
                <w:szCs w:val="20"/>
              </w:rPr>
              <w:t>0,00</w:t>
            </w:r>
          </w:p>
        </w:tc>
        <w:tc>
          <w:tcPr>
            <w:tcW w:w="1813" w:type="dxa"/>
            <w:vAlign w:val="center"/>
          </w:tcPr>
          <w:p w14:paraId="7D30BA01" w14:textId="2C61505F" w:rsidR="00AC331C" w:rsidRPr="0076189E" w:rsidRDefault="00AC331C" w:rsidP="00ED28AF">
            <w:pPr>
              <w:jc w:val="right"/>
              <w:rPr>
                <w:rFonts w:ascii="Calibri" w:hAnsi="Calibri"/>
                <w:sz w:val="20"/>
                <w:szCs w:val="20"/>
              </w:rPr>
            </w:pPr>
            <w:r w:rsidRPr="0076189E">
              <w:rPr>
                <w:rFonts w:ascii="Calibri" w:hAnsi="Calibri"/>
                <w:sz w:val="20"/>
                <w:szCs w:val="20"/>
              </w:rPr>
              <w:t>0,00</w:t>
            </w:r>
          </w:p>
        </w:tc>
        <w:tc>
          <w:tcPr>
            <w:tcW w:w="1813" w:type="dxa"/>
            <w:vAlign w:val="center"/>
          </w:tcPr>
          <w:p w14:paraId="515CA169" w14:textId="2C5525C1" w:rsidR="00AC331C" w:rsidRPr="0076189E" w:rsidRDefault="00AC331C" w:rsidP="00ED28AF">
            <w:pPr>
              <w:jc w:val="right"/>
              <w:rPr>
                <w:rFonts w:ascii="Calibri" w:hAnsi="Calibri"/>
                <w:sz w:val="20"/>
                <w:szCs w:val="20"/>
              </w:rPr>
            </w:pPr>
            <w:r w:rsidRPr="0076189E">
              <w:rPr>
                <w:rFonts w:ascii="Calibri" w:hAnsi="Calibri"/>
                <w:sz w:val="20"/>
                <w:szCs w:val="20"/>
              </w:rPr>
              <w:t>0,00</w:t>
            </w:r>
          </w:p>
        </w:tc>
      </w:tr>
      <w:tr w:rsidR="00AC331C" w14:paraId="013DD760" w14:textId="77777777" w:rsidTr="00ED28AF">
        <w:tc>
          <w:tcPr>
            <w:tcW w:w="1129" w:type="dxa"/>
          </w:tcPr>
          <w:p w14:paraId="1A1B7340" w14:textId="59961D67" w:rsidR="00AC331C" w:rsidRPr="0076189E" w:rsidRDefault="00AC331C" w:rsidP="00194849">
            <w:pPr>
              <w:rPr>
                <w:rFonts w:ascii="Calibri" w:hAnsi="Calibri"/>
                <w:sz w:val="20"/>
                <w:szCs w:val="20"/>
              </w:rPr>
            </w:pPr>
            <w:proofErr w:type="spellStart"/>
            <w:r w:rsidRPr="0076189E">
              <w:rPr>
                <w:rFonts w:ascii="Calibri" w:hAnsi="Calibri"/>
                <w:sz w:val="20"/>
                <w:szCs w:val="20"/>
              </w:rPr>
              <w:t>MZd</w:t>
            </w:r>
            <w:proofErr w:type="spellEnd"/>
          </w:p>
        </w:tc>
        <w:tc>
          <w:tcPr>
            <w:tcW w:w="2495" w:type="dxa"/>
            <w:vAlign w:val="center"/>
          </w:tcPr>
          <w:p w14:paraId="2A21238F" w14:textId="17151063" w:rsidR="00AC331C" w:rsidRPr="0076189E" w:rsidRDefault="00AC331C" w:rsidP="00ED28AF">
            <w:pPr>
              <w:jc w:val="right"/>
              <w:rPr>
                <w:rFonts w:ascii="Calibri" w:hAnsi="Calibri"/>
                <w:sz w:val="20"/>
                <w:szCs w:val="20"/>
              </w:rPr>
            </w:pPr>
            <w:r w:rsidRPr="0076189E">
              <w:rPr>
                <w:rFonts w:ascii="Calibri" w:hAnsi="Calibri"/>
                <w:sz w:val="20"/>
                <w:szCs w:val="20"/>
              </w:rPr>
              <w:t>0,00</w:t>
            </w:r>
          </w:p>
        </w:tc>
        <w:tc>
          <w:tcPr>
            <w:tcW w:w="1812" w:type="dxa"/>
            <w:vAlign w:val="center"/>
          </w:tcPr>
          <w:p w14:paraId="545DFF76" w14:textId="23A2F4EC" w:rsidR="00AC331C" w:rsidRPr="0076189E" w:rsidRDefault="00AC331C" w:rsidP="00ED28AF">
            <w:pPr>
              <w:jc w:val="right"/>
              <w:rPr>
                <w:rFonts w:ascii="Calibri" w:hAnsi="Calibri"/>
                <w:sz w:val="20"/>
                <w:szCs w:val="20"/>
              </w:rPr>
            </w:pPr>
            <w:r w:rsidRPr="0076189E">
              <w:rPr>
                <w:rFonts w:ascii="Calibri" w:hAnsi="Calibri"/>
                <w:sz w:val="20"/>
                <w:szCs w:val="20"/>
              </w:rPr>
              <w:t>0,00</w:t>
            </w:r>
          </w:p>
        </w:tc>
        <w:tc>
          <w:tcPr>
            <w:tcW w:w="1813" w:type="dxa"/>
            <w:vAlign w:val="center"/>
          </w:tcPr>
          <w:p w14:paraId="351E3BE4" w14:textId="3D9AD222" w:rsidR="00AC331C" w:rsidRPr="0076189E" w:rsidRDefault="00AC331C" w:rsidP="00ED28AF">
            <w:pPr>
              <w:jc w:val="right"/>
              <w:rPr>
                <w:rFonts w:ascii="Calibri" w:hAnsi="Calibri"/>
                <w:sz w:val="20"/>
                <w:szCs w:val="20"/>
              </w:rPr>
            </w:pPr>
            <w:r w:rsidRPr="0076189E">
              <w:rPr>
                <w:rFonts w:ascii="Calibri" w:hAnsi="Calibri"/>
                <w:sz w:val="20"/>
                <w:szCs w:val="20"/>
              </w:rPr>
              <w:t>0,00</w:t>
            </w:r>
          </w:p>
        </w:tc>
        <w:tc>
          <w:tcPr>
            <w:tcW w:w="1813" w:type="dxa"/>
            <w:vAlign w:val="center"/>
          </w:tcPr>
          <w:p w14:paraId="63EC747D" w14:textId="7AD29629" w:rsidR="00AC331C" w:rsidRPr="0076189E" w:rsidRDefault="00AC331C" w:rsidP="00ED28AF">
            <w:pPr>
              <w:jc w:val="right"/>
              <w:rPr>
                <w:rFonts w:ascii="Calibri" w:hAnsi="Calibri"/>
                <w:sz w:val="20"/>
                <w:szCs w:val="20"/>
              </w:rPr>
            </w:pPr>
            <w:r w:rsidRPr="0076189E">
              <w:rPr>
                <w:rFonts w:ascii="Calibri" w:hAnsi="Calibri"/>
                <w:sz w:val="20"/>
                <w:szCs w:val="20"/>
              </w:rPr>
              <w:t>8 000,00</w:t>
            </w:r>
          </w:p>
        </w:tc>
      </w:tr>
      <w:tr w:rsidR="00AC331C" w14:paraId="724524C7" w14:textId="77777777" w:rsidTr="00ED28AF">
        <w:tc>
          <w:tcPr>
            <w:tcW w:w="1129" w:type="dxa"/>
          </w:tcPr>
          <w:p w14:paraId="3C7C29EF" w14:textId="1E22588B" w:rsidR="00AC331C" w:rsidRPr="0076189E" w:rsidRDefault="00AC331C" w:rsidP="00194849">
            <w:pPr>
              <w:rPr>
                <w:rFonts w:ascii="Calibri" w:hAnsi="Calibri"/>
                <w:sz w:val="20"/>
                <w:szCs w:val="20"/>
              </w:rPr>
            </w:pPr>
            <w:proofErr w:type="spellStart"/>
            <w:r w:rsidRPr="0076189E">
              <w:rPr>
                <w:rFonts w:ascii="Calibri" w:hAnsi="Calibri"/>
                <w:sz w:val="20"/>
                <w:szCs w:val="20"/>
              </w:rPr>
              <w:t>MZe</w:t>
            </w:r>
            <w:proofErr w:type="spellEnd"/>
          </w:p>
        </w:tc>
        <w:tc>
          <w:tcPr>
            <w:tcW w:w="2495" w:type="dxa"/>
            <w:vAlign w:val="center"/>
          </w:tcPr>
          <w:p w14:paraId="0261882D" w14:textId="3B71B286" w:rsidR="00AC331C" w:rsidRPr="0076189E" w:rsidRDefault="00AC331C" w:rsidP="00ED28AF">
            <w:pPr>
              <w:jc w:val="right"/>
              <w:rPr>
                <w:rFonts w:ascii="Calibri" w:hAnsi="Calibri"/>
                <w:sz w:val="20"/>
                <w:szCs w:val="20"/>
              </w:rPr>
            </w:pPr>
            <w:r w:rsidRPr="0076189E">
              <w:rPr>
                <w:rFonts w:ascii="Calibri" w:hAnsi="Calibri"/>
                <w:sz w:val="20"/>
                <w:szCs w:val="20"/>
              </w:rPr>
              <w:t>91 750,76</w:t>
            </w:r>
          </w:p>
        </w:tc>
        <w:tc>
          <w:tcPr>
            <w:tcW w:w="1812" w:type="dxa"/>
            <w:vAlign w:val="center"/>
          </w:tcPr>
          <w:p w14:paraId="72B1D6D3" w14:textId="13DA9BBE" w:rsidR="00AC331C" w:rsidRPr="0076189E" w:rsidRDefault="00AC331C" w:rsidP="00ED28AF">
            <w:pPr>
              <w:jc w:val="right"/>
              <w:rPr>
                <w:rFonts w:ascii="Calibri" w:hAnsi="Calibri"/>
                <w:sz w:val="20"/>
                <w:szCs w:val="20"/>
              </w:rPr>
            </w:pPr>
            <w:r w:rsidRPr="0076189E">
              <w:rPr>
                <w:rFonts w:ascii="Calibri" w:hAnsi="Calibri"/>
                <w:sz w:val="20"/>
                <w:szCs w:val="20"/>
              </w:rPr>
              <w:t>0,00</w:t>
            </w:r>
          </w:p>
        </w:tc>
        <w:tc>
          <w:tcPr>
            <w:tcW w:w="1813" w:type="dxa"/>
            <w:vAlign w:val="center"/>
          </w:tcPr>
          <w:p w14:paraId="2B8B4A80" w14:textId="4495926D" w:rsidR="00AC331C" w:rsidRPr="0076189E" w:rsidRDefault="00AC331C" w:rsidP="00ED28AF">
            <w:pPr>
              <w:jc w:val="right"/>
              <w:rPr>
                <w:rFonts w:ascii="Calibri" w:hAnsi="Calibri"/>
                <w:sz w:val="20"/>
                <w:szCs w:val="20"/>
              </w:rPr>
            </w:pPr>
            <w:r w:rsidRPr="0076189E">
              <w:rPr>
                <w:rFonts w:ascii="Calibri" w:hAnsi="Calibri"/>
                <w:sz w:val="20"/>
                <w:szCs w:val="20"/>
              </w:rPr>
              <w:t>0,00</w:t>
            </w:r>
          </w:p>
        </w:tc>
        <w:tc>
          <w:tcPr>
            <w:tcW w:w="1813" w:type="dxa"/>
            <w:vAlign w:val="center"/>
          </w:tcPr>
          <w:p w14:paraId="19B5E5FF" w14:textId="5F50111C" w:rsidR="00AC331C" w:rsidRPr="0076189E" w:rsidRDefault="00AC331C" w:rsidP="00ED28AF">
            <w:pPr>
              <w:jc w:val="right"/>
              <w:rPr>
                <w:rFonts w:ascii="Calibri" w:hAnsi="Calibri"/>
                <w:sz w:val="20"/>
                <w:szCs w:val="20"/>
              </w:rPr>
            </w:pPr>
            <w:r w:rsidRPr="0076189E">
              <w:rPr>
                <w:rFonts w:ascii="Calibri" w:hAnsi="Calibri"/>
                <w:sz w:val="20"/>
                <w:szCs w:val="20"/>
              </w:rPr>
              <w:t>41 390,88</w:t>
            </w:r>
          </w:p>
        </w:tc>
      </w:tr>
    </w:tbl>
    <w:p w14:paraId="134C3193" w14:textId="440DD01A" w:rsidR="00AC331C" w:rsidRPr="0084400A" w:rsidRDefault="0084400A" w:rsidP="00194849">
      <w:pPr>
        <w:rPr>
          <w:rFonts w:ascii="Calibri" w:hAnsi="Calibri"/>
          <w:sz w:val="20"/>
          <w:szCs w:val="20"/>
        </w:rPr>
      </w:pPr>
      <w:r w:rsidRPr="0084400A">
        <w:rPr>
          <w:rFonts w:ascii="Calibri" w:hAnsi="Calibri"/>
          <w:b/>
          <w:sz w:val="20"/>
          <w:szCs w:val="20"/>
        </w:rPr>
        <w:t>Zdroj:</w:t>
      </w:r>
      <w:r w:rsidRPr="0084400A">
        <w:rPr>
          <w:rFonts w:ascii="Calibri" w:hAnsi="Calibri"/>
          <w:sz w:val="20"/>
          <w:szCs w:val="20"/>
        </w:rPr>
        <w:t xml:space="preserve"> IISSP.</w:t>
      </w:r>
    </w:p>
    <w:p w14:paraId="3F389D4A" w14:textId="77777777" w:rsidR="00773C32" w:rsidRDefault="00773C32" w:rsidP="00194849"/>
    <w:p w14:paraId="01C02AF1" w14:textId="77777777" w:rsidR="006B5588" w:rsidRDefault="006B5588" w:rsidP="00194849"/>
    <w:p w14:paraId="6914FD3C" w14:textId="77777777" w:rsidR="00825D5A" w:rsidRDefault="00825D5A" w:rsidP="00194849"/>
    <w:p w14:paraId="6543D910" w14:textId="77777777" w:rsidR="00825D5A" w:rsidRDefault="00825D5A" w:rsidP="00194849"/>
    <w:p w14:paraId="76EB14B9" w14:textId="77777777" w:rsidR="00825D5A" w:rsidRDefault="00825D5A" w:rsidP="00194849"/>
    <w:p w14:paraId="3386FC36" w14:textId="77777777" w:rsidR="00825D5A" w:rsidRDefault="00825D5A" w:rsidP="00194849"/>
    <w:p w14:paraId="0566F3C5" w14:textId="77777777" w:rsidR="007F694C" w:rsidRDefault="007F694C" w:rsidP="00194849"/>
    <w:p w14:paraId="59A27DA5" w14:textId="77777777" w:rsidR="007F694C" w:rsidRDefault="007F694C" w:rsidP="00194849"/>
    <w:p w14:paraId="49BAFBCE" w14:textId="77777777" w:rsidR="007F694C" w:rsidRDefault="007F694C" w:rsidP="00194849"/>
    <w:p w14:paraId="36F33D2B" w14:textId="77777777" w:rsidR="00362142" w:rsidRDefault="00362142" w:rsidP="00194849"/>
    <w:p w14:paraId="0B0A39B4" w14:textId="447DE42B" w:rsidR="0084400A" w:rsidRDefault="0084400A" w:rsidP="00194849">
      <w:r>
        <w:t>Tabulka č. 9 – Důvody snížení NNV v roce 2015</w:t>
      </w:r>
      <w:r>
        <w:tab/>
      </w:r>
      <w:r>
        <w:tab/>
      </w:r>
      <w:r>
        <w:tab/>
      </w:r>
      <w:r>
        <w:tab/>
      </w:r>
      <w:r>
        <w:tab/>
        <w:t xml:space="preserve">      </w:t>
      </w:r>
      <w:r w:rsidR="00425E37">
        <w:t xml:space="preserve"> (</w:t>
      </w:r>
      <w:r>
        <w:t>v tis. Kč</w:t>
      </w:r>
      <w:r w:rsidR="00425E37">
        <w:t>)</w:t>
      </w:r>
    </w:p>
    <w:tbl>
      <w:tblPr>
        <w:tblStyle w:val="Mkatabulky"/>
        <w:tblW w:w="9067" w:type="dxa"/>
        <w:tblLayout w:type="fixed"/>
        <w:tblLook w:val="04A0" w:firstRow="1" w:lastRow="0" w:firstColumn="1" w:lastColumn="0" w:noHBand="0" w:noVBand="1"/>
      </w:tblPr>
      <w:tblGrid>
        <w:gridCol w:w="846"/>
        <w:gridCol w:w="1984"/>
        <w:gridCol w:w="1985"/>
        <w:gridCol w:w="1701"/>
        <w:gridCol w:w="1134"/>
        <w:gridCol w:w="1417"/>
      </w:tblGrid>
      <w:tr w:rsidR="00ED28AF" w:rsidRPr="00AC331C" w14:paraId="5F4AB1D5" w14:textId="77777777" w:rsidTr="00425E37">
        <w:tc>
          <w:tcPr>
            <w:tcW w:w="846" w:type="dxa"/>
            <w:vMerge w:val="restart"/>
            <w:shd w:val="clear" w:color="auto" w:fill="E5F1FF"/>
            <w:vAlign w:val="center"/>
          </w:tcPr>
          <w:p w14:paraId="1E839B7C" w14:textId="77777777" w:rsidR="00ED28AF" w:rsidRPr="0076189E" w:rsidRDefault="00ED28AF" w:rsidP="006C7ED3">
            <w:pPr>
              <w:jc w:val="center"/>
              <w:rPr>
                <w:rFonts w:ascii="Calibri" w:hAnsi="Calibri"/>
                <w:b/>
                <w:sz w:val="20"/>
                <w:szCs w:val="20"/>
              </w:rPr>
            </w:pPr>
            <w:r w:rsidRPr="0076189E">
              <w:rPr>
                <w:rFonts w:ascii="Calibri" w:hAnsi="Calibri"/>
                <w:b/>
                <w:sz w:val="20"/>
                <w:szCs w:val="20"/>
              </w:rPr>
              <w:t>OSS</w:t>
            </w:r>
          </w:p>
        </w:tc>
        <w:tc>
          <w:tcPr>
            <w:tcW w:w="8221" w:type="dxa"/>
            <w:gridSpan w:val="5"/>
            <w:shd w:val="clear" w:color="auto" w:fill="E5F1FF"/>
          </w:tcPr>
          <w:p w14:paraId="39F0A084" w14:textId="60577039" w:rsidR="00ED28AF" w:rsidRPr="0076189E" w:rsidRDefault="00ED28AF" w:rsidP="00ED28AF">
            <w:pPr>
              <w:jc w:val="center"/>
              <w:rPr>
                <w:rFonts w:ascii="Calibri" w:hAnsi="Calibri"/>
                <w:b/>
                <w:sz w:val="20"/>
                <w:szCs w:val="20"/>
              </w:rPr>
            </w:pPr>
            <w:r w:rsidRPr="0076189E">
              <w:rPr>
                <w:rFonts w:ascii="Calibri" w:hAnsi="Calibri"/>
                <w:b/>
                <w:sz w:val="20"/>
                <w:szCs w:val="20"/>
              </w:rPr>
              <w:t>Rok 2015 – důvody snížení NNV</w:t>
            </w:r>
          </w:p>
        </w:tc>
      </w:tr>
      <w:tr w:rsidR="00ED28AF" w:rsidRPr="00AC331C" w14:paraId="41C8042C" w14:textId="77777777" w:rsidTr="00425E37">
        <w:tc>
          <w:tcPr>
            <w:tcW w:w="846" w:type="dxa"/>
            <w:vMerge/>
            <w:shd w:val="clear" w:color="auto" w:fill="E5F1FF"/>
            <w:vAlign w:val="center"/>
          </w:tcPr>
          <w:p w14:paraId="4F9515F7" w14:textId="77777777" w:rsidR="00ED28AF" w:rsidRPr="0076189E" w:rsidRDefault="00ED28AF" w:rsidP="006C7ED3">
            <w:pPr>
              <w:jc w:val="center"/>
              <w:rPr>
                <w:rFonts w:ascii="Calibri" w:hAnsi="Calibri"/>
                <w:b/>
                <w:sz w:val="20"/>
                <w:szCs w:val="20"/>
              </w:rPr>
            </w:pPr>
          </w:p>
        </w:tc>
        <w:tc>
          <w:tcPr>
            <w:tcW w:w="1984" w:type="dxa"/>
            <w:shd w:val="clear" w:color="auto" w:fill="E5F1FF"/>
            <w:vAlign w:val="center"/>
          </w:tcPr>
          <w:p w14:paraId="2578798D" w14:textId="435CAF1D" w:rsidR="00ED28AF" w:rsidRPr="0076189E" w:rsidRDefault="00ED28AF" w:rsidP="00ED28AF">
            <w:pPr>
              <w:jc w:val="center"/>
              <w:rPr>
                <w:rFonts w:ascii="Calibri" w:hAnsi="Calibri"/>
                <w:b/>
                <w:sz w:val="20"/>
                <w:szCs w:val="20"/>
              </w:rPr>
            </w:pPr>
            <w:r w:rsidRPr="0076189E">
              <w:rPr>
                <w:rFonts w:ascii="Calibri" w:hAnsi="Calibri"/>
                <w:b/>
                <w:sz w:val="20"/>
                <w:szCs w:val="20"/>
              </w:rPr>
              <w:t>Programy a projekty spolufinancované z rozpočtu EU</w:t>
            </w:r>
          </w:p>
        </w:tc>
        <w:tc>
          <w:tcPr>
            <w:tcW w:w="1985" w:type="dxa"/>
            <w:shd w:val="clear" w:color="auto" w:fill="E5F1FF"/>
            <w:vAlign w:val="center"/>
          </w:tcPr>
          <w:p w14:paraId="19DBE161" w14:textId="77777777" w:rsidR="00ED28AF" w:rsidRPr="0076189E" w:rsidRDefault="00ED28AF" w:rsidP="006C7ED3">
            <w:pPr>
              <w:jc w:val="center"/>
              <w:rPr>
                <w:rFonts w:ascii="Calibri" w:hAnsi="Calibri"/>
                <w:b/>
                <w:sz w:val="20"/>
                <w:szCs w:val="20"/>
              </w:rPr>
            </w:pPr>
            <w:r w:rsidRPr="0076189E">
              <w:rPr>
                <w:rFonts w:ascii="Calibri" w:hAnsi="Calibri"/>
                <w:b/>
                <w:sz w:val="20"/>
                <w:szCs w:val="20"/>
              </w:rPr>
              <w:t>Programy a projekty spolufinancované z finančních mechanismů</w:t>
            </w:r>
          </w:p>
        </w:tc>
        <w:tc>
          <w:tcPr>
            <w:tcW w:w="1701" w:type="dxa"/>
            <w:shd w:val="clear" w:color="auto" w:fill="E5F1FF"/>
          </w:tcPr>
          <w:p w14:paraId="3601923F" w14:textId="2C4F191B" w:rsidR="00ED28AF" w:rsidRPr="0076189E" w:rsidRDefault="00ED28AF" w:rsidP="00ED28AF">
            <w:pPr>
              <w:jc w:val="center"/>
              <w:rPr>
                <w:rFonts w:ascii="Calibri" w:hAnsi="Calibri"/>
                <w:b/>
                <w:sz w:val="20"/>
                <w:szCs w:val="20"/>
              </w:rPr>
            </w:pPr>
            <w:r w:rsidRPr="0076189E">
              <w:rPr>
                <w:rFonts w:ascii="Calibri" w:hAnsi="Calibri"/>
                <w:b/>
                <w:sz w:val="20"/>
                <w:szCs w:val="20"/>
              </w:rPr>
              <w:t>Programy podle §</w:t>
            </w:r>
            <w:r w:rsidR="006E434C">
              <w:rPr>
                <w:rFonts w:ascii="Calibri" w:hAnsi="Calibri"/>
                <w:b/>
                <w:sz w:val="20"/>
                <w:szCs w:val="20"/>
              </w:rPr>
              <w:t> </w:t>
            </w:r>
            <w:r w:rsidRPr="0076189E">
              <w:rPr>
                <w:rFonts w:ascii="Calibri" w:hAnsi="Calibri"/>
                <w:b/>
                <w:sz w:val="20"/>
                <w:szCs w:val="20"/>
              </w:rPr>
              <w:t xml:space="preserve">13 odst. 3 zákona </w:t>
            </w:r>
          </w:p>
          <w:p w14:paraId="1A8020E1" w14:textId="75545D1D" w:rsidR="00ED28AF" w:rsidRPr="0076189E" w:rsidRDefault="00ED28AF" w:rsidP="00ED28AF">
            <w:pPr>
              <w:jc w:val="center"/>
              <w:rPr>
                <w:rFonts w:ascii="Calibri" w:hAnsi="Calibri"/>
                <w:b/>
                <w:sz w:val="20"/>
                <w:szCs w:val="20"/>
              </w:rPr>
            </w:pPr>
            <w:r w:rsidRPr="0076189E">
              <w:rPr>
                <w:rFonts w:ascii="Calibri" w:hAnsi="Calibri"/>
                <w:b/>
                <w:sz w:val="20"/>
                <w:szCs w:val="20"/>
              </w:rPr>
              <w:t>č. 218/2000 Sb.</w:t>
            </w:r>
          </w:p>
        </w:tc>
        <w:tc>
          <w:tcPr>
            <w:tcW w:w="1134" w:type="dxa"/>
            <w:shd w:val="clear" w:color="auto" w:fill="E5F1FF"/>
            <w:vAlign w:val="center"/>
          </w:tcPr>
          <w:p w14:paraId="236200D6" w14:textId="624F626F" w:rsidR="00ED28AF" w:rsidRPr="0076189E" w:rsidRDefault="00ED28AF" w:rsidP="006C7ED3">
            <w:pPr>
              <w:jc w:val="center"/>
              <w:rPr>
                <w:rFonts w:ascii="Calibri" w:hAnsi="Calibri"/>
                <w:b/>
                <w:sz w:val="20"/>
                <w:szCs w:val="20"/>
              </w:rPr>
            </w:pPr>
            <w:r w:rsidRPr="0076189E">
              <w:rPr>
                <w:rFonts w:ascii="Calibri" w:hAnsi="Calibri"/>
                <w:b/>
                <w:sz w:val="20"/>
                <w:szCs w:val="20"/>
              </w:rPr>
              <w:t>OSS zjistila, že je již nepoužije</w:t>
            </w:r>
          </w:p>
        </w:tc>
        <w:tc>
          <w:tcPr>
            <w:tcW w:w="1417" w:type="dxa"/>
            <w:shd w:val="clear" w:color="auto" w:fill="E5F1FF"/>
            <w:vAlign w:val="center"/>
          </w:tcPr>
          <w:p w14:paraId="3869675B" w14:textId="77777777" w:rsidR="00ED28AF" w:rsidRPr="0076189E" w:rsidRDefault="00ED28AF" w:rsidP="006C7ED3">
            <w:pPr>
              <w:jc w:val="center"/>
              <w:rPr>
                <w:rFonts w:ascii="Calibri" w:hAnsi="Calibri"/>
                <w:b/>
                <w:sz w:val="20"/>
                <w:szCs w:val="20"/>
              </w:rPr>
            </w:pPr>
            <w:r w:rsidRPr="0076189E">
              <w:rPr>
                <w:rFonts w:ascii="Calibri" w:hAnsi="Calibri"/>
                <w:b/>
                <w:sz w:val="20"/>
                <w:szCs w:val="20"/>
              </w:rPr>
              <w:t xml:space="preserve">Profilující výdaje, </w:t>
            </w:r>
          </w:p>
          <w:p w14:paraId="01C6C6DF" w14:textId="3EAEDD1C" w:rsidR="00ED28AF" w:rsidRPr="0076189E" w:rsidRDefault="00ED28AF" w:rsidP="006C7ED3">
            <w:pPr>
              <w:jc w:val="center"/>
              <w:rPr>
                <w:rFonts w:ascii="Calibri" w:hAnsi="Calibri"/>
                <w:b/>
                <w:sz w:val="20"/>
                <w:szCs w:val="20"/>
              </w:rPr>
            </w:pPr>
            <w:r w:rsidRPr="0076189E">
              <w:rPr>
                <w:rFonts w:ascii="Calibri" w:hAnsi="Calibri"/>
                <w:b/>
                <w:sz w:val="20"/>
                <w:szCs w:val="20"/>
              </w:rPr>
              <w:t>u nichž pominul účel</w:t>
            </w:r>
          </w:p>
        </w:tc>
      </w:tr>
      <w:tr w:rsidR="00ED28AF" w14:paraId="5055C597" w14:textId="77777777" w:rsidTr="00425E37">
        <w:tc>
          <w:tcPr>
            <w:tcW w:w="846" w:type="dxa"/>
          </w:tcPr>
          <w:p w14:paraId="3154D771" w14:textId="77777777" w:rsidR="00ED28AF" w:rsidRPr="0076189E" w:rsidRDefault="00ED28AF" w:rsidP="006C7ED3">
            <w:pPr>
              <w:rPr>
                <w:rFonts w:ascii="Calibri" w:hAnsi="Calibri"/>
                <w:sz w:val="20"/>
                <w:szCs w:val="20"/>
              </w:rPr>
            </w:pPr>
            <w:r w:rsidRPr="0076189E">
              <w:rPr>
                <w:rFonts w:ascii="Calibri" w:hAnsi="Calibri"/>
                <w:sz w:val="20"/>
                <w:szCs w:val="20"/>
              </w:rPr>
              <w:t>MF</w:t>
            </w:r>
          </w:p>
        </w:tc>
        <w:tc>
          <w:tcPr>
            <w:tcW w:w="1984" w:type="dxa"/>
            <w:vAlign w:val="center"/>
          </w:tcPr>
          <w:p w14:paraId="1ED9D129" w14:textId="32A4BDE3" w:rsidR="00ED28AF" w:rsidRPr="0076189E" w:rsidRDefault="00ED28AF" w:rsidP="006C7ED3">
            <w:pPr>
              <w:jc w:val="right"/>
              <w:rPr>
                <w:rFonts w:ascii="Calibri" w:hAnsi="Calibri"/>
                <w:sz w:val="20"/>
                <w:szCs w:val="20"/>
              </w:rPr>
            </w:pPr>
            <w:r w:rsidRPr="0076189E">
              <w:rPr>
                <w:rFonts w:ascii="Calibri" w:hAnsi="Calibri"/>
                <w:sz w:val="20"/>
                <w:szCs w:val="20"/>
              </w:rPr>
              <w:t>74 148,34</w:t>
            </w:r>
          </w:p>
        </w:tc>
        <w:tc>
          <w:tcPr>
            <w:tcW w:w="1985" w:type="dxa"/>
            <w:vAlign w:val="center"/>
          </w:tcPr>
          <w:p w14:paraId="2539D3D5" w14:textId="349BAA43" w:rsidR="00ED28AF" w:rsidRPr="0076189E" w:rsidRDefault="00ED28AF" w:rsidP="006C7ED3">
            <w:pPr>
              <w:jc w:val="right"/>
              <w:rPr>
                <w:rFonts w:ascii="Calibri" w:hAnsi="Calibri"/>
                <w:sz w:val="20"/>
                <w:szCs w:val="20"/>
              </w:rPr>
            </w:pPr>
            <w:r w:rsidRPr="0076189E">
              <w:rPr>
                <w:rFonts w:ascii="Calibri" w:hAnsi="Calibri"/>
                <w:sz w:val="20"/>
                <w:szCs w:val="20"/>
              </w:rPr>
              <w:t>1 894,45</w:t>
            </w:r>
          </w:p>
        </w:tc>
        <w:tc>
          <w:tcPr>
            <w:tcW w:w="1701" w:type="dxa"/>
          </w:tcPr>
          <w:p w14:paraId="296E1C38" w14:textId="53A19B16" w:rsidR="00ED28AF" w:rsidRPr="0076189E" w:rsidRDefault="00ED28AF" w:rsidP="006C7ED3">
            <w:pPr>
              <w:jc w:val="right"/>
              <w:rPr>
                <w:rFonts w:ascii="Calibri" w:hAnsi="Calibri"/>
                <w:sz w:val="20"/>
                <w:szCs w:val="20"/>
              </w:rPr>
            </w:pPr>
            <w:r w:rsidRPr="0076189E">
              <w:rPr>
                <w:rFonts w:ascii="Calibri" w:hAnsi="Calibri"/>
                <w:sz w:val="20"/>
                <w:szCs w:val="20"/>
              </w:rPr>
              <w:t>7 098,07</w:t>
            </w:r>
          </w:p>
        </w:tc>
        <w:tc>
          <w:tcPr>
            <w:tcW w:w="1134" w:type="dxa"/>
            <w:vAlign w:val="center"/>
          </w:tcPr>
          <w:p w14:paraId="36806639" w14:textId="79C78C35" w:rsidR="00ED28AF" w:rsidRPr="0076189E" w:rsidRDefault="00ED28AF" w:rsidP="006C7ED3">
            <w:pPr>
              <w:jc w:val="right"/>
              <w:rPr>
                <w:rFonts w:ascii="Calibri" w:hAnsi="Calibri"/>
                <w:sz w:val="20"/>
                <w:szCs w:val="20"/>
              </w:rPr>
            </w:pPr>
            <w:r w:rsidRPr="0076189E">
              <w:rPr>
                <w:rFonts w:ascii="Calibri" w:hAnsi="Calibri"/>
                <w:sz w:val="20"/>
                <w:szCs w:val="20"/>
              </w:rPr>
              <w:t>0,00</w:t>
            </w:r>
          </w:p>
        </w:tc>
        <w:tc>
          <w:tcPr>
            <w:tcW w:w="1417" w:type="dxa"/>
            <w:vAlign w:val="center"/>
          </w:tcPr>
          <w:p w14:paraId="76DE7C5C" w14:textId="775AB8B3" w:rsidR="00ED28AF" w:rsidRPr="0076189E" w:rsidRDefault="00ED28AF" w:rsidP="006C7ED3">
            <w:pPr>
              <w:jc w:val="right"/>
              <w:rPr>
                <w:rFonts w:ascii="Calibri" w:hAnsi="Calibri"/>
                <w:sz w:val="20"/>
                <w:szCs w:val="20"/>
              </w:rPr>
            </w:pPr>
            <w:r w:rsidRPr="0076189E">
              <w:rPr>
                <w:rFonts w:ascii="Calibri" w:hAnsi="Calibri"/>
                <w:sz w:val="20"/>
                <w:szCs w:val="20"/>
              </w:rPr>
              <w:t>160,63</w:t>
            </w:r>
          </w:p>
        </w:tc>
      </w:tr>
      <w:tr w:rsidR="00ED28AF" w14:paraId="22F486BA" w14:textId="77777777" w:rsidTr="00425E37">
        <w:tc>
          <w:tcPr>
            <w:tcW w:w="846" w:type="dxa"/>
          </w:tcPr>
          <w:p w14:paraId="058A088D" w14:textId="77777777" w:rsidR="00ED28AF" w:rsidRPr="0076189E" w:rsidRDefault="00ED28AF" w:rsidP="006C7ED3">
            <w:pPr>
              <w:rPr>
                <w:rFonts w:ascii="Calibri" w:hAnsi="Calibri"/>
                <w:sz w:val="20"/>
                <w:szCs w:val="20"/>
              </w:rPr>
            </w:pPr>
            <w:r w:rsidRPr="0076189E">
              <w:rPr>
                <w:rFonts w:ascii="Calibri" w:hAnsi="Calibri"/>
                <w:sz w:val="20"/>
                <w:szCs w:val="20"/>
              </w:rPr>
              <w:t>MMR</w:t>
            </w:r>
          </w:p>
        </w:tc>
        <w:tc>
          <w:tcPr>
            <w:tcW w:w="1984" w:type="dxa"/>
            <w:vAlign w:val="center"/>
          </w:tcPr>
          <w:p w14:paraId="1B76C2C5" w14:textId="6E6C9725" w:rsidR="00ED28AF" w:rsidRPr="0076189E" w:rsidRDefault="00ED28AF" w:rsidP="006C7ED3">
            <w:pPr>
              <w:jc w:val="right"/>
              <w:rPr>
                <w:rFonts w:ascii="Calibri" w:hAnsi="Calibri"/>
                <w:sz w:val="20"/>
                <w:szCs w:val="20"/>
              </w:rPr>
            </w:pPr>
            <w:r w:rsidRPr="0076189E">
              <w:rPr>
                <w:rFonts w:ascii="Calibri" w:hAnsi="Calibri"/>
                <w:sz w:val="20"/>
                <w:szCs w:val="20"/>
              </w:rPr>
              <w:t>0,00</w:t>
            </w:r>
          </w:p>
        </w:tc>
        <w:tc>
          <w:tcPr>
            <w:tcW w:w="1985" w:type="dxa"/>
            <w:vAlign w:val="center"/>
          </w:tcPr>
          <w:p w14:paraId="361AC63A" w14:textId="56EF6AD7" w:rsidR="00ED28AF" w:rsidRPr="0076189E" w:rsidRDefault="00ED28AF" w:rsidP="006C7ED3">
            <w:pPr>
              <w:jc w:val="right"/>
              <w:rPr>
                <w:rFonts w:ascii="Calibri" w:hAnsi="Calibri"/>
                <w:sz w:val="20"/>
                <w:szCs w:val="20"/>
              </w:rPr>
            </w:pPr>
            <w:r w:rsidRPr="0076189E">
              <w:rPr>
                <w:rFonts w:ascii="Calibri" w:hAnsi="Calibri"/>
                <w:sz w:val="20"/>
                <w:szCs w:val="20"/>
              </w:rPr>
              <w:t>0,00</w:t>
            </w:r>
          </w:p>
        </w:tc>
        <w:tc>
          <w:tcPr>
            <w:tcW w:w="1701" w:type="dxa"/>
          </w:tcPr>
          <w:p w14:paraId="49E99AC1" w14:textId="39E29272" w:rsidR="00ED28AF" w:rsidRPr="0076189E" w:rsidRDefault="00ED28AF" w:rsidP="006C7ED3">
            <w:pPr>
              <w:jc w:val="right"/>
              <w:rPr>
                <w:rFonts w:ascii="Calibri" w:hAnsi="Calibri"/>
                <w:sz w:val="20"/>
                <w:szCs w:val="20"/>
              </w:rPr>
            </w:pPr>
            <w:r w:rsidRPr="0076189E">
              <w:rPr>
                <w:rFonts w:ascii="Calibri" w:hAnsi="Calibri"/>
                <w:sz w:val="20"/>
                <w:szCs w:val="20"/>
              </w:rPr>
              <w:t>0,00</w:t>
            </w:r>
          </w:p>
        </w:tc>
        <w:tc>
          <w:tcPr>
            <w:tcW w:w="1134" w:type="dxa"/>
            <w:vAlign w:val="center"/>
          </w:tcPr>
          <w:p w14:paraId="3C335D90" w14:textId="4418FF2C" w:rsidR="00ED28AF" w:rsidRPr="0076189E" w:rsidRDefault="00ED28AF" w:rsidP="006C7ED3">
            <w:pPr>
              <w:jc w:val="right"/>
              <w:rPr>
                <w:rFonts w:ascii="Calibri" w:hAnsi="Calibri"/>
                <w:sz w:val="20"/>
                <w:szCs w:val="20"/>
              </w:rPr>
            </w:pPr>
            <w:r w:rsidRPr="0076189E">
              <w:rPr>
                <w:rFonts w:ascii="Calibri" w:hAnsi="Calibri"/>
                <w:sz w:val="20"/>
                <w:szCs w:val="20"/>
              </w:rPr>
              <w:t>0,00</w:t>
            </w:r>
          </w:p>
        </w:tc>
        <w:tc>
          <w:tcPr>
            <w:tcW w:w="1417" w:type="dxa"/>
            <w:vAlign w:val="center"/>
          </w:tcPr>
          <w:p w14:paraId="19992386" w14:textId="0E021A12" w:rsidR="00ED28AF" w:rsidRPr="0076189E" w:rsidRDefault="00ED28AF" w:rsidP="006C7ED3">
            <w:pPr>
              <w:jc w:val="right"/>
              <w:rPr>
                <w:rFonts w:ascii="Calibri" w:hAnsi="Calibri"/>
                <w:sz w:val="20"/>
                <w:szCs w:val="20"/>
              </w:rPr>
            </w:pPr>
            <w:r w:rsidRPr="0076189E">
              <w:rPr>
                <w:rFonts w:ascii="Calibri" w:hAnsi="Calibri"/>
                <w:sz w:val="20"/>
                <w:szCs w:val="20"/>
              </w:rPr>
              <w:t>0,00</w:t>
            </w:r>
          </w:p>
        </w:tc>
      </w:tr>
      <w:tr w:rsidR="00ED28AF" w14:paraId="2A422CA5" w14:textId="77777777" w:rsidTr="00425E37">
        <w:tc>
          <w:tcPr>
            <w:tcW w:w="846" w:type="dxa"/>
          </w:tcPr>
          <w:p w14:paraId="19E14625" w14:textId="77777777" w:rsidR="00ED28AF" w:rsidRPr="0076189E" w:rsidRDefault="00ED28AF" w:rsidP="006C7ED3">
            <w:pPr>
              <w:rPr>
                <w:rFonts w:ascii="Calibri" w:hAnsi="Calibri"/>
                <w:sz w:val="20"/>
                <w:szCs w:val="20"/>
              </w:rPr>
            </w:pPr>
            <w:r w:rsidRPr="0076189E">
              <w:rPr>
                <w:rFonts w:ascii="Calibri" w:hAnsi="Calibri"/>
                <w:sz w:val="20"/>
                <w:szCs w:val="20"/>
              </w:rPr>
              <w:t>MD</w:t>
            </w:r>
          </w:p>
        </w:tc>
        <w:tc>
          <w:tcPr>
            <w:tcW w:w="1984" w:type="dxa"/>
            <w:vAlign w:val="center"/>
          </w:tcPr>
          <w:p w14:paraId="724CB23C" w14:textId="53D68D95" w:rsidR="00ED28AF" w:rsidRPr="0076189E" w:rsidRDefault="00ED28AF" w:rsidP="006C7ED3">
            <w:pPr>
              <w:jc w:val="right"/>
              <w:rPr>
                <w:rFonts w:ascii="Calibri" w:hAnsi="Calibri"/>
                <w:sz w:val="20"/>
                <w:szCs w:val="20"/>
              </w:rPr>
            </w:pPr>
            <w:r w:rsidRPr="0076189E">
              <w:rPr>
                <w:rFonts w:ascii="Calibri" w:hAnsi="Calibri"/>
                <w:sz w:val="20"/>
                <w:szCs w:val="20"/>
              </w:rPr>
              <w:t>1 056 723,86</w:t>
            </w:r>
          </w:p>
        </w:tc>
        <w:tc>
          <w:tcPr>
            <w:tcW w:w="1985" w:type="dxa"/>
            <w:vAlign w:val="center"/>
          </w:tcPr>
          <w:p w14:paraId="035E9BDD" w14:textId="6902798C" w:rsidR="00ED28AF" w:rsidRPr="0076189E" w:rsidRDefault="00ED28AF" w:rsidP="006C7ED3">
            <w:pPr>
              <w:jc w:val="right"/>
              <w:rPr>
                <w:rFonts w:ascii="Calibri" w:hAnsi="Calibri"/>
                <w:sz w:val="20"/>
                <w:szCs w:val="20"/>
              </w:rPr>
            </w:pPr>
            <w:r w:rsidRPr="0076189E">
              <w:rPr>
                <w:rFonts w:ascii="Calibri" w:hAnsi="Calibri"/>
                <w:sz w:val="20"/>
                <w:szCs w:val="20"/>
              </w:rPr>
              <w:t>0,00</w:t>
            </w:r>
          </w:p>
        </w:tc>
        <w:tc>
          <w:tcPr>
            <w:tcW w:w="1701" w:type="dxa"/>
          </w:tcPr>
          <w:p w14:paraId="10C0B6D3" w14:textId="1EFDE9B2" w:rsidR="00ED28AF" w:rsidRPr="0076189E" w:rsidRDefault="00ED28AF" w:rsidP="006C7ED3">
            <w:pPr>
              <w:jc w:val="right"/>
              <w:rPr>
                <w:rFonts w:ascii="Calibri" w:hAnsi="Calibri"/>
                <w:sz w:val="20"/>
                <w:szCs w:val="20"/>
              </w:rPr>
            </w:pPr>
            <w:r w:rsidRPr="0076189E">
              <w:rPr>
                <w:rFonts w:ascii="Calibri" w:hAnsi="Calibri"/>
                <w:sz w:val="20"/>
                <w:szCs w:val="20"/>
              </w:rPr>
              <w:t>1,28</w:t>
            </w:r>
          </w:p>
        </w:tc>
        <w:tc>
          <w:tcPr>
            <w:tcW w:w="1134" w:type="dxa"/>
            <w:vAlign w:val="center"/>
          </w:tcPr>
          <w:p w14:paraId="5F8E2EB2" w14:textId="0DFB127B" w:rsidR="00ED28AF" w:rsidRPr="0076189E" w:rsidRDefault="00ED28AF" w:rsidP="006C7ED3">
            <w:pPr>
              <w:jc w:val="right"/>
              <w:rPr>
                <w:rFonts w:ascii="Calibri" w:hAnsi="Calibri"/>
                <w:sz w:val="20"/>
                <w:szCs w:val="20"/>
              </w:rPr>
            </w:pPr>
            <w:r w:rsidRPr="0076189E">
              <w:rPr>
                <w:rFonts w:ascii="Calibri" w:hAnsi="Calibri"/>
                <w:sz w:val="20"/>
                <w:szCs w:val="20"/>
              </w:rPr>
              <w:t>0,00</w:t>
            </w:r>
          </w:p>
        </w:tc>
        <w:tc>
          <w:tcPr>
            <w:tcW w:w="1417" w:type="dxa"/>
            <w:vAlign w:val="center"/>
          </w:tcPr>
          <w:p w14:paraId="6CA25274" w14:textId="7400B0BA" w:rsidR="00ED28AF" w:rsidRPr="0076189E" w:rsidRDefault="00ED28AF" w:rsidP="006C7ED3">
            <w:pPr>
              <w:jc w:val="right"/>
              <w:rPr>
                <w:rFonts w:ascii="Calibri" w:hAnsi="Calibri"/>
                <w:sz w:val="20"/>
                <w:szCs w:val="20"/>
              </w:rPr>
            </w:pPr>
            <w:r w:rsidRPr="0076189E">
              <w:rPr>
                <w:rFonts w:ascii="Calibri" w:hAnsi="Calibri"/>
                <w:sz w:val="20"/>
                <w:szCs w:val="20"/>
              </w:rPr>
              <w:t>0,00</w:t>
            </w:r>
          </w:p>
        </w:tc>
      </w:tr>
      <w:tr w:rsidR="00ED28AF" w14:paraId="6EC2205C" w14:textId="77777777" w:rsidTr="00425E37">
        <w:tc>
          <w:tcPr>
            <w:tcW w:w="846" w:type="dxa"/>
          </w:tcPr>
          <w:p w14:paraId="47B77D33" w14:textId="77777777" w:rsidR="00ED28AF" w:rsidRPr="0076189E" w:rsidRDefault="00ED28AF" w:rsidP="006C7ED3">
            <w:pPr>
              <w:rPr>
                <w:rFonts w:ascii="Calibri" w:hAnsi="Calibri"/>
                <w:sz w:val="20"/>
                <w:szCs w:val="20"/>
              </w:rPr>
            </w:pPr>
            <w:proofErr w:type="spellStart"/>
            <w:r w:rsidRPr="0076189E">
              <w:rPr>
                <w:rFonts w:ascii="Calibri" w:hAnsi="Calibri"/>
                <w:sz w:val="20"/>
                <w:szCs w:val="20"/>
              </w:rPr>
              <w:t>MZd</w:t>
            </w:r>
            <w:proofErr w:type="spellEnd"/>
          </w:p>
        </w:tc>
        <w:tc>
          <w:tcPr>
            <w:tcW w:w="1984" w:type="dxa"/>
            <w:vAlign w:val="center"/>
          </w:tcPr>
          <w:p w14:paraId="654ADD66" w14:textId="5988CAAD" w:rsidR="00ED28AF" w:rsidRPr="0076189E" w:rsidRDefault="00ED28AF" w:rsidP="006C7ED3">
            <w:pPr>
              <w:jc w:val="right"/>
              <w:rPr>
                <w:rFonts w:ascii="Calibri" w:hAnsi="Calibri"/>
                <w:sz w:val="20"/>
                <w:szCs w:val="20"/>
              </w:rPr>
            </w:pPr>
            <w:r w:rsidRPr="0076189E">
              <w:rPr>
                <w:rFonts w:ascii="Calibri" w:hAnsi="Calibri"/>
                <w:sz w:val="20"/>
                <w:szCs w:val="20"/>
              </w:rPr>
              <w:t>0,00</w:t>
            </w:r>
          </w:p>
        </w:tc>
        <w:tc>
          <w:tcPr>
            <w:tcW w:w="1985" w:type="dxa"/>
            <w:vAlign w:val="center"/>
          </w:tcPr>
          <w:p w14:paraId="041C8406" w14:textId="6FD43978" w:rsidR="00ED28AF" w:rsidRPr="0076189E" w:rsidRDefault="00ED28AF" w:rsidP="006C7ED3">
            <w:pPr>
              <w:jc w:val="right"/>
              <w:rPr>
                <w:rFonts w:ascii="Calibri" w:hAnsi="Calibri"/>
                <w:sz w:val="20"/>
                <w:szCs w:val="20"/>
              </w:rPr>
            </w:pPr>
            <w:r w:rsidRPr="0076189E">
              <w:rPr>
                <w:rFonts w:ascii="Calibri" w:hAnsi="Calibri"/>
                <w:sz w:val="20"/>
                <w:szCs w:val="20"/>
              </w:rPr>
              <w:t>0,00</w:t>
            </w:r>
          </w:p>
        </w:tc>
        <w:tc>
          <w:tcPr>
            <w:tcW w:w="1701" w:type="dxa"/>
          </w:tcPr>
          <w:p w14:paraId="4699ECEF" w14:textId="3BAD9CA4" w:rsidR="00ED28AF" w:rsidRPr="0076189E" w:rsidRDefault="00ED28AF" w:rsidP="006C7ED3">
            <w:pPr>
              <w:jc w:val="right"/>
              <w:rPr>
                <w:rFonts w:ascii="Calibri" w:hAnsi="Calibri"/>
                <w:sz w:val="20"/>
                <w:szCs w:val="20"/>
              </w:rPr>
            </w:pPr>
            <w:r w:rsidRPr="0076189E">
              <w:rPr>
                <w:rFonts w:ascii="Calibri" w:hAnsi="Calibri"/>
                <w:sz w:val="20"/>
                <w:szCs w:val="20"/>
              </w:rPr>
              <w:t>0,00</w:t>
            </w:r>
          </w:p>
        </w:tc>
        <w:tc>
          <w:tcPr>
            <w:tcW w:w="1134" w:type="dxa"/>
            <w:vAlign w:val="center"/>
          </w:tcPr>
          <w:p w14:paraId="55019838" w14:textId="0E5F16B9" w:rsidR="00ED28AF" w:rsidRPr="0076189E" w:rsidRDefault="00ED28AF" w:rsidP="006C7ED3">
            <w:pPr>
              <w:jc w:val="right"/>
              <w:rPr>
                <w:rFonts w:ascii="Calibri" w:hAnsi="Calibri"/>
                <w:sz w:val="20"/>
                <w:szCs w:val="20"/>
              </w:rPr>
            </w:pPr>
            <w:r w:rsidRPr="0076189E">
              <w:rPr>
                <w:rFonts w:ascii="Calibri" w:hAnsi="Calibri"/>
                <w:sz w:val="20"/>
                <w:szCs w:val="20"/>
              </w:rPr>
              <w:t>0,00</w:t>
            </w:r>
          </w:p>
        </w:tc>
        <w:tc>
          <w:tcPr>
            <w:tcW w:w="1417" w:type="dxa"/>
            <w:vAlign w:val="center"/>
          </w:tcPr>
          <w:p w14:paraId="39398578" w14:textId="70F77432" w:rsidR="00ED28AF" w:rsidRPr="0076189E" w:rsidRDefault="00ED28AF" w:rsidP="006C7ED3">
            <w:pPr>
              <w:jc w:val="right"/>
              <w:rPr>
                <w:rFonts w:ascii="Calibri" w:hAnsi="Calibri"/>
                <w:sz w:val="20"/>
                <w:szCs w:val="20"/>
              </w:rPr>
            </w:pPr>
            <w:r w:rsidRPr="0076189E">
              <w:rPr>
                <w:rFonts w:ascii="Calibri" w:hAnsi="Calibri"/>
                <w:sz w:val="20"/>
                <w:szCs w:val="20"/>
              </w:rPr>
              <w:t>0,00</w:t>
            </w:r>
          </w:p>
        </w:tc>
      </w:tr>
      <w:tr w:rsidR="00ED28AF" w14:paraId="3CBE0418" w14:textId="77777777" w:rsidTr="00425E37">
        <w:tc>
          <w:tcPr>
            <w:tcW w:w="846" w:type="dxa"/>
          </w:tcPr>
          <w:p w14:paraId="28606C79" w14:textId="77777777" w:rsidR="00ED28AF" w:rsidRPr="0076189E" w:rsidRDefault="00ED28AF" w:rsidP="006C7ED3">
            <w:pPr>
              <w:rPr>
                <w:rFonts w:ascii="Calibri" w:hAnsi="Calibri"/>
                <w:sz w:val="20"/>
                <w:szCs w:val="20"/>
              </w:rPr>
            </w:pPr>
            <w:proofErr w:type="spellStart"/>
            <w:r w:rsidRPr="0076189E">
              <w:rPr>
                <w:rFonts w:ascii="Calibri" w:hAnsi="Calibri"/>
                <w:sz w:val="20"/>
                <w:szCs w:val="20"/>
              </w:rPr>
              <w:t>MZe</w:t>
            </w:r>
            <w:proofErr w:type="spellEnd"/>
          </w:p>
        </w:tc>
        <w:tc>
          <w:tcPr>
            <w:tcW w:w="1984" w:type="dxa"/>
            <w:vAlign w:val="center"/>
          </w:tcPr>
          <w:p w14:paraId="162E2BF6" w14:textId="33B01253" w:rsidR="00ED28AF" w:rsidRPr="0076189E" w:rsidRDefault="00ED28AF" w:rsidP="006C7ED3">
            <w:pPr>
              <w:jc w:val="right"/>
              <w:rPr>
                <w:rFonts w:ascii="Calibri" w:hAnsi="Calibri"/>
                <w:sz w:val="20"/>
                <w:szCs w:val="20"/>
              </w:rPr>
            </w:pPr>
            <w:r w:rsidRPr="0076189E">
              <w:rPr>
                <w:rFonts w:ascii="Calibri" w:hAnsi="Calibri"/>
                <w:sz w:val="20"/>
                <w:szCs w:val="20"/>
              </w:rPr>
              <w:t>15 854,97</w:t>
            </w:r>
          </w:p>
        </w:tc>
        <w:tc>
          <w:tcPr>
            <w:tcW w:w="1985" w:type="dxa"/>
            <w:vAlign w:val="center"/>
          </w:tcPr>
          <w:p w14:paraId="04593338" w14:textId="04BBBE57" w:rsidR="00ED28AF" w:rsidRPr="0076189E" w:rsidRDefault="00ED28AF" w:rsidP="006C7ED3">
            <w:pPr>
              <w:jc w:val="right"/>
              <w:rPr>
                <w:rFonts w:ascii="Calibri" w:hAnsi="Calibri"/>
                <w:sz w:val="20"/>
                <w:szCs w:val="20"/>
              </w:rPr>
            </w:pPr>
            <w:r w:rsidRPr="0076189E">
              <w:rPr>
                <w:rFonts w:ascii="Calibri" w:hAnsi="Calibri"/>
                <w:sz w:val="20"/>
                <w:szCs w:val="20"/>
              </w:rPr>
              <w:t>0,00</w:t>
            </w:r>
          </w:p>
        </w:tc>
        <w:tc>
          <w:tcPr>
            <w:tcW w:w="1701" w:type="dxa"/>
          </w:tcPr>
          <w:p w14:paraId="5D767EC9" w14:textId="6324716C" w:rsidR="00ED28AF" w:rsidRPr="0076189E" w:rsidRDefault="00ED28AF" w:rsidP="006C7ED3">
            <w:pPr>
              <w:jc w:val="right"/>
              <w:rPr>
                <w:rFonts w:ascii="Calibri" w:hAnsi="Calibri"/>
                <w:sz w:val="20"/>
                <w:szCs w:val="20"/>
              </w:rPr>
            </w:pPr>
            <w:r w:rsidRPr="0076189E">
              <w:rPr>
                <w:rFonts w:ascii="Calibri" w:hAnsi="Calibri"/>
                <w:sz w:val="20"/>
                <w:szCs w:val="20"/>
              </w:rPr>
              <w:t>106 478,91</w:t>
            </w:r>
          </w:p>
        </w:tc>
        <w:tc>
          <w:tcPr>
            <w:tcW w:w="1134" w:type="dxa"/>
            <w:vAlign w:val="center"/>
          </w:tcPr>
          <w:p w14:paraId="6D0E9D52" w14:textId="08203732" w:rsidR="00ED28AF" w:rsidRPr="0076189E" w:rsidRDefault="00ED28AF" w:rsidP="006C7ED3">
            <w:pPr>
              <w:jc w:val="right"/>
              <w:rPr>
                <w:rFonts w:ascii="Calibri" w:hAnsi="Calibri"/>
                <w:sz w:val="20"/>
                <w:szCs w:val="20"/>
              </w:rPr>
            </w:pPr>
            <w:r w:rsidRPr="0076189E">
              <w:rPr>
                <w:rFonts w:ascii="Calibri" w:hAnsi="Calibri"/>
                <w:sz w:val="20"/>
                <w:szCs w:val="20"/>
              </w:rPr>
              <w:t>0,00</w:t>
            </w:r>
          </w:p>
        </w:tc>
        <w:tc>
          <w:tcPr>
            <w:tcW w:w="1417" w:type="dxa"/>
            <w:vAlign w:val="center"/>
          </w:tcPr>
          <w:p w14:paraId="64B6328C" w14:textId="56F22F69" w:rsidR="00ED28AF" w:rsidRPr="0076189E" w:rsidRDefault="00ED28AF" w:rsidP="006C7ED3">
            <w:pPr>
              <w:jc w:val="right"/>
              <w:rPr>
                <w:rFonts w:ascii="Calibri" w:hAnsi="Calibri"/>
                <w:sz w:val="20"/>
                <w:szCs w:val="20"/>
              </w:rPr>
            </w:pPr>
            <w:r w:rsidRPr="0076189E">
              <w:rPr>
                <w:rFonts w:ascii="Calibri" w:hAnsi="Calibri"/>
                <w:sz w:val="20"/>
                <w:szCs w:val="20"/>
              </w:rPr>
              <w:t>0,00</w:t>
            </w:r>
          </w:p>
        </w:tc>
      </w:tr>
    </w:tbl>
    <w:p w14:paraId="67E3C145" w14:textId="4E2DD525" w:rsidR="00ED28AF" w:rsidRPr="0084400A" w:rsidRDefault="0084400A" w:rsidP="00194849">
      <w:pPr>
        <w:rPr>
          <w:sz w:val="20"/>
          <w:szCs w:val="20"/>
        </w:rPr>
      </w:pPr>
      <w:r w:rsidRPr="0084400A">
        <w:rPr>
          <w:b/>
          <w:sz w:val="20"/>
          <w:szCs w:val="20"/>
        </w:rPr>
        <w:t>Zdroj:</w:t>
      </w:r>
      <w:r w:rsidRPr="0084400A">
        <w:rPr>
          <w:sz w:val="20"/>
          <w:szCs w:val="20"/>
        </w:rPr>
        <w:t xml:space="preserve"> IISSP.</w:t>
      </w:r>
    </w:p>
    <w:p w14:paraId="4D5160A2" w14:textId="77777777" w:rsidR="006B5588" w:rsidRDefault="006B5588" w:rsidP="00194849">
      <w:pPr>
        <w:rPr>
          <w:rFonts w:ascii="Calibri" w:hAnsi="Calibri"/>
        </w:rPr>
      </w:pPr>
    </w:p>
    <w:p w14:paraId="029AD971" w14:textId="32F6265C" w:rsidR="00194849" w:rsidRPr="00053D32" w:rsidRDefault="00CF06FA" w:rsidP="00194849">
      <w:pPr>
        <w:rPr>
          <w:rFonts w:ascii="Calibri" w:hAnsi="Calibri"/>
        </w:rPr>
      </w:pPr>
      <w:r w:rsidRPr="0070460B">
        <w:rPr>
          <w:rFonts w:ascii="Calibri" w:hAnsi="Calibri"/>
        </w:rPr>
        <w:t xml:space="preserve">U projektů spolufinancovaných z rozpočtu EU </w:t>
      </w:r>
      <w:r>
        <w:rPr>
          <w:rFonts w:ascii="Calibri" w:hAnsi="Calibri"/>
        </w:rPr>
        <w:t>se ukončuje</w:t>
      </w:r>
      <w:r w:rsidRPr="0070460B">
        <w:rPr>
          <w:rFonts w:ascii="Calibri" w:hAnsi="Calibri"/>
        </w:rPr>
        <w:t xml:space="preserve"> závěrečné vyhodnocení akcí z programového </w:t>
      </w:r>
      <w:r>
        <w:rPr>
          <w:rFonts w:ascii="Calibri" w:hAnsi="Calibri"/>
        </w:rPr>
        <w:t>období 2007–</w:t>
      </w:r>
      <w:r w:rsidRPr="00053D32">
        <w:rPr>
          <w:rFonts w:ascii="Calibri" w:hAnsi="Calibri"/>
        </w:rPr>
        <w:t xml:space="preserve">2013 a NNV budou sníženy až po uzavření celého procesu podle ustanovení § 47 odst. 6 písm. b) zákona č. 218/2000 Sb. </w:t>
      </w:r>
    </w:p>
    <w:p w14:paraId="099483F8" w14:textId="77777777" w:rsidR="00194849" w:rsidRPr="00053D32" w:rsidRDefault="00194849" w:rsidP="00194849">
      <w:pPr>
        <w:rPr>
          <w:rFonts w:ascii="Calibri" w:hAnsi="Calibri"/>
        </w:rPr>
      </w:pPr>
    </w:p>
    <w:p w14:paraId="21977240" w14:textId="77777777" w:rsidR="00194849" w:rsidRPr="00053D32" w:rsidRDefault="00CF06FA" w:rsidP="00194849">
      <w:pPr>
        <w:rPr>
          <w:rFonts w:ascii="Calibri" w:hAnsi="Calibri"/>
        </w:rPr>
      </w:pPr>
      <w:r w:rsidRPr="00053D32">
        <w:rPr>
          <w:rFonts w:ascii="Calibri" w:hAnsi="Calibri"/>
        </w:rPr>
        <w:t>Nároky z nespotřebovaných výdajů, které budou sníženy z důvodu uk</w:t>
      </w:r>
      <w:r>
        <w:rPr>
          <w:rFonts w:ascii="Calibri" w:hAnsi="Calibri"/>
        </w:rPr>
        <w:t>ončení programového období 2007–</w:t>
      </w:r>
      <w:r w:rsidRPr="00053D32">
        <w:rPr>
          <w:rFonts w:ascii="Calibri" w:hAnsi="Calibri"/>
        </w:rPr>
        <w:t xml:space="preserve">2013, byly vyčísleny OSS MD ve výši 3 067,39 mil. Kč a OSS </w:t>
      </w:r>
      <w:proofErr w:type="spellStart"/>
      <w:r w:rsidRPr="00053D32">
        <w:rPr>
          <w:rFonts w:ascii="Calibri" w:hAnsi="Calibri"/>
        </w:rPr>
        <w:t>MZe</w:t>
      </w:r>
      <w:proofErr w:type="spellEnd"/>
      <w:r w:rsidRPr="00053D32">
        <w:rPr>
          <w:rFonts w:ascii="Calibri" w:hAnsi="Calibri"/>
        </w:rPr>
        <w:t xml:space="preserve"> dokonce ve výši 6 314,77 mil. Kč. </w:t>
      </w:r>
    </w:p>
    <w:p w14:paraId="4A06D1B7" w14:textId="77777777" w:rsidR="00194849" w:rsidRDefault="00194849" w:rsidP="00194849"/>
    <w:p w14:paraId="02A82739" w14:textId="25152505" w:rsidR="00194849" w:rsidRDefault="00CF06FA" w:rsidP="00761EB6">
      <w:pPr>
        <w:pStyle w:val="Nadpis2"/>
        <w:numPr>
          <w:ilvl w:val="0"/>
          <w:numId w:val="0"/>
        </w:numPr>
        <w:spacing w:before="0"/>
      </w:pPr>
      <w:r>
        <w:t xml:space="preserve">5.3 Důvody nezapojení NNV </w:t>
      </w:r>
      <w:r w:rsidR="00425E37">
        <w:t xml:space="preserve">do konečného rozpočtu </w:t>
      </w:r>
      <w:r>
        <w:t xml:space="preserve">a </w:t>
      </w:r>
      <w:r w:rsidR="00425E37">
        <w:t xml:space="preserve">příčiny </w:t>
      </w:r>
      <w:r>
        <w:t>nečerpání prostředků ze zapojených NNV</w:t>
      </w:r>
    </w:p>
    <w:p w14:paraId="07F56750" w14:textId="77777777" w:rsidR="00194849" w:rsidRDefault="00CF06FA" w:rsidP="00194849">
      <w:pPr>
        <w:pStyle w:val="Nadpis3"/>
      </w:pPr>
      <w:r>
        <w:t>MF</w:t>
      </w:r>
    </w:p>
    <w:p w14:paraId="6C8924FB" w14:textId="2E903F53" w:rsidR="00194849" w:rsidRDefault="00CF06FA" w:rsidP="00761EB6">
      <w:pPr>
        <w:spacing w:after="120"/>
      </w:pPr>
      <w:r>
        <w:t xml:space="preserve">MF </w:t>
      </w:r>
      <w:r w:rsidR="00A96CE8">
        <w:t>ne</w:t>
      </w:r>
      <w:r>
        <w:t>vyčísli</w:t>
      </w:r>
      <w:r w:rsidR="00A96CE8">
        <w:t>lo</w:t>
      </w:r>
      <w:r>
        <w:t xml:space="preserve"> nečerpání zapojených NNV</w:t>
      </w:r>
      <w:r w:rsidR="00425E37">
        <w:t xml:space="preserve"> vyplývajících z úspor a</w:t>
      </w:r>
      <w:r>
        <w:t xml:space="preserve"> převedení úkolů (výdajů) do následujících rozpočtových období.</w:t>
      </w:r>
    </w:p>
    <w:p w14:paraId="645C9580" w14:textId="44CC5899" w:rsidR="00194849" w:rsidRPr="00191E61" w:rsidRDefault="00CF06FA" w:rsidP="00761EB6">
      <w:pPr>
        <w:spacing w:after="120"/>
      </w:pPr>
      <w:r>
        <w:t xml:space="preserve">Nečerpání prostředků ze zapojených NNV </w:t>
      </w:r>
      <w:r w:rsidR="00377B8F">
        <w:t xml:space="preserve">bylo </w:t>
      </w:r>
      <w:r>
        <w:t xml:space="preserve">v roce 2014 ovlivněno rozhodnutím ministra financí </w:t>
      </w:r>
      <w:r w:rsidR="00377B8F">
        <w:t>omezit</w:t>
      </w:r>
      <w:r>
        <w:t xml:space="preserve"> zapojov</w:t>
      </w:r>
      <w:r w:rsidR="00377B8F">
        <w:t>ání</w:t>
      </w:r>
      <w:r>
        <w:t xml:space="preserve"> NNV a čerpat již zapojené NNV pouze s jeho souhlasem. </w:t>
      </w:r>
      <w:r w:rsidR="00377B8F">
        <w:t>V roce 2015 souviselo n</w:t>
      </w:r>
      <w:r>
        <w:t xml:space="preserve">ečerpání zapojených NNV s obavami z možnosti zablokování zapojení NNV v průběhu roku ze strany vlády z důvodu nepříznivého vývoje schodku státního rozpočtu. </w:t>
      </w:r>
    </w:p>
    <w:p w14:paraId="4EE048CF" w14:textId="0F487EB1" w:rsidR="00194849" w:rsidRDefault="00CF06FA" w:rsidP="00194849">
      <w:r>
        <w:t>Kontrolovaná osoba n</w:t>
      </w:r>
      <w:r w:rsidR="00A96CE8">
        <w:t>evyčíslila</w:t>
      </w:r>
      <w:r>
        <w:t xml:space="preserve"> údaje, ze kterých by bylo možné vyhodnotit, zda rozdíl mezi </w:t>
      </w:r>
      <w:r w:rsidR="00425E37">
        <w:t xml:space="preserve">NNV </w:t>
      </w:r>
      <w:r>
        <w:t>zapojenými do konečného rozpočtu a čerpáním prostředků, které byly tzv. kryty NNV, byl způsoben nedostatkem prostředků ve státním rozpočtu, úsporou nebo opětovným převedením úkolů (výdajů) do následujících rozpočtových období.</w:t>
      </w:r>
    </w:p>
    <w:p w14:paraId="41A1833B" w14:textId="77777777" w:rsidR="00E4215C" w:rsidRDefault="00E4215C" w:rsidP="00194849"/>
    <w:p w14:paraId="0D5609F7" w14:textId="77777777" w:rsidR="00194849" w:rsidRDefault="00CF06FA" w:rsidP="00761EB6">
      <w:pPr>
        <w:pStyle w:val="Nadpis3"/>
        <w:spacing w:before="0"/>
      </w:pPr>
      <w:r>
        <w:t>MMR</w:t>
      </w:r>
    </w:p>
    <w:p w14:paraId="38C8F743" w14:textId="315B6C2F" w:rsidR="00194849" w:rsidRDefault="00425E37" w:rsidP="00194849">
      <w:r>
        <w:t xml:space="preserve">MMR v letech 2014 a 2015 zapojilo NNV podle potřeby realizace </w:t>
      </w:r>
      <w:r w:rsidR="00DB295F">
        <w:t>a</w:t>
      </w:r>
      <w:r w:rsidR="00CF06FA">
        <w:t xml:space="preserve"> v</w:t>
      </w:r>
      <w:r w:rsidR="00CF06FA" w:rsidRPr="00B648D1">
        <w:t> případě, kdy se realizace neočekáv</w:t>
      </w:r>
      <w:r w:rsidR="00CF06FA">
        <w:t>ala</w:t>
      </w:r>
      <w:r w:rsidR="00CF06FA" w:rsidRPr="00B648D1">
        <w:t>, ne</w:t>
      </w:r>
      <w:r w:rsidR="00CF06FA">
        <w:t>byly</w:t>
      </w:r>
      <w:r w:rsidR="00CF06FA" w:rsidRPr="00B648D1">
        <w:t xml:space="preserve"> NNV zapojovány. </w:t>
      </w:r>
      <w:r w:rsidR="00CF06FA">
        <w:t>Uvedený přístup byl zvolen</w:t>
      </w:r>
      <w:r w:rsidR="00CF06FA" w:rsidRPr="00B648D1">
        <w:t xml:space="preserve"> i vzhledem k požadavkům ze strany Ministerstva financí, kdy nezapojené NNV neblokují finanční prostředky ve státním rozpočtu.</w:t>
      </w:r>
    </w:p>
    <w:p w14:paraId="6C344F63" w14:textId="77777777" w:rsidR="00E4215C" w:rsidRDefault="00E4215C" w:rsidP="00194849"/>
    <w:p w14:paraId="10C29777" w14:textId="77777777" w:rsidR="00194849" w:rsidRDefault="00CF06FA" w:rsidP="00761EB6">
      <w:pPr>
        <w:pStyle w:val="Nadpis3"/>
        <w:spacing w:before="0"/>
      </w:pPr>
      <w:r>
        <w:t xml:space="preserve">MD </w:t>
      </w:r>
    </w:p>
    <w:p w14:paraId="143966B5" w14:textId="7F136ED3" w:rsidR="00194849" w:rsidRDefault="00CF06FA" w:rsidP="00194849">
      <w:r>
        <w:t xml:space="preserve">K nedočerpání již zapojených nároků z nespotřebovaných neprofilujících výdajů u vybraných rozpočtových položek došlo např. v důsledku nerealizování veřejné zakázky na služby spojené s mýtem </w:t>
      </w:r>
      <w:r w:rsidR="00696AB9">
        <w:t>či</w:t>
      </w:r>
      <w:r>
        <w:t xml:space="preserve"> v důsledku zpoždění plnění plánovaného harmonogramu dopravních projektů.</w:t>
      </w:r>
    </w:p>
    <w:p w14:paraId="2DD68AD1" w14:textId="77777777" w:rsidR="00E4215C" w:rsidRPr="001201D8" w:rsidRDefault="00E4215C" w:rsidP="00194849"/>
    <w:p w14:paraId="7925E340" w14:textId="77777777" w:rsidR="00194849" w:rsidRDefault="00CF06FA" w:rsidP="00761EB6">
      <w:pPr>
        <w:pStyle w:val="Nadpis3"/>
        <w:spacing w:before="0"/>
      </w:pPr>
      <w:proofErr w:type="spellStart"/>
      <w:r>
        <w:lastRenderedPageBreak/>
        <w:t>MZd</w:t>
      </w:r>
      <w:proofErr w:type="spellEnd"/>
    </w:p>
    <w:p w14:paraId="3D8C029D" w14:textId="1B521CB8" w:rsidR="00194849" w:rsidRDefault="00CF06FA" w:rsidP="00194849">
      <w:r>
        <w:t xml:space="preserve">Důvodem nečerpání prostředků ze zapojených NNPV, </w:t>
      </w:r>
      <w:r w:rsidR="00D37727">
        <w:t>které souvisejí s peněžními</w:t>
      </w:r>
      <w:r>
        <w:t xml:space="preserve"> prostředky z EU a</w:t>
      </w:r>
      <w:r w:rsidR="006572A5">
        <w:t> </w:t>
      </w:r>
      <w:r>
        <w:t>z finančních mechanismů, byly v roce 2015 např. úspory z realizovaných výběrových řízení, upuštění od nákupů či od realizace jiných aktivit.</w:t>
      </w:r>
    </w:p>
    <w:p w14:paraId="1A984586" w14:textId="77777777" w:rsidR="00E4215C" w:rsidRDefault="00E4215C" w:rsidP="00194849"/>
    <w:p w14:paraId="3F4D1E52" w14:textId="77777777" w:rsidR="00194849" w:rsidRDefault="00CF06FA" w:rsidP="00761EB6">
      <w:pPr>
        <w:pStyle w:val="Nadpis3"/>
        <w:spacing w:before="0"/>
      </w:pPr>
      <w:proofErr w:type="spellStart"/>
      <w:r>
        <w:t>MZe</w:t>
      </w:r>
      <w:proofErr w:type="spellEnd"/>
    </w:p>
    <w:p w14:paraId="0C910F1A" w14:textId="34AC5761" w:rsidR="00194849" w:rsidRPr="00C0291C" w:rsidRDefault="00CF06FA" w:rsidP="00194849">
      <w:r>
        <w:t xml:space="preserve">Výše čerpání a zapojování </w:t>
      </w:r>
      <w:r w:rsidRPr="00C156B9">
        <w:t>NN</w:t>
      </w:r>
      <w:r>
        <w:t>P</w:t>
      </w:r>
      <w:r w:rsidRPr="00C156B9">
        <w:t>V z předch</w:t>
      </w:r>
      <w:r w:rsidR="004D04A5">
        <w:t>ozích</w:t>
      </w:r>
      <w:r w:rsidRPr="00C156B9">
        <w:t xml:space="preserve"> období </w:t>
      </w:r>
      <w:r>
        <w:t xml:space="preserve">byla </w:t>
      </w:r>
      <w:r w:rsidRPr="00C156B9">
        <w:t xml:space="preserve">ovlivněna dočerpáváním prostředků z programového </w:t>
      </w:r>
      <w:r>
        <w:t>období 2007–</w:t>
      </w:r>
      <w:r w:rsidRPr="00C0291C">
        <w:t>2013</w:t>
      </w:r>
      <w:r w:rsidR="004D04A5">
        <w:t xml:space="preserve"> a</w:t>
      </w:r>
      <w:r w:rsidRPr="00C0291C">
        <w:t xml:space="preserve"> zahájením přípravy a realizace projektů </w:t>
      </w:r>
      <w:r>
        <w:t>a</w:t>
      </w:r>
      <w:r w:rsidR="006572A5">
        <w:t> </w:t>
      </w:r>
      <w:r>
        <w:t>akcí programového období 2014–</w:t>
      </w:r>
      <w:r w:rsidRPr="00C0291C">
        <w:t>2020. U vybrané rozpočtové položky 5321 </w:t>
      </w:r>
      <w:r>
        <w:t>–</w:t>
      </w:r>
      <w:r w:rsidRPr="00C0291C">
        <w:t xml:space="preserve"> </w:t>
      </w:r>
      <w:r w:rsidRPr="00C0291C">
        <w:rPr>
          <w:i/>
        </w:rPr>
        <w:t>Neinvestiční transfery obcím</w:t>
      </w:r>
      <w:r w:rsidRPr="00C0291C">
        <w:t xml:space="preserve"> nedošlo k čerpání zapojených NNNV</w:t>
      </w:r>
      <w:r>
        <w:t xml:space="preserve"> v rámci dotačního programu 16. </w:t>
      </w:r>
      <w:r w:rsidRPr="00C0291C">
        <w:rPr>
          <w:i/>
        </w:rPr>
        <w:t>Udržování a obnova kulturního dědictví</w:t>
      </w:r>
      <w:r w:rsidRPr="00C0291C">
        <w:t xml:space="preserve"> z důvodu zdlouhavých vyjednávání s MMR a organizacemi zastupujícími potenciální příjemce dotací, což mělo za následek zdržení zahájení příjmu žádostí</w:t>
      </w:r>
      <w:r>
        <w:t>.</w:t>
      </w:r>
    </w:p>
    <w:p w14:paraId="33FD0DB8" w14:textId="77777777" w:rsidR="00194849" w:rsidRPr="00CF4676" w:rsidRDefault="00194849" w:rsidP="00194849"/>
    <w:p w14:paraId="0E042B4E" w14:textId="52A10053" w:rsidR="00194849" w:rsidRDefault="00CF06FA" w:rsidP="00761EB6">
      <w:pPr>
        <w:pStyle w:val="Nadpis2"/>
        <w:numPr>
          <w:ilvl w:val="0"/>
          <w:numId w:val="0"/>
        </w:numPr>
        <w:spacing w:before="0"/>
      </w:pPr>
      <w:r w:rsidRPr="00EA7622">
        <w:t xml:space="preserve">K bodu </w:t>
      </w:r>
      <w:r>
        <w:t>6</w:t>
      </w:r>
      <w:r w:rsidR="004D04A5">
        <w:t>.</w:t>
      </w:r>
      <w:r>
        <w:t xml:space="preserve"> Informace o nárocích z nespotřebovaných výdajů v závěrečných účtech kapitol kontrolovaných osob</w:t>
      </w:r>
      <w:r w:rsidRPr="00EA7622">
        <w:t>:</w:t>
      </w:r>
    </w:p>
    <w:p w14:paraId="50FE128C" w14:textId="77777777" w:rsidR="00194849" w:rsidRDefault="00CF06FA" w:rsidP="00761EB6">
      <w:pPr>
        <w:pStyle w:val="Nadpis3"/>
        <w:spacing w:before="120"/>
      </w:pPr>
      <w:r>
        <w:t>Rok 2014</w:t>
      </w:r>
    </w:p>
    <w:p w14:paraId="3E1A5C14" w14:textId="795FD855" w:rsidR="00194849" w:rsidRDefault="00CF06FA" w:rsidP="00194849">
      <w:r>
        <w:t xml:space="preserve">Dle vyhlášky č. 419/2001 Sb. byl správce kapitoly povinen mj. v závěrečném účtu za rok 2014 vyčíslit částky NNV organizačních složek státu k 1. </w:t>
      </w:r>
      <w:r w:rsidR="00773C32">
        <w:t xml:space="preserve">1. </w:t>
      </w:r>
      <w:r>
        <w:t xml:space="preserve">2014 a k 31. </w:t>
      </w:r>
      <w:r w:rsidR="00773C32">
        <w:t xml:space="preserve">12. </w:t>
      </w:r>
      <w:r>
        <w:t>2014 v souladu s příslušnými zákonnými ustanoveními a komentovat hlavní důvody nespotřebování rozpočtových výdajů v hodnoceném roce a využití prostředků rezervního fondu. Dále měl samostatně uvést nároky z nespotřebovaných prostředků určených na spolufinancování programů nebo projektů spolufinancovaných z rozpočtu Evropské unie.</w:t>
      </w:r>
    </w:p>
    <w:p w14:paraId="144B2F3B" w14:textId="77777777" w:rsidR="00194849" w:rsidRDefault="00CF06FA" w:rsidP="00761EB6">
      <w:pPr>
        <w:spacing w:after="120"/>
      </w:pPr>
      <w:r>
        <w:t>Při zpracování ZÚ kapitoly nepostupovali v souladu s vyhláškou č. 419/2001 Sb.:</w:t>
      </w:r>
    </w:p>
    <w:p w14:paraId="235F943F" w14:textId="51B00503" w:rsidR="00194849" w:rsidRDefault="00CF06FA" w:rsidP="00761EB6">
      <w:pPr>
        <w:pStyle w:val="Odstavecseseznamem"/>
        <w:numPr>
          <w:ilvl w:val="0"/>
          <w:numId w:val="21"/>
        </w:numPr>
        <w:spacing w:after="0"/>
      </w:pPr>
      <w:r>
        <w:t xml:space="preserve">správci kapitol </w:t>
      </w:r>
      <w:r w:rsidR="00D37727">
        <w:t xml:space="preserve">317 – </w:t>
      </w:r>
      <w:r>
        <w:t xml:space="preserve">MMR, </w:t>
      </w:r>
      <w:r w:rsidR="00D37727">
        <w:t xml:space="preserve">327 – </w:t>
      </w:r>
      <w:r>
        <w:t xml:space="preserve">MD a </w:t>
      </w:r>
      <w:r w:rsidR="00D37727">
        <w:t xml:space="preserve">335 – </w:t>
      </w:r>
      <w:proofErr w:type="spellStart"/>
      <w:r>
        <w:t>MZd</w:t>
      </w:r>
      <w:proofErr w:type="spellEnd"/>
      <w:r>
        <w:t>, když nevyčíslili částky nároků z nespotřebovaných výdajů u jednotlivých organizačních složek státu k 1. 1. 2014 a k 31. 12. 2014;</w:t>
      </w:r>
    </w:p>
    <w:p w14:paraId="24C6F600" w14:textId="391965C5" w:rsidR="00194849" w:rsidRDefault="00CF06FA" w:rsidP="00761EB6">
      <w:pPr>
        <w:pStyle w:val="Odstavecseseznamem"/>
        <w:numPr>
          <w:ilvl w:val="0"/>
          <w:numId w:val="21"/>
        </w:numPr>
        <w:spacing w:after="0"/>
      </w:pPr>
      <w:r>
        <w:t xml:space="preserve">správce kapitoly </w:t>
      </w:r>
      <w:r w:rsidR="00D37727">
        <w:t xml:space="preserve">317 – </w:t>
      </w:r>
      <w:r>
        <w:t>MMR, když nedodržel sestupné členění dílčích profilujících výdajů stanovené ustanovením § 47 odst. 4 zákona č. 218/2000 Sb.;</w:t>
      </w:r>
    </w:p>
    <w:p w14:paraId="7FD831EB" w14:textId="303978B1" w:rsidR="00194849" w:rsidRDefault="00CF06FA" w:rsidP="00761EB6">
      <w:pPr>
        <w:pStyle w:val="Odstavecseseznamem"/>
        <w:numPr>
          <w:ilvl w:val="0"/>
          <w:numId w:val="21"/>
        </w:numPr>
        <w:spacing w:after="0"/>
      </w:pPr>
      <w:r>
        <w:t xml:space="preserve">správce kapitoly </w:t>
      </w:r>
      <w:r w:rsidR="00D37727">
        <w:t xml:space="preserve">329 – </w:t>
      </w:r>
      <w:proofErr w:type="spellStart"/>
      <w:r>
        <w:t>MZe</w:t>
      </w:r>
      <w:proofErr w:type="spellEnd"/>
      <w:r>
        <w:t>, když nekomentoval hlavní důvody nespotřebování rozpočtových výdajů;</w:t>
      </w:r>
    </w:p>
    <w:p w14:paraId="23FFEEFF" w14:textId="21044986" w:rsidR="00194849" w:rsidRDefault="00CF06FA" w:rsidP="00761EB6">
      <w:pPr>
        <w:pStyle w:val="Odstavecseseznamem"/>
        <w:numPr>
          <w:ilvl w:val="0"/>
          <w:numId w:val="21"/>
        </w:numPr>
        <w:spacing w:after="0"/>
      </w:pPr>
      <w:r>
        <w:t xml:space="preserve">správce kapitoly </w:t>
      </w:r>
      <w:r w:rsidR="00D37727">
        <w:t xml:space="preserve">335 – </w:t>
      </w:r>
      <w:proofErr w:type="spellStart"/>
      <w:r>
        <w:t>MZd</w:t>
      </w:r>
      <w:proofErr w:type="spellEnd"/>
      <w:r>
        <w:t>, když nekomentoval NNV týkající se peněžních prostředků určených na spolufinancování programů nebo projektů z rozpočtu Evropské unie.</w:t>
      </w:r>
    </w:p>
    <w:p w14:paraId="2C807265" w14:textId="77777777" w:rsidR="00194849" w:rsidRDefault="00194849" w:rsidP="00194849"/>
    <w:p w14:paraId="56B16AA7" w14:textId="62385A54" w:rsidR="00194849" w:rsidRDefault="00A970F4" w:rsidP="00194849">
      <w:r>
        <w:t xml:space="preserve">Pouze </w:t>
      </w:r>
      <w:r w:rsidR="00CF06FA">
        <w:t>M</w:t>
      </w:r>
      <w:r w:rsidR="006572A5">
        <w:t>inisterstvo financí</w:t>
      </w:r>
      <w:r w:rsidR="00CF06FA">
        <w:t xml:space="preserve"> při zpracování závěrečného účtu kapitoly </w:t>
      </w:r>
      <w:r w:rsidR="00D37727">
        <w:t xml:space="preserve">312 – </w:t>
      </w:r>
      <w:r w:rsidR="006572A5">
        <w:t xml:space="preserve">MF </w:t>
      </w:r>
      <w:r w:rsidR="00CF06FA">
        <w:t>za rok 2014 postupovalo v souladu s vyhláškou č. 419/2001 Sb.</w:t>
      </w:r>
    </w:p>
    <w:p w14:paraId="5EAFF819" w14:textId="77777777" w:rsidR="00E4215C" w:rsidRDefault="00E4215C" w:rsidP="00194849"/>
    <w:p w14:paraId="6F5559F6" w14:textId="77777777" w:rsidR="00194849" w:rsidRDefault="00CF06FA" w:rsidP="00761EB6">
      <w:pPr>
        <w:pStyle w:val="Nadpis3"/>
        <w:spacing w:before="0"/>
      </w:pPr>
      <w:r>
        <w:t>Rok 2015</w:t>
      </w:r>
    </w:p>
    <w:p w14:paraId="386935A4" w14:textId="382489EC" w:rsidR="00194849" w:rsidRDefault="00CF06FA" w:rsidP="00194849">
      <w:r>
        <w:t xml:space="preserve">Dle vyhlášky č. 419/2001 Sb. byl správce kapitoly povinen uvést v závěrečném účtu za rok 2015 vyčíslení NNV organizačních složek státu k 1. </w:t>
      </w:r>
      <w:r w:rsidR="00773C32">
        <w:t xml:space="preserve">1. </w:t>
      </w:r>
      <w:r>
        <w:t xml:space="preserve">2015, skutečné čerpání NNV k 31. </w:t>
      </w:r>
      <w:r w:rsidR="00773C32">
        <w:t xml:space="preserve">12. </w:t>
      </w:r>
      <w:r>
        <w:t>2015 a</w:t>
      </w:r>
      <w:r w:rsidR="00773C32">
        <w:t> </w:t>
      </w:r>
      <w:r>
        <w:t xml:space="preserve">vyčíslení NNV k 1. </w:t>
      </w:r>
      <w:r w:rsidR="00773C32">
        <w:t xml:space="preserve">1. </w:t>
      </w:r>
      <w:r>
        <w:t xml:space="preserve">2016 a </w:t>
      </w:r>
      <w:r w:rsidR="00D37727">
        <w:t xml:space="preserve">také </w:t>
      </w:r>
      <w:r>
        <w:t>komentovat hlavní důvody nespotřebování rozpočtových výdajů v hodnoceném roce a hlavní důvody nečerpání NNV. Dále měl samostatně uvést NNV, na jejichž provedení dostává Česká republika peněžní prostředky nebo jejich část z rozpočtu Evropské unie, NNV, na jejichž provedení dostává ČR peněžní prostředky nebo jejich část z finančních mechanismů</w:t>
      </w:r>
      <w:r w:rsidR="006572A5">
        <w:t>,</w:t>
      </w:r>
      <w:r>
        <w:t xml:space="preserve"> a NNV, na jejichž provedení dostává Česká republika peněžní prostředky nebo jejich část z rozpočtu Evropské unie na společnou zemědělskou politiku.</w:t>
      </w:r>
    </w:p>
    <w:p w14:paraId="373BB769" w14:textId="77777777" w:rsidR="00194849" w:rsidRDefault="00194849" w:rsidP="00194849"/>
    <w:p w14:paraId="08F80107" w14:textId="77777777" w:rsidR="00194849" w:rsidRDefault="00CF06FA" w:rsidP="00761EB6">
      <w:pPr>
        <w:spacing w:after="120"/>
      </w:pPr>
      <w:r>
        <w:t>Při zpracování ZÚ kapitoly nepostupovali v souladu s vyhláškou č. 419/2001 Sb.:</w:t>
      </w:r>
    </w:p>
    <w:p w14:paraId="2D4C20C4" w14:textId="13799BE2" w:rsidR="00194849" w:rsidRDefault="00CF06FA" w:rsidP="00761EB6">
      <w:pPr>
        <w:pStyle w:val="Odstavecseseznamem"/>
        <w:numPr>
          <w:ilvl w:val="0"/>
          <w:numId w:val="21"/>
        </w:numPr>
        <w:spacing w:after="0"/>
      </w:pPr>
      <w:r>
        <w:t xml:space="preserve">správci kapitol </w:t>
      </w:r>
      <w:r w:rsidR="00D37727">
        <w:t xml:space="preserve">317 – </w:t>
      </w:r>
      <w:r>
        <w:t xml:space="preserve">MMR, </w:t>
      </w:r>
      <w:r w:rsidR="00D37727">
        <w:t xml:space="preserve">327 – </w:t>
      </w:r>
      <w:r>
        <w:t xml:space="preserve">MD a </w:t>
      </w:r>
      <w:r w:rsidR="00D37727">
        <w:t xml:space="preserve">335 – </w:t>
      </w:r>
      <w:proofErr w:type="spellStart"/>
      <w:r>
        <w:t>MZd</w:t>
      </w:r>
      <w:proofErr w:type="spellEnd"/>
      <w:r>
        <w:t xml:space="preserve">, když nevyčíslili částky nároků z nespotřebovaných výdajů u jednotlivých organizačních složek </w:t>
      </w:r>
      <w:r w:rsidRPr="00F71007">
        <w:t>státu k 1. 1. 2015</w:t>
      </w:r>
      <w:r>
        <w:t xml:space="preserve"> a k 1. 1. 2016;</w:t>
      </w:r>
    </w:p>
    <w:p w14:paraId="5C91D405" w14:textId="2F780215" w:rsidR="00194849" w:rsidRDefault="00CF06FA" w:rsidP="00761EB6">
      <w:pPr>
        <w:pStyle w:val="Odstavecseseznamem"/>
        <w:numPr>
          <w:ilvl w:val="0"/>
          <w:numId w:val="21"/>
        </w:numPr>
        <w:spacing w:after="0"/>
      </w:pPr>
      <w:r>
        <w:t xml:space="preserve">správci kapitol </w:t>
      </w:r>
      <w:r w:rsidR="00D37727">
        <w:t xml:space="preserve">317 – </w:t>
      </w:r>
      <w:r>
        <w:t xml:space="preserve">MMR a </w:t>
      </w:r>
      <w:r w:rsidR="00D37727">
        <w:t xml:space="preserve">327 – </w:t>
      </w:r>
      <w:r>
        <w:t>MD, když nevyčíslili skutečné čerpání NNV k 31.</w:t>
      </w:r>
      <w:r w:rsidR="00B65FFD">
        <w:t> </w:t>
      </w:r>
      <w:r>
        <w:t>12.</w:t>
      </w:r>
      <w:r w:rsidR="00B65FFD">
        <w:t> </w:t>
      </w:r>
      <w:r>
        <w:t>2015;</w:t>
      </w:r>
    </w:p>
    <w:p w14:paraId="617FB555" w14:textId="5BAAB5B5" w:rsidR="00194849" w:rsidRDefault="00CF06FA" w:rsidP="00761EB6">
      <w:pPr>
        <w:pStyle w:val="Odstavecseseznamem"/>
        <w:numPr>
          <w:ilvl w:val="0"/>
          <w:numId w:val="21"/>
        </w:numPr>
        <w:spacing w:after="0"/>
      </w:pPr>
      <w:r>
        <w:t xml:space="preserve">správci kapitol </w:t>
      </w:r>
      <w:r w:rsidR="00D37727">
        <w:t xml:space="preserve">312 – </w:t>
      </w:r>
      <w:r>
        <w:t xml:space="preserve">MF, </w:t>
      </w:r>
      <w:r w:rsidR="00D37727">
        <w:t xml:space="preserve">317 – </w:t>
      </w:r>
      <w:r>
        <w:t xml:space="preserve">MMR a </w:t>
      </w:r>
      <w:r w:rsidR="00D37727">
        <w:t xml:space="preserve">329 – </w:t>
      </w:r>
      <w:proofErr w:type="spellStart"/>
      <w:r>
        <w:t>MZe</w:t>
      </w:r>
      <w:proofErr w:type="spellEnd"/>
      <w:r>
        <w:t>, když nekomentovali hlavní důvody nečerpání NNV z minulých let;</w:t>
      </w:r>
    </w:p>
    <w:p w14:paraId="7B5C5ED5" w14:textId="78025471" w:rsidR="00194849" w:rsidRDefault="00CF06FA" w:rsidP="00761EB6">
      <w:pPr>
        <w:pStyle w:val="Odstavecseseznamem"/>
        <w:numPr>
          <w:ilvl w:val="0"/>
          <w:numId w:val="21"/>
        </w:numPr>
        <w:spacing w:after="0"/>
      </w:pPr>
      <w:r>
        <w:t xml:space="preserve">správce kapitoly </w:t>
      </w:r>
      <w:r w:rsidR="00D37727">
        <w:t xml:space="preserve">329 – </w:t>
      </w:r>
      <w:proofErr w:type="spellStart"/>
      <w:r>
        <w:t>MZe</w:t>
      </w:r>
      <w:proofErr w:type="spellEnd"/>
      <w:r>
        <w:t>, když nekomentoval hlavní důvody nespotřebování rozpočtových výdajů;</w:t>
      </w:r>
    </w:p>
    <w:p w14:paraId="083A53E1" w14:textId="02EC8616" w:rsidR="000E64ED" w:rsidRPr="000E64ED" w:rsidRDefault="00CF06FA" w:rsidP="00AF23E1">
      <w:pPr>
        <w:pStyle w:val="Odstavecseseznamem"/>
        <w:numPr>
          <w:ilvl w:val="0"/>
          <w:numId w:val="21"/>
        </w:numPr>
        <w:spacing w:line="280" w:lineRule="atLeast"/>
        <w:rPr>
          <w:rFonts w:cs="Calibri"/>
          <w:b/>
          <w:color w:val="000000"/>
          <w:sz w:val="28"/>
          <w:szCs w:val="28"/>
          <w:lang w:eastAsia="en-US"/>
        </w:rPr>
      </w:pPr>
      <w:r>
        <w:t xml:space="preserve">správce kapitoly </w:t>
      </w:r>
      <w:r w:rsidR="00D37727">
        <w:t xml:space="preserve">329 – </w:t>
      </w:r>
      <w:proofErr w:type="spellStart"/>
      <w:r>
        <w:t>MZd</w:t>
      </w:r>
      <w:proofErr w:type="spellEnd"/>
      <w:r>
        <w:t>, když nekomentoval NNV týkající se peněžních prostředků poskytnutých z Evropské unie či z finančních mechanismů.</w:t>
      </w:r>
      <w:r w:rsidR="000E64ED" w:rsidRPr="000E64ED">
        <w:rPr>
          <w:rFonts w:cs="Calibri"/>
          <w:b/>
          <w:color w:val="000000"/>
          <w:sz w:val="28"/>
          <w:szCs w:val="28"/>
          <w:lang w:eastAsia="en-US"/>
        </w:rPr>
        <w:br w:type="page"/>
      </w:r>
    </w:p>
    <w:p w14:paraId="1A936EAA" w14:textId="3348BAFD" w:rsidR="00194849" w:rsidRPr="00761EB6" w:rsidRDefault="00CF06FA" w:rsidP="00194849">
      <w:pPr>
        <w:spacing w:line="280" w:lineRule="atLeast"/>
        <w:rPr>
          <w:rFonts w:cs="Calibri"/>
          <w:b/>
          <w:color w:val="000000"/>
          <w:sz w:val="28"/>
          <w:szCs w:val="28"/>
          <w:lang w:eastAsia="en-US"/>
        </w:rPr>
      </w:pPr>
      <w:r w:rsidRPr="00761EB6">
        <w:rPr>
          <w:rFonts w:cs="Calibri"/>
          <w:b/>
          <w:color w:val="000000"/>
          <w:sz w:val="28"/>
          <w:szCs w:val="28"/>
          <w:lang w:eastAsia="en-US"/>
        </w:rPr>
        <w:lastRenderedPageBreak/>
        <w:t>Seznam zkratek</w:t>
      </w:r>
    </w:p>
    <w:p w14:paraId="6ED255D7" w14:textId="217CB978" w:rsidR="00194849" w:rsidRDefault="00CF06FA" w:rsidP="00761EB6">
      <w:pPr>
        <w:spacing w:after="60" w:line="280" w:lineRule="atLeast"/>
        <w:ind w:left="2694" w:hanging="2694"/>
        <w:jc w:val="left"/>
        <w:rPr>
          <w:rFonts w:cs="Calibri"/>
          <w:color w:val="000000"/>
          <w:lang w:eastAsia="en-US"/>
        </w:rPr>
      </w:pPr>
      <w:r>
        <w:rPr>
          <w:rFonts w:cs="Calibri"/>
          <w:color w:val="000000"/>
          <w:lang w:eastAsia="en-US"/>
        </w:rPr>
        <w:t>EDS</w:t>
      </w:r>
      <w:r>
        <w:rPr>
          <w:rFonts w:cs="Calibri"/>
          <w:color w:val="000000"/>
          <w:lang w:eastAsia="en-US"/>
        </w:rPr>
        <w:tab/>
      </w:r>
      <w:r w:rsidRPr="00761EB6">
        <w:rPr>
          <w:rFonts w:cs="Calibri"/>
          <w:i/>
          <w:color w:val="000000"/>
          <w:lang w:eastAsia="en-US"/>
        </w:rPr>
        <w:t>Evidenční dotační systém</w:t>
      </w:r>
      <w:r>
        <w:rPr>
          <w:rFonts w:cs="Calibri"/>
          <w:color w:val="000000"/>
          <w:lang w:eastAsia="en-US"/>
        </w:rPr>
        <w:t xml:space="preserve"> </w:t>
      </w:r>
      <w:r>
        <w:rPr>
          <w:rFonts w:cs="Arial"/>
        </w:rPr>
        <w:t>(</w:t>
      </w:r>
      <w:r w:rsidR="006B5588">
        <w:rPr>
          <w:rFonts w:cs="Arial"/>
        </w:rPr>
        <w:t xml:space="preserve">část </w:t>
      </w:r>
      <w:r w:rsidRPr="00761EB6">
        <w:rPr>
          <w:rFonts w:cs="Arial"/>
          <w:i/>
        </w:rPr>
        <w:t>Informační</w:t>
      </w:r>
      <w:r w:rsidR="006B5588">
        <w:rPr>
          <w:rFonts w:cs="Arial"/>
          <w:i/>
        </w:rPr>
        <w:t>ho</w:t>
      </w:r>
      <w:r w:rsidRPr="00761EB6">
        <w:rPr>
          <w:rFonts w:cs="Arial"/>
          <w:i/>
        </w:rPr>
        <w:t xml:space="preserve"> systém</w:t>
      </w:r>
      <w:r w:rsidR="006B5588">
        <w:rPr>
          <w:rFonts w:cs="Arial"/>
          <w:i/>
        </w:rPr>
        <w:t>u</w:t>
      </w:r>
      <w:r w:rsidRPr="00761EB6">
        <w:rPr>
          <w:rFonts w:cs="Arial"/>
          <w:i/>
        </w:rPr>
        <w:t xml:space="preserve"> programového financování</w:t>
      </w:r>
      <w:r w:rsidR="00966683">
        <w:rPr>
          <w:rFonts w:cs="Arial"/>
        </w:rPr>
        <w:t xml:space="preserve"> – ISPROFIN</w:t>
      </w:r>
      <w:r>
        <w:rPr>
          <w:rFonts w:cs="Arial"/>
        </w:rPr>
        <w:t>)</w:t>
      </w:r>
    </w:p>
    <w:p w14:paraId="0C52D1EF" w14:textId="37CEA699" w:rsidR="008B1D8D" w:rsidRDefault="00CF06FA" w:rsidP="00761EB6">
      <w:pPr>
        <w:spacing w:after="60" w:line="280" w:lineRule="atLeast"/>
        <w:ind w:left="2694" w:hanging="2694"/>
        <w:jc w:val="left"/>
        <w:rPr>
          <w:rFonts w:cs="Calibri"/>
          <w:color w:val="000000"/>
          <w:lang w:eastAsia="en-US"/>
        </w:rPr>
      </w:pPr>
      <w:r>
        <w:rPr>
          <w:rFonts w:cs="Calibri"/>
          <w:color w:val="000000"/>
          <w:lang w:eastAsia="en-US"/>
        </w:rPr>
        <w:t>IISSP</w:t>
      </w:r>
      <w:r>
        <w:rPr>
          <w:rFonts w:cs="Calibri"/>
          <w:color w:val="000000"/>
          <w:lang w:eastAsia="en-US"/>
        </w:rPr>
        <w:tab/>
      </w:r>
      <w:r w:rsidRPr="00761EB6">
        <w:rPr>
          <w:rFonts w:cs="Calibri"/>
          <w:i/>
          <w:color w:val="000000"/>
          <w:lang w:eastAsia="en-US"/>
        </w:rPr>
        <w:t>Integrovaný informační systém Státní pokladny</w:t>
      </w:r>
    </w:p>
    <w:p w14:paraId="009F07B0" w14:textId="20679A1C" w:rsidR="0009352C" w:rsidRDefault="0009352C" w:rsidP="00761EB6">
      <w:pPr>
        <w:spacing w:after="60" w:line="280" w:lineRule="atLeast"/>
        <w:ind w:left="2694" w:hanging="2694"/>
        <w:jc w:val="left"/>
        <w:rPr>
          <w:rFonts w:cs="Calibri"/>
          <w:color w:val="000000"/>
          <w:lang w:eastAsia="en-US"/>
        </w:rPr>
      </w:pPr>
      <w:r>
        <w:rPr>
          <w:rFonts w:cs="Calibri"/>
          <w:color w:val="000000"/>
          <w:lang w:eastAsia="en-US"/>
        </w:rPr>
        <w:t>kapitola 312 – MF</w:t>
      </w:r>
      <w:r>
        <w:rPr>
          <w:rFonts w:cs="Calibri"/>
          <w:color w:val="000000"/>
          <w:lang w:eastAsia="en-US"/>
        </w:rPr>
        <w:tab/>
        <w:t xml:space="preserve">kapitola státního rozpočtu 312 – </w:t>
      </w:r>
      <w:r w:rsidRPr="0011516E">
        <w:rPr>
          <w:rFonts w:cs="Calibri"/>
          <w:i/>
          <w:color w:val="000000"/>
          <w:lang w:eastAsia="en-US"/>
        </w:rPr>
        <w:t>Ministerstvo financí</w:t>
      </w:r>
    </w:p>
    <w:p w14:paraId="7CCDDA78" w14:textId="464A5E09" w:rsidR="0009352C" w:rsidRDefault="0009352C" w:rsidP="00761EB6">
      <w:pPr>
        <w:spacing w:after="60" w:line="280" w:lineRule="atLeast"/>
        <w:ind w:left="2694" w:hanging="2694"/>
        <w:jc w:val="left"/>
        <w:rPr>
          <w:rFonts w:cs="Calibri"/>
          <w:color w:val="000000"/>
          <w:lang w:eastAsia="en-US"/>
        </w:rPr>
      </w:pPr>
      <w:r>
        <w:rPr>
          <w:rFonts w:cs="Calibri"/>
          <w:color w:val="000000"/>
          <w:lang w:eastAsia="en-US"/>
        </w:rPr>
        <w:t>kapitola 317 – MMR</w:t>
      </w:r>
      <w:r>
        <w:rPr>
          <w:rFonts w:cs="Calibri"/>
          <w:color w:val="000000"/>
          <w:lang w:eastAsia="en-US"/>
        </w:rPr>
        <w:tab/>
        <w:t xml:space="preserve">kapitola státního rozpočtu 317 – </w:t>
      </w:r>
      <w:r w:rsidRPr="0011516E">
        <w:rPr>
          <w:rFonts w:cs="Calibri"/>
          <w:i/>
          <w:color w:val="000000"/>
          <w:lang w:eastAsia="en-US"/>
        </w:rPr>
        <w:t>Ministerstvo pro místní rozvoj</w:t>
      </w:r>
    </w:p>
    <w:p w14:paraId="6EB2BFE4" w14:textId="6773D1CE" w:rsidR="0009352C" w:rsidRDefault="0009352C" w:rsidP="00761EB6">
      <w:pPr>
        <w:spacing w:after="60" w:line="280" w:lineRule="atLeast"/>
        <w:ind w:left="2694" w:hanging="2694"/>
        <w:jc w:val="left"/>
        <w:rPr>
          <w:rFonts w:cs="Calibri"/>
          <w:color w:val="000000"/>
          <w:lang w:eastAsia="en-US"/>
        </w:rPr>
      </w:pPr>
      <w:r>
        <w:rPr>
          <w:rFonts w:cs="Calibri"/>
          <w:color w:val="000000"/>
          <w:lang w:eastAsia="en-US"/>
        </w:rPr>
        <w:t>kapitola 327 – MD</w:t>
      </w:r>
      <w:r>
        <w:rPr>
          <w:rFonts w:cs="Calibri"/>
          <w:color w:val="000000"/>
          <w:lang w:eastAsia="en-US"/>
        </w:rPr>
        <w:tab/>
        <w:t xml:space="preserve">kapitola státního rozpočtu 327 – </w:t>
      </w:r>
      <w:r w:rsidRPr="0011516E">
        <w:rPr>
          <w:rFonts w:cs="Calibri"/>
          <w:i/>
          <w:color w:val="000000"/>
          <w:lang w:eastAsia="en-US"/>
        </w:rPr>
        <w:t>Ministerstvo dopravy</w:t>
      </w:r>
    </w:p>
    <w:p w14:paraId="02422280" w14:textId="7CE67553" w:rsidR="0009352C" w:rsidRDefault="0009352C" w:rsidP="00761EB6">
      <w:pPr>
        <w:spacing w:after="60" w:line="280" w:lineRule="atLeast"/>
        <w:ind w:left="2694" w:hanging="2694"/>
        <w:jc w:val="left"/>
        <w:rPr>
          <w:rFonts w:cs="Calibri"/>
          <w:color w:val="000000"/>
          <w:lang w:eastAsia="en-US"/>
        </w:rPr>
      </w:pPr>
      <w:r>
        <w:rPr>
          <w:rFonts w:cs="Calibri"/>
          <w:color w:val="000000"/>
          <w:lang w:eastAsia="en-US"/>
        </w:rPr>
        <w:t xml:space="preserve">kapitola 329 – </w:t>
      </w:r>
      <w:proofErr w:type="spellStart"/>
      <w:r>
        <w:rPr>
          <w:rFonts w:cs="Calibri"/>
          <w:color w:val="000000"/>
          <w:lang w:eastAsia="en-US"/>
        </w:rPr>
        <w:t>MZe</w:t>
      </w:r>
      <w:proofErr w:type="spellEnd"/>
      <w:r>
        <w:rPr>
          <w:rFonts w:cs="Calibri"/>
          <w:color w:val="000000"/>
          <w:lang w:eastAsia="en-US"/>
        </w:rPr>
        <w:tab/>
        <w:t xml:space="preserve">kapitola státního rozpočtu 329 – </w:t>
      </w:r>
      <w:r w:rsidRPr="0011516E">
        <w:rPr>
          <w:rFonts w:cs="Calibri"/>
          <w:i/>
          <w:color w:val="000000"/>
          <w:lang w:eastAsia="en-US"/>
        </w:rPr>
        <w:t>Ministerstvo zemědělství</w:t>
      </w:r>
    </w:p>
    <w:p w14:paraId="27817F84" w14:textId="6725F59C" w:rsidR="0009352C" w:rsidRDefault="0009352C" w:rsidP="00761EB6">
      <w:pPr>
        <w:spacing w:after="60" w:line="280" w:lineRule="atLeast"/>
        <w:ind w:left="2694" w:hanging="2694"/>
        <w:jc w:val="left"/>
        <w:rPr>
          <w:rFonts w:cs="Calibri"/>
          <w:color w:val="000000"/>
          <w:lang w:eastAsia="en-US"/>
        </w:rPr>
      </w:pPr>
      <w:r>
        <w:rPr>
          <w:rFonts w:cs="Calibri"/>
          <w:color w:val="000000"/>
          <w:lang w:eastAsia="en-US"/>
        </w:rPr>
        <w:t xml:space="preserve">kapitola 335 – </w:t>
      </w:r>
      <w:proofErr w:type="spellStart"/>
      <w:r>
        <w:rPr>
          <w:rFonts w:cs="Calibri"/>
          <w:color w:val="000000"/>
          <w:lang w:eastAsia="en-US"/>
        </w:rPr>
        <w:t>MZd</w:t>
      </w:r>
      <w:proofErr w:type="spellEnd"/>
      <w:r>
        <w:rPr>
          <w:rFonts w:cs="Calibri"/>
          <w:color w:val="000000"/>
          <w:lang w:eastAsia="en-US"/>
        </w:rPr>
        <w:tab/>
        <w:t xml:space="preserve">kapitola státního rozpočtu 335 – </w:t>
      </w:r>
      <w:r w:rsidRPr="0011516E">
        <w:rPr>
          <w:rFonts w:cs="Calibri"/>
          <w:i/>
          <w:color w:val="000000"/>
          <w:lang w:eastAsia="en-US"/>
        </w:rPr>
        <w:t>Ministerstvo zdravotnictví</w:t>
      </w:r>
    </w:p>
    <w:p w14:paraId="656B9816" w14:textId="77777777" w:rsidR="00194849" w:rsidRDefault="00CF06FA" w:rsidP="00761EB6">
      <w:pPr>
        <w:spacing w:after="60" w:line="280" w:lineRule="atLeast"/>
        <w:ind w:left="2694" w:hanging="2694"/>
        <w:jc w:val="left"/>
        <w:rPr>
          <w:rFonts w:cs="Calibri"/>
          <w:color w:val="000000"/>
          <w:lang w:eastAsia="en-US"/>
        </w:rPr>
      </w:pPr>
      <w:r>
        <w:rPr>
          <w:rFonts w:cs="Calibri"/>
          <w:color w:val="000000"/>
          <w:lang w:eastAsia="en-US"/>
        </w:rPr>
        <w:t>MD</w:t>
      </w:r>
      <w:r>
        <w:rPr>
          <w:rFonts w:cs="Calibri"/>
          <w:color w:val="000000"/>
          <w:lang w:eastAsia="en-US"/>
        </w:rPr>
        <w:tab/>
        <w:t>Ministerstvo dopravy</w:t>
      </w:r>
    </w:p>
    <w:p w14:paraId="6BB6694B" w14:textId="77777777" w:rsidR="00194849" w:rsidRDefault="00CF06FA" w:rsidP="00761EB6">
      <w:pPr>
        <w:spacing w:after="60" w:line="280" w:lineRule="atLeast"/>
        <w:ind w:left="2694" w:hanging="2694"/>
        <w:jc w:val="left"/>
        <w:rPr>
          <w:rFonts w:cs="Calibri"/>
          <w:color w:val="000000"/>
          <w:lang w:eastAsia="en-US"/>
        </w:rPr>
      </w:pPr>
      <w:r w:rsidRPr="00674DEE">
        <w:rPr>
          <w:rFonts w:cs="Calibri"/>
          <w:color w:val="000000"/>
          <w:lang w:eastAsia="en-US"/>
        </w:rPr>
        <w:t>MF</w:t>
      </w:r>
      <w:r w:rsidRPr="00674DEE">
        <w:rPr>
          <w:rFonts w:cs="Calibri"/>
          <w:color w:val="000000"/>
          <w:lang w:eastAsia="en-US"/>
        </w:rPr>
        <w:tab/>
        <w:t>Ministerstvo financí</w:t>
      </w:r>
    </w:p>
    <w:p w14:paraId="4FF25243" w14:textId="77777777" w:rsidR="00194849" w:rsidRDefault="00CF06FA" w:rsidP="00761EB6">
      <w:pPr>
        <w:spacing w:after="60" w:line="280" w:lineRule="atLeast"/>
        <w:ind w:left="2694" w:hanging="2694"/>
        <w:jc w:val="left"/>
        <w:rPr>
          <w:rFonts w:cs="Calibri"/>
          <w:color w:val="000000"/>
          <w:lang w:eastAsia="en-US"/>
        </w:rPr>
      </w:pPr>
      <w:r>
        <w:rPr>
          <w:rFonts w:cs="Calibri"/>
          <w:color w:val="000000"/>
          <w:lang w:eastAsia="en-US"/>
        </w:rPr>
        <w:t>MMR</w:t>
      </w:r>
      <w:r>
        <w:rPr>
          <w:rFonts w:cs="Calibri"/>
          <w:color w:val="000000"/>
          <w:lang w:eastAsia="en-US"/>
        </w:rPr>
        <w:tab/>
        <w:t>Ministerstvo pro místní rozvoj</w:t>
      </w:r>
    </w:p>
    <w:p w14:paraId="353947A8" w14:textId="77777777" w:rsidR="00194849" w:rsidRDefault="00CF06FA" w:rsidP="00761EB6">
      <w:pPr>
        <w:spacing w:after="60" w:line="280" w:lineRule="atLeast"/>
        <w:ind w:left="2694" w:hanging="2694"/>
        <w:jc w:val="left"/>
        <w:rPr>
          <w:rFonts w:cs="Calibri"/>
          <w:color w:val="000000"/>
          <w:lang w:eastAsia="en-US"/>
        </w:rPr>
      </w:pPr>
      <w:proofErr w:type="spellStart"/>
      <w:r>
        <w:rPr>
          <w:rFonts w:cs="Calibri"/>
          <w:color w:val="000000"/>
          <w:lang w:eastAsia="en-US"/>
        </w:rPr>
        <w:t>MZd</w:t>
      </w:r>
      <w:proofErr w:type="spellEnd"/>
      <w:r>
        <w:rPr>
          <w:rFonts w:cs="Calibri"/>
          <w:color w:val="000000"/>
          <w:lang w:eastAsia="en-US"/>
        </w:rPr>
        <w:tab/>
        <w:t>Ministerstvo zdravotnictví</w:t>
      </w:r>
    </w:p>
    <w:p w14:paraId="717EBDF0" w14:textId="77777777" w:rsidR="00194849" w:rsidRDefault="00CF06FA" w:rsidP="00761EB6">
      <w:pPr>
        <w:spacing w:after="60" w:line="280" w:lineRule="atLeast"/>
        <w:ind w:left="2694" w:hanging="2694"/>
        <w:jc w:val="left"/>
        <w:rPr>
          <w:rFonts w:cs="Calibri"/>
          <w:color w:val="000000"/>
          <w:lang w:eastAsia="en-US"/>
        </w:rPr>
      </w:pPr>
      <w:proofErr w:type="spellStart"/>
      <w:r>
        <w:rPr>
          <w:rFonts w:cs="Calibri"/>
          <w:color w:val="000000"/>
          <w:lang w:eastAsia="en-US"/>
        </w:rPr>
        <w:t>MZe</w:t>
      </w:r>
      <w:proofErr w:type="spellEnd"/>
      <w:r>
        <w:rPr>
          <w:rFonts w:cs="Calibri"/>
          <w:color w:val="000000"/>
          <w:lang w:eastAsia="en-US"/>
        </w:rPr>
        <w:tab/>
        <w:t>Ministerstvo zemědělství</w:t>
      </w:r>
    </w:p>
    <w:p w14:paraId="5726CF33" w14:textId="6B2647C7" w:rsidR="00D37727" w:rsidRDefault="00D37727" w:rsidP="00761EB6">
      <w:pPr>
        <w:spacing w:after="60" w:line="280" w:lineRule="atLeast"/>
        <w:ind w:left="2694" w:hanging="2694"/>
        <w:jc w:val="left"/>
        <w:rPr>
          <w:rFonts w:cs="Calibri"/>
          <w:color w:val="000000"/>
          <w:lang w:eastAsia="en-US"/>
        </w:rPr>
      </w:pPr>
      <w:r>
        <w:rPr>
          <w:rFonts w:cs="Calibri"/>
          <w:color w:val="000000"/>
          <w:lang w:eastAsia="en-US"/>
        </w:rPr>
        <w:t>NARC</w:t>
      </w:r>
      <w:r>
        <w:rPr>
          <w:rFonts w:cs="Calibri"/>
          <w:color w:val="000000"/>
          <w:lang w:eastAsia="en-US"/>
        </w:rPr>
        <w:tab/>
        <w:t>sledování pohybů počátečního stavu NNV v evidenci NNV</w:t>
      </w:r>
    </w:p>
    <w:p w14:paraId="06E7AE73" w14:textId="04829A9F" w:rsidR="00D37727" w:rsidRDefault="00D37727" w:rsidP="00761EB6">
      <w:pPr>
        <w:spacing w:after="60" w:line="280" w:lineRule="atLeast"/>
        <w:ind w:left="2694" w:hanging="2694"/>
        <w:jc w:val="left"/>
        <w:rPr>
          <w:rFonts w:cs="Calibri"/>
          <w:color w:val="000000"/>
          <w:lang w:eastAsia="en-US"/>
        </w:rPr>
      </w:pPr>
      <w:r>
        <w:rPr>
          <w:rFonts w:cs="Calibri"/>
          <w:color w:val="000000"/>
          <w:lang w:eastAsia="en-US"/>
        </w:rPr>
        <w:t>NARK</w:t>
      </w:r>
      <w:r>
        <w:rPr>
          <w:rFonts w:cs="Calibri"/>
          <w:color w:val="000000"/>
          <w:lang w:eastAsia="en-US"/>
        </w:rPr>
        <w:tab/>
        <w:t>sledování ukončení NNV v evidenci NNV</w:t>
      </w:r>
    </w:p>
    <w:p w14:paraId="2E1913F2" w14:textId="4E0E6C4C" w:rsidR="00D37727" w:rsidRDefault="00D37727" w:rsidP="00761EB6">
      <w:pPr>
        <w:spacing w:after="60" w:line="280" w:lineRule="atLeast"/>
        <w:ind w:left="2694" w:hanging="2694"/>
        <w:jc w:val="left"/>
        <w:rPr>
          <w:rFonts w:cs="Calibri"/>
          <w:color w:val="000000"/>
          <w:lang w:eastAsia="en-US"/>
        </w:rPr>
      </w:pPr>
      <w:r>
        <w:rPr>
          <w:rFonts w:cs="Calibri"/>
          <w:color w:val="000000"/>
          <w:lang w:eastAsia="en-US"/>
        </w:rPr>
        <w:t>NARP</w:t>
      </w:r>
      <w:r>
        <w:rPr>
          <w:rFonts w:cs="Calibri"/>
          <w:color w:val="000000"/>
          <w:lang w:eastAsia="en-US"/>
        </w:rPr>
        <w:tab/>
        <w:t>sledování v evidenci NNV pouze zapojení NNV do RK</w:t>
      </w:r>
    </w:p>
    <w:p w14:paraId="5F7889AF" w14:textId="739221F8" w:rsidR="0015008D" w:rsidRDefault="0015008D" w:rsidP="00761EB6">
      <w:pPr>
        <w:spacing w:after="60" w:line="280" w:lineRule="atLeast"/>
        <w:ind w:left="2694" w:hanging="2694"/>
        <w:jc w:val="left"/>
        <w:rPr>
          <w:rFonts w:cs="Calibri"/>
          <w:color w:val="000000"/>
          <w:lang w:eastAsia="en-US"/>
        </w:rPr>
      </w:pPr>
      <w:r>
        <w:rPr>
          <w:rFonts w:cs="Calibri"/>
          <w:color w:val="000000"/>
          <w:lang w:eastAsia="en-US"/>
        </w:rPr>
        <w:t>NKÚ</w:t>
      </w:r>
      <w:r>
        <w:rPr>
          <w:rFonts w:cs="Calibri"/>
          <w:color w:val="000000"/>
          <w:lang w:eastAsia="en-US"/>
        </w:rPr>
        <w:tab/>
        <w:t>Nejvyšší kontrolní úřad</w:t>
      </w:r>
    </w:p>
    <w:p w14:paraId="26498C16" w14:textId="77777777" w:rsidR="00194849" w:rsidRDefault="00CF06FA" w:rsidP="00761EB6">
      <w:pPr>
        <w:spacing w:after="60" w:line="280" w:lineRule="atLeast"/>
        <w:ind w:left="2694" w:hanging="2694"/>
        <w:jc w:val="left"/>
        <w:rPr>
          <w:rFonts w:cs="Calibri"/>
          <w:color w:val="000000"/>
          <w:lang w:eastAsia="en-US"/>
        </w:rPr>
      </w:pPr>
      <w:r>
        <w:rPr>
          <w:rFonts w:cs="Calibri"/>
          <w:color w:val="000000"/>
          <w:lang w:eastAsia="en-US"/>
        </w:rPr>
        <w:t>NNV</w:t>
      </w:r>
      <w:r>
        <w:rPr>
          <w:rFonts w:cs="Calibri"/>
          <w:color w:val="000000"/>
          <w:lang w:eastAsia="en-US"/>
        </w:rPr>
        <w:tab/>
        <w:t>nároky z nespotřebovaných výdajů</w:t>
      </w:r>
    </w:p>
    <w:p w14:paraId="6E8FF10B" w14:textId="77777777" w:rsidR="00194849" w:rsidRDefault="00CF06FA" w:rsidP="00761EB6">
      <w:pPr>
        <w:spacing w:after="60" w:line="280" w:lineRule="atLeast"/>
        <w:ind w:left="2694" w:hanging="2694"/>
        <w:jc w:val="left"/>
        <w:rPr>
          <w:rFonts w:cs="Calibri"/>
          <w:color w:val="000000"/>
          <w:lang w:eastAsia="en-US"/>
        </w:rPr>
      </w:pPr>
      <w:r>
        <w:rPr>
          <w:rFonts w:cs="Calibri"/>
          <w:color w:val="000000"/>
          <w:lang w:eastAsia="en-US"/>
        </w:rPr>
        <w:t>NNNV</w:t>
      </w:r>
      <w:r>
        <w:rPr>
          <w:rFonts w:cs="Calibri"/>
          <w:color w:val="000000"/>
          <w:lang w:eastAsia="en-US"/>
        </w:rPr>
        <w:tab/>
        <w:t>nároky z nespotřebovaných neprofilujících výdajů</w:t>
      </w:r>
    </w:p>
    <w:p w14:paraId="231F3706" w14:textId="77777777" w:rsidR="00194849" w:rsidRPr="00674DEE" w:rsidRDefault="00CF06FA" w:rsidP="00761EB6">
      <w:pPr>
        <w:spacing w:after="60" w:line="280" w:lineRule="atLeast"/>
        <w:ind w:left="2694" w:hanging="2694"/>
        <w:jc w:val="left"/>
        <w:rPr>
          <w:rFonts w:cs="Calibri"/>
          <w:color w:val="000000"/>
          <w:lang w:eastAsia="en-US"/>
        </w:rPr>
      </w:pPr>
      <w:r>
        <w:rPr>
          <w:rFonts w:cs="Calibri"/>
          <w:color w:val="000000"/>
          <w:lang w:eastAsia="en-US"/>
        </w:rPr>
        <w:t>NNPV</w:t>
      </w:r>
      <w:r>
        <w:rPr>
          <w:rFonts w:cs="Calibri"/>
          <w:color w:val="000000"/>
          <w:lang w:eastAsia="en-US"/>
        </w:rPr>
        <w:tab/>
        <w:t>nároky z nespotřebovaných profilujících výdajů</w:t>
      </w:r>
    </w:p>
    <w:p w14:paraId="7F8E96C0" w14:textId="77777777" w:rsidR="00194849" w:rsidRDefault="00CF06FA" w:rsidP="00761EB6">
      <w:pPr>
        <w:spacing w:after="60" w:line="280" w:lineRule="atLeast"/>
        <w:ind w:left="2694" w:hanging="2694"/>
        <w:jc w:val="left"/>
        <w:rPr>
          <w:rFonts w:cs="Calibri"/>
          <w:color w:val="000000"/>
          <w:lang w:eastAsia="en-US"/>
        </w:rPr>
      </w:pPr>
      <w:r>
        <w:rPr>
          <w:rFonts w:cs="Calibri"/>
          <w:color w:val="000000"/>
          <w:lang w:eastAsia="en-US"/>
        </w:rPr>
        <w:t>OSS</w:t>
      </w:r>
      <w:r>
        <w:rPr>
          <w:rFonts w:cs="Calibri"/>
          <w:color w:val="000000"/>
          <w:lang w:eastAsia="en-US"/>
        </w:rPr>
        <w:tab/>
        <w:t>organizační složka státu</w:t>
      </w:r>
    </w:p>
    <w:p w14:paraId="482E2EF0" w14:textId="52D99443" w:rsidR="0015008D" w:rsidRDefault="0015008D" w:rsidP="00761EB6">
      <w:pPr>
        <w:spacing w:after="60" w:line="280" w:lineRule="atLeast"/>
        <w:ind w:left="2694" w:hanging="2694"/>
        <w:jc w:val="left"/>
        <w:rPr>
          <w:rFonts w:cs="Calibri"/>
          <w:color w:val="000000"/>
          <w:lang w:eastAsia="en-US"/>
        </w:rPr>
      </w:pPr>
      <w:r>
        <w:rPr>
          <w:rFonts w:cs="Calibri"/>
          <w:color w:val="000000"/>
          <w:lang w:eastAsia="en-US"/>
        </w:rPr>
        <w:t>Poslanecká sněmovna</w:t>
      </w:r>
      <w:r>
        <w:rPr>
          <w:rFonts w:cs="Calibri"/>
          <w:color w:val="000000"/>
          <w:lang w:eastAsia="en-US"/>
        </w:rPr>
        <w:tab/>
        <w:t>Poslanecká sněmovna Parlamentu České republiky</w:t>
      </w:r>
    </w:p>
    <w:p w14:paraId="3393C958" w14:textId="6637EA1F" w:rsidR="008B1D8D" w:rsidRDefault="008B1D8D" w:rsidP="00761EB6">
      <w:pPr>
        <w:spacing w:after="60" w:line="280" w:lineRule="atLeast"/>
        <w:ind w:left="2694" w:hanging="2694"/>
        <w:jc w:val="left"/>
        <w:rPr>
          <w:rFonts w:cs="Calibri"/>
          <w:color w:val="000000"/>
          <w:lang w:eastAsia="en-US"/>
        </w:rPr>
      </w:pPr>
      <w:r>
        <w:rPr>
          <w:rFonts w:cs="Calibri"/>
          <w:color w:val="000000"/>
          <w:lang w:eastAsia="en-US"/>
        </w:rPr>
        <w:t>PS NNV</w:t>
      </w:r>
      <w:r>
        <w:rPr>
          <w:rFonts w:cs="Calibri"/>
          <w:color w:val="000000"/>
          <w:lang w:eastAsia="en-US"/>
        </w:rPr>
        <w:tab/>
        <w:t>počáteční stavy nároků z nespotřebovaných výdajů</w:t>
      </w:r>
    </w:p>
    <w:p w14:paraId="4622C1D0" w14:textId="3E7233C9" w:rsidR="00BB1820" w:rsidRDefault="00BB1820" w:rsidP="00761EB6">
      <w:pPr>
        <w:spacing w:after="60" w:line="280" w:lineRule="atLeast"/>
        <w:ind w:left="2694" w:hanging="2694"/>
        <w:jc w:val="left"/>
        <w:rPr>
          <w:rFonts w:cs="Calibri"/>
          <w:color w:val="000000"/>
          <w:lang w:eastAsia="en-US"/>
        </w:rPr>
      </w:pPr>
      <w:r>
        <w:rPr>
          <w:rFonts w:cs="Calibri"/>
          <w:color w:val="000000"/>
          <w:lang w:eastAsia="en-US"/>
        </w:rPr>
        <w:t>PVS</w:t>
      </w:r>
      <w:r>
        <w:rPr>
          <w:rFonts w:cs="Calibri"/>
          <w:color w:val="000000"/>
          <w:lang w:eastAsia="en-US"/>
        </w:rPr>
        <w:tab/>
        <w:t>příjmová a výdajová struktura</w:t>
      </w:r>
    </w:p>
    <w:p w14:paraId="1C3A3F16" w14:textId="77777777" w:rsidR="00194849" w:rsidRDefault="00CF06FA" w:rsidP="00761EB6">
      <w:pPr>
        <w:spacing w:after="60" w:line="280" w:lineRule="atLeast"/>
        <w:ind w:left="2694" w:hanging="2694"/>
        <w:jc w:val="left"/>
        <w:rPr>
          <w:rFonts w:cs="Calibri"/>
          <w:color w:val="000000"/>
          <w:lang w:eastAsia="en-US"/>
        </w:rPr>
      </w:pPr>
      <w:r>
        <w:rPr>
          <w:rFonts w:cs="Calibri"/>
          <w:color w:val="000000"/>
          <w:lang w:eastAsia="en-US"/>
        </w:rPr>
        <w:t>RF</w:t>
      </w:r>
      <w:r>
        <w:rPr>
          <w:rFonts w:cs="Calibri"/>
          <w:color w:val="000000"/>
          <w:lang w:eastAsia="en-US"/>
        </w:rPr>
        <w:tab/>
        <w:t>rezervní fond</w:t>
      </w:r>
    </w:p>
    <w:p w14:paraId="0192E1DF" w14:textId="68AB24D0" w:rsidR="00194849" w:rsidRDefault="00CF06FA" w:rsidP="00761EB6">
      <w:pPr>
        <w:spacing w:after="60" w:line="280" w:lineRule="atLeast"/>
        <w:ind w:left="2694" w:hanging="2694"/>
        <w:jc w:val="left"/>
        <w:rPr>
          <w:rFonts w:cs="Calibri"/>
          <w:color w:val="000000"/>
          <w:lang w:eastAsia="en-US"/>
        </w:rPr>
      </w:pPr>
      <w:r>
        <w:rPr>
          <w:rFonts w:cs="Calibri"/>
          <w:color w:val="000000"/>
          <w:lang w:eastAsia="en-US"/>
        </w:rPr>
        <w:t>RIS</w:t>
      </w:r>
      <w:r>
        <w:rPr>
          <w:rFonts w:cs="Calibri"/>
          <w:color w:val="000000"/>
          <w:lang w:eastAsia="en-US"/>
        </w:rPr>
        <w:tab/>
      </w:r>
      <w:r w:rsidR="00D37727" w:rsidRPr="00B1210C">
        <w:rPr>
          <w:rFonts w:cs="Calibri"/>
          <w:i/>
          <w:color w:val="000000"/>
          <w:lang w:eastAsia="en-US"/>
        </w:rPr>
        <w:t xml:space="preserve">Rozpočtový </w:t>
      </w:r>
      <w:r w:rsidRPr="00B1210C">
        <w:rPr>
          <w:rFonts w:cs="Calibri"/>
          <w:i/>
          <w:color w:val="000000"/>
          <w:lang w:eastAsia="en-US"/>
        </w:rPr>
        <w:t>informační systém</w:t>
      </w:r>
    </w:p>
    <w:p w14:paraId="7AEFE84C" w14:textId="08B03714" w:rsidR="00194849" w:rsidRDefault="00CF06FA" w:rsidP="00761EB6">
      <w:pPr>
        <w:spacing w:after="60" w:line="280" w:lineRule="atLeast"/>
        <w:ind w:left="2694" w:hanging="2694"/>
        <w:jc w:val="left"/>
        <w:rPr>
          <w:rFonts w:cs="Calibri"/>
          <w:color w:val="000000"/>
          <w:lang w:eastAsia="en-US"/>
        </w:rPr>
      </w:pPr>
      <w:r>
        <w:rPr>
          <w:rFonts w:cs="Calibri"/>
          <w:color w:val="000000"/>
          <w:lang w:eastAsia="en-US"/>
        </w:rPr>
        <w:t>RISRE</w:t>
      </w:r>
      <w:r>
        <w:rPr>
          <w:rFonts w:cs="Calibri"/>
          <w:color w:val="000000"/>
          <w:lang w:eastAsia="en-US"/>
        </w:rPr>
        <w:tab/>
      </w:r>
      <w:r w:rsidR="00D37727" w:rsidRPr="00B1210C">
        <w:rPr>
          <w:rFonts w:cs="Calibri"/>
          <w:i/>
          <w:color w:val="000000"/>
          <w:lang w:eastAsia="en-US"/>
        </w:rPr>
        <w:t>Realizace rozpočtu</w:t>
      </w:r>
      <w:r w:rsidR="00D37727">
        <w:rPr>
          <w:rFonts w:cs="Calibri"/>
          <w:color w:val="000000"/>
          <w:lang w:eastAsia="en-US"/>
        </w:rPr>
        <w:t xml:space="preserve"> (část RIS)</w:t>
      </w:r>
    </w:p>
    <w:p w14:paraId="60AFA5F7" w14:textId="77777777" w:rsidR="00194849" w:rsidRDefault="00CF06FA" w:rsidP="00761EB6">
      <w:pPr>
        <w:spacing w:after="60" w:line="280" w:lineRule="atLeast"/>
        <w:ind w:left="2694" w:hanging="2694"/>
        <w:jc w:val="left"/>
        <w:rPr>
          <w:rFonts w:cs="Calibri"/>
          <w:color w:val="000000"/>
          <w:lang w:eastAsia="en-US"/>
        </w:rPr>
      </w:pPr>
      <w:r>
        <w:rPr>
          <w:rFonts w:cs="Calibri"/>
          <w:color w:val="000000"/>
          <w:lang w:eastAsia="en-US"/>
        </w:rPr>
        <w:t>RK</w:t>
      </w:r>
      <w:r>
        <w:rPr>
          <w:rFonts w:cs="Calibri"/>
          <w:color w:val="000000"/>
          <w:lang w:eastAsia="en-US"/>
        </w:rPr>
        <w:tab/>
        <w:t>rozpočet konečný</w:t>
      </w:r>
    </w:p>
    <w:p w14:paraId="4D7EF1EF" w14:textId="77777777" w:rsidR="00194849" w:rsidRDefault="00CF06FA" w:rsidP="00761EB6">
      <w:pPr>
        <w:spacing w:after="60" w:line="280" w:lineRule="atLeast"/>
        <w:ind w:left="2694" w:hanging="2694"/>
        <w:jc w:val="left"/>
        <w:rPr>
          <w:rFonts w:cs="Calibri"/>
          <w:color w:val="000000"/>
          <w:lang w:eastAsia="en-US"/>
        </w:rPr>
      </w:pPr>
      <w:r>
        <w:rPr>
          <w:rFonts w:cs="Calibri"/>
          <w:color w:val="000000"/>
          <w:lang w:eastAsia="en-US"/>
        </w:rPr>
        <w:t>RP</w:t>
      </w:r>
      <w:r>
        <w:rPr>
          <w:rFonts w:cs="Calibri"/>
          <w:color w:val="000000"/>
          <w:lang w:eastAsia="en-US"/>
        </w:rPr>
        <w:tab/>
        <w:t>rozpočtová položka</w:t>
      </w:r>
    </w:p>
    <w:p w14:paraId="1A144BAC" w14:textId="77777777" w:rsidR="00194849" w:rsidRPr="00674DEE" w:rsidRDefault="00CF06FA" w:rsidP="00761EB6">
      <w:pPr>
        <w:spacing w:after="60" w:line="280" w:lineRule="atLeast"/>
        <w:ind w:left="2694" w:hanging="2694"/>
        <w:jc w:val="left"/>
        <w:rPr>
          <w:rFonts w:cs="Calibri"/>
          <w:color w:val="000000"/>
          <w:lang w:eastAsia="en-US"/>
        </w:rPr>
      </w:pPr>
      <w:r>
        <w:rPr>
          <w:rFonts w:cs="Calibri"/>
          <w:color w:val="000000"/>
          <w:lang w:eastAsia="en-US"/>
        </w:rPr>
        <w:t>RS</w:t>
      </w:r>
      <w:r>
        <w:rPr>
          <w:rFonts w:cs="Calibri"/>
          <w:color w:val="000000"/>
          <w:lang w:eastAsia="en-US"/>
        </w:rPr>
        <w:tab/>
        <w:t>rozpočet schválený</w:t>
      </w:r>
    </w:p>
    <w:p w14:paraId="17A7C3E7" w14:textId="77777777" w:rsidR="00194849" w:rsidRDefault="00CF06FA" w:rsidP="00761EB6">
      <w:pPr>
        <w:spacing w:after="60" w:line="280" w:lineRule="atLeast"/>
        <w:ind w:left="2693" w:right="68" w:hanging="2693"/>
        <w:jc w:val="left"/>
        <w:rPr>
          <w:rFonts w:cs="Arial"/>
        </w:rPr>
      </w:pPr>
      <w:r>
        <w:rPr>
          <w:rFonts w:cs="Arial"/>
        </w:rPr>
        <w:t>RZ</w:t>
      </w:r>
      <w:r>
        <w:rPr>
          <w:rFonts w:cs="Arial"/>
        </w:rPr>
        <w:tab/>
        <w:t>rozpočet po změnách</w:t>
      </w:r>
    </w:p>
    <w:p w14:paraId="1A133429" w14:textId="77777777" w:rsidR="00194849" w:rsidRDefault="00CF06FA" w:rsidP="00761EB6">
      <w:pPr>
        <w:spacing w:after="60" w:line="280" w:lineRule="atLeast"/>
        <w:ind w:left="2693" w:right="68" w:hanging="2693"/>
        <w:jc w:val="left"/>
        <w:rPr>
          <w:rFonts w:cs="Arial"/>
        </w:rPr>
      </w:pPr>
      <w:r>
        <w:rPr>
          <w:rFonts w:cs="Arial"/>
        </w:rPr>
        <w:t>SK</w:t>
      </w:r>
      <w:r>
        <w:rPr>
          <w:rFonts w:cs="Arial"/>
        </w:rPr>
        <w:tab/>
        <w:t>skutečnost (plnění příjmů a čerpání výdajů)</w:t>
      </w:r>
    </w:p>
    <w:p w14:paraId="6DC4C80E" w14:textId="2213D1B4" w:rsidR="00194849" w:rsidRDefault="00CF06FA" w:rsidP="00761EB6">
      <w:pPr>
        <w:spacing w:after="60" w:line="280" w:lineRule="atLeast"/>
        <w:ind w:left="2693" w:right="68" w:hanging="2693"/>
        <w:jc w:val="left"/>
        <w:rPr>
          <w:rFonts w:cs="Arial"/>
        </w:rPr>
      </w:pPr>
      <w:r>
        <w:rPr>
          <w:rFonts w:cs="Arial"/>
        </w:rPr>
        <w:t>SMVS</w:t>
      </w:r>
      <w:r>
        <w:rPr>
          <w:rFonts w:cs="Arial"/>
        </w:rPr>
        <w:tab/>
      </w:r>
      <w:r w:rsidRPr="00761EB6">
        <w:rPr>
          <w:rFonts w:cs="Arial"/>
          <w:i/>
        </w:rPr>
        <w:t>Správa majetku ve vlastnictví státu</w:t>
      </w:r>
      <w:r>
        <w:rPr>
          <w:rFonts w:cs="Arial"/>
        </w:rPr>
        <w:t xml:space="preserve"> (</w:t>
      </w:r>
      <w:r w:rsidR="006B5588">
        <w:rPr>
          <w:rFonts w:cs="Arial"/>
        </w:rPr>
        <w:t xml:space="preserve">část </w:t>
      </w:r>
      <w:r w:rsidRPr="00761EB6">
        <w:rPr>
          <w:rFonts w:cs="Arial"/>
          <w:i/>
        </w:rPr>
        <w:t>Informační</w:t>
      </w:r>
      <w:r w:rsidR="006B5588">
        <w:rPr>
          <w:rFonts w:cs="Arial"/>
          <w:i/>
        </w:rPr>
        <w:t>ho</w:t>
      </w:r>
      <w:r w:rsidRPr="00761EB6">
        <w:rPr>
          <w:rFonts w:cs="Arial"/>
          <w:i/>
        </w:rPr>
        <w:t xml:space="preserve"> systém</w:t>
      </w:r>
      <w:r w:rsidR="006B5588">
        <w:rPr>
          <w:rFonts w:cs="Arial"/>
          <w:i/>
        </w:rPr>
        <w:t>u</w:t>
      </w:r>
      <w:r w:rsidRPr="00761EB6">
        <w:rPr>
          <w:rFonts w:cs="Arial"/>
          <w:i/>
        </w:rPr>
        <w:t xml:space="preserve"> programového financování</w:t>
      </w:r>
      <w:r w:rsidR="00966683">
        <w:rPr>
          <w:rFonts w:cs="Arial"/>
        </w:rPr>
        <w:t xml:space="preserve"> – ISPROFIN</w:t>
      </w:r>
      <w:r>
        <w:rPr>
          <w:rFonts w:cs="Arial"/>
        </w:rPr>
        <w:t>)</w:t>
      </w:r>
    </w:p>
    <w:p w14:paraId="313BC603" w14:textId="77777777" w:rsidR="00194849" w:rsidRDefault="00CF06FA" w:rsidP="00761EB6">
      <w:pPr>
        <w:spacing w:after="60" w:line="280" w:lineRule="atLeast"/>
        <w:ind w:left="2693" w:right="68" w:hanging="2693"/>
        <w:jc w:val="left"/>
        <w:rPr>
          <w:rFonts w:cs="Arial"/>
        </w:rPr>
      </w:pPr>
      <w:r>
        <w:rPr>
          <w:rFonts w:cs="Arial"/>
        </w:rPr>
        <w:t>SR</w:t>
      </w:r>
      <w:r>
        <w:rPr>
          <w:rFonts w:cs="Arial"/>
        </w:rPr>
        <w:tab/>
        <w:t>státní rozpočet</w:t>
      </w:r>
    </w:p>
    <w:p w14:paraId="5D281D8E" w14:textId="2E5D66ED" w:rsidR="00194849" w:rsidRDefault="00CF06FA" w:rsidP="00761EB6">
      <w:pPr>
        <w:spacing w:after="60" w:line="280" w:lineRule="atLeast"/>
        <w:ind w:left="2693" w:right="68" w:hanging="2693"/>
        <w:jc w:val="left"/>
        <w:rPr>
          <w:rFonts w:cs="Arial"/>
        </w:rPr>
      </w:pPr>
      <w:r>
        <w:rPr>
          <w:rFonts w:cs="Arial"/>
        </w:rPr>
        <w:t>SZÚ</w:t>
      </w:r>
      <w:r>
        <w:rPr>
          <w:rFonts w:cs="Arial"/>
        </w:rPr>
        <w:tab/>
      </w:r>
      <w:r w:rsidR="006B5588">
        <w:rPr>
          <w:rFonts w:cs="Arial"/>
        </w:rPr>
        <w:t>s</w:t>
      </w:r>
      <w:r>
        <w:rPr>
          <w:rFonts w:cs="Arial"/>
        </w:rPr>
        <w:t>tátní závěrečný účet</w:t>
      </w:r>
    </w:p>
    <w:p w14:paraId="7540353B" w14:textId="57F986EE" w:rsidR="0015008D" w:rsidRDefault="0015008D" w:rsidP="00761EB6">
      <w:pPr>
        <w:spacing w:after="60" w:line="280" w:lineRule="atLeast"/>
        <w:ind w:left="2693" w:right="68" w:hanging="2693"/>
        <w:jc w:val="left"/>
        <w:rPr>
          <w:rFonts w:cs="Arial"/>
        </w:rPr>
      </w:pPr>
      <w:r>
        <w:rPr>
          <w:rFonts w:cs="Arial"/>
        </w:rPr>
        <w:t>vláda</w:t>
      </w:r>
      <w:r>
        <w:rPr>
          <w:rFonts w:cs="Arial"/>
        </w:rPr>
        <w:tab/>
        <w:t>vláda České republiky</w:t>
      </w:r>
    </w:p>
    <w:p w14:paraId="39ACC217" w14:textId="390FA1DC" w:rsidR="00966683" w:rsidRDefault="00CF06FA" w:rsidP="00761EB6">
      <w:pPr>
        <w:spacing w:after="60" w:line="280" w:lineRule="atLeast"/>
        <w:ind w:left="2693" w:right="68" w:hanging="2693"/>
        <w:jc w:val="left"/>
        <w:rPr>
          <w:rFonts w:cs="Arial"/>
        </w:rPr>
      </w:pPr>
      <w:r>
        <w:rPr>
          <w:rFonts w:cs="Arial"/>
        </w:rPr>
        <w:t>ZÚ</w:t>
      </w:r>
      <w:r>
        <w:rPr>
          <w:rFonts w:cs="Arial"/>
        </w:rPr>
        <w:tab/>
        <w:t>závěrečný účet kapitoly státního rozpočtu</w:t>
      </w:r>
    </w:p>
    <w:sectPr w:rsidR="00966683" w:rsidSect="00194849">
      <w:footerReference w:type="default" r:id="rId10"/>
      <w:pgSz w:w="11906" w:h="16838"/>
      <w:pgMar w:top="1417" w:right="1417" w:bottom="1417" w:left="1417" w:header="708"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D960A" w14:textId="77777777" w:rsidR="00D72156" w:rsidRDefault="00D72156">
      <w:r>
        <w:separator/>
      </w:r>
    </w:p>
  </w:endnote>
  <w:endnote w:type="continuationSeparator" w:id="0">
    <w:p w14:paraId="664F11BB" w14:textId="77777777" w:rsidR="00D72156" w:rsidRDefault="00D7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CE4AA" w14:textId="50961798" w:rsidR="00D72156" w:rsidRPr="00846383" w:rsidRDefault="00D72156" w:rsidP="00194849">
    <w:pPr>
      <w:pStyle w:val="Zpat"/>
      <w:jc w:val="center"/>
    </w:pPr>
    <w:r w:rsidRPr="00846383">
      <w:rPr>
        <w:rFonts w:cs="Arial"/>
      </w:rPr>
      <w:fldChar w:fldCharType="begin"/>
    </w:r>
    <w:r w:rsidRPr="00846383">
      <w:rPr>
        <w:rFonts w:cs="Arial"/>
      </w:rPr>
      <w:instrText xml:space="preserve"> PAGE   \* MERGEFORMAT </w:instrText>
    </w:r>
    <w:r w:rsidRPr="00846383">
      <w:rPr>
        <w:rFonts w:cs="Arial"/>
      </w:rPr>
      <w:fldChar w:fldCharType="separate"/>
    </w:r>
    <w:r w:rsidR="00DD728D">
      <w:rPr>
        <w:rFonts w:cs="Arial"/>
        <w:noProof/>
      </w:rPr>
      <w:t>21</w:t>
    </w:r>
    <w:r w:rsidRPr="00846383">
      <w:rP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FB9AF" w14:textId="77777777" w:rsidR="00D72156" w:rsidRDefault="00D72156" w:rsidP="00194849">
      <w:r>
        <w:separator/>
      </w:r>
    </w:p>
  </w:footnote>
  <w:footnote w:type="continuationSeparator" w:id="0">
    <w:p w14:paraId="603D705A" w14:textId="77777777" w:rsidR="00D72156" w:rsidRDefault="00D72156" w:rsidP="00194849">
      <w:r>
        <w:continuationSeparator/>
      </w:r>
    </w:p>
  </w:footnote>
  <w:footnote w:id="1">
    <w:p w14:paraId="14219D6B" w14:textId="12DA46F2" w:rsidR="00D72156" w:rsidRDefault="00D72156" w:rsidP="00846383">
      <w:pPr>
        <w:pStyle w:val="Textpoznpodarou"/>
        <w:ind w:left="284" w:hanging="284"/>
      </w:pPr>
      <w:r>
        <w:rPr>
          <w:rStyle w:val="Znakapoznpodarou"/>
        </w:rPr>
        <w:footnoteRef/>
      </w:r>
      <w:r>
        <w:t xml:space="preserve"> </w:t>
      </w:r>
      <w:r>
        <w:tab/>
        <w:t xml:space="preserve">EDS/SMVS – </w:t>
      </w:r>
      <w:r w:rsidRPr="00761EB6">
        <w:rPr>
          <w:i/>
        </w:rPr>
        <w:t>Evidenční dotační systém</w:t>
      </w:r>
      <w:r>
        <w:t>/</w:t>
      </w:r>
      <w:r w:rsidRPr="00761EB6">
        <w:rPr>
          <w:i/>
        </w:rPr>
        <w:t>Správa majetku ve vlastnictví státu</w:t>
      </w:r>
      <w:r>
        <w:t xml:space="preserve"> (jedná se o části </w:t>
      </w:r>
      <w:r w:rsidRPr="00761EB6">
        <w:rPr>
          <w:i/>
        </w:rPr>
        <w:t>Informační</w:t>
      </w:r>
      <w:r>
        <w:rPr>
          <w:i/>
        </w:rPr>
        <w:t>ho</w:t>
      </w:r>
      <w:r w:rsidRPr="00761EB6">
        <w:rPr>
          <w:i/>
        </w:rPr>
        <w:t xml:space="preserve"> systém</w:t>
      </w:r>
      <w:r>
        <w:rPr>
          <w:i/>
        </w:rPr>
        <w:t>u</w:t>
      </w:r>
      <w:r w:rsidRPr="00761EB6">
        <w:rPr>
          <w:i/>
        </w:rPr>
        <w:t xml:space="preserve"> programového financování</w:t>
      </w:r>
      <w:r>
        <w:t xml:space="preserve"> – ISPROFIN).</w:t>
      </w:r>
    </w:p>
  </w:footnote>
  <w:footnote w:id="2">
    <w:p w14:paraId="07A4F35C" w14:textId="488CEAB4" w:rsidR="00D72156" w:rsidRDefault="00D72156" w:rsidP="00846383">
      <w:pPr>
        <w:pStyle w:val="Textpoznpodarou"/>
        <w:ind w:left="284" w:hanging="284"/>
      </w:pPr>
      <w:r>
        <w:rPr>
          <w:rStyle w:val="Znakapoznpodarou"/>
        </w:rPr>
        <w:footnoteRef/>
      </w:r>
      <w:r>
        <w:t xml:space="preserve"> </w:t>
      </w:r>
      <w:r>
        <w:tab/>
        <w:t>Zákon č. 26/2008 Sb., kterým se mění zákon č. 218/2000 Sb.,</w:t>
      </w:r>
      <w:r w:rsidRPr="00866D7B">
        <w:t xml:space="preserve"> </w:t>
      </w:r>
      <w:r>
        <w:t>o rozpočtových pravidlech a o změně některých souvisejících zákonů (rozpočtová pravidla).</w:t>
      </w:r>
    </w:p>
  </w:footnote>
  <w:footnote w:id="3">
    <w:p w14:paraId="7A190080" w14:textId="550F735E" w:rsidR="00D72156" w:rsidRDefault="00D72156" w:rsidP="00846383">
      <w:pPr>
        <w:pStyle w:val="Textpoznpodarou"/>
        <w:ind w:left="284" w:hanging="284"/>
      </w:pPr>
      <w:r>
        <w:rPr>
          <w:rStyle w:val="Znakapoznpodarou"/>
        </w:rPr>
        <w:footnoteRef/>
      </w:r>
      <w:r>
        <w:t xml:space="preserve"> </w:t>
      </w:r>
      <w:r>
        <w:tab/>
        <w:t>Ustanovení § 47 zákona č. 218/2000 Sb.</w:t>
      </w:r>
    </w:p>
  </w:footnote>
  <w:footnote w:id="4">
    <w:p w14:paraId="2C353719" w14:textId="4CC9B38A" w:rsidR="00D72156" w:rsidRDefault="00D72156" w:rsidP="00846383">
      <w:pPr>
        <w:pStyle w:val="Textpoznpodarou"/>
        <w:ind w:left="284" w:hanging="284"/>
      </w:pPr>
      <w:r>
        <w:rPr>
          <w:rStyle w:val="Znakapoznpodarou"/>
        </w:rPr>
        <w:footnoteRef/>
      </w:r>
      <w:r>
        <w:t xml:space="preserve"> </w:t>
      </w:r>
      <w:r>
        <w:tab/>
        <w:t>NNV ke dni 1. 1. běžného roku, tj. rozdíl mezi konečným rozpočtem výdajů na minulý rok a skutečnými rozpočtovými výdaji za minulý rok zvýšený o NNV ke dni 31. 12. minulého roku.</w:t>
      </w:r>
    </w:p>
  </w:footnote>
  <w:footnote w:id="5">
    <w:p w14:paraId="108F72A8" w14:textId="4F57063F" w:rsidR="00D72156" w:rsidRDefault="00D72156" w:rsidP="00846383">
      <w:pPr>
        <w:pStyle w:val="Textpoznpodarou"/>
        <w:ind w:left="284" w:hanging="284"/>
      </w:pPr>
      <w:r>
        <w:rPr>
          <w:rStyle w:val="Znakapoznpodarou"/>
        </w:rPr>
        <w:footnoteRef/>
      </w:r>
      <w:r>
        <w:t xml:space="preserve"> </w:t>
      </w:r>
      <w:r>
        <w:tab/>
        <w:t>Ustanovení § 47 odst. 1 zákona č. 218/2000 Sb.</w:t>
      </w:r>
    </w:p>
  </w:footnote>
  <w:footnote w:id="6">
    <w:p w14:paraId="6A2E4FD3" w14:textId="58977487" w:rsidR="00D72156" w:rsidRDefault="00D72156" w:rsidP="00846383">
      <w:pPr>
        <w:pStyle w:val="Textpoznpodarou"/>
        <w:ind w:left="284" w:hanging="284"/>
      </w:pPr>
      <w:r>
        <w:rPr>
          <w:rStyle w:val="Znakapoznpodarou"/>
        </w:rPr>
        <w:footnoteRef/>
      </w:r>
      <w:r>
        <w:t xml:space="preserve"> </w:t>
      </w:r>
      <w:r>
        <w:tab/>
        <w:t>Ustanovení § 47 odst. 7 zákona č. 218/2000 Sb.</w:t>
      </w:r>
    </w:p>
  </w:footnote>
  <w:footnote w:id="7">
    <w:p w14:paraId="0DB945B8" w14:textId="23C2DF5B" w:rsidR="00D72156" w:rsidRDefault="00D72156" w:rsidP="00846383">
      <w:pPr>
        <w:pStyle w:val="Textpoznpodarou"/>
        <w:ind w:left="284" w:hanging="284"/>
      </w:pPr>
      <w:r>
        <w:rPr>
          <w:rStyle w:val="Znakapoznpodarou"/>
        </w:rPr>
        <w:footnoteRef/>
      </w:r>
      <w:r>
        <w:t xml:space="preserve"> </w:t>
      </w:r>
      <w:r>
        <w:tab/>
        <w:t>Ustanovení § 47 odst. 4 zákona č. 218/2000 Sb.</w:t>
      </w:r>
    </w:p>
  </w:footnote>
  <w:footnote w:id="8">
    <w:p w14:paraId="7E9A7E88" w14:textId="1C458725" w:rsidR="00D72156" w:rsidRDefault="00D72156" w:rsidP="00846383">
      <w:pPr>
        <w:pStyle w:val="Textpoznpodarou"/>
        <w:ind w:left="284" w:hanging="284"/>
      </w:pPr>
      <w:r>
        <w:rPr>
          <w:rStyle w:val="Znakapoznpodarou"/>
        </w:rPr>
        <w:footnoteRef/>
      </w:r>
      <w:r>
        <w:t xml:space="preserve"> </w:t>
      </w:r>
      <w:r>
        <w:tab/>
        <w:t>NAR 1-12 U (pro rok 2014) a NAR 1-12 OSS (pro rok 2015).</w:t>
      </w:r>
    </w:p>
  </w:footnote>
  <w:footnote w:id="9">
    <w:p w14:paraId="0C8EC6F7" w14:textId="77777777" w:rsidR="00D72156" w:rsidRDefault="00D72156" w:rsidP="00F04C4C">
      <w:pPr>
        <w:pStyle w:val="Textpoznpodarou"/>
        <w:ind w:left="284" w:hanging="284"/>
      </w:pPr>
      <w:r>
        <w:rPr>
          <w:rStyle w:val="Znakapoznpodarou"/>
        </w:rPr>
        <w:footnoteRef/>
      </w:r>
      <w:r>
        <w:t xml:space="preserve"> </w:t>
      </w:r>
      <w:r>
        <w:tab/>
      </w:r>
      <w:r w:rsidRPr="00761EB6">
        <w:rPr>
          <w:i/>
        </w:rPr>
        <w:t>Metodika zpracování nároků z nespotřebovaných výdajů v IISSP – RISRE</w:t>
      </w:r>
      <w:r>
        <w:t xml:space="preserve"> – zveřejněna a </w:t>
      </w:r>
      <w:r w:rsidRPr="00AF01D2">
        <w:t xml:space="preserve">aktualizována každý rok na webových stránkách MF a na </w:t>
      </w:r>
      <w:r>
        <w:t>p</w:t>
      </w:r>
      <w:r w:rsidRPr="00AF01D2">
        <w:t>ortále IISSP od roku 2013</w:t>
      </w:r>
      <w:r>
        <w:t>.</w:t>
      </w:r>
    </w:p>
  </w:footnote>
  <w:footnote w:id="10">
    <w:p w14:paraId="63A6F5DD" w14:textId="77777777" w:rsidR="00D72156" w:rsidRDefault="00D72156" w:rsidP="00846383">
      <w:pPr>
        <w:pStyle w:val="Textpoznpodarou"/>
        <w:ind w:left="255" w:hanging="255"/>
      </w:pPr>
      <w:r w:rsidRPr="00AF01D2">
        <w:rPr>
          <w:rStyle w:val="Znakapoznpodarou"/>
        </w:rPr>
        <w:footnoteRef/>
      </w:r>
      <w:r>
        <w:t> </w:t>
      </w:r>
      <w:r w:rsidRPr="00AF01D2">
        <w:t xml:space="preserve">Konečný rozpočet – rozpočet výdajů upravený o všechna rozpočtová opatření, to znamená </w:t>
      </w:r>
      <w:r>
        <w:t xml:space="preserve">včetně rozpočtových opatření, kterými byly do rozpočtu zapojeny NNV. </w:t>
      </w:r>
    </w:p>
  </w:footnote>
  <w:footnote w:id="11">
    <w:p w14:paraId="1732F9A7" w14:textId="3743E34F" w:rsidR="00D72156" w:rsidRDefault="00D72156" w:rsidP="00846383">
      <w:pPr>
        <w:pStyle w:val="Textpoznpodarou"/>
        <w:ind w:left="255" w:hanging="255"/>
      </w:pPr>
      <w:r>
        <w:rPr>
          <w:rStyle w:val="Znakapoznpodarou"/>
        </w:rPr>
        <w:footnoteRef/>
      </w:r>
      <w:r>
        <w:t xml:space="preserve"> </w:t>
      </w:r>
      <w:r>
        <w:tab/>
        <w:t>Rozpočet po změnách – rozpočet schválený zákonem o státním rozpočtu</w:t>
      </w:r>
      <w:r w:rsidR="003E5A55">
        <w:t>,</w:t>
      </w:r>
      <w:r>
        <w:t xml:space="preserve"> upravený o změny rozpočtu (kromě vázání prostředků a povoleného překročení, mj. o použití mimorozpočtových zdrojů, o použití úspor z minulých let).</w:t>
      </w:r>
    </w:p>
  </w:footnote>
  <w:footnote w:id="12">
    <w:p w14:paraId="19A03165" w14:textId="29C4C2D7" w:rsidR="00D72156" w:rsidRDefault="00D72156" w:rsidP="00B81F3E">
      <w:pPr>
        <w:pStyle w:val="Textpoznpodarou"/>
        <w:ind w:left="284" w:hanging="284"/>
      </w:pPr>
      <w:r>
        <w:rPr>
          <w:rStyle w:val="Znakapoznpodarou"/>
        </w:rPr>
        <w:footnoteRef/>
      </w:r>
      <w:r>
        <w:t xml:space="preserve"> </w:t>
      </w:r>
      <w:r>
        <w:tab/>
        <w:t xml:space="preserve">FIN 1-12 OSS – </w:t>
      </w:r>
      <w:r w:rsidRPr="00761EB6">
        <w:rPr>
          <w:i/>
        </w:rPr>
        <w:t>Výkaz pro hodnocení plnění rozpočtu správců kapitol a organizačních složek státu</w:t>
      </w:r>
      <w:r>
        <w:t>.</w:t>
      </w:r>
    </w:p>
  </w:footnote>
  <w:footnote w:id="13">
    <w:p w14:paraId="3193AC3C" w14:textId="4E427F09" w:rsidR="00D72156" w:rsidRDefault="00D72156" w:rsidP="00B81F3E">
      <w:pPr>
        <w:pStyle w:val="Textpoznpodarou"/>
        <w:ind w:left="284" w:hanging="284"/>
      </w:pPr>
      <w:r>
        <w:rPr>
          <w:rStyle w:val="Znakapoznpodarou"/>
        </w:rPr>
        <w:footnoteRef/>
      </w:r>
      <w:r>
        <w:t xml:space="preserve"> </w:t>
      </w:r>
      <w:r>
        <w:tab/>
        <w:t xml:space="preserve">Vyhláška č. 449/2009 Sb., o způsobu, termínech a rozsahu údajů předkládaných pro hodnocení plnění státního rozpočtu, rozpočtů státních fondů, rozpočtů územních samosprávných celků, rozpočtů dobrovolných svazků obcí a rozpočtů Regionálních rad regionů soudržnosti, (do roku 2014) a vyhláška č. </w:t>
      </w:r>
      <w:r w:rsidRPr="00136C86">
        <w:t>5/2014 Sb.,</w:t>
      </w:r>
      <w:r>
        <w:t xml:space="preserve"> o způsobu, termínech a rozsahu údajů předkládaných pro hodnocení plnění státního rozpočtu, rozpočtů státních fondů, rozpočtů územních samosprávných celků, rozpočtů dobrovolných svazků obcí a rozpočtů Regionálních rad regionů soudržnosti, (od roku 2015).</w:t>
      </w:r>
    </w:p>
  </w:footnote>
  <w:footnote w:id="14">
    <w:p w14:paraId="09434AA6" w14:textId="27867477" w:rsidR="00D72156" w:rsidRDefault="00D72156" w:rsidP="00B81F3E">
      <w:pPr>
        <w:pStyle w:val="Textpoznpodarou"/>
        <w:ind w:left="284" w:hanging="284"/>
      </w:pPr>
      <w:r>
        <w:rPr>
          <w:rStyle w:val="Znakapoznpodarou"/>
        </w:rPr>
        <w:footnoteRef/>
      </w:r>
      <w:r>
        <w:t xml:space="preserve"> </w:t>
      </w:r>
      <w:r>
        <w:tab/>
        <w:t>V </w:t>
      </w:r>
      <w:r w:rsidRPr="00761EB6">
        <w:rPr>
          <w:i/>
        </w:rPr>
        <w:t>Metodice zpracování nároků z nespotřebovaných výdajů v</w:t>
      </w:r>
      <w:r>
        <w:rPr>
          <w:i/>
        </w:rPr>
        <w:t> </w:t>
      </w:r>
      <w:r w:rsidRPr="00761EB6">
        <w:rPr>
          <w:i/>
        </w:rPr>
        <w:t>IISSP</w:t>
      </w:r>
      <w:r>
        <w:rPr>
          <w:i/>
        </w:rPr>
        <w:t xml:space="preserve"> –</w:t>
      </w:r>
      <w:r w:rsidRPr="00761EB6">
        <w:rPr>
          <w:i/>
        </w:rPr>
        <w:t xml:space="preserve"> RISRE</w:t>
      </w:r>
      <w:r>
        <w:t xml:space="preserve"> je mj. uvedeno, že ke změně identifikace koruny PS NNV dojde pouze u podkladového třídění rozpočtové skladby – v PS NNV bude vždy zdroj s podkladovou jednotkou 4, přitom tato změna je v RISRE pevně předdefinována z úrovně MF.</w:t>
      </w:r>
    </w:p>
  </w:footnote>
  <w:footnote w:id="15">
    <w:p w14:paraId="75937567" w14:textId="20C581DD" w:rsidR="00D72156" w:rsidRDefault="00D72156" w:rsidP="00B81F3E">
      <w:pPr>
        <w:pStyle w:val="Textpoznpodarou"/>
        <w:ind w:left="284" w:hanging="284"/>
      </w:pPr>
      <w:r>
        <w:rPr>
          <w:rStyle w:val="Znakapoznpodarou"/>
        </w:rPr>
        <w:footnoteRef/>
      </w:r>
      <w:r>
        <w:t xml:space="preserve"> </w:t>
      </w:r>
      <w:r>
        <w:tab/>
        <w:t xml:space="preserve">Vybrané rozpočtové položky: 5139 – </w:t>
      </w:r>
      <w:r w:rsidRPr="00761EB6">
        <w:rPr>
          <w:i/>
        </w:rPr>
        <w:t>Nákup materiálu</w:t>
      </w:r>
      <w:r>
        <w:t xml:space="preserve">, 5164 – </w:t>
      </w:r>
      <w:r w:rsidRPr="00761EB6">
        <w:rPr>
          <w:i/>
        </w:rPr>
        <w:t>Nájemné</w:t>
      </w:r>
      <w:r>
        <w:t xml:space="preserve">, 5166 – </w:t>
      </w:r>
      <w:r w:rsidRPr="00761EB6">
        <w:rPr>
          <w:i/>
        </w:rPr>
        <w:t>Konzultační, poradenské a právní služby</w:t>
      </w:r>
      <w:r>
        <w:t xml:space="preserve">, 5167 – </w:t>
      </w:r>
      <w:r w:rsidRPr="00761EB6">
        <w:rPr>
          <w:i/>
        </w:rPr>
        <w:t>Služby školení a vzdělávání</w:t>
      </w:r>
      <w:r>
        <w:t xml:space="preserve">, 5169 – </w:t>
      </w:r>
      <w:r w:rsidRPr="00761EB6">
        <w:rPr>
          <w:i/>
        </w:rPr>
        <w:t>Nákup ostatních služeb</w:t>
      </w:r>
      <w:r>
        <w:t xml:space="preserve">, 5171 – </w:t>
      </w:r>
      <w:r w:rsidRPr="00761EB6">
        <w:rPr>
          <w:i/>
        </w:rPr>
        <w:t>Opravy a udržování</w:t>
      </w:r>
      <w:r>
        <w:t xml:space="preserve">, 5192 – </w:t>
      </w:r>
      <w:r w:rsidRPr="00761EB6">
        <w:rPr>
          <w:i/>
        </w:rPr>
        <w:t>Poskytnuté náhrady</w:t>
      </w:r>
      <w:r>
        <w:t xml:space="preserve">, 5909 – </w:t>
      </w:r>
      <w:r w:rsidRPr="00761EB6">
        <w:rPr>
          <w:i/>
        </w:rPr>
        <w:t>Ostatní neinvestiční výdaje jinde nezařazené</w:t>
      </w:r>
      <w:r>
        <w:t>.</w:t>
      </w:r>
    </w:p>
  </w:footnote>
  <w:footnote w:id="16">
    <w:p w14:paraId="350BEBFA" w14:textId="68CCE9C2" w:rsidR="00D72156" w:rsidRDefault="00D72156" w:rsidP="00B81F3E">
      <w:pPr>
        <w:pStyle w:val="Textpoznpodarou"/>
        <w:ind w:left="284" w:hanging="284"/>
      </w:pPr>
      <w:r>
        <w:rPr>
          <w:rStyle w:val="Znakapoznpodarou"/>
        </w:rPr>
        <w:footnoteRef/>
      </w:r>
      <w:r>
        <w:t xml:space="preserve"> </w:t>
      </w:r>
      <w:r>
        <w:tab/>
        <w:t xml:space="preserve">Vybrané </w:t>
      </w:r>
      <w:r w:rsidRPr="00136C86">
        <w:t>rozpočtové položky</w:t>
      </w:r>
      <w:r>
        <w:t xml:space="preserve"> se zdrojem 1100000, akce a účel nepřiřazeno;</w:t>
      </w:r>
      <w:r w:rsidRPr="00136C86">
        <w:t xml:space="preserve"> 5167 – </w:t>
      </w:r>
      <w:r w:rsidRPr="00761EB6">
        <w:rPr>
          <w:i/>
        </w:rPr>
        <w:t>Služby školení a vzdělávání</w:t>
      </w:r>
      <w:r>
        <w:t xml:space="preserve"> s PVS 5040020011 a 5040050011; </w:t>
      </w:r>
      <w:r w:rsidRPr="00136C86">
        <w:t xml:space="preserve">5169 – </w:t>
      </w:r>
      <w:r w:rsidRPr="00761EB6">
        <w:rPr>
          <w:i/>
        </w:rPr>
        <w:t>Nákup ostatních služeb</w:t>
      </w:r>
      <w:r>
        <w:t xml:space="preserve"> s PVS 5010090011, 5020040011 a 5030030011</w:t>
      </w:r>
      <w:r w:rsidRPr="00136C86">
        <w:t xml:space="preserve"> </w:t>
      </w:r>
      <w:r>
        <w:t xml:space="preserve">(pro rok 2015 také s PVS 504002011 a 504005001) </w:t>
      </w:r>
      <w:r w:rsidRPr="00136C86">
        <w:t>a</w:t>
      </w:r>
      <w:r>
        <w:t> </w:t>
      </w:r>
      <w:r w:rsidRPr="00136C86">
        <w:t xml:space="preserve">5511 – </w:t>
      </w:r>
      <w:r w:rsidRPr="00761EB6">
        <w:rPr>
          <w:i/>
        </w:rPr>
        <w:t>Neinvestiční transfery mezinárodním organizacím</w:t>
      </w:r>
      <w:r>
        <w:t xml:space="preserve"> s PVS 5010090011 a 5040050011.</w:t>
      </w:r>
    </w:p>
  </w:footnote>
  <w:footnote w:id="17">
    <w:p w14:paraId="0A920DCF" w14:textId="1830A6F9" w:rsidR="00D72156" w:rsidRDefault="00D72156" w:rsidP="00B81F3E">
      <w:pPr>
        <w:pStyle w:val="Textpoznpodarou"/>
        <w:ind w:left="284" w:hanging="284"/>
      </w:pPr>
      <w:r>
        <w:rPr>
          <w:rStyle w:val="Znakapoznpodarou"/>
        </w:rPr>
        <w:footnoteRef/>
      </w:r>
      <w:r>
        <w:t xml:space="preserve"> </w:t>
      </w:r>
      <w:r>
        <w:tab/>
      </w:r>
      <w:proofErr w:type="spellStart"/>
      <w:r>
        <w:t>MZe</w:t>
      </w:r>
      <w:proofErr w:type="spellEnd"/>
      <w:r>
        <w:t xml:space="preserve"> ve svém ekonomickém systému používalo rozpočtové položky 5999 a 6999.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85F0C59A"/>
    <w:lvl w:ilvl="0">
      <w:start w:val="1"/>
      <w:numFmt w:val="bullet"/>
      <w:pStyle w:val="Seznamsodrkami3"/>
      <w:lvlText w:val=""/>
      <w:lvlJc w:val="left"/>
      <w:pPr>
        <w:tabs>
          <w:tab w:val="num" w:pos="926"/>
        </w:tabs>
        <w:ind w:left="926" w:hanging="360"/>
      </w:pPr>
      <w:rPr>
        <w:rFonts w:ascii="Symbol" w:hAnsi="Symbol" w:hint="default"/>
      </w:rPr>
    </w:lvl>
  </w:abstractNum>
  <w:abstractNum w:abstractNumId="1">
    <w:nsid w:val="002B1D82"/>
    <w:multiLevelType w:val="hybridMultilevel"/>
    <w:tmpl w:val="7B6C4BFA"/>
    <w:lvl w:ilvl="0" w:tplc="640223EE">
      <w:start w:val="1"/>
      <w:numFmt w:val="decimal"/>
      <w:lvlText w:val="%1)"/>
      <w:lvlJc w:val="left"/>
      <w:pPr>
        <w:ind w:left="720" w:hanging="360"/>
      </w:pPr>
      <w:rPr>
        <w:rFonts w:asciiTheme="minorHAnsi" w:eastAsiaTheme="minorHAnsi" w:hAnsiTheme="minorHAnsi" w:cstheme="minorBidi"/>
      </w:rPr>
    </w:lvl>
    <w:lvl w:ilvl="1" w:tplc="D0805348">
      <w:start w:val="1"/>
      <w:numFmt w:val="lowerLetter"/>
      <w:lvlText w:val="%2."/>
      <w:lvlJc w:val="left"/>
      <w:pPr>
        <w:ind w:left="1440" w:hanging="360"/>
      </w:pPr>
    </w:lvl>
    <w:lvl w:ilvl="2" w:tplc="64F0EBC4" w:tentative="1">
      <w:start w:val="1"/>
      <w:numFmt w:val="lowerRoman"/>
      <w:lvlText w:val="%3."/>
      <w:lvlJc w:val="right"/>
      <w:pPr>
        <w:ind w:left="2160" w:hanging="180"/>
      </w:pPr>
    </w:lvl>
    <w:lvl w:ilvl="3" w:tplc="6FC8A7BA" w:tentative="1">
      <w:start w:val="1"/>
      <w:numFmt w:val="decimal"/>
      <w:lvlText w:val="%4."/>
      <w:lvlJc w:val="left"/>
      <w:pPr>
        <w:ind w:left="2880" w:hanging="360"/>
      </w:pPr>
    </w:lvl>
    <w:lvl w:ilvl="4" w:tplc="22B0422C" w:tentative="1">
      <w:start w:val="1"/>
      <w:numFmt w:val="lowerLetter"/>
      <w:lvlText w:val="%5."/>
      <w:lvlJc w:val="left"/>
      <w:pPr>
        <w:ind w:left="3600" w:hanging="360"/>
      </w:pPr>
    </w:lvl>
    <w:lvl w:ilvl="5" w:tplc="18DE3EC8" w:tentative="1">
      <w:start w:val="1"/>
      <w:numFmt w:val="lowerRoman"/>
      <w:lvlText w:val="%6."/>
      <w:lvlJc w:val="right"/>
      <w:pPr>
        <w:ind w:left="4320" w:hanging="180"/>
      </w:pPr>
    </w:lvl>
    <w:lvl w:ilvl="6" w:tplc="FBC2E954" w:tentative="1">
      <w:start w:val="1"/>
      <w:numFmt w:val="decimal"/>
      <w:lvlText w:val="%7."/>
      <w:lvlJc w:val="left"/>
      <w:pPr>
        <w:ind w:left="5040" w:hanging="360"/>
      </w:pPr>
    </w:lvl>
    <w:lvl w:ilvl="7" w:tplc="D7EAB432" w:tentative="1">
      <w:start w:val="1"/>
      <w:numFmt w:val="lowerLetter"/>
      <w:lvlText w:val="%8."/>
      <w:lvlJc w:val="left"/>
      <w:pPr>
        <w:ind w:left="5760" w:hanging="360"/>
      </w:pPr>
    </w:lvl>
    <w:lvl w:ilvl="8" w:tplc="7E98EBDA" w:tentative="1">
      <w:start w:val="1"/>
      <w:numFmt w:val="lowerRoman"/>
      <w:lvlText w:val="%9."/>
      <w:lvlJc w:val="right"/>
      <w:pPr>
        <w:ind w:left="6480" w:hanging="180"/>
      </w:pPr>
    </w:lvl>
  </w:abstractNum>
  <w:abstractNum w:abstractNumId="2">
    <w:nsid w:val="00B72C42"/>
    <w:multiLevelType w:val="hybridMultilevel"/>
    <w:tmpl w:val="784673E4"/>
    <w:lvl w:ilvl="0" w:tplc="7D06CD92">
      <w:start w:val="1"/>
      <w:numFmt w:val="lowerLetter"/>
      <w:lvlText w:val="%1)"/>
      <w:lvlJc w:val="left"/>
      <w:pPr>
        <w:ind w:left="720" w:hanging="360"/>
      </w:pPr>
      <w:rPr>
        <w:rFonts w:hint="default"/>
      </w:rPr>
    </w:lvl>
    <w:lvl w:ilvl="1" w:tplc="F74A73FA" w:tentative="1">
      <w:start w:val="1"/>
      <w:numFmt w:val="lowerLetter"/>
      <w:lvlText w:val="%2."/>
      <w:lvlJc w:val="left"/>
      <w:pPr>
        <w:ind w:left="1440" w:hanging="360"/>
      </w:pPr>
    </w:lvl>
    <w:lvl w:ilvl="2" w:tplc="D338B748" w:tentative="1">
      <w:start w:val="1"/>
      <w:numFmt w:val="lowerRoman"/>
      <w:lvlText w:val="%3."/>
      <w:lvlJc w:val="right"/>
      <w:pPr>
        <w:ind w:left="2160" w:hanging="180"/>
      </w:pPr>
    </w:lvl>
    <w:lvl w:ilvl="3" w:tplc="DCC40FC2" w:tentative="1">
      <w:start w:val="1"/>
      <w:numFmt w:val="decimal"/>
      <w:lvlText w:val="%4."/>
      <w:lvlJc w:val="left"/>
      <w:pPr>
        <w:ind w:left="2880" w:hanging="360"/>
      </w:pPr>
    </w:lvl>
    <w:lvl w:ilvl="4" w:tplc="091E1C22" w:tentative="1">
      <w:start w:val="1"/>
      <w:numFmt w:val="lowerLetter"/>
      <w:lvlText w:val="%5."/>
      <w:lvlJc w:val="left"/>
      <w:pPr>
        <w:ind w:left="3600" w:hanging="360"/>
      </w:pPr>
    </w:lvl>
    <w:lvl w:ilvl="5" w:tplc="BB009170" w:tentative="1">
      <w:start w:val="1"/>
      <w:numFmt w:val="lowerRoman"/>
      <w:lvlText w:val="%6."/>
      <w:lvlJc w:val="right"/>
      <w:pPr>
        <w:ind w:left="4320" w:hanging="180"/>
      </w:pPr>
    </w:lvl>
    <w:lvl w:ilvl="6" w:tplc="0BDEC294" w:tentative="1">
      <w:start w:val="1"/>
      <w:numFmt w:val="decimal"/>
      <w:lvlText w:val="%7."/>
      <w:lvlJc w:val="left"/>
      <w:pPr>
        <w:ind w:left="5040" w:hanging="360"/>
      </w:pPr>
    </w:lvl>
    <w:lvl w:ilvl="7" w:tplc="5F104D30" w:tentative="1">
      <w:start w:val="1"/>
      <w:numFmt w:val="lowerLetter"/>
      <w:lvlText w:val="%8."/>
      <w:lvlJc w:val="left"/>
      <w:pPr>
        <w:ind w:left="5760" w:hanging="360"/>
      </w:pPr>
    </w:lvl>
    <w:lvl w:ilvl="8" w:tplc="89C2598C" w:tentative="1">
      <w:start w:val="1"/>
      <w:numFmt w:val="lowerRoman"/>
      <w:lvlText w:val="%9."/>
      <w:lvlJc w:val="right"/>
      <w:pPr>
        <w:ind w:left="6480" w:hanging="180"/>
      </w:pPr>
    </w:lvl>
  </w:abstractNum>
  <w:abstractNum w:abstractNumId="3">
    <w:nsid w:val="01BA78A1"/>
    <w:multiLevelType w:val="hybridMultilevel"/>
    <w:tmpl w:val="01020A5C"/>
    <w:lvl w:ilvl="0" w:tplc="EC32DBA6">
      <w:start w:val="1"/>
      <w:numFmt w:val="bullet"/>
      <w:lvlText w:val=""/>
      <w:lvlJc w:val="left"/>
      <w:pPr>
        <w:ind w:left="720" w:hanging="360"/>
      </w:pPr>
      <w:rPr>
        <w:rFonts w:ascii="Symbol" w:hAnsi="Symbol" w:hint="default"/>
      </w:rPr>
    </w:lvl>
    <w:lvl w:ilvl="1" w:tplc="316661EA" w:tentative="1">
      <w:start w:val="1"/>
      <w:numFmt w:val="bullet"/>
      <w:lvlText w:val="o"/>
      <w:lvlJc w:val="left"/>
      <w:pPr>
        <w:ind w:left="1440" w:hanging="360"/>
      </w:pPr>
      <w:rPr>
        <w:rFonts w:ascii="Courier New" w:hAnsi="Courier New" w:cs="Courier New" w:hint="default"/>
      </w:rPr>
    </w:lvl>
    <w:lvl w:ilvl="2" w:tplc="AB820FF8" w:tentative="1">
      <w:start w:val="1"/>
      <w:numFmt w:val="bullet"/>
      <w:lvlText w:val=""/>
      <w:lvlJc w:val="left"/>
      <w:pPr>
        <w:ind w:left="2160" w:hanging="360"/>
      </w:pPr>
      <w:rPr>
        <w:rFonts w:ascii="Wingdings" w:hAnsi="Wingdings" w:hint="default"/>
      </w:rPr>
    </w:lvl>
    <w:lvl w:ilvl="3" w:tplc="0222233C" w:tentative="1">
      <w:start w:val="1"/>
      <w:numFmt w:val="bullet"/>
      <w:lvlText w:val=""/>
      <w:lvlJc w:val="left"/>
      <w:pPr>
        <w:ind w:left="2880" w:hanging="360"/>
      </w:pPr>
      <w:rPr>
        <w:rFonts w:ascii="Symbol" w:hAnsi="Symbol" w:hint="default"/>
      </w:rPr>
    </w:lvl>
    <w:lvl w:ilvl="4" w:tplc="195AE318" w:tentative="1">
      <w:start w:val="1"/>
      <w:numFmt w:val="bullet"/>
      <w:lvlText w:val="o"/>
      <w:lvlJc w:val="left"/>
      <w:pPr>
        <w:ind w:left="3600" w:hanging="360"/>
      </w:pPr>
      <w:rPr>
        <w:rFonts w:ascii="Courier New" w:hAnsi="Courier New" w:cs="Courier New" w:hint="default"/>
      </w:rPr>
    </w:lvl>
    <w:lvl w:ilvl="5" w:tplc="B142BDD2" w:tentative="1">
      <w:start w:val="1"/>
      <w:numFmt w:val="bullet"/>
      <w:lvlText w:val=""/>
      <w:lvlJc w:val="left"/>
      <w:pPr>
        <w:ind w:left="4320" w:hanging="360"/>
      </w:pPr>
      <w:rPr>
        <w:rFonts w:ascii="Wingdings" w:hAnsi="Wingdings" w:hint="default"/>
      </w:rPr>
    </w:lvl>
    <w:lvl w:ilvl="6" w:tplc="DAB022D0" w:tentative="1">
      <w:start w:val="1"/>
      <w:numFmt w:val="bullet"/>
      <w:lvlText w:val=""/>
      <w:lvlJc w:val="left"/>
      <w:pPr>
        <w:ind w:left="5040" w:hanging="360"/>
      </w:pPr>
      <w:rPr>
        <w:rFonts w:ascii="Symbol" w:hAnsi="Symbol" w:hint="default"/>
      </w:rPr>
    </w:lvl>
    <w:lvl w:ilvl="7" w:tplc="D7EE7932" w:tentative="1">
      <w:start w:val="1"/>
      <w:numFmt w:val="bullet"/>
      <w:lvlText w:val="o"/>
      <w:lvlJc w:val="left"/>
      <w:pPr>
        <w:ind w:left="5760" w:hanging="360"/>
      </w:pPr>
      <w:rPr>
        <w:rFonts w:ascii="Courier New" w:hAnsi="Courier New" w:cs="Courier New" w:hint="default"/>
      </w:rPr>
    </w:lvl>
    <w:lvl w:ilvl="8" w:tplc="DA069428" w:tentative="1">
      <w:start w:val="1"/>
      <w:numFmt w:val="bullet"/>
      <w:lvlText w:val=""/>
      <w:lvlJc w:val="left"/>
      <w:pPr>
        <w:ind w:left="6480" w:hanging="360"/>
      </w:pPr>
      <w:rPr>
        <w:rFonts w:ascii="Wingdings" w:hAnsi="Wingdings" w:hint="default"/>
      </w:rPr>
    </w:lvl>
  </w:abstractNum>
  <w:abstractNum w:abstractNumId="4">
    <w:nsid w:val="0CF673D8"/>
    <w:multiLevelType w:val="hybridMultilevel"/>
    <w:tmpl w:val="E0B28BEC"/>
    <w:lvl w:ilvl="0" w:tplc="F628F87A">
      <w:start w:val="1"/>
      <w:numFmt w:val="bullet"/>
      <w:lvlText w:val="-"/>
      <w:lvlJc w:val="left"/>
      <w:pPr>
        <w:ind w:left="720" w:hanging="360"/>
      </w:pPr>
      <w:rPr>
        <w:rFonts w:ascii="Calibri" w:eastAsiaTheme="minorHAnsi" w:hAnsi="Calibri" w:cstheme="minorBidi" w:hint="default"/>
      </w:rPr>
    </w:lvl>
    <w:lvl w:ilvl="1" w:tplc="FF5E3FF6" w:tentative="1">
      <w:start w:val="1"/>
      <w:numFmt w:val="bullet"/>
      <w:lvlText w:val="o"/>
      <w:lvlJc w:val="left"/>
      <w:pPr>
        <w:ind w:left="1440" w:hanging="360"/>
      </w:pPr>
      <w:rPr>
        <w:rFonts w:ascii="Courier New" w:hAnsi="Courier New" w:cs="Courier New" w:hint="default"/>
      </w:rPr>
    </w:lvl>
    <w:lvl w:ilvl="2" w:tplc="1D0257AA" w:tentative="1">
      <w:start w:val="1"/>
      <w:numFmt w:val="bullet"/>
      <w:lvlText w:val=""/>
      <w:lvlJc w:val="left"/>
      <w:pPr>
        <w:ind w:left="2160" w:hanging="360"/>
      </w:pPr>
      <w:rPr>
        <w:rFonts w:ascii="Wingdings" w:hAnsi="Wingdings" w:hint="default"/>
      </w:rPr>
    </w:lvl>
    <w:lvl w:ilvl="3" w:tplc="76BC8E34" w:tentative="1">
      <w:start w:val="1"/>
      <w:numFmt w:val="bullet"/>
      <w:lvlText w:val=""/>
      <w:lvlJc w:val="left"/>
      <w:pPr>
        <w:ind w:left="2880" w:hanging="360"/>
      </w:pPr>
      <w:rPr>
        <w:rFonts w:ascii="Symbol" w:hAnsi="Symbol" w:hint="default"/>
      </w:rPr>
    </w:lvl>
    <w:lvl w:ilvl="4" w:tplc="0426765E" w:tentative="1">
      <w:start w:val="1"/>
      <w:numFmt w:val="bullet"/>
      <w:lvlText w:val="o"/>
      <w:lvlJc w:val="left"/>
      <w:pPr>
        <w:ind w:left="3600" w:hanging="360"/>
      </w:pPr>
      <w:rPr>
        <w:rFonts w:ascii="Courier New" w:hAnsi="Courier New" w:cs="Courier New" w:hint="default"/>
      </w:rPr>
    </w:lvl>
    <w:lvl w:ilvl="5" w:tplc="70225C04" w:tentative="1">
      <w:start w:val="1"/>
      <w:numFmt w:val="bullet"/>
      <w:lvlText w:val=""/>
      <w:lvlJc w:val="left"/>
      <w:pPr>
        <w:ind w:left="4320" w:hanging="360"/>
      </w:pPr>
      <w:rPr>
        <w:rFonts w:ascii="Wingdings" w:hAnsi="Wingdings" w:hint="default"/>
      </w:rPr>
    </w:lvl>
    <w:lvl w:ilvl="6" w:tplc="7A72F7E4" w:tentative="1">
      <w:start w:val="1"/>
      <w:numFmt w:val="bullet"/>
      <w:lvlText w:val=""/>
      <w:lvlJc w:val="left"/>
      <w:pPr>
        <w:ind w:left="5040" w:hanging="360"/>
      </w:pPr>
      <w:rPr>
        <w:rFonts w:ascii="Symbol" w:hAnsi="Symbol" w:hint="default"/>
      </w:rPr>
    </w:lvl>
    <w:lvl w:ilvl="7" w:tplc="8A9623E4" w:tentative="1">
      <w:start w:val="1"/>
      <w:numFmt w:val="bullet"/>
      <w:lvlText w:val="o"/>
      <w:lvlJc w:val="left"/>
      <w:pPr>
        <w:ind w:left="5760" w:hanging="360"/>
      </w:pPr>
      <w:rPr>
        <w:rFonts w:ascii="Courier New" w:hAnsi="Courier New" w:cs="Courier New" w:hint="default"/>
      </w:rPr>
    </w:lvl>
    <w:lvl w:ilvl="8" w:tplc="4AAACC7C" w:tentative="1">
      <w:start w:val="1"/>
      <w:numFmt w:val="bullet"/>
      <w:lvlText w:val=""/>
      <w:lvlJc w:val="left"/>
      <w:pPr>
        <w:ind w:left="6480" w:hanging="360"/>
      </w:pPr>
      <w:rPr>
        <w:rFonts w:ascii="Wingdings" w:hAnsi="Wingdings" w:hint="default"/>
      </w:rPr>
    </w:lvl>
  </w:abstractNum>
  <w:abstractNum w:abstractNumId="5">
    <w:nsid w:val="12FB5AD9"/>
    <w:multiLevelType w:val="multilevel"/>
    <w:tmpl w:val="04050021"/>
    <w:styleLink w:val="Styl1"/>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6">
    <w:nsid w:val="15C27052"/>
    <w:multiLevelType w:val="hybridMultilevel"/>
    <w:tmpl w:val="90DCEDBC"/>
    <w:lvl w:ilvl="0" w:tplc="D7B27888">
      <w:start w:val="1"/>
      <w:numFmt w:val="bullet"/>
      <w:lvlText w:val=""/>
      <w:lvlJc w:val="left"/>
      <w:pPr>
        <w:ind w:left="720" w:hanging="360"/>
      </w:pPr>
      <w:rPr>
        <w:rFonts w:ascii="Symbol" w:hAnsi="Symbol" w:hint="default"/>
      </w:rPr>
    </w:lvl>
    <w:lvl w:ilvl="1" w:tplc="80969064" w:tentative="1">
      <w:start w:val="1"/>
      <w:numFmt w:val="bullet"/>
      <w:lvlText w:val="o"/>
      <w:lvlJc w:val="left"/>
      <w:pPr>
        <w:ind w:left="1440" w:hanging="360"/>
      </w:pPr>
      <w:rPr>
        <w:rFonts w:ascii="Courier New" w:hAnsi="Courier New" w:cs="Courier New" w:hint="default"/>
      </w:rPr>
    </w:lvl>
    <w:lvl w:ilvl="2" w:tplc="E856B130" w:tentative="1">
      <w:start w:val="1"/>
      <w:numFmt w:val="bullet"/>
      <w:lvlText w:val=""/>
      <w:lvlJc w:val="left"/>
      <w:pPr>
        <w:ind w:left="2160" w:hanging="360"/>
      </w:pPr>
      <w:rPr>
        <w:rFonts w:ascii="Wingdings" w:hAnsi="Wingdings" w:hint="default"/>
      </w:rPr>
    </w:lvl>
    <w:lvl w:ilvl="3" w:tplc="FC2AA356" w:tentative="1">
      <w:start w:val="1"/>
      <w:numFmt w:val="bullet"/>
      <w:lvlText w:val=""/>
      <w:lvlJc w:val="left"/>
      <w:pPr>
        <w:ind w:left="2880" w:hanging="360"/>
      </w:pPr>
      <w:rPr>
        <w:rFonts w:ascii="Symbol" w:hAnsi="Symbol" w:hint="default"/>
      </w:rPr>
    </w:lvl>
    <w:lvl w:ilvl="4" w:tplc="8EC8304A" w:tentative="1">
      <w:start w:val="1"/>
      <w:numFmt w:val="bullet"/>
      <w:lvlText w:val="o"/>
      <w:lvlJc w:val="left"/>
      <w:pPr>
        <w:ind w:left="3600" w:hanging="360"/>
      </w:pPr>
      <w:rPr>
        <w:rFonts w:ascii="Courier New" w:hAnsi="Courier New" w:cs="Courier New" w:hint="default"/>
      </w:rPr>
    </w:lvl>
    <w:lvl w:ilvl="5" w:tplc="0CB61908" w:tentative="1">
      <w:start w:val="1"/>
      <w:numFmt w:val="bullet"/>
      <w:lvlText w:val=""/>
      <w:lvlJc w:val="left"/>
      <w:pPr>
        <w:ind w:left="4320" w:hanging="360"/>
      </w:pPr>
      <w:rPr>
        <w:rFonts w:ascii="Wingdings" w:hAnsi="Wingdings" w:hint="default"/>
      </w:rPr>
    </w:lvl>
    <w:lvl w:ilvl="6" w:tplc="876A6A1E" w:tentative="1">
      <w:start w:val="1"/>
      <w:numFmt w:val="bullet"/>
      <w:lvlText w:val=""/>
      <w:lvlJc w:val="left"/>
      <w:pPr>
        <w:ind w:left="5040" w:hanging="360"/>
      </w:pPr>
      <w:rPr>
        <w:rFonts w:ascii="Symbol" w:hAnsi="Symbol" w:hint="default"/>
      </w:rPr>
    </w:lvl>
    <w:lvl w:ilvl="7" w:tplc="57DC0D5E" w:tentative="1">
      <w:start w:val="1"/>
      <w:numFmt w:val="bullet"/>
      <w:lvlText w:val="o"/>
      <w:lvlJc w:val="left"/>
      <w:pPr>
        <w:ind w:left="5760" w:hanging="360"/>
      </w:pPr>
      <w:rPr>
        <w:rFonts w:ascii="Courier New" w:hAnsi="Courier New" w:cs="Courier New" w:hint="default"/>
      </w:rPr>
    </w:lvl>
    <w:lvl w:ilvl="8" w:tplc="41C8219C" w:tentative="1">
      <w:start w:val="1"/>
      <w:numFmt w:val="bullet"/>
      <w:lvlText w:val=""/>
      <w:lvlJc w:val="left"/>
      <w:pPr>
        <w:ind w:left="6480" w:hanging="360"/>
      </w:pPr>
      <w:rPr>
        <w:rFonts w:ascii="Wingdings" w:hAnsi="Wingdings" w:hint="default"/>
      </w:rPr>
    </w:lvl>
  </w:abstractNum>
  <w:abstractNum w:abstractNumId="7">
    <w:nsid w:val="176A7E69"/>
    <w:multiLevelType w:val="hybridMultilevel"/>
    <w:tmpl w:val="44B8D9BA"/>
    <w:lvl w:ilvl="0" w:tplc="3D462022">
      <w:numFmt w:val="bullet"/>
      <w:lvlText w:val="-"/>
      <w:lvlJc w:val="left"/>
      <w:pPr>
        <w:ind w:left="720" w:hanging="360"/>
      </w:pPr>
      <w:rPr>
        <w:rFonts w:ascii="Calibri" w:eastAsia="Times New Roman" w:hAnsi="Calibri" w:cs="Times New Roman" w:hint="default"/>
      </w:rPr>
    </w:lvl>
    <w:lvl w:ilvl="1" w:tplc="2B826968" w:tentative="1">
      <w:start w:val="1"/>
      <w:numFmt w:val="bullet"/>
      <w:lvlText w:val="o"/>
      <w:lvlJc w:val="left"/>
      <w:pPr>
        <w:ind w:left="1440" w:hanging="360"/>
      </w:pPr>
      <w:rPr>
        <w:rFonts w:ascii="Courier New" w:hAnsi="Courier New" w:cs="Courier New" w:hint="default"/>
      </w:rPr>
    </w:lvl>
    <w:lvl w:ilvl="2" w:tplc="226286FE" w:tentative="1">
      <w:start w:val="1"/>
      <w:numFmt w:val="bullet"/>
      <w:lvlText w:val=""/>
      <w:lvlJc w:val="left"/>
      <w:pPr>
        <w:ind w:left="2160" w:hanging="360"/>
      </w:pPr>
      <w:rPr>
        <w:rFonts w:ascii="Wingdings" w:hAnsi="Wingdings" w:hint="default"/>
      </w:rPr>
    </w:lvl>
    <w:lvl w:ilvl="3" w:tplc="48FA050E" w:tentative="1">
      <w:start w:val="1"/>
      <w:numFmt w:val="bullet"/>
      <w:lvlText w:val=""/>
      <w:lvlJc w:val="left"/>
      <w:pPr>
        <w:ind w:left="2880" w:hanging="360"/>
      </w:pPr>
      <w:rPr>
        <w:rFonts w:ascii="Symbol" w:hAnsi="Symbol" w:hint="default"/>
      </w:rPr>
    </w:lvl>
    <w:lvl w:ilvl="4" w:tplc="44C460EC" w:tentative="1">
      <w:start w:val="1"/>
      <w:numFmt w:val="bullet"/>
      <w:lvlText w:val="o"/>
      <w:lvlJc w:val="left"/>
      <w:pPr>
        <w:ind w:left="3600" w:hanging="360"/>
      </w:pPr>
      <w:rPr>
        <w:rFonts w:ascii="Courier New" w:hAnsi="Courier New" w:cs="Courier New" w:hint="default"/>
      </w:rPr>
    </w:lvl>
    <w:lvl w:ilvl="5" w:tplc="9800D426" w:tentative="1">
      <w:start w:val="1"/>
      <w:numFmt w:val="bullet"/>
      <w:lvlText w:val=""/>
      <w:lvlJc w:val="left"/>
      <w:pPr>
        <w:ind w:left="4320" w:hanging="360"/>
      </w:pPr>
      <w:rPr>
        <w:rFonts w:ascii="Wingdings" w:hAnsi="Wingdings" w:hint="default"/>
      </w:rPr>
    </w:lvl>
    <w:lvl w:ilvl="6" w:tplc="63925890" w:tentative="1">
      <w:start w:val="1"/>
      <w:numFmt w:val="bullet"/>
      <w:lvlText w:val=""/>
      <w:lvlJc w:val="left"/>
      <w:pPr>
        <w:ind w:left="5040" w:hanging="360"/>
      </w:pPr>
      <w:rPr>
        <w:rFonts w:ascii="Symbol" w:hAnsi="Symbol" w:hint="default"/>
      </w:rPr>
    </w:lvl>
    <w:lvl w:ilvl="7" w:tplc="E842E2F6" w:tentative="1">
      <w:start w:val="1"/>
      <w:numFmt w:val="bullet"/>
      <w:lvlText w:val="o"/>
      <w:lvlJc w:val="left"/>
      <w:pPr>
        <w:ind w:left="5760" w:hanging="360"/>
      </w:pPr>
      <w:rPr>
        <w:rFonts w:ascii="Courier New" w:hAnsi="Courier New" w:cs="Courier New" w:hint="default"/>
      </w:rPr>
    </w:lvl>
    <w:lvl w:ilvl="8" w:tplc="965A7E32" w:tentative="1">
      <w:start w:val="1"/>
      <w:numFmt w:val="bullet"/>
      <w:lvlText w:val=""/>
      <w:lvlJc w:val="left"/>
      <w:pPr>
        <w:ind w:left="6480" w:hanging="360"/>
      </w:pPr>
      <w:rPr>
        <w:rFonts w:ascii="Wingdings" w:hAnsi="Wingdings" w:hint="default"/>
      </w:rPr>
    </w:lvl>
  </w:abstractNum>
  <w:abstractNum w:abstractNumId="8">
    <w:nsid w:val="1A835C14"/>
    <w:multiLevelType w:val="hybridMultilevel"/>
    <w:tmpl w:val="B0CAAF98"/>
    <w:lvl w:ilvl="0" w:tplc="BC5EEB82">
      <w:start w:val="1"/>
      <w:numFmt w:val="decimal"/>
      <w:lvlText w:val="%1."/>
      <w:lvlJc w:val="left"/>
      <w:pPr>
        <w:ind w:left="720" w:hanging="360"/>
      </w:pPr>
    </w:lvl>
    <w:lvl w:ilvl="1" w:tplc="5CB64ED2" w:tentative="1">
      <w:start w:val="1"/>
      <w:numFmt w:val="lowerLetter"/>
      <w:lvlText w:val="%2."/>
      <w:lvlJc w:val="left"/>
      <w:pPr>
        <w:ind w:left="1440" w:hanging="360"/>
      </w:pPr>
    </w:lvl>
    <w:lvl w:ilvl="2" w:tplc="3DD6B00E" w:tentative="1">
      <w:start w:val="1"/>
      <w:numFmt w:val="lowerRoman"/>
      <w:lvlText w:val="%3."/>
      <w:lvlJc w:val="right"/>
      <w:pPr>
        <w:ind w:left="2160" w:hanging="180"/>
      </w:pPr>
    </w:lvl>
    <w:lvl w:ilvl="3" w:tplc="B7CCBF9A" w:tentative="1">
      <w:start w:val="1"/>
      <w:numFmt w:val="decimal"/>
      <w:lvlText w:val="%4."/>
      <w:lvlJc w:val="left"/>
      <w:pPr>
        <w:ind w:left="2880" w:hanging="360"/>
      </w:pPr>
    </w:lvl>
    <w:lvl w:ilvl="4" w:tplc="0EC6275E" w:tentative="1">
      <w:start w:val="1"/>
      <w:numFmt w:val="lowerLetter"/>
      <w:lvlText w:val="%5."/>
      <w:lvlJc w:val="left"/>
      <w:pPr>
        <w:ind w:left="3600" w:hanging="360"/>
      </w:pPr>
    </w:lvl>
    <w:lvl w:ilvl="5" w:tplc="8668B0D4" w:tentative="1">
      <w:start w:val="1"/>
      <w:numFmt w:val="lowerRoman"/>
      <w:lvlText w:val="%6."/>
      <w:lvlJc w:val="right"/>
      <w:pPr>
        <w:ind w:left="4320" w:hanging="180"/>
      </w:pPr>
    </w:lvl>
    <w:lvl w:ilvl="6" w:tplc="2A18259E" w:tentative="1">
      <w:start w:val="1"/>
      <w:numFmt w:val="decimal"/>
      <w:lvlText w:val="%7."/>
      <w:lvlJc w:val="left"/>
      <w:pPr>
        <w:ind w:left="5040" w:hanging="360"/>
      </w:pPr>
    </w:lvl>
    <w:lvl w:ilvl="7" w:tplc="7C8698FA" w:tentative="1">
      <w:start w:val="1"/>
      <w:numFmt w:val="lowerLetter"/>
      <w:lvlText w:val="%8."/>
      <w:lvlJc w:val="left"/>
      <w:pPr>
        <w:ind w:left="5760" w:hanging="360"/>
      </w:pPr>
    </w:lvl>
    <w:lvl w:ilvl="8" w:tplc="42E0F2A4" w:tentative="1">
      <w:start w:val="1"/>
      <w:numFmt w:val="lowerRoman"/>
      <w:lvlText w:val="%9."/>
      <w:lvlJc w:val="right"/>
      <w:pPr>
        <w:ind w:left="6480" w:hanging="180"/>
      </w:pPr>
    </w:lvl>
  </w:abstractNum>
  <w:abstractNum w:abstractNumId="9">
    <w:nsid w:val="1E090181"/>
    <w:multiLevelType w:val="hybridMultilevel"/>
    <w:tmpl w:val="B036912A"/>
    <w:lvl w:ilvl="0" w:tplc="1C622E94">
      <w:start w:val="1"/>
      <w:numFmt w:val="bullet"/>
      <w:lvlText w:val=""/>
      <w:lvlJc w:val="left"/>
      <w:pPr>
        <w:ind w:left="1080" w:hanging="360"/>
      </w:pPr>
      <w:rPr>
        <w:rFonts w:ascii="Symbol" w:hAnsi="Symbol" w:hint="default"/>
      </w:rPr>
    </w:lvl>
    <w:lvl w:ilvl="1" w:tplc="6B1A5AF4" w:tentative="1">
      <w:start w:val="1"/>
      <w:numFmt w:val="bullet"/>
      <w:lvlText w:val="o"/>
      <w:lvlJc w:val="left"/>
      <w:pPr>
        <w:ind w:left="1800" w:hanging="360"/>
      </w:pPr>
      <w:rPr>
        <w:rFonts w:ascii="Courier New" w:hAnsi="Courier New" w:cs="Courier New" w:hint="default"/>
      </w:rPr>
    </w:lvl>
    <w:lvl w:ilvl="2" w:tplc="BF4C8274" w:tentative="1">
      <w:start w:val="1"/>
      <w:numFmt w:val="bullet"/>
      <w:lvlText w:val=""/>
      <w:lvlJc w:val="left"/>
      <w:pPr>
        <w:ind w:left="2520" w:hanging="360"/>
      </w:pPr>
      <w:rPr>
        <w:rFonts w:ascii="Wingdings" w:hAnsi="Wingdings" w:hint="default"/>
      </w:rPr>
    </w:lvl>
    <w:lvl w:ilvl="3" w:tplc="33546F9E" w:tentative="1">
      <w:start w:val="1"/>
      <w:numFmt w:val="bullet"/>
      <w:lvlText w:val=""/>
      <w:lvlJc w:val="left"/>
      <w:pPr>
        <w:ind w:left="3240" w:hanging="360"/>
      </w:pPr>
      <w:rPr>
        <w:rFonts w:ascii="Symbol" w:hAnsi="Symbol" w:hint="default"/>
      </w:rPr>
    </w:lvl>
    <w:lvl w:ilvl="4" w:tplc="7CA08E2A" w:tentative="1">
      <w:start w:val="1"/>
      <w:numFmt w:val="bullet"/>
      <w:lvlText w:val="o"/>
      <w:lvlJc w:val="left"/>
      <w:pPr>
        <w:ind w:left="3960" w:hanging="360"/>
      </w:pPr>
      <w:rPr>
        <w:rFonts w:ascii="Courier New" w:hAnsi="Courier New" w:cs="Courier New" w:hint="default"/>
      </w:rPr>
    </w:lvl>
    <w:lvl w:ilvl="5" w:tplc="59626BB4" w:tentative="1">
      <w:start w:val="1"/>
      <w:numFmt w:val="bullet"/>
      <w:lvlText w:val=""/>
      <w:lvlJc w:val="left"/>
      <w:pPr>
        <w:ind w:left="4680" w:hanging="360"/>
      </w:pPr>
      <w:rPr>
        <w:rFonts w:ascii="Wingdings" w:hAnsi="Wingdings" w:hint="default"/>
      </w:rPr>
    </w:lvl>
    <w:lvl w:ilvl="6" w:tplc="34C850CE" w:tentative="1">
      <w:start w:val="1"/>
      <w:numFmt w:val="bullet"/>
      <w:lvlText w:val=""/>
      <w:lvlJc w:val="left"/>
      <w:pPr>
        <w:ind w:left="5400" w:hanging="360"/>
      </w:pPr>
      <w:rPr>
        <w:rFonts w:ascii="Symbol" w:hAnsi="Symbol" w:hint="default"/>
      </w:rPr>
    </w:lvl>
    <w:lvl w:ilvl="7" w:tplc="83FCD360" w:tentative="1">
      <w:start w:val="1"/>
      <w:numFmt w:val="bullet"/>
      <w:lvlText w:val="o"/>
      <w:lvlJc w:val="left"/>
      <w:pPr>
        <w:ind w:left="6120" w:hanging="360"/>
      </w:pPr>
      <w:rPr>
        <w:rFonts w:ascii="Courier New" w:hAnsi="Courier New" w:cs="Courier New" w:hint="default"/>
      </w:rPr>
    </w:lvl>
    <w:lvl w:ilvl="8" w:tplc="B52CEF02" w:tentative="1">
      <w:start w:val="1"/>
      <w:numFmt w:val="bullet"/>
      <w:lvlText w:val=""/>
      <w:lvlJc w:val="left"/>
      <w:pPr>
        <w:ind w:left="6840" w:hanging="360"/>
      </w:pPr>
      <w:rPr>
        <w:rFonts w:ascii="Wingdings" w:hAnsi="Wingdings" w:hint="default"/>
      </w:rPr>
    </w:lvl>
  </w:abstractNum>
  <w:abstractNum w:abstractNumId="10">
    <w:nsid w:val="25AA242A"/>
    <w:multiLevelType w:val="hybridMultilevel"/>
    <w:tmpl w:val="325A1922"/>
    <w:lvl w:ilvl="0" w:tplc="3D5434DA">
      <w:start w:val="1"/>
      <w:numFmt w:val="bullet"/>
      <w:lvlText w:val=""/>
      <w:lvlJc w:val="left"/>
      <w:pPr>
        <w:ind w:left="720" w:hanging="360"/>
      </w:pPr>
      <w:rPr>
        <w:rFonts w:ascii="Symbol" w:hAnsi="Symbol" w:hint="default"/>
      </w:rPr>
    </w:lvl>
    <w:lvl w:ilvl="1" w:tplc="072C6680" w:tentative="1">
      <w:start w:val="1"/>
      <w:numFmt w:val="bullet"/>
      <w:lvlText w:val="o"/>
      <w:lvlJc w:val="left"/>
      <w:pPr>
        <w:ind w:left="1440" w:hanging="360"/>
      </w:pPr>
      <w:rPr>
        <w:rFonts w:ascii="Courier New" w:hAnsi="Courier New" w:cs="Courier New" w:hint="default"/>
      </w:rPr>
    </w:lvl>
    <w:lvl w:ilvl="2" w:tplc="A022BF5A" w:tentative="1">
      <w:start w:val="1"/>
      <w:numFmt w:val="bullet"/>
      <w:lvlText w:val=""/>
      <w:lvlJc w:val="left"/>
      <w:pPr>
        <w:ind w:left="2160" w:hanging="360"/>
      </w:pPr>
      <w:rPr>
        <w:rFonts w:ascii="Wingdings" w:hAnsi="Wingdings" w:hint="default"/>
      </w:rPr>
    </w:lvl>
    <w:lvl w:ilvl="3" w:tplc="7AD8529A" w:tentative="1">
      <w:start w:val="1"/>
      <w:numFmt w:val="bullet"/>
      <w:lvlText w:val=""/>
      <w:lvlJc w:val="left"/>
      <w:pPr>
        <w:ind w:left="2880" w:hanging="360"/>
      </w:pPr>
      <w:rPr>
        <w:rFonts w:ascii="Symbol" w:hAnsi="Symbol" w:hint="default"/>
      </w:rPr>
    </w:lvl>
    <w:lvl w:ilvl="4" w:tplc="3D069BCC" w:tentative="1">
      <w:start w:val="1"/>
      <w:numFmt w:val="bullet"/>
      <w:lvlText w:val="o"/>
      <w:lvlJc w:val="left"/>
      <w:pPr>
        <w:ind w:left="3600" w:hanging="360"/>
      </w:pPr>
      <w:rPr>
        <w:rFonts w:ascii="Courier New" w:hAnsi="Courier New" w:cs="Courier New" w:hint="default"/>
      </w:rPr>
    </w:lvl>
    <w:lvl w:ilvl="5" w:tplc="5FCC7600" w:tentative="1">
      <w:start w:val="1"/>
      <w:numFmt w:val="bullet"/>
      <w:lvlText w:val=""/>
      <w:lvlJc w:val="left"/>
      <w:pPr>
        <w:ind w:left="4320" w:hanging="360"/>
      </w:pPr>
      <w:rPr>
        <w:rFonts w:ascii="Wingdings" w:hAnsi="Wingdings" w:hint="default"/>
      </w:rPr>
    </w:lvl>
    <w:lvl w:ilvl="6" w:tplc="780AA138" w:tentative="1">
      <w:start w:val="1"/>
      <w:numFmt w:val="bullet"/>
      <w:lvlText w:val=""/>
      <w:lvlJc w:val="left"/>
      <w:pPr>
        <w:ind w:left="5040" w:hanging="360"/>
      </w:pPr>
      <w:rPr>
        <w:rFonts w:ascii="Symbol" w:hAnsi="Symbol" w:hint="default"/>
      </w:rPr>
    </w:lvl>
    <w:lvl w:ilvl="7" w:tplc="84F89A3E" w:tentative="1">
      <w:start w:val="1"/>
      <w:numFmt w:val="bullet"/>
      <w:lvlText w:val="o"/>
      <w:lvlJc w:val="left"/>
      <w:pPr>
        <w:ind w:left="5760" w:hanging="360"/>
      </w:pPr>
      <w:rPr>
        <w:rFonts w:ascii="Courier New" w:hAnsi="Courier New" w:cs="Courier New" w:hint="default"/>
      </w:rPr>
    </w:lvl>
    <w:lvl w:ilvl="8" w:tplc="A71412EA" w:tentative="1">
      <w:start w:val="1"/>
      <w:numFmt w:val="bullet"/>
      <w:lvlText w:val=""/>
      <w:lvlJc w:val="left"/>
      <w:pPr>
        <w:ind w:left="6480" w:hanging="360"/>
      </w:pPr>
      <w:rPr>
        <w:rFonts w:ascii="Wingdings" w:hAnsi="Wingdings" w:hint="default"/>
      </w:rPr>
    </w:lvl>
  </w:abstractNum>
  <w:abstractNum w:abstractNumId="11">
    <w:nsid w:val="2D69431B"/>
    <w:multiLevelType w:val="hybridMultilevel"/>
    <w:tmpl w:val="29169134"/>
    <w:lvl w:ilvl="0" w:tplc="DDD278BE">
      <w:start w:val="1"/>
      <w:numFmt w:val="bullet"/>
      <w:lvlText w:val=""/>
      <w:lvlJc w:val="left"/>
      <w:pPr>
        <w:ind w:left="720" w:hanging="360"/>
      </w:pPr>
      <w:rPr>
        <w:rFonts w:ascii="Symbol" w:hAnsi="Symbol" w:hint="default"/>
      </w:rPr>
    </w:lvl>
    <w:lvl w:ilvl="1" w:tplc="9AA08FF2" w:tentative="1">
      <w:start w:val="1"/>
      <w:numFmt w:val="bullet"/>
      <w:lvlText w:val="o"/>
      <w:lvlJc w:val="left"/>
      <w:pPr>
        <w:ind w:left="1440" w:hanging="360"/>
      </w:pPr>
      <w:rPr>
        <w:rFonts w:ascii="Courier New" w:hAnsi="Courier New" w:cs="Courier New" w:hint="default"/>
      </w:rPr>
    </w:lvl>
    <w:lvl w:ilvl="2" w:tplc="C994F136" w:tentative="1">
      <w:start w:val="1"/>
      <w:numFmt w:val="bullet"/>
      <w:lvlText w:val=""/>
      <w:lvlJc w:val="left"/>
      <w:pPr>
        <w:ind w:left="2160" w:hanging="360"/>
      </w:pPr>
      <w:rPr>
        <w:rFonts w:ascii="Wingdings" w:hAnsi="Wingdings" w:hint="default"/>
      </w:rPr>
    </w:lvl>
    <w:lvl w:ilvl="3" w:tplc="37063174" w:tentative="1">
      <w:start w:val="1"/>
      <w:numFmt w:val="bullet"/>
      <w:lvlText w:val=""/>
      <w:lvlJc w:val="left"/>
      <w:pPr>
        <w:ind w:left="2880" w:hanging="360"/>
      </w:pPr>
      <w:rPr>
        <w:rFonts w:ascii="Symbol" w:hAnsi="Symbol" w:hint="default"/>
      </w:rPr>
    </w:lvl>
    <w:lvl w:ilvl="4" w:tplc="83224D7C" w:tentative="1">
      <w:start w:val="1"/>
      <w:numFmt w:val="bullet"/>
      <w:lvlText w:val="o"/>
      <w:lvlJc w:val="left"/>
      <w:pPr>
        <w:ind w:left="3600" w:hanging="360"/>
      </w:pPr>
      <w:rPr>
        <w:rFonts w:ascii="Courier New" w:hAnsi="Courier New" w:cs="Courier New" w:hint="default"/>
      </w:rPr>
    </w:lvl>
    <w:lvl w:ilvl="5" w:tplc="FCE0B212" w:tentative="1">
      <w:start w:val="1"/>
      <w:numFmt w:val="bullet"/>
      <w:lvlText w:val=""/>
      <w:lvlJc w:val="left"/>
      <w:pPr>
        <w:ind w:left="4320" w:hanging="360"/>
      </w:pPr>
      <w:rPr>
        <w:rFonts w:ascii="Wingdings" w:hAnsi="Wingdings" w:hint="default"/>
      </w:rPr>
    </w:lvl>
    <w:lvl w:ilvl="6" w:tplc="D848FA4C" w:tentative="1">
      <w:start w:val="1"/>
      <w:numFmt w:val="bullet"/>
      <w:lvlText w:val=""/>
      <w:lvlJc w:val="left"/>
      <w:pPr>
        <w:ind w:left="5040" w:hanging="360"/>
      </w:pPr>
      <w:rPr>
        <w:rFonts w:ascii="Symbol" w:hAnsi="Symbol" w:hint="default"/>
      </w:rPr>
    </w:lvl>
    <w:lvl w:ilvl="7" w:tplc="EB747790" w:tentative="1">
      <w:start w:val="1"/>
      <w:numFmt w:val="bullet"/>
      <w:lvlText w:val="o"/>
      <w:lvlJc w:val="left"/>
      <w:pPr>
        <w:ind w:left="5760" w:hanging="360"/>
      </w:pPr>
      <w:rPr>
        <w:rFonts w:ascii="Courier New" w:hAnsi="Courier New" w:cs="Courier New" w:hint="default"/>
      </w:rPr>
    </w:lvl>
    <w:lvl w:ilvl="8" w:tplc="505EA56E" w:tentative="1">
      <w:start w:val="1"/>
      <w:numFmt w:val="bullet"/>
      <w:lvlText w:val=""/>
      <w:lvlJc w:val="left"/>
      <w:pPr>
        <w:ind w:left="6480" w:hanging="360"/>
      </w:pPr>
      <w:rPr>
        <w:rFonts w:ascii="Wingdings" w:hAnsi="Wingdings" w:hint="default"/>
      </w:rPr>
    </w:lvl>
  </w:abstractNum>
  <w:abstractNum w:abstractNumId="12">
    <w:nsid w:val="3C327AA6"/>
    <w:multiLevelType w:val="hybridMultilevel"/>
    <w:tmpl w:val="F274E06C"/>
    <w:lvl w:ilvl="0" w:tplc="CB262FFA">
      <w:start w:val="1"/>
      <w:numFmt w:val="bullet"/>
      <w:lvlText w:val=""/>
      <w:lvlJc w:val="left"/>
      <w:pPr>
        <w:ind w:left="720" w:hanging="360"/>
      </w:pPr>
      <w:rPr>
        <w:rFonts w:ascii="Symbol" w:hAnsi="Symbol" w:hint="default"/>
      </w:rPr>
    </w:lvl>
    <w:lvl w:ilvl="1" w:tplc="10E4408C" w:tentative="1">
      <w:start w:val="1"/>
      <w:numFmt w:val="lowerLetter"/>
      <w:lvlText w:val="%2."/>
      <w:lvlJc w:val="left"/>
      <w:pPr>
        <w:ind w:left="1440" w:hanging="360"/>
      </w:pPr>
    </w:lvl>
    <w:lvl w:ilvl="2" w:tplc="A470DAE8" w:tentative="1">
      <w:start w:val="1"/>
      <w:numFmt w:val="lowerRoman"/>
      <w:lvlText w:val="%3."/>
      <w:lvlJc w:val="right"/>
      <w:pPr>
        <w:ind w:left="2160" w:hanging="180"/>
      </w:pPr>
    </w:lvl>
    <w:lvl w:ilvl="3" w:tplc="B51C92B4" w:tentative="1">
      <w:start w:val="1"/>
      <w:numFmt w:val="decimal"/>
      <w:lvlText w:val="%4."/>
      <w:lvlJc w:val="left"/>
      <w:pPr>
        <w:ind w:left="2880" w:hanging="360"/>
      </w:pPr>
    </w:lvl>
    <w:lvl w:ilvl="4" w:tplc="70EEE1CA" w:tentative="1">
      <w:start w:val="1"/>
      <w:numFmt w:val="lowerLetter"/>
      <w:lvlText w:val="%5."/>
      <w:lvlJc w:val="left"/>
      <w:pPr>
        <w:ind w:left="3600" w:hanging="360"/>
      </w:pPr>
    </w:lvl>
    <w:lvl w:ilvl="5" w:tplc="BE902A6E" w:tentative="1">
      <w:start w:val="1"/>
      <w:numFmt w:val="lowerRoman"/>
      <w:lvlText w:val="%6."/>
      <w:lvlJc w:val="right"/>
      <w:pPr>
        <w:ind w:left="4320" w:hanging="180"/>
      </w:pPr>
    </w:lvl>
    <w:lvl w:ilvl="6" w:tplc="1526AB76" w:tentative="1">
      <w:start w:val="1"/>
      <w:numFmt w:val="decimal"/>
      <w:lvlText w:val="%7."/>
      <w:lvlJc w:val="left"/>
      <w:pPr>
        <w:ind w:left="5040" w:hanging="360"/>
      </w:pPr>
    </w:lvl>
    <w:lvl w:ilvl="7" w:tplc="6D168818" w:tentative="1">
      <w:start w:val="1"/>
      <w:numFmt w:val="lowerLetter"/>
      <w:lvlText w:val="%8."/>
      <w:lvlJc w:val="left"/>
      <w:pPr>
        <w:ind w:left="5760" w:hanging="360"/>
      </w:pPr>
    </w:lvl>
    <w:lvl w:ilvl="8" w:tplc="71CC313A" w:tentative="1">
      <w:start w:val="1"/>
      <w:numFmt w:val="lowerRoman"/>
      <w:lvlText w:val="%9."/>
      <w:lvlJc w:val="right"/>
      <w:pPr>
        <w:ind w:left="6480" w:hanging="180"/>
      </w:pPr>
    </w:lvl>
  </w:abstractNum>
  <w:abstractNum w:abstractNumId="13">
    <w:nsid w:val="3CE8510D"/>
    <w:multiLevelType w:val="hybridMultilevel"/>
    <w:tmpl w:val="17F0BD98"/>
    <w:lvl w:ilvl="0" w:tplc="E454F546">
      <w:start w:val="1"/>
      <w:numFmt w:val="lowerLetter"/>
      <w:lvlText w:val="%1)"/>
      <w:lvlJc w:val="left"/>
      <w:pPr>
        <w:ind w:left="720" w:hanging="360"/>
      </w:pPr>
      <w:rPr>
        <w:rFonts w:hint="default"/>
      </w:rPr>
    </w:lvl>
    <w:lvl w:ilvl="1" w:tplc="1FE05276" w:tentative="1">
      <w:start w:val="1"/>
      <w:numFmt w:val="lowerLetter"/>
      <w:lvlText w:val="%2."/>
      <w:lvlJc w:val="left"/>
      <w:pPr>
        <w:ind w:left="1440" w:hanging="360"/>
      </w:pPr>
    </w:lvl>
    <w:lvl w:ilvl="2" w:tplc="14161422" w:tentative="1">
      <w:start w:val="1"/>
      <w:numFmt w:val="lowerRoman"/>
      <w:lvlText w:val="%3."/>
      <w:lvlJc w:val="right"/>
      <w:pPr>
        <w:ind w:left="2160" w:hanging="180"/>
      </w:pPr>
    </w:lvl>
    <w:lvl w:ilvl="3" w:tplc="D966DE36" w:tentative="1">
      <w:start w:val="1"/>
      <w:numFmt w:val="decimal"/>
      <w:lvlText w:val="%4."/>
      <w:lvlJc w:val="left"/>
      <w:pPr>
        <w:ind w:left="2880" w:hanging="360"/>
      </w:pPr>
    </w:lvl>
    <w:lvl w:ilvl="4" w:tplc="498ABF18" w:tentative="1">
      <w:start w:val="1"/>
      <w:numFmt w:val="lowerLetter"/>
      <w:lvlText w:val="%5."/>
      <w:lvlJc w:val="left"/>
      <w:pPr>
        <w:ind w:left="3600" w:hanging="360"/>
      </w:pPr>
    </w:lvl>
    <w:lvl w:ilvl="5" w:tplc="AE547F28" w:tentative="1">
      <w:start w:val="1"/>
      <w:numFmt w:val="lowerRoman"/>
      <w:lvlText w:val="%6."/>
      <w:lvlJc w:val="right"/>
      <w:pPr>
        <w:ind w:left="4320" w:hanging="180"/>
      </w:pPr>
    </w:lvl>
    <w:lvl w:ilvl="6" w:tplc="911453D8" w:tentative="1">
      <w:start w:val="1"/>
      <w:numFmt w:val="decimal"/>
      <w:lvlText w:val="%7."/>
      <w:lvlJc w:val="left"/>
      <w:pPr>
        <w:ind w:left="5040" w:hanging="360"/>
      </w:pPr>
    </w:lvl>
    <w:lvl w:ilvl="7" w:tplc="F09E7A1A" w:tentative="1">
      <w:start w:val="1"/>
      <w:numFmt w:val="lowerLetter"/>
      <w:lvlText w:val="%8."/>
      <w:lvlJc w:val="left"/>
      <w:pPr>
        <w:ind w:left="5760" w:hanging="360"/>
      </w:pPr>
    </w:lvl>
    <w:lvl w:ilvl="8" w:tplc="DA989BC2" w:tentative="1">
      <w:start w:val="1"/>
      <w:numFmt w:val="lowerRoman"/>
      <w:lvlText w:val="%9."/>
      <w:lvlJc w:val="right"/>
      <w:pPr>
        <w:ind w:left="6480" w:hanging="180"/>
      </w:pPr>
    </w:lvl>
  </w:abstractNum>
  <w:abstractNum w:abstractNumId="14">
    <w:nsid w:val="440003E0"/>
    <w:multiLevelType w:val="hybridMultilevel"/>
    <w:tmpl w:val="2F68F3F2"/>
    <w:lvl w:ilvl="0" w:tplc="D99822C6">
      <w:start w:val="1"/>
      <w:numFmt w:val="bullet"/>
      <w:lvlText w:val=""/>
      <w:lvlJc w:val="left"/>
      <w:pPr>
        <w:ind w:left="720" w:hanging="360"/>
      </w:pPr>
      <w:rPr>
        <w:rFonts w:ascii="Wingdings" w:hAnsi="Wingdings" w:hint="default"/>
      </w:rPr>
    </w:lvl>
    <w:lvl w:ilvl="1" w:tplc="8FFEB044">
      <w:numFmt w:val="bullet"/>
      <w:lvlText w:val="-"/>
      <w:lvlJc w:val="left"/>
      <w:pPr>
        <w:ind w:left="1440" w:hanging="360"/>
      </w:pPr>
      <w:rPr>
        <w:rFonts w:ascii="Times New Roman" w:eastAsia="Times New Roman" w:hAnsi="Times New Roman" w:cs="Times New Roman" w:hint="default"/>
      </w:rPr>
    </w:lvl>
    <w:lvl w:ilvl="2" w:tplc="D6A87A80" w:tentative="1">
      <w:start w:val="1"/>
      <w:numFmt w:val="bullet"/>
      <w:lvlText w:val=""/>
      <w:lvlJc w:val="left"/>
      <w:pPr>
        <w:ind w:left="2160" w:hanging="360"/>
      </w:pPr>
      <w:rPr>
        <w:rFonts w:ascii="Wingdings" w:hAnsi="Wingdings" w:hint="default"/>
      </w:rPr>
    </w:lvl>
    <w:lvl w:ilvl="3" w:tplc="2500E7D6" w:tentative="1">
      <w:start w:val="1"/>
      <w:numFmt w:val="bullet"/>
      <w:lvlText w:val=""/>
      <w:lvlJc w:val="left"/>
      <w:pPr>
        <w:ind w:left="2880" w:hanging="360"/>
      </w:pPr>
      <w:rPr>
        <w:rFonts w:ascii="Symbol" w:hAnsi="Symbol" w:hint="default"/>
      </w:rPr>
    </w:lvl>
    <w:lvl w:ilvl="4" w:tplc="AEDE185E" w:tentative="1">
      <w:start w:val="1"/>
      <w:numFmt w:val="bullet"/>
      <w:lvlText w:val="o"/>
      <w:lvlJc w:val="left"/>
      <w:pPr>
        <w:ind w:left="3600" w:hanging="360"/>
      </w:pPr>
      <w:rPr>
        <w:rFonts w:ascii="Courier New" w:hAnsi="Courier New" w:cs="Courier New" w:hint="default"/>
      </w:rPr>
    </w:lvl>
    <w:lvl w:ilvl="5" w:tplc="1F9ACFE8" w:tentative="1">
      <w:start w:val="1"/>
      <w:numFmt w:val="bullet"/>
      <w:lvlText w:val=""/>
      <w:lvlJc w:val="left"/>
      <w:pPr>
        <w:ind w:left="4320" w:hanging="360"/>
      </w:pPr>
      <w:rPr>
        <w:rFonts w:ascii="Wingdings" w:hAnsi="Wingdings" w:hint="default"/>
      </w:rPr>
    </w:lvl>
    <w:lvl w:ilvl="6" w:tplc="B57CD792" w:tentative="1">
      <w:start w:val="1"/>
      <w:numFmt w:val="bullet"/>
      <w:lvlText w:val=""/>
      <w:lvlJc w:val="left"/>
      <w:pPr>
        <w:ind w:left="5040" w:hanging="360"/>
      </w:pPr>
      <w:rPr>
        <w:rFonts w:ascii="Symbol" w:hAnsi="Symbol" w:hint="default"/>
      </w:rPr>
    </w:lvl>
    <w:lvl w:ilvl="7" w:tplc="A36C13AE" w:tentative="1">
      <w:start w:val="1"/>
      <w:numFmt w:val="bullet"/>
      <w:lvlText w:val="o"/>
      <w:lvlJc w:val="left"/>
      <w:pPr>
        <w:ind w:left="5760" w:hanging="360"/>
      </w:pPr>
      <w:rPr>
        <w:rFonts w:ascii="Courier New" w:hAnsi="Courier New" w:cs="Courier New" w:hint="default"/>
      </w:rPr>
    </w:lvl>
    <w:lvl w:ilvl="8" w:tplc="7322533A" w:tentative="1">
      <w:start w:val="1"/>
      <w:numFmt w:val="bullet"/>
      <w:lvlText w:val=""/>
      <w:lvlJc w:val="left"/>
      <w:pPr>
        <w:ind w:left="6480" w:hanging="360"/>
      </w:pPr>
      <w:rPr>
        <w:rFonts w:ascii="Wingdings" w:hAnsi="Wingdings" w:hint="default"/>
      </w:rPr>
    </w:lvl>
  </w:abstractNum>
  <w:abstractNum w:abstractNumId="15">
    <w:nsid w:val="45005C60"/>
    <w:multiLevelType w:val="hybridMultilevel"/>
    <w:tmpl w:val="AD22A5FA"/>
    <w:lvl w:ilvl="0" w:tplc="B4E8D4C6">
      <w:start w:val="18"/>
      <w:numFmt w:val="decimal"/>
      <w:lvlText w:val="%1"/>
      <w:lvlJc w:val="left"/>
      <w:pPr>
        <w:ind w:left="720" w:hanging="360"/>
      </w:pPr>
      <w:rPr>
        <w:rFonts w:hint="default"/>
      </w:rPr>
    </w:lvl>
    <w:lvl w:ilvl="1" w:tplc="34E0C6CC" w:tentative="1">
      <w:start w:val="1"/>
      <w:numFmt w:val="lowerLetter"/>
      <w:lvlText w:val="%2."/>
      <w:lvlJc w:val="left"/>
      <w:pPr>
        <w:ind w:left="1440" w:hanging="360"/>
      </w:pPr>
    </w:lvl>
    <w:lvl w:ilvl="2" w:tplc="0CC8CCB6" w:tentative="1">
      <w:start w:val="1"/>
      <w:numFmt w:val="lowerRoman"/>
      <w:lvlText w:val="%3."/>
      <w:lvlJc w:val="right"/>
      <w:pPr>
        <w:ind w:left="2160" w:hanging="180"/>
      </w:pPr>
    </w:lvl>
    <w:lvl w:ilvl="3" w:tplc="E4EE3D7A" w:tentative="1">
      <w:start w:val="1"/>
      <w:numFmt w:val="decimal"/>
      <w:lvlText w:val="%4."/>
      <w:lvlJc w:val="left"/>
      <w:pPr>
        <w:ind w:left="2880" w:hanging="360"/>
      </w:pPr>
    </w:lvl>
    <w:lvl w:ilvl="4" w:tplc="C306608A" w:tentative="1">
      <w:start w:val="1"/>
      <w:numFmt w:val="lowerLetter"/>
      <w:lvlText w:val="%5."/>
      <w:lvlJc w:val="left"/>
      <w:pPr>
        <w:ind w:left="3600" w:hanging="360"/>
      </w:pPr>
    </w:lvl>
    <w:lvl w:ilvl="5" w:tplc="21541DF0" w:tentative="1">
      <w:start w:val="1"/>
      <w:numFmt w:val="lowerRoman"/>
      <w:lvlText w:val="%6."/>
      <w:lvlJc w:val="right"/>
      <w:pPr>
        <w:ind w:left="4320" w:hanging="180"/>
      </w:pPr>
    </w:lvl>
    <w:lvl w:ilvl="6" w:tplc="DD163A26" w:tentative="1">
      <w:start w:val="1"/>
      <w:numFmt w:val="decimal"/>
      <w:lvlText w:val="%7."/>
      <w:lvlJc w:val="left"/>
      <w:pPr>
        <w:ind w:left="5040" w:hanging="360"/>
      </w:pPr>
    </w:lvl>
    <w:lvl w:ilvl="7" w:tplc="129AE046" w:tentative="1">
      <w:start w:val="1"/>
      <w:numFmt w:val="lowerLetter"/>
      <w:lvlText w:val="%8."/>
      <w:lvlJc w:val="left"/>
      <w:pPr>
        <w:ind w:left="5760" w:hanging="360"/>
      </w:pPr>
    </w:lvl>
    <w:lvl w:ilvl="8" w:tplc="840AD1F2" w:tentative="1">
      <w:start w:val="1"/>
      <w:numFmt w:val="lowerRoman"/>
      <w:lvlText w:val="%9."/>
      <w:lvlJc w:val="right"/>
      <w:pPr>
        <w:ind w:left="6480" w:hanging="180"/>
      </w:pPr>
    </w:lvl>
  </w:abstractNum>
  <w:abstractNum w:abstractNumId="16">
    <w:nsid w:val="48314FF4"/>
    <w:multiLevelType w:val="hybridMultilevel"/>
    <w:tmpl w:val="158E5DE6"/>
    <w:lvl w:ilvl="0" w:tplc="8FDA22EE">
      <w:start w:val="1"/>
      <w:numFmt w:val="bullet"/>
      <w:lvlText w:val=""/>
      <w:lvlJc w:val="left"/>
      <w:pPr>
        <w:ind w:left="720" w:hanging="360"/>
      </w:pPr>
      <w:rPr>
        <w:rFonts w:ascii="Symbol" w:hAnsi="Symbol" w:hint="default"/>
      </w:rPr>
    </w:lvl>
    <w:lvl w:ilvl="1" w:tplc="613A8BC0" w:tentative="1">
      <w:start w:val="1"/>
      <w:numFmt w:val="bullet"/>
      <w:lvlText w:val="o"/>
      <w:lvlJc w:val="left"/>
      <w:pPr>
        <w:ind w:left="1440" w:hanging="360"/>
      </w:pPr>
      <w:rPr>
        <w:rFonts w:ascii="Courier New" w:hAnsi="Courier New" w:cs="Courier New" w:hint="default"/>
      </w:rPr>
    </w:lvl>
    <w:lvl w:ilvl="2" w:tplc="B11400B8" w:tentative="1">
      <w:start w:val="1"/>
      <w:numFmt w:val="bullet"/>
      <w:lvlText w:val=""/>
      <w:lvlJc w:val="left"/>
      <w:pPr>
        <w:ind w:left="2160" w:hanging="360"/>
      </w:pPr>
      <w:rPr>
        <w:rFonts w:ascii="Wingdings" w:hAnsi="Wingdings" w:hint="default"/>
      </w:rPr>
    </w:lvl>
    <w:lvl w:ilvl="3" w:tplc="0368E4D4" w:tentative="1">
      <w:start w:val="1"/>
      <w:numFmt w:val="bullet"/>
      <w:lvlText w:val=""/>
      <w:lvlJc w:val="left"/>
      <w:pPr>
        <w:ind w:left="2880" w:hanging="360"/>
      </w:pPr>
      <w:rPr>
        <w:rFonts w:ascii="Symbol" w:hAnsi="Symbol" w:hint="default"/>
      </w:rPr>
    </w:lvl>
    <w:lvl w:ilvl="4" w:tplc="5AD29A30" w:tentative="1">
      <w:start w:val="1"/>
      <w:numFmt w:val="bullet"/>
      <w:lvlText w:val="o"/>
      <w:lvlJc w:val="left"/>
      <w:pPr>
        <w:ind w:left="3600" w:hanging="360"/>
      </w:pPr>
      <w:rPr>
        <w:rFonts w:ascii="Courier New" w:hAnsi="Courier New" w:cs="Courier New" w:hint="default"/>
      </w:rPr>
    </w:lvl>
    <w:lvl w:ilvl="5" w:tplc="B8B0BF48" w:tentative="1">
      <w:start w:val="1"/>
      <w:numFmt w:val="bullet"/>
      <w:lvlText w:val=""/>
      <w:lvlJc w:val="left"/>
      <w:pPr>
        <w:ind w:left="4320" w:hanging="360"/>
      </w:pPr>
      <w:rPr>
        <w:rFonts w:ascii="Wingdings" w:hAnsi="Wingdings" w:hint="default"/>
      </w:rPr>
    </w:lvl>
    <w:lvl w:ilvl="6" w:tplc="B0FC5BE0" w:tentative="1">
      <w:start w:val="1"/>
      <w:numFmt w:val="bullet"/>
      <w:lvlText w:val=""/>
      <w:lvlJc w:val="left"/>
      <w:pPr>
        <w:ind w:left="5040" w:hanging="360"/>
      </w:pPr>
      <w:rPr>
        <w:rFonts w:ascii="Symbol" w:hAnsi="Symbol" w:hint="default"/>
      </w:rPr>
    </w:lvl>
    <w:lvl w:ilvl="7" w:tplc="227C7B7C" w:tentative="1">
      <w:start w:val="1"/>
      <w:numFmt w:val="bullet"/>
      <w:lvlText w:val="o"/>
      <w:lvlJc w:val="left"/>
      <w:pPr>
        <w:ind w:left="5760" w:hanging="360"/>
      </w:pPr>
      <w:rPr>
        <w:rFonts w:ascii="Courier New" w:hAnsi="Courier New" w:cs="Courier New" w:hint="default"/>
      </w:rPr>
    </w:lvl>
    <w:lvl w:ilvl="8" w:tplc="CD8C1DFE" w:tentative="1">
      <w:start w:val="1"/>
      <w:numFmt w:val="bullet"/>
      <w:lvlText w:val=""/>
      <w:lvlJc w:val="left"/>
      <w:pPr>
        <w:ind w:left="6480" w:hanging="360"/>
      </w:pPr>
      <w:rPr>
        <w:rFonts w:ascii="Wingdings" w:hAnsi="Wingdings" w:hint="default"/>
      </w:rPr>
    </w:lvl>
  </w:abstractNum>
  <w:abstractNum w:abstractNumId="17">
    <w:nsid w:val="48925C79"/>
    <w:multiLevelType w:val="hybridMultilevel"/>
    <w:tmpl w:val="DB3E52FE"/>
    <w:lvl w:ilvl="0" w:tplc="D21629D6">
      <w:start w:val="41"/>
      <w:numFmt w:val="bullet"/>
      <w:lvlText w:val="-"/>
      <w:lvlJc w:val="left"/>
      <w:pPr>
        <w:ind w:left="720" w:hanging="360"/>
      </w:pPr>
      <w:rPr>
        <w:rFonts w:ascii="Calibri" w:eastAsia="Times New Roman" w:hAnsi="Calibri" w:cs="Calibri" w:hint="default"/>
      </w:rPr>
    </w:lvl>
    <w:lvl w:ilvl="1" w:tplc="4E580A0C" w:tentative="1">
      <w:start w:val="1"/>
      <w:numFmt w:val="bullet"/>
      <w:lvlText w:val="o"/>
      <w:lvlJc w:val="left"/>
      <w:pPr>
        <w:ind w:left="1440" w:hanging="360"/>
      </w:pPr>
      <w:rPr>
        <w:rFonts w:ascii="Courier New" w:hAnsi="Courier New" w:cs="Courier New" w:hint="default"/>
      </w:rPr>
    </w:lvl>
    <w:lvl w:ilvl="2" w:tplc="BAC479E8" w:tentative="1">
      <w:start w:val="1"/>
      <w:numFmt w:val="bullet"/>
      <w:lvlText w:val=""/>
      <w:lvlJc w:val="left"/>
      <w:pPr>
        <w:ind w:left="2160" w:hanging="360"/>
      </w:pPr>
      <w:rPr>
        <w:rFonts w:ascii="Wingdings" w:hAnsi="Wingdings" w:hint="default"/>
      </w:rPr>
    </w:lvl>
    <w:lvl w:ilvl="3" w:tplc="5230968C" w:tentative="1">
      <w:start w:val="1"/>
      <w:numFmt w:val="bullet"/>
      <w:lvlText w:val=""/>
      <w:lvlJc w:val="left"/>
      <w:pPr>
        <w:ind w:left="2880" w:hanging="360"/>
      </w:pPr>
      <w:rPr>
        <w:rFonts w:ascii="Symbol" w:hAnsi="Symbol" w:hint="default"/>
      </w:rPr>
    </w:lvl>
    <w:lvl w:ilvl="4" w:tplc="E2F46138" w:tentative="1">
      <w:start w:val="1"/>
      <w:numFmt w:val="bullet"/>
      <w:lvlText w:val="o"/>
      <w:lvlJc w:val="left"/>
      <w:pPr>
        <w:ind w:left="3600" w:hanging="360"/>
      </w:pPr>
      <w:rPr>
        <w:rFonts w:ascii="Courier New" w:hAnsi="Courier New" w:cs="Courier New" w:hint="default"/>
      </w:rPr>
    </w:lvl>
    <w:lvl w:ilvl="5" w:tplc="2228A6BC" w:tentative="1">
      <w:start w:val="1"/>
      <w:numFmt w:val="bullet"/>
      <w:lvlText w:val=""/>
      <w:lvlJc w:val="left"/>
      <w:pPr>
        <w:ind w:left="4320" w:hanging="360"/>
      </w:pPr>
      <w:rPr>
        <w:rFonts w:ascii="Wingdings" w:hAnsi="Wingdings" w:hint="default"/>
      </w:rPr>
    </w:lvl>
    <w:lvl w:ilvl="6" w:tplc="F3B4EBB8" w:tentative="1">
      <w:start w:val="1"/>
      <w:numFmt w:val="bullet"/>
      <w:lvlText w:val=""/>
      <w:lvlJc w:val="left"/>
      <w:pPr>
        <w:ind w:left="5040" w:hanging="360"/>
      </w:pPr>
      <w:rPr>
        <w:rFonts w:ascii="Symbol" w:hAnsi="Symbol" w:hint="default"/>
      </w:rPr>
    </w:lvl>
    <w:lvl w:ilvl="7" w:tplc="B032E678" w:tentative="1">
      <w:start w:val="1"/>
      <w:numFmt w:val="bullet"/>
      <w:lvlText w:val="o"/>
      <w:lvlJc w:val="left"/>
      <w:pPr>
        <w:ind w:left="5760" w:hanging="360"/>
      </w:pPr>
      <w:rPr>
        <w:rFonts w:ascii="Courier New" w:hAnsi="Courier New" w:cs="Courier New" w:hint="default"/>
      </w:rPr>
    </w:lvl>
    <w:lvl w:ilvl="8" w:tplc="472264C4" w:tentative="1">
      <w:start w:val="1"/>
      <w:numFmt w:val="bullet"/>
      <w:lvlText w:val=""/>
      <w:lvlJc w:val="left"/>
      <w:pPr>
        <w:ind w:left="6480" w:hanging="360"/>
      </w:pPr>
      <w:rPr>
        <w:rFonts w:ascii="Wingdings" w:hAnsi="Wingdings" w:hint="default"/>
      </w:rPr>
    </w:lvl>
  </w:abstractNum>
  <w:abstractNum w:abstractNumId="18">
    <w:nsid w:val="48AF2809"/>
    <w:multiLevelType w:val="hybridMultilevel"/>
    <w:tmpl w:val="4D8C4DC6"/>
    <w:lvl w:ilvl="0" w:tplc="62DE4F92">
      <w:start w:val="1"/>
      <w:numFmt w:val="bullet"/>
      <w:lvlText w:val="-"/>
      <w:lvlJc w:val="left"/>
      <w:pPr>
        <w:ind w:left="720" w:hanging="360"/>
      </w:pPr>
      <w:rPr>
        <w:rFonts w:ascii="Calibri" w:eastAsiaTheme="minorHAnsi" w:hAnsi="Calibri" w:cstheme="minorBidi" w:hint="default"/>
      </w:rPr>
    </w:lvl>
    <w:lvl w:ilvl="1" w:tplc="10888EAE" w:tentative="1">
      <w:start w:val="1"/>
      <w:numFmt w:val="bullet"/>
      <w:lvlText w:val="o"/>
      <w:lvlJc w:val="left"/>
      <w:pPr>
        <w:ind w:left="1440" w:hanging="360"/>
      </w:pPr>
      <w:rPr>
        <w:rFonts w:ascii="Courier New" w:hAnsi="Courier New" w:cs="Courier New" w:hint="default"/>
      </w:rPr>
    </w:lvl>
    <w:lvl w:ilvl="2" w:tplc="10527F70" w:tentative="1">
      <w:start w:val="1"/>
      <w:numFmt w:val="bullet"/>
      <w:lvlText w:val=""/>
      <w:lvlJc w:val="left"/>
      <w:pPr>
        <w:ind w:left="2160" w:hanging="360"/>
      </w:pPr>
      <w:rPr>
        <w:rFonts w:ascii="Wingdings" w:hAnsi="Wingdings" w:hint="default"/>
      </w:rPr>
    </w:lvl>
    <w:lvl w:ilvl="3" w:tplc="81A643E0" w:tentative="1">
      <w:start w:val="1"/>
      <w:numFmt w:val="bullet"/>
      <w:lvlText w:val=""/>
      <w:lvlJc w:val="left"/>
      <w:pPr>
        <w:ind w:left="2880" w:hanging="360"/>
      </w:pPr>
      <w:rPr>
        <w:rFonts w:ascii="Symbol" w:hAnsi="Symbol" w:hint="default"/>
      </w:rPr>
    </w:lvl>
    <w:lvl w:ilvl="4" w:tplc="42286CA6" w:tentative="1">
      <w:start w:val="1"/>
      <w:numFmt w:val="bullet"/>
      <w:lvlText w:val="o"/>
      <w:lvlJc w:val="left"/>
      <w:pPr>
        <w:ind w:left="3600" w:hanging="360"/>
      </w:pPr>
      <w:rPr>
        <w:rFonts w:ascii="Courier New" w:hAnsi="Courier New" w:cs="Courier New" w:hint="default"/>
      </w:rPr>
    </w:lvl>
    <w:lvl w:ilvl="5" w:tplc="9CFACACC" w:tentative="1">
      <w:start w:val="1"/>
      <w:numFmt w:val="bullet"/>
      <w:lvlText w:val=""/>
      <w:lvlJc w:val="left"/>
      <w:pPr>
        <w:ind w:left="4320" w:hanging="360"/>
      </w:pPr>
      <w:rPr>
        <w:rFonts w:ascii="Wingdings" w:hAnsi="Wingdings" w:hint="default"/>
      </w:rPr>
    </w:lvl>
    <w:lvl w:ilvl="6" w:tplc="A12EEA92" w:tentative="1">
      <w:start w:val="1"/>
      <w:numFmt w:val="bullet"/>
      <w:lvlText w:val=""/>
      <w:lvlJc w:val="left"/>
      <w:pPr>
        <w:ind w:left="5040" w:hanging="360"/>
      </w:pPr>
      <w:rPr>
        <w:rFonts w:ascii="Symbol" w:hAnsi="Symbol" w:hint="default"/>
      </w:rPr>
    </w:lvl>
    <w:lvl w:ilvl="7" w:tplc="72DAA1B4" w:tentative="1">
      <w:start w:val="1"/>
      <w:numFmt w:val="bullet"/>
      <w:lvlText w:val="o"/>
      <w:lvlJc w:val="left"/>
      <w:pPr>
        <w:ind w:left="5760" w:hanging="360"/>
      </w:pPr>
      <w:rPr>
        <w:rFonts w:ascii="Courier New" w:hAnsi="Courier New" w:cs="Courier New" w:hint="default"/>
      </w:rPr>
    </w:lvl>
    <w:lvl w:ilvl="8" w:tplc="E174C1A8" w:tentative="1">
      <w:start w:val="1"/>
      <w:numFmt w:val="bullet"/>
      <w:lvlText w:val=""/>
      <w:lvlJc w:val="left"/>
      <w:pPr>
        <w:ind w:left="6480" w:hanging="360"/>
      </w:pPr>
      <w:rPr>
        <w:rFonts w:ascii="Wingdings" w:hAnsi="Wingdings" w:hint="default"/>
      </w:rPr>
    </w:lvl>
  </w:abstractNum>
  <w:abstractNum w:abstractNumId="19">
    <w:nsid w:val="4EDA4EF4"/>
    <w:multiLevelType w:val="hybridMultilevel"/>
    <w:tmpl w:val="A3E656CE"/>
    <w:lvl w:ilvl="0" w:tplc="C32E334C">
      <w:start w:val="1"/>
      <w:numFmt w:val="decimal"/>
      <w:lvlText w:val="%1."/>
      <w:lvlJc w:val="left"/>
      <w:pPr>
        <w:ind w:left="720" w:hanging="360"/>
      </w:pPr>
    </w:lvl>
    <w:lvl w:ilvl="1" w:tplc="75EA33C4" w:tentative="1">
      <w:start w:val="1"/>
      <w:numFmt w:val="lowerLetter"/>
      <w:lvlText w:val="%2."/>
      <w:lvlJc w:val="left"/>
      <w:pPr>
        <w:ind w:left="1440" w:hanging="360"/>
      </w:pPr>
    </w:lvl>
    <w:lvl w:ilvl="2" w:tplc="718A4F96" w:tentative="1">
      <w:start w:val="1"/>
      <w:numFmt w:val="lowerRoman"/>
      <w:lvlText w:val="%3."/>
      <w:lvlJc w:val="right"/>
      <w:pPr>
        <w:ind w:left="2160" w:hanging="180"/>
      </w:pPr>
    </w:lvl>
    <w:lvl w:ilvl="3" w:tplc="C3FAD83E" w:tentative="1">
      <w:start w:val="1"/>
      <w:numFmt w:val="decimal"/>
      <w:lvlText w:val="%4."/>
      <w:lvlJc w:val="left"/>
      <w:pPr>
        <w:ind w:left="2880" w:hanging="360"/>
      </w:pPr>
    </w:lvl>
    <w:lvl w:ilvl="4" w:tplc="57805100" w:tentative="1">
      <w:start w:val="1"/>
      <w:numFmt w:val="lowerLetter"/>
      <w:lvlText w:val="%5."/>
      <w:lvlJc w:val="left"/>
      <w:pPr>
        <w:ind w:left="3600" w:hanging="360"/>
      </w:pPr>
    </w:lvl>
    <w:lvl w:ilvl="5" w:tplc="FCD2A992" w:tentative="1">
      <w:start w:val="1"/>
      <w:numFmt w:val="lowerRoman"/>
      <w:lvlText w:val="%6."/>
      <w:lvlJc w:val="right"/>
      <w:pPr>
        <w:ind w:left="4320" w:hanging="180"/>
      </w:pPr>
    </w:lvl>
    <w:lvl w:ilvl="6" w:tplc="E80A6132" w:tentative="1">
      <w:start w:val="1"/>
      <w:numFmt w:val="decimal"/>
      <w:lvlText w:val="%7."/>
      <w:lvlJc w:val="left"/>
      <w:pPr>
        <w:ind w:left="5040" w:hanging="360"/>
      </w:pPr>
    </w:lvl>
    <w:lvl w:ilvl="7" w:tplc="36A0E3CA" w:tentative="1">
      <w:start w:val="1"/>
      <w:numFmt w:val="lowerLetter"/>
      <w:lvlText w:val="%8."/>
      <w:lvlJc w:val="left"/>
      <w:pPr>
        <w:ind w:left="5760" w:hanging="360"/>
      </w:pPr>
    </w:lvl>
    <w:lvl w:ilvl="8" w:tplc="7812A5E6" w:tentative="1">
      <w:start w:val="1"/>
      <w:numFmt w:val="lowerRoman"/>
      <w:lvlText w:val="%9."/>
      <w:lvlJc w:val="right"/>
      <w:pPr>
        <w:ind w:left="6480" w:hanging="180"/>
      </w:pPr>
    </w:lvl>
  </w:abstractNum>
  <w:abstractNum w:abstractNumId="20">
    <w:nsid w:val="4F831F0D"/>
    <w:multiLevelType w:val="hybridMultilevel"/>
    <w:tmpl w:val="0A887556"/>
    <w:lvl w:ilvl="0" w:tplc="79C88710">
      <w:start w:val="1"/>
      <w:numFmt w:val="bullet"/>
      <w:lvlText w:val=""/>
      <w:lvlJc w:val="left"/>
      <w:pPr>
        <w:ind w:left="720" w:hanging="360"/>
      </w:pPr>
      <w:rPr>
        <w:rFonts w:ascii="Symbol" w:hAnsi="Symbol" w:hint="default"/>
      </w:rPr>
    </w:lvl>
    <w:lvl w:ilvl="1" w:tplc="0BF04648" w:tentative="1">
      <w:start w:val="1"/>
      <w:numFmt w:val="bullet"/>
      <w:lvlText w:val="o"/>
      <w:lvlJc w:val="left"/>
      <w:pPr>
        <w:ind w:left="1440" w:hanging="360"/>
      </w:pPr>
      <w:rPr>
        <w:rFonts w:ascii="Courier New" w:hAnsi="Courier New" w:cs="Courier New" w:hint="default"/>
      </w:rPr>
    </w:lvl>
    <w:lvl w:ilvl="2" w:tplc="8F72A672" w:tentative="1">
      <w:start w:val="1"/>
      <w:numFmt w:val="bullet"/>
      <w:lvlText w:val=""/>
      <w:lvlJc w:val="left"/>
      <w:pPr>
        <w:ind w:left="2160" w:hanging="360"/>
      </w:pPr>
      <w:rPr>
        <w:rFonts w:ascii="Wingdings" w:hAnsi="Wingdings" w:hint="default"/>
      </w:rPr>
    </w:lvl>
    <w:lvl w:ilvl="3" w:tplc="F9280370" w:tentative="1">
      <w:start w:val="1"/>
      <w:numFmt w:val="bullet"/>
      <w:lvlText w:val=""/>
      <w:lvlJc w:val="left"/>
      <w:pPr>
        <w:ind w:left="2880" w:hanging="360"/>
      </w:pPr>
      <w:rPr>
        <w:rFonts w:ascii="Symbol" w:hAnsi="Symbol" w:hint="default"/>
      </w:rPr>
    </w:lvl>
    <w:lvl w:ilvl="4" w:tplc="4C1ADA0E" w:tentative="1">
      <w:start w:val="1"/>
      <w:numFmt w:val="bullet"/>
      <w:lvlText w:val="o"/>
      <w:lvlJc w:val="left"/>
      <w:pPr>
        <w:ind w:left="3600" w:hanging="360"/>
      </w:pPr>
      <w:rPr>
        <w:rFonts w:ascii="Courier New" w:hAnsi="Courier New" w:cs="Courier New" w:hint="default"/>
      </w:rPr>
    </w:lvl>
    <w:lvl w:ilvl="5" w:tplc="DE8E70DC" w:tentative="1">
      <w:start w:val="1"/>
      <w:numFmt w:val="bullet"/>
      <w:lvlText w:val=""/>
      <w:lvlJc w:val="left"/>
      <w:pPr>
        <w:ind w:left="4320" w:hanging="360"/>
      </w:pPr>
      <w:rPr>
        <w:rFonts w:ascii="Wingdings" w:hAnsi="Wingdings" w:hint="default"/>
      </w:rPr>
    </w:lvl>
    <w:lvl w:ilvl="6" w:tplc="4806853E" w:tentative="1">
      <w:start w:val="1"/>
      <w:numFmt w:val="bullet"/>
      <w:lvlText w:val=""/>
      <w:lvlJc w:val="left"/>
      <w:pPr>
        <w:ind w:left="5040" w:hanging="360"/>
      </w:pPr>
      <w:rPr>
        <w:rFonts w:ascii="Symbol" w:hAnsi="Symbol" w:hint="default"/>
      </w:rPr>
    </w:lvl>
    <w:lvl w:ilvl="7" w:tplc="38F6A5F0" w:tentative="1">
      <w:start w:val="1"/>
      <w:numFmt w:val="bullet"/>
      <w:lvlText w:val="o"/>
      <w:lvlJc w:val="left"/>
      <w:pPr>
        <w:ind w:left="5760" w:hanging="360"/>
      </w:pPr>
      <w:rPr>
        <w:rFonts w:ascii="Courier New" w:hAnsi="Courier New" w:cs="Courier New" w:hint="default"/>
      </w:rPr>
    </w:lvl>
    <w:lvl w:ilvl="8" w:tplc="5C3CD914" w:tentative="1">
      <w:start w:val="1"/>
      <w:numFmt w:val="bullet"/>
      <w:lvlText w:val=""/>
      <w:lvlJc w:val="left"/>
      <w:pPr>
        <w:ind w:left="6480" w:hanging="360"/>
      </w:pPr>
      <w:rPr>
        <w:rFonts w:ascii="Wingdings" w:hAnsi="Wingdings" w:hint="default"/>
      </w:rPr>
    </w:lvl>
  </w:abstractNum>
  <w:abstractNum w:abstractNumId="21">
    <w:nsid w:val="520C6DC3"/>
    <w:multiLevelType w:val="hybridMultilevel"/>
    <w:tmpl w:val="2376EEA4"/>
    <w:lvl w:ilvl="0" w:tplc="BE8EECE0">
      <w:start w:val="1"/>
      <w:numFmt w:val="lowerLetter"/>
      <w:lvlText w:val="%1)"/>
      <w:lvlJc w:val="left"/>
      <w:pPr>
        <w:ind w:left="720" w:hanging="360"/>
      </w:pPr>
    </w:lvl>
    <w:lvl w:ilvl="1" w:tplc="013842E0" w:tentative="1">
      <w:start w:val="1"/>
      <w:numFmt w:val="lowerLetter"/>
      <w:lvlText w:val="%2."/>
      <w:lvlJc w:val="left"/>
      <w:pPr>
        <w:ind w:left="1440" w:hanging="360"/>
      </w:pPr>
    </w:lvl>
    <w:lvl w:ilvl="2" w:tplc="F31AD682" w:tentative="1">
      <w:start w:val="1"/>
      <w:numFmt w:val="lowerRoman"/>
      <w:lvlText w:val="%3."/>
      <w:lvlJc w:val="right"/>
      <w:pPr>
        <w:ind w:left="2160" w:hanging="180"/>
      </w:pPr>
    </w:lvl>
    <w:lvl w:ilvl="3" w:tplc="EE0CE210" w:tentative="1">
      <w:start w:val="1"/>
      <w:numFmt w:val="decimal"/>
      <w:lvlText w:val="%4."/>
      <w:lvlJc w:val="left"/>
      <w:pPr>
        <w:ind w:left="2880" w:hanging="360"/>
      </w:pPr>
    </w:lvl>
    <w:lvl w:ilvl="4" w:tplc="4356B59E" w:tentative="1">
      <w:start w:val="1"/>
      <w:numFmt w:val="lowerLetter"/>
      <w:lvlText w:val="%5."/>
      <w:lvlJc w:val="left"/>
      <w:pPr>
        <w:ind w:left="3600" w:hanging="360"/>
      </w:pPr>
    </w:lvl>
    <w:lvl w:ilvl="5" w:tplc="0B1C9974" w:tentative="1">
      <w:start w:val="1"/>
      <w:numFmt w:val="lowerRoman"/>
      <w:lvlText w:val="%6."/>
      <w:lvlJc w:val="right"/>
      <w:pPr>
        <w:ind w:left="4320" w:hanging="180"/>
      </w:pPr>
    </w:lvl>
    <w:lvl w:ilvl="6" w:tplc="5E125740" w:tentative="1">
      <w:start w:val="1"/>
      <w:numFmt w:val="decimal"/>
      <w:lvlText w:val="%7."/>
      <w:lvlJc w:val="left"/>
      <w:pPr>
        <w:ind w:left="5040" w:hanging="360"/>
      </w:pPr>
    </w:lvl>
    <w:lvl w:ilvl="7" w:tplc="98F6B47A" w:tentative="1">
      <w:start w:val="1"/>
      <w:numFmt w:val="lowerLetter"/>
      <w:lvlText w:val="%8."/>
      <w:lvlJc w:val="left"/>
      <w:pPr>
        <w:ind w:left="5760" w:hanging="360"/>
      </w:pPr>
    </w:lvl>
    <w:lvl w:ilvl="8" w:tplc="2DD0F918" w:tentative="1">
      <w:start w:val="1"/>
      <w:numFmt w:val="lowerRoman"/>
      <w:lvlText w:val="%9."/>
      <w:lvlJc w:val="right"/>
      <w:pPr>
        <w:ind w:left="6480" w:hanging="180"/>
      </w:pPr>
    </w:lvl>
  </w:abstractNum>
  <w:abstractNum w:abstractNumId="22">
    <w:nsid w:val="54AE6077"/>
    <w:multiLevelType w:val="hybridMultilevel"/>
    <w:tmpl w:val="886E7AF4"/>
    <w:lvl w:ilvl="0" w:tplc="F5E88CE8">
      <w:start w:val="1"/>
      <w:numFmt w:val="lowerLetter"/>
      <w:lvlText w:val="%1)"/>
      <w:lvlJc w:val="left"/>
      <w:pPr>
        <w:ind w:left="720" w:hanging="360"/>
      </w:pPr>
      <w:rPr>
        <w:rFonts w:hint="default"/>
      </w:rPr>
    </w:lvl>
    <w:lvl w:ilvl="1" w:tplc="03B231B2" w:tentative="1">
      <w:start w:val="1"/>
      <w:numFmt w:val="lowerLetter"/>
      <w:lvlText w:val="%2."/>
      <w:lvlJc w:val="left"/>
      <w:pPr>
        <w:ind w:left="1440" w:hanging="360"/>
      </w:pPr>
    </w:lvl>
    <w:lvl w:ilvl="2" w:tplc="C938ED4A" w:tentative="1">
      <w:start w:val="1"/>
      <w:numFmt w:val="lowerRoman"/>
      <w:lvlText w:val="%3."/>
      <w:lvlJc w:val="right"/>
      <w:pPr>
        <w:ind w:left="2160" w:hanging="180"/>
      </w:pPr>
    </w:lvl>
    <w:lvl w:ilvl="3" w:tplc="BEE04410" w:tentative="1">
      <w:start w:val="1"/>
      <w:numFmt w:val="decimal"/>
      <w:lvlText w:val="%4."/>
      <w:lvlJc w:val="left"/>
      <w:pPr>
        <w:ind w:left="2880" w:hanging="360"/>
      </w:pPr>
    </w:lvl>
    <w:lvl w:ilvl="4" w:tplc="9872B168" w:tentative="1">
      <w:start w:val="1"/>
      <w:numFmt w:val="lowerLetter"/>
      <w:lvlText w:val="%5."/>
      <w:lvlJc w:val="left"/>
      <w:pPr>
        <w:ind w:left="3600" w:hanging="360"/>
      </w:pPr>
    </w:lvl>
    <w:lvl w:ilvl="5" w:tplc="90F0B05A" w:tentative="1">
      <w:start w:val="1"/>
      <w:numFmt w:val="lowerRoman"/>
      <w:lvlText w:val="%6."/>
      <w:lvlJc w:val="right"/>
      <w:pPr>
        <w:ind w:left="4320" w:hanging="180"/>
      </w:pPr>
    </w:lvl>
    <w:lvl w:ilvl="6" w:tplc="ED22F43C" w:tentative="1">
      <w:start w:val="1"/>
      <w:numFmt w:val="decimal"/>
      <w:lvlText w:val="%7."/>
      <w:lvlJc w:val="left"/>
      <w:pPr>
        <w:ind w:left="5040" w:hanging="360"/>
      </w:pPr>
    </w:lvl>
    <w:lvl w:ilvl="7" w:tplc="35E879BC" w:tentative="1">
      <w:start w:val="1"/>
      <w:numFmt w:val="lowerLetter"/>
      <w:lvlText w:val="%8."/>
      <w:lvlJc w:val="left"/>
      <w:pPr>
        <w:ind w:left="5760" w:hanging="360"/>
      </w:pPr>
    </w:lvl>
    <w:lvl w:ilvl="8" w:tplc="8244FF26" w:tentative="1">
      <w:start w:val="1"/>
      <w:numFmt w:val="lowerRoman"/>
      <w:lvlText w:val="%9."/>
      <w:lvlJc w:val="right"/>
      <w:pPr>
        <w:ind w:left="6480" w:hanging="180"/>
      </w:pPr>
    </w:lvl>
  </w:abstractNum>
  <w:abstractNum w:abstractNumId="23">
    <w:nsid w:val="592A773C"/>
    <w:multiLevelType w:val="hybridMultilevel"/>
    <w:tmpl w:val="07E41868"/>
    <w:lvl w:ilvl="0" w:tplc="34A61180">
      <w:start w:val="1"/>
      <w:numFmt w:val="bullet"/>
      <w:lvlText w:val=""/>
      <w:lvlJc w:val="left"/>
      <w:pPr>
        <w:ind w:left="720" w:hanging="360"/>
      </w:pPr>
      <w:rPr>
        <w:rFonts w:ascii="Symbol" w:hAnsi="Symbol" w:hint="default"/>
      </w:rPr>
    </w:lvl>
    <w:lvl w:ilvl="1" w:tplc="C5C24E5E" w:tentative="1">
      <w:start w:val="1"/>
      <w:numFmt w:val="bullet"/>
      <w:lvlText w:val="o"/>
      <w:lvlJc w:val="left"/>
      <w:pPr>
        <w:ind w:left="1440" w:hanging="360"/>
      </w:pPr>
      <w:rPr>
        <w:rFonts w:ascii="Courier New" w:hAnsi="Courier New" w:cs="Courier New" w:hint="default"/>
      </w:rPr>
    </w:lvl>
    <w:lvl w:ilvl="2" w:tplc="C7E67DE6" w:tentative="1">
      <w:start w:val="1"/>
      <w:numFmt w:val="bullet"/>
      <w:lvlText w:val=""/>
      <w:lvlJc w:val="left"/>
      <w:pPr>
        <w:ind w:left="2160" w:hanging="360"/>
      </w:pPr>
      <w:rPr>
        <w:rFonts w:ascii="Wingdings" w:hAnsi="Wingdings" w:hint="default"/>
      </w:rPr>
    </w:lvl>
    <w:lvl w:ilvl="3" w:tplc="66C036CE" w:tentative="1">
      <w:start w:val="1"/>
      <w:numFmt w:val="bullet"/>
      <w:lvlText w:val=""/>
      <w:lvlJc w:val="left"/>
      <w:pPr>
        <w:ind w:left="2880" w:hanging="360"/>
      </w:pPr>
      <w:rPr>
        <w:rFonts w:ascii="Symbol" w:hAnsi="Symbol" w:hint="default"/>
      </w:rPr>
    </w:lvl>
    <w:lvl w:ilvl="4" w:tplc="D54654D8" w:tentative="1">
      <w:start w:val="1"/>
      <w:numFmt w:val="bullet"/>
      <w:lvlText w:val="o"/>
      <w:lvlJc w:val="left"/>
      <w:pPr>
        <w:ind w:left="3600" w:hanging="360"/>
      </w:pPr>
      <w:rPr>
        <w:rFonts w:ascii="Courier New" w:hAnsi="Courier New" w:cs="Courier New" w:hint="default"/>
      </w:rPr>
    </w:lvl>
    <w:lvl w:ilvl="5" w:tplc="5EE4C16C" w:tentative="1">
      <w:start w:val="1"/>
      <w:numFmt w:val="bullet"/>
      <w:lvlText w:val=""/>
      <w:lvlJc w:val="left"/>
      <w:pPr>
        <w:ind w:left="4320" w:hanging="360"/>
      </w:pPr>
      <w:rPr>
        <w:rFonts w:ascii="Wingdings" w:hAnsi="Wingdings" w:hint="default"/>
      </w:rPr>
    </w:lvl>
    <w:lvl w:ilvl="6" w:tplc="C48CD5D6" w:tentative="1">
      <w:start w:val="1"/>
      <w:numFmt w:val="bullet"/>
      <w:lvlText w:val=""/>
      <w:lvlJc w:val="left"/>
      <w:pPr>
        <w:ind w:left="5040" w:hanging="360"/>
      </w:pPr>
      <w:rPr>
        <w:rFonts w:ascii="Symbol" w:hAnsi="Symbol" w:hint="default"/>
      </w:rPr>
    </w:lvl>
    <w:lvl w:ilvl="7" w:tplc="09C2D0E2" w:tentative="1">
      <w:start w:val="1"/>
      <w:numFmt w:val="bullet"/>
      <w:lvlText w:val="o"/>
      <w:lvlJc w:val="left"/>
      <w:pPr>
        <w:ind w:left="5760" w:hanging="360"/>
      </w:pPr>
      <w:rPr>
        <w:rFonts w:ascii="Courier New" w:hAnsi="Courier New" w:cs="Courier New" w:hint="default"/>
      </w:rPr>
    </w:lvl>
    <w:lvl w:ilvl="8" w:tplc="E77C47E0" w:tentative="1">
      <w:start w:val="1"/>
      <w:numFmt w:val="bullet"/>
      <w:lvlText w:val=""/>
      <w:lvlJc w:val="left"/>
      <w:pPr>
        <w:ind w:left="6480" w:hanging="360"/>
      </w:pPr>
      <w:rPr>
        <w:rFonts w:ascii="Wingdings" w:hAnsi="Wingdings" w:hint="default"/>
      </w:rPr>
    </w:lvl>
  </w:abstractNum>
  <w:abstractNum w:abstractNumId="24">
    <w:nsid w:val="5A633FDA"/>
    <w:multiLevelType w:val="hybridMultilevel"/>
    <w:tmpl w:val="00F065D4"/>
    <w:lvl w:ilvl="0" w:tplc="FF8EB57E">
      <w:start w:val="975"/>
      <w:numFmt w:val="bullet"/>
      <w:lvlText w:val="-"/>
      <w:lvlJc w:val="left"/>
      <w:pPr>
        <w:ind w:left="720" w:hanging="360"/>
      </w:pPr>
      <w:rPr>
        <w:rFonts w:ascii="Calibri" w:eastAsia="Times New Roman" w:hAnsi="Calibri" w:cs="Calibri" w:hint="default"/>
      </w:rPr>
    </w:lvl>
    <w:lvl w:ilvl="1" w:tplc="5570FEBE">
      <w:start w:val="1"/>
      <w:numFmt w:val="bullet"/>
      <w:lvlText w:val="o"/>
      <w:lvlJc w:val="left"/>
      <w:pPr>
        <w:ind w:left="1440" w:hanging="360"/>
      </w:pPr>
      <w:rPr>
        <w:rFonts w:ascii="Courier New" w:hAnsi="Courier New" w:cs="Courier New" w:hint="default"/>
      </w:rPr>
    </w:lvl>
    <w:lvl w:ilvl="2" w:tplc="4D22636C" w:tentative="1">
      <w:start w:val="1"/>
      <w:numFmt w:val="bullet"/>
      <w:lvlText w:val=""/>
      <w:lvlJc w:val="left"/>
      <w:pPr>
        <w:ind w:left="2160" w:hanging="360"/>
      </w:pPr>
      <w:rPr>
        <w:rFonts w:ascii="Wingdings" w:hAnsi="Wingdings" w:hint="default"/>
      </w:rPr>
    </w:lvl>
    <w:lvl w:ilvl="3" w:tplc="A120B86C" w:tentative="1">
      <w:start w:val="1"/>
      <w:numFmt w:val="bullet"/>
      <w:lvlText w:val=""/>
      <w:lvlJc w:val="left"/>
      <w:pPr>
        <w:ind w:left="2880" w:hanging="360"/>
      </w:pPr>
      <w:rPr>
        <w:rFonts w:ascii="Symbol" w:hAnsi="Symbol" w:hint="default"/>
      </w:rPr>
    </w:lvl>
    <w:lvl w:ilvl="4" w:tplc="A126CFB2" w:tentative="1">
      <w:start w:val="1"/>
      <w:numFmt w:val="bullet"/>
      <w:lvlText w:val="o"/>
      <w:lvlJc w:val="left"/>
      <w:pPr>
        <w:ind w:left="3600" w:hanging="360"/>
      </w:pPr>
      <w:rPr>
        <w:rFonts w:ascii="Courier New" w:hAnsi="Courier New" w:cs="Courier New" w:hint="default"/>
      </w:rPr>
    </w:lvl>
    <w:lvl w:ilvl="5" w:tplc="63F87B86" w:tentative="1">
      <w:start w:val="1"/>
      <w:numFmt w:val="bullet"/>
      <w:lvlText w:val=""/>
      <w:lvlJc w:val="left"/>
      <w:pPr>
        <w:ind w:left="4320" w:hanging="360"/>
      </w:pPr>
      <w:rPr>
        <w:rFonts w:ascii="Wingdings" w:hAnsi="Wingdings" w:hint="default"/>
      </w:rPr>
    </w:lvl>
    <w:lvl w:ilvl="6" w:tplc="69963326" w:tentative="1">
      <w:start w:val="1"/>
      <w:numFmt w:val="bullet"/>
      <w:lvlText w:val=""/>
      <w:lvlJc w:val="left"/>
      <w:pPr>
        <w:ind w:left="5040" w:hanging="360"/>
      </w:pPr>
      <w:rPr>
        <w:rFonts w:ascii="Symbol" w:hAnsi="Symbol" w:hint="default"/>
      </w:rPr>
    </w:lvl>
    <w:lvl w:ilvl="7" w:tplc="8EB06D8C" w:tentative="1">
      <w:start w:val="1"/>
      <w:numFmt w:val="bullet"/>
      <w:lvlText w:val="o"/>
      <w:lvlJc w:val="left"/>
      <w:pPr>
        <w:ind w:left="5760" w:hanging="360"/>
      </w:pPr>
      <w:rPr>
        <w:rFonts w:ascii="Courier New" w:hAnsi="Courier New" w:cs="Courier New" w:hint="default"/>
      </w:rPr>
    </w:lvl>
    <w:lvl w:ilvl="8" w:tplc="235A9A38" w:tentative="1">
      <w:start w:val="1"/>
      <w:numFmt w:val="bullet"/>
      <w:lvlText w:val=""/>
      <w:lvlJc w:val="left"/>
      <w:pPr>
        <w:ind w:left="6480" w:hanging="360"/>
      </w:pPr>
      <w:rPr>
        <w:rFonts w:ascii="Wingdings" w:hAnsi="Wingdings" w:hint="default"/>
      </w:rPr>
    </w:lvl>
  </w:abstractNum>
  <w:abstractNum w:abstractNumId="25">
    <w:nsid w:val="5E9C5E15"/>
    <w:multiLevelType w:val="hybridMultilevel"/>
    <w:tmpl w:val="2C400EB8"/>
    <w:lvl w:ilvl="0" w:tplc="152C9BBA">
      <w:start w:val="1"/>
      <w:numFmt w:val="lowerLetter"/>
      <w:lvlText w:val="%1)"/>
      <w:lvlJc w:val="left"/>
      <w:pPr>
        <w:ind w:left="720" w:hanging="360"/>
      </w:pPr>
      <w:rPr>
        <w:rFonts w:hint="default"/>
      </w:rPr>
    </w:lvl>
    <w:lvl w:ilvl="1" w:tplc="DA4C358A" w:tentative="1">
      <w:start w:val="1"/>
      <w:numFmt w:val="lowerLetter"/>
      <w:lvlText w:val="%2."/>
      <w:lvlJc w:val="left"/>
      <w:pPr>
        <w:ind w:left="1440" w:hanging="360"/>
      </w:pPr>
    </w:lvl>
    <w:lvl w:ilvl="2" w:tplc="739CABD4" w:tentative="1">
      <w:start w:val="1"/>
      <w:numFmt w:val="lowerRoman"/>
      <w:lvlText w:val="%3."/>
      <w:lvlJc w:val="right"/>
      <w:pPr>
        <w:ind w:left="2160" w:hanging="180"/>
      </w:pPr>
    </w:lvl>
    <w:lvl w:ilvl="3" w:tplc="4DAADB6A" w:tentative="1">
      <w:start w:val="1"/>
      <w:numFmt w:val="decimal"/>
      <w:lvlText w:val="%4."/>
      <w:lvlJc w:val="left"/>
      <w:pPr>
        <w:ind w:left="2880" w:hanging="360"/>
      </w:pPr>
    </w:lvl>
    <w:lvl w:ilvl="4" w:tplc="FCA4AE9C" w:tentative="1">
      <w:start w:val="1"/>
      <w:numFmt w:val="lowerLetter"/>
      <w:lvlText w:val="%5."/>
      <w:lvlJc w:val="left"/>
      <w:pPr>
        <w:ind w:left="3600" w:hanging="360"/>
      </w:pPr>
    </w:lvl>
    <w:lvl w:ilvl="5" w:tplc="369C463C" w:tentative="1">
      <w:start w:val="1"/>
      <w:numFmt w:val="lowerRoman"/>
      <w:lvlText w:val="%6."/>
      <w:lvlJc w:val="right"/>
      <w:pPr>
        <w:ind w:left="4320" w:hanging="180"/>
      </w:pPr>
    </w:lvl>
    <w:lvl w:ilvl="6" w:tplc="D4A41A26" w:tentative="1">
      <w:start w:val="1"/>
      <w:numFmt w:val="decimal"/>
      <w:lvlText w:val="%7."/>
      <w:lvlJc w:val="left"/>
      <w:pPr>
        <w:ind w:left="5040" w:hanging="360"/>
      </w:pPr>
    </w:lvl>
    <w:lvl w:ilvl="7" w:tplc="9782DDA2" w:tentative="1">
      <w:start w:val="1"/>
      <w:numFmt w:val="lowerLetter"/>
      <w:lvlText w:val="%8."/>
      <w:lvlJc w:val="left"/>
      <w:pPr>
        <w:ind w:left="5760" w:hanging="360"/>
      </w:pPr>
    </w:lvl>
    <w:lvl w:ilvl="8" w:tplc="2A821CF4" w:tentative="1">
      <w:start w:val="1"/>
      <w:numFmt w:val="lowerRoman"/>
      <w:lvlText w:val="%9."/>
      <w:lvlJc w:val="right"/>
      <w:pPr>
        <w:ind w:left="6480" w:hanging="180"/>
      </w:pPr>
    </w:lvl>
  </w:abstractNum>
  <w:abstractNum w:abstractNumId="26">
    <w:nsid w:val="60404BE1"/>
    <w:multiLevelType w:val="hybridMultilevel"/>
    <w:tmpl w:val="6756D2F4"/>
    <w:lvl w:ilvl="0" w:tplc="FF24D244">
      <w:start w:val="1"/>
      <w:numFmt w:val="decimal"/>
      <w:lvlText w:val="%1."/>
      <w:lvlJc w:val="left"/>
      <w:pPr>
        <w:ind w:left="720" w:hanging="360"/>
      </w:pPr>
    </w:lvl>
    <w:lvl w:ilvl="1" w:tplc="F98891AC" w:tentative="1">
      <w:start w:val="1"/>
      <w:numFmt w:val="lowerLetter"/>
      <w:lvlText w:val="%2."/>
      <w:lvlJc w:val="left"/>
      <w:pPr>
        <w:ind w:left="1440" w:hanging="360"/>
      </w:pPr>
    </w:lvl>
    <w:lvl w:ilvl="2" w:tplc="E902ABE4" w:tentative="1">
      <w:start w:val="1"/>
      <w:numFmt w:val="lowerRoman"/>
      <w:lvlText w:val="%3."/>
      <w:lvlJc w:val="right"/>
      <w:pPr>
        <w:ind w:left="2160" w:hanging="180"/>
      </w:pPr>
    </w:lvl>
    <w:lvl w:ilvl="3" w:tplc="CD90A4A0" w:tentative="1">
      <w:start w:val="1"/>
      <w:numFmt w:val="decimal"/>
      <w:lvlText w:val="%4."/>
      <w:lvlJc w:val="left"/>
      <w:pPr>
        <w:ind w:left="2880" w:hanging="360"/>
      </w:pPr>
    </w:lvl>
    <w:lvl w:ilvl="4" w:tplc="FABA7D6C" w:tentative="1">
      <w:start w:val="1"/>
      <w:numFmt w:val="lowerLetter"/>
      <w:lvlText w:val="%5."/>
      <w:lvlJc w:val="left"/>
      <w:pPr>
        <w:ind w:left="3600" w:hanging="360"/>
      </w:pPr>
    </w:lvl>
    <w:lvl w:ilvl="5" w:tplc="174658DA" w:tentative="1">
      <w:start w:val="1"/>
      <w:numFmt w:val="lowerRoman"/>
      <w:lvlText w:val="%6."/>
      <w:lvlJc w:val="right"/>
      <w:pPr>
        <w:ind w:left="4320" w:hanging="180"/>
      </w:pPr>
    </w:lvl>
    <w:lvl w:ilvl="6" w:tplc="29BEE380" w:tentative="1">
      <w:start w:val="1"/>
      <w:numFmt w:val="decimal"/>
      <w:lvlText w:val="%7."/>
      <w:lvlJc w:val="left"/>
      <w:pPr>
        <w:ind w:left="5040" w:hanging="360"/>
      </w:pPr>
    </w:lvl>
    <w:lvl w:ilvl="7" w:tplc="2894439C" w:tentative="1">
      <w:start w:val="1"/>
      <w:numFmt w:val="lowerLetter"/>
      <w:lvlText w:val="%8."/>
      <w:lvlJc w:val="left"/>
      <w:pPr>
        <w:ind w:left="5760" w:hanging="360"/>
      </w:pPr>
    </w:lvl>
    <w:lvl w:ilvl="8" w:tplc="3364D79A" w:tentative="1">
      <w:start w:val="1"/>
      <w:numFmt w:val="lowerRoman"/>
      <w:lvlText w:val="%9."/>
      <w:lvlJc w:val="right"/>
      <w:pPr>
        <w:ind w:left="6480" w:hanging="180"/>
      </w:pPr>
    </w:lvl>
  </w:abstractNum>
  <w:abstractNum w:abstractNumId="27">
    <w:nsid w:val="63A169BD"/>
    <w:multiLevelType w:val="hybridMultilevel"/>
    <w:tmpl w:val="03E018E0"/>
    <w:lvl w:ilvl="0" w:tplc="C0FE474E">
      <w:numFmt w:val="bullet"/>
      <w:lvlText w:val="-"/>
      <w:lvlJc w:val="left"/>
      <w:pPr>
        <w:ind w:left="720" w:hanging="360"/>
      </w:pPr>
      <w:rPr>
        <w:rFonts w:ascii="Calibri" w:eastAsiaTheme="minorHAnsi"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4281BF2"/>
    <w:multiLevelType w:val="hybridMultilevel"/>
    <w:tmpl w:val="74846C92"/>
    <w:lvl w:ilvl="0" w:tplc="9C282476">
      <w:start w:val="1"/>
      <w:numFmt w:val="bullet"/>
      <w:lvlText w:val="o"/>
      <w:lvlJc w:val="left"/>
      <w:pPr>
        <w:ind w:left="720" w:hanging="360"/>
      </w:pPr>
      <w:rPr>
        <w:rFonts w:ascii="Courier New" w:hAnsi="Courier New" w:cs="Courier New" w:hint="default"/>
      </w:rPr>
    </w:lvl>
    <w:lvl w:ilvl="1" w:tplc="32041F02" w:tentative="1">
      <w:start w:val="1"/>
      <w:numFmt w:val="bullet"/>
      <w:lvlText w:val="o"/>
      <w:lvlJc w:val="left"/>
      <w:pPr>
        <w:ind w:left="1440" w:hanging="360"/>
      </w:pPr>
      <w:rPr>
        <w:rFonts w:ascii="Courier New" w:hAnsi="Courier New" w:cs="Courier New" w:hint="default"/>
      </w:rPr>
    </w:lvl>
    <w:lvl w:ilvl="2" w:tplc="E69EE102" w:tentative="1">
      <w:start w:val="1"/>
      <w:numFmt w:val="bullet"/>
      <w:lvlText w:val=""/>
      <w:lvlJc w:val="left"/>
      <w:pPr>
        <w:ind w:left="2160" w:hanging="360"/>
      </w:pPr>
      <w:rPr>
        <w:rFonts w:ascii="Wingdings" w:hAnsi="Wingdings" w:hint="default"/>
      </w:rPr>
    </w:lvl>
    <w:lvl w:ilvl="3" w:tplc="C450C72E" w:tentative="1">
      <w:start w:val="1"/>
      <w:numFmt w:val="bullet"/>
      <w:lvlText w:val=""/>
      <w:lvlJc w:val="left"/>
      <w:pPr>
        <w:ind w:left="2880" w:hanging="360"/>
      </w:pPr>
      <w:rPr>
        <w:rFonts w:ascii="Symbol" w:hAnsi="Symbol" w:hint="default"/>
      </w:rPr>
    </w:lvl>
    <w:lvl w:ilvl="4" w:tplc="C7967C8A" w:tentative="1">
      <w:start w:val="1"/>
      <w:numFmt w:val="bullet"/>
      <w:lvlText w:val="o"/>
      <w:lvlJc w:val="left"/>
      <w:pPr>
        <w:ind w:left="3600" w:hanging="360"/>
      </w:pPr>
      <w:rPr>
        <w:rFonts w:ascii="Courier New" w:hAnsi="Courier New" w:cs="Courier New" w:hint="default"/>
      </w:rPr>
    </w:lvl>
    <w:lvl w:ilvl="5" w:tplc="5092454A" w:tentative="1">
      <w:start w:val="1"/>
      <w:numFmt w:val="bullet"/>
      <w:lvlText w:val=""/>
      <w:lvlJc w:val="left"/>
      <w:pPr>
        <w:ind w:left="4320" w:hanging="360"/>
      </w:pPr>
      <w:rPr>
        <w:rFonts w:ascii="Wingdings" w:hAnsi="Wingdings" w:hint="default"/>
      </w:rPr>
    </w:lvl>
    <w:lvl w:ilvl="6" w:tplc="9C3AD420" w:tentative="1">
      <w:start w:val="1"/>
      <w:numFmt w:val="bullet"/>
      <w:lvlText w:val=""/>
      <w:lvlJc w:val="left"/>
      <w:pPr>
        <w:ind w:left="5040" w:hanging="360"/>
      </w:pPr>
      <w:rPr>
        <w:rFonts w:ascii="Symbol" w:hAnsi="Symbol" w:hint="default"/>
      </w:rPr>
    </w:lvl>
    <w:lvl w:ilvl="7" w:tplc="5420CC9E" w:tentative="1">
      <w:start w:val="1"/>
      <w:numFmt w:val="bullet"/>
      <w:lvlText w:val="o"/>
      <w:lvlJc w:val="left"/>
      <w:pPr>
        <w:ind w:left="5760" w:hanging="360"/>
      </w:pPr>
      <w:rPr>
        <w:rFonts w:ascii="Courier New" w:hAnsi="Courier New" w:cs="Courier New" w:hint="default"/>
      </w:rPr>
    </w:lvl>
    <w:lvl w:ilvl="8" w:tplc="61B490B6" w:tentative="1">
      <w:start w:val="1"/>
      <w:numFmt w:val="bullet"/>
      <w:lvlText w:val=""/>
      <w:lvlJc w:val="left"/>
      <w:pPr>
        <w:ind w:left="6480" w:hanging="360"/>
      </w:pPr>
      <w:rPr>
        <w:rFonts w:ascii="Wingdings" w:hAnsi="Wingdings" w:hint="default"/>
      </w:rPr>
    </w:lvl>
  </w:abstractNum>
  <w:abstractNum w:abstractNumId="29">
    <w:nsid w:val="648D5203"/>
    <w:multiLevelType w:val="hybridMultilevel"/>
    <w:tmpl w:val="C8DC2DE0"/>
    <w:lvl w:ilvl="0" w:tplc="BCA48AA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B072BA2"/>
    <w:multiLevelType w:val="hybridMultilevel"/>
    <w:tmpl w:val="2A22E268"/>
    <w:lvl w:ilvl="0" w:tplc="DED66832">
      <w:start w:val="1"/>
      <w:numFmt w:val="bullet"/>
      <w:lvlText w:val=""/>
      <w:lvlJc w:val="left"/>
      <w:pPr>
        <w:ind w:left="720" w:hanging="360"/>
      </w:pPr>
      <w:rPr>
        <w:rFonts w:ascii="Symbol" w:hAnsi="Symbol" w:hint="default"/>
      </w:rPr>
    </w:lvl>
    <w:lvl w:ilvl="1" w:tplc="A84A9322" w:tentative="1">
      <w:start w:val="1"/>
      <w:numFmt w:val="bullet"/>
      <w:lvlText w:val="o"/>
      <w:lvlJc w:val="left"/>
      <w:pPr>
        <w:ind w:left="1440" w:hanging="360"/>
      </w:pPr>
      <w:rPr>
        <w:rFonts w:ascii="Courier New" w:hAnsi="Courier New" w:cs="Courier New" w:hint="default"/>
      </w:rPr>
    </w:lvl>
    <w:lvl w:ilvl="2" w:tplc="ED8A5804" w:tentative="1">
      <w:start w:val="1"/>
      <w:numFmt w:val="bullet"/>
      <w:lvlText w:val=""/>
      <w:lvlJc w:val="left"/>
      <w:pPr>
        <w:ind w:left="2160" w:hanging="360"/>
      </w:pPr>
      <w:rPr>
        <w:rFonts w:ascii="Wingdings" w:hAnsi="Wingdings" w:hint="default"/>
      </w:rPr>
    </w:lvl>
    <w:lvl w:ilvl="3" w:tplc="0C9E8222" w:tentative="1">
      <w:start w:val="1"/>
      <w:numFmt w:val="bullet"/>
      <w:lvlText w:val=""/>
      <w:lvlJc w:val="left"/>
      <w:pPr>
        <w:ind w:left="2880" w:hanging="360"/>
      </w:pPr>
      <w:rPr>
        <w:rFonts w:ascii="Symbol" w:hAnsi="Symbol" w:hint="default"/>
      </w:rPr>
    </w:lvl>
    <w:lvl w:ilvl="4" w:tplc="ED5A14FC" w:tentative="1">
      <w:start w:val="1"/>
      <w:numFmt w:val="bullet"/>
      <w:lvlText w:val="o"/>
      <w:lvlJc w:val="left"/>
      <w:pPr>
        <w:ind w:left="3600" w:hanging="360"/>
      </w:pPr>
      <w:rPr>
        <w:rFonts w:ascii="Courier New" w:hAnsi="Courier New" w:cs="Courier New" w:hint="default"/>
      </w:rPr>
    </w:lvl>
    <w:lvl w:ilvl="5" w:tplc="63007B9C" w:tentative="1">
      <w:start w:val="1"/>
      <w:numFmt w:val="bullet"/>
      <w:lvlText w:val=""/>
      <w:lvlJc w:val="left"/>
      <w:pPr>
        <w:ind w:left="4320" w:hanging="360"/>
      </w:pPr>
      <w:rPr>
        <w:rFonts w:ascii="Wingdings" w:hAnsi="Wingdings" w:hint="default"/>
      </w:rPr>
    </w:lvl>
    <w:lvl w:ilvl="6" w:tplc="AE58DDEE" w:tentative="1">
      <w:start w:val="1"/>
      <w:numFmt w:val="bullet"/>
      <w:lvlText w:val=""/>
      <w:lvlJc w:val="left"/>
      <w:pPr>
        <w:ind w:left="5040" w:hanging="360"/>
      </w:pPr>
      <w:rPr>
        <w:rFonts w:ascii="Symbol" w:hAnsi="Symbol" w:hint="default"/>
      </w:rPr>
    </w:lvl>
    <w:lvl w:ilvl="7" w:tplc="71369324" w:tentative="1">
      <w:start w:val="1"/>
      <w:numFmt w:val="bullet"/>
      <w:lvlText w:val="o"/>
      <w:lvlJc w:val="left"/>
      <w:pPr>
        <w:ind w:left="5760" w:hanging="360"/>
      </w:pPr>
      <w:rPr>
        <w:rFonts w:ascii="Courier New" w:hAnsi="Courier New" w:cs="Courier New" w:hint="default"/>
      </w:rPr>
    </w:lvl>
    <w:lvl w:ilvl="8" w:tplc="615EC92C" w:tentative="1">
      <w:start w:val="1"/>
      <w:numFmt w:val="bullet"/>
      <w:lvlText w:val=""/>
      <w:lvlJc w:val="left"/>
      <w:pPr>
        <w:ind w:left="6480" w:hanging="360"/>
      </w:pPr>
      <w:rPr>
        <w:rFonts w:ascii="Wingdings" w:hAnsi="Wingdings" w:hint="default"/>
      </w:rPr>
    </w:lvl>
  </w:abstractNum>
  <w:abstractNum w:abstractNumId="31">
    <w:nsid w:val="6BD517DA"/>
    <w:multiLevelType w:val="hybridMultilevel"/>
    <w:tmpl w:val="3FDA1F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1995AF8"/>
    <w:multiLevelType w:val="hybridMultilevel"/>
    <w:tmpl w:val="9AFAF36A"/>
    <w:lvl w:ilvl="0" w:tplc="7D96733E">
      <w:start w:val="1"/>
      <w:numFmt w:val="bullet"/>
      <w:lvlText w:val="-"/>
      <w:lvlJc w:val="left"/>
      <w:pPr>
        <w:ind w:left="720" w:hanging="360"/>
      </w:pPr>
      <w:rPr>
        <w:rFonts w:ascii="Calibri" w:eastAsiaTheme="minorHAnsi" w:hAnsi="Calibri" w:cstheme="minorBidi" w:hint="default"/>
      </w:rPr>
    </w:lvl>
    <w:lvl w:ilvl="1" w:tplc="A9F82D16">
      <w:start w:val="1"/>
      <w:numFmt w:val="bullet"/>
      <w:lvlText w:val="o"/>
      <w:lvlJc w:val="left"/>
      <w:pPr>
        <w:ind w:left="1440" w:hanging="360"/>
      </w:pPr>
      <w:rPr>
        <w:rFonts w:ascii="Courier New" w:hAnsi="Courier New" w:cs="Courier New" w:hint="default"/>
      </w:rPr>
    </w:lvl>
    <w:lvl w:ilvl="2" w:tplc="1A22DFD4" w:tentative="1">
      <w:start w:val="1"/>
      <w:numFmt w:val="bullet"/>
      <w:lvlText w:val=""/>
      <w:lvlJc w:val="left"/>
      <w:pPr>
        <w:ind w:left="2160" w:hanging="360"/>
      </w:pPr>
      <w:rPr>
        <w:rFonts w:ascii="Wingdings" w:hAnsi="Wingdings" w:hint="default"/>
      </w:rPr>
    </w:lvl>
    <w:lvl w:ilvl="3" w:tplc="48FA018A" w:tentative="1">
      <w:start w:val="1"/>
      <w:numFmt w:val="bullet"/>
      <w:lvlText w:val=""/>
      <w:lvlJc w:val="left"/>
      <w:pPr>
        <w:ind w:left="2880" w:hanging="360"/>
      </w:pPr>
      <w:rPr>
        <w:rFonts w:ascii="Symbol" w:hAnsi="Symbol" w:hint="default"/>
      </w:rPr>
    </w:lvl>
    <w:lvl w:ilvl="4" w:tplc="8DB83A2E" w:tentative="1">
      <w:start w:val="1"/>
      <w:numFmt w:val="bullet"/>
      <w:lvlText w:val="o"/>
      <w:lvlJc w:val="left"/>
      <w:pPr>
        <w:ind w:left="3600" w:hanging="360"/>
      </w:pPr>
      <w:rPr>
        <w:rFonts w:ascii="Courier New" w:hAnsi="Courier New" w:cs="Courier New" w:hint="default"/>
      </w:rPr>
    </w:lvl>
    <w:lvl w:ilvl="5" w:tplc="5188470A" w:tentative="1">
      <w:start w:val="1"/>
      <w:numFmt w:val="bullet"/>
      <w:lvlText w:val=""/>
      <w:lvlJc w:val="left"/>
      <w:pPr>
        <w:ind w:left="4320" w:hanging="360"/>
      </w:pPr>
      <w:rPr>
        <w:rFonts w:ascii="Wingdings" w:hAnsi="Wingdings" w:hint="default"/>
      </w:rPr>
    </w:lvl>
    <w:lvl w:ilvl="6" w:tplc="DBE2E546" w:tentative="1">
      <w:start w:val="1"/>
      <w:numFmt w:val="bullet"/>
      <w:lvlText w:val=""/>
      <w:lvlJc w:val="left"/>
      <w:pPr>
        <w:ind w:left="5040" w:hanging="360"/>
      </w:pPr>
      <w:rPr>
        <w:rFonts w:ascii="Symbol" w:hAnsi="Symbol" w:hint="default"/>
      </w:rPr>
    </w:lvl>
    <w:lvl w:ilvl="7" w:tplc="2C94A302" w:tentative="1">
      <w:start w:val="1"/>
      <w:numFmt w:val="bullet"/>
      <w:lvlText w:val="o"/>
      <w:lvlJc w:val="left"/>
      <w:pPr>
        <w:ind w:left="5760" w:hanging="360"/>
      </w:pPr>
      <w:rPr>
        <w:rFonts w:ascii="Courier New" w:hAnsi="Courier New" w:cs="Courier New" w:hint="default"/>
      </w:rPr>
    </w:lvl>
    <w:lvl w:ilvl="8" w:tplc="2AE6320E" w:tentative="1">
      <w:start w:val="1"/>
      <w:numFmt w:val="bullet"/>
      <w:lvlText w:val=""/>
      <w:lvlJc w:val="left"/>
      <w:pPr>
        <w:ind w:left="6480" w:hanging="360"/>
      </w:pPr>
      <w:rPr>
        <w:rFonts w:ascii="Wingdings" w:hAnsi="Wingdings" w:hint="default"/>
      </w:rPr>
    </w:lvl>
  </w:abstractNum>
  <w:abstractNum w:abstractNumId="33">
    <w:nsid w:val="737F2C69"/>
    <w:multiLevelType w:val="hybridMultilevel"/>
    <w:tmpl w:val="E9BA3190"/>
    <w:lvl w:ilvl="0" w:tplc="BD063F1C">
      <w:start w:val="1"/>
      <w:numFmt w:val="ordinal"/>
      <w:pStyle w:val="Nadpis2"/>
      <w:lvlText w:val="%1"/>
      <w:lvlJc w:val="left"/>
      <w:pPr>
        <w:ind w:left="720" w:hanging="360"/>
      </w:pPr>
      <w:rPr>
        <w:rFonts w:hint="default"/>
      </w:rPr>
    </w:lvl>
    <w:lvl w:ilvl="1" w:tplc="9822D050" w:tentative="1">
      <w:start w:val="1"/>
      <w:numFmt w:val="lowerLetter"/>
      <w:lvlText w:val="%2."/>
      <w:lvlJc w:val="left"/>
      <w:pPr>
        <w:ind w:left="1440" w:hanging="360"/>
      </w:pPr>
    </w:lvl>
    <w:lvl w:ilvl="2" w:tplc="350A1C70" w:tentative="1">
      <w:start w:val="1"/>
      <w:numFmt w:val="lowerRoman"/>
      <w:lvlText w:val="%3."/>
      <w:lvlJc w:val="right"/>
      <w:pPr>
        <w:ind w:left="2160" w:hanging="180"/>
      </w:pPr>
    </w:lvl>
    <w:lvl w:ilvl="3" w:tplc="406AB66C" w:tentative="1">
      <w:start w:val="1"/>
      <w:numFmt w:val="decimal"/>
      <w:lvlText w:val="%4."/>
      <w:lvlJc w:val="left"/>
      <w:pPr>
        <w:ind w:left="2880" w:hanging="360"/>
      </w:pPr>
    </w:lvl>
    <w:lvl w:ilvl="4" w:tplc="E8C8C988" w:tentative="1">
      <w:start w:val="1"/>
      <w:numFmt w:val="lowerLetter"/>
      <w:lvlText w:val="%5."/>
      <w:lvlJc w:val="left"/>
      <w:pPr>
        <w:ind w:left="3600" w:hanging="360"/>
      </w:pPr>
    </w:lvl>
    <w:lvl w:ilvl="5" w:tplc="DBEA4A70" w:tentative="1">
      <w:start w:val="1"/>
      <w:numFmt w:val="lowerRoman"/>
      <w:lvlText w:val="%6."/>
      <w:lvlJc w:val="right"/>
      <w:pPr>
        <w:ind w:left="4320" w:hanging="180"/>
      </w:pPr>
    </w:lvl>
    <w:lvl w:ilvl="6" w:tplc="0C5CA36E" w:tentative="1">
      <w:start w:val="1"/>
      <w:numFmt w:val="decimal"/>
      <w:lvlText w:val="%7."/>
      <w:lvlJc w:val="left"/>
      <w:pPr>
        <w:ind w:left="5040" w:hanging="360"/>
      </w:pPr>
    </w:lvl>
    <w:lvl w:ilvl="7" w:tplc="654A41AE" w:tentative="1">
      <w:start w:val="1"/>
      <w:numFmt w:val="lowerLetter"/>
      <w:lvlText w:val="%8."/>
      <w:lvlJc w:val="left"/>
      <w:pPr>
        <w:ind w:left="5760" w:hanging="360"/>
      </w:pPr>
    </w:lvl>
    <w:lvl w:ilvl="8" w:tplc="FC70E9F6" w:tentative="1">
      <w:start w:val="1"/>
      <w:numFmt w:val="lowerRoman"/>
      <w:lvlText w:val="%9."/>
      <w:lvlJc w:val="right"/>
      <w:pPr>
        <w:ind w:left="6480" w:hanging="180"/>
      </w:pPr>
    </w:lvl>
  </w:abstractNum>
  <w:abstractNum w:abstractNumId="34">
    <w:nsid w:val="771A00C1"/>
    <w:multiLevelType w:val="hybridMultilevel"/>
    <w:tmpl w:val="E04C622C"/>
    <w:lvl w:ilvl="0" w:tplc="D4C07CB2">
      <w:start w:val="1"/>
      <w:numFmt w:val="bullet"/>
      <w:lvlText w:val=""/>
      <w:lvlJc w:val="left"/>
      <w:pPr>
        <w:ind w:left="720" w:hanging="360"/>
      </w:pPr>
      <w:rPr>
        <w:rFonts w:ascii="Symbol" w:hAnsi="Symbol" w:hint="default"/>
      </w:rPr>
    </w:lvl>
    <w:lvl w:ilvl="1" w:tplc="2522E4A0" w:tentative="1">
      <w:start w:val="1"/>
      <w:numFmt w:val="bullet"/>
      <w:lvlText w:val="o"/>
      <w:lvlJc w:val="left"/>
      <w:pPr>
        <w:ind w:left="1440" w:hanging="360"/>
      </w:pPr>
      <w:rPr>
        <w:rFonts w:ascii="Courier New" w:hAnsi="Courier New" w:cs="Courier New" w:hint="default"/>
      </w:rPr>
    </w:lvl>
    <w:lvl w:ilvl="2" w:tplc="86A84276" w:tentative="1">
      <w:start w:val="1"/>
      <w:numFmt w:val="bullet"/>
      <w:lvlText w:val=""/>
      <w:lvlJc w:val="left"/>
      <w:pPr>
        <w:ind w:left="2160" w:hanging="360"/>
      </w:pPr>
      <w:rPr>
        <w:rFonts w:ascii="Wingdings" w:hAnsi="Wingdings" w:hint="default"/>
      </w:rPr>
    </w:lvl>
    <w:lvl w:ilvl="3" w:tplc="22F8C59A" w:tentative="1">
      <w:start w:val="1"/>
      <w:numFmt w:val="bullet"/>
      <w:lvlText w:val=""/>
      <w:lvlJc w:val="left"/>
      <w:pPr>
        <w:ind w:left="2880" w:hanging="360"/>
      </w:pPr>
      <w:rPr>
        <w:rFonts w:ascii="Symbol" w:hAnsi="Symbol" w:hint="default"/>
      </w:rPr>
    </w:lvl>
    <w:lvl w:ilvl="4" w:tplc="21786E06" w:tentative="1">
      <w:start w:val="1"/>
      <w:numFmt w:val="bullet"/>
      <w:lvlText w:val="o"/>
      <w:lvlJc w:val="left"/>
      <w:pPr>
        <w:ind w:left="3600" w:hanging="360"/>
      </w:pPr>
      <w:rPr>
        <w:rFonts w:ascii="Courier New" w:hAnsi="Courier New" w:cs="Courier New" w:hint="default"/>
      </w:rPr>
    </w:lvl>
    <w:lvl w:ilvl="5" w:tplc="3426ED1C" w:tentative="1">
      <w:start w:val="1"/>
      <w:numFmt w:val="bullet"/>
      <w:lvlText w:val=""/>
      <w:lvlJc w:val="left"/>
      <w:pPr>
        <w:ind w:left="4320" w:hanging="360"/>
      </w:pPr>
      <w:rPr>
        <w:rFonts w:ascii="Wingdings" w:hAnsi="Wingdings" w:hint="default"/>
      </w:rPr>
    </w:lvl>
    <w:lvl w:ilvl="6" w:tplc="0B74AC48" w:tentative="1">
      <w:start w:val="1"/>
      <w:numFmt w:val="bullet"/>
      <w:lvlText w:val=""/>
      <w:lvlJc w:val="left"/>
      <w:pPr>
        <w:ind w:left="5040" w:hanging="360"/>
      </w:pPr>
      <w:rPr>
        <w:rFonts w:ascii="Symbol" w:hAnsi="Symbol" w:hint="default"/>
      </w:rPr>
    </w:lvl>
    <w:lvl w:ilvl="7" w:tplc="E2B2590E" w:tentative="1">
      <w:start w:val="1"/>
      <w:numFmt w:val="bullet"/>
      <w:lvlText w:val="o"/>
      <w:lvlJc w:val="left"/>
      <w:pPr>
        <w:ind w:left="5760" w:hanging="360"/>
      </w:pPr>
      <w:rPr>
        <w:rFonts w:ascii="Courier New" w:hAnsi="Courier New" w:cs="Courier New" w:hint="default"/>
      </w:rPr>
    </w:lvl>
    <w:lvl w:ilvl="8" w:tplc="EA14B2BC" w:tentative="1">
      <w:start w:val="1"/>
      <w:numFmt w:val="bullet"/>
      <w:lvlText w:val=""/>
      <w:lvlJc w:val="left"/>
      <w:pPr>
        <w:ind w:left="6480" w:hanging="360"/>
      </w:pPr>
      <w:rPr>
        <w:rFonts w:ascii="Wingdings" w:hAnsi="Wingdings" w:hint="default"/>
      </w:rPr>
    </w:lvl>
  </w:abstractNum>
  <w:abstractNum w:abstractNumId="35">
    <w:nsid w:val="7A8345D4"/>
    <w:multiLevelType w:val="hybridMultilevel"/>
    <w:tmpl w:val="C6CE540A"/>
    <w:lvl w:ilvl="0" w:tplc="67ACAF5E">
      <w:start w:val="2"/>
      <w:numFmt w:val="bullet"/>
      <w:lvlText w:val="-"/>
      <w:lvlJc w:val="left"/>
      <w:pPr>
        <w:ind w:left="1080" w:hanging="360"/>
      </w:pPr>
      <w:rPr>
        <w:rFonts w:ascii="Calibri" w:eastAsia="Times New Roman" w:hAnsi="Calibri" w:cs="Calibri" w:hint="default"/>
      </w:rPr>
    </w:lvl>
    <w:lvl w:ilvl="1" w:tplc="3EE89E60" w:tentative="1">
      <w:start w:val="1"/>
      <w:numFmt w:val="bullet"/>
      <w:lvlText w:val="o"/>
      <w:lvlJc w:val="left"/>
      <w:pPr>
        <w:ind w:left="1800" w:hanging="360"/>
      </w:pPr>
      <w:rPr>
        <w:rFonts w:ascii="Courier New" w:hAnsi="Courier New" w:cs="Courier New" w:hint="default"/>
      </w:rPr>
    </w:lvl>
    <w:lvl w:ilvl="2" w:tplc="66A688E0" w:tentative="1">
      <w:start w:val="1"/>
      <w:numFmt w:val="bullet"/>
      <w:lvlText w:val=""/>
      <w:lvlJc w:val="left"/>
      <w:pPr>
        <w:ind w:left="2520" w:hanging="360"/>
      </w:pPr>
      <w:rPr>
        <w:rFonts w:ascii="Wingdings" w:hAnsi="Wingdings" w:hint="default"/>
      </w:rPr>
    </w:lvl>
    <w:lvl w:ilvl="3" w:tplc="60F2AC80" w:tentative="1">
      <w:start w:val="1"/>
      <w:numFmt w:val="bullet"/>
      <w:lvlText w:val=""/>
      <w:lvlJc w:val="left"/>
      <w:pPr>
        <w:ind w:left="3240" w:hanging="360"/>
      </w:pPr>
      <w:rPr>
        <w:rFonts w:ascii="Symbol" w:hAnsi="Symbol" w:hint="default"/>
      </w:rPr>
    </w:lvl>
    <w:lvl w:ilvl="4" w:tplc="1A84B34A" w:tentative="1">
      <w:start w:val="1"/>
      <w:numFmt w:val="bullet"/>
      <w:lvlText w:val="o"/>
      <w:lvlJc w:val="left"/>
      <w:pPr>
        <w:ind w:left="3960" w:hanging="360"/>
      </w:pPr>
      <w:rPr>
        <w:rFonts w:ascii="Courier New" w:hAnsi="Courier New" w:cs="Courier New" w:hint="default"/>
      </w:rPr>
    </w:lvl>
    <w:lvl w:ilvl="5" w:tplc="A44EDB80" w:tentative="1">
      <w:start w:val="1"/>
      <w:numFmt w:val="bullet"/>
      <w:lvlText w:val=""/>
      <w:lvlJc w:val="left"/>
      <w:pPr>
        <w:ind w:left="4680" w:hanging="360"/>
      </w:pPr>
      <w:rPr>
        <w:rFonts w:ascii="Wingdings" w:hAnsi="Wingdings" w:hint="default"/>
      </w:rPr>
    </w:lvl>
    <w:lvl w:ilvl="6" w:tplc="3E22EB1C" w:tentative="1">
      <w:start w:val="1"/>
      <w:numFmt w:val="bullet"/>
      <w:lvlText w:val=""/>
      <w:lvlJc w:val="left"/>
      <w:pPr>
        <w:ind w:left="5400" w:hanging="360"/>
      </w:pPr>
      <w:rPr>
        <w:rFonts w:ascii="Symbol" w:hAnsi="Symbol" w:hint="default"/>
      </w:rPr>
    </w:lvl>
    <w:lvl w:ilvl="7" w:tplc="2F762880" w:tentative="1">
      <w:start w:val="1"/>
      <w:numFmt w:val="bullet"/>
      <w:lvlText w:val="o"/>
      <w:lvlJc w:val="left"/>
      <w:pPr>
        <w:ind w:left="6120" w:hanging="360"/>
      </w:pPr>
      <w:rPr>
        <w:rFonts w:ascii="Courier New" w:hAnsi="Courier New" w:cs="Courier New" w:hint="default"/>
      </w:rPr>
    </w:lvl>
    <w:lvl w:ilvl="8" w:tplc="3B0C9526"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3"/>
  </w:num>
  <w:num w:numId="4">
    <w:abstractNumId w:val="12"/>
  </w:num>
  <w:num w:numId="5">
    <w:abstractNumId w:val="19"/>
  </w:num>
  <w:num w:numId="6">
    <w:abstractNumId w:val="2"/>
  </w:num>
  <w:num w:numId="7">
    <w:abstractNumId w:val="23"/>
  </w:num>
  <w:num w:numId="8">
    <w:abstractNumId w:val="10"/>
  </w:num>
  <w:num w:numId="9">
    <w:abstractNumId w:val="8"/>
  </w:num>
  <w:num w:numId="10">
    <w:abstractNumId w:val="35"/>
  </w:num>
  <w:num w:numId="11">
    <w:abstractNumId w:val="9"/>
  </w:num>
  <w:num w:numId="12">
    <w:abstractNumId w:val="15"/>
  </w:num>
  <w:num w:numId="13">
    <w:abstractNumId w:val="17"/>
  </w:num>
  <w:num w:numId="14">
    <w:abstractNumId w:val="11"/>
  </w:num>
  <w:num w:numId="15">
    <w:abstractNumId w:val="26"/>
  </w:num>
  <w:num w:numId="16">
    <w:abstractNumId w:val="33"/>
  </w:num>
  <w:num w:numId="17">
    <w:abstractNumId w:val="13"/>
  </w:num>
  <w:num w:numId="18">
    <w:abstractNumId w:val="28"/>
  </w:num>
  <w:num w:numId="19">
    <w:abstractNumId w:val="25"/>
  </w:num>
  <w:num w:numId="20">
    <w:abstractNumId w:val="1"/>
  </w:num>
  <w:num w:numId="21">
    <w:abstractNumId w:val="32"/>
  </w:num>
  <w:num w:numId="22">
    <w:abstractNumId w:val="14"/>
  </w:num>
  <w:num w:numId="23">
    <w:abstractNumId w:val="20"/>
  </w:num>
  <w:num w:numId="24">
    <w:abstractNumId w:val="34"/>
  </w:num>
  <w:num w:numId="25">
    <w:abstractNumId w:val="21"/>
  </w:num>
  <w:num w:numId="26">
    <w:abstractNumId w:val="24"/>
  </w:num>
  <w:num w:numId="27">
    <w:abstractNumId w:val="4"/>
  </w:num>
  <w:num w:numId="28">
    <w:abstractNumId w:val="18"/>
  </w:num>
  <w:num w:numId="29">
    <w:abstractNumId w:val="7"/>
  </w:num>
  <w:num w:numId="30">
    <w:abstractNumId w:val="22"/>
  </w:num>
  <w:num w:numId="31">
    <w:abstractNumId w:val="6"/>
  </w:num>
  <w:num w:numId="32">
    <w:abstractNumId w:val="16"/>
  </w:num>
  <w:num w:numId="33">
    <w:abstractNumId w:val="30"/>
  </w:num>
  <w:num w:numId="34">
    <w:abstractNumId w:val="27"/>
  </w:num>
  <w:num w:numId="35">
    <w:abstractNumId w:val="29"/>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16"/>
    <w:rsid w:val="00001AE3"/>
    <w:rsid w:val="000115DF"/>
    <w:rsid w:val="00011D76"/>
    <w:rsid w:val="00030350"/>
    <w:rsid w:val="00031972"/>
    <w:rsid w:val="00043578"/>
    <w:rsid w:val="00065049"/>
    <w:rsid w:val="00075E33"/>
    <w:rsid w:val="00084C8D"/>
    <w:rsid w:val="00087790"/>
    <w:rsid w:val="0009352C"/>
    <w:rsid w:val="000C69AA"/>
    <w:rsid w:val="000D2E03"/>
    <w:rsid w:val="000E2645"/>
    <w:rsid w:val="000E64ED"/>
    <w:rsid w:val="000E6E8A"/>
    <w:rsid w:val="00100B52"/>
    <w:rsid w:val="00113694"/>
    <w:rsid w:val="0011516E"/>
    <w:rsid w:val="0013778F"/>
    <w:rsid w:val="00141C02"/>
    <w:rsid w:val="00146851"/>
    <w:rsid w:val="0015008D"/>
    <w:rsid w:val="0015218F"/>
    <w:rsid w:val="00164C64"/>
    <w:rsid w:val="00170F04"/>
    <w:rsid w:val="0017485E"/>
    <w:rsid w:val="001754F2"/>
    <w:rsid w:val="00194849"/>
    <w:rsid w:val="001A03FE"/>
    <w:rsid w:val="001A3128"/>
    <w:rsid w:val="001A3677"/>
    <w:rsid w:val="001B1C1D"/>
    <w:rsid w:val="001B3FBC"/>
    <w:rsid w:val="001C23C9"/>
    <w:rsid w:val="001F0350"/>
    <w:rsid w:val="00201F23"/>
    <w:rsid w:val="00207F1C"/>
    <w:rsid w:val="00220464"/>
    <w:rsid w:val="00251183"/>
    <w:rsid w:val="002715E5"/>
    <w:rsid w:val="00283B3A"/>
    <w:rsid w:val="00284256"/>
    <w:rsid w:val="00290808"/>
    <w:rsid w:val="00295B3E"/>
    <w:rsid w:val="002C2A20"/>
    <w:rsid w:val="002C3645"/>
    <w:rsid w:val="002D19FF"/>
    <w:rsid w:val="002E37DE"/>
    <w:rsid w:val="002E6C77"/>
    <w:rsid w:val="002F3222"/>
    <w:rsid w:val="002F6489"/>
    <w:rsid w:val="00316CC1"/>
    <w:rsid w:val="0032359D"/>
    <w:rsid w:val="00323B8A"/>
    <w:rsid w:val="003250C0"/>
    <w:rsid w:val="00335987"/>
    <w:rsid w:val="003408B6"/>
    <w:rsid w:val="00345538"/>
    <w:rsid w:val="00362142"/>
    <w:rsid w:val="0036561D"/>
    <w:rsid w:val="003735FE"/>
    <w:rsid w:val="00377B8F"/>
    <w:rsid w:val="003B5064"/>
    <w:rsid w:val="003C3D75"/>
    <w:rsid w:val="003E5A55"/>
    <w:rsid w:val="003F3779"/>
    <w:rsid w:val="003F4DB6"/>
    <w:rsid w:val="00412E84"/>
    <w:rsid w:val="00413F48"/>
    <w:rsid w:val="004156B3"/>
    <w:rsid w:val="00425E37"/>
    <w:rsid w:val="00477CCF"/>
    <w:rsid w:val="0049391F"/>
    <w:rsid w:val="00494BF9"/>
    <w:rsid w:val="004C62B2"/>
    <w:rsid w:val="004D04A5"/>
    <w:rsid w:val="004D3D95"/>
    <w:rsid w:val="004E531E"/>
    <w:rsid w:val="004F6AA3"/>
    <w:rsid w:val="00500905"/>
    <w:rsid w:val="00512264"/>
    <w:rsid w:val="00535091"/>
    <w:rsid w:val="0054493F"/>
    <w:rsid w:val="00545450"/>
    <w:rsid w:val="00563D59"/>
    <w:rsid w:val="00563DC4"/>
    <w:rsid w:val="0057142C"/>
    <w:rsid w:val="00574AF6"/>
    <w:rsid w:val="005858BE"/>
    <w:rsid w:val="00591BE4"/>
    <w:rsid w:val="005967AA"/>
    <w:rsid w:val="005B2A0C"/>
    <w:rsid w:val="005D19E3"/>
    <w:rsid w:val="00614062"/>
    <w:rsid w:val="00627C04"/>
    <w:rsid w:val="006466EA"/>
    <w:rsid w:val="00654F98"/>
    <w:rsid w:val="00655165"/>
    <w:rsid w:val="006572A5"/>
    <w:rsid w:val="00662B3E"/>
    <w:rsid w:val="00663644"/>
    <w:rsid w:val="006771A8"/>
    <w:rsid w:val="0068634E"/>
    <w:rsid w:val="006964D6"/>
    <w:rsid w:val="00696AB9"/>
    <w:rsid w:val="006B5588"/>
    <w:rsid w:val="006B7279"/>
    <w:rsid w:val="006C7ED3"/>
    <w:rsid w:val="006E434C"/>
    <w:rsid w:val="0070199B"/>
    <w:rsid w:val="00717324"/>
    <w:rsid w:val="007206EC"/>
    <w:rsid w:val="00730B8C"/>
    <w:rsid w:val="0074102A"/>
    <w:rsid w:val="007445B2"/>
    <w:rsid w:val="00754B0B"/>
    <w:rsid w:val="00755596"/>
    <w:rsid w:val="00756BA8"/>
    <w:rsid w:val="0076067B"/>
    <w:rsid w:val="0076189E"/>
    <w:rsid w:val="00761EB6"/>
    <w:rsid w:val="00770AD1"/>
    <w:rsid w:val="0077204B"/>
    <w:rsid w:val="00773C32"/>
    <w:rsid w:val="00775960"/>
    <w:rsid w:val="00794235"/>
    <w:rsid w:val="00794ADC"/>
    <w:rsid w:val="007A5C44"/>
    <w:rsid w:val="007B49A7"/>
    <w:rsid w:val="007B6CE8"/>
    <w:rsid w:val="007C08C5"/>
    <w:rsid w:val="007F694C"/>
    <w:rsid w:val="00804849"/>
    <w:rsid w:val="00817A5D"/>
    <w:rsid w:val="00825D5A"/>
    <w:rsid w:val="00837CDC"/>
    <w:rsid w:val="00843C10"/>
    <w:rsid w:val="0084400A"/>
    <w:rsid w:val="00846383"/>
    <w:rsid w:val="00860325"/>
    <w:rsid w:val="00881596"/>
    <w:rsid w:val="00882E6B"/>
    <w:rsid w:val="0088428B"/>
    <w:rsid w:val="008920BF"/>
    <w:rsid w:val="0089615E"/>
    <w:rsid w:val="008B0FC9"/>
    <w:rsid w:val="008B1D8D"/>
    <w:rsid w:val="008B4836"/>
    <w:rsid w:val="008C2D70"/>
    <w:rsid w:val="008C3BC7"/>
    <w:rsid w:val="008F0E24"/>
    <w:rsid w:val="008F3752"/>
    <w:rsid w:val="0090007D"/>
    <w:rsid w:val="00900718"/>
    <w:rsid w:val="009034EF"/>
    <w:rsid w:val="009050A5"/>
    <w:rsid w:val="009120FE"/>
    <w:rsid w:val="00921AF8"/>
    <w:rsid w:val="009638AA"/>
    <w:rsid w:val="00966683"/>
    <w:rsid w:val="009718F2"/>
    <w:rsid w:val="00973721"/>
    <w:rsid w:val="009953DF"/>
    <w:rsid w:val="009D4E20"/>
    <w:rsid w:val="009D6016"/>
    <w:rsid w:val="009D6E07"/>
    <w:rsid w:val="009E2120"/>
    <w:rsid w:val="00A132E1"/>
    <w:rsid w:val="00A1362F"/>
    <w:rsid w:val="00A16233"/>
    <w:rsid w:val="00A2436A"/>
    <w:rsid w:val="00A24BBB"/>
    <w:rsid w:val="00A437CF"/>
    <w:rsid w:val="00A513E8"/>
    <w:rsid w:val="00A64121"/>
    <w:rsid w:val="00A67806"/>
    <w:rsid w:val="00A83C69"/>
    <w:rsid w:val="00A942D2"/>
    <w:rsid w:val="00A96CE8"/>
    <w:rsid w:val="00A970F4"/>
    <w:rsid w:val="00AA5E13"/>
    <w:rsid w:val="00AB2A4D"/>
    <w:rsid w:val="00AC331C"/>
    <w:rsid w:val="00AC736D"/>
    <w:rsid w:val="00AD739E"/>
    <w:rsid w:val="00AE256D"/>
    <w:rsid w:val="00AF23E1"/>
    <w:rsid w:val="00AF339C"/>
    <w:rsid w:val="00B1210C"/>
    <w:rsid w:val="00B3744C"/>
    <w:rsid w:val="00B43853"/>
    <w:rsid w:val="00B55444"/>
    <w:rsid w:val="00B56E27"/>
    <w:rsid w:val="00B64203"/>
    <w:rsid w:val="00B65FFD"/>
    <w:rsid w:val="00B67DAD"/>
    <w:rsid w:val="00B75408"/>
    <w:rsid w:val="00B75FE3"/>
    <w:rsid w:val="00B81F3E"/>
    <w:rsid w:val="00BA6AE2"/>
    <w:rsid w:val="00BA7AFC"/>
    <w:rsid w:val="00BB1820"/>
    <w:rsid w:val="00BC3C55"/>
    <w:rsid w:val="00BD2D8E"/>
    <w:rsid w:val="00BD31CA"/>
    <w:rsid w:val="00BE11D6"/>
    <w:rsid w:val="00BE21BE"/>
    <w:rsid w:val="00BE5534"/>
    <w:rsid w:val="00C06BF6"/>
    <w:rsid w:val="00C20954"/>
    <w:rsid w:val="00C35EA2"/>
    <w:rsid w:val="00C3795A"/>
    <w:rsid w:val="00C41CDB"/>
    <w:rsid w:val="00C53F18"/>
    <w:rsid w:val="00C650FD"/>
    <w:rsid w:val="00C66FD8"/>
    <w:rsid w:val="00C82F7F"/>
    <w:rsid w:val="00C85442"/>
    <w:rsid w:val="00CC27E7"/>
    <w:rsid w:val="00CC373B"/>
    <w:rsid w:val="00CE7FED"/>
    <w:rsid w:val="00CF06FA"/>
    <w:rsid w:val="00D01BF3"/>
    <w:rsid w:val="00D2112A"/>
    <w:rsid w:val="00D24699"/>
    <w:rsid w:val="00D30258"/>
    <w:rsid w:val="00D331F3"/>
    <w:rsid w:val="00D363EE"/>
    <w:rsid w:val="00D37727"/>
    <w:rsid w:val="00D51FC5"/>
    <w:rsid w:val="00D72156"/>
    <w:rsid w:val="00D7533F"/>
    <w:rsid w:val="00D813EB"/>
    <w:rsid w:val="00D84051"/>
    <w:rsid w:val="00DA29B2"/>
    <w:rsid w:val="00DB0CB5"/>
    <w:rsid w:val="00DB19F4"/>
    <w:rsid w:val="00DB295F"/>
    <w:rsid w:val="00DC5E83"/>
    <w:rsid w:val="00DD33A4"/>
    <w:rsid w:val="00DD728D"/>
    <w:rsid w:val="00DE5622"/>
    <w:rsid w:val="00DF328E"/>
    <w:rsid w:val="00E03281"/>
    <w:rsid w:val="00E219F1"/>
    <w:rsid w:val="00E2724F"/>
    <w:rsid w:val="00E4215C"/>
    <w:rsid w:val="00E57F34"/>
    <w:rsid w:val="00E655BE"/>
    <w:rsid w:val="00E676A7"/>
    <w:rsid w:val="00E7535E"/>
    <w:rsid w:val="00E81E0E"/>
    <w:rsid w:val="00E839A2"/>
    <w:rsid w:val="00E84D37"/>
    <w:rsid w:val="00E90BC9"/>
    <w:rsid w:val="00E9123F"/>
    <w:rsid w:val="00E93D53"/>
    <w:rsid w:val="00E95FDA"/>
    <w:rsid w:val="00EB5DB5"/>
    <w:rsid w:val="00EC7C16"/>
    <w:rsid w:val="00ED28AF"/>
    <w:rsid w:val="00ED6D82"/>
    <w:rsid w:val="00F04C4C"/>
    <w:rsid w:val="00F17305"/>
    <w:rsid w:val="00F31C16"/>
    <w:rsid w:val="00F356B4"/>
    <w:rsid w:val="00F61AE6"/>
    <w:rsid w:val="00F6255B"/>
    <w:rsid w:val="00F754DC"/>
    <w:rsid w:val="00F806C2"/>
    <w:rsid w:val="00F85ECC"/>
    <w:rsid w:val="00FB008F"/>
    <w:rsid w:val="00FB34AE"/>
    <w:rsid w:val="00FB5D8E"/>
    <w:rsid w:val="00FB6AFC"/>
    <w:rsid w:val="00FC6168"/>
    <w:rsid w:val="00FD1A44"/>
    <w:rsid w:val="00FE188E"/>
    <w:rsid w:val="00FE1EBD"/>
    <w:rsid w:val="00FE2D42"/>
    <w:rsid w:val="00FE3353"/>
    <w:rsid w:val="00FE6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7FB15"/>
  <w15:docId w15:val="{55F98874-3134-4EBD-91E2-8150A79A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5EFC"/>
    <w:pPr>
      <w:spacing w:after="0" w:line="240" w:lineRule="auto"/>
      <w:jc w:val="both"/>
    </w:pPr>
    <w:rPr>
      <w:rFonts w:eastAsia="Times New Roman" w:cs="Times New Roman"/>
      <w:sz w:val="24"/>
      <w:szCs w:val="24"/>
      <w:lang w:eastAsia="cs-CZ"/>
    </w:rPr>
  </w:style>
  <w:style w:type="paragraph" w:styleId="Nadpis1">
    <w:name w:val="heading 1"/>
    <w:basedOn w:val="Normln"/>
    <w:next w:val="Normln"/>
    <w:link w:val="Nadpis1Char1"/>
    <w:uiPriority w:val="99"/>
    <w:qFormat/>
    <w:rsid w:val="00E37D39"/>
    <w:pPr>
      <w:keepNext/>
      <w:keepLines/>
      <w:suppressAutoHyphens/>
      <w:overflowPunct w:val="0"/>
      <w:autoSpaceDE w:val="0"/>
      <w:autoSpaceDN w:val="0"/>
      <w:adjustRightInd w:val="0"/>
      <w:spacing w:before="120" w:after="120"/>
      <w:jc w:val="center"/>
      <w:textAlignment w:val="baseline"/>
      <w:outlineLvl w:val="0"/>
    </w:pPr>
    <w:rPr>
      <w:b/>
      <w:kern w:val="36"/>
      <w:sz w:val="28"/>
      <w:szCs w:val="20"/>
    </w:rPr>
  </w:style>
  <w:style w:type="paragraph" w:styleId="Nadpis2">
    <w:name w:val="heading 2"/>
    <w:basedOn w:val="Normln"/>
    <w:next w:val="Normln"/>
    <w:link w:val="Nadpis2Char1"/>
    <w:uiPriority w:val="99"/>
    <w:qFormat/>
    <w:rsid w:val="002178AA"/>
    <w:pPr>
      <w:keepNext/>
      <w:numPr>
        <w:numId w:val="16"/>
      </w:numPr>
      <w:spacing w:before="120" w:after="120"/>
      <w:ind w:left="0" w:firstLine="0"/>
      <w:outlineLvl w:val="1"/>
    </w:pPr>
    <w:rPr>
      <w:b/>
      <w:bCs/>
      <w:iCs/>
      <w:szCs w:val="28"/>
    </w:rPr>
  </w:style>
  <w:style w:type="paragraph" w:styleId="Nadpis3">
    <w:name w:val="heading 3"/>
    <w:basedOn w:val="Normln"/>
    <w:next w:val="Normln"/>
    <w:link w:val="Nadpis3Char1"/>
    <w:uiPriority w:val="99"/>
    <w:qFormat/>
    <w:rsid w:val="00930786"/>
    <w:pPr>
      <w:keepNext/>
      <w:keepLines/>
      <w:spacing w:before="200"/>
      <w:outlineLvl w:val="2"/>
    </w:pPr>
    <w:rPr>
      <w:b/>
      <w:bCs/>
      <w:color w:val="000000" w:themeColor="text1"/>
    </w:rPr>
  </w:style>
  <w:style w:type="paragraph" w:styleId="Nadpis4">
    <w:name w:val="heading 4"/>
    <w:basedOn w:val="Normln"/>
    <w:next w:val="Normln"/>
    <w:link w:val="Nadpis4Char1"/>
    <w:uiPriority w:val="99"/>
    <w:qFormat/>
    <w:rsid w:val="002374D8"/>
    <w:pPr>
      <w:keepNext/>
      <w:spacing w:before="240" w:after="60"/>
      <w:outlineLvl w:val="3"/>
    </w:pPr>
    <w:rPr>
      <w:rFonts w:ascii="Calibri" w:hAnsi="Calibri"/>
      <w:b/>
      <w:bCs/>
      <w:sz w:val="28"/>
      <w:szCs w:val="28"/>
    </w:rPr>
  </w:style>
  <w:style w:type="paragraph" w:styleId="Nadpis5">
    <w:name w:val="heading 5"/>
    <w:basedOn w:val="Normln"/>
    <w:next w:val="Normln"/>
    <w:link w:val="Nadpis5Char1"/>
    <w:uiPriority w:val="99"/>
    <w:qFormat/>
    <w:rsid w:val="002374D8"/>
    <w:pPr>
      <w:spacing w:before="240" w:after="60"/>
      <w:outlineLvl w:val="4"/>
    </w:pPr>
    <w:rPr>
      <w:rFonts w:ascii="Calibri" w:hAnsi="Calibri"/>
      <w:b/>
      <w:bCs/>
      <w:i/>
      <w:iCs/>
      <w:sz w:val="26"/>
      <w:szCs w:val="26"/>
    </w:rPr>
  </w:style>
  <w:style w:type="paragraph" w:styleId="Nadpis9">
    <w:name w:val="heading 9"/>
    <w:basedOn w:val="Normln"/>
    <w:next w:val="Normln"/>
    <w:link w:val="Nadpis9Char1"/>
    <w:uiPriority w:val="99"/>
    <w:qFormat/>
    <w:rsid w:val="002374D8"/>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uiPriority w:val="99"/>
    <w:rsid w:val="002374D8"/>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uiPriority w:val="99"/>
    <w:rsid w:val="002374D8"/>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uiPriority w:val="99"/>
    <w:rsid w:val="002374D8"/>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uiPriority w:val="99"/>
    <w:rsid w:val="002374D8"/>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uiPriority w:val="99"/>
    <w:semiHidden/>
    <w:rsid w:val="002374D8"/>
    <w:rPr>
      <w:rFonts w:asciiTheme="majorHAnsi" w:eastAsiaTheme="majorEastAsia" w:hAnsiTheme="majorHAnsi" w:cstheme="majorBidi"/>
      <w:color w:val="2E74B5" w:themeColor="accent1" w:themeShade="BF"/>
      <w:sz w:val="24"/>
      <w:szCs w:val="24"/>
      <w:lang w:eastAsia="cs-CZ"/>
    </w:rPr>
  </w:style>
  <w:style w:type="character" w:customStyle="1" w:styleId="Nadpis9Char">
    <w:name w:val="Nadpis 9 Char"/>
    <w:basedOn w:val="Standardnpsmoodstavce"/>
    <w:uiPriority w:val="99"/>
    <w:semiHidden/>
    <w:rsid w:val="002374D8"/>
    <w:rPr>
      <w:rFonts w:asciiTheme="majorHAnsi" w:eastAsiaTheme="majorEastAsia" w:hAnsiTheme="majorHAnsi" w:cstheme="majorBidi"/>
      <w:i/>
      <w:iCs/>
      <w:color w:val="272727" w:themeColor="text1" w:themeTint="D8"/>
      <w:sz w:val="21"/>
      <w:szCs w:val="21"/>
      <w:lang w:eastAsia="cs-CZ"/>
    </w:rPr>
  </w:style>
  <w:style w:type="character" w:customStyle="1" w:styleId="Nadpis1Char1">
    <w:name w:val="Nadpis 1 Char1"/>
    <w:basedOn w:val="Standardnpsmoodstavce"/>
    <w:link w:val="Nadpis1"/>
    <w:uiPriority w:val="99"/>
    <w:locked/>
    <w:rsid w:val="00E37D39"/>
    <w:rPr>
      <w:rFonts w:eastAsia="Times New Roman" w:cs="Times New Roman"/>
      <w:b/>
      <w:kern w:val="36"/>
      <w:sz w:val="28"/>
      <w:szCs w:val="20"/>
      <w:lang w:eastAsia="cs-CZ"/>
    </w:rPr>
  </w:style>
  <w:style w:type="character" w:customStyle="1" w:styleId="Nadpis2Char1">
    <w:name w:val="Nadpis 2 Char1"/>
    <w:basedOn w:val="Standardnpsmoodstavce"/>
    <w:link w:val="Nadpis2"/>
    <w:uiPriority w:val="99"/>
    <w:locked/>
    <w:rsid w:val="002178AA"/>
    <w:rPr>
      <w:rFonts w:eastAsia="Times New Roman" w:cs="Times New Roman"/>
      <w:b/>
      <w:bCs/>
      <w:iCs/>
      <w:sz w:val="24"/>
      <w:szCs w:val="28"/>
      <w:lang w:eastAsia="cs-CZ"/>
    </w:rPr>
  </w:style>
  <w:style w:type="character" w:customStyle="1" w:styleId="Nadpis3Char1">
    <w:name w:val="Nadpis 3 Char1"/>
    <w:basedOn w:val="Standardnpsmoodstavce"/>
    <w:link w:val="Nadpis3"/>
    <w:uiPriority w:val="99"/>
    <w:locked/>
    <w:rsid w:val="00930786"/>
    <w:rPr>
      <w:rFonts w:eastAsia="Times New Roman" w:cs="Times New Roman"/>
      <w:b/>
      <w:bCs/>
      <w:color w:val="000000" w:themeColor="text1"/>
      <w:sz w:val="24"/>
      <w:szCs w:val="24"/>
      <w:lang w:eastAsia="cs-CZ"/>
    </w:rPr>
  </w:style>
  <w:style w:type="character" w:customStyle="1" w:styleId="Nadpis4Char1">
    <w:name w:val="Nadpis 4 Char1"/>
    <w:basedOn w:val="Standardnpsmoodstavce"/>
    <w:link w:val="Nadpis4"/>
    <w:uiPriority w:val="99"/>
    <w:locked/>
    <w:rsid w:val="002374D8"/>
    <w:rPr>
      <w:rFonts w:ascii="Calibri" w:eastAsia="Times New Roman" w:hAnsi="Calibri" w:cs="Times New Roman"/>
      <w:b/>
      <w:bCs/>
      <w:sz w:val="28"/>
      <w:szCs w:val="28"/>
      <w:lang w:eastAsia="cs-CZ"/>
    </w:rPr>
  </w:style>
  <w:style w:type="character" w:customStyle="1" w:styleId="Nadpis5Char1">
    <w:name w:val="Nadpis 5 Char1"/>
    <w:basedOn w:val="Standardnpsmoodstavce"/>
    <w:link w:val="Nadpis5"/>
    <w:uiPriority w:val="99"/>
    <w:locked/>
    <w:rsid w:val="002374D8"/>
    <w:rPr>
      <w:rFonts w:ascii="Calibri" w:eastAsia="Times New Roman" w:hAnsi="Calibri" w:cs="Times New Roman"/>
      <w:b/>
      <w:bCs/>
      <w:i/>
      <w:iCs/>
      <w:sz w:val="26"/>
      <w:szCs w:val="26"/>
      <w:lang w:eastAsia="cs-CZ"/>
    </w:rPr>
  </w:style>
  <w:style w:type="character" w:customStyle="1" w:styleId="Nadpis9Char1">
    <w:name w:val="Nadpis 9 Char1"/>
    <w:basedOn w:val="Standardnpsmoodstavce"/>
    <w:link w:val="Nadpis9"/>
    <w:uiPriority w:val="99"/>
    <w:locked/>
    <w:rsid w:val="002374D8"/>
    <w:rPr>
      <w:rFonts w:ascii="Cambria" w:eastAsia="Times New Roman" w:hAnsi="Cambria" w:cs="Times New Roman"/>
      <w:lang w:eastAsia="cs-CZ"/>
    </w:rPr>
  </w:style>
  <w:style w:type="paragraph" w:styleId="Vrazncitt">
    <w:name w:val="Intense Quote"/>
    <w:basedOn w:val="Normln"/>
    <w:next w:val="Normln"/>
    <w:link w:val="VrazncittChar"/>
    <w:uiPriority w:val="99"/>
    <w:qFormat/>
    <w:rsid w:val="002374D8"/>
    <w:pPr>
      <w:pBdr>
        <w:bottom w:val="single" w:sz="4" w:space="4" w:color="4F81BD"/>
      </w:pBdr>
      <w:spacing w:before="200" w:after="280"/>
      <w:ind w:left="936" w:right="936"/>
    </w:pPr>
    <w:rPr>
      <w:b/>
      <w:bCs/>
      <w:i/>
      <w:iCs/>
      <w:color w:val="4F81BD"/>
    </w:rPr>
  </w:style>
  <w:style w:type="character" w:customStyle="1" w:styleId="VrazncittChar">
    <w:name w:val="Výrazný citát Char"/>
    <w:basedOn w:val="Standardnpsmoodstavce"/>
    <w:link w:val="Vrazncitt"/>
    <w:uiPriority w:val="99"/>
    <w:rsid w:val="002374D8"/>
    <w:rPr>
      <w:rFonts w:ascii="Arial" w:eastAsia="Times New Roman" w:hAnsi="Arial" w:cs="Times New Roman"/>
      <w:b/>
      <w:bCs/>
      <w:i/>
      <w:iCs/>
      <w:color w:val="4F81BD"/>
      <w:sz w:val="24"/>
      <w:szCs w:val="24"/>
      <w:lang w:eastAsia="cs-CZ"/>
    </w:rPr>
  </w:style>
  <w:style w:type="character" w:customStyle="1" w:styleId="CitaceintenzivnChar">
    <w:name w:val="Citace – intenzivní Char"/>
    <w:basedOn w:val="Standardnpsmoodstavce"/>
    <w:uiPriority w:val="99"/>
    <w:rsid w:val="002374D8"/>
    <w:rPr>
      <w:rFonts w:cs="Times New Roman"/>
      <w:b/>
      <w:bCs/>
      <w:i/>
      <w:iCs/>
      <w:color w:val="4F81BD"/>
      <w:sz w:val="24"/>
      <w:szCs w:val="24"/>
    </w:rPr>
  </w:style>
  <w:style w:type="character" w:styleId="Zdraznnintenzivn">
    <w:name w:val="Intense Emphasis"/>
    <w:basedOn w:val="Standardnpsmoodstavce"/>
    <w:uiPriority w:val="99"/>
    <w:qFormat/>
    <w:rsid w:val="002374D8"/>
    <w:rPr>
      <w:rFonts w:cs="Times New Roman"/>
      <w:b/>
      <w:bCs/>
      <w:i/>
      <w:iCs/>
      <w:color w:val="4F81BD"/>
    </w:rPr>
  </w:style>
  <w:style w:type="paragraph" w:customStyle="1" w:styleId="Bn">
    <w:name w:val="Běžný"/>
    <w:basedOn w:val="Normln"/>
    <w:uiPriority w:val="99"/>
    <w:rsid w:val="002374D8"/>
    <w:pPr>
      <w:spacing w:before="40" w:line="276" w:lineRule="auto"/>
      <w:ind w:firstLine="284"/>
    </w:pPr>
    <w:rPr>
      <w:rFonts w:ascii="Palatino Linotype" w:hAnsi="Palatino Linotype"/>
      <w:sz w:val="22"/>
      <w:szCs w:val="22"/>
    </w:rPr>
  </w:style>
  <w:style w:type="paragraph" w:styleId="Zkladntext3">
    <w:name w:val="Body Text 3"/>
    <w:basedOn w:val="Normln"/>
    <w:link w:val="Zkladntext3Char1"/>
    <w:uiPriority w:val="99"/>
    <w:rsid w:val="002374D8"/>
    <w:pPr>
      <w:spacing w:after="120"/>
    </w:pPr>
    <w:rPr>
      <w:sz w:val="16"/>
      <w:szCs w:val="16"/>
      <w:lang w:eastAsia="en-US"/>
    </w:rPr>
  </w:style>
  <w:style w:type="character" w:customStyle="1" w:styleId="Zkladntext3Char">
    <w:name w:val="Základní text 3 Char"/>
    <w:basedOn w:val="Standardnpsmoodstavce"/>
    <w:uiPriority w:val="99"/>
    <w:rsid w:val="002374D8"/>
    <w:rPr>
      <w:rFonts w:ascii="Arial" w:eastAsia="Times New Roman" w:hAnsi="Arial" w:cs="Times New Roman"/>
      <w:sz w:val="16"/>
      <w:szCs w:val="16"/>
      <w:lang w:eastAsia="cs-CZ"/>
    </w:rPr>
  </w:style>
  <w:style w:type="character" w:customStyle="1" w:styleId="Zkladntext3Char1">
    <w:name w:val="Základní text 3 Char1"/>
    <w:basedOn w:val="Standardnpsmoodstavce"/>
    <w:link w:val="Zkladntext3"/>
    <w:uiPriority w:val="99"/>
    <w:locked/>
    <w:rsid w:val="002374D8"/>
    <w:rPr>
      <w:rFonts w:ascii="Arial" w:eastAsia="Times New Roman" w:hAnsi="Arial" w:cs="Times New Roman"/>
      <w:sz w:val="16"/>
      <w:szCs w:val="16"/>
    </w:rPr>
  </w:style>
  <w:style w:type="paragraph" w:styleId="Zkladntextodsazen">
    <w:name w:val="Body Text Indent"/>
    <w:basedOn w:val="Normln"/>
    <w:link w:val="ZkladntextodsazenChar1"/>
    <w:uiPriority w:val="99"/>
    <w:rsid w:val="002374D8"/>
    <w:pPr>
      <w:spacing w:after="120"/>
      <w:ind w:left="283"/>
    </w:pPr>
  </w:style>
  <w:style w:type="character" w:customStyle="1" w:styleId="ZkladntextodsazenChar">
    <w:name w:val="Základní text odsazený Char"/>
    <w:basedOn w:val="Standardnpsmoodstavce"/>
    <w:uiPriority w:val="99"/>
    <w:semiHidden/>
    <w:rsid w:val="002374D8"/>
    <w:rPr>
      <w:rFonts w:ascii="Arial" w:eastAsia="Times New Roman" w:hAnsi="Arial" w:cs="Times New Roman"/>
      <w:sz w:val="24"/>
      <w:szCs w:val="24"/>
      <w:lang w:eastAsia="cs-CZ"/>
    </w:rPr>
  </w:style>
  <w:style w:type="character" w:customStyle="1" w:styleId="ZkladntextodsazenChar1">
    <w:name w:val="Základní text odsazený Char1"/>
    <w:basedOn w:val="Standardnpsmoodstavce"/>
    <w:link w:val="Zkladntextodsazen"/>
    <w:uiPriority w:val="99"/>
    <w:locked/>
    <w:rsid w:val="002374D8"/>
    <w:rPr>
      <w:rFonts w:ascii="Arial" w:eastAsia="Times New Roman" w:hAnsi="Arial" w:cs="Times New Roman"/>
      <w:sz w:val="24"/>
      <w:szCs w:val="24"/>
      <w:lang w:eastAsia="cs-CZ"/>
    </w:rPr>
  </w:style>
  <w:style w:type="paragraph" w:customStyle="1" w:styleId="Zkladn">
    <w:name w:val="Základní"/>
    <w:basedOn w:val="Normln"/>
    <w:uiPriority w:val="99"/>
    <w:rsid w:val="002374D8"/>
    <w:pPr>
      <w:spacing w:before="120"/>
    </w:pPr>
    <w:rPr>
      <w:lang w:eastAsia="en-US"/>
    </w:rPr>
  </w:style>
  <w:style w:type="paragraph" w:styleId="Textpoznpodarou">
    <w:name w:val="footnote text"/>
    <w:aliases w:val="Podrozdzia3,Podrozdział,Schriftart: 10 pt,Schriftart: 8 pt,Schriftart: 9 pt,fn,pozn. pod čarou"/>
    <w:basedOn w:val="Normln"/>
    <w:link w:val="TextpoznpodarouChar1"/>
    <w:uiPriority w:val="99"/>
    <w:rsid w:val="002374D8"/>
    <w:rPr>
      <w:sz w:val="20"/>
      <w:szCs w:val="20"/>
    </w:rPr>
  </w:style>
  <w:style w:type="character" w:customStyle="1" w:styleId="TextpoznpodarouChar">
    <w:name w:val="Text pozn. pod čarou Char"/>
    <w:aliases w:val="Footnote Char,Podrozdzia3 Char,Podrozdział Char,Schriftart: 10 pt Char,Schriftart: 8 pt Char,Schriftart: 9 pt Char,fn Char1,pozn. pod čarou Char"/>
    <w:basedOn w:val="Standardnpsmoodstavce"/>
    <w:uiPriority w:val="99"/>
    <w:rsid w:val="002374D8"/>
    <w:rPr>
      <w:rFonts w:ascii="Arial" w:eastAsia="Times New Roman" w:hAnsi="Arial" w:cs="Times New Roman"/>
      <w:sz w:val="20"/>
      <w:szCs w:val="20"/>
      <w:lang w:eastAsia="cs-CZ"/>
    </w:rPr>
  </w:style>
  <w:style w:type="character" w:customStyle="1" w:styleId="TextpoznpodarouChar1">
    <w:name w:val="Text pozn. pod čarou Char1"/>
    <w:aliases w:val="Podrozdzia3 Char1,Podrozdział Char1,Schriftart: 10 pt Char1,Schriftart: 8 pt Char1,Schriftart: 9 pt Char1,fn Char,pozn. pod čarou Char1"/>
    <w:basedOn w:val="Standardnpsmoodstavce"/>
    <w:link w:val="Textpoznpodarou"/>
    <w:uiPriority w:val="99"/>
    <w:locked/>
    <w:rsid w:val="002374D8"/>
    <w:rPr>
      <w:rFonts w:ascii="Arial" w:eastAsia="Times New Roman" w:hAnsi="Arial" w:cs="Times New Roman"/>
      <w:sz w:val="20"/>
      <w:szCs w:val="20"/>
      <w:lang w:eastAsia="cs-CZ"/>
    </w:rPr>
  </w:style>
  <w:style w:type="character" w:styleId="Znakapoznpodarou">
    <w:name w:val="footnote reference"/>
    <w:aliases w:val="12 b.,Footnote,PGI Fußnote Ziffer,PGI Fußnote Ziffer + Times New Roman,Zúžené o ..."/>
    <w:basedOn w:val="Standardnpsmoodstavce"/>
    <w:uiPriority w:val="99"/>
    <w:rsid w:val="002374D8"/>
    <w:rPr>
      <w:rFonts w:cs="Times New Roman"/>
      <w:vertAlign w:val="superscript"/>
    </w:rPr>
  </w:style>
  <w:style w:type="paragraph" w:styleId="Zhlav">
    <w:name w:val="header"/>
    <w:basedOn w:val="Normln"/>
    <w:link w:val="ZhlavChar1"/>
    <w:uiPriority w:val="99"/>
    <w:rsid w:val="002374D8"/>
    <w:pPr>
      <w:tabs>
        <w:tab w:val="center" w:pos="4536"/>
        <w:tab w:val="right" w:pos="9072"/>
      </w:tabs>
    </w:pPr>
  </w:style>
  <w:style w:type="character" w:customStyle="1" w:styleId="ZhlavChar">
    <w:name w:val="Záhlaví Char"/>
    <w:basedOn w:val="Standardnpsmoodstavce"/>
    <w:uiPriority w:val="99"/>
    <w:rsid w:val="002374D8"/>
    <w:rPr>
      <w:rFonts w:ascii="Arial" w:eastAsia="Times New Roman" w:hAnsi="Arial" w:cs="Times New Roman"/>
      <w:sz w:val="24"/>
      <w:szCs w:val="24"/>
      <w:lang w:eastAsia="cs-CZ"/>
    </w:rPr>
  </w:style>
  <w:style w:type="character" w:customStyle="1" w:styleId="ZhlavChar1">
    <w:name w:val="Záhlaví Char1"/>
    <w:basedOn w:val="Standardnpsmoodstavce"/>
    <w:link w:val="Zhlav"/>
    <w:locked/>
    <w:rsid w:val="002374D8"/>
    <w:rPr>
      <w:rFonts w:ascii="Arial" w:eastAsia="Times New Roman" w:hAnsi="Arial" w:cs="Times New Roman"/>
      <w:sz w:val="24"/>
      <w:szCs w:val="24"/>
      <w:lang w:eastAsia="cs-CZ"/>
    </w:rPr>
  </w:style>
  <w:style w:type="paragraph" w:styleId="Zpat">
    <w:name w:val="footer"/>
    <w:basedOn w:val="Normln"/>
    <w:link w:val="ZpatChar1"/>
    <w:uiPriority w:val="99"/>
    <w:rsid w:val="002374D8"/>
    <w:pPr>
      <w:tabs>
        <w:tab w:val="center" w:pos="4536"/>
        <w:tab w:val="right" w:pos="9072"/>
      </w:tabs>
    </w:pPr>
  </w:style>
  <w:style w:type="character" w:customStyle="1" w:styleId="ZpatChar">
    <w:name w:val="Zápatí Char"/>
    <w:basedOn w:val="Standardnpsmoodstavce"/>
    <w:uiPriority w:val="99"/>
    <w:rsid w:val="002374D8"/>
    <w:rPr>
      <w:rFonts w:ascii="Arial" w:eastAsia="Times New Roman" w:hAnsi="Arial" w:cs="Times New Roman"/>
      <w:sz w:val="24"/>
      <w:szCs w:val="24"/>
      <w:lang w:eastAsia="cs-CZ"/>
    </w:rPr>
  </w:style>
  <w:style w:type="character" w:customStyle="1" w:styleId="ZpatChar1">
    <w:name w:val="Zápatí Char1"/>
    <w:basedOn w:val="Standardnpsmoodstavce"/>
    <w:link w:val="Zpat"/>
    <w:uiPriority w:val="99"/>
    <w:locked/>
    <w:rsid w:val="002374D8"/>
    <w:rPr>
      <w:rFonts w:ascii="Arial" w:eastAsia="Times New Roman" w:hAnsi="Arial" w:cs="Times New Roman"/>
      <w:sz w:val="24"/>
      <w:szCs w:val="24"/>
      <w:lang w:eastAsia="cs-CZ"/>
    </w:rPr>
  </w:style>
  <w:style w:type="paragraph" w:styleId="Odstavecseseznamem">
    <w:name w:val="List Paragraph"/>
    <w:aliases w:val="Nadpis pro KZ,odrážky"/>
    <w:basedOn w:val="Normln"/>
    <w:link w:val="OdstavecseseznamemChar"/>
    <w:uiPriority w:val="34"/>
    <w:qFormat/>
    <w:rsid w:val="00E7535E"/>
    <w:pPr>
      <w:spacing w:after="120"/>
      <w:ind w:left="709"/>
    </w:pPr>
  </w:style>
  <w:style w:type="character" w:styleId="Odkaznakoment">
    <w:name w:val="annotation reference"/>
    <w:basedOn w:val="Standardnpsmoodstavce"/>
    <w:uiPriority w:val="99"/>
    <w:semiHidden/>
    <w:rsid w:val="002374D8"/>
    <w:rPr>
      <w:rFonts w:cs="Times New Roman"/>
      <w:sz w:val="16"/>
      <w:szCs w:val="16"/>
    </w:rPr>
  </w:style>
  <w:style w:type="paragraph" w:styleId="Textkomente">
    <w:name w:val="annotation text"/>
    <w:basedOn w:val="Normln"/>
    <w:link w:val="TextkomenteChar"/>
    <w:uiPriority w:val="99"/>
    <w:semiHidden/>
    <w:rsid w:val="002374D8"/>
    <w:rPr>
      <w:sz w:val="20"/>
      <w:szCs w:val="20"/>
    </w:rPr>
  </w:style>
  <w:style w:type="character" w:customStyle="1" w:styleId="TextkomenteChar">
    <w:name w:val="Text komentáře Char"/>
    <w:basedOn w:val="Standardnpsmoodstavce"/>
    <w:link w:val="Textkomente"/>
    <w:uiPriority w:val="99"/>
    <w:semiHidden/>
    <w:rsid w:val="002374D8"/>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rsid w:val="002374D8"/>
    <w:rPr>
      <w:b/>
      <w:bCs/>
    </w:rPr>
  </w:style>
  <w:style w:type="character" w:customStyle="1" w:styleId="PedmtkomenteChar">
    <w:name w:val="Předmět komentáře Char"/>
    <w:basedOn w:val="TextkomenteChar"/>
    <w:link w:val="Pedmtkomente"/>
    <w:uiPriority w:val="99"/>
    <w:semiHidden/>
    <w:rsid w:val="002374D8"/>
    <w:rPr>
      <w:rFonts w:ascii="Arial" w:eastAsia="Times New Roman" w:hAnsi="Arial" w:cs="Times New Roman"/>
      <w:b/>
      <w:bCs/>
      <w:sz w:val="20"/>
      <w:szCs w:val="20"/>
      <w:lang w:eastAsia="cs-CZ"/>
    </w:rPr>
  </w:style>
  <w:style w:type="paragraph" w:styleId="Revize">
    <w:name w:val="Revision"/>
    <w:hidden/>
    <w:uiPriority w:val="99"/>
    <w:semiHidden/>
    <w:rsid w:val="002374D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rsid w:val="002374D8"/>
    <w:rPr>
      <w:rFonts w:ascii="Tahoma" w:hAnsi="Tahoma" w:cs="Tahoma"/>
      <w:sz w:val="16"/>
      <w:szCs w:val="16"/>
    </w:rPr>
  </w:style>
  <w:style w:type="character" w:customStyle="1" w:styleId="TextbublinyChar">
    <w:name w:val="Text bubliny Char"/>
    <w:basedOn w:val="Standardnpsmoodstavce"/>
    <w:link w:val="Textbubliny"/>
    <w:uiPriority w:val="99"/>
    <w:semiHidden/>
    <w:rsid w:val="002374D8"/>
    <w:rPr>
      <w:rFonts w:ascii="Tahoma" w:eastAsia="Times New Roman" w:hAnsi="Tahoma" w:cs="Tahoma"/>
      <w:sz w:val="16"/>
      <w:szCs w:val="16"/>
      <w:lang w:eastAsia="cs-CZ"/>
    </w:rPr>
  </w:style>
  <w:style w:type="table" w:styleId="Mkatabulky">
    <w:name w:val="Table Grid"/>
    <w:basedOn w:val="Normlntabulka"/>
    <w:uiPriority w:val="39"/>
    <w:rsid w:val="002374D8"/>
    <w:pPr>
      <w:spacing w:after="0" w:line="240" w:lineRule="auto"/>
    </w:pPr>
    <w:rPr>
      <w:rFonts w:ascii="Arial" w:eastAsia="Times New Roman" w:hAnsi="Arial" w:cs="Times New Roman"/>
      <w:sz w:val="20"/>
      <w:szCs w:val="20"/>
      <w:lang w:eastAsia="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kladntext">
    <w:name w:val="Body Text"/>
    <w:basedOn w:val="Normln"/>
    <w:link w:val="ZkladntextChar"/>
    <w:uiPriority w:val="99"/>
    <w:rsid w:val="002374D8"/>
    <w:rPr>
      <w:rFonts w:cs="Arial"/>
      <w:i/>
      <w:sz w:val="22"/>
      <w:lang w:eastAsia="en-US"/>
    </w:rPr>
  </w:style>
  <w:style w:type="character" w:customStyle="1" w:styleId="ZkladntextChar">
    <w:name w:val="Základní text Char"/>
    <w:basedOn w:val="Standardnpsmoodstavce"/>
    <w:link w:val="Zkladntext"/>
    <w:uiPriority w:val="99"/>
    <w:rsid w:val="002374D8"/>
    <w:rPr>
      <w:rFonts w:ascii="Arial" w:eastAsia="Times New Roman" w:hAnsi="Arial" w:cs="Arial"/>
      <w:i/>
      <w:szCs w:val="24"/>
    </w:rPr>
  </w:style>
  <w:style w:type="paragraph" w:styleId="Prosttext">
    <w:name w:val="Plain Text"/>
    <w:basedOn w:val="Normln"/>
    <w:link w:val="ProsttextChar"/>
    <w:uiPriority w:val="99"/>
    <w:semiHidden/>
    <w:rsid w:val="002374D8"/>
    <w:rPr>
      <w:rFonts w:ascii="Consolas" w:hAnsi="Consolas"/>
      <w:sz w:val="21"/>
      <w:szCs w:val="21"/>
      <w:lang w:eastAsia="en-US"/>
    </w:rPr>
  </w:style>
  <w:style w:type="character" w:customStyle="1" w:styleId="ProsttextChar">
    <w:name w:val="Prostý text Char"/>
    <w:basedOn w:val="Standardnpsmoodstavce"/>
    <w:link w:val="Prosttext"/>
    <w:uiPriority w:val="99"/>
    <w:semiHidden/>
    <w:rsid w:val="002374D8"/>
    <w:rPr>
      <w:rFonts w:ascii="Consolas" w:eastAsia="Times New Roman" w:hAnsi="Consolas" w:cs="Times New Roman"/>
      <w:sz w:val="21"/>
      <w:szCs w:val="21"/>
    </w:rPr>
  </w:style>
  <w:style w:type="paragraph" w:styleId="Zkladntextodsazen3">
    <w:name w:val="Body Text Indent 3"/>
    <w:basedOn w:val="Normln"/>
    <w:link w:val="Zkladntextodsazen3Char"/>
    <w:uiPriority w:val="99"/>
    <w:rsid w:val="002374D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374D8"/>
    <w:rPr>
      <w:rFonts w:ascii="Arial" w:eastAsia="Times New Roman" w:hAnsi="Arial" w:cs="Times New Roman"/>
      <w:sz w:val="16"/>
      <w:szCs w:val="16"/>
      <w:lang w:eastAsia="cs-CZ"/>
    </w:rPr>
  </w:style>
  <w:style w:type="paragraph" w:customStyle="1" w:styleId="NadpisKZ">
    <w:name w:val="Nadpis KZ"/>
    <w:basedOn w:val="Zkladntext2"/>
    <w:uiPriority w:val="99"/>
    <w:rsid w:val="002374D8"/>
  </w:style>
  <w:style w:type="paragraph" w:styleId="Zkladntext2">
    <w:name w:val="Body Text 2"/>
    <w:basedOn w:val="Normln"/>
    <w:link w:val="Zkladntext2Char"/>
    <w:uiPriority w:val="99"/>
    <w:semiHidden/>
    <w:rsid w:val="002374D8"/>
    <w:pPr>
      <w:spacing w:after="120" w:line="480" w:lineRule="auto"/>
    </w:pPr>
  </w:style>
  <w:style w:type="character" w:customStyle="1" w:styleId="Zkladntext2Char">
    <w:name w:val="Základní text 2 Char"/>
    <w:basedOn w:val="Standardnpsmoodstavce"/>
    <w:link w:val="Zkladntext2"/>
    <w:uiPriority w:val="99"/>
    <w:semiHidden/>
    <w:rsid w:val="002374D8"/>
    <w:rPr>
      <w:rFonts w:ascii="Arial" w:eastAsia="Times New Roman" w:hAnsi="Arial" w:cs="Times New Roman"/>
      <w:sz w:val="24"/>
      <w:szCs w:val="24"/>
      <w:lang w:eastAsia="cs-CZ"/>
    </w:rPr>
  </w:style>
  <w:style w:type="paragraph" w:customStyle="1" w:styleId="Char4CharCharCharCharCharCharCharCharChar">
    <w:name w:val="Char4 Char Char Char Char Char Char Char Char Char"/>
    <w:basedOn w:val="Normln"/>
    <w:uiPriority w:val="99"/>
    <w:rsid w:val="002374D8"/>
    <w:pPr>
      <w:spacing w:after="160" w:line="240" w:lineRule="exact"/>
    </w:pPr>
    <w:rPr>
      <w:rFonts w:ascii="Times New Roman Bold" w:hAnsi="Times New Roman Bold"/>
      <w:sz w:val="22"/>
      <w:szCs w:val="26"/>
      <w:lang w:val="sk-SK" w:eastAsia="en-US"/>
    </w:rPr>
  </w:style>
  <w:style w:type="paragraph" w:styleId="Seznamsodrkami3">
    <w:name w:val="List Bullet 3"/>
    <w:basedOn w:val="Normln"/>
    <w:uiPriority w:val="99"/>
    <w:semiHidden/>
    <w:rsid w:val="002374D8"/>
    <w:pPr>
      <w:numPr>
        <w:numId w:val="1"/>
      </w:numPr>
      <w:spacing w:before="120" w:after="120"/>
    </w:pPr>
    <w:rPr>
      <w:rFonts w:ascii="Times New Roman" w:hAnsi="Times New Roman"/>
    </w:rPr>
  </w:style>
  <w:style w:type="character" w:styleId="Siln">
    <w:name w:val="Strong"/>
    <w:basedOn w:val="Standardnpsmoodstavce"/>
    <w:uiPriority w:val="99"/>
    <w:qFormat/>
    <w:rsid w:val="002374D8"/>
    <w:rPr>
      <w:rFonts w:cs="Times New Roman"/>
      <w:b/>
      <w:bCs/>
    </w:rPr>
  </w:style>
  <w:style w:type="paragraph" w:customStyle="1" w:styleId="xl71">
    <w:name w:val="xl71"/>
    <w:basedOn w:val="Normln"/>
    <w:uiPriority w:val="99"/>
    <w:rsid w:val="002374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sz w:val="16"/>
      <w:szCs w:val="16"/>
    </w:rPr>
  </w:style>
  <w:style w:type="character" w:customStyle="1" w:styleId="A1">
    <w:name w:val="A1"/>
    <w:uiPriority w:val="99"/>
    <w:rsid w:val="002374D8"/>
    <w:rPr>
      <w:color w:val="000000"/>
      <w:sz w:val="20"/>
    </w:rPr>
  </w:style>
  <w:style w:type="character" w:styleId="Hypertextovodkaz">
    <w:name w:val="Hyperlink"/>
    <w:basedOn w:val="Standardnpsmoodstavce"/>
    <w:uiPriority w:val="99"/>
    <w:rsid w:val="002374D8"/>
    <w:rPr>
      <w:rFonts w:cs="Times New Roman"/>
      <w:color w:val="0000FF"/>
      <w:u w:val="single"/>
    </w:rPr>
  </w:style>
  <w:style w:type="character" w:styleId="Zdraznn">
    <w:name w:val="Emphasis"/>
    <w:basedOn w:val="Standardnpsmoodstavce"/>
    <w:uiPriority w:val="99"/>
    <w:qFormat/>
    <w:rsid w:val="002374D8"/>
    <w:rPr>
      <w:rFonts w:cs="Times New Roman"/>
      <w:i/>
      <w:iCs/>
    </w:rPr>
  </w:style>
  <w:style w:type="paragraph" w:customStyle="1" w:styleId="xl94">
    <w:name w:val="xl94"/>
    <w:basedOn w:val="Normln"/>
    <w:uiPriority w:val="99"/>
    <w:rsid w:val="002374D8"/>
    <w:pPr>
      <w:pBdr>
        <w:top w:val="single" w:sz="8" w:space="0" w:color="auto"/>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Default">
    <w:name w:val="Default"/>
    <w:uiPriority w:val="99"/>
    <w:rsid w:val="002374D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cizojazycne">
    <w:name w:val="cizojazycne"/>
    <w:basedOn w:val="Standardnpsmoodstavce"/>
    <w:uiPriority w:val="99"/>
    <w:rsid w:val="002374D8"/>
    <w:rPr>
      <w:rFonts w:cs="Times New Roman"/>
    </w:rPr>
  </w:style>
  <w:style w:type="paragraph" w:styleId="Zkladntextodsazen2">
    <w:name w:val="Body Text Indent 2"/>
    <w:basedOn w:val="Normln"/>
    <w:link w:val="Zkladntextodsazen2Char"/>
    <w:uiPriority w:val="99"/>
    <w:rsid w:val="002374D8"/>
    <w:pPr>
      <w:spacing w:after="120" w:line="480" w:lineRule="auto"/>
      <w:ind w:left="283"/>
    </w:pPr>
  </w:style>
  <w:style w:type="character" w:customStyle="1" w:styleId="Zkladntextodsazen2Char">
    <w:name w:val="Základní text odsazený 2 Char"/>
    <w:basedOn w:val="Standardnpsmoodstavce"/>
    <w:link w:val="Zkladntextodsazen2"/>
    <w:uiPriority w:val="99"/>
    <w:rsid w:val="002374D8"/>
    <w:rPr>
      <w:rFonts w:ascii="Arial" w:eastAsia="Times New Roman" w:hAnsi="Arial" w:cs="Times New Roman"/>
      <w:sz w:val="24"/>
      <w:szCs w:val="24"/>
      <w:lang w:eastAsia="cs-CZ"/>
    </w:rPr>
  </w:style>
  <w:style w:type="paragraph" w:customStyle="1" w:styleId="Odstavecseseznamem2">
    <w:name w:val="Odstavec se seznamem2"/>
    <w:basedOn w:val="Normln"/>
    <w:uiPriority w:val="99"/>
    <w:rsid w:val="002374D8"/>
    <w:pPr>
      <w:spacing w:after="160" w:line="259" w:lineRule="auto"/>
      <w:ind w:left="720"/>
      <w:contextualSpacing/>
    </w:pPr>
    <w:rPr>
      <w:rFonts w:ascii="Calibri" w:hAnsi="Calibri"/>
      <w:sz w:val="22"/>
      <w:szCs w:val="22"/>
      <w:lang w:eastAsia="en-US"/>
    </w:rPr>
  </w:style>
  <w:style w:type="paragraph" w:customStyle="1" w:styleId="poznmkapodarou">
    <w:name w:val="poznámka pod čarou"/>
    <w:basedOn w:val="Normln"/>
    <w:uiPriority w:val="99"/>
    <w:rsid w:val="002374D8"/>
    <w:pPr>
      <w:ind w:left="284" w:hanging="284"/>
      <w:contextualSpacing/>
    </w:pPr>
    <w:rPr>
      <w:rFonts w:cs="Arial"/>
      <w:sz w:val="20"/>
      <w:szCs w:val="20"/>
      <w:lang w:eastAsia="en-US"/>
    </w:rPr>
  </w:style>
  <w:style w:type="numbering" w:customStyle="1" w:styleId="Styl1">
    <w:name w:val="Styl1"/>
    <w:rsid w:val="002374D8"/>
    <w:pPr>
      <w:numPr>
        <w:numId w:val="2"/>
      </w:numPr>
    </w:pPr>
  </w:style>
  <w:style w:type="paragraph" w:styleId="Textvysvtlivek">
    <w:name w:val="endnote text"/>
    <w:basedOn w:val="Normln"/>
    <w:link w:val="TextvysvtlivekChar"/>
    <w:uiPriority w:val="99"/>
    <w:semiHidden/>
    <w:unhideWhenUsed/>
    <w:rsid w:val="002374D8"/>
    <w:rPr>
      <w:sz w:val="20"/>
      <w:szCs w:val="20"/>
    </w:rPr>
  </w:style>
  <w:style w:type="character" w:customStyle="1" w:styleId="TextvysvtlivekChar">
    <w:name w:val="Text vysvětlivek Char"/>
    <w:basedOn w:val="Standardnpsmoodstavce"/>
    <w:link w:val="Textvysvtlivek"/>
    <w:uiPriority w:val="99"/>
    <w:semiHidden/>
    <w:rsid w:val="002374D8"/>
    <w:rPr>
      <w:rFonts w:ascii="Arial" w:eastAsia="Times New Roman" w:hAnsi="Arial" w:cs="Times New Roman"/>
      <w:sz w:val="20"/>
      <w:szCs w:val="20"/>
      <w:lang w:eastAsia="cs-CZ"/>
    </w:rPr>
  </w:style>
  <w:style w:type="character" w:styleId="Odkaznavysvtlivky">
    <w:name w:val="endnote reference"/>
    <w:basedOn w:val="Standardnpsmoodstavce"/>
    <w:uiPriority w:val="99"/>
    <w:semiHidden/>
    <w:unhideWhenUsed/>
    <w:rsid w:val="002374D8"/>
    <w:rPr>
      <w:vertAlign w:val="superscript"/>
    </w:rPr>
  </w:style>
  <w:style w:type="paragraph" w:customStyle="1" w:styleId="NormlnKZ">
    <w:name w:val="Normální KZ"/>
    <w:basedOn w:val="Normln"/>
    <w:rsid w:val="002374D8"/>
    <w:pPr>
      <w:spacing w:after="120"/>
      <w:ind w:firstLine="425"/>
    </w:pPr>
    <w:rPr>
      <w:rFonts w:ascii="Times New Roman" w:hAnsi="Times New Roman"/>
      <w:sz w:val="22"/>
      <w:szCs w:val="22"/>
    </w:rPr>
  </w:style>
  <w:style w:type="character" w:customStyle="1" w:styleId="OdstavecseseznamemChar">
    <w:name w:val="Odstavec se seznamem Char"/>
    <w:aliases w:val="Nadpis pro KZ Char,odrážky Char"/>
    <w:basedOn w:val="Standardnpsmoodstavce"/>
    <w:link w:val="Odstavecseseznamem"/>
    <w:uiPriority w:val="34"/>
    <w:locked/>
    <w:rsid w:val="00E7535E"/>
    <w:rPr>
      <w:rFonts w:eastAsia="Times New Roman" w:cs="Times New Roman"/>
      <w:sz w:val="24"/>
      <w:szCs w:val="24"/>
      <w:lang w:eastAsia="cs-CZ"/>
    </w:rPr>
  </w:style>
  <w:style w:type="character" w:customStyle="1" w:styleId="tsubjname">
    <w:name w:val="tsubjname"/>
    <w:basedOn w:val="Standardnpsmoodstavce"/>
    <w:rsid w:val="002374D8"/>
  </w:style>
  <w:style w:type="character" w:customStyle="1" w:styleId="shorttext">
    <w:name w:val="short_text"/>
    <w:basedOn w:val="Standardnpsmoodstavce"/>
    <w:rsid w:val="002374D8"/>
  </w:style>
  <w:style w:type="table" w:customStyle="1" w:styleId="Mkatabulky6">
    <w:name w:val="Mřížka tabulky6"/>
    <w:basedOn w:val="Normlntabulka"/>
    <w:next w:val="Mkatabulky"/>
    <w:uiPriority w:val="59"/>
    <w:rsid w:val="00EE0431"/>
    <w:pPr>
      <w:spacing w:after="0" w:line="240" w:lineRule="auto"/>
    </w:pPr>
    <w:rPr>
      <w:rFonts w:ascii="Times New Roman" w:eastAsia="Times New Roman" w:hAnsi="Times New Roman" w:cs="Times New Roman"/>
      <w:sz w:val="20"/>
      <w:szCs w:val="20"/>
      <w:lang w:eastAsia="cs-CZ"/>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zmezer">
    <w:name w:val="No Spacing"/>
    <w:uiPriority w:val="1"/>
    <w:qFormat/>
    <w:rsid w:val="00EE04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CEA22-60E4-4446-BFDF-394C207F8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BD1B941F.dotm</Template>
  <TotalTime>4</TotalTime>
  <Pages>21</Pages>
  <Words>7684</Words>
  <Characters>45341</Characters>
  <Application>Microsoft Office Word</Application>
  <DocSecurity>4</DocSecurity>
  <Lines>377</Lines>
  <Paragraphs>105</Paragraphs>
  <ScaleCrop>false</ScaleCrop>
  <HeadingPairs>
    <vt:vector size="2" baseType="variant">
      <vt:variant>
        <vt:lpstr>Název</vt:lpstr>
      </vt:variant>
      <vt:variant>
        <vt:i4>1</vt:i4>
      </vt:variant>
    </vt:vector>
  </HeadingPairs>
  <TitlesOfParts>
    <vt:vector size="1" baseType="lpstr">
      <vt:lpstr>Kontrolní závěr z kontrolní akce NKÚ č. 16/09 - Nároky z nespotřebovaných výdajů vykazované organizačními složkami státu</vt:lpstr>
    </vt:vector>
  </TitlesOfParts>
  <Company>NKU</Company>
  <LinksUpToDate>false</LinksUpToDate>
  <CharactersWithSpaces>52920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16/09 - Nároky z nespotřebovaných výdajů vykazované organizačními složkami státu</dc:title>
  <dc:creator>Nejvyšší kontrolní úřad</dc:creator>
  <cp:keywords>kontrolní závěr; organizační složky státu; OSS; ministerstva; nespotřebované výdaje</cp:keywords>
  <dc:description/>
  <cp:lastModifiedBy>KOKRDA Daniel</cp:lastModifiedBy>
  <cp:revision>2</cp:revision>
  <cp:lastPrinted>2017-01-30T13:32:00Z</cp:lastPrinted>
  <dcterms:created xsi:type="dcterms:W3CDTF">2017-02-02T11:44:00Z</dcterms:created>
  <dcterms:modified xsi:type="dcterms:W3CDTF">2017-02-02T11:44:00Z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J">
    <vt:lpwstr>184/16-NKU200/836/16</vt:lpwstr>
  </property>
  <property fmtid="{D5CDD505-2E9C-101B-9397-08002B2CF9AE}" pid="4" name="CJ_Spis_Pisemnost">
    <vt:lpwstr>CJ/SPIS/ROK</vt:lpwstr>
  </property>
  <property fmtid="{D5CDD505-2E9C-101B-9397-08002B2CF9AE}" pid="5" name="Contact_PostaOdes_All">
    <vt:lpwstr>ROZDĚLOVNÍK...</vt:lpwstr>
  </property>
  <property fmtid="{D5CDD505-2E9C-101B-9397-08002B2CF9AE}" pid="6" name="DatumPlatnosti_PisemnostTypZpristupneniInformaciZOSZ_Pisemnost">
    <vt:lpwstr>ZOSZ_DatumPlatnosti</vt:lpwstr>
  </property>
  <property fmtid="{D5CDD505-2E9C-101B-9397-08002B2CF9AE}" pid="7" name="DatumPoriz_Pisemnost">
    <vt:lpwstr>6.12.2016</vt:lpwstr>
  </property>
  <property fmtid="{D5CDD505-2E9C-101B-9397-08002B2CF9AE}" pid="8" name="DisplayName_SpisovyUzel_PoziceZodpo_Pisemnost">
    <vt:lpwstr>200</vt:lpwstr>
  </property>
  <property fmtid="{D5CDD505-2E9C-101B-9397-08002B2CF9AE}" pid="9" name="DisplayName_UserPoriz_Pisemnost">
    <vt:lpwstr>Jana Másílková</vt:lpwstr>
  </property>
  <property fmtid="{D5CDD505-2E9C-101B-9397-08002B2CF9AE}" pid="10" name="EC_Pisemnost">
    <vt:lpwstr>16-17167/NKU</vt:lpwstr>
  </property>
  <property fmtid="{D5CDD505-2E9C-101B-9397-08002B2CF9AE}" pid="11" name="Key_BarCode_Pisemnost">
    <vt:lpwstr>*B000279243*</vt:lpwstr>
  </property>
  <property fmtid="{D5CDD505-2E9C-101B-9397-08002B2CF9AE}" pid="12" name="KRukam">
    <vt:lpwstr>{KRukam}</vt:lpwstr>
  </property>
  <property fmtid="{D5CDD505-2E9C-101B-9397-08002B2CF9AE}" pid="13" name="Odkaz">
    <vt:lpwstr>ODKAZ</vt:lpwstr>
  </property>
  <property fmtid="{D5CDD505-2E9C-101B-9397-08002B2CF9AE}" pid="14" name="Password_PisemnostTypZpristupneniInformaciZOSZ_Pisemnost">
    <vt:lpwstr>ZOSZ_Password</vt:lpwstr>
  </property>
  <property fmtid="{D5CDD505-2E9C-101B-9397-08002B2CF9AE}" pid="15" name="PocetListuDokumentu_Pisemnost">
    <vt:lpwstr>1</vt:lpwstr>
  </property>
  <property fmtid="{D5CDD505-2E9C-101B-9397-08002B2CF9AE}" pid="16" name="PocetListu_Pisemnost">
    <vt:lpwstr>1</vt:lpwstr>
  </property>
  <property fmtid="{D5CDD505-2E9C-101B-9397-08002B2CF9AE}" pid="17" name="PocetPriloh_Pisemnost">
    <vt:lpwstr>0</vt:lpwstr>
  </property>
  <property fmtid="{D5CDD505-2E9C-101B-9397-08002B2CF9AE}" pid="18" name="Podpis">
    <vt:lpwstr/>
  </property>
  <property fmtid="{D5CDD505-2E9C-101B-9397-08002B2CF9AE}" pid="19" name="SkartacniZnakLhuta_PisemnostZnak">
    <vt:lpwstr>?/?</vt:lpwstr>
  </property>
  <property fmtid="{D5CDD505-2E9C-101B-9397-08002B2CF9AE}" pid="20" name="SmlouvaCislo">
    <vt:lpwstr>ČÍSLO SMLOUVY</vt:lpwstr>
  </property>
  <property fmtid="{D5CDD505-2E9C-101B-9397-08002B2CF9AE}" pid="21" name="SZ_Spis_Pisemnost">
    <vt:lpwstr>184/16</vt:lpwstr>
  </property>
  <property fmtid="{D5CDD505-2E9C-101B-9397-08002B2CF9AE}" pid="22" name="TEST">
    <vt:lpwstr>testovací pole</vt:lpwstr>
  </property>
  <property fmtid="{D5CDD505-2E9C-101B-9397-08002B2CF9AE}" pid="23" name="TypPrilohy_Pisemnost">
    <vt:lpwstr>TYP PŘÍLOHY</vt:lpwstr>
  </property>
  <property fmtid="{D5CDD505-2E9C-101B-9397-08002B2CF9AE}" pid="24" name="UserName_PisemnostTypZpristupneniInformaciZOSZ_Pisemnost">
    <vt:lpwstr>ZOSZ_UserName</vt:lpwstr>
  </property>
  <property fmtid="{D5CDD505-2E9C-101B-9397-08002B2CF9AE}" pid="25" name="Vec_Pisemnost">
    <vt:lpwstr>KZ 16/09 - připomínkové řízení </vt:lpwstr>
  </property>
  <property fmtid="{D5CDD505-2E9C-101B-9397-08002B2CF9AE}" pid="26" name="Zkratka_SpisovyUzel_PoziceZodpo_Pisemnost">
    <vt:lpwstr>200</vt:lpwstr>
  </property>
</Properties>
</file>