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E4D968" w14:textId="77777777" w:rsidR="00E05B24" w:rsidRPr="00D15A6D" w:rsidRDefault="00DB2620" w:rsidP="00FA5BF6">
      <w:pPr>
        <w:jc w:val="center"/>
        <w:rPr>
          <w:rFonts w:ascii="Calibri" w:hAnsi="Calibri" w:cs="Calibri"/>
        </w:rPr>
      </w:pPr>
      <w:r w:rsidRPr="00A315CB">
        <w:rPr>
          <w:noProof/>
        </w:rPr>
        <w:drawing>
          <wp:anchor distT="0" distB="0" distL="114300" distR="114300" simplePos="0" relativeHeight="251659776" behindDoc="0" locked="0" layoutInCell="1" allowOverlap="1" wp14:anchorId="7FE3897F" wp14:editId="3B545B2F">
            <wp:simplePos x="0" y="0"/>
            <wp:positionH relativeFrom="column">
              <wp:posOffset>2487461</wp:posOffset>
            </wp:positionH>
            <wp:positionV relativeFrom="paragraph">
              <wp:posOffset>-1298</wp:posOffset>
            </wp:positionV>
            <wp:extent cx="780415" cy="560705"/>
            <wp:effectExtent l="0" t="0" r="635" b="0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7533D6" w14:textId="77777777" w:rsidR="008A11A2" w:rsidRPr="00D15A6D" w:rsidRDefault="008A11A2" w:rsidP="00FA5BF6">
      <w:pPr>
        <w:jc w:val="center"/>
        <w:rPr>
          <w:rFonts w:ascii="Calibri" w:hAnsi="Calibri" w:cs="Calibri"/>
        </w:rPr>
      </w:pPr>
    </w:p>
    <w:p w14:paraId="2F527667" w14:textId="77777777" w:rsidR="00DB2620" w:rsidRPr="00D15A6D" w:rsidRDefault="00DB2620" w:rsidP="00FA5BF6">
      <w:pPr>
        <w:pStyle w:val="Nadpis9"/>
        <w:spacing w:before="0" w:after="0"/>
        <w:jc w:val="center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p w14:paraId="09952935" w14:textId="77777777" w:rsidR="00E47DAC" w:rsidRPr="00D15A6D" w:rsidRDefault="00E47DAC" w:rsidP="00FA5BF6">
      <w:pPr>
        <w:pStyle w:val="Nadpis9"/>
        <w:spacing w:before="0" w:after="0"/>
        <w:jc w:val="center"/>
        <w:rPr>
          <w:rFonts w:ascii="Calibri" w:hAnsi="Calibri" w:cs="Calibri"/>
          <w:b/>
          <w:sz w:val="28"/>
          <w:szCs w:val="24"/>
        </w:rPr>
      </w:pPr>
      <w:r w:rsidRPr="00D15A6D">
        <w:rPr>
          <w:rFonts w:ascii="Calibri" w:hAnsi="Calibri" w:cs="Calibri"/>
          <w:b/>
          <w:sz w:val="28"/>
          <w:szCs w:val="24"/>
        </w:rPr>
        <w:t>Kontrolní závěr z kontrolní akce</w:t>
      </w:r>
    </w:p>
    <w:p w14:paraId="3A5A9D49" w14:textId="77777777" w:rsidR="00DA0304" w:rsidRPr="00D15A6D" w:rsidRDefault="00DA0304" w:rsidP="00FA5BF6">
      <w:pPr>
        <w:jc w:val="center"/>
        <w:rPr>
          <w:rFonts w:ascii="Calibri" w:hAnsi="Calibri" w:cs="Calibri"/>
        </w:rPr>
      </w:pPr>
    </w:p>
    <w:p w14:paraId="4150DADA" w14:textId="17B57AD0" w:rsidR="00E47DAC" w:rsidRPr="004C031F" w:rsidRDefault="00836B07" w:rsidP="00FA5BF6">
      <w:pPr>
        <w:ind w:right="68"/>
        <w:jc w:val="center"/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16</w:t>
      </w:r>
      <w:r w:rsidR="00553974" w:rsidRPr="004C031F">
        <w:rPr>
          <w:rFonts w:ascii="Calibri" w:hAnsi="Calibri" w:cs="Calibri"/>
          <w:b/>
          <w:bCs/>
          <w:sz w:val="28"/>
        </w:rPr>
        <w:t>/</w:t>
      </w:r>
      <w:r>
        <w:rPr>
          <w:rFonts w:ascii="Calibri" w:hAnsi="Calibri" w:cs="Calibri"/>
          <w:b/>
          <w:bCs/>
          <w:sz w:val="28"/>
        </w:rPr>
        <w:t>05</w:t>
      </w:r>
    </w:p>
    <w:p w14:paraId="55E8B529" w14:textId="77777777" w:rsidR="00DA0304" w:rsidRPr="00D15A6D" w:rsidRDefault="00DA0304" w:rsidP="00FA5BF6">
      <w:pPr>
        <w:ind w:right="68"/>
        <w:jc w:val="center"/>
        <w:rPr>
          <w:rFonts w:ascii="Calibri" w:hAnsi="Calibri" w:cs="Calibri"/>
          <w:bCs/>
        </w:rPr>
      </w:pPr>
    </w:p>
    <w:p w14:paraId="4B57F3E3" w14:textId="77777777" w:rsidR="00836B07" w:rsidRPr="00836B07" w:rsidRDefault="00836B07" w:rsidP="00FA5BF6">
      <w:pPr>
        <w:jc w:val="center"/>
        <w:rPr>
          <w:rFonts w:ascii="Calibri" w:hAnsi="Calibri" w:cs="Calibri"/>
          <w:b/>
          <w:sz w:val="28"/>
        </w:rPr>
      </w:pPr>
      <w:r w:rsidRPr="00836B07">
        <w:rPr>
          <w:rFonts w:ascii="Calibri" w:hAnsi="Calibri" w:cs="Calibri"/>
          <w:b/>
          <w:sz w:val="28"/>
        </w:rPr>
        <w:t>Peněžní prostředky určené na pořizování vybrané techniky Armády České republiky</w:t>
      </w:r>
    </w:p>
    <w:p w14:paraId="43FF2AAA" w14:textId="77777777" w:rsidR="00836B07" w:rsidRDefault="00836B07" w:rsidP="005D70FF">
      <w:pPr>
        <w:pStyle w:val="Zkladn"/>
        <w:spacing w:before="0"/>
        <w:rPr>
          <w:rFonts w:ascii="Calibri" w:hAnsi="Calibri" w:cs="Calibri"/>
        </w:rPr>
      </w:pPr>
    </w:p>
    <w:p w14:paraId="45293B51" w14:textId="77777777" w:rsidR="00FA5BF6" w:rsidRDefault="00FA5BF6" w:rsidP="005D70FF">
      <w:pPr>
        <w:pStyle w:val="Zkladn"/>
        <w:spacing w:before="0"/>
        <w:rPr>
          <w:rFonts w:ascii="Calibri" w:hAnsi="Calibri" w:cs="Calibri"/>
        </w:rPr>
      </w:pPr>
    </w:p>
    <w:p w14:paraId="48AF01B5" w14:textId="6725BCEC" w:rsidR="00E47DAC" w:rsidRPr="004C031F" w:rsidRDefault="00E47DAC" w:rsidP="005D70FF">
      <w:pPr>
        <w:pStyle w:val="Zkladn"/>
        <w:spacing w:before="0"/>
        <w:rPr>
          <w:rFonts w:ascii="Calibri" w:hAnsi="Calibri" w:cs="Calibri"/>
        </w:rPr>
      </w:pPr>
      <w:r w:rsidRPr="004C031F">
        <w:rPr>
          <w:rFonts w:ascii="Calibri" w:hAnsi="Calibri" w:cs="Calibri"/>
        </w:rPr>
        <w:t>Kontrolní akce byla zařazena do plánu kontrolní činnosti Nejvyššího kontrolního úřadu (dále jen „NKÚ“) na rok 20</w:t>
      </w:r>
      <w:r w:rsidR="004379AD" w:rsidRPr="004C031F">
        <w:rPr>
          <w:rFonts w:ascii="Calibri" w:hAnsi="Calibri" w:cs="Calibri"/>
        </w:rPr>
        <w:t>1</w:t>
      </w:r>
      <w:r w:rsidR="00836B07">
        <w:rPr>
          <w:rFonts w:ascii="Calibri" w:hAnsi="Calibri" w:cs="Calibri"/>
        </w:rPr>
        <w:t>6</w:t>
      </w:r>
      <w:r w:rsidRPr="004C031F">
        <w:rPr>
          <w:rFonts w:ascii="Calibri" w:hAnsi="Calibri" w:cs="Calibri"/>
        </w:rPr>
        <w:t xml:space="preserve"> pod číslem </w:t>
      </w:r>
      <w:r w:rsidR="00836B07">
        <w:rPr>
          <w:rFonts w:ascii="Calibri" w:hAnsi="Calibri" w:cs="Calibri"/>
        </w:rPr>
        <w:t>16</w:t>
      </w:r>
      <w:r w:rsidRPr="004C031F">
        <w:rPr>
          <w:rFonts w:ascii="Calibri" w:hAnsi="Calibri" w:cs="Calibri"/>
        </w:rPr>
        <w:t>/</w:t>
      </w:r>
      <w:r w:rsidR="00836B07">
        <w:rPr>
          <w:rFonts w:ascii="Calibri" w:hAnsi="Calibri" w:cs="Calibri"/>
        </w:rPr>
        <w:t>05</w:t>
      </w:r>
      <w:r w:rsidRPr="004C031F">
        <w:rPr>
          <w:rFonts w:ascii="Calibri" w:hAnsi="Calibri" w:cs="Calibri"/>
        </w:rPr>
        <w:t>. Kontrolní akci řídil a</w:t>
      </w:r>
      <w:r w:rsidR="00C61ED8">
        <w:rPr>
          <w:rFonts w:ascii="Calibri" w:hAnsi="Calibri" w:cs="Calibri"/>
        </w:rPr>
        <w:t> </w:t>
      </w:r>
      <w:r w:rsidRPr="004C031F">
        <w:rPr>
          <w:rFonts w:ascii="Calibri" w:hAnsi="Calibri" w:cs="Calibri"/>
        </w:rPr>
        <w:t>kontrolní záv</w:t>
      </w:r>
      <w:r w:rsidR="001E1D26" w:rsidRPr="004C031F">
        <w:rPr>
          <w:rFonts w:ascii="Calibri" w:hAnsi="Calibri" w:cs="Calibri"/>
        </w:rPr>
        <w:t xml:space="preserve">ěr vypracoval člen NKÚ RNDr. Petr </w:t>
      </w:r>
      <w:proofErr w:type="spellStart"/>
      <w:r w:rsidR="001E1D26" w:rsidRPr="004C031F">
        <w:rPr>
          <w:rFonts w:ascii="Calibri" w:hAnsi="Calibri" w:cs="Calibri"/>
        </w:rPr>
        <w:t>Neuvirt</w:t>
      </w:r>
      <w:proofErr w:type="spellEnd"/>
      <w:r w:rsidR="001E1D26" w:rsidRPr="004C031F">
        <w:rPr>
          <w:rFonts w:ascii="Calibri" w:hAnsi="Calibri" w:cs="Calibri"/>
        </w:rPr>
        <w:t>.</w:t>
      </w:r>
      <w:r w:rsidR="00CC4668">
        <w:rPr>
          <w:rFonts w:ascii="Calibri" w:hAnsi="Calibri" w:cs="Calibri"/>
        </w:rPr>
        <w:t xml:space="preserve"> </w:t>
      </w:r>
    </w:p>
    <w:p w14:paraId="7CE153D1" w14:textId="77777777" w:rsidR="00D86778" w:rsidRPr="004C031F" w:rsidRDefault="00D86778" w:rsidP="005D70FF">
      <w:pPr>
        <w:pStyle w:val="Zkladntextodsazen"/>
        <w:spacing w:after="0"/>
        <w:ind w:left="0"/>
        <w:jc w:val="both"/>
        <w:rPr>
          <w:rFonts w:ascii="Calibri" w:hAnsi="Calibri" w:cs="Calibri"/>
        </w:rPr>
      </w:pPr>
    </w:p>
    <w:p w14:paraId="3824BDCE" w14:textId="21A42681" w:rsidR="00836B07" w:rsidRPr="00836B07" w:rsidRDefault="005B57A3" w:rsidP="00836B07">
      <w:pPr>
        <w:jc w:val="both"/>
        <w:rPr>
          <w:rFonts w:ascii="Calibri" w:hAnsi="Calibri" w:cs="Calibri"/>
          <w:lang w:eastAsia="en-US"/>
        </w:rPr>
      </w:pPr>
      <w:r w:rsidRPr="003A4059">
        <w:rPr>
          <w:rFonts w:ascii="Calibri" w:hAnsi="Calibri" w:cs="Calibri"/>
          <w:lang w:eastAsia="en-US"/>
        </w:rPr>
        <w:t xml:space="preserve">Cílem kontroly bylo </w:t>
      </w:r>
      <w:r w:rsidR="00836B07">
        <w:rPr>
          <w:rFonts w:ascii="Calibri" w:hAnsi="Calibri" w:cs="Calibri"/>
          <w:lang w:eastAsia="en-US"/>
        </w:rPr>
        <w:t>p</w:t>
      </w:r>
      <w:r w:rsidR="00836B07" w:rsidRPr="00836B07">
        <w:rPr>
          <w:rFonts w:ascii="Calibri" w:hAnsi="Calibri" w:cs="Calibri"/>
          <w:lang w:eastAsia="en-US"/>
        </w:rPr>
        <w:t>rověřit poskytování, čerpání a použití peněžních prostředků určených na pořizování vybrané techniky Armády České republiky</w:t>
      </w:r>
      <w:r w:rsidR="00836B07">
        <w:rPr>
          <w:rFonts w:ascii="Calibri" w:hAnsi="Calibri" w:cs="Calibri"/>
          <w:lang w:eastAsia="en-US"/>
        </w:rPr>
        <w:t>.</w:t>
      </w:r>
    </w:p>
    <w:p w14:paraId="23F63A3B" w14:textId="77777777" w:rsidR="00836B07" w:rsidRDefault="00836B07" w:rsidP="005D70FF">
      <w:pPr>
        <w:pStyle w:val="Zkladntextodsazen"/>
        <w:spacing w:after="0"/>
        <w:ind w:left="0"/>
        <w:jc w:val="both"/>
        <w:rPr>
          <w:rFonts w:ascii="Calibri" w:hAnsi="Calibri" w:cs="Calibri"/>
        </w:rPr>
      </w:pPr>
    </w:p>
    <w:p w14:paraId="47437F8C" w14:textId="77777777" w:rsidR="00AC63F4" w:rsidRDefault="008409FA" w:rsidP="005D70FF">
      <w:pPr>
        <w:pStyle w:val="Zkladntextodsazen"/>
        <w:spacing w:after="0"/>
        <w:ind w:left="0"/>
        <w:jc w:val="both"/>
        <w:rPr>
          <w:rFonts w:ascii="Calibri" w:hAnsi="Calibri" w:cs="Calibri"/>
        </w:rPr>
      </w:pPr>
      <w:r w:rsidRPr="004C031F">
        <w:rPr>
          <w:rFonts w:ascii="Calibri" w:hAnsi="Calibri" w:cs="Calibri"/>
        </w:rPr>
        <w:t>Kontrolováno bylo</w:t>
      </w:r>
      <w:r w:rsidR="00637B66" w:rsidRPr="004C031F">
        <w:rPr>
          <w:rFonts w:ascii="Calibri" w:hAnsi="Calibri" w:cs="Calibri"/>
        </w:rPr>
        <w:t xml:space="preserve"> </w:t>
      </w:r>
      <w:r w:rsidR="00E47DAC" w:rsidRPr="004C031F">
        <w:rPr>
          <w:rFonts w:ascii="Calibri" w:hAnsi="Calibri" w:cs="Calibri"/>
        </w:rPr>
        <w:t>období</w:t>
      </w:r>
      <w:r w:rsidRPr="004C031F">
        <w:rPr>
          <w:rFonts w:ascii="Calibri" w:hAnsi="Calibri" w:cs="Calibri"/>
        </w:rPr>
        <w:t xml:space="preserve"> od roku 20</w:t>
      </w:r>
      <w:r w:rsidR="006A105E">
        <w:rPr>
          <w:rFonts w:ascii="Calibri" w:hAnsi="Calibri" w:cs="Calibri"/>
        </w:rPr>
        <w:t>11</w:t>
      </w:r>
      <w:r w:rsidR="001E1D26" w:rsidRPr="004C031F">
        <w:rPr>
          <w:rFonts w:ascii="Calibri" w:hAnsi="Calibri" w:cs="Calibri"/>
        </w:rPr>
        <w:t xml:space="preserve"> do roku</w:t>
      </w:r>
      <w:r w:rsidRPr="004C031F">
        <w:rPr>
          <w:rFonts w:ascii="Calibri" w:hAnsi="Calibri" w:cs="Calibri"/>
        </w:rPr>
        <w:t xml:space="preserve"> 201</w:t>
      </w:r>
      <w:r w:rsidR="00836B07">
        <w:rPr>
          <w:rFonts w:ascii="Calibri" w:hAnsi="Calibri" w:cs="Calibri"/>
        </w:rPr>
        <w:t>5</w:t>
      </w:r>
      <w:r w:rsidR="00491C48" w:rsidRPr="004C031F">
        <w:rPr>
          <w:rFonts w:ascii="Calibri" w:hAnsi="Calibri" w:cs="Calibri"/>
        </w:rPr>
        <w:t>,</w:t>
      </w:r>
      <w:r w:rsidR="00E47DAC" w:rsidRPr="004C031F">
        <w:rPr>
          <w:rFonts w:ascii="Calibri" w:hAnsi="Calibri" w:cs="Calibri"/>
        </w:rPr>
        <w:t xml:space="preserve"> </w:t>
      </w:r>
      <w:r w:rsidR="00150511" w:rsidRPr="004C031F">
        <w:rPr>
          <w:rFonts w:ascii="Calibri" w:hAnsi="Calibri" w:cs="Calibri"/>
        </w:rPr>
        <w:t>v</w:t>
      </w:r>
      <w:r w:rsidR="00DB2620" w:rsidRPr="004C031F">
        <w:rPr>
          <w:rFonts w:ascii="Calibri" w:hAnsi="Calibri" w:cs="Calibri"/>
        </w:rPr>
        <w:t xml:space="preserve"> </w:t>
      </w:r>
      <w:r w:rsidR="00DD1F0E" w:rsidRPr="004C031F">
        <w:rPr>
          <w:rFonts w:ascii="Calibri" w:hAnsi="Calibri" w:cs="Calibri"/>
        </w:rPr>
        <w:t>případě věcných souvislostí i</w:t>
      </w:r>
      <w:r w:rsidR="00DB2620" w:rsidRPr="004C031F">
        <w:rPr>
          <w:rFonts w:ascii="Calibri" w:hAnsi="Calibri" w:cs="Calibri"/>
        </w:rPr>
        <w:t xml:space="preserve"> </w:t>
      </w:r>
      <w:r w:rsidR="00DD1F0E" w:rsidRPr="004C031F">
        <w:rPr>
          <w:rFonts w:ascii="Calibri" w:hAnsi="Calibri" w:cs="Calibri"/>
        </w:rPr>
        <w:t>období</w:t>
      </w:r>
      <w:r w:rsidR="00CD1855" w:rsidRPr="004C031F">
        <w:rPr>
          <w:rFonts w:ascii="Calibri" w:hAnsi="Calibri" w:cs="Calibri"/>
        </w:rPr>
        <w:t xml:space="preserve"> </w:t>
      </w:r>
      <w:r w:rsidR="00CD1855" w:rsidRPr="00D95701">
        <w:rPr>
          <w:rFonts w:ascii="Calibri" w:hAnsi="Calibri" w:cs="Calibri"/>
        </w:rPr>
        <w:t>předcházející</w:t>
      </w:r>
      <w:r w:rsidR="003163D4" w:rsidRPr="00D95701">
        <w:rPr>
          <w:rFonts w:ascii="Calibri" w:hAnsi="Calibri" w:cs="Calibri"/>
        </w:rPr>
        <w:t xml:space="preserve"> a následující</w:t>
      </w:r>
      <w:r w:rsidR="00DD1F0E" w:rsidRPr="004C031F">
        <w:rPr>
          <w:rFonts w:ascii="Calibri" w:hAnsi="Calibri" w:cs="Calibri"/>
        </w:rPr>
        <w:t xml:space="preserve">. </w:t>
      </w:r>
      <w:r w:rsidR="00E47DAC" w:rsidRPr="004C031F">
        <w:rPr>
          <w:rFonts w:ascii="Calibri" w:hAnsi="Calibri" w:cs="Calibri"/>
        </w:rPr>
        <w:t>Kontrola byla prov</w:t>
      </w:r>
      <w:r w:rsidR="005C2A50" w:rsidRPr="004C031F">
        <w:rPr>
          <w:rFonts w:ascii="Calibri" w:hAnsi="Calibri" w:cs="Calibri"/>
        </w:rPr>
        <w:t>á</w:t>
      </w:r>
      <w:r w:rsidR="00E47DAC" w:rsidRPr="004C031F">
        <w:rPr>
          <w:rFonts w:ascii="Calibri" w:hAnsi="Calibri" w:cs="Calibri"/>
        </w:rPr>
        <w:t>d</w:t>
      </w:r>
      <w:r w:rsidR="005C2A50" w:rsidRPr="004C031F">
        <w:rPr>
          <w:rFonts w:ascii="Calibri" w:hAnsi="Calibri" w:cs="Calibri"/>
        </w:rPr>
        <w:t>ě</w:t>
      </w:r>
      <w:r w:rsidR="00E47DAC" w:rsidRPr="004C031F">
        <w:rPr>
          <w:rFonts w:ascii="Calibri" w:hAnsi="Calibri" w:cs="Calibri"/>
        </w:rPr>
        <w:t xml:space="preserve">na </w:t>
      </w:r>
      <w:r w:rsidR="00A74385">
        <w:rPr>
          <w:rFonts w:ascii="Calibri" w:hAnsi="Calibri" w:cs="Calibri"/>
        </w:rPr>
        <w:t xml:space="preserve">u kontrolované osoby </w:t>
      </w:r>
      <w:r w:rsidR="00E47DAC" w:rsidRPr="004C031F">
        <w:rPr>
          <w:rFonts w:ascii="Calibri" w:hAnsi="Calibri" w:cs="Calibri"/>
        </w:rPr>
        <w:t xml:space="preserve">od </w:t>
      </w:r>
      <w:r w:rsidR="00836B07">
        <w:rPr>
          <w:rFonts w:ascii="Calibri" w:hAnsi="Calibri" w:cs="Calibri"/>
        </w:rPr>
        <w:t>února</w:t>
      </w:r>
      <w:r w:rsidR="006A105E">
        <w:rPr>
          <w:rFonts w:ascii="Calibri" w:hAnsi="Calibri" w:cs="Calibri"/>
        </w:rPr>
        <w:t xml:space="preserve"> </w:t>
      </w:r>
      <w:r w:rsidR="000E67B9" w:rsidRPr="004C031F">
        <w:rPr>
          <w:rFonts w:ascii="Calibri" w:hAnsi="Calibri" w:cs="Calibri"/>
        </w:rPr>
        <w:t xml:space="preserve">do </w:t>
      </w:r>
      <w:r w:rsidR="00836B07">
        <w:rPr>
          <w:rFonts w:ascii="Calibri" w:hAnsi="Calibri" w:cs="Calibri"/>
        </w:rPr>
        <w:t xml:space="preserve">srpna </w:t>
      </w:r>
      <w:r w:rsidR="006A105E">
        <w:rPr>
          <w:rFonts w:ascii="Calibri" w:hAnsi="Calibri" w:cs="Calibri"/>
        </w:rPr>
        <w:t>2016</w:t>
      </w:r>
      <w:r w:rsidR="00DE137C" w:rsidRPr="004C031F">
        <w:rPr>
          <w:rFonts w:ascii="Calibri" w:hAnsi="Calibri" w:cs="Calibri"/>
        </w:rPr>
        <w:t>.</w:t>
      </w:r>
      <w:r w:rsidR="00836B07">
        <w:rPr>
          <w:rFonts w:ascii="Calibri" w:hAnsi="Calibri" w:cs="Calibri"/>
        </w:rPr>
        <w:t xml:space="preserve"> </w:t>
      </w:r>
    </w:p>
    <w:p w14:paraId="0654F813" w14:textId="77777777" w:rsidR="00AC63F4" w:rsidRDefault="00AC63F4" w:rsidP="005D70FF">
      <w:pPr>
        <w:pStyle w:val="Zkladntextodsazen"/>
        <w:spacing w:after="0"/>
        <w:ind w:left="0"/>
        <w:jc w:val="both"/>
        <w:rPr>
          <w:rFonts w:ascii="Calibri" w:hAnsi="Calibri" w:cs="Calibri"/>
        </w:rPr>
      </w:pPr>
    </w:p>
    <w:p w14:paraId="76EC1AE8" w14:textId="38030CFD" w:rsidR="00AC63F4" w:rsidRDefault="00310230" w:rsidP="005D70FF">
      <w:pPr>
        <w:pStyle w:val="Zkladntextodsazen"/>
        <w:spacing w:after="0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</w:t>
      </w:r>
      <w:r w:rsidR="00836B07">
        <w:rPr>
          <w:rFonts w:ascii="Calibri" w:hAnsi="Calibri" w:cs="Calibri"/>
        </w:rPr>
        <w:t>ontrolovan</w:t>
      </w:r>
      <w:r w:rsidR="00AC63F4">
        <w:rPr>
          <w:rFonts w:ascii="Calibri" w:hAnsi="Calibri" w:cs="Calibri"/>
        </w:rPr>
        <w:t>á</w:t>
      </w:r>
      <w:r w:rsidR="00836B07">
        <w:rPr>
          <w:rFonts w:ascii="Calibri" w:hAnsi="Calibri" w:cs="Calibri"/>
        </w:rPr>
        <w:t xml:space="preserve"> osob</w:t>
      </w:r>
      <w:r w:rsidR="00AC63F4">
        <w:rPr>
          <w:rFonts w:ascii="Calibri" w:hAnsi="Calibri" w:cs="Calibri"/>
        </w:rPr>
        <w:t>a:</w:t>
      </w:r>
      <w:r w:rsidR="00836B07">
        <w:rPr>
          <w:rFonts w:ascii="Calibri" w:hAnsi="Calibri" w:cs="Calibri"/>
        </w:rPr>
        <w:t xml:space="preserve"> </w:t>
      </w:r>
    </w:p>
    <w:p w14:paraId="577DF503" w14:textId="5AD13D13" w:rsidR="000E67B9" w:rsidRPr="004C031F" w:rsidRDefault="00836B07" w:rsidP="005D70FF">
      <w:pPr>
        <w:pStyle w:val="Zkladntextodsazen"/>
        <w:spacing w:after="0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Ministerstvo obrany.</w:t>
      </w:r>
    </w:p>
    <w:p w14:paraId="71DD4CE5" w14:textId="77777777" w:rsidR="00836B07" w:rsidRDefault="00836B07" w:rsidP="00836B07">
      <w:pPr>
        <w:pStyle w:val="Zkladn"/>
        <w:spacing w:before="0"/>
        <w:rPr>
          <w:rFonts w:asciiTheme="minorHAnsi" w:hAnsiTheme="minorHAnsi" w:cstheme="minorHAnsi"/>
        </w:rPr>
      </w:pPr>
    </w:p>
    <w:p w14:paraId="1CF988B5" w14:textId="5B637277" w:rsidR="00836B07" w:rsidRDefault="00836B07" w:rsidP="00836B07">
      <w:pPr>
        <w:pStyle w:val="Zkladn"/>
        <w:spacing w:befor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Námitky</w:t>
      </w:r>
      <w:r w:rsidRPr="00A0613B">
        <w:rPr>
          <w:rFonts w:asciiTheme="minorHAnsi" w:hAnsiTheme="minorHAnsi" w:cstheme="minorHAnsi"/>
        </w:rPr>
        <w:t xml:space="preserve"> proti kontroln</w:t>
      </w:r>
      <w:r>
        <w:rPr>
          <w:rFonts w:asciiTheme="minorHAnsi" w:hAnsiTheme="minorHAnsi" w:cstheme="minorHAnsi"/>
        </w:rPr>
        <w:t>ímu protokolu, které</w:t>
      </w:r>
      <w:r w:rsidRPr="00A0613B">
        <w:rPr>
          <w:rFonts w:asciiTheme="minorHAnsi" w:hAnsiTheme="minorHAnsi" w:cstheme="minorHAnsi"/>
        </w:rPr>
        <w:t xml:space="preserve"> podalo</w:t>
      </w:r>
      <w:r>
        <w:rPr>
          <w:rFonts w:asciiTheme="minorHAnsi" w:hAnsiTheme="minorHAnsi" w:cstheme="minorHAnsi"/>
        </w:rPr>
        <w:t xml:space="preserve"> Ministerstvo obrany, byl</w:t>
      </w:r>
      <w:r w:rsidR="00A74385">
        <w:rPr>
          <w:rFonts w:asciiTheme="minorHAnsi" w:hAnsiTheme="minorHAnsi" w:cstheme="minorHAnsi"/>
        </w:rPr>
        <w:t>y</w:t>
      </w:r>
      <w:r>
        <w:rPr>
          <w:rFonts w:asciiTheme="minorHAnsi" w:hAnsiTheme="minorHAnsi" w:cstheme="minorHAnsi"/>
        </w:rPr>
        <w:t xml:space="preserve"> vypořádán</w:t>
      </w:r>
      <w:r w:rsidR="00A74385">
        <w:rPr>
          <w:rFonts w:asciiTheme="minorHAnsi" w:hAnsiTheme="minorHAnsi" w:cstheme="minorHAnsi"/>
        </w:rPr>
        <w:t>y</w:t>
      </w:r>
      <w:r>
        <w:rPr>
          <w:rFonts w:asciiTheme="minorHAnsi" w:hAnsiTheme="minorHAnsi" w:cstheme="minorHAnsi"/>
        </w:rPr>
        <w:t xml:space="preserve"> vedoucím skupiny kontrolujících rozhodnutím o námitkách.</w:t>
      </w:r>
      <w:r w:rsidRPr="00836B07">
        <w:rPr>
          <w:rFonts w:ascii="Calibri" w:hAnsi="Calibri" w:cs="Calibri"/>
        </w:rPr>
        <w:t xml:space="preserve"> </w:t>
      </w:r>
    </w:p>
    <w:p w14:paraId="545E0AA8" w14:textId="77777777" w:rsidR="00836B07" w:rsidRDefault="00836B07" w:rsidP="00836B07">
      <w:pPr>
        <w:ind w:right="70"/>
        <w:jc w:val="both"/>
        <w:rPr>
          <w:rFonts w:asciiTheme="minorHAnsi" w:hAnsiTheme="minorHAnsi" w:cstheme="minorHAnsi"/>
        </w:rPr>
      </w:pPr>
    </w:p>
    <w:p w14:paraId="36CBA1D4" w14:textId="4C557454" w:rsidR="00836B07" w:rsidRPr="002E505E" w:rsidRDefault="00836B07" w:rsidP="00836B07">
      <w:pPr>
        <w:ind w:right="70"/>
        <w:jc w:val="both"/>
        <w:rPr>
          <w:rFonts w:asciiTheme="minorHAnsi" w:hAnsiTheme="minorHAnsi" w:cstheme="minorHAnsi"/>
        </w:rPr>
      </w:pPr>
      <w:proofErr w:type="gramStart"/>
      <w:r w:rsidRPr="002E505E">
        <w:rPr>
          <w:rFonts w:asciiTheme="minorHAnsi" w:hAnsiTheme="minorHAnsi" w:cstheme="minorHAnsi"/>
          <w:b/>
          <w:bCs/>
          <w:i/>
          <w:iCs/>
        </w:rPr>
        <w:t>K o l e g i u m</w:t>
      </w:r>
      <w:r w:rsidRPr="002E505E">
        <w:rPr>
          <w:rFonts w:asciiTheme="minorHAnsi" w:hAnsiTheme="minorHAnsi" w:cstheme="minorHAnsi"/>
        </w:rPr>
        <w:t xml:space="preserve">   </w:t>
      </w:r>
      <w:r w:rsidRPr="002E505E">
        <w:rPr>
          <w:rFonts w:asciiTheme="minorHAnsi" w:hAnsiTheme="minorHAnsi" w:cstheme="minorHAnsi"/>
          <w:b/>
          <w:bCs/>
          <w:i/>
          <w:iCs/>
        </w:rPr>
        <w:t xml:space="preserve">N K Ú  </w:t>
      </w:r>
      <w:r w:rsidRPr="002E505E">
        <w:rPr>
          <w:rFonts w:asciiTheme="minorHAnsi" w:hAnsiTheme="minorHAnsi" w:cstheme="minorHAnsi"/>
          <w:b/>
          <w:bCs/>
          <w:iCs/>
        </w:rPr>
        <w:t xml:space="preserve"> </w:t>
      </w:r>
      <w:r w:rsidRPr="002E505E">
        <w:rPr>
          <w:rFonts w:asciiTheme="minorHAnsi" w:hAnsiTheme="minorHAnsi" w:cstheme="minorHAnsi"/>
        </w:rPr>
        <w:t>na</w:t>
      </w:r>
      <w:proofErr w:type="gramEnd"/>
      <w:r w:rsidRPr="002E505E">
        <w:rPr>
          <w:rFonts w:asciiTheme="minorHAnsi" w:hAnsiTheme="minorHAnsi" w:cstheme="minorHAnsi"/>
        </w:rPr>
        <w:t xml:space="preserve"> svém </w:t>
      </w:r>
      <w:r w:rsidR="007E58D3">
        <w:rPr>
          <w:rFonts w:asciiTheme="minorHAnsi" w:hAnsiTheme="minorHAnsi" w:cstheme="minorHAnsi"/>
        </w:rPr>
        <w:t>XIV.</w:t>
      </w:r>
      <w:r w:rsidRPr="002E505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jedn</w:t>
      </w:r>
      <w:r w:rsidRPr="002E505E">
        <w:rPr>
          <w:rFonts w:asciiTheme="minorHAnsi" w:hAnsiTheme="minorHAnsi" w:cstheme="minorHAnsi"/>
        </w:rPr>
        <w:t xml:space="preserve">ání, </w:t>
      </w:r>
      <w:r>
        <w:rPr>
          <w:rFonts w:asciiTheme="minorHAnsi" w:hAnsiTheme="minorHAnsi" w:cstheme="minorHAnsi"/>
        </w:rPr>
        <w:t xml:space="preserve">které se </w:t>
      </w:r>
      <w:r w:rsidRPr="002E505E">
        <w:rPr>
          <w:rFonts w:asciiTheme="minorHAnsi" w:hAnsiTheme="minorHAnsi" w:cstheme="minorHAnsi"/>
        </w:rPr>
        <w:t>kona</w:t>
      </w:r>
      <w:r>
        <w:rPr>
          <w:rFonts w:asciiTheme="minorHAnsi" w:hAnsiTheme="minorHAnsi" w:cstheme="minorHAnsi"/>
        </w:rPr>
        <w:t>lo</w:t>
      </w:r>
      <w:r w:rsidRPr="002E505E">
        <w:rPr>
          <w:rFonts w:asciiTheme="minorHAnsi" w:hAnsiTheme="minorHAnsi" w:cstheme="minorHAnsi"/>
        </w:rPr>
        <w:t xml:space="preserve"> dne </w:t>
      </w:r>
      <w:r w:rsidR="007E58D3">
        <w:rPr>
          <w:rFonts w:asciiTheme="minorHAnsi" w:hAnsiTheme="minorHAnsi" w:cstheme="minorHAnsi"/>
        </w:rPr>
        <w:t>14. listopadu</w:t>
      </w:r>
      <w:r>
        <w:rPr>
          <w:rFonts w:asciiTheme="minorHAnsi" w:hAnsiTheme="minorHAnsi" w:cstheme="minorHAnsi"/>
        </w:rPr>
        <w:t xml:space="preserve"> 2016</w:t>
      </w:r>
      <w:r w:rsidRPr="002E505E">
        <w:rPr>
          <w:rFonts w:asciiTheme="minorHAnsi" w:hAnsiTheme="minorHAnsi" w:cstheme="minorHAnsi"/>
        </w:rPr>
        <w:t xml:space="preserve">, </w:t>
      </w:r>
    </w:p>
    <w:p w14:paraId="3D0C10D7" w14:textId="4DFB23F0" w:rsidR="00836B07" w:rsidRPr="002E505E" w:rsidRDefault="00836B07" w:rsidP="00836B07">
      <w:pPr>
        <w:ind w:right="68"/>
        <w:jc w:val="both"/>
        <w:rPr>
          <w:rFonts w:asciiTheme="minorHAnsi" w:hAnsiTheme="minorHAnsi" w:cstheme="minorHAnsi"/>
        </w:rPr>
      </w:pPr>
      <w:proofErr w:type="gramStart"/>
      <w:r w:rsidRPr="002E505E">
        <w:rPr>
          <w:rFonts w:asciiTheme="minorHAnsi" w:hAnsiTheme="minorHAnsi" w:cstheme="minorHAnsi"/>
          <w:b/>
          <w:bCs/>
          <w:i/>
          <w:iCs/>
        </w:rPr>
        <w:t>s c h v á l i l o</w:t>
      </w:r>
      <w:r w:rsidRPr="002E505E">
        <w:rPr>
          <w:rFonts w:asciiTheme="minorHAnsi" w:hAnsiTheme="minorHAnsi" w:cstheme="minorHAnsi"/>
        </w:rPr>
        <w:t xml:space="preserve">   usnesením č.</w:t>
      </w:r>
      <w:proofErr w:type="gramEnd"/>
      <w:r w:rsidRPr="002E505E">
        <w:rPr>
          <w:rFonts w:asciiTheme="minorHAnsi" w:hAnsiTheme="minorHAnsi" w:cstheme="minorHAnsi"/>
        </w:rPr>
        <w:t xml:space="preserve"> </w:t>
      </w:r>
      <w:r w:rsidR="00EE03AE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/</w:t>
      </w:r>
      <w:r w:rsidR="007E58D3">
        <w:rPr>
          <w:rFonts w:asciiTheme="minorHAnsi" w:hAnsiTheme="minorHAnsi" w:cstheme="minorHAnsi"/>
        </w:rPr>
        <w:t>XIV</w:t>
      </w:r>
      <w:r>
        <w:rPr>
          <w:rFonts w:asciiTheme="minorHAnsi" w:hAnsiTheme="minorHAnsi" w:cstheme="minorHAnsi"/>
        </w:rPr>
        <w:t>/2016</w:t>
      </w:r>
    </w:p>
    <w:p w14:paraId="12EEE53F" w14:textId="77777777" w:rsidR="00836B07" w:rsidRDefault="00836B07" w:rsidP="00836B07">
      <w:pPr>
        <w:ind w:right="70"/>
        <w:jc w:val="both"/>
        <w:rPr>
          <w:rFonts w:asciiTheme="minorHAnsi" w:hAnsiTheme="minorHAnsi" w:cstheme="minorHAnsi"/>
        </w:rPr>
      </w:pPr>
      <w:proofErr w:type="gramStart"/>
      <w:r w:rsidRPr="002E505E">
        <w:rPr>
          <w:rFonts w:asciiTheme="minorHAnsi" w:hAnsiTheme="minorHAnsi" w:cstheme="minorHAnsi"/>
          <w:b/>
          <w:bCs/>
          <w:i/>
          <w:iCs/>
        </w:rPr>
        <w:t>k o n t r o l n í   z á v ě r</w:t>
      </w:r>
      <w:r w:rsidRPr="002E505E">
        <w:rPr>
          <w:rFonts w:asciiTheme="minorHAnsi" w:hAnsiTheme="minorHAnsi" w:cstheme="minorHAnsi"/>
        </w:rPr>
        <w:t xml:space="preserve">   v</w:t>
      </w:r>
      <w:r>
        <w:rPr>
          <w:rFonts w:asciiTheme="minorHAnsi" w:hAnsiTheme="minorHAnsi" w:cstheme="minorHAnsi"/>
        </w:rPr>
        <w:t xml:space="preserve"> </w:t>
      </w:r>
      <w:r w:rsidRPr="002E505E">
        <w:rPr>
          <w:rFonts w:asciiTheme="minorHAnsi" w:hAnsiTheme="minorHAnsi" w:cstheme="minorHAnsi"/>
        </w:rPr>
        <w:t>tomto</w:t>
      </w:r>
      <w:proofErr w:type="gramEnd"/>
      <w:r w:rsidRPr="002E505E">
        <w:rPr>
          <w:rFonts w:asciiTheme="minorHAnsi" w:hAnsiTheme="minorHAnsi" w:cstheme="minorHAnsi"/>
        </w:rPr>
        <w:t xml:space="preserve"> znění:</w:t>
      </w:r>
    </w:p>
    <w:p w14:paraId="415C2CD3" w14:textId="77777777" w:rsidR="005E3A52" w:rsidRDefault="005E3A52" w:rsidP="00836B07">
      <w:pPr>
        <w:ind w:right="70"/>
        <w:jc w:val="both"/>
        <w:rPr>
          <w:rFonts w:asciiTheme="minorHAnsi" w:hAnsiTheme="minorHAnsi" w:cstheme="minorHAnsi"/>
        </w:rPr>
      </w:pPr>
    </w:p>
    <w:p w14:paraId="56AB36D1" w14:textId="77777777" w:rsidR="008D1BCD" w:rsidRDefault="008D1BCD" w:rsidP="00836B07">
      <w:pPr>
        <w:ind w:right="70"/>
        <w:jc w:val="both"/>
        <w:rPr>
          <w:rFonts w:asciiTheme="minorHAnsi" w:hAnsiTheme="minorHAnsi" w:cstheme="minorHAnsi"/>
        </w:rPr>
      </w:pPr>
    </w:p>
    <w:p w14:paraId="723EDE48" w14:textId="477BA5BA" w:rsidR="000928BB" w:rsidRPr="007164F4" w:rsidRDefault="000928BB" w:rsidP="007164F4">
      <w:pPr>
        <w:spacing w:before="120" w:after="120"/>
        <w:jc w:val="center"/>
        <w:rPr>
          <w:rFonts w:ascii="Calibri" w:hAnsi="Calibri" w:cstheme="minorHAnsi"/>
          <w:b/>
          <w:sz w:val="28"/>
        </w:rPr>
      </w:pPr>
      <w:r w:rsidRPr="007164F4">
        <w:rPr>
          <w:rFonts w:ascii="Calibri" w:hAnsi="Calibri" w:cstheme="minorHAnsi"/>
          <w:b/>
          <w:sz w:val="28"/>
        </w:rPr>
        <w:t>I. Informace k předmětu kontroly</w:t>
      </w:r>
    </w:p>
    <w:p w14:paraId="7E70A878" w14:textId="1064C886" w:rsidR="00BF0DAB" w:rsidRPr="004D0E96" w:rsidRDefault="0024127B" w:rsidP="002663D7">
      <w:pPr>
        <w:spacing w:after="120"/>
        <w:jc w:val="both"/>
        <w:rPr>
          <w:rFonts w:ascii="Calibri" w:hAnsi="Calibri"/>
        </w:rPr>
      </w:pPr>
      <w:r>
        <w:rPr>
          <w:rFonts w:ascii="Calibri" w:hAnsi="Calibri"/>
        </w:rPr>
        <w:t>Z</w:t>
      </w:r>
      <w:r w:rsidR="00310230" w:rsidRPr="002663D7">
        <w:rPr>
          <w:rFonts w:ascii="Calibri" w:hAnsi="Calibri"/>
        </w:rPr>
        <w:t xml:space="preserve">a zajištění bezpečnosti obyvatel, obranu svrchovanosti a územní celistvosti </w:t>
      </w:r>
      <w:r w:rsidR="00BF0DAB" w:rsidRPr="002663D7">
        <w:rPr>
          <w:rFonts w:ascii="Calibri" w:hAnsi="Calibri"/>
        </w:rPr>
        <w:t>České republiky (dále také „ČR“)</w:t>
      </w:r>
      <w:r>
        <w:rPr>
          <w:rFonts w:ascii="Calibri" w:hAnsi="Calibri"/>
        </w:rPr>
        <w:t xml:space="preserve"> </w:t>
      </w:r>
      <w:r w:rsidRPr="002663D7">
        <w:rPr>
          <w:rFonts w:ascii="Calibri" w:hAnsi="Calibri"/>
        </w:rPr>
        <w:t>odpovídá</w:t>
      </w:r>
      <w:r w:rsidRPr="0024127B">
        <w:rPr>
          <w:rFonts w:ascii="Calibri" w:hAnsi="Calibri"/>
        </w:rPr>
        <w:t xml:space="preserve"> </w:t>
      </w:r>
      <w:r>
        <w:rPr>
          <w:rFonts w:ascii="Calibri" w:hAnsi="Calibri"/>
        </w:rPr>
        <w:t>v</w:t>
      </w:r>
      <w:r w:rsidRPr="002663D7">
        <w:rPr>
          <w:rFonts w:ascii="Calibri" w:hAnsi="Calibri"/>
        </w:rPr>
        <w:t>láda</w:t>
      </w:r>
      <w:r>
        <w:rPr>
          <w:rFonts w:ascii="Calibri" w:hAnsi="Calibri"/>
        </w:rPr>
        <w:t xml:space="preserve">. </w:t>
      </w:r>
      <w:r w:rsidR="00310230" w:rsidRPr="002663D7">
        <w:rPr>
          <w:rFonts w:ascii="Calibri" w:hAnsi="Calibri"/>
        </w:rPr>
        <w:t>Pro naplnění této odpovědnosti musí mít k dispozici kvalitní a akceschopné ozbrojené síly</w:t>
      </w:r>
      <w:r w:rsidR="00EE03AE">
        <w:rPr>
          <w:rFonts w:ascii="Calibri" w:hAnsi="Calibri"/>
        </w:rPr>
        <w:t>.</w:t>
      </w:r>
      <w:r w:rsidR="00EE03AE">
        <w:rPr>
          <w:rStyle w:val="Znakapoznpodarou"/>
          <w:rFonts w:ascii="Calibri" w:hAnsi="Calibri"/>
        </w:rPr>
        <w:footnoteReference w:id="2"/>
      </w:r>
      <w:r w:rsidR="00EE03AE">
        <w:rPr>
          <w:rFonts w:ascii="Calibri" w:hAnsi="Calibri"/>
        </w:rPr>
        <w:t xml:space="preserve"> </w:t>
      </w:r>
      <w:r w:rsidR="00310230" w:rsidRPr="002663D7">
        <w:rPr>
          <w:rFonts w:ascii="Calibri" w:hAnsi="Calibri"/>
        </w:rPr>
        <w:t xml:space="preserve">Udržení, rozvoj a </w:t>
      </w:r>
      <w:r w:rsidR="00896A23">
        <w:rPr>
          <w:rFonts w:ascii="Calibri" w:hAnsi="Calibri"/>
        </w:rPr>
        <w:t>budování</w:t>
      </w:r>
      <w:r w:rsidR="00310230" w:rsidRPr="002663D7">
        <w:rPr>
          <w:rFonts w:ascii="Calibri" w:hAnsi="Calibri"/>
        </w:rPr>
        <w:t xml:space="preserve"> </w:t>
      </w:r>
      <w:r w:rsidR="006061B3">
        <w:rPr>
          <w:rFonts w:ascii="Calibri" w:hAnsi="Calibri"/>
        </w:rPr>
        <w:t>jejich</w:t>
      </w:r>
      <w:r w:rsidR="00EE03AE">
        <w:rPr>
          <w:rFonts w:ascii="Calibri" w:hAnsi="Calibri"/>
        </w:rPr>
        <w:t xml:space="preserve"> schopností</w:t>
      </w:r>
      <w:r w:rsidR="00896A23">
        <w:rPr>
          <w:rFonts w:ascii="Calibri" w:hAnsi="Calibri"/>
        </w:rPr>
        <w:t xml:space="preserve"> jsou</w:t>
      </w:r>
      <w:r w:rsidR="00EE03AE">
        <w:rPr>
          <w:rFonts w:ascii="Calibri" w:hAnsi="Calibri"/>
        </w:rPr>
        <w:t xml:space="preserve"> </w:t>
      </w:r>
      <w:r w:rsidR="00896A23">
        <w:rPr>
          <w:rFonts w:ascii="Calibri" w:hAnsi="Calibri"/>
        </w:rPr>
        <w:t>klíčovými podmínkami</w:t>
      </w:r>
      <w:r w:rsidR="00310230" w:rsidRPr="002663D7">
        <w:rPr>
          <w:rFonts w:ascii="Calibri" w:hAnsi="Calibri"/>
        </w:rPr>
        <w:t xml:space="preserve"> zajištění obranyschopnosti a plnění mezinárodních závazků kolektivní obrany</w:t>
      </w:r>
      <w:r w:rsidR="006061B3" w:rsidRPr="002663D7">
        <w:rPr>
          <w:rStyle w:val="Znakapoznpodarou"/>
          <w:rFonts w:ascii="Calibri" w:hAnsi="Calibri"/>
        </w:rPr>
        <w:footnoteReference w:id="3"/>
      </w:r>
      <w:r w:rsidR="004743F8">
        <w:rPr>
          <w:rFonts w:ascii="Calibri" w:hAnsi="Calibri"/>
        </w:rPr>
        <w:t xml:space="preserve"> </w:t>
      </w:r>
      <w:r w:rsidR="004743F8">
        <w:rPr>
          <w:rFonts w:ascii="Calibri" w:hAnsi="Calibri"/>
        </w:rPr>
        <w:lastRenderedPageBreak/>
        <w:t>v </w:t>
      </w:r>
      <w:r w:rsidR="00310230" w:rsidRPr="002663D7">
        <w:rPr>
          <w:rFonts w:ascii="Calibri" w:hAnsi="Calibri"/>
        </w:rPr>
        <w:t xml:space="preserve">rámci </w:t>
      </w:r>
      <w:r w:rsidR="00602B6F">
        <w:rPr>
          <w:rFonts w:ascii="Calibri" w:hAnsi="Calibri"/>
        </w:rPr>
        <w:t>Severoatlantické aliance (dále také „</w:t>
      </w:r>
      <w:r w:rsidR="00310230" w:rsidRPr="002663D7">
        <w:rPr>
          <w:rFonts w:ascii="Calibri" w:hAnsi="Calibri"/>
        </w:rPr>
        <w:t>NATO</w:t>
      </w:r>
      <w:r w:rsidR="00602B6F">
        <w:rPr>
          <w:rFonts w:ascii="Calibri" w:hAnsi="Calibri"/>
        </w:rPr>
        <w:t>“)</w:t>
      </w:r>
      <w:r w:rsidR="00310230" w:rsidRPr="002663D7">
        <w:rPr>
          <w:rFonts w:ascii="Calibri" w:hAnsi="Calibri"/>
        </w:rPr>
        <w:t xml:space="preserve"> a </w:t>
      </w:r>
      <w:r w:rsidR="00205237" w:rsidRPr="002663D7">
        <w:rPr>
          <w:rFonts w:ascii="Calibri" w:hAnsi="Calibri"/>
        </w:rPr>
        <w:t>Evropské unie</w:t>
      </w:r>
      <w:r w:rsidR="00196098">
        <w:rPr>
          <w:rFonts w:ascii="Calibri" w:hAnsi="Calibri"/>
        </w:rPr>
        <w:t xml:space="preserve"> (dále také „EU“)</w:t>
      </w:r>
      <w:r w:rsidR="00310230" w:rsidRPr="002663D7">
        <w:rPr>
          <w:rFonts w:ascii="Calibri" w:hAnsi="Calibri"/>
        </w:rPr>
        <w:t xml:space="preserve">. Přístup vlády k zajištění obrany je vyjádřen </w:t>
      </w:r>
      <w:r w:rsidR="00310230" w:rsidRPr="00D96FA2">
        <w:rPr>
          <w:rFonts w:ascii="Calibri" w:hAnsi="Calibri"/>
          <w:i/>
        </w:rPr>
        <w:t>Obrannou strategií ČR</w:t>
      </w:r>
      <w:r w:rsidR="00EB3B43" w:rsidRPr="00D96FA2">
        <w:rPr>
          <w:rFonts w:ascii="Calibri" w:hAnsi="Calibri"/>
        </w:rPr>
        <w:t>, která vychází z </w:t>
      </w:r>
      <w:r w:rsidR="00310230" w:rsidRPr="00D96FA2">
        <w:rPr>
          <w:rFonts w:ascii="Calibri" w:hAnsi="Calibri"/>
          <w:i/>
        </w:rPr>
        <w:t>Bezpečnostní strategie ČR</w:t>
      </w:r>
      <w:r w:rsidR="004D0E96" w:rsidRPr="007164F4">
        <w:rPr>
          <w:rFonts w:ascii="Calibri" w:hAnsi="Calibri"/>
        </w:rPr>
        <w:t>,</w:t>
      </w:r>
      <w:r w:rsidR="00310230" w:rsidRPr="002663D7">
        <w:rPr>
          <w:rFonts w:ascii="Calibri" w:hAnsi="Calibri"/>
        </w:rPr>
        <w:t xml:space="preserve"> a </w:t>
      </w:r>
      <w:r w:rsidR="00E27EF2">
        <w:rPr>
          <w:rFonts w:ascii="Calibri" w:hAnsi="Calibri"/>
        </w:rPr>
        <w:t>usnesením</w:t>
      </w:r>
      <w:r w:rsidR="00310230" w:rsidRPr="002663D7">
        <w:rPr>
          <w:rFonts w:ascii="Calibri" w:hAnsi="Calibri"/>
        </w:rPr>
        <w:t xml:space="preserve"> vlády o</w:t>
      </w:r>
      <w:r w:rsidR="00896A23">
        <w:rPr>
          <w:rFonts w:ascii="Calibri" w:hAnsi="Calibri"/>
        </w:rPr>
        <w:t> </w:t>
      </w:r>
      <w:r w:rsidR="00310230" w:rsidRPr="002663D7">
        <w:rPr>
          <w:rFonts w:ascii="Calibri" w:hAnsi="Calibri"/>
        </w:rPr>
        <w:t>stru</w:t>
      </w:r>
      <w:r w:rsidR="00205237" w:rsidRPr="002663D7">
        <w:rPr>
          <w:rFonts w:ascii="Calibri" w:hAnsi="Calibri"/>
        </w:rPr>
        <w:t>ktuře a počtech ozbrojených sil</w:t>
      </w:r>
      <w:r w:rsidR="00E27EF2">
        <w:rPr>
          <w:rStyle w:val="Znakapoznpodarou"/>
          <w:rFonts w:ascii="Calibri" w:hAnsi="Calibri"/>
        </w:rPr>
        <w:footnoteReference w:id="4"/>
      </w:r>
      <w:r w:rsidR="00310230" w:rsidRPr="002663D7">
        <w:rPr>
          <w:rFonts w:ascii="Calibri" w:hAnsi="Calibri"/>
        </w:rPr>
        <w:t>. Těmito</w:t>
      </w:r>
      <w:r w:rsidR="001F555F">
        <w:rPr>
          <w:rFonts w:ascii="Calibri" w:hAnsi="Calibri"/>
        </w:rPr>
        <w:t xml:space="preserve"> </w:t>
      </w:r>
      <w:r w:rsidR="00310230" w:rsidRPr="002663D7">
        <w:rPr>
          <w:rFonts w:ascii="Calibri" w:hAnsi="Calibri"/>
        </w:rPr>
        <w:t>akty jsou defin</w:t>
      </w:r>
      <w:r w:rsidR="00205237" w:rsidRPr="002663D7">
        <w:rPr>
          <w:rFonts w:ascii="Calibri" w:hAnsi="Calibri"/>
        </w:rPr>
        <w:t xml:space="preserve">ovány </w:t>
      </w:r>
      <w:r w:rsidR="00F07EF1" w:rsidRPr="00F07EF1">
        <w:rPr>
          <w:rFonts w:ascii="Calibri" w:hAnsi="Calibri"/>
        </w:rPr>
        <w:t>bezpečnostní zájmy ČR</w:t>
      </w:r>
      <w:r w:rsidR="00310230" w:rsidRPr="002663D7">
        <w:rPr>
          <w:rFonts w:ascii="Calibri" w:hAnsi="Calibri"/>
        </w:rPr>
        <w:t xml:space="preserve">, které jsou politickým zadáním pro ozbrojené síly k jejich rozvoji a zajištění </w:t>
      </w:r>
      <w:r w:rsidR="0034227F">
        <w:rPr>
          <w:rFonts w:ascii="Calibri" w:hAnsi="Calibri"/>
        </w:rPr>
        <w:t xml:space="preserve">plnění </w:t>
      </w:r>
      <w:r w:rsidR="0034227F" w:rsidRPr="002663D7">
        <w:rPr>
          <w:rFonts w:ascii="Calibri" w:hAnsi="Calibri"/>
        </w:rPr>
        <w:t xml:space="preserve">jejich </w:t>
      </w:r>
      <w:r w:rsidR="00310230" w:rsidRPr="002663D7">
        <w:rPr>
          <w:rFonts w:ascii="Calibri" w:hAnsi="Calibri"/>
        </w:rPr>
        <w:t>povinností a úkolů</w:t>
      </w:r>
      <w:r w:rsidR="00896A23">
        <w:rPr>
          <w:rFonts w:ascii="Calibri" w:hAnsi="Calibri"/>
        </w:rPr>
        <w:t>,</w:t>
      </w:r>
      <w:r w:rsidR="004D0E96">
        <w:rPr>
          <w:rFonts w:ascii="Calibri" w:hAnsi="Calibri"/>
        </w:rPr>
        <w:t xml:space="preserve"> </w:t>
      </w:r>
      <w:r w:rsidR="00E7335D">
        <w:rPr>
          <w:rFonts w:ascii="Calibri" w:hAnsi="Calibri"/>
        </w:rPr>
        <w:t>stanovených</w:t>
      </w:r>
      <w:r w:rsidR="004D0E96" w:rsidRPr="004D0E96">
        <w:rPr>
          <w:rFonts w:ascii="Calibri" w:hAnsi="Calibri"/>
        </w:rPr>
        <w:t xml:space="preserve"> </w:t>
      </w:r>
      <w:r w:rsidR="004D0E96">
        <w:rPr>
          <w:rFonts w:ascii="Calibri" w:hAnsi="Calibri"/>
        </w:rPr>
        <w:t xml:space="preserve">zejména </w:t>
      </w:r>
      <w:r w:rsidR="004743F8">
        <w:rPr>
          <w:rFonts w:ascii="Calibri" w:hAnsi="Calibri"/>
        </w:rPr>
        <w:t>zákonem o </w:t>
      </w:r>
      <w:r w:rsidR="004D0E96" w:rsidRPr="004D0E96">
        <w:rPr>
          <w:rFonts w:ascii="Calibri" w:hAnsi="Calibri"/>
        </w:rPr>
        <w:t xml:space="preserve">ozbrojených silách </w:t>
      </w:r>
      <w:r w:rsidR="00E7335D">
        <w:rPr>
          <w:rFonts w:ascii="Calibri" w:hAnsi="Calibri"/>
        </w:rPr>
        <w:t>ČR</w:t>
      </w:r>
      <w:r w:rsidR="004D0E96">
        <w:rPr>
          <w:rStyle w:val="Znakapoznpodarou"/>
          <w:rFonts w:ascii="Calibri" w:hAnsi="Calibri"/>
        </w:rPr>
        <w:footnoteReference w:id="5"/>
      </w:r>
      <w:r w:rsidR="00310230" w:rsidRPr="004D0E96">
        <w:rPr>
          <w:rFonts w:ascii="Calibri" w:hAnsi="Calibri"/>
        </w:rPr>
        <w:t xml:space="preserve">. </w:t>
      </w:r>
    </w:p>
    <w:p w14:paraId="098AF080" w14:textId="210F878B" w:rsidR="008A10EF" w:rsidRPr="002663D7" w:rsidRDefault="00310230" w:rsidP="002663D7">
      <w:pPr>
        <w:spacing w:after="120"/>
        <w:ind w:right="6"/>
        <w:jc w:val="both"/>
        <w:rPr>
          <w:rFonts w:ascii="Calibri" w:hAnsi="Calibri" w:cstheme="minorHAnsi"/>
        </w:rPr>
      </w:pPr>
      <w:r w:rsidRPr="002663D7">
        <w:rPr>
          <w:rFonts w:ascii="Calibri" w:hAnsi="Calibri" w:cstheme="minorHAnsi"/>
        </w:rPr>
        <w:t>Ministerstvo obrany (dále také „MO“) je ústředním orgánem státní správy z</w:t>
      </w:r>
      <w:r w:rsidR="00205237" w:rsidRPr="002663D7">
        <w:rPr>
          <w:rFonts w:ascii="Calibri" w:hAnsi="Calibri" w:cstheme="minorHAnsi"/>
        </w:rPr>
        <w:t>ejména pro zabezpečování obrany</w:t>
      </w:r>
      <w:r w:rsidRPr="002663D7">
        <w:rPr>
          <w:rFonts w:ascii="Calibri" w:hAnsi="Calibri" w:cstheme="minorHAnsi"/>
        </w:rPr>
        <w:t xml:space="preserve">, řízení </w:t>
      </w:r>
      <w:r w:rsidR="007D4260">
        <w:rPr>
          <w:rFonts w:ascii="Calibri" w:hAnsi="Calibri" w:cstheme="minorHAnsi"/>
        </w:rPr>
        <w:t>Armády ČR (dále jen „</w:t>
      </w:r>
      <w:r w:rsidR="000C4484">
        <w:rPr>
          <w:rFonts w:ascii="Calibri" w:hAnsi="Calibri" w:cstheme="minorHAnsi"/>
        </w:rPr>
        <w:t>AČR</w:t>
      </w:r>
      <w:r w:rsidR="007D4260">
        <w:rPr>
          <w:rFonts w:ascii="Calibri" w:hAnsi="Calibri" w:cstheme="minorHAnsi"/>
        </w:rPr>
        <w:t>“)</w:t>
      </w:r>
      <w:r w:rsidR="000C4484">
        <w:rPr>
          <w:rFonts w:ascii="Calibri" w:hAnsi="Calibri" w:cstheme="minorHAnsi"/>
        </w:rPr>
        <w:t xml:space="preserve"> </w:t>
      </w:r>
      <w:r w:rsidRPr="002663D7">
        <w:rPr>
          <w:rFonts w:ascii="Calibri" w:hAnsi="Calibri" w:cstheme="minorHAnsi"/>
        </w:rPr>
        <w:t>a správu vojenských újezdů.</w:t>
      </w:r>
      <w:r w:rsidR="00BF0DAB" w:rsidRPr="002663D7">
        <w:rPr>
          <w:rFonts w:ascii="Calibri" w:hAnsi="Calibri" w:cstheme="minorHAnsi"/>
        </w:rPr>
        <w:t xml:space="preserve"> </w:t>
      </w:r>
      <w:r w:rsidR="000A0DA9" w:rsidRPr="002663D7">
        <w:rPr>
          <w:rFonts w:ascii="Calibri" w:hAnsi="Calibri" w:cstheme="minorHAnsi"/>
        </w:rPr>
        <w:t>MO při řízení AČR mj. stanoví a rea</w:t>
      </w:r>
      <w:r w:rsidR="00BB3619">
        <w:rPr>
          <w:rFonts w:ascii="Calibri" w:hAnsi="Calibri" w:cstheme="minorHAnsi"/>
        </w:rPr>
        <w:t xml:space="preserve">lizuje opatření k rozvoji AČR </w:t>
      </w:r>
      <w:r w:rsidR="006061B3">
        <w:rPr>
          <w:rFonts w:ascii="Calibri" w:hAnsi="Calibri" w:cstheme="minorHAnsi"/>
        </w:rPr>
        <w:t>či</w:t>
      </w:r>
      <w:r w:rsidR="00BB3619">
        <w:rPr>
          <w:rFonts w:ascii="Calibri" w:hAnsi="Calibri" w:cstheme="minorHAnsi"/>
        </w:rPr>
        <w:t xml:space="preserve"> </w:t>
      </w:r>
      <w:r w:rsidR="000A0DA9" w:rsidRPr="002663D7">
        <w:rPr>
          <w:rFonts w:ascii="Calibri" w:hAnsi="Calibri" w:cstheme="minorHAnsi"/>
        </w:rPr>
        <w:t>zřizuje a ruší vojenské útvary a</w:t>
      </w:r>
      <w:r w:rsidR="004247D4">
        <w:rPr>
          <w:rFonts w:ascii="Calibri" w:hAnsi="Calibri" w:cstheme="minorHAnsi"/>
        </w:rPr>
        <w:t> </w:t>
      </w:r>
      <w:r w:rsidR="000A0DA9" w:rsidRPr="002663D7">
        <w:rPr>
          <w:rFonts w:ascii="Calibri" w:hAnsi="Calibri" w:cstheme="minorHAnsi"/>
        </w:rPr>
        <w:t>vojenská zařízení</w:t>
      </w:r>
      <w:r w:rsidR="00BB3619">
        <w:rPr>
          <w:rFonts w:ascii="Calibri" w:hAnsi="Calibri" w:cstheme="minorHAnsi"/>
        </w:rPr>
        <w:t xml:space="preserve">. </w:t>
      </w:r>
      <w:r w:rsidR="000A0DA9" w:rsidRPr="002663D7">
        <w:rPr>
          <w:rFonts w:ascii="Calibri" w:hAnsi="Calibri" w:cstheme="minorHAnsi"/>
        </w:rPr>
        <w:t xml:space="preserve">Součástí MO je Generální štáb AČR, který zabezpečuje velení </w:t>
      </w:r>
      <w:r w:rsidR="00205237" w:rsidRPr="002663D7">
        <w:rPr>
          <w:rFonts w:ascii="Calibri" w:hAnsi="Calibri" w:cstheme="minorHAnsi"/>
        </w:rPr>
        <w:t>AČR</w:t>
      </w:r>
      <w:r w:rsidR="00E7335D">
        <w:rPr>
          <w:rFonts w:ascii="Calibri" w:hAnsi="Calibri" w:cstheme="minorHAnsi"/>
        </w:rPr>
        <w:t xml:space="preserve">. </w:t>
      </w:r>
      <w:r w:rsidR="008A10EF" w:rsidRPr="002663D7">
        <w:rPr>
          <w:rFonts w:ascii="Calibri" w:hAnsi="Calibri" w:cstheme="minorHAnsi"/>
        </w:rPr>
        <w:t>V roce 2016 pracovalo v</w:t>
      </w:r>
      <w:r w:rsidR="0024127B">
        <w:rPr>
          <w:rFonts w:ascii="Calibri" w:hAnsi="Calibri" w:cstheme="minorHAnsi"/>
        </w:rPr>
        <w:t> </w:t>
      </w:r>
      <w:r w:rsidR="00CB1B08">
        <w:rPr>
          <w:rFonts w:ascii="Calibri" w:hAnsi="Calibri" w:cstheme="minorHAnsi"/>
        </w:rPr>
        <w:t>res</w:t>
      </w:r>
      <w:r w:rsidR="0024127B">
        <w:rPr>
          <w:rFonts w:ascii="Calibri" w:hAnsi="Calibri" w:cstheme="minorHAnsi"/>
        </w:rPr>
        <w:t xml:space="preserve">ortu obrany </w:t>
      </w:r>
      <w:r w:rsidR="00E929BC">
        <w:rPr>
          <w:rFonts w:ascii="Calibri" w:hAnsi="Calibri" w:cstheme="minorHAnsi"/>
        </w:rPr>
        <w:t xml:space="preserve">celkem </w:t>
      </w:r>
      <w:r w:rsidR="008A10EF" w:rsidRPr="002663D7">
        <w:rPr>
          <w:rFonts w:ascii="Calibri" w:hAnsi="Calibri" w:cstheme="minorHAnsi"/>
        </w:rPr>
        <w:t>30 552 zaměstnanců</w:t>
      </w:r>
      <w:r w:rsidR="00257241" w:rsidRPr="002663D7">
        <w:rPr>
          <w:rStyle w:val="Znakapoznpodarou"/>
          <w:rFonts w:ascii="Calibri" w:hAnsi="Calibri" w:cstheme="minorHAnsi"/>
        </w:rPr>
        <w:footnoteReference w:id="6"/>
      </w:r>
      <w:r w:rsidR="00E7335D">
        <w:rPr>
          <w:rFonts w:ascii="Calibri" w:hAnsi="Calibri" w:cstheme="minorHAnsi"/>
        </w:rPr>
        <w:t xml:space="preserve">, </w:t>
      </w:r>
      <w:r w:rsidR="00E929BC">
        <w:rPr>
          <w:rFonts w:ascii="Calibri" w:hAnsi="Calibri" w:cstheme="minorHAnsi"/>
        </w:rPr>
        <w:t xml:space="preserve">z toho </w:t>
      </w:r>
      <w:r w:rsidR="007E7BC4">
        <w:rPr>
          <w:rFonts w:ascii="Calibri" w:hAnsi="Calibri"/>
          <w:color w:val="000000"/>
        </w:rPr>
        <w:t>22 959 vojáků z povolání, 6 354 </w:t>
      </w:r>
      <w:r w:rsidR="008A10EF" w:rsidRPr="002663D7">
        <w:rPr>
          <w:rFonts w:ascii="Calibri" w:hAnsi="Calibri"/>
          <w:color w:val="000000"/>
        </w:rPr>
        <w:t>občanských a 1 239 státních zaměstnanců.</w:t>
      </w:r>
      <w:r w:rsidR="00BB3619">
        <w:rPr>
          <w:rFonts w:ascii="Calibri" w:hAnsi="Calibri"/>
          <w:color w:val="000000"/>
        </w:rPr>
        <w:t xml:space="preserve"> V</w:t>
      </w:r>
      <w:r w:rsidR="00257241" w:rsidRPr="002663D7">
        <w:rPr>
          <w:rFonts w:ascii="Calibri" w:hAnsi="Calibri" w:cstheme="minorHAnsi"/>
          <w:color w:val="000000"/>
        </w:rPr>
        <w:t xml:space="preserve">ýdaje </w:t>
      </w:r>
      <w:r w:rsidR="00257241" w:rsidRPr="002663D7">
        <w:rPr>
          <w:rFonts w:ascii="Calibri" w:hAnsi="Calibri"/>
          <w:color w:val="000000"/>
        </w:rPr>
        <w:t xml:space="preserve">státního rozpočtu </w:t>
      </w:r>
      <w:r w:rsidR="00646A88" w:rsidRPr="002663D7">
        <w:rPr>
          <w:rFonts w:ascii="Calibri" w:hAnsi="Calibri" w:cstheme="minorHAnsi"/>
        </w:rPr>
        <w:t>(dále také „SR“)</w:t>
      </w:r>
      <w:r w:rsidR="00646A88">
        <w:rPr>
          <w:rFonts w:ascii="Calibri" w:hAnsi="Calibri" w:cstheme="minorHAnsi"/>
        </w:rPr>
        <w:t xml:space="preserve"> </w:t>
      </w:r>
      <w:r w:rsidR="00257241" w:rsidRPr="002663D7">
        <w:rPr>
          <w:rFonts w:ascii="Calibri" w:hAnsi="Calibri"/>
          <w:color w:val="000000"/>
        </w:rPr>
        <w:t xml:space="preserve">spotřebované v kapitole </w:t>
      </w:r>
      <w:r w:rsidR="00DC2D6E">
        <w:rPr>
          <w:rFonts w:ascii="Calibri" w:hAnsi="Calibri"/>
          <w:color w:val="000000"/>
        </w:rPr>
        <w:t>307</w:t>
      </w:r>
      <w:r w:rsidR="00EE03AE">
        <w:rPr>
          <w:rFonts w:ascii="Calibri" w:hAnsi="Calibri"/>
          <w:color w:val="000000"/>
        </w:rPr>
        <w:t xml:space="preserve"> –</w:t>
      </w:r>
      <w:r w:rsidR="00DC2D6E">
        <w:rPr>
          <w:rFonts w:ascii="Calibri" w:hAnsi="Calibri"/>
          <w:color w:val="000000"/>
        </w:rPr>
        <w:t> </w:t>
      </w:r>
      <w:r w:rsidR="00896A23" w:rsidRPr="007164F4">
        <w:rPr>
          <w:rFonts w:ascii="Calibri" w:hAnsi="Calibri"/>
          <w:i/>
          <w:color w:val="000000"/>
        </w:rPr>
        <w:t>Ministerstvo obrany</w:t>
      </w:r>
      <w:r w:rsidR="00132277">
        <w:rPr>
          <w:rFonts w:ascii="Calibri" w:hAnsi="Calibri"/>
          <w:color w:val="000000"/>
        </w:rPr>
        <w:t xml:space="preserve"> se v období 2011 až</w:t>
      </w:r>
      <w:r w:rsidR="00257241" w:rsidRPr="002663D7">
        <w:rPr>
          <w:rFonts w:ascii="Calibri" w:hAnsi="Calibri"/>
          <w:color w:val="000000"/>
        </w:rPr>
        <w:t xml:space="preserve"> 2015 pohybovaly </w:t>
      </w:r>
      <w:r w:rsidR="00BB3619">
        <w:rPr>
          <w:rFonts w:ascii="Calibri" w:hAnsi="Calibri"/>
          <w:color w:val="000000"/>
        </w:rPr>
        <w:t xml:space="preserve">ročně </w:t>
      </w:r>
      <w:r w:rsidR="00257241" w:rsidRPr="002663D7">
        <w:rPr>
          <w:rFonts w:ascii="Calibri" w:hAnsi="Calibri"/>
          <w:color w:val="000000"/>
        </w:rPr>
        <w:t xml:space="preserve">mezi </w:t>
      </w:r>
      <w:r w:rsidR="00A63199" w:rsidRPr="002663D7">
        <w:rPr>
          <w:rFonts w:ascii="Calibri" w:hAnsi="Calibri"/>
          <w:color w:val="000000"/>
        </w:rPr>
        <w:t xml:space="preserve">41 069,410 </w:t>
      </w:r>
      <w:r w:rsidR="00257241" w:rsidRPr="002663D7">
        <w:rPr>
          <w:rFonts w:ascii="Calibri" w:hAnsi="Calibri"/>
          <w:color w:val="000000"/>
        </w:rPr>
        <w:t xml:space="preserve">až </w:t>
      </w:r>
      <w:r w:rsidR="00A63199" w:rsidRPr="002663D7">
        <w:rPr>
          <w:rFonts w:ascii="Calibri" w:hAnsi="Calibri"/>
          <w:color w:val="000000"/>
        </w:rPr>
        <w:t>47 342,011 mil.</w:t>
      </w:r>
      <w:r w:rsidR="00257241" w:rsidRPr="002663D7">
        <w:rPr>
          <w:rFonts w:ascii="Calibri" w:hAnsi="Calibri"/>
          <w:color w:val="000000"/>
        </w:rPr>
        <w:t xml:space="preserve"> Kč.</w:t>
      </w:r>
    </w:p>
    <w:p w14:paraId="4FDEED2F" w14:textId="091D0EEB" w:rsidR="000A0DA9" w:rsidRPr="007264D8" w:rsidRDefault="00310230" w:rsidP="008D1BCD">
      <w:pPr>
        <w:ind w:right="6"/>
        <w:jc w:val="both"/>
        <w:rPr>
          <w:rFonts w:ascii="Calibri" w:hAnsi="Calibri" w:cstheme="minorHAnsi"/>
          <w:color w:val="000000"/>
        </w:rPr>
      </w:pPr>
      <w:r w:rsidRPr="002663D7">
        <w:rPr>
          <w:rFonts w:ascii="Calibri" w:hAnsi="Calibri" w:cstheme="minorHAnsi"/>
          <w:color w:val="000000"/>
        </w:rPr>
        <w:t xml:space="preserve">MO je správcem programů reprodukce majetku, v jejichž rámci </w:t>
      </w:r>
      <w:r w:rsidR="007264D8" w:rsidRPr="00D96FA2">
        <w:rPr>
          <w:rFonts w:ascii="Calibri" w:hAnsi="Calibri" w:cstheme="minorHAnsi"/>
          <w:color w:val="000000"/>
        </w:rPr>
        <w:t>byla technika, resp.</w:t>
      </w:r>
      <w:r w:rsidR="00427F0D" w:rsidRPr="00D96FA2">
        <w:rPr>
          <w:rFonts w:ascii="Calibri" w:hAnsi="Calibri" w:cstheme="minorHAnsi"/>
          <w:color w:val="000000"/>
        </w:rPr>
        <w:t> </w:t>
      </w:r>
      <w:r w:rsidR="007264D8" w:rsidRPr="00D96FA2">
        <w:rPr>
          <w:rFonts w:ascii="Calibri" w:hAnsi="Calibri" w:cstheme="minorHAnsi"/>
          <w:color w:val="000000"/>
        </w:rPr>
        <w:t>vojenský materiál</w:t>
      </w:r>
      <w:r w:rsidR="00E803AA">
        <w:rPr>
          <w:rFonts w:ascii="Calibri" w:hAnsi="Calibri" w:cstheme="minorHAnsi"/>
          <w:color w:val="000000"/>
        </w:rPr>
        <w:t>,</w:t>
      </w:r>
      <w:r w:rsidR="007264D8" w:rsidRPr="00D96FA2">
        <w:rPr>
          <w:rStyle w:val="Znakapoznpodarou"/>
          <w:rFonts w:ascii="Calibri" w:hAnsi="Calibri" w:cstheme="minorHAnsi"/>
          <w:color w:val="000000"/>
        </w:rPr>
        <w:footnoteReference w:id="7"/>
      </w:r>
      <w:r w:rsidR="00C370E9">
        <w:rPr>
          <w:rFonts w:ascii="Calibri" w:hAnsi="Calibri" w:cstheme="minorHAnsi"/>
          <w:color w:val="000000"/>
        </w:rPr>
        <w:t xml:space="preserve"> pro AČR pořizována. </w:t>
      </w:r>
      <w:r w:rsidR="008A10EF" w:rsidRPr="002663D7">
        <w:rPr>
          <w:rFonts w:ascii="Calibri" w:hAnsi="Calibri" w:cstheme="minorHAnsi"/>
        </w:rPr>
        <w:t xml:space="preserve">Předmětem </w:t>
      </w:r>
      <w:r w:rsidR="00E929BC">
        <w:rPr>
          <w:rFonts w:ascii="Calibri" w:hAnsi="Calibri" w:cstheme="minorHAnsi"/>
        </w:rPr>
        <w:t xml:space="preserve">kontrolní akce (dále také „KA“) </w:t>
      </w:r>
      <w:r w:rsidR="008A10EF" w:rsidRPr="002663D7">
        <w:rPr>
          <w:rFonts w:ascii="Calibri" w:hAnsi="Calibri" w:cstheme="minorHAnsi"/>
        </w:rPr>
        <w:t xml:space="preserve">bylo pět </w:t>
      </w:r>
      <w:r w:rsidR="006953FB">
        <w:rPr>
          <w:rFonts w:ascii="Calibri" w:hAnsi="Calibri" w:cstheme="minorHAnsi"/>
        </w:rPr>
        <w:t xml:space="preserve">níže </w:t>
      </w:r>
      <w:r w:rsidR="00E929BC">
        <w:rPr>
          <w:rFonts w:ascii="Calibri" w:hAnsi="Calibri" w:cstheme="minorHAnsi"/>
        </w:rPr>
        <w:t>uvedených</w:t>
      </w:r>
      <w:r w:rsidR="00205237" w:rsidRPr="002663D7">
        <w:rPr>
          <w:rFonts w:ascii="Calibri" w:hAnsi="Calibri" w:cstheme="minorHAnsi"/>
        </w:rPr>
        <w:t xml:space="preserve"> </w:t>
      </w:r>
      <w:r w:rsidR="008A10EF" w:rsidRPr="002663D7">
        <w:rPr>
          <w:rFonts w:ascii="Calibri" w:hAnsi="Calibri" w:cstheme="minorHAnsi"/>
        </w:rPr>
        <w:t>programů</w:t>
      </w:r>
      <w:r w:rsidR="00550EC7">
        <w:rPr>
          <w:rFonts w:ascii="Calibri" w:hAnsi="Calibri" w:cstheme="minorHAnsi"/>
        </w:rPr>
        <w:t xml:space="preserve"> (dále také „vybrané programy“)</w:t>
      </w:r>
      <w:r w:rsidR="00FD40E6">
        <w:rPr>
          <w:rFonts w:ascii="Calibri" w:hAnsi="Calibri" w:cstheme="minorHAnsi"/>
        </w:rPr>
        <w:t xml:space="preserve">, </w:t>
      </w:r>
      <w:r w:rsidR="008A10EF" w:rsidRPr="002663D7">
        <w:rPr>
          <w:rFonts w:ascii="Calibri" w:hAnsi="Calibri" w:cstheme="minorHAnsi"/>
        </w:rPr>
        <w:t xml:space="preserve">u nichž je </w:t>
      </w:r>
      <w:r w:rsidR="008A10EF" w:rsidRPr="00D96FA2">
        <w:rPr>
          <w:rFonts w:ascii="Calibri" w:hAnsi="Calibri" w:cstheme="minorHAnsi"/>
        </w:rPr>
        <w:t>MO, resp. AČR</w:t>
      </w:r>
      <w:r w:rsidR="00E803AA">
        <w:rPr>
          <w:rFonts w:ascii="Calibri" w:hAnsi="Calibri" w:cstheme="minorHAnsi"/>
        </w:rPr>
        <w:t>,</w:t>
      </w:r>
      <w:r w:rsidR="008A10EF" w:rsidRPr="002663D7">
        <w:rPr>
          <w:rFonts w:ascii="Calibri" w:hAnsi="Calibri" w:cstheme="minorHAnsi"/>
        </w:rPr>
        <w:t xml:space="preserve"> </w:t>
      </w:r>
      <w:r w:rsidR="00896A23">
        <w:rPr>
          <w:rFonts w:ascii="Calibri" w:hAnsi="Calibri" w:cstheme="minorHAnsi"/>
        </w:rPr>
        <w:t xml:space="preserve">v roli </w:t>
      </w:r>
      <w:r w:rsidR="008A10EF" w:rsidRPr="002663D7">
        <w:rPr>
          <w:rFonts w:ascii="Calibri" w:hAnsi="Calibri" w:cstheme="minorHAnsi"/>
        </w:rPr>
        <w:t xml:space="preserve">příjemce peněžních prostředků </w:t>
      </w:r>
      <w:r w:rsidR="00646A88">
        <w:rPr>
          <w:rFonts w:ascii="Calibri" w:hAnsi="Calibri" w:cstheme="minorHAnsi"/>
        </w:rPr>
        <w:t>SR:</w:t>
      </w:r>
    </w:p>
    <w:p w14:paraId="391E6596" w14:textId="0BFC538C" w:rsidR="00310230" w:rsidRPr="002663D7" w:rsidRDefault="00310230" w:rsidP="002663D7">
      <w:pPr>
        <w:pStyle w:val="Odstavecseseznamem"/>
        <w:numPr>
          <w:ilvl w:val="0"/>
          <w:numId w:val="15"/>
        </w:numPr>
        <w:contextualSpacing/>
        <w:jc w:val="both"/>
        <w:rPr>
          <w:rFonts w:ascii="Calibri" w:hAnsi="Calibri" w:cstheme="minorHAnsi"/>
          <w:b/>
          <w:i/>
        </w:rPr>
      </w:pPr>
      <w:r w:rsidRPr="007164F4">
        <w:rPr>
          <w:rFonts w:ascii="Calibri" w:hAnsi="Calibri" w:cstheme="minorHAnsi"/>
        </w:rPr>
        <w:t>107</w:t>
      </w:r>
      <w:r w:rsidR="005523F1">
        <w:rPr>
          <w:rFonts w:ascii="Calibri" w:hAnsi="Calibri" w:cstheme="minorHAnsi"/>
        </w:rPr>
        <w:t> </w:t>
      </w:r>
      <w:r w:rsidRPr="007164F4">
        <w:rPr>
          <w:rFonts w:ascii="Calibri" w:hAnsi="Calibri" w:cstheme="minorHAnsi"/>
        </w:rPr>
        <w:t>110</w:t>
      </w:r>
      <w:r w:rsidR="005523F1">
        <w:rPr>
          <w:rFonts w:ascii="Calibri" w:hAnsi="Calibri" w:cstheme="minorHAnsi"/>
        </w:rPr>
        <w:t xml:space="preserve"> –</w:t>
      </w:r>
      <w:r w:rsidRPr="002663D7">
        <w:rPr>
          <w:rFonts w:ascii="Calibri" w:hAnsi="Calibri" w:cstheme="minorHAnsi"/>
          <w:i/>
        </w:rPr>
        <w:t xml:space="preserve"> Zvyšování schopností vojáka 21. století</w:t>
      </w:r>
      <w:r w:rsidR="00896A23">
        <w:rPr>
          <w:rFonts w:ascii="Calibri" w:hAnsi="Calibri" w:cstheme="minorHAnsi"/>
        </w:rPr>
        <w:t>,</w:t>
      </w:r>
    </w:p>
    <w:p w14:paraId="5E2C10A5" w14:textId="159C7545" w:rsidR="00310230" w:rsidRPr="002663D7" w:rsidRDefault="00310230" w:rsidP="002663D7">
      <w:pPr>
        <w:pStyle w:val="Odstavecseseznamem"/>
        <w:numPr>
          <w:ilvl w:val="0"/>
          <w:numId w:val="15"/>
        </w:numPr>
        <w:contextualSpacing/>
        <w:jc w:val="both"/>
        <w:rPr>
          <w:rFonts w:ascii="Calibri" w:hAnsi="Calibri" w:cstheme="minorHAnsi"/>
          <w:i/>
        </w:rPr>
      </w:pPr>
      <w:r w:rsidRPr="007164F4">
        <w:rPr>
          <w:rFonts w:ascii="Calibri" w:hAnsi="Calibri" w:cstheme="minorHAnsi"/>
        </w:rPr>
        <w:t>107</w:t>
      </w:r>
      <w:r w:rsidR="005523F1">
        <w:rPr>
          <w:rFonts w:ascii="Calibri" w:hAnsi="Calibri" w:cstheme="minorHAnsi"/>
        </w:rPr>
        <w:t> </w:t>
      </w:r>
      <w:r w:rsidRPr="007164F4">
        <w:rPr>
          <w:rFonts w:ascii="Calibri" w:hAnsi="Calibri" w:cstheme="minorHAnsi"/>
        </w:rPr>
        <w:t>430</w:t>
      </w:r>
      <w:r w:rsidR="005523F1">
        <w:rPr>
          <w:rFonts w:ascii="Calibri" w:hAnsi="Calibri" w:cstheme="minorHAnsi"/>
        </w:rPr>
        <w:t xml:space="preserve"> –</w:t>
      </w:r>
      <w:r w:rsidRPr="002663D7">
        <w:rPr>
          <w:rFonts w:ascii="Calibri" w:hAnsi="Calibri" w:cstheme="minorHAnsi"/>
          <w:i/>
        </w:rPr>
        <w:t xml:space="preserve"> Zabezpečení zapojení AČR do operací a pohotovostních sil</w:t>
      </w:r>
      <w:r w:rsidR="00896A23">
        <w:rPr>
          <w:rFonts w:ascii="Calibri" w:hAnsi="Calibri" w:cstheme="minorHAnsi"/>
        </w:rPr>
        <w:t>,</w:t>
      </w:r>
    </w:p>
    <w:p w14:paraId="5B876C05" w14:textId="25CD274C" w:rsidR="00310230" w:rsidRPr="002663D7" w:rsidRDefault="00310230" w:rsidP="002663D7">
      <w:pPr>
        <w:pStyle w:val="Odstavecseseznamem"/>
        <w:numPr>
          <w:ilvl w:val="0"/>
          <w:numId w:val="15"/>
        </w:numPr>
        <w:contextualSpacing/>
        <w:jc w:val="both"/>
        <w:rPr>
          <w:rFonts w:ascii="Calibri" w:hAnsi="Calibri" w:cstheme="minorHAnsi"/>
          <w:i/>
        </w:rPr>
      </w:pPr>
      <w:r w:rsidRPr="007164F4">
        <w:rPr>
          <w:rFonts w:ascii="Calibri" w:hAnsi="Calibri" w:cstheme="minorHAnsi"/>
        </w:rPr>
        <w:t>107</w:t>
      </w:r>
      <w:r w:rsidR="005523F1">
        <w:rPr>
          <w:rFonts w:ascii="Calibri" w:hAnsi="Calibri" w:cstheme="minorHAnsi"/>
        </w:rPr>
        <w:t> </w:t>
      </w:r>
      <w:r w:rsidRPr="007164F4">
        <w:rPr>
          <w:rFonts w:ascii="Calibri" w:hAnsi="Calibri" w:cstheme="minorHAnsi"/>
        </w:rPr>
        <w:t>600</w:t>
      </w:r>
      <w:r w:rsidR="005523F1">
        <w:rPr>
          <w:rFonts w:ascii="Calibri" w:hAnsi="Calibri" w:cstheme="minorHAnsi"/>
        </w:rPr>
        <w:t xml:space="preserve"> –</w:t>
      </w:r>
      <w:r w:rsidRPr="002663D7">
        <w:rPr>
          <w:rFonts w:ascii="Calibri" w:hAnsi="Calibri" w:cstheme="minorHAnsi"/>
          <w:i/>
        </w:rPr>
        <w:t xml:space="preserve"> Udržení a rozvoj schopností bojových sil AČR</w:t>
      </w:r>
      <w:r w:rsidR="00896A23">
        <w:rPr>
          <w:rFonts w:ascii="Calibri" w:hAnsi="Calibri" w:cstheme="minorHAnsi"/>
        </w:rPr>
        <w:t>,</w:t>
      </w:r>
    </w:p>
    <w:p w14:paraId="7547F319" w14:textId="4418EC27" w:rsidR="00310230" w:rsidRPr="002663D7" w:rsidRDefault="00310230" w:rsidP="002663D7">
      <w:pPr>
        <w:pStyle w:val="Odstavecseseznamem"/>
        <w:numPr>
          <w:ilvl w:val="0"/>
          <w:numId w:val="15"/>
        </w:numPr>
        <w:ind w:left="714" w:hanging="357"/>
        <w:contextualSpacing/>
        <w:jc w:val="both"/>
        <w:rPr>
          <w:rFonts w:ascii="Calibri" w:hAnsi="Calibri" w:cstheme="minorHAnsi"/>
          <w:i/>
        </w:rPr>
      </w:pPr>
      <w:r w:rsidRPr="007164F4">
        <w:rPr>
          <w:rFonts w:ascii="Calibri" w:hAnsi="Calibri" w:cstheme="minorHAnsi"/>
        </w:rPr>
        <w:t>107</w:t>
      </w:r>
      <w:r w:rsidR="005523F1">
        <w:rPr>
          <w:rFonts w:ascii="Calibri" w:hAnsi="Calibri" w:cstheme="minorHAnsi"/>
        </w:rPr>
        <w:t> </w:t>
      </w:r>
      <w:r w:rsidRPr="007164F4">
        <w:rPr>
          <w:rFonts w:ascii="Calibri" w:hAnsi="Calibri" w:cstheme="minorHAnsi"/>
        </w:rPr>
        <w:t>630</w:t>
      </w:r>
      <w:r w:rsidR="005523F1">
        <w:rPr>
          <w:rFonts w:ascii="Calibri" w:hAnsi="Calibri" w:cstheme="minorHAnsi"/>
        </w:rPr>
        <w:t xml:space="preserve"> –</w:t>
      </w:r>
      <w:r w:rsidRPr="002663D7">
        <w:rPr>
          <w:rFonts w:ascii="Calibri" w:hAnsi="Calibri" w:cstheme="minorHAnsi"/>
          <w:i/>
        </w:rPr>
        <w:t xml:space="preserve"> Udržení a rozvoj schopností logistiky AČR</w:t>
      </w:r>
      <w:r w:rsidR="00896A23">
        <w:rPr>
          <w:rFonts w:ascii="Calibri" w:hAnsi="Calibri" w:cstheme="minorHAnsi"/>
        </w:rPr>
        <w:t>,</w:t>
      </w:r>
    </w:p>
    <w:p w14:paraId="64460CE0" w14:textId="0B287E6B" w:rsidR="00310230" w:rsidRPr="002663D7" w:rsidRDefault="00310230" w:rsidP="00646A88">
      <w:pPr>
        <w:pStyle w:val="Odstavecseseznamem"/>
        <w:numPr>
          <w:ilvl w:val="0"/>
          <w:numId w:val="15"/>
        </w:numPr>
        <w:spacing w:after="120"/>
        <w:ind w:left="714" w:hanging="357"/>
        <w:contextualSpacing/>
        <w:jc w:val="both"/>
        <w:rPr>
          <w:rFonts w:ascii="Calibri" w:hAnsi="Calibri" w:cstheme="minorHAnsi"/>
          <w:i/>
        </w:rPr>
      </w:pPr>
      <w:r w:rsidRPr="007164F4">
        <w:rPr>
          <w:rFonts w:ascii="Calibri" w:hAnsi="Calibri" w:cstheme="minorHAnsi"/>
        </w:rPr>
        <w:t>107</w:t>
      </w:r>
      <w:r w:rsidR="005523F1">
        <w:rPr>
          <w:rFonts w:ascii="Calibri" w:hAnsi="Calibri" w:cstheme="minorHAnsi"/>
        </w:rPr>
        <w:t> </w:t>
      </w:r>
      <w:r w:rsidRPr="007164F4">
        <w:rPr>
          <w:rFonts w:ascii="Calibri" w:hAnsi="Calibri" w:cstheme="minorHAnsi"/>
        </w:rPr>
        <w:t>680</w:t>
      </w:r>
      <w:r w:rsidR="005523F1">
        <w:rPr>
          <w:rFonts w:ascii="Calibri" w:hAnsi="Calibri" w:cstheme="minorHAnsi"/>
        </w:rPr>
        <w:t xml:space="preserve"> –</w:t>
      </w:r>
      <w:r w:rsidRPr="002663D7">
        <w:rPr>
          <w:rFonts w:ascii="Calibri" w:hAnsi="Calibri" w:cstheme="minorHAnsi"/>
          <w:i/>
        </w:rPr>
        <w:t xml:space="preserve"> Udržení a rozvoj schopností pozemních sil AČR.</w:t>
      </w:r>
    </w:p>
    <w:p w14:paraId="428A6B22" w14:textId="3AD20259" w:rsidR="00AB6307" w:rsidRPr="00AB6307" w:rsidRDefault="00A63199" w:rsidP="00AB6307">
      <w:pPr>
        <w:spacing w:after="120"/>
        <w:jc w:val="both"/>
        <w:rPr>
          <w:rFonts w:ascii="Calibri" w:hAnsi="Calibri"/>
        </w:rPr>
      </w:pPr>
      <w:r w:rsidRPr="002663D7">
        <w:rPr>
          <w:rFonts w:ascii="Calibri" w:hAnsi="Calibri" w:cstheme="minorHAnsi"/>
          <w:bCs/>
          <w:shd w:val="clear" w:color="auto" w:fill="FFFFFF"/>
        </w:rPr>
        <w:t>Z</w:t>
      </w:r>
      <w:r w:rsidR="00257241" w:rsidRPr="002663D7">
        <w:rPr>
          <w:rFonts w:ascii="Calibri" w:hAnsi="Calibri" w:cstheme="minorHAnsi"/>
          <w:bCs/>
          <w:shd w:val="clear" w:color="auto" w:fill="FFFFFF"/>
        </w:rPr>
        <w:t xml:space="preserve"> vybraných program</w:t>
      </w:r>
      <w:r w:rsidRPr="002663D7">
        <w:rPr>
          <w:rFonts w:ascii="Calibri" w:hAnsi="Calibri" w:cstheme="minorHAnsi"/>
          <w:bCs/>
          <w:shd w:val="clear" w:color="auto" w:fill="FFFFFF"/>
        </w:rPr>
        <w:t>ů</w:t>
      </w:r>
      <w:r w:rsidR="00257241" w:rsidRPr="002663D7">
        <w:rPr>
          <w:rFonts w:ascii="Calibri" w:hAnsi="Calibri" w:cstheme="minorHAnsi"/>
          <w:bCs/>
          <w:shd w:val="clear" w:color="auto" w:fill="FFFFFF"/>
        </w:rPr>
        <w:t xml:space="preserve"> bylo </w:t>
      </w:r>
      <w:r w:rsidR="00E929BC">
        <w:rPr>
          <w:rFonts w:ascii="Calibri" w:hAnsi="Calibri" w:cstheme="minorHAnsi"/>
          <w:bCs/>
          <w:shd w:val="clear" w:color="auto" w:fill="FFFFFF"/>
        </w:rPr>
        <w:t>v kontrolovaném období</w:t>
      </w:r>
      <w:r w:rsidR="00257241" w:rsidRPr="002663D7">
        <w:rPr>
          <w:rFonts w:ascii="Calibri" w:hAnsi="Calibri" w:cstheme="minorHAnsi"/>
          <w:bCs/>
          <w:shd w:val="clear" w:color="auto" w:fill="FFFFFF"/>
        </w:rPr>
        <w:t xml:space="preserve"> </w:t>
      </w:r>
      <w:r w:rsidRPr="002663D7">
        <w:rPr>
          <w:rFonts w:ascii="Calibri" w:hAnsi="Calibri" w:cstheme="minorHAnsi"/>
          <w:bCs/>
          <w:shd w:val="clear" w:color="auto" w:fill="FFFFFF"/>
        </w:rPr>
        <w:t xml:space="preserve">vyčerpáno </w:t>
      </w:r>
      <w:r w:rsidR="00FE08FD">
        <w:rPr>
          <w:rFonts w:ascii="Calibri" w:hAnsi="Calibri" w:cstheme="minorHAnsi"/>
          <w:bCs/>
          <w:shd w:val="clear" w:color="auto" w:fill="FFFFFF"/>
        </w:rPr>
        <w:t xml:space="preserve">celkem </w:t>
      </w:r>
      <w:r w:rsidRPr="002663D7">
        <w:rPr>
          <w:rFonts w:ascii="Calibri" w:hAnsi="Calibri" w:cstheme="minorHAnsi"/>
          <w:bCs/>
          <w:shd w:val="clear" w:color="auto" w:fill="FFFFFF"/>
        </w:rPr>
        <w:t>5 087,04</w:t>
      </w:r>
      <w:r w:rsidR="007164F4" w:rsidRPr="00D96FA2">
        <w:rPr>
          <w:rFonts w:ascii="Calibri" w:hAnsi="Calibri" w:cstheme="minorHAnsi"/>
          <w:bCs/>
          <w:shd w:val="clear" w:color="auto" w:fill="FFFFFF"/>
        </w:rPr>
        <w:t>7</w:t>
      </w:r>
      <w:r w:rsidRPr="002663D7">
        <w:rPr>
          <w:rFonts w:ascii="Calibri" w:hAnsi="Calibri" w:cstheme="minorHAnsi"/>
          <w:bCs/>
          <w:shd w:val="clear" w:color="auto" w:fill="FFFFFF"/>
        </w:rPr>
        <w:t xml:space="preserve"> </w:t>
      </w:r>
      <w:r w:rsidR="00257241" w:rsidRPr="002663D7">
        <w:rPr>
          <w:rFonts w:ascii="Calibri" w:hAnsi="Calibri" w:cstheme="minorHAnsi"/>
          <w:bCs/>
          <w:shd w:val="clear" w:color="auto" w:fill="FFFFFF"/>
        </w:rPr>
        <w:t>m</w:t>
      </w:r>
      <w:r w:rsidRPr="002663D7">
        <w:rPr>
          <w:rFonts w:ascii="Calibri" w:hAnsi="Calibri" w:cstheme="minorHAnsi"/>
          <w:bCs/>
          <w:shd w:val="clear" w:color="auto" w:fill="FFFFFF"/>
        </w:rPr>
        <w:t>il</w:t>
      </w:r>
      <w:r w:rsidR="00257241" w:rsidRPr="002663D7">
        <w:rPr>
          <w:rFonts w:ascii="Calibri" w:hAnsi="Calibri" w:cstheme="minorHAnsi"/>
          <w:bCs/>
          <w:shd w:val="clear" w:color="auto" w:fill="FFFFFF"/>
        </w:rPr>
        <w:t>. Kč</w:t>
      </w:r>
      <w:r w:rsidR="00F7142B">
        <w:rPr>
          <w:rFonts w:ascii="Calibri" w:hAnsi="Calibri"/>
        </w:rPr>
        <w:t xml:space="preserve"> (</w:t>
      </w:r>
      <w:r w:rsidR="001F555F">
        <w:rPr>
          <w:rFonts w:ascii="Calibri" w:hAnsi="Calibri"/>
        </w:rPr>
        <w:t xml:space="preserve">viz </w:t>
      </w:r>
      <w:r w:rsidR="00F7142B">
        <w:rPr>
          <w:rFonts w:ascii="Calibri" w:hAnsi="Calibri"/>
        </w:rPr>
        <w:t>tabulka č. 1).</w:t>
      </w:r>
    </w:p>
    <w:p w14:paraId="5C6D7F7B" w14:textId="1644EB50" w:rsidR="008A10EF" w:rsidRPr="002663D7" w:rsidRDefault="008A10EF" w:rsidP="004247D4">
      <w:pPr>
        <w:jc w:val="both"/>
        <w:rPr>
          <w:rFonts w:ascii="Calibri" w:hAnsi="Calibri" w:cstheme="minorHAnsi"/>
          <w:b/>
          <w:color w:val="000000"/>
        </w:rPr>
      </w:pPr>
      <w:r w:rsidRPr="002663D7">
        <w:rPr>
          <w:rFonts w:ascii="Calibri" w:hAnsi="Calibri" w:cstheme="minorHAnsi"/>
          <w:b/>
          <w:color w:val="000000"/>
        </w:rPr>
        <w:t xml:space="preserve">Tabulka č. </w:t>
      </w:r>
      <w:r w:rsidR="00257241" w:rsidRPr="002663D7">
        <w:rPr>
          <w:rFonts w:ascii="Calibri" w:hAnsi="Calibri" w:cstheme="minorHAnsi"/>
          <w:b/>
          <w:color w:val="000000"/>
        </w:rPr>
        <w:t>1</w:t>
      </w:r>
      <w:r w:rsidRPr="002663D7">
        <w:rPr>
          <w:rFonts w:ascii="Calibri" w:hAnsi="Calibri" w:cstheme="minorHAnsi"/>
          <w:b/>
          <w:color w:val="000000"/>
        </w:rPr>
        <w:t xml:space="preserve"> </w:t>
      </w:r>
      <w:r w:rsidR="00DC2D6E">
        <w:rPr>
          <w:rFonts w:ascii="Calibri" w:hAnsi="Calibri" w:cstheme="minorHAnsi"/>
          <w:b/>
          <w:color w:val="000000"/>
        </w:rPr>
        <w:t>–</w:t>
      </w:r>
      <w:r w:rsidRPr="002663D7">
        <w:rPr>
          <w:rFonts w:ascii="Calibri" w:hAnsi="Calibri" w:cstheme="minorHAnsi"/>
          <w:b/>
          <w:color w:val="000000"/>
        </w:rPr>
        <w:t xml:space="preserve"> Výdaje</w:t>
      </w:r>
      <w:r w:rsidR="00205237" w:rsidRPr="002663D7">
        <w:rPr>
          <w:rFonts w:ascii="Calibri" w:hAnsi="Calibri" w:cstheme="minorHAnsi"/>
          <w:b/>
          <w:color w:val="000000"/>
        </w:rPr>
        <w:t xml:space="preserve"> MO </w:t>
      </w:r>
      <w:r w:rsidRPr="002663D7">
        <w:rPr>
          <w:rFonts w:ascii="Calibri" w:hAnsi="Calibri" w:cstheme="minorHAnsi"/>
          <w:b/>
          <w:color w:val="000000"/>
        </w:rPr>
        <w:t xml:space="preserve">určené na financování vybraných programů reprodukce majetku </w:t>
      </w:r>
    </w:p>
    <w:p w14:paraId="6FC06D51" w14:textId="6A9CAF1B" w:rsidR="008A10EF" w:rsidRPr="007164F4" w:rsidRDefault="008A10EF" w:rsidP="004247D4">
      <w:pPr>
        <w:shd w:val="clear" w:color="auto" w:fill="FFFFFF"/>
        <w:spacing w:after="40"/>
        <w:ind w:right="6"/>
        <w:jc w:val="right"/>
        <w:rPr>
          <w:rFonts w:ascii="Calibri" w:hAnsi="Calibri" w:cstheme="minorHAnsi"/>
          <w:b/>
          <w:color w:val="000000"/>
          <w:sz w:val="22"/>
          <w:szCs w:val="20"/>
        </w:rPr>
      </w:pPr>
      <w:r w:rsidRPr="007164F4">
        <w:rPr>
          <w:rFonts w:ascii="Calibri" w:hAnsi="Calibri" w:cstheme="minorHAnsi"/>
          <w:b/>
          <w:color w:val="000000"/>
          <w:sz w:val="22"/>
          <w:szCs w:val="20"/>
        </w:rPr>
        <w:t>(v mil. Kč)</w:t>
      </w:r>
    </w:p>
    <w:tbl>
      <w:tblPr>
        <w:tblW w:w="49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6"/>
        <w:gridCol w:w="1079"/>
        <w:gridCol w:w="1077"/>
        <w:gridCol w:w="1077"/>
        <w:gridCol w:w="1077"/>
        <w:gridCol w:w="1077"/>
        <w:gridCol w:w="1928"/>
      </w:tblGrid>
      <w:tr w:rsidR="008A10EF" w:rsidRPr="004247D4" w14:paraId="6B3C7F27" w14:textId="77777777" w:rsidTr="004247D4">
        <w:trPr>
          <w:trHeight w:val="227"/>
          <w:jc w:val="center"/>
        </w:trPr>
        <w:tc>
          <w:tcPr>
            <w:tcW w:w="959" w:type="pct"/>
            <w:shd w:val="clear" w:color="auto" w:fill="DDD6E7"/>
            <w:noWrap/>
            <w:vAlign w:val="center"/>
            <w:hideMark/>
          </w:tcPr>
          <w:p w14:paraId="442EC23F" w14:textId="48919906" w:rsidR="008A10EF" w:rsidRPr="004247D4" w:rsidRDefault="008A10EF" w:rsidP="002663D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247D4">
              <w:rPr>
                <w:rFonts w:ascii="Calibri" w:hAnsi="Calibri" w:cs="Calibri"/>
                <w:b/>
                <w:sz w:val="20"/>
                <w:szCs w:val="20"/>
              </w:rPr>
              <w:t>Program</w:t>
            </w:r>
            <w:r w:rsidR="00A44AA3" w:rsidRPr="004247D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96" w:type="pct"/>
            <w:shd w:val="clear" w:color="auto" w:fill="DDD6E7"/>
            <w:noWrap/>
            <w:vAlign w:val="center"/>
            <w:hideMark/>
          </w:tcPr>
          <w:p w14:paraId="50DED49C" w14:textId="77777777" w:rsidR="008A10EF" w:rsidRPr="004247D4" w:rsidRDefault="008A10EF" w:rsidP="002663D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247D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595" w:type="pct"/>
            <w:shd w:val="clear" w:color="auto" w:fill="DDD6E7"/>
            <w:noWrap/>
            <w:vAlign w:val="center"/>
            <w:hideMark/>
          </w:tcPr>
          <w:p w14:paraId="0F8F49D4" w14:textId="77777777" w:rsidR="008A10EF" w:rsidRPr="004247D4" w:rsidRDefault="008A10EF" w:rsidP="002663D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247D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595" w:type="pct"/>
            <w:shd w:val="clear" w:color="auto" w:fill="DDD6E7"/>
            <w:noWrap/>
            <w:vAlign w:val="center"/>
            <w:hideMark/>
          </w:tcPr>
          <w:p w14:paraId="071005BD" w14:textId="77777777" w:rsidR="008A10EF" w:rsidRPr="004247D4" w:rsidRDefault="008A10EF" w:rsidP="002663D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247D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595" w:type="pct"/>
            <w:shd w:val="clear" w:color="auto" w:fill="DDD6E7"/>
            <w:noWrap/>
            <w:vAlign w:val="center"/>
            <w:hideMark/>
          </w:tcPr>
          <w:p w14:paraId="0CB8CE39" w14:textId="77777777" w:rsidR="008A10EF" w:rsidRPr="004247D4" w:rsidRDefault="008A10EF" w:rsidP="002663D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247D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595" w:type="pct"/>
            <w:shd w:val="clear" w:color="auto" w:fill="DDD6E7"/>
            <w:noWrap/>
            <w:vAlign w:val="center"/>
            <w:hideMark/>
          </w:tcPr>
          <w:p w14:paraId="28CC1AC7" w14:textId="77777777" w:rsidR="008A10EF" w:rsidRPr="004247D4" w:rsidRDefault="008A10EF" w:rsidP="002663D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247D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065" w:type="pct"/>
            <w:shd w:val="clear" w:color="auto" w:fill="DDD6E7"/>
            <w:vAlign w:val="center"/>
            <w:hideMark/>
          </w:tcPr>
          <w:p w14:paraId="392C155E" w14:textId="2B869814" w:rsidR="008A10EF" w:rsidRPr="004247D4" w:rsidRDefault="005523F1" w:rsidP="00E759E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</w:t>
            </w:r>
            <w:r w:rsidR="008A10EF" w:rsidRPr="004247D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elkem 2011</w:t>
            </w:r>
            <w:r w:rsidR="00E759E4" w:rsidRPr="004247D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–</w:t>
            </w:r>
            <w:r w:rsidR="008A10EF" w:rsidRPr="004247D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2015</w:t>
            </w:r>
          </w:p>
        </w:tc>
      </w:tr>
      <w:tr w:rsidR="008A10EF" w:rsidRPr="004247D4" w14:paraId="5E0EC7A7" w14:textId="77777777" w:rsidTr="004247D4">
        <w:trPr>
          <w:trHeight w:val="227"/>
          <w:jc w:val="center"/>
        </w:trPr>
        <w:tc>
          <w:tcPr>
            <w:tcW w:w="959" w:type="pct"/>
            <w:shd w:val="clear" w:color="auto" w:fill="auto"/>
            <w:noWrap/>
            <w:vAlign w:val="bottom"/>
            <w:hideMark/>
          </w:tcPr>
          <w:p w14:paraId="0AE6EA5D" w14:textId="77777777" w:rsidR="008A10EF" w:rsidRPr="004247D4" w:rsidRDefault="008A10EF" w:rsidP="002663D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47D4">
              <w:rPr>
                <w:rFonts w:ascii="Calibri" w:hAnsi="Calibri" w:cs="Calibri"/>
                <w:color w:val="000000"/>
                <w:sz w:val="20"/>
                <w:szCs w:val="20"/>
              </w:rPr>
              <w:t>107 110</w:t>
            </w:r>
          </w:p>
        </w:tc>
        <w:tc>
          <w:tcPr>
            <w:tcW w:w="596" w:type="pct"/>
            <w:shd w:val="clear" w:color="000000" w:fill="FFFFFF"/>
            <w:noWrap/>
            <w:vAlign w:val="center"/>
            <w:hideMark/>
          </w:tcPr>
          <w:p w14:paraId="57B9BA8A" w14:textId="77777777" w:rsidR="008A10EF" w:rsidRPr="004247D4" w:rsidRDefault="008A10EF" w:rsidP="004247D4">
            <w:pPr>
              <w:ind w:right="61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47D4">
              <w:rPr>
                <w:rFonts w:ascii="Calibri" w:hAnsi="Calibri" w:cs="Calibri"/>
                <w:color w:val="000000"/>
                <w:sz w:val="20"/>
                <w:szCs w:val="20"/>
              </w:rPr>
              <w:t>556,396</w:t>
            </w:r>
          </w:p>
        </w:tc>
        <w:tc>
          <w:tcPr>
            <w:tcW w:w="595" w:type="pct"/>
            <w:shd w:val="clear" w:color="000000" w:fill="FFFFFF"/>
            <w:noWrap/>
            <w:vAlign w:val="center"/>
            <w:hideMark/>
          </w:tcPr>
          <w:p w14:paraId="0B362849" w14:textId="77777777" w:rsidR="008A10EF" w:rsidRPr="004247D4" w:rsidRDefault="008A10EF" w:rsidP="004247D4">
            <w:pPr>
              <w:ind w:right="61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47D4">
              <w:rPr>
                <w:rFonts w:ascii="Calibri" w:hAnsi="Calibri" w:cs="Calibri"/>
                <w:color w:val="000000"/>
                <w:sz w:val="20"/>
                <w:szCs w:val="20"/>
              </w:rPr>
              <w:t>318,903</w:t>
            </w:r>
          </w:p>
        </w:tc>
        <w:tc>
          <w:tcPr>
            <w:tcW w:w="595" w:type="pct"/>
            <w:shd w:val="clear" w:color="000000" w:fill="FFFFFF"/>
            <w:noWrap/>
            <w:vAlign w:val="center"/>
            <w:hideMark/>
          </w:tcPr>
          <w:p w14:paraId="37B43E6E" w14:textId="77777777" w:rsidR="008A10EF" w:rsidRPr="004247D4" w:rsidRDefault="008A10EF" w:rsidP="004247D4">
            <w:pPr>
              <w:ind w:right="61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47D4">
              <w:rPr>
                <w:rFonts w:ascii="Calibri" w:hAnsi="Calibri" w:cs="Calibri"/>
                <w:color w:val="000000"/>
                <w:sz w:val="20"/>
                <w:szCs w:val="20"/>
              </w:rPr>
              <w:t>206,275</w:t>
            </w:r>
          </w:p>
        </w:tc>
        <w:tc>
          <w:tcPr>
            <w:tcW w:w="595" w:type="pct"/>
            <w:shd w:val="clear" w:color="000000" w:fill="FFFFFF"/>
            <w:noWrap/>
            <w:vAlign w:val="center"/>
            <w:hideMark/>
          </w:tcPr>
          <w:p w14:paraId="18CBC77F" w14:textId="77777777" w:rsidR="008A10EF" w:rsidRPr="004247D4" w:rsidRDefault="008A10EF" w:rsidP="004247D4">
            <w:pPr>
              <w:ind w:right="61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47D4">
              <w:rPr>
                <w:rFonts w:ascii="Calibri" w:hAnsi="Calibri" w:cs="Calibri"/>
                <w:color w:val="000000"/>
                <w:sz w:val="20"/>
                <w:szCs w:val="20"/>
              </w:rPr>
              <w:t>98,612</w:t>
            </w:r>
          </w:p>
        </w:tc>
        <w:tc>
          <w:tcPr>
            <w:tcW w:w="595" w:type="pct"/>
            <w:shd w:val="clear" w:color="000000" w:fill="FFFFFF"/>
            <w:noWrap/>
            <w:vAlign w:val="center"/>
            <w:hideMark/>
          </w:tcPr>
          <w:p w14:paraId="5CB11C31" w14:textId="77777777" w:rsidR="008A10EF" w:rsidRPr="004247D4" w:rsidRDefault="008A10EF" w:rsidP="004247D4">
            <w:pPr>
              <w:ind w:right="61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47D4">
              <w:rPr>
                <w:rFonts w:ascii="Calibri" w:hAnsi="Calibri" w:cs="Calibri"/>
                <w:color w:val="000000"/>
                <w:sz w:val="20"/>
                <w:szCs w:val="20"/>
              </w:rPr>
              <w:t>109,813</w:t>
            </w:r>
          </w:p>
        </w:tc>
        <w:tc>
          <w:tcPr>
            <w:tcW w:w="1065" w:type="pct"/>
            <w:shd w:val="clear" w:color="000000" w:fill="FFFFFF"/>
            <w:noWrap/>
            <w:vAlign w:val="center"/>
            <w:hideMark/>
          </w:tcPr>
          <w:p w14:paraId="11936177" w14:textId="337D6D26" w:rsidR="008A10EF" w:rsidRPr="004247D4" w:rsidRDefault="008A10EF" w:rsidP="0086486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47D4">
              <w:rPr>
                <w:rFonts w:ascii="Calibri" w:hAnsi="Calibri" w:cs="Calibri"/>
                <w:color w:val="000000"/>
                <w:sz w:val="20"/>
                <w:szCs w:val="20"/>
              </w:rPr>
              <w:t>1 289,99</w:t>
            </w:r>
            <w:r w:rsidR="00864860" w:rsidRPr="004247D4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</w:tr>
      <w:tr w:rsidR="008A10EF" w:rsidRPr="004247D4" w14:paraId="7B810D4F" w14:textId="77777777" w:rsidTr="00896A23">
        <w:trPr>
          <w:trHeight w:val="227"/>
          <w:jc w:val="center"/>
        </w:trPr>
        <w:tc>
          <w:tcPr>
            <w:tcW w:w="959" w:type="pct"/>
            <w:shd w:val="clear" w:color="auto" w:fill="auto"/>
            <w:noWrap/>
            <w:vAlign w:val="bottom"/>
            <w:hideMark/>
          </w:tcPr>
          <w:p w14:paraId="780E3F0F" w14:textId="77777777" w:rsidR="008A10EF" w:rsidRPr="004247D4" w:rsidRDefault="008A10EF" w:rsidP="002663D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47D4">
              <w:rPr>
                <w:rFonts w:ascii="Calibri" w:hAnsi="Calibri" w:cs="Calibri"/>
                <w:color w:val="000000"/>
                <w:sz w:val="20"/>
                <w:szCs w:val="20"/>
              </w:rPr>
              <w:t>107 430</w:t>
            </w:r>
          </w:p>
        </w:tc>
        <w:tc>
          <w:tcPr>
            <w:tcW w:w="596" w:type="pct"/>
            <w:shd w:val="clear" w:color="000000" w:fill="FFFFFF"/>
            <w:noWrap/>
            <w:vAlign w:val="center"/>
            <w:hideMark/>
          </w:tcPr>
          <w:p w14:paraId="55962A25" w14:textId="6584FC7F" w:rsidR="008A10EF" w:rsidRPr="004247D4" w:rsidRDefault="00896A23" w:rsidP="00896A23">
            <w:pPr>
              <w:ind w:right="61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595" w:type="pct"/>
            <w:shd w:val="clear" w:color="000000" w:fill="FFFFFF"/>
            <w:noWrap/>
            <w:vAlign w:val="center"/>
            <w:hideMark/>
          </w:tcPr>
          <w:p w14:paraId="7CDBA57B" w14:textId="39D78E0C" w:rsidR="008A10EF" w:rsidRPr="004247D4" w:rsidRDefault="00896A23" w:rsidP="00896A23">
            <w:pPr>
              <w:ind w:right="61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595" w:type="pct"/>
            <w:shd w:val="clear" w:color="000000" w:fill="FFFFFF"/>
            <w:noWrap/>
            <w:vAlign w:val="center"/>
            <w:hideMark/>
          </w:tcPr>
          <w:p w14:paraId="116849EF" w14:textId="77777777" w:rsidR="008A10EF" w:rsidRPr="004247D4" w:rsidRDefault="008A10EF" w:rsidP="004247D4">
            <w:pPr>
              <w:ind w:right="61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47D4">
              <w:rPr>
                <w:rFonts w:ascii="Calibri" w:hAnsi="Calibri" w:cs="Calibri"/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595" w:type="pct"/>
            <w:shd w:val="clear" w:color="000000" w:fill="FFFFFF"/>
            <w:noWrap/>
            <w:vAlign w:val="center"/>
            <w:hideMark/>
          </w:tcPr>
          <w:p w14:paraId="68E91F2D" w14:textId="77777777" w:rsidR="008A10EF" w:rsidRPr="004247D4" w:rsidRDefault="008A10EF" w:rsidP="004247D4">
            <w:pPr>
              <w:ind w:right="61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47D4">
              <w:rPr>
                <w:rFonts w:ascii="Calibri" w:hAnsi="Calibri" w:cs="Calibri"/>
                <w:color w:val="000000"/>
                <w:sz w:val="20"/>
                <w:szCs w:val="20"/>
              </w:rPr>
              <w:t>427,894</w:t>
            </w:r>
          </w:p>
        </w:tc>
        <w:tc>
          <w:tcPr>
            <w:tcW w:w="595" w:type="pct"/>
            <w:shd w:val="clear" w:color="000000" w:fill="FFFFFF"/>
            <w:noWrap/>
            <w:vAlign w:val="center"/>
            <w:hideMark/>
          </w:tcPr>
          <w:p w14:paraId="525DFAE1" w14:textId="77777777" w:rsidR="008A10EF" w:rsidRPr="004247D4" w:rsidRDefault="008A10EF" w:rsidP="004247D4">
            <w:pPr>
              <w:ind w:right="61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47D4">
              <w:rPr>
                <w:rFonts w:ascii="Calibri" w:hAnsi="Calibri" w:cs="Calibri"/>
                <w:color w:val="000000"/>
                <w:sz w:val="20"/>
                <w:szCs w:val="20"/>
              </w:rPr>
              <w:t>123,616</w:t>
            </w:r>
          </w:p>
        </w:tc>
        <w:tc>
          <w:tcPr>
            <w:tcW w:w="1065" w:type="pct"/>
            <w:shd w:val="clear" w:color="000000" w:fill="FFFFFF"/>
            <w:noWrap/>
            <w:vAlign w:val="center"/>
            <w:hideMark/>
          </w:tcPr>
          <w:p w14:paraId="7A6E7B67" w14:textId="77777777" w:rsidR="008A10EF" w:rsidRPr="004247D4" w:rsidRDefault="008A10EF" w:rsidP="002663D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47D4">
              <w:rPr>
                <w:rFonts w:ascii="Calibri" w:hAnsi="Calibri" w:cs="Calibri"/>
                <w:color w:val="000000"/>
                <w:sz w:val="20"/>
                <w:szCs w:val="20"/>
              </w:rPr>
              <w:t>552,714</w:t>
            </w:r>
          </w:p>
        </w:tc>
      </w:tr>
      <w:tr w:rsidR="008A10EF" w:rsidRPr="004247D4" w14:paraId="719D9346" w14:textId="77777777" w:rsidTr="00896A23">
        <w:trPr>
          <w:trHeight w:val="227"/>
          <w:jc w:val="center"/>
        </w:trPr>
        <w:tc>
          <w:tcPr>
            <w:tcW w:w="959" w:type="pct"/>
            <w:shd w:val="clear" w:color="auto" w:fill="auto"/>
            <w:noWrap/>
            <w:vAlign w:val="bottom"/>
            <w:hideMark/>
          </w:tcPr>
          <w:p w14:paraId="20E8894F" w14:textId="77777777" w:rsidR="008A10EF" w:rsidRPr="004247D4" w:rsidRDefault="008A10EF" w:rsidP="002663D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47D4">
              <w:rPr>
                <w:rFonts w:ascii="Calibri" w:hAnsi="Calibri" w:cs="Calibri"/>
                <w:color w:val="000000"/>
                <w:sz w:val="20"/>
                <w:szCs w:val="20"/>
              </w:rPr>
              <w:t>107 600</w:t>
            </w:r>
          </w:p>
        </w:tc>
        <w:tc>
          <w:tcPr>
            <w:tcW w:w="596" w:type="pct"/>
            <w:shd w:val="clear" w:color="auto" w:fill="auto"/>
            <w:noWrap/>
            <w:vAlign w:val="center"/>
            <w:hideMark/>
          </w:tcPr>
          <w:p w14:paraId="13E86E0C" w14:textId="1D712A25" w:rsidR="008A10EF" w:rsidRPr="004247D4" w:rsidRDefault="00896A23" w:rsidP="00896A23">
            <w:pPr>
              <w:ind w:right="61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56D28DBC" w14:textId="196A815F" w:rsidR="008A10EF" w:rsidRPr="004247D4" w:rsidRDefault="00896A23" w:rsidP="00896A23">
            <w:pPr>
              <w:ind w:right="61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66945B28" w14:textId="77777777" w:rsidR="008A10EF" w:rsidRPr="004247D4" w:rsidRDefault="008A10EF" w:rsidP="004247D4">
            <w:pPr>
              <w:ind w:right="61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47D4">
              <w:rPr>
                <w:rFonts w:ascii="Calibri" w:hAnsi="Calibri" w:cs="Calibri"/>
                <w:color w:val="000000"/>
                <w:sz w:val="20"/>
                <w:szCs w:val="20"/>
              </w:rPr>
              <w:t>17,854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647A0304" w14:textId="77777777" w:rsidR="008A10EF" w:rsidRPr="004247D4" w:rsidRDefault="008A10EF" w:rsidP="004247D4">
            <w:pPr>
              <w:ind w:right="61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47D4">
              <w:rPr>
                <w:rFonts w:ascii="Calibri" w:hAnsi="Calibri" w:cs="Calibri"/>
                <w:color w:val="000000"/>
                <w:sz w:val="20"/>
                <w:szCs w:val="20"/>
              </w:rPr>
              <w:t>818,046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37D2A977" w14:textId="77777777" w:rsidR="008A10EF" w:rsidRPr="004247D4" w:rsidRDefault="008A10EF" w:rsidP="004247D4">
            <w:pPr>
              <w:ind w:right="61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47D4">
              <w:rPr>
                <w:rFonts w:ascii="Calibri" w:hAnsi="Calibri" w:cs="Calibri"/>
                <w:color w:val="000000"/>
                <w:sz w:val="20"/>
                <w:szCs w:val="20"/>
              </w:rPr>
              <w:t>1 111,069</w:t>
            </w:r>
          </w:p>
        </w:tc>
        <w:tc>
          <w:tcPr>
            <w:tcW w:w="1065" w:type="pct"/>
            <w:shd w:val="clear" w:color="auto" w:fill="auto"/>
            <w:noWrap/>
            <w:vAlign w:val="center"/>
            <w:hideMark/>
          </w:tcPr>
          <w:p w14:paraId="27BBFB1F" w14:textId="77777777" w:rsidR="008A10EF" w:rsidRPr="004247D4" w:rsidRDefault="008A10EF" w:rsidP="002663D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47D4">
              <w:rPr>
                <w:rFonts w:ascii="Calibri" w:hAnsi="Calibri" w:cs="Calibri"/>
                <w:color w:val="000000"/>
                <w:sz w:val="20"/>
                <w:szCs w:val="20"/>
              </w:rPr>
              <w:t>1 946,969</w:t>
            </w:r>
          </w:p>
        </w:tc>
      </w:tr>
      <w:tr w:rsidR="008A10EF" w:rsidRPr="004247D4" w14:paraId="083BD74F" w14:textId="77777777" w:rsidTr="00896A23">
        <w:trPr>
          <w:trHeight w:val="227"/>
          <w:jc w:val="center"/>
        </w:trPr>
        <w:tc>
          <w:tcPr>
            <w:tcW w:w="959" w:type="pct"/>
            <w:shd w:val="clear" w:color="auto" w:fill="auto"/>
            <w:noWrap/>
            <w:vAlign w:val="bottom"/>
            <w:hideMark/>
          </w:tcPr>
          <w:p w14:paraId="4527DB6A" w14:textId="77777777" w:rsidR="008A10EF" w:rsidRPr="004247D4" w:rsidRDefault="008A10EF" w:rsidP="002663D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47D4">
              <w:rPr>
                <w:rFonts w:ascii="Calibri" w:hAnsi="Calibri" w:cs="Calibri"/>
                <w:color w:val="000000"/>
                <w:sz w:val="20"/>
                <w:szCs w:val="20"/>
              </w:rPr>
              <w:t>107 630</w:t>
            </w:r>
          </w:p>
        </w:tc>
        <w:tc>
          <w:tcPr>
            <w:tcW w:w="596" w:type="pct"/>
            <w:shd w:val="clear" w:color="auto" w:fill="auto"/>
            <w:noWrap/>
            <w:vAlign w:val="center"/>
            <w:hideMark/>
          </w:tcPr>
          <w:p w14:paraId="25195C6F" w14:textId="25F1C845" w:rsidR="008A10EF" w:rsidRPr="004247D4" w:rsidRDefault="00896A23" w:rsidP="00896A23">
            <w:pPr>
              <w:ind w:right="61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58FBC984" w14:textId="479CBFBB" w:rsidR="008A10EF" w:rsidRPr="004247D4" w:rsidRDefault="00896A23" w:rsidP="00896A23">
            <w:pPr>
              <w:ind w:right="61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4E6EB9D3" w14:textId="77777777" w:rsidR="008A10EF" w:rsidRPr="004247D4" w:rsidRDefault="008A10EF" w:rsidP="004247D4">
            <w:pPr>
              <w:ind w:right="61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47D4">
              <w:rPr>
                <w:rFonts w:ascii="Calibri" w:hAnsi="Calibri" w:cs="Calibri"/>
                <w:color w:val="000000"/>
                <w:sz w:val="20"/>
                <w:szCs w:val="20"/>
              </w:rPr>
              <w:t>107,976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08DBAA93" w14:textId="77777777" w:rsidR="008A10EF" w:rsidRPr="004247D4" w:rsidRDefault="008A10EF" w:rsidP="004247D4">
            <w:pPr>
              <w:ind w:right="61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47D4">
              <w:rPr>
                <w:rFonts w:ascii="Calibri" w:hAnsi="Calibri" w:cs="Calibri"/>
                <w:color w:val="000000"/>
                <w:sz w:val="20"/>
                <w:szCs w:val="20"/>
              </w:rPr>
              <w:t>266,586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6E2B717D" w14:textId="77777777" w:rsidR="008A10EF" w:rsidRPr="004247D4" w:rsidRDefault="008A10EF" w:rsidP="004247D4">
            <w:pPr>
              <w:ind w:right="61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47D4">
              <w:rPr>
                <w:rFonts w:ascii="Calibri" w:hAnsi="Calibri" w:cs="Calibri"/>
                <w:color w:val="000000"/>
                <w:sz w:val="20"/>
                <w:szCs w:val="20"/>
              </w:rPr>
              <w:t>302,393</w:t>
            </w:r>
          </w:p>
        </w:tc>
        <w:tc>
          <w:tcPr>
            <w:tcW w:w="1065" w:type="pct"/>
            <w:shd w:val="clear" w:color="auto" w:fill="auto"/>
            <w:noWrap/>
            <w:vAlign w:val="center"/>
            <w:hideMark/>
          </w:tcPr>
          <w:p w14:paraId="13ADA912" w14:textId="77777777" w:rsidR="008A10EF" w:rsidRPr="004247D4" w:rsidRDefault="008A10EF" w:rsidP="002663D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47D4">
              <w:rPr>
                <w:rFonts w:ascii="Calibri" w:hAnsi="Calibri" w:cs="Calibri"/>
                <w:color w:val="000000"/>
                <w:sz w:val="20"/>
                <w:szCs w:val="20"/>
              </w:rPr>
              <w:t>676,955</w:t>
            </w:r>
          </w:p>
        </w:tc>
      </w:tr>
      <w:tr w:rsidR="008A10EF" w:rsidRPr="004247D4" w14:paraId="033E4BB2" w14:textId="77777777" w:rsidTr="00896A23">
        <w:trPr>
          <w:trHeight w:val="227"/>
          <w:jc w:val="center"/>
        </w:trPr>
        <w:tc>
          <w:tcPr>
            <w:tcW w:w="959" w:type="pct"/>
            <w:shd w:val="clear" w:color="auto" w:fill="auto"/>
            <w:noWrap/>
            <w:vAlign w:val="bottom"/>
            <w:hideMark/>
          </w:tcPr>
          <w:p w14:paraId="7ABF94EA" w14:textId="77777777" w:rsidR="008A10EF" w:rsidRPr="004247D4" w:rsidRDefault="008A10EF" w:rsidP="002663D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47D4">
              <w:rPr>
                <w:rFonts w:ascii="Calibri" w:hAnsi="Calibri" w:cs="Calibri"/>
                <w:color w:val="000000"/>
                <w:sz w:val="20"/>
                <w:szCs w:val="20"/>
              </w:rPr>
              <w:t>107 680</w:t>
            </w:r>
          </w:p>
        </w:tc>
        <w:tc>
          <w:tcPr>
            <w:tcW w:w="596" w:type="pct"/>
            <w:shd w:val="clear" w:color="auto" w:fill="auto"/>
            <w:noWrap/>
            <w:vAlign w:val="center"/>
            <w:hideMark/>
          </w:tcPr>
          <w:p w14:paraId="22C0BD16" w14:textId="63743968" w:rsidR="008A10EF" w:rsidRPr="004247D4" w:rsidRDefault="00896A23" w:rsidP="00896A23">
            <w:pPr>
              <w:ind w:right="61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5722B401" w14:textId="7CCB27C4" w:rsidR="008A10EF" w:rsidRPr="004247D4" w:rsidRDefault="00896A23" w:rsidP="00896A23">
            <w:pPr>
              <w:ind w:right="61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69608159" w14:textId="18C17401" w:rsidR="008A10EF" w:rsidRPr="004247D4" w:rsidRDefault="00896A23" w:rsidP="00896A23">
            <w:pPr>
              <w:ind w:right="61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364F1E41" w14:textId="508C101F" w:rsidR="008A10EF" w:rsidRPr="004247D4" w:rsidRDefault="00896A23" w:rsidP="00896A23">
            <w:pPr>
              <w:ind w:right="61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1448852C" w14:textId="77777777" w:rsidR="008A10EF" w:rsidRPr="004247D4" w:rsidRDefault="008A10EF" w:rsidP="004247D4">
            <w:pPr>
              <w:ind w:right="61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47D4">
              <w:rPr>
                <w:rFonts w:ascii="Calibri" w:hAnsi="Calibri" w:cs="Calibri"/>
                <w:color w:val="000000"/>
                <w:sz w:val="20"/>
                <w:szCs w:val="20"/>
              </w:rPr>
              <w:t>620,410</w:t>
            </w:r>
          </w:p>
        </w:tc>
        <w:tc>
          <w:tcPr>
            <w:tcW w:w="1065" w:type="pct"/>
            <w:shd w:val="clear" w:color="auto" w:fill="auto"/>
            <w:noWrap/>
            <w:vAlign w:val="center"/>
            <w:hideMark/>
          </w:tcPr>
          <w:p w14:paraId="3D29AF7E" w14:textId="77777777" w:rsidR="008A10EF" w:rsidRPr="004247D4" w:rsidRDefault="008A10EF" w:rsidP="002663D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47D4">
              <w:rPr>
                <w:rFonts w:ascii="Calibri" w:hAnsi="Calibri" w:cs="Calibri"/>
                <w:color w:val="000000"/>
                <w:sz w:val="20"/>
                <w:szCs w:val="20"/>
              </w:rPr>
              <w:t>620,410</w:t>
            </w:r>
          </w:p>
        </w:tc>
      </w:tr>
      <w:tr w:rsidR="008A10EF" w:rsidRPr="004247D4" w14:paraId="3315CE33" w14:textId="77777777" w:rsidTr="004247D4">
        <w:trPr>
          <w:trHeight w:val="227"/>
          <w:jc w:val="center"/>
        </w:trPr>
        <w:tc>
          <w:tcPr>
            <w:tcW w:w="959" w:type="pct"/>
            <w:shd w:val="clear" w:color="auto" w:fill="auto"/>
            <w:noWrap/>
            <w:vAlign w:val="bottom"/>
            <w:hideMark/>
          </w:tcPr>
          <w:p w14:paraId="07EA93C1" w14:textId="28535339" w:rsidR="008A10EF" w:rsidRPr="004247D4" w:rsidRDefault="005523F1" w:rsidP="002663D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  <w:r w:rsidR="008A10EF" w:rsidRPr="004247D4">
              <w:rPr>
                <w:rFonts w:ascii="Calibri" w:hAnsi="Calibri" w:cs="Calibri"/>
                <w:color w:val="000000"/>
                <w:sz w:val="20"/>
                <w:szCs w:val="20"/>
              </w:rPr>
              <w:t>elkem</w:t>
            </w:r>
          </w:p>
        </w:tc>
        <w:tc>
          <w:tcPr>
            <w:tcW w:w="596" w:type="pct"/>
            <w:shd w:val="clear" w:color="auto" w:fill="auto"/>
            <w:noWrap/>
            <w:vAlign w:val="center"/>
            <w:hideMark/>
          </w:tcPr>
          <w:p w14:paraId="4D330D69" w14:textId="77777777" w:rsidR="008A10EF" w:rsidRPr="004247D4" w:rsidRDefault="008A10EF" w:rsidP="004247D4">
            <w:pPr>
              <w:ind w:right="61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47D4">
              <w:rPr>
                <w:rFonts w:ascii="Calibri" w:hAnsi="Calibri" w:cs="Calibri"/>
                <w:color w:val="000000"/>
                <w:sz w:val="20"/>
                <w:szCs w:val="20"/>
              </w:rPr>
              <w:t>556,396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3A964BC1" w14:textId="77777777" w:rsidR="008A10EF" w:rsidRPr="004247D4" w:rsidRDefault="008A10EF" w:rsidP="004247D4">
            <w:pPr>
              <w:ind w:right="61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47D4">
              <w:rPr>
                <w:rFonts w:ascii="Calibri" w:hAnsi="Calibri" w:cs="Calibri"/>
                <w:color w:val="000000"/>
                <w:sz w:val="20"/>
                <w:szCs w:val="20"/>
              </w:rPr>
              <w:t>318,903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32E4F4C5" w14:textId="77777777" w:rsidR="008A10EF" w:rsidRPr="004247D4" w:rsidRDefault="008A10EF" w:rsidP="004247D4">
            <w:pPr>
              <w:ind w:right="61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47D4">
              <w:rPr>
                <w:rFonts w:ascii="Calibri" w:hAnsi="Calibri" w:cs="Calibri"/>
                <w:color w:val="000000"/>
                <w:sz w:val="20"/>
                <w:szCs w:val="20"/>
              </w:rPr>
              <w:t>333,309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148EF240" w14:textId="77777777" w:rsidR="008A10EF" w:rsidRPr="004247D4" w:rsidRDefault="008A10EF" w:rsidP="004247D4">
            <w:pPr>
              <w:ind w:right="61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47D4">
              <w:rPr>
                <w:rFonts w:ascii="Calibri" w:hAnsi="Calibri" w:cs="Calibri"/>
                <w:color w:val="000000"/>
                <w:sz w:val="20"/>
                <w:szCs w:val="20"/>
              </w:rPr>
              <w:t>1 611,138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14:paraId="4AF03C12" w14:textId="77777777" w:rsidR="008A10EF" w:rsidRPr="004247D4" w:rsidRDefault="008A10EF" w:rsidP="004247D4">
            <w:pPr>
              <w:ind w:right="61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47D4">
              <w:rPr>
                <w:rFonts w:ascii="Calibri" w:hAnsi="Calibri" w:cs="Calibri"/>
                <w:color w:val="000000"/>
                <w:sz w:val="20"/>
                <w:szCs w:val="20"/>
              </w:rPr>
              <w:t>2 267,301</w:t>
            </w:r>
          </w:p>
        </w:tc>
        <w:tc>
          <w:tcPr>
            <w:tcW w:w="1065" w:type="pct"/>
            <w:shd w:val="clear" w:color="auto" w:fill="auto"/>
            <w:noWrap/>
            <w:vAlign w:val="center"/>
            <w:hideMark/>
          </w:tcPr>
          <w:p w14:paraId="7D3D4891" w14:textId="0A526CCF" w:rsidR="008A10EF" w:rsidRPr="004247D4" w:rsidRDefault="008A10EF" w:rsidP="0086486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47D4">
              <w:rPr>
                <w:rFonts w:ascii="Calibri" w:hAnsi="Calibri" w:cs="Calibri"/>
                <w:color w:val="000000"/>
                <w:sz w:val="20"/>
                <w:szCs w:val="20"/>
              </w:rPr>
              <w:t>5 087,04</w:t>
            </w:r>
            <w:r w:rsidR="00864860" w:rsidRPr="004247D4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</w:tr>
    </w:tbl>
    <w:p w14:paraId="300A76FE" w14:textId="084F223E" w:rsidR="003669B7" w:rsidRDefault="008A10EF" w:rsidP="00E803AA">
      <w:pPr>
        <w:spacing w:before="40"/>
        <w:ind w:left="567" w:hanging="567"/>
        <w:jc w:val="both"/>
        <w:rPr>
          <w:rFonts w:ascii="Calibri" w:hAnsi="Calibri"/>
          <w:sz w:val="20"/>
          <w:szCs w:val="20"/>
        </w:rPr>
      </w:pPr>
      <w:r w:rsidRPr="00434EF9">
        <w:rPr>
          <w:rFonts w:ascii="Calibri" w:hAnsi="Calibri"/>
          <w:b/>
          <w:sz w:val="20"/>
          <w:szCs w:val="20"/>
        </w:rPr>
        <w:t>Zdroj:</w:t>
      </w:r>
      <w:r w:rsidRPr="004B3CE2">
        <w:rPr>
          <w:rFonts w:ascii="Calibri" w:hAnsi="Calibri"/>
          <w:sz w:val="20"/>
          <w:szCs w:val="20"/>
        </w:rPr>
        <w:t xml:space="preserve"> </w:t>
      </w:r>
      <w:r w:rsidR="005523F1">
        <w:rPr>
          <w:rFonts w:ascii="Calibri" w:hAnsi="Calibri"/>
          <w:sz w:val="20"/>
          <w:szCs w:val="20"/>
        </w:rPr>
        <w:t>z</w:t>
      </w:r>
      <w:r w:rsidR="003669B7" w:rsidRPr="004B3CE2">
        <w:rPr>
          <w:rFonts w:ascii="Calibri" w:hAnsi="Calibri"/>
          <w:sz w:val="20"/>
          <w:szCs w:val="20"/>
        </w:rPr>
        <w:t>ávěrečn</w:t>
      </w:r>
      <w:r w:rsidR="005523F1">
        <w:rPr>
          <w:rFonts w:ascii="Calibri" w:hAnsi="Calibri"/>
          <w:sz w:val="20"/>
          <w:szCs w:val="20"/>
        </w:rPr>
        <w:t>é</w:t>
      </w:r>
      <w:r w:rsidR="003669B7" w:rsidRPr="004B3CE2">
        <w:rPr>
          <w:rFonts w:ascii="Calibri" w:hAnsi="Calibri"/>
          <w:sz w:val="20"/>
          <w:szCs w:val="20"/>
        </w:rPr>
        <w:t xml:space="preserve"> účt</w:t>
      </w:r>
      <w:r w:rsidR="005523F1">
        <w:rPr>
          <w:rFonts w:ascii="Calibri" w:hAnsi="Calibri"/>
          <w:sz w:val="20"/>
          <w:szCs w:val="20"/>
        </w:rPr>
        <w:t>y</w:t>
      </w:r>
      <w:r w:rsidR="003669B7" w:rsidRPr="004B3CE2">
        <w:rPr>
          <w:rFonts w:ascii="Calibri" w:hAnsi="Calibri"/>
          <w:sz w:val="20"/>
          <w:szCs w:val="20"/>
        </w:rPr>
        <w:t xml:space="preserve"> </w:t>
      </w:r>
      <w:r w:rsidR="00627F7D" w:rsidRPr="00D96FA2">
        <w:rPr>
          <w:rFonts w:ascii="Calibri" w:hAnsi="Calibri"/>
          <w:sz w:val="20"/>
          <w:szCs w:val="20"/>
        </w:rPr>
        <w:t>kapitoly</w:t>
      </w:r>
      <w:r w:rsidR="00627F7D">
        <w:rPr>
          <w:rFonts w:ascii="Calibri" w:hAnsi="Calibri"/>
          <w:sz w:val="20"/>
          <w:szCs w:val="20"/>
        </w:rPr>
        <w:t xml:space="preserve"> </w:t>
      </w:r>
      <w:r w:rsidR="003669B7" w:rsidRPr="004B3CE2">
        <w:rPr>
          <w:rFonts w:ascii="Calibri" w:hAnsi="Calibri"/>
          <w:sz w:val="20"/>
          <w:szCs w:val="20"/>
        </w:rPr>
        <w:t xml:space="preserve">státního rozpočtu 307 </w:t>
      </w:r>
      <w:r w:rsidR="00DC2D6E">
        <w:rPr>
          <w:rFonts w:ascii="Calibri" w:hAnsi="Calibri"/>
          <w:sz w:val="20"/>
          <w:szCs w:val="20"/>
        </w:rPr>
        <w:t>–</w:t>
      </w:r>
      <w:r w:rsidR="003669B7" w:rsidRPr="004B3CE2">
        <w:rPr>
          <w:rFonts w:ascii="Calibri" w:hAnsi="Calibri"/>
          <w:sz w:val="20"/>
          <w:szCs w:val="20"/>
        </w:rPr>
        <w:t xml:space="preserve"> </w:t>
      </w:r>
      <w:r w:rsidR="003669B7" w:rsidRPr="007164F4">
        <w:rPr>
          <w:rFonts w:ascii="Calibri" w:hAnsi="Calibri"/>
          <w:i/>
          <w:sz w:val="20"/>
          <w:szCs w:val="20"/>
        </w:rPr>
        <w:t>Ministerstvo obrany</w:t>
      </w:r>
      <w:r w:rsidR="003669B7" w:rsidRPr="004B3CE2">
        <w:rPr>
          <w:rFonts w:ascii="Calibri" w:hAnsi="Calibri"/>
          <w:sz w:val="20"/>
          <w:szCs w:val="20"/>
        </w:rPr>
        <w:t xml:space="preserve"> z</w:t>
      </w:r>
      <w:r w:rsidR="004743F8">
        <w:rPr>
          <w:rFonts w:ascii="Calibri" w:hAnsi="Calibri"/>
          <w:sz w:val="20"/>
          <w:szCs w:val="20"/>
        </w:rPr>
        <w:t>a roky 2011, 2012, 2013, 2014 a </w:t>
      </w:r>
      <w:r w:rsidR="003669B7" w:rsidRPr="004B3CE2">
        <w:rPr>
          <w:rFonts w:ascii="Calibri" w:hAnsi="Calibri"/>
          <w:sz w:val="20"/>
          <w:szCs w:val="20"/>
        </w:rPr>
        <w:t>2015.</w:t>
      </w:r>
    </w:p>
    <w:p w14:paraId="638057A1" w14:textId="77777777" w:rsidR="004247D4" w:rsidRDefault="004247D4" w:rsidP="004247D4">
      <w:pPr>
        <w:spacing w:after="120"/>
        <w:ind w:left="567" w:hanging="567"/>
        <w:jc w:val="both"/>
        <w:rPr>
          <w:rFonts w:asciiTheme="minorHAnsi" w:hAnsiTheme="minorHAnsi"/>
          <w:b/>
          <w:bCs/>
          <w:color w:val="000000"/>
          <w:sz w:val="20"/>
          <w:szCs w:val="20"/>
        </w:rPr>
      </w:pPr>
    </w:p>
    <w:p w14:paraId="5BABFA08" w14:textId="43DF6EB3" w:rsidR="00432B9B" w:rsidRDefault="0027213E" w:rsidP="007164F4">
      <w:pPr>
        <w:spacing w:after="120"/>
        <w:ind w:left="567" w:hanging="567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b/>
          <w:bCs/>
          <w:color w:val="000000"/>
          <w:sz w:val="20"/>
          <w:szCs w:val="20"/>
        </w:rPr>
        <w:lastRenderedPageBreak/>
        <w:t xml:space="preserve">Pozn.: </w:t>
      </w:r>
      <w:r w:rsidRPr="0027213E">
        <w:rPr>
          <w:rFonts w:asciiTheme="minorHAnsi" w:hAnsiTheme="minorHAnsi"/>
          <w:color w:val="000000"/>
          <w:sz w:val="20"/>
          <w:szCs w:val="20"/>
        </w:rPr>
        <w:t>Právní předpisy uvedené v tomto kontrolním závěru jsou aplikovány ve znění účinném pro kontrolované období.</w:t>
      </w:r>
    </w:p>
    <w:p w14:paraId="44C49045" w14:textId="38342435" w:rsidR="00035230" w:rsidRDefault="00035230" w:rsidP="00432B9B">
      <w:pPr>
        <w:rPr>
          <w:rFonts w:asciiTheme="minorHAnsi" w:hAnsiTheme="minorHAnsi"/>
          <w:color w:val="000000"/>
          <w:sz w:val="20"/>
          <w:szCs w:val="20"/>
        </w:rPr>
      </w:pPr>
    </w:p>
    <w:p w14:paraId="435DDE1E" w14:textId="77777777" w:rsidR="00D72204" w:rsidRDefault="00D72204" w:rsidP="00432B9B">
      <w:pPr>
        <w:rPr>
          <w:rFonts w:asciiTheme="minorHAnsi" w:hAnsiTheme="minorHAnsi"/>
          <w:color w:val="000000"/>
          <w:sz w:val="20"/>
          <w:szCs w:val="20"/>
        </w:rPr>
      </w:pPr>
    </w:p>
    <w:p w14:paraId="0DB74609" w14:textId="77777777" w:rsidR="008728E8" w:rsidRPr="007164F4" w:rsidRDefault="008728E8" w:rsidP="008728E8">
      <w:pPr>
        <w:spacing w:after="120"/>
        <w:jc w:val="center"/>
        <w:rPr>
          <w:rFonts w:ascii="Calibri" w:hAnsi="Calibri" w:cstheme="minorHAnsi"/>
          <w:b/>
          <w:sz w:val="28"/>
        </w:rPr>
      </w:pPr>
      <w:r w:rsidRPr="007164F4">
        <w:rPr>
          <w:rFonts w:ascii="Calibri" w:hAnsi="Calibri" w:cstheme="minorHAnsi"/>
          <w:b/>
          <w:sz w:val="28"/>
        </w:rPr>
        <w:t>II. Shrnutí a vyhodnocení skutečností zjištěných při kontrole</w:t>
      </w:r>
    </w:p>
    <w:p w14:paraId="3ECD0BEE" w14:textId="7AC202C7" w:rsidR="00EF03D2" w:rsidRDefault="00EF03D2" w:rsidP="00FA5BF6">
      <w:pPr>
        <w:spacing w:before="100" w:after="100"/>
        <w:jc w:val="both"/>
        <w:rPr>
          <w:rFonts w:ascii="Calibri" w:hAnsi="Calibri" w:cstheme="minorHAnsi"/>
          <w:b/>
          <w:bCs/>
          <w:shd w:val="clear" w:color="auto" w:fill="FFFFFF"/>
        </w:rPr>
      </w:pPr>
      <w:r w:rsidRPr="00134F63">
        <w:rPr>
          <w:rFonts w:ascii="Calibri" w:hAnsi="Calibri" w:cs="Calibri"/>
          <w:b/>
          <w:bCs/>
        </w:rPr>
        <w:t xml:space="preserve">NKÚ provedl kontrolu zaměřenou na poskytování, čerpání a použití peněžních prostředků určených na pořizování </w:t>
      </w:r>
      <w:r>
        <w:rPr>
          <w:rFonts w:ascii="Calibri" w:hAnsi="Calibri" w:cs="Calibri"/>
          <w:b/>
          <w:bCs/>
        </w:rPr>
        <w:t>techniky pro</w:t>
      </w:r>
      <w:r w:rsidRPr="00134F63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AČR</w:t>
      </w:r>
      <w:r w:rsidR="00EB2A02">
        <w:rPr>
          <w:rFonts w:ascii="Calibri" w:hAnsi="Calibri" w:cs="Calibri"/>
          <w:b/>
          <w:bCs/>
        </w:rPr>
        <w:t xml:space="preserve"> </w:t>
      </w:r>
      <w:r w:rsidR="00B826A8">
        <w:rPr>
          <w:rFonts w:ascii="Calibri" w:hAnsi="Calibri" w:cs="Calibri"/>
          <w:b/>
          <w:bCs/>
        </w:rPr>
        <w:t>včetně</w:t>
      </w:r>
      <w:r w:rsidR="00EB2A02">
        <w:rPr>
          <w:rFonts w:ascii="Calibri" w:hAnsi="Calibri" w:cs="Calibri"/>
          <w:b/>
          <w:bCs/>
        </w:rPr>
        <w:t xml:space="preserve"> </w:t>
      </w:r>
      <w:r w:rsidRPr="00AE0D59">
        <w:rPr>
          <w:rFonts w:ascii="Calibri" w:hAnsi="Calibri" w:cstheme="minorHAnsi"/>
          <w:b/>
          <w:bCs/>
          <w:shd w:val="clear" w:color="auto" w:fill="FFFFFF"/>
        </w:rPr>
        <w:t xml:space="preserve">posouzení </w:t>
      </w:r>
      <w:r>
        <w:rPr>
          <w:rFonts w:ascii="Calibri" w:hAnsi="Calibri" w:cstheme="minorHAnsi"/>
          <w:b/>
          <w:bCs/>
          <w:shd w:val="clear" w:color="auto" w:fill="FFFFFF"/>
        </w:rPr>
        <w:t xml:space="preserve">souvisejících </w:t>
      </w:r>
      <w:r w:rsidRPr="00AE0D59">
        <w:rPr>
          <w:rFonts w:ascii="Calibri" w:hAnsi="Calibri" w:cstheme="minorHAnsi"/>
          <w:b/>
          <w:bCs/>
          <w:shd w:val="clear" w:color="auto" w:fill="FFFFFF"/>
        </w:rPr>
        <w:t xml:space="preserve">nejdůležitějších podmínek, </w:t>
      </w:r>
      <w:r>
        <w:rPr>
          <w:rFonts w:ascii="Calibri" w:hAnsi="Calibri" w:cstheme="minorHAnsi"/>
          <w:b/>
          <w:bCs/>
          <w:shd w:val="clear" w:color="auto" w:fill="FFFFFF"/>
        </w:rPr>
        <w:t>jejichž splnění je</w:t>
      </w:r>
      <w:r w:rsidRPr="00AE0D59">
        <w:rPr>
          <w:rFonts w:ascii="Calibri" w:hAnsi="Calibri" w:cstheme="minorHAnsi"/>
          <w:b/>
          <w:bCs/>
          <w:shd w:val="clear" w:color="auto" w:fill="FFFFFF"/>
        </w:rPr>
        <w:t xml:space="preserve"> </w:t>
      </w:r>
      <w:r>
        <w:rPr>
          <w:rFonts w:ascii="Calibri" w:hAnsi="Calibri" w:cstheme="minorHAnsi"/>
          <w:b/>
          <w:bCs/>
          <w:shd w:val="clear" w:color="auto" w:fill="FFFFFF"/>
        </w:rPr>
        <w:t>nutné</w:t>
      </w:r>
      <w:r w:rsidRPr="00AE0D59">
        <w:rPr>
          <w:rFonts w:ascii="Calibri" w:hAnsi="Calibri" w:cstheme="minorHAnsi"/>
          <w:b/>
          <w:bCs/>
          <w:shd w:val="clear" w:color="auto" w:fill="FFFFFF"/>
        </w:rPr>
        <w:t xml:space="preserve"> k dosažení odpovídajícího spektra požadovaných schopností AČR </w:t>
      </w:r>
      <w:r>
        <w:rPr>
          <w:rFonts w:ascii="Calibri" w:hAnsi="Calibri" w:cstheme="minorHAnsi"/>
          <w:b/>
          <w:bCs/>
          <w:shd w:val="clear" w:color="auto" w:fill="FFFFFF"/>
        </w:rPr>
        <w:t>nezbytných</w:t>
      </w:r>
      <w:r w:rsidRPr="00AE0D59">
        <w:rPr>
          <w:rFonts w:ascii="Calibri" w:hAnsi="Calibri" w:cstheme="minorHAnsi"/>
          <w:b/>
          <w:bCs/>
          <w:shd w:val="clear" w:color="auto" w:fill="FFFFFF"/>
        </w:rPr>
        <w:t xml:space="preserve"> k naplnění </w:t>
      </w:r>
      <w:r>
        <w:rPr>
          <w:rFonts w:ascii="Calibri" w:hAnsi="Calibri" w:cs="Calibri"/>
          <w:b/>
        </w:rPr>
        <w:t>bezpečnostních zájmů ČR</w:t>
      </w:r>
      <w:r>
        <w:rPr>
          <w:rFonts w:ascii="Calibri" w:hAnsi="Calibri" w:cstheme="minorHAnsi"/>
          <w:b/>
          <w:bCs/>
          <w:shd w:val="clear" w:color="auto" w:fill="FFFFFF"/>
        </w:rPr>
        <w:t xml:space="preserve">. </w:t>
      </w:r>
      <w:r w:rsidRPr="00AE0D59">
        <w:rPr>
          <w:rFonts w:ascii="Calibri" w:hAnsi="Calibri" w:cstheme="minorHAnsi"/>
          <w:b/>
          <w:bCs/>
          <w:shd w:val="clear" w:color="auto" w:fill="FFFFFF"/>
        </w:rPr>
        <w:t>Součástí kontroly bylo prověření 17</w:t>
      </w:r>
      <w:r>
        <w:rPr>
          <w:rFonts w:ascii="Calibri" w:hAnsi="Calibri" w:cstheme="minorHAnsi"/>
          <w:b/>
          <w:bCs/>
          <w:shd w:val="clear" w:color="auto" w:fill="FFFFFF"/>
        </w:rPr>
        <w:t> </w:t>
      </w:r>
      <w:r w:rsidRPr="00AE0D59">
        <w:rPr>
          <w:rFonts w:ascii="Calibri" w:hAnsi="Calibri" w:cstheme="minorHAnsi"/>
          <w:b/>
          <w:bCs/>
          <w:shd w:val="clear" w:color="auto" w:fill="FFFFFF"/>
        </w:rPr>
        <w:t>investiční</w:t>
      </w:r>
      <w:r>
        <w:rPr>
          <w:rFonts w:ascii="Calibri" w:hAnsi="Calibri" w:cstheme="minorHAnsi"/>
          <w:b/>
          <w:bCs/>
          <w:shd w:val="clear" w:color="auto" w:fill="FFFFFF"/>
        </w:rPr>
        <w:t>ch akcí</w:t>
      </w:r>
      <w:r w:rsidR="001F555F">
        <w:rPr>
          <w:rFonts w:ascii="Calibri" w:hAnsi="Calibri" w:cstheme="minorHAnsi"/>
          <w:b/>
          <w:bCs/>
          <w:shd w:val="clear" w:color="auto" w:fill="FFFFFF"/>
        </w:rPr>
        <w:t>,</w:t>
      </w:r>
      <w:r>
        <w:rPr>
          <w:rFonts w:ascii="Calibri" w:hAnsi="Calibri" w:cstheme="minorHAnsi"/>
          <w:b/>
          <w:bCs/>
          <w:shd w:val="clear" w:color="auto" w:fill="FFFFFF"/>
        </w:rPr>
        <w:t xml:space="preserve"> resp. projektů, které měly přispět ke zvýšení akceschopnosti AČR. Na jejich realizaci </w:t>
      </w:r>
      <w:r>
        <w:rPr>
          <w:rFonts w:ascii="Calibri" w:hAnsi="Calibri" w:cs="Calibri"/>
          <w:b/>
          <w:bCs/>
        </w:rPr>
        <w:t>vynaložilo, resp. vynaloží</w:t>
      </w:r>
      <w:r w:rsidR="001F555F">
        <w:rPr>
          <w:rFonts w:ascii="Calibri" w:hAnsi="Calibri" w:cs="Calibri"/>
          <w:b/>
          <w:bCs/>
        </w:rPr>
        <w:t>,</w:t>
      </w:r>
      <w:r>
        <w:rPr>
          <w:rFonts w:ascii="Calibri" w:hAnsi="Calibri" w:cs="Calibri"/>
          <w:b/>
          <w:bCs/>
        </w:rPr>
        <w:t xml:space="preserve"> MO </w:t>
      </w:r>
      <w:r>
        <w:rPr>
          <w:rFonts w:ascii="Calibri" w:hAnsi="Calibri" w:cstheme="minorHAnsi"/>
          <w:b/>
        </w:rPr>
        <w:t>ze SR</w:t>
      </w:r>
      <w:r w:rsidRPr="00AE0D59">
        <w:rPr>
          <w:rFonts w:ascii="Calibri" w:hAnsi="Calibri" w:cstheme="minorHAnsi"/>
          <w:b/>
        </w:rPr>
        <w:t xml:space="preserve"> </w:t>
      </w:r>
      <w:r>
        <w:rPr>
          <w:rFonts w:ascii="Calibri" w:hAnsi="Calibri" w:cstheme="minorHAnsi"/>
          <w:b/>
        </w:rPr>
        <w:t xml:space="preserve">částku přibližně </w:t>
      </w:r>
      <w:r w:rsidR="004247D4">
        <w:rPr>
          <w:rFonts w:ascii="Calibri" w:hAnsi="Calibri" w:cstheme="minorHAnsi"/>
          <w:b/>
        </w:rPr>
        <w:t>3 283,298 mil. </w:t>
      </w:r>
      <w:r w:rsidRPr="00AE0D59">
        <w:rPr>
          <w:rFonts w:ascii="Calibri" w:hAnsi="Calibri" w:cstheme="minorHAnsi"/>
          <w:b/>
        </w:rPr>
        <w:t>Kč (</w:t>
      </w:r>
      <w:r w:rsidR="001F555F">
        <w:rPr>
          <w:rFonts w:ascii="Calibri" w:hAnsi="Calibri" w:cstheme="minorHAnsi"/>
          <w:b/>
        </w:rPr>
        <w:t xml:space="preserve">viz </w:t>
      </w:r>
      <w:r w:rsidRPr="00AE0D59">
        <w:rPr>
          <w:rFonts w:ascii="Calibri" w:hAnsi="Calibri" w:cstheme="minorHAnsi"/>
          <w:b/>
        </w:rPr>
        <w:t>příloha č. 1).</w:t>
      </w:r>
      <w:r>
        <w:rPr>
          <w:rFonts w:ascii="Calibri" w:hAnsi="Calibri" w:cstheme="minorHAnsi"/>
          <w:b/>
          <w:bCs/>
          <w:shd w:val="clear" w:color="auto" w:fill="FFFFFF"/>
        </w:rPr>
        <w:t xml:space="preserve"> </w:t>
      </w:r>
    </w:p>
    <w:p w14:paraId="5B4F9222" w14:textId="0626B8AC" w:rsidR="00EF03D2" w:rsidRDefault="00EF03D2" w:rsidP="00FA5BF6">
      <w:pPr>
        <w:spacing w:before="100" w:after="10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NKÚ na základě skutečností zjištěných při kontrole konstatuje, že v kontrolovaném období nebyly </w:t>
      </w:r>
      <w:r w:rsidR="00EB2A02">
        <w:rPr>
          <w:rFonts w:ascii="Calibri" w:hAnsi="Calibri" w:cs="Calibri"/>
          <w:b/>
          <w:bCs/>
        </w:rPr>
        <w:t>dostatečně</w:t>
      </w:r>
      <w:r>
        <w:rPr>
          <w:rFonts w:ascii="Calibri" w:hAnsi="Calibri" w:cs="Calibri"/>
          <w:b/>
          <w:bCs/>
        </w:rPr>
        <w:t xml:space="preserve"> zajištěny </w:t>
      </w:r>
      <w:r w:rsidRPr="00286139">
        <w:rPr>
          <w:rFonts w:ascii="Calibri" w:hAnsi="Calibri" w:cs="Calibri"/>
          <w:b/>
          <w:bCs/>
        </w:rPr>
        <w:t>základní podmín</w:t>
      </w:r>
      <w:r>
        <w:rPr>
          <w:rFonts w:ascii="Calibri" w:hAnsi="Calibri" w:cs="Calibri"/>
          <w:b/>
          <w:bCs/>
        </w:rPr>
        <w:t>ky</w:t>
      </w:r>
      <w:r w:rsidRPr="00286139">
        <w:rPr>
          <w:rFonts w:ascii="Calibri" w:hAnsi="Calibri" w:cs="Calibri"/>
          <w:b/>
          <w:bCs/>
        </w:rPr>
        <w:t xml:space="preserve"> pro zajištění účinného </w:t>
      </w:r>
      <w:r>
        <w:rPr>
          <w:rFonts w:ascii="Calibri" w:hAnsi="Calibri" w:cs="Calibri"/>
          <w:b/>
          <w:bCs/>
        </w:rPr>
        <w:t xml:space="preserve">budování systému obrany státu, především nedošlo k dokončení již řadu let trvající </w:t>
      </w:r>
      <w:r w:rsidR="00333C3B">
        <w:rPr>
          <w:rFonts w:ascii="Calibri" w:hAnsi="Calibri" w:cs="Calibri"/>
          <w:b/>
          <w:bCs/>
        </w:rPr>
        <w:t xml:space="preserve">reorganizace </w:t>
      </w:r>
      <w:r w:rsidR="0037080A">
        <w:rPr>
          <w:rFonts w:ascii="Calibri" w:hAnsi="Calibri" w:cs="Calibri"/>
          <w:b/>
          <w:bCs/>
        </w:rPr>
        <w:t>a </w:t>
      </w:r>
      <w:r>
        <w:rPr>
          <w:rFonts w:ascii="Calibri" w:hAnsi="Calibri" w:cs="Calibri"/>
          <w:b/>
          <w:bCs/>
        </w:rPr>
        <w:t xml:space="preserve">transformace </w:t>
      </w:r>
      <w:r w:rsidRPr="00D96FA2">
        <w:rPr>
          <w:rFonts w:ascii="Calibri" w:hAnsi="Calibri" w:cs="Calibri"/>
          <w:b/>
          <w:bCs/>
        </w:rPr>
        <w:t>MO</w:t>
      </w:r>
      <w:r w:rsidR="00E803AA">
        <w:rPr>
          <w:rFonts w:ascii="Calibri" w:hAnsi="Calibri" w:cs="Calibri"/>
          <w:b/>
          <w:bCs/>
        </w:rPr>
        <w:t>,</w:t>
      </w:r>
      <w:r w:rsidRPr="00D96FA2">
        <w:rPr>
          <w:rFonts w:ascii="Calibri" w:hAnsi="Calibri" w:cs="Calibri"/>
          <w:b/>
          <w:bCs/>
        </w:rPr>
        <w:t xml:space="preserve"> resp. AČR</w:t>
      </w:r>
      <w:r w:rsidR="00E803AA">
        <w:rPr>
          <w:rFonts w:ascii="Calibri" w:hAnsi="Calibri" w:cs="Calibri"/>
          <w:b/>
          <w:bCs/>
        </w:rPr>
        <w:t>,</w:t>
      </w:r>
      <w:r>
        <w:rPr>
          <w:rFonts w:ascii="Calibri" w:hAnsi="Calibri" w:cs="Calibri"/>
          <w:b/>
          <w:bCs/>
        </w:rPr>
        <w:t xml:space="preserve"> a zabezpečení adekvátní výše a struktury rozpočtu MO. Kontrolou byly zjištěny nedostatky zejména v koncepčních, plánovacích, rozpočtových a akvizičních</w:t>
      </w:r>
      <w:r w:rsidRPr="00CE07E1">
        <w:rPr>
          <w:rStyle w:val="Znakapoznpodarou"/>
          <w:rFonts w:ascii="Calibri" w:hAnsi="Calibri"/>
        </w:rPr>
        <w:footnoteReference w:id="8"/>
      </w:r>
      <w:r>
        <w:rPr>
          <w:rFonts w:ascii="Calibri" w:hAnsi="Calibri" w:cs="Calibri"/>
          <w:b/>
          <w:bCs/>
        </w:rPr>
        <w:t xml:space="preserve"> procesech MO. Realizací kontrolovaných akcí došlo až na níže uvedené případy ke zvýšení </w:t>
      </w:r>
      <w:r>
        <w:rPr>
          <w:rFonts w:ascii="Calibri" w:hAnsi="Calibri" w:cstheme="minorHAnsi"/>
          <w:b/>
          <w:bCs/>
          <w:shd w:val="clear" w:color="auto" w:fill="FFFFFF"/>
        </w:rPr>
        <w:t xml:space="preserve">akceschopnosti AČR, </w:t>
      </w:r>
      <w:r w:rsidR="00CA70E6">
        <w:rPr>
          <w:rFonts w:ascii="Calibri" w:hAnsi="Calibri" w:cstheme="minorHAnsi"/>
          <w:b/>
          <w:bCs/>
          <w:shd w:val="clear" w:color="auto" w:fill="FFFFFF"/>
        </w:rPr>
        <w:t>avšak budování</w:t>
      </w:r>
      <w:r>
        <w:rPr>
          <w:rFonts w:ascii="Calibri" w:hAnsi="Calibri" w:cstheme="minorHAnsi"/>
          <w:b/>
          <w:bCs/>
          <w:shd w:val="clear" w:color="auto" w:fill="FFFFFF"/>
        </w:rPr>
        <w:t xml:space="preserve"> požadovaných schopností AČR se z výše uvedených důvodů zpožďuje.</w:t>
      </w:r>
    </w:p>
    <w:p w14:paraId="52944393" w14:textId="5A58E013" w:rsidR="008728E8" w:rsidRPr="00CE07E1" w:rsidRDefault="008728E8" w:rsidP="00FA5BF6">
      <w:pPr>
        <w:pStyle w:val="Odstavecseseznamem"/>
        <w:spacing w:before="100" w:after="100"/>
        <w:ind w:left="0"/>
        <w:jc w:val="both"/>
        <w:rPr>
          <w:rFonts w:ascii="Calibri" w:hAnsi="Calibri" w:cs="Calibri"/>
          <w:b/>
        </w:rPr>
      </w:pPr>
      <w:r w:rsidRPr="00CE07E1">
        <w:rPr>
          <w:rFonts w:ascii="Calibri" w:hAnsi="Calibri" w:cs="Calibri"/>
          <w:b/>
        </w:rPr>
        <w:t xml:space="preserve">NKÚ </w:t>
      </w:r>
      <w:r>
        <w:rPr>
          <w:rFonts w:ascii="Calibri" w:hAnsi="Calibri" w:cs="Calibri"/>
          <w:b/>
        </w:rPr>
        <w:t xml:space="preserve">při kontrole </w:t>
      </w:r>
      <w:r w:rsidRPr="00CE07E1">
        <w:rPr>
          <w:rFonts w:ascii="Calibri" w:hAnsi="Calibri" w:cs="Calibri"/>
          <w:b/>
        </w:rPr>
        <w:t>zjistil</w:t>
      </w:r>
      <w:r>
        <w:rPr>
          <w:rFonts w:ascii="Calibri" w:hAnsi="Calibri" w:cs="Calibri"/>
          <w:b/>
        </w:rPr>
        <w:t>:</w:t>
      </w:r>
    </w:p>
    <w:p w14:paraId="1CF14847" w14:textId="168758DB" w:rsidR="008728E8" w:rsidRPr="008D1BCD" w:rsidRDefault="008728E8" w:rsidP="00FA5BF6">
      <w:pPr>
        <w:pStyle w:val="Odstavecseseznamem"/>
        <w:numPr>
          <w:ilvl w:val="0"/>
          <w:numId w:val="24"/>
        </w:numPr>
        <w:spacing w:before="100" w:after="100"/>
        <w:ind w:hanging="420"/>
        <w:jc w:val="both"/>
        <w:rPr>
          <w:rFonts w:ascii="Calibri" w:hAnsi="Calibri" w:cs="Calibri"/>
          <w:b/>
        </w:rPr>
      </w:pPr>
      <w:r w:rsidRPr="008D1BCD">
        <w:rPr>
          <w:rFonts w:ascii="Calibri" w:hAnsi="Calibri" w:cs="Calibri"/>
          <w:b/>
        </w:rPr>
        <w:t xml:space="preserve">MO neprovedlo v návaznosti na schválení nové </w:t>
      </w:r>
      <w:r w:rsidRPr="008D1BCD">
        <w:rPr>
          <w:rFonts w:ascii="Calibri" w:hAnsi="Calibri" w:cs="Calibri"/>
          <w:b/>
          <w:i/>
        </w:rPr>
        <w:t>Bezpečnostní strategie ČR</w:t>
      </w:r>
      <w:r w:rsidR="00132277" w:rsidRPr="008D1BCD">
        <w:rPr>
          <w:rFonts w:ascii="Calibri" w:hAnsi="Calibri" w:cs="Calibri"/>
          <w:b/>
          <w:i/>
        </w:rPr>
        <w:t xml:space="preserve"> </w:t>
      </w:r>
      <w:r w:rsidR="00132277" w:rsidRPr="00D96FA2">
        <w:rPr>
          <w:rFonts w:ascii="Calibri" w:hAnsi="Calibri" w:cs="Calibri"/>
          <w:b/>
        </w:rPr>
        <w:t>(</w:t>
      </w:r>
      <w:r w:rsidR="00132277" w:rsidRPr="00E803AA">
        <w:rPr>
          <w:rFonts w:ascii="Calibri" w:hAnsi="Calibri" w:cs="Calibri"/>
          <w:b/>
        </w:rPr>
        <w:t>2015</w:t>
      </w:r>
      <w:r w:rsidR="00132277" w:rsidRPr="00D96FA2">
        <w:rPr>
          <w:rFonts w:ascii="Calibri" w:hAnsi="Calibri" w:cs="Calibri"/>
          <w:b/>
        </w:rPr>
        <w:t>)</w:t>
      </w:r>
      <w:r w:rsidRPr="008D1BCD">
        <w:rPr>
          <w:rFonts w:ascii="Calibri" w:hAnsi="Calibri" w:cs="Calibri"/>
          <w:b/>
          <w:i/>
        </w:rPr>
        <w:t xml:space="preserve"> </w:t>
      </w:r>
      <w:r w:rsidRPr="008D1BCD">
        <w:rPr>
          <w:rFonts w:ascii="Calibri" w:hAnsi="Calibri" w:cs="Calibri"/>
          <w:b/>
        </w:rPr>
        <w:t xml:space="preserve">do doby ukončení kontroly aktualizaci </w:t>
      </w:r>
      <w:r w:rsidRPr="00D96FA2">
        <w:rPr>
          <w:rFonts w:ascii="Calibri" w:hAnsi="Calibri" w:cs="Calibri"/>
          <w:b/>
          <w:i/>
        </w:rPr>
        <w:t>Obranné strategie ČR.</w:t>
      </w:r>
    </w:p>
    <w:p w14:paraId="6F6E9884" w14:textId="624E162D" w:rsidR="008728E8" w:rsidRPr="008D1BCD" w:rsidRDefault="002E55D7" w:rsidP="00FA5BF6">
      <w:pPr>
        <w:pStyle w:val="Odstavecseseznamem"/>
        <w:numPr>
          <w:ilvl w:val="0"/>
          <w:numId w:val="24"/>
        </w:numPr>
        <w:spacing w:before="100" w:after="100"/>
        <w:ind w:hanging="420"/>
        <w:jc w:val="both"/>
        <w:rPr>
          <w:rFonts w:ascii="Calibri" w:hAnsi="Calibri" w:cs="Calibri"/>
          <w:b/>
        </w:rPr>
      </w:pPr>
      <w:r w:rsidRPr="008D1BCD">
        <w:rPr>
          <w:rFonts w:ascii="Calibri" w:hAnsi="Calibri" w:cs="Calibri"/>
          <w:b/>
        </w:rPr>
        <w:t>Až do prosince</w:t>
      </w:r>
      <w:r w:rsidR="00F927A3" w:rsidRPr="008D1BCD">
        <w:rPr>
          <w:rFonts w:ascii="Calibri" w:hAnsi="Calibri" w:cs="Calibri"/>
          <w:b/>
        </w:rPr>
        <w:t xml:space="preserve"> roku 2015 neexistoval </w:t>
      </w:r>
      <w:r w:rsidR="00B31B3D" w:rsidRPr="008D1BCD">
        <w:rPr>
          <w:rFonts w:ascii="Calibri" w:hAnsi="Calibri" w:cs="Calibri"/>
          <w:b/>
        </w:rPr>
        <w:t xml:space="preserve">ucelený </w:t>
      </w:r>
      <w:r w:rsidR="00F927A3" w:rsidRPr="008D1BCD">
        <w:rPr>
          <w:rFonts w:ascii="Calibri" w:hAnsi="Calibri" w:cs="Calibri"/>
          <w:b/>
        </w:rPr>
        <w:t>koncepční dokument plánování schopností AČR.</w:t>
      </w:r>
      <w:r w:rsidR="002A7D7D" w:rsidRPr="008D1BCD">
        <w:rPr>
          <w:rFonts w:ascii="Calibri" w:hAnsi="Calibri" w:cs="Calibri"/>
          <w:b/>
        </w:rPr>
        <w:t xml:space="preserve"> Poté vláda schválila </w:t>
      </w:r>
      <w:r w:rsidR="008728E8" w:rsidRPr="008D1BCD">
        <w:rPr>
          <w:rFonts w:ascii="Calibri" w:hAnsi="Calibri" w:cs="Calibri"/>
          <w:b/>
          <w:i/>
        </w:rPr>
        <w:t>Koncepc</w:t>
      </w:r>
      <w:r w:rsidR="002A7D7D" w:rsidRPr="008D1BCD">
        <w:rPr>
          <w:rFonts w:ascii="Calibri" w:hAnsi="Calibri" w:cs="Calibri"/>
          <w:b/>
          <w:i/>
        </w:rPr>
        <w:t>i</w:t>
      </w:r>
      <w:r w:rsidR="008728E8" w:rsidRPr="008D1BCD">
        <w:rPr>
          <w:rFonts w:ascii="Calibri" w:hAnsi="Calibri" w:cs="Calibri"/>
          <w:b/>
          <w:i/>
        </w:rPr>
        <w:t xml:space="preserve"> výstavby Armády České republiky do </w:t>
      </w:r>
      <w:r w:rsidR="00F927A3" w:rsidRPr="008D1BCD">
        <w:rPr>
          <w:rFonts w:ascii="Calibri" w:hAnsi="Calibri" w:cs="Calibri"/>
          <w:b/>
          <w:i/>
        </w:rPr>
        <w:t>roku 2025</w:t>
      </w:r>
      <w:r w:rsidRPr="008D1BCD">
        <w:rPr>
          <w:rStyle w:val="Znakapoznpodarou"/>
          <w:rFonts w:ascii="Calibri" w:hAnsi="Calibri" w:cs="Calibri"/>
        </w:rPr>
        <w:footnoteReference w:id="9"/>
      </w:r>
      <w:r w:rsidR="00F927A3" w:rsidRPr="008D1BCD">
        <w:rPr>
          <w:rFonts w:ascii="Calibri" w:hAnsi="Calibri" w:cs="Calibri"/>
          <w:b/>
        </w:rPr>
        <w:t xml:space="preserve"> (dále také „KVAČR“)</w:t>
      </w:r>
      <w:r w:rsidR="002A7D7D" w:rsidRPr="008D1BCD">
        <w:rPr>
          <w:rFonts w:ascii="Calibri" w:hAnsi="Calibri" w:cs="Calibri"/>
          <w:b/>
        </w:rPr>
        <w:t>,</w:t>
      </w:r>
      <w:r w:rsidR="00132277" w:rsidRPr="008D1BCD">
        <w:rPr>
          <w:rFonts w:ascii="Calibri" w:hAnsi="Calibri" w:cs="Calibri"/>
          <w:b/>
        </w:rPr>
        <w:t xml:space="preserve"> </w:t>
      </w:r>
      <w:r w:rsidR="00CA70E6">
        <w:rPr>
          <w:rFonts w:ascii="Calibri" w:hAnsi="Calibri" w:cs="Calibri"/>
          <w:b/>
        </w:rPr>
        <w:t xml:space="preserve">avšak </w:t>
      </w:r>
      <w:r w:rsidR="00F927A3" w:rsidRPr="008D1BCD">
        <w:rPr>
          <w:rFonts w:ascii="Calibri" w:hAnsi="Calibri" w:cs="Calibri"/>
          <w:b/>
        </w:rPr>
        <w:t>u</w:t>
      </w:r>
      <w:r w:rsidR="008728E8" w:rsidRPr="008D1BCD">
        <w:rPr>
          <w:rFonts w:ascii="Calibri" w:hAnsi="Calibri" w:cs="Calibri"/>
          <w:b/>
        </w:rPr>
        <w:t>přesňující programy rozvoje jednotlivých druhů sil AČR byly v době ukončení kontroly teprve dokončovány</w:t>
      </w:r>
      <w:r w:rsidRPr="008D1BCD">
        <w:rPr>
          <w:rFonts w:ascii="Calibri" w:hAnsi="Calibri" w:cs="Calibri"/>
          <w:b/>
        </w:rPr>
        <w:t xml:space="preserve">. </w:t>
      </w:r>
      <w:r w:rsidR="008728E8" w:rsidRPr="008D1BCD">
        <w:rPr>
          <w:rFonts w:ascii="Calibri" w:hAnsi="Calibri" w:cs="Calibri"/>
          <w:b/>
        </w:rPr>
        <w:t>Podle záměrů KVAČR má dojít do roku 2020 především k odstranění současných nedostatků ve schopnostech AČR</w:t>
      </w:r>
      <w:r w:rsidR="00132277" w:rsidRPr="008D1BCD">
        <w:rPr>
          <w:rFonts w:ascii="Calibri" w:hAnsi="Calibri" w:cs="Calibri"/>
          <w:b/>
        </w:rPr>
        <w:t>. A</w:t>
      </w:r>
      <w:r w:rsidR="008728E8" w:rsidRPr="008D1BCD">
        <w:rPr>
          <w:rFonts w:ascii="Calibri" w:hAnsi="Calibri" w:cs="Calibri"/>
          <w:b/>
        </w:rPr>
        <w:t xml:space="preserve">ž po tomto datu </w:t>
      </w:r>
      <w:r w:rsidR="00132277" w:rsidRPr="008D1BCD">
        <w:rPr>
          <w:rFonts w:ascii="Calibri" w:hAnsi="Calibri" w:cs="Calibri"/>
          <w:b/>
        </w:rPr>
        <w:t xml:space="preserve">dojde </w:t>
      </w:r>
      <w:r w:rsidR="008728E8" w:rsidRPr="008D1BCD">
        <w:rPr>
          <w:rFonts w:ascii="Calibri" w:hAnsi="Calibri" w:cs="Calibri"/>
          <w:b/>
        </w:rPr>
        <w:t>k jejich rozvoji.</w:t>
      </w:r>
    </w:p>
    <w:p w14:paraId="00DE0029" w14:textId="62C1F4F5" w:rsidR="008728E8" w:rsidRPr="008D1BCD" w:rsidRDefault="008728E8" w:rsidP="00FA5BF6">
      <w:pPr>
        <w:pStyle w:val="Odstavecseseznamem"/>
        <w:numPr>
          <w:ilvl w:val="0"/>
          <w:numId w:val="24"/>
        </w:numPr>
        <w:spacing w:before="100" w:after="100"/>
        <w:ind w:hanging="420"/>
        <w:jc w:val="both"/>
        <w:rPr>
          <w:rFonts w:ascii="Calibri" w:hAnsi="Calibri" w:cs="Calibri"/>
          <w:b/>
        </w:rPr>
      </w:pPr>
      <w:r w:rsidRPr="008D1BCD">
        <w:rPr>
          <w:rFonts w:ascii="Calibri" w:hAnsi="Calibri" w:cs="Calibri"/>
          <w:b/>
        </w:rPr>
        <w:t>V kontrolovaném období neexistoval ucelený dokument, který by koncep</w:t>
      </w:r>
      <w:r w:rsidR="000F2839" w:rsidRPr="008D1BCD">
        <w:rPr>
          <w:rFonts w:ascii="Calibri" w:hAnsi="Calibri" w:cs="Calibri"/>
          <w:b/>
        </w:rPr>
        <w:t>čně a </w:t>
      </w:r>
      <w:r w:rsidRPr="008D1BCD">
        <w:rPr>
          <w:rFonts w:ascii="Calibri" w:hAnsi="Calibri" w:cs="Calibri"/>
          <w:b/>
        </w:rPr>
        <w:t>systémově řešil oblast vyzbrojování.</w:t>
      </w:r>
    </w:p>
    <w:p w14:paraId="5FB8D047" w14:textId="5A6A48E3" w:rsidR="008728E8" w:rsidRPr="008D1BCD" w:rsidRDefault="008728E8" w:rsidP="00FA5BF6">
      <w:pPr>
        <w:pStyle w:val="Odstavecseseznamem"/>
        <w:numPr>
          <w:ilvl w:val="0"/>
          <w:numId w:val="24"/>
        </w:numPr>
        <w:spacing w:before="100" w:after="100"/>
        <w:ind w:hanging="420"/>
        <w:jc w:val="both"/>
        <w:rPr>
          <w:rFonts w:ascii="Calibri" w:hAnsi="Calibri" w:cs="Calibri"/>
          <w:b/>
        </w:rPr>
      </w:pPr>
      <w:r w:rsidRPr="008D1BCD">
        <w:rPr>
          <w:rFonts w:ascii="Calibri" w:hAnsi="Calibri" w:cs="Calibri"/>
          <w:b/>
        </w:rPr>
        <w:t xml:space="preserve">Řada opatření uložených na základě </w:t>
      </w:r>
      <w:r w:rsidRPr="008D1BCD">
        <w:rPr>
          <w:rFonts w:ascii="Calibri" w:hAnsi="Calibri" w:cs="Calibri"/>
          <w:b/>
          <w:i/>
        </w:rPr>
        <w:t>Bílé knihy o obraně</w:t>
      </w:r>
      <w:r w:rsidRPr="008D1BCD">
        <w:rPr>
          <w:rFonts w:ascii="Calibri" w:hAnsi="Calibri" w:cs="Calibri"/>
          <w:b/>
        </w:rPr>
        <w:t xml:space="preserve"> (2011) byla plněna</w:t>
      </w:r>
      <w:r w:rsidR="008251F3" w:rsidRPr="008D1BCD">
        <w:rPr>
          <w:rFonts w:ascii="Calibri" w:hAnsi="Calibri" w:cs="Calibri"/>
          <w:b/>
        </w:rPr>
        <w:t xml:space="preserve"> se</w:t>
      </w:r>
      <w:r w:rsidR="004D68F9">
        <w:rPr>
          <w:rFonts w:ascii="Calibri" w:hAnsi="Calibri" w:cs="Calibri"/>
          <w:b/>
        </w:rPr>
        <w:t xml:space="preserve"> </w:t>
      </w:r>
      <w:r w:rsidR="008251F3" w:rsidRPr="008D1BCD">
        <w:rPr>
          <w:rFonts w:ascii="Calibri" w:hAnsi="Calibri" w:cs="Calibri"/>
          <w:b/>
        </w:rPr>
        <w:t xml:space="preserve">zpožděním, některá významná </w:t>
      </w:r>
      <w:r w:rsidRPr="008D1BCD">
        <w:rPr>
          <w:rFonts w:ascii="Calibri" w:hAnsi="Calibri" w:cs="Calibri"/>
          <w:b/>
        </w:rPr>
        <w:t>opatření</w:t>
      </w:r>
      <w:r w:rsidR="00132277" w:rsidRPr="008D1BCD">
        <w:rPr>
          <w:rFonts w:ascii="Calibri" w:hAnsi="Calibri" w:cs="Calibri"/>
          <w:b/>
        </w:rPr>
        <w:t>,</w:t>
      </w:r>
      <w:r w:rsidR="00CA70E6">
        <w:rPr>
          <w:rFonts w:ascii="Calibri" w:hAnsi="Calibri" w:cs="Calibri"/>
          <w:b/>
        </w:rPr>
        <w:t xml:space="preserve"> která jsou řešena již řadu let</w:t>
      </w:r>
      <w:r w:rsidRPr="008D1BCD">
        <w:rPr>
          <w:rFonts w:ascii="Calibri" w:hAnsi="Calibri" w:cs="Calibri"/>
          <w:b/>
        </w:rPr>
        <w:t xml:space="preserve"> </w:t>
      </w:r>
      <w:r w:rsidR="00CA70E6">
        <w:rPr>
          <w:rFonts w:ascii="Calibri" w:hAnsi="Calibri" w:cs="Calibri"/>
          <w:b/>
        </w:rPr>
        <w:t>(</w:t>
      </w:r>
      <w:r w:rsidRPr="008D1BCD">
        <w:rPr>
          <w:rFonts w:ascii="Calibri" w:hAnsi="Calibri" w:cs="Calibri"/>
          <w:b/>
        </w:rPr>
        <w:t>mj. v oblasti ekonomického řízení, rozvoje schopností a kontroly</w:t>
      </w:r>
      <w:r w:rsidR="00CA70E6">
        <w:rPr>
          <w:rFonts w:ascii="Calibri" w:hAnsi="Calibri" w:cs="Calibri"/>
          <w:b/>
        </w:rPr>
        <w:t>),</w:t>
      </w:r>
      <w:r w:rsidRPr="008D1BCD">
        <w:rPr>
          <w:rFonts w:ascii="Calibri" w:hAnsi="Calibri" w:cs="Calibri"/>
          <w:b/>
        </w:rPr>
        <w:t xml:space="preserve"> nebyla do doby ukončení kontroly dokončena.</w:t>
      </w:r>
    </w:p>
    <w:p w14:paraId="501B1427" w14:textId="6AAE6726" w:rsidR="008728E8" w:rsidRPr="008D1BCD" w:rsidRDefault="008728E8" w:rsidP="00FA5BF6">
      <w:pPr>
        <w:pStyle w:val="Odstavecseseznamem"/>
        <w:numPr>
          <w:ilvl w:val="0"/>
          <w:numId w:val="24"/>
        </w:numPr>
        <w:spacing w:before="100" w:after="100"/>
        <w:ind w:hanging="420"/>
        <w:jc w:val="both"/>
        <w:rPr>
          <w:rFonts w:ascii="Calibri" w:hAnsi="Calibri" w:cs="Calibri"/>
          <w:b/>
        </w:rPr>
      </w:pPr>
      <w:r w:rsidRPr="008D1BCD">
        <w:rPr>
          <w:rFonts w:ascii="Calibri" w:hAnsi="Calibri" w:cs="Calibri"/>
          <w:b/>
          <w:color w:val="000000"/>
          <w:spacing w:val="-3"/>
        </w:rPr>
        <w:t>Výdaje na obranu se v kontrolovaném období pohybovaly hluboko pod závazk</w:t>
      </w:r>
      <w:r w:rsidR="004D68F9">
        <w:rPr>
          <w:rFonts w:ascii="Calibri" w:hAnsi="Calibri" w:cs="Calibri"/>
          <w:b/>
          <w:color w:val="000000"/>
          <w:spacing w:val="-3"/>
        </w:rPr>
        <w:t>em</w:t>
      </w:r>
      <w:r w:rsidRPr="008D1BCD">
        <w:rPr>
          <w:rFonts w:ascii="Calibri" w:hAnsi="Calibri" w:cs="Calibri"/>
          <w:b/>
          <w:color w:val="000000"/>
          <w:spacing w:val="-3"/>
        </w:rPr>
        <w:t>, kter</w:t>
      </w:r>
      <w:r w:rsidR="004D68F9">
        <w:rPr>
          <w:rFonts w:ascii="Calibri" w:hAnsi="Calibri" w:cs="Calibri"/>
          <w:b/>
          <w:color w:val="000000"/>
          <w:spacing w:val="-3"/>
        </w:rPr>
        <w:t>ý</w:t>
      </w:r>
      <w:r w:rsidRPr="008D1BCD">
        <w:rPr>
          <w:rFonts w:ascii="Calibri" w:hAnsi="Calibri" w:cs="Calibri"/>
          <w:b/>
          <w:color w:val="000000"/>
          <w:spacing w:val="-3"/>
        </w:rPr>
        <w:t xml:space="preserve"> vyplýv</w:t>
      </w:r>
      <w:r w:rsidR="004D68F9">
        <w:rPr>
          <w:rFonts w:ascii="Calibri" w:hAnsi="Calibri" w:cs="Calibri"/>
          <w:b/>
          <w:color w:val="000000"/>
          <w:spacing w:val="-3"/>
        </w:rPr>
        <w:t>á</w:t>
      </w:r>
      <w:r w:rsidRPr="008D1BCD">
        <w:rPr>
          <w:rFonts w:ascii="Calibri" w:hAnsi="Calibri" w:cs="Calibri"/>
          <w:b/>
          <w:color w:val="000000"/>
          <w:spacing w:val="-3"/>
        </w:rPr>
        <w:t xml:space="preserve"> pro ČR z členství v NATO. </w:t>
      </w:r>
    </w:p>
    <w:p w14:paraId="39E0F1BD" w14:textId="3CAFDE6C" w:rsidR="008728E8" w:rsidRPr="008D1BCD" w:rsidRDefault="008728E8" w:rsidP="00FA5BF6">
      <w:pPr>
        <w:pStyle w:val="Odstavecseseznamem"/>
        <w:numPr>
          <w:ilvl w:val="0"/>
          <w:numId w:val="24"/>
        </w:numPr>
        <w:spacing w:before="100" w:after="100"/>
        <w:ind w:hanging="420"/>
        <w:jc w:val="both"/>
        <w:rPr>
          <w:rFonts w:ascii="Calibri" w:hAnsi="Calibri" w:cs="Calibri"/>
          <w:b/>
        </w:rPr>
      </w:pPr>
      <w:r w:rsidRPr="008D1BCD">
        <w:rPr>
          <w:rFonts w:ascii="Calibri" w:hAnsi="Calibri" w:cs="Calibri"/>
          <w:b/>
        </w:rPr>
        <w:lastRenderedPageBreak/>
        <w:t xml:space="preserve">Střednědobé plánování bylo z důvodu opakovaných organizačních změn do roku 2014 velmi nesourodé, </w:t>
      </w:r>
      <w:r w:rsidR="00EC2717" w:rsidRPr="008D1BCD">
        <w:rPr>
          <w:rFonts w:ascii="Calibri" w:hAnsi="Calibri" w:cs="Calibri"/>
          <w:b/>
        </w:rPr>
        <w:t xml:space="preserve">což znesnadňovalo </w:t>
      </w:r>
      <w:r w:rsidR="00B826A8" w:rsidRPr="008D1BCD">
        <w:rPr>
          <w:rFonts w:ascii="Calibri" w:hAnsi="Calibri" w:cs="Calibri"/>
          <w:b/>
        </w:rPr>
        <w:t xml:space="preserve">plánování a </w:t>
      </w:r>
      <w:r w:rsidR="00EC2717" w:rsidRPr="008D1BCD">
        <w:rPr>
          <w:rFonts w:ascii="Calibri" w:hAnsi="Calibri" w:cs="Calibri"/>
          <w:b/>
        </w:rPr>
        <w:t>realizaci investičních akcí. A</w:t>
      </w:r>
      <w:r w:rsidRPr="008D1BCD">
        <w:rPr>
          <w:rFonts w:ascii="Calibri" w:hAnsi="Calibri" w:cs="Calibri"/>
          <w:b/>
        </w:rPr>
        <w:t xml:space="preserve">ž schválením </w:t>
      </w:r>
      <w:r w:rsidRPr="008D1BCD">
        <w:rPr>
          <w:rFonts w:ascii="Calibri" w:hAnsi="Calibri" w:cs="Calibri"/>
          <w:b/>
          <w:i/>
        </w:rPr>
        <w:t>Střednědobého plánu činnosti a rozvoje rezortu MO na roky 2015</w:t>
      </w:r>
      <w:r w:rsidR="000F2839" w:rsidRPr="008D1BCD">
        <w:rPr>
          <w:rFonts w:ascii="Calibri" w:hAnsi="Calibri" w:cs="Calibri"/>
          <w:b/>
          <w:i/>
        </w:rPr>
        <w:t>–</w:t>
      </w:r>
      <w:r w:rsidRPr="008D1BCD">
        <w:rPr>
          <w:rFonts w:ascii="Calibri" w:hAnsi="Calibri" w:cs="Calibri"/>
          <w:b/>
          <w:i/>
        </w:rPr>
        <w:t>2019</w:t>
      </w:r>
      <w:r w:rsidRPr="008D1BCD">
        <w:rPr>
          <w:rFonts w:ascii="Calibri" w:hAnsi="Calibri" w:cs="Calibri"/>
          <w:b/>
        </w:rPr>
        <w:t xml:space="preserve"> učinilo MO důležitý krok ke konsolidaci procesů plánování, rozpočtování a akvizic.</w:t>
      </w:r>
    </w:p>
    <w:p w14:paraId="05A6A3C6" w14:textId="77777777" w:rsidR="008728E8" w:rsidRPr="008D1BCD" w:rsidRDefault="008728E8" w:rsidP="00FA5BF6">
      <w:pPr>
        <w:pStyle w:val="Odstavecseseznamem"/>
        <w:numPr>
          <w:ilvl w:val="0"/>
          <w:numId w:val="24"/>
        </w:numPr>
        <w:spacing w:before="100" w:after="100"/>
        <w:ind w:hanging="420"/>
        <w:jc w:val="both"/>
        <w:rPr>
          <w:rFonts w:ascii="Calibri" w:hAnsi="Calibri" w:cs="Calibri"/>
          <w:b/>
        </w:rPr>
      </w:pPr>
      <w:r w:rsidRPr="008D1BCD">
        <w:rPr>
          <w:rFonts w:ascii="Calibri" w:hAnsi="Calibri" w:cs="Calibri"/>
          <w:b/>
        </w:rPr>
        <w:t>Řada plánovaných projektů budování schopností AČR byla zpožděna nebo musela být odložena také z důvodu negativních změn ve struktuře rozpočtu MO, kdy došlo zejména k růstu podílu mandatorních výdajů na úkor podílu výdajů na financování programů reprodukce majetku.</w:t>
      </w:r>
    </w:p>
    <w:p w14:paraId="6E21D2E2" w14:textId="1CA41132" w:rsidR="0056052D" w:rsidRPr="008D1BCD" w:rsidRDefault="008728E8" w:rsidP="00FA5BF6">
      <w:pPr>
        <w:pStyle w:val="Odstavecseseznamem"/>
        <w:numPr>
          <w:ilvl w:val="0"/>
          <w:numId w:val="24"/>
        </w:numPr>
        <w:spacing w:before="100" w:after="100"/>
        <w:ind w:hanging="420"/>
        <w:jc w:val="both"/>
        <w:rPr>
          <w:rFonts w:ascii="Calibri" w:hAnsi="Calibri" w:cs="Calibri"/>
          <w:b/>
        </w:rPr>
      </w:pPr>
      <w:r w:rsidRPr="008D1BCD">
        <w:rPr>
          <w:rFonts w:ascii="Calibri" w:hAnsi="Calibri" w:cs="Calibri"/>
          <w:b/>
        </w:rPr>
        <w:t xml:space="preserve">V kontrolovaném období docházelo k prodlužování termínů realizace programů reprodukce majetku, ani to však v některých případech nevedlo do doby ukončení kontroly ke zdárnému pořízení majetku a k dosažení požadovaných schopností AČR. </w:t>
      </w:r>
      <w:r w:rsidR="0056052D" w:rsidRPr="008D1BCD">
        <w:rPr>
          <w:rFonts w:ascii="Calibri" w:hAnsi="Calibri" w:cs="Calibri"/>
          <w:b/>
        </w:rPr>
        <w:t xml:space="preserve">Problémy při výběru </w:t>
      </w:r>
      <w:r w:rsidR="00CA70E6">
        <w:rPr>
          <w:rFonts w:ascii="Calibri" w:hAnsi="Calibri" w:cs="Calibri"/>
          <w:b/>
        </w:rPr>
        <w:t>dodavatelů</w:t>
      </w:r>
      <w:r w:rsidR="0056052D" w:rsidRPr="008D1BCD">
        <w:rPr>
          <w:rFonts w:ascii="Calibri" w:hAnsi="Calibri" w:cs="Calibri"/>
          <w:b/>
        </w:rPr>
        <w:t xml:space="preserve"> </w:t>
      </w:r>
      <w:r w:rsidR="00702007" w:rsidRPr="008D1BCD">
        <w:rPr>
          <w:rFonts w:ascii="Calibri" w:hAnsi="Calibri" w:cs="Calibri"/>
          <w:b/>
        </w:rPr>
        <w:t xml:space="preserve">a </w:t>
      </w:r>
      <w:r w:rsidR="0056052D" w:rsidRPr="008D1BCD">
        <w:rPr>
          <w:rFonts w:ascii="Calibri" w:hAnsi="Calibri" w:cs="Calibri"/>
          <w:b/>
        </w:rPr>
        <w:t>v realizační fázi investičních akcí byly příčinou nízkého čerpání plánovaných peněžních prostředků programů.</w:t>
      </w:r>
    </w:p>
    <w:p w14:paraId="21D178F5" w14:textId="5D345FEA" w:rsidR="008728E8" w:rsidRPr="008D1BCD" w:rsidRDefault="008728E8" w:rsidP="00FA5BF6">
      <w:pPr>
        <w:pStyle w:val="Odstavecseseznamem"/>
        <w:numPr>
          <w:ilvl w:val="0"/>
          <w:numId w:val="24"/>
        </w:numPr>
        <w:spacing w:before="100" w:after="100"/>
        <w:ind w:hanging="420"/>
        <w:jc w:val="both"/>
        <w:rPr>
          <w:rFonts w:ascii="Calibri" w:hAnsi="Calibri" w:cs="Calibri"/>
          <w:b/>
        </w:rPr>
      </w:pPr>
      <w:bookmarkStart w:id="1" w:name="_Toc459204715"/>
      <w:bookmarkStart w:id="2" w:name="_Toc460247767"/>
      <w:r w:rsidRPr="008D1BCD">
        <w:rPr>
          <w:rFonts w:ascii="Calibri" w:hAnsi="Calibri" w:cs="Calibri"/>
          <w:b/>
        </w:rPr>
        <w:t>Reforma akvizičního procesu, kterou v kontrolovaném období ovlivnily nejen změny právního řádu a schválená usnesení vlády, ale i opakované změny organizační struktury MO, nebyla do doby ukončení kontroly dokončena. Zároveň nebyly zavedeny některé nástroje zajišťující zvýšení transparentnosti a efektivnosti tohoto procesu (např. rodné listy veřejných zakázek).</w:t>
      </w:r>
    </w:p>
    <w:bookmarkEnd w:id="1"/>
    <w:bookmarkEnd w:id="2"/>
    <w:p w14:paraId="7C1A0134" w14:textId="629DD7ED" w:rsidR="008728E8" w:rsidRPr="008D1BCD" w:rsidRDefault="008728E8" w:rsidP="00FA5BF6">
      <w:pPr>
        <w:pStyle w:val="Odstavecseseznamem"/>
        <w:numPr>
          <w:ilvl w:val="0"/>
          <w:numId w:val="24"/>
        </w:numPr>
        <w:spacing w:before="100" w:after="100"/>
        <w:ind w:hanging="420"/>
        <w:jc w:val="both"/>
        <w:rPr>
          <w:rFonts w:ascii="Calibri" w:hAnsi="Calibri" w:cs="Calibri"/>
          <w:b/>
        </w:rPr>
      </w:pPr>
      <w:r w:rsidRPr="008D1BCD">
        <w:rPr>
          <w:rFonts w:ascii="Calibri" w:hAnsi="Calibri" w:cs="Calibri"/>
          <w:b/>
        </w:rPr>
        <w:t>Zadá</w:t>
      </w:r>
      <w:r w:rsidR="007805D0">
        <w:rPr>
          <w:rFonts w:ascii="Calibri" w:hAnsi="Calibri" w:cs="Calibri"/>
          <w:b/>
        </w:rPr>
        <w:t>vá</w:t>
      </w:r>
      <w:r w:rsidRPr="008D1BCD">
        <w:rPr>
          <w:rFonts w:ascii="Calibri" w:hAnsi="Calibri" w:cs="Calibri"/>
          <w:b/>
        </w:rPr>
        <w:t>ní veřejných zakázek prostřednictví</w:t>
      </w:r>
      <w:r w:rsidR="00CA70E6">
        <w:rPr>
          <w:rFonts w:ascii="Calibri" w:hAnsi="Calibri" w:cs="Calibri"/>
          <w:b/>
        </w:rPr>
        <w:t>m</w:t>
      </w:r>
      <w:r w:rsidRPr="008D1BCD">
        <w:rPr>
          <w:rFonts w:ascii="Calibri" w:hAnsi="Calibri" w:cs="Calibri"/>
          <w:b/>
        </w:rPr>
        <w:t xml:space="preserve"> agentury </w:t>
      </w:r>
      <w:hyperlink r:id="rId13" w:history="1">
        <w:r w:rsidRPr="008D1BCD">
          <w:rPr>
            <w:rFonts w:ascii="Calibri" w:hAnsi="Calibri" w:cs="Calibri"/>
            <w:b/>
            <w:i/>
          </w:rPr>
          <w:t xml:space="preserve">NATO Support and </w:t>
        </w:r>
        <w:proofErr w:type="spellStart"/>
        <w:r w:rsidRPr="008D1BCD">
          <w:rPr>
            <w:rFonts w:ascii="Calibri" w:hAnsi="Calibri" w:cs="Calibri"/>
            <w:b/>
            <w:i/>
          </w:rPr>
          <w:t>Procurement</w:t>
        </w:r>
        <w:proofErr w:type="spellEnd"/>
        <w:r w:rsidRPr="008D1BCD">
          <w:rPr>
            <w:rFonts w:ascii="Calibri" w:hAnsi="Calibri" w:cs="Calibri"/>
            <w:b/>
            <w:i/>
          </w:rPr>
          <w:t xml:space="preserve"> </w:t>
        </w:r>
        <w:proofErr w:type="spellStart"/>
        <w:r w:rsidRPr="008D1BCD">
          <w:rPr>
            <w:rFonts w:ascii="Calibri" w:hAnsi="Calibri" w:cs="Calibri"/>
            <w:b/>
            <w:i/>
          </w:rPr>
          <w:t>Agency</w:t>
        </w:r>
        <w:proofErr w:type="spellEnd"/>
      </w:hyperlink>
      <w:r w:rsidRPr="008D1BCD">
        <w:rPr>
          <w:rFonts w:ascii="Calibri" w:hAnsi="Calibri" w:cs="Calibri"/>
          <w:b/>
        </w:rPr>
        <w:t xml:space="preserve"> (dále také „NSPA“) přináší některé výhody</w:t>
      </w:r>
      <w:r w:rsidR="003E70D1" w:rsidRPr="008D1BCD">
        <w:rPr>
          <w:rFonts w:ascii="Calibri" w:hAnsi="Calibri" w:cs="Calibri"/>
          <w:b/>
        </w:rPr>
        <w:t xml:space="preserve"> (např. pořízení </w:t>
      </w:r>
      <w:r w:rsidR="008039DF" w:rsidRPr="008D1BCD">
        <w:rPr>
          <w:rFonts w:ascii="Calibri" w:hAnsi="Calibri" w:cs="Calibri"/>
          <w:b/>
        </w:rPr>
        <w:t xml:space="preserve">vojenského materiálu </w:t>
      </w:r>
      <w:r w:rsidR="003E70D1" w:rsidRPr="008D1BCD">
        <w:rPr>
          <w:rFonts w:ascii="Calibri" w:hAnsi="Calibri" w:cs="Calibri"/>
          <w:b/>
        </w:rPr>
        <w:t>za cenu bez daně z přidané hodnoty)</w:t>
      </w:r>
      <w:r w:rsidR="007805D0">
        <w:rPr>
          <w:rFonts w:ascii="Calibri" w:hAnsi="Calibri" w:cs="Calibri"/>
          <w:b/>
        </w:rPr>
        <w:t>,</w:t>
      </w:r>
      <w:r w:rsidR="005B47E5" w:rsidRPr="008D1BCD">
        <w:rPr>
          <w:rFonts w:ascii="Calibri" w:hAnsi="Calibri" w:cs="Calibri"/>
          <w:b/>
        </w:rPr>
        <w:t xml:space="preserve"> </w:t>
      </w:r>
      <w:r w:rsidRPr="008D1BCD">
        <w:rPr>
          <w:rFonts w:ascii="Calibri" w:hAnsi="Calibri" w:cs="Calibri"/>
          <w:b/>
        </w:rPr>
        <w:t xml:space="preserve">ale také nevýhody, které mají vliv na plnění deklarovaných cílů investičních akcí. </w:t>
      </w:r>
      <w:r w:rsidR="00EC2717" w:rsidRPr="008D1BCD">
        <w:rPr>
          <w:rFonts w:ascii="Calibri" w:hAnsi="Calibri" w:cs="Calibri"/>
          <w:b/>
        </w:rPr>
        <w:t xml:space="preserve">Z důvodu </w:t>
      </w:r>
      <w:r w:rsidR="003E70D1" w:rsidRPr="008D1BCD">
        <w:rPr>
          <w:rFonts w:ascii="Calibri" w:hAnsi="Calibri" w:cs="Calibri"/>
          <w:b/>
        </w:rPr>
        <w:t xml:space="preserve">nutnosti </w:t>
      </w:r>
      <w:r w:rsidR="00EC2717" w:rsidRPr="008D1BCD">
        <w:rPr>
          <w:rFonts w:ascii="Calibri" w:hAnsi="Calibri" w:cs="Calibri"/>
          <w:b/>
        </w:rPr>
        <w:t xml:space="preserve">postupu dle pravidel agentury </w:t>
      </w:r>
      <w:r w:rsidR="003E70D1" w:rsidRPr="008D1BCD">
        <w:rPr>
          <w:rFonts w:ascii="Calibri" w:hAnsi="Calibri" w:cs="Calibri"/>
          <w:b/>
        </w:rPr>
        <w:t xml:space="preserve">NSPA </w:t>
      </w:r>
      <w:r w:rsidRPr="008D1BCD">
        <w:rPr>
          <w:rFonts w:ascii="Calibri" w:hAnsi="Calibri" w:cs="Calibri"/>
          <w:b/>
        </w:rPr>
        <w:t xml:space="preserve">se </w:t>
      </w:r>
      <w:r w:rsidR="00EC2717" w:rsidRPr="008D1BCD">
        <w:rPr>
          <w:rFonts w:ascii="Calibri" w:hAnsi="Calibri" w:cs="Calibri"/>
          <w:b/>
        </w:rPr>
        <w:t xml:space="preserve">jedná </w:t>
      </w:r>
      <w:r w:rsidRPr="008D1BCD">
        <w:rPr>
          <w:rFonts w:ascii="Calibri" w:hAnsi="Calibri" w:cs="Calibri"/>
          <w:b/>
        </w:rPr>
        <w:t>zejména o délku trvání veřejné zakázky nebo riziko zpoždění dodávek, které není schopno MO</w:t>
      </w:r>
      <w:r w:rsidR="00702007" w:rsidRPr="008D1BCD">
        <w:rPr>
          <w:rFonts w:ascii="Calibri" w:hAnsi="Calibri" w:cs="Calibri"/>
          <w:b/>
        </w:rPr>
        <w:t xml:space="preserve"> ovlivnit</w:t>
      </w:r>
      <w:r w:rsidRPr="008D1BCD">
        <w:rPr>
          <w:rFonts w:ascii="Calibri" w:hAnsi="Calibri" w:cs="Calibri"/>
          <w:b/>
        </w:rPr>
        <w:t>.</w:t>
      </w:r>
    </w:p>
    <w:p w14:paraId="0CAD1C8F" w14:textId="5C718E84" w:rsidR="008728E8" w:rsidRPr="008D1BCD" w:rsidRDefault="008728E8" w:rsidP="00FA5BF6">
      <w:pPr>
        <w:pStyle w:val="Odstavecseseznamem"/>
        <w:numPr>
          <w:ilvl w:val="0"/>
          <w:numId w:val="24"/>
        </w:numPr>
        <w:spacing w:before="100" w:after="100"/>
        <w:ind w:hanging="420"/>
        <w:jc w:val="both"/>
        <w:rPr>
          <w:rFonts w:ascii="Calibri" w:hAnsi="Calibri" w:cs="Calibri"/>
          <w:b/>
        </w:rPr>
      </w:pPr>
      <w:bookmarkStart w:id="3" w:name="_Toc459204723"/>
      <w:bookmarkStart w:id="4" w:name="_Toc460247775"/>
      <w:r w:rsidRPr="008D1BCD">
        <w:rPr>
          <w:rFonts w:ascii="Calibri" w:hAnsi="Calibri" w:cs="Calibri"/>
          <w:b/>
        </w:rPr>
        <w:t>Termín provedení kontrolních a vojskových zkoušek zásadně ovlivňuje úspěšnost, hospodárnost a efektivnost realizace investičních akcí</w:t>
      </w:r>
      <w:bookmarkEnd w:id="3"/>
      <w:bookmarkEnd w:id="4"/>
      <w:r w:rsidRPr="008D1BCD">
        <w:rPr>
          <w:rFonts w:ascii="Calibri" w:hAnsi="Calibri" w:cs="Calibri"/>
          <w:b/>
        </w:rPr>
        <w:t xml:space="preserve">. </w:t>
      </w:r>
      <w:r w:rsidR="00712FD4" w:rsidRPr="008D1BCD">
        <w:rPr>
          <w:rFonts w:ascii="Calibri" w:hAnsi="Calibri" w:cs="Calibri"/>
          <w:b/>
        </w:rPr>
        <w:t>Realizací</w:t>
      </w:r>
      <w:r w:rsidRPr="008D1BCD">
        <w:rPr>
          <w:rFonts w:ascii="Calibri" w:hAnsi="Calibri" w:cs="Calibri"/>
          <w:b/>
        </w:rPr>
        <w:t xml:space="preserve"> těchto zkoušek před uzavřením smlouvy </w:t>
      </w:r>
      <w:r w:rsidR="00D87211" w:rsidRPr="008D1BCD">
        <w:rPr>
          <w:rFonts w:ascii="Calibri" w:hAnsi="Calibri" w:cs="Calibri"/>
          <w:b/>
        </w:rPr>
        <w:t xml:space="preserve">s </w:t>
      </w:r>
      <w:r w:rsidRPr="008D1BCD">
        <w:rPr>
          <w:rFonts w:ascii="Calibri" w:hAnsi="Calibri" w:cs="Calibri"/>
          <w:b/>
        </w:rPr>
        <w:t>vybraným dodavatelem by</w:t>
      </w:r>
      <w:r w:rsidR="00CA70E6">
        <w:rPr>
          <w:rFonts w:ascii="Calibri" w:hAnsi="Calibri" w:cs="Calibri"/>
          <w:b/>
        </w:rPr>
        <w:t xml:space="preserve"> se</w:t>
      </w:r>
      <w:r w:rsidRPr="008D1BCD">
        <w:rPr>
          <w:rFonts w:ascii="Calibri" w:hAnsi="Calibri" w:cs="Calibri"/>
          <w:b/>
        </w:rPr>
        <w:t xml:space="preserve"> mohlo zabránit </w:t>
      </w:r>
      <w:r w:rsidR="00B826A8" w:rsidRPr="008D1BCD">
        <w:rPr>
          <w:rFonts w:ascii="Calibri" w:hAnsi="Calibri" w:cs="Calibri"/>
          <w:b/>
        </w:rPr>
        <w:t xml:space="preserve">následně vzniklým </w:t>
      </w:r>
      <w:r w:rsidRPr="008D1BCD">
        <w:rPr>
          <w:rFonts w:ascii="Calibri" w:hAnsi="Calibri" w:cs="Calibri"/>
          <w:b/>
        </w:rPr>
        <w:t xml:space="preserve">rizikům zjištěným kontrolou, </w:t>
      </w:r>
      <w:r w:rsidR="00B826A8" w:rsidRPr="008D1BCD">
        <w:rPr>
          <w:rFonts w:ascii="Calibri" w:hAnsi="Calibri" w:cs="Calibri"/>
          <w:b/>
        </w:rPr>
        <w:t>např.</w:t>
      </w:r>
      <w:r w:rsidRPr="008D1BCD">
        <w:rPr>
          <w:rFonts w:ascii="Calibri" w:hAnsi="Calibri" w:cs="Calibri"/>
          <w:b/>
        </w:rPr>
        <w:t xml:space="preserve"> </w:t>
      </w:r>
      <w:r w:rsidR="00B826A8" w:rsidRPr="008D1BCD">
        <w:rPr>
          <w:rFonts w:ascii="Calibri" w:hAnsi="Calibri" w:cs="Calibri"/>
          <w:b/>
        </w:rPr>
        <w:t>nutnosti</w:t>
      </w:r>
      <w:r w:rsidRPr="008D1BCD">
        <w:rPr>
          <w:rFonts w:ascii="Calibri" w:hAnsi="Calibri" w:cs="Calibri"/>
          <w:b/>
        </w:rPr>
        <w:t xml:space="preserve"> </w:t>
      </w:r>
      <w:r w:rsidR="003E70D1" w:rsidRPr="008D1BCD">
        <w:rPr>
          <w:rFonts w:ascii="Calibri" w:hAnsi="Calibri" w:cs="Calibri"/>
          <w:b/>
        </w:rPr>
        <w:t>odstoupení od smlouvy</w:t>
      </w:r>
      <w:r w:rsidRPr="008D1BCD">
        <w:rPr>
          <w:rFonts w:ascii="Calibri" w:hAnsi="Calibri" w:cs="Calibri"/>
          <w:b/>
        </w:rPr>
        <w:t>.</w:t>
      </w:r>
    </w:p>
    <w:p w14:paraId="682D4661" w14:textId="102D41BA" w:rsidR="008728E8" w:rsidRPr="008D1BCD" w:rsidRDefault="008728E8" w:rsidP="00FA5BF6">
      <w:pPr>
        <w:pStyle w:val="Odstavecseseznamem"/>
        <w:numPr>
          <w:ilvl w:val="0"/>
          <w:numId w:val="24"/>
        </w:numPr>
        <w:spacing w:before="100" w:after="100"/>
        <w:ind w:hanging="420"/>
        <w:jc w:val="both"/>
        <w:rPr>
          <w:rFonts w:ascii="Calibri" w:hAnsi="Calibri" w:cs="Calibri"/>
          <w:b/>
        </w:rPr>
      </w:pPr>
      <w:bookmarkStart w:id="5" w:name="_Toc459204711"/>
      <w:bookmarkStart w:id="6" w:name="_Toc460247763"/>
      <w:r w:rsidRPr="008D1BCD">
        <w:rPr>
          <w:rFonts w:ascii="Calibri" w:hAnsi="Calibri" w:cs="Calibri"/>
          <w:b/>
          <w:color w:val="000000" w:themeColor="text1"/>
        </w:rPr>
        <w:t>Přezbrojení AČR útočnými puškami provázely v kontrolovaném období četné problémy</w:t>
      </w:r>
      <w:r w:rsidR="00314E4D" w:rsidRPr="008D1BCD">
        <w:rPr>
          <w:rFonts w:ascii="Calibri" w:hAnsi="Calibri" w:cs="Calibri"/>
          <w:b/>
          <w:color w:val="000000" w:themeColor="text1"/>
        </w:rPr>
        <w:t xml:space="preserve"> s dopady na hospodárnost, efektivnost a účelnost realizace </w:t>
      </w:r>
      <w:r w:rsidR="00252758" w:rsidRPr="008D1BCD">
        <w:rPr>
          <w:rFonts w:ascii="Calibri" w:hAnsi="Calibri" w:cs="Calibri"/>
          <w:b/>
          <w:color w:val="000000" w:themeColor="text1"/>
        </w:rPr>
        <w:t>celého projektu</w:t>
      </w:r>
      <w:r w:rsidR="00CA70E6">
        <w:rPr>
          <w:rFonts w:ascii="Calibri" w:hAnsi="Calibri" w:cs="Calibri"/>
          <w:b/>
          <w:color w:val="000000" w:themeColor="text1"/>
        </w:rPr>
        <w:t>. Tyto problémy</w:t>
      </w:r>
      <w:r w:rsidRPr="008D1BCD">
        <w:rPr>
          <w:rFonts w:ascii="Calibri" w:hAnsi="Calibri" w:cs="Calibri"/>
          <w:b/>
          <w:color w:val="000000" w:themeColor="text1"/>
        </w:rPr>
        <w:t xml:space="preserve"> byly způsobeny zejména tím,</w:t>
      </w:r>
      <w:r w:rsidR="00CA70E6">
        <w:rPr>
          <w:rFonts w:ascii="Calibri" w:hAnsi="Calibri" w:cs="Calibri"/>
          <w:b/>
          <w:color w:val="000000" w:themeColor="text1"/>
        </w:rPr>
        <w:t xml:space="preserve"> že MO vybralo nově vyvinutou a </w:t>
      </w:r>
      <w:r w:rsidRPr="008D1BCD">
        <w:rPr>
          <w:rFonts w:ascii="Calibri" w:hAnsi="Calibri" w:cs="Calibri"/>
          <w:b/>
          <w:color w:val="000000" w:themeColor="text1"/>
        </w:rPr>
        <w:t xml:space="preserve">v bojových podmínkách neodzkoušenou </w:t>
      </w:r>
      <w:r w:rsidR="00E31C41" w:rsidRPr="008D1BCD">
        <w:rPr>
          <w:rFonts w:ascii="Calibri" w:hAnsi="Calibri" w:cs="Calibri"/>
          <w:b/>
          <w:color w:val="000000" w:themeColor="text1"/>
        </w:rPr>
        <w:t>zbraň</w:t>
      </w:r>
      <w:r w:rsidRPr="008D1BCD">
        <w:rPr>
          <w:rFonts w:ascii="Calibri" w:hAnsi="Calibri" w:cs="Calibri"/>
          <w:b/>
          <w:color w:val="000000" w:themeColor="text1"/>
        </w:rPr>
        <w:t>.</w:t>
      </w:r>
    </w:p>
    <w:bookmarkEnd w:id="5"/>
    <w:bookmarkEnd w:id="6"/>
    <w:p w14:paraId="7B07EEBB" w14:textId="77777777" w:rsidR="008728E8" w:rsidRDefault="008728E8" w:rsidP="00FA5BF6">
      <w:pPr>
        <w:spacing w:before="100" w:after="100"/>
        <w:jc w:val="both"/>
        <w:rPr>
          <w:rFonts w:ascii="Calibri" w:hAnsi="Calibri" w:cs="Calibri"/>
          <w:b/>
        </w:rPr>
      </w:pPr>
      <w:r w:rsidRPr="002663D7">
        <w:rPr>
          <w:rFonts w:ascii="Calibri" w:hAnsi="Calibri" w:cs="Calibri"/>
          <w:b/>
        </w:rPr>
        <w:t>NKÚ doporučuje:</w:t>
      </w:r>
    </w:p>
    <w:p w14:paraId="7A5E73AA" w14:textId="61689024" w:rsidR="008728E8" w:rsidRPr="002663D7" w:rsidRDefault="008728E8" w:rsidP="00FA5BF6">
      <w:pPr>
        <w:pStyle w:val="Odstavecseseznamem"/>
        <w:numPr>
          <w:ilvl w:val="0"/>
          <w:numId w:val="23"/>
        </w:numPr>
        <w:spacing w:before="100" w:after="100"/>
        <w:ind w:left="284" w:hanging="284"/>
        <w:jc w:val="both"/>
        <w:rPr>
          <w:rFonts w:ascii="Calibri" w:hAnsi="Calibri" w:cs="Calibri"/>
          <w:b/>
        </w:rPr>
      </w:pPr>
      <w:r w:rsidRPr="002663D7">
        <w:rPr>
          <w:rFonts w:ascii="Calibri" w:hAnsi="Calibri" w:cs="Calibri"/>
          <w:b/>
        </w:rPr>
        <w:t xml:space="preserve">zajistit dlouhodobou kontinuitu </w:t>
      </w:r>
      <w:r w:rsidR="00CA70E6">
        <w:rPr>
          <w:rFonts w:ascii="Calibri" w:hAnsi="Calibri" w:cs="Calibri"/>
          <w:b/>
        </w:rPr>
        <w:t>při tvorbě a plnění koncepce</w:t>
      </w:r>
      <w:r w:rsidRPr="002663D7">
        <w:rPr>
          <w:rFonts w:ascii="Calibri" w:hAnsi="Calibri" w:cs="Calibri"/>
          <w:b/>
        </w:rPr>
        <w:t xml:space="preserve"> rozvoje </w:t>
      </w:r>
      <w:r>
        <w:rPr>
          <w:rFonts w:ascii="Calibri" w:hAnsi="Calibri" w:cs="Calibri"/>
          <w:b/>
        </w:rPr>
        <w:t xml:space="preserve">ozbrojených sil </w:t>
      </w:r>
      <w:r w:rsidR="00CA70E6">
        <w:rPr>
          <w:rFonts w:ascii="Calibri" w:hAnsi="Calibri" w:cs="Calibri"/>
          <w:b/>
        </w:rPr>
        <w:t>a</w:t>
      </w:r>
      <w:r w:rsidR="00545339">
        <w:rPr>
          <w:rFonts w:ascii="Calibri" w:hAnsi="Calibri" w:cs="Calibri"/>
          <w:b/>
        </w:rPr>
        <w:t> </w:t>
      </w:r>
      <w:r>
        <w:rPr>
          <w:rFonts w:ascii="Calibri" w:hAnsi="Calibri" w:cs="Calibri"/>
          <w:b/>
        </w:rPr>
        <w:t>dlouhodobou</w:t>
      </w:r>
      <w:r w:rsidRPr="002663D7">
        <w:rPr>
          <w:rFonts w:ascii="Calibri" w:hAnsi="Calibri" w:cs="Calibri"/>
          <w:b/>
        </w:rPr>
        <w:t xml:space="preserve"> stabilit</w:t>
      </w:r>
      <w:r>
        <w:rPr>
          <w:rFonts w:ascii="Calibri" w:hAnsi="Calibri" w:cs="Calibri"/>
          <w:b/>
        </w:rPr>
        <w:t>u</w:t>
      </w:r>
      <w:r w:rsidRPr="002663D7">
        <w:rPr>
          <w:rFonts w:ascii="Calibri" w:hAnsi="Calibri" w:cs="Calibri"/>
          <w:b/>
        </w:rPr>
        <w:t xml:space="preserve"> výdajů na obranu</w:t>
      </w:r>
      <w:r>
        <w:rPr>
          <w:rFonts w:ascii="Calibri" w:hAnsi="Calibri" w:cs="Calibri"/>
          <w:b/>
        </w:rPr>
        <w:t xml:space="preserve">, které jsou </w:t>
      </w:r>
      <w:r w:rsidRPr="002663D7">
        <w:rPr>
          <w:rFonts w:ascii="Calibri" w:hAnsi="Calibri" w:cs="Calibri"/>
          <w:b/>
        </w:rPr>
        <w:t>klíčov</w:t>
      </w:r>
      <w:r>
        <w:rPr>
          <w:rFonts w:ascii="Calibri" w:hAnsi="Calibri" w:cs="Calibri"/>
          <w:b/>
        </w:rPr>
        <w:t>é</w:t>
      </w:r>
      <w:r w:rsidRPr="002663D7">
        <w:rPr>
          <w:rFonts w:ascii="Calibri" w:hAnsi="Calibri" w:cs="Calibri"/>
          <w:b/>
        </w:rPr>
        <w:t xml:space="preserve"> </w:t>
      </w:r>
      <w:r w:rsidR="00CA70E6">
        <w:rPr>
          <w:rFonts w:ascii="Calibri" w:hAnsi="Calibri" w:cs="Calibri"/>
          <w:b/>
        </w:rPr>
        <w:t xml:space="preserve">pro </w:t>
      </w:r>
      <w:r w:rsidRPr="002663D7">
        <w:rPr>
          <w:rFonts w:ascii="Calibri" w:hAnsi="Calibri" w:cs="Calibri"/>
          <w:b/>
        </w:rPr>
        <w:t>naplněn</w:t>
      </w:r>
      <w:r w:rsidR="00B50E55">
        <w:rPr>
          <w:rFonts w:ascii="Calibri" w:hAnsi="Calibri" w:cs="Calibri"/>
          <w:b/>
        </w:rPr>
        <w:t xml:space="preserve">í </w:t>
      </w:r>
      <w:r w:rsidR="00F07EF1">
        <w:rPr>
          <w:rFonts w:ascii="Calibri" w:hAnsi="Calibri" w:cs="Calibri"/>
          <w:b/>
        </w:rPr>
        <w:t>bezpečnostních zájmů ČR</w:t>
      </w:r>
      <w:r w:rsidR="00B50E55">
        <w:rPr>
          <w:rFonts w:ascii="Calibri" w:hAnsi="Calibri" w:cs="Calibri"/>
          <w:b/>
        </w:rPr>
        <w:t xml:space="preserve"> </w:t>
      </w:r>
      <w:r w:rsidR="00CA70E6">
        <w:rPr>
          <w:rFonts w:ascii="Calibri" w:hAnsi="Calibri" w:cs="Calibri"/>
          <w:b/>
        </w:rPr>
        <w:t>i</w:t>
      </w:r>
      <w:r w:rsidR="00B50E55">
        <w:rPr>
          <w:rFonts w:ascii="Calibri" w:hAnsi="Calibri" w:cs="Calibri"/>
          <w:b/>
        </w:rPr>
        <w:t> </w:t>
      </w:r>
      <w:r w:rsidR="00CA70E6">
        <w:rPr>
          <w:rFonts w:ascii="Calibri" w:hAnsi="Calibri" w:cs="Calibri"/>
          <w:b/>
        </w:rPr>
        <w:t xml:space="preserve">pro </w:t>
      </w:r>
      <w:r w:rsidRPr="002663D7">
        <w:rPr>
          <w:rFonts w:ascii="Calibri" w:hAnsi="Calibri" w:cs="Calibri"/>
          <w:b/>
        </w:rPr>
        <w:t>zajištění obrany státu</w:t>
      </w:r>
      <w:r>
        <w:rPr>
          <w:rFonts w:ascii="Calibri" w:hAnsi="Calibri" w:cs="Calibri"/>
          <w:b/>
        </w:rPr>
        <w:t>;</w:t>
      </w:r>
    </w:p>
    <w:p w14:paraId="14884B27" w14:textId="036E92F8" w:rsidR="008728E8" w:rsidRPr="004F4BD1" w:rsidRDefault="005E48EA" w:rsidP="00FA5BF6">
      <w:pPr>
        <w:pStyle w:val="Odstavecseseznamem"/>
        <w:numPr>
          <w:ilvl w:val="0"/>
          <w:numId w:val="23"/>
        </w:numPr>
        <w:spacing w:before="100" w:after="100"/>
        <w:ind w:left="284" w:hanging="284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neprodleně</w:t>
      </w:r>
      <w:r w:rsidR="008728E8">
        <w:rPr>
          <w:rFonts w:ascii="Calibri" w:hAnsi="Calibri" w:cs="Calibri"/>
          <w:b/>
        </w:rPr>
        <w:t xml:space="preserve"> </w:t>
      </w:r>
      <w:r w:rsidR="00197E13">
        <w:rPr>
          <w:rFonts w:ascii="Calibri" w:hAnsi="Calibri" w:cs="Calibri"/>
          <w:b/>
        </w:rPr>
        <w:t xml:space="preserve">dokončit a </w:t>
      </w:r>
      <w:r w:rsidR="008728E8">
        <w:rPr>
          <w:rFonts w:ascii="Calibri" w:hAnsi="Calibri" w:cs="Calibri"/>
          <w:b/>
        </w:rPr>
        <w:t xml:space="preserve">schválit aktualizaci </w:t>
      </w:r>
      <w:r w:rsidR="008728E8" w:rsidRPr="00D96FA2">
        <w:rPr>
          <w:rFonts w:ascii="Calibri" w:hAnsi="Calibri" w:cs="Calibri"/>
          <w:b/>
          <w:i/>
        </w:rPr>
        <w:t>Obranné strategi</w:t>
      </w:r>
      <w:r w:rsidR="009C01C9" w:rsidRPr="00D96FA2">
        <w:rPr>
          <w:rFonts w:ascii="Calibri" w:hAnsi="Calibri" w:cs="Calibri"/>
          <w:b/>
          <w:i/>
        </w:rPr>
        <w:t>e</w:t>
      </w:r>
      <w:r w:rsidR="008728E8" w:rsidRPr="00D96FA2">
        <w:rPr>
          <w:rFonts w:ascii="Calibri" w:hAnsi="Calibri" w:cs="Calibri"/>
          <w:b/>
          <w:i/>
        </w:rPr>
        <w:t xml:space="preserve"> ČR</w:t>
      </w:r>
      <w:r w:rsidR="008728E8">
        <w:rPr>
          <w:rFonts w:ascii="Calibri" w:hAnsi="Calibri" w:cs="Calibri"/>
          <w:b/>
        </w:rPr>
        <w:t xml:space="preserve"> a </w:t>
      </w:r>
      <w:r w:rsidR="008728E8" w:rsidRPr="004F4BD1">
        <w:rPr>
          <w:rFonts w:ascii="Calibri" w:hAnsi="Calibri" w:cs="Calibri"/>
          <w:b/>
        </w:rPr>
        <w:t xml:space="preserve">dokument </w:t>
      </w:r>
      <w:r w:rsidR="008728E8" w:rsidRPr="004F4BD1">
        <w:rPr>
          <w:rFonts w:ascii="Calibri" w:hAnsi="Calibri"/>
          <w:b/>
          <w:i/>
        </w:rPr>
        <w:t>Strategie vyzbrojování ozbrojených sil České republiky do roku 2025</w:t>
      </w:r>
      <w:r w:rsidR="008728E8" w:rsidRPr="004F50DA">
        <w:rPr>
          <w:rFonts w:ascii="Calibri" w:hAnsi="Calibri"/>
          <w:b/>
        </w:rPr>
        <w:t>;</w:t>
      </w:r>
    </w:p>
    <w:p w14:paraId="4BB7DD86" w14:textId="472882DA" w:rsidR="008728E8" w:rsidRPr="008E15FD" w:rsidRDefault="008728E8" w:rsidP="00FA5BF6">
      <w:pPr>
        <w:pStyle w:val="Odstavecseseznamem"/>
        <w:numPr>
          <w:ilvl w:val="0"/>
          <w:numId w:val="23"/>
        </w:numPr>
        <w:spacing w:before="100" w:after="100"/>
        <w:ind w:left="284" w:hanging="284"/>
        <w:jc w:val="both"/>
        <w:rPr>
          <w:rFonts w:ascii="Calibri" w:hAnsi="Calibri" w:cs="Calibri"/>
          <w:b/>
        </w:rPr>
      </w:pPr>
      <w:r>
        <w:rPr>
          <w:rFonts w:ascii="Calibri" w:hAnsi="Calibri" w:cstheme="minorHAnsi"/>
          <w:b/>
          <w:color w:val="000000"/>
        </w:rPr>
        <w:t xml:space="preserve">uspíšit dokončení plnění opatření uložených na základě </w:t>
      </w:r>
      <w:r w:rsidRPr="005E48EA">
        <w:rPr>
          <w:rFonts w:ascii="Calibri" w:hAnsi="Calibri" w:cstheme="minorHAnsi"/>
          <w:b/>
          <w:i/>
          <w:color w:val="000000"/>
        </w:rPr>
        <w:t>Bílé knihy o obraně</w:t>
      </w:r>
      <w:r w:rsidR="005E48EA">
        <w:rPr>
          <w:rFonts w:ascii="Calibri" w:hAnsi="Calibri" w:cstheme="minorHAnsi"/>
          <w:b/>
          <w:color w:val="000000"/>
        </w:rPr>
        <w:t xml:space="preserve"> (2011)</w:t>
      </w:r>
      <w:r>
        <w:rPr>
          <w:rFonts w:ascii="Calibri" w:hAnsi="Calibri" w:cstheme="minorHAnsi"/>
          <w:b/>
          <w:color w:val="000000"/>
        </w:rPr>
        <w:t xml:space="preserve">; </w:t>
      </w:r>
    </w:p>
    <w:p w14:paraId="17C8F52D" w14:textId="0EE5534E" w:rsidR="008E15FD" w:rsidRPr="008E15FD" w:rsidRDefault="008728E8" w:rsidP="00FA5BF6">
      <w:pPr>
        <w:pStyle w:val="Odstavecseseznamem"/>
        <w:numPr>
          <w:ilvl w:val="0"/>
          <w:numId w:val="23"/>
        </w:numPr>
        <w:spacing w:before="100" w:after="100"/>
        <w:ind w:left="284" w:hanging="284"/>
        <w:jc w:val="both"/>
        <w:rPr>
          <w:rFonts w:ascii="Calibri" w:hAnsi="Calibri" w:cs="Calibri"/>
          <w:b/>
        </w:rPr>
      </w:pPr>
      <w:r w:rsidRPr="008E15FD">
        <w:rPr>
          <w:rFonts w:ascii="Calibri" w:hAnsi="Calibri" w:cs="Calibri"/>
          <w:b/>
        </w:rPr>
        <w:t>zavést nový způsob tvorby rozpočtového rámce resortu obrany v podobě víceletých rozpočtových výhledů</w:t>
      </w:r>
      <w:r w:rsidR="008E15FD" w:rsidRPr="008E15FD">
        <w:rPr>
          <w:rFonts w:ascii="Calibri" w:hAnsi="Calibri" w:cs="Calibri"/>
          <w:b/>
        </w:rPr>
        <w:t xml:space="preserve">, které přesáhnou stávající </w:t>
      </w:r>
      <w:r w:rsidR="008E15FD">
        <w:rPr>
          <w:rFonts w:ascii="Calibri" w:hAnsi="Calibri" w:cs="Calibri"/>
          <w:b/>
        </w:rPr>
        <w:t xml:space="preserve">pro MO nedostatečné </w:t>
      </w:r>
      <w:r w:rsidR="008E15FD" w:rsidRPr="008E15FD">
        <w:rPr>
          <w:rFonts w:ascii="Calibri" w:hAnsi="Calibri" w:cs="Calibri"/>
          <w:b/>
        </w:rPr>
        <w:t>období dvou let bezprostředně následujících po roce, na který je předkládán státní rozpočet</w:t>
      </w:r>
      <w:r w:rsidR="008E15FD">
        <w:rPr>
          <w:rFonts w:ascii="Calibri" w:hAnsi="Calibri" w:cs="Calibri"/>
          <w:b/>
        </w:rPr>
        <w:t>;</w:t>
      </w:r>
    </w:p>
    <w:p w14:paraId="7129B5DE" w14:textId="6CE1EA68" w:rsidR="008728E8" w:rsidRPr="00CB6C48" w:rsidRDefault="008728E8" w:rsidP="00FA5BF6">
      <w:pPr>
        <w:pStyle w:val="Odstavecseseznamem"/>
        <w:numPr>
          <w:ilvl w:val="0"/>
          <w:numId w:val="23"/>
        </w:numPr>
        <w:spacing w:before="100" w:after="100"/>
        <w:ind w:left="284" w:hanging="284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 xml:space="preserve">dokončit reformu </w:t>
      </w:r>
      <w:r>
        <w:rPr>
          <w:rFonts w:asciiTheme="minorHAnsi" w:hAnsiTheme="minorHAnsi" w:cstheme="minorHAnsi"/>
          <w:b/>
        </w:rPr>
        <w:t xml:space="preserve">akvizičního procesu a optimalizaci provázanosti tohoto procesu </w:t>
      </w:r>
      <w:r w:rsidR="009C01C9">
        <w:rPr>
          <w:rFonts w:asciiTheme="minorHAnsi" w:hAnsiTheme="minorHAnsi" w:cstheme="minorHAnsi"/>
          <w:b/>
        </w:rPr>
        <w:t>na</w:t>
      </w:r>
      <w:r w:rsidR="007805D0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procesy </w:t>
      </w:r>
      <w:r w:rsidRPr="00B10506">
        <w:rPr>
          <w:rFonts w:ascii="Calibri" w:hAnsi="Calibri" w:cs="Calibri"/>
          <w:b/>
        </w:rPr>
        <w:t>střednědobého plánování</w:t>
      </w:r>
      <w:r>
        <w:rPr>
          <w:rFonts w:ascii="Calibri" w:hAnsi="Calibri" w:cs="Calibri"/>
          <w:b/>
        </w:rPr>
        <w:t xml:space="preserve"> a rozpočtování;</w:t>
      </w:r>
    </w:p>
    <w:p w14:paraId="1B6B7A40" w14:textId="77777777" w:rsidR="00481E91" w:rsidRPr="00481E91" w:rsidRDefault="008728E8" w:rsidP="007B4C56">
      <w:pPr>
        <w:pStyle w:val="Odstavecseseznamem"/>
        <w:numPr>
          <w:ilvl w:val="0"/>
          <w:numId w:val="23"/>
        </w:numPr>
        <w:spacing w:before="100" w:after="100"/>
        <w:ind w:left="284" w:hanging="284"/>
        <w:jc w:val="both"/>
        <w:rPr>
          <w:rFonts w:asciiTheme="minorHAnsi" w:hAnsiTheme="minorHAnsi" w:cstheme="minorHAnsi"/>
          <w:b/>
          <w:color w:val="000000" w:themeColor="text1"/>
        </w:rPr>
      </w:pPr>
      <w:r w:rsidRPr="00D72204">
        <w:rPr>
          <w:rFonts w:ascii="Calibri" w:hAnsi="Calibri" w:cs="Calibri"/>
          <w:b/>
        </w:rPr>
        <w:t xml:space="preserve">provádět u </w:t>
      </w:r>
      <w:r w:rsidR="009C01C9" w:rsidRPr="00D72204">
        <w:rPr>
          <w:rFonts w:ascii="Calibri" w:hAnsi="Calibri" w:cs="Calibri"/>
          <w:b/>
        </w:rPr>
        <w:t>strategických projektů budování schopností AČR</w:t>
      </w:r>
      <w:r w:rsidRPr="00D72204">
        <w:rPr>
          <w:rFonts w:ascii="Calibri" w:hAnsi="Calibri" w:cs="Calibri"/>
          <w:b/>
        </w:rPr>
        <w:t xml:space="preserve"> kontrolní a vojskové zkoušky před uzavřením</w:t>
      </w:r>
      <w:r w:rsidR="00D87211" w:rsidRPr="00D72204">
        <w:rPr>
          <w:rFonts w:ascii="Calibri" w:hAnsi="Calibri" w:cs="Calibri"/>
          <w:b/>
        </w:rPr>
        <w:t xml:space="preserve"> smlouvy s vybraným dodavatelem, popř. požadovat doložení výsledků těchto zkoušek </w:t>
      </w:r>
      <w:r w:rsidR="009F0571" w:rsidRPr="00D72204">
        <w:rPr>
          <w:rFonts w:ascii="Calibri" w:hAnsi="Calibri" w:cs="Calibri"/>
          <w:b/>
        </w:rPr>
        <w:t>provedených</w:t>
      </w:r>
      <w:r w:rsidR="00D87211" w:rsidRPr="00D72204">
        <w:rPr>
          <w:rFonts w:ascii="Calibri" w:hAnsi="Calibri" w:cs="Calibri"/>
          <w:b/>
        </w:rPr>
        <w:t xml:space="preserve"> v</w:t>
      </w:r>
      <w:r w:rsidR="009F0571" w:rsidRPr="00D72204">
        <w:rPr>
          <w:rFonts w:ascii="Calibri" w:hAnsi="Calibri" w:cs="Calibri"/>
          <w:b/>
        </w:rPr>
        <w:t xml:space="preserve"> jiných </w:t>
      </w:r>
      <w:r w:rsidR="00D87211" w:rsidRPr="00D72204">
        <w:rPr>
          <w:rFonts w:ascii="Calibri" w:hAnsi="Calibri" w:cs="Calibri"/>
          <w:b/>
        </w:rPr>
        <w:t>členských státech NATO.</w:t>
      </w:r>
    </w:p>
    <w:p w14:paraId="4BD589C3" w14:textId="053DA56C" w:rsidR="004247D4" w:rsidRPr="00D72204" w:rsidRDefault="004247D4" w:rsidP="007B4C56">
      <w:pPr>
        <w:pStyle w:val="Odstavecseseznamem"/>
        <w:numPr>
          <w:ilvl w:val="0"/>
          <w:numId w:val="23"/>
        </w:numPr>
        <w:spacing w:before="100" w:after="100"/>
        <w:ind w:left="284" w:hanging="284"/>
        <w:jc w:val="both"/>
        <w:rPr>
          <w:rFonts w:asciiTheme="minorHAnsi" w:hAnsiTheme="minorHAnsi" w:cstheme="minorHAnsi"/>
          <w:b/>
          <w:color w:val="000000" w:themeColor="text1"/>
        </w:rPr>
      </w:pPr>
      <w:r w:rsidRPr="00D72204">
        <w:rPr>
          <w:rFonts w:asciiTheme="minorHAnsi" w:hAnsiTheme="minorHAnsi" w:cstheme="minorHAnsi"/>
          <w:b/>
          <w:color w:val="000000" w:themeColor="text1"/>
        </w:rPr>
        <w:br w:type="page"/>
      </w:r>
    </w:p>
    <w:p w14:paraId="2ECD3BDB" w14:textId="1D9081F0" w:rsidR="00AE0D59" w:rsidRPr="004F50DA" w:rsidRDefault="00680745" w:rsidP="006C1685">
      <w:pPr>
        <w:pStyle w:val="Bezmezer"/>
        <w:spacing w:after="240"/>
        <w:jc w:val="center"/>
        <w:rPr>
          <w:rFonts w:asciiTheme="minorHAnsi" w:hAnsiTheme="minorHAnsi" w:cstheme="minorHAnsi"/>
          <w:b/>
          <w:color w:val="000000" w:themeColor="text1"/>
          <w:sz w:val="28"/>
          <w:szCs w:val="24"/>
        </w:rPr>
      </w:pPr>
      <w:r w:rsidRPr="004F50DA">
        <w:rPr>
          <w:rFonts w:asciiTheme="minorHAnsi" w:hAnsiTheme="minorHAnsi" w:cstheme="minorHAnsi"/>
          <w:b/>
          <w:color w:val="000000" w:themeColor="text1"/>
          <w:sz w:val="28"/>
          <w:szCs w:val="24"/>
        </w:rPr>
        <w:lastRenderedPageBreak/>
        <w:t>III. Podrobnosti ke zjištěným skutečnostem</w:t>
      </w:r>
    </w:p>
    <w:p w14:paraId="127E0AD1" w14:textId="47523FD4" w:rsidR="00AE0D59" w:rsidRPr="00CE07E1" w:rsidRDefault="00CE07E1" w:rsidP="004247D4">
      <w:pPr>
        <w:pStyle w:val="Bezmezer"/>
        <w:numPr>
          <w:ilvl w:val="0"/>
          <w:numId w:val="22"/>
        </w:numPr>
        <w:spacing w:before="120" w:after="120"/>
        <w:ind w:left="357" w:hanging="357"/>
        <w:jc w:val="both"/>
        <w:rPr>
          <w:rFonts w:ascii="Calibri" w:hAnsi="Calibri" w:cstheme="minorHAnsi"/>
          <w:b/>
          <w:color w:val="000000" w:themeColor="text1"/>
          <w:sz w:val="24"/>
          <w:szCs w:val="24"/>
        </w:rPr>
      </w:pPr>
      <w:r w:rsidRPr="00CE07E1">
        <w:rPr>
          <w:rFonts w:ascii="Calibri" w:hAnsi="Calibri" w:cstheme="minorHAnsi"/>
          <w:b/>
          <w:color w:val="000000" w:themeColor="text1"/>
          <w:sz w:val="24"/>
          <w:szCs w:val="24"/>
        </w:rPr>
        <w:t>Strategické dokumenty</w:t>
      </w:r>
    </w:p>
    <w:p w14:paraId="0F1D676F" w14:textId="48C78924" w:rsidR="002D7756" w:rsidRDefault="00AE0D59" w:rsidP="004247D4">
      <w:pPr>
        <w:spacing w:before="120" w:after="120"/>
        <w:jc w:val="both"/>
        <w:rPr>
          <w:rFonts w:ascii="Calibri" w:hAnsi="Calibri" w:cstheme="minorHAnsi"/>
        </w:rPr>
      </w:pPr>
      <w:r w:rsidRPr="00D96FA2">
        <w:rPr>
          <w:rFonts w:ascii="Calibri" w:hAnsi="Calibri"/>
          <w:i/>
        </w:rPr>
        <w:t>Bezpečnostní strategie ČR</w:t>
      </w:r>
      <w:r w:rsidR="00E106CC">
        <w:rPr>
          <w:rFonts w:ascii="Calibri" w:hAnsi="Calibri"/>
        </w:rPr>
        <w:t xml:space="preserve">, jejímž zpracovatelem je </w:t>
      </w:r>
      <w:r w:rsidR="00B50E55">
        <w:rPr>
          <w:rFonts w:ascii="Calibri" w:hAnsi="Calibri"/>
        </w:rPr>
        <w:t>M</w:t>
      </w:r>
      <w:r w:rsidR="00E106CC">
        <w:rPr>
          <w:rFonts w:ascii="Calibri" w:hAnsi="Calibri"/>
        </w:rPr>
        <w:t xml:space="preserve">inisterstvo zahraničních věcí, </w:t>
      </w:r>
      <w:r w:rsidRPr="00CE07E1">
        <w:rPr>
          <w:rFonts w:ascii="Calibri" w:hAnsi="Calibri"/>
        </w:rPr>
        <w:t>je výchozím dokumentem bezpečnostní politiky státu. Popisu</w:t>
      </w:r>
      <w:r w:rsidR="00B50E55">
        <w:rPr>
          <w:rFonts w:ascii="Calibri" w:hAnsi="Calibri"/>
        </w:rPr>
        <w:t>je zájmy, nástroje a opatření k </w:t>
      </w:r>
      <w:r w:rsidRPr="00CE07E1">
        <w:rPr>
          <w:rFonts w:ascii="Calibri" w:hAnsi="Calibri"/>
        </w:rPr>
        <w:t xml:space="preserve">zajištění bezpečnosti, obrany a ochrany občanů a státu. Z důvodu změn v bezpečnostním prostředí schválila vláda v únoru roku 2015 novou </w:t>
      </w:r>
      <w:r w:rsidRPr="00D96FA2">
        <w:rPr>
          <w:rFonts w:ascii="Calibri" w:hAnsi="Calibri"/>
          <w:i/>
        </w:rPr>
        <w:t>Bezpečnostní strategii ČR</w:t>
      </w:r>
      <w:r w:rsidRPr="00CE07E1">
        <w:rPr>
          <w:rStyle w:val="Znakapoznpodarou"/>
          <w:rFonts w:ascii="Calibri" w:hAnsi="Calibri" w:cstheme="minorHAnsi"/>
        </w:rPr>
        <w:footnoteReference w:id="10"/>
      </w:r>
      <w:r w:rsidRPr="00CE07E1">
        <w:rPr>
          <w:rFonts w:ascii="Calibri" w:hAnsi="Calibri"/>
        </w:rPr>
        <w:t xml:space="preserve">, </w:t>
      </w:r>
      <w:r w:rsidR="005B4034">
        <w:rPr>
          <w:rFonts w:ascii="Calibri" w:hAnsi="Calibri"/>
        </w:rPr>
        <w:t xml:space="preserve">která </w:t>
      </w:r>
      <w:r w:rsidRPr="00CE07E1">
        <w:rPr>
          <w:rFonts w:ascii="Calibri" w:hAnsi="Calibri"/>
        </w:rPr>
        <w:t>vyžaduje revizi navazujících strategických a </w:t>
      </w:r>
      <w:r w:rsidR="00B50E55">
        <w:rPr>
          <w:rFonts w:ascii="Calibri" w:hAnsi="Calibri"/>
        </w:rPr>
        <w:t xml:space="preserve"> </w:t>
      </w:r>
      <w:r w:rsidRPr="00CE07E1">
        <w:rPr>
          <w:rFonts w:ascii="Calibri" w:hAnsi="Calibri"/>
        </w:rPr>
        <w:t xml:space="preserve">koncepčních dokumentů jednotlivých resortů. </w:t>
      </w:r>
      <w:r w:rsidRPr="00CE07E1">
        <w:rPr>
          <w:rFonts w:ascii="Calibri" w:hAnsi="Calibri" w:cstheme="minorHAnsi"/>
        </w:rPr>
        <w:t>Rozpracování principů definovaných v </w:t>
      </w:r>
      <w:r w:rsidRPr="00D96FA2">
        <w:rPr>
          <w:rFonts w:ascii="Calibri" w:hAnsi="Calibri"/>
          <w:i/>
        </w:rPr>
        <w:t>Bezpečnostní strategii ČR</w:t>
      </w:r>
      <w:r w:rsidRPr="00CE07E1">
        <w:rPr>
          <w:rFonts w:ascii="Calibri" w:hAnsi="Calibri" w:cstheme="minorHAnsi"/>
        </w:rPr>
        <w:t xml:space="preserve"> v resortu obrany zajišťuje </w:t>
      </w:r>
      <w:r w:rsidRPr="00CE07E1">
        <w:rPr>
          <w:rFonts w:ascii="Calibri" w:hAnsi="Calibri" w:cstheme="minorHAnsi"/>
          <w:i/>
        </w:rPr>
        <w:t xml:space="preserve">Obranná strategie ČR, </w:t>
      </w:r>
      <w:r w:rsidRPr="00CE07E1">
        <w:rPr>
          <w:rFonts w:ascii="Calibri" w:hAnsi="Calibri" w:cstheme="minorHAnsi"/>
        </w:rPr>
        <w:t xml:space="preserve">která definuje </w:t>
      </w:r>
      <w:r w:rsidR="00F07EF1" w:rsidRPr="00F07EF1">
        <w:rPr>
          <w:rFonts w:ascii="Calibri" w:hAnsi="Calibri" w:cstheme="minorHAnsi"/>
        </w:rPr>
        <w:t>bezpečnostní zájmy ČR</w:t>
      </w:r>
      <w:r w:rsidR="00F07EF1">
        <w:rPr>
          <w:rFonts w:ascii="Calibri" w:hAnsi="Calibri" w:cs="Calibri"/>
          <w:b/>
        </w:rPr>
        <w:t xml:space="preserve"> </w:t>
      </w:r>
      <w:r w:rsidRPr="00CE07E1">
        <w:rPr>
          <w:rFonts w:ascii="Calibri" w:hAnsi="Calibri" w:cstheme="minorHAnsi"/>
        </w:rPr>
        <w:t xml:space="preserve">a na základě nich obecně popisuje základní zásady výstavby obrany státu a hlavní úkoly ozbrojených sil. MO aktualizaci </w:t>
      </w:r>
      <w:r w:rsidRPr="00CE07E1">
        <w:rPr>
          <w:rFonts w:ascii="Calibri" w:hAnsi="Calibri" w:cstheme="minorHAnsi"/>
          <w:i/>
        </w:rPr>
        <w:t>Obranné strategie ČR</w:t>
      </w:r>
      <w:r w:rsidRPr="00CE07E1">
        <w:rPr>
          <w:rFonts w:ascii="Calibri" w:hAnsi="Calibri" w:cstheme="minorHAnsi"/>
        </w:rPr>
        <w:t xml:space="preserve"> do doby ukončení kontroly neprovedlo</w:t>
      </w:r>
      <w:r w:rsidR="002D7756">
        <w:rPr>
          <w:rFonts w:ascii="Calibri" w:hAnsi="Calibri" w:cstheme="minorHAnsi"/>
        </w:rPr>
        <w:t xml:space="preserve">. V roce 2015 přijaté koncepční dokumenty (viz dále) tak vycházejí z </w:t>
      </w:r>
      <w:r w:rsidR="002D7756" w:rsidRPr="005B4034">
        <w:rPr>
          <w:rFonts w:ascii="Calibri" w:hAnsi="Calibri" w:cstheme="minorHAnsi"/>
          <w:i/>
        </w:rPr>
        <w:t>Obrann</w:t>
      </w:r>
      <w:r w:rsidR="002D7756">
        <w:rPr>
          <w:rFonts w:ascii="Calibri" w:hAnsi="Calibri" w:cstheme="minorHAnsi"/>
          <w:i/>
        </w:rPr>
        <w:t>é</w:t>
      </w:r>
      <w:r w:rsidR="002D7756" w:rsidRPr="005B4034">
        <w:rPr>
          <w:rFonts w:ascii="Calibri" w:hAnsi="Calibri" w:cstheme="minorHAnsi"/>
          <w:i/>
        </w:rPr>
        <w:t xml:space="preserve"> strategie ČR</w:t>
      </w:r>
      <w:r w:rsidR="002D7756">
        <w:rPr>
          <w:rFonts w:ascii="Calibri" w:hAnsi="Calibri" w:cstheme="minorHAnsi"/>
          <w:i/>
        </w:rPr>
        <w:t xml:space="preserve"> </w:t>
      </w:r>
      <w:r w:rsidR="002D7756" w:rsidRPr="002D7756">
        <w:rPr>
          <w:rFonts w:ascii="Calibri" w:hAnsi="Calibri" w:cstheme="minorHAnsi"/>
        </w:rPr>
        <w:t xml:space="preserve">schválené </w:t>
      </w:r>
      <w:r w:rsidR="002D7756">
        <w:rPr>
          <w:rFonts w:ascii="Calibri" w:hAnsi="Calibri" w:cstheme="minorHAnsi"/>
        </w:rPr>
        <w:t>již v roce 2012</w:t>
      </w:r>
      <w:r w:rsidR="002D7756">
        <w:rPr>
          <w:rStyle w:val="Znakapoznpodarou"/>
          <w:rFonts w:ascii="Calibri" w:hAnsi="Calibri" w:cstheme="minorHAnsi"/>
        </w:rPr>
        <w:footnoteReference w:id="11"/>
      </w:r>
      <w:r w:rsidR="002D7756">
        <w:rPr>
          <w:rFonts w:ascii="Calibri" w:hAnsi="Calibri" w:cstheme="minorHAnsi"/>
        </w:rPr>
        <w:t>.</w:t>
      </w:r>
    </w:p>
    <w:p w14:paraId="396773C5" w14:textId="52B59C4C" w:rsidR="00CE07E1" w:rsidRPr="00CE07E1" w:rsidRDefault="00CE07E1" w:rsidP="004247D4">
      <w:pPr>
        <w:pStyle w:val="Bezmezer"/>
        <w:numPr>
          <w:ilvl w:val="0"/>
          <w:numId w:val="22"/>
        </w:numPr>
        <w:spacing w:before="120" w:after="120"/>
        <w:ind w:left="357" w:hanging="357"/>
        <w:jc w:val="both"/>
        <w:rPr>
          <w:rFonts w:ascii="Calibri" w:hAnsi="Calibri" w:cstheme="minorHAnsi"/>
          <w:b/>
          <w:color w:val="000000" w:themeColor="text1"/>
          <w:sz w:val="24"/>
          <w:szCs w:val="24"/>
        </w:rPr>
      </w:pPr>
      <w:r w:rsidRPr="00CE07E1">
        <w:rPr>
          <w:rFonts w:ascii="Calibri" w:hAnsi="Calibri" w:cstheme="minorHAnsi"/>
          <w:b/>
          <w:color w:val="000000" w:themeColor="text1"/>
          <w:sz w:val="24"/>
          <w:szCs w:val="24"/>
        </w:rPr>
        <w:t>Koncepční dokumenty</w:t>
      </w:r>
    </w:p>
    <w:p w14:paraId="7F3F8697" w14:textId="47D118EA" w:rsidR="00AE0D59" w:rsidRPr="00CE07E1" w:rsidRDefault="00AE0D59" w:rsidP="004247D4">
      <w:pPr>
        <w:spacing w:before="120" w:after="120"/>
        <w:jc w:val="both"/>
        <w:rPr>
          <w:rFonts w:ascii="Calibri" w:hAnsi="Calibri" w:cstheme="minorHAnsi"/>
        </w:rPr>
      </w:pPr>
      <w:r w:rsidRPr="00CE07E1">
        <w:rPr>
          <w:rFonts w:ascii="Calibri" w:hAnsi="Calibri" w:cstheme="minorHAnsi"/>
        </w:rPr>
        <w:t>Na absenci koncepčních dokumentů, které by podrobněji vymezovaly výstavbu a rozvoj AČR s konkrétním vymezením cílového stavu, materiálních potřeb a finančních a časových požadavků jejic</w:t>
      </w:r>
      <w:r w:rsidR="00F17563">
        <w:rPr>
          <w:rFonts w:ascii="Calibri" w:hAnsi="Calibri" w:cstheme="minorHAnsi"/>
        </w:rPr>
        <w:t xml:space="preserve">h naplnění, upozornil NKÚ </w:t>
      </w:r>
      <w:r w:rsidRPr="00CE07E1">
        <w:rPr>
          <w:rFonts w:ascii="Calibri" w:hAnsi="Calibri" w:cstheme="minorHAnsi"/>
        </w:rPr>
        <w:t>v KA č. 10/10 nebo KA č. 12/33</w:t>
      </w:r>
      <w:r w:rsidRPr="00CE07E1">
        <w:rPr>
          <w:rStyle w:val="Znakapoznpodarou"/>
          <w:rFonts w:ascii="Calibri" w:hAnsi="Calibri" w:cstheme="minorHAnsi"/>
        </w:rPr>
        <w:footnoteReference w:id="12"/>
      </w:r>
      <w:r w:rsidRPr="00CE07E1">
        <w:rPr>
          <w:rFonts w:ascii="Calibri" w:hAnsi="Calibri" w:cstheme="minorHAnsi"/>
        </w:rPr>
        <w:t xml:space="preserve">. Dokument </w:t>
      </w:r>
      <w:r w:rsidRPr="00CE07E1">
        <w:rPr>
          <w:rFonts w:ascii="Calibri" w:hAnsi="Calibri" w:cstheme="minorHAnsi"/>
          <w:i/>
        </w:rPr>
        <w:t>Dlouhodobý výhled pro obranu 2030</w:t>
      </w:r>
      <w:r w:rsidRPr="00CE07E1">
        <w:rPr>
          <w:rFonts w:ascii="Calibri" w:hAnsi="Calibri" w:cstheme="minorHAnsi"/>
        </w:rPr>
        <w:t xml:space="preserve"> </w:t>
      </w:r>
      <w:r w:rsidRPr="00CE07E1">
        <w:rPr>
          <w:rFonts w:ascii="Calibri" w:hAnsi="Calibri"/>
        </w:rPr>
        <w:t xml:space="preserve">měl být zpracován do konce října roku 2013, </w:t>
      </w:r>
      <w:r w:rsidR="005831FD">
        <w:rPr>
          <w:rFonts w:ascii="Calibri" w:hAnsi="Calibri"/>
        </w:rPr>
        <w:t xml:space="preserve">z důvodu zpoždění </w:t>
      </w:r>
      <w:r w:rsidR="00F94858">
        <w:rPr>
          <w:rFonts w:ascii="Calibri" w:hAnsi="Calibri"/>
        </w:rPr>
        <w:t>způsoben</w:t>
      </w:r>
      <w:r w:rsidR="001E0FF3">
        <w:rPr>
          <w:rFonts w:ascii="Calibri" w:hAnsi="Calibri"/>
        </w:rPr>
        <w:t>ého</w:t>
      </w:r>
      <w:r w:rsidR="005831FD">
        <w:rPr>
          <w:rFonts w:ascii="Calibri" w:hAnsi="Calibri"/>
        </w:rPr>
        <w:t xml:space="preserve"> MO </w:t>
      </w:r>
      <w:r w:rsidRPr="00CE07E1">
        <w:rPr>
          <w:rFonts w:ascii="Calibri" w:hAnsi="Calibri"/>
        </w:rPr>
        <w:t xml:space="preserve">byl </w:t>
      </w:r>
      <w:r w:rsidR="005831FD" w:rsidRPr="00CE07E1">
        <w:rPr>
          <w:rFonts w:ascii="Calibri" w:hAnsi="Calibri"/>
        </w:rPr>
        <w:t xml:space="preserve">vládou schválen </w:t>
      </w:r>
      <w:r w:rsidRPr="00CE07E1">
        <w:rPr>
          <w:rFonts w:ascii="Calibri" w:hAnsi="Calibri"/>
        </w:rPr>
        <w:t xml:space="preserve">až v </w:t>
      </w:r>
      <w:r w:rsidRPr="00CE07E1">
        <w:rPr>
          <w:rFonts w:ascii="Calibri" w:hAnsi="Calibri" w:cstheme="minorHAnsi"/>
        </w:rPr>
        <w:t>červnu roku 2015</w:t>
      </w:r>
      <w:r w:rsidRPr="00CE07E1">
        <w:rPr>
          <w:rStyle w:val="Znakapoznpodarou"/>
          <w:rFonts w:ascii="Calibri" w:hAnsi="Calibri" w:cstheme="minorHAnsi"/>
        </w:rPr>
        <w:footnoteReference w:id="13"/>
      </w:r>
      <w:r w:rsidRPr="00CE07E1">
        <w:rPr>
          <w:rFonts w:ascii="Calibri" w:hAnsi="Calibri" w:cstheme="minorHAnsi"/>
        </w:rPr>
        <w:t>.</w:t>
      </w:r>
      <w:r w:rsidRPr="00CE07E1">
        <w:rPr>
          <w:rFonts w:ascii="Calibri" w:hAnsi="Calibri"/>
        </w:rPr>
        <w:t xml:space="preserve"> </w:t>
      </w:r>
      <w:r w:rsidRPr="00CE07E1">
        <w:rPr>
          <w:rFonts w:ascii="Calibri" w:hAnsi="Calibri" w:cstheme="minorHAnsi"/>
        </w:rPr>
        <w:t>Stanovuje směry rozvoje schopností ozbrojených sil, je základním vodítkem pro obranné plánování, zejména pro tvorbu střednědobých plánů MO (viz dále)</w:t>
      </w:r>
      <w:r w:rsidR="001E0FF3">
        <w:rPr>
          <w:rFonts w:ascii="Calibri" w:hAnsi="Calibri" w:cstheme="minorHAnsi"/>
        </w:rPr>
        <w:t>,</w:t>
      </w:r>
      <w:r w:rsidRPr="00CE07E1">
        <w:rPr>
          <w:rFonts w:ascii="Calibri" w:hAnsi="Calibri" w:cstheme="minorHAnsi"/>
        </w:rPr>
        <w:t xml:space="preserve"> a vytváří rámec pro další koncepční materiály.</w:t>
      </w:r>
    </w:p>
    <w:p w14:paraId="0B388BB5" w14:textId="0002E6B8" w:rsidR="00AE0D59" w:rsidRDefault="00AE0D59" w:rsidP="004247D4">
      <w:pPr>
        <w:pStyle w:val="Bezmezer"/>
        <w:spacing w:before="120" w:after="120"/>
        <w:jc w:val="both"/>
        <w:rPr>
          <w:rFonts w:ascii="Calibri" w:hAnsi="Calibri"/>
          <w:sz w:val="24"/>
          <w:szCs w:val="24"/>
        </w:rPr>
      </w:pPr>
      <w:r w:rsidRPr="00CE07E1">
        <w:rPr>
          <w:rFonts w:ascii="Calibri" w:hAnsi="Calibri" w:cstheme="minorHAnsi"/>
          <w:sz w:val="24"/>
          <w:szCs w:val="24"/>
        </w:rPr>
        <w:t xml:space="preserve">K těm patří zejména </w:t>
      </w:r>
      <w:r w:rsidRPr="00CE07E1">
        <w:rPr>
          <w:rFonts w:ascii="Calibri" w:hAnsi="Calibri"/>
          <w:sz w:val="24"/>
          <w:szCs w:val="24"/>
        </w:rPr>
        <w:t>KVAČR</w:t>
      </w:r>
      <w:r w:rsidR="00755BA1">
        <w:rPr>
          <w:rFonts w:ascii="Calibri" w:hAnsi="Calibri"/>
          <w:sz w:val="24"/>
          <w:szCs w:val="24"/>
        </w:rPr>
        <w:t xml:space="preserve"> jakožto</w:t>
      </w:r>
      <w:r w:rsidRPr="00CE07E1">
        <w:rPr>
          <w:rFonts w:ascii="Calibri" w:hAnsi="Calibri"/>
          <w:sz w:val="24"/>
          <w:szCs w:val="24"/>
        </w:rPr>
        <w:t xml:space="preserve"> </w:t>
      </w:r>
      <w:r w:rsidRPr="00CE07E1">
        <w:rPr>
          <w:rFonts w:ascii="Calibri" w:hAnsi="Calibri"/>
          <w:bCs/>
          <w:iCs/>
          <w:sz w:val="24"/>
          <w:szCs w:val="24"/>
          <w:shd w:val="clear" w:color="auto" w:fill="FFFFFF"/>
        </w:rPr>
        <w:t xml:space="preserve">základní </w:t>
      </w:r>
      <w:r w:rsidRPr="00CE07E1">
        <w:rPr>
          <w:rFonts w:ascii="Calibri" w:hAnsi="Calibri"/>
          <w:color w:val="000000"/>
          <w:sz w:val="24"/>
          <w:szCs w:val="24"/>
        </w:rPr>
        <w:t>komplexní koncepční</w:t>
      </w:r>
      <w:r w:rsidRPr="00CE07E1">
        <w:rPr>
          <w:rFonts w:ascii="Calibri" w:hAnsi="Calibri"/>
          <w:bCs/>
          <w:iCs/>
          <w:sz w:val="24"/>
          <w:szCs w:val="24"/>
          <w:shd w:val="clear" w:color="auto" w:fill="FFFFFF"/>
        </w:rPr>
        <w:t xml:space="preserve"> dokument AČR</w:t>
      </w:r>
      <w:r w:rsidRPr="00CE07E1">
        <w:rPr>
          <w:rFonts w:ascii="Calibri" w:hAnsi="Calibri"/>
          <w:sz w:val="24"/>
          <w:szCs w:val="24"/>
        </w:rPr>
        <w:t xml:space="preserve">, který definuje požadovaný stav schopností AČR k roku 2025, </w:t>
      </w:r>
      <w:r w:rsidR="00755BA1">
        <w:rPr>
          <w:rFonts w:ascii="Calibri" w:hAnsi="Calibri"/>
          <w:sz w:val="24"/>
          <w:szCs w:val="24"/>
        </w:rPr>
        <w:t>jež</w:t>
      </w:r>
      <w:r w:rsidRPr="00CE07E1">
        <w:rPr>
          <w:rFonts w:ascii="Calibri" w:hAnsi="Calibri"/>
          <w:sz w:val="24"/>
          <w:szCs w:val="24"/>
        </w:rPr>
        <w:t xml:space="preserve"> jsou potřebné pro plnění všech stanovených úkolů</w:t>
      </w:r>
      <w:r w:rsidRPr="00CE07E1">
        <w:rPr>
          <w:rFonts w:ascii="Calibri" w:hAnsi="Calibri"/>
          <w:bCs/>
          <w:iCs/>
          <w:sz w:val="24"/>
          <w:szCs w:val="24"/>
          <w:shd w:val="clear" w:color="auto" w:fill="FFFFFF"/>
        </w:rPr>
        <w:t>.</w:t>
      </w:r>
      <w:r w:rsidRPr="00CE07E1">
        <w:rPr>
          <w:rFonts w:ascii="Calibri" w:hAnsi="Calibri" w:cstheme="minorHAnsi"/>
          <w:sz w:val="24"/>
          <w:szCs w:val="24"/>
        </w:rPr>
        <w:t xml:space="preserve"> </w:t>
      </w:r>
      <w:r w:rsidR="002C7AD7">
        <w:rPr>
          <w:rFonts w:ascii="Calibri" w:hAnsi="Calibri" w:cstheme="minorHAnsi"/>
          <w:sz w:val="24"/>
          <w:szCs w:val="24"/>
        </w:rPr>
        <w:t>Koncepce m</w:t>
      </w:r>
      <w:r w:rsidRPr="00CE07E1">
        <w:rPr>
          <w:rFonts w:ascii="Calibri" w:hAnsi="Calibri"/>
          <w:sz w:val="24"/>
          <w:szCs w:val="24"/>
        </w:rPr>
        <w:t xml:space="preserve">ěla být </w:t>
      </w:r>
      <w:r w:rsidR="00755BA1">
        <w:rPr>
          <w:rFonts w:ascii="Calibri" w:hAnsi="Calibri"/>
          <w:sz w:val="24"/>
          <w:szCs w:val="24"/>
        </w:rPr>
        <w:t>hotova</w:t>
      </w:r>
      <w:r w:rsidRPr="00CE07E1">
        <w:rPr>
          <w:rFonts w:ascii="Calibri" w:hAnsi="Calibri"/>
          <w:sz w:val="24"/>
          <w:szCs w:val="24"/>
        </w:rPr>
        <w:t xml:space="preserve"> do konce ledna 2014, </w:t>
      </w:r>
      <w:r w:rsidR="00F94858" w:rsidRPr="00F94858">
        <w:rPr>
          <w:rFonts w:ascii="Calibri" w:hAnsi="Calibri"/>
          <w:sz w:val="24"/>
          <w:szCs w:val="24"/>
        </w:rPr>
        <w:t>z důvodu zpoždění způsoben</w:t>
      </w:r>
      <w:r w:rsidR="00755BA1">
        <w:rPr>
          <w:rFonts w:ascii="Calibri" w:hAnsi="Calibri"/>
          <w:sz w:val="24"/>
          <w:szCs w:val="24"/>
        </w:rPr>
        <w:t>ého</w:t>
      </w:r>
      <w:r w:rsidR="00F94858" w:rsidRPr="00F94858">
        <w:rPr>
          <w:rFonts w:ascii="Calibri" w:hAnsi="Calibri"/>
          <w:sz w:val="24"/>
          <w:szCs w:val="24"/>
        </w:rPr>
        <w:t xml:space="preserve"> MO</w:t>
      </w:r>
      <w:r w:rsidR="00F94858">
        <w:rPr>
          <w:rFonts w:ascii="Calibri" w:hAnsi="Calibri"/>
        </w:rPr>
        <w:t xml:space="preserve"> </w:t>
      </w:r>
      <w:r w:rsidR="00F94858" w:rsidRPr="00CE07E1">
        <w:rPr>
          <w:rFonts w:ascii="Calibri" w:hAnsi="Calibri"/>
          <w:sz w:val="24"/>
          <w:szCs w:val="24"/>
        </w:rPr>
        <w:t xml:space="preserve">byla </w:t>
      </w:r>
      <w:r w:rsidR="00F94858">
        <w:rPr>
          <w:rFonts w:ascii="Calibri" w:hAnsi="Calibri"/>
          <w:sz w:val="24"/>
          <w:szCs w:val="24"/>
        </w:rPr>
        <w:t xml:space="preserve">schválena vládou </w:t>
      </w:r>
      <w:r w:rsidRPr="00CE07E1">
        <w:rPr>
          <w:rFonts w:ascii="Calibri" w:hAnsi="Calibri"/>
          <w:sz w:val="24"/>
          <w:szCs w:val="24"/>
        </w:rPr>
        <w:t xml:space="preserve">až v prosinci roku 2015. Požadovaný stav schopností AČR v roce 2025 má být dle KVAČR dosažen ve dvou krocích. </w:t>
      </w:r>
      <w:r w:rsidR="004F50DA" w:rsidRPr="00D96FA2">
        <w:rPr>
          <w:rFonts w:ascii="Calibri" w:hAnsi="Calibri"/>
          <w:sz w:val="24"/>
          <w:szCs w:val="24"/>
        </w:rPr>
        <w:t>Do</w:t>
      </w:r>
      <w:r w:rsidR="004F50DA">
        <w:rPr>
          <w:rFonts w:ascii="Calibri" w:hAnsi="Calibri"/>
          <w:sz w:val="24"/>
          <w:szCs w:val="24"/>
        </w:rPr>
        <w:t xml:space="preserve"> </w:t>
      </w:r>
      <w:r w:rsidR="00755BA1">
        <w:rPr>
          <w:rFonts w:ascii="Calibri" w:hAnsi="Calibri"/>
          <w:sz w:val="24"/>
          <w:szCs w:val="24"/>
        </w:rPr>
        <w:t>roku</w:t>
      </w:r>
      <w:r w:rsidRPr="00CE07E1">
        <w:rPr>
          <w:rFonts w:ascii="Calibri" w:hAnsi="Calibri"/>
          <w:sz w:val="24"/>
          <w:szCs w:val="24"/>
        </w:rPr>
        <w:t xml:space="preserve"> 2020 by měl</w:t>
      </w:r>
      <w:r w:rsidR="00755BA1">
        <w:rPr>
          <w:rFonts w:ascii="Calibri" w:hAnsi="Calibri"/>
          <w:sz w:val="24"/>
          <w:szCs w:val="24"/>
        </w:rPr>
        <w:t>a</w:t>
      </w:r>
      <w:r w:rsidRPr="00CE07E1">
        <w:rPr>
          <w:rFonts w:ascii="Calibri" w:hAnsi="Calibri"/>
          <w:sz w:val="24"/>
          <w:szCs w:val="24"/>
        </w:rPr>
        <w:t xml:space="preserve"> </w:t>
      </w:r>
      <w:r w:rsidR="00755BA1">
        <w:rPr>
          <w:rFonts w:ascii="Calibri" w:hAnsi="Calibri"/>
          <w:sz w:val="24"/>
          <w:szCs w:val="24"/>
        </w:rPr>
        <w:t>být</w:t>
      </w:r>
      <w:r w:rsidRPr="00CE07E1">
        <w:rPr>
          <w:rFonts w:ascii="Calibri" w:hAnsi="Calibri"/>
          <w:sz w:val="24"/>
          <w:szCs w:val="24"/>
        </w:rPr>
        <w:t xml:space="preserve"> AČR</w:t>
      </w:r>
      <w:r w:rsidR="00755BA1">
        <w:rPr>
          <w:rFonts w:ascii="Calibri" w:hAnsi="Calibri"/>
          <w:sz w:val="24"/>
          <w:szCs w:val="24"/>
        </w:rPr>
        <w:t xml:space="preserve"> stabilizována</w:t>
      </w:r>
      <w:r w:rsidRPr="00CE07E1">
        <w:rPr>
          <w:rFonts w:ascii="Calibri" w:hAnsi="Calibri"/>
          <w:sz w:val="24"/>
          <w:szCs w:val="24"/>
        </w:rPr>
        <w:t xml:space="preserve"> a</w:t>
      </w:r>
      <w:r w:rsidR="00755BA1">
        <w:rPr>
          <w:rFonts w:ascii="Calibri" w:hAnsi="Calibri"/>
          <w:sz w:val="24"/>
          <w:szCs w:val="24"/>
        </w:rPr>
        <w:t> měly by být</w:t>
      </w:r>
      <w:r w:rsidRPr="00CE07E1">
        <w:rPr>
          <w:rFonts w:ascii="Calibri" w:hAnsi="Calibri"/>
          <w:sz w:val="24"/>
          <w:szCs w:val="24"/>
        </w:rPr>
        <w:t xml:space="preserve"> postupně eliminov</w:t>
      </w:r>
      <w:r w:rsidR="00755BA1">
        <w:rPr>
          <w:rFonts w:ascii="Calibri" w:hAnsi="Calibri"/>
          <w:sz w:val="24"/>
          <w:szCs w:val="24"/>
        </w:rPr>
        <w:t>ány</w:t>
      </w:r>
      <w:r w:rsidRPr="00CE07E1">
        <w:rPr>
          <w:rFonts w:ascii="Calibri" w:hAnsi="Calibri"/>
          <w:sz w:val="24"/>
          <w:szCs w:val="24"/>
        </w:rPr>
        <w:t xml:space="preserve"> existující nedostatky </w:t>
      </w:r>
      <w:r w:rsidR="00755BA1">
        <w:rPr>
          <w:rFonts w:ascii="Calibri" w:hAnsi="Calibri"/>
          <w:sz w:val="24"/>
          <w:szCs w:val="24"/>
        </w:rPr>
        <w:t xml:space="preserve">v jejích </w:t>
      </w:r>
      <w:r w:rsidRPr="00CE07E1">
        <w:rPr>
          <w:rFonts w:ascii="Calibri" w:hAnsi="Calibri"/>
          <w:sz w:val="24"/>
          <w:szCs w:val="24"/>
        </w:rPr>
        <w:t>schopnostech. K prioritním opatřením patří mj. doplnění výzbroje a techniky na platné tabulk</w:t>
      </w:r>
      <w:r w:rsidR="00755BA1">
        <w:rPr>
          <w:rFonts w:ascii="Calibri" w:hAnsi="Calibri"/>
          <w:sz w:val="24"/>
          <w:szCs w:val="24"/>
        </w:rPr>
        <w:t>ové</w:t>
      </w:r>
      <w:r w:rsidRPr="00CE07E1">
        <w:rPr>
          <w:rFonts w:ascii="Calibri" w:hAnsi="Calibri"/>
          <w:sz w:val="24"/>
          <w:szCs w:val="24"/>
        </w:rPr>
        <w:t xml:space="preserve"> počt</w:t>
      </w:r>
      <w:r w:rsidR="00755BA1">
        <w:rPr>
          <w:rFonts w:ascii="Calibri" w:hAnsi="Calibri"/>
          <w:sz w:val="24"/>
          <w:szCs w:val="24"/>
        </w:rPr>
        <w:t>y</w:t>
      </w:r>
      <w:r w:rsidRPr="00CE07E1">
        <w:rPr>
          <w:rFonts w:ascii="Calibri" w:hAnsi="Calibri"/>
          <w:sz w:val="24"/>
          <w:szCs w:val="24"/>
        </w:rPr>
        <w:t xml:space="preserve"> nebo náhrada techniky, která je na konci svého životního cyklu. KVAČR obsahuje i hlavní projekty budování schopností AČR, ale be</w:t>
      </w:r>
      <w:r w:rsidR="00F17563">
        <w:rPr>
          <w:rFonts w:ascii="Calibri" w:hAnsi="Calibri"/>
          <w:sz w:val="24"/>
          <w:szCs w:val="24"/>
        </w:rPr>
        <w:t xml:space="preserve">z bližší specifikace, tj. </w:t>
      </w:r>
      <w:r w:rsidRPr="00CE07E1">
        <w:rPr>
          <w:rFonts w:ascii="Calibri" w:hAnsi="Calibri"/>
          <w:sz w:val="24"/>
          <w:szCs w:val="24"/>
        </w:rPr>
        <w:t>bez určení finanční</w:t>
      </w:r>
      <w:r w:rsidR="00755BA1">
        <w:rPr>
          <w:rFonts w:ascii="Calibri" w:hAnsi="Calibri"/>
          <w:sz w:val="24"/>
          <w:szCs w:val="24"/>
        </w:rPr>
        <w:t>ch</w:t>
      </w:r>
      <w:r w:rsidRPr="00CE07E1">
        <w:rPr>
          <w:rFonts w:ascii="Calibri" w:hAnsi="Calibri"/>
          <w:sz w:val="24"/>
          <w:szCs w:val="24"/>
        </w:rPr>
        <w:t xml:space="preserve"> a časov</w:t>
      </w:r>
      <w:r w:rsidR="00755BA1">
        <w:rPr>
          <w:rFonts w:ascii="Calibri" w:hAnsi="Calibri"/>
          <w:sz w:val="24"/>
          <w:szCs w:val="24"/>
        </w:rPr>
        <w:t>ých</w:t>
      </w:r>
      <w:r w:rsidRPr="00CE07E1">
        <w:rPr>
          <w:rFonts w:ascii="Calibri" w:hAnsi="Calibri"/>
          <w:sz w:val="24"/>
          <w:szCs w:val="24"/>
        </w:rPr>
        <w:t xml:space="preserve"> rámc</w:t>
      </w:r>
      <w:r w:rsidR="00755BA1">
        <w:rPr>
          <w:rFonts w:ascii="Calibri" w:hAnsi="Calibri"/>
          <w:sz w:val="24"/>
          <w:szCs w:val="24"/>
        </w:rPr>
        <w:t>ů</w:t>
      </w:r>
      <w:r w:rsidRPr="00CE07E1">
        <w:rPr>
          <w:rFonts w:ascii="Calibri" w:hAnsi="Calibri"/>
          <w:sz w:val="24"/>
          <w:szCs w:val="24"/>
        </w:rPr>
        <w:t>, z </w:t>
      </w:r>
      <w:r w:rsidR="00755BA1">
        <w:rPr>
          <w:rFonts w:ascii="Calibri" w:hAnsi="Calibri"/>
          <w:sz w:val="24"/>
          <w:szCs w:val="24"/>
        </w:rPr>
        <w:t>nichž</w:t>
      </w:r>
      <w:r w:rsidRPr="00CE07E1">
        <w:rPr>
          <w:rFonts w:ascii="Calibri" w:hAnsi="Calibri"/>
          <w:sz w:val="24"/>
          <w:szCs w:val="24"/>
        </w:rPr>
        <w:t xml:space="preserve"> by vyplynulo, kdy a </w:t>
      </w:r>
      <w:r w:rsidR="00755BA1">
        <w:rPr>
          <w:rFonts w:ascii="Calibri" w:hAnsi="Calibri"/>
          <w:sz w:val="24"/>
          <w:szCs w:val="24"/>
        </w:rPr>
        <w:t>s jakými náklady</w:t>
      </w:r>
      <w:r w:rsidRPr="00CE07E1">
        <w:rPr>
          <w:rFonts w:ascii="Calibri" w:hAnsi="Calibri"/>
          <w:sz w:val="24"/>
          <w:szCs w:val="24"/>
        </w:rPr>
        <w:t xml:space="preserve"> má být vojenský materiál pořízen. Tuto specifikaci mají zajistit programy rozvoje schopností jednotlivých druhů sil AČR, které byly v době ukončení kontroly dopracovávány. </w:t>
      </w:r>
      <w:r w:rsidR="00755BA1">
        <w:rPr>
          <w:rFonts w:ascii="Calibri" w:hAnsi="Calibri"/>
          <w:sz w:val="24"/>
          <w:szCs w:val="24"/>
        </w:rPr>
        <w:t>Další etapa do roku</w:t>
      </w:r>
      <w:r w:rsidRPr="00CE07E1">
        <w:rPr>
          <w:rFonts w:ascii="Calibri" w:hAnsi="Calibri"/>
          <w:sz w:val="24"/>
          <w:szCs w:val="24"/>
        </w:rPr>
        <w:t xml:space="preserve"> 2025 by měl</w:t>
      </w:r>
      <w:r w:rsidR="00755BA1">
        <w:rPr>
          <w:rFonts w:ascii="Calibri" w:hAnsi="Calibri"/>
          <w:sz w:val="24"/>
          <w:szCs w:val="24"/>
        </w:rPr>
        <w:t>a</w:t>
      </w:r>
      <w:r w:rsidRPr="00CE07E1">
        <w:rPr>
          <w:rFonts w:ascii="Calibri" w:hAnsi="Calibri"/>
          <w:sz w:val="24"/>
          <w:szCs w:val="24"/>
        </w:rPr>
        <w:t xml:space="preserve"> poskytnout prostor především pro</w:t>
      </w:r>
      <w:r w:rsidR="00755BA1">
        <w:rPr>
          <w:rFonts w:ascii="Calibri" w:hAnsi="Calibri"/>
          <w:sz w:val="24"/>
          <w:szCs w:val="24"/>
        </w:rPr>
        <w:t xml:space="preserve"> </w:t>
      </w:r>
      <w:r w:rsidRPr="00CE07E1">
        <w:rPr>
          <w:rFonts w:ascii="Calibri" w:hAnsi="Calibri"/>
          <w:sz w:val="24"/>
          <w:szCs w:val="24"/>
        </w:rPr>
        <w:t xml:space="preserve">rozvoj schopností AČR. Realizace KVAČR vyžaduje do roku 2025 peněžní prostředky ve výši přes </w:t>
      </w:r>
      <w:r w:rsidRPr="00CE07E1">
        <w:rPr>
          <w:rFonts w:ascii="Calibri" w:hAnsi="Calibri"/>
          <w:color w:val="000000"/>
          <w:sz w:val="24"/>
          <w:szCs w:val="24"/>
        </w:rPr>
        <w:t xml:space="preserve">460 </w:t>
      </w:r>
      <w:r w:rsidRPr="00CE07E1">
        <w:rPr>
          <w:rFonts w:ascii="Calibri" w:hAnsi="Calibri"/>
          <w:sz w:val="24"/>
          <w:szCs w:val="24"/>
        </w:rPr>
        <w:t xml:space="preserve">mld. Kč, z toho </w:t>
      </w:r>
      <w:r w:rsidR="00BA3DEC" w:rsidRPr="00CE07E1">
        <w:rPr>
          <w:rFonts w:ascii="Calibri" w:hAnsi="Calibri"/>
          <w:sz w:val="24"/>
          <w:szCs w:val="24"/>
        </w:rPr>
        <w:t xml:space="preserve">MO </w:t>
      </w:r>
      <w:r w:rsidRPr="00CE07E1">
        <w:rPr>
          <w:rFonts w:ascii="Calibri" w:hAnsi="Calibri"/>
          <w:sz w:val="24"/>
          <w:szCs w:val="24"/>
        </w:rPr>
        <w:t xml:space="preserve">plánuje vynaložit zhruba 150 mld. Kč na investiční výdaje, které se mají zvýšit ze současných necelých </w:t>
      </w:r>
      <w:r w:rsidR="00D231F1">
        <w:rPr>
          <w:rFonts w:ascii="Calibri" w:hAnsi="Calibri"/>
          <w:sz w:val="24"/>
          <w:szCs w:val="24"/>
        </w:rPr>
        <w:t>4</w:t>
      </w:r>
      <w:r w:rsidR="00481E91">
        <w:rPr>
          <w:rFonts w:ascii="Calibri" w:hAnsi="Calibri"/>
          <w:sz w:val="24"/>
          <w:szCs w:val="24"/>
        </w:rPr>
        <w:t> </w:t>
      </w:r>
      <w:r w:rsidR="00D231F1" w:rsidRPr="00CE07E1">
        <w:rPr>
          <w:rFonts w:ascii="Calibri" w:hAnsi="Calibri"/>
          <w:sz w:val="24"/>
          <w:szCs w:val="24"/>
        </w:rPr>
        <w:t>mld.</w:t>
      </w:r>
      <w:r w:rsidR="00481E91">
        <w:rPr>
          <w:rFonts w:ascii="Calibri" w:hAnsi="Calibri"/>
          <w:sz w:val="24"/>
          <w:szCs w:val="24"/>
        </w:rPr>
        <w:t> </w:t>
      </w:r>
      <w:r w:rsidR="00D231F1" w:rsidRPr="00CE07E1">
        <w:rPr>
          <w:rFonts w:ascii="Calibri" w:hAnsi="Calibri"/>
          <w:sz w:val="24"/>
          <w:szCs w:val="24"/>
        </w:rPr>
        <w:t xml:space="preserve">Kč </w:t>
      </w:r>
      <w:r w:rsidRPr="00CE07E1">
        <w:rPr>
          <w:rFonts w:ascii="Calibri" w:hAnsi="Calibri"/>
          <w:sz w:val="24"/>
          <w:szCs w:val="24"/>
        </w:rPr>
        <w:t>(2016) až na více než 20 mld. Kč</w:t>
      </w:r>
      <w:r w:rsidR="004F50DA">
        <w:rPr>
          <w:rFonts w:ascii="Calibri" w:hAnsi="Calibri"/>
          <w:sz w:val="24"/>
          <w:szCs w:val="24"/>
        </w:rPr>
        <w:t xml:space="preserve"> </w:t>
      </w:r>
      <w:r w:rsidR="004F50DA" w:rsidRPr="00D96FA2">
        <w:rPr>
          <w:rFonts w:ascii="Calibri" w:hAnsi="Calibri"/>
          <w:sz w:val="24"/>
          <w:szCs w:val="24"/>
        </w:rPr>
        <w:t>v roce 2025</w:t>
      </w:r>
      <w:r w:rsidR="004F50DA">
        <w:rPr>
          <w:rFonts w:ascii="Calibri" w:hAnsi="Calibri"/>
          <w:sz w:val="24"/>
          <w:szCs w:val="24"/>
        </w:rPr>
        <w:t>.</w:t>
      </w:r>
    </w:p>
    <w:p w14:paraId="1354456C" w14:textId="0DC5234F" w:rsidR="00AE0D59" w:rsidRPr="00CE07E1" w:rsidRDefault="00CE07E1" w:rsidP="004247D4">
      <w:pPr>
        <w:pStyle w:val="Bezmezer"/>
        <w:numPr>
          <w:ilvl w:val="0"/>
          <w:numId w:val="22"/>
        </w:numPr>
        <w:spacing w:before="120" w:after="120"/>
        <w:ind w:left="357" w:hanging="357"/>
        <w:jc w:val="both"/>
        <w:rPr>
          <w:rFonts w:ascii="Calibri" w:hAnsi="Calibri" w:cstheme="minorHAnsi"/>
          <w:b/>
          <w:color w:val="000000" w:themeColor="text1"/>
          <w:sz w:val="24"/>
          <w:szCs w:val="24"/>
        </w:rPr>
      </w:pPr>
      <w:r w:rsidRPr="00CE07E1">
        <w:rPr>
          <w:rFonts w:ascii="Calibri" w:hAnsi="Calibri" w:cstheme="minorHAnsi"/>
          <w:b/>
          <w:color w:val="000000" w:themeColor="text1"/>
          <w:sz w:val="24"/>
          <w:szCs w:val="24"/>
        </w:rPr>
        <w:lastRenderedPageBreak/>
        <w:t>Strategie vyzbrojování</w:t>
      </w:r>
    </w:p>
    <w:p w14:paraId="5D64C860" w14:textId="3FC18196" w:rsidR="00AE0D59" w:rsidRPr="00CE07E1" w:rsidRDefault="00AE0D59" w:rsidP="004247D4">
      <w:pPr>
        <w:spacing w:before="120" w:after="120"/>
        <w:jc w:val="both"/>
        <w:rPr>
          <w:rFonts w:ascii="Calibri" w:hAnsi="Calibri"/>
        </w:rPr>
      </w:pPr>
      <w:r w:rsidRPr="00CE07E1">
        <w:rPr>
          <w:rFonts w:ascii="Calibri" w:hAnsi="Calibri"/>
        </w:rPr>
        <w:t xml:space="preserve">Výše uvedené strategické </w:t>
      </w:r>
      <w:r w:rsidR="00755BA1">
        <w:rPr>
          <w:rFonts w:ascii="Calibri" w:hAnsi="Calibri"/>
        </w:rPr>
        <w:t>a </w:t>
      </w:r>
      <w:r w:rsidRPr="00CE07E1">
        <w:rPr>
          <w:rFonts w:ascii="Calibri" w:hAnsi="Calibri"/>
        </w:rPr>
        <w:t>koncepční dokumenty</w:t>
      </w:r>
      <w:r w:rsidR="002C7AD7">
        <w:rPr>
          <w:rFonts w:ascii="Calibri" w:hAnsi="Calibri"/>
        </w:rPr>
        <w:t xml:space="preserve"> </w:t>
      </w:r>
      <w:r w:rsidRPr="00CE07E1">
        <w:rPr>
          <w:rFonts w:ascii="Calibri" w:hAnsi="Calibri"/>
        </w:rPr>
        <w:t>řeší vzhledem k obecnému zaměření, resp. důvodům a cílům</w:t>
      </w:r>
      <w:r w:rsidR="00BA3DEC">
        <w:rPr>
          <w:rFonts w:ascii="Calibri" w:hAnsi="Calibri"/>
        </w:rPr>
        <w:t xml:space="preserve"> </w:t>
      </w:r>
      <w:r w:rsidRPr="00CE07E1">
        <w:rPr>
          <w:rFonts w:ascii="Calibri" w:hAnsi="Calibri"/>
        </w:rPr>
        <w:t>jejich zpracování, oblast vyzbrojování pouze zčásti. Dokumentem zabývajícím se touto oblastí koncepčně a systémově by měla být strategie vyzbrojování. Obdobně zaměřený dokument existuje např. ve Velké Británii (</w:t>
      </w:r>
      <w:proofErr w:type="spellStart"/>
      <w:r w:rsidRPr="00CE07E1">
        <w:rPr>
          <w:rFonts w:ascii="Calibri" w:hAnsi="Calibri"/>
          <w:i/>
        </w:rPr>
        <w:t>Defence</w:t>
      </w:r>
      <w:proofErr w:type="spellEnd"/>
      <w:r w:rsidRPr="00CE07E1">
        <w:rPr>
          <w:rFonts w:ascii="Calibri" w:hAnsi="Calibri"/>
          <w:i/>
        </w:rPr>
        <w:t xml:space="preserve"> </w:t>
      </w:r>
      <w:proofErr w:type="spellStart"/>
      <w:r w:rsidRPr="00CE07E1">
        <w:rPr>
          <w:rFonts w:ascii="Calibri" w:hAnsi="Calibri"/>
          <w:i/>
        </w:rPr>
        <w:t>Equipment</w:t>
      </w:r>
      <w:proofErr w:type="spellEnd"/>
      <w:r w:rsidRPr="00CE07E1">
        <w:rPr>
          <w:rFonts w:ascii="Calibri" w:hAnsi="Calibri"/>
          <w:i/>
        </w:rPr>
        <w:t xml:space="preserve"> </w:t>
      </w:r>
      <w:proofErr w:type="spellStart"/>
      <w:r w:rsidRPr="00CE07E1">
        <w:rPr>
          <w:rFonts w:ascii="Calibri" w:hAnsi="Calibri"/>
          <w:i/>
        </w:rPr>
        <w:t>Plan</w:t>
      </w:r>
      <w:proofErr w:type="spellEnd"/>
      <w:r w:rsidRPr="00CE07E1">
        <w:rPr>
          <w:rStyle w:val="Znakapoznpodarou"/>
          <w:rFonts w:ascii="Calibri" w:hAnsi="Calibri"/>
        </w:rPr>
        <w:footnoteReference w:id="14"/>
      </w:r>
      <w:r w:rsidRPr="00CE07E1">
        <w:rPr>
          <w:rFonts w:ascii="Calibri" w:hAnsi="Calibri"/>
        </w:rPr>
        <w:t>). V ČR byla strategie vyzbrojování schválena v roce 2004</w:t>
      </w:r>
      <w:r w:rsidRPr="00CE07E1">
        <w:rPr>
          <w:rStyle w:val="Znakapoznpodarou"/>
          <w:rFonts w:ascii="Calibri" w:hAnsi="Calibri"/>
        </w:rPr>
        <w:footnoteReference w:id="15"/>
      </w:r>
      <w:r w:rsidRPr="00CE07E1">
        <w:rPr>
          <w:rFonts w:ascii="Calibri" w:hAnsi="Calibri"/>
        </w:rPr>
        <w:t>, aktualizována měla být ke konci roku 2008, zadaný úkol ale vláda na návrh MO z důvodu personálních změn v resortu zrušila. Poté měla být vytvořena v roce 2013, k tomu však n</w:t>
      </w:r>
      <w:r w:rsidR="00A62DD8">
        <w:rPr>
          <w:rFonts w:ascii="Calibri" w:hAnsi="Calibri"/>
        </w:rPr>
        <w:t>edošlo z důvodu rozhodnutí MO o </w:t>
      </w:r>
      <w:r w:rsidRPr="00CE07E1">
        <w:rPr>
          <w:rFonts w:ascii="Calibri" w:hAnsi="Calibri"/>
        </w:rPr>
        <w:t xml:space="preserve">zpracování </w:t>
      </w:r>
      <w:r w:rsidR="00755BA1">
        <w:rPr>
          <w:rFonts w:ascii="Calibri" w:hAnsi="Calibri"/>
        </w:rPr>
        <w:t xml:space="preserve">KVAČR a </w:t>
      </w:r>
      <w:r w:rsidRPr="00CE07E1">
        <w:rPr>
          <w:rFonts w:ascii="Calibri" w:hAnsi="Calibri"/>
        </w:rPr>
        <w:t>dokument</w:t>
      </w:r>
      <w:r w:rsidR="00755BA1">
        <w:rPr>
          <w:rFonts w:ascii="Calibri" w:hAnsi="Calibri"/>
        </w:rPr>
        <w:t>u</w:t>
      </w:r>
      <w:r w:rsidRPr="00CE07E1">
        <w:rPr>
          <w:rFonts w:ascii="Calibri" w:hAnsi="Calibri"/>
        </w:rPr>
        <w:t xml:space="preserve"> </w:t>
      </w:r>
      <w:r w:rsidRPr="00CE07E1">
        <w:rPr>
          <w:rFonts w:ascii="Calibri" w:hAnsi="Calibri"/>
          <w:i/>
          <w:color w:val="000000"/>
        </w:rPr>
        <w:t>Dlouhodobý výhled pro obranu 2030</w:t>
      </w:r>
      <w:r w:rsidRPr="004F50DA">
        <w:rPr>
          <w:rFonts w:ascii="Calibri" w:hAnsi="Calibri"/>
          <w:color w:val="000000"/>
        </w:rPr>
        <w:t>,</w:t>
      </w:r>
      <w:r w:rsidRPr="00CE07E1">
        <w:rPr>
          <w:rFonts w:ascii="Calibri" w:hAnsi="Calibri"/>
          <w:i/>
          <w:color w:val="000000"/>
        </w:rPr>
        <w:t xml:space="preserve"> </w:t>
      </w:r>
      <w:r w:rsidRPr="00CE07E1">
        <w:rPr>
          <w:rFonts w:ascii="Calibri" w:hAnsi="Calibri"/>
        </w:rPr>
        <w:t xml:space="preserve">ze kterých by měla strategie vycházet. Po jejich schválení byl termín </w:t>
      </w:r>
      <w:r w:rsidR="00AE4352">
        <w:rPr>
          <w:rFonts w:ascii="Calibri" w:hAnsi="Calibri"/>
        </w:rPr>
        <w:t xml:space="preserve">zpracování </w:t>
      </w:r>
      <w:r w:rsidR="009F0571">
        <w:rPr>
          <w:rFonts w:ascii="Calibri" w:hAnsi="Calibri"/>
        </w:rPr>
        <w:t xml:space="preserve">strategie vyzbrojování </w:t>
      </w:r>
      <w:r w:rsidRPr="00CE07E1">
        <w:rPr>
          <w:rFonts w:ascii="Calibri" w:hAnsi="Calibri"/>
        </w:rPr>
        <w:t xml:space="preserve">stanoven </w:t>
      </w:r>
      <w:r w:rsidR="009F0571">
        <w:rPr>
          <w:rFonts w:ascii="Calibri" w:hAnsi="Calibri"/>
        </w:rPr>
        <w:t xml:space="preserve">na </w:t>
      </w:r>
      <w:r w:rsidRPr="00CE07E1">
        <w:rPr>
          <w:rFonts w:ascii="Calibri" w:hAnsi="Calibri"/>
        </w:rPr>
        <w:t xml:space="preserve">konec května roku 2016 </w:t>
      </w:r>
      <w:r w:rsidR="00755BA1">
        <w:rPr>
          <w:rFonts w:ascii="Calibri" w:hAnsi="Calibri"/>
        </w:rPr>
        <w:t>a </w:t>
      </w:r>
      <w:r w:rsidRPr="00CE07E1">
        <w:rPr>
          <w:rFonts w:ascii="Calibri" w:hAnsi="Calibri"/>
        </w:rPr>
        <w:t>poté posunut na 31. prosin</w:t>
      </w:r>
      <w:r w:rsidR="0034227F">
        <w:rPr>
          <w:rFonts w:ascii="Calibri" w:hAnsi="Calibri"/>
        </w:rPr>
        <w:t>ec</w:t>
      </w:r>
      <w:r w:rsidRPr="00CE07E1">
        <w:rPr>
          <w:rFonts w:ascii="Calibri" w:hAnsi="Calibri"/>
        </w:rPr>
        <w:t xml:space="preserve"> 2016</w:t>
      </w:r>
      <w:r w:rsidRPr="00CE07E1">
        <w:rPr>
          <w:rStyle w:val="Znakapoznpodarou"/>
          <w:rFonts w:ascii="Calibri" w:hAnsi="Calibri"/>
        </w:rPr>
        <w:footnoteReference w:id="16"/>
      </w:r>
      <w:r w:rsidRPr="00CE07E1">
        <w:rPr>
          <w:rFonts w:ascii="Calibri" w:hAnsi="Calibri"/>
        </w:rPr>
        <w:t>.</w:t>
      </w:r>
    </w:p>
    <w:p w14:paraId="7E67F319" w14:textId="7D9536F3" w:rsidR="00AE0D59" w:rsidRPr="00CE07E1" w:rsidRDefault="00AE0D59" w:rsidP="004247D4">
      <w:pPr>
        <w:spacing w:before="120" w:after="120"/>
        <w:jc w:val="both"/>
        <w:rPr>
          <w:rFonts w:ascii="Calibri" w:hAnsi="Calibri"/>
        </w:rPr>
      </w:pPr>
      <w:r w:rsidRPr="00CE07E1">
        <w:rPr>
          <w:rFonts w:ascii="Calibri" w:hAnsi="Calibri"/>
        </w:rPr>
        <w:t xml:space="preserve">MO předložilo na žádost NKÚ rozpracovaný, dosud neschválený návrh </w:t>
      </w:r>
      <w:r w:rsidRPr="00CE07E1">
        <w:rPr>
          <w:rFonts w:ascii="Calibri" w:hAnsi="Calibri"/>
          <w:i/>
        </w:rPr>
        <w:t>Strategie vyzbrojování ozbrojených sil České republiky do roku 2025.</w:t>
      </w:r>
      <w:r w:rsidRPr="00CE07E1">
        <w:rPr>
          <w:rFonts w:ascii="Calibri" w:hAnsi="Calibri"/>
        </w:rPr>
        <w:t xml:space="preserve"> Ta definuje viz</w:t>
      </w:r>
      <w:r w:rsidR="00A62DD8">
        <w:rPr>
          <w:rFonts w:ascii="Calibri" w:hAnsi="Calibri"/>
        </w:rPr>
        <w:t>i, strategické cíle, přístupy a </w:t>
      </w:r>
      <w:r w:rsidRPr="00CE07E1">
        <w:rPr>
          <w:rFonts w:ascii="Calibri" w:hAnsi="Calibri"/>
        </w:rPr>
        <w:t>opatření k jejich realizaci a má nastavit kvalitativně nový přístup k pořizování vojenského materiálu. Nedostatky v oblasti vyzbrojování zjištěné provedenou analýzou</w:t>
      </w:r>
      <w:r w:rsidR="00257332">
        <w:rPr>
          <w:rFonts w:ascii="Calibri" w:hAnsi="Calibri"/>
        </w:rPr>
        <w:t xml:space="preserve"> </w:t>
      </w:r>
      <w:r w:rsidRPr="00CE07E1">
        <w:rPr>
          <w:rFonts w:ascii="Calibri" w:hAnsi="Calibri"/>
        </w:rPr>
        <w:t xml:space="preserve">promítá </w:t>
      </w:r>
      <w:r w:rsidR="00257332" w:rsidRPr="00CE07E1">
        <w:rPr>
          <w:rFonts w:ascii="Calibri" w:hAnsi="Calibri"/>
        </w:rPr>
        <w:t xml:space="preserve">MO </w:t>
      </w:r>
      <w:r w:rsidRPr="00CE07E1">
        <w:rPr>
          <w:rFonts w:ascii="Calibri" w:hAnsi="Calibri"/>
        </w:rPr>
        <w:t xml:space="preserve">do návrhu struktury cílů, k jejichž realizaci navrhuje příslušná opatření. Návrh obsahuje také výčet strategických projektů vyzbrojování plánovaných k realizaci v letech 2016 </w:t>
      </w:r>
      <w:r w:rsidR="0034227F">
        <w:rPr>
          <w:rFonts w:ascii="Calibri" w:hAnsi="Calibri"/>
        </w:rPr>
        <w:t>až</w:t>
      </w:r>
      <w:r w:rsidRPr="00CE07E1">
        <w:rPr>
          <w:rFonts w:ascii="Calibri" w:hAnsi="Calibri"/>
        </w:rPr>
        <w:t xml:space="preserve"> 2025</w:t>
      </w:r>
      <w:r w:rsidR="0034227F">
        <w:rPr>
          <w:rFonts w:ascii="Calibri" w:hAnsi="Calibri"/>
        </w:rPr>
        <w:t>, a to</w:t>
      </w:r>
      <w:r w:rsidRPr="00CE07E1">
        <w:rPr>
          <w:rFonts w:ascii="Calibri" w:hAnsi="Calibri"/>
        </w:rPr>
        <w:t xml:space="preserve"> včetně uvedení jejich časových, finančních a věcných parametrů.</w:t>
      </w:r>
    </w:p>
    <w:p w14:paraId="2A5F0F82" w14:textId="58893C19" w:rsidR="00CE07E1" w:rsidRPr="00CE07E1" w:rsidRDefault="00CE07E1" w:rsidP="004247D4">
      <w:pPr>
        <w:pStyle w:val="Bezmezer"/>
        <w:numPr>
          <w:ilvl w:val="0"/>
          <w:numId w:val="22"/>
        </w:numPr>
        <w:spacing w:before="120" w:after="120"/>
        <w:ind w:left="357" w:hanging="357"/>
        <w:jc w:val="both"/>
        <w:rPr>
          <w:rFonts w:ascii="Calibri" w:hAnsi="Calibri" w:cstheme="minorHAnsi"/>
          <w:b/>
          <w:color w:val="000000" w:themeColor="text1"/>
          <w:sz w:val="24"/>
          <w:szCs w:val="24"/>
        </w:rPr>
      </w:pPr>
      <w:r w:rsidRPr="00CE07E1">
        <w:rPr>
          <w:rFonts w:ascii="Calibri" w:hAnsi="Calibri" w:cstheme="minorHAnsi"/>
          <w:b/>
          <w:color w:val="000000" w:themeColor="text1"/>
          <w:sz w:val="24"/>
          <w:szCs w:val="24"/>
        </w:rPr>
        <w:t xml:space="preserve">Plnění opatření uložených </w:t>
      </w:r>
      <w:r w:rsidRPr="004F50DA">
        <w:rPr>
          <w:rFonts w:ascii="Calibri" w:hAnsi="Calibri" w:cstheme="minorHAnsi"/>
          <w:b/>
          <w:i/>
          <w:color w:val="000000" w:themeColor="text1"/>
          <w:sz w:val="24"/>
          <w:szCs w:val="24"/>
        </w:rPr>
        <w:t>Bílou knihou o obraně</w:t>
      </w:r>
    </w:p>
    <w:p w14:paraId="3FED1D30" w14:textId="6E5D62E7" w:rsidR="00421B4F" w:rsidRPr="006C1685" w:rsidRDefault="00AE0D59" w:rsidP="004247D4">
      <w:pPr>
        <w:spacing w:before="120" w:after="120"/>
        <w:jc w:val="both"/>
        <w:rPr>
          <w:rFonts w:ascii="Calibri" w:hAnsi="Calibri"/>
          <w:i/>
        </w:rPr>
      </w:pPr>
      <w:bookmarkStart w:id="7" w:name="_Toc450652542"/>
      <w:bookmarkStart w:id="8" w:name="_Toc453071330"/>
      <w:bookmarkStart w:id="9" w:name="_Toc454949598"/>
      <w:bookmarkStart w:id="10" w:name="_Toc454950068"/>
      <w:bookmarkStart w:id="11" w:name="_Toc459204693"/>
      <w:bookmarkStart w:id="12" w:name="_Toc460247745"/>
      <w:r w:rsidRPr="004F50DA">
        <w:rPr>
          <w:rFonts w:ascii="Calibri" w:hAnsi="Calibri" w:cs="ArialMT"/>
          <w:i/>
        </w:rPr>
        <w:t>Bílá kniha o obraně</w:t>
      </w:r>
      <w:r w:rsidRPr="00CE07E1">
        <w:rPr>
          <w:rStyle w:val="Znakapoznpodarou"/>
          <w:rFonts w:ascii="Calibri" w:hAnsi="Calibri"/>
        </w:rPr>
        <w:footnoteReference w:id="17"/>
      </w:r>
      <w:r w:rsidRPr="00CE07E1">
        <w:rPr>
          <w:rFonts w:ascii="Calibri" w:hAnsi="Calibri" w:cs="ArialMT"/>
        </w:rPr>
        <w:t xml:space="preserve"> (dále také „BKO“) vyhodnotila</w:t>
      </w:r>
      <w:r w:rsidR="009F0571">
        <w:rPr>
          <w:rFonts w:ascii="Calibri" w:hAnsi="Calibri" w:cs="ArialMT"/>
        </w:rPr>
        <w:t xml:space="preserve"> v roce 2011</w:t>
      </w:r>
      <w:r w:rsidR="00FD7932">
        <w:rPr>
          <w:rFonts w:ascii="Calibri" w:hAnsi="Calibri" w:cs="ArialMT"/>
        </w:rPr>
        <w:t xml:space="preserve"> stav MO a ozbrojených sil a </w:t>
      </w:r>
      <w:r w:rsidRPr="00CE07E1">
        <w:rPr>
          <w:rFonts w:ascii="Calibri" w:hAnsi="Calibri" w:cs="ArialMT"/>
        </w:rPr>
        <w:t xml:space="preserve">navrhla opatření ke zlepšení fungování celého resortu obrany, když popsala konkrétní postupné kroky pro restrukturalizaci systému velení a </w:t>
      </w:r>
      <w:r w:rsidR="004247D4">
        <w:rPr>
          <w:rFonts w:ascii="Calibri" w:hAnsi="Calibri" w:cs="ArialMT"/>
        </w:rPr>
        <w:t>řízení AČR a reformy MO. MO mj. </w:t>
      </w:r>
      <w:r w:rsidRPr="00CE07E1">
        <w:rPr>
          <w:rFonts w:ascii="Calibri" w:hAnsi="Calibri" w:cs="ArialMT"/>
        </w:rPr>
        <w:t xml:space="preserve">deklarovalo, že </w:t>
      </w:r>
      <w:r w:rsidRPr="00CE07E1">
        <w:rPr>
          <w:rFonts w:ascii="Calibri" w:hAnsi="Calibri" w:cs="ArialMT"/>
          <w:color w:val="000000"/>
        </w:rPr>
        <w:t xml:space="preserve">již není přípustné akceptovat absenci účinných nástrojů k řízení MO či tolerovat špatné hospodaření. </w:t>
      </w:r>
      <w:r w:rsidRPr="00CE07E1">
        <w:rPr>
          <w:rFonts w:ascii="Calibri" w:hAnsi="Calibri" w:cs="ArialMT"/>
        </w:rPr>
        <w:t>Realizace 30 cílů</w:t>
      </w:r>
      <w:r w:rsidR="00E04049">
        <w:rPr>
          <w:rFonts w:ascii="Calibri" w:hAnsi="Calibri" w:cs="ArialMT"/>
        </w:rPr>
        <w:t>,</w:t>
      </w:r>
      <w:r w:rsidRPr="00CE07E1">
        <w:rPr>
          <w:rFonts w:ascii="Calibri" w:hAnsi="Calibri" w:cs="ArialMT"/>
        </w:rPr>
        <w:t xml:space="preserve"> resp. opat</w:t>
      </w:r>
      <w:r w:rsidR="00FD7932">
        <w:rPr>
          <w:rFonts w:ascii="Calibri" w:hAnsi="Calibri" w:cs="ArialMT"/>
        </w:rPr>
        <w:t>ření, vycházejících ze závěrů a </w:t>
      </w:r>
      <w:r w:rsidRPr="00CE07E1">
        <w:rPr>
          <w:rFonts w:ascii="Calibri" w:hAnsi="Calibri" w:cs="ArialMT"/>
        </w:rPr>
        <w:t>doporučení</w:t>
      </w:r>
      <w:r w:rsidRPr="00CE07E1">
        <w:rPr>
          <w:rFonts w:ascii="Calibri" w:hAnsi="Calibri" w:cs="ArialMT"/>
          <w:i/>
        </w:rPr>
        <w:t xml:space="preserve"> </w:t>
      </w:r>
      <w:r w:rsidRPr="00CE07E1">
        <w:rPr>
          <w:rFonts w:ascii="Calibri" w:hAnsi="Calibri" w:cs="ArialMT"/>
        </w:rPr>
        <w:t>BKO měla být dokončena nejpozději v roce 2014. Kontrolou bylo zjištěno, že se jednalo i o oblasti (plánování, ekonomické řízení nebo akviziční proces)</w:t>
      </w:r>
      <w:r w:rsidR="00E106CC">
        <w:rPr>
          <w:rFonts w:ascii="Calibri" w:hAnsi="Calibri" w:cs="ArialMT"/>
        </w:rPr>
        <w:t>,</w:t>
      </w:r>
      <w:r w:rsidRPr="00CE07E1">
        <w:rPr>
          <w:rFonts w:ascii="Calibri" w:hAnsi="Calibri" w:cs="ArialMT"/>
        </w:rPr>
        <w:t xml:space="preserve"> jejichž vyřešení bylo uloženo v již dříve</w:t>
      </w:r>
      <w:r w:rsidR="00F17563">
        <w:rPr>
          <w:rFonts w:ascii="Calibri" w:hAnsi="Calibri" w:cs="ArialMT"/>
        </w:rPr>
        <w:t xml:space="preserve"> schválených dokumentech,</w:t>
      </w:r>
      <w:r w:rsidR="00755BA1">
        <w:rPr>
          <w:rFonts w:ascii="Calibri" w:hAnsi="Calibri" w:cs="ArialMT"/>
        </w:rPr>
        <w:t xml:space="preserve"> a to</w:t>
      </w:r>
      <w:r w:rsidR="00F17563">
        <w:rPr>
          <w:rFonts w:ascii="Calibri" w:hAnsi="Calibri" w:cs="ArialMT"/>
        </w:rPr>
        <w:t xml:space="preserve"> </w:t>
      </w:r>
      <w:r w:rsidRPr="00CE07E1">
        <w:rPr>
          <w:rFonts w:ascii="Calibri" w:hAnsi="Calibri" w:cs="ArialMT"/>
          <w:i/>
        </w:rPr>
        <w:t>Transformac</w:t>
      </w:r>
      <w:r w:rsidR="00755BA1">
        <w:rPr>
          <w:rFonts w:ascii="Calibri" w:hAnsi="Calibri" w:cs="ArialMT"/>
          <w:i/>
        </w:rPr>
        <w:t>e</w:t>
      </w:r>
      <w:r w:rsidRPr="00CE07E1">
        <w:rPr>
          <w:rFonts w:ascii="Calibri" w:hAnsi="Calibri" w:cs="ArialMT"/>
          <w:i/>
        </w:rPr>
        <w:t xml:space="preserve"> resortu MO</w:t>
      </w:r>
      <w:r w:rsidRPr="00CE07E1">
        <w:rPr>
          <w:rStyle w:val="Znakapoznpodarou"/>
          <w:rFonts w:ascii="Calibri" w:hAnsi="Calibri" w:cs="ArialMT"/>
        </w:rPr>
        <w:footnoteReference w:id="18"/>
      </w:r>
      <w:r w:rsidRPr="00CE07E1">
        <w:rPr>
          <w:rFonts w:ascii="Calibri" w:hAnsi="Calibri" w:cs="ArialMT"/>
        </w:rPr>
        <w:t xml:space="preserve"> (2007) </w:t>
      </w:r>
      <w:r w:rsidR="00755BA1">
        <w:rPr>
          <w:rFonts w:ascii="Calibri" w:hAnsi="Calibri" w:cs="ArialMT"/>
        </w:rPr>
        <w:t>a </w:t>
      </w:r>
      <w:r w:rsidRPr="00CE07E1">
        <w:rPr>
          <w:rFonts w:ascii="Calibri" w:hAnsi="Calibri" w:cs="ArialMT"/>
          <w:i/>
        </w:rPr>
        <w:t>Koncepc</w:t>
      </w:r>
      <w:r w:rsidR="00755BA1">
        <w:rPr>
          <w:rFonts w:ascii="Calibri" w:hAnsi="Calibri" w:cs="ArialMT"/>
          <w:i/>
        </w:rPr>
        <w:t>e</w:t>
      </w:r>
      <w:r w:rsidRPr="00CE07E1">
        <w:rPr>
          <w:rFonts w:ascii="Calibri" w:hAnsi="Calibri" w:cs="ArialMT"/>
          <w:i/>
        </w:rPr>
        <w:t xml:space="preserve"> výstavby profesionální AČR a mobilizace ozbrojených sil ČR</w:t>
      </w:r>
      <w:r w:rsidRPr="00CE07E1">
        <w:rPr>
          <w:rStyle w:val="Znakapoznpodarou"/>
          <w:rFonts w:ascii="Calibri" w:hAnsi="Calibri" w:cs="ArialMT"/>
        </w:rPr>
        <w:footnoteReference w:id="19"/>
      </w:r>
      <w:r w:rsidRPr="00CE07E1">
        <w:rPr>
          <w:rFonts w:ascii="Calibri" w:hAnsi="Calibri" w:cs="ArialMT"/>
        </w:rPr>
        <w:t xml:space="preserve"> (2002).</w:t>
      </w:r>
      <w:bookmarkEnd w:id="7"/>
      <w:bookmarkEnd w:id="8"/>
      <w:bookmarkEnd w:id="9"/>
      <w:bookmarkEnd w:id="10"/>
      <w:bookmarkEnd w:id="11"/>
      <w:bookmarkEnd w:id="12"/>
      <w:r w:rsidRPr="00CE07E1">
        <w:rPr>
          <w:rFonts w:ascii="Calibri" w:hAnsi="Calibri" w:cs="ArialMT"/>
        </w:rPr>
        <w:t xml:space="preserve"> </w:t>
      </w:r>
      <w:r w:rsidRPr="00CE07E1">
        <w:rPr>
          <w:rFonts w:ascii="Calibri" w:hAnsi="Calibri" w:cstheme="minorHAnsi"/>
        </w:rPr>
        <w:t>NKÚ vyhodnotil plnění pouze části opatření BKO, kter</w:t>
      </w:r>
      <w:r w:rsidR="00755BA1">
        <w:rPr>
          <w:rFonts w:ascii="Calibri" w:hAnsi="Calibri" w:cstheme="minorHAnsi"/>
        </w:rPr>
        <w:t>á</w:t>
      </w:r>
      <w:r w:rsidRPr="00CE07E1">
        <w:rPr>
          <w:rFonts w:ascii="Calibri" w:hAnsi="Calibri" w:cstheme="minorHAnsi"/>
        </w:rPr>
        <w:t xml:space="preserve"> mají vztah k předmětu </w:t>
      </w:r>
      <w:r w:rsidR="00AE4352">
        <w:rPr>
          <w:rFonts w:ascii="Calibri" w:hAnsi="Calibri" w:cstheme="minorHAnsi"/>
        </w:rPr>
        <w:t>kontroly</w:t>
      </w:r>
      <w:r w:rsidRPr="00CE07E1">
        <w:rPr>
          <w:rFonts w:ascii="Calibri" w:hAnsi="Calibri" w:cstheme="minorHAnsi"/>
        </w:rPr>
        <w:t>.</w:t>
      </w:r>
      <w:r w:rsidRPr="00CE07E1">
        <w:rPr>
          <w:rFonts w:ascii="Calibri" w:hAnsi="Calibri" w:cs="ArialMT"/>
        </w:rPr>
        <w:t xml:space="preserve"> </w:t>
      </w:r>
      <w:r w:rsidRPr="00CE07E1">
        <w:rPr>
          <w:rFonts w:ascii="Calibri" w:hAnsi="Calibri" w:cstheme="minorHAnsi"/>
        </w:rPr>
        <w:t>Ve stanovených termínech nebyla spl</w:t>
      </w:r>
      <w:r w:rsidR="00F17563">
        <w:rPr>
          <w:rFonts w:ascii="Calibri" w:hAnsi="Calibri" w:cstheme="minorHAnsi"/>
        </w:rPr>
        <w:t xml:space="preserve">něna opatření týkající se </w:t>
      </w:r>
      <w:r w:rsidRPr="00CE07E1">
        <w:rPr>
          <w:rFonts w:ascii="Calibri" w:hAnsi="Calibri" w:cstheme="minorHAnsi"/>
        </w:rPr>
        <w:t>r</w:t>
      </w:r>
      <w:r w:rsidR="00FD7932">
        <w:rPr>
          <w:rFonts w:ascii="Calibri" w:hAnsi="Calibri" w:cstheme="minorHAnsi"/>
        </w:rPr>
        <w:t>estrukturalizace programového a </w:t>
      </w:r>
      <w:r w:rsidRPr="00CE07E1">
        <w:rPr>
          <w:rFonts w:ascii="Calibri" w:hAnsi="Calibri" w:cstheme="minorHAnsi"/>
        </w:rPr>
        <w:t>projektového řízení a jeho provázání s jednotnou soustavou cílů, užšího propojení systému finančního řízení a systému strategického plánování nebo opatření týkající se větší transparentnosti a zvýšení adresnosti fungování akvizičního procesu</w:t>
      </w:r>
      <w:r w:rsidR="00FA06A6">
        <w:rPr>
          <w:rStyle w:val="Znakapoznpodarou"/>
          <w:rFonts w:ascii="Calibri" w:hAnsi="Calibri" w:cstheme="minorHAnsi"/>
        </w:rPr>
        <w:footnoteReference w:id="20"/>
      </w:r>
      <w:r w:rsidRPr="00CE07E1">
        <w:rPr>
          <w:rFonts w:ascii="Calibri" w:hAnsi="Calibri" w:cstheme="minorHAnsi"/>
        </w:rPr>
        <w:t xml:space="preserve">. Některá významná opatření, která nebyla v době ukončení kontroly splněna, jsou uvedena v tabulce č. 2. </w:t>
      </w:r>
      <w:r w:rsidR="008826F5">
        <w:rPr>
          <w:rFonts w:ascii="Calibri" w:hAnsi="Calibri" w:cstheme="minorHAnsi"/>
        </w:rPr>
        <w:t>Zejména</w:t>
      </w:r>
      <w:r w:rsidRPr="00CE07E1">
        <w:rPr>
          <w:rFonts w:ascii="Calibri" w:hAnsi="Calibri" w:cstheme="minorHAnsi"/>
        </w:rPr>
        <w:t xml:space="preserve"> výsledky hodnocení úrovně schopností, resp. definování strategie jejich dalšího vývoje (rozvoj, stagnace či utlumení)</w:t>
      </w:r>
      <w:r w:rsidR="008826F5">
        <w:rPr>
          <w:rFonts w:ascii="Calibri" w:hAnsi="Calibri" w:cstheme="minorHAnsi"/>
        </w:rPr>
        <w:t>,</w:t>
      </w:r>
      <w:r w:rsidRPr="00CE07E1">
        <w:rPr>
          <w:rFonts w:ascii="Calibri" w:hAnsi="Calibri" w:cstheme="minorHAnsi"/>
        </w:rPr>
        <w:t xml:space="preserve"> jsou dle NKÚ klíčovým faktorem pro účelné a efektivní </w:t>
      </w:r>
      <w:r w:rsidRPr="00CE07E1">
        <w:rPr>
          <w:rFonts w:ascii="Calibri" w:hAnsi="Calibri" w:cstheme="minorHAnsi"/>
        </w:rPr>
        <w:lastRenderedPageBreak/>
        <w:t xml:space="preserve">vynakládání peněžních prostředků. </w:t>
      </w:r>
      <w:r w:rsidR="00D75601">
        <w:rPr>
          <w:rFonts w:ascii="Calibri" w:hAnsi="Calibri" w:cstheme="minorHAnsi"/>
        </w:rPr>
        <w:t>Z</w:t>
      </w:r>
      <w:r w:rsidRPr="00CE07E1">
        <w:rPr>
          <w:rFonts w:ascii="Calibri" w:hAnsi="Calibri" w:cstheme="minorHAnsi"/>
        </w:rPr>
        <w:t>jištěné situaci odpovídají ú</w:t>
      </w:r>
      <w:r w:rsidR="00F17563">
        <w:rPr>
          <w:rFonts w:ascii="Calibri" w:hAnsi="Calibri" w:cstheme="minorHAnsi"/>
        </w:rPr>
        <w:t xml:space="preserve">koly a opatření stanovené </w:t>
      </w:r>
      <w:r w:rsidRPr="00CE07E1">
        <w:rPr>
          <w:rFonts w:ascii="Calibri" w:hAnsi="Calibri" w:cstheme="minorHAnsi"/>
        </w:rPr>
        <w:t xml:space="preserve">v KVAČR i </w:t>
      </w:r>
      <w:r w:rsidR="00E04049">
        <w:rPr>
          <w:rFonts w:ascii="Calibri" w:hAnsi="Calibri" w:cstheme="minorHAnsi"/>
        </w:rPr>
        <w:t xml:space="preserve">v </w:t>
      </w:r>
      <w:r w:rsidRPr="00CE07E1">
        <w:rPr>
          <w:rFonts w:ascii="Calibri" w:hAnsi="Calibri" w:cstheme="minorHAnsi"/>
        </w:rPr>
        <w:t xml:space="preserve">návrhu </w:t>
      </w:r>
      <w:r w:rsidRPr="00CE07E1">
        <w:rPr>
          <w:rFonts w:ascii="Calibri" w:hAnsi="Calibri"/>
          <w:i/>
        </w:rPr>
        <w:t>Strategie vyzbrojování ozbrojených sil České republiky do roku 2025.</w:t>
      </w:r>
    </w:p>
    <w:p w14:paraId="49DACE0E" w14:textId="310806D8" w:rsidR="00AE0D59" w:rsidRPr="002663D7" w:rsidRDefault="00AE0D59" w:rsidP="004247D4">
      <w:pPr>
        <w:spacing w:after="40"/>
        <w:jc w:val="both"/>
        <w:rPr>
          <w:rFonts w:ascii="Calibri" w:hAnsi="Calibri" w:cstheme="minorHAnsi"/>
          <w:b/>
          <w:color w:val="000000"/>
        </w:rPr>
      </w:pPr>
      <w:r w:rsidRPr="002663D7">
        <w:rPr>
          <w:rFonts w:ascii="Calibri" w:hAnsi="Calibri" w:cstheme="minorHAnsi"/>
          <w:b/>
          <w:color w:val="000000"/>
        </w:rPr>
        <w:t xml:space="preserve">Tabulka č. </w:t>
      </w:r>
      <w:r>
        <w:rPr>
          <w:rFonts w:ascii="Calibri" w:hAnsi="Calibri" w:cstheme="minorHAnsi"/>
          <w:b/>
          <w:color w:val="000000"/>
        </w:rPr>
        <w:t>2</w:t>
      </w:r>
      <w:r w:rsidRPr="002663D7">
        <w:rPr>
          <w:rFonts w:ascii="Calibri" w:hAnsi="Calibri" w:cstheme="minorHAnsi"/>
          <w:b/>
          <w:color w:val="000000"/>
        </w:rPr>
        <w:t xml:space="preserve"> </w:t>
      </w:r>
      <w:r w:rsidR="000C438C">
        <w:rPr>
          <w:rFonts w:ascii="Calibri" w:hAnsi="Calibri" w:cstheme="minorHAnsi"/>
          <w:b/>
          <w:color w:val="000000"/>
        </w:rPr>
        <w:t>–</w:t>
      </w:r>
      <w:r w:rsidRPr="002663D7">
        <w:rPr>
          <w:rFonts w:ascii="Calibri" w:hAnsi="Calibri" w:cstheme="minorHAnsi"/>
          <w:b/>
          <w:color w:val="000000"/>
        </w:rPr>
        <w:t xml:space="preserve"> </w:t>
      </w:r>
      <w:r>
        <w:rPr>
          <w:rFonts w:ascii="Calibri" w:hAnsi="Calibri" w:cstheme="minorHAnsi"/>
          <w:b/>
          <w:color w:val="000000"/>
        </w:rPr>
        <w:t xml:space="preserve">Plnění vybraných opatření uložených na základě </w:t>
      </w:r>
      <w:r w:rsidRPr="004F50DA">
        <w:rPr>
          <w:rFonts w:ascii="Calibri" w:hAnsi="Calibri" w:cstheme="minorHAnsi"/>
          <w:b/>
          <w:i/>
          <w:color w:val="000000"/>
        </w:rPr>
        <w:t>Bílé knihy o obraně</w:t>
      </w:r>
      <w:r>
        <w:rPr>
          <w:rFonts w:ascii="Calibri" w:hAnsi="Calibri" w:cstheme="minorHAnsi"/>
          <w:b/>
          <w:color w:val="000000"/>
        </w:rPr>
        <w:t xml:space="preserve"> </w:t>
      </w:r>
      <w:r w:rsidRPr="002663D7">
        <w:rPr>
          <w:rFonts w:ascii="Calibri" w:hAnsi="Calibri" w:cstheme="minorHAnsi"/>
          <w:b/>
          <w:color w:val="000000"/>
        </w:rPr>
        <w:t xml:space="preserve"> </w:t>
      </w:r>
    </w:p>
    <w:tbl>
      <w:tblPr>
        <w:tblW w:w="9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1"/>
        <w:gridCol w:w="5102"/>
        <w:gridCol w:w="992"/>
        <w:gridCol w:w="1075"/>
      </w:tblGrid>
      <w:tr w:rsidR="00AE0D59" w:rsidRPr="00DB028C" w14:paraId="6AE2C81E" w14:textId="77777777" w:rsidTr="004247D4">
        <w:trPr>
          <w:cantSplit/>
          <w:trHeight w:val="227"/>
          <w:jc w:val="center"/>
        </w:trPr>
        <w:tc>
          <w:tcPr>
            <w:tcW w:w="1871" w:type="dxa"/>
            <w:shd w:val="clear" w:color="auto" w:fill="DDD6E7"/>
            <w:vAlign w:val="center"/>
          </w:tcPr>
          <w:p w14:paraId="6A1FD4B0" w14:textId="77777777" w:rsidR="00AE0D59" w:rsidRPr="00DB028C" w:rsidRDefault="00AE0D59" w:rsidP="00AE0D59">
            <w:pPr>
              <w:jc w:val="center"/>
              <w:rPr>
                <w:rFonts w:ascii="Calibri" w:hAnsi="Calibri" w:cstheme="minorHAnsi"/>
                <w:b/>
                <w:bCs/>
                <w:color w:val="000000"/>
                <w:sz w:val="20"/>
                <w:szCs w:val="20"/>
              </w:rPr>
            </w:pPr>
            <w:r w:rsidRPr="00DB028C">
              <w:rPr>
                <w:rFonts w:ascii="Calibri" w:hAnsi="Calibri" w:cstheme="minorHAnsi"/>
                <w:b/>
                <w:bCs/>
                <w:color w:val="000000"/>
                <w:sz w:val="20"/>
                <w:szCs w:val="20"/>
              </w:rPr>
              <w:t>Kapitola BKO</w:t>
            </w:r>
          </w:p>
        </w:tc>
        <w:tc>
          <w:tcPr>
            <w:tcW w:w="5102" w:type="dxa"/>
            <w:shd w:val="clear" w:color="auto" w:fill="DDD6E7"/>
            <w:noWrap/>
            <w:vAlign w:val="center"/>
            <w:hideMark/>
          </w:tcPr>
          <w:p w14:paraId="622F4977" w14:textId="77777777" w:rsidR="00AE0D59" w:rsidRPr="00DB028C" w:rsidRDefault="00AE0D59" w:rsidP="00AE0D59">
            <w:pPr>
              <w:jc w:val="center"/>
              <w:rPr>
                <w:rFonts w:ascii="Calibri" w:hAnsi="Calibri" w:cstheme="minorHAnsi"/>
                <w:b/>
                <w:bCs/>
                <w:color w:val="000000"/>
                <w:sz w:val="20"/>
                <w:szCs w:val="20"/>
              </w:rPr>
            </w:pPr>
            <w:r w:rsidRPr="00DB028C">
              <w:rPr>
                <w:rFonts w:ascii="Calibri" w:hAnsi="Calibri" w:cstheme="minorHAnsi"/>
                <w:b/>
                <w:bCs/>
                <w:color w:val="000000"/>
                <w:sz w:val="20"/>
                <w:szCs w:val="20"/>
              </w:rPr>
              <w:t>Hlavní opatření</w:t>
            </w:r>
          </w:p>
        </w:tc>
        <w:tc>
          <w:tcPr>
            <w:tcW w:w="992" w:type="dxa"/>
            <w:shd w:val="clear" w:color="auto" w:fill="DDD6E7"/>
            <w:vAlign w:val="center"/>
          </w:tcPr>
          <w:p w14:paraId="4B2238CA" w14:textId="37737994" w:rsidR="00AE0D59" w:rsidRPr="00DB028C" w:rsidRDefault="00E106CC" w:rsidP="00E106CC">
            <w:pPr>
              <w:jc w:val="center"/>
              <w:rPr>
                <w:rFonts w:ascii="Calibri" w:hAnsi="Calibr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theme="minorHAnsi"/>
                <w:b/>
                <w:bCs/>
                <w:color w:val="000000"/>
                <w:sz w:val="20"/>
                <w:szCs w:val="20"/>
              </w:rPr>
              <w:t>Původní t</w:t>
            </w:r>
            <w:r w:rsidR="00AE0D59" w:rsidRPr="00DB028C">
              <w:rPr>
                <w:rFonts w:ascii="Calibri" w:hAnsi="Calibri" w:cstheme="minorHAnsi"/>
                <w:b/>
                <w:bCs/>
                <w:color w:val="000000"/>
                <w:sz w:val="20"/>
                <w:szCs w:val="20"/>
              </w:rPr>
              <w:t>ermín</w:t>
            </w:r>
          </w:p>
        </w:tc>
        <w:tc>
          <w:tcPr>
            <w:tcW w:w="1075" w:type="dxa"/>
            <w:shd w:val="clear" w:color="auto" w:fill="DDD6E7"/>
            <w:vAlign w:val="center"/>
          </w:tcPr>
          <w:p w14:paraId="7AE9800F" w14:textId="4F5A45ED" w:rsidR="00AE0D59" w:rsidRPr="00DB028C" w:rsidRDefault="007E4DFF" w:rsidP="00E106CC">
            <w:pPr>
              <w:jc w:val="center"/>
              <w:rPr>
                <w:rFonts w:ascii="Calibri" w:hAnsi="Calibr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theme="minorHAnsi"/>
                <w:b/>
                <w:bCs/>
                <w:color w:val="000000"/>
                <w:sz w:val="20"/>
                <w:szCs w:val="20"/>
              </w:rPr>
              <w:t xml:space="preserve">Nový </w:t>
            </w:r>
            <w:r w:rsidR="00E106CC">
              <w:rPr>
                <w:rFonts w:ascii="Calibri" w:hAnsi="Calibri" w:cstheme="minorHAnsi"/>
                <w:b/>
                <w:bCs/>
                <w:color w:val="000000"/>
                <w:sz w:val="20"/>
                <w:szCs w:val="20"/>
              </w:rPr>
              <w:t xml:space="preserve">termín </w:t>
            </w:r>
          </w:p>
        </w:tc>
      </w:tr>
      <w:tr w:rsidR="00AE0D59" w:rsidRPr="00DB028C" w14:paraId="78F7DF3D" w14:textId="77777777" w:rsidTr="004247D4">
        <w:trPr>
          <w:trHeight w:val="227"/>
          <w:jc w:val="center"/>
        </w:trPr>
        <w:tc>
          <w:tcPr>
            <w:tcW w:w="1871" w:type="dxa"/>
            <w:shd w:val="clear" w:color="auto" w:fill="FFFFFF" w:themeFill="background1"/>
            <w:vAlign w:val="center"/>
          </w:tcPr>
          <w:p w14:paraId="19240CBB" w14:textId="794AF6EA" w:rsidR="00AE0D59" w:rsidRPr="00DB028C" w:rsidRDefault="00AE0D59" w:rsidP="004247D4">
            <w:pPr>
              <w:rPr>
                <w:rFonts w:ascii="Calibri" w:hAnsi="Calibri" w:cstheme="minorHAnsi"/>
                <w:color w:val="000000"/>
                <w:sz w:val="20"/>
                <w:szCs w:val="20"/>
              </w:rPr>
            </w:pPr>
            <w:r w:rsidRPr="00DB028C">
              <w:rPr>
                <w:rFonts w:ascii="Calibri" w:hAnsi="Calibri" w:cstheme="minorHAnsi"/>
                <w:color w:val="000000"/>
                <w:sz w:val="20"/>
                <w:szCs w:val="20"/>
              </w:rPr>
              <w:t>Finanční rámec a</w:t>
            </w:r>
            <w:r w:rsidR="004247D4">
              <w:rPr>
                <w:rFonts w:ascii="Calibri" w:hAnsi="Calibri" w:cstheme="minorHAnsi"/>
                <w:color w:val="000000"/>
                <w:sz w:val="20"/>
                <w:szCs w:val="20"/>
              </w:rPr>
              <w:t> </w:t>
            </w:r>
            <w:r w:rsidRPr="00DB028C">
              <w:rPr>
                <w:rFonts w:ascii="Calibri" w:hAnsi="Calibri" w:cstheme="minorHAnsi"/>
                <w:color w:val="000000"/>
                <w:sz w:val="20"/>
                <w:szCs w:val="20"/>
              </w:rPr>
              <w:t>ekonomické řízení</w:t>
            </w:r>
          </w:p>
        </w:tc>
        <w:tc>
          <w:tcPr>
            <w:tcW w:w="5102" w:type="dxa"/>
            <w:shd w:val="clear" w:color="auto" w:fill="FFFFFF" w:themeFill="background1"/>
            <w:vAlign w:val="center"/>
          </w:tcPr>
          <w:p w14:paraId="17090FB8" w14:textId="77777777" w:rsidR="00AE0D59" w:rsidRPr="00DB028C" w:rsidRDefault="00AE0D59" w:rsidP="000733C0">
            <w:pPr>
              <w:rPr>
                <w:rFonts w:ascii="Calibri" w:hAnsi="Calibri" w:cstheme="minorHAnsi"/>
                <w:color w:val="000000"/>
                <w:sz w:val="20"/>
                <w:szCs w:val="20"/>
              </w:rPr>
            </w:pPr>
            <w:r w:rsidRPr="00DB028C">
              <w:rPr>
                <w:rFonts w:ascii="Calibri" w:hAnsi="Calibri" w:cstheme="minorHAnsi"/>
                <w:color w:val="000000"/>
                <w:sz w:val="20"/>
                <w:szCs w:val="20"/>
              </w:rPr>
              <w:t>Používání controllingu jako standardního nástroje řízení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1ACB8A5" w14:textId="77777777" w:rsidR="00AE0D59" w:rsidRPr="00DB028C" w:rsidRDefault="00AE0D59" w:rsidP="00AE0D59">
            <w:pPr>
              <w:jc w:val="center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  <w:r w:rsidRPr="00DB028C">
              <w:rPr>
                <w:rFonts w:ascii="Calibri" w:hAnsi="Calibri" w:cstheme="minorHAnsi"/>
                <w:color w:val="000000"/>
                <w:sz w:val="20"/>
                <w:szCs w:val="20"/>
              </w:rPr>
              <w:t>12/2013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14:paraId="6A34719F" w14:textId="44D505E7" w:rsidR="00AE0D59" w:rsidRPr="00DB028C" w:rsidRDefault="00E106CC" w:rsidP="00AE0D59">
            <w:pPr>
              <w:jc w:val="center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12/2017</w:t>
            </w:r>
          </w:p>
        </w:tc>
      </w:tr>
      <w:tr w:rsidR="00AE0D59" w:rsidRPr="00DB028C" w14:paraId="050AEB08" w14:textId="77777777" w:rsidTr="004247D4">
        <w:trPr>
          <w:trHeight w:val="227"/>
          <w:jc w:val="center"/>
        </w:trPr>
        <w:tc>
          <w:tcPr>
            <w:tcW w:w="1871" w:type="dxa"/>
            <w:shd w:val="clear" w:color="auto" w:fill="FFFFFF" w:themeFill="background1"/>
            <w:vAlign w:val="center"/>
          </w:tcPr>
          <w:p w14:paraId="583C1860" w14:textId="38F7FA0E" w:rsidR="00AE0D59" w:rsidRPr="00DB028C" w:rsidRDefault="00AE0D59" w:rsidP="004247D4">
            <w:pPr>
              <w:rPr>
                <w:rFonts w:ascii="Calibri" w:hAnsi="Calibri" w:cstheme="minorHAnsi"/>
                <w:color w:val="000000"/>
                <w:sz w:val="20"/>
                <w:szCs w:val="20"/>
              </w:rPr>
            </w:pPr>
            <w:r w:rsidRPr="00DB028C">
              <w:rPr>
                <w:rFonts w:ascii="Calibri" w:hAnsi="Calibri" w:cstheme="minorHAnsi"/>
                <w:color w:val="000000"/>
                <w:sz w:val="20"/>
                <w:szCs w:val="20"/>
              </w:rPr>
              <w:t>Finanční rámec a</w:t>
            </w:r>
            <w:r w:rsidR="004247D4">
              <w:rPr>
                <w:rFonts w:ascii="Calibri" w:hAnsi="Calibri" w:cstheme="minorHAnsi"/>
                <w:color w:val="000000"/>
                <w:sz w:val="20"/>
                <w:szCs w:val="20"/>
              </w:rPr>
              <w:t> </w:t>
            </w:r>
            <w:r w:rsidRPr="00DB028C">
              <w:rPr>
                <w:rFonts w:ascii="Calibri" w:hAnsi="Calibri" w:cstheme="minorHAnsi"/>
                <w:color w:val="000000"/>
                <w:sz w:val="20"/>
                <w:szCs w:val="20"/>
              </w:rPr>
              <w:t>ekonomické řízení</w:t>
            </w:r>
          </w:p>
        </w:tc>
        <w:tc>
          <w:tcPr>
            <w:tcW w:w="5102" w:type="dxa"/>
            <w:shd w:val="clear" w:color="auto" w:fill="FFFFFF" w:themeFill="background1"/>
            <w:vAlign w:val="center"/>
          </w:tcPr>
          <w:p w14:paraId="14800666" w14:textId="77777777" w:rsidR="00AE0D59" w:rsidRPr="00DB028C" w:rsidRDefault="00AE0D59" w:rsidP="000733C0">
            <w:pPr>
              <w:rPr>
                <w:rFonts w:ascii="Calibri" w:hAnsi="Calibri" w:cstheme="minorHAnsi"/>
                <w:color w:val="000000"/>
                <w:sz w:val="20"/>
                <w:szCs w:val="20"/>
              </w:rPr>
            </w:pPr>
            <w:r w:rsidRPr="00DB028C">
              <w:rPr>
                <w:rFonts w:ascii="Calibri" w:hAnsi="Calibri" w:cstheme="minorHAnsi"/>
                <w:color w:val="000000"/>
                <w:sz w:val="20"/>
                <w:szCs w:val="20"/>
              </w:rPr>
              <w:t>Zavedení metodik pro výkonnostní audity v hlavních oblastech činnosti MO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E8243A2" w14:textId="77777777" w:rsidR="00AE0D59" w:rsidRPr="00DB028C" w:rsidRDefault="00AE0D59" w:rsidP="00AE0D59">
            <w:pPr>
              <w:jc w:val="center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  <w:r w:rsidRPr="00DB028C">
              <w:rPr>
                <w:rFonts w:ascii="Calibri" w:hAnsi="Calibri" w:cstheme="minorHAnsi"/>
                <w:color w:val="000000"/>
                <w:sz w:val="20"/>
                <w:szCs w:val="20"/>
              </w:rPr>
              <w:t>8/2012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14:paraId="366969C1" w14:textId="700DE32B" w:rsidR="00AE0D59" w:rsidRPr="00DB028C" w:rsidRDefault="00E106CC" w:rsidP="00AE0D59">
            <w:pPr>
              <w:jc w:val="center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12/2017</w:t>
            </w:r>
          </w:p>
        </w:tc>
      </w:tr>
      <w:tr w:rsidR="00AE0D59" w:rsidRPr="00DB028C" w14:paraId="7B40EBCC" w14:textId="77777777" w:rsidTr="004247D4">
        <w:trPr>
          <w:trHeight w:val="227"/>
          <w:jc w:val="center"/>
        </w:trPr>
        <w:tc>
          <w:tcPr>
            <w:tcW w:w="1871" w:type="dxa"/>
            <w:shd w:val="clear" w:color="auto" w:fill="FFFFFF" w:themeFill="background1"/>
            <w:vAlign w:val="center"/>
          </w:tcPr>
          <w:p w14:paraId="0EE74430" w14:textId="77777777" w:rsidR="00AE0D59" w:rsidRPr="00DB028C" w:rsidRDefault="00AE0D59" w:rsidP="000733C0">
            <w:pPr>
              <w:rPr>
                <w:rFonts w:ascii="Calibri" w:hAnsi="Calibri" w:cstheme="minorHAnsi"/>
                <w:color w:val="000000"/>
                <w:sz w:val="20"/>
                <w:szCs w:val="20"/>
              </w:rPr>
            </w:pPr>
            <w:r w:rsidRPr="00DB028C">
              <w:rPr>
                <w:rFonts w:ascii="Calibri" w:hAnsi="Calibri" w:cstheme="minorHAnsi"/>
                <w:color w:val="000000"/>
                <w:sz w:val="20"/>
                <w:szCs w:val="20"/>
              </w:rPr>
              <w:t>Rozvoj schopností</w:t>
            </w:r>
          </w:p>
        </w:tc>
        <w:tc>
          <w:tcPr>
            <w:tcW w:w="5102" w:type="dxa"/>
            <w:shd w:val="clear" w:color="auto" w:fill="FFFFFF" w:themeFill="background1"/>
            <w:vAlign w:val="center"/>
          </w:tcPr>
          <w:p w14:paraId="592F9457" w14:textId="77777777" w:rsidR="00AE0D59" w:rsidRPr="00DB028C" w:rsidRDefault="00AE0D59" w:rsidP="000733C0">
            <w:pPr>
              <w:rPr>
                <w:rFonts w:ascii="Calibri" w:hAnsi="Calibri" w:cstheme="minorHAnsi"/>
                <w:color w:val="000000"/>
                <w:sz w:val="20"/>
                <w:szCs w:val="20"/>
              </w:rPr>
            </w:pPr>
            <w:r w:rsidRPr="00DB028C">
              <w:rPr>
                <w:rFonts w:ascii="Calibri" w:hAnsi="Calibri" w:cstheme="minorHAnsi"/>
                <w:sz w:val="20"/>
                <w:szCs w:val="20"/>
              </w:rPr>
              <w:t>Zavedení komplexního systému řízení schopností ozbrojených sil ČR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15AC292" w14:textId="77777777" w:rsidR="00AE0D59" w:rsidRPr="00DB028C" w:rsidRDefault="00AE0D59" w:rsidP="00AE0D59">
            <w:pPr>
              <w:jc w:val="center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  <w:r w:rsidRPr="00DB028C">
              <w:rPr>
                <w:rFonts w:ascii="Calibri" w:hAnsi="Calibri" w:cstheme="minorHAnsi"/>
                <w:color w:val="000000"/>
                <w:sz w:val="20"/>
                <w:szCs w:val="20"/>
              </w:rPr>
              <w:t>12/2011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14:paraId="61E72345" w14:textId="6D191178" w:rsidR="00AE0D59" w:rsidRPr="00DB028C" w:rsidRDefault="00E106CC" w:rsidP="00AE0D59">
            <w:pPr>
              <w:jc w:val="center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12/2017</w:t>
            </w:r>
          </w:p>
        </w:tc>
      </w:tr>
      <w:tr w:rsidR="00AE0D59" w:rsidRPr="00DB028C" w14:paraId="65D4FE11" w14:textId="77777777" w:rsidTr="004247D4">
        <w:trPr>
          <w:trHeight w:val="227"/>
          <w:jc w:val="center"/>
        </w:trPr>
        <w:tc>
          <w:tcPr>
            <w:tcW w:w="1871" w:type="dxa"/>
            <w:shd w:val="clear" w:color="auto" w:fill="FFFFFF" w:themeFill="background1"/>
            <w:vAlign w:val="center"/>
          </w:tcPr>
          <w:p w14:paraId="04A2FA3B" w14:textId="77777777" w:rsidR="00AE0D59" w:rsidRPr="00DB028C" w:rsidRDefault="00AE0D59" w:rsidP="000733C0">
            <w:pPr>
              <w:rPr>
                <w:rFonts w:ascii="Calibri" w:hAnsi="Calibri" w:cstheme="minorHAnsi"/>
                <w:color w:val="000000"/>
                <w:sz w:val="20"/>
                <w:szCs w:val="20"/>
              </w:rPr>
            </w:pPr>
            <w:r w:rsidRPr="00DB028C">
              <w:rPr>
                <w:rFonts w:ascii="Calibri" w:hAnsi="Calibri" w:cstheme="minorHAnsi"/>
                <w:color w:val="000000"/>
                <w:sz w:val="20"/>
                <w:szCs w:val="20"/>
              </w:rPr>
              <w:t>Rozvoj schopností</w:t>
            </w:r>
          </w:p>
        </w:tc>
        <w:tc>
          <w:tcPr>
            <w:tcW w:w="5102" w:type="dxa"/>
            <w:shd w:val="clear" w:color="auto" w:fill="FFFFFF" w:themeFill="background1"/>
            <w:vAlign w:val="center"/>
          </w:tcPr>
          <w:p w14:paraId="7B666C7E" w14:textId="77777777" w:rsidR="00AE0D59" w:rsidRPr="00DB028C" w:rsidRDefault="00AE0D59" w:rsidP="000733C0">
            <w:pPr>
              <w:rPr>
                <w:rFonts w:ascii="Calibri" w:hAnsi="Calibri" w:cstheme="minorHAnsi"/>
                <w:sz w:val="20"/>
                <w:szCs w:val="20"/>
              </w:rPr>
            </w:pPr>
            <w:r w:rsidRPr="00DB028C">
              <w:rPr>
                <w:rFonts w:ascii="Calibri" w:hAnsi="Calibri" w:cstheme="minorHAnsi"/>
                <w:sz w:val="20"/>
                <w:szCs w:val="20"/>
              </w:rPr>
              <w:t>Postupné omezení a utlumení schopností ozbrojených sil ČR, které jsou dlouhodobě nefunkční nebo neudržitelné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35D0D6B" w14:textId="77777777" w:rsidR="00AE0D59" w:rsidRPr="00DB028C" w:rsidRDefault="00AE0D59" w:rsidP="00AE0D59">
            <w:pPr>
              <w:jc w:val="center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  <w:r w:rsidRPr="00DB028C">
              <w:rPr>
                <w:rFonts w:ascii="Calibri" w:hAnsi="Calibri" w:cstheme="minorHAnsi"/>
                <w:color w:val="000000"/>
                <w:sz w:val="20"/>
                <w:szCs w:val="20"/>
              </w:rPr>
              <w:t>12/2012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14:paraId="43D88E39" w14:textId="63DC3A9E" w:rsidR="00AE0D59" w:rsidRPr="00DB028C" w:rsidRDefault="00E106CC" w:rsidP="00AE0D59">
            <w:pPr>
              <w:jc w:val="center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2021</w:t>
            </w:r>
          </w:p>
        </w:tc>
      </w:tr>
      <w:tr w:rsidR="00AE0D59" w:rsidRPr="00DB028C" w14:paraId="2D77E117" w14:textId="77777777" w:rsidTr="004247D4">
        <w:trPr>
          <w:trHeight w:val="227"/>
          <w:jc w:val="center"/>
        </w:trPr>
        <w:tc>
          <w:tcPr>
            <w:tcW w:w="1871" w:type="dxa"/>
            <w:shd w:val="clear" w:color="auto" w:fill="FFFFFF" w:themeFill="background1"/>
            <w:vAlign w:val="center"/>
          </w:tcPr>
          <w:p w14:paraId="3723B874" w14:textId="77777777" w:rsidR="00AE0D59" w:rsidRPr="00DB028C" w:rsidRDefault="00AE0D59" w:rsidP="000733C0">
            <w:pPr>
              <w:rPr>
                <w:rFonts w:ascii="Calibri" w:hAnsi="Calibri" w:cstheme="minorHAnsi"/>
                <w:color w:val="000000"/>
                <w:sz w:val="20"/>
                <w:szCs w:val="20"/>
              </w:rPr>
            </w:pPr>
            <w:r w:rsidRPr="00DB028C">
              <w:rPr>
                <w:rFonts w:ascii="Calibri" w:hAnsi="Calibri" w:cstheme="minorHAnsi"/>
                <w:color w:val="000000"/>
                <w:sz w:val="20"/>
                <w:szCs w:val="20"/>
              </w:rPr>
              <w:t>Kontrola</w:t>
            </w:r>
          </w:p>
        </w:tc>
        <w:tc>
          <w:tcPr>
            <w:tcW w:w="5102" w:type="dxa"/>
            <w:shd w:val="clear" w:color="auto" w:fill="FFFFFF" w:themeFill="background1"/>
            <w:vAlign w:val="center"/>
          </w:tcPr>
          <w:p w14:paraId="706811A7" w14:textId="77777777" w:rsidR="00AE0D59" w:rsidRPr="00DB028C" w:rsidRDefault="00AE0D59" w:rsidP="000733C0">
            <w:pPr>
              <w:rPr>
                <w:rFonts w:ascii="Calibri" w:hAnsi="Calibri" w:cstheme="minorHAnsi"/>
                <w:sz w:val="20"/>
                <w:szCs w:val="20"/>
              </w:rPr>
            </w:pPr>
            <w:r w:rsidRPr="00DB028C">
              <w:rPr>
                <w:rFonts w:ascii="Calibri" w:hAnsi="Calibri" w:cstheme="minorHAnsi"/>
                <w:color w:val="000000"/>
                <w:sz w:val="20"/>
                <w:szCs w:val="20"/>
              </w:rPr>
              <w:t>Vytvoření systému řízení rizik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37A39DD" w14:textId="77777777" w:rsidR="00AE0D59" w:rsidRPr="00DB028C" w:rsidRDefault="00AE0D59" w:rsidP="00AE0D59">
            <w:pPr>
              <w:jc w:val="center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  <w:r w:rsidRPr="00DB028C">
              <w:rPr>
                <w:rFonts w:ascii="Calibri" w:hAnsi="Calibri" w:cstheme="minorHAnsi"/>
                <w:color w:val="000000"/>
                <w:sz w:val="20"/>
                <w:szCs w:val="20"/>
              </w:rPr>
              <w:t>12/2011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14:paraId="630AB969" w14:textId="4E2F0755" w:rsidR="00AE0D59" w:rsidRPr="00DB028C" w:rsidRDefault="00E106CC" w:rsidP="00AE0D59">
            <w:pPr>
              <w:jc w:val="center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01/2017</w:t>
            </w:r>
          </w:p>
        </w:tc>
      </w:tr>
    </w:tbl>
    <w:p w14:paraId="6B02F111" w14:textId="0FA82BC3" w:rsidR="00AE0D59" w:rsidRPr="004B3CE2" w:rsidRDefault="00AE0D59" w:rsidP="004247D4">
      <w:pPr>
        <w:shd w:val="clear" w:color="auto" w:fill="FFFFFF"/>
        <w:spacing w:before="40" w:after="240"/>
        <w:rPr>
          <w:rFonts w:ascii="Calibri" w:hAnsi="Calibri" w:cstheme="minorHAnsi"/>
          <w:color w:val="000000"/>
          <w:sz w:val="20"/>
          <w:szCs w:val="20"/>
        </w:rPr>
      </w:pPr>
      <w:r w:rsidRPr="00434EF9">
        <w:rPr>
          <w:rFonts w:ascii="Calibri" w:hAnsi="Calibri" w:cstheme="minorHAnsi"/>
          <w:b/>
          <w:color w:val="000000"/>
          <w:sz w:val="20"/>
          <w:szCs w:val="20"/>
        </w:rPr>
        <w:t>Zdroj:</w:t>
      </w:r>
      <w:r w:rsidRPr="004B3CE2">
        <w:rPr>
          <w:rFonts w:ascii="Calibri" w:hAnsi="Calibri" w:cstheme="minorHAnsi"/>
          <w:color w:val="000000"/>
          <w:sz w:val="20"/>
          <w:szCs w:val="20"/>
        </w:rPr>
        <w:t xml:space="preserve"> </w:t>
      </w:r>
      <w:r w:rsidR="00336D14">
        <w:rPr>
          <w:rFonts w:ascii="Calibri" w:hAnsi="Calibri" w:cstheme="minorHAnsi"/>
          <w:color w:val="000000"/>
          <w:sz w:val="20"/>
          <w:szCs w:val="20"/>
        </w:rPr>
        <w:t xml:space="preserve">MO; </w:t>
      </w:r>
      <w:r w:rsidR="00755BA1">
        <w:rPr>
          <w:rFonts w:ascii="Calibri" w:hAnsi="Calibri" w:cstheme="minorHAnsi"/>
          <w:color w:val="000000"/>
          <w:sz w:val="20"/>
          <w:szCs w:val="20"/>
        </w:rPr>
        <w:t>i</w:t>
      </w:r>
      <w:r w:rsidRPr="004F50DA">
        <w:rPr>
          <w:rFonts w:ascii="Calibri" w:hAnsi="Calibri" w:cstheme="minorHAnsi"/>
          <w:color w:val="000000"/>
          <w:sz w:val="20"/>
          <w:szCs w:val="20"/>
        </w:rPr>
        <w:t>nformace o realizaci</w:t>
      </w:r>
      <w:r w:rsidRPr="00336D14">
        <w:rPr>
          <w:rFonts w:ascii="Calibri" w:hAnsi="Calibri" w:cstheme="minorHAnsi"/>
          <w:i/>
          <w:color w:val="000000"/>
          <w:sz w:val="20"/>
          <w:szCs w:val="20"/>
        </w:rPr>
        <w:t xml:space="preserve"> Bílé knihy o obraně</w:t>
      </w:r>
      <w:r w:rsidRPr="004B3CE2">
        <w:rPr>
          <w:rFonts w:ascii="Calibri" w:hAnsi="Calibri" w:cstheme="minorHAnsi"/>
          <w:color w:val="000000"/>
          <w:sz w:val="20"/>
          <w:szCs w:val="20"/>
        </w:rPr>
        <w:t xml:space="preserve"> ze dne 18. července 2016</w:t>
      </w:r>
      <w:r w:rsidR="00336D14">
        <w:rPr>
          <w:rFonts w:ascii="Calibri" w:hAnsi="Calibri" w:cstheme="minorHAnsi"/>
          <w:color w:val="000000"/>
          <w:sz w:val="20"/>
          <w:szCs w:val="20"/>
        </w:rPr>
        <w:t>.</w:t>
      </w:r>
    </w:p>
    <w:p w14:paraId="00F232C1" w14:textId="557465EF" w:rsidR="00CE07E1" w:rsidRPr="00CE07E1" w:rsidRDefault="001B44B7" w:rsidP="004247D4">
      <w:pPr>
        <w:pStyle w:val="Bezmezer"/>
        <w:numPr>
          <w:ilvl w:val="0"/>
          <w:numId w:val="22"/>
        </w:numPr>
        <w:spacing w:before="120" w:after="120"/>
        <w:ind w:left="357" w:hanging="357"/>
        <w:jc w:val="both"/>
        <w:rPr>
          <w:rFonts w:ascii="Calibri" w:hAnsi="Calibri" w:cstheme="minorHAnsi"/>
          <w:b/>
          <w:color w:val="000000" w:themeColor="text1"/>
          <w:sz w:val="24"/>
          <w:szCs w:val="24"/>
        </w:rPr>
      </w:pPr>
      <w:r>
        <w:rPr>
          <w:rFonts w:ascii="Calibri" w:hAnsi="Calibri" w:cstheme="minorHAnsi"/>
          <w:b/>
          <w:color w:val="000000" w:themeColor="text1"/>
          <w:sz w:val="24"/>
          <w:szCs w:val="24"/>
        </w:rPr>
        <w:t>Zajištění adekvátního a předvídatelného zdrojového rámce</w:t>
      </w:r>
    </w:p>
    <w:p w14:paraId="26740B46" w14:textId="6BD41757" w:rsidR="00AE0D59" w:rsidRDefault="00AE0D59" w:rsidP="004247D4">
      <w:pPr>
        <w:shd w:val="clear" w:color="auto" w:fill="FFFFFF"/>
        <w:spacing w:before="120" w:after="120"/>
        <w:jc w:val="both"/>
        <w:rPr>
          <w:rFonts w:ascii="Calibri" w:hAnsi="Calibri"/>
        </w:rPr>
      </w:pPr>
      <w:r w:rsidRPr="002663D7">
        <w:rPr>
          <w:rFonts w:ascii="Calibri" w:hAnsi="Calibri" w:cs="Calibri"/>
          <w:color w:val="000000"/>
          <w:spacing w:val="-3"/>
        </w:rPr>
        <w:t xml:space="preserve">ČR je </w:t>
      </w:r>
      <w:r>
        <w:rPr>
          <w:rFonts w:ascii="Calibri" w:hAnsi="Calibri" w:cs="Calibri"/>
          <w:color w:val="000000"/>
          <w:spacing w:val="-3"/>
        </w:rPr>
        <w:t>součástí NATO od roku 1999</w:t>
      </w:r>
      <w:r w:rsidR="00CE1CE5">
        <w:rPr>
          <w:rFonts w:ascii="Calibri" w:hAnsi="Calibri" w:cs="Calibri"/>
          <w:color w:val="000000"/>
          <w:spacing w:val="-3"/>
        </w:rPr>
        <w:t>, s</w:t>
      </w:r>
      <w:r>
        <w:rPr>
          <w:rFonts w:ascii="Calibri" w:hAnsi="Calibri" w:cs="Calibri"/>
          <w:color w:val="000000"/>
          <w:spacing w:val="-3"/>
        </w:rPr>
        <w:t>e</w:t>
      </w:r>
      <w:r w:rsidRPr="002663D7">
        <w:rPr>
          <w:rFonts w:ascii="Calibri" w:hAnsi="Calibri" w:cs="Calibri"/>
          <w:color w:val="000000"/>
          <w:spacing w:val="-3"/>
        </w:rPr>
        <w:t> členství</w:t>
      </w:r>
      <w:r w:rsidR="00CE1CE5">
        <w:rPr>
          <w:rFonts w:ascii="Calibri" w:hAnsi="Calibri" w:cs="Calibri"/>
          <w:color w:val="000000"/>
          <w:spacing w:val="-3"/>
        </w:rPr>
        <w:t>m souvisí i</w:t>
      </w:r>
      <w:r w:rsidR="000C438C">
        <w:rPr>
          <w:rFonts w:ascii="Calibri" w:hAnsi="Calibri" w:cs="Calibri"/>
          <w:color w:val="000000"/>
          <w:spacing w:val="-3"/>
        </w:rPr>
        <w:t> </w:t>
      </w:r>
      <w:r w:rsidRPr="002663D7">
        <w:rPr>
          <w:rFonts w:ascii="Calibri" w:hAnsi="Calibri" w:cs="Calibri"/>
          <w:color w:val="000000"/>
          <w:spacing w:val="-3"/>
        </w:rPr>
        <w:t xml:space="preserve">závazek </w:t>
      </w:r>
      <w:r>
        <w:rPr>
          <w:rFonts w:ascii="Calibri" w:hAnsi="Calibri" w:cs="Calibri"/>
          <w:color w:val="000000"/>
          <w:spacing w:val="-3"/>
        </w:rPr>
        <w:t xml:space="preserve">vynakládat </w:t>
      </w:r>
      <w:r w:rsidRPr="002663D7">
        <w:rPr>
          <w:rFonts w:ascii="Calibri" w:hAnsi="Calibri" w:cs="Calibri"/>
          <w:color w:val="000000"/>
          <w:spacing w:val="-3"/>
        </w:rPr>
        <w:t xml:space="preserve">na obranu </w:t>
      </w:r>
      <w:r>
        <w:rPr>
          <w:rFonts w:ascii="Calibri" w:hAnsi="Calibri" w:cs="Calibri"/>
          <w:color w:val="000000"/>
          <w:spacing w:val="-3"/>
        </w:rPr>
        <w:t xml:space="preserve">nejméně </w:t>
      </w:r>
      <w:r w:rsidRPr="002663D7">
        <w:rPr>
          <w:rFonts w:ascii="Calibri" w:hAnsi="Calibri" w:cs="Calibri"/>
          <w:color w:val="000000"/>
          <w:spacing w:val="-3"/>
        </w:rPr>
        <w:t xml:space="preserve">2 % </w:t>
      </w:r>
      <w:r w:rsidR="00DB4DC4">
        <w:rPr>
          <w:rFonts w:ascii="Calibri" w:hAnsi="Calibri" w:cs="Calibri"/>
          <w:color w:val="000000"/>
          <w:spacing w:val="-3"/>
        </w:rPr>
        <w:t>hrubého domácího produktu</w:t>
      </w:r>
      <w:r w:rsidRPr="002663D7">
        <w:rPr>
          <w:rFonts w:ascii="Calibri" w:hAnsi="Calibri" w:cs="Calibri"/>
          <w:color w:val="000000"/>
          <w:spacing w:val="-3"/>
        </w:rPr>
        <w:t>. Tato hodnota byla stanovena v </w:t>
      </w:r>
      <w:r w:rsidRPr="0045287B">
        <w:rPr>
          <w:rFonts w:ascii="Calibri" w:hAnsi="Calibri"/>
          <w:i/>
        </w:rPr>
        <w:t>Souhrnné politické směrnici NATO</w:t>
      </w:r>
      <w:r>
        <w:rPr>
          <w:rFonts w:cs="Arial"/>
          <w:b/>
          <w:bCs/>
          <w:color w:val="00408A"/>
          <w:sz w:val="21"/>
          <w:szCs w:val="21"/>
        </w:rPr>
        <w:t xml:space="preserve"> </w:t>
      </w:r>
      <w:r w:rsidRPr="002663D7">
        <w:rPr>
          <w:rFonts w:ascii="Calibri" w:hAnsi="Calibri" w:cs="Calibri"/>
          <w:color w:val="000000"/>
          <w:spacing w:val="-3"/>
        </w:rPr>
        <w:t xml:space="preserve">a byla potvrzena </w:t>
      </w:r>
      <w:r w:rsidR="00CE1CE5">
        <w:rPr>
          <w:rFonts w:ascii="Calibri" w:hAnsi="Calibri" w:cs="Calibri"/>
          <w:color w:val="000000"/>
          <w:spacing w:val="-3"/>
        </w:rPr>
        <w:t>také</w:t>
      </w:r>
      <w:r w:rsidR="00CE1CE5" w:rsidRPr="002663D7">
        <w:rPr>
          <w:rFonts w:ascii="Calibri" w:hAnsi="Calibri" w:cs="Calibri"/>
          <w:color w:val="000000"/>
          <w:spacing w:val="-3"/>
        </w:rPr>
        <w:t xml:space="preserve"> </w:t>
      </w:r>
      <w:r w:rsidRPr="002663D7">
        <w:rPr>
          <w:rFonts w:ascii="Calibri" w:hAnsi="Calibri" w:cs="Calibri"/>
          <w:color w:val="000000"/>
          <w:spacing w:val="-3"/>
        </w:rPr>
        <w:t xml:space="preserve">na summitu NATO ve Walesu v roce 2014 nejvyššími představiteli </w:t>
      </w:r>
      <w:r>
        <w:rPr>
          <w:rFonts w:ascii="Calibri" w:hAnsi="Calibri" w:cs="Calibri"/>
          <w:color w:val="000000"/>
          <w:spacing w:val="-3"/>
        </w:rPr>
        <w:t xml:space="preserve">členských </w:t>
      </w:r>
      <w:r w:rsidRPr="002663D7">
        <w:rPr>
          <w:rFonts w:ascii="Calibri" w:hAnsi="Calibri" w:cs="Calibri"/>
          <w:color w:val="000000"/>
          <w:spacing w:val="-3"/>
        </w:rPr>
        <w:t xml:space="preserve">států včetně ČR. </w:t>
      </w:r>
      <w:r>
        <w:rPr>
          <w:rFonts w:ascii="Calibri" w:hAnsi="Calibri" w:cs="Calibri"/>
          <w:color w:val="000000"/>
          <w:spacing w:val="-3"/>
        </w:rPr>
        <w:t>Jen a</w:t>
      </w:r>
      <w:r w:rsidRPr="002663D7">
        <w:rPr>
          <w:rFonts w:ascii="Calibri" w:hAnsi="Calibri"/>
        </w:rPr>
        <w:t xml:space="preserve">dekvátní a předvídatelná výše výdajů na obranu měla dle programových prohlášení vlád </w:t>
      </w:r>
      <w:r>
        <w:rPr>
          <w:rFonts w:ascii="Calibri" w:hAnsi="Calibri"/>
        </w:rPr>
        <w:t>i</w:t>
      </w:r>
      <w:r w:rsidRPr="002663D7">
        <w:rPr>
          <w:rFonts w:ascii="Calibri" w:hAnsi="Calibri"/>
        </w:rPr>
        <w:t xml:space="preserve"> strategických </w:t>
      </w:r>
      <w:r>
        <w:rPr>
          <w:rFonts w:ascii="Calibri" w:hAnsi="Calibri"/>
        </w:rPr>
        <w:t xml:space="preserve">dokumentů </w:t>
      </w:r>
      <w:r w:rsidRPr="002663D7">
        <w:rPr>
          <w:rFonts w:ascii="Calibri" w:hAnsi="Calibri"/>
        </w:rPr>
        <w:t xml:space="preserve">MO umožnit úspěšnou realizaci reformy MO, </w:t>
      </w:r>
      <w:r>
        <w:rPr>
          <w:rFonts w:ascii="Calibri" w:hAnsi="Calibri"/>
        </w:rPr>
        <w:t xml:space="preserve">resp. </w:t>
      </w:r>
      <w:r w:rsidRPr="002663D7">
        <w:rPr>
          <w:rFonts w:ascii="Calibri" w:hAnsi="Calibri"/>
        </w:rPr>
        <w:t>efektivní dlouhodobé plánování a rozvoj ozbrojených sil.</w:t>
      </w:r>
      <w:r w:rsidRPr="002663D7">
        <w:rPr>
          <w:rFonts w:ascii="Calibri" w:hAnsi="Calibri" w:cs="Calibri"/>
          <w:color w:val="000000"/>
          <w:spacing w:val="-3"/>
        </w:rPr>
        <w:t xml:space="preserve"> </w:t>
      </w:r>
      <w:r w:rsidRPr="002663D7">
        <w:rPr>
          <w:rFonts w:ascii="Calibri" w:hAnsi="Calibri"/>
        </w:rPr>
        <w:t xml:space="preserve">K tomu však nedošlo, </w:t>
      </w:r>
      <w:r w:rsidRPr="002663D7">
        <w:rPr>
          <w:rFonts w:ascii="Calibri" w:hAnsi="Calibri" w:cs="Calibri"/>
          <w:color w:val="000000"/>
          <w:spacing w:val="-3"/>
        </w:rPr>
        <w:t xml:space="preserve">podíl výdajů osciloval kolem výše uvedené hodnoty </w:t>
      </w:r>
      <w:r>
        <w:rPr>
          <w:rFonts w:ascii="Calibri" w:hAnsi="Calibri" w:cs="Calibri"/>
          <w:color w:val="000000"/>
          <w:spacing w:val="-3"/>
        </w:rPr>
        <w:t>jen</w:t>
      </w:r>
      <w:r w:rsidRPr="002663D7">
        <w:rPr>
          <w:rFonts w:ascii="Calibri" w:hAnsi="Calibri" w:cs="Calibri"/>
          <w:color w:val="000000"/>
          <w:spacing w:val="-3"/>
        </w:rPr>
        <w:t xml:space="preserve"> do roku 2005, </w:t>
      </w:r>
      <w:r w:rsidRPr="002663D7">
        <w:rPr>
          <w:rFonts w:ascii="Calibri" w:hAnsi="Calibri"/>
        </w:rPr>
        <w:t>poté kles</w:t>
      </w:r>
      <w:r>
        <w:rPr>
          <w:rFonts w:ascii="Calibri" w:hAnsi="Calibri"/>
        </w:rPr>
        <w:t>al</w:t>
      </w:r>
      <w:r w:rsidRPr="002663D7">
        <w:rPr>
          <w:rFonts w:ascii="Calibri" w:hAnsi="Calibri"/>
        </w:rPr>
        <w:t xml:space="preserve"> až pod hr</w:t>
      </w:r>
      <w:r>
        <w:rPr>
          <w:rFonts w:ascii="Calibri" w:hAnsi="Calibri"/>
        </w:rPr>
        <w:t>anici 1 % dosaženou v roce 2014 (tabulka č. 3).</w:t>
      </w:r>
    </w:p>
    <w:p w14:paraId="4CE1500D" w14:textId="3787F6B8" w:rsidR="00AE0D59" w:rsidRPr="002663D7" w:rsidRDefault="00AE0D59" w:rsidP="004247D4">
      <w:pPr>
        <w:shd w:val="clear" w:color="auto" w:fill="FFFFFF"/>
        <w:spacing w:after="40"/>
        <w:jc w:val="both"/>
        <w:rPr>
          <w:rFonts w:ascii="Calibri" w:hAnsi="Calibri" w:cs="Calibri"/>
          <w:b/>
          <w:color w:val="000000"/>
          <w:spacing w:val="-3"/>
        </w:rPr>
      </w:pPr>
      <w:r w:rsidRPr="002663D7">
        <w:rPr>
          <w:rFonts w:ascii="Calibri" w:hAnsi="Calibri" w:cs="Calibri"/>
          <w:b/>
          <w:color w:val="000000"/>
          <w:spacing w:val="-3"/>
        </w:rPr>
        <w:t>Tabulka č</w:t>
      </w:r>
      <w:r>
        <w:rPr>
          <w:rFonts w:ascii="Calibri" w:hAnsi="Calibri" w:cs="Calibri"/>
          <w:b/>
          <w:color w:val="000000"/>
          <w:spacing w:val="-3"/>
        </w:rPr>
        <w:t>. 3</w:t>
      </w:r>
      <w:r w:rsidRPr="002663D7">
        <w:rPr>
          <w:rFonts w:ascii="Calibri" w:hAnsi="Calibri" w:cs="Calibri"/>
          <w:b/>
          <w:color w:val="000000"/>
          <w:spacing w:val="-3"/>
        </w:rPr>
        <w:t xml:space="preserve"> </w:t>
      </w:r>
      <w:r w:rsidR="000C438C">
        <w:rPr>
          <w:rFonts w:ascii="Calibri" w:hAnsi="Calibri" w:cs="Calibri"/>
          <w:b/>
          <w:color w:val="000000"/>
          <w:spacing w:val="-3"/>
        </w:rPr>
        <w:t>–</w:t>
      </w:r>
      <w:r w:rsidRPr="002663D7">
        <w:rPr>
          <w:rFonts w:ascii="Calibri" w:hAnsi="Calibri" w:cs="Calibri"/>
          <w:b/>
          <w:color w:val="000000"/>
          <w:spacing w:val="-3"/>
        </w:rPr>
        <w:t xml:space="preserve"> Pod</w:t>
      </w:r>
      <w:r>
        <w:rPr>
          <w:rFonts w:ascii="Calibri" w:hAnsi="Calibri" w:cs="Calibri"/>
          <w:b/>
          <w:color w:val="000000"/>
          <w:spacing w:val="-3"/>
        </w:rPr>
        <w:t>íl výdajů na obranu ČR</w:t>
      </w:r>
    </w:p>
    <w:tbl>
      <w:tblPr>
        <w:tblW w:w="49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3"/>
        <w:gridCol w:w="652"/>
        <w:gridCol w:w="653"/>
        <w:gridCol w:w="653"/>
        <w:gridCol w:w="653"/>
        <w:gridCol w:w="653"/>
        <w:gridCol w:w="653"/>
        <w:gridCol w:w="653"/>
        <w:gridCol w:w="653"/>
        <w:gridCol w:w="653"/>
        <w:gridCol w:w="653"/>
        <w:gridCol w:w="653"/>
        <w:gridCol w:w="727"/>
      </w:tblGrid>
      <w:tr w:rsidR="008D1BCD" w:rsidRPr="008D1BCD" w14:paraId="41E2E1EA" w14:textId="77777777" w:rsidTr="008D1BCD">
        <w:trPr>
          <w:trHeight w:val="300"/>
          <w:jc w:val="center"/>
        </w:trPr>
        <w:tc>
          <w:tcPr>
            <w:tcW w:w="627" w:type="pct"/>
            <w:shd w:val="clear" w:color="auto" w:fill="DDD6E7"/>
            <w:noWrap/>
            <w:vAlign w:val="center"/>
            <w:hideMark/>
          </w:tcPr>
          <w:p w14:paraId="7AC8DCF8" w14:textId="77777777" w:rsidR="00AE0D59" w:rsidRPr="008D1BCD" w:rsidRDefault="00AE0D59" w:rsidP="00AE0D5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D1BCD">
              <w:rPr>
                <w:rFonts w:ascii="Calibri" w:hAnsi="Calibri" w:cs="Calibri"/>
                <w:b/>
                <w:sz w:val="20"/>
                <w:szCs w:val="20"/>
              </w:rPr>
              <w:t>Rok</w:t>
            </w:r>
          </w:p>
        </w:tc>
        <w:tc>
          <w:tcPr>
            <w:tcW w:w="361" w:type="pct"/>
            <w:shd w:val="clear" w:color="auto" w:fill="DDD6E7"/>
            <w:noWrap/>
            <w:vAlign w:val="center"/>
            <w:hideMark/>
          </w:tcPr>
          <w:p w14:paraId="06D22150" w14:textId="77777777" w:rsidR="00AE0D59" w:rsidRPr="008D1BCD" w:rsidRDefault="00AE0D59" w:rsidP="00AE0D5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D1BCD">
              <w:rPr>
                <w:rFonts w:ascii="Calibri" w:hAnsi="Calibri" w:cs="Calibri"/>
                <w:b/>
                <w:sz w:val="20"/>
                <w:szCs w:val="20"/>
              </w:rPr>
              <w:t>2005</w:t>
            </w:r>
          </w:p>
        </w:tc>
        <w:tc>
          <w:tcPr>
            <w:tcW w:w="361" w:type="pct"/>
            <w:shd w:val="clear" w:color="auto" w:fill="DDD6E7"/>
            <w:noWrap/>
            <w:vAlign w:val="center"/>
            <w:hideMark/>
          </w:tcPr>
          <w:p w14:paraId="4654C06C" w14:textId="77777777" w:rsidR="00AE0D59" w:rsidRPr="008D1BCD" w:rsidRDefault="00AE0D59" w:rsidP="00AE0D5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D1BCD">
              <w:rPr>
                <w:rFonts w:ascii="Calibri" w:hAnsi="Calibri" w:cs="Calibri"/>
                <w:b/>
                <w:sz w:val="20"/>
                <w:szCs w:val="20"/>
              </w:rPr>
              <w:t>2006</w:t>
            </w:r>
          </w:p>
        </w:tc>
        <w:tc>
          <w:tcPr>
            <w:tcW w:w="361" w:type="pct"/>
            <w:shd w:val="clear" w:color="auto" w:fill="DDD6E7"/>
            <w:noWrap/>
            <w:vAlign w:val="center"/>
            <w:hideMark/>
          </w:tcPr>
          <w:p w14:paraId="3C66B837" w14:textId="77777777" w:rsidR="00AE0D59" w:rsidRPr="008D1BCD" w:rsidRDefault="00AE0D59" w:rsidP="00AE0D5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D1BCD">
              <w:rPr>
                <w:rFonts w:ascii="Calibri" w:hAnsi="Calibri" w:cs="Calibri"/>
                <w:b/>
                <w:sz w:val="20"/>
                <w:szCs w:val="20"/>
              </w:rPr>
              <w:t>2007</w:t>
            </w:r>
          </w:p>
        </w:tc>
        <w:tc>
          <w:tcPr>
            <w:tcW w:w="361" w:type="pct"/>
            <w:shd w:val="clear" w:color="auto" w:fill="DDD6E7"/>
            <w:noWrap/>
            <w:vAlign w:val="center"/>
            <w:hideMark/>
          </w:tcPr>
          <w:p w14:paraId="4BB5ECAC" w14:textId="77777777" w:rsidR="00AE0D59" w:rsidRPr="008D1BCD" w:rsidRDefault="00AE0D59" w:rsidP="00AE0D5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D1BCD">
              <w:rPr>
                <w:rFonts w:ascii="Calibri" w:hAnsi="Calibri" w:cs="Calibri"/>
                <w:b/>
                <w:sz w:val="20"/>
                <w:szCs w:val="20"/>
              </w:rPr>
              <w:t>2008</w:t>
            </w:r>
          </w:p>
        </w:tc>
        <w:tc>
          <w:tcPr>
            <w:tcW w:w="361" w:type="pct"/>
            <w:shd w:val="clear" w:color="auto" w:fill="DDD6E7"/>
            <w:noWrap/>
            <w:vAlign w:val="center"/>
            <w:hideMark/>
          </w:tcPr>
          <w:p w14:paraId="1D456265" w14:textId="77777777" w:rsidR="00AE0D59" w:rsidRPr="008D1BCD" w:rsidRDefault="00AE0D59" w:rsidP="00AE0D5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D1BCD">
              <w:rPr>
                <w:rFonts w:ascii="Calibri" w:hAnsi="Calibri" w:cs="Calibri"/>
                <w:b/>
                <w:sz w:val="20"/>
                <w:szCs w:val="20"/>
              </w:rPr>
              <w:t>2009</w:t>
            </w:r>
          </w:p>
        </w:tc>
        <w:tc>
          <w:tcPr>
            <w:tcW w:w="361" w:type="pct"/>
            <w:shd w:val="clear" w:color="auto" w:fill="DDD6E7"/>
            <w:noWrap/>
            <w:vAlign w:val="center"/>
            <w:hideMark/>
          </w:tcPr>
          <w:p w14:paraId="09DC835A" w14:textId="77777777" w:rsidR="00AE0D59" w:rsidRPr="008D1BCD" w:rsidRDefault="00AE0D59" w:rsidP="00AE0D5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D1BCD">
              <w:rPr>
                <w:rFonts w:ascii="Calibri" w:hAnsi="Calibri" w:cs="Calibri"/>
                <w:b/>
                <w:sz w:val="20"/>
                <w:szCs w:val="20"/>
              </w:rPr>
              <w:t>2010</w:t>
            </w:r>
          </w:p>
        </w:tc>
        <w:tc>
          <w:tcPr>
            <w:tcW w:w="361" w:type="pct"/>
            <w:shd w:val="clear" w:color="auto" w:fill="DDD6E7"/>
            <w:noWrap/>
            <w:vAlign w:val="center"/>
            <w:hideMark/>
          </w:tcPr>
          <w:p w14:paraId="6BA7D22F" w14:textId="77777777" w:rsidR="00AE0D59" w:rsidRPr="008D1BCD" w:rsidRDefault="00AE0D59" w:rsidP="00AE0D5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D1BCD">
              <w:rPr>
                <w:rFonts w:ascii="Calibri" w:hAnsi="Calibri" w:cs="Calibri"/>
                <w:b/>
                <w:sz w:val="20"/>
                <w:szCs w:val="20"/>
              </w:rPr>
              <w:t>2011</w:t>
            </w:r>
          </w:p>
        </w:tc>
        <w:tc>
          <w:tcPr>
            <w:tcW w:w="361" w:type="pct"/>
            <w:shd w:val="clear" w:color="auto" w:fill="DDD6E7"/>
            <w:noWrap/>
            <w:vAlign w:val="center"/>
            <w:hideMark/>
          </w:tcPr>
          <w:p w14:paraId="203741A6" w14:textId="77777777" w:rsidR="00AE0D59" w:rsidRPr="008D1BCD" w:rsidRDefault="00AE0D59" w:rsidP="00AE0D5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D1BCD">
              <w:rPr>
                <w:rFonts w:ascii="Calibri" w:hAnsi="Calibri" w:cs="Calibri"/>
                <w:b/>
                <w:sz w:val="20"/>
                <w:szCs w:val="20"/>
              </w:rPr>
              <w:t>2012</w:t>
            </w:r>
          </w:p>
        </w:tc>
        <w:tc>
          <w:tcPr>
            <w:tcW w:w="361" w:type="pct"/>
            <w:shd w:val="clear" w:color="auto" w:fill="DDD6E7"/>
            <w:noWrap/>
            <w:vAlign w:val="center"/>
            <w:hideMark/>
          </w:tcPr>
          <w:p w14:paraId="02DE386D" w14:textId="77777777" w:rsidR="00AE0D59" w:rsidRPr="008D1BCD" w:rsidRDefault="00AE0D59" w:rsidP="00AE0D5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D1BCD">
              <w:rPr>
                <w:rFonts w:ascii="Calibri" w:hAnsi="Calibri" w:cs="Calibri"/>
                <w:b/>
                <w:sz w:val="20"/>
                <w:szCs w:val="20"/>
              </w:rPr>
              <w:t>2013</w:t>
            </w:r>
          </w:p>
        </w:tc>
        <w:tc>
          <w:tcPr>
            <w:tcW w:w="361" w:type="pct"/>
            <w:shd w:val="clear" w:color="auto" w:fill="DDD6E7"/>
            <w:noWrap/>
            <w:vAlign w:val="center"/>
            <w:hideMark/>
          </w:tcPr>
          <w:p w14:paraId="22276D24" w14:textId="77777777" w:rsidR="00AE0D59" w:rsidRPr="008D1BCD" w:rsidRDefault="00AE0D59" w:rsidP="00AE0D5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D1BCD">
              <w:rPr>
                <w:rFonts w:ascii="Calibri" w:hAnsi="Calibri" w:cs="Calibri"/>
                <w:b/>
                <w:sz w:val="20"/>
                <w:szCs w:val="20"/>
              </w:rPr>
              <w:t>2014</w:t>
            </w:r>
          </w:p>
        </w:tc>
        <w:tc>
          <w:tcPr>
            <w:tcW w:w="361" w:type="pct"/>
            <w:shd w:val="clear" w:color="auto" w:fill="DDD6E7"/>
            <w:noWrap/>
            <w:vAlign w:val="center"/>
            <w:hideMark/>
          </w:tcPr>
          <w:p w14:paraId="5D92B2C1" w14:textId="77777777" w:rsidR="00AE0D59" w:rsidRPr="008D1BCD" w:rsidRDefault="00AE0D59" w:rsidP="00AE0D5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D1BCD">
              <w:rPr>
                <w:rFonts w:ascii="Calibri" w:hAnsi="Calibri" w:cs="Calibri"/>
                <w:b/>
                <w:sz w:val="20"/>
                <w:szCs w:val="20"/>
              </w:rPr>
              <w:t>2015</w:t>
            </w:r>
          </w:p>
        </w:tc>
        <w:tc>
          <w:tcPr>
            <w:tcW w:w="405" w:type="pct"/>
            <w:shd w:val="clear" w:color="auto" w:fill="DDD6E7"/>
            <w:noWrap/>
            <w:vAlign w:val="center"/>
            <w:hideMark/>
          </w:tcPr>
          <w:p w14:paraId="5FE07B31" w14:textId="77777777" w:rsidR="00AE0D59" w:rsidRPr="008D1BCD" w:rsidRDefault="00AE0D59" w:rsidP="00AE0D5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D1BCD">
              <w:rPr>
                <w:rFonts w:ascii="Calibri" w:hAnsi="Calibri" w:cs="Calibri"/>
                <w:b/>
                <w:sz w:val="20"/>
                <w:szCs w:val="20"/>
              </w:rPr>
              <w:t>2016</w:t>
            </w:r>
            <w:r w:rsidRPr="008D1BCD">
              <w:rPr>
                <w:rFonts w:ascii="Calibri" w:hAnsi="Calibri" w:cs="Calibri"/>
                <w:sz w:val="20"/>
                <w:szCs w:val="20"/>
              </w:rPr>
              <w:t>*</w:t>
            </w:r>
          </w:p>
        </w:tc>
      </w:tr>
      <w:tr w:rsidR="008D1BCD" w:rsidRPr="008D1BCD" w14:paraId="5BFC35C6" w14:textId="77777777" w:rsidTr="008D1BCD">
        <w:trPr>
          <w:trHeight w:val="300"/>
          <w:jc w:val="center"/>
        </w:trPr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3801A30D" w14:textId="77777777" w:rsidR="00AE0D59" w:rsidRPr="008D1BCD" w:rsidRDefault="00AE0D59" w:rsidP="00AE0D5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D1BCD">
              <w:rPr>
                <w:rFonts w:ascii="Calibri" w:hAnsi="Calibri" w:cs="Calibri"/>
                <w:color w:val="000000"/>
                <w:spacing w:val="-3"/>
                <w:sz w:val="20"/>
                <w:szCs w:val="20"/>
              </w:rPr>
              <w:t>% na HDP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31D909C8" w14:textId="77777777" w:rsidR="00AE0D59" w:rsidRPr="008D1BCD" w:rsidRDefault="00AE0D59" w:rsidP="00AE0D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D1BCD">
              <w:rPr>
                <w:rFonts w:ascii="Calibri" w:hAnsi="Calibri" w:cs="Calibri"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6E59123F" w14:textId="77777777" w:rsidR="00AE0D59" w:rsidRPr="008D1BCD" w:rsidRDefault="00AE0D59" w:rsidP="00AE0D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D1BCD">
              <w:rPr>
                <w:rFonts w:ascii="Calibri" w:hAnsi="Calibri" w:cs="Calibri"/>
                <w:color w:val="000000"/>
                <w:sz w:val="20"/>
                <w:szCs w:val="20"/>
              </w:rPr>
              <w:t>1,72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6A1DFDDC" w14:textId="77777777" w:rsidR="00AE0D59" w:rsidRPr="008D1BCD" w:rsidRDefault="00AE0D59" w:rsidP="00AE0D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D1BCD">
              <w:rPr>
                <w:rFonts w:ascii="Calibri" w:hAnsi="Calibri" w:cs="Calibri"/>
                <w:color w:val="000000"/>
                <w:sz w:val="20"/>
                <w:szCs w:val="20"/>
              </w:rPr>
              <w:t>1,55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1BA0CE3F" w14:textId="77777777" w:rsidR="00AE0D59" w:rsidRPr="008D1BCD" w:rsidRDefault="00AE0D59" w:rsidP="00AE0D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D1BCD">
              <w:rPr>
                <w:rFonts w:ascii="Calibri" w:hAnsi="Calibri" w:cs="Calibri"/>
                <w:color w:val="000000"/>
                <w:sz w:val="20"/>
                <w:szCs w:val="20"/>
              </w:rPr>
              <w:t>1,35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0314FAE4" w14:textId="77777777" w:rsidR="00AE0D59" w:rsidRPr="008D1BCD" w:rsidRDefault="00AE0D59" w:rsidP="00AE0D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D1BCD">
              <w:rPr>
                <w:rFonts w:ascii="Calibri" w:hAnsi="Calibri" w:cs="Calibri"/>
                <w:color w:val="000000"/>
                <w:sz w:val="20"/>
                <w:szCs w:val="20"/>
              </w:rPr>
              <w:t>1,43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56E9B28D" w14:textId="77777777" w:rsidR="00AE0D59" w:rsidRPr="008D1BCD" w:rsidRDefault="00AE0D59" w:rsidP="00AE0D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D1BCD">
              <w:rPr>
                <w:rFonts w:ascii="Calibri" w:hAnsi="Calibri" w:cs="Calibri"/>
                <w:color w:val="000000"/>
                <w:sz w:val="20"/>
                <w:szCs w:val="20"/>
              </w:rPr>
              <w:t>1,29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5E73AE21" w14:textId="77777777" w:rsidR="00AE0D59" w:rsidRPr="008D1BCD" w:rsidRDefault="00AE0D59" w:rsidP="00AE0D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D1BCD">
              <w:rPr>
                <w:rFonts w:ascii="Calibri" w:hAnsi="Calibri" w:cs="Calibri"/>
                <w:color w:val="000000"/>
                <w:sz w:val="20"/>
                <w:szCs w:val="20"/>
              </w:rPr>
              <w:t>1,17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16EC0FD7" w14:textId="77777777" w:rsidR="00AE0D59" w:rsidRPr="008D1BCD" w:rsidRDefault="00AE0D59" w:rsidP="00AE0D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D1BCD">
              <w:rPr>
                <w:rFonts w:ascii="Calibri" w:hAnsi="Calibri" w:cs="Calibri"/>
                <w:color w:val="000000"/>
                <w:sz w:val="20"/>
                <w:szCs w:val="20"/>
              </w:rPr>
              <w:t>1,10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79287B80" w14:textId="77777777" w:rsidR="00AE0D59" w:rsidRPr="008D1BCD" w:rsidRDefault="00AE0D59" w:rsidP="00AE0D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D1BCD">
              <w:rPr>
                <w:rFonts w:ascii="Calibri" w:hAnsi="Calibri" w:cs="Calibri"/>
                <w:color w:val="000000"/>
                <w:sz w:val="20"/>
                <w:szCs w:val="20"/>
              </w:rPr>
              <w:t>1,06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2116D9E2" w14:textId="77777777" w:rsidR="00AE0D59" w:rsidRPr="008D1BCD" w:rsidRDefault="00AE0D59" w:rsidP="00AE0D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D1BCD">
              <w:rPr>
                <w:rFonts w:ascii="Calibri" w:hAnsi="Calibri" w:cs="Calibri"/>
                <w:color w:val="000000"/>
                <w:sz w:val="20"/>
                <w:szCs w:val="20"/>
              </w:rPr>
              <w:t>0,91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04B17AA9" w14:textId="77777777" w:rsidR="00AE0D59" w:rsidRPr="008D1BCD" w:rsidRDefault="00AE0D59" w:rsidP="00AE0D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D1BCD">
              <w:rPr>
                <w:rFonts w:ascii="Calibri" w:hAnsi="Calibri" w:cs="Calibri"/>
                <w:color w:val="000000"/>
                <w:sz w:val="20"/>
                <w:szCs w:val="20"/>
              </w:rPr>
              <w:t>0,96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27BB6AC8" w14:textId="77777777" w:rsidR="00AE0D59" w:rsidRPr="008D1BCD" w:rsidRDefault="00AE0D59" w:rsidP="00AE0D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D1BCD">
              <w:rPr>
                <w:rFonts w:ascii="Calibri" w:hAnsi="Calibri" w:cs="Calibri"/>
                <w:color w:val="000000"/>
                <w:sz w:val="20"/>
                <w:szCs w:val="20"/>
              </w:rPr>
              <w:t>1,03</w:t>
            </w:r>
          </w:p>
        </w:tc>
      </w:tr>
    </w:tbl>
    <w:p w14:paraId="60820704" w14:textId="77777777" w:rsidR="005523F1" w:rsidRDefault="00AE0D59" w:rsidP="005523F1">
      <w:pPr>
        <w:shd w:val="clear" w:color="auto" w:fill="FFFFFF"/>
        <w:spacing w:before="40"/>
        <w:jc w:val="both"/>
        <w:rPr>
          <w:rFonts w:ascii="Calibri" w:hAnsi="Calibri" w:cs="Calibri"/>
          <w:color w:val="000000"/>
          <w:spacing w:val="-3"/>
          <w:sz w:val="20"/>
          <w:szCs w:val="20"/>
        </w:rPr>
      </w:pPr>
      <w:r w:rsidRPr="004B3CE2">
        <w:rPr>
          <w:rFonts w:ascii="Calibri" w:hAnsi="Calibri" w:cs="Calibri"/>
          <w:color w:val="000000"/>
          <w:spacing w:val="-3"/>
          <w:sz w:val="20"/>
          <w:szCs w:val="20"/>
        </w:rPr>
        <w:t xml:space="preserve">* Schválený rozpočet. </w:t>
      </w:r>
    </w:p>
    <w:p w14:paraId="75A7D2D4" w14:textId="7753FE4A" w:rsidR="00AE0D59" w:rsidRPr="004B3CE2" w:rsidRDefault="00AE0D59" w:rsidP="005523F1">
      <w:pPr>
        <w:shd w:val="clear" w:color="auto" w:fill="FFFFFF"/>
        <w:spacing w:after="120"/>
        <w:jc w:val="both"/>
        <w:rPr>
          <w:rFonts w:ascii="Calibri" w:hAnsi="Calibri" w:cs="Calibri"/>
          <w:color w:val="000000"/>
          <w:spacing w:val="-3"/>
          <w:sz w:val="20"/>
          <w:szCs w:val="20"/>
        </w:rPr>
      </w:pPr>
      <w:r w:rsidRPr="00434EF9">
        <w:rPr>
          <w:rFonts w:ascii="Calibri" w:hAnsi="Calibri" w:cs="Calibri"/>
          <w:b/>
          <w:color w:val="000000"/>
          <w:spacing w:val="-3"/>
          <w:sz w:val="20"/>
          <w:szCs w:val="20"/>
        </w:rPr>
        <w:t>Zdroj:</w:t>
      </w:r>
      <w:r w:rsidRPr="004B3CE2">
        <w:rPr>
          <w:rFonts w:ascii="Calibri" w:hAnsi="Calibri" w:cs="Calibri"/>
          <w:color w:val="000000"/>
          <w:spacing w:val="-3"/>
          <w:sz w:val="20"/>
          <w:szCs w:val="20"/>
        </w:rPr>
        <w:t xml:space="preserve"> MO</w:t>
      </w:r>
      <w:r w:rsidR="000C438C">
        <w:rPr>
          <w:rFonts w:ascii="Calibri" w:hAnsi="Calibri" w:cs="Calibri"/>
          <w:color w:val="000000"/>
          <w:spacing w:val="-3"/>
          <w:sz w:val="20"/>
          <w:szCs w:val="20"/>
        </w:rPr>
        <w:t>.</w:t>
      </w:r>
    </w:p>
    <w:p w14:paraId="1CCE9379" w14:textId="41A3846C" w:rsidR="00F07EF1" w:rsidRDefault="00F07EF1" w:rsidP="004247D4">
      <w:pPr>
        <w:shd w:val="clear" w:color="auto" w:fill="FFFFFF"/>
        <w:spacing w:before="120" w:after="120"/>
        <w:jc w:val="both"/>
        <w:rPr>
          <w:rFonts w:ascii="Calibri" w:hAnsi="Calibri"/>
        </w:rPr>
      </w:pPr>
      <w:r>
        <w:rPr>
          <w:rFonts w:ascii="Calibri" w:hAnsi="Calibri"/>
        </w:rPr>
        <w:t xml:space="preserve">Podíl výdajů na obranu </w:t>
      </w:r>
      <w:r w:rsidR="00E02779">
        <w:rPr>
          <w:rFonts w:ascii="Calibri" w:hAnsi="Calibri"/>
        </w:rPr>
        <w:t>ve vztahu k HDP byl v </w:t>
      </w:r>
      <w:r>
        <w:rPr>
          <w:rFonts w:ascii="Calibri" w:hAnsi="Calibri"/>
        </w:rPr>
        <w:t xml:space="preserve">ČR </w:t>
      </w:r>
      <w:r w:rsidRPr="002663D7">
        <w:rPr>
          <w:rFonts w:ascii="Calibri" w:hAnsi="Calibri"/>
        </w:rPr>
        <w:t>v k</w:t>
      </w:r>
      <w:r>
        <w:rPr>
          <w:rFonts w:ascii="Calibri" w:hAnsi="Calibri"/>
        </w:rPr>
        <w:t xml:space="preserve">ontrolovaném období </w:t>
      </w:r>
      <w:r w:rsidR="00990D4C">
        <w:rPr>
          <w:rFonts w:ascii="Calibri" w:hAnsi="Calibri"/>
        </w:rPr>
        <w:t>nedostatečný</w:t>
      </w:r>
      <w:r w:rsidR="00E02779">
        <w:rPr>
          <w:rFonts w:ascii="Calibri" w:hAnsi="Calibri"/>
        </w:rPr>
        <w:t xml:space="preserve"> i </w:t>
      </w:r>
      <w:r>
        <w:rPr>
          <w:rFonts w:ascii="Calibri" w:hAnsi="Calibri"/>
        </w:rPr>
        <w:t>z</w:t>
      </w:r>
      <w:r w:rsidR="00E02779">
        <w:rPr>
          <w:rFonts w:ascii="Calibri" w:hAnsi="Calibri"/>
        </w:rPr>
        <w:t> </w:t>
      </w:r>
      <w:r>
        <w:rPr>
          <w:rFonts w:ascii="Calibri" w:hAnsi="Calibri"/>
        </w:rPr>
        <w:t xml:space="preserve">hlediska porovnání </w:t>
      </w:r>
      <w:r w:rsidR="00E27726">
        <w:rPr>
          <w:rFonts w:ascii="Calibri" w:hAnsi="Calibri"/>
        </w:rPr>
        <w:t xml:space="preserve">např. </w:t>
      </w:r>
      <w:r>
        <w:rPr>
          <w:rFonts w:ascii="Calibri" w:hAnsi="Calibri"/>
        </w:rPr>
        <w:t>s</w:t>
      </w:r>
      <w:r w:rsidR="00E27726">
        <w:rPr>
          <w:rFonts w:ascii="Calibri" w:hAnsi="Calibri"/>
        </w:rPr>
        <w:t> </w:t>
      </w:r>
      <w:r w:rsidR="00990D4C">
        <w:rPr>
          <w:rFonts w:ascii="Calibri" w:hAnsi="Calibri"/>
        </w:rPr>
        <w:t>průměrem</w:t>
      </w:r>
      <w:r>
        <w:rPr>
          <w:rFonts w:ascii="Calibri" w:hAnsi="Calibri"/>
        </w:rPr>
        <w:t xml:space="preserve"> </w:t>
      </w:r>
      <w:r w:rsidR="00E27726">
        <w:rPr>
          <w:rFonts w:ascii="Calibri" w:hAnsi="Calibri"/>
        </w:rPr>
        <w:t xml:space="preserve">evropských </w:t>
      </w:r>
      <w:r w:rsidRPr="002663D7">
        <w:rPr>
          <w:rFonts w:ascii="Calibri" w:hAnsi="Calibri"/>
        </w:rPr>
        <w:t>členských států NATO</w:t>
      </w:r>
      <w:r w:rsidR="00E27726">
        <w:rPr>
          <w:rFonts w:ascii="Calibri" w:hAnsi="Calibri"/>
        </w:rPr>
        <w:t xml:space="preserve"> </w:t>
      </w:r>
      <w:r>
        <w:rPr>
          <w:rFonts w:ascii="Calibri" w:hAnsi="Calibri"/>
        </w:rPr>
        <w:t>(</w:t>
      </w:r>
      <w:r w:rsidR="00E02779">
        <w:rPr>
          <w:rFonts w:ascii="Calibri" w:hAnsi="Calibri"/>
        </w:rPr>
        <w:t xml:space="preserve">viz </w:t>
      </w:r>
      <w:r>
        <w:rPr>
          <w:rFonts w:ascii="Calibri" w:hAnsi="Calibri"/>
        </w:rPr>
        <w:t>graf č. 1).</w:t>
      </w:r>
    </w:p>
    <w:p w14:paraId="1492A706" w14:textId="50357589" w:rsidR="00AE0D59" w:rsidRPr="002663D7" w:rsidRDefault="00A13E21" w:rsidP="004247D4">
      <w:pPr>
        <w:spacing w:before="120" w:after="40"/>
        <w:rPr>
          <w:rFonts w:ascii="Calibri" w:hAnsi="Calibri" w:cs="Calibri"/>
          <w:b/>
          <w:color w:val="000000"/>
          <w:spacing w:val="-3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1916546C" wp14:editId="61BA828A">
            <wp:simplePos x="0" y="0"/>
            <wp:positionH relativeFrom="margin">
              <wp:posOffset>-8255</wp:posOffset>
            </wp:positionH>
            <wp:positionV relativeFrom="paragraph">
              <wp:posOffset>258445</wp:posOffset>
            </wp:positionV>
            <wp:extent cx="5617845" cy="1981835"/>
            <wp:effectExtent l="0" t="0" r="1905" b="0"/>
            <wp:wrapTopAndBottom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0BEC">
        <w:rPr>
          <w:rFonts w:ascii="Calibri" w:hAnsi="Calibri" w:cs="Calibri"/>
          <w:b/>
          <w:color w:val="000000"/>
          <w:spacing w:val="-3"/>
        </w:rPr>
        <w:t>G</w:t>
      </w:r>
      <w:r w:rsidR="00AE0D59" w:rsidRPr="002663D7">
        <w:rPr>
          <w:rFonts w:ascii="Calibri" w:hAnsi="Calibri" w:cs="Calibri"/>
          <w:b/>
          <w:color w:val="000000"/>
          <w:spacing w:val="-3"/>
        </w:rPr>
        <w:t>raf č</w:t>
      </w:r>
      <w:r w:rsidR="00AE0D59">
        <w:rPr>
          <w:rFonts w:ascii="Calibri" w:hAnsi="Calibri" w:cs="Calibri"/>
          <w:b/>
          <w:color w:val="000000"/>
          <w:spacing w:val="-3"/>
        </w:rPr>
        <w:t>. 1</w:t>
      </w:r>
      <w:r w:rsidR="00AE0D59" w:rsidRPr="002663D7">
        <w:rPr>
          <w:rFonts w:ascii="Calibri" w:hAnsi="Calibri" w:cs="Calibri"/>
          <w:b/>
          <w:color w:val="000000"/>
          <w:spacing w:val="-3"/>
        </w:rPr>
        <w:t xml:space="preserve"> </w:t>
      </w:r>
      <w:r w:rsidR="000C438C">
        <w:rPr>
          <w:rFonts w:ascii="Calibri" w:hAnsi="Calibri" w:cs="Calibri"/>
          <w:b/>
          <w:color w:val="000000"/>
          <w:spacing w:val="-3"/>
        </w:rPr>
        <w:t>–</w:t>
      </w:r>
      <w:r w:rsidR="00AE0D59" w:rsidRPr="002663D7">
        <w:rPr>
          <w:rFonts w:ascii="Calibri" w:hAnsi="Calibri" w:cs="Calibri"/>
          <w:b/>
          <w:color w:val="000000"/>
          <w:spacing w:val="-3"/>
        </w:rPr>
        <w:t xml:space="preserve"> </w:t>
      </w:r>
      <w:r w:rsidR="00AE0D59">
        <w:rPr>
          <w:rFonts w:ascii="Calibri" w:hAnsi="Calibri" w:cs="Calibri"/>
          <w:b/>
          <w:color w:val="000000"/>
          <w:spacing w:val="-3"/>
        </w:rPr>
        <w:t xml:space="preserve">Srovnání výdajů na obranu ČR a </w:t>
      </w:r>
      <w:r w:rsidR="00AE0D59" w:rsidRPr="002663D7">
        <w:rPr>
          <w:rFonts w:ascii="Calibri" w:hAnsi="Calibri" w:cs="Calibri"/>
          <w:b/>
          <w:color w:val="000000"/>
          <w:spacing w:val="-3"/>
        </w:rPr>
        <w:t xml:space="preserve">vybraných států a uskupení </w:t>
      </w:r>
    </w:p>
    <w:p w14:paraId="4DB335DA" w14:textId="391BFFFF" w:rsidR="00A13E21" w:rsidRDefault="00A13E21" w:rsidP="00A13E21">
      <w:pPr>
        <w:shd w:val="clear" w:color="auto" w:fill="FFFFFF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* </w:t>
      </w:r>
      <w:r w:rsidR="005523F1">
        <w:rPr>
          <w:rFonts w:ascii="Calibri" w:hAnsi="Calibri"/>
          <w:sz w:val="20"/>
          <w:szCs w:val="20"/>
        </w:rPr>
        <w:t>O</w:t>
      </w:r>
      <w:r>
        <w:rPr>
          <w:rFonts w:ascii="Calibri" w:hAnsi="Calibri"/>
          <w:sz w:val="20"/>
          <w:szCs w:val="20"/>
        </w:rPr>
        <w:t>dhad</w:t>
      </w:r>
      <w:r w:rsidR="00434EF9">
        <w:rPr>
          <w:rFonts w:ascii="Calibri" w:hAnsi="Calibri"/>
          <w:sz w:val="20"/>
          <w:szCs w:val="20"/>
        </w:rPr>
        <w:t xml:space="preserve"> </w:t>
      </w:r>
    </w:p>
    <w:p w14:paraId="7BD4B4D3" w14:textId="538C6987" w:rsidR="00AE0D59" w:rsidRDefault="00AE0D59" w:rsidP="00434EF9">
      <w:pPr>
        <w:spacing w:after="120"/>
        <w:rPr>
          <w:rStyle w:val="Hypertextovodkaz"/>
          <w:rFonts w:asciiTheme="minorHAnsi" w:hAnsiTheme="minorHAnsi"/>
          <w:color w:val="auto"/>
          <w:sz w:val="20"/>
          <w:szCs w:val="20"/>
          <w:u w:val="none"/>
        </w:rPr>
      </w:pPr>
      <w:r w:rsidRPr="00434EF9">
        <w:rPr>
          <w:rFonts w:ascii="Calibri" w:hAnsi="Calibri"/>
          <w:b/>
          <w:sz w:val="20"/>
          <w:szCs w:val="20"/>
        </w:rPr>
        <w:t>Zdroj:</w:t>
      </w:r>
      <w:r w:rsidRPr="00965E6A">
        <w:rPr>
          <w:rFonts w:ascii="Calibri" w:hAnsi="Calibri"/>
          <w:sz w:val="20"/>
          <w:szCs w:val="20"/>
        </w:rPr>
        <w:t xml:space="preserve"> </w:t>
      </w:r>
      <w:proofErr w:type="spellStart"/>
      <w:r w:rsidRPr="00965E6A">
        <w:rPr>
          <w:rFonts w:asciiTheme="minorHAnsi" w:hAnsiTheme="minorHAnsi"/>
          <w:sz w:val="20"/>
          <w:szCs w:val="20"/>
        </w:rPr>
        <w:t>Defence</w:t>
      </w:r>
      <w:proofErr w:type="spellEnd"/>
      <w:r w:rsidRPr="00965E6A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965E6A">
        <w:rPr>
          <w:rFonts w:asciiTheme="minorHAnsi" w:hAnsiTheme="minorHAnsi"/>
          <w:sz w:val="20"/>
          <w:szCs w:val="20"/>
        </w:rPr>
        <w:t>Expenditures</w:t>
      </w:r>
      <w:proofErr w:type="spellEnd"/>
      <w:r w:rsidRPr="00965E6A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965E6A">
        <w:rPr>
          <w:rFonts w:asciiTheme="minorHAnsi" w:hAnsiTheme="minorHAnsi"/>
          <w:sz w:val="20"/>
          <w:szCs w:val="20"/>
        </w:rPr>
        <w:t>of</w:t>
      </w:r>
      <w:proofErr w:type="spellEnd"/>
      <w:r w:rsidRPr="00965E6A">
        <w:rPr>
          <w:rFonts w:asciiTheme="minorHAnsi" w:hAnsiTheme="minorHAnsi"/>
          <w:sz w:val="20"/>
          <w:szCs w:val="20"/>
        </w:rPr>
        <w:t xml:space="preserve"> NATO </w:t>
      </w:r>
      <w:proofErr w:type="spellStart"/>
      <w:r w:rsidRPr="00965E6A">
        <w:rPr>
          <w:rFonts w:asciiTheme="minorHAnsi" w:hAnsiTheme="minorHAnsi"/>
          <w:sz w:val="20"/>
          <w:szCs w:val="20"/>
        </w:rPr>
        <w:t>Countries</w:t>
      </w:r>
      <w:proofErr w:type="spellEnd"/>
      <w:r w:rsidRPr="00965E6A">
        <w:rPr>
          <w:rFonts w:asciiTheme="minorHAnsi" w:hAnsiTheme="minorHAnsi"/>
          <w:sz w:val="20"/>
          <w:szCs w:val="20"/>
        </w:rPr>
        <w:t xml:space="preserve"> (2008</w:t>
      </w:r>
      <w:r w:rsidR="005523F1">
        <w:rPr>
          <w:rFonts w:asciiTheme="minorHAnsi" w:hAnsiTheme="minorHAnsi"/>
          <w:sz w:val="20"/>
          <w:szCs w:val="20"/>
        </w:rPr>
        <w:t>–</w:t>
      </w:r>
      <w:r w:rsidRPr="00965E6A">
        <w:rPr>
          <w:rFonts w:asciiTheme="minorHAnsi" w:hAnsiTheme="minorHAnsi"/>
          <w:sz w:val="20"/>
          <w:szCs w:val="20"/>
        </w:rPr>
        <w:t xml:space="preserve">2015) z 28. ledna 2016 </w:t>
      </w:r>
      <w:r w:rsidR="005523F1">
        <w:rPr>
          <w:rFonts w:asciiTheme="minorHAnsi" w:hAnsiTheme="minorHAnsi"/>
          <w:sz w:val="20"/>
          <w:szCs w:val="20"/>
        </w:rPr>
        <w:t>–</w:t>
      </w:r>
      <w:r w:rsidRPr="00965E6A">
        <w:rPr>
          <w:rFonts w:asciiTheme="minorHAnsi" w:hAnsiTheme="minorHAnsi"/>
          <w:sz w:val="20"/>
          <w:szCs w:val="20"/>
        </w:rPr>
        <w:t xml:space="preserve"> </w:t>
      </w:r>
      <w:r w:rsidR="005523F1">
        <w:rPr>
          <w:rFonts w:asciiTheme="minorHAnsi" w:hAnsiTheme="minorHAnsi"/>
          <w:sz w:val="20"/>
          <w:szCs w:val="20"/>
        </w:rPr>
        <w:t xml:space="preserve">viz </w:t>
      </w:r>
      <w:hyperlink r:id="rId15" w:history="1">
        <w:r w:rsidRPr="004F50DA">
          <w:rPr>
            <w:rStyle w:val="Hypertextovodkaz"/>
            <w:rFonts w:asciiTheme="minorHAnsi" w:hAnsiTheme="minorHAnsi"/>
            <w:color w:val="0070C0"/>
            <w:sz w:val="20"/>
            <w:szCs w:val="20"/>
            <w:u w:val="none"/>
          </w:rPr>
          <w:t>www.nato.int</w:t>
        </w:r>
      </w:hyperlink>
      <w:r w:rsidR="005523F1">
        <w:rPr>
          <w:rStyle w:val="Hypertextovodkaz"/>
          <w:rFonts w:asciiTheme="minorHAnsi" w:hAnsiTheme="minorHAnsi"/>
          <w:color w:val="auto"/>
          <w:sz w:val="20"/>
          <w:szCs w:val="20"/>
          <w:u w:val="none"/>
        </w:rPr>
        <w:t>.</w:t>
      </w:r>
    </w:p>
    <w:p w14:paraId="29BC31B9" w14:textId="0A59D333" w:rsidR="00AE0D59" w:rsidRDefault="00AE0D59" w:rsidP="00A13E21">
      <w:pPr>
        <w:spacing w:before="120" w:after="120"/>
        <w:jc w:val="both"/>
        <w:rPr>
          <w:rFonts w:ascii="Calibri" w:hAnsi="Calibri" w:cs="Calibri"/>
          <w:color w:val="000000"/>
        </w:rPr>
      </w:pPr>
      <w:r w:rsidRPr="002663D7">
        <w:rPr>
          <w:rFonts w:ascii="Calibri" w:hAnsi="Calibri" w:cstheme="minorHAnsi"/>
          <w:color w:val="000000"/>
        </w:rPr>
        <w:lastRenderedPageBreak/>
        <w:t>Kromě absolutní</w:t>
      </w:r>
      <w:r w:rsidR="00AF761C">
        <w:rPr>
          <w:rFonts w:ascii="Calibri" w:hAnsi="Calibri" w:cstheme="minorHAnsi"/>
          <w:color w:val="000000"/>
        </w:rPr>
        <w:t xml:space="preserve"> </w:t>
      </w:r>
      <w:r w:rsidR="00AF761C" w:rsidRPr="00D96FA2">
        <w:rPr>
          <w:rFonts w:ascii="Calibri" w:hAnsi="Calibri" w:cstheme="minorHAnsi"/>
          <w:color w:val="000000"/>
        </w:rPr>
        <w:t>výše</w:t>
      </w:r>
      <w:r w:rsidRPr="002663D7">
        <w:rPr>
          <w:rFonts w:ascii="Calibri" w:hAnsi="Calibri" w:cstheme="minorHAnsi"/>
          <w:color w:val="000000"/>
        </w:rPr>
        <w:t xml:space="preserve"> </w:t>
      </w:r>
      <w:r w:rsidR="00E02779">
        <w:rPr>
          <w:rFonts w:ascii="Calibri" w:hAnsi="Calibri" w:cstheme="minorHAnsi"/>
          <w:color w:val="000000"/>
        </w:rPr>
        <w:t>je u </w:t>
      </w:r>
      <w:r w:rsidRPr="002663D7">
        <w:rPr>
          <w:rFonts w:ascii="Calibri" w:hAnsi="Calibri" w:cstheme="minorHAnsi"/>
          <w:color w:val="000000"/>
        </w:rPr>
        <w:t xml:space="preserve">výdajů na obranu </w:t>
      </w:r>
      <w:r>
        <w:rPr>
          <w:rFonts w:ascii="Calibri" w:hAnsi="Calibri" w:cstheme="minorHAnsi"/>
          <w:color w:val="000000"/>
        </w:rPr>
        <w:t>důležitá</w:t>
      </w:r>
      <w:r w:rsidRPr="002663D7">
        <w:rPr>
          <w:rFonts w:ascii="Calibri" w:hAnsi="Calibri" w:cstheme="minorHAnsi"/>
          <w:color w:val="000000"/>
        </w:rPr>
        <w:t xml:space="preserve"> </w:t>
      </w:r>
      <w:r w:rsidR="00E02779">
        <w:rPr>
          <w:rFonts w:ascii="Calibri" w:hAnsi="Calibri" w:cstheme="minorHAnsi"/>
          <w:color w:val="000000"/>
        </w:rPr>
        <w:t xml:space="preserve">také </w:t>
      </w:r>
      <w:r w:rsidRPr="002663D7">
        <w:rPr>
          <w:rFonts w:ascii="Calibri" w:hAnsi="Calibri" w:cstheme="minorHAnsi"/>
          <w:color w:val="000000"/>
        </w:rPr>
        <w:t xml:space="preserve">jejich předvídatelnost. </w:t>
      </w:r>
      <w:r w:rsidRPr="002663D7">
        <w:rPr>
          <w:rFonts w:ascii="Calibri" w:hAnsi="Calibri" w:cs="Calibri"/>
          <w:color w:val="000000"/>
        </w:rPr>
        <w:t xml:space="preserve">K té mělo dle </w:t>
      </w:r>
      <w:r w:rsidRPr="00646B30">
        <w:rPr>
          <w:rFonts w:ascii="Calibri" w:hAnsi="Calibri" w:cs="Calibri"/>
          <w:color w:val="000000"/>
        </w:rPr>
        <w:t>BKO</w:t>
      </w:r>
      <w:r w:rsidRPr="002663D7">
        <w:rPr>
          <w:rFonts w:ascii="Calibri" w:hAnsi="Calibri" w:cs="Calibri"/>
          <w:color w:val="000000"/>
        </w:rPr>
        <w:t xml:space="preserve"> přispět </w:t>
      </w:r>
      <w:r>
        <w:rPr>
          <w:rFonts w:ascii="Calibri" w:hAnsi="Calibri" w:cs="Calibri"/>
          <w:color w:val="000000"/>
        </w:rPr>
        <w:t xml:space="preserve">i </w:t>
      </w:r>
      <w:r w:rsidRPr="002663D7">
        <w:rPr>
          <w:rFonts w:ascii="Calibri" w:hAnsi="Calibri" w:cs="Calibri"/>
          <w:color w:val="000000"/>
        </w:rPr>
        <w:t>prosazení institutu klouzavého střednědobého rozpočtového výhledu na období přesahující současn</w:t>
      </w:r>
      <w:r w:rsidR="00E02779">
        <w:rPr>
          <w:rFonts w:ascii="Calibri" w:hAnsi="Calibri" w:cs="Calibri"/>
          <w:color w:val="000000"/>
        </w:rPr>
        <w:t>ý formát</w:t>
      </w:r>
      <w:r w:rsidRPr="002663D7">
        <w:rPr>
          <w:rFonts w:ascii="Calibri" w:hAnsi="Calibri" w:cs="Calibri"/>
          <w:color w:val="000000"/>
        </w:rPr>
        <w:t xml:space="preserve"> </w:t>
      </w:r>
      <w:r w:rsidR="00F17563">
        <w:rPr>
          <w:rFonts w:ascii="Calibri" w:hAnsi="Calibri" w:cs="Calibri"/>
          <w:color w:val="000000"/>
        </w:rPr>
        <w:t>1</w:t>
      </w:r>
      <w:r w:rsidR="00E02779">
        <w:rPr>
          <w:rFonts w:ascii="Calibri" w:hAnsi="Calibri" w:cs="Calibri"/>
          <w:color w:val="000000"/>
        </w:rPr>
        <w:t> rok</w:t>
      </w:r>
      <w:r w:rsidR="00F17563">
        <w:rPr>
          <w:rFonts w:ascii="Calibri" w:hAnsi="Calibri" w:cs="Calibri"/>
          <w:color w:val="000000"/>
        </w:rPr>
        <w:t xml:space="preserve"> + 2 roky (po vzoru NATO např. </w:t>
      </w:r>
      <w:r w:rsidRPr="002663D7">
        <w:rPr>
          <w:rFonts w:ascii="Calibri" w:hAnsi="Calibri" w:cs="Calibri"/>
          <w:color w:val="000000"/>
        </w:rPr>
        <w:t>1 + 4 roky, tj.</w:t>
      </w:r>
      <w:r w:rsidR="00427F0D">
        <w:rPr>
          <w:rFonts w:ascii="Calibri" w:hAnsi="Calibri" w:cs="Calibri"/>
          <w:color w:val="000000"/>
        </w:rPr>
        <w:t> </w:t>
      </w:r>
      <w:r w:rsidRPr="002663D7">
        <w:rPr>
          <w:rFonts w:ascii="Calibri" w:hAnsi="Calibri" w:cs="Calibri"/>
          <w:color w:val="000000"/>
        </w:rPr>
        <w:t xml:space="preserve">běžný rozpočtový rok se čtyřletým výhledem). </w:t>
      </w:r>
      <w:r>
        <w:rPr>
          <w:rFonts w:ascii="Calibri" w:hAnsi="Calibri" w:cs="Calibri"/>
          <w:color w:val="000000"/>
        </w:rPr>
        <w:t xml:space="preserve">K tomu mělo dojít do konce roku 2013, </w:t>
      </w:r>
      <w:r w:rsidRPr="002663D7">
        <w:rPr>
          <w:rFonts w:ascii="Calibri" w:hAnsi="Calibri" w:cs="Calibri"/>
          <w:color w:val="000000"/>
        </w:rPr>
        <w:t xml:space="preserve">úkol </w:t>
      </w:r>
      <w:r>
        <w:rPr>
          <w:rFonts w:ascii="Calibri" w:hAnsi="Calibri" w:cs="Calibri"/>
          <w:color w:val="000000"/>
        </w:rPr>
        <w:t>však</w:t>
      </w:r>
      <w:r w:rsidRPr="002663D7">
        <w:rPr>
          <w:rFonts w:ascii="Calibri" w:hAnsi="Calibri" w:cs="Calibri"/>
          <w:color w:val="000000"/>
        </w:rPr>
        <w:t xml:space="preserve"> byl splněn </w:t>
      </w:r>
      <w:r>
        <w:rPr>
          <w:rFonts w:ascii="Calibri" w:hAnsi="Calibri" w:cs="Calibri"/>
          <w:color w:val="000000"/>
        </w:rPr>
        <w:t>pouze</w:t>
      </w:r>
      <w:r w:rsidRPr="002663D7">
        <w:rPr>
          <w:rFonts w:ascii="Calibri" w:hAnsi="Calibri" w:cs="Calibri"/>
          <w:color w:val="000000"/>
        </w:rPr>
        <w:t xml:space="preserve"> v rámci střednědobého plánování </w:t>
      </w:r>
      <w:r>
        <w:rPr>
          <w:rFonts w:ascii="Calibri" w:hAnsi="Calibri" w:cs="Calibri"/>
          <w:color w:val="000000"/>
        </w:rPr>
        <w:t xml:space="preserve">uvnitř </w:t>
      </w:r>
      <w:r w:rsidRPr="002663D7">
        <w:rPr>
          <w:rFonts w:ascii="Calibri" w:hAnsi="Calibri" w:cs="Calibri"/>
          <w:color w:val="000000"/>
        </w:rPr>
        <w:t xml:space="preserve">MO bez změny legislativního rámce. </w:t>
      </w:r>
    </w:p>
    <w:p w14:paraId="47567338" w14:textId="3B5692CA" w:rsidR="001B44B7" w:rsidRPr="00CE07E1" w:rsidRDefault="001B44B7" w:rsidP="00A13E21">
      <w:pPr>
        <w:pStyle w:val="Bezmezer"/>
        <w:numPr>
          <w:ilvl w:val="0"/>
          <w:numId w:val="22"/>
        </w:numPr>
        <w:spacing w:before="120" w:after="120"/>
        <w:ind w:left="357" w:hanging="357"/>
        <w:jc w:val="both"/>
        <w:rPr>
          <w:rFonts w:ascii="Calibri" w:hAnsi="Calibri" w:cstheme="minorHAnsi"/>
          <w:b/>
          <w:color w:val="000000" w:themeColor="text1"/>
          <w:sz w:val="24"/>
          <w:szCs w:val="24"/>
        </w:rPr>
      </w:pPr>
      <w:r>
        <w:rPr>
          <w:rFonts w:ascii="Calibri" w:hAnsi="Calibri" w:cstheme="minorHAnsi"/>
          <w:b/>
          <w:color w:val="000000" w:themeColor="text1"/>
          <w:sz w:val="24"/>
          <w:szCs w:val="24"/>
        </w:rPr>
        <w:t>Střednědobé plánování</w:t>
      </w:r>
    </w:p>
    <w:p w14:paraId="764C88F0" w14:textId="28E34EFB" w:rsidR="00AE0D59" w:rsidRDefault="00AE0D59" w:rsidP="00A13E21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Střednědobé </w:t>
      </w:r>
      <w:r w:rsidRPr="00EF7182">
        <w:rPr>
          <w:rFonts w:asciiTheme="minorHAnsi" w:hAnsiTheme="minorHAnsi"/>
        </w:rPr>
        <w:t>plánování</w:t>
      </w:r>
      <w:r>
        <w:rPr>
          <w:rFonts w:asciiTheme="minorHAnsi" w:hAnsiTheme="minorHAnsi"/>
        </w:rPr>
        <w:t xml:space="preserve"> poskytuje mj. odpověď na otázku, jaké</w:t>
      </w:r>
      <w:r w:rsidRPr="00EF7182">
        <w:rPr>
          <w:rFonts w:asciiTheme="minorHAnsi" w:hAnsiTheme="minorHAnsi"/>
        </w:rPr>
        <w:t xml:space="preserve"> schopnosti </w:t>
      </w:r>
      <w:r>
        <w:rPr>
          <w:rFonts w:asciiTheme="minorHAnsi" w:hAnsiTheme="minorHAnsi"/>
        </w:rPr>
        <w:t>ozbrojených sil je třeba ve střednědobém horizontu udržovat</w:t>
      </w:r>
      <w:r w:rsidR="00422042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resp. rozvíjet. </w:t>
      </w:r>
      <w:r w:rsidR="004316CE">
        <w:rPr>
          <w:rFonts w:asciiTheme="minorHAnsi" w:hAnsiTheme="minorHAnsi"/>
        </w:rPr>
        <w:t>Střednědobý plán činnosti a </w:t>
      </w:r>
      <w:r w:rsidRPr="00CB1B08">
        <w:rPr>
          <w:rFonts w:asciiTheme="minorHAnsi" w:hAnsiTheme="minorHAnsi"/>
        </w:rPr>
        <w:t>rozvoje re</w:t>
      </w:r>
      <w:r>
        <w:rPr>
          <w:rFonts w:asciiTheme="minorHAnsi" w:hAnsiTheme="minorHAnsi"/>
        </w:rPr>
        <w:t>s</w:t>
      </w:r>
      <w:r w:rsidRPr="00CB1B08">
        <w:rPr>
          <w:rFonts w:asciiTheme="minorHAnsi" w:hAnsiTheme="minorHAnsi"/>
        </w:rPr>
        <w:t>ortu MO</w:t>
      </w:r>
      <w:r>
        <w:rPr>
          <w:rFonts w:asciiTheme="minorHAnsi" w:hAnsiTheme="minorHAnsi"/>
        </w:rPr>
        <w:t xml:space="preserve"> </w:t>
      </w:r>
      <w:r w:rsidRPr="000B3A71">
        <w:rPr>
          <w:rFonts w:asciiTheme="minorHAnsi" w:hAnsiTheme="minorHAnsi"/>
        </w:rPr>
        <w:t>je ústředním plánovacím dokumentem</w:t>
      </w:r>
      <w:r w:rsidR="00195E69">
        <w:rPr>
          <w:rFonts w:asciiTheme="minorHAnsi" w:hAnsiTheme="minorHAnsi"/>
        </w:rPr>
        <w:t xml:space="preserve">, který </w:t>
      </w:r>
      <w:r w:rsidRPr="00104D08">
        <w:rPr>
          <w:rFonts w:asciiTheme="minorHAnsi" w:hAnsiTheme="minorHAnsi"/>
        </w:rPr>
        <w:t xml:space="preserve">vyjadřuje, jakým způsobem a jakými opatřeními bude </w:t>
      </w:r>
      <w:r w:rsidR="00195E69">
        <w:rPr>
          <w:rFonts w:asciiTheme="minorHAnsi" w:hAnsiTheme="minorHAnsi"/>
        </w:rPr>
        <w:t>MO</w:t>
      </w:r>
      <w:r>
        <w:rPr>
          <w:rFonts w:asciiTheme="minorHAnsi" w:hAnsiTheme="minorHAnsi"/>
        </w:rPr>
        <w:t xml:space="preserve"> </w:t>
      </w:r>
      <w:r w:rsidRPr="00104D08">
        <w:rPr>
          <w:rFonts w:asciiTheme="minorHAnsi" w:hAnsiTheme="minorHAnsi"/>
        </w:rPr>
        <w:t>naplňovat svoji působnost a plnit stanovené úkoly.</w:t>
      </w:r>
      <w:r w:rsidR="00195E69">
        <w:rPr>
          <w:rFonts w:asciiTheme="minorHAnsi" w:hAnsiTheme="minorHAnsi"/>
        </w:rPr>
        <w:t xml:space="preserve"> Měl být </w:t>
      </w:r>
      <w:r w:rsidR="00E02779">
        <w:rPr>
          <w:rFonts w:asciiTheme="minorHAnsi" w:hAnsiTheme="minorHAnsi"/>
        </w:rPr>
        <w:t>vytvářen</w:t>
      </w:r>
      <w:r>
        <w:rPr>
          <w:rFonts w:asciiTheme="minorHAnsi" w:hAnsiTheme="minorHAnsi"/>
        </w:rPr>
        <w:t xml:space="preserve"> rolovacím procesem</w:t>
      </w:r>
      <w:r>
        <w:rPr>
          <w:rStyle w:val="Znakapoznpodarou"/>
          <w:rFonts w:asciiTheme="minorHAnsi" w:hAnsiTheme="minorHAnsi"/>
        </w:rPr>
        <w:footnoteReference w:id="21"/>
      </w:r>
      <w:r>
        <w:rPr>
          <w:rFonts w:asciiTheme="minorHAnsi" w:hAnsiTheme="minorHAnsi"/>
        </w:rPr>
        <w:t xml:space="preserve"> a </w:t>
      </w:r>
      <w:r w:rsidR="00E02779">
        <w:rPr>
          <w:rFonts w:asciiTheme="minorHAnsi" w:hAnsiTheme="minorHAnsi"/>
        </w:rPr>
        <w:t>poskytovat</w:t>
      </w:r>
      <w:r w:rsidRPr="000B3A71">
        <w:rPr>
          <w:rFonts w:asciiTheme="minorHAnsi" w:hAnsiTheme="minorHAnsi"/>
        </w:rPr>
        <w:t xml:space="preserve"> </w:t>
      </w:r>
      <w:r w:rsidR="00B21A15">
        <w:rPr>
          <w:rFonts w:asciiTheme="minorHAnsi" w:hAnsiTheme="minorHAnsi"/>
        </w:rPr>
        <w:t xml:space="preserve">každoročně </w:t>
      </w:r>
      <w:r w:rsidRPr="000B3A71">
        <w:rPr>
          <w:rFonts w:asciiTheme="minorHAnsi" w:hAnsiTheme="minorHAnsi"/>
        </w:rPr>
        <w:t xml:space="preserve">věcný předpoklad pro úspěšné zahájení návazných procesů rozpočtování, </w:t>
      </w:r>
      <w:r>
        <w:rPr>
          <w:rFonts w:asciiTheme="minorHAnsi" w:hAnsiTheme="minorHAnsi"/>
        </w:rPr>
        <w:t>akvizic</w:t>
      </w:r>
      <w:r w:rsidRPr="000B3A71">
        <w:rPr>
          <w:rFonts w:asciiTheme="minorHAnsi" w:hAnsiTheme="minorHAnsi"/>
        </w:rPr>
        <w:t xml:space="preserve"> a </w:t>
      </w:r>
      <w:r>
        <w:rPr>
          <w:rFonts w:asciiTheme="minorHAnsi" w:hAnsiTheme="minorHAnsi"/>
        </w:rPr>
        <w:t>rozvoje</w:t>
      </w:r>
      <w:r w:rsidRPr="000B3A71">
        <w:rPr>
          <w:rFonts w:asciiTheme="minorHAnsi" w:hAnsiTheme="minorHAnsi"/>
        </w:rPr>
        <w:t xml:space="preserve"> s</w:t>
      </w:r>
      <w:r>
        <w:rPr>
          <w:rFonts w:asciiTheme="minorHAnsi" w:hAnsiTheme="minorHAnsi"/>
        </w:rPr>
        <w:t xml:space="preserve">chopností, neboť </w:t>
      </w:r>
      <w:r w:rsidR="00E02779">
        <w:rPr>
          <w:rFonts w:asciiTheme="minorHAnsi" w:hAnsiTheme="minorHAnsi"/>
        </w:rPr>
        <w:t>měl ukazovat</w:t>
      </w:r>
      <w:r w:rsidRPr="000B3A71">
        <w:rPr>
          <w:rFonts w:asciiTheme="minorHAnsi" w:hAnsiTheme="minorHAnsi"/>
        </w:rPr>
        <w:t xml:space="preserve"> možnosti zabezpečení obrany státu prostřednictv</w:t>
      </w:r>
      <w:r w:rsidR="004316CE">
        <w:rPr>
          <w:rFonts w:asciiTheme="minorHAnsi" w:hAnsiTheme="minorHAnsi"/>
        </w:rPr>
        <w:t>ím stanovených cílů a priorit z </w:t>
      </w:r>
      <w:r w:rsidRPr="000B3A71">
        <w:rPr>
          <w:rFonts w:asciiTheme="minorHAnsi" w:hAnsiTheme="minorHAnsi"/>
        </w:rPr>
        <w:t>pohledu finanční náročnosti jednotlivých činností.</w:t>
      </w:r>
      <w:r w:rsidR="00195E6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Kontrolou bylo zjištěno, že </w:t>
      </w:r>
      <w:r w:rsidRPr="000B3A71">
        <w:rPr>
          <w:rFonts w:asciiTheme="minorHAnsi" w:hAnsiTheme="minorHAnsi"/>
          <w:i/>
        </w:rPr>
        <w:t>Střednědobý plán činnosti a rozvoje rezortu MO</w:t>
      </w:r>
      <w:r w:rsidRPr="000B3A71">
        <w:rPr>
          <w:rFonts w:asciiTheme="minorHAnsi" w:hAnsiTheme="minorHAnsi"/>
        </w:rPr>
        <w:t xml:space="preserve"> </w:t>
      </w:r>
      <w:r w:rsidRPr="000B3A71">
        <w:rPr>
          <w:rFonts w:asciiTheme="minorHAnsi" w:hAnsiTheme="minorHAnsi"/>
          <w:i/>
        </w:rPr>
        <w:t xml:space="preserve">na roky </w:t>
      </w:r>
      <w:r>
        <w:rPr>
          <w:rFonts w:asciiTheme="minorHAnsi" w:hAnsiTheme="minorHAnsi"/>
          <w:i/>
        </w:rPr>
        <w:t xml:space="preserve">2009 až 2014 </w:t>
      </w:r>
      <w:r>
        <w:rPr>
          <w:rFonts w:asciiTheme="minorHAnsi" w:hAnsiTheme="minorHAnsi"/>
        </w:rPr>
        <w:t>z listopadu</w:t>
      </w:r>
      <w:r w:rsidRPr="000B3A71">
        <w:rPr>
          <w:rFonts w:asciiTheme="minorHAnsi" w:hAnsiTheme="minorHAnsi"/>
        </w:rPr>
        <w:t xml:space="preserve"> 2008 </w:t>
      </w:r>
      <w:r w:rsidR="00195E69">
        <w:rPr>
          <w:rFonts w:asciiTheme="minorHAnsi" w:hAnsiTheme="minorHAnsi"/>
        </w:rPr>
        <w:t xml:space="preserve">plně </w:t>
      </w:r>
      <w:r w:rsidRPr="000B3A71">
        <w:rPr>
          <w:rFonts w:asciiTheme="minorHAnsi" w:hAnsiTheme="minorHAnsi"/>
        </w:rPr>
        <w:t xml:space="preserve">nahradil až </w:t>
      </w:r>
      <w:r w:rsidRPr="000B3A71">
        <w:rPr>
          <w:rFonts w:asciiTheme="minorHAnsi" w:hAnsiTheme="minorHAnsi"/>
          <w:i/>
        </w:rPr>
        <w:t>Střednědobý plán činnosti a rozvoje rezortu MO</w:t>
      </w:r>
      <w:r w:rsidRPr="000B3A71">
        <w:rPr>
          <w:rFonts w:asciiTheme="minorHAnsi" w:hAnsiTheme="minorHAnsi"/>
        </w:rPr>
        <w:t xml:space="preserve"> </w:t>
      </w:r>
      <w:r w:rsidRPr="000B3A71">
        <w:rPr>
          <w:rFonts w:asciiTheme="minorHAnsi" w:hAnsiTheme="minorHAnsi"/>
          <w:i/>
        </w:rPr>
        <w:t>na roky 2015</w:t>
      </w:r>
      <w:r w:rsidR="00E02779">
        <w:rPr>
          <w:rFonts w:asciiTheme="minorHAnsi" w:hAnsiTheme="minorHAnsi"/>
          <w:i/>
        </w:rPr>
        <w:t>–</w:t>
      </w:r>
      <w:r w:rsidRPr="000B3A71">
        <w:rPr>
          <w:rFonts w:asciiTheme="minorHAnsi" w:hAnsiTheme="minorHAnsi"/>
          <w:i/>
        </w:rPr>
        <w:t>2019</w:t>
      </w:r>
      <w:r>
        <w:rPr>
          <w:rFonts w:asciiTheme="minorHAnsi" w:hAnsiTheme="minorHAnsi"/>
          <w:i/>
        </w:rPr>
        <w:t xml:space="preserve"> </w:t>
      </w:r>
      <w:r>
        <w:rPr>
          <w:rFonts w:asciiTheme="minorHAnsi" w:hAnsiTheme="minorHAnsi"/>
        </w:rPr>
        <w:t>z</w:t>
      </w:r>
      <w:r w:rsidR="00E02779">
        <w:rPr>
          <w:rFonts w:asciiTheme="minorHAnsi" w:hAnsiTheme="minorHAnsi"/>
        </w:rPr>
        <w:t> </w:t>
      </w:r>
      <w:r>
        <w:rPr>
          <w:rFonts w:asciiTheme="minorHAnsi" w:hAnsiTheme="minorHAnsi"/>
        </w:rPr>
        <w:t xml:space="preserve">ledna 2014. Realizace investičních projektů probíhala </w:t>
      </w:r>
      <w:r w:rsidR="002752BB">
        <w:rPr>
          <w:rFonts w:asciiTheme="minorHAnsi" w:hAnsiTheme="minorHAnsi"/>
        </w:rPr>
        <w:t>v období 2010 až 2014</w:t>
      </w:r>
      <w:r>
        <w:rPr>
          <w:rFonts w:asciiTheme="minorHAnsi" w:hAnsiTheme="minorHAnsi"/>
        </w:rPr>
        <w:t xml:space="preserve"> převážně formou operativního řízení</w:t>
      </w:r>
      <w:r w:rsidR="0089409D">
        <w:rPr>
          <w:rFonts w:asciiTheme="minorHAnsi" w:hAnsiTheme="minorHAnsi"/>
        </w:rPr>
        <w:t xml:space="preserve"> (roční plány)</w:t>
      </w:r>
      <w:r>
        <w:rPr>
          <w:rFonts w:asciiTheme="minorHAnsi" w:hAnsiTheme="minorHAnsi"/>
        </w:rPr>
        <w:t xml:space="preserve">. </w:t>
      </w:r>
    </w:p>
    <w:p w14:paraId="034A300B" w14:textId="717AAF64" w:rsidR="001B44B7" w:rsidRPr="001B44B7" w:rsidRDefault="001B44B7" w:rsidP="00A13E21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before="120" w:after="120"/>
        <w:jc w:val="both"/>
        <w:rPr>
          <w:rFonts w:asciiTheme="minorHAnsi" w:hAnsiTheme="minorHAnsi"/>
          <w:b/>
        </w:rPr>
      </w:pPr>
      <w:r w:rsidRPr="001B44B7">
        <w:rPr>
          <w:rFonts w:asciiTheme="minorHAnsi" w:hAnsiTheme="minorHAnsi"/>
          <w:b/>
        </w:rPr>
        <w:t xml:space="preserve">Nedostatečná výše </w:t>
      </w:r>
      <w:r w:rsidRPr="001B44B7">
        <w:rPr>
          <w:rFonts w:ascii="Calibri" w:hAnsi="Calibri"/>
          <w:b/>
        </w:rPr>
        <w:t>výdajů určených na financování programů reprodukce majetku</w:t>
      </w:r>
    </w:p>
    <w:p w14:paraId="0C35300A" w14:textId="33080167" w:rsidR="00AE0D59" w:rsidRDefault="00AE0D59" w:rsidP="00A13E21">
      <w:pPr>
        <w:spacing w:before="120" w:after="120"/>
        <w:jc w:val="both"/>
        <w:rPr>
          <w:rFonts w:ascii="Calibri" w:hAnsi="Calibri"/>
        </w:rPr>
      </w:pPr>
      <w:r w:rsidRPr="002663D7">
        <w:rPr>
          <w:rFonts w:ascii="Calibri" w:hAnsi="Calibri"/>
        </w:rPr>
        <w:t xml:space="preserve">Deficit na </w:t>
      </w:r>
      <w:r w:rsidR="009C4FAC">
        <w:rPr>
          <w:rFonts w:ascii="Calibri" w:hAnsi="Calibri"/>
        </w:rPr>
        <w:t>vojenském materiálu</w:t>
      </w:r>
      <w:r w:rsidRPr="002663D7">
        <w:rPr>
          <w:rFonts w:ascii="Calibri" w:hAnsi="Calibri"/>
        </w:rPr>
        <w:t xml:space="preserve"> a nemovité infrastruktuře </w:t>
      </w:r>
      <w:r w:rsidR="004F50DA" w:rsidRPr="00D96FA2">
        <w:rPr>
          <w:rFonts w:ascii="Calibri" w:hAnsi="Calibri"/>
        </w:rPr>
        <w:t>resortu obrany</w:t>
      </w:r>
      <w:r w:rsidRPr="002663D7">
        <w:rPr>
          <w:rFonts w:ascii="Calibri" w:hAnsi="Calibri"/>
        </w:rPr>
        <w:t xml:space="preserve"> dosahoval v roce 2011 dle BKO výše 80 až 90 mld. Kč. Nutné investice do obnovy a modernizace zásadních schopností </w:t>
      </w:r>
      <w:r>
        <w:rPr>
          <w:rFonts w:ascii="Calibri" w:hAnsi="Calibri"/>
        </w:rPr>
        <w:t xml:space="preserve">AČR </w:t>
      </w:r>
      <w:r w:rsidRPr="002663D7">
        <w:rPr>
          <w:rFonts w:ascii="Calibri" w:hAnsi="Calibri"/>
        </w:rPr>
        <w:t xml:space="preserve">měly </w:t>
      </w:r>
      <w:r>
        <w:rPr>
          <w:rFonts w:ascii="Calibri" w:hAnsi="Calibri"/>
        </w:rPr>
        <w:t xml:space="preserve">proto </w:t>
      </w:r>
      <w:r w:rsidRPr="002663D7">
        <w:rPr>
          <w:rFonts w:ascii="Calibri" w:hAnsi="Calibri"/>
        </w:rPr>
        <w:t xml:space="preserve">kolem roku 2015 dosáhnout desítek </w:t>
      </w:r>
      <w:r>
        <w:rPr>
          <w:rFonts w:ascii="Calibri" w:hAnsi="Calibri"/>
        </w:rPr>
        <w:t>miliard</w:t>
      </w:r>
      <w:r w:rsidRPr="002663D7">
        <w:rPr>
          <w:rFonts w:ascii="Calibri" w:hAnsi="Calibri"/>
        </w:rPr>
        <w:t xml:space="preserve"> Kč, přičemž je nebylo dle MO možné rozložit v čase</w:t>
      </w:r>
      <w:r>
        <w:rPr>
          <w:rStyle w:val="Znakapoznpodarou"/>
          <w:rFonts w:ascii="Calibri" w:hAnsi="Calibri"/>
        </w:rPr>
        <w:footnoteReference w:id="22"/>
      </w:r>
      <w:r w:rsidRPr="002663D7">
        <w:rPr>
          <w:rFonts w:ascii="Calibri" w:hAnsi="Calibri"/>
        </w:rPr>
        <w:t>. NKÚ zjistil, že současně s poklesem celkové výše výdajů na obranu docházelo i k negativním změnám struktury rozpočtu MO</w:t>
      </w:r>
      <w:bookmarkStart w:id="13" w:name="_Toc454950075"/>
      <w:bookmarkStart w:id="14" w:name="_Toc459204701"/>
      <w:bookmarkStart w:id="15" w:name="_Toc460247753"/>
      <w:r w:rsidRPr="002663D7">
        <w:rPr>
          <w:rFonts w:ascii="Calibri" w:hAnsi="Calibri"/>
        </w:rPr>
        <w:t xml:space="preserve">. </w:t>
      </w:r>
      <w:r w:rsidR="00775CD8" w:rsidRPr="00775CD8">
        <w:rPr>
          <w:rFonts w:ascii="Calibri" w:hAnsi="Calibri"/>
        </w:rPr>
        <w:t xml:space="preserve">Doporučovaný poměr výdajů mandatorních, ostatních běžných a </w:t>
      </w:r>
      <w:r w:rsidR="00E02779">
        <w:rPr>
          <w:rFonts w:ascii="Calibri" w:hAnsi="Calibri"/>
        </w:rPr>
        <w:t xml:space="preserve">výdajů </w:t>
      </w:r>
      <w:r w:rsidR="002752BB" w:rsidRPr="002663D7">
        <w:rPr>
          <w:rFonts w:ascii="Calibri" w:hAnsi="Calibri"/>
        </w:rPr>
        <w:t xml:space="preserve">na </w:t>
      </w:r>
      <w:r w:rsidR="002752BB" w:rsidRPr="00550EC7">
        <w:rPr>
          <w:rFonts w:ascii="Calibri" w:hAnsi="Calibri"/>
        </w:rPr>
        <w:t>financování programů reprodukce majetku</w:t>
      </w:r>
      <w:r w:rsidR="002752BB">
        <w:rPr>
          <w:rFonts w:ascii="Calibri" w:hAnsi="Calibri"/>
        </w:rPr>
        <w:t xml:space="preserve"> </w:t>
      </w:r>
      <w:r w:rsidR="00775CD8" w:rsidRPr="00775CD8">
        <w:rPr>
          <w:rFonts w:ascii="Calibri" w:hAnsi="Calibri"/>
        </w:rPr>
        <w:t>je dle NATO 50:30:20.</w:t>
      </w:r>
      <w:r w:rsidR="00E0485B">
        <w:rPr>
          <w:rFonts w:ascii="Calibri" w:hAnsi="Calibri"/>
        </w:rPr>
        <w:t xml:space="preserve"> </w:t>
      </w:r>
      <w:r w:rsidR="00775CD8">
        <w:rPr>
          <w:rFonts w:ascii="Calibri" w:hAnsi="Calibri"/>
        </w:rPr>
        <w:t xml:space="preserve">V kontrolovaném období </w:t>
      </w:r>
      <w:r w:rsidRPr="002663D7">
        <w:rPr>
          <w:rFonts w:ascii="Calibri" w:hAnsi="Calibri"/>
        </w:rPr>
        <w:t xml:space="preserve">došlo </w:t>
      </w:r>
      <w:r w:rsidR="00E0485B">
        <w:rPr>
          <w:rFonts w:ascii="Calibri" w:hAnsi="Calibri"/>
        </w:rPr>
        <w:t xml:space="preserve">mj. </w:t>
      </w:r>
      <w:r w:rsidRPr="002663D7">
        <w:rPr>
          <w:rFonts w:ascii="Calibri" w:hAnsi="Calibri"/>
        </w:rPr>
        <w:t xml:space="preserve">k nárůstu </w:t>
      </w:r>
      <w:r w:rsidR="00406E59">
        <w:rPr>
          <w:rFonts w:ascii="Calibri" w:hAnsi="Calibri"/>
        </w:rPr>
        <w:t xml:space="preserve">podílu </w:t>
      </w:r>
      <w:r w:rsidRPr="002663D7">
        <w:rPr>
          <w:rFonts w:ascii="Calibri" w:hAnsi="Calibri"/>
        </w:rPr>
        <w:t>mandatorních výdajů</w:t>
      </w:r>
      <w:r w:rsidR="00E02779">
        <w:rPr>
          <w:rFonts w:ascii="Calibri" w:hAnsi="Calibri"/>
        </w:rPr>
        <w:t>,</w:t>
      </w:r>
      <w:r w:rsidRPr="002663D7">
        <w:rPr>
          <w:rFonts w:ascii="Calibri" w:hAnsi="Calibri"/>
        </w:rPr>
        <w:t xml:space="preserve"> a to na úkor </w:t>
      </w:r>
      <w:r w:rsidR="00406E59" w:rsidRPr="00D96FA2">
        <w:rPr>
          <w:rFonts w:ascii="Calibri" w:hAnsi="Calibri"/>
        </w:rPr>
        <w:t>podílu</w:t>
      </w:r>
      <w:r w:rsidR="00406E59">
        <w:rPr>
          <w:rFonts w:ascii="Calibri" w:hAnsi="Calibri"/>
        </w:rPr>
        <w:t xml:space="preserve"> </w:t>
      </w:r>
      <w:r w:rsidRPr="002663D7">
        <w:rPr>
          <w:rFonts w:ascii="Calibri" w:hAnsi="Calibri"/>
        </w:rPr>
        <w:t xml:space="preserve">výdajů určených na </w:t>
      </w:r>
      <w:r w:rsidRPr="00550EC7">
        <w:rPr>
          <w:rFonts w:ascii="Calibri" w:hAnsi="Calibri"/>
        </w:rPr>
        <w:t>financování programů reprodukce majetku</w:t>
      </w:r>
      <w:r>
        <w:rPr>
          <w:rFonts w:ascii="Calibri" w:hAnsi="Calibri"/>
        </w:rPr>
        <w:t xml:space="preserve"> (</w:t>
      </w:r>
      <w:r w:rsidR="00E02779">
        <w:rPr>
          <w:rFonts w:ascii="Calibri" w:hAnsi="Calibri"/>
        </w:rPr>
        <w:t xml:space="preserve">viz </w:t>
      </w:r>
      <w:r>
        <w:rPr>
          <w:rFonts w:ascii="Calibri" w:hAnsi="Calibri"/>
        </w:rPr>
        <w:t>graf č. 2).</w:t>
      </w:r>
      <w:r w:rsidRPr="002663D7">
        <w:rPr>
          <w:rFonts w:ascii="Calibri" w:hAnsi="Calibri"/>
        </w:rPr>
        <w:t xml:space="preserve"> </w:t>
      </w:r>
      <w:r>
        <w:rPr>
          <w:rFonts w:ascii="Calibri" w:hAnsi="Calibri"/>
        </w:rPr>
        <w:t>Ty poklesly např. mezi roky 2011 a 2014 o více než 6</w:t>
      </w:r>
      <w:r w:rsidR="00E02779">
        <w:rPr>
          <w:rFonts w:ascii="Calibri" w:hAnsi="Calibri"/>
        </w:rPr>
        <w:t> </w:t>
      </w:r>
      <w:r>
        <w:rPr>
          <w:rFonts w:ascii="Calibri" w:hAnsi="Calibri"/>
        </w:rPr>
        <w:t>mld.</w:t>
      </w:r>
      <w:r w:rsidR="00E02779">
        <w:rPr>
          <w:rFonts w:ascii="Calibri" w:hAnsi="Calibri"/>
        </w:rPr>
        <w:t> </w:t>
      </w:r>
      <w:r>
        <w:rPr>
          <w:rFonts w:ascii="Calibri" w:hAnsi="Calibri"/>
        </w:rPr>
        <w:t>Kč, i</w:t>
      </w:r>
      <w:r w:rsidRPr="002663D7">
        <w:rPr>
          <w:rFonts w:ascii="Calibri" w:hAnsi="Calibri"/>
        </w:rPr>
        <w:t xml:space="preserve">nvestiční deficit byl </w:t>
      </w:r>
      <w:r>
        <w:rPr>
          <w:rFonts w:ascii="Calibri" w:hAnsi="Calibri"/>
        </w:rPr>
        <w:t xml:space="preserve">proto dále prohlubován. </w:t>
      </w:r>
      <w:r w:rsidRPr="002663D7">
        <w:rPr>
          <w:rFonts w:ascii="Calibri" w:hAnsi="Calibri"/>
        </w:rPr>
        <w:t xml:space="preserve">Dle </w:t>
      </w:r>
      <w:r>
        <w:rPr>
          <w:rFonts w:ascii="Calibri" w:hAnsi="Calibri"/>
        </w:rPr>
        <w:t xml:space="preserve">vyjádření </w:t>
      </w:r>
      <w:r w:rsidRPr="002663D7">
        <w:rPr>
          <w:rFonts w:ascii="Calibri" w:hAnsi="Calibri"/>
        </w:rPr>
        <w:t>MO byly k realizaci ponechány zejména projekty, které sehrávaly prioritní roli v plnění závazků vůči NATO</w:t>
      </w:r>
      <w:r w:rsidR="00E02779">
        <w:rPr>
          <w:rFonts w:ascii="Calibri" w:hAnsi="Calibri"/>
        </w:rPr>
        <w:t>,</w:t>
      </w:r>
      <w:r w:rsidRPr="002663D7">
        <w:rPr>
          <w:rFonts w:ascii="Calibri" w:hAnsi="Calibri"/>
        </w:rPr>
        <w:t xml:space="preserve"> s tím, že vět</w:t>
      </w:r>
      <w:r>
        <w:rPr>
          <w:rFonts w:ascii="Calibri" w:hAnsi="Calibri"/>
        </w:rPr>
        <w:t xml:space="preserve">šina projektů plánovaných v BKO </w:t>
      </w:r>
      <w:r w:rsidRPr="002663D7">
        <w:rPr>
          <w:rFonts w:ascii="Calibri" w:hAnsi="Calibri"/>
        </w:rPr>
        <w:t xml:space="preserve">je </w:t>
      </w:r>
      <w:r>
        <w:rPr>
          <w:rFonts w:ascii="Calibri" w:hAnsi="Calibri"/>
        </w:rPr>
        <w:t xml:space="preserve">nyní </w:t>
      </w:r>
      <w:r w:rsidRPr="002663D7">
        <w:rPr>
          <w:rFonts w:ascii="Calibri" w:hAnsi="Calibri"/>
        </w:rPr>
        <w:t>obs</w:t>
      </w:r>
      <w:r>
        <w:rPr>
          <w:rFonts w:ascii="Calibri" w:hAnsi="Calibri"/>
        </w:rPr>
        <w:t xml:space="preserve">ažena v KVAČR. </w:t>
      </w:r>
      <w:r w:rsidRPr="002663D7">
        <w:rPr>
          <w:rFonts w:ascii="Calibri" w:hAnsi="Calibri"/>
        </w:rPr>
        <w:t xml:space="preserve">Teprve od roku 2016 </w:t>
      </w:r>
      <w:r>
        <w:rPr>
          <w:rFonts w:ascii="Calibri" w:hAnsi="Calibri"/>
        </w:rPr>
        <w:t>tak budou</w:t>
      </w:r>
      <w:r w:rsidRPr="002663D7">
        <w:rPr>
          <w:rFonts w:ascii="Calibri" w:hAnsi="Calibri"/>
        </w:rPr>
        <w:t xml:space="preserve"> postupně realizovány </w:t>
      </w:r>
      <w:r>
        <w:rPr>
          <w:rFonts w:ascii="Calibri" w:hAnsi="Calibri"/>
        </w:rPr>
        <w:t>projekty</w:t>
      </w:r>
      <w:r>
        <w:rPr>
          <w:rStyle w:val="Znakapoznpodarou"/>
          <w:rFonts w:ascii="Calibri" w:hAnsi="Calibri"/>
        </w:rPr>
        <w:footnoteReference w:id="23"/>
      </w:r>
      <w:r w:rsidRPr="002663D7">
        <w:rPr>
          <w:rFonts w:ascii="Calibri" w:hAnsi="Calibri"/>
        </w:rPr>
        <w:t xml:space="preserve"> nezbytné </w:t>
      </w:r>
      <w:r w:rsidR="00E02779">
        <w:rPr>
          <w:rFonts w:ascii="Calibri" w:hAnsi="Calibri"/>
        </w:rPr>
        <w:t>pro</w:t>
      </w:r>
      <w:r w:rsidRPr="002663D7">
        <w:rPr>
          <w:rFonts w:ascii="Calibri" w:hAnsi="Calibri"/>
        </w:rPr>
        <w:t xml:space="preserve"> dosažení požadovaných schopností AČR.</w:t>
      </w:r>
    </w:p>
    <w:p w14:paraId="08CE52E4" w14:textId="77777777" w:rsidR="00EA6D90" w:rsidRDefault="00EA6D90">
      <w:pPr>
        <w:rPr>
          <w:rFonts w:ascii="Calibri" w:hAnsi="Calibri"/>
          <w:b/>
        </w:rPr>
      </w:pPr>
      <w:r>
        <w:rPr>
          <w:rFonts w:ascii="Calibri" w:hAnsi="Calibri"/>
          <w:b/>
        </w:rPr>
        <w:br w:type="page"/>
      </w:r>
    </w:p>
    <w:p w14:paraId="343AC3A4" w14:textId="3698AC33" w:rsidR="00AE0D59" w:rsidRPr="00E00BEC" w:rsidRDefault="00AE0D59" w:rsidP="00416ABD">
      <w:pPr>
        <w:tabs>
          <w:tab w:val="right" w:pos="9071"/>
        </w:tabs>
        <w:rPr>
          <w:rFonts w:ascii="Calibri" w:hAnsi="Calibri"/>
          <w:b/>
        </w:rPr>
      </w:pPr>
      <w:r w:rsidRPr="002663D7">
        <w:rPr>
          <w:rFonts w:ascii="Calibri" w:hAnsi="Calibri"/>
          <w:b/>
        </w:rPr>
        <w:lastRenderedPageBreak/>
        <w:t>Graf č</w:t>
      </w:r>
      <w:r>
        <w:rPr>
          <w:rFonts w:ascii="Calibri" w:hAnsi="Calibri"/>
          <w:b/>
        </w:rPr>
        <w:t xml:space="preserve">. 2 </w:t>
      </w:r>
      <w:r w:rsidR="006143BD">
        <w:rPr>
          <w:rFonts w:ascii="Calibri" w:hAnsi="Calibri"/>
          <w:b/>
        </w:rPr>
        <w:t>–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noProof/>
        </w:rPr>
        <w:t>Struktura</w:t>
      </w:r>
      <w:r w:rsidRPr="002663D7">
        <w:rPr>
          <w:rFonts w:ascii="Calibri" w:hAnsi="Calibri"/>
          <w:b/>
          <w:noProof/>
        </w:rPr>
        <w:t xml:space="preserve"> výdajů MO v letech 2005</w:t>
      </w:r>
      <w:r w:rsidR="006143BD">
        <w:rPr>
          <w:rFonts w:ascii="Calibri" w:hAnsi="Calibri"/>
          <w:b/>
          <w:noProof/>
        </w:rPr>
        <w:t>–</w:t>
      </w:r>
      <w:r w:rsidRPr="002663D7">
        <w:rPr>
          <w:rFonts w:ascii="Calibri" w:hAnsi="Calibri"/>
          <w:b/>
          <w:noProof/>
        </w:rPr>
        <w:t>2015</w:t>
      </w:r>
      <w:r w:rsidR="0019541A">
        <w:rPr>
          <w:rFonts w:ascii="Calibri" w:hAnsi="Calibri" w:cstheme="minorHAnsi"/>
          <w:color w:val="000000"/>
          <w:sz w:val="20"/>
          <w:szCs w:val="20"/>
        </w:rPr>
        <w:t xml:space="preserve"> </w:t>
      </w:r>
      <w:r w:rsidR="00416ABD">
        <w:rPr>
          <w:rFonts w:ascii="Calibri" w:hAnsi="Calibri" w:cstheme="minorHAnsi"/>
          <w:color w:val="000000"/>
          <w:sz w:val="20"/>
          <w:szCs w:val="20"/>
        </w:rPr>
        <w:tab/>
      </w:r>
    </w:p>
    <w:p w14:paraId="4D702971" w14:textId="4F06D9A5" w:rsidR="00AE0D59" w:rsidRPr="002663D7" w:rsidRDefault="000733C0" w:rsidP="00AE0D59">
      <w:pPr>
        <w:jc w:val="both"/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 wp14:anchorId="54D85D2A" wp14:editId="04BC3C4D">
            <wp:extent cx="5748488" cy="3200400"/>
            <wp:effectExtent l="0" t="0" r="508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_2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2840" cy="3202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F2BD19" w14:textId="73009AC8" w:rsidR="00AE0D59" w:rsidRPr="00965E6A" w:rsidRDefault="00AE0D59" w:rsidP="00306C89">
      <w:pPr>
        <w:autoSpaceDE w:val="0"/>
        <w:autoSpaceDN w:val="0"/>
        <w:adjustRightInd w:val="0"/>
        <w:spacing w:before="40" w:after="120"/>
        <w:ind w:left="567" w:hanging="567"/>
        <w:jc w:val="both"/>
        <w:rPr>
          <w:rFonts w:ascii="Calibri" w:hAnsi="Calibri"/>
          <w:sz w:val="20"/>
          <w:szCs w:val="20"/>
        </w:rPr>
      </w:pPr>
      <w:r w:rsidRPr="00434EF9">
        <w:rPr>
          <w:rFonts w:ascii="Calibri" w:hAnsi="Calibri"/>
          <w:b/>
          <w:sz w:val="20"/>
          <w:szCs w:val="20"/>
        </w:rPr>
        <w:t>Zdroj:</w:t>
      </w:r>
      <w:r w:rsidRPr="00965E6A">
        <w:rPr>
          <w:rFonts w:ascii="Calibri" w:hAnsi="Calibri"/>
          <w:sz w:val="20"/>
          <w:szCs w:val="20"/>
        </w:rPr>
        <w:t xml:space="preserve"> </w:t>
      </w:r>
      <w:r w:rsidR="00996114">
        <w:rPr>
          <w:rFonts w:ascii="Calibri" w:hAnsi="Calibri"/>
          <w:sz w:val="20"/>
          <w:szCs w:val="20"/>
        </w:rPr>
        <w:t>z</w:t>
      </w:r>
      <w:r w:rsidRPr="00965E6A">
        <w:rPr>
          <w:rFonts w:ascii="Calibri" w:hAnsi="Calibri"/>
          <w:sz w:val="20"/>
          <w:szCs w:val="20"/>
        </w:rPr>
        <w:t>ávěrečný účet kapitol</w:t>
      </w:r>
      <w:r w:rsidR="00E02779">
        <w:rPr>
          <w:rFonts w:ascii="Calibri" w:hAnsi="Calibri"/>
          <w:sz w:val="20"/>
          <w:szCs w:val="20"/>
        </w:rPr>
        <w:t>y</w:t>
      </w:r>
      <w:r w:rsidR="00E02779" w:rsidRPr="00E02779">
        <w:rPr>
          <w:rFonts w:ascii="Calibri" w:hAnsi="Calibri"/>
          <w:sz w:val="20"/>
          <w:szCs w:val="20"/>
        </w:rPr>
        <w:t xml:space="preserve"> </w:t>
      </w:r>
      <w:r w:rsidR="00E02779" w:rsidRPr="00965E6A">
        <w:rPr>
          <w:rFonts w:ascii="Calibri" w:hAnsi="Calibri"/>
          <w:sz w:val="20"/>
          <w:szCs w:val="20"/>
        </w:rPr>
        <w:t>státního rozpočtu</w:t>
      </w:r>
      <w:r w:rsidRPr="00965E6A">
        <w:rPr>
          <w:rFonts w:ascii="Calibri" w:hAnsi="Calibri"/>
          <w:sz w:val="20"/>
          <w:szCs w:val="20"/>
        </w:rPr>
        <w:t xml:space="preserve"> 307 </w:t>
      </w:r>
      <w:r w:rsidR="00BD49FF">
        <w:rPr>
          <w:rFonts w:ascii="Calibri" w:hAnsi="Calibri"/>
          <w:sz w:val="20"/>
          <w:szCs w:val="20"/>
        </w:rPr>
        <w:t>–</w:t>
      </w:r>
      <w:r w:rsidRPr="00965E6A">
        <w:rPr>
          <w:rFonts w:ascii="Calibri" w:hAnsi="Calibri"/>
          <w:sz w:val="20"/>
          <w:szCs w:val="20"/>
        </w:rPr>
        <w:t xml:space="preserve"> </w:t>
      </w:r>
      <w:r w:rsidRPr="00627F7D">
        <w:rPr>
          <w:rFonts w:ascii="Calibri" w:hAnsi="Calibri"/>
          <w:i/>
          <w:sz w:val="20"/>
          <w:szCs w:val="20"/>
        </w:rPr>
        <w:t>Ministerstvo obrany</w:t>
      </w:r>
      <w:r w:rsidRPr="00965E6A">
        <w:rPr>
          <w:rFonts w:ascii="Calibri" w:hAnsi="Calibri"/>
          <w:sz w:val="20"/>
          <w:szCs w:val="20"/>
        </w:rPr>
        <w:t xml:space="preserve"> za rok 2015.</w:t>
      </w:r>
    </w:p>
    <w:bookmarkEnd w:id="13"/>
    <w:bookmarkEnd w:id="14"/>
    <w:bookmarkEnd w:id="15"/>
    <w:p w14:paraId="154D5B40" w14:textId="77777777" w:rsidR="00AE0D59" w:rsidRDefault="00AE0D59" w:rsidP="00AE0D59">
      <w:pPr>
        <w:spacing w:after="120"/>
        <w:jc w:val="both"/>
        <w:rPr>
          <w:rFonts w:ascii="Calibri" w:hAnsi="Calibri"/>
        </w:rPr>
      </w:pPr>
      <w:r w:rsidRPr="002663D7">
        <w:rPr>
          <w:rFonts w:ascii="Calibri" w:hAnsi="Calibri"/>
        </w:rPr>
        <w:t xml:space="preserve">Výdaje MO na financování </w:t>
      </w:r>
      <w:r w:rsidRPr="002663D7">
        <w:rPr>
          <w:rFonts w:ascii="Calibri" w:hAnsi="Calibri" w:cstheme="minorHAnsi"/>
          <w:color w:val="000000"/>
        </w:rPr>
        <w:t>programů reprodukce majetku</w:t>
      </w:r>
      <w:r w:rsidRPr="002663D7">
        <w:rPr>
          <w:rFonts w:ascii="Calibri" w:hAnsi="Calibri"/>
        </w:rPr>
        <w:t xml:space="preserve"> činily </w:t>
      </w:r>
      <w:r>
        <w:rPr>
          <w:rFonts w:ascii="Calibri" w:hAnsi="Calibri"/>
        </w:rPr>
        <w:t xml:space="preserve">v kontrolovaném období </w:t>
      </w:r>
      <w:r w:rsidRPr="002663D7">
        <w:rPr>
          <w:rFonts w:ascii="Calibri" w:hAnsi="Calibri"/>
        </w:rPr>
        <w:t xml:space="preserve">celkem </w:t>
      </w:r>
      <w:r w:rsidRPr="00CA11CF">
        <w:rPr>
          <w:rFonts w:ascii="Calibri" w:hAnsi="Calibri"/>
        </w:rPr>
        <w:t>34 918,64</w:t>
      </w:r>
      <w:r>
        <w:rPr>
          <w:rFonts w:ascii="Calibri" w:hAnsi="Calibri"/>
        </w:rPr>
        <w:t>3</w:t>
      </w:r>
      <w:r w:rsidRPr="00CA11CF">
        <w:rPr>
          <w:rFonts w:ascii="Calibri" w:hAnsi="Calibri"/>
        </w:rPr>
        <w:t xml:space="preserve"> mil. Kč</w:t>
      </w:r>
      <w:r w:rsidRPr="002663D7">
        <w:rPr>
          <w:rFonts w:ascii="Calibri" w:hAnsi="Calibri"/>
        </w:rPr>
        <w:t>. Tato suma zahrnuje kromě prostředků SR také mimorozpočtové zdroje a čerpání nároků</w:t>
      </w:r>
      <w:r>
        <w:rPr>
          <w:rFonts w:ascii="Calibri" w:hAnsi="Calibri"/>
        </w:rPr>
        <w:t xml:space="preserve"> z nespotřebovaných výdajů (</w:t>
      </w:r>
      <w:r w:rsidRPr="002663D7">
        <w:rPr>
          <w:rFonts w:ascii="Calibri" w:hAnsi="Calibri"/>
        </w:rPr>
        <w:t>tabulka č</w:t>
      </w:r>
      <w:r>
        <w:rPr>
          <w:rFonts w:ascii="Calibri" w:hAnsi="Calibri"/>
        </w:rPr>
        <w:t>. 4</w:t>
      </w:r>
      <w:r w:rsidRPr="002663D7">
        <w:rPr>
          <w:rFonts w:ascii="Calibri" w:hAnsi="Calibri"/>
        </w:rPr>
        <w:t>).</w:t>
      </w:r>
    </w:p>
    <w:p w14:paraId="53B260B1" w14:textId="45BD3FD5" w:rsidR="00AE0D59" w:rsidRDefault="00AE0D59" w:rsidP="00416ABD">
      <w:pPr>
        <w:spacing w:before="120"/>
        <w:jc w:val="both"/>
        <w:rPr>
          <w:rFonts w:ascii="Calibri" w:hAnsi="Calibri" w:cstheme="minorHAnsi"/>
          <w:color w:val="000000"/>
        </w:rPr>
      </w:pPr>
      <w:r w:rsidRPr="002663D7">
        <w:rPr>
          <w:rFonts w:ascii="Calibri" w:hAnsi="Calibri" w:cstheme="minorHAnsi"/>
          <w:b/>
          <w:color w:val="000000"/>
        </w:rPr>
        <w:t>Tabulk</w:t>
      </w:r>
      <w:r>
        <w:rPr>
          <w:rFonts w:ascii="Calibri" w:hAnsi="Calibri" w:cstheme="minorHAnsi"/>
          <w:b/>
          <w:color w:val="000000"/>
        </w:rPr>
        <w:t>a č. 4</w:t>
      </w:r>
      <w:r w:rsidRPr="002663D7">
        <w:rPr>
          <w:rFonts w:ascii="Calibri" w:hAnsi="Calibri" w:cstheme="minorHAnsi"/>
          <w:b/>
          <w:color w:val="000000"/>
        </w:rPr>
        <w:t xml:space="preserve"> </w:t>
      </w:r>
      <w:r w:rsidR="006143BD">
        <w:rPr>
          <w:rFonts w:ascii="Calibri" w:hAnsi="Calibri" w:cstheme="minorHAnsi"/>
          <w:b/>
          <w:color w:val="000000"/>
        </w:rPr>
        <w:t>–</w:t>
      </w:r>
      <w:r w:rsidRPr="002663D7">
        <w:rPr>
          <w:rFonts w:ascii="Calibri" w:hAnsi="Calibri" w:cstheme="minorHAnsi"/>
          <w:b/>
          <w:color w:val="000000"/>
        </w:rPr>
        <w:t xml:space="preserve"> Výdaje MO účelově určené na financování programů reprodukce majetku</w:t>
      </w:r>
    </w:p>
    <w:p w14:paraId="7D345A36" w14:textId="7581B5D2" w:rsidR="00AE0D59" w:rsidRPr="00627F7D" w:rsidRDefault="00AE0D59" w:rsidP="00416ABD">
      <w:pPr>
        <w:shd w:val="clear" w:color="auto" w:fill="FFFFFF"/>
        <w:spacing w:after="40"/>
        <w:ind w:right="6"/>
        <w:jc w:val="right"/>
        <w:rPr>
          <w:rFonts w:ascii="Calibri" w:hAnsi="Calibri" w:cstheme="minorHAnsi"/>
          <w:b/>
          <w:color w:val="000000"/>
          <w:sz w:val="22"/>
          <w:szCs w:val="20"/>
        </w:rPr>
      </w:pPr>
      <w:r w:rsidRPr="00627F7D">
        <w:rPr>
          <w:rFonts w:ascii="Calibri" w:hAnsi="Calibri" w:cstheme="minorHAnsi"/>
          <w:b/>
          <w:color w:val="000000"/>
          <w:sz w:val="22"/>
          <w:szCs w:val="20"/>
        </w:rPr>
        <w:t>(v mil. Kč)</w:t>
      </w:r>
    </w:p>
    <w:tbl>
      <w:tblPr>
        <w:tblW w:w="49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"/>
        <w:gridCol w:w="1262"/>
        <w:gridCol w:w="1253"/>
        <w:gridCol w:w="1112"/>
        <w:gridCol w:w="1148"/>
        <w:gridCol w:w="1563"/>
        <w:gridCol w:w="1811"/>
      </w:tblGrid>
      <w:tr w:rsidR="00AE0D59" w:rsidRPr="002663D7" w14:paraId="3A357040" w14:textId="77777777" w:rsidTr="007B01EC">
        <w:trPr>
          <w:trHeight w:val="170"/>
          <w:jc w:val="center"/>
        </w:trPr>
        <w:tc>
          <w:tcPr>
            <w:tcW w:w="500" w:type="pct"/>
            <w:vMerge w:val="restart"/>
            <w:shd w:val="clear" w:color="auto" w:fill="DDD6E7"/>
            <w:vAlign w:val="center"/>
            <w:hideMark/>
          </w:tcPr>
          <w:p w14:paraId="5C75C9BE" w14:textId="77777777" w:rsidR="00AE0D59" w:rsidRPr="002663D7" w:rsidRDefault="00AE0D59" w:rsidP="00AE0D59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2663D7">
              <w:rPr>
                <w:rFonts w:ascii="Calibri" w:hAnsi="Calibri"/>
                <w:b/>
                <w:color w:val="000000"/>
                <w:sz w:val="20"/>
                <w:szCs w:val="20"/>
              </w:rPr>
              <w:t>Rok</w:t>
            </w:r>
          </w:p>
        </w:tc>
        <w:tc>
          <w:tcPr>
            <w:tcW w:w="697" w:type="pct"/>
            <w:vMerge w:val="restart"/>
            <w:shd w:val="clear" w:color="auto" w:fill="DDD6E7"/>
            <w:vAlign w:val="center"/>
            <w:hideMark/>
          </w:tcPr>
          <w:p w14:paraId="2DC96F3E" w14:textId="77777777" w:rsidR="00AE0D59" w:rsidRPr="002663D7" w:rsidRDefault="00AE0D59" w:rsidP="00AE0D59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2663D7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Schválený rozpočet </w:t>
            </w:r>
          </w:p>
        </w:tc>
        <w:tc>
          <w:tcPr>
            <w:tcW w:w="692" w:type="pct"/>
            <w:vMerge w:val="restart"/>
            <w:shd w:val="clear" w:color="auto" w:fill="DDD6E7"/>
            <w:vAlign w:val="center"/>
            <w:hideMark/>
          </w:tcPr>
          <w:p w14:paraId="23BD629C" w14:textId="77777777" w:rsidR="00AE0D59" w:rsidRPr="002663D7" w:rsidRDefault="00AE0D59" w:rsidP="00AE0D59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2663D7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Rozpočet po změnách </w:t>
            </w:r>
          </w:p>
        </w:tc>
        <w:tc>
          <w:tcPr>
            <w:tcW w:w="614" w:type="pct"/>
            <w:vMerge w:val="restart"/>
            <w:shd w:val="clear" w:color="auto" w:fill="DDD6E7"/>
            <w:vAlign w:val="center"/>
            <w:hideMark/>
          </w:tcPr>
          <w:p w14:paraId="337CC048" w14:textId="77777777" w:rsidR="00AE0D59" w:rsidRPr="002663D7" w:rsidRDefault="00AE0D59" w:rsidP="00AE0D59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663D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Čerpání</w:t>
            </w:r>
          </w:p>
        </w:tc>
        <w:tc>
          <w:tcPr>
            <w:tcW w:w="2496" w:type="pct"/>
            <w:gridSpan w:val="3"/>
            <w:shd w:val="clear" w:color="auto" w:fill="DDD6E7"/>
            <w:vAlign w:val="center"/>
            <w:hideMark/>
          </w:tcPr>
          <w:p w14:paraId="53E95A2E" w14:textId="102715BA" w:rsidR="00AE0D59" w:rsidRPr="002663D7" w:rsidRDefault="00E02779" w:rsidP="00E02779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Struktura</w:t>
            </w:r>
            <w:r w:rsidR="00AE0D59" w:rsidRPr="002663D7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čerpání</w:t>
            </w:r>
          </w:p>
        </w:tc>
      </w:tr>
      <w:tr w:rsidR="00AE0D59" w:rsidRPr="002663D7" w14:paraId="732EEDE8" w14:textId="77777777" w:rsidTr="007B01EC">
        <w:trPr>
          <w:trHeight w:val="591"/>
          <w:jc w:val="center"/>
        </w:trPr>
        <w:tc>
          <w:tcPr>
            <w:tcW w:w="500" w:type="pct"/>
            <w:vMerge/>
            <w:shd w:val="clear" w:color="auto" w:fill="DDD6E7"/>
            <w:vAlign w:val="center"/>
            <w:hideMark/>
          </w:tcPr>
          <w:p w14:paraId="2F20236A" w14:textId="77777777" w:rsidR="00AE0D59" w:rsidRPr="002663D7" w:rsidRDefault="00AE0D59" w:rsidP="00AE0D59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697" w:type="pct"/>
            <w:vMerge/>
            <w:shd w:val="clear" w:color="auto" w:fill="DDD6E7"/>
            <w:vAlign w:val="center"/>
            <w:hideMark/>
          </w:tcPr>
          <w:p w14:paraId="7EFB5D04" w14:textId="77777777" w:rsidR="00AE0D59" w:rsidRPr="002663D7" w:rsidRDefault="00AE0D59" w:rsidP="00AE0D59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692" w:type="pct"/>
            <w:vMerge/>
            <w:shd w:val="clear" w:color="auto" w:fill="DDD6E7"/>
            <w:vAlign w:val="center"/>
            <w:hideMark/>
          </w:tcPr>
          <w:p w14:paraId="0C2C558C" w14:textId="77777777" w:rsidR="00AE0D59" w:rsidRPr="002663D7" w:rsidRDefault="00AE0D59" w:rsidP="00AE0D59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614" w:type="pct"/>
            <w:vMerge/>
            <w:shd w:val="clear" w:color="auto" w:fill="DDD6E7"/>
            <w:vAlign w:val="center"/>
            <w:hideMark/>
          </w:tcPr>
          <w:p w14:paraId="1BDA8F56" w14:textId="77777777" w:rsidR="00AE0D59" w:rsidRPr="002663D7" w:rsidRDefault="00AE0D59" w:rsidP="00AE0D59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4" w:type="pct"/>
            <w:shd w:val="clear" w:color="auto" w:fill="DDD6E7"/>
            <w:vAlign w:val="center"/>
            <w:hideMark/>
          </w:tcPr>
          <w:p w14:paraId="2AB9A7EA" w14:textId="77777777" w:rsidR="00AE0D59" w:rsidRPr="002663D7" w:rsidRDefault="00AE0D59" w:rsidP="00AE0D59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2663D7">
              <w:rPr>
                <w:rFonts w:ascii="Calibri" w:hAnsi="Calibri"/>
                <w:b/>
                <w:color w:val="000000"/>
                <w:sz w:val="20"/>
                <w:szCs w:val="20"/>
              </w:rPr>
              <w:t>Rozpočet</w:t>
            </w:r>
          </w:p>
        </w:tc>
        <w:tc>
          <w:tcPr>
            <w:tcW w:w="863" w:type="pct"/>
            <w:shd w:val="clear" w:color="auto" w:fill="DDD6E7"/>
            <w:vAlign w:val="center"/>
            <w:hideMark/>
          </w:tcPr>
          <w:p w14:paraId="2F6B9566" w14:textId="77777777" w:rsidR="00AE0D59" w:rsidRPr="002663D7" w:rsidRDefault="00AE0D59" w:rsidP="00AE0D59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2663D7">
              <w:rPr>
                <w:rFonts w:ascii="Calibri" w:hAnsi="Calibri"/>
                <w:b/>
                <w:color w:val="000000"/>
                <w:sz w:val="20"/>
                <w:szCs w:val="20"/>
              </w:rPr>
              <w:t>Mimorozpočtové zdroje</w:t>
            </w:r>
          </w:p>
        </w:tc>
        <w:tc>
          <w:tcPr>
            <w:tcW w:w="1000" w:type="pct"/>
            <w:shd w:val="clear" w:color="auto" w:fill="DDD6E7"/>
            <w:vAlign w:val="center"/>
            <w:hideMark/>
          </w:tcPr>
          <w:p w14:paraId="4D4F3848" w14:textId="0177C61D" w:rsidR="00AE0D59" w:rsidRPr="002663D7" w:rsidRDefault="00733D67" w:rsidP="00AE0D59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Nároky z </w:t>
            </w:r>
            <w:r w:rsidR="00AE0D59" w:rsidRPr="002663D7">
              <w:rPr>
                <w:rFonts w:ascii="Calibri" w:hAnsi="Calibri"/>
                <w:b/>
                <w:color w:val="000000"/>
                <w:sz w:val="20"/>
                <w:szCs w:val="20"/>
              </w:rPr>
              <w:t>nespotřebovaných výdajů</w:t>
            </w:r>
          </w:p>
        </w:tc>
      </w:tr>
      <w:tr w:rsidR="00AE0D59" w:rsidRPr="002663D7" w14:paraId="7B9CA8A1" w14:textId="77777777" w:rsidTr="007B01EC">
        <w:trPr>
          <w:trHeight w:val="191"/>
          <w:jc w:val="center"/>
        </w:trPr>
        <w:tc>
          <w:tcPr>
            <w:tcW w:w="500" w:type="pct"/>
            <w:shd w:val="clear" w:color="auto" w:fill="auto"/>
            <w:vAlign w:val="center"/>
            <w:hideMark/>
          </w:tcPr>
          <w:p w14:paraId="6A69CF9F" w14:textId="77777777" w:rsidR="00AE0D59" w:rsidRPr="002663D7" w:rsidRDefault="00AE0D59" w:rsidP="00AE0D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63D7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2011</w:t>
            </w:r>
          </w:p>
        </w:tc>
        <w:tc>
          <w:tcPr>
            <w:tcW w:w="697" w:type="pct"/>
            <w:shd w:val="clear" w:color="auto" w:fill="auto"/>
            <w:vAlign w:val="center"/>
            <w:hideMark/>
          </w:tcPr>
          <w:p w14:paraId="784EE7CA" w14:textId="77777777" w:rsidR="00AE0D59" w:rsidRPr="002663D7" w:rsidRDefault="00AE0D59" w:rsidP="00AE0D59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63D7">
              <w:rPr>
                <w:rFonts w:ascii="Calibri" w:hAnsi="Calibri"/>
                <w:color w:val="000000"/>
                <w:sz w:val="20"/>
                <w:szCs w:val="20"/>
              </w:rPr>
              <w:t>9 131,376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061F3935" w14:textId="77777777" w:rsidR="00AE0D59" w:rsidRPr="002663D7" w:rsidRDefault="00AE0D59" w:rsidP="00AE0D59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63D7">
              <w:rPr>
                <w:rFonts w:ascii="Calibri" w:hAnsi="Calibri"/>
                <w:color w:val="000000"/>
                <w:sz w:val="20"/>
                <w:szCs w:val="20"/>
              </w:rPr>
              <w:t>9 135,340</w:t>
            </w:r>
          </w:p>
        </w:tc>
        <w:tc>
          <w:tcPr>
            <w:tcW w:w="614" w:type="pct"/>
            <w:shd w:val="clear" w:color="auto" w:fill="auto"/>
            <w:vAlign w:val="center"/>
            <w:hideMark/>
          </w:tcPr>
          <w:p w14:paraId="76E24D70" w14:textId="77777777" w:rsidR="00AE0D59" w:rsidRPr="002663D7" w:rsidRDefault="00AE0D59" w:rsidP="00AE0D59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63D7">
              <w:rPr>
                <w:rFonts w:ascii="Calibri" w:hAnsi="Calibri"/>
                <w:color w:val="000000"/>
                <w:sz w:val="20"/>
                <w:szCs w:val="20"/>
              </w:rPr>
              <w:t>10 334,468</w:t>
            </w:r>
          </w:p>
        </w:tc>
        <w:tc>
          <w:tcPr>
            <w:tcW w:w="634" w:type="pct"/>
            <w:shd w:val="clear" w:color="auto" w:fill="auto"/>
            <w:vAlign w:val="center"/>
            <w:hideMark/>
          </w:tcPr>
          <w:p w14:paraId="62C1C1D0" w14:textId="77777777" w:rsidR="00AE0D59" w:rsidRPr="002663D7" w:rsidRDefault="00AE0D59" w:rsidP="00AE0D59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63D7">
              <w:rPr>
                <w:rFonts w:ascii="Calibri" w:hAnsi="Calibri"/>
                <w:color w:val="000000"/>
                <w:sz w:val="20"/>
                <w:szCs w:val="20"/>
              </w:rPr>
              <w:t>8 986,612</w:t>
            </w:r>
          </w:p>
        </w:tc>
        <w:tc>
          <w:tcPr>
            <w:tcW w:w="863" w:type="pct"/>
            <w:shd w:val="clear" w:color="auto" w:fill="auto"/>
            <w:vAlign w:val="center"/>
            <w:hideMark/>
          </w:tcPr>
          <w:p w14:paraId="3E3539C8" w14:textId="77777777" w:rsidR="00AE0D59" w:rsidRPr="002663D7" w:rsidRDefault="00AE0D59" w:rsidP="00AE0D59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63D7">
              <w:rPr>
                <w:rFonts w:ascii="Calibri" w:hAnsi="Calibri"/>
                <w:color w:val="000000"/>
                <w:sz w:val="20"/>
                <w:szCs w:val="20"/>
              </w:rPr>
              <w:t>1 026,965</w:t>
            </w:r>
          </w:p>
        </w:tc>
        <w:tc>
          <w:tcPr>
            <w:tcW w:w="1000" w:type="pct"/>
            <w:shd w:val="clear" w:color="auto" w:fill="auto"/>
            <w:vAlign w:val="center"/>
            <w:hideMark/>
          </w:tcPr>
          <w:p w14:paraId="1AF672BE" w14:textId="77777777" w:rsidR="00AE0D59" w:rsidRPr="002663D7" w:rsidRDefault="00AE0D59" w:rsidP="00AE0D59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63D7">
              <w:rPr>
                <w:rFonts w:ascii="Calibri" w:hAnsi="Calibri"/>
                <w:color w:val="000000"/>
                <w:sz w:val="20"/>
                <w:szCs w:val="20"/>
              </w:rPr>
              <w:t>320,891</w:t>
            </w:r>
          </w:p>
        </w:tc>
      </w:tr>
      <w:tr w:rsidR="00AE0D59" w:rsidRPr="002663D7" w14:paraId="24D2A601" w14:textId="77777777" w:rsidTr="007B01EC">
        <w:trPr>
          <w:trHeight w:val="195"/>
          <w:jc w:val="center"/>
        </w:trPr>
        <w:tc>
          <w:tcPr>
            <w:tcW w:w="500" w:type="pct"/>
            <w:shd w:val="clear" w:color="auto" w:fill="auto"/>
            <w:vAlign w:val="center"/>
            <w:hideMark/>
          </w:tcPr>
          <w:p w14:paraId="43FE1EE0" w14:textId="77777777" w:rsidR="00AE0D59" w:rsidRPr="002663D7" w:rsidRDefault="00AE0D59" w:rsidP="00AE0D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63D7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2012</w:t>
            </w:r>
          </w:p>
        </w:tc>
        <w:tc>
          <w:tcPr>
            <w:tcW w:w="697" w:type="pct"/>
            <w:shd w:val="clear" w:color="auto" w:fill="auto"/>
            <w:vAlign w:val="center"/>
            <w:hideMark/>
          </w:tcPr>
          <w:p w14:paraId="06F350EB" w14:textId="77777777" w:rsidR="00AE0D59" w:rsidRPr="002663D7" w:rsidRDefault="00AE0D59" w:rsidP="00AE0D59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63D7">
              <w:rPr>
                <w:rFonts w:ascii="Calibri" w:hAnsi="Calibri"/>
                <w:color w:val="000000"/>
                <w:sz w:val="20"/>
                <w:szCs w:val="20"/>
              </w:rPr>
              <w:t>7 800,000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3F73FD2C" w14:textId="77777777" w:rsidR="00AE0D59" w:rsidRPr="002663D7" w:rsidRDefault="00AE0D59" w:rsidP="00AE0D59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63D7">
              <w:rPr>
                <w:rFonts w:ascii="Calibri" w:hAnsi="Calibri"/>
                <w:color w:val="000000"/>
                <w:sz w:val="20"/>
                <w:szCs w:val="20"/>
              </w:rPr>
              <w:t>7 812,077</w:t>
            </w:r>
          </w:p>
        </w:tc>
        <w:tc>
          <w:tcPr>
            <w:tcW w:w="614" w:type="pct"/>
            <w:shd w:val="clear" w:color="auto" w:fill="auto"/>
            <w:vAlign w:val="center"/>
            <w:hideMark/>
          </w:tcPr>
          <w:p w14:paraId="5FC4447E" w14:textId="77777777" w:rsidR="00AE0D59" w:rsidRPr="002663D7" w:rsidRDefault="00AE0D59" w:rsidP="00AE0D59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63D7">
              <w:rPr>
                <w:rFonts w:ascii="Calibri" w:hAnsi="Calibri"/>
                <w:color w:val="000000"/>
                <w:sz w:val="20"/>
                <w:szCs w:val="20"/>
              </w:rPr>
              <w:t>8 228,058</w:t>
            </w:r>
          </w:p>
        </w:tc>
        <w:tc>
          <w:tcPr>
            <w:tcW w:w="634" w:type="pct"/>
            <w:shd w:val="clear" w:color="auto" w:fill="auto"/>
            <w:vAlign w:val="center"/>
            <w:hideMark/>
          </w:tcPr>
          <w:p w14:paraId="078488DE" w14:textId="77777777" w:rsidR="00AE0D59" w:rsidRPr="002663D7" w:rsidRDefault="00AE0D59" w:rsidP="00AE0D59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63D7">
              <w:rPr>
                <w:rFonts w:ascii="Calibri" w:hAnsi="Calibri"/>
                <w:color w:val="000000"/>
                <w:sz w:val="20"/>
                <w:szCs w:val="20"/>
              </w:rPr>
              <w:t>7 398,086</w:t>
            </w:r>
          </w:p>
        </w:tc>
        <w:tc>
          <w:tcPr>
            <w:tcW w:w="863" w:type="pct"/>
            <w:shd w:val="clear" w:color="auto" w:fill="auto"/>
            <w:vAlign w:val="center"/>
            <w:hideMark/>
          </w:tcPr>
          <w:p w14:paraId="02836021" w14:textId="77777777" w:rsidR="00AE0D59" w:rsidRPr="002663D7" w:rsidRDefault="00AE0D59" w:rsidP="00AE0D59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63D7">
              <w:rPr>
                <w:rFonts w:ascii="Calibri" w:hAnsi="Calibri"/>
                <w:color w:val="000000"/>
                <w:sz w:val="20"/>
                <w:szCs w:val="20"/>
              </w:rPr>
              <w:t>654,494</w:t>
            </w:r>
          </w:p>
        </w:tc>
        <w:tc>
          <w:tcPr>
            <w:tcW w:w="1000" w:type="pct"/>
            <w:shd w:val="clear" w:color="auto" w:fill="auto"/>
            <w:vAlign w:val="center"/>
            <w:hideMark/>
          </w:tcPr>
          <w:p w14:paraId="050B7D4D" w14:textId="77777777" w:rsidR="00AE0D59" w:rsidRPr="002663D7" w:rsidRDefault="00AE0D59" w:rsidP="00AE0D59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63D7">
              <w:rPr>
                <w:rFonts w:ascii="Calibri" w:hAnsi="Calibri"/>
                <w:color w:val="000000"/>
                <w:sz w:val="20"/>
                <w:szCs w:val="20"/>
              </w:rPr>
              <w:t>175,478</w:t>
            </w:r>
          </w:p>
        </w:tc>
      </w:tr>
      <w:tr w:rsidR="00AE0D59" w:rsidRPr="002663D7" w14:paraId="09C43B37" w14:textId="77777777" w:rsidTr="007B01EC">
        <w:trPr>
          <w:trHeight w:val="185"/>
          <w:jc w:val="center"/>
        </w:trPr>
        <w:tc>
          <w:tcPr>
            <w:tcW w:w="500" w:type="pct"/>
            <w:shd w:val="clear" w:color="auto" w:fill="auto"/>
            <w:vAlign w:val="center"/>
            <w:hideMark/>
          </w:tcPr>
          <w:p w14:paraId="40373338" w14:textId="77777777" w:rsidR="00AE0D59" w:rsidRPr="002663D7" w:rsidRDefault="00AE0D59" w:rsidP="00AE0D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63D7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2013</w:t>
            </w:r>
          </w:p>
        </w:tc>
        <w:tc>
          <w:tcPr>
            <w:tcW w:w="697" w:type="pct"/>
            <w:shd w:val="clear" w:color="auto" w:fill="auto"/>
            <w:vAlign w:val="center"/>
            <w:hideMark/>
          </w:tcPr>
          <w:p w14:paraId="20B4C526" w14:textId="77777777" w:rsidR="00AE0D59" w:rsidRPr="002663D7" w:rsidRDefault="00AE0D59" w:rsidP="00AE0D59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63D7">
              <w:rPr>
                <w:rFonts w:ascii="Calibri" w:hAnsi="Calibri"/>
                <w:color w:val="000000"/>
                <w:sz w:val="20"/>
                <w:szCs w:val="20"/>
              </w:rPr>
              <w:t>5 653,465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51FBFDD9" w14:textId="77777777" w:rsidR="00AE0D59" w:rsidRPr="002663D7" w:rsidRDefault="00AE0D59" w:rsidP="00AE0D59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63D7">
              <w:rPr>
                <w:rFonts w:ascii="Calibri" w:hAnsi="Calibri"/>
                <w:color w:val="000000"/>
                <w:sz w:val="20"/>
                <w:szCs w:val="20"/>
              </w:rPr>
              <w:t>5 738,666</w:t>
            </w:r>
          </w:p>
        </w:tc>
        <w:tc>
          <w:tcPr>
            <w:tcW w:w="614" w:type="pct"/>
            <w:shd w:val="clear" w:color="auto" w:fill="auto"/>
            <w:vAlign w:val="center"/>
            <w:hideMark/>
          </w:tcPr>
          <w:p w14:paraId="4B464CC4" w14:textId="77777777" w:rsidR="00AE0D59" w:rsidRPr="002663D7" w:rsidRDefault="00AE0D59" w:rsidP="00AE0D59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63D7">
              <w:rPr>
                <w:rFonts w:ascii="Calibri" w:hAnsi="Calibri"/>
                <w:color w:val="000000"/>
                <w:sz w:val="20"/>
                <w:szCs w:val="20"/>
              </w:rPr>
              <w:t>5 233,904</w:t>
            </w:r>
          </w:p>
        </w:tc>
        <w:tc>
          <w:tcPr>
            <w:tcW w:w="634" w:type="pct"/>
            <w:shd w:val="clear" w:color="auto" w:fill="auto"/>
            <w:vAlign w:val="center"/>
            <w:hideMark/>
          </w:tcPr>
          <w:p w14:paraId="62FBDA5C" w14:textId="77777777" w:rsidR="00AE0D59" w:rsidRPr="002663D7" w:rsidRDefault="00AE0D59" w:rsidP="00AE0D59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63D7">
              <w:rPr>
                <w:rFonts w:ascii="Calibri" w:hAnsi="Calibri"/>
                <w:color w:val="000000"/>
                <w:sz w:val="20"/>
                <w:szCs w:val="20"/>
              </w:rPr>
              <w:t>4 893,558</w:t>
            </w:r>
          </w:p>
        </w:tc>
        <w:tc>
          <w:tcPr>
            <w:tcW w:w="863" w:type="pct"/>
            <w:shd w:val="clear" w:color="auto" w:fill="auto"/>
            <w:vAlign w:val="center"/>
            <w:hideMark/>
          </w:tcPr>
          <w:p w14:paraId="72F4EF7C" w14:textId="77777777" w:rsidR="00AE0D59" w:rsidRPr="002663D7" w:rsidRDefault="00AE0D59" w:rsidP="00AE0D59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63D7">
              <w:rPr>
                <w:rFonts w:ascii="Calibri" w:hAnsi="Calibri"/>
                <w:color w:val="000000"/>
                <w:sz w:val="20"/>
                <w:szCs w:val="20"/>
              </w:rPr>
              <w:t>309,490</w:t>
            </w:r>
          </w:p>
        </w:tc>
        <w:tc>
          <w:tcPr>
            <w:tcW w:w="1000" w:type="pct"/>
            <w:shd w:val="clear" w:color="auto" w:fill="auto"/>
            <w:vAlign w:val="center"/>
            <w:hideMark/>
          </w:tcPr>
          <w:p w14:paraId="39944FC0" w14:textId="77777777" w:rsidR="00AE0D59" w:rsidRPr="002663D7" w:rsidRDefault="00AE0D59" w:rsidP="00AE0D59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63D7">
              <w:rPr>
                <w:rFonts w:ascii="Calibri" w:hAnsi="Calibri"/>
                <w:color w:val="000000"/>
                <w:sz w:val="20"/>
                <w:szCs w:val="20"/>
              </w:rPr>
              <w:t>30,856</w:t>
            </w:r>
          </w:p>
        </w:tc>
      </w:tr>
      <w:tr w:rsidR="00AE0D59" w:rsidRPr="002663D7" w14:paraId="06790C78" w14:textId="77777777" w:rsidTr="007B01EC">
        <w:trPr>
          <w:trHeight w:val="190"/>
          <w:jc w:val="center"/>
        </w:trPr>
        <w:tc>
          <w:tcPr>
            <w:tcW w:w="500" w:type="pct"/>
            <w:shd w:val="clear" w:color="auto" w:fill="auto"/>
            <w:vAlign w:val="center"/>
            <w:hideMark/>
          </w:tcPr>
          <w:p w14:paraId="482064E0" w14:textId="77777777" w:rsidR="00AE0D59" w:rsidRPr="002663D7" w:rsidRDefault="00AE0D59" w:rsidP="00AE0D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63D7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2014</w:t>
            </w:r>
          </w:p>
        </w:tc>
        <w:tc>
          <w:tcPr>
            <w:tcW w:w="697" w:type="pct"/>
            <w:shd w:val="clear" w:color="auto" w:fill="auto"/>
            <w:vAlign w:val="center"/>
            <w:hideMark/>
          </w:tcPr>
          <w:p w14:paraId="1DCAD28C" w14:textId="77777777" w:rsidR="00AE0D59" w:rsidRPr="002663D7" w:rsidRDefault="00AE0D59" w:rsidP="00AE0D59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63D7">
              <w:rPr>
                <w:rFonts w:ascii="Calibri" w:hAnsi="Calibri"/>
                <w:color w:val="000000"/>
                <w:sz w:val="20"/>
                <w:szCs w:val="20"/>
              </w:rPr>
              <w:t>4 902,803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08FC114A" w14:textId="77777777" w:rsidR="00AE0D59" w:rsidRPr="002663D7" w:rsidRDefault="00AE0D59" w:rsidP="00AE0D59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63D7">
              <w:rPr>
                <w:rFonts w:ascii="Calibri" w:hAnsi="Calibri"/>
                <w:color w:val="000000"/>
                <w:sz w:val="20"/>
                <w:szCs w:val="20"/>
              </w:rPr>
              <w:t>4 938,950</w:t>
            </w:r>
          </w:p>
        </w:tc>
        <w:tc>
          <w:tcPr>
            <w:tcW w:w="614" w:type="pct"/>
            <w:shd w:val="clear" w:color="auto" w:fill="auto"/>
            <w:vAlign w:val="center"/>
            <w:hideMark/>
          </w:tcPr>
          <w:p w14:paraId="493001D9" w14:textId="77777777" w:rsidR="00AE0D59" w:rsidRPr="002663D7" w:rsidRDefault="00AE0D59" w:rsidP="00AE0D59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63D7">
              <w:rPr>
                <w:rFonts w:ascii="Calibri" w:hAnsi="Calibri"/>
                <w:color w:val="000000"/>
                <w:sz w:val="20"/>
                <w:szCs w:val="20"/>
              </w:rPr>
              <w:t>4 328,322</w:t>
            </w:r>
          </w:p>
        </w:tc>
        <w:tc>
          <w:tcPr>
            <w:tcW w:w="634" w:type="pct"/>
            <w:shd w:val="clear" w:color="auto" w:fill="auto"/>
            <w:vAlign w:val="center"/>
            <w:hideMark/>
          </w:tcPr>
          <w:p w14:paraId="51C3C3FD" w14:textId="77777777" w:rsidR="00AE0D59" w:rsidRPr="002663D7" w:rsidRDefault="00AE0D59" w:rsidP="00AE0D59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63D7">
              <w:rPr>
                <w:rFonts w:ascii="Calibri" w:hAnsi="Calibri"/>
                <w:color w:val="000000"/>
                <w:sz w:val="20"/>
                <w:szCs w:val="20"/>
              </w:rPr>
              <w:t>3 246,686</w:t>
            </w:r>
          </w:p>
        </w:tc>
        <w:tc>
          <w:tcPr>
            <w:tcW w:w="863" w:type="pct"/>
            <w:shd w:val="clear" w:color="auto" w:fill="auto"/>
            <w:vAlign w:val="center"/>
            <w:hideMark/>
          </w:tcPr>
          <w:p w14:paraId="5E4298CD" w14:textId="77777777" w:rsidR="00AE0D59" w:rsidRPr="002663D7" w:rsidRDefault="00AE0D59" w:rsidP="00AE0D59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63D7">
              <w:rPr>
                <w:rFonts w:ascii="Calibri" w:hAnsi="Calibri"/>
                <w:color w:val="000000"/>
                <w:sz w:val="20"/>
                <w:szCs w:val="20"/>
              </w:rPr>
              <w:t>232,896</w:t>
            </w:r>
          </w:p>
        </w:tc>
        <w:tc>
          <w:tcPr>
            <w:tcW w:w="1000" w:type="pct"/>
            <w:shd w:val="clear" w:color="auto" w:fill="auto"/>
            <w:vAlign w:val="center"/>
            <w:hideMark/>
          </w:tcPr>
          <w:p w14:paraId="3BECCCC9" w14:textId="77777777" w:rsidR="00AE0D59" w:rsidRPr="002663D7" w:rsidRDefault="00AE0D59" w:rsidP="00AE0D59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63D7">
              <w:rPr>
                <w:rFonts w:ascii="Calibri" w:hAnsi="Calibri"/>
                <w:color w:val="000000"/>
                <w:sz w:val="20"/>
                <w:szCs w:val="20"/>
              </w:rPr>
              <w:t>848,740</w:t>
            </w:r>
          </w:p>
        </w:tc>
      </w:tr>
      <w:tr w:rsidR="00AE0D59" w:rsidRPr="002663D7" w14:paraId="34A913DA" w14:textId="77777777" w:rsidTr="007B01EC">
        <w:trPr>
          <w:trHeight w:val="193"/>
          <w:jc w:val="center"/>
        </w:trPr>
        <w:tc>
          <w:tcPr>
            <w:tcW w:w="500" w:type="pct"/>
            <w:shd w:val="clear" w:color="auto" w:fill="auto"/>
            <w:vAlign w:val="center"/>
            <w:hideMark/>
          </w:tcPr>
          <w:p w14:paraId="6CE01C13" w14:textId="77777777" w:rsidR="00AE0D59" w:rsidRPr="002663D7" w:rsidRDefault="00AE0D59" w:rsidP="00AE0D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63D7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2015</w:t>
            </w:r>
          </w:p>
        </w:tc>
        <w:tc>
          <w:tcPr>
            <w:tcW w:w="697" w:type="pct"/>
            <w:shd w:val="clear" w:color="auto" w:fill="auto"/>
            <w:vAlign w:val="center"/>
            <w:hideMark/>
          </w:tcPr>
          <w:p w14:paraId="6CA205DA" w14:textId="77777777" w:rsidR="00AE0D59" w:rsidRPr="002663D7" w:rsidRDefault="00AE0D59" w:rsidP="00AE0D59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63D7">
              <w:rPr>
                <w:rFonts w:ascii="Calibri" w:hAnsi="Calibri"/>
                <w:color w:val="000000"/>
                <w:sz w:val="20"/>
                <w:szCs w:val="20"/>
              </w:rPr>
              <w:t>4 826,734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1EC76D44" w14:textId="77777777" w:rsidR="00AE0D59" w:rsidRPr="002663D7" w:rsidRDefault="00AE0D59" w:rsidP="00AE0D59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63D7">
              <w:rPr>
                <w:rFonts w:ascii="Calibri" w:hAnsi="Calibri"/>
                <w:color w:val="000000"/>
                <w:sz w:val="20"/>
                <w:szCs w:val="20"/>
              </w:rPr>
              <w:t>4 867,331</w:t>
            </w:r>
          </w:p>
        </w:tc>
        <w:tc>
          <w:tcPr>
            <w:tcW w:w="614" w:type="pct"/>
            <w:shd w:val="clear" w:color="auto" w:fill="auto"/>
            <w:vAlign w:val="center"/>
            <w:hideMark/>
          </w:tcPr>
          <w:p w14:paraId="63B780EC" w14:textId="77777777" w:rsidR="00AE0D59" w:rsidRPr="002663D7" w:rsidRDefault="00AE0D59" w:rsidP="00AE0D59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63D7">
              <w:rPr>
                <w:rFonts w:ascii="Calibri" w:hAnsi="Calibri"/>
                <w:color w:val="000000"/>
                <w:sz w:val="20"/>
                <w:szCs w:val="20"/>
              </w:rPr>
              <w:t>6 793,891</w:t>
            </w:r>
          </w:p>
        </w:tc>
        <w:tc>
          <w:tcPr>
            <w:tcW w:w="634" w:type="pct"/>
            <w:shd w:val="clear" w:color="auto" w:fill="auto"/>
            <w:vAlign w:val="center"/>
            <w:hideMark/>
          </w:tcPr>
          <w:p w14:paraId="11D9D8EB" w14:textId="77777777" w:rsidR="00AE0D59" w:rsidRPr="002663D7" w:rsidRDefault="00AE0D59" w:rsidP="00AE0D59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63D7">
              <w:rPr>
                <w:rFonts w:ascii="Calibri" w:hAnsi="Calibri"/>
                <w:color w:val="000000"/>
                <w:sz w:val="20"/>
                <w:szCs w:val="20"/>
              </w:rPr>
              <w:t>4 787,439</w:t>
            </w:r>
          </w:p>
        </w:tc>
        <w:tc>
          <w:tcPr>
            <w:tcW w:w="863" w:type="pct"/>
            <w:shd w:val="clear" w:color="auto" w:fill="auto"/>
            <w:vAlign w:val="center"/>
            <w:hideMark/>
          </w:tcPr>
          <w:p w14:paraId="6D637A86" w14:textId="77777777" w:rsidR="00AE0D59" w:rsidRPr="002663D7" w:rsidRDefault="00AE0D59" w:rsidP="00AE0D59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63D7">
              <w:rPr>
                <w:rFonts w:ascii="Calibri" w:hAnsi="Calibri"/>
                <w:color w:val="000000"/>
                <w:sz w:val="20"/>
                <w:szCs w:val="20"/>
              </w:rPr>
              <w:t>287,020</w:t>
            </w:r>
          </w:p>
        </w:tc>
        <w:tc>
          <w:tcPr>
            <w:tcW w:w="1000" w:type="pct"/>
            <w:shd w:val="clear" w:color="auto" w:fill="auto"/>
            <w:vAlign w:val="center"/>
            <w:hideMark/>
          </w:tcPr>
          <w:p w14:paraId="1C6047A4" w14:textId="77777777" w:rsidR="00AE0D59" w:rsidRPr="002663D7" w:rsidRDefault="00AE0D59" w:rsidP="00AE0D59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63D7">
              <w:rPr>
                <w:rFonts w:ascii="Calibri" w:hAnsi="Calibri"/>
                <w:color w:val="000000"/>
                <w:sz w:val="20"/>
                <w:szCs w:val="20"/>
              </w:rPr>
              <w:t>1 719,432</w:t>
            </w:r>
          </w:p>
        </w:tc>
      </w:tr>
      <w:tr w:rsidR="00AE0D59" w:rsidRPr="002663D7" w14:paraId="752E7A60" w14:textId="77777777" w:rsidTr="007B01EC">
        <w:trPr>
          <w:trHeight w:val="64"/>
          <w:jc w:val="center"/>
        </w:trPr>
        <w:tc>
          <w:tcPr>
            <w:tcW w:w="500" w:type="pct"/>
            <w:shd w:val="clear" w:color="auto" w:fill="auto"/>
            <w:noWrap/>
            <w:vAlign w:val="bottom"/>
            <w:hideMark/>
          </w:tcPr>
          <w:p w14:paraId="556B71A7" w14:textId="467947FA" w:rsidR="00AE0D59" w:rsidRPr="002663D7" w:rsidRDefault="00996114" w:rsidP="00AE0D5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C</w:t>
            </w:r>
            <w:r w:rsidR="00AE0D59" w:rsidRPr="002663D7">
              <w:rPr>
                <w:rFonts w:ascii="Calibri" w:hAnsi="Calibri"/>
                <w:color w:val="000000"/>
                <w:sz w:val="20"/>
                <w:szCs w:val="20"/>
              </w:rPr>
              <w:t>elkem</w:t>
            </w:r>
          </w:p>
        </w:tc>
        <w:tc>
          <w:tcPr>
            <w:tcW w:w="697" w:type="pct"/>
            <w:shd w:val="clear" w:color="auto" w:fill="auto"/>
            <w:noWrap/>
            <w:vAlign w:val="bottom"/>
            <w:hideMark/>
          </w:tcPr>
          <w:p w14:paraId="15F3FD3F" w14:textId="77777777" w:rsidR="00AE0D59" w:rsidRPr="002663D7" w:rsidRDefault="00AE0D59" w:rsidP="00AE0D59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63D7">
              <w:rPr>
                <w:rFonts w:ascii="Calibri" w:hAnsi="Calibri"/>
                <w:color w:val="000000"/>
                <w:sz w:val="20"/>
                <w:szCs w:val="20"/>
              </w:rPr>
              <w:t>32 314,378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4C470ABD" w14:textId="77777777" w:rsidR="00AE0D59" w:rsidRPr="002663D7" w:rsidRDefault="00AE0D59" w:rsidP="00AE0D59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63D7">
              <w:rPr>
                <w:rFonts w:ascii="Calibri" w:hAnsi="Calibri"/>
                <w:color w:val="000000"/>
                <w:sz w:val="20"/>
                <w:szCs w:val="20"/>
              </w:rPr>
              <w:t>32 492,364</w:t>
            </w:r>
          </w:p>
        </w:tc>
        <w:tc>
          <w:tcPr>
            <w:tcW w:w="614" w:type="pct"/>
            <w:shd w:val="clear" w:color="auto" w:fill="auto"/>
            <w:noWrap/>
            <w:vAlign w:val="bottom"/>
            <w:hideMark/>
          </w:tcPr>
          <w:p w14:paraId="5C73DEFB" w14:textId="77777777" w:rsidR="00AE0D59" w:rsidRPr="002663D7" w:rsidRDefault="00AE0D59" w:rsidP="00AE0D59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63D7">
              <w:rPr>
                <w:rFonts w:ascii="Calibri" w:hAnsi="Calibri"/>
                <w:color w:val="000000"/>
                <w:sz w:val="20"/>
                <w:szCs w:val="20"/>
              </w:rPr>
              <w:t>34 918,643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43E39B8" w14:textId="77777777" w:rsidR="00AE0D59" w:rsidRPr="002663D7" w:rsidRDefault="00AE0D59" w:rsidP="00AE0D59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63D7">
              <w:rPr>
                <w:rFonts w:ascii="Calibri" w:hAnsi="Calibri"/>
                <w:color w:val="000000"/>
                <w:sz w:val="20"/>
                <w:szCs w:val="20"/>
              </w:rPr>
              <w:t>29 312,381</w:t>
            </w:r>
          </w:p>
        </w:tc>
        <w:tc>
          <w:tcPr>
            <w:tcW w:w="863" w:type="pct"/>
            <w:shd w:val="clear" w:color="auto" w:fill="auto"/>
            <w:noWrap/>
            <w:vAlign w:val="bottom"/>
            <w:hideMark/>
          </w:tcPr>
          <w:p w14:paraId="42392F52" w14:textId="77777777" w:rsidR="00AE0D59" w:rsidRPr="002663D7" w:rsidRDefault="00AE0D59" w:rsidP="00AE0D59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63D7">
              <w:rPr>
                <w:rFonts w:ascii="Calibri" w:hAnsi="Calibri"/>
                <w:color w:val="000000"/>
                <w:sz w:val="20"/>
                <w:szCs w:val="20"/>
              </w:rPr>
              <w:t>2 510,865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26D930B6" w14:textId="77777777" w:rsidR="00AE0D59" w:rsidRPr="002663D7" w:rsidRDefault="00AE0D59" w:rsidP="00AE0D59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663D7">
              <w:rPr>
                <w:rFonts w:ascii="Calibri" w:hAnsi="Calibri"/>
                <w:color w:val="000000"/>
                <w:sz w:val="20"/>
                <w:szCs w:val="20"/>
              </w:rPr>
              <w:t>3 095,397</w:t>
            </w:r>
          </w:p>
        </w:tc>
      </w:tr>
    </w:tbl>
    <w:p w14:paraId="1319A0ED" w14:textId="793EE28A" w:rsidR="00AE0D59" w:rsidRDefault="00AE0D59" w:rsidP="00733D67">
      <w:pPr>
        <w:spacing w:before="40" w:after="120"/>
        <w:ind w:left="567" w:hanging="567"/>
        <w:jc w:val="both"/>
        <w:rPr>
          <w:rFonts w:ascii="Calibri" w:hAnsi="Calibri"/>
          <w:sz w:val="20"/>
          <w:szCs w:val="20"/>
        </w:rPr>
      </w:pPr>
      <w:r w:rsidRPr="00434EF9">
        <w:rPr>
          <w:rFonts w:ascii="Calibri" w:hAnsi="Calibri"/>
          <w:b/>
          <w:sz w:val="20"/>
          <w:szCs w:val="20"/>
        </w:rPr>
        <w:t>Zdroj:</w:t>
      </w:r>
      <w:r w:rsidRPr="00965E6A">
        <w:rPr>
          <w:rFonts w:ascii="Calibri" w:hAnsi="Calibri"/>
          <w:sz w:val="20"/>
          <w:szCs w:val="20"/>
        </w:rPr>
        <w:t xml:space="preserve"> </w:t>
      </w:r>
      <w:r w:rsidR="00996114">
        <w:rPr>
          <w:rFonts w:ascii="Calibri" w:hAnsi="Calibri"/>
          <w:sz w:val="20"/>
          <w:szCs w:val="20"/>
        </w:rPr>
        <w:t>z</w:t>
      </w:r>
      <w:r w:rsidRPr="00965E6A">
        <w:rPr>
          <w:rFonts w:ascii="Calibri" w:hAnsi="Calibri"/>
          <w:sz w:val="20"/>
          <w:szCs w:val="20"/>
        </w:rPr>
        <w:t>ávěrečn</w:t>
      </w:r>
      <w:r w:rsidR="00996114">
        <w:rPr>
          <w:rFonts w:ascii="Calibri" w:hAnsi="Calibri"/>
          <w:sz w:val="20"/>
          <w:szCs w:val="20"/>
        </w:rPr>
        <w:t>é</w:t>
      </w:r>
      <w:r w:rsidRPr="00965E6A">
        <w:rPr>
          <w:rFonts w:ascii="Calibri" w:hAnsi="Calibri"/>
          <w:sz w:val="20"/>
          <w:szCs w:val="20"/>
        </w:rPr>
        <w:t xml:space="preserve"> účt</w:t>
      </w:r>
      <w:r w:rsidR="00996114">
        <w:rPr>
          <w:rFonts w:ascii="Calibri" w:hAnsi="Calibri"/>
          <w:sz w:val="20"/>
          <w:szCs w:val="20"/>
        </w:rPr>
        <w:t>y</w:t>
      </w:r>
      <w:r w:rsidRPr="00965E6A">
        <w:rPr>
          <w:rFonts w:ascii="Calibri" w:hAnsi="Calibri"/>
          <w:sz w:val="20"/>
          <w:szCs w:val="20"/>
        </w:rPr>
        <w:t xml:space="preserve"> kapitol</w:t>
      </w:r>
      <w:r w:rsidR="00E02779">
        <w:rPr>
          <w:rFonts w:ascii="Calibri" w:hAnsi="Calibri"/>
          <w:sz w:val="20"/>
          <w:szCs w:val="20"/>
        </w:rPr>
        <w:t>y</w:t>
      </w:r>
      <w:r w:rsidR="00E02779" w:rsidRPr="00E02779">
        <w:rPr>
          <w:rFonts w:ascii="Calibri" w:hAnsi="Calibri"/>
          <w:sz w:val="20"/>
          <w:szCs w:val="20"/>
        </w:rPr>
        <w:t xml:space="preserve"> </w:t>
      </w:r>
      <w:r w:rsidR="00E02779" w:rsidRPr="00965E6A">
        <w:rPr>
          <w:rFonts w:ascii="Calibri" w:hAnsi="Calibri"/>
          <w:sz w:val="20"/>
          <w:szCs w:val="20"/>
        </w:rPr>
        <w:t>státního rozpočtu</w:t>
      </w:r>
      <w:r w:rsidRPr="00965E6A">
        <w:rPr>
          <w:rFonts w:ascii="Calibri" w:hAnsi="Calibri"/>
          <w:sz w:val="20"/>
          <w:szCs w:val="20"/>
        </w:rPr>
        <w:t xml:space="preserve"> 307 </w:t>
      </w:r>
      <w:r w:rsidR="006143BD">
        <w:rPr>
          <w:rFonts w:ascii="Calibri" w:hAnsi="Calibri"/>
          <w:sz w:val="20"/>
          <w:szCs w:val="20"/>
        </w:rPr>
        <w:t>–</w:t>
      </w:r>
      <w:r w:rsidRPr="00965E6A">
        <w:rPr>
          <w:rFonts w:ascii="Calibri" w:hAnsi="Calibri"/>
          <w:sz w:val="20"/>
          <w:szCs w:val="20"/>
        </w:rPr>
        <w:t xml:space="preserve"> </w:t>
      </w:r>
      <w:r w:rsidRPr="00627F7D">
        <w:rPr>
          <w:rFonts w:ascii="Calibri" w:hAnsi="Calibri"/>
          <w:i/>
          <w:sz w:val="20"/>
          <w:szCs w:val="20"/>
        </w:rPr>
        <w:t>Ministerstvo obrany</w:t>
      </w:r>
      <w:r w:rsidRPr="00965E6A">
        <w:rPr>
          <w:rFonts w:ascii="Calibri" w:hAnsi="Calibri"/>
          <w:sz w:val="20"/>
          <w:szCs w:val="20"/>
        </w:rPr>
        <w:t xml:space="preserve"> za roky 2011, 2012,</w:t>
      </w:r>
      <w:r w:rsidR="00733D67">
        <w:rPr>
          <w:rFonts w:ascii="Calibri" w:hAnsi="Calibri"/>
          <w:sz w:val="20"/>
          <w:szCs w:val="20"/>
        </w:rPr>
        <w:t xml:space="preserve"> </w:t>
      </w:r>
      <w:r w:rsidRPr="00965E6A">
        <w:rPr>
          <w:rFonts w:ascii="Calibri" w:hAnsi="Calibri"/>
          <w:sz w:val="20"/>
          <w:szCs w:val="20"/>
        </w:rPr>
        <w:t xml:space="preserve">2013, 2014 </w:t>
      </w:r>
      <w:r w:rsidR="00B77F3C">
        <w:rPr>
          <w:rFonts w:ascii="Calibri" w:hAnsi="Calibri"/>
          <w:sz w:val="20"/>
          <w:szCs w:val="20"/>
        </w:rPr>
        <w:br/>
      </w:r>
      <w:r w:rsidRPr="00965E6A">
        <w:rPr>
          <w:rFonts w:ascii="Calibri" w:hAnsi="Calibri"/>
          <w:sz w:val="20"/>
          <w:szCs w:val="20"/>
        </w:rPr>
        <w:t>a 2015.</w:t>
      </w:r>
    </w:p>
    <w:p w14:paraId="593F54E0" w14:textId="220E8BB9" w:rsidR="009E23D4" w:rsidRDefault="00AE0D59" w:rsidP="00733D67">
      <w:pPr>
        <w:spacing w:before="120" w:after="120"/>
        <w:jc w:val="both"/>
        <w:rPr>
          <w:rFonts w:asciiTheme="minorHAnsi" w:hAnsiTheme="minorHAnsi"/>
        </w:rPr>
      </w:pPr>
      <w:r w:rsidRPr="002663D7">
        <w:rPr>
          <w:rFonts w:ascii="Calibri" w:hAnsi="Calibri"/>
        </w:rPr>
        <w:t>Po roce 2015 doc</w:t>
      </w:r>
      <w:r>
        <w:rPr>
          <w:rFonts w:ascii="Calibri" w:hAnsi="Calibri"/>
        </w:rPr>
        <w:t xml:space="preserve">hází k navyšování prostředků na </w:t>
      </w:r>
      <w:r w:rsidRPr="002663D7">
        <w:rPr>
          <w:rFonts w:ascii="Calibri" w:hAnsi="Calibri"/>
        </w:rPr>
        <w:t xml:space="preserve">financování </w:t>
      </w:r>
      <w:r w:rsidRPr="002663D7">
        <w:rPr>
          <w:rFonts w:ascii="Calibri" w:hAnsi="Calibri" w:cstheme="minorHAnsi"/>
          <w:color w:val="000000"/>
        </w:rPr>
        <w:t xml:space="preserve">programů reprodukce </w:t>
      </w:r>
      <w:r w:rsidRPr="00322345">
        <w:rPr>
          <w:rFonts w:asciiTheme="minorHAnsi" w:hAnsiTheme="minorHAnsi" w:cstheme="minorHAnsi"/>
          <w:color w:val="000000"/>
        </w:rPr>
        <w:t>majetku</w:t>
      </w:r>
      <w:r w:rsidRPr="00322345">
        <w:rPr>
          <w:rFonts w:asciiTheme="minorHAnsi" w:hAnsiTheme="minorHAnsi"/>
        </w:rPr>
        <w:t xml:space="preserve">, schválený rozpočet pro rok 2016 činí celkem 5 048,447 mil. Kč, návrh </w:t>
      </w:r>
      <w:r>
        <w:rPr>
          <w:rFonts w:asciiTheme="minorHAnsi" w:hAnsiTheme="minorHAnsi"/>
        </w:rPr>
        <w:t xml:space="preserve">rozpočtu </w:t>
      </w:r>
      <w:r w:rsidRPr="00322345">
        <w:rPr>
          <w:rFonts w:asciiTheme="minorHAnsi" w:hAnsiTheme="minorHAnsi"/>
        </w:rPr>
        <w:t>pro rok 2017 počítá s částkou 8 363,332 mil. Kč</w:t>
      </w:r>
      <w:r w:rsidRPr="00322345">
        <w:rPr>
          <w:rStyle w:val="Znakapoznpodarou"/>
          <w:rFonts w:asciiTheme="minorHAnsi" w:hAnsiTheme="minorHAnsi"/>
        </w:rPr>
        <w:footnoteReference w:id="24"/>
      </w:r>
      <w:r w:rsidRPr="00322345">
        <w:rPr>
          <w:rFonts w:asciiTheme="minorHAnsi" w:hAnsiTheme="minorHAnsi"/>
        </w:rPr>
        <w:t xml:space="preserve"> a v roce 2018 plánuje MO dle KVAČR vynaložit částku 9 555,000 mil. Kč.</w:t>
      </w:r>
    </w:p>
    <w:p w14:paraId="78BA6701" w14:textId="1E495BDF" w:rsidR="00AE0D59" w:rsidRDefault="009E23D4" w:rsidP="009E23D4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259DC1F4" w14:textId="40AF7F53" w:rsidR="001B44B7" w:rsidRPr="001B44B7" w:rsidRDefault="00164BA7" w:rsidP="00733D67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before="120" w:after="120"/>
        <w:ind w:left="357" w:hanging="357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Realizace vybraných programů</w:t>
      </w:r>
      <w:r w:rsidR="00E02779">
        <w:rPr>
          <w:rFonts w:asciiTheme="minorHAnsi" w:hAnsiTheme="minorHAnsi"/>
          <w:b/>
        </w:rPr>
        <w:t>,</w:t>
      </w:r>
      <w:r>
        <w:rPr>
          <w:rFonts w:asciiTheme="minorHAnsi" w:hAnsiTheme="minorHAnsi"/>
          <w:b/>
        </w:rPr>
        <w:t xml:space="preserve"> resp. investičních akcí </w:t>
      </w:r>
      <w:r w:rsidR="001B44B7" w:rsidRPr="001B44B7">
        <w:rPr>
          <w:rFonts w:ascii="Calibri" w:hAnsi="Calibri"/>
          <w:b/>
        </w:rPr>
        <w:t>reprodukce majetku</w:t>
      </w:r>
      <w:r>
        <w:rPr>
          <w:rFonts w:ascii="Calibri" w:hAnsi="Calibri"/>
          <w:b/>
        </w:rPr>
        <w:t xml:space="preserve"> AČR</w:t>
      </w:r>
    </w:p>
    <w:p w14:paraId="17D76508" w14:textId="461D3C2A" w:rsidR="00AE0D59" w:rsidRPr="00733D67" w:rsidRDefault="00AE0D59" w:rsidP="00733D67">
      <w:pPr>
        <w:spacing w:before="120" w:after="120"/>
        <w:jc w:val="both"/>
        <w:rPr>
          <w:rFonts w:ascii="Calibri" w:hAnsi="Calibri" w:cs="Calibri"/>
        </w:rPr>
      </w:pPr>
      <w:r w:rsidRPr="00733D67">
        <w:rPr>
          <w:rFonts w:ascii="Calibri" w:hAnsi="Calibri" w:cs="Calibri"/>
        </w:rPr>
        <w:t>Dokumentaci programu 107 110</w:t>
      </w:r>
      <w:r w:rsidR="00E02779">
        <w:rPr>
          <w:rFonts w:ascii="Calibri" w:hAnsi="Calibri" w:cs="Calibri"/>
        </w:rPr>
        <w:t> –</w:t>
      </w:r>
      <w:r w:rsidRPr="00733D67">
        <w:rPr>
          <w:rFonts w:ascii="Calibri" w:hAnsi="Calibri" w:cs="Calibri"/>
        </w:rPr>
        <w:t xml:space="preserve"> </w:t>
      </w:r>
      <w:r w:rsidRPr="00627F7D">
        <w:rPr>
          <w:rFonts w:ascii="Calibri" w:hAnsi="Calibri" w:cs="Calibri"/>
          <w:i/>
        </w:rPr>
        <w:t>Zvyšování schopností vojáka 21. století</w:t>
      </w:r>
      <w:r w:rsidRPr="00733D67">
        <w:rPr>
          <w:rFonts w:ascii="Calibri" w:hAnsi="Calibri" w:cs="Calibri"/>
        </w:rPr>
        <w:t xml:space="preserve"> posoudilo Ministerstvo financí (dále také „MF“) v září roku 2009 a stanovilo výši prostředků SR na financování programu do konce roku 2015 </w:t>
      </w:r>
      <w:r w:rsidR="00E02779">
        <w:rPr>
          <w:rFonts w:ascii="Calibri" w:hAnsi="Calibri" w:cs="Calibri"/>
        </w:rPr>
        <w:t>v celkové hodnotě</w:t>
      </w:r>
      <w:r w:rsidRPr="00733D67">
        <w:rPr>
          <w:rFonts w:ascii="Calibri" w:hAnsi="Calibri" w:cs="Calibri"/>
        </w:rPr>
        <w:t xml:space="preserve"> 2 311,066 mil. Kč. Cílem je </w:t>
      </w:r>
      <w:r w:rsidR="00161D5B" w:rsidRPr="00733D67">
        <w:rPr>
          <w:rFonts w:ascii="Calibri" w:hAnsi="Calibri" w:cs="Calibri"/>
        </w:rPr>
        <w:t>především</w:t>
      </w:r>
      <w:r w:rsidRPr="00733D67">
        <w:rPr>
          <w:rFonts w:ascii="Calibri" w:hAnsi="Calibri" w:cs="Calibri"/>
        </w:rPr>
        <w:t xml:space="preserve"> zvýšení akceschopnosti vojáka a jednotek, což má spočívat v pořízení výzbroje a</w:t>
      </w:r>
      <w:r w:rsidR="00E02779">
        <w:rPr>
          <w:rFonts w:ascii="Calibri" w:hAnsi="Calibri" w:cs="Calibri"/>
        </w:rPr>
        <w:t> </w:t>
      </w:r>
      <w:r w:rsidRPr="00733D67">
        <w:rPr>
          <w:rFonts w:ascii="Calibri" w:hAnsi="Calibri" w:cs="Calibri"/>
        </w:rPr>
        <w:t>výstroje. Program se dělí na tři podprogramy, realizován však byl dle zjištění NKÚ pouze jeden z nich. MO k tomu uvedlo, že důvodem bylo snižování rozpočtu, pořízení části komodit má být uskutečněno až v dalším období. Koncem roku 2014 byla realizace programu</w:t>
      </w:r>
      <w:r w:rsidR="00E02779" w:rsidRPr="00E02779">
        <w:rPr>
          <w:rFonts w:ascii="Calibri" w:hAnsi="Calibri" w:cs="Calibri"/>
        </w:rPr>
        <w:t xml:space="preserve"> </w:t>
      </w:r>
      <w:r w:rsidR="00E02779" w:rsidRPr="00733D67">
        <w:rPr>
          <w:rFonts w:ascii="Calibri" w:hAnsi="Calibri" w:cs="Calibri"/>
        </w:rPr>
        <w:t>prodloužena o rok, tj. do 31. prosince 2016</w:t>
      </w:r>
      <w:r w:rsidR="00E02779">
        <w:rPr>
          <w:rFonts w:ascii="Calibri" w:hAnsi="Calibri" w:cs="Calibri"/>
        </w:rPr>
        <w:t>, a to</w:t>
      </w:r>
      <w:r w:rsidRPr="00733D67">
        <w:rPr>
          <w:rFonts w:ascii="Calibri" w:hAnsi="Calibri" w:cs="Calibri"/>
        </w:rPr>
        <w:t xml:space="preserve"> z</w:t>
      </w:r>
      <w:r w:rsidR="00E02779">
        <w:rPr>
          <w:rFonts w:ascii="Calibri" w:hAnsi="Calibri" w:cs="Calibri"/>
        </w:rPr>
        <w:t> </w:t>
      </w:r>
      <w:r w:rsidRPr="00733D67">
        <w:rPr>
          <w:rFonts w:ascii="Calibri" w:hAnsi="Calibri" w:cs="Calibri"/>
        </w:rPr>
        <w:t>důvodu zpoždění realizace akcí ev.</w:t>
      </w:r>
      <w:r w:rsidR="00427F0D">
        <w:rPr>
          <w:rFonts w:ascii="Calibri" w:hAnsi="Calibri" w:cs="Calibri"/>
        </w:rPr>
        <w:t> </w:t>
      </w:r>
      <w:r w:rsidRPr="00733D67">
        <w:rPr>
          <w:rFonts w:ascii="Calibri" w:hAnsi="Calibri" w:cs="Calibri"/>
        </w:rPr>
        <w:t>č.</w:t>
      </w:r>
      <w:r w:rsidR="00427F0D">
        <w:rPr>
          <w:rFonts w:ascii="Calibri" w:hAnsi="Calibri" w:cs="Calibri"/>
        </w:rPr>
        <w:t> </w:t>
      </w:r>
      <w:r w:rsidRPr="00733D67">
        <w:rPr>
          <w:rFonts w:ascii="Calibri" w:hAnsi="Calibri" w:cs="Calibri"/>
        </w:rPr>
        <w:t>107V112001302</w:t>
      </w:r>
      <w:r w:rsidR="00E02779">
        <w:rPr>
          <w:rFonts w:ascii="Calibri" w:hAnsi="Calibri" w:cs="Calibri"/>
        </w:rPr>
        <w:t xml:space="preserve"> –</w:t>
      </w:r>
      <w:r w:rsidRPr="00733D67">
        <w:rPr>
          <w:rFonts w:ascii="Calibri" w:hAnsi="Calibri" w:cs="Calibri"/>
        </w:rPr>
        <w:t xml:space="preserve"> </w:t>
      </w:r>
      <w:r w:rsidRPr="00627F7D">
        <w:rPr>
          <w:rFonts w:ascii="Calibri" w:hAnsi="Calibri" w:cs="Calibri"/>
          <w:i/>
        </w:rPr>
        <w:t xml:space="preserve">Puška pro přesnou střelbu </w:t>
      </w:r>
      <w:r w:rsidR="00E02779" w:rsidRPr="00627F7D">
        <w:rPr>
          <w:rFonts w:ascii="Calibri" w:hAnsi="Calibri" w:cs="Calibri"/>
          <w:i/>
        </w:rPr>
        <w:t>–</w:t>
      </w:r>
      <w:r w:rsidRPr="00627F7D">
        <w:rPr>
          <w:rFonts w:ascii="Calibri" w:hAnsi="Calibri" w:cs="Calibri"/>
          <w:i/>
        </w:rPr>
        <w:t xml:space="preserve"> nákup</w:t>
      </w:r>
      <w:r w:rsidR="00733D67">
        <w:rPr>
          <w:rFonts w:ascii="Calibri" w:hAnsi="Calibri" w:cs="Calibri"/>
        </w:rPr>
        <w:t xml:space="preserve"> a ev. </w:t>
      </w:r>
      <w:r w:rsidR="00225814" w:rsidRPr="00733D67">
        <w:rPr>
          <w:rFonts w:ascii="Calibri" w:hAnsi="Calibri" w:cs="Calibri"/>
        </w:rPr>
        <w:t>č. </w:t>
      </w:r>
      <w:r w:rsidRPr="00733D67">
        <w:rPr>
          <w:rFonts w:ascii="Calibri" w:hAnsi="Calibri" w:cs="Calibri"/>
        </w:rPr>
        <w:t>107V112001301</w:t>
      </w:r>
      <w:r w:rsidR="00E02779">
        <w:rPr>
          <w:rFonts w:ascii="Calibri" w:hAnsi="Calibri" w:cs="Calibri"/>
        </w:rPr>
        <w:t xml:space="preserve"> –</w:t>
      </w:r>
      <w:r w:rsidRPr="00733D67">
        <w:rPr>
          <w:rFonts w:ascii="Calibri" w:hAnsi="Calibri" w:cs="Calibri"/>
        </w:rPr>
        <w:t xml:space="preserve"> </w:t>
      </w:r>
      <w:r w:rsidRPr="00627F7D">
        <w:rPr>
          <w:rFonts w:ascii="Calibri" w:hAnsi="Calibri" w:cs="Calibri"/>
          <w:i/>
        </w:rPr>
        <w:t xml:space="preserve">Kulomet </w:t>
      </w:r>
      <w:r w:rsidR="00E02779" w:rsidRPr="00627F7D">
        <w:rPr>
          <w:rFonts w:ascii="Calibri" w:hAnsi="Calibri" w:cs="Calibri"/>
          <w:i/>
        </w:rPr>
        <w:t>–</w:t>
      </w:r>
      <w:r w:rsidRPr="00627F7D">
        <w:rPr>
          <w:rFonts w:ascii="Calibri" w:hAnsi="Calibri" w:cs="Calibri"/>
          <w:i/>
        </w:rPr>
        <w:t xml:space="preserve"> nákup</w:t>
      </w:r>
      <w:r w:rsidRPr="00733D67">
        <w:rPr>
          <w:rFonts w:ascii="Calibri" w:hAnsi="Calibri" w:cs="Calibri"/>
        </w:rPr>
        <w:t xml:space="preserve">. </w:t>
      </w:r>
    </w:p>
    <w:p w14:paraId="3D4BB32E" w14:textId="2ECE126D" w:rsidR="00AE0D59" w:rsidRPr="00733D67" w:rsidRDefault="00AE0D59" w:rsidP="00733D67">
      <w:pPr>
        <w:spacing w:before="120" w:after="120"/>
        <w:jc w:val="both"/>
        <w:rPr>
          <w:rFonts w:ascii="Calibri" w:hAnsi="Calibri" w:cs="Calibri"/>
          <w:bCs/>
          <w:iCs/>
        </w:rPr>
      </w:pPr>
      <w:r w:rsidRPr="00733D67">
        <w:rPr>
          <w:rFonts w:ascii="Calibri" w:hAnsi="Calibri" w:cs="Calibri"/>
          <w:bCs/>
          <w:iCs/>
        </w:rPr>
        <w:t>Předmětem akce ev. č. 107V112001302</w:t>
      </w:r>
      <w:r w:rsidR="00E02779">
        <w:rPr>
          <w:rFonts w:ascii="Calibri" w:hAnsi="Calibri" w:cs="Calibri"/>
          <w:bCs/>
          <w:iCs/>
        </w:rPr>
        <w:t xml:space="preserve"> –</w:t>
      </w:r>
      <w:r w:rsidRPr="00733D67">
        <w:rPr>
          <w:rFonts w:ascii="Calibri" w:hAnsi="Calibri" w:cs="Calibri"/>
          <w:bCs/>
          <w:iCs/>
        </w:rPr>
        <w:t xml:space="preserve"> </w:t>
      </w:r>
      <w:r w:rsidRPr="00733D67">
        <w:rPr>
          <w:rFonts w:ascii="Calibri" w:hAnsi="Calibri" w:cs="Calibri"/>
          <w:bCs/>
          <w:i/>
          <w:iCs/>
        </w:rPr>
        <w:t xml:space="preserve">Puška pro přesnou střelbu </w:t>
      </w:r>
      <w:r w:rsidR="00E02779">
        <w:rPr>
          <w:rFonts w:ascii="Calibri" w:hAnsi="Calibri" w:cs="Calibri"/>
          <w:bCs/>
          <w:i/>
          <w:iCs/>
        </w:rPr>
        <w:t>–</w:t>
      </w:r>
      <w:r w:rsidRPr="00733D67">
        <w:rPr>
          <w:rFonts w:ascii="Calibri" w:hAnsi="Calibri" w:cs="Calibri"/>
          <w:bCs/>
          <w:i/>
          <w:iCs/>
        </w:rPr>
        <w:t xml:space="preserve"> nákup </w:t>
      </w:r>
      <w:r w:rsidRPr="00733D67">
        <w:rPr>
          <w:rFonts w:ascii="Calibri" w:hAnsi="Calibri" w:cs="Calibri"/>
          <w:bCs/>
          <w:iCs/>
        </w:rPr>
        <w:t xml:space="preserve">mělo být pořízení 238 souprav zbraní, které mají nahradit již nevyhovující </w:t>
      </w:r>
      <w:proofErr w:type="spellStart"/>
      <w:r w:rsidRPr="00733D67">
        <w:rPr>
          <w:rFonts w:ascii="Calibri" w:hAnsi="Calibri" w:cs="Calibri"/>
          <w:bCs/>
          <w:iCs/>
        </w:rPr>
        <w:t>odstřelovací</w:t>
      </w:r>
      <w:proofErr w:type="spellEnd"/>
      <w:r w:rsidRPr="00733D67">
        <w:rPr>
          <w:rFonts w:ascii="Calibri" w:hAnsi="Calibri" w:cs="Calibri"/>
          <w:bCs/>
          <w:iCs/>
        </w:rPr>
        <w:t xml:space="preserve"> pušky, nejpozději do roku 2014. Specifikace nové pušky byla zpracována v dubnu 2012, od té doby se </w:t>
      </w:r>
      <w:r w:rsidR="00782F4B" w:rsidRPr="00733D67">
        <w:rPr>
          <w:rFonts w:ascii="Calibri" w:hAnsi="Calibri" w:cs="Calibri"/>
          <w:bCs/>
          <w:iCs/>
        </w:rPr>
        <w:t xml:space="preserve">MO </w:t>
      </w:r>
      <w:r w:rsidRPr="00733D67">
        <w:rPr>
          <w:rFonts w:ascii="Calibri" w:hAnsi="Calibri" w:cs="Calibri"/>
          <w:bCs/>
          <w:iCs/>
        </w:rPr>
        <w:t>snaží nákup uskutečnit. V letech 2013 až 2015 proběhly dvě veřejné zakázky, v obou případech se nákup nakonec neuskutečnil z důvod</w:t>
      </w:r>
      <w:r w:rsidR="00782F4B">
        <w:rPr>
          <w:rFonts w:ascii="Calibri" w:hAnsi="Calibri" w:cs="Calibri"/>
          <w:bCs/>
          <w:iCs/>
        </w:rPr>
        <w:t>u</w:t>
      </w:r>
      <w:r w:rsidRPr="00733D67">
        <w:rPr>
          <w:rFonts w:ascii="Calibri" w:hAnsi="Calibri" w:cs="Calibri"/>
          <w:bCs/>
          <w:iCs/>
        </w:rPr>
        <w:t xml:space="preserve"> nevyhovujících výsledků kontrolních zkoušek. Ty se uskutečnily až</w:t>
      </w:r>
      <w:r w:rsidR="00E02779">
        <w:rPr>
          <w:rFonts w:ascii="Calibri" w:hAnsi="Calibri" w:cs="Calibri"/>
          <w:bCs/>
          <w:iCs/>
        </w:rPr>
        <w:t xml:space="preserve"> </w:t>
      </w:r>
      <w:r w:rsidRPr="00733D67">
        <w:rPr>
          <w:rFonts w:ascii="Calibri" w:hAnsi="Calibri" w:cs="Calibri"/>
          <w:bCs/>
          <w:iCs/>
        </w:rPr>
        <w:t>po</w:t>
      </w:r>
      <w:r w:rsidR="00E02779">
        <w:rPr>
          <w:rFonts w:ascii="Calibri" w:hAnsi="Calibri" w:cs="Calibri"/>
          <w:bCs/>
          <w:iCs/>
        </w:rPr>
        <w:t xml:space="preserve"> </w:t>
      </w:r>
      <w:r w:rsidRPr="00733D67">
        <w:rPr>
          <w:rFonts w:ascii="Calibri" w:hAnsi="Calibri" w:cs="Calibri"/>
          <w:bCs/>
          <w:iCs/>
        </w:rPr>
        <w:t xml:space="preserve">uzavření kupní smlouvy s vítězným uchazečem a ukázaly, že parametry zbraně deklarované v nabídkách uchazečů nebyly splněny. V době ukončení kontroly připravovalo MO v pořadí již třetí zadávací řízení, v rámci kterého má nákup proběhnout </w:t>
      </w:r>
      <w:r w:rsidR="00782F4B" w:rsidRPr="00733D67">
        <w:rPr>
          <w:rFonts w:ascii="Calibri" w:hAnsi="Calibri" w:cs="Calibri"/>
          <w:bCs/>
          <w:iCs/>
        </w:rPr>
        <w:t>v roce 2017</w:t>
      </w:r>
      <w:r w:rsidR="00782F4B">
        <w:rPr>
          <w:rFonts w:ascii="Calibri" w:hAnsi="Calibri" w:cs="Calibri"/>
          <w:bCs/>
          <w:iCs/>
        </w:rPr>
        <w:t xml:space="preserve">, avšak </w:t>
      </w:r>
      <w:r w:rsidRPr="00733D67">
        <w:rPr>
          <w:rFonts w:ascii="Calibri" w:hAnsi="Calibri" w:cs="Calibri"/>
          <w:bCs/>
          <w:iCs/>
        </w:rPr>
        <w:t xml:space="preserve">pravděpodobně </w:t>
      </w:r>
      <w:r w:rsidR="00782F4B" w:rsidRPr="00733D67">
        <w:rPr>
          <w:rFonts w:ascii="Calibri" w:hAnsi="Calibri" w:cs="Calibri"/>
          <w:bCs/>
          <w:iCs/>
        </w:rPr>
        <w:t xml:space="preserve">již </w:t>
      </w:r>
      <w:r w:rsidRPr="00733D67">
        <w:rPr>
          <w:rFonts w:ascii="Calibri" w:hAnsi="Calibri" w:cs="Calibri"/>
          <w:bCs/>
          <w:iCs/>
        </w:rPr>
        <w:t xml:space="preserve">v rámci jiného programu reprodukce majetku. </w:t>
      </w:r>
      <w:r w:rsidRPr="00733D67">
        <w:rPr>
          <w:rFonts w:ascii="Calibri" w:hAnsi="Calibri" w:cs="Calibri"/>
        </w:rPr>
        <w:t>Popis akce ev.</w:t>
      </w:r>
      <w:r w:rsidR="00733D67">
        <w:rPr>
          <w:rFonts w:ascii="Calibri" w:hAnsi="Calibri" w:cs="Calibri"/>
        </w:rPr>
        <w:t> </w:t>
      </w:r>
      <w:r w:rsidRPr="00733D67">
        <w:rPr>
          <w:rFonts w:ascii="Calibri" w:hAnsi="Calibri" w:cs="Calibri"/>
        </w:rPr>
        <w:t xml:space="preserve">č. </w:t>
      </w:r>
      <w:r w:rsidRPr="00627F7D">
        <w:rPr>
          <w:rFonts w:ascii="Calibri" w:hAnsi="Calibri" w:cs="Calibri"/>
        </w:rPr>
        <w:t>107V112001301</w:t>
      </w:r>
      <w:r w:rsidR="00E02779">
        <w:rPr>
          <w:rFonts w:ascii="Calibri" w:hAnsi="Calibri" w:cs="Calibri"/>
        </w:rPr>
        <w:t xml:space="preserve"> –</w:t>
      </w:r>
      <w:r w:rsidRPr="00733D67">
        <w:rPr>
          <w:rFonts w:ascii="Calibri" w:hAnsi="Calibri" w:cs="Calibri"/>
          <w:i/>
        </w:rPr>
        <w:t xml:space="preserve"> Kulomet </w:t>
      </w:r>
      <w:r w:rsidR="00E02779">
        <w:rPr>
          <w:rFonts w:ascii="Calibri" w:hAnsi="Calibri" w:cs="Calibri"/>
          <w:i/>
        </w:rPr>
        <w:t>–</w:t>
      </w:r>
      <w:r w:rsidRPr="00733D67">
        <w:rPr>
          <w:rFonts w:ascii="Calibri" w:hAnsi="Calibri" w:cs="Calibri"/>
          <w:i/>
        </w:rPr>
        <w:t xml:space="preserve"> nákup</w:t>
      </w:r>
      <w:r w:rsidRPr="00733D67">
        <w:rPr>
          <w:rFonts w:ascii="Calibri" w:hAnsi="Calibri" w:cs="Calibri"/>
        </w:rPr>
        <w:t xml:space="preserve"> je uveden v bodu </w:t>
      </w:r>
      <w:r w:rsidR="00B453A6" w:rsidRPr="00733D67">
        <w:rPr>
          <w:rFonts w:ascii="Calibri" w:hAnsi="Calibri" w:cs="Calibri"/>
        </w:rPr>
        <w:t>č. 10.</w:t>
      </w:r>
    </w:p>
    <w:p w14:paraId="297786C0" w14:textId="32A5A6B5" w:rsidR="00FA06A6" w:rsidRPr="00733D67" w:rsidRDefault="00AE0D59" w:rsidP="00733D67">
      <w:pPr>
        <w:spacing w:before="120" w:after="120"/>
        <w:jc w:val="both"/>
        <w:rPr>
          <w:rFonts w:ascii="Calibri" w:hAnsi="Calibri" w:cs="Calibri"/>
        </w:rPr>
      </w:pPr>
      <w:r w:rsidRPr="00733D67">
        <w:rPr>
          <w:rFonts w:ascii="Calibri" w:hAnsi="Calibri" w:cs="Calibri"/>
        </w:rPr>
        <w:t>Dokumentaci programu 107 430</w:t>
      </w:r>
      <w:r w:rsidR="00782F4B">
        <w:rPr>
          <w:rFonts w:ascii="Calibri" w:hAnsi="Calibri" w:cs="Calibri"/>
        </w:rPr>
        <w:t xml:space="preserve"> –</w:t>
      </w:r>
      <w:r w:rsidRPr="00733D67">
        <w:rPr>
          <w:rFonts w:ascii="Calibri" w:hAnsi="Calibri" w:cs="Calibri"/>
        </w:rPr>
        <w:t xml:space="preserve"> </w:t>
      </w:r>
      <w:r w:rsidRPr="00733D67">
        <w:rPr>
          <w:rFonts w:ascii="Calibri" w:hAnsi="Calibri" w:cs="Calibri"/>
          <w:i/>
        </w:rPr>
        <w:t xml:space="preserve">Zabezpečení zapojení AČR do operací a pohotovostních sil </w:t>
      </w:r>
      <w:r w:rsidRPr="00733D67">
        <w:rPr>
          <w:rFonts w:ascii="Calibri" w:hAnsi="Calibri" w:cs="Calibri"/>
        </w:rPr>
        <w:t xml:space="preserve">posoudilo MF v červenci roku 2013 a stanovilo výši prostředků SR na financování programu do konce roku 2015 </w:t>
      </w:r>
      <w:r w:rsidR="00782F4B">
        <w:rPr>
          <w:rFonts w:ascii="Calibri" w:hAnsi="Calibri" w:cs="Calibri"/>
        </w:rPr>
        <w:t>v celkové hodnotě</w:t>
      </w:r>
      <w:r w:rsidRPr="00733D67">
        <w:rPr>
          <w:rFonts w:ascii="Calibri" w:hAnsi="Calibri" w:cs="Calibri"/>
        </w:rPr>
        <w:t xml:space="preserve"> 730,707 mil. Kč. Cílem je ze</w:t>
      </w:r>
      <w:r w:rsidR="00377F7D" w:rsidRPr="00733D67">
        <w:rPr>
          <w:rFonts w:ascii="Calibri" w:hAnsi="Calibri" w:cs="Calibri"/>
        </w:rPr>
        <w:t>jména zabezpečit připravenost a </w:t>
      </w:r>
      <w:r w:rsidRPr="00733D67">
        <w:rPr>
          <w:rFonts w:ascii="Calibri" w:hAnsi="Calibri" w:cs="Calibri"/>
        </w:rPr>
        <w:t>nasazení sil AČR do mezinárodních operací pořízením nebo technickým zhodnocením majetku. V květnu roku 2014 byla účast SR na financov</w:t>
      </w:r>
      <w:r w:rsidR="00733D67">
        <w:rPr>
          <w:rFonts w:ascii="Calibri" w:hAnsi="Calibri" w:cs="Calibri"/>
        </w:rPr>
        <w:t>ání programu zvýšena na 936,828 mil. </w:t>
      </w:r>
      <w:r w:rsidRPr="00733D67">
        <w:rPr>
          <w:rFonts w:ascii="Calibri" w:hAnsi="Calibri" w:cs="Calibri"/>
        </w:rPr>
        <w:t>Kč, důvodem bylo schválení nových úkolů (mj. rozšíření teritoriálního působení či nasazení nových prostředků)</w:t>
      </w:r>
      <w:r w:rsidRPr="00733D67">
        <w:rPr>
          <w:rStyle w:val="Znakapoznpodarou"/>
          <w:rFonts w:ascii="Calibri" w:hAnsi="Calibri" w:cs="Calibri"/>
        </w:rPr>
        <w:footnoteReference w:id="25"/>
      </w:r>
      <w:r w:rsidRPr="00733D67">
        <w:rPr>
          <w:rFonts w:ascii="Calibri" w:hAnsi="Calibri" w:cs="Calibri"/>
        </w:rPr>
        <w:t xml:space="preserve">. V prosinci roku 2015 byla realizace programu z důvodu prodlení dodávek u akcí realizovaných cestou </w:t>
      </w:r>
      <w:proofErr w:type="spellStart"/>
      <w:r w:rsidRPr="00733D67">
        <w:rPr>
          <w:rFonts w:ascii="Calibri" w:hAnsi="Calibri" w:cs="Calibri"/>
          <w:i/>
        </w:rPr>
        <w:t>Foreign</w:t>
      </w:r>
      <w:proofErr w:type="spellEnd"/>
      <w:r w:rsidRPr="00733D67">
        <w:rPr>
          <w:rFonts w:ascii="Calibri" w:hAnsi="Calibri" w:cs="Calibri"/>
          <w:i/>
        </w:rPr>
        <w:t xml:space="preserve"> </w:t>
      </w:r>
      <w:proofErr w:type="spellStart"/>
      <w:r w:rsidRPr="00733D67">
        <w:rPr>
          <w:rFonts w:ascii="Calibri" w:hAnsi="Calibri" w:cs="Calibri"/>
          <w:i/>
        </w:rPr>
        <w:t>Military</w:t>
      </w:r>
      <w:proofErr w:type="spellEnd"/>
      <w:r w:rsidRPr="00733D67">
        <w:rPr>
          <w:rFonts w:ascii="Calibri" w:hAnsi="Calibri" w:cs="Calibri"/>
          <w:i/>
        </w:rPr>
        <w:t xml:space="preserve"> Sales</w:t>
      </w:r>
      <w:r w:rsidRPr="00627F7D">
        <w:rPr>
          <w:rStyle w:val="Znakapoznpodarou"/>
          <w:rFonts w:ascii="Calibri" w:hAnsi="Calibri" w:cs="Calibri"/>
        </w:rPr>
        <w:footnoteReference w:id="26"/>
      </w:r>
      <w:r w:rsidRPr="00733D67">
        <w:rPr>
          <w:rFonts w:ascii="Calibri" w:hAnsi="Calibri" w:cs="Calibri"/>
          <w:i/>
        </w:rPr>
        <w:t xml:space="preserve"> </w:t>
      </w:r>
      <w:r w:rsidRPr="00733D67">
        <w:rPr>
          <w:rFonts w:ascii="Calibri" w:hAnsi="Calibri" w:cs="Calibri"/>
        </w:rPr>
        <w:t>(dál</w:t>
      </w:r>
      <w:r w:rsidR="002A1CB6" w:rsidRPr="00733D67">
        <w:rPr>
          <w:rFonts w:ascii="Calibri" w:hAnsi="Calibri" w:cs="Calibri"/>
        </w:rPr>
        <w:t xml:space="preserve">e také „FMS“) prodloužena o </w:t>
      </w:r>
      <w:r w:rsidRPr="00733D67">
        <w:rPr>
          <w:rFonts w:ascii="Calibri" w:hAnsi="Calibri" w:cs="Calibri"/>
        </w:rPr>
        <w:t xml:space="preserve">rok, tj. do 31. prosince 2016. Dle zjištění NKÚ činilo čerpání peněžních prostředků programu ke konci roku 2015 pouze 59 % plánovaného objemu, důvodem </w:t>
      </w:r>
      <w:r w:rsidR="009C4FAC" w:rsidRPr="00733D67">
        <w:rPr>
          <w:rFonts w:ascii="Calibri" w:hAnsi="Calibri" w:cs="Calibri"/>
        </w:rPr>
        <w:t xml:space="preserve">byly </w:t>
      </w:r>
      <w:r w:rsidRPr="00733D67">
        <w:rPr>
          <w:rFonts w:ascii="Calibri" w:hAnsi="Calibri" w:cs="Calibri"/>
        </w:rPr>
        <w:t xml:space="preserve">problémy v akvizičním procesu </w:t>
      </w:r>
      <w:r w:rsidR="009C4FAC" w:rsidRPr="00733D67">
        <w:rPr>
          <w:rFonts w:ascii="Calibri" w:hAnsi="Calibri" w:cs="Calibri"/>
        </w:rPr>
        <w:t xml:space="preserve">MO </w:t>
      </w:r>
      <w:r w:rsidRPr="00733D67">
        <w:rPr>
          <w:rFonts w:ascii="Calibri" w:hAnsi="Calibri" w:cs="Calibri"/>
        </w:rPr>
        <w:t>(rušení veřejných zakázek).</w:t>
      </w:r>
    </w:p>
    <w:p w14:paraId="494489F1" w14:textId="7C85B9F2" w:rsidR="00FA06A6" w:rsidRPr="00733D67" w:rsidRDefault="00FA06A6" w:rsidP="00733D67">
      <w:pPr>
        <w:spacing w:before="120" w:after="120"/>
        <w:jc w:val="both"/>
        <w:rPr>
          <w:rFonts w:ascii="Calibri" w:hAnsi="Calibri" w:cs="Calibri"/>
          <w:bCs/>
        </w:rPr>
      </w:pPr>
      <w:r w:rsidRPr="00733D67">
        <w:rPr>
          <w:rFonts w:ascii="Calibri" w:hAnsi="Calibri" w:cs="Calibri"/>
          <w:bCs/>
        </w:rPr>
        <w:t>Předmětem akce ev. č. 107V431000003</w:t>
      </w:r>
      <w:r w:rsidR="008A0E8D">
        <w:rPr>
          <w:rFonts w:ascii="Calibri" w:hAnsi="Calibri" w:cs="Calibri"/>
          <w:bCs/>
        </w:rPr>
        <w:t xml:space="preserve"> –</w:t>
      </w:r>
      <w:r w:rsidRPr="00733D67">
        <w:rPr>
          <w:rFonts w:ascii="Calibri" w:hAnsi="Calibri" w:cs="Calibri"/>
          <w:bCs/>
        </w:rPr>
        <w:t xml:space="preserve"> </w:t>
      </w:r>
      <w:r w:rsidRPr="00733D67">
        <w:rPr>
          <w:rFonts w:ascii="Calibri" w:hAnsi="Calibri" w:cs="Calibri"/>
          <w:bCs/>
          <w:i/>
        </w:rPr>
        <w:t xml:space="preserve">Modulární zbraňový komplet </w:t>
      </w:r>
      <w:r w:rsidR="00996114">
        <w:rPr>
          <w:rFonts w:ascii="Calibri" w:hAnsi="Calibri" w:cs="Calibri"/>
          <w:bCs/>
          <w:i/>
        </w:rPr>
        <w:t>–</w:t>
      </w:r>
      <w:r w:rsidRPr="00733D67">
        <w:rPr>
          <w:rFonts w:ascii="Calibri" w:hAnsi="Calibri" w:cs="Calibri"/>
          <w:bCs/>
          <w:i/>
        </w:rPr>
        <w:t xml:space="preserve"> nákup</w:t>
      </w:r>
      <w:r w:rsidRPr="00733D67">
        <w:rPr>
          <w:rFonts w:ascii="Calibri" w:hAnsi="Calibri" w:cs="Calibri"/>
          <w:bCs/>
        </w:rPr>
        <w:t xml:space="preserve"> </w:t>
      </w:r>
      <w:r w:rsidR="00E572FC" w:rsidRPr="00733D67">
        <w:rPr>
          <w:rFonts w:ascii="Calibri" w:hAnsi="Calibri" w:cs="Calibri"/>
          <w:bCs/>
          <w:iCs/>
        </w:rPr>
        <w:t>mělo být</w:t>
      </w:r>
      <w:r w:rsidRPr="00733D67">
        <w:rPr>
          <w:rFonts w:ascii="Calibri" w:hAnsi="Calibri" w:cs="Calibri"/>
          <w:bCs/>
        </w:rPr>
        <w:t xml:space="preserve"> pořízení dvaceti (</w:t>
      </w:r>
      <w:r w:rsidR="00161D5B" w:rsidRPr="00733D67">
        <w:rPr>
          <w:rFonts w:ascii="Calibri" w:hAnsi="Calibri" w:cs="Calibri"/>
          <w:bCs/>
        </w:rPr>
        <w:t>v dokumentaci programu</w:t>
      </w:r>
      <w:r w:rsidR="00BE0E11" w:rsidRPr="00733D67">
        <w:rPr>
          <w:rFonts w:ascii="Calibri" w:hAnsi="Calibri" w:cs="Calibri"/>
          <w:bCs/>
        </w:rPr>
        <w:t xml:space="preserve"> </w:t>
      </w:r>
      <w:r w:rsidR="008A0E8D">
        <w:rPr>
          <w:rFonts w:ascii="Calibri" w:hAnsi="Calibri" w:cs="Calibri"/>
          <w:bCs/>
        </w:rPr>
        <w:t xml:space="preserve">bylo původně </w:t>
      </w:r>
      <w:r w:rsidRPr="00733D67">
        <w:rPr>
          <w:rFonts w:ascii="Calibri" w:hAnsi="Calibri" w:cs="Calibri"/>
          <w:bCs/>
        </w:rPr>
        <w:t>plánov</w:t>
      </w:r>
      <w:r w:rsidR="008A0E8D">
        <w:rPr>
          <w:rFonts w:ascii="Calibri" w:hAnsi="Calibri" w:cs="Calibri"/>
          <w:bCs/>
        </w:rPr>
        <w:t>áno</w:t>
      </w:r>
      <w:r w:rsidR="00BE0E11" w:rsidRPr="00733D67">
        <w:rPr>
          <w:rFonts w:ascii="Calibri" w:hAnsi="Calibri" w:cs="Calibri"/>
          <w:bCs/>
        </w:rPr>
        <w:t xml:space="preserve"> </w:t>
      </w:r>
      <w:r w:rsidRPr="00D96FA2">
        <w:rPr>
          <w:rFonts w:ascii="Calibri" w:hAnsi="Calibri" w:cs="Calibri"/>
          <w:bCs/>
        </w:rPr>
        <w:t>šedesát</w:t>
      </w:r>
      <w:r w:rsidRPr="00733D67">
        <w:rPr>
          <w:rFonts w:ascii="Calibri" w:hAnsi="Calibri" w:cs="Calibri"/>
          <w:bCs/>
        </w:rPr>
        <w:t xml:space="preserve">) souprav speciálních </w:t>
      </w:r>
      <w:proofErr w:type="spellStart"/>
      <w:r w:rsidRPr="00733D67">
        <w:rPr>
          <w:rFonts w:ascii="Calibri" w:hAnsi="Calibri" w:cs="Calibri"/>
          <w:bCs/>
        </w:rPr>
        <w:t>odstřelovacích</w:t>
      </w:r>
      <w:proofErr w:type="spellEnd"/>
      <w:r w:rsidRPr="00733D67">
        <w:rPr>
          <w:rFonts w:ascii="Calibri" w:hAnsi="Calibri" w:cs="Calibri"/>
          <w:bCs/>
        </w:rPr>
        <w:t xml:space="preserve"> pušek původně v roce 2013. AČR jako budoucí uživatel zbraně zpracovala v polovině roku 2012 pr</w:t>
      </w:r>
      <w:r w:rsidR="00E572FC" w:rsidRPr="00733D67">
        <w:rPr>
          <w:rFonts w:ascii="Calibri" w:hAnsi="Calibri" w:cs="Calibri"/>
          <w:bCs/>
        </w:rPr>
        <w:t xml:space="preserve">o zahájení veřejné zakázky </w:t>
      </w:r>
      <w:r w:rsidRPr="00733D67">
        <w:rPr>
          <w:rFonts w:ascii="Calibri" w:hAnsi="Calibri" w:cs="Calibri"/>
          <w:bCs/>
        </w:rPr>
        <w:t>specifikaci</w:t>
      </w:r>
      <w:r w:rsidR="00E572FC" w:rsidRPr="00733D67">
        <w:rPr>
          <w:rFonts w:ascii="Calibri" w:hAnsi="Calibri" w:cs="Calibri"/>
          <w:bCs/>
        </w:rPr>
        <w:t xml:space="preserve"> pušky</w:t>
      </w:r>
      <w:r w:rsidRPr="00733D67">
        <w:rPr>
          <w:rFonts w:ascii="Calibri" w:hAnsi="Calibri" w:cs="Calibri"/>
          <w:bCs/>
        </w:rPr>
        <w:t>. Z důvodu jedinečnosti technického řešení požadovala pořídit konkrétní pušku od konkrétního výrobce. MO koncem roku 2013 přesto vypsalo veřejnou zakázku v</w:t>
      </w:r>
      <w:r w:rsidR="008A0E8D">
        <w:rPr>
          <w:rFonts w:ascii="Calibri" w:hAnsi="Calibri" w:cs="Calibri"/>
          <w:bCs/>
        </w:rPr>
        <w:t> </w:t>
      </w:r>
      <w:r w:rsidR="00FA7415" w:rsidRPr="00733D67">
        <w:rPr>
          <w:rFonts w:ascii="Calibri" w:hAnsi="Calibri" w:cs="Calibri"/>
          <w:bCs/>
        </w:rPr>
        <w:t xml:space="preserve">užším řízení dle </w:t>
      </w:r>
      <w:r w:rsidR="00225814" w:rsidRPr="00733D67">
        <w:rPr>
          <w:rFonts w:ascii="Calibri" w:hAnsi="Calibri" w:cs="Calibri"/>
          <w:bCs/>
        </w:rPr>
        <w:t xml:space="preserve">ustanovení </w:t>
      </w:r>
      <w:r w:rsidR="00FA7415" w:rsidRPr="00733D67">
        <w:rPr>
          <w:rFonts w:ascii="Calibri" w:hAnsi="Calibri" w:cs="Calibri"/>
          <w:bCs/>
        </w:rPr>
        <w:t xml:space="preserve">§ 28 </w:t>
      </w:r>
      <w:r w:rsidR="00FA7415" w:rsidRPr="00733D67">
        <w:rPr>
          <w:rFonts w:ascii="Calibri" w:hAnsi="Calibri" w:cs="Calibri"/>
          <w:bCs/>
        </w:rPr>
        <w:lastRenderedPageBreak/>
        <w:t>zákona o </w:t>
      </w:r>
      <w:r w:rsidRPr="00733D67">
        <w:rPr>
          <w:rFonts w:ascii="Calibri" w:hAnsi="Calibri" w:cs="Calibri"/>
          <w:bCs/>
        </w:rPr>
        <w:t>veřejných zaká</w:t>
      </w:r>
      <w:r w:rsidR="009F1E4F" w:rsidRPr="00733D67">
        <w:rPr>
          <w:rFonts w:ascii="Calibri" w:hAnsi="Calibri" w:cs="Calibri"/>
          <w:bCs/>
        </w:rPr>
        <w:t>zkách</w:t>
      </w:r>
      <w:r w:rsidR="005351A2" w:rsidRPr="00733D67">
        <w:rPr>
          <w:rStyle w:val="Znakapoznpodarou"/>
          <w:rFonts w:ascii="Calibri" w:hAnsi="Calibri" w:cs="Calibri"/>
          <w:bCs/>
        </w:rPr>
        <w:footnoteReference w:id="27"/>
      </w:r>
      <w:r w:rsidR="009F1E4F" w:rsidRPr="00733D67">
        <w:rPr>
          <w:rFonts w:ascii="Calibri" w:hAnsi="Calibri" w:cs="Calibri"/>
          <w:bCs/>
        </w:rPr>
        <w:t xml:space="preserve">. Tento postup zdůvodnilo argumentem, že současně se zbraní </w:t>
      </w:r>
      <w:r w:rsidR="008A0E8D">
        <w:rPr>
          <w:rFonts w:ascii="Calibri" w:hAnsi="Calibri" w:cs="Calibri"/>
          <w:bCs/>
        </w:rPr>
        <w:t>bylo třeba pořídit</w:t>
      </w:r>
      <w:r w:rsidR="009F1E4F" w:rsidRPr="00733D67">
        <w:rPr>
          <w:rFonts w:ascii="Calibri" w:hAnsi="Calibri" w:cs="Calibri"/>
          <w:bCs/>
        </w:rPr>
        <w:t xml:space="preserve"> přístroj pro noční vidění, další příslušenství a počáteční zásob</w:t>
      </w:r>
      <w:r w:rsidR="00556DA4">
        <w:rPr>
          <w:rFonts w:ascii="Calibri" w:hAnsi="Calibri" w:cs="Calibri"/>
          <w:bCs/>
        </w:rPr>
        <w:t>u</w:t>
      </w:r>
      <w:r w:rsidR="009F1E4F" w:rsidRPr="00733D67">
        <w:rPr>
          <w:rFonts w:ascii="Calibri" w:hAnsi="Calibri" w:cs="Calibri"/>
          <w:bCs/>
        </w:rPr>
        <w:t xml:space="preserve"> munice. </w:t>
      </w:r>
      <w:r w:rsidRPr="00733D67">
        <w:rPr>
          <w:rFonts w:ascii="Calibri" w:hAnsi="Calibri" w:cs="Calibri"/>
          <w:bCs/>
        </w:rPr>
        <w:t xml:space="preserve">Pušky měly být dle kupní smlouvy dodány do </w:t>
      </w:r>
      <w:r w:rsidR="00E572FC" w:rsidRPr="00733D67">
        <w:rPr>
          <w:rFonts w:ascii="Calibri" w:hAnsi="Calibri" w:cs="Calibri"/>
          <w:bCs/>
        </w:rPr>
        <w:t xml:space="preserve">poloviny </w:t>
      </w:r>
      <w:r w:rsidR="009F1E4F" w:rsidRPr="00733D67">
        <w:rPr>
          <w:rFonts w:ascii="Calibri" w:hAnsi="Calibri" w:cs="Calibri"/>
          <w:bCs/>
        </w:rPr>
        <w:t>května</w:t>
      </w:r>
      <w:r w:rsidR="00E572FC" w:rsidRPr="00733D67">
        <w:rPr>
          <w:rFonts w:ascii="Calibri" w:hAnsi="Calibri" w:cs="Calibri"/>
          <w:bCs/>
        </w:rPr>
        <w:t xml:space="preserve"> roku 2015, </w:t>
      </w:r>
      <w:r w:rsidRPr="00733D67">
        <w:rPr>
          <w:rFonts w:ascii="Calibri" w:hAnsi="Calibri" w:cs="Calibri"/>
          <w:bCs/>
        </w:rPr>
        <w:t xml:space="preserve">z důvodu prodlení na straně dodavatele k dodávce došlo až v říjnu téhož roku. </w:t>
      </w:r>
      <w:r w:rsidR="00556DA4">
        <w:rPr>
          <w:rFonts w:ascii="Calibri" w:hAnsi="Calibri" w:cs="Calibri"/>
          <w:bCs/>
        </w:rPr>
        <w:t>D</w:t>
      </w:r>
      <w:r w:rsidRPr="00733D67">
        <w:rPr>
          <w:rFonts w:ascii="Calibri" w:hAnsi="Calibri" w:cs="Calibri"/>
          <w:bCs/>
        </w:rPr>
        <w:t>ruhou etapu</w:t>
      </w:r>
      <w:r w:rsidR="00556DA4">
        <w:rPr>
          <w:rFonts w:ascii="Calibri" w:hAnsi="Calibri" w:cs="Calibri"/>
          <w:bCs/>
        </w:rPr>
        <w:t>, při níž by mělo být</w:t>
      </w:r>
      <w:r w:rsidRPr="00733D67">
        <w:rPr>
          <w:rFonts w:ascii="Calibri" w:hAnsi="Calibri" w:cs="Calibri"/>
          <w:bCs/>
        </w:rPr>
        <w:t xml:space="preserve"> pořízen</w:t>
      </w:r>
      <w:r w:rsidR="00556DA4">
        <w:rPr>
          <w:rFonts w:ascii="Calibri" w:hAnsi="Calibri" w:cs="Calibri"/>
          <w:bCs/>
        </w:rPr>
        <w:t>o</w:t>
      </w:r>
      <w:r w:rsidRPr="00733D67">
        <w:rPr>
          <w:rFonts w:ascii="Calibri" w:hAnsi="Calibri" w:cs="Calibri"/>
          <w:bCs/>
        </w:rPr>
        <w:t xml:space="preserve"> třicet výše uvedených zbraní</w:t>
      </w:r>
      <w:r w:rsidR="00556DA4">
        <w:rPr>
          <w:rFonts w:ascii="Calibri" w:hAnsi="Calibri" w:cs="Calibri"/>
          <w:bCs/>
        </w:rPr>
        <w:t>, plánuje MO</w:t>
      </w:r>
      <w:r w:rsidRPr="00733D67">
        <w:rPr>
          <w:rFonts w:ascii="Calibri" w:hAnsi="Calibri" w:cs="Calibri"/>
          <w:bCs/>
        </w:rPr>
        <w:t xml:space="preserve"> realizovat v obd</w:t>
      </w:r>
      <w:r w:rsidR="00C406FA" w:rsidRPr="00733D67">
        <w:rPr>
          <w:rFonts w:ascii="Calibri" w:hAnsi="Calibri" w:cs="Calibri"/>
          <w:bCs/>
        </w:rPr>
        <w:t>obí 2016</w:t>
      </w:r>
      <w:r w:rsidR="00225814" w:rsidRPr="00733D67">
        <w:rPr>
          <w:rFonts w:ascii="Calibri" w:hAnsi="Calibri" w:cs="Calibri"/>
          <w:bCs/>
        </w:rPr>
        <w:t>–</w:t>
      </w:r>
      <w:r w:rsidRPr="00733D67">
        <w:rPr>
          <w:rFonts w:ascii="Calibri" w:hAnsi="Calibri" w:cs="Calibri"/>
          <w:bCs/>
        </w:rPr>
        <w:t>2017.</w:t>
      </w:r>
    </w:p>
    <w:p w14:paraId="711B3841" w14:textId="3920BC40" w:rsidR="00AE0D59" w:rsidRPr="00733D67" w:rsidRDefault="00AE0D59" w:rsidP="00733D67">
      <w:pPr>
        <w:shd w:val="clear" w:color="auto" w:fill="FFFFFF"/>
        <w:spacing w:before="120" w:after="120"/>
        <w:ind w:left="23"/>
        <w:jc w:val="both"/>
        <w:rPr>
          <w:rFonts w:ascii="Calibri" w:hAnsi="Calibri" w:cs="Calibri"/>
          <w:color w:val="000000"/>
        </w:rPr>
      </w:pPr>
      <w:r w:rsidRPr="00733D67">
        <w:rPr>
          <w:rFonts w:ascii="Calibri" w:hAnsi="Calibri" w:cs="Calibri"/>
        </w:rPr>
        <w:t xml:space="preserve">Dokumentaci programu </w:t>
      </w:r>
      <w:r w:rsidRPr="003B6D10">
        <w:rPr>
          <w:rFonts w:ascii="Calibri" w:hAnsi="Calibri" w:cs="Calibri"/>
        </w:rPr>
        <w:t>107</w:t>
      </w:r>
      <w:r w:rsidRPr="00556DA4">
        <w:rPr>
          <w:rFonts w:ascii="Calibri" w:hAnsi="Calibri" w:cs="Calibri"/>
          <w:i/>
        </w:rPr>
        <w:t> </w:t>
      </w:r>
      <w:r w:rsidRPr="003B6D10">
        <w:rPr>
          <w:rFonts w:ascii="Calibri" w:hAnsi="Calibri" w:cs="Calibri"/>
        </w:rPr>
        <w:t>600</w:t>
      </w:r>
      <w:r w:rsidR="00556DA4">
        <w:rPr>
          <w:rFonts w:ascii="Calibri" w:hAnsi="Calibri" w:cs="Calibri"/>
        </w:rPr>
        <w:t xml:space="preserve"> –</w:t>
      </w:r>
      <w:r w:rsidRPr="00733D67">
        <w:rPr>
          <w:rFonts w:ascii="Calibri" w:hAnsi="Calibri" w:cs="Calibri"/>
          <w:i/>
        </w:rPr>
        <w:t xml:space="preserve"> Udržení a rozvoj schopností bojových sil AČR</w:t>
      </w:r>
      <w:r w:rsidRPr="00733D67">
        <w:rPr>
          <w:rFonts w:ascii="Calibri" w:hAnsi="Calibri" w:cs="Calibri"/>
        </w:rPr>
        <w:t xml:space="preserve"> </w:t>
      </w:r>
      <w:r w:rsidR="00225814" w:rsidRPr="00733D67">
        <w:rPr>
          <w:rFonts w:ascii="Calibri" w:hAnsi="Calibri" w:cs="Calibri"/>
        </w:rPr>
        <w:t>posoudilo MF v </w:t>
      </w:r>
      <w:r w:rsidRPr="00733D67">
        <w:rPr>
          <w:rFonts w:ascii="Calibri" w:hAnsi="Calibri" w:cs="Calibri"/>
        </w:rPr>
        <w:t xml:space="preserve">březnu roku 2013 a stanovilo výši prostředků SR na financování programu do konce roku 2015 </w:t>
      </w:r>
      <w:r w:rsidR="00556DA4">
        <w:rPr>
          <w:rFonts w:ascii="Calibri" w:hAnsi="Calibri" w:cs="Calibri"/>
        </w:rPr>
        <w:t>v celkové hodnotě</w:t>
      </w:r>
      <w:r w:rsidRPr="00733D67">
        <w:rPr>
          <w:rFonts w:ascii="Calibri" w:hAnsi="Calibri" w:cs="Calibri"/>
        </w:rPr>
        <w:t xml:space="preserve"> 1 492,781 mil. Kč. Cílem je zejména zabezpečen</w:t>
      </w:r>
      <w:r w:rsidR="00225814" w:rsidRPr="00733D67">
        <w:rPr>
          <w:rFonts w:ascii="Calibri" w:hAnsi="Calibri" w:cs="Calibri"/>
        </w:rPr>
        <w:t>í činnosti pozemních sil AČR, a </w:t>
      </w:r>
      <w:r w:rsidRPr="00733D67">
        <w:rPr>
          <w:rFonts w:ascii="Calibri" w:hAnsi="Calibri" w:cs="Calibri"/>
        </w:rPr>
        <w:t>to nejen v oblasti pořízení a zhodnocení majetku, ale i v oblasti zabezpečení provozu, oprav a údržby. V červnu roku 2015 byla účast SR na financování programu zvýšena na 2 040,911 mil. Kč. Důvo</w:t>
      </w:r>
      <w:r w:rsidRPr="00733D67">
        <w:rPr>
          <w:rFonts w:ascii="Calibri" w:eastAsiaTheme="minorHAnsi" w:hAnsi="Calibri" w:cs="Calibri"/>
          <w:color w:val="000000"/>
        </w:rPr>
        <w:t>dem byly změny v bezpečnostním prostředí, na jejichž základě došlo k upřesnění priorit programu. To zahrnovalo dle zjištění NKÚ zejména urychlení dokončení přezbrojení AČR ručními palnými zbraněmi</w:t>
      </w:r>
      <w:r w:rsidR="002A1CB6" w:rsidRPr="00733D67">
        <w:rPr>
          <w:rFonts w:ascii="Calibri" w:eastAsiaTheme="minorHAnsi" w:hAnsi="Calibri" w:cs="Calibri"/>
          <w:color w:val="000000"/>
        </w:rPr>
        <w:t xml:space="preserve"> (tj. útočnými puškami, osobními obrannými zbraněmi a pistolemi)</w:t>
      </w:r>
      <w:r w:rsidRPr="00733D67">
        <w:rPr>
          <w:rFonts w:ascii="Calibri" w:eastAsiaTheme="minorHAnsi" w:hAnsi="Calibri" w:cs="Calibri"/>
          <w:color w:val="000000"/>
        </w:rPr>
        <w:t xml:space="preserve">, </w:t>
      </w:r>
      <w:r w:rsidRPr="00733D67">
        <w:rPr>
          <w:rFonts w:ascii="Calibri" w:hAnsi="Calibri" w:cs="Calibri"/>
          <w:color w:val="000000"/>
        </w:rPr>
        <w:t xml:space="preserve">které bylo původně plánováno až do konce roku 2020 (viz dále). </w:t>
      </w:r>
      <w:r w:rsidRPr="00733D67">
        <w:rPr>
          <w:rFonts w:ascii="Calibri" w:hAnsi="Calibri" w:cs="Calibri"/>
        </w:rPr>
        <w:t>V prosinci roku 2015 byla realizace progr</w:t>
      </w:r>
      <w:r w:rsidR="00556DA4">
        <w:rPr>
          <w:rFonts w:ascii="Calibri" w:hAnsi="Calibri" w:cs="Calibri"/>
        </w:rPr>
        <w:t>amu z důvodu prodlení dodávek u </w:t>
      </w:r>
      <w:r w:rsidRPr="00733D67">
        <w:rPr>
          <w:rFonts w:ascii="Calibri" w:hAnsi="Calibri" w:cs="Calibri"/>
        </w:rPr>
        <w:t xml:space="preserve">akcí realizovaných cestou FMS a prodlení dodavatele </w:t>
      </w:r>
      <w:r w:rsidR="00556DA4">
        <w:rPr>
          <w:rFonts w:ascii="Calibri" w:hAnsi="Calibri" w:cs="Calibri"/>
        </w:rPr>
        <w:t>u </w:t>
      </w:r>
      <w:r w:rsidRPr="00733D67">
        <w:rPr>
          <w:rFonts w:ascii="Calibri" w:hAnsi="Calibri" w:cs="Calibri"/>
        </w:rPr>
        <w:t>akce ev. č. 107V602001405</w:t>
      </w:r>
      <w:r w:rsidR="00556DA4">
        <w:rPr>
          <w:rFonts w:ascii="Calibri" w:hAnsi="Calibri" w:cs="Calibri"/>
        </w:rPr>
        <w:t xml:space="preserve"> –</w:t>
      </w:r>
      <w:r w:rsidRPr="00733D67">
        <w:rPr>
          <w:rFonts w:ascii="Calibri" w:hAnsi="Calibri" w:cs="Calibri"/>
        </w:rPr>
        <w:t xml:space="preserve"> </w:t>
      </w:r>
      <w:r w:rsidR="00733D67">
        <w:rPr>
          <w:rFonts w:ascii="Calibri" w:hAnsi="Calibri" w:cs="Calibri"/>
          <w:i/>
        </w:rPr>
        <w:t>Minomet 81 </w:t>
      </w:r>
      <w:r w:rsidRPr="00733D67">
        <w:rPr>
          <w:rFonts w:ascii="Calibri" w:hAnsi="Calibri" w:cs="Calibri"/>
          <w:i/>
        </w:rPr>
        <w:t xml:space="preserve">mm </w:t>
      </w:r>
      <w:r w:rsidR="00996114">
        <w:rPr>
          <w:rFonts w:ascii="Calibri" w:hAnsi="Calibri" w:cs="Calibri"/>
          <w:i/>
        </w:rPr>
        <w:t>–</w:t>
      </w:r>
      <w:r w:rsidRPr="00733D67">
        <w:rPr>
          <w:rFonts w:ascii="Calibri" w:hAnsi="Calibri" w:cs="Calibri"/>
          <w:i/>
        </w:rPr>
        <w:t xml:space="preserve"> nákup</w:t>
      </w:r>
      <w:r w:rsidRPr="00733D67">
        <w:rPr>
          <w:rFonts w:ascii="Calibri" w:hAnsi="Calibri" w:cs="Calibri"/>
        </w:rPr>
        <w:t xml:space="preserve"> při nákupu prostřednictvím </w:t>
      </w:r>
      <w:r w:rsidR="00164BA7" w:rsidRPr="00733D67">
        <w:rPr>
          <w:rFonts w:ascii="Calibri" w:hAnsi="Calibri" w:cs="Calibri"/>
        </w:rPr>
        <w:t>NSPA</w:t>
      </w:r>
      <w:r w:rsidR="00556DA4">
        <w:rPr>
          <w:rFonts w:ascii="Calibri" w:hAnsi="Calibri" w:cs="Calibri"/>
        </w:rPr>
        <w:t xml:space="preserve"> prodloužena o rok, tj. do 31. </w:t>
      </w:r>
      <w:r w:rsidRPr="00733D67">
        <w:rPr>
          <w:rFonts w:ascii="Calibri" w:hAnsi="Calibri" w:cs="Calibri"/>
        </w:rPr>
        <w:t>prosince 2016.</w:t>
      </w:r>
      <w:r w:rsidRPr="00733D67">
        <w:rPr>
          <w:rFonts w:ascii="Calibri" w:hAnsi="Calibri" w:cs="Calibri"/>
          <w:color w:val="000000"/>
        </w:rPr>
        <w:t xml:space="preserve"> </w:t>
      </w:r>
    </w:p>
    <w:p w14:paraId="3C49FBBE" w14:textId="3CF5FE8D" w:rsidR="00AE0D59" w:rsidRPr="00733D67" w:rsidRDefault="00AE0D59" w:rsidP="00733D67">
      <w:pPr>
        <w:spacing w:before="120" w:after="120"/>
        <w:jc w:val="both"/>
        <w:rPr>
          <w:rFonts w:ascii="Calibri" w:hAnsi="Calibri" w:cs="Calibri"/>
          <w:bCs/>
        </w:rPr>
      </w:pPr>
      <w:bookmarkStart w:id="16" w:name="_Toc459204709"/>
      <w:bookmarkStart w:id="17" w:name="_Toc460247761"/>
      <w:bookmarkStart w:id="18" w:name="_Toc445983742"/>
      <w:bookmarkStart w:id="19" w:name="_Toc454950079"/>
      <w:bookmarkStart w:id="20" w:name="_Toc459204712"/>
      <w:bookmarkStart w:id="21" w:name="_Toc460247764"/>
      <w:r w:rsidRPr="00733D67">
        <w:rPr>
          <w:rFonts w:ascii="Calibri" w:hAnsi="Calibri" w:cs="Calibri"/>
          <w:bCs/>
          <w:iCs/>
        </w:rPr>
        <w:t xml:space="preserve">Předmětem akce ev. č. </w:t>
      </w:r>
      <w:r w:rsidRPr="00733D67">
        <w:rPr>
          <w:rFonts w:ascii="Calibri" w:hAnsi="Calibri" w:cs="Calibri"/>
          <w:bCs/>
          <w:iCs/>
          <w:lang w:eastAsia="en-US"/>
        </w:rPr>
        <w:t>107V602001405</w:t>
      </w:r>
      <w:r w:rsidR="00556DA4">
        <w:rPr>
          <w:rFonts w:ascii="Calibri" w:hAnsi="Calibri" w:cs="Calibri"/>
          <w:bCs/>
          <w:iCs/>
          <w:lang w:eastAsia="en-US"/>
        </w:rPr>
        <w:t xml:space="preserve"> –</w:t>
      </w:r>
      <w:r w:rsidRPr="00733D67">
        <w:rPr>
          <w:rFonts w:ascii="Calibri" w:hAnsi="Calibri" w:cs="Calibri"/>
          <w:bCs/>
          <w:iCs/>
          <w:lang w:eastAsia="en-US"/>
        </w:rPr>
        <w:t xml:space="preserve"> </w:t>
      </w:r>
      <w:r w:rsidRPr="00733D67">
        <w:rPr>
          <w:rFonts w:ascii="Calibri" w:hAnsi="Calibri" w:cs="Calibri"/>
          <w:bCs/>
          <w:i/>
          <w:iCs/>
          <w:lang w:eastAsia="en-US"/>
        </w:rPr>
        <w:t xml:space="preserve">Minomet 81 mm </w:t>
      </w:r>
      <w:r w:rsidR="00556DA4">
        <w:rPr>
          <w:rFonts w:ascii="Calibri" w:hAnsi="Calibri" w:cs="Calibri"/>
          <w:bCs/>
          <w:i/>
          <w:iCs/>
          <w:lang w:eastAsia="en-US"/>
        </w:rPr>
        <w:t>–</w:t>
      </w:r>
      <w:r w:rsidRPr="00733D67">
        <w:rPr>
          <w:rFonts w:ascii="Calibri" w:hAnsi="Calibri" w:cs="Calibri"/>
          <w:bCs/>
          <w:i/>
          <w:iCs/>
          <w:lang w:eastAsia="en-US"/>
        </w:rPr>
        <w:t xml:space="preserve"> nákup</w:t>
      </w:r>
      <w:r w:rsidRPr="00733D67">
        <w:rPr>
          <w:rFonts w:ascii="Calibri" w:hAnsi="Calibri" w:cs="Calibri"/>
          <w:bCs/>
          <w:iCs/>
        </w:rPr>
        <w:t xml:space="preserve"> mělo být pořízení 19 souprav minometů nejpozději do roku 2015. </w:t>
      </w:r>
      <w:bookmarkEnd w:id="16"/>
      <w:bookmarkEnd w:id="17"/>
      <w:r w:rsidRPr="00733D67">
        <w:rPr>
          <w:rFonts w:ascii="Calibri" w:hAnsi="Calibri" w:cs="Calibri"/>
        </w:rPr>
        <w:t>Jednalo se o stěžejní projekt b</w:t>
      </w:r>
      <w:r w:rsidR="00E572FC" w:rsidRPr="00733D67">
        <w:rPr>
          <w:rFonts w:ascii="Calibri" w:hAnsi="Calibri" w:cs="Calibri"/>
        </w:rPr>
        <w:t xml:space="preserve">udování schopností AČR dle BKO </w:t>
      </w:r>
      <w:r w:rsidRPr="00733D67">
        <w:rPr>
          <w:rFonts w:ascii="Calibri" w:hAnsi="Calibri" w:cs="Calibri"/>
        </w:rPr>
        <w:t xml:space="preserve">s cílem zajištění interoperability s ostatními ozbrojenými silami států NATO a podpory jednotek nasazovaných v zahraničních operacích. MO začalo zbraň pořizovat od listopadu roku 2012, zadávací řízení však muselo zrušit, neboť byla podána pouze jedna nabídka. </w:t>
      </w:r>
      <w:r w:rsidR="00556DA4">
        <w:rPr>
          <w:rFonts w:ascii="Calibri" w:hAnsi="Calibri" w:cs="Calibri"/>
        </w:rPr>
        <w:t>V</w:t>
      </w:r>
      <w:r w:rsidRPr="00733D67">
        <w:rPr>
          <w:rFonts w:ascii="Calibri" w:hAnsi="Calibri" w:cs="Calibri"/>
        </w:rPr>
        <w:t xml:space="preserve"> roce 2014 rozhodlo o nákupu prostřednictvím agentury NSPA, která vybrala dodavatele minometů. Ten však dodal zbraně </w:t>
      </w:r>
      <w:r w:rsidR="00225814" w:rsidRPr="00733D67">
        <w:rPr>
          <w:rFonts w:ascii="Calibri" w:hAnsi="Calibri" w:cs="Calibri"/>
        </w:rPr>
        <w:t>se zpožděním až v prosinci roku </w:t>
      </w:r>
      <w:r w:rsidRPr="00733D67">
        <w:rPr>
          <w:rFonts w:ascii="Calibri" w:hAnsi="Calibri" w:cs="Calibri"/>
        </w:rPr>
        <w:t xml:space="preserve">2015. Dodávka navíc byla nekompletní, proto AČR zbraně nepřevzala. MO přistoupilo k prodloužení realizace akce do 31. prosince 2016. Do doby ukončení kontroly nedošlo k převzetí </w:t>
      </w:r>
      <w:r w:rsidR="00E36E8D" w:rsidRPr="00733D67">
        <w:rPr>
          <w:rFonts w:ascii="Calibri" w:hAnsi="Calibri" w:cs="Calibri"/>
        </w:rPr>
        <w:t>těchto minometů</w:t>
      </w:r>
      <w:r w:rsidRPr="00733D67">
        <w:rPr>
          <w:rFonts w:ascii="Calibri" w:hAnsi="Calibri" w:cs="Calibri"/>
        </w:rPr>
        <w:t xml:space="preserve"> a </w:t>
      </w:r>
      <w:r w:rsidR="00E36E8D" w:rsidRPr="00733D67">
        <w:rPr>
          <w:rFonts w:ascii="Calibri" w:hAnsi="Calibri" w:cs="Calibri"/>
        </w:rPr>
        <w:t xml:space="preserve">jejich </w:t>
      </w:r>
      <w:r w:rsidRPr="00733D67">
        <w:rPr>
          <w:rFonts w:ascii="Calibri" w:hAnsi="Calibri" w:cs="Calibri"/>
        </w:rPr>
        <w:t>zařazení do užívání.</w:t>
      </w:r>
    </w:p>
    <w:p w14:paraId="7D4B71AD" w14:textId="552AA4BB" w:rsidR="00AE0D59" w:rsidRPr="00733D67" w:rsidRDefault="00AE0D59" w:rsidP="00733D67">
      <w:pPr>
        <w:spacing w:before="120" w:after="120"/>
        <w:jc w:val="both"/>
        <w:rPr>
          <w:rFonts w:ascii="Calibri" w:hAnsi="Calibri" w:cs="Calibri"/>
        </w:rPr>
      </w:pPr>
      <w:r w:rsidRPr="00733D67">
        <w:rPr>
          <w:rFonts w:ascii="Calibri" w:hAnsi="Calibri" w:cs="Calibri"/>
          <w:bCs/>
        </w:rPr>
        <w:t xml:space="preserve">Realizace programu </w:t>
      </w:r>
      <w:r w:rsidRPr="00733D67">
        <w:rPr>
          <w:rFonts w:ascii="Calibri" w:hAnsi="Calibri" w:cs="Calibri"/>
        </w:rPr>
        <w:t>107 680</w:t>
      </w:r>
      <w:r w:rsidR="00556DA4">
        <w:rPr>
          <w:rFonts w:ascii="Calibri" w:hAnsi="Calibri" w:cs="Calibri"/>
        </w:rPr>
        <w:t xml:space="preserve"> –</w:t>
      </w:r>
      <w:r w:rsidRPr="00733D67">
        <w:rPr>
          <w:rFonts w:ascii="Calibri" w:hAnsi="Calibri" w:cs="Calibri"/>
        </w:rPr>
        <w:t xml:space="preserve"> </w:t>
      </w:r>
      <w:r w:rsidRPr="00733D67">
        <w:rPr>
          <w:rFonts w:ascii="Calibri" w:hAnsi="Calibri" w:cs="Calibri"/>
          <w:i/>
        </w:rPr>
        <w:t xml:space="preserve">Udržení a rozvoj schopností pozemních sil </w:t>
      </w:r>
      <w:r w:rsidRPr="00733D67">
        <w:rPr>
          <w:rFonts w:ascii="Calibri" w:hAnsi="Calibri" w:cs="Calibri"/>
          <w:bCs/>
        </w:rPr>
        <w:t>navazuje mj. na program 107 600.</w:t>
      </w:r>
      <w:r w:rsidRPr="00733D67">
        <w:rPr>
          <w:rFonts w:ascii="Calibri" w:hAnsi="Calibri" w:cs="Calibri"/>
        </w:rPr>
        <w:t xml:space="preserve"> Dokumentaci programu posoudilo MF v květnu roku 2015 a stanovilo výši prostředků SR na financování programu do konce roku 2020 </w:t>
      </w:r>
      <w:r w:rsidR="00556DA4">
        <w:rPr>
          <w:rFonts w:ascii="Calibri" w:hAnsi="Calibri" w:cs="Calibri"/>
        </w:rPr>
        <w:t>v celkové hodnotě</w:t>
      </w:r>
      <w:r w:rsidRPr="00733D67">
        <w:rPr>
          <w:rFonts w:ascii="Calibri" w:hAnsi="Calibri" w:cs="Calibri"/>
        </w:rPr>
        <w:t xml:space="preserve"> 4 195,557</w:t>
      </w:r>
      <w:r w:rsidR="00D72204">
        <w:rPr>
          <w:rFonts w:ascii="Calibri" w:hAnsi="Calibri" w:cs="Calibri"/>
        </w:rPr>
        <w:t> </w:t>
      </w:r>
      <w:r w:rsidRPr="00733D67">
        <w:rPr>
          <w:rFonts w:ascii="Calibri" w:hAnsi="Calibri" w:cs="Calibri"/>
        </w:rPr>
        <w:t xml:space="preserve">mil. Kč. Cílem je zejména zabezpečení rozvoje a činnosti jednotek pozemních sil AČR a protiletadlového vojska v oblasti pořízení a zhodnocení movitého a nemovitého majetku. </w:t>
      </w:r>
    </w:p>
    <w:bookmarkEnd w:id="18"/>
    <w:bookmarkEnd w:id="19"/>
    <w:bookmarkEnd w:id="20"/>
    <w:bookmarkEnd w:id="21"/>
    <w:p w14:paraId="320E54CB" w14:textId="5FFE7246" w:rsidR="009C4FAC" w:rsidRPr="00733D67" w:rsidRDefault="00AE0D59" w:rsidP="00733D67">
      <w:pPr>
        <w:spacing w:before="120" w:after="120"/>
        <w:jc w:val="both"/>
        <w:rPr>
          <w:rFonts w:ascii="Calibri" w:hAnsi="Calibri" w:cs="Calibri"/>
        </w:rPr>
      </w:pPr>
      <w:r w:rsidRPr="00733D67">
        <w:rPr>
          <w:rFonts w:ascii="Calibri" w:hAnsi="Calibri" w:cs="Calibri"/>
        </w:rPr>
        <w:t xml:space="preserve">Dokumentaci programu </w:t>
      </w:r>
      <w:r w:rsidRPr="00627F7D">
        <w:rPr>
          <w:rFonts w:ascii="Calibri" w:hAnsi="Calibri" w:cs="Calibri"/>
        </w:rPr>
        <w:t>107</w:t>
      </w:r>
      <w:r w:rsidRPr="00556DA4">
        <w:rPr>
          <w:rFonts w:ascii="Calibri" w:hAnsi="Calibri" w:cs="Calibri"/>
          <w:i/>
        </w:rPr>
        <w:t xml:space="preserve"> </w:t>
      </w:r>
      <w:r w:rsidRPr="00627F7D">
        <w:rPr>
          <w:rFonts w:ascii="Calibri" w:hAnsi="Calibri" w:cs="Calibri"/>
        </w:rPr>
        <w:t>630</w:t>
      </w:r>
      <w:r w:rsidR="00556DA4">
        <w:rPr>
          <w:rFonts w:ascii="Calibri" w:hAnsi="Calibri" w:cs="Calibri"/>
          <w:i/>
        </w:rPr>
        <w:t xml:space="preserve"> </w:t>
      </w:r>
      <w:r w:rsidR="00556DA4">
        <w:rPr>
          <w:rFonts w:ascii="Calibri" w:hAnsi="Calibri" w:cs="Calibri"/>
        </w:rPr>
        <w:t>–</w:t>
      </w:r>
      <w:r w:rsidRPr="00733D67">
        <w:rPr>
          <w:rFonts w:ascii="Calibri" w:hAnsi="Calibri" w:cs="Calibri"/>
          <w:i/>
        </w:rPr>
        <w:t xml:space="preserve"> Udržení a rozvoj schopností logistiky AČR</w:t>
      </w:r>
      <w:r w:rsidRPr="00733D67">
        <w:rPr>
          <w:rFonts w:ascii="Calibri" w:hAnsi="Calibri" w:cs="Calibri"/>
        </w:rPr>
        <w:t xml:space="preserve"> </w:t>
      </w:r>
      <w:r w:rsidR="00225814" w:rsidRPr="00733D67">
        <w:rPr>
          <w:rFonts w:ascii="Calibri" w:hAnsi="Calibri" w:cs="Calibri"/>
        </w:rPr>
        <w:t>posoudilo MF v </w:t>
      </w:r>
      <w:r w:rsidRPr="00733D67">
        <w:rPr>
          <w:rFonts w:ascii="Calibri" w:hAnsi="Calibri" w:cs="Calibri"/>
        </w:rPr>
        <w:t xml:space="preserve">červenci roku 2013 a stanovilo výši prostředků na financování programu do konce roku 2017 </w:t>
      </w:r>
      <w:r w:rsidR="00556DA4">
        <w:rPr>
          <w:rFonts w:ascii="Calibri" w:hAnsi="Calibri" w:cs="Calibri"/>
        </w:rPr>
        <w:t>v celkové hodnotě</w:t>
      </w:r>
      <w:r w:rsidRPr="00733D67">
        <w:rPr>
          <w:rFonts w:ascii="Calibri" w:hAnsi="Calibri" w:cs="Calibri"/>
        </w:rPr>
        <w:t xml:space="preserve"> 2 465,359 mil. Kč, z toho účast SR </w:t>
      </w:r>
      <w:r w:rsidR="00556DA4">
        <w:rPr>
          <w:rFonts w:ascii="Calibri" w:hAnsi="Calibri" w:cs="Calibri"/>
        </w:rPr>
        <w:t>byla stanovena ve výši</w:t>
      </w:r>
      <w:r w:rsidRPr="00733D67">
        <w:rPr>
          <w:rFonts w:ascii="Calibri" w:hAnsi="Calibri" w:cs="Calibri"/>
        </w:rPr>
        <w:t xml:space="preserve"> 1 059,852</w:t>
      </w:r>
      <w:r w:rsidR="00D72204">
        <w:rPr>
          <w:rFonts w:ascii="Calibri" w:hAnsi="Calibri" w:cs="Calibri"/>
        </w:rPr>
        <w:t> </w:t>
      </w:r>
      <w:r w:rsidRPr="00733D67">
        <w:rPr>
          <w:rFonts w:ascii="Calibri" w:hAnsi="Calibri" w:cs="Calibri"/>
        </w:rPr>
        <w:t>mil. Kč</w:t>
      </w:r>
      <w:r w:rsidRPr="00733D67">
        <w:rPr>
          <w:rStyle w:val="Znakapoznpodarou"/>
          <w:rFonts w:ascii="Calibri" w:hAnsi="Calibri" w:cs="Calibri"/>
        </w:rPr>
        <w:footnoteReference w:id="28"/>
      </w:r>
      <w:r w:rsidRPr="00733D67">
        <w:rPr>
          <w:rFonts w:ascii="Calibri" w:hAnsi="Calibri" w:cs="Calibri"/>
        </w:rPr>
        <w:t>. Cílem je</w:t>
      </w:r>
      <w:r w:rsidRPr="00733D67">
        <w:rPr>
          <w:rFonts w:ascii="Calibri" w:hAnsi="Calibri" w:cs="Calibri"/>
          <w:b/>
          <w:i/>
        </w:rPr>
        <w:t xml:space="preserve"> </w:t>
      </w:r>
      <w:r w:rsidRPr="00733D67">
        <w:rPr>
          <w:rFonts w:ascii="Calibri" w:hAnsi="Calibri" w:cs="Calibri"/>
        </w:rPr>
        <w:t xml:space="preserve">zejména udržení a rozvoj schopností logistické podpory AČR. V lednu roku 2016 byla celková výše prostředků na financování programu z důvodu zařazení dalších priorit vycházejících z nových úkolů upravena na 2 343,967 mil. Kč, z toho účast SR do výše 1 393,678 mil. Kč. Dle zjištění NKÚ činilo čerpání peněžních prostředků programu ke </w:t>
      </w:r>
      <w:r w:rsidRPr="00733D67">
        <w:rPr>
          <w:rFonts w:ascii="Calibri" w:hAnsi="Calibri" w:cs="Calibri"/>
        </w:rPr>
        <w:lastRenderedPageBreak/>
        <w:t>konci roku 2015 pouze 29 % plánovaného objemu. Důvodem byly zejména problémy v akvizičním procesu</w:t>
      </w:r>
      <w:r w:rsidR="009C4FAC" w:rsidRPr="00733D67">
        <w:rPr>
          <w:rFonts w:ascii="Calibri" w:hAnsi="Calibri" w:cs="Calibri"/>
        </w:rPr>
        <w:t xml:space="preserve"> MO.</w:t>
      </w:r>
    </w:p>
    <w:p w14:paraId="1E77542A" w14:textId="4A652ABE" w:rsidR="00AE0D59" w:rsidRPr="00733D67" w:rsidRDefault="00AE0D59" w:rsidP="00733D67">
      <w:pPr>
        <w:spacing w:before="120" w:after="120"/>
        <w:jc w:val="both"/>
        <w:rPr>
          <w:rFonts w:ascii="Calibri" w:hAnsi="Calibri" w:cs="Calibri"/>
        </w:rPr>
      </w:pPr>
      <w:r w:rsidRPr="00733D67">
        <w:rPr>
          <w:rFonts w:ascii="Calibri" w:hAnsi="Calibri" w:cs="Calibri"/>
        </w:rPr>
        <w:t xml:space="preserve">Technika pro zabezpečení provozu a používání </w:t>
      </w:r>
      <w:r w:rsidR="00556DA4">
        <w:rPr>
          <w:rFonts w:ascii="Calibri" w:hAnsi="Calibri" w:cs="Calibri"/>
        </w:rPr>
        <w:t>obrněných vozidel (např. </w:t>
      </w:r>
      <w:r w:rsidRPr="00733D67">
        <w:rPr>
          <w:rFonts w:ascii="Calibri" w:hAnsi="Calibri" w:cs="Calibri"/>
        </w:rPr>
        <w:t>typu PANDUR 8x8) měla být původně nakoupena již v období 2011</w:t>
      </w:r>
      <w:r w:rsidR="00225814" w:rsidRPr="00733D67">
        <w:rPr>
          <w:rFonts w:ascii="Calibri" w:hAnsi="Calibri" w:cs="Calibri"/>
          <w:rtl/>
          <w:lang w:bidi="he-IL"/>
        </w:rPr>
        <w:t>–</w:t>
      </w:r>
      <w:r w:rsidRPr="00733D67">
        <w:rPr>
          <w:rFonts w:ascii="Calibri" w:hAnsi="Calibri" w:cs="Calibri"/>
        </w:rPr>
        <w:t xml:space="preserve">2012, k tomu však dle MO z důvodu krácení rozpočtu resortu nedošlo. Předmětem akce </w:t>
      </w:r>
      <w:r w:rsidR="00556DA4">
        <w:rPr>
          <w:rFonts w:ascii="Calibri" w:hAnsi="Calibri" w:cs="Calibri"/>
        </w:rPr>
        <w:t>ev. č. </w:t>
      </w:r>
      <w:r w:rsidRPr="00733D67">
        <w:rPr>
          <w:rFonts w:ascii="Calibri" w:hAnsi="Calibri" w:cs="Calibri"/>
        </w:rPr>
        <w:t>107V631001402</w:t>
      </w:r>
      <w:r w:rsidR="00556DA4">
        <w:rPr>
          <w:rFonts w:ascii="Calibri" w:hAnsi="Calibri" w:cs="Calibri"/>
        </w:rPr>
        <w:t> –</w:t>
      </w:r>
      <w:r w:rsidRPr="00733D67">
        <w:rPr>
          <w:rFonts w:ascii="Calibri" w:hAnsi="Calibri" w:cs="Calibri"/>
        </w:rPr>
        <w:t xml:space="preserve"> </w:t>
      </w:r>
      <w:r w:rsidRPr="00733D67">
        <w:rPr>
          <w:rFonts w:ascii="Calibri" w:hAnsi="Calibri" w:cs="Calibri"/>
          <w:i/>
        </w:rPr>
        <w:t xml:space="preserve">Vyprošťovací vozidla </w:t>
      </w:r>
      <w:r w:rsidR="00996114">
        <w:rPr>
          <w:rFonts w:ascii="Calibri" w:hAnsi="Calibri" w:cs="Calibri"/>
          <w:i/>
        </w:rPr>
        <w:t>–</w:t>
      </w:r>
      <w:r w:rsidRPr="00733D67">
        <w:rPr>
          <w:rFonts w:ascii="Calibri" w:hAnsi="Calibri" w:cs="Calibri"/>
          <w:i/>
        </w:rPr>
        <w:t xml:space="preserve"> nákup</w:t>
      </w:r>
      <w:r w:rsidRPr="00733D67">
        <w:rPr>
          <w:rFonts w:ascii="Calibri" w:hAnsi="Calibri" w:cs="Calibri"/>
        </w:rPr>
        <w:t xml:space="preserve"> </w:t>
      </w:r>
      <w:r w:rsidR="006864E2" w:rsidRPr="00733D67">
        <w:rPr>
          <w:rFonts w:ascii="Calibri" w:hAnsi="Calibri" w:cs="Calibri"/>
        </w:rPr>
        <w:t>mělo být</w:t>
      </w:r>
      <w:r w:rsidRPr="00733D67">
        <w:rPr>
          <w:rFonts w:ascii="Calibri" w:hAnsi="Calibri" w:cs="Calibri"/>
        </w:rPr>
        <w:t xml:space="preserve"> pořízení pěti kusů této v AČR doposud nepoužívané techniky. Původně měla být vozidla pořízena do 30. listopadu 2015, v roce 2014 však MO z důvodu údajně </w:t>
      </w:r>
      <w:r w:rsidR="00633A97" w:rsidRPr="00733D67">
        <w:rPr>
          <w:rFonts w:ascii="Calibri" w:hAnsi="Calibri" w:cs="Calibri"/>
        </w:rPr>
        <w:t>dlouhých dodacích lhůt potenci</w:t>
      </w:r>
      <w:r w:rsidRPr="00733D67">
        <w:rPr>
          <w:rFonts w:ascii="Calibri" w:hAnsi="Calibri" w:cs="Calibri"/>
        </w:rPr>
        <w:t>álních dodavatelů rozhodlo o posunutí termínu realizace akce do 30.</w:t>
      </w:r>
      <w:r w:rsidR="00411A7E" w:rsidRPr="00733D67">
        <w:rPr>
          <w:rFonts w:ascii="Calibri" w:hAnsi="Calibri" w:cs="Calibri"/>
        </w:rPr>
        <w:t> </w:t>
      </w:r>
      <w:r w:rsidRPr="00733D67">
        <w:rPr>
          <w:rFonts w:ascii="Calibri" w:hAnsi="Calibri" w:cs="Calibri"/>
        </w:rPr>
        <w:t xml:space="preserve">listopadu 2017. Veřejná zakázka zadaná v užším řízení musela být </w:t>
      </w:r>
      <w:r w:rsidR="00C406FA" w:rsidRPr="00733D67">
        <w:rPr>
          <w:rFonts w:ascii="Calibri" w:hAnsi="Calibri" w:cs="Calibri"/>
        </w:rPr>
        <w:t xml:space="preserve">z </w:t>
      </w:r>
      <w:r w:rsidRPr="00733D67">
        <w:rPr>
          <w:rFonts w:ascii="Calibri" w:hAnsi="Calibri" w:cs="Calibri"/>
        </w:rPr>
        <w:t>důvodu chyb zadavatele</w:t>
      </w:r>
      <w:r w:rsidR="0019541A" w:rsidRPr="00733D67">
        <w:rPr>
          <w:rFonts w:ascii="Calibri" w:hAnsi="Calibri" w:cs="Calibri"/>
        </w:rPr>
        <w:t xml:space="preserve"> </w:t>
      </w:r>
      <w:r w:rsidR="00556DA4">
        <w:rPr>
          <w:rFonts w:ascii="Calibri" w:hAnsi="Calibri" w:cs="Calibri"/>
        </w:rPr>
        <w:t>(</w:t>
      </w:r>
      <w:r w:rsidR="006864E2" w:rsidRPr="00733D67">
        <w:rPr>
          <w:rFonts w:ascii="Calibri" w:hAnsi="Calibri" w:cs="Calibri"/>
        </w:rPr>
        <w:t>MO</w:t>
      </w:r>
      <w:r w:rsidR="00556DA4">
        <w:rPr>
          <w:rFonts w:ascii="Calibri" w:hAnsi="Calibri" w:cs="Calibri"/>
        </w:rPr>
        <w:t>)</w:t>
      </w:r>
      <w:r w:rsidR="006864E2" w:rsidRPr="00733D67">
        <w:rPr>
          <w:rFonts w:ascii="Calibri" w:hAnsi="Calibri" w:cs="Calibri"/>
        </w:rPr>
        <w:t xml:space="preserve"> </w:t>
      </w:r>
      <w:r w:rsidRPr="00733D67">
        <w:rPr>
          <w:rFonts w:ascii="Calibri" w:hAnsi="Calibri" w:cs="Calibri"/>
        </w:rPr>
        <w:t>začátkem roku 2015 zrušena, neboť stanovením požadavku na konkrétní technické řešení došlo k porušení zásady zákazu diskriminac</w:t>
      </w:r>
      <w:r w:rsidR="00225814" w:rsidRPr="00733D67">
        <w:rPr>
          <w:rFonts w:ascii="Calibri" w:hAnsi="Calibri" w:cs="Calibri"/>
        </w:rPr>
        <w:t>e, což ve svém důsledku vedlo k </w:t>
      </w:r>
      <w:r w:rsidRPr="00733D67">
        <w:rPr>
          <w:rFonts w:ascii="Calibri" w:hAnsi="Calibri" w:cs="Calibri"/>
        </w:rPr>
        <w:t>omezení hospodářské sout</w:t>
      </w:r>
      <w:r w:rsidR="00556DA4">
        <w:rPr>
          <w:rFonts w:ascii="Calibri" w:hAnsi="Calibri" w:cs="Calibri"/>
        </w:rPr>
        <w:t>ěže. V únoru 2015 rozhodlo MO o </w:t>
      </w:r>
      <w:r w:rsidRPr="00733D67">
        <w:rPr>
          <w:rFonts w:ascii="Calibri" w:hAnsi="Calibri" w:cs="Calibri"/>
        </w:rPr>
        <w:t>opětovném vyhlášení veřejné zakázky, tentokrát s využitím obecné výjimk</w:t>
      </w:r>
      <w:r w:rsidR="00556DA4">
        <w:rPr>
          <w:rFonts w:ascii="Calibri" w:hAnsi="Calibri" w:cs="Calibri"/>
        </w:rPr>
        <w:t>y z </w:t>
      </w:r>
      <w:r w:rsidRPr="00733D67">
        <w:rPr>
          <w:rFonts w:ascii="Calibri" w:hAnsi="Calibri" w:cs="Calibri"/>
        </w:rPr>
        <w:t>působnosti zákona o veřejných zakázkách</w:t>
      </w:r>
      <w:r w:rsidRPr="00733D67">
        <w:rPr>
          <w:rStyle w:val="Znakapoznpodarou"/>
          <w:rFonts w:ascii="Calibri" w:hAnsi="Calibri" w:cs="Calibri"/>
        </w:rPr>
        <w:footnoteReference w:id="29"/>
      </w:r>
      <w:r w:rsidRPr="00733D67">
        <w:rPr>
          <w:rFonts w:ascii="Calibri" w:hAnsi="Calibri" w:cs="Calibri"/>
        </w:rPr>
        <w:t xml:space="preserve"> umožňující zadání právnické osobě (Vojenský technický ústav, s. p.), ve které má MO výlučná majetková práva a která vykonává podstatnou část své činnosti v jeho prospěch. Ani tento způsob výběru vhodného dodavatele se však neobešel bez komplikací a časových ztrát, např. termín dodávky prvního vozidla se posunul ze září 2016 na červenec 2017.</w:t>
      </w:r>
    </w:p>
    <w:p w14:paraId="2AAF3FD8" w14:textId="17367445" w:rsidR="00164BA7" w:rsidRPr="00733D67" w:rsidRDefault="00164BA7" w:rsidP="00733D67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  <w:b/>
        </w:rPr>
      </w:pPr>
      <w:r w:rsidRPr="00733D67">
        <w:rPr>
          <w:rFonts w:ascii="Calibri" w:hAnsi="Calibri" w:cs="Calibri"/>
          <w:b/>
        </w:rPr>
        <w:t>Akviziční proces</w:t>
      </w:r>
    </w:p>
    <w:p w14:paraId="0E4502CB" w14:textId="6DC295FF" w:rsidR="00AE0D59" w:rsidRPr="00733D67" w:rsidRDefault="00AE0D59" w:rsidP="00733D67">
      <w:pPr>
        <w:autoSpaceDE w:val="0"/>
        <w:autoSpaceDN w:val="0"/>
        <w:adjustRightInd w:val="0"/>
        <w:spacing w:before="120" w:after="120"/>
        <w:jc w:val="both"/>
        <w:rPr>
          <w:rFonts w:ascii="Calibri" w:eastAsiaTheme="minorHAnsi" w:hAnsi="Calibri" w:cs="Calibri"/>
        </w:rPr>
      </w:pPr>
      <w:r w:rsidRPr="00733D67">
        <w:rPr>
          <w:rFonts w:ascii="Calibri" w:eastAsiaTheme="minorHAnsi" w:hAnsi="Calibri" w:cs="Calibri"/>
        </w:rPr>
        <w:t xml:space="preserve">Jak bylo uvedeno v BKO, akvizice v působnosti MO </w:t>
      </w:r>
      <w:r w:rsidR="003B2F0D">
        <w:rPr>
          <w:rFonts w:ascii="Calibri" w:eastAsiaTheme="minorHAnsi" w:hAnsi="Calibri" w:cs="Calibri"/>
        </w:rPr>
        <w:t xml:space="preserve">byly </w:t>
      </w:r>
      <w:r w:rsidRPr="00733D67">
        <w:rPr>
          <w:rFonts w:ascii="Calibri" w:eastAsiaTheme="minorHAnsi" w:hAnsi="Calibri" w:cs="Calibri"/>
        </w:rPr>
        <w:t>před rokem 2011 mj. spojovány zejména s neprůhledností, špatným plánováním a plýtváním peněžními prostředky. MO mělo proto provést strukturální reformu akvizičního procesu, která měla být založena na adresném</w:t>
      </w:r>
      <w:r w:rsidR="003B2F0D">
        <w:rPr>
          <w:rFonts w:ascii="Calibri" w:eastAsiaTheme="minorHAnsi" w:hAnsi="Calibri" w:cs="Calibri"/>
        </w:rPr>
        <w:t>,</w:t>
      </w:r>
      <w:r w:rsidRPr="00733D67">
        <w:rPr>
          <w:rFonts w:ascii="Calibri" w:eastAsiaTheme="minorHAnsi" w:hAnsi="Calibri" w:cs="Calibri"/>
        </w:rPr>
        <w:t xml:space="preserve"> transparentním </w:t>
      </w:r>
      <w:r w:rsidR="003B2F0D">
        <w:rPr>
          <w:rFonts w:ascii="Calibri" w:eastAsiaTheme="minorHAnsi" w:hAnsi="Calibri" w:cs="Calibri"/>
        </w:rPr>
        <w:t>a </w:t>
      </w:r>
      <w:r w:rsidRPr="00733D67">
        <w:rPr>
          <w:rFonts w:ascii="Calibri" w:eastAsiaTheme="minorHAnsi" w:hAnsi="Calibri" w:cs="Calibri"/>
        </w:rPr>
        <w:t>cílově orientovaném rozpočtování</w:t>
      </w:r>
      <w:r w:rsidRPr="00733D67">
        <w:rPr>
          <w:rStyle w:val="Znakapoznpodarou"/>
          <w:rFonts w:ascii="Calibri" w:eastAsiaTheme="minorHAnsi" w:hAnsi="Calibri" w:cs="Calibri"/>
        </w:rPr>
        <w:footnoteReference w:id="30"/>
      </w:r>
      <w:r w:rsidRPr="00733D67">
        <w:rPr>
          <w:rFonts w:ascii="Calibri" w:eastAsiaTheme="minorHAnsi" w:hAnsi="Calibri" w:cs="Calibri"/>
        </w:rPr>
        <w:t xml:space="preserve"> a jasně vymezené odpovědnosti. BKO tak dle zjištění NKÚ v zásadě zopakovala požadavky na akviziční proces</w:t>
      </w:r>
      <w:r w:rsidR="00F17563" w:rsidRPr="00733D67">
        <w:rPr>
          <w:rFonts w:ascii="Calibri" w:eastAsiaTheme="minorHAnsi" w:hAnsi="Calibri" w:cs="Calibri"/>
        </w:rPr>
        <w:t xml:space="preserve">, </w:t>
      </w:r>
      <w:r w:rsidR="003B2F0D">
        <w:rPr>
          <w:rFonts w:ascii="Calibri" w:eastAsiaTheme="minorHAnsi" w:hAnsi="Calibri" w:cs="Calibri"/>
        </w:rPr>
        <w:t>které byly definovány</w:t>
      </w:r>
      <w:r w:rsidR="00F17563" w:rsidRPr="00733D67">
        <w:rPr>
          <w:rFonts w:ascii="Calibri" w:eastAsiaTheme="minorHAnsi" w:hAnsi="Calibri" w:cs="Calibri"/>
        </w:rPr>
        <w:t xml:space="preserve"> již </w:t>
      </w:r>
      <w:r w:rsidRPr="00733D67">
        <w:rPr>
          <w:rFonts w:ascii="Calibri" w:eastAsiaTheme="minorHAnsi" w:hAnsi="Calibri" w:cs="Calibri"/>
        </w:rPr>
        <w:t>v</w:t>
      </w:r>
      <w:r w:rsidR="003B2F0D">
        <w:rPr>
          <w:rFonts w:ascii="Calibri" w:eastAsiaTheme="minorHAnsi" w:hAnsi="Calibri" w:cs="Calibri"/>
        </w:rPr>
        <w:t> dokumentu</w:t>
      </w:r>
      <w:r w:rsidRPr="00733D67">
        <w:rPr>
          <w:rFonts w:ascii="Calibri" w:eastAsiaTheme="minorHAnsi" w:hAnsi="Calibri" w:cs="Calibri"/>
        </w:rPr>
        <w:t xml:space="preserve"> </w:t>
      </w:r>
      <w:r w:rsidRPr="00733D67">
        <w:rPr>
          <w:rFonts w:ascii="Calibri" w:hAnsi="Calibri" w:cs="Calibri"/>
          <w:i/>
        </w:rPr>
        <w:t>Koncepc</w:t>
      </w:r>
      <w:r w:rsidR="003B2F0D">
        <w:rPr>
          <w:rFonts w:ascii="Calibri" w:hAnsi="Calibri" w:cs="Calibri"/>
          <w:i/>
        </w:rPr>
        <w:t>e</w:t>
      </w:r>
      <w:r w:rsidRPr="00733D67">
        <w:rPr>
          <w:rFonts w:ascii="Calibri" w:hAnsi="Calibri" w:cs="Calibri"/>
          <w:i/>
        </w:rPr>
        <w:t xml:space="preserve"> výstavby profesionální AČR a</w:t>
      </w:r>
      <w:r w:rsidR="003B2F0D">
        <w:rPr>
          <w:rFonts w:ascii="Calibri" w:hAnsi="Calibri" w:cs="Calibri"/>
          <w:i/>
        </w:rPr>
        <w:t> </w:t>
      </w:r>
      <w:r w:rsidRPr="00733D67">
        <w:rPr>
          <w:rFonts w:ascii="Calibri" w:hAnsi="Calibri" w:cs="Calibri"/>
          <w:i/>
        </w:rPr>
        <w:t xml:space="preserve">mobilizace ozbrojených sil ČR </w:t>
      </w:r>
      <w:r w:rsidRPr="00733D67">
        <w:rPr>
          <w:rFonts w:ascii="Calibri" w:hAnsi="Calibri" w:cs="Calibri"/>
        </w:rPr>
        <w:t xml:space="preserve">(2002) nebo </w:t>
      </w:r>
      <w:r w:rsidRPr="00733D67">
        <w:rPr>
          <w:rFonts w:ascii="Calibri" w:hAnsi="Calibri" w:cs="Calibri"/>
          <w:i/>
        </w:rPr>
        <w:t>Transformac</w:t>
      </w:r>
      <w:r w:rsidR="003B2F0D">
        <w:rPr>
          <w:rFonts w:ascii="Calibri" w:hAnsi="Calibri" w:cs="Calibri"/>
          <w:i/>
        </w:rPr>
        <w:t>e</w:t>
      </w:r>
      <w:r w:rsidRPr="00733D67">
        <w:rPr>
          <w:rFonts w:ascii="Calibri" w:hAnsi="Calibri" w:cs="Calibri"/>
          <w:i/>
        </w:rPr>
        <w:t xml:space="preserve"> resortu MO</w:t>
      </w:r>
      <w:r w:rsidRPr="00733D67">
        <w:rPr>
          <w:rFonts w:ascii="Calibri" w:hAnsi="Calibri" w:cs="Calibri"/>
        </w:rPr>
        <w:t xml:space="preserve"> (2007).</w:t>
      </w:r>
      <w:r w:rsidRPr="00733D67">
        <w:rPr>
          <w:rFonts w:ascii="Calibri" w:eastAsiaTheme="minorHAnsi" w:hAnsi="Calibri" w:cs="Calibri"/>
        </w:rPr>
        <w:t xml:space="preserve"> V době ukončení kontroly bylo zajištění efektivní</w:t>
      </w:r>
      <w:r w:rsidRPr="00733D67">
        <w:rPr>
          <w:rStyle w:val="Znakapoznpodarou"/>
          <w:rFonts w:ascii="Calibri" w:eastAsiaTheme="minorHAnsi" w:hAnsi="Calibri" w:cs="Calibri"/>
        </w:rPr>
        <w:footnoteReference w:id="31"/>
      </w:r>
      <w:r w:rsidR="00225814" w:rsidRPr="00733D67">
        <w:rPr>
          <w:rFonts w:ascii="Calibri" w:eastAsiaTheme="minorHAnsi" w:hAnsi="Calibri" w:cs="Calibri"/>
        </w:rPr>
        <w:t xml:space="preserve"> a </w:t>
      </w:r>
      <w:r w:rsidRPr="00733D67">
        <w:rPr>
          <w:rFonts w:ascii="Calibri" w:eastAsiaTheme="minorHAnsi" w:hAnsi="Calibri" w:cs="Calibri"/>
        </w:rPr>
        <w:t xml:space="preserve">transparentní akvizice jedním ze tří strategických cílů připravované </w:t>
      </w:r>
      <w:r w:rsidRPr="00733D67">
        <w:rPr>
          <w:rFonts w:ascii="Calibri" w:hAnsi="Calibri" w:cs="Calibri"/>
          <w:i/>
        </w:rPr>
        <w:t>Strategie vyzbrojování ozbrojených sil České republiky do roku 2025.</w:t>
      </w:r>
    </w:p>
    <w:p w14:paraId="0888E31E" w14:textId="3666354F" w:rsidR="00AE0D59" w:rsidRPr="00733D67" w:rsidRDefault="00AE0D59" w:rsidP="00733D67">
      <w:pPr>
        <w:autoSpaceDE w:val="0"/>
        <w:autoSpaceDN w:val="0"/>
        <w:adjustRightInd w:val="0"/>
        <w:spacing w:before="120" w:after="120"/>
        <w:jc w:val="both"/>
        <w:rPr>
          <w:rFonts w:ascii="Calibri" w:eastAsiaTheme="minorHAnsi" w:hAnsi="Calibri" w:cs="Calibri"/>
        </w:rPr>
      </w:pPr>
      <w:r w:rsidRPr="00733D67">
        <w:rPr>
          <w:rFonts w:ascii="Calibri" w:hAnsi="Calibri" w:cs="Calibri"/>
        </w:rPr>
        <w:t xml:space="preserve">MO se dále v BKO </w:t>
      </w:r>
      <w:r w:rsidR="00B3478D" w:rsidRPr="00733D67">
        <w:rPr>
          <w:rFonts w:ascii="Calibri" w:hAnsi="Calibri" w:cs="Calibri"/>
        </w:rPr>
        <w:t xml:space="preserve">mj. </w:t>
      </w:r>
      <w:r w:rsidRPr="00733D67">
        <w:rPr>
          <w:rFonts w:ascii="Calibri" w:hAnsi="Calibri" w:cs="Calibri"/>
        </w:rPr>
        <w:t>zavázalo</w:t>
      </w:r>
      <w:r w:rsidR="001C7E12" w:rsidRPr="00733D67">
        <w:rPr>
          <w:rFonts w:ascii="Calibri" w:hAnsi="Calibri" w:cs="Calibri"/>
        </w:rPr>
        <w:t xml:space="preserve">: </w:t>
      </w:r>
      <w:r w:rsidR="00A16BA7" w:rsidRPr="00733D67">
        <w:rPr>
          <w:rFonts w:ascii="Calibri" w:hAnsi="Calibri" w:cs="Calibri"/>
        </w:rPr>
        <w:t>„</w:t>
      </w:r>
      <w:r w:rsidR="00A16BA7" w:rsidRPr="00733D67">
        <w:rPr>
          <w:rFonts w:ascii="Calibri" w:hAnsi="Calibri" w:cs="Calibri"/>
          <w:i/>
        </w:rPr>
        <w:t>preferovat přímé nákupy hotových výrobků v otevřeném výběrovém řízení</w:t>
      </w:r>
      <w:r w:rsidR="00A16BA7" w:rsidRPr="00733D67">
        <w:rPr>
          <w:rFonts w:ascii="Calibri" w:hAnsi="Calibri" w:cs="Calibri"/>
        </w:rPr>
        <w:t>“.</w:t>
      </w:r>
      <w:r w:rsidR="00A16BA7" w:rsidRPr="00733D67">
        <w:rPr>
          <w:rFonts w:ascii="Calibri" w:eastAsiaTheme="minorHAnsi" w:hAnsi="Calibri" w:cs="Calibri"/>
        </w:rPr>
        <w:t xml:space="preserve"> </w:t>
      </w:r>
      <w:r w:rsidR="00CC3BCB" w:rsidRPr="00733D67">
        <w:rPr>
          <w:rFonts w:ascii="Calibri" w:eastAsiaTheme="minorHAnsi" w:hAnsi="Calibri" w:cs="Calibri"/>
        </w:rPr>
        <w:t>K naplnění tohoto cíle</w:t>
      </w:r>
      <w:r w:rsidRPr="00733D67">
        <w:rPr>
          <w:rFonts w:ascii="Calibri" w:hAnsi="Calibri" w:cs="Calibri"/>
        </w:rPr>
        <w:t xml:space="preserve"> měla přispět jak novela</w:t>
      </w:r>
      <w:r w:rsidRPr="00733D67">
        <w:rPr>
          <w:rStyle w:val="Znakapoznpodarou"/>
          <w:rFonts w:ascii="Calibri" w:hAnsi="Calibri" w:cs="Calibri"/>
        </w:rPr>
        <w:footnoteReference w:id="32"/>
      </w:r>
      <w:r w:rsidRPr="00733D67">
        <w:rPr>
          <w:rFonts w:ascii="Calibri" w:hAnsi="Calibri" w:cs="Calibri"/>
        </w:rPr>
        <w:t xml:space="preserve"> zákona o veřejných zakázkách, jejímž </w:t>
      </w:r>
      <w:r w:rsidR="00A80A0D" w:rsidRPr="00733D67">
        <w:rPr>
          <w:rFonts w:ascii="Calibri" w:hAnsi="Calibri" w:cs="Calibri"/>
        </w:rPr>
        <w:t>záměrem</w:t>
      </w:r>
      <w:r w:rsidRPr="00733D67">
        <w:rPr>
          <w:rFonts w:ascii="Calibri" w:hAnsi="Calibri" w:cs="Calibri"/>
        </w:rPr>
        <w:t xml:space="preserve"> bylo omezit působnost výjimek, na jejichž základě není zadavatel povinen použít zadávací řízení pro výběr dodavatele v oblasti obrany a bezpečnosti, tak </w:t>
      </w:r>
      <w:r w:rsidR="00F07B72" w:rsidRPr="00733D67">
        <w:rPr>
          <w:rFonts w:ascii="Calibri" w:hAnsi="Calibri" w:cs="Calibri"/>
        </w:rPr>
        <w:t>i </w:t>
      </w:r>
      <w:r w:rsidRPr="00733D67">
        <w:rPr>
          <w:rFonts w:ascii="Calibri" w:hAnsi="Calibri" w:cs="Calibri"/>
          <w:color w:val="000000" w:themeColor="text1"/>
        </w:rPr>
        <w:t>novela</w:t>
      </w:r>
      <w:r w:rsidRPr="00733D67">
        <w:rPr>
          <w:rStyle w:val="Znakapoznpodarou"/>
          <w:rFonts w:ascii="Calibri" w:hAnsi="Calibri" w:cs="Calibri"/>
          <w:color w:val="000000" w:themeColor="text1"/>
        </w:rPr>
        <w:footnoteReference w:id="33"/>
      </w:r>
      <w:r w:rsidRPr="00733D67">
        <w:rPr>
          <w:rFonts w:ascii="Calibri" w:hAnsi="Calibri" w:cs="Calibri"/>
          <w:color w:val="000000" w:themeColor="text1"/>
        </w:rPr>
        <w:t xml:space="preserve"> zákona </w:t>
      </w:r>
      <w:r w:rsidR="00225814" w:rsidRPr="00733D67">
        <w:rPr>
          <w:rFonts w:ascii="Calibri" w:hAnsi="Calibri" w:cs="Calibri"/>
          <w:color w:val="000000" w:themeColor="text1"/>
        </w:rPr>
        <w:t>o </w:t>
      </w:r>
      <w:r w:rsidRPr="00733D67">
        <w:rPr>
          <w:rFonts w:ascii="Calibri" w:hAnsi="Calibri" w:cs="Calibri"/>
          <w:color w:val="000000" w:themeColor="text1"/>
        </w:rPr>
        <w:t>zahraničním obc</w:t>
      </w:r>
      <w:r w:rsidR="00D55208" w:rsidRPr="00733D67">
        <w:rPr>
          <w:rFonts w:ascii="Calibri" w:hAnsi="Calibri" w:cs="Calibri"/>
          <w:color w:val="000000" w:themeColor="text1"/>
        </w:rPr>
        <w:t>hodu s vojenským materiálem, je</w:t>
      </w:r>
      <w:r w:rsidRPr="00733D67">
        <w:rPr>
          <w:rFonts w:ascii="Calibri" w:hAnsi="Calibri" w:cs="Calibri"/>
          <w:color w:val="000000" w:themeColor="text1"/>
        </w:rPr>
        <w:t>ž umožnila MO realizovat přímé nákupy vojenského materiálu bez zprostředkovatelů.</w:t>
      </w:r>
      <w:r w:rsidRPr="00733D67">
        <w:rPr>
          <w:rFonts w:ascii="Calibri" w:eastAsiaTheme="minorHAnsi" w:hAnsi="Calibri" w:cs="Calibri"/>
        </w:rPr>
        <w:t xml:space="preserve"> Následně však vláda </w:t>
      </w:r>
      <w:r w:rsidR="00E36E8D" w:rsidRPr="00733D67">
        <w:rPr>
          <w:rFonts w:ascii="Calibri" w:eastAsiaTheme="minorHAnsi" w:hAnsi="Calibri" w:cs="Calibri"/>
        </w:rPr>
        <w:t xml:space="preserve">přijala </w:t>
      </w:r>
      <w:r w:rsidRPr="00733D67">
        <w:rPr>
          <w:rFonts w:ascii="Calibri" w:eastAsiaTheme="minorHAnsi" w:hAnsi="Calibri" w:cs="Calibri"/>
        </w:rPr>
        <w:t xml:space="preserve">některá usnesení, </w:t>
      </w:r>
      <w:r w:rsidRPr="00733D67">
        <w:rPr>
          <w:rFonts w:ascii="Calibri" w:hAnsi="Calibri" w:cs="Calibri"/>
          <w:bCs/>
          <w:color w:val="000000"/>
        </w:rPr>
        <w:t>která otevřenou soutěž v tržním prostředí v resortu obrany omezují.</w:t>
      </w:r>
      <w:r w:rsidRPr="00733D67">
        <w:rPr>
          <w:rFonts w:ascii="Calibri" w:eastAsiaTheme="minorHAnsi" w:hAnsi="Calibri" w:cs="Calibri"/>
        </w:rPr>
        <w:t xml:space="preserve"> </w:t>
      </w:r>
      <w:r w:rsidRPr="00733D67">
        <w:rPr>
          <w:rFonts w:ascii="Calibri" w:hAnsi="Calibri" w:cs="Calibri"/>
          <w:bCs/>
          <w:color w:val="000000"/>
        </w:rPr>
        <w:t xml:space="preserve">Jde zejména o </w:t>
      </w:r>
      <w:r w:rsidRPr="00733D67">
        <w:rPr>
          <w:rFonts w:ascii="Calibri" w:eastAsiaTheme="minorHAnsi" w:hAnsi="Calibri" w:cs="Calibri"/>
          <w:i/>
        </w:rPr>
        <w:t xml:space="preserve">Strategii vztahu státu a obranného a bezpečnostního průmyslu České </w:t>
      </w:r>
      <w:r w:rsidRPr="00733D67">
        <w:rPr>
          <w:rFonts w:ascii="Calibri" w:eastAsiaTheme="minorHAnsi" w:hAnsi="Calibri" w:cs="Calibri"/>
          <w:i/>
        </w:rPr>
        <w:lastRenderedPageBreak/>
        <w:t>republiky</w:t>
      </w:r>
      <w:r w:rsidRPr="00733D67">
        <w:rPr>
          <w:rStyle w:val="Znakapoznpodarou"/>
          <w:rFonts w:ascii="Calibri" w:hAnsi="Calibri" w:cs="Calibri"/>
          <w:color w:val="000000"/>
        </w:rPr>
        <w:footnoteReference w:id="34"/>
      </w:r>
      <w:r w:rsidRPr="00627F7D">
        <w:rPr>
          <w:rFonts w:ascii="Calibri" w:eastAsiaTheme="minorHAnsi" w:hAnsi="Calibri" w:cs="Calibri"/>
        </w:rPr>
        <w:t xml:space="preserve">, </w:t>
      </w:r>
      <w:r w:rsidRPr="00733D67">
        <w:rPr>
          <w:rFonts w:ascii="Calibri" w:eastAsiaTheme="minorHAnsi" w:hAnsi="Calibri" w:cs="Calibri"/>
        </w:rPr>
        <w:t>která</w:t>
      </w:r>
      <w:r w:rsidRPr="00733D67">
        <w:rPr>
          <w:rFonts w:ascii="Calibri" w:hAnsi="Calibri" w:cs="Calibri"/>
        </w:rPr>
        <w:t xml:space="preserve"> navrhuje </w:t>
      </w:r>
      <w:r w:rsidR="00E36E8D" w:rsidRPr="00733D67">
        <w:rPr>
          <w:rFonts w:ascii="Calibri" w:hAnsi="Calibri" w:cs="Calibri"/>
        </w:rPr>
        <w:t xml:space="preserve">co nejvíce </w:t>
      </w:r>
      <w:r w:rsidRPr="00733D67">
        <w:rPr>
          <w:rFonts w:ascii="Calibri" w:hAnsi="Calibri" w:cs="Calibri"/>
          <w:color w:val="000000"/>
        </w:rPr>
        <w:t xml:space="preserve">využívat při pořizování vojenského materiálu a služeb </w:t>
      </w:r>
      <w:r w:rsidRPr="00733D67">
        <w:rPr>
          <w:rFonts w:ascii="Calibri" w:hAnsi="Calibri" w:cs="Calibri"/>
          <w:color w:val="000000"/>
          <w:spacing w:val="-2"/>
        </w:rPr>
        <w:t>výjimky z unijní právní úpravy</w:t>
      </w:r>
      <w:r w:rsidRPr="00733D67">
        <w:rPr>
          <w:rStyle w:val="Znakapoznpodarou"/>
          <w:rFonts w:ascii="Calibri" w:hAnsi="Calibri" w:cs="Calibri"/>
          <w:color w:val="000000"/>
          <w:spacing w:val="-2"/>
        </w:rPr>
        <w:footnoteReference w:id="35"/>
      </w:r>
      <w:r w:rsidRPr="00733D67">
        <w:rPr>
          <w:rFonts w:ascii="Calibri" w:hAnsi="Calibri" w:cs="Calibri"/>
          <w:color w:val="000000"/>
          <w:spacing w:val="-2"/>
        </w:rPr>
        <w:t xml:space="preserve"> ve </w:t>
      </w:r>
      <w:r w:rsidRPr="00733D67">
        <w:rPr>
          <w:rFonts w:ascii="Calibri" w:hAnsi="Calibri" w:cs="Calibri"/>
          <w:color w:val="000000"/>
        </w:rPr>
        <w:t xml:space="preserve">prospěch zachování národní průmyslové výroby, nebo </w:t>
      </w:r>
      <w:r w:rsidRPr="00733D67">
        <w:rPr>
          <w:rFonts w:ascii="Calibri" w:hAnsi="Calibri" w:cs="Calibri"/>
        </w:rPr>
        <w:t xml:space="preserve">dokument </w:t>
      </w:r>
      <w:r w:rsidRPr="00733D67">
        <w:rPr>
          <w:rFonts w:ascii="Calibri" w:hAnsi="Calibri" w:cs="Calibri"/>
          <w:i/>
        </w:rPr>
        <w:t>Realizace projektů strategického charakteru ve prospěch AČR</w:t>
      </w:r>
      <w:r w:rsidRPr="00733D67">
        <w:rPr>
          <w:rStyle w:val="Znakapoznpodarou"/>
          <w:rFonts w:ascii="Calibri" w:hAnsi="Calibri" w:cs="Calibri"/>
          <w:i/>
        </w:rPr>
        <w:footnoteReference w:id="36"/>
      </w:r>
      <w:r w:rsidRPr="00733D67">
        <w:rPr>
          <w:rFonts w:ascii="Calibri" w:hAnsi="Calibri" w:cs="Calibri"/>
        </w:rPr>
        <w:t>, ve kterém MO</w:t>
      </w:r>
      <w:r w:rsidR="003B2F0D">
        <w:rPr>
          <w:rFonts w:ascii="Calibri" w:hAnsi="Calibri" w:cs="Calibri"/>
        </w:rPr>
        <w:t>,</w:t>
      </w:r>
      <w:r w:rsidR="00732486" w:rsidRPr="00733D67">
        <w:rPr>
          <w:rFonts w:ascii="Calibri" w:hAnsi="Calibri" w:cs="Calibri"/>
        </w:rPr>
        <w:t xml:space="preserve"> resp. AČR</w:t>
      </w:r>
      <w:r w:rsidR="003B2F0D">
        <w:rPr>
          <w:rFonts w:ascii="Calibri" w:hAnsi="Calibri" w:cs="Calibri"/>
        </w:rPr>
        <w:t>,</w:t>
      </w:r>
      <w:r w:rsidR="00732486" w:rsidRPr="00733D67">
        <w:rPr>
          <w:rFonts w:ascii="Calibri" w:hAnsi="Calibri" w:cs="Calibri"/>
        </w:rPr>
        <w:t xml:space="preserve"> </w:t>
      </w:r>
      <w:r w:rsidR="003B2F0D">
        <w:rPr>
          <w:rFonts w:ascii="Calibri" w:hAnsi="Calibri" w:cs="Calibri"/>
        </w:rPr>
        <w:t>uvádí</w:t>
      </w:r>
      <w:r w:rsidRPr="00733D67">
        <w:rPr>
          <w:rFonts w:ascii="Calibri" w:hAnsi="Calibri" w:cs="Calibri"/>
        </w:rPr>
        <w:t xml:space="preserve">, </w:t>
      </w:r>
      <w:r w:rsidR="003B2F0D">
        <w:rPr>
          <w:rFonts w:ascii="Calibri" w:hAnsi="Calibri" w:cs="Calibri"/>
        </w:rPr>
        <w:t>že</w:t>
      </w:r>
      <w:r w:rsidRPr="00733D67">
        <w:rPr>
          <w:rFonts w:ascii="Calibri" w:hAnsi="Calibri" w:cs="Calibri"/>
        </w:rPr>
        <w:t xml:space="preserve"> bude u projektů strategického charakteru preferovat při zadávání</w:t>
      </w:r>
      <w:r w:rsidR="003B2F0D">
        <w:rPr>
          <w:rFonts w:ascii="Calibri" w:hAnsi="Calibri" w:cs="Calibri"/>
        </w:rPr>
        <w:t xml:space="preserve"> zakázek</w:t>
      </w:r>
      <w:r w:rsidRPr="00733D67">
        <w:rPr>
          <w:rFonts w:ascii="Calibri" w:hAnsi="Calibri" w:cs="Calibri"/>
        </w:rPr>
        <w:t xml:space="preserve"> postup s využitím obecné výjimky z působnosti zákona o veřejných zakázkách</w:t>
      </w:r>
      <w:r w:rsidR="003B2F0D">
        <w:rPr>
          <w:rFonts w:ascii="Calibri" w:hAnsi="Calibri" w:cs="Calibri"/>
        </w:rPr>
        <w:t>, a to</w:t>
      </w:r>
      <w:r w:rsidRPr="00733D67">
        <w:rPr>
          <w:rFonts w:ascii="Calibri" w:hAnsi="Calibri" w:cs="Calibri"/>
        </w:rPr>
        <w:t xml:space="preserve"> z důvodu ochrany podstatných bezpečnostních zájmů ČR.</w:t>
      </w:r>
    </w:p>
    <w:p w14:paraId="067DA050" w14:textId="0CC60940" w:rsidR="00AE0D59" w:rsidRPr="00733D67" w:rsidRDefault="00AE0D59" w:rsidP="00733D67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</w:rPr>
      </w:pPr>
      <w:r w:rsidRPr="00733D67">
        <w:rPr>
          <w:rFonts w:ascii="Calibri" w:eastAsiaTheme="minorHAnsi" w:hAnsi="Calibri" w:cs="Calibri"/>
        </w:rPr>
        <w:t>Akviziční proces pro nákup vojenské materiálu měl dle BKO zajišťovat Národní úřad pro vyzbrojování (dále také „</w:t>
      </w:r>
      <w:proofErr w:type="spellStart"/>
      <w:r w:rsidRPr="00733D67">
        <w:rPr>
          <w:rFonts w:ascii="Calibri" w:hAnsi="Calibri" w:cs="Calibri"/>
        </w:rPr>
        <w:t>NÚřV</w:t>
      </w:r>
      <w:proofErr w:type="spellEnd"/>
      <w:r w:rsidRPr="00733D67">
        <w:rPr>
          <w:rFonts w:ascii="Calibri" w:hAnsi="Calibri" w:cs="Calibri"/>
        </w:rPr>
        <w:t>“).</w:t>
      </w:r>
      <w:r w:rsidRPr="00733D67">
        <w:rPr>
          <w:rFonts w:ascii="Calibri" w:eastAsiaTheme="minorHAnsi" w:hAnsi="Calibri" w:cs="Calibri"/>
        </w:rPr>
        <w:t xml:space="preserve"> </w:t>
      </w:r>
      <w:r w:rsidRPr="00733D67">
        <w:rPr>
          <w:rFonts w:ascii="Calibri" w:hAnsi="Calibri" w:cs="Calibri"/>
        </w:rPr>
        <w:t>Specializované úřady pro</w:t>
      </w:r>
      <w:r w:rsidR="00733D67">
        <w:rPr>
          <w:rFonts w:ascii="Calibri" w:hAnsi="Calibri" w:cs="Calibri"/>
        </w:rPr>
        <w:t xml:space="preserve"> vyzbrojování zajišťující mj. </w:t>
      </w:r>
      <w:r w:rsidR="00732486" w:rsidRPr="00733D67">
        <w:rPr>
          <w:rFonts w:ascii="Calibri" w:hAnsi="Calibri" w:cs="Calibri"/>
        </w:rPr>
        <w:t>i </w:t>
      </w:r>
      <w:r w:rsidRPr="00733D67">
        <w:rPr>
          <w:rFonts w:ascii="Calibri" w:hAnsi="Calibri" w:cs="Calibri"/>
        </w:rPr>
        <w:t xml:space="preserve">komplexní akviziční činnost, která je z důvodu oddělení kompetencí a odpovědnosti </w:t>
      </w:r>
      <w:r w:rsidRPr="00733D67">
        <w:rPr>
          <w:rFonts w:ascii="Calibri" w:hAnsi="Calibri" w:cs="Calibri"/>
          <w:color w:val="000000"/>
          <w:shd w:val="clear" w:color="auto" w:fill="FFFFFF"/>
        </w:rPr>
        <w:t>vyčleněna z procesního řízení projektů jako samostatná nezávislá část</w:t>
      </w:r>
      <w:r w:rsidRPr="00733D67">
        <w:rPr>
          <w:rStyle w:val="Znakapoznpodarou"/>
          <w:rFonts w:ascii="Calibri" w:hAnsi="Calibri" w:cs="Calibri"/>
          <w:color w:val="000000"/>
          <w:shd w:val="clear" w:color="auto" w:fill="FFFFFF"/>
        </w:rPr>
        <w:footnoteReference w:id="37"/>
      </w:r>
      <w:r w:rsidRPr="00733D67">
        <w:rPr>
          <w:rFonts w:ascii="Calibri" w:hAnsi="Calibri" w:cs="Calibri"/>
          <w:color w:val="000000"/>
          <w:shd w:val="clear" w:color="auto" w:fill="FFFFFF"/>
        </w:rPr>
        <w:t xml:space="preserve">, </w:t>
      </w:r>
      <w:r w:rsidRPr="00733D67">
        <w:rPr>
          <w:rFonts w:ascii="Calibri" w:hAnsi="Calibri" w:cs="Calibri"/>
        </w:rPr>
        <w:t xml:space="preserve">existují v mnoha státech Evropy. </w:t>
      </w:r>
      <w:r w:rsidRPr="00427F0D">
        <w:rPr>
          <w:rFonts w:ascii="Calibri" w:hAnsi="Calibri" w:cs="Calibri"/>
        </w:rPr>
        <w:t xml:space="preserve">Jako příklad lze uvést německý </w:t>
      </w:r>
      <w:proofErr w:type="spellStart"/>
      <w:r w:rsidRPr="00427F0D">
        <w:rPr>
          <w:rFonts w:ascii="Calibri" w:hAnsi="Calibri" w:cs="Calibri"/>
          <w:bCs/>
          <w:color w:val="000000"/>
        </w:rPr>
        <w:t>BAAINBw</w:t>
      </w:r>
      <w:proofErr w:type="spellEnd"/>
      <w:r w:rsidRPr="00427F0D">
        <w:rPr>
          <w:rFonts w:ascii="Calibri" w:hAnsi="Calibri" w:cs="Calibri"/>
          <w:bCs/>
          <w:color w:val="000000"/>
        </w:rPr>
        <w:t xml:space="preserve">, francouzský DGA nebo švédský </w:t>
      </w:r>
      <w:r w:rsidRPr="00427F0D">
        <w:rPr>
          <w:rFonts w:ascii="Calibri" w:hAnsi="Calibri" w:cs="Calibri"/>
        </w:rPr>
        <w:t>FMV</w:t>
      </w:r>
      <w:r w:rsidRPr="00427F0D">
        <w:rPr>
          <w:rStyle w:val="Znakapoznpodarou"/>
          <w:rFonts w:ascii="Calibri" w:hAnsi="Calibri" w:cs="Calibri"/>
          <w:color w:val="000000"/>
        </w:rPr>
        <w:footnoteReference w:id="38"/>
      </w:r>
      <w:r w:rsidRPr="00427F0D">
        <w:rPr>
          <w:rFonts w:ascii="Calibri" w:hAnsi="Calibri" w:cs="Calibri"/>
        </w:rPr>
        <w:t>,</w:t>
      </w:r>
      <w:r w:rsidRPr="00733D67">
        <w:rPr>
          <w:rFonts w:ascii="Calibri" w:hAnsi="Calibri" w:cs="Calibri"/>
        </w:rPr>
        <w:t xml:space="preserve"> u všech se jedná o kombinaci akvizičního úřadu a projektového řízení, kdy úřady zastupují zájmy příslušné země mj. v realizaci mezinárodních dohod a zbrojních projektů, ve vědě a výzkumu nebo společných zbrojních a bezpečnostních programech NATO a EU.</w:t>
      </w:r>
    </w:p>
    <w:p w14:paraId="1C7BC933" w14:textId="0A17E9E6" w:rsidR="00AE0D59" w:rsidRPr="00733D67" w:rsidRDefault="00AE0D59" w:rsidP="00733D67">
      <w:pPr>
        <w:shd w:val="clear" w:color="auto" w:fill="FFFFFF"/>
        <w:spacing w:before="120" w:after="120"/>
        <w:jc w:val="both"/>
        <w:rPr>
          <w:rFonts w:ascii="Calibri" w:hAnsi="Calibri" w:cs="Calibri"/>
          <w:color w:val="000000" w:themeColor="text1"/>
        </w:rPr>
      </w:pPr>
      <w:r w:rsidRPr="00733D67">
        <w:rPr>
          <w:rFonts w:ascii="Calibri" w:hAnsi="Calibri" w:cs="Calibri"/>
        </w:rPr>
        <w:t xml:space="preserve">Záměr </w:t>
      </w:r>
      <w:r w:rsidRPr="00733D67">
        <w:rPr>
          <w:rFonts w:ascii="Calibri" w:hAnsi="Calibri" w:cs="Calibri"/>
          <w:color w:val="000000"/>
          <w:shd w:val="clear" w:color="auto" w:fill="FFFFFF"/>
        </w:rPr>
        <w:t xml:space="preserve">na zřízení specializovaného úřadu byl v ČR v roce 2011 jen obnoven, obdobný úřad existoval již v období 1999 až 2003. </w:t>
      </w:r>
      <w:proofErr w:type="spellStart"/>
      <w:r w:rsidRPr="00733D67">
        <w:rPr>
          <w:rFonts w:ascii="Calibri" w:hAnsi="Calibri" w:cs="Calibri"/>
        </w:rPr>
        <w:t>NÚřV</w:t>
      </w:r>
      <w:proofErr w:type="spellEnd"/>
      <w:r w:rsidRPr="00733D67">
        <w:rPr>
          <w:rFonts w:ascii="Calibri" w:hAnsi="Calibri" w:cs="Calibri"/>
        </w:rPr>
        <w:t xml:space="preserve"> </w:t>
      </w:r>
      <w:r w:rsidRPr="00733D67">
        <w:rPr>
          <w:rFonts w:ascii="Calibri" w:hAnsi="Calibri" w:cs="Calibri"/>
          <w:color w:val="000000" w:themeColor="text1"/>
          <w:shd w:val="clear" w:color="auto" w:fill="FFFFFF"/>
        </w:rPr>
        <w:t>se měl stát centrálním orgánem mj. pro zabezpečení projektového řízení a realizaci zbrojních akvi</w:t>
      </w:r>
      <w:r w:rsidR="00732486" w:rsidRPr="00733D67">
        <w:rPr>
          <w:rFonts w:ascii="Calibri" w:hAnsi="Calibri" w:cs="Calibri"/>
          <w:color w:val="000000" w:themeColor="text1"/>
          <w:shd w:val="clear" w:color="auto" w:fill="FFFFFF"/>
        </w:rPr>
        <w:t>zic, řízení obranného výzkumu a </w:t>
      </w:r>
      <w:r w:rsidRPr="00733D67">
        <w:rPr>
          <w:rFonts w:ascii="Calibri" w:hAnsi="Calibri" w:cs="Calibri"/>
          <w:color w:val="000000" w:themeColor="text1"/>
          <w:shd w:val="clear" w:color="auto" w:fill="FFFFFF"/>
        </w:rPr>
        <w:t xml:space="preserve">koordinaci obranné standardizace, katalogizace a státního ověřování jakosti. Původním cílem bylo vytvořit úřad, který bude nezávislý, bude v sobě centralizovat nákupy státu v oblastech obrany a bezpečnosti a bude mít vlastní zákon. </w:t>
      </w:r>
      <w:r w:rsidRPr="00733D67">
        <w:rPr>
          <w:rFonts w:ascii="Calibri" w:hAnsi="Calibri" w:cs="Calibri"/>
          <w:bCs/>
          <w:color w:val="000000"/>
        </w:rPr>
        <w:t xml:space="preserve">Tím mělo dojít dle MO </w:t>
      </w:r>
      <w:r w:rsidR="00733D67">
        <w:rPr>
          <w:rFonts w:ascii="Calibri" w:hAnsi="Calibri" w:cs="Calibri"/>
          <w:bCs/>
          <w:color w:val="000000"/>
        </w:rPr>
        <w:t>mj. </w:t>
      </w:r>
      <w:r w:rsidRPr="00733D67">
        <w:rPr>
          <w:rFonts w:ascii="Calibri" w:hAnsi="Calibri" w:cs="Calibri"/>
          <w:bCs/>
          <w:color w:val="000000"/>
        </w:rPr>
        <w:t xml:space="preserve">ke </w:t>
      </w:r>
      <w:r w:rsidRPr="00733D67">
        <w:rPr>
          <w:rStyle w:val="Hypertextovodkaz"/>
          <w:rFonts w:ascii="Calibri" w:hAnsi="Calibri" w:cs="Calibri"/>
          <w:color w:val="000000" w:themeColor="text1"/>
          <w:u w:val="none"/>
        </w:rPr>
        <w:t>zv</w:t>
      </w:r>
      <w:r w:rsidR="006864E2" w:rsidRPr="00733D67">
        <w:rPr>
          <w:rStyle w:val="Hypertextovodkaz"/>
          <w:rFonts w:ascii="Calibri" w:hAnsi="Calibri" w:cs="Calibri"/>
          <w:color w:val="000000" w:themeColor="text1"/>
          <w:u w:val="none"/>
        </w:rPr>
        <w:t>ýšení hospodárnosti a efektivnosti</w:t>
      </w:r>
      <w:r w:rsidRPr="00733D67">
        <w:rPr>
          <w:rStyle w:val="Hypertextovodkaz"/>
          <w:rFonts w:ascii="Calibri" w:hAnsi="Calibri" w:cs="Calibri"/>
          <w:color w:val="000000" w:themeColor="text1"/>
          <w:u w:val="none"/>
        </w:rPr>
        <w:t xml:space="preserve"> při pořizování vojenského materiálu. </w:t>
      </w:r>
      <w:r w:rsidRPr="00733D67">
        <w:rPr>
          <w:rFonts w:ascii="Calibri" w:hAnsi="Calibri" w:cs="Calibri"/>
          <w:color w:val="000000" w:themeColor="text1"/>
          <w:shd w:val="clear" w:color="auto" w:fill="FFFFFF"/>
        </w:rPr>
        <w:t xml:space="preserve">Úřad byl opravdu vytvořen k 1. červenci 2012, jeho stěžejní role a úkoly však naplněny nebyly, neboť </w:t>
      </w:r>
      <w:r w:rsidR="006864E2" w:rsidRPr="00733D67">
        <w:rPr>
          <w:rFonts w:ascii="Calibri" w:hAnsi="Calibri" w:cs="Calibri"/>
          <w:color w:val="000000" w:themeColor="text1"/>
          <w:shd w:val="clear" w:color="auto" w:fill="FFFFFF"/>
        </w:rPr>
        <w:t xml:space="preserve">např. </w:t>
      </w:r>
      <w:r w:rsidRPr="00733D67">
        <w:rPr>
          <w:rFonts w:ascii="Calibri" w:hAnsi="Calibri" w:cs="Calibri"/>
          <w:color w:val="000000" w:themeColor="text1"/>
          <w:shd w:val="clear" w:color="auto" w:fill="FFFFFF"/>
        </w:rPr>
        <w:t>koncepční činnost v systému vyzbrojování byla postupně utlumována ve prospěch plnění úkolů operativního charakteru (zajištění akvizic). K 1.</w:t>
      </w:r>
      <w:r w:rsidR="00B87C7B" w:rsidRPr="00733D67">
        <w:rPr>
          <w:rFonts w:ascii="Calibri" w:hAnsi="Calibri" w:cs="Calibri"/>
          <w:color w:val="000000" w:themeColor="text1"/>
          <w:shd w:val="clear" w:color="auto" w:fill="FFFFFF"/>
        </w:rPr>
        <w:t xml:space="preserve"> lednu 2014 byl reorganizován a </w:t>
      </w:r>
      <w:r w:rsidRPr="00733D67">
        <w:rPr>
          <w:rFonts w:ascii="Calibri" w:hAnsi="Calibri" w:cs="Calibri"/>
          <w:color w:val="000000" w:themeColor="text1"/>
          <w:shd w:val="clear" w:color="auto" w:fill="FFFFFF"/>
        </w:rPr>
        <w:t>převeden z </w:t>
      </w:r>
      <w:r w:rsidRPr="00733D67">
        <w:rPr>
          <w:rStyle w:val="Hypertextovodkaz"/>
          <w:rFonts w:ascii="Calibri" w:hAnsi="Calibri" w:cs="Calibri"/>
          <w:color w:val="000000" w:themeColor="text1"/>
          <w:u w:val="none"/>
        </w:rPr>
        <w:t>civilně správní části MO</w:t>
      </w:r>
      <w:r w:rsidRPr="00733D67">
        <w:rPr>
          <w:rFonts w:ascii="Calibri" w:hAnsi="Calibri" w:cs="Calibri"/>
          <w:color w:val="000000" w:themeColor="text1"/>
          <w:shd w:val="clear" w:color="auto" w:fill="FFFFFF"/>
        </w:rPr>
        <w:t xml:space="preserve"> mezi přímo podřízené útvary </w:t>
      </w:r>
      <w:r w:rsidRPr="00D96FA2">
        <w:rPr>
          <w:rFonts w:ascii="Calibri" w:hAnsi="Calibri" w:cs="Calibri"/>
          <w:color w:val="000000" w:themeColor="text1"/>
          <w:shd w:val="clear" w:color="auto" w:fill="FFFFFF"/>
        </w:rPr>
        <w:t>a zařízení</w:t>
      </w:r>
      <w:r w:rsidRPr="00733D67">
        <w:rPr>
          <w:rFonts w:ascii="Calibri" w:hAnsi="Calibri" w:cs="Calibri"/>
          <w:color w:val="000000" w:themeColor="text1"/>
          <w:shd w:val="clear" w:color="auto" w:fill="FFFFFF"/>
        </w:rPr>
        <w:t xml:space="preserve"> MO. </w:t>
      </w:r>
      <w:r w:rsidRPr="00733D67">
        <w:rPr>
          <w:rFonts w:ascii="Calibri" w:hAnsi="Calibri" w:cs="Calibri"/>
          <w:color w:val="000000" w:themeColor="text1"/>
        </w:rPr>
        <w:t>K 1. led</w:t>
      </w:r>
      <w:r w:rsidR="00B87C7B" w:rsidRPr="00733D67">
        <w:rPr>
          <w:rFonts w:ascii="Calibri" w:hAnsi="Calibri" w:cs="Calibri"/>
          <w:color w:val="000000" w:themeColor="text1"/>
        </w:rPr>
        <w:t>nu </w:t>
      </w:r>
      <w:r w:rsidRPr="00733D67">
        <w:rPr>
          <w:rFonts w:ascii="Calibri" w:hAnsi="Calibri" w:cs="Calibri"/>
          <w:color w:val="000000" w:themeColor="text1"/>
        </w:rPr>
        <w:t>2015 byl přejmenován na Sekci vyzbroj</w:t>
      </w:r>
      <w:r w:rsidR="00B87C7B" w:rsidRPr="00733D67">
        <w:rPr>
          <w:rFonts w:ascii="Calibri" w:hAnsi="Calibri" w:cs="Calibri"/>
          <w:color w:val="000000" w:themeColor="text1"/>
        </w:rPr>
        <w:t>ování a akvizic MO a převeden z </w:t>
      </w:r>
      <w:r w:rsidRPr="00733D67">
        <w:rPr>
          <w:rFonts w:ascii="Calibri" w:hAnsi="Calibri" w:cs="Calibri"/>
          <w:color w:val="000000" w:themeColor="text1"/>
        </w:rPr>
        <w:t>podřízenosti náměstka ministra obrany pro obranné akvizice do podřízenosti ministra obrany.</w:t>
      </w:r>
    </w:p>
    <w:p w14:paraId="1B45A197" w14:textId="77777777" w:rsidR="00A97704" w:rsidRDefault="00AE0D59" w:rsidP="00733D67">
      <w:pPr>
        <w:spacing w:before="120" w:after="120"/>
        <w:jc w:val="both"/>
        <w:rPr>
          <w:rFonts w:ascii="Calibri" w:hAnsi="Calibri" w:cs="Calibri"/>
        </w:rPr>
      </w:pPr>
      <w:bookmarkStart w:id="22" w:name="_Toc459204718"/>
      <w:bookmarkStart w:id="23" w:name="_Toc460247770"/>
      <w:r w:rsidRPr="00733D67">
        <w:rPr>
          <w:rFonts w:ascii="Calibri" w:hAnsi="Calibri" w:cs="Calibri"/>
          <w:color w:val="000000" w:themeColor="text1"/>
        </w:rPr>
        <w:t xml:space="preserve">MO se </w:t>
      </w:r>
      <w:r w:rsidR="00CE1CE5" w:rsidRPr="00733D67">
        <w:rPr>
          <w:rFonts w:ascii="Calibri" w:hAnsi="Calibri" w:cs="Calibri"/>
          <w:color w:val="000000" w:themeColor="text1"/>
        </w:rPr>
        <w:t>již od</w:t>
      </w:r>
      <w:r w:rsidRPr="00733D67">
        <w:rPr>
          <w:rFonts w:ascii="Calibri" w:hAnsi="Calibri" w:cs="Calibri"/>
          <w:color w:val="000000" w:themeColor="text1"/>
        </w:rPr>
        <w:t xml:space="preserve"> březn</w:t>
      </w:r>
      <w:r w:rsidR="00CE1CE5" w:rsidRPr="00733D67">
        <w:rPr>
          <w:rFonts w:ascii="Calibri" w:hAnsi="Calibri" w:cs="Calibri"/>
          <w:color w:val="000000" w:themeColor="text1"/>
        </w:rPr>
        <w:t>a</w:t>
      </w:r>
      <w:r w:rsidRPr="00733D67">
        <w:rPr>
          <w:rFonts w:ascii="Calibri" w:hAnsi="Calibri" w:cs="Calibri"/>
          <w:color w:val="000000" w:themeColor="text1"/>
        </w:rPr>
        <w:t xml:space="preserve"> roku 2011 </w:t>
      </w:r>
      <w:r w:rsidR="00CE1CE5" w:rsidRPr="00733D67">
        <w:rPr>
          <w:rFonts w:ascii="Calibri" w:hAnsi="Calibri" w:cs="Calibri"/>
          <w:color w:val="000000" w:themeColor="text1"/>
        </w:rPr>
        <w:t>pokouší</w:t>
      </w:r>
      <w:r w:rsidRPr="00733D67">
        <w:rPr>
          <w:rFonts w:ascii="Calibri" w:hAnsi="Calibri" w:cs="Calibri"/>
          <w:color w:val="000000" w:themeColor="text1"/>
        </w:rPr>
        <w:t xml:space="preserve"> zavést tzv. rodné listy veřejn</w:t>
      </w:r>
      <w:r w:rsidR="007D7D37" w:rsidRPr="00733D67">
        <w:rPr>
          <w:rFonts w:ascii="Calibri" w:hAnsi="Calibri" w:cs="Calibri"/>
          <w:color w:val="000000" w:themeColor="text1"/>
        </w:rPr>
        <w:t>ých</w:t>
      </w:r>
      <w:r w:rsidRPr="00733D67">
        <w:rPr>
          <w:rFonts w:ascii="Calibri" w:hAnsi="Calibri" w:cs="Calibri"/>
          <w:color w:val="000000" w:themeColor="text1"/>
        </w:rPr>
        <w:t xml:space="preserve"> zakáz</w:t>
      </w:r>
      <w:r w:rsidR="007D7D37" w:rsidRPr="00733D67">
        <w:rPr>
          <w:rFonts w:ascii="Calibri" w:hAnsi="Calibri" w:cs="Calibri"/>
          <w:color w:val="000000" w:themeColor="text1"/>
        </w:rPr>
        <w:t>e</w:t>
      </w:r>
      <w:r w:rsidRPr="00733D67">
        <w:rPr>
          <w:rFonts w:ascii="Calibri" w:hAnsi="Calibri" w:cs="Calibri"/>
          <w:color w:val="000000" w:themeColor="text1"/>
        </w:rPr>
        <w:t xml:space="preserve">k, které </w:t>
      </w:r>
      <w:r w:rsidR="003B2F0D">
        <w:rPr>
          <w:rFonts w:ascii="Calibri" w:hAnsi="Calibri" w:cs="Calibri"/>
          <w:color w:val="000000" w:themeColor="text1"/>
        </w:rPr>
        <w:t xml:space="preserve">by </w:t>
      </w:r>
      <w:r w:rsidRPr="00733D67">
        <w:rPr>
          <w:rFonts w:ascii="Calibri" w:hAnsi="Calibri" w:cs="Calibri"/>
          <w:color w:val="000000" w:themeColor="text1"/>
        </w:rPr>
        <w:t xml:space="preserve">měly být zveřejněny na internetu a sloužit veřejné kontrole přípravy i realizace nákupů AČR. </w:t>
      </w:r>
      <w:r w:rsidR="00CE1CE5" w:rsidRPr="00733D67">
        <w:rPr>
          <w:rFonts w:ascii="Calibri" w:hAnsi="Calibri" w:cs="Calibri"/>
          <w:color w:val="000000" w:themeColor="text1"/>
        </w:rPr>
        <w:t>NKÚ zjistil, že předmětný informační subsystém</w:t>
      </w:r>
      <w:r w:rsidR="00CE1CE5" w:rsidRPr="00733D67">
        <w:rPr>
          <w:rStyle w:val="Znakapoznpodarou"/>
          <w:rFonts w:ascii="Calibri" w:hAnsi="Calibri" w:cs="Calibri"/>
          <w:color w:val="000000" w:themeColor="text1"/>
        </w:rPr>
        <w:footnoteReference w:id="39"/>
      </w:r>
      <w:r w:rsidR="00CE1CE5" w:rsidRPr="00733D67">
        <w:rPr>
          <w:rFonts w:ascii="Calibri" w:hAnsi="Calibri" w:cs="Calibri"/>
          <w:color w:val="000000" w:themeColor="text1"/>
        </w:rPr>
        <w:t xml:space="preserve"> nebyl v době ukončení kontroly plně funkční. </w:t>
      </w:r>
      <w:r w:rsidRPr="00733D67">
        <w:rPr>
          <w:rFonts w:ascii="Calibri" w:hAnsi="Calibri" w:cs="Calibri"/>
        </w:rPr>
        <w:t>Dalším opatř</w:t>
      </w:r>
      <w:r w:rsidR="00B87C7B" w:rsidRPr="00733D67">
        <w:rPr>
          <w:rFonts w:ascii="Calibri" w:hAnsi="Calibri" w:cs="Calibri"/>
        </w:rPr>
        <w:t>ením zvýšení transparentnosti a </w:t>
      </w:r>
      <w:r w:rsidRPr="00733D67">
        <w:rPr>
          <w:rFonts w:ascii="Calibri" w:hAnsi="Calibri" w:cs="Calibri"/>
        </w:rPr>
        <w:t>efektivnosti veřejných zakázek by mohlo být zavedení etic</w:t>
      </w:r>
      <w:r w:rsidR="00B87C7B" w:rsidRPr="00733D67">
        <w:rPr>
          <w:rFonts w:ascii="Calibri" w:hAnsi="Calibri" w:cs="Calibri"/>
        </w:rPr>
        <w:t xml:space="preserve">kých protikorupčních pravidel </w:t>
      </w:r>
      <w:r w:rsidR="00462DFF" w:rsidRPr="00733D67">
        <w:rPr>
          <w:rFonts w:ascii="Calibri" w:hAnsi="Calibri" w:cs="Calibri"/>
        </w:rPr>
        <w:t>pro</w:t>
      </w:r>
      <w:r w:rsidR="00B87C7B" w:rsidRPr="00733D67">
        <w:rPr>
          <w:rFonts w:ascii="Calibri" w:hAnsi="Calibri" w:cs="Calibri"/>
        </w:rPr>
        <w:t> </w:t>
      </w:r>
      <w:r w:rsidRPr="00733D67">
        <w:rPr>
          <w:rFonts w:ascii="Calibri" w:hAnsi="Calibri" w:cs="Calibri"/>
        </w:rPr>
        <w:t>uch</w:t>
      </w:r>
      <w:r w:rsidR="00462DFF" w:rsidRPr="00733D67">
        <w:rPr>
          <w:rFonts w:ascii="Calibri" w:hAnsi="Calibri" w:cs="Calibri"/>
        </w:rPr>
        <w:t>azeče</w:t>
      </w:r>
      <w:r w:rsidRPr="00733D67">
        <w:rPr>
          <w:rFonts w:ascii="Calibri" w:hAnsi="Calibri" w:cs="Calibri"/>
        </w:rPr>
        <w:t xml:space="preserve"> o zbrojní zakázky.</w:t>
      </w:r>
      <w:bookmarkEnd w:id="22"/>
      <w:bookmarkEnd w:id="23"/>
    </w:p>
    <w:p w14:paraId="4072E634" w14:textId="5954E70F" w:rsidR="00CE1CE5" w:rsidRPr="00733D67" w:rsidRDefault="00AE0D59" w:rsidP="00733D67">
      <w:pPr>
        <w:spacing w:before="120" w:after="120"/>
        <w:jc w:val="both"/>
        <w:rPr>
          <w:rFonts w:ascii="Calibri" w:hAnsi="Calibri" w:cs="Calibri"/>
          <w:color w:val="000000" w:themeColor="text1"/>
        </w:rPr>
      </w:pPr>
      <w:r w:rsidRPr="00733D67">
        <w:rPr>
          <w:rFonts w:ascii="Calibri" w:hAnsi="Calibri" w:cs="Calibri"/>
        </w:rPr>
        <w:t xml:space="preserve"> </w:t>
      </w:r>
    </w:p>
    <w:p w14:paraId="74242441" w14:textId="64D2482B" w:rsidR="00164BA7" w:rsidRPr="00733D67" w:rsidRDefault="00164BA7" w:rsidP="00733D67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  <w:b/>
        </w:rPr>
      </w:pPr>
      <w:r w:rsidRPr="00733D67">
        <w:rPr>
          <w:rFonts w:ascii="Calibri" w:hAnsi="Calibri" w:cs="Calibri"/>
          <w:b/>
        </w:rPr>
        <w:lastRenderedPageBreak/>
        <w:t>Veřejné zakázky zadávané prostřednictvím agentury NSPA</w:t>
      </w:r>
    </w:p>
    <w:p w14:paraId="005AAD65" w14:textId="52B49416" w:rsidR="00AE0D59" w:rsidRPr="00733D67" w:rsidRDefault="00AE0D59" w:rsidP="00733D67">
      <w:pPr>
        <w:spacing w:before="120" w:after="120"/>
        <w:jc w:val="both"/>
        <w:rPr>
          <w:rFonts w:ascii="Calibri" w:eastAsiaTheme="minorHAnsi" w:hAnsi="Calibri" w:cs="Calibri"/>
        </w:rPr>
      </w:pPr>
      <w:r w:rsidRPr="00733D67">
        <w:rPr>
          <w:rFonts w:ascii="Calibri" w:hAnsi="Calibri" w:cs="Calibri"/>
        </w:rPr>
        <w:t>MO zadalo veřejn</w:t>
      </w:r>
      <w:r w:rsidR="003B2F0D">
        <w:rPr>
          <w:rFonts w:ascii="Calibri" w:hAnsi="Calibri" w:cs="Calibri"/>
        </w:rPr>
        <w:t>é</w:t>
      </w:r>
      <w:r w:rsidRPr="00733D67">
        <w:rPr>
          <w:rFonts w:ascii="Calibri" w:hAnsi="Calibri" w:cs="Calibri"/>
        </w:rPr>
        <w:t xml:space="preserve"> zakázk</w:t>
      </w:r>
      <w:r w:rsidR="003B2F0D">
        <w:rPr>
          <w:rFonts w:ascii="Calibri" w:hAnsi="Calibri" w:cs="Calibri"/>
        </w:rPr>
        <w:t>y</w:t>
      </w:r>
      <w:r w:rsidRPr="00733D67">
        <w:rPr>
          <w:rFonts w:ascii="Calibri" w:hAnsi="Calibri" w:cs="Calibri"/>
        </w:rPr>
        <w:t xml:space="preserve"> u některých kontrolovaných investičních akcí mimo režim</w:t>
      </w:r>
      <w:r w:rsidRPr="00733D67">
        <w:rPr>
          <w:rStyle w:val="Znakapoznpodarou"/>
          <w:rFonts w:ascii="Calibri" w:hAnsi="Calibri" w:cs="Calibri"/>
        </w:rPr>
        <w:footnoteReference w:id="40"/>
      </w:r>
      <w:r w:rsidRPr="00733D67">
        <w:rPr>
          <w:rFonts w:ascii="Calibri" w:hAnsi="Calibri" w:cs="Calibri"/>
        </w:rPr>
        <w:t xml:space="preserve"> zákona o veřejných zakázkách prostřednictvím specializované agentury NSPA. </w:t>
      </w:r>
      <w:r w:rsidRPr="00733D67">
        <w:rPr>
          <w:rFonts w:ascii="Calibri" w:eastAsiaTheme="minorHAnsi" w:hAnsi="Calibri" w:cs="Calibri"/>
        </w:rPr>
        <w:t xml:space="preserve">Úkolem agentury je mj. poskytovat akviziční činnost a logistické služby související se zabezpečením vojenského materiálu, který je společný pro členské země NATO. Nákupem většího počtu kusů či rozsáhlejší služby lze snížit jejich konečnou cenu a přinést tak finanční efekty pro jednotlivé země, výhodou dále </w:t>
      </w:r>
      <w:r w:rsidR="003B2F0D" w:rsidRPr="00733D67">
        <w:rPr>
          <w:rFonts w:ascii="Calibri" w:eastAsiaTheme="minorHAnsi" w:hAnsi="Calibri" w:cs="Calibri"/>
        </w:rPr>
        <w:t xml:space="preserve">může </w:t>
      </w:r>
      <w:r w:rsidRPr="00733D67">
        <w:rPr>
          <w:rFonts w:ascii="Calibri" w:eastAsiaTheme="minorHAnsi" w:hAnsi="Calibri" w:cs="Calibri"/>
        </w:rPr>
        <w:t xml:space="preserve">být nákup za cenu </w:t>
      </w:r>
      <w:r w:rsidRPr="00733D67">
        <w:rPr>
          <w:rFonts w:ascii="Calibri" w:hAnsi="Calibri" w:cs="Calibri"/>
          <w:color w:val="000000"/>
        </w:rPr>
        <w:t>bez daně z přidané hodnoty nebo přenesení odpovědnosti za vypsání a průběh výběrového řízení.</w:t>
      </w:r>
      <w:r w:rsidRPr="00733D67">
        <w:rPr>
          <w:rFonts w:ascii="Calibri" w:eastAsiaTheme="minorHAnsi" w:hAnsi="Calibri" w:cs="Calibri"/>
        </w:rPr>
        <w:t xml:space="preserve"> </w:t>
      </w:r>
      <w:r w:rsidRPr="00733D67">
        <w:rPr>
          <w:rFonts w:ascii="Calibri" w:hAnsi="Calibri" w:cs="Calibri"/>
        </w:rPr>
        <w:t xml:space="preserve">Za členství </w:t>
      </w:r>
      <w:r w:rsidR="002B743E" w:rsidRPr="00733D67">
        <w:rPr>
          <w:rFonts w:ascii="Calibri" w:hAnsi="Calibri" w:cs="Calibri"/>
        </w:rPr>
        <w:t>i</w:t>
      </w:r>
      <w:r w:rsidRPr="00733D67">
        <w:rPr>
          <w:rFonts w:ascii="Calibri" w:hAnsi="Calibri" w:cs="Calibri"/>
        </w:rPr>
        <w:t xml:space="preserve"> realizaci </w:t>
      </w:r>
      <w:r w:rsidR="00161D5B" w:rsidRPr="00733D67">
        <w:rPr>
          <w:rFonts w:ascii="Calibri" w:hAnsi="Calibri" w:cs="Calibri"/>
        </w:rPr>
        <w:t>veřejných zakázek</w:t>
      </w:r>
      <w:r w:rsidRPr="00733D67">
        <w:rPr>
          <w:rFonts w:ascii="Calibri" w:hAnsi="Calibri" w:cs="Calibri"/>
        </w:rPr>
        <w:t xml:space="preserve"> platí ČR prostřednictvím rozpočtu MO různé poplatky. Kontrolou bylo zjiš</w:t>
      </w:r>
      <w:r w:rsidR="009F1E4F" w:rsidRPr="00733D67">
        <w:rPr>
          <w:rFonts w:ascii="Calibri" w:hAnsi="Calibri" w:cs="Calibri"/>
        </w:rPr>
        <w:t xml:space="preserve">těno, že kromě uvedených výhod </w:t>
      </w:r>
      <w:r w:rsidRPr="00733D67">
        <w:rPr>
          <w:rFonts w:ascii="Calibri" w:hAnsi="Calibri" w:cs="Calibri"/>
        </w:rPr>
        <w:t xml:space="preserve">přináší </w:t>
      </w:r>
      <w:r w:rsidRPr="00733D67">
        <w:rPr>
          <w:rFonts w:ascii="Calibri" w:eastAsiaTheme="minorHAnsi" w:hAnsi="Calibri" w:cs="Calibri"/>
        </w:rPr>
        <w:t xml:space="preserve">tento způsob nalezení vhodného dodavatele vojenského materiálu realizovaný podle </w:t>
      </w:r>
      <w:r w:rsidRPr="00733D67">
        <w:rPr>
          <w:rFonts w:ascii="Calibri" w:hAnsi="Calibri" w:cs="Calibri"/>
        </w:rPr>
        <w:t>pravidel agentury</w:t>
      </w:r>
      <w:r w:rsidRPr="00733D67">
        <w:rPr>
          <w:rFonts w:ascii="Calibri" w:eastAsiaTheme="minorHAnsi" w:hAnsi="Calibri" w:cs="Calibri"/>
        </w:rPr>
        <w:t xml:space="preserve"> také nevýhody. K těm patří</w:t>
      </w:r>
      <w:r w:rsidRPr="00733D67">
        <w:rPr>
          <w:rFonts w:ascii="Calibri" w:hAnsi="Calibri" w:cs="Calibri"/>
        </w:rPr>
        <w:t xml:space="preserve"> </w:t>
      </w:r>
      <w:r w:rsidRPr="00733D67">
        <w:rPr>
          <w:rFonts w:ascii="Calibri" w:eastAsiaTheme="minorHAnsi" w:hAnsi="Calibri" w:cs="Calibri"/>
        </w:rPr>
        <w:t>mj.</w:t>
      </w:r>
      <w:r w:rsidR="002B743E" w:rsidRPr="00733D67">
        <w:rPr>
          <w:rFonts w:ascii="Calibri" w:eastAsiaTheme="minorHAnsi" w:hAnsi="Calibri" w:cs="Calibri"/>
        </w:rPr>
        <w:t xml:space="preserve"> nemožnost uplatňování sankcí </w:t>
      </w:r>
      <w:r w:rsidRPr="00733D67">
        <w:rPr>
          <w:rFonts w:ascii="Calibri" w:eastAsiaTheme="minorHAnsi" w:hAnsi="Calibri" w:cs="Calibri"/>
        </w:rPr>
        <w:t>v případě nesplnění sjednaných termínů dodání, složitý systém uplatňování reklamací v případě nekompletní dodávk</w:t>
      </w:r>
      <w:r w:rsidR="003B2F0D">
        <w:rPr>
          <w:rFonts w:ascii="Calibri" w:eastAsiaTheme="minorHAnsi" w:hAnsi="Calibri" w:cs="Calibri"/>
        </w:rPr>
        <w:t>y</w:t>
      </w:r>
      <w:r w:rsidRPr="00733D67">
        <w:rPr>
          <w:rFonts w:ascii="Calibri" w:eastAsiaTheme="minorHAnsi" w:hAnsi="Calibri" w:cs="Calibri"/>
        </w:rPr>
        <w:t xml:space="preserve"> nebo komplikované vyúčtování poskytnutých záloh (akce ev. </w:t>
      </w:r>
      <w:r w:rsidRPr="00733D67">
        <w:rPr>
          <w:rFonts w:ascii="Calibri" w:hAnsi="Calibri" w:cs="Calibri"/>
        </w:rPr>
        <w:t>č. 107V112001301</w:t>
      </w:r>
      <w:r w:rsidR="003B2F0D">
        <w:rPr>
          <w:rFonts w:ascii="Calibri" w:hAnsi="Calibri" w:cs="Calibri"/>
        </w:rPr>
        <w:t xml:space="preserve"> –</w:t>
      </w:r>
      <w:r w:rsidRPr="00733D67">
        <w:rPr>
          <w:rFonts w:ascii="Calibri" w:hAnsi="Calibri" w:cs="Calibri"/>
        </w:rPr>
        <w:t xml:space="preserve"> </w:t>
      </w:r>
      <w:r w:rsidRPr="00733D67">
        <w:rPr>
          <w:rFonts w:ascii="Calibri" w:hAnsi="Calibri" w:cs="Calibri"/>
          <w:i/>
        </w:rPr>
        <w:t xml:space="preserve">Kulomet </w:t>
      </w:r>
      <w:r w:rsidR="003B2F0D">
        <w:rPr>
          <w:rFonts w:ascii="Calibri" w:hAnsi="Calibri" w:cs="Calibri"/>
          <w:i/>
        </w:rPr>
        <w:t>–</w:t>
      </w:r>
      <w:r w:rsidRPr="00733D67">
        <w:rPr>
          <w:rFonts w:ascii="Calibri" w:hAnsi="Calibri" w:cs="Calibri"/>
          <w:i/>
        </w:rPr>
        <w:t xml:space="preserve"> nákup).</w:t>
      </w:r>
      <w:r w:rsidRPr="00733D67">
        <w:rPr>
          <w:rFonts w:ascii="Calibri" w:eastAsiaTheme="minorHAnsi" w:hAnsi="Calibri" w:cs="Calibri"/>
        </w:rPr>
        <w:t xml:space="preserve"> </w:t>
      </w:r>
      <w:r w:rsidRPr="00733D67">
        <w:rPr>
          <w:rFonts w:ascii="Calibri" w:hAnsi="Calibri" w:cs="Calibri"/>
        </w:rPr>
        <w:t xml:space="preserve">I samotné nalezení vhodného dodavatele může výrazně prodloužit realizaci resp. </w:t>
      </w:r>
      <w:r w:rsidR="002B743E" w:rsidRPr="00733D67">
        <w:rPr>
          <w:rFonts w:ascii="Calibri" w:hAnsi="Calibri" w:cs="Calibri"/>
        </w:rPr>
        <w:t xml:space="preserve">mít dopad na deklarované </w:t>
      </w:r>
      <w:r w:rsidRPr="00733D67">
        <w:rPr>
          <w:rFonts w:ascii="Calibri" w:hAnsi="Calibri" w:cs="Calibri"/>
        </w:rPr>
        <w:t>cíle investiční akce (akce ev. č. 107V431002311</w:t>
      </w:r>
      <w:r w:rsidR="003B2F0D">
        <w:rPr>
          <w:rFonts w:ascii="Calibri" w:hAnsi="Calibri" w:cs="Calibri"/>
        </w:rPr>
        <w:t xml:space="preserve"> –</w:t>
      </w:r>
      <w:r w:rsidRPr="00733D67">
        <w:rPr>
          <w:rFonts w:ascii="Calibri" w:hAnsi="Calibri" w:cs="Calibri"/>
        </w:rPr>
        <w:t xml:space="preserve"> </w:t>
      </w:r>
      <w:proofErr w:type="spellStart"/>
      <w:r w:rsidRPr="00733D67">
        <w:rPr>
          <w:rFonts w:ascii="Calibri" w:hAnsi="Calibri" w:cs="Calibri"/>
          <w:i/>
        </w:rPr>
        <w:t>Noktovizní</w:t>
      </w:r>
      <w:proofErr w:type="spellEnd"/>
      <w:r w:rsidRPr="00733D67">
        <w:rPr>
          <w:rFonts w:ascii="Calibri" w:hAnsi="Calibri" w:cs="Calibri"/>
          <w:i/>
        </w:rPr>
        <w:t xml:space="preserve"> přístroj </w:t>
      </w:r>
      <w:r w:rsidR="003B2F0D">
        <w:rPr>
          <w:rFonts w:ascii="Calibri" w:hAnsi="Calibri" w:cs="Calibri"/>
          <w:i/>
        </w:rPr>
        <w:t>–</w:t>
      </w:r>
      <w:r w:rsidRPr="00733D67">
        <w:rPr>
          <w:rFonts w:ascii="Calibri" w:hAnsi="Calibri" w:cs="Calibri"/>
          <w:i/>
        </w:rPr>
        <w:t xml:space="preserve"> nákup</w:t>
      </w:r>
      <w:r w:rsidRPr="00733D67">
        <w:rPr>
          <w:rFonts w:ascii="Calibri" w:hAnsi="Calibri" w:cs="Calibri"/>
        </w:rPr>
        <w:t>).</w:t>
      </w:r>
    </w:p>
    <w:p w14:paraId="31BA9C83" w14:textId="417C2B95" w:rsidR="00AE0D59" w:rsidRPr="00733D67" w:rsidRDefault="00AE0D59" w:rsidP="00733D67">
      <w:pPr>
        <w:spacing w:before="120" w:after="120"/>
        <w:jc w:val="both"/>
        <w:rPr>
          <w:rFonts w:ascii="Calibri" w:hAnsi="Calibri" w:cs="Calibri"/>
        </w:rPr>
      </w:pPr>
      <w:r w:rsidRPr="00733D67">
        <w:rPr>
          <w:rFonts w:ascii="Calibri" w:hAnsi="Calibri" w:cs="Calibri"/>
        </w:rPr>
        <w:t>Předmětem akce ev. č. 107V112001301</w:t>
      </w:r>
      <w:r w:rsidR="003B2F0D">
        <w:rPr>
          <w:rFonts w:ascii="Calibri" w:hAnsi="Calibri" w:cs="Calibri"/>
        </w:rPr>
        <w:t xml:space="preserve"> –</w:t>
      </w:r>
      <w:r w:rsidRPr="00733D67">
        <w:rPr>
          <w:rFonts w:ascii="Calibri" w:hAnsi="Calibri" w:cs="Calibri"/>
          <w:i/>
        </w:rPr>
        <w:t xml:space="preserve"> Kulomet </w:t>
      </w:r>
      <w:r w:rsidR="003B2F0D">
        <w:rPr>
          <w:rFonts w:ascii="Calibri" w:hAnsi="Calibri" w:cs="Calibri"/>
          <w:i/>
        </w:rPr>
        <w:t>–</w:t>
      </w:r>
      <w:r w:rsidRPr="00733D67">
        <w:rPr>
          <w:rFonts w:ascii="Calibri" w:hAnsi="Calibri" w:cs="Calibri"/>
          <w:i/>
        </w:rPr>
        <w:t xml:space="preserve"> nákup </w:t>
      </w:r>
      <w:r w:rsidRPr="00733D67">
        <w:rPr>
          <w:rFonts w:ascii="Calibri" w:hAnsi="Calibri" w:cs="Calibri"/>
        </w:rPr>
        <w:t xml:space="preserve">bylo pořízení 269 souprav kulometů, které měly nahradit </w:t>
      </w:r>
      <w:r w:rsidR="00F07EF1" w:rsidRPr="00733D67">
        <w:rPr>
          <w:rFonts w:ascii="Calibri" w:hAnsi="Calibri" w:cs="Calibri"/>
        </w:rPr>
        <w:t xml:space="preserve">již </w:t>
      </w:r>
      <w:r w:rsidRPr="00733D67">
        <w:rPr>
          <w:rFonts w:ascii="Calibri" w:hAnsi="Calibri" w:cs="Calibri"/>
        </w:rPr>
        <w:t xml:space="preserve">vysloužilé kulomety. Jednalo se již o několikátou etapu přezbrojení, důvodem nákupu v roce 2012 byla zejména podpora AČR v misi </w:t>
      </w:r>
      <w:r w:rsidRPr="00733D67">
        <w:rPr>
          <w:rFonts w:ascii="Calibri" w:hAnsi="Calibri" w:cs="Calibri"/>
          <w:i/>
        </w:rPr>
        <w:t xml:space="preserve">International </w:t>
      </w:r>
      <w:proofErr w:type="spellStart"/>
      <w:r w:rsidRPr="00733D67">
        <w:rPr>
          <w:rFonts w:ascii="Calibri" w:hAnsi="Calibri" w:cs="Calibri"/>
          <w:i/>
        </w:rPr>
        <w:t>Security</w:t>
      </w:r>
      <w:proofErr w:type="spellEnd"/>
      <w:r w:rsidRPr="00733D67">
        <w:rPr>
          <w:rFonts w:ascii="Calibri" w:hAnsi="Calibri" w:cs="Calibri"/>
          <w:i/>
        </w:rPr>
        <w:t xml:space="preserve"> </w:t>
      </w:r>
      <w:proofErr w:type="spellStart"/>
      <w:r w:rsidRPr="00733D67">
        <w:rPr>
          <w:rFonts w:ascii="Calibri" w:hAnsi="Calibri" w:cs="Calibri"/>
          <w:i/>
        </w:rPr>
        <w:t>Assistance</w:t>
      </w:r>
      <w:proofErr w:type="spellEnd"/>
      <w:r w:rsidRPr="00733D67">
        <w:rPr>
          <w:rFonts w:ascii="Calibri" w:hAnsi="Calibri" w:cs="Calibri"/>
          <w:i/>
        </w:rPr>
        <w:t xml:space="preserve"> </w:t>
      </w:r>
      <w:proofErr w:type="spellStart"/>
      <w:r w:rsidRPr="00733D67">
        <w:rPr>
          <w:rFonts w:ascii="Calibri" w:hAnsi="Calibri" w:cs="Calibri"/>
          <w:i/>
        </w:rPr>
        <w:t>Force</w:t>
      </w:r>
      <w:proofErr w:type="spellEnd"/>
      <w:r w:rsidRPr="00733D67">
        <w:rPr>
          <w:rFonts w:ascii="Calibri" w:hAnsi="Calibri" w:cs="Calibri"/>
        </w:rPr>
        <w:t xml:space="preserve"> (dále také „ISAF“) v Afghánistánu. Veřejnou zakázku zadalo MO prostřednictvím agentury NSPA, k</w:t>
      </w:r>
      <w:r w:rsidRPr="00733D67">
        <w:rPr>
          <w:rFonts w:ascii="Calibri" w:hAnsi="Calibri" w:cs="Calibri"/>
          <w:bCs/>
          <w:color w:val="000000"/>
          <w:spacing w:val="-1"/>
        </w:rPr>
        <w:t xml:space="preserve">ulomety měly být dodávány v ročních etapách do </w:t>
      </w:r>
      <w:r w:rsidR="00EB1914" w:rsidRPr="00733D67">
        <w:rPr>
          <w:rFonts w:ascii="Calibri" w:hAnsi="Calibri" w:cs="Calibri"/>
        </w:rPr>
        <w:t>30. </w:t>
      </w:r>
      <w:r w:rsidRPr="00733D67">
        <w:rPr>
          <w:rFonts w:ascii="Calibri" w:hAnsi="Calibri" w:cs="Calibri"/>
        </w:rPr>
        <w:t xml:space="preserve">listopadu 2015. Kontrolou bylo zjištěno, že termíny dodávek nebyly ze strany NSPA splněny, v roce 2013 i 2014 nebyly dodány žádné kulomety. První dodávka byla uskutečněna až v průběhu roku 2015, v době, kdy již </w:t>
      </w:r>
      <w:r w:rsidRPr="00733D67">
        <w:rPr>
          <w:rFonts w:ascii="Calibri" w:hAnsi="Calibri" w:cs="Calibri"/>
          <w:color w:val="000000" w:themeColor="text1"/>
        </w:rPr>
        <w:t xml:space="preserve">mise ISAF skončila (od 1. ledna 2015 byla nahrazena operací </w:t>
      </w:r>
      <w:proofErr w:type="spellStart"/>
      <w:r w:rsidRPr="00733D67">
        <w:rPr>
          <w:rFonts w:ascii="Calibri" w:hAnsi="Calibri" w:cs="Calibri"/>
          <w:i/>
          <w:color w:val="000000" w:themeColor="text1"/>
        </w:rPr>
        <w:t>Resolute</w:t>
      </w:r>
      <w:proofErr w:type="spellEnd"/>
      <w:r w:rsidRPr="00733D67">
        <w:rPr>
          <w:rFonts w:ascii="Calibri" w:hAnsi="Calibri" w:cs="Calibri"/>
          <w:i/>
          <w:color w:val="000000" w:themeColor="text1"/>
        </w:rPr>
        <w:t xml:space="preserve"> Support</w:t>
      </w:r>
      <w:r w:rsidRPr="00733D67">
        <w:rPr>
          <w:rFonts w:ascii="Calibri" w:hAnsi="Calibri" w:cs="Calibri"/>
          <w:color w:val="000000" w:themeColor="text1"/>
        </w:rPr>
        <w:t>).</w:t>
      </w:r>
      <w:r w:rsidRPr="00733D67">
        <w:rPr>
          <w:rFonts w:ascii="Calibri" w:hAnsi="Calibri" w:cs="Calibri"/>
        </w:rPr>
        <w:t xml:space="preserve"> Do dohodnutého termínu byla dodána pouze necelá čtvrtina zbraní. Dle</w:t>
      </w:r>
      <w:r w:rsidR="00883050">
        <w:rPr>
          <w:rFonts w:ascii="Calibri" w:hAnsi="Calibri" w:cs="Calibri"/>
        </w:rPr>
        <w:t xml:space="preserve"> </w:t>
      </w:r>
      <w:r w:rsidRPr="00733D67">
        <w:rPr>
          <w:rFonts w:ascii="Calibri" w:hAnsi="Calibri" w:cs="Calibri"/>
        </w:rPr>
        <w:t>pravidel NSPA nemohlo MO ovlivnit dodržení nasmlouvaných termínů dodávek</w:t>
      </w:r>
      <w:r w:rsidR="00883050">
        <w:rPr>
          <w:rFonts w:ascii="Calibri" w:hAnsi="Calibri" w:cs="Calibri"/>
        </w:rPr>
        <w:t>,</w:t>
      </w:r>
      <w:r w:rsidRPr="00733D67">
        <w:rPr>
          <w:rFonts w:ascii="Calibri" w:hAnsi="Calibri" w:cs="Calibri"/>
        </w:rPr>
        <w:t xml:space="preserve"> resp. uplatnit sankce, a to i přesto, že v jednotlivých letech předem uhradilo stoprocentní zálohu. Některé z dodávek byly nekompletní, proto MO</w:t>
      </w:r>
      <w:r w:rsidR="00883050" w:rsidRPr="00883050">
        <w:rPr>
          <w:rFonts w:ascii="Calibri" w:hAnsi="Calibri" w:cs="Calibri"/>
        </w:rPr>
        <w:t xml:space="preserve"> </w:t>
      </w:r>
      <w:r w:rsidR="00883050" w:rsidRPr="00733D67">
        <w:rPr>
          <w:rFonts w:ascii="Calibri" w:hAnsi="Calibri" w:cs="Calibri"/>
        </w:rPr>
        <w:t>muselo</w:t>
      </w:r>
      <w:r w:rsidRPr="00733D67">
        <w:rPr>
          <w:rFonts w:ascii="Calibri" w:hAnsi="Calibri" w:cs="Calibri"/>
        </w:rPr>
        <w:t xml:space="preserve"> s NSPA navíc řešit požadavky na</w:t>
      </w:r>
      <w:r w:rsidR="00883050">
        <w:rPr>
          <w:rFonts w:ascii="Calibri" w:hAnsi="Calibri" w:cs="Calibri"/>
        </w:rPr>
        <w:t xml:space="preserve"> </w:t>
      </w:r>
      <w:r w:rsidRPr="00733D67">
        <w:rPr>
          <w:rFonts w:ascii="Calibri" w:hAnsi="Calibri" w:cs="Calibri"/>
        </w:rPr>
        <w:t>dodání chybějícího materiálu, což způsobilo další prodlevy</w:t>
      </w:r>
      <w:r w:rsidR="00BD453E" w:rsidRPr="00733D67">
        <w:rPr>
          <w:rFonts w:ascii="Calibri" w:hAnsi="Calibri" w:cs="Calibri"/>
        </w:rPr>
        <w:t xml:space="preserve">. NKÚ v této souvislosti poukazuje také na časová a věcná rizika, která souvisí se způsobem předávání zbraní od zahraničních výrobců do AČR, kdy procedura probíhá bez přítomnosti zástupce výrobce nebo zprostředkovatele. </w:t>
      </w:r>
      <w:r w:rsidRPr="00733D67">
        <w:rPr>
          <w:rFonts w:ascii="Calibri" w:hAnsi="Calibri" w:cs="Calibri"/>
        </w:rPr>
        <w:t>V červnu roku 2016 stále existovaly nevyřízené reklamace, část zbraní tak nemohla být distribuována útvarům AČR.</w:t>
      </w:r>
    </w:p>
    <w:p w14:paraId="5F13167F" w14:textId="5B377404" w:rsidR="00AE0D59" w:rsidRDefault="00AE0D59" w:rsidP="00733D67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  <w:color w:val="000000" w:themeColor="text1"/>
        </w:rPr>
      </w:pPr>
      <w:r w:rsidRPr="00733D67">
        <w:rPr>
          <w:rFonts w:ascii="Calibri" w:hAnsi="Calibri" w:cs="Calibri"/>
        </w:rPr>
        <w:t xml:space="preserve">Nezbytnost realizace akce </w:t>
      </w:r>
      <w:r w:rsidR="00E8271A" w:rsidRPr="00733D67">
        <w:rPr>
          <w:rFonts w:ascii="Calibri" w:hAnsi="Calibri" w:cs="Calibri"/>
        </w:rPr>
        <w:t xml:space="preserve">ev. </w:t>
      </w:r>
      <w:r w:rsidRPr="00733D67">
        <w:rPr>
          <w:rFonts w:ascii="Calibri" w:hAnsi="Calibri" w:cs="Calibri"/>
        </w:rPr>
        <w:t>č. 107V431002311</w:t>
      </w:r>
      <w:r w:rsidR="00883050">
        <w:rPr>
          <w:rFonts w:ascii="Calibri" w:hAnsi="Calibri" w:cs="Calibri"/>
        </w:rPr>
        <w:t xml:space="preserve"> –</w:t>
      </w:r>
      <w:r w:rsidRPr="00733D67">
        <w:rPr>
          <w:rFonts w:ascii="Calibri" w:hAnsi="Calibri" w:cs="Calibri"/>
        </w:rPr>
        <w:t xml:space="preserve"> </w:t>
      </w:r>
      <w:proofErr w:type="spellStart"/>
      <w:r w:rsidRPr="00733D67">
        <w:rPr>
          <w:rFonts w:ascii="Calibri" w:hAnsi="Calibri" w:cs="Calibri"/>
          <w:i/>
        </w:rPr>
        <w:t>Noktovizní</w:t>
      </w:r>
      <w:proofErr w:type="spellEnd"/>
      <w:r w:rsidRPr="00733D67">
        <w:rPr>
          <w:rFonts w:ascii="Calibri" w:hAnsi="Calibri" w:cs="Calibri"/>
          <w:i/>
        </w:rPr>
        <w:t xml:space="preserve"> přístroj </w:t>
      </w:r>
      <w:r w:rsidR="00883050">
        <w:rPr>
          <w:rFonts w:ascii="Calibri" w:hAnsi="Calibri" w:cs="Calibri"/>
          <w:i/>
        </w:rPr>
        <w:t>–</w:t>
      </w:r>
      <w:r w:rsidRPr="00733D67">
        <w:rPr>
          <w:rFonts w:ascii="Calibri" w:hAnsi="Calibri" w:cs="Calibri"/>
          <w:i/>
        </w:rPr>
        <w:t xml:space="preserve"> nákup</w:t>
      </w:r>
      <w:r w:rsidRPr="00733D67">
        <w:rPr>
          <w:rFonts w:ascii="Calibri" w:hAnsi="Calibri" w:cs="Calibri"/>
        </w:rPr>
        <w:t xml:space="preserve"> vyplývala z naléhavé potřeby pořízení 570 přístrojů nočního vidění pro jednotky AČR nasazované v zahraničních misích. Investiční záměr byl zpracován v srpnu roku 2012 s tím, že v roce 2013 </w:t>
      </w:r>
      <w:r w:rsidR="00883050">
        <w:rPr>
          <w:rFonts w:ascii="Calibri" w:hAnsi="Calibri" w:cs="Calibri"/>
        </w:rPr>
        <w:t>bude</w:t>
      </w:r>
      <w:r w:rsidRPr="00733D67">
        <w:rPr>
          <w:rFonts w:ascii="Calibri" w:hAnsi="Calibri" w:cs="Calibri"/>
        </w:rPr>
        <w:t xml:space="preserve"> nezbytné k zabezpečení sil a prostředků nasazených do mise ISAF pořídit minimálně 320 přístrojů. Veřejnou zakázku zadalo MO prostřednictvím agentury NSPA, výběr nejvhodnější nabídky však trval zhruba jeden rok. Zboží bylo dodáno až v červnu roku 2015, </w:t>
      </w:r>
      <w:r w:rsidR="00883050">
        <w:rPr>
          <w:rFonts w:ascii="Calibri" w:hAnsi="Calibri" w:cs="Calibri"/>
        </w:rPr>
        <w:t xml:space="preserve">tedy </w:t>
      </w:r>
      <w:r w:rsidRPr="00733D67">
        <w:rPr>
          <w:rFonts w:ascii="Calibri" w:hAnsi="Calibri" w:cs="Calibri"/>
        </w:rPr>
        <w:t xml:space="preserve">v době, kdy již </w:t>
      </w:r>
      <w:r w:rsidRPr="00733D67">
        <w:rPr>
          <w:rFonts w:ascii="Calibri" w:hAnsi="Calibri" w:cs="Calibri"/>
          <w:color w:val="000000" w:themeColor="text1"/>
        </w:rPr>
        <w:t xml:space="preserve">mise ISAF skončila (od 1. ledna 2015 byla nahrazena operací </w:t>
      </w:r>
      <w:proofErr w:type="spellStart"/>
      <w:r w:rsidRPr="00733D67">
        <w:rPr>
          <w:rFonts w:ascii="Calibri" w:hAnsi="Calibri" w:cs="Calibri"/>
          <w:i/>
          <w:color w:val="000000" w:themeColor="text1"/>
        </w:rPr>
        <w:t>Resolute</w:t>
      </w:r>
      <w:proofErr w:type="spellEnd"/>
      <w:r w:rsidRPr="00733D67">
        <w:rPr>
          <w:rFonts w:ascii="Calibri" w:hAnsi="Calibri" w:cs="Calibri"/>
          <w:i/>
          <w:color w:val="000000" w:themeColor="text1"/>
        </w:rPr>
        <w:t xml:space="preserve"> Support</w:t>
      </w:r>
      <w:r w:rsidRPr="00733D67">
        <w:rPr>
          <w:rFonts w:ascii="Calibri" w:hAnsi="Calibri" w:cs="Calibri"/>
          <w:color w:val="000000" w:themeColor="text1"/>
        </w:rPr>
        <w:t>).</w:t>
      </w:r>
    </w:p>
    <w:p w14:paraId="3B39F791" w14:textId="77777777" w:rsidR="00E17E1F" w:rsidRDefault="00E17E1F" w:rsidP="00733D67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  <w:color w:val="000000" w:themeColor="text1"/>
        </w:rPr>
      </w:pPr>
    </w:p>
    <w:p w14:paraId="39DB3657" w14:textId="77777777" w:rsidR="00E17E1F" w:rsidRPr="00733D67" w:rsidRDefault="00E17E1F" w:rsidP="00733D67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  <w:color w:val="000000" w:themeColor="text1"/>
        </w:rPr>
      </w:pPr>
    </w:p>
    <w:p w14:paraId="66B05A19" w14:textId="61763CF9" w:rsidR="00164BA7" w:rsidRPr="00733D67" w:rsidRDefault="00164BA7" w:rsidP="00733D67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  <w:b/>
        </w:rPr>
      </w:pPr>
      <w:r w:rsidRPr="00733D67">
        <w:rPr>
          <w:rFonts w:ascii="Calibri" w:hAnsi="Calibri" w:cs="Calibri"/>
          <w:b/>
        </w:rPr>
        <w:lastRenderedPageBreak/>
        <w:t>Kontrolní a vojskové zkoušky</w:t>
      </w:r>
    </w:p>
    <w:p w14:paraId="319AB8A0" w14:textId="7988BAD5" w:rsidR="00AE0D59" w:rsidRPr="00733D67" w:rsidRDefault="00AE0D59" w:rsidP="00733D67">
      <w:pPr>
        <w:pStyle w:val="Bezmezer"/>
        <w:spacing w:before="120" w:after="120"/>
        <w:jc w:val="both"/>
        <w:rPr>
          <w:rFonts w:ascii="Calibri" w:hAnsi="Calibri" w:cs="Calibri"/>
          <w:color w:val="000000"/>
          <w:spacing w:val="-1"/>
          <w:sz w:val="24"/>
          <w:szCs w:val="24"/>
        </w:rPr>
      </w:pPr>
      <w:r w:rsidRPr="00733D67">
        <w:rPr>
          <w:rFonts w:ascii="Calibri" w:hAnsi="Calibri" w:cs="Calibri"/>
          <w:color w:val="000000"/>
          <w:spacing w:val="-1"/>
          <w:sz w:val="24"/>
          <w:szCs w:val="24"/>
        </w:rPr>
        <w:t xml:space="preserve">Provádění kontrolních a vojskových zkoušek upravoval v kontrolovaném období interní předpis MO, podle </w:t>
      </w:r>
      <w:r w:rsidR="00883050">
        <w:rPr>
          <w:rFonts w:ascii="Calibri" w:hAnsi="Calibri" w:cs="Calibri"/>
          <w:color w:val="000000"/>
          <w:spacing w:val="-1"/>
          <w:sz w:val="24"/>
          <w:szCs w:val="24"/>
        </w:rPr>
        <w:t>nějž</w:t>
      </w:r>
      <w:r w:rsidRPr="00733D67">
        <w:rPr>
          <w:rFonts w:ascii="Calibri" w:hAnsi="Calibri" w:cs="Calibri"/>
          <w:color w:val="000000"/>
          <w:spacing w:val="-1"/>
          <w:sz w:val="24"/>
          <w:szCs w:val="24"/>
        </w:rPr>
        <w:t xml:space="preserve"> nebylo možné </w:t>
      </w:r>
      <w:r w:rsidR="00883050" w:rsidRPr="00733D67">
        <w:rPr>
          <w:rFonts w:ascii="Calibri" w:hAnsi="Calibri" w:cs="Calibri"/>
          <w:color w:val="000000"/>
          <w:spacing w:val="-1"/>
          <w:sz w:val="24"/>
          <w:szCs w:val="24"/>
        </w:rPr>
        <w:t xml:space="preserve">zkoušky </w:t>
      </w:r>
      <w:r w:rsidRPr="00733D67">
        <w:rPr>
          <w:rFonts w:ascii="Calibri" w:hAnsi="Calibri" w:cs="Calibri"/>
          <w:color w:val="000000"/>
          <w:sz w:val="24"/>
          <w:szCs w:val="24"/>
        </w:rPr>
        <w:t>vyko</w:t>
      </w:r>
      <w:r w:rsidR="002E772A" w:rsidRPr="00733D67">
        <w:rPr>
          <w:rFonts w:ascii="Calibri" w:hAnsi="Calibri" w:cs="Calibri"/>
          <w:color w:val="000000"/>
          <w:sz w:val="24"/>
          <w:szCs w:val="24"/>
        </w:rPr>
        <w:t>návat před uzavřením smlouvy s v</w:t>
      </w:r>
      <w:r w:rsidRPr="00733D67">
        <w:rPr>
          <w:rFonts w:ascii="Calibri" w:hAnsi="Calibri" w:cs="Calibri"/>
          <w:color w:val="000000"/>
          <w:sz w:val="24"/>
          <w:szCs w:val="24"/>
        </w:rPr>
        <w:t>ybraným dodavatelem.</w:t>
      </w:r>
      <w:r w:rsidRPr="00733D67">
        <w:rPr>
          <w:rFonts w:ascii="Calibri" w:hAnsi="Calibri" w:cs="Calibri"/>
          <w:color w:val="000000"/>
          <w:spacing w:val="-1"/>
          <w:sz w:val="24"/>
          <w:szCs w:val="24"/>
        </w:rPr>
        <w:t xml:space="preserve"> To ovšem znamenalo</w:t>
      </w:r>
      <w:r w:rsidR="00C45F9B" w:rsidRPr="00733D67">
        <w:rPr>
          <w:rFonts w:ascii="Calibri" w:hAnsi="Calibri" w:cs="Calibri"/>
          <w:color w:val="000000"/>
          <w:spacing w:val="-1"/>
          <w:sz w:val="24"/>
          <w:szCs w:val="24"/>
        </w:rPr>
        <w:t>,</w:t>
      </w:r>
      <w:r w:rsidRPr="00733D67">
        <w:rPr>
          <w:rFonts w:ascii="Calibri" w:hAnsi="Calibri" w:cs="Calibri"/>
          <w:color w:val="000000"/>
          <w:spacing w:val="-1"/>
          <w:sz w:val="24"/>
          <w:szCs w:val="24"/>
        </w:rPr>
        <w:t xml:space="preserve"> a kontrolou </w:t>
      </w:r>
      <w:r w:rsidRPr="00733D67">
        <w:rPr>
          <w:rFonts w:ascii="Calibri" w:hAnsi="Calibri" w:cs="Calibri"/>
          <w:iCs/>
          <w:color w:val="000000"/>
          <w:sz w:val="24"/>
          <w:szCs w:val="24"/>
        </w:rPr>
        <w:t>vybraných investičních akcí bylo potvrzeno, že MO v rámci v</w:t>
      </w:r>
      <w:r w:rsidR="004F6DD2" w:rsidRPr="00733D67">
        <w:rPr>
          <w:rFonts w:ascii="Calibri" w:hAnsi="Calibri" w:cs="Calibri"/>
          <w:iCs/>
          <w:color w:val="000000"/>
          <w:sz w:val="24"/>
          <w:szCs w:val="24"/>
        </w:rPr>
        <w:t xml:space="preserve">eřejných zakázek vybíralo </w:t>
      </w:r>
      <w:r w:rsidRPr="00733D67">
        <w:rPr>
          <w:rFonts w:ascii="Calibri" w:hAnsi="Calibri" w:cs="Calibri"/>
          <w:iCs/>
          <w:color w:val="000000"/>
          <w:sz w:val="24"/>
          <w:szCs w:val="24"/>
        </w:rPr>
        <w:t>zbraně jen na základě údajů deklarovaných dodavatelem (</w:t>
      </w:r>
      <w:r w:rsidRPr="00733D67">
        <w:rPr>
          <w:rFonts w:ascii="Calibri" w:hAnsi="Calibri" w:cs="Calibri"/>
          <w:bCs/>
          <w:iCs/>
          <w:sz w:val="24"/>
          <w:szCs w:val="24"/>
        </w:rPr>
        <w:t>výše uvedená akce ev. č. 107V112001302</w:t>
      </w:r>
      <w:r w:rsidR="00883050">
        <w:rPr>
          <w:rFonts w:ascii="Calibri" w:hAnsi="Calibri" w:cs="Calibri"/>
          <w:bCs/>
          <w:iCs/>
          <w:sz w:val="24"/>
          <w:szCs w:val="24"/>
        </w:rPr>
        <w:t xml:space="preserve"> –</w:t>
      </w:r>
      <w:r w:rsidRPr="00733D67">
        <w:rPr>
          <w:rFonts w:ascii="Calibri" w:hAnsi="Calibri" w:cs="Calibri"/>
          <w:bCs/>
          <w:iCs/>
          <w:sz w:val="24"/>
          <w:szCs w:val="24"/>
        </w:rPr>
        <w:t xml:space="preserve"> </w:t>
      </w:r>
      <w:r w:rsidRPr="00733D67">
        <w:rPr>
          <w:rFonts w:ascii="Calibri" w:hAnsi="Calibri" w:cs="Calibri"/>
          <w:bCs/>
          <w:i/>
          <w:iCs/>
          <w:sz w:val="24"/>
          <w:szCs w:val="24"/>
        </w:rPr>
        <w:t xml:space="preserve">Puška pro přesnou střelbu </w:t>
      </w:r>
      <w:r w:rsidR="00883050">
        <w:rPr>
          <w:rFonts w:ascii="Calibri" w:hAnsi="Calibri" w:cs="Calibri"/>
          <w:bCs/>
          <w:i/>
          <w:iCs/>
          <w:sz w:val="24"/>
          <w:szCs w:val="24"/>
        </w:rPr>
        <w:t>–</w:t>
      </w:r>
      <w:r w:rsidRPr="00733D67">
        <w:rPr>
          <w:rFonts w:ascii="Calibri" w:hAnsi="Calibri" w:cs="Calibri"/>
          <w:bCs/>
          <w:i/>
          <w:iCs/>
          <w:sz w:val="24"/>
          <w:szCs w:val="24"/>
        </w:rPr>
        <w:t xml:space="preserve"> nákup</w:t>
      </w:r>
      <w:r w:rsidRPr="00627F7D">
        <w:rPr>
          <w:rFonts w:ascii="Calibri" w:hAnsi="Calibri" w:cs="Calibri"/>
          <w:bCs/>
          <w:iCs/>
          <w:sz w:val="24"/>
          <w:szCs w:val="24"/>
        </w:rPr>
        <w:t>)</w:t>
      </w:r>
      <w:r w:rsidRPr="00883050">
        <w:rPr>
          <w:rFonts w:ascii="Calibri" w:hAnsi="Calibri" w:cs="Calibri"/>
          <w:color w:val="000000"/>
          <w:spacing w:val="-1"/>
          <w:sz w:val="24"/>
          <w:szCs w:val="24"/>
        </w:rPr>
        <w:t>.</w:t>
      </w:r>
      <w:r w:rsidRPr="00733D67">
        <w:rPr>
          <w:rFonts w:ascii="Calibri" w:hAnsi="Calibri" w:cs="Calibri"/>
          <w:color w:val="000000"/>
          <w:spacing w:val="-1"/>
          <w:sz w:val="24"/>
          <w:szCs w:val="24"/>
        </w:rPr>
        <w:t xml:space="preserve"> </w:t>
      </w:r>
      <w:r w:rsidRPr="00733D67">
        <w:rPr>
          <w:rFonts w:ascii="Calibri" w:hAnsi="Calibri" w:cs="Calibri"/>
          <w:iCs/>
          <w:color w:val="000000"/>
          <w:sz w:val="24"/>
          <w:szCs w:val="24"/>
        </w:rPr>
        <w:t>Zbraň byla poté testována až po podp</w:t>
      </w:r>
      <w:r w:rsidR="00C45F9B" w:rsidRPr="00733D67">
        <w:rPr>
          <w:rFonts w:ascii="Calibri" w:hAnsi="Calibri" w:cs="Calibri"/>
          <w:iCs/>
          <w:color w:val="000000"/>
          <w:sz w:val="24"/>
          <w:szCs w:val="24"/>
        </w:rPr>
        <w:t>isu smlouvy, kdy MO stanovilo i </w:t>
      </w:r>
      <w:r w:rsidRPr="00733D67">
        <w:rPr>
          <w:rFonts w:ascii="Calibri" w:hAnsi="Calibri" w:cs="Calibri"/>
          <w:iCs/>
          <w:color w:val="000000"/>
          <w:sz w:val="24"/>
          <w:szCs w:val="24"/>
        </w:rPr>
        <w:t>po</w:t>
      </w:r>
      <w:r w:rsidR="004F6DD2" w:rsidRPr="00733D67">
        <w:rPr>
          <w:rFonts w:ascii="Calibri" w:hAnsi="Calibri" w:cs="Calibri"/>
          <w:iCs/>
          <w:color w:val="000000"/>
          <w:sz w:val="24"/>
          <w:szCs w:val="24"/>
        </w:rPr>
        <w:t xml:space="preserve">drobnosti o přesné náplni např. </w:t>
      </w:r>
      <w:r w:rsidRPr="00733D67">
        <w:rPr>
          <w:rFonts w:ascii="Calibri" w:hAnsi="Calibri" w:cs="Calibri"/>
          <w:iCs/>
          <w:color w:val="000000"/>
          <w:sz w:val="24"/>
          <w:szCs w:val="24"/>
        </w:rPr>
        <w:t>vojskových zkoušek.</w:t>
      </w:r>
      <w:r w:rsidRPr="00733D67">
        <w:rPr>
          <w:rFonts w:ascii="Calibri" w:hAnsi="Calibri" w:cs="Calibri"/>
          <w:color w:val="000000"/>
          <w:spacing w:val="-1"/>
          <w:sz w:val="24"/>
          <w:szCs w:val="24"/>
        </w:rPr>
        <w:t xml:space="preserve"> </w:t>
      </w:r>
      <w:r w:rsidRPr="00733D67">
        <w:rPr>
          <w:rFonts w:ascii="Calibri" w:hAnsi="Calibri" w:cs="Calibri"/>
          <w:iCs/>
          <w:color w:val="000000"/>
          <w:sz w:val="24"/>
          <w:szCs w:val="24"/>
        </w:rPr>
        <w:t xml:space="preserve">Ověřování parametrů a užitných vlastností vojenského materiálu v rámci průzkumu trhu provádělo MO pouze výjimečně. </w:t>
      </w:r>
      <w:r w:rsidR="005351A2" w:rsidRPr="00733D67">
        <w:rPr>
          <w:rFonts w:ascii="Calibri" w:hAnsi="Calibri" w:cs="Calibri"/>
          <w:color w:val="000000"/>
          <w:spacing w:val="-1"/>
          <w:sz w:val="24"/>
          <w:szCs w:val="24"/>
        </w:rPr>
        <w:t xml:space="preserve">Nové možnosti před uzavřením smlouvy dává zadavateli </w:t>
      </w:r>
      <w:r w:rsidR="00D4221E" w:rsidRPr="00733D67">
        <w:rPr>
          <w:rFonts w:ascii="Calibri" w:hAnsi="Calibri" w:cs="Calibri"/>
          <w:color w:val="000000"/>
          <w:spacing w:val="-1"/>
          <w:sz w:val="24"/>
          <w:szCs w:val="24"/>
        </w:rPr>
        <w:t>nyní</w:t>
      </w:r>
      <w:r w:rsidR="005351A2" w:rsidRPr="00733D67">
        <w:rPr>
          <w:rFonts w:ascii="Calibri" w:hAnsi="Calibri" w:cs="Calibri"/>
          <w:color w:val="000000"/>
          <w:spacing w:val="-1"/>
          <w:sz w:val="24"/>
          <w:szCs w:val="24"/>
        </w:rPr>
        <w:t xml:space="preserve"> nový zákon o zadávání veřejných zakázek</w:t>
      </w:r>
      <w:r w:rsidR="005351A2" w:rsidRPr="00733D67">
        <w:rPr>
          <w:rStyle w:val="Znakapoznpodarou"/>
          <w:rFonts w:ascii="Calibri" w:hAnsi="Calibri" w:cs="Calibri"/>
          <w:color w:val="000000"/>
          <w:spacing w:val="-1"/>
          <w:sz w:val="24"/>
          <w:szCs w:val="24"/>
        </w:rPr>
        <w:footnoteReference w:id="41"/>
      </w:r>
      <w:r w:rsidR="005351A2" w:rsidRPr="00733D67">
        <w:rPr>
          <w:rFonts w:ascii="Calibri" w:hAnsi="Calibri" w:cs="Calibri"/>
          <w:color w:val="000000"/>
          <w:spacing w:val="-1"/>
          <w:sz w:val="24"/>
          <w:szCs w:val="24"/>
        </w:rPr>
        <w:t xml:space="preserve">. </w:t>
      </w:r>
      <w:r w:rsidRPr="00733D67">
        <w:rPr>
          <w:rFonts w:ascii="Calibri" w:hAnsi="Calibri" w:cs="Calibri"/>
          <w:color w:val="000000"/>
          <w:spacing w:val="-1"/>
          <w:sz w:val="24"/>
          <w:szCs w:val="24"/>
        </w:rPr>
        <w:t>O</w:t>
      </w:r>
      <w:r w:rsidRPr="00733D67">
        <w:rPr>
          <w:rFonts w:ascii="Calibri" w:hAnsi="Calibri" w:cs="Calibri"/>
          <w:color w:val="000000"/>
          <w:sz w:val="24"/>
          <w:szCs w:val="24"/>
        </w:rPr>
        <w:t>věřování parametrů a užitných vlastností</w:t>
      </w:r>
      <w:r w:rsidRPr="00733D67">
        <w:rPr>
          <w:rFonts w:ascii="Calibri" w:hAnsi="Calibri" w:cs="Calibri"/>
          <w:color w:val="000000"/>
          <w:spacing w:val="-1"/>
          <w:sz w:val="24"/>
          <w:szCs w:val="24"/>
        </w:rPr>
        <w:t xml:space="preserve"> zbraní </w:t>
      </w:r>
      <w:r w:rsidR="00945275" w:rsidRPr="00733D67">
        <w:rPr>
          <w:rFonts w:ascii="Calibri" w:hAnsi="Calibri" w:cs="Calibri"/>
          <w:color w:val="000000"/>
          <w:spacing w:val="-1"/>
          <w:sz w:val="24"/>
          <w:szCs w:val="24"/>
        </w:rPr>
        <w:t xml:space="preserve">před </w:t>
      </w:r>
      <w:r w:rsidR="00882244" w:rsidRPr="00733D67">
        <w:rPr>
          <w:rFonts w:ascii="Calibri" w:hAnsi="Calibri" w:cs="Calibri"/>
          <w:color w:val="000000"/>
          <w:spacing w:val="-1"/>
          <w:sz w:val="24"/>
          <w:szCs w:val="24"/>
        </w:rPr>
        <w:t>uzavřením smlouvy s vybraným dodavatelem</w:t>
      </w:r>
      <w:r w:rsidR="00945275" w:rsidRPr="00733D67">
        <w:rPr>
          <w:rFonts w:ascii="Calibri" w:hAnsi="Calibri" w:cs="Calibri"/>
          <w:color w:val="000000"/>
          <w:spacing w:val="-1"/>
          <w:sz w:val="24"/>
          <w:szCs w:val="24"/>
        </w:rPr>
        <w:t xml:space="preserve"> </w:t>
      </w:r>
      <w:r w:rsidRPr="00733D67">
        <w:rPr>
          <w:rFonts w:ascii="Calibri" w:hAnsi="Calibri" w:cs="Calibri"/>
          <w:color w:val="000000"/>
          <w:spacing w:val="-1"/>
          <w:sz w:val="24"/>
          <w:szCs w:val="24"/>
        </w:rPr>
        <w:t>včetně komparačních zkoušek</w:t>
      </w:r>
      <w:r w:rsidRPr="00733D67">
        <w:rPr>
          <w:rStyle w:val="Znakapoznpodarou"/>
          <w:rFonts w:ascii="Calibri" w:hAnsi="Calibri" w:cs="Calibri"/>
          <w:color w:val="000000"/>
          <w:spacing w:val="-1"/>
          <w:sz w:val="24"/>
          <w:szCs w:val="24"/>
        </w:rPr>
        <w:footnoteReference w:id="42"/>
      </w:r>
      <w:r w:rsidRPr="00733D67">
        <w:rPr>
          <w:rFonts w:ascii="Calibri" w:hAnsi="Calibri" w:cs="Calibri"/>
          <w:color w:val="000000"/>
          <w:spacing w:val="-1"/>
          <w:sz w:val="24"/>
          <w:szCs w:val="24"/>
        </w:rPr>
        <w:t xml:space="preserve"> je standardní</w:t>
      </w:r>
      <w:r w:rsidR="00F17563" w:rsidRPr="00733D67">
        <w:rPr>
          <w:rFonts w:ascii="Calibri" w:hAnsi="Calibri" w:cs="Calibri"/>
          <w:color w:val="000000"/>
          <w:spacing w:val="-1"/>
          <w:sz w:val="24"/>
          <w:szCs w:val="24"/>
        </w:rPr>
        <w:t xml:space="preserve"> fází nákupu v armádách NATO, např. </w:t>
      </w:r>
      <w:r w:rsidRPr="00733D67">
        <w:rPr>
          <w:rFonts w:ascii="Calibri" w:hAnsi="Calibri" w:cs="Calibri"/>
          <w:color w:val="000000"/>
          <w:spacing w:val="-1"/>
          <w:sz w:val="24"/>
          <w:szCs w:val="24"/>
        </w:rPr>
        <w:t xml:space="preserve">francouzská armáda </w:t>
      </w:r>
      <w:r w:rsidR="00945275" w:rsidRPr="00733D67">
        <w:rPr>
          <w:rFonts w:ascii="Calibri" w:hAnsi="Calibri" w:cs="Calibri"/>
          <w:color w:val="000000"/>
          <w:spacing w:val="-1"/>
          <w:sz w:val="24"/>
          <w:szCs w:val="24"/>
        </w:rPr>
        <w:t>takto</w:t>
      </w:r>
      <w:r w:rsidRPr="00733D67">
        <w:rPr>
          <w:rFonts w:ascii="Calibri" w:hAnsi="Calibri" w:cs="Calibri"/>
          <w:color w:val="000000"/>
          <w:spacing w:val="-1"/>
          <w:sz w:val="24"/>
          <w:szCs w:val="24"/>
        </w:rPr>
        <w:t xml:space="preserve"> vybrala </w:t>
      </w:r>
      <w:r w:rsidR="004A71FC" w:rsidRPr="00733D67">
        <w:rPr>
          <w:rFonts w:ascii="Calibri" w:hAnsi="Calibri" w:cs="Calibri"/>
          <w:color w:val="000000"/>
          <w:spacing w:val="-1"/>
          <w:sz w:val="24"/>
          <w:szCs w:val="24"/>
        </w:rPr>
        <w:t xml:space="preserve">v září roku 2016 </w:t>
      </w:r>
      <w:r w:rsidRPr="00733D67">
        <w:rPr>
          <w:rFonts w:ascii="Calibri" w:hAnsi="Calibri" w:cs="Calibri"/>
          <w:color w:val="000000"/>
          <w:spacing w:val="-1"/>
          <w:sz w:val="24"/>
          <w:szCs w:val="24"/>
        </w:rPr>
        <w:t>nového dodavatele útočných pušek.</w:t>
      </w:r>
    </w:p>
    <w:p w14:paraId="100DF6E6" w14:textId="78DC133F" w:rsidR="00164BA7" w:rsidRPr="00733D67" w:rsidRDefault="00164BA7" w:rsidP="00733D67">
      <w:pPr>
        <w:pStyle w:val="Bezmezer"/>
        <w:numPr>
          <w:ilvl w:val="0"/>
          <w:numId w:val="22"/>
        </w:numPr>
        <w:spacing w:before="120" w:after="120"/>
        <w:jc w:val="both"/>
        <w:rPr>
          <w:rFonts w:ascii="Calibri" w:hAnsi="Calibri" w:cs="Calibri"/>
          <w:b/>
          <w:color w:val="000000"/>
          <w:spacing w:val="-1"/>
          <w:sz w:val="24"/>
          <w:szCs w:val="24"/>
        </w:rPr>
      </w:pPr>
      <w:r w:rsidRPr="00733D67">
        <w:rPr>
          <w:rFonts w:ascii="Calibri" w:hAnsi="Calibri" w:cs="Calibri"/>
          <w:b/>
          <w:color w:val="000000"/>
          <w:spacing w:val="-1"/>
          <w:sz w:val="24"/>
          <w:szCs w:val="24"/>
        </w:rPr>
        <w:t>Přezbrojení A</w:t>
      </w:r>
      <w:r w:rsidR="00E1582D" w:rsidRPr="00733D67">
        <w:rPr>
          <w:rFonts w:ascii="Calibri" w:hAnsi="Calibri" w:cs="Calibri"/>
          <w:b/>
          <w:color w:val="000000"/>
          <w:spacing w:val="-1"/>
          <w:sz w:val="24"/>
          <w:szCs w:val="24"/>
        </w:rPr>
        <w:t>ČR útočnými puškami</w:t>
      </w:r>
    </w:p>
    <w:p w14:paraId="3D7EAEC9" w14:textId="0D746CBA" w:rsidR="00AE0D59" w:rsidRPr="00733D67" w:rsidRDefault="00AE0D59" w:rsidP="00733D67">
      <w:pPr>
        <w:spacing w:before="120" w:after="120"/>
        <w:jc w:val="both"/>
        <w:rPr>
          <w:rFonts w:ascii="Calibri" w:hAnsi="Calibri" w:cs="Calibri"/>
          <w:color w:val="000000" w:themeColor="text1"/>
        </w:rPr>
      </w:pPr>
      <w:r w:rsidRPr="00733D67">
        <w:rPr>
          <w:rFonts w:ascii="Calibri" w:hAnsi="Calibri" w:cs="Calibri"/>
          <w:color w:val="000000" w:themeColor="text1"/>
        </w:rPr>
        <w:t>Přezbrojení AČR útočn</w:t>
      </w:r>
      <w:r w:rsidR="00E36E8D" w:rsidRPr="00733D67">
        <w:rPr>
          <w:rFonts w:ascii="Calibri" w:hAnsi="Calibri" w:cs="Calibri"/>
          <w:color w:val="000000" w:themeColor="text1"/>
        </w:rPr>
        <w:t>ými</w:t>
      </w:r>
      <w:r w:rsidRPr="00733D67">
        <w:rPr>
          <w:rFonts w:ascii="Calibri" w:hAnsi="Calibri" w:cs="Calibri"/>
          <w:color w:val="000000" w:themeColor="text1"/>
        </w:rPr>
        <w:t xml:space="preserve"> pušk</w:t>
      </w:r>
      <w:r w:rsidR="00E36E8D" w:rsidRPr="00733D67">
        <w:rPr>
          <w:rFonts w:ascii="Calibri" w:hAnsi="Calibri" w:cs="Calibri"/>
          <w:color w:val="000000" w:themeColor="text1"/>
        </w:rPr>
        <w:t>ami</w:t>
      </w:r>
      <w:r w:rsidRPr="00733D67">
        <w:rPr>
          <w:rFonts w:ascii="Calibri" w:hAnsi="Calibri" w:cs="Calibri"/>
          <w:color w:val="000000" w:themeColor="text1"/>
        </w:rPr>
        <w:t xml:space="preserve"> s příslušenstvím</w:t>
      </w:r>
      <w:r w:rsidR="00974A6C" w:rsidRPr="00733D67">
        <w:rPr>
          <w:rFonts w:ascii="Calibri" w:hAnsi="Calibri" w:cs="Calibri"/>
          <w:color w:val="000000" w:themeColor="text1"/>
        </w:rPr>
        <w:t xml:space="preserve"> (dále také „ÚP“) </w:t>
      </w:r>
      <w:r w:rsidRPr="00733D67">
        <w:rPr>
          <w:rFonts w:ascii="Calibri" w:hAnsi="Calibri" w:cs="Calibri"/>
          <w:color w:val="000000" w:themeColor="text1"/>
        </w:rPr>
        <w:t xml:space="preserve">probíhá </w:t>
      </w:r>
      <w:r w:rsidR="00974A6C" w:rsidRPr="00733D67">
        <w:rPr>
          <w:rFonts w:ascii="Calibri" w:hAnsi="Calibri" w:cs="Calibri"/>
          <w:color w:val="000000" w:themeColor="text1"/>
        </w:rPr>
        <w:t>v rámci tří programů reprodukce majetku AČR (příloha č. 1) od roku 2009.</w:t>
      </w:r>
      <w:r w:rsidRPr="00733D67">
        <w:rPr>
          <w:rFonts w:ascii="Calibri" w:hAnsi="Calibri" w:cs="Calibri"/>
          <w:color w:val="000000" w:themeColor="text1"/>
        </w:rPr>
        <w:t xml:space="preserve"> Celkem 20 278 ÚP pořizovaných ve čtyřech etapách s plánovanými náklady ve výši 2 705,516 mil. Kč má nahradit zastaralé samopaly. MO sice provedlo </w:t>
      </w:r>
      <w:r w:rsidR="00E36E8D" w:rsidRPr="00733D67">
        <w:rPr>
          <w:rFonts w:ascii="Calibri" w:hAnsi="Calibri" w:cs="Calibri"/>
          <w:color w:val="000000" w:themeColor="text1"/>
        </w:rPr>
        <w:t>před nákupem</w:t>
      </w:r>
      <w:r w:rsidRPr="00733D67">
        <w:rPr>
          <w:rFonts w:ascii="Calibri" w:hAnsi="Calibri" w:cs="Calibri"/>
          <w:color w:val="000000" w:themeColor="text1"/>
        </w:rPr>
        <w:t xml:space="preserve"> marketingový průzkum</w:t>
      </w:r>
      <w:r w:rsidR="00C3518A" w:rsidRPr="00733D67">
        <w:rPr>
          <w:rFonts w:ascii="Calibri" w:hAnsi="Calibri" w:cs="Calibri"/>
          <w:color w:val="000000" w:themeColor="text1"/>
        </w:rPr>
        <w:t>,</w:t>
      </w:r>
      <w:r w:rsidRPr="00733D67">
        <w:rPr>
          <w:rFonts w:ascii="Calibri" w:hAnsi="Calibri" w:cs="Calibri"/>
          <w:color w:val="000000" w:themeColor="text1"/>
        </w:rPr>
        <w:t xml:space="preserve"> jeho vypovídací schopnost však byla dle zjištění NKÚ velmi omezená, neboť např. nabídnutá cena následně vybraného dodavatele, který nabízel nově vyvíjenou ÚP, </w:t>
      </w:r>
      <w:r w:rsidR="00637E90" w:rsidRPr="00733D67">
        <w:rPr>
          <w:rFonts w:ascii="Calibri" w:hAnsi="Calibri" w:cs="Calibri"/>
          <w:color w:val="000000" w:themeColor="text1"/>
        </w:rPr>
        <w:t>byla uvedena v rozmezí 35 </w:t>
      </w:r>
      <w:r w:rsidRPr="00733D67">
        <w:rPr>
          <w:rFonts w:ascii="Calibri" w:hAnsi="Calibri" w:cs="Calibri"/>
          <w:color w:val="000000" w:themeColor="text1"/>
        </w:rPr>
        <w:t>000</w:t>
      </w:r>
      <w:r w:rsidR="00C038DD">
        <w:rPr>
          <w:rFonts w:ascii="Calibri" w:hAnsi="Calibri" w:cs="Calibri"/>
          <w:color w:val="000000" w:themeColor="text1"/>
        </w:rPr>
        <w:t> Kč</w:t>
      </w:r>
      <w:r w:rsidRPr="00733D67">
        <w:rPr>
          <w:rFonts w:ascii="Calibri" w:hAnsi="Calibri" w:cs="Calibri"/>
          <w:color w:val="000000" w:themeColor="text1"/>
        </w:rPr>
        <w:t xml:space="preserve"> až 200 000 Kč. Cena ÚP vzešlá následně z výběrového řízení činila dle kupní smlouvy 77 189 Kč. Kontrolní a vojskové zkoušky, které by prověřily </w:t>
      </w:r>
      <w:r w:rsidR="00C038DD" w:rsidRPr="00733D67">
        <w:rPr>
          <w:rFonts w:ascii="Calibri" w:hAnsi="Calibri" w:cs="Calibri"/>
          <w:color w:val="000000" w:themeColor="text1"/>
        </w:rPr>
        <w:t>mj.</w:t>
      </w:r>
      <w:r w:rsidR="00C038DD">
        <w:rPr>
          <w:rFonts w:ascii="Calibri" w:hAnsi="Calibri" w:cs="Calibri"/>
          <w:color w:val="000000" w:themeColor="text1"/>
        </w:rPr>
        <w:t xml:space="preserve"> </w:t>
      </w:r>
      <w:r w:rsidRPr="00733D67">
        <w:rPr>
          <w:rFonts w:ascii="Calibri" w:hAnsi="Calibri" w:cs="Calibri"/>
          <w:color w:val="000000" w:themeColor="text1"/>
        </w:rPr>
        <w:t xml:space="preserve">vlastnosti zbraní, vhodnost jejich použití a spolehlivost, MO před </w:t>
      </w:r>
      <w:r w:rsidR="005F22FC" w:rsidRPr="00733D67">
        <w:rPr>
          <w:rFonts w:ascii="Calibri" w:hAnsi="Calibri" w:cs="Calibri"/>
          <w:color w:val="000000" w:themeColor="text1"/>
        </w:rPr>
        <w:t>uzavřením smlouvy s vybraným dodavatelem</w:t>
      </w:r>
      <w:r w:rsidRPr="00733D67">
        <w:rPr>
          <w:rFonts w:ascii="Calibri" w:hAnsi="Calibri" w:cs="Calibri"/>
          <w:color w:val="000000" w:themeColor="text1"/>
        </w:rPr>
        <w:t xml:space="preserve"> ne</w:t>
      </w:r>
      <w:r w:rsidR="00B249BC" w:rsidRPr="00733D67">
        <w:rPr>
          <w:rFonts w:ascii="Calibri" w:hAnsi="Calibri" w:cs="Calibri"/>
          <w:color w:val="000000" w:themeColor="text1"/>
        </w:rPr>
        <w:t>p</w:t>
      </w:r>
      <w:r w:rsidRPr="00733D67">
        <w:rPr>
          <w:rFonts w:ascii="Calibri" w:hAnsi="Calibri" w:cs="Calibri"/>
          <w:color w:val="000000" w:themeColor="text1"/>
        </w:rPr>
        <w:t>rov</w:t>
      </w:r>
      <w:r w:rsidR="00B249BC" w:rsidRPr="00733D67">
        <w:rPr>
          <w:rFonts w:ascii="Calibri" w:hAnsi="Calibri" w:cs="Calibri"/>
          <w:color w:val="000000" w:themeColor="text1"/>
        </w:rPr>
        <w:t>edlo</w:t>
      </w:r>
      <w:r w:rsidRPr="00733D67">
        <w:rPr>
          <w:rFonts w:ascii="Calibri" w:hAnsi="Calibri" w:cs="Calibri"/>
          <w:color w:val="000000" w:themeColor="text1"/>
        </w:rPr>
        <w:t>, neboť to nepřipouštěl interní předpis (viz výše)</w:t>
      </w:r>
      <w:r w:rsidRPr="00733D67">
        <w:rPr>
          <w:rStyle w:val="Znakapoznpodarou"/>
          <w:rFonts w:ascii="Calibri" w:hAnsi="Calibri" w:cs="Calibri"/>
          <w:color w:val="000000" w:themeColor="text1"/>
        </w:rPr>
        <w:footnoteReference w:id="43"/>
      </w:r>
      <w:r w:rsidRPr="00733D67">
        <w:rPr>
          <w:rFonts w:ascii="Calibri" w:hAnsi="Calibri" w:cs="Calibri"/>
          <w:color w:val="000000" w:themeColor="text1"/>
        </w:rPr>
        <w:t xml:space="preserve">. Pořízení </w:t>
      </w:r>
      <w:r w:rsidR="00380B93" w:rsidRPr="00733D67">
        <w:rPr>
          <w:rFonts w:ascii="Calibri" w:hAnsi="Calibri" w:cs="Calibri"/>
          <w:color w:val="000000" w:themeColor="text1"/>
        </w:rPr>
        <w:t>ÚP v I. a IV. </w:t>
      </w:r>
      <w:r w:rsidRPr="00733D67">
        <w:rPr>
          <w:rFonts w:ascii="Calibri" w:hAnsi="Calibri" w:cs="Calibri"/>
          <w:color w:val="000000" w:themeColor="text1"/>
        </w:rPr>
        <w:t>etapě bylo realizováno</w:t>
      </w:r>
      <w:r w:rsidR="00864B9D" w:rsidRPr="00733D67">
        <w:rPr>
          <w:rFonts w:ascii="Calibri" w:hAnsi="Calibri" w:cs="Calibri"/>
          <w:color w:val="000000" w:themeColor="text1"/>
        </w:rPr>
        <w:t xml:space="preserve"> s využitím ustanovení § 18 odst. 1 písm. c), resp. </w:t>
      </w:r>
      <w:r w:rsidR="00ED4EAC" w:rsidRPr="00733D67">
        <w:rPr>
          <w:rFonts w:ascii="Calibri" w:hAnsi="Calibri" w:cs="Calibri"/>
          <w:color w:val="000000" w:themeColor="text1"/>
        </w:rPr>
        <w:t xml:space="preserve">ustanovení </w:t>
      </w:r>
      <w:r w:rsidR="00864B9D" w:rsidRPr="00733D67">
        <w:rPr>
          <w:rFonts w:ascii="Calibri" w:hAnsi="Calibri" w:cs="Calibri"/>
          <w:color w:val="000000" w:themeColor="text1"/>
        </w:rPr>
        <w:t>§ 18 odst. 1 písm. b) zákona o veřejných zakázkách</w:t>
      </w:r>
      <w:bookmarkStart w:id="24" w:name="par18"/>
      <w:r w:rsidR="00864B9D" w:rsidRPr="00733D67">
        <w:rPr>
          <w:rFonts w:ascii="Calibri" w:hAnsi="Calibri" w:cs="Calibri"/>
          <w:color w:val="000000" w:themeColor="text1"/>
        </w:rPr>
        <w:t xml:space="preserve"> (obecné výjimky z působnosti zákona</w:t>
      </w:r>
      <w:bookmarkEnd w:id="24"/>
      <w:r w:rsidR="00864B9D" w:rsidRPr="00733D67">
        <w:rPr>
          <w:rFonts w:ascii="Calibri" w:hAnsi="Calibri" w:cs="Calibri"/>
          <w:color w:val="000000" w:themeColor="text1"/>
        </w:rPr>
        <w:t>)</w:t>
      </w:r>
      <w:r w:rsidRPr="00733D67">
        <w:rPr>
          <w:rFonts w:ascii="Calibri" w:hAnsi="Calibri" w:cs="Calibri"/>
          <w:color w:val="000000" w:themeColor="text1"/>
        </w:rPr>
        <w:t xml:space="preserve">, </w:t>
      </w:r>
      <w:r w:rsidR="00733D67">
        <w:rPr>
          <w:rFonts w:ascii="Calibri" w:hAnsi="Calibri" w:cs="Calibri"/>
          <w:color w:val="000000" w:themeColor="text1"/>
        </w:rPr>
        <w:t>zadání II. a III. </w:t>
      </w:r>
      <w:r w:rsidRPr="00733D67">
        <w:rPr>
          <w:rFonts w:ascii="Calibri" w:hAnsi="Calibri" w:cs="Calibri"/>
          <w:color w:val="000000" w:themeColor="text1"/>
        </w:rPr>
        <w:t>etapy dodavateli vybranému v I. etapě proběhlo s využitím jednacího řízení bez uveřejnění</w:t>
      </w:r>
      <w:r w:rsidRPr="00733D67">
        <w:rPr>
          <w:rStyle w:val="Znakapoznpodarou"/>
          <w:rFonts w:ascii="Calibri" w:hAnsi="Calibri" w:cs="Calibri"/>
          <w:color w:val="000000" w:themeColor="text1"/>
        </w:rPr>
        <w:footnoteReference w:id="44"/>
      </w:r>
      <w:r w:rsidRPr="00733D67">
        <w:rPr>
          <w:rFonts w:ascii="Calibri" w:hAnsi="Calibri" w:cs="Calibri"/>
          <w:color w:val="000000" w:themeColor="text1"/>
        </w:rPr>
        <w:t xml:space="preserve">. </w:t>
      </w:r>
    </w:p>
    <w:p w14:paraId="54A76CBE" w14:textId="77777777" w:rsidR="006C42DA" w:rsidRPr="00733D67" w:rsidRDefault="00AE0D59" w:rsidP="00733D67">
      <w:pPr>
        <w:pStyle w:val="Bezmezer"/>
        <w:spacing w:before="120" w:after="120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733D67">
        <w:rPr>
          <w:rFonts w:ascii="Calibri" w:hAnsi="Calibri" w:cs="Calibri"/>
          <w:color w:val="000000" w:themeColor="text1"/>
          <w:sz w:val="24"/>
          <w:szCs w:val="24"/>
        </w:rPr>
        <w:t>MO zvolilo pro I. etapu (2010</w:t>
      </w:r>
      <w:r w:rsidR="00C45F9B" w:rsidRPr="00733D67">
        <w:rPr>
          <w:rFonts w:ascii="Calibri" w:hAnsi="Calibri" w:cs="Calibri"/>
          <w:color w:val="000000" w:themeColor="text1"/>
          <w:sz w:val="24"/>
          <w:szCs w:val="24"/>
        </w:rPr>
        <w:t>–</w:t>
      </w:r>
      <w:r w:rsidRPr="00733D67">
        <w:rPr>
          <w:rFonts w:ascii="Calibri" w:hAnsi="Calibri" w:cs="Calibri"/>
          <w:color w:val="000000" w:themeColor="text1"/>
          <w:sz w:val="24"/>
          <w:szCs w:val="24"/>
        </w:rPr>
        <w:t>2013) obdobu otevřeného zadávacího řízení, preference pořízení ÚP z produkce národního výrobce však byla zřejmá z předkládací zprávy k usnesení vlády č. 1443/2009</w:t>
      </w:r>
      <w:r w:rsidRPr="00733D67">
        <w:rPr>
          <w:rStyle w:val="Znakapoznpodarou"/>
          <w:rFonts w:ascii="Calibri" w:hAnsi="Calibri" w:cs="Calibri"/>
          <w:color w:val="000000" w:themeColor="text1"/>
          <w:sz w:val="24"/>
          <w:szCs w:val="24"/>
        </w:rPr>
        <w:footnoteReference w:id="45"/>
      </w:r>
      <w:r w:rsidRPr="00733D67">
        <w:rPr>
          <w:rFonts w:ascii="Calibri" w:hAnsi="Calibri" w:cs="Calibri"/>
          <w:color w:val="000000" w:themeColor="text1"/>
          <w:sz w:val="24"/>
          <w:szCs w:val="24"/>
        </w:rPr>
        <w:t xml:space="preserve">. Přestože </w:t>
      </w:r>
      <w:r w:rsidR="002C61C4" w:rsidRPr="00733D67">
        <w:rPr>
          <w:rFonts w:ascii="Calibri" w:hAnsi="Calibri" w:cs="Calibri"/>
          <w:color w:val="000000" w:themeColor="text1"/>
          <w:sz w:val="24"/>
          <w:szCs w:val="24"/>
        </w:rPr>
        <w:t xml:space="preserve">si zadávací dokumentaci </w:t>
      </w:r>
      <w:r w:rsidRPr="00733D67">
        <w:rPr>
          <w:rFonts w:ascii="Calibri" w:hAnsi="Calibri" w:cs="Calibri"/>
          <w:color w:val="000000" w:themeColor="text1"/>
          <w:sz w:val="24"/>
          <w:szCs w:val="24"/>
        </w:rPr>
        <w:t>vyžádalo celkem 27 uchazečů, nabídku podali pouze dva. Jedním z důvodů minimálního počtu obdržených nabídek mohla být i 30denní lhůta (od 18. listopadu do 18. prosince 2009) stanovená pro podání nabídek</w:t>
      </w:r>
      <w:r w:rsidR="00D913D8" w:rsidRPr="00733D67">
        <w:rPr>
          <w:rFonts w:ascii="Calibri" w:hAnsi="Calibri" w:cs="Calibri"/>
          <w:color w:val="000000" w:themeColor="text1"/>
          <w:sz w:val="24"/>
          <w:szCs w:val="24"/>
        </w:rPr>
        <w:t>. Tu </w:t>
      </w:r>
      <w:r w:rsidRPr="00733D67">
        <w:rPr>
          <w:rFonts w:ascii="Calibri" w:hAnsi="Calibri" w:cs="Calibri"/>
          <w:color w:val="000000" w:themeColor="text1"/>
          <w:sz w:val="24"/>
          <w:szCs w:val="24"/>
        </w:rPr>
        <w:t xml:space="preserve">hodnotí NKÚ jako krátkou, neboť předmětem </w:t>
      </w:r>
      <w:r w:rsidR="00864B9D" w:rsidRPr="00733D67">
        <w:rPr>
          <w:rFonts w:ascii="Calibri" w:hAnsi="Calibri" w:cs="Calibri"/>
          <w:color w:val="000000" w:themeColor="text1"/>
          <w:sz w:val="24"/>
          <w:szCs w:val="24"/>
        </w:rPr>
        <w:t xml:space="preserve">veřejné </w:t>
      </w:r>
      <w:r w:rsidRPr="00733D67">
        <w:rPr>
          <w:rFonts w:ascii="Calibri" w:hAnsi="Calibri" w:cs="Calibri"/>
          <w:color w:val="000000" w:themeColor="text1"/>
          <w:sz w:val="24"/>
          <w:szCs w:val="24"/>
        </w:rPr>
        <w:t xml:space="preserve">zakázky nebyla pouze zbraň, ale celý zbraňový komplet obsahující kromě vlastní zbraně také zejména optiku, optoelektroniku </w:t>
      </w:r>
      <w:r w:rsidRPr="00733D67">
        <w:rPr>
          <w:rFonts w:ascii="Calibri" w:hAnsi="Calibri" w:cs="Calibri"/>
          <w:color w:val="000000" w:themeColor="text1"/>
          <w:sz w:val="24"/>
          <w:szCs w:val="24"/>
        </w:rPr>
        <w:lastRenderedPageBreak/>
        <w:t>a munici. Takto široký sortiment vojenského materiálu nebývá obvykle v portfoliu výrobců zbraní, uchazeč tedy musel uskutečnit řadu jednání s dalšími výrobci a provést nutné ověřovací zkoušky, aby mohl komplexní nabídku podat. Zahraniční uchazeč musel kromě výše uvedeného splnit i náročné podmínky tzv. offsetových programů</w:t>
      </w:r>
      <w:r w:rsidRPr="00733D67">
        <w:rPr>
          <w:rStyle w:val="Znakapoznpodarou"/>
          <w:rFonts w:ascii="Calibri" w:hAnsi="Calibri" w:cs="Calibri"/>
          <w:color w:val="000000" w:themeColor="text1"/>
          <w:sz w:val="24"/>
          <w:szCs w:val="24"/>
        </w:rPr>
        <w:footnoteReference w:id="46"/>
      </w:r>
      <w:r w:rsidRPr="00733D67">
        <w:rPr>
          <w:rFonts w:ascii="Calibri" w:hAnsi="Calibri" w:cs="Calibri"/>
          <w:color w:val="000000" w:themeColor="text1"/>
          <w:sz w:val="24"/>
          <w:szCs w:val="24"/>
        </w:rPr>
        <w:t xml:space="preserve">. </w:t>
      </w:r>
    </w:p>
    <w:p w14:paraId="40043707" w14:textId="7A1484BB" w:rsidR="00AE0D59" w:rsidRPr="00733D67" w:rsidRDefault="00AE0D59" w:rsidP="00733D67">
      <w:pPr>
        <w:pStyle w:val="Bezmezer"/>
        <w:spacing w:before="120" w:after="120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733D67">
        <w:rPr>
          <w:rFonts w:ascii="Calibri" w:hAnsi="Calibri" w:cs="Calibri"/>
          <w:color w:val="000000" w:themeColor="text1"/>
          <w:sz w:val="24"/>
          <w:szCs w:val="24"/>
        </w:rPr>
        <w:t>Nabídky byly hodnoceny podle kritéria ekonomické výhodnosti</w:t>
      </w:r>
      <w:r w:rsidR="00794283" w:rsidRPr="00733D67">
        <w:rPr>
          <w:rStyle w:val="Znakapoznpodarou"/>
          <w:rFonts w:ascii="Calibri" w:hAnsi="Calibri" w:cs="Calibri"/>
          <w:color w:val="000000" w:themeColor="text1"/>
          <w:sz w:val="24"/>
          <w:szCs w:val="24"/>
        </w:rPr>
        <w:footnoteReference w:id="47"/>
      </w:r>
      <w:r w:rsidRPr="00733D67">
        <w:rPr>
          <w:rFonts w:ascii="Calibri" w:hAnsi="Calibri" w:cs="Calibri"/>
          <w:color w:val="000000" w:themeColor="text1"/>
          <w:sz w:val="24"/>
          <w:szCs w:val="24"/>
        </w:rPr>
        <w:t>.</w:t>
      </w:r>
      <w:r w:rsidR="006C42DA" w:rsidRPr="00733D67">
        <w:rPr>
          <w:rFonts w:ascii="Calibri" w:hAnsi="Calibri" w:cs="Calibri"/>
          <w:color w:val="000000" w:themeColor="text1"/>
          <w:sz w:val="24"/>
          <w:szCs w:val="24"/>
        </w:rPr>
        <w:t xml:space="preserve"> O vítězném uchazeči rozhodlo bodové hodnocení dílčího kritéria účinného dostřelu. V důsledku toho </w:t>
      </w:r>
      <w:r w:rsidRPr="00733D67">
        <w:rPr>
          <w:rFonts w:ascii="Calibri" w:hAnsi="Calibri" w:cs="Calibri"/>
          <w:color w:val="000000" w:themeColor="text1"/>
          <w:sz w:val="24"/>
          <w:szCs w:val="24"/>
        </w:rPr>
        <w:t>MO vybralo nabídku s vyšší cenou a vyšší hmotností</w:t>
      </w:r>
      <w:r w:rsidRPr="00733D67">
        <w:rPr>
          <w:rStyle w:val="Znakapoznpodarou"/>
          <w:rFonts w:ascii="Calibri" w:hAnsi="Calibri" w:cs="Calibri"/>
          <w:color w:val="000000" w:themeColor="text1"/>
          <w:sz w:val="24"/>
          <w:szCs w:val="24"/>
        </w:rPr>
        <w:footnoteReference w:id="48"/>
      </w:r>
      <w:r w:rsidR="006C42DA" w:rsidRPr="00733D67">
        <w:rPr>
          <w:rFonts w:ascii="Calibri" w:hAnsi="Calibri" w:cs="Calibri"/>
          <w:color w:val="000000" w:themeColor="text1"/>
          <w:sz w:val="24"/>
          <w:szCs w:val="24"/>
        </w:rPr>
        <w:t>.</w:t>
      </w:r>
      <w:r w:rsidRPr="00733D67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6C42DA" w:rsidRPr="00733D67">
        <w:rPr>
          <w:rFonts w:ascii="Calibri" w:hAnsi="Calibri" w:cs="Calibri"/>
          <w:color w:val="000000" w:themeColor="text1"/>
          <w:sz w:val="24"/>
          <w:szCs w:val="24"/>
        </w:rPr>
        <w:t>D</w:t>
      </w:r>
      <w:r w:rsidR="001F17E0" w:rsidRPr="00733D67">
        <w:rPr>
          <w:rFonts w:ascii="Calibri" w:hAnsi="Calibri" w:cs="Calibri"/>
          <w:color w:val="000000" w:themeColor="text1"/>
          <w:sz w:val="24"/>
          <w:szCs w:val="24"/>
        </w:rPr>
        <w:t>eklarované kri</w:t>
      </w:r>
      <w:r w:rsidRPr="00733D67">
        <w:rPr>
          <w:rFonts w:ascii="Calibri" w:hAnsi="Calibri" w:cs="Calibri"/>
          <w:color w:val="000000" w:themeColor="text1"/>
          <w:sz w:val="24"/>
          <w:szCs w:val="24"/>
        </w:rPr>
        <w:t xml:space="preserve">térium </w:t>
      </w:r>
      <w:r w:rsidR="006C42DA" w:rsidRPr="00733D67">
        <w:rPr>
          <w:rFonts w:ascii="Calibri" w:hAnsi="Calibri" w:cs="Calibri"/>
          <w:color w:val="000000" w:themeColor="text1"/>
          <w:sz w:val="24"/>
          <w:szCs w:val="24"/>
        </w:rPr>
        <w:t xml:space="preserve">účinného dostřelu </w:t>
      </w:r>
      <w:r w:rsidRPr="00733D67">
        <w:rPr>
          <w:rFonts w:ascii="Calibri" w:hAnsi="Calibri" w:cs="Calibri"/>
          <w:color w:val="000000" w:themeColor="text1"/>
          <w:sz w:val="24"/>
          <w:szCs w:val="24"/>
        </w:rPr>
        <w:t>bylo ověřeno až po</w:t>
      </w:r>
      <w:r w:rsidR="00794283" w:rsidRPr="00733D67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733D67">
        <w:rPr>
          <w:rFonts w:ascii="Calibri" w:hAnsi="Calibri" w:cs="Calibri"/>
          <w:color w:val="000000" w:themeColor="text1"/>
          <w:sz w:val="24"/>
          <w:szCs w:val="24"/>
        </w:rPr>
        <w:t xml:space="preserve">uzavření kupní smlouvy, kdy </w:t>
      </w:r>
      <w:r w:rsidR="00C038DD">
        <w:rPr>
          <w:rFonts w:ascii="Calibri" w:hAnsi="Calibri" w:cs="Calibri"/>
          <w:color w:val="000000" w:themeColor="text1"/>
          <w:sz w:val="24"/>
          <w:szCs w:val="24"/>
        </w:rPr>
        <w:t>k úspěšnému absolvování zkoušky</w:t>
      </w:r>
      <w:r w:rsidRPr="00733D67">
        <w:rPr>
          <w:rFonts w:ascii="Calibri" w:hAnsi="Calibri" w:cs="Calibri"/>
          <w:color w:val="000000" w:themeColor="text1"/>
          <w:sz w:val="24"/>
          <w:szCs w:val="24"/>
        </w:rPr>
        <w:t xml:space="preserve"> stačilo provést střelbu s přesností zásahů 50 %.</w:t>
      </w:r>
    </w:p>
    <w:p w14:paraId="7CBFD17E" w14:textId="35CF1538" w:rsidR="00AE0D59" w:rsidRPr="00733D67" w:rsidRDefault="00AE0D59" w:rsidP="00733D67">
      <w:pPr>
        <w:pStyle w:val="Bezmezer"/>
        <w:spacing w:before="120" w:after="120"/>
        <w:jc w:val="both"/>
        <w:rPr>
          <w:rFonts w:ascii="Calibri" w:hAnsi="Calibri" w:cs="Calibri"/>
          <w:color w:val="000000" w:themeColor="text1"/>
          <w:sz w:val="24"/>
          <w:szCs w:val="24"/>
          <w:lang w:eastAsia="en-US"/>
        </w:rPr>
      </w:pPr>
      <w:r w:rsidRPr="00733D67">
        <w:rPr>
          <w:rFonts w:ascii="Calibri" w:hAnsi="Calibri" w:cs="Calibri"/>
          <w:color w:val="000000" w:themeColor="text1"/>
          <w:sz w:val="24"/>
          <w:szCs w:val="24"/>
          <w:lang w:eastAsia="en-US"/>
        </w:rPr>
        <w:t>Testování ÚP vojáky AČR probíhalo před zavedení</w:t>
      </w:r>
      <w:r w:rsidR="009D68B5">
        <w:rPr>
          <w:rFonts w:ascii="Calibri" w:hAnsi="Calibri" w:cs="Calibri"/>
          <w:color w:val="000000" w:themeColor="text1"/>
          <w:sz w:val="24"/>
          <w:szCs w:val="24"/>
          <w:lang w:eastAsia="en-US"/>
        </w:rPr>
        <w:t>m</w:t>
      </w:r>
      <w:r w:rsidRPr="00733D67">
        <w:rPr>
          <w:rFonts w:ascii="Calibri" w:hAnsi="Calibri" w:cs="Calibri"/>
          <w:color w:val="000000" w:themeColor="text1"/>
          <w:sz w:val="24"/>
          <w:szCs w:val="24"/>
          <w:lang w:eastAsia="en-US"/>
        </w:rPr>
        <w:t xml:space="preserve"> zbraně do užívání</w:t>
      </w:r>
      <w:r w:rsidR="009D68B5">
        <w:rPr>
          <w:rFonts w:ascii="Calibri" w:hAnsi="Calibri" w:cs="Calibri"/>
          <w:color w:val="000000" w:themeColor="text1"/>
          <w:sz w:val="24"/>
          <w:szCs w:val="24"/>
          <w:lang w:eastAsia="en-US"/>
        </w:rPr>
        <w:t xml:space="preserve"> i po něm</w:t>
      </w:r>
      <w:r w:rsidRPr="00733D67">
        <w:rPr>
          <w:rFonts w:ascii="Calibri" w:hAnsi="Calibri" w:cs="Calibri"/>
          <w:color w:val="000000" w:themeColor="text1"/>
          <w:sz w:val="24"/>
          <w:szCs w:val="24"/>
          <w:lang w:eastAsia="en-US"/>
        </w:rPr>
        <w:t xml:space="preserve">, přičemž v obou fázích se vyskytovaly četné problémy. Některé dílčí kontrolní zkoušky před zavedením zbraně musely být provedeny opakovaně, a aby se dosáhlo shody, musel dodavatel ÚP upravit. </w:t>
      </w:r>
      <w:r w:rsidRPr="00733D67">
        <w:rPr>
          <w:rFonts w:ascii="Calibri" w:hAnsi="Calibri" w:cs="Calibri"/>
          <w:color w:val="000000" w:themeColor="text1"/>
          <w:sz w:val="24"/>
          <w:szCs w:val="24"/>
        </w:rPr>
        <w:t xml:space="preserve">Přestože </w:t>
      </w:r>
      <w:r w:rsidRPr="00733D67">
        <w:rPr>
          <w:rFonts w:ascii="Calibri" w:hAnsi="Calibri" w:cs="Calibri"/>
          <w:color w:val="000000" w:themeColor="text1"/>
          <w:sz w:val="24"/>
          <w:szCs w:val="24"/>
          <w:lang w:eastAsia="en-US"/>
        </w:rPr>
        <w:t xml:space="preserve">podle uzavřené kupní smlouvy měly první dodávky zbraní původně proběhnout do konce listopadu 2010, byly první ÚP dodány až v červenci roku 2011. Po zahájení dodávek nastaly problémy zejména </w:t>
      </w:r>
      <w:r w:rsidR="009D68B5">
        <w:rPr>
          <w:rFonts w:ascii="Calibri" w:hAnsi="Calibri" w:cs="Calibri"/>
          <w:color w:val="000000" w:themeColor="text1"/>
          <w:sz w:val="24"/>
          <w:szCs w:val="24"/>
          <w:lang w:eastAsia="en-US"/>
        </w:rPr>
        <w:t>se spolehlivostí</w:t>
      </w:r>
      <w:r w:rsidRPr="00733D67">
        <w:rPr>
          <w:rFonts w:ascii="Calibri" w:hAnsi="Calibri" w:cs="Calibri"/>
          <w:color w:val="000000" w:themeColor="text1"/>
          <w:sz w:val="24"/>
          <w:szCs w:val="24"/>
          <w:lang w:eastAsia="en-US"/>
        </w:rPr>
        <w:t xml:space="preserve"> zbraně. MO nevyužilo možnost vrátit</w:t>
      </w:r>
      <w:r w:rsidR="009D68B5" w:rsidRPr="009D68B5">
        <w:rPr>
          <w:rFonts w:ascii="Calibri" w:hAnsi="Calibri" w:cs="Calibri"/>
          <w:color w:val="000000" w:themeColor="text1"/>
          <w:sz w:val="24"/>
          <w:szCs w:val="24"/>
          <w:lang w:eastAsia="en-US"/>
        </w:rPr>
        <w:t xml:space="preserve"> </w:t>
      </w:r>
      <w:r w:rsidR="009D68B5" w:rsidRPr="00733D67">
        <w:rPr>
          <w:rFonts w:ascii="Calibri" w:hAnsi="Calibri" w:cs="Calibri"/>
          <w:color w:val="000000" w:themeColor="text1"/>
          <w:sz w:val="24"/>
          <w:szCs w:val="24"/>
          <w:lang w:eastAsia="en-US"/>
        </w:rPr>
        <w:t>ÚP</w:t>
      </w:r>
      <w:r w:rsidRPr="00733D67">
        <w:rPr>
          <w:rFonts w:ascii="Calibri" w:hAnsi="Calibri" w:cs="Calibri"/>
          <w:color w:val="000000" w:themeColor="text1"/>
          <w:sz w:val="24"/>
          <w:szCs w:val="24"/>
          <w:lang w:eastAsia="en-US"/>
        </w:rPr>
        <w:t xml:space="preserve"> dodavateli, odstoupit od smlouvy a </w:t>
      </w:r>
      <w:r w:rsidR="001F17E0" w:rsidRPr="00733D67">
        <w:rPr>
          <w:rFonts w:ascii="Calibri" w:hAnsi="Calibri" w:cs="Calibri"/>
          <w:color w:val="000000" w:themeColor="text1"/>
          <w:sz w:val="24"/>
          <w:szCs w:val="24"/>
          <w:lang w:eastAsia="en-US"/>
        </w:rPr>
        <w:t>vybrat</w:t>
      </w:r>
      <w:r w:rsidRPr="00733D67">
        <w:rPr>
          <w:rFonts w:ascii="Calibri" w:hAnsi="Calibri" w:cs="Calibri"/>
          <w:color w:val="000000" w:themeColor="text1"/>
          <w:sz w:val="24"/>
          <w:szCs w:val="24"/>
          <w:lang w:eastAsia="en-US"/>
        </w:rPr>
        <w:t xml:space="preserve"> nového dodavatele, ale sestavilo tým odborníků, který pr</w:t>
      </w:r>
      <w:r w:rsidR="009D68B5">
        <w:rPr>
          <w:rFonts w:ascii="Calibri" w:hAnsi="Calibri" w:cs="Calibri"/>
          <w:color w:val="000000" w:themeColor="text1"/>
          <w:sz w:val="24"/>
          <w:szCs w:val="24"/>
          <w:lang w:eastAsia="en-US"/>
        </w:rPr>
        <w:t>oblémy postupně v součinnosti s </w:t>
      </w:r>
      <w:r w:rsidRPr="00733D67">
        <w:rPr>
          <w:rFonts w:ascii="Calibri" w:hAnsi="Calibri" w:cs="Calibri"/>
          <w:color w:val="000000" w:themeColor="text1"/>
          <w:sz w:val="24"/>
          <w:szCs w:val="24"/>
          <w:lang w:eastAsia="en-US"/>
        </w:rPr>
        <w:t>dodavatelem řešil. Zdokonalování parametrů a technických řešení</w:t>
      </w:r>
      <w:r w:rsidRPr="00733D67">
        <w:rPr>
          <w:rStyle w:val="Znakapoznpodarou"/>
          <w:rFonts w:ascii="Calibri" w:hAnsi="Calibri" w:cs="Calibri"/>
          <w:color w:val="000000" w:themeColor="text1"/>
          <w:sz w:val="24"/>
          <w:szCs w:val="24"/>
          <w:lang w:eastAsia="en-US"/>
        </w:rPr>
        <w:footnoteReference w:id="49"/>
      </w:r>
      <w:r w:rsidRPr="00733D67">
        <w:rPr>
          <w:rFonts w:ascii="Calibri" w:hAnsi="Calibri" w:cs="Calibri"/>
          <w:color w:val="000000" w:themeColor="text1"/>
          <w:sz w:val="24"/>
          <w:szCs w:val="24"/>
          <w:lang w:eastAsia="en-US"/>
        </w:rPr>
        <w:t xml:space="preserve"> ÚP tak bylo prováděno několik let po zavedení zbraně do užívání</w:t>
      </w:r>
      <w:r w:rsidR="00F934DE" w:rsidRPr="00733D67">
        <w:rPr>
          <w:rFonts w:ascii="Calibri" w:hAnsi="Calibri" w:cs="Calibri"/>
          <w:color w:val="000000" w:themeColor="text1"/>
          <w:sz w:val="24"/>
          <w:szCs w:val="24"/>
          <w:lang w:eastAsia="en-US"/>
        </w:rPr>
        <w:t>.</w:t>
      </w:r>
      <w:r w:rsidRPr="00733D67">
        <w:rPr>
          <w:rFonts w:ascii="Calibri" w:hAnsi="Calibri" w:cs="Calibri"/>
          <w:color w:val="000000" w:themeColor="text1"/>
          <w:sz w:val="24"/>
          <w:szCs w:val="24"/>
          <w:lang w:eastAsia="en-US"/>
        </w:rPr>
        <w:t xml:space="preserve"> </w:t>
      </w:r>
    </w:p>
    <w:p w14:paraId="65D4D9B0" w14:textId="474CA194" w:rsidR="00AE0D59" w:rsidRPr="00733D67" w:rsidRDefault="00AE0D59" w:rsidP="00733D67">
      <w:pPr>
        <w:spacing w:before="120" w:after="120"/>
        <w:jc w:val="both"/>
        <w:rPr>
          <w:rFonts w:ascii="Calibri" w:hAnsi="Calibri" w:cs="Calibri"/>
          <w:color w:val="000000" w:themeColor="text1"/>
        </w:rPr>
      </w:pPr>
      <w:r w:rsidRPr="00733D67">
        <w:rPr>
          <w:rFonts w:ascii="Calibri" w:hAnsi="Calibri" w:cs="Calibri"/>
          <w:color w:val="000000" w:themeColor="text1"/>
        </w:rPr>
        <w:t xml:space="preserve">V polovině roku 2013 schválil výše uvedený tým odborníků upravenou specifikaci </w:t>
      </w:r>
      <w:r w:rsidRPr="00733D67">
        <w:rPr>
          <w:rFonts w:ascii="Calibri" w:hAnsi="Calibri" w:cs="Calibri"/>
          <w:color w:val="000000" w:themeColor="text1"/>
          <w:lang w:eastAsia="en-US"/>
        </w:rPr>
        <w:t>ÚP</w:t>
      </w:r>
      <w:r w:rsidRPr="00733D67">
        <w:rPr>
          <w:rFonts w:ascii="Calibri" w:hAnsi="Calibri" w:cs="Calibri"/>
          <w:color w:val="000000" w:themeColor="text1"/>
        </w:rPr>
        <w:t xml:space="preserve"> pořizovan</w:t>
      </w:r>
      <w:r w:rsidR="002C61C4" w:rsidRPr="00733D67">
        <w:rPr>
          <w:rFonts w:ascii="Calibri" w:hAnsi="Calibri" w:cs="Calibri"/>
          <w:color w:val="000000" w:themeColor="text1"/>
        </w:rPr>
        <w:t>ých</w:t>
      </w:r>
      <w:r w:rsidRPr="00733D67">
        <w:rPr>
          <w:rFonts w:ascii="Calibri" w:hAnsi="Calibri" w:cs="Calibri"/>
          <w:color w:val="000000" w:themeColor="text1"/>
        </w:rPr>
        <w:t xml:space="preserve"> ve II. a III. etapě přezbrojení (2014</w:t>
      </w:r>
      <w:r w:rsidR="007D68C1" w:rsidRPr="00733D67">
        <w:rPr>
          <w:rFonts w:ascii="Calibri" w:hAnsi="Calibri" w:cs="Calibri"/>
          <w:color w:val="000000" w:themeColor="text1"/>
        </w:rPr>
        <w:t>–</w:t>
      </w:r>
      <w:r w:rsidRPr="00733D67">
        <w:rPr>
          <w:rFonts w:ascii="Calibri" w:hAnsi="Calibri" w:cs="Calibri"/>
          <w:color w:val="000000" w:themeColor="text1"/>
        </w:rPr>
        <w:t xml:space="preserve">2015). Ta obsahovala 13 úprav zbraně, mezi nimi byl i požadavek </w:t>
      </w:r>
      <w:r w:rsidR="00E7762A" w:rsidRPr="00733D67">
        <w:rPr>
          <w:rFonts w:ascii="Calibri" w:hAnsi="Calibri" w:cs="Calibri"/>
          <w:color w:val="000000" w:themeColor="text1"/>
        </w:rPr>
        <w:t>na zásobníkovou</w:t>
      </w:r>
      <w:r w:rsidRPr="00733D67">
        <w:rPr>
          <w:rFonts w:ascii="Calibri" w:hAnsi="Calibri" w:cs="Calibri"/>
          <w:color w:val="000000" w:themeColor="text1"/>
        </w:rPr>
        <w:t xml:space="preserve"> šacht</w:t>
      </w:r>
      <w:r w:rsidR="00E7762A" w:rsidRPr="00733D67">
        <w:rPr>
          <w:rFonts w:ascii="Calibri" w:hAnsi="Calibri" w:cs="Calibri"/>
          <w:color w:val="000000" w:themeColor="text1"/>
        </w:rPr>
        <w:t>u</w:t>
      </w:r>
      <w:r w:rsidRPr="00733D67">
        <w:rPr>
          <w:rFonts w:ascii="Calibri" w:hAnsi="Calibri" w:cs="Calibri"/>
          <w:color w:val="000000" w:themeColor="text1"/>
        </w:rPr>
        <w:t xml:space="preserve"> </w:t>
      </w:r>
      <w:r w:rsidR="00074AA6" w:rsidRPr="00733D67">
        <w:rPr>
          <w:rFonts w:ascii="Calibri" w:hAnsi="Calibri" w:cs="Calibri"/>
          <w:color w:val="000000" w:themeColor="text1"/>
        </w:rPr>
        <w:t xml:space="preserve">kompatibilní </w:t>
      </w:r>
      <w:r w:rsidRPr="00733D67">
        <w:rPr>
          <w:rFonts w:ascii="Calibri" w:hAnsi="Calibri" w:cs="Calibri"/>
          <w:color w:val="000000" w:themeColor="text1"/>
        </w:rPr>
        <w:t>se zásobníky NATO</w:t>
      </w:r>
      <w:r w:rsidRPr="00733D67">
        <w:rPr>
          <w:rStyle w:val="Znakapoznpodarou"/>
          <w:rFonts w:ascii="Calibri" w:hAnsi="Calibri" w:cs="Calibri"/>
          <w:color w:val="000000" w:themeColor="text1"/>
        </w:rPr>
        <w:footnoteReference w:id="50"/>
      </w:r>
      <w:r w:rsidRPr="00733D67">
        <w:rPr>
          <w:rFonts w:ascii="Calibri" w:hAnsi="Calibri" w:cs="Calibri"/>
          <w:color w:val="000000" w:themeColor="text1"/>
        </w:rPr>
        <w:t xml:space="preserve">. MO sice při zadání veřejné zakázky deklarovalo obecný požadavek na kompatibilitu se zbraněmi armád NATO, avšak konkrétní požadavky na zásobníky v zadávací dokumentaci nespecifikovalo. Požadavek na změnu zásobníkové šachty vyplynul až následně z vojskových zkoušek (konec roku 2010) a rovněž z nasazení </w:t>
      </w:r>
      <w:r w:rsidRPr="00733D67">
        <w:rPr>
          <w:rFonts w:ascii="Calibri" w:hAnsi="Calibri" w:cs="Calibri"/>
          <w:color w:val="000000" w:themeColor="text1"/>
          <w:lang w:eastAsia="en-US"/>
        </w:rPr>
        <w:t>ÚP</w:t>
      </w:r>
      <w:r w:rsidRPr="00733D67">
        <w:rPr>
          <w:rFonts w:ascii="Calibri" w:hAnsi="Calibri" w:cs="Calibri"/>
          <w:color w:val="000000" w:themeColor="text1"/>
        </w:rPr>
        <w:t xml:space="preserve"> v Afghánistánu, kde byly kompatibilní zásobníky nutností. Dodávky </w:t>
      </w:r>
      <w:r w:rsidRPr="00733D67">
        <w:rPr>
          <w:rFonts w:ascii="Calibri" w:hAnsi="Calibri" w:cs="Calibri"/>
          <w:color w:val="000000" w:themeColor="text1"/>
          <w:lang w:eastAsia="en-US"/>
        </w:rPr>
        <w:t>ÚP</w:t>
      </w:r>
      <w:r w:rsidRPr="00733D67">
        <w:rPr>
          <w:rFonts w:ascii="Calibri" w:hAnsi="Calibri" w:cs="Calibri"/>
          <w:color w:val="000000" w:themeColor="text1"/>
        </w:rPr>
        <w:t xml:space="preserve"> v I. etapě tak obsahovaly (až na posledních 200 ÚP) nekompatibilní zásobníky, případná výměna u 7 737 </w:t>
      </w:r>
      <w:r w:rsidRPr="00733D67">
        <w:rPr>
          <w:rFonts w:ascii="Calibri" w:hAnsi="Calibri" w:cs="Calibri"/>
          <w:color w:val="000000" w:themeColor="text1"/>
          <w:lang w:eastAsia="en-US"/>
        </w:rPr>
        <w:t>ÚP</w:t>
      </w:r>
      <w:r w:rsidRPr="00733D67">
        <w:rPr>
          <w:rFonts w:ascii="Calibri" w:hAnsi="Calibri" w:cs="Calibri"/>
          <w:color w:val="000000" w:themeColor="text1"/>
        </w:rPr>
        <w:t xml:space="preserve"> by dle odhadu NKÚ mohla vyžadovat jen za materiál vynaložení prostředků SR ve výši cca 36 mil. Kč. </w:t>
      </w:r>
    </w:p>
    <w:p w14:paraId="31B02C26" w14:textId="646DC61E" w:rsidR="00AE0D59" w:rsidRPr="00733D67" w:rsidRDefault="00AE0D59" w:rsidP="00733D67">
      <w:pPr>
        <w:spacing w:before="120" w:after="120"/>
        <w:jc w:val="both"/>
        <w:rPr>
          <w:rFonts w:ascii="Calibri" w:hAnsi="Calibri" w:cs="Calibri"/>
          <w:color w:val="000000" w:themeColor="text1"/>
        </w:rPr>
      </w:pPr>
      <w:r w:rsidRPr="00733D67">
        <w:rPr>
          <w:rFonts w:ascii="Calibri" w:hAnsi="Calibri" w:cs="Calibri"/>
          <w:color w:val="000000" w:themeColor="text1"/>
        </w:rPr>
        <w:t xml:space="preserve">Dodávky </w:t>
      </w:r>
      <w:r w:rsidRPr="00733D67">
        <w:rPr>
          <w:rFonts w:ascii="Calibri" w:hAnsi="Calibri" w:cs="Calibri"/>
          <w:color w:val="000000" w:themeColor="text1"/>
          <w:lang w:eastAsia="en-US"/>
        </w:rPr>
        <w:t>ÚP</w:t>
      </w:r>
      <w:r w:rsidRPr="00733D67">
        <w:rPr>
          <w:rFonts w:ascii="Calibri" w:hAnsi="Calibri" w:cs="Calibri"/>
          <w:color w:val="000000" w:themeColor="text1"/>
        </w:rPr>
        <w:t xml:space="preserve"> v II. a III. etapě přezbrojení zadalo MO se souhlasem vlády</w:t>
      </w:r>
      <w:r w:rsidRPr="00733D67">
        <w:rPr>
          <w:rStyle w:val="Znakapoznpodarou"/>
          <w:rFonts w:ascii="Calibri" w:hAnsi="Calibri" w:cs="Calibri"/>
          <w:color w:val="000000" w:themeColor="text1"/>
        </w:rPr>
        <w:footnoteReference w:id="51"/>
      </w:r>
      <w:r w:rsidRPr="00733D67">
        <w:rPr>
          <w:rFonts w:ascii="Calibri" w:hAnsi="Calibri" w:cs="Calibri"/>
          <w:color w:val="000000" w:themeColor="text1"/>
        </w:rPr>
        <w:t xml:space="preserve"> v jednacím řízení bez uveřejnění. V roce 2014 rozhodlo vedení AČR o urychlení přezbrojení</w:t>
      </w:r>
      <w:r w:rsidRPr="00733D67">
        <w:rPr>
          <w:rStyle w:val="Znakapoznpodarou"/>
          <w:rFonts w:ascii="Calibri" w:hAnsi="Calibri" w:cs="Calibri"/>
          <w:color w:val="000000" w:themeColor="text1"/>
        </w:rPr>
        <w:footnoteReference w:id="52"/>
      </w:r>
      <w:r w:rsidRPr="00733D67">
        <w:rPr>
          <w:rFonts w:ascii="Calibri" w:hAnsi="Calibri" w:cs="Calibri"/>
          <w:color w:val="000000" w:themeColor="text1"/>
        </w:rPr>
        <w:t xml:space="preserve">, které sice </w:t>
      </w:r>
      <w:r w:rsidRPr="00733D67">
        <w:rPr>
          <w:rFonts w:ascii="Calibri" w:hAnsi="Calibri" w:cs="Calibri"/>
          <w:color w:val="000000" w:themeColor="text1"/>
        </w:rPr>
        <w:lastRenderedPageBreak/>
        <w:t xml:space="preserve">přineslo </w:t>
      </w:r>
      <w:r w:rsidR="002C61C4" w:rsidRPr="00733D67">
        <w:rPr>
          <w:rFonts w:ascii="Calibri" w:hAnsi="Calibri" w:cs="Calibri"/>
          <w:color w:val="000000" w:themeColor="text1"/>
        </w:rPr>
        <w:t xml:space="preserve">z důvodu </w:t>
      </w:r>
      <w:r w:rsidR="00BB4CC8" w:rsidRPr="00733D67">
        <w:rPr>
          <w:rFonts w:ascii="Calibri" w:hAnsi="Calibri" w:cs="Calibri"/>
          <w:color w:val="000000" w:themeColor="text1"/>
        </w:rPr>
        <w:t xml:space="preserve">zejména </w:t>
      </w:r>
      <w:r w:rsidR="002C61C4" w:rsidRPr="00733D67">
        <w:rPr>
          <w:rFonts w:ascii="Calibri" w:hAnsi="Calibri" w:cs="Calibri"/>
          <w:color w:val="000000" w:themeColor="text1"/>
        </w:rPr>
        <w:t xml:space="preserve">nezapočtení inflace </w:t>
      </w:r>
      <w:r w:rsidRPr="00733D67">
        <w:rPr>
          <w:rFonts w:ascii="Calibri" w:hAnsi="Calibri" w:cs="Calibri"/>
          <w:color w:val="000000" w:themeColor="text1"/>
        </w:rPr>
        <w:t xml:space="preserve">úsporu cca 34 mil. Kč, </w:t>
      </w:r>
      <w:r w:rsidR="009D68B5">
        <w:rPr>
          <w:rFonts w:ascii="Calibri" w:hAnsi="Calibri" w:cs="Calibri"/>
          <w:color w:val="000000" w:themeColor="text1"/>
        </w:rPr>
        <w:t xml:space="preserve">avšak </w:t>
      </w:r>
      <w:r w:rsidRPr="00733D67">
        <w:rPr>
          <w:rFonts w:ascii="Calibri" w:hAnsi="Calibri" w:cs="Calibri"/>
          <w:color w:val="000000" w:themeColor="text1"/>
        </w:rPr>
        <w:t xml:space="preserve">MO zároveň přišlo o možnost pořídit 5 665 </w:t>
      </w:r>
      <w:r w:rsidRPr="00733D67">
        <w:rPr>
          <w:rFonts w:ascii="Calibri" w:hAnsi="Calibri" w:cs="Calibri"/>
          <w:color w:val="000000" w:themeColor="text1"/>
          <w:lang w:eastAsia="en-US"/>
        </w:rPr>
        <w:t>ÚP</w:t>
      </w:r>
      <w:r w:rsidRPr="00733D67">
        <w:rPr>
          <w:rFonts w:ascii="Calibri" w:hAnsi="Calibri" w:cs="Calibri"/>
          <w:color w:val="000000" w:themeColor="text1"/>
        </w:rPr>
        <w:t xml:space="preserve"> v nové (vyle</w:t>
      </w:r>
      <w:r w:rsidR="00C370E9" w:rsidRPr="00733D67">
        <w:rPr>
          <w:rFonts w:ascii="Calibri" w:hAnsi="Calibri" w:cs="Calibri"/>
          <w:color w:val="000000" w:themeColor="text1"/>
        </w:rPr>
        <w:t>pšené) konfiguraci</w:t>
      </w:r>
      <w:r w:rsidRPr="00733D67">
        <w:rPr>
          <w:rFonts w:ascii="Calibri" w:hAnsi="Calibri" w:cs="Calibri"/>
          <w:color w:val="000000" w:themeColor="text1"/>
        </w:rPr>
        <w:t xml:space="preserve">, která byla k dispozici od roku 2015. Tato verze </w:t>
      </w:r>
      <w:r w:rsidRPr="00733D67">
        <w:rPr>
          <w:rFonts w:ascii="Calibri" w:hAnsi="Calibri" w:cs="Calibri"/>
          <w:color w:val="000000" w:themeColor="text1"/>
          <w:lang w:eastAsia="en-US"/>
        </w:rPr>
        <w:t>ÚP</w:t>
      </w:r>
      <w:r w:rsidRPr="00733D67">
        <w:rPr>
          <w:rFonts w:ascii="Calibri" w:hAnsi="Calibri" w:cs="Calibri"/>
          <w:color w:val="000000" w:themeColor="text1"/>
        </w:rPr>
        <w:t xml:space="preserve"> je mj. levnější, o cca 0,5 kg lehčí a napravuje nedostatky spojené s původní konstrukcí zbraně (např. má plně rozebíratelný závěrový mechanismus nebo lepší ergonomii). </w:t>
      </w:r>
    </w:p>
    <w:p w14:paraId="4E9A8745" w14:textId="313B75D2" w:rsidR="0062070E" w:rsidRPr="00733D67" w:rsidRDefault="00AE0D59" w:rsidP="00733D67">
      <w:pPr>
        <w:spacing w:before="120" w:after="120"/>
        <w:jc w:val="both"/>
        <w:rPr>
          <w:rFonts w:ascii="Calibri" w:hAnsi="Calibri" w:cs="Calibri"/>
          <w:color w:val="000000" w:themeColor="text1"/>
        </w:rPr>
      </w:pPr>
      <w:r w:rsidRPr="00733D67">
        <w:rPr>
          <w:rFonts w:ascii="Calibri" w:hAnsi="Calibri" w:cs="Calibri"/>
          <w:color w:val="000000" w:themeColor="text1"/>
        </w:rPr>
        <w:t>Nutnost realizace IV. etapy přezbrojení (2015</w:t>
      </w:r>
      <w:r w:rsidR="007D68C1" w:rsidRPr="00733D67">
        <w:rPr>
          <w:rFonts w:ascii="Calibri" w:hAnsi="Calibri" w:cs="Calibri"/>
          <w:color w:val="000000" w:themeColor="text1"/>
        </w:rPr>
        <w:t>–</w:t>
      </w:r>
      <w:r w:rsidRPr="00733D67">
        <w:rPr>
          <w:rFonts w:ascii="Calibri" w:hAnsi="Calibri" w:cs="Calibri"/>
          <w:color w:val="000000" w:themeColor="text1"/>
        </w:rPr>
        <w:t xml:space="preserve">2016) vyplynula </w:t>
      </w:r>
      <w:r w:rsidR="009D68B5">
        <w:rPr>
          <w:rFonts w:ascii="Calibri" w:hAnsi="Calibri" w:cs="Calibri"/>
          <w:color w:val="000000" w:themeColor="text1"/>
        </w:rPr>
        <w:t xml:space="preserve">ze </w:t>
      </w:r>
      <w:r w:rsidRPr="00733D67">
        <w:rPr>
          <w:rFonts w:ascii="Calibri" w:hAnsi="Calibri" w:cs="Calibri"/>
          <w:color w:val="000000" w:themeColor="text1"/>
        </w:rPr>
        <w:t>zhoršující se mezinárodní situace</w:t>
      </w:r>
      <w:r w:rsidR="004460E3" w:rsidRPr="00733D67">
        <w:rPr>
          <w:rFonts w:ascii="Calibri" w:hAnsi="Calibri" w:cs="Calibri"/>
          <w:color w:val="000000" w:themeColor="text1"/>
        </w:rPr>
        <w:t>.</w:t>
      </w:r>
      <w:r w:rsidRPr="00733D67">
        <w:rPr>
          <w:rFonts w:ascii="Calibri" w:hAnsi="Calibri" w:cs="Calibri"/>
          <w:color w:val="000000" w:themeColor="text1"/>
        </w:rPr>
        <w:t xml:space="preserve"> MO </w:t>
      </w:r>
      <w:r w:rsidR="004460E3" w:rsidRPr="00733D67">
        <w:rPr>
          <w:rFonts w:ascii="Calibri" w:hAnsi="Calibri" w:cs="Calibri"/>
          <w:color w:val="000000" w:themeColor="text1"/>
        </w:rPr>
        <w:t xml:space="preserve">proto </w:t>
      </w:r>
      <w:r w:rsidRPr="00733D67">
        <w:rPr>
          <w:rFonts w:ascii="Calibri" w:hAnsi="Calibri" w:cs="Calibri"/>
          <w:color w:val="000000" w:themeColor="text1"/>
        </w:rPr>
        <w:t xml:space="preserve">rozhodlo o nákupu dalších 2 600 </w:t>
      </w:r>
      <w:r w:rsidRPr="00733D67">
        <w:rPr>
          <w:rFonts w:ascii="Calibri" w:hAnsi="Calibri" w:cs="Calibri"/>
          <w:color w:val="000000" w:themeColor="text1"/>
          <w:lang w:eastAsia="en-US"/>
        </w:rPr>
        <w:t>ÚP</w:t>
      </w:r>
      <w:r w:rsidRPr="00733D67">
        <w:rPr>
          <w:rFonts w:ascii="Calibri" w:hAnsi="Calibri" w:cs="Calibri"/>
          <w:color w:val="000000" w:themeColor="text1"/>
        </w:rPr>
        <w:t xml:space="preserve">. Smlouva na pořízení </w:t>
      </w:r>
      <w:r w:rsidRPr="00733D67">
        <w:rPr>
          <w:rFonts w:ascii="Calibri" w:hAnsi="Calibri" w:cs="Calibri"/>
          <w:color w:val="000000" w:themeColor="text1"/>
          <w:lang w:eastAsia="en-US"/>
        </w:rPr>
        <w:t>ÚP</w:t>
      </w:r>
      <w:r w:rsidRPr="00733D67">
        <w:rPr>
          <w:rFonts w:ascii="Calibri" w:hAnsi="Calibri" w:cs="Calibri"/>
          <w:color w:val="000000" w:themeColor="text1"/>
        </w:rPr>
        <w:t xml:space="preserve"> </w:t>
      </w:r>
      <w:r w:rsidR="00C370E9" w:rsidRPr="00733D67">
        <w:rPr>
          <w:rFonts w:ascii="Calibri" w:hAnsi="Calibri" w:cs="Calibri"/>
          <w:color w:val="000000" w:themeColor="text1"/>
        </w:rPr>
        <w:t>v nové konfiguraci</w:t>
      </w:r>
      <w:r w:rsidRPr="00733D67">
        <w:rPr>
          <w:rFonts w:ascii="Calibri" w:hAnsi="Calibri" w:cs="Calibri"/>
          <w:color w:val="000000" w:themeColor="text1"/>
        </w:rPr>
        <w:t xml:space="preserve"> byla uzavřena v prosinci 2015, </w:t>
      </w:r>
      <w:r w:rsidR="003E3C54" w:rsidRPr="00733D67">
        <w:rPr>
          <w:rFonts w:ascii="Calibri" w:hAnsi="Calibri" w:cs="Calibri"/>
          <w:color w:val="000000" w:themeColor="text1"/>
        </w:rPr>
        <w:t xml:space="preserve">realizace dodávek by </w:t>
      </w:r>
      <w:proofErr w:type="gramStart"/>
      <w:r w:rsidRPr="00733D67">
        <w:rPr>
          <w:rFonts w:ascii="Calibri" w:hAnsi="Calibri" w:cs="Calibri"/>
          <w:color w:val="000000" w:themeColor="text1"/>
        </w:rPr>
        <w:t>měla</w:t>
      </w:r>
      <w:proofErr w:type="gramEnd"/>
      <w:r w:rsidRPr="00733D67">
        <w:rPr>
          <w:rFonts w:ascii="Calibri" w:hAnsi="Calibri" w:cs="Calibri"/>
          <w:color w:val="000000" w:themeColor="text1"/>
        </w:rPr>
        <w:t xml:space="preserve"> proběhnout koncem roku 2016. </w:t>
      </w:r>
      <w:r w:rsidRPr="00733D67">
        <w:rPr>
          <w:rFonts w:ascii="Calibri" w:hAnsi="Calibri" w:cs="Calibri"/>
        </w:rPr>
        <w:t xml:space="preserve">MO </w:t>
      </w:r>
      <w:proofErr w:type="gramStart"/>
      <w:r w:rsidRPr="00733D67">
        <w:rPr>
          <w:rFonts w:ascii="Calibri" w:hAnsi="Calibri" w:cs="Calibri"/>
        </w:rPr>
        <w:t>nepožadovalo</w:t>
      </w:r>
      <w:proofErr w:type="gramEnd"/>
      <w:r w:rsidRPr="00733D67">
        <w:rPr>
          <w:rFonts w:ascii="Calibri" w:hAnsi="Calibri" w:cs="Calibri"/>
        </w:rPr>
        <w:t xml:space="preserve"> </w:t>
      </w:r>
      <w:r w:rsidR="009D68B5">
        <w:rPr>
          <w:rFonts w:ascii="Calibri" w:hAnsi="Calibri" w:cs="Calibri"/>
        </w:rPr>
        <w:t>modernizaci</w:t>
      </w:r>
      <w:r w:rsidRPr="00733D67">
        <w:rPr>
          <w:rFonts w:ascii="Calibri" w:hAnsi="Calibri" w:cs="Calibri"/>
        </w:rPr>
        <w:t xml:space="preserve"> optického příslušenství zbraně</w:t>
      </w:r>
      <w:r w:rsidR="009D68B5">
        <w:rPr>
          <w:rFonts w:ascii="Calibri" w:hAnsi="Calibri" w:cs="Calibri"/>
        </w:rPr>
        <w:t>, ačkoliv</w:t>
      </w:r>
      <w:r w:rsidR="003E3C54" w:rsidRPr="00733D67">
        <w:rPr>
          <w:rFonts w:ascii="Calibri" w:hAnsi="Calibri" w:cs="Calibri"/>
        </w:rPr>
        <w:t xml:space="preserve"> </w:t>
      </w:r>
      <w:r w:rsidR="009D68B5">
        <w:rPr>
          <w:rFonts w:ascii="Calibri" w:hAnsi="Calibri" w:cs="Calibri"/>
        </w:rPr>
        <w:t xml:space="preserve">se </w:t>
      </w:r>
      <w:r w:rsidR="003E3C54" w:rsidRPr="00733D67">
        <w:rPr>
          <w:rFonts w:ascii="Calibri" w:hAnsi="Calibri" w:cs="Calibri"/>
        </w:rPr>
        <w:t>u </w:t>
      </w:r>
      <w:r w:rsidRPr="00733D67">
        <w:rPr>
          <w:rFonts w:ascii="Calibri" w:hAnsi="Calibri" w:cs="Calibri"/>
        </w:rPr>
        <w:t xml:space="preserve">těchto komponentů oproti </w:t>
      </w:r>
      <w:r w:rsidR="00F17563" w:rsidRPr="00733D67">
        <w:rPr>
          <w:rFonts w:ascii="Calibri" w:hAnsi="Calibri" w:cs="Calibri"/>
        </w:rPr>
        <w:t xml:space="preserve">samotné </w:t>
      </w:r>
      <w:r w:rsidRPr="00733D67">
        <w:rPr>
          <w:rFonts w:ascii="Calibri" w:hAnsi="Calibri" w:cs="Calibri"/>
        </w:rPr>
        <w:t xml:space="preserve">zbrani projevuje rychleji morální </w:t>
      </w:r>
      <w:r w:rsidR="009D68B5">
        <w:rPr>
          <w:rFonts w:ascii="Calibri" w:hAnsi="Calibri" w:cs="Calibri"/>
        </w:rPr>
        <w:t>zastarávání</w:t>
      </w:r>
      <w:r w:rsidRPr="00733D67">
        <w:rPr>
          <w:rFonts w:ascii="Calibri" w:hAnsi="Calibri" w:cs="Calibri"/>
        </w:rPr>
        <w:t>.</w:t>
      </w:r>
      <w:r w:rsidRPr="00733D67">
        <w:rPr>
          <w:rFonts w:ascii="Calibri" w:hAnsi="Calibri" w:cs="Calibri"/>
          <w:color w:val="000000" w:themeColor="text1"/>
        </w:rPr>
        <w:t xml:space="preserve"> Z výsledků kontrolních a vojskových zkoušek vyplývá, že problémy srovnatelné s </w:t>
      </w:r>
      <w:r w:rsidR="009D68B5">
        <w:rPr>
          <w:rFonts w:ascii="Calibri" w:hAnsi="Calibri" w:cs="Calibri"/>
          <w:color w:val="000000" w:themeColor="text1"/>
        </w:rPr>
        <w:t xml:space="preserve">nedostatky </w:t>
      </w:r>
      <w:r w:rsidR="00C370E9" w:rsidRPr="00733D67">
        <w:rPr>
          <w:rFonts w:ascii="Calibri" w:hAnsi="Calibri" w:cs="Calibri"/>
          <w:color w:val="000000" w:themeColor="text1"/>
        </w:rPr>
        <w:t>původní</w:t>
      </w:r>
      <w:r w:rsidR="00546DA4" w:rsidRPr="00733D67">
        <w:rPr>
          <w:rFonts w:ascii="Calibri" w:hAnsi="Calibri" w:cs="Calibri"/>
          <w:color w:val="000000" w:themeColor="text1"/>
        </w:rPr>
        <w:t xml:space="preserve"> verze</w:t>
      </w:r>
      <w:r w:rsidR="00C370E9" w:rsidRPr="00733D67">
        <w:rPr>
          <w:rFonts w:ascii="Calibri" w:hAnsi="Calibri" w:cs="Calibri"/>
          <w:color w:val="000000" w:themeColor="text1"/>
        </w:rPr>
        <w:t xml:space="preserve"> </w:t>
      </w:r>
      <w:r w:rsidRPr="00733D67">
        <w:rPr>
          <w:rFonts w:ascii="Calibri" w:hAnsi="Calibri" w:cs="Calibri"/>
          <w:color w:val="000000" w:themeColor="text1"/>
          <w:lang w:eastAsia="en-US"/>
        </w:rPr>
        <w:t>ÚP</w:t>
      </w:r>
      <w:r w:rsidRPr="00733D67">
        <w:rPr>
          <w:rFonts w:ascii="Calibri" w:hAnsi="Calibri" w:cs="Calibri"/>
          <w:color w:val="000000" w:themeColor="text1"/>
        </w:rPr>
        <w:t xml:space="preserve"> se u ÚP </w:t>
      </w:r>
      <w:r w:rsidR="00C370E9" w:rsidRPr="00733D67">
        <w:rPr>
          <w:rFonts w:ascii="Calibri" w:hAnsi="Calibri" w:cs="Calibri"/>
          <w:color w:val="000000" w:themeColor="text1"/>
        </w:rPr>
        <w:t xml:space="preserve">v nové konfiguraci </w:t>
      </w:r>
      <w:r w:rsidRPr="00733D67">
        <w:rPr>
          <w:rFonts w:ascii="Calibri" w:hAnsi="Calibri" w:cs="Calibri"/>
          <w:color w:val="000000" w:themeColor="text1"/>
        </w:rPr>
        <w:t xml:space="preserve">nevyskytly. </w:t>
      </w:r>
      <w:r w:rsidR="00286893" w:rsidRPr="00733D67">
        <w:rPr>
          <w:rFonts w:ascii="Calibri" w:hAnsi="Calibri" w:cs="Calibri"/>
          <w:color w:val="000000" w:themeColor="text1"/>
        </w:rPr>
        <w:t>V budoucnu bude AČR disponovat třemi verzemi ÚP</w:t>
      </w:r>
      <w:r w:rsidR="00074AA6" w:rsidRPr="00733D67">
        <w:rPr>
          <w:rFonts w:ascii="Calibri" w:hAnsi="Calibri" w:cs="Calibri"/>
          <w:color w:val="000000" w:themeColor="text1"/>
        </w:rPr>
        <w:t xml:space="preserve"> (tabulka č. 5)</w:t>
      </w:r>
      <w:r w:rsidR="00286893" w:rsidRPr="00733D67">
        <w:rPr>
          <w:rFonts w:ascii="Calibri" w:hAnsi="Calibri" w:cs="Calibri"/>
          <w:color w:val="000000" w:themeColor="text1"/>
        </w:rPr>
        <w:t xml:space="preserve">. MO uvedlo, že jednotlivé útvary AČR budou vždy jako celek vyzbrojeny </w:t>
      </w:r>
      <w:r w:rsidR="00286893" w:rsidRPr="00733D67">
        <w:rPr>
          <w:rFonts w:ascii="Calibri" w:hAnsi="Calibri" w:cs="Calibri"/>
          <w:color w:val="000000" w:themeColor="text1"/>
          <w:lang w:eastAsia="en-US"/>
        </w:rPr>
        <w:t>ÚP</w:t>
      </w:r>
      <w:r w:rsidR="00286893" w:rsidRPr="00733D67">
        <w:rPr>
          <w:rFonts w:ascii="Calibri" w:hAnsi="Calibri" w:cs="Calibri"/>
          <w:color w:val="000000" w:themeColor="text1"/>
        </w:rPr>
        <w:t xml:space="preserve"> stejné verze.</w:t>
      </w:r>
    </w:p>
    <w:p w14:paraId="4218E306" w14:textId="251EA338" w:rsidR="00801649" w:rsidRDefault="00801649" w:rsidP="00733D67">
      <w:pPr>
        <w:shd w:val="clear" w:color="auto" w:fill="FFFFFF"/>
        <w:spacing w:before="120" w:after="40"/>
        <w:jc w:val="both"/>
        <w:rPr>
          <w:rFonts w:ascii="Calibri" w:hAnsi="Calibri" w:cs="Calibri"/>
          <w:b/>
          <w:color w:val="000000"/>
          <w:spacing w:val="-3"/>
        </w:rPr>
      </w:pPr>
      <w:r w:rsidRPr="002663D7">
        <w:rPr>
          <w:rFonts w:ascii="Calibri" w:hAnsi="Calibri" w:cs="Calibri"/>
          <w:b/>
          <w:color w:val="000000"/>
          <w:spacing w:val="-3"/>
        </w:rPr>
        <w:t>Tabulka č</w:t>
      </w:r>
      <w:r>
        <w:rPr>
          <w:rFonts w:ascii="Calibri" w:hAnsi="Calibri" w:cs="Calibri"/>
          <w:b/>
          <w:color w:val="000000"/>
          <w:spacing w:val="-3"/>
        </w:rPr>
        <w:t>. 5</w:t>
      </w:r>
      <w:r w:rsidRPr="002663D7">
        <w:rPr>
          <w:rFonts w:ascii="Calibri" w:hAnsi="Calibri" w:cs="Calibri"/>
          <w:b/>
          <w:color w:val="000000"/>
          <w:spacing w:val="-3"/>
        </w:rPr>
        <w:t xml:space="preserve"> </w:t>
      </w:r>
      <w:r w:rsidR="003E3C54">
        <w:rPr>
          <w:rFonts w:ascii="Calibri" w:hAnsi="Calibri" w:cs="Calibri"/>
          <w:b/>
          <w:color w:val="000000"/>
          <w:spacing w:val="-3"/>
        </w:rPr>
        <w:t>–</w:t>
      </w:r>
      <w:r w:rsidRPr="002663D7">
        <w:rPr>
          <w:rFonts w:ascii="Calibri" w:hAnsi="Calibri" w:cs="Calibri"/>
          <w:b/>
          <w:color w:val="000000"/>
          <w:spacing w:val="-3"/>
        </w:rPr>
        <w:t xml:space="preserve"> </w:t>
      </w:r>
      <w:r>
        <w:rPr>
          <w:rFonts w:ascii="Calibri" w:hAnsi="Calibri" w:cs="Calibri"/>
          <w:b/>
          <w:color w:val="000000"/>
          <w:spacing w:val="-3"/>
        </w:rPr>
        <w:t>Počet souprav verzí ÚP pořízených v jednotlivých etapách</w:t>
      </w:r>
      <w:r w:rsidR="00CB78F8">
        <w:rPr>
          <w:rFonts w:ascii="Calibri" w:hAnsi="Calibri" w:cs="Calibri"/>
          <w:b/>
          <w:color w:val="000000"/>
          <w:spacing w:val="-3"/>
        </w:rPr>
        <w:t xml:space="preserve"> přezbrojení AČR</w:t>
      </w:r>
    </w:p>
    <w:tbl>
      <w:tblPr>
        <w:tblW w:w="489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4"/>
        <w:gridCol w:w="1587"/>
        <w:gridCol w:w="1587"/>
        <w:gridCol w:w="1586"/>
      </w:tblGrid>
      <w:tr w:rsidR="00801649" w:rsidRPr="00DB028C" w14:paraId="02D2E597" w14:textId="77777777" w:rsidTr="00733D67">
        <w:trPr>
          <w:trHeight w:val="227"/>
          <w:jc w:val="center"/>
        </w:trPr>
        <w:tc>
          <w:tcPr>
            <w:tcW w:w="2359" w:type="pct"/>
            <w:shd w:val="clear" w:color="auto" w:fill="DDD6E7"/>
            <w:noWrap/>
            <w:vAlign w:val="center"/>
            <w:hideMark/>
          </w:tcPr>
          <w:p w14:paraId="4DD0CF49" w14:textId="2B676A5D" w:rsidR="00801649" w:rsidRPr="00801649" w:rsidRDefault="00546DA4" w:rsidP="00546DA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Zbraň</w:t>
            </w:r>
          </w:p>
        </w:tc>
        <w:tc>
          <w:tcPr>
            <w:tcW w:w="880" w:type="pct"/>
            <w:shd w:val="clear" w:color="auto" w:fill="DDD6E7"/>
            <w:noWrap/>
            <w:vAlign w:val="center"/>
            <w:hideMark/>
          </w:tcPr>
          <w:p w14:paraId="5EAD0C91" w14:textId="73286241" w:rsidR="00801649" w:rsidRPr="00801649" w:rsidRDefault="00801649" w:rsidP="0099611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01649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I. etapa</w:t>
            </w:r>
            <w:r w:rsidR="00074AA6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733D6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br/>
            </w:r>
            <w:r w:rsidR="00BB4CC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(2010</w:t>
            </w:r>
            <w:r w:rsidR="00996114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–</w:t>
            </w:r>
            <w:r w:rsidR="00074AA6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2013)</w:t>
            </w:r>
          </w:p>
        </w:tc>
        <w:tc>
          <w:tcPr>
            <w:tcW w:w="880" w:type="pct"/>
            <w:shd w:val="clear" w:color="auto" w:fill="DDD6E7"/>
            <w:noWrap/>
            <w:vAlign w:val="center"/>
            <w:hideMark/>
          </w:tcPr>
          <w:p w14:paraId="2FC809D8" w14:textId="2AB4284C" w:rsidR="00801649" w:rsidRPr="00801649" w:rsidRDefault="00801649" w:rsidP="008752D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01649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II. </w:t>
            </w:r>
            <w:r w:rsidR="008752D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a</w:t>
            </w:r>
            <w:r w:rsidRPr="00801649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III. etapa</w:t>
            </w:r>
            <w:r w:rsidR="00BB4CC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0733C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br/>
            </w:r>
            <w:r w:rsidR="00BB4CC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(2014</w:t>
            </w:r>
            <w:r w:rsidR="00996114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–</w:t>
            </w:r>
            <w:r w:rsidR="00074AA6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2015)</w:t>
            </w:r>
          </w:p>
        </w:tc>
        <w:tc>
          <w:tcPr>
            <w:tcW w:w="880" w:type="pct"/>
            <w:shd w:val="clear" w:color="auto" w:fill="DDD6E7"/>
            <w:noWrap/>
            <w:vAlign w:val="center"/>
            <w:hideMark/>
          </w:tcPr>
          <w:p w14:paraId="282E5DEA" w14:textId="5C7AC73F" w:rsidR="00074AA6" w:rsidRPr="00801649" w:rsidRDefault="00801649" w:rsidP="0099611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01649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IV. etapa</w:t>
            </w:r>
            <w:r w:rsidR="00733D6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br/>
            </w:r>
            <w:r w:rsidR="00BB4CC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(2015</w:t>
            </w:r>
            <w:r w:rsidR="00996114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–</w:t>
            </w:r>
            <w:r w:rsidR="00074AA6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2016)</w:t>
            </w:r>
          </w:p>
        </w:tc>
      </w:tr>
      <w:tr w:rsidR="00801649" w:rsidRPr="00DB028C" w14:paraId="525FEB70" w14:textId="77777777" w:rsidTr="00733D67">
        <w:trPr>
          <w:trHeight w:val="227"/>
          <w:jc w:val="center"/>
        </w:trPr>
        <w:tc>
          <w:tcPr>
            <w:tcW w:w="2359" w:type="pct"/>
            <w:shd w:val="clear" w:color="auto" w:fill="auto"/>
            <w:noWrap/>
            <w:vAlign w:val="bottom"/>
            <w:hideMark/>
          </w:tcPr>
          <w:p w14:paraId="6FBE7957" w14:textId="36BCD0CF" w:rsidR="00801649" w:rsidRPr="00801649" w:rsidRDefault="00C370E9" w:rsidP="0080164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 w:themeColor="text1"/>
                <w:sz w:val="20"/>
                <w:szCs w:val="20"/>
              </w:rPr>
              <w:t>ÚP původní</w:t>
            </w:r>
            <w:r w:rsidR="00680488">
              <w:rPr>
                <w:rFonts w:ascii="Calibri" w:hAnsi="Calibri" w:cstheme="minorHAnsi"/>
                <w:color w:val="000000" w:themeColor="text1"/>
                <w:sz w:val="20"/>
                <w:szCs w:val="20"/>
              </w:rPr>
              <w:t xml:space="preserve"> verze</w:t>
            </w:r>
          </w:p>
        </w:tc>
        <w:tc>
          <w:tcPr>
            <w:tcW w:w="880" w:type="pct"/>
            <w:shd w:val="clear" w:color="000000" w:fill="FFFFFF"/>
            <w:noWrap/>
            <w:vAlign w:val="center"/>
          </w:tcPr>
          <w:p w14:paraId="7941F43E" w14:textId="14B2E022" w:rsidR="00801649" w:rsidRPr="00801649" w:rsidRDefault="00801649" w:rsidP="00733D67">
            <w:pPr>
              <w:ind w:right="27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80164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7 737 ks</w:t>
            </w:r>
          </w:p>
        </w:tc>
        <w:tc>
          <w:tcPr>
            <w:tcW w:w="880" w:type="pct"/>
            <w:shd w:val="clear" w:color="000000" w:fill="FFFFFF"/>
            <w:noWrap/>
            <w:vAlign w:val="center"/>
          </w:tcPr>
          <w:p w14:paraId="7243E62E" w14:textId="172E10C9" w:rsidR="00801649" w:rsidRPr="00801649" w:rsidRDefault="00801649" w:rsidP="00733D67">
            <w:pPr>
              <w:ind w:right="27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80" w:type="pct"/>
            <w:shd w:val="clear" w:color="000000" w:fill="FFFFFF"/>
            <w:noWrap/>
            <w:vAlign w:val="center"/>
          </w:tcPr>
          <w:p w14:paraId="31E27610" w14:textId="4FB2BDF4" w:rsidR="00801649" w:rsidRPr="00801649" w:rsidRDefault="00801649" w:rsidP="00733D67">
            <w:pPr>
              <w:ind w:right="27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801649" w:rsidRPr="00DB028C" w14:paraId="368952D5" w14:textId="77777777" w:rsidTr="00733D67">
        <w:trPr>
          <w:trHeight w:val="227"/>
          <w:jc w:val="center"/>
        </w:trPr>
        <w:tc>
          <w:tcPr>
            <w:tcW w:w="2359" w:type="pct"/>
            <w:shd w:val="clear" w:color="auto" w:fill="auto"/>
            <w:noWrap/>
            <w:vAlign w:val="bottom"/>
            <w:hideMark/>
          </w:tcPr>
          <w:p w14:paraId="44D80114" w14:textId="04A35DE2" w:rsidR="00801649" w:rsidRPr="00801649" w:rsidRDefault="00C370E9" w:rsidP="00C370E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 w:themeColor="text1"/>
                <w:sz w:val="20"/>
                <w:szCs w:val="20"/>
              </w:rPr>
              <w:t xml:space="preserve">ÚP původní </w:t>
            </w:r>
            <w:r w:rsidR="00680488">
              <w:rPr>
                <w:rFonts w:ascii="Calibri" w:hAnsi="Calibri" w:cstheme="minorHAnsi"/>
                <w:color w:val="000000" w:themeColor="text1"/>
                <w:sz w:val="20"/>
                <w:szCs w:val="20"/>
              </w:rPr>
              <w:t xml:space="preserve">verze </w:t>
            </w:r>
            <w:r>
              <w:rPr>
                <w:rFonts w:ascii="Calibri" w:hAnsi="Calibri" w:cstheme="minorHAnsi"/>
                <w:color w:val="000000" w:themeColor="text1"/>
                <w:sz w:val="20"/>
                <w:szCs w:val="20"/>
              </w:rPr>
              <w:t>s</w:t>
            </w:r>
            <w:r w:rsidR="00801649" w:rsidRPr="00801649">
              <w:rPr>
                <w:rFonts w:ascii="Calibri" w:hAnsi="Calibri" w:cstheme="minorHAnsi"/>
                <w:color w:val="000000" w:themeColor="text1"/>
                <w:sz w:val="20"/>
                <w:szCs w:val="20"/>
              </w:rPr>
              <w:t xml:space="preserve"> kompatibilní</w:t>
            </w:r>
            <w:r>
              <w:rPr>
                <w:rFonts w:ascii="Calibri" w:hAnsi="Calibri" w:cstheme="minorHAnsi"/>
                <w:color w:val="000000" w:themeColor="text1"/>
                <w:sz w:val="20"/>
                <w:szCs w:val="20"/>
              </w:rPr>
              <w:t>mi</w:t>
            </w:r>
            <w:r w:rsidR="00801649" w:rsidRPr="00801649">
              <w:rPr>
                <w:rFonts w:ascii="Calibri" w:hAnsi="Calibri" w:cstheme="minorHAnsi"/>
                <w:color w:val="000000" w:themeColor="text1"/>
                <w:sz w:val="20"/>
                <w:szCs w:val="20"/>
              </w:rPr>
              <w:t xml:space="preserve"> zásobníky</w:t>
            </w:r>
          </w:p>
        </w:tc>
        <w:tc>
          <w:tcPr>
            <w:tcW w:w="880" w:type="pct"/>
            <w:shd w:val="clear" w:color="000000" w:fill="FFFFFF"/>
            <w:noWrap/>
            <w:vAlign w:val="center"/>
          </w:tcPr>
          <w:p w14:paraId="2DAE2A7E" w14:textId="225AD72F" w:rsidR="00801649" w:rsidRPr="00801649" w:rsidRDefault="00801649" w:rsidP="00733D67">
            <w:pPr>
              <w:ind w:right="27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200 ks</w:t>
            </w:r>
          </w:p>
        </w:tc>
        <w:tc>
          <w:tcPr>
            <w:tcW w:w="880" w:type="pct"/>
            <w:shd w:val="clear" w:color="000000" w:fill="FFFFFF"/>
            <w:noWrap/>
            <w:vAlign w:val="center"/>
          </w:tcPr>
          <w:p w14:paraId="0DA0EF88" w14:textId="32E9E41F" w:rsidR="00801649" w:rsidRPr="00801649" w:rsidRDefault="00801649" w:rsidP="00733D67">
            <w:pPr>
              <w:ind w:right="27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9 741 ks</w:t>
            </w:r>
          </w:p>
        </w:tc>
        <w:tc>
          <w:tcPr>
            <w:tcW w:w="880" w:type="pct"/>
            <w:shd w:val="clear" w:color="000000" w:fill="FFFFFF"/>
            <w:noWrap/>
            <w:vAlign w:val="center"/>
          </w:tcPr>
          <w:p w14:paraId="7211DA04" w14:textId="7B41C362" w:rsidR="00801649" w:rsidRPr="00801649" w:rsidRDefault="00801649" w:rsidP="00733D67">
            <w:pPr>
              <w:ind w:right="27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801649" w:rsidRPr="00DB028C" w14:paraId="2B0EDE7C" w14:textId="77777777" w:rsidTr="00733D67">
        <w:trPr>
          <w:trHeight w:val="227"/>
          <w:jc w:val="center"/>
        </w:trPr>
        <w:tc>
          <w:tcPr>
            <w:tcW w:w="2359" w:type="pct"/>
            <w:shd w:val="clear" w:color="auto" w:fill="auto"/>
            <w:noWrap/>
            <w:vAlign w:val="bottom"/>
            <w:hideMark/>
          </w:tcPr>
          <w:p w14:paraId="4D3B8FBE" w14:textId="3714B272" w:rsidR="00801649" w:rsidRPr="00801649" w:rsidRDefault="00C370E9" w:rsidP="0080164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 w:themeColor="text1"/>
                <w:sz w:val="20"/>
                <w:szCs w:val="20"/>
              </w:rPr>
              <w:t xml:space="preserve">ÚP </w:t>
            </w:r>
            <w:r w:rsidRPr="00C370E9">
              <w:rPr>
                <w:rFonts w:ascii="Calibri" w:hAnsi="Calibri" w:cstheme="minorHAnsi"/>
                <w:color w:val="000000" w:themeColor="text1"/>
                <w:sz w:val="20"/>
                <w:szCs w:val="20"/>
              </w:rPr>
              <w:t>v nové konfiguraci</w:t>
            </w:r>
          </w:p>
        </w:tc>
        <w:tc>
          <w:tcPr>
            <w:tcW w:w="880" w:type="pct"/>
            <w:shd w:val="clear" w:color="auto" w:fill="auto"/>
            <w:noWrap/>
            <w:vAlign w:val="center"/>
          </w:tcPr>
          <w:p w14:paraId="0106481D" w14:textId="5B066A56" w:rsidR="00801649" w:rsidRPr="00801649" w:rsidRDefault="00801649" w:rsidP="00733D67">
            <w:pPr>
              <w:ind w:right="27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80" w:type="pct"/>
            <w:shd w:val="clear" w:color="auto" w:fill="auto"/>
            <w:noWrap/>
            <w:vAlign w:val="center"/>
          </w:tcPr>
          <w:p w14:paraId="69093D13" w14:textId="3322D9B3" w:rsidR="00801649" w:rsidRPr="00801649" w:rsidRDefault="00801649" w:rsidP="00733D67">
            <w:pPr>
              <w:ind w:right="27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80" w:type="pct"/>
            <w:shd w:val="clear" w:color="auto" w:fill="auto"/>
            <w:noWrap/>
            <w:vAlign w:val="center"/>
          </w:tcPr>
          <w:p w14:paraId="2278F91E" w14:textId="23F5A8D6" w:rsidR="00801649" w:rsidRPr="00801649" w:rsidRDefault="00801649" w:rsidP="00733D67">
            <w:pPr>
              <w:ind w:right="27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801649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801649">
              <w:rPr>
                <w:rFonts w:ascii="Calibri" w:hAnsi="Calibri"/>
                <w:color w:val="000000"/>
                <w:sz w:val="20"/>
                <w:szCs w:val="20"/>
              </w:rPr>
              <w:t>600 ks</w:t>
            </w:r>
          </w:p>
        </w:tc>
      </w:tr>
    </w:tbl>
    <w:p w14:paraId="0A35990D" w14:textId="7C66688A" w:rsidR="00801649" w:rsidRPr="00965E6A" w:rsidRDefault="00801649" w:rsidP="00733D67">
      <w:pPr>
        <w:spacing w:before="40" w:after="120"/>
        <w:jc w:val="both"/>
        <w:rPr>
          <w:rFonts w:asciiTheme="minorHAnsi" w:hAnsiTheme="minorHAnsi"/>
          <w:sz w:val="20"/>
          <w:szCs w:val="20"/>
        </w:rPr>
      </w:pPr>
      <w:r w:rsidRPr="00434EF9">
        <w:rPr>
          <w:rFonts w:asciiTheme="minorHAnsi" w:hAnsiTheme="minorHAnsi"/>
          <w:b/>
          <w:sz w:val="20"/>
          <w:szCs w:val="20"/>
        </w:rPr>
        <w:t>Zdroj:</w:t>
      </w:r>
      <w:r w:rsidRPr="00965E6A">
        <w:rPr>
          <w:rFonts w:asciiTheme="minorHAnsi" w:hAnsiTheme="minorHAnsi"/>
          <w:sz w:val="20"/>
          <w:szCs w:val="20"/>
        </w:rPr>
        <w:t xml:space="preserve"> </w:t>
      </w:r>
      <w:r w:rsidR="009D68B5">
        <w:rPr>
          <w:rFonts w:asciiTheme="minorHAnsi" w:hAnsiTheme="minorHAnsi"/>
          <w:sz w:val="20"/>
          <w:szCs w:val="20"/>
        </w:rPr>
        <w:t>d</w:t>
      </w:r>
      <w:r w:rsidRPr="00965E6A">
        <w:rPr>
          <w:rFonts w:asciiTheme="minorHAnsi" w:hAnsiTheme="minorHAnsi"/>
          <w:sz w:val="20"/>
          <w:szCs w:val="20"/>
        </w:rPr>
        <w:t>okumentace akcí předložená M</w:t>
      </w:r>
      <w:r w:rsidR="008752DB">
        <w:rPr>
          <w:rFonts w:asciiTheme="minorHAnsi" w:hAnsiTheme="minorHAnsi"/>
          <w:sz w:val="20"/>
          <w:szCs w:val="20"/>
        </w:rPr>
        <w:t>inisterstvem obrany</w:t>
      </w:r>
      <w:r w:rsidRPr="00965E6A">
        <w:rPr>
          <w:rFonts w:asciiTheme="minorHAnsi" w:hAnsiTheme="minorHAnsi"/>
          <w:sz w:val="20"/>
          <w:szCs w:val="20"/>
        </w:rPr>
        <w:t>.</w:t>
      </w:r>
    </w:p>
    <w:p w14:paraId="59BEAF00" w14:textId="34CEB366" w:rsidR="00965E6A" w:rsidRDefault="00AE0D59" w:rsidP="00733D67">
      <w:pPr>
        <w:pStyle w:val="Bezmezer"/>
        <w:spacing w:before="120" w:after="120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en-US"/>
        </w:rPr>
      </w:pPr>
      <w:r w:rsidRPr="008A6BEC">
        <w:rPr>
          <w:rFonts w:asciiTheme="minorHAnsi" w:hAnsiTheme="minorHAnsi" w:cstheme="minorHAnsi"/>
          <w:color w:val="000000" w:themeColor="text1"/>
          <w:sz w:val="24"/>
          <w:szCs w:val="24"/>
          <w:lang w:eastAsia="en-US"/>
        </w:rPr>
        <w:t xml:space="preserve">Cena samotných 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eastAsia="en-US"/>
        </w:rPr>
        <w:t>útočných pušek</w:t>
      </w:r>
      <w:r w:rsidRPr="008A6BEC">
        <w:rPr>
          <w:rFonts w:asciiTheme="minorHAnsi" w:hAnsiTheme="minorHAnsi" w:cstheme="minorHAnsi"/>
          <w:color w:val="000000" w:themeColor="text1"/>
          <w:sz w:val="24"/>
          <w:szCs w:val="24"/>
          <w:lang w:eastAsia="en-US"/>
        </w:rPr>
        <w:t xml:space="preserve"> se v jednotlivých etapách přezbrojení pohybovala v rozmezí od </w:t>
      </w:r>
      <w:r w:rsidRPr="008A6BEC">
        <w:rPr>
          <w:rFonts w:asciiTheme="minorHAnsi" w:hAnsiTheme="minorHAnsi" w:cstheme="minorHAnsi"/>
          <w:color w:val="000000" w:themeColor="text1"/>
          <w:sz w:val="24"/>
          <w:szCs w:val="24"/>
        </w:rPr>
        <w:t>75 366 Kč do</w:t>
      </w:r>
      <w:r w:rsidRPr="008A6BEC">
        <w:rPr>
          <w:rFonts w:asciiTheme="minorHAnsi" w:hAnsiTheme="minorHAnsi" w:cstheme="minorHAnsi"/>
          <w:color w:val="000000" w:themeColor="text1"/>
          <w:sz w:val="24"/>
          <w:szCs w:val="24"/>
          <w:lang w:eastAsia="en-US"/>
        </w:rPr>
        <w:t xml:space="preserve"> </w:t>
      </w:r>
      <w:r w:rsidRPr="008A6BE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77 833 </w:t>
      </w:r>
      <w:r w:rsidRPr="008A6BEC">
        <w:rPr>
          <w:rFonts w:asciiTheme="minorHAnsi" w:hAnsiTheme="minorHAnsi" w:cstheme="minorHAnsi"/>
          <w:color w:val="000000" w:themeColor="text1"/>
          <w:sz w:val="24"/>
          <w:szCs w:val="24"/>
          <w:lang w:eastAsia="en-US"/>
        </w:rPr>
        <w:t>Kč</w:t>
      </w:r>
      <w:r w:rsidRPr="008A6BEC">
        <w:rPr>
          <w:rStyle w:val="Znakapoznpodarou"/>
          <w:rFonts w:asciiTheme="minorHAnsi" w:hAnsiTheme="minorHAnsi" w:cstheme="minorHAnsi"/>
          <w:color w:val="000000" w:themeColor="text1"/>
          <w:sz w:val="24"/>
          <w:szCs w:val="24"/>
          <w:lang w:eastAsia="en-US"/>
        </w:rPr>
        <w:footnoteReference w:id="53"/>
      </w:r>
      <w:r w:rsidR="008752DB">
        <w:rPr>
          <w:rFonts w:asciiTheme="minorHAnsi" w:hAnsiTheme="minorHAnsi" w:cstheme="minorHAnsi"/>
          <w:color w:val="000000" w:themeColor="text1"/>
          <w:sz w:val="24"/>
          <w:szCs w:val="24"/>
          <w:lang w:eastAsia="en-US"/>
        </w:rPr>
        <w:t xml:space="preserve"> </w:t>
      </w:r>
      <w:r w:rsidR="00163DAC">
        <w:rPr>
          <w:rFonts w:asciiTheme="minorHAnsi" w:hAnsiTheme="minorHAnsi" w:cstheme="minorHAnsi"/>
          <w:color w:val="000000" w:themeColor="text1"/>
          <w:sz w:val="24"/>
          <w:szCs w:val="24"/>
          <w:lang w:eastAsia="en-US"/>
        </w:rPr>
        <w:t>za jednu zbraň.</w:t>
      </w:r>
    </w:p>
    <w:p w14:paraId="0F6B1614" w14:textId="77777777" w:rsidR="00B223F8" w:rsidRDefault="00B223F8" w:rsidP="008A6BEC">
      <w:pPr>
        <w:pStyle w:val="Bezmezer"/>
        <w:spacing w:after="120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en-US"/>
        </w:rPr>
      </w:pPr>
    </w:p>
    <w:p w14:paraId="1489BA9B" w14:textId="77777777" w:rsidR="00BF4F9D" w:rsidRDefault="00BF4F9D">
      <w:pPr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br w:type="page"/>
      </w:r>
    </w:p>
    <w:p w14:paraId="34D4DD0D" w14:textId="27F0128A" w:rsidR="00231080" w:rsidRPr="00104D08" w:rsidRDefault="00231080" w:rsidP="00231080">
      <w:pPr>
        <w:spacing w:after="120"/>
        <w:jc w:val="both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lastRenderedPageBreak/>
        <w:t>Příloha č. 1</w:t>
      </w:r>
      <w:r w:rsidRPr="00446F2E">
        <w:rPr>
          <w:rFonts w:asciiTheme="minorHAnsi" w:hAnsiTheme="minorHAnsi" w:cstheme="minorHAnsi"/>
          <w:b/>
          <w:color w:val="000000"/>
        </w:rPr>
        <w:t xml:space="preserve"> </w:t>
      </w:r>
      <w:r w:rsidR="00FA5BF6">
        <w:rPr>
          <w:rFonts w:asciiTheme="minorHAnsi" w:hAnsiTheme="minorHAnsi" w:cstheme="minorHAnsi"/>
          <w:b/>
          <w:color w:val="000000"/>
        </w:rPr>
        <w:t xml:space="preserve">– </w:t>
      </w:r>
      <w:r>
        <w:rPr>
          <w:rFonts w:asciiTheme="minorHAnsi" w:hAnsiTheme="minorHAnsi" w:cstheme="minorHAnsi"/>
          <w:b/>
          <w:color w:val="000000"/>
        </w:rPr>
        <w:t xml:space="preserve">Přehled kontrolovaných akcí z vybraných programů </w:t>
      </w:r>
    </w:p>
    <w:tbl>
      <w:tblPr>
        <w:tblW w:w="9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3"/>
        <w:gridCol w:w="1175"/>
        <w:gridCol w:w="1361"/>
        <w:gridCol w:w="4760"/>
        <w:gridCol w:w="1347"/>
      </w:tblGrid>
      <w:tr w:rsidR="00231080" w:rsidRPr="003D4228" w14:paraId="799828D1" w14:textId="77777777" w:rsidTr="003D4228">
        <w:trPr>
          <w:trHeight w:val="465"/>
        </w:trPr>
        <w:tc>
          <w:tcPr>
            <w:tcW w:w="853" w:type="dxa"/>
            <w:shd w:val="clear" w:color="auto" w:fill="DDD6E7"/>
            <w:vAlign w:val="center"/>
            <w:hideMark/>
          </w:tcPr>
          <w:p w14:paraId="653109F2" w14:textId="0270DFF6" w:rsidR="00231080" w:rsidRPr="003D4228" w:rsidRDefault="00231080" w:rsidP="003D4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422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</w:t>
            </w:r>
          </w:p>
        </w:tc>
        <w:tc>
          <w:tcPr>
            <w:tcW w:w="1175" w:type="dxa"/>
            <w:shd w:val="clear" w:color="auto" w:fill="DDD6E7"/>
            <w:vAlign w:val="center"/>
            <w:hideMark/>
          </w:tcPr>
          <w:p w14:paraId="25577B08" w14:textId="55BC7E59" w:rsidR="00231080" w:rsidRPr="003D4228" w:rsidRDefault="00231080" w:rsidP="003D4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422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Podprogram</w:t>
            </w:r>
          </w:p>
        </w:tc>
        <w:tc>
          <w:tcPr>
            <w:tcW w:w="1361" w:type="dxa"/>
            <w:shd w:val="clear" w:color="auto" w:fill="DDD6E7"/>
            <w:vAlign w:val="center"/>
            <w:hideMark/>
          </w:tcPr>
          <w:p w14:paraId="2817ADE3" w14:textId="6AB8DB3C" w:rsidR="00231080" w:rsidRPr="003D4228" w:rsidRDefault="00231080" w:rsidP="009B71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422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Akce ev. č.</w:t>
            </w:r>
          </w:p>
        </w:tc>
        <w:tc>
          <w:tcPr>
            <w:tcW w:w="4760" w:type="dxa"/>
            <w:shd w:val="clear" w:color="auto" w:fill="DDD6E7"/>
            <w:vAlign w:val="center"/>
            <w:hideMark/>
          </w:tcPr>
          <w:p w14:paraId="2F7697FC" w14:textId="77777777" w:rsidR="00231080" w:rsidRPr="003D4228" w:rsidRDefault="00231080" w:rsidP="009B71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422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Název programu/podprogramu/akce</w:t>
            </w:r>
          </w:p>
        </w:tc>
        <w:tc>
          <w:tcPr>
            <w:tcW w:w="1347" w:type="dxa"/>
            <w:shd w:val="clear" w:color="auto" w:fill="DDD6E7"/>
            <w:vAlign w:val="center"/>
            <w:hideMark/>
          </w:tcPr>
          <w:p w14:paraId="73B17310" w14:textId="52E10AC3" w:rsidR="00231080" w:rsidRPr="003D4228" w:rsidRDefault="007B4BF8" w:rsidP="007B4B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422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</w:t>
            </w:r>
            <w:r w:rsidR="00231080" w:rsidRPr="003D422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ýdaje na realizaci akce</w:t>
            </w:r>
            <w:r w:rsidR="00337E9C" w:rsidRPr="003D422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3D422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br/>
            </w:r>
            <w:r w:rsidR="00231080" w:rsidRPr="003D422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(v Kč)</w:t>
            </w:r>
          </w:p>
        </w:tc>
      </w:tr>
      <w:tr w:rsidR="00231080" w:rsidRPr="003D4228" w14:paraId="25D3BF44" w14:textId="77777777" w:rsidTr="003D4228">
        <w:trPr>
          <w:trHeight w:val="240"/>
        </w:trPr>
        <w:tc>
          <w:tcPr>
            <w:tcW w:w="853" w:type="dxa"/>
            <w:shd w:val="clear" w:color="auto" w:fill="004595"/>
            <w:noWrap/>
            <w:vAlign w:val="bottom"/>
            <w:hideMark/>
          </w:tcPr>
          <w:p w14:paraId="5D62CB71" w14:textId="77777777" w:rsidR="00231080" w:rsidRPr="003D4228" w:rsidRDefault="00231080" w:rsidP="009B71E7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3D4228"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  <w:t>107 110</w:t>
            </w:r>
          </w:p>
        </w:tc>
        <w:tc>
          <w:tcPr>
            <w:tcW w:w="1175" w:type="dxa"/>
            <w:shd w:val="clear" w:color="auto" w:fill="004595"/>
            <w:noWrap/>
            <w:vAlign w:val="bottom"/>
            <w:hideMark/>
          </w:tcPr>
          <w:p w14:paraId="32238F16" w14:textId="77777777" w:rsidR="00231080" w:rsidRPr="003D4228" w:rsidRDefault="00231080" w:rsidP="009B71E7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3D4228"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  <w:t> </w:t>
            </w:r>
          </w:p>
        </w:tc>
        <w:tc>
          <w:tcPr>
            <w:tcW w:w="1361" w:type="dxa"/>
            <w:shd w:val="clear" w:color="auto" w:fill="004595"/>
            <w:noWrap/>
            <w:vAlign w:val="bottom"/>
            <w:hideMark/>
          </w:tcPr>
          <w:p w14:paraId="1934FB16" w14:textId="77777777" w:rsidR="00231080" w:rsidRPr="003D4228" w:rsidRDefault="00231080" w:rsidP="009B71E7">
            <w:pPr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3D4228"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  <w:t> </w:t>
            </w:r>
          </w:p>
        </w:tc>
        <w:tc>
          <w:tcPr>
            <w:tcW w:w="4760" w:type="dxa"/>
            <w:shd w:val="clear" w:color="auto" w:fill="004595"/>
            <w:noWrap/>
            <w:vAlign w:val="bottom"/>
            <w:hideMark/>
          </w:tcPr>
          <w:p w14:paraId="20914865" w14:textId="77777777" w:rsidR="00231080" w:rsidRPr="003D4228" w:rsidRDefault="00231080" w:rsidP="009B71E7">
            <w:pPr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3D4228"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  <w:t>Zvyšování schopností vojáka 21. století</w:t>
            </w:r>
          </w:p>
        </w:tc>
        <w:tc>
          <w:tcPr>
            <w:tcW w:w="1347" w:type="dxa"/>
            <w:shd w:val="clear" w:color="auto" w:fill="004595"/>
            <w:noWrap/>
            <w:vAlign w:val="bottom"/>
            <w:hideMark/>
          </w:tcPr>
          <w:p w14:paraId="00931686" w14:textId="77777777" w:rsidR="00231080" w:rsidRPr="003D4228" w:rsidRDefault="00231080" w:rsidP="009B71E7">
            <w:pPr>
              <w:jc w:val="right"/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3D4228"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  <w:t> </w:t>
            </w:r>
          </w:p>
        </w:tc>
      </w:tr>
      <w:tr w:rsidR="00231080" w:rsidRPr="003D4228" w14:paraId="40EC1F2F" w14:textId="77777777" w:rsidTr="003D4228">
        <w:trPr>
          <w:trHeight w:val="240"/>
        </w:trPr>
        <w:tc>
          <w:tcPr>
            <w:tcW w:w="853" w:type="dxa"/>
            <w:shd w:val="clear" w:color="auto" w:fill="DDD6E7"/>
            <w:noWrap/>
            <w:vAlign w:val="bottom"/>
            <w:hideMark/>
          </w:tcPr>
          <w:p w14:paraId="475D4A1A" w14:textId="77777777" w:rsidR="00231080" w:rsidRPr="003D4228" w:rsidRDefault="00231080" w:rsidP="009B71E7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D42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5" w:type="dxa"/>
            <w:shd w:val="clear" w:color="auto" w:fill="DDD6E7"/>
            <w:noWrap/>
            <w:vAlign w:val="bottom"/>
            <w:hideMark/>
          </w:tcPr>
          <w:p w14:paraId="60F0A7D7" w14:textId="77777777" w:rsidR="00231080" w:rsidRPr="003D4228" w:rsidRDefault="00231080" w:rsidP="009B71E7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D42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107 112</w:t>
            </w:r>
          </w:p>
        </w:tc>
        <w:tc>
          <w:tcPr>
            <w:tcW w:w="1361" w:type="dxa"/>
            <w:shd w:val="clear" w:color="auto" w:fill="DDD6E7"/>
            <w:noWrap/>
            <w:vAlign w:val="bottom"/>
            <w:hideMark/>
          </w:tcPr>
          <w:p w14:paraId="0B63C3EB" w14:textId="77777777" w:rsidR="00231080" w:rsidRPr="003D4228" w:rsidRDefault="00231080" w:rsidP="009B71E7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D42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60" w:type="dxa"/>
            <w:shd w:val="clear" w:color="auto" w:fill="DDD6E7"/>
            <w:noWrap/>
            <w:vAlign w:val="bottom"/>
            <w:hideMark/>
          </w:tcPr>
          <w:p w14:paraId="0D5FB590" w14:textId="77777777" w:rsidR="00231080" w:rsidRPr="003D4228" w:rsidRDefault="00231080" w:rsidP="009B71E7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3D4228">
              <w:rPr>
                <w:rFonts w:ascii="Calibri" w:hAnsi="Calibri" w:cs="Calibri"/>
                <w:bCs/>
                <w:sz w:val="18"/>
                <w:szCs w:val="18"/>
              </w:rPr>
              <w:t>Pořízení zbraní</w:t>
            </w:r>
          </w:p>
        </w:tc>
        <w:tc>
          <w:tcPr>
            <w:tcW w:w="1347" w:type="dxa"/>
            <w:shd w:val="clear" w:color="auto" w:fill="DDD6E7"/>
            <w:noWrap/>
            <w:vAlign w:val="bottom"/>
            <w:hideMark/>
          </w:tcPr>
          <w:p w14:paraId="2BC508B7" w14:textId="77777777" w:rsidR="00231080" w:rsidRPr="003D4228" w:rsidRDefault="00231080" w:rsidP="009B71E7">
            <w:pPr>
              <w:jc w:val="right"/>
              <w:rPr>
                <w:rFonts w:ascii="Calibri" w:hAnsi="Calibri" w:cs="Calibri"/>
                <w:bCs/>
                <w:color w:val="FF0000"/>
                <w:sz w:val="18"/>
                <w:szCs w:val="18"/>
              </w:rPr>
            </w:pPr>
            <w:r w:rsidRPr="003D4228">
              <w:rPr>
                <w:rFonts w:ascii="Calibri" w:hAnsi="Calibri" w:cs="Calibri"/>
                <w:bCs/>
                <w:color w:val="FF0000"/>
                <w:sz w:val="18"/>
                <w:szCs w:val="18"/>
              </w:rPr>
              <w:t> </w:t>
            </w:r>
          </w:p>
        </w:tc>
      </w:tr>
      <w:tr w:rsidR="00231080" w:rsidRPr="003D4228" w14:paraId="32C08F0E" w14:textId="77777777" w:rsidTr="003D4228">
        <w:trPr>
          <w:trHeight w:val="240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3D752B96" w14:textId="77777777" w:rsidR="00231080" w:rsidRPr="003D4228" w:rsidRDefault="00231080" w:rsidP="009B71E7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D42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5315E758" w14:textId="77777777" w:rsidR="00231080" w:rsidRPr="003D4228" w:rsidRDefault="00231080" w:rsidP="009B71E7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D42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A58EA3F" w14:textId="77777777" w:rsidR="00231080" w:rsidRPr="003D4228" w:rsidRDefault="00231080" w:rsidP="009B71E7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D42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107V112001001</w:t>
            </w:r>
          </w:p>
        </w:tc>
        <w:tc>
          <w:tcPr>
            <w:tcW w:w="4760" w:type="dxa"/>
            <w:shd w:val="clear" w:color="auto" w:fill="auto"/>
            <w:noWrap/>
            <w:vAlign w:val="bottom"/>
            <w:hideMark/>
          </w:tcPr>
          <w:p w14:paraId="101F2D1C" w14:textId="77777777" w:rsidR="00231080" w:rsidRPr="003D4228" w:rsidRDefault="00231080" w:rsidP="009B71E7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D42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Útočná puška s podvěsným granátometem – nákup</w:t>
            </w: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14:paraId="171243D2" w14:textId="77777777" w:rsidR="00231080" w:rsidRPr="003D4228" w:rsidRDefault="00231080" w:rsidP="009B71E7">
            <w:pPr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3D4228">
              <w:rPr>
                <w:rFonts w:ascii="Calibri" w:hAnsi="Calibri" w:cs="Calibri"/>
                <w:bCs/>
                <w:sz w:val="18"/>
                <w:szCs w:val="18"/>
              </w:rPr>
              <w:t>1 103 979 353</w:t>
            </w:r>
          </w:p>
        </w:tc>
      </w:tr>
      <w:tr w:rsidR="00231080" w:rsidRPr="003D4228" w14:paraId="03FE26B9" w14:textId="77777777" w:rsidTr="003D4228">
        <w:trPr>
          <w:trHeight w:val="240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203CD5AB" w14:textId="77777777" w:rsidR="00231080" w:rsidRPr="003D4228" w:rsidRDefault="00231080" w:rsidP="009B71E7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D42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58DDC2D5" w14:textId="77777777" w:rsidR="00231080" w:rsidRPr="003D4228" w:rsidRDefault="00231080" w:rsidP="009B71E7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D42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E884AAE" w14:textId="77777777" w:rsidR="00231080" w:rsidRPr="003D4228" w:rsidRDefault="00231080" w:rsidP="009B71E7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D42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107V112001301</w:t>
            </w:r>
          </w:p>
        </w:tc>
        <w:tc>
          <w:tcPr>
            <w:tcW w:w="4760" w:type="dxa"/>
            <w:shd w:val="clear" w:color="auto" w:fill="auto"/>
            <w:noWrap/>
            <w:vAlign w:val="bottom"/>
            <w:hideMark/>
          </w:tcPr>
          <w:p w14:paraId="5DA5E53A" w14:textId="4003FB45" w:rsidR="00231080" w:rsidRPr="003D4228" w:rsidRDefault="00231080" w:rsidP="00996114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D42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Kulomet </w:t>
            </w:r>
            <w:r w:rsidR="0099611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–</w:t>
            </w:r>
            <w:r w:rsidRPr="003D42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 nákup </w:t>
            </w: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14:paraId="4057D11D" w14:textId="77777777" w:rsidR="00231080" w:rsidRPr="003D4228" w:rsidRDefault="00231080" w:rsidP="009B71E7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D42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194 995 884</w:t>
            </w:r>
          </w:p>
        </w:tc>
      </w:tr>
      <w:tr w:rsidR="00231080" w:rsidRPr="003D4228" w14:paraId="73F3A7C1" w14:textId="77777777" w:rsidTr="003D4228">
        <w:trPr>
          <w:trHeight w:val="240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48202ADF" w14:textId="77777777" w:rsidR="00231080" w:rsidRPr="003D4228" w:rsidRDefault="00231080" w:rsidP="009B71E7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D42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15199889" w14:textId="77777777" w:rsidR="00231080" w:rsidRPr="003D4228" w:rsidRDefault="00231080" w:rsidP="009B71E7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D42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1FD8C59" w14:textId="77777777" w:rsidR="00231080" w:rsidRPr="003D4228" w:rsidRDefault="00231080" w:rsidP="009B71E7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D42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107V112001302</w:t>
            </w:r>
          </w:p>
        </w:tc>
        <w:tc>
          <w:tcPr>
            <w:tcW w:w="4760" w:type="dxa"/>
            <w:shd w:val="clear" w:color="auto" w:fill="auto"/>
            <w:noWrap/>
            <w:vAlign w:val="bottom"/>
            <w:hideMark/>
          </w:tcPr>
          <w:p w14:paraId="46FDFE3C" w14:textId="73CB5650" w:rsidR="00231080" w:rsidRPr="003D4228" w:rsidRDefault="00231080" w:rsidP="00996114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D42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Puška pro přesnou střelbu </w:t>
            </w:r>
            <w:r w:rsidR="0099611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–</w:t>
            </w:r>
            <w:r w:rsidRPr="003D42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 nákup </w:t>
            </w: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14:paraId="190F1DB7" w14:textId="77777777" w:rsidR="00231080" w:rsidRPr="003D4228" w:rsidRDefault="00231080" w:rsidP="009B71E7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D42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231080" w:rsidRPr="003D4228" w14:paraId="5727244F" w14:textId="77777777" w:rsidTr="003D4228">
        <w:trPr>
          <w:trHeight w:val="240"/>
        </w:trPr>
        <w:tc>
          <w:tcPr>
            <w:tcW w:w="853" w:type="dxa"/>
            <w:shd w:val="clear" w:color="auto" w:fill="004595"/>
            <w:noWrap/>
            <w:vAlign w:val="bottom"/>
            <w:hideMark/>
          </w:tcPr>
          <w:p w14:paraId="657792BE" w14:textId="77777777" w:rsidR="00231080" w:rsidRPr="003D4228" w:rsidRDefault="00231080" w:rsidP="009B71E7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3D4228"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  <w:t>107 430</w:t>
            </w:r>
          </w:p>
        </w:tc>
        <w:tc>
          <w:tcPr>
            <w:tcW w:w="1175" w:type="dxa"/>
            <w:shd w:val="clear" w:color="auto" w:fill="004595"/>
            <w:noWrap/>
            <w:vAlign w:val="bottom"/>
            <w:hideMark/>
          </w:tcPr>
          <w:p w14:paraId="37457823" w14:textId="77777777" w:rsidR="00231080" w:rsidRPr="003D4228" w:rsidRDefault="00231080" w:rsidP="009B71E7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3D4228"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  <w:t> </w:t>
            </w:r>
          </w:p>
        </w:tc>
        <w:tc>
          <w:tcPr>
            <w:tcW w:w="1361" w:type="dxa"/>
            <w:shd w:val="clear" w:color="auto" w:fill="004595"/>
            <w:noWrap/>
            <w:vAlign w:val="bottom"/>
            <w:hideMark/>
          </w:tcPr>
          <w:p w14:paraId="7F1EACE1" w14:textId="77777777" w:rsidR="00231080" w:rsidRPr="003D4228" w:rsidRDefault="00231080" w:rsidP="009B71E7">
            <w:pPr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3D4228"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  <w:t> </w:t>
            </w:r>
          </w:p>
        </w:tc>
        <w:tc>
          <w:tcPr>
            <w:tcW w:w="4760" w:type="dxa"/>
            <w:shd w:val="clear" w:color="auto" w:fill="004595"/>
            <w:noWrap/>
            <w:vAlign w:val="bottom"/>
            <w:hideMark/>
          </w:tcPr>
          <w:p w14:paraId="56DB2F98" w14:textId="77777777" w:rsidR="00231080" w:rsidRPr="003D4228" w:rsidRDefault="00231080" w:rsidP="009B71E7">
            <w:pPr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3D4228"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  <w:t>Zabezpečení zapojení AČR do operací a pohotovostních sil</w:t>
            </w:r>
          </w:p>
        </w:tc>
        <w:tc>
          <w:tcPr>
            <w:tcW w:w="1347" w:type="dxa"/>
            <w:shd w:val="clear" w:color="auto" w:fill="004595"/>
            <w:noWrap/>
            <w:vAlign w:val="bottom"/>
            <w:hideMark/>
          </w:tcPr>
          <w:p w14:paraId="31BDBDCD" w14:textId="77777777" w:rsidR="00231080" w:rsidRPr="003D4228" w:rsidRDefault="00231080" w:rsidP="009B71E7">
            <w:pPr>
              <w:jc w:val="right"/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3D4228"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  <w:t> </w:t>
            </w:r>
          </w:p>
        </w:tc>
      </w:tr>
      <w:tr w:rsidR="00231080" w:rsidRPr="003D4228" w14:paraId="058663A5" w14:textId="77777777" w:rsidTr="003D4228">
        <w:trPr>
          <w:trHeight w:val="240"/>
        </w:trPr>
        <w:tc>
          <w:tcPr>
            <w:tcW w:w="853" w:type="dxa"/>
            <w:shd w:val="clear" w:color="auto" w:fill="DDD6E7"/>
            <w:noWrap/>
            <w:vAlign w:val="bottom"/>
            <w:hideMark/>
          </w:tcPr>
          <w:p w14:paraId="13A8C571" w14:textId="77777777" w:rsidR="00231080" w:rsidRPr="003D4228" w:rsidRDefault="00231080" w:rsidP="009B71E7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D42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5" w:type="dxa"/>
            <w:shd w:val="clear" w:color="auto" w:fill="DDD6E7"/>
            <w:noWrap/>
            <w:vAlign w:val="bottom"/>
            <w:hideMark/>
          </w:tcPr>
          <w:p w14:paraId="4CAB3241" w14:textId="77777777" w:rsidR="00231080" w:rsidRPr="003D4228" w:rsidRDefault="00231080" w:rsidP="009B71E7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D42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107 431</w:t>
            </w:r>
          </w:p>
        </w:tc>
        <w:tc>
          <w:tcPr>
            <w:tcW w:w="1361" w:type="dxa"/>
            <w:shd w:val="clear" w:color="auto" w:fill="DDD6E7"/>
            <w:noWrap/>
            <w:vAlign w:val="bottom"/>
            <w:hideMark/>
          </w:tcPr>
          <w:p w14:paraId="5EB3B5E9" w14:textId="77777777" w:rsidR="00231080" w:rsidRPr="003D4228" w:rsidRDefault="00231080" w:rsidP="009B71E7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D42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60" w:type="dxa"/>
            <w:shd w:val="clear" w:color="auto" w:fill="DDD6E7"/>
            <w:noWrap/>
            <w:vAlign w:val="bottom"/>
            <w:hideMark/>
          </w:tcPr>
          <w:p w14:paraId="2F56A4BB" w14:textId="77777777" w:rsidR="00231080" w:rsidRPr="003D4228" w:rsidRDefault="00231080" w:rsidP="009B71E7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D42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Výstavba sil a prostředků AČR k nasazení v operacích</w:t>
            </w:r>
          </w:p>
        </w:tc>
        <w:tc>
          <w:tcPr>
            <w:tcW w:w="1347" w:type="dxa"/>
            <w:shd w:val="clear" w:color="auto" w:fill="DDD6E7"/>
            <w:noWrap/>
            <w:vAlign w:val="bottom"/>
            <w:hideMark/>
          </w:tcPr>
          <w:p w14:paraId="29FA61CB" w14:textId="77777777" w:rsidR="00231080" w:rsidRPr="003D4228" w:rsidRDefault="00231080" w:rsidP="009B71E7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D42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31080" w:rsidRPr="003D4228" w14:paraId="3DCA12FF" w14:textId="77777777" w:rsidTr="003D4228">
        <w:trPr>
          <w:trHeight w:val="240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0FA95B94" w14:textId="77777777" w:rsidR="00231080" w:rsidRPr="003D4228" w:rsidRDefault="00231080" w:rsidP="009B71E7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D42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6F2AFDCD" w14:textId="77777777" w:rsidR="00231080" w:rsidRPr="003D4228" w:rsidRDefault="00231080" w:rsidP="009B71E7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D42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F5794C9" w14:textId="77777777" w:rsidR="00231080" w:rsidRPr="003D4228" w:rsidRDefault="00231080" w:rsidP="009B71E7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D42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107V431000003</w:t>
            </w:r>
          </w:p>
        </w:tc>
        <w:tc>
          <w:tcPr>
            <w:tcW w:w="4760" w:type="dxa"/>
            <w:shd w:val="clear" w:color="auto" w:fill="auto"/>
            <w:noWrap/>
            <w:vAlign w:val="bottom"/>
            <w:hideMark/>
          </w:tcPr>
          <w:p w14:paraId="3DF3D1D7" w14:textId="77777777" w:rsidR="00231080" w:rsidRPr="003D4228" w:rsidRDefault="00231080" w:rsidP="009B71E7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D42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Modulární zbraňový komplet </w:t>
            </w: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14:paraId="4DC5F162" w14:textId="77777777" w:rsidR="00231080" w:rsidRPr="003D4228" w:rsidRDefault="00231080" w:rsidP="009B71E7">
            <w:pPr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3D4228">
              <w:rPr>
                <w:rFonts w:ascii="Calibri" w:hAnsi="Calibri" w:cs="Calibri"/>
                <w:bCs/>
                <w:sz w:val="18"/>
                <w:szCs w:val="18"/>
              </w:rPr>
              <w:t>29 995 100</w:t>
            </w:r>
          </w:p>
        </w:tc>
      </w:tr>
      <w:tr w:rsidR="00231080" w:rsidRPr="003D4228" w14:paraId="7DC5822C" w14:textId="77777777" w:rsidTr="003D4228">
        <w:trPr>
          <w:trHeight w:val="240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0C4784AD" w14:textId="77777777" w:rsidR="00231080" w:rsidRPr="003D4228" w:rsidRDefault="00231080" w:rsidP="009B71E7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D42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2EB991A1" w14:textId="77777777" w:rsidR="00231080" w:rsidRPr="003D4228" w:rsidRDefault="00231080" w:rsidP="009B71E7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D42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0148A7B" w14:textId="77777777" w:rsidR="00231080" w:rsidRPr="003D4228" w:rsidRDefault="00231080" w:rsidP="009B71E7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D42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107V431002311</w:t>
            </w:r>
          </w:p>
        </w:tc>
        <w:tc>
          <w:tcPr>
            <w:tcW w:w="4760" w:type="dxa"/>
            <w:shd w:val="clear" w:color="auto" w:fill="auto"/>
            <w:noWrap/>
            <w:vAlign w:val="bottom"/>
            <w:hideMark/>
          </w:tcPr>
          <w:p w14:paraId="4F1164FA" w14:textId="5ABB2981" w:rsidR="00231080" w:rsidRPr="003D4228" w:rsidRDefault="00231080" w:rsidP="00996114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proofErr w:type="spellStart"/>
            <w:r w:rsidRPr="003D42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Noktovizní</w:t>
            </w:r>
            <w:proofErr w:type="spellEnd"/>
            <w:r w:rsidRPr="003D42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 přístroj </w:t>
            </w:r>
            <w:r w:rsidR="0099611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–</w:t>
            </w:r>
            <w:r w:rsidRPr="003D42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 nákup </w:t>
            </w: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14:paraId="695BB1EB" w14:textId="77777777" w:rsidR="00231080" w:rsidRPr="003D4228" w:rsidRDefault="00231080" w:rsidP="009B71E7">
            <w:pPr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3D4228">
              <w:rPr>
                <w:rFonts w:ascii="Calibri" w:hAnsi="Calibri" w:cs="Calibri"/>
                <w:bCs/>
                <w:sz w:val="18"/>
                <w:szCs w:val="18"/>
              </w:rPr>
              <w:t>37 999 450</w:t>
            </w:r>
          </w:p>
        </w:tc>
      </w:tr>
      <w:tr w:rsidR="00231080" w:rsidRPr="003D4228" w14:paraId="1EDD1466" w14:textId="77777777" w:rsidTr="003D4228">
        <w:trPr>
          <w:trHeight w:val="240"/>
        </w:trPr>
        <w:tc>
          <w:tcPr>
            <w:tcW w:w="853" w:type="dxa"/>
            <w:shd w:val="clear" w:color="auto" w:fill="004595"/>
            <w:noWrap/>
            <w:vAlign w:val="bottom"/>
            <w:hideMark/>
          </w:tcPr>
          <w:p w14:paraId="1D1FD137" w14:textId="77777777" w:rsidR="00231080" w:rsidRPr="003D4228" w:rsidRDefault="00231080" w:rsidP="009B71E7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3D4228"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  <w:t>107 600</w:t>
            </w:r>
          </w:p>
        </w:tc>
        <w:tc>
          <w:tcPr>
            <w:tcW w:w="1175" w:type="dxa"/>
            <w:shd w:val="clear" w:color="auto" w:fill="004595"/>
            <w:noWrap/>
            <w:vAlign w:val="bottom"/>
            <w:hideMark/>
          </w:tcPr>
          <w:p w14:paraId="68A9EEF0" w14:textId="77777777" w:rsidR="00231080" w:rsidRPr="003D4228" w:rsidRDefault="00231080" w:rsidP="009B71E7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3D4228"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  <w:t> </w:t>
            </w:r>
          </w:p>
        </w:tc>
        <w:tc>
          <w:tcPr>
            <w:tcW w:w="1361" w:type="dxa"/>
            <w:shd w:val="clear" w:color="auto" w:fill="004595"/>
            <w:noWrap/>
            <w:vAlign w:val="bottom"/>
            <w:hideMark/>
          </w:tcPr>
          <w:p w14:paraId="5A4063B9" w14:textId="77777777" w:rsidR="00231080" w:rsidRPr="003D4228" w:rsidRDefault="00231080" w:rsidP="009B71E7">
            <w:pPr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3D4228"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  <w:t> </w:t>
            </w:r>
          </w:p>
        </w:tc>
        <w:tc>
          <w:tcPr>
            <w:tcW w:w="4760" w:type="dxa"/>
            <w:shd w:val="clear" w:color="auto" w:fill="004595"/>
            <w:noWrap/>
            <w:vAlign w:val="bottom"/>
            <w:hideMark/>
          </w:tcPr>
          <w:p w14:paraId="733E97AE" w14:textId="77777777" w:rsidR="00231080" w:rsidRPr="003D4228" w:rsidRDefault="00231080" w:rsidP="009B71E7">
            <w:pPr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3D4228"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  <w:t>Udržení a rozvoj schopností bojových sil AČR</w:t>
            </w:r>
          </w:p>
        </w:tc>
        <w:tc>
          <w:tcPr>
            <w:tcW w:w="1347" w:type="dxa"/>
            <w:shd w:val="clear" w:color="auto" w:fill="004595"/>
            <w:noWrap/>
            <w:vAlign w:val="bottom"/>
            <w:hideMark/>
          </w:tcPr>
          <w:p w14:paraId="434DE87E" w14:textId="77777777" w:rsidR="00231080" w:rsidRPr="003D4228" w:rsidRDefault="00231080" w:rsidP="009B71E7">
            <w:pPr>
              <w:jc w:val="right"/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3D4228"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  <w:t> </w:t>
            </w:r>
          </w:p>
        </w:tc>
      </w:tr>
      <w:tr w:rsidR="00231080" w:rsidRPr="003D4228" w14:paraId="7111152C" w14:textId="77777777" w:rsidTr="003D4228">
        <w:trPr>
          <w:trHeight w:val="240"/>
        </w:trPr>
        <w:tc>
          <w:tcPr>
            <w:tcW w:w="853" w:type="dxa"/>
            <w:shd w:val="clear" w:color="auto" w:fill="DDD6E7"/>
            <w:noWrap/>
            <w:vAlign w:val="bottom"/>
            <w:hideMark/>
          </w:tcPr>
          <w:p w14:paraId="226452BD" w14:textId="77777777" w:rsidR="00231080" w:rsidRPr="003D4228" w:rsidRDefault="00231080" w:rsidP="009B71E7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D42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5" w:type="dxa"/>
            <w:shd w:val="clear" w:color="auto" w:fill="DDD6E7"/>
            <w:noWrap/>
            <w:vAlign w:val="bottom"/>
            <w:hideMark/>
          </w:tcPr>
          <w:p w14:paraId="7DC6F3A6" w14:textId="77777777" w:rsidR="00231080" w:rsidRPr="003D4228" w:rsidRDefault="00231080" w:rsidP="009B71E7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D42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107 601</w:t>
            </w:r>
          </w:p>
        </w:tc>
        <w:tc>
          <w:tcPr>
            <w:tcW w:w="1361" w:type="dxa"/>
            <w:shd w:val="clear" w:color="auto" w:fill="DDD6E7"/>
            <w:noWrap/>
            <w:vAlign w:val="bottom"/>
            <w:hideMark/>
          </w:tcPr>
          <w:p w14:paraId="547E2316" w14:textId="77777777" w:rsidR="00231080" w:rsidRPr="003D4228" w:rsidRDefault="00231080" w:rsidP="009B71E7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D42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60" w:type="dxa"/>
            <w:shd w:val="clear" w:color="auto" w:fill="DDD6E7"/>
            <w:noWrap/>
            <w:vAlign w:val="bottom"/>
            <w:hideMark/>
          </w:tcPr>
          <w:p w14:paraId="0614DF88" w14:textId="77777777" w:rsidR="00231080" w:rsidRPr="003D4228" w:rsidRDefault="00231080" w:rsidP="009B71E7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3D4228">
              <w:rPr>
                <w:rFonts w:ascii="Calibri" w:hAnsi="Calibri" w:cs="Calibri"/>
                <w:bCs/>
                <w:sz w:val="18"/>
                <w:szCs w:val="18"/>
              </w:rPr>
              <w:t xml:space="preserve">Udržení a rozvoj schopností mechanizovaných jednotek AČR </w:t>
            </w:r>
          </w:p>
        </w:tc>
        <w:tc>
          <w:tcPr>
            <w:tcW w:w="1347" w:type="dxa"/>
            <w:shd w:val="clear" w:color="auto" w:fill="DDD6E7"/>
            <w:noWrap/>
            <w:vAlign w:val="bottom"/>
            <w:hideMark/>
          </w:tcPr>
          <w:p w14:paraId="69D02465" w14:textId="77777777" w:rsidR="00231080" w:rsidRPr="003D4228" w:rsidRDefault="00231080" w:rsidP="009B71E7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D42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31080" w:rsidRPr="003D4228" w14:paraId="599AAF1A" w14:textId="77777777" w:rsidTr="003D4228">
        <w:trPr>
          <w:trHeight w:val="240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37663B10" w14:textId="77777777" w:rsidR="00231080" w:rsidRPr="003D4228" w:rsidRDefault="00231080" w:rsidP="009B71E7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D42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67F494E0" w14:textId="77777777" w:rsidR="00231080" w:rsidRPr="003D4228" w:rsidRDefault="00231080" w:rsidP="009B71E7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D42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D003AD4" w14:textId="77777777" w:rsidR="00231080" w:rsidRPr="003D4228" w:rsidRDefault="00231080" w:rsidP="009B71E7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D42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107V601001403</w:t>
            </w:r>
          </w:p>
        </w:tc>
        <w:tc>
          <w:tcPr>
            <w:tcW w:w="4760" w:type="dxa"/>
            <w:shd w:val="clear" w:color="auto" w:fill="auto"/>
            <w:noWrap/>
            <w:vAlign w:val="bottom"/>
            <w:hideMark/>
          </w:tcPr>
          <w:p w14:paraId="7CDDAE9A" w14:textId="5934302D" w:rsidR="00231080" w:rsidRPr="003D4228" w:rsidRDefault="00231080" w:rsidP="00996114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D42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Útočná puška s podvěsným granátometem </w:t>
            </w:r>
            <w:r w:rsidR="0099611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–</w:t>
            </w:r>
            <w:r w:rsidRPr="003D42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 nákup </w:t>
            </w: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14:paraId="5F80571C" w14:textId="77777777" w:rsidR="00231080" w:rsidRPr="003D4228" w:rsidRDefault="00231080" w:rsidP="009B71E7">
            <w:pPr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3D4228">
              <w:rPr>
                <w:rFonts w:ascii="Calibri" w:hAnsi="Calibri" w:cs="Calibri"/>
                <w:bCs/>
                <w:sz w:val="18"/>
                <w:szCs w:val="18"/>
              </w:rPr>
              <w:t>533 685 491</w:t>
            </w:r>
          </w:p>
        </w:tc>
      </w:tr>
      <w:tr w:rsidR="00231080" w:rsidRPr="003D4228" w14:paraId="28EFD85F" w14:textId="77777777" w:rsidTr="003D4228">
        <w:trPr>
          <w:trHeight w:val="240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1E3C61CC" w14:textId="77777777" w:rsidR="00231080" w:rsidRPr="003D4228" w:rsidRDefault="00231080" w:rsidP="009B71E7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D42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0D80916D" w14:textId="77777777" w:rsidR="00231080" w:rsidRPr="003D4228" w:rsidRDefault="00231080" w:rsidP="009B71E7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D42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857AC8F" w14:textId="77777777" w:rsidR="00231080" w:rsidRPr="003D4228" w:rsidRDefault="00231080" w:rsidP="009B71E7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D42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107V601001501</w:t>
            </w:r>
          </w:p>
        </w:tc>
        <w:tc>
          <w:tcPr>
            <w:tcW w:w="4760" w:type="dxa"/>
            <w:shd w:val="clear" w:color="auto" w:fill="auto"/>
            <w:noWrap/>
            <w:vAlign w:val="bottom"/>
            <w:hideMark/>
          </w:tcPr>
          <w:p w14:paraId="7683B8FF" w14:textId="3A1517A8" w:rsidR="00231080" w:rsidRPr="003D4228" w:rsidRDefault="00231080" w:rsidP="00996114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D42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Útočná puška s podvěsným granátometem </w:t>
            </w:r>
            <w:r w:rsidR="0099611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–</w:t>
            </w:r>
            <w:r w:rsidRPr="003D42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 2. část </w:t>
            </w:r>
            <w:r w:rsidR="0099611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–</w:t>
            </w:r>
            <w:r w:rsidRPr="003D42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 nákup</w:t>
            </w: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14:paraId="365D00AE" w14:textId="77777777" w:rsidR="00231080" w:rsidRPr="003D4228" w:rsidRDefault="00231080" w:rsidP="009B71E7">
            <w:pPr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3D4228">
              <w:rPr>
                <w:rFonts w:ascii="Calibri" w:hAnsi="Calibri" w:cs="Calibri"/>
                <w:bCs/>
                <w:sz w:val="18"/>
                <w:szCs w:val="18"/>
              </w:rPr>
              <w:t>355 776 748</w:t>
            </w:r>
          </w:p>
        </w:tc>
      </w:tr>
      <w:tr w:rsidR="00231080" w:rsidRPr="003D4228" w14:paraId="6D3D93E2" w14:textId="77777777" w:rsidTr="003D4228">
        <w:trPr>
          <w:trHeight w:val="240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144C8117" w14:textId="77777777" w:rsidR="00231080" w:rsidRPr="003D4228" w:rsidRDefault="00231080" w:rsidP="009B71E7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D42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56011B42" w14:textId="77777777" w:rsidR="00231080" w:rsidRPr="003D4228" w:rsidRDefault="00231080" w:rsidP="009B71E7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D42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37F8CE5" w14:textId="77777777" w:rsidR="00231080" w:rsidRPr="003D4228" w:rsidRDefault="00231080" w:rsidP="009B71E7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D42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107V601001504</w:t>
            </w:r>
          </w:p>
        </w:tc>
        <w:tc>
          <w:tcPr>
            <w:tcW w:w="4760" w:type="dxa"/>
            <w:shd w:val="clear" w:color="auto" w:fill="auto"/>
            <w:noWrap/>
            <w:vAlign w:val="bottom"/>
            <w:hideMark/>
          </w:tcPr>
          <w:p w14:paraId="4F4CDF78" w14:textId="6F0580DE" w:rsidR="00231080" w:rsidRPr="003D4228" w:rsidRDefault="00231080" w:rsidP="00996114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D42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Útočná puška s podvěsným granátometem </w:t>
            </w:r>
            <w:r w:rsidR="0099611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–</w:t>
            </w:r>
            <w:r w:rsidRPr="003D42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 II. etapa </w:t>
            </w:r>
            <w:r w:rsidR="0099611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–</w:t>
            </w:r>
            <w:r w:rsidRPr="003D42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 nákup</w:t>
            </w: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14:paraId="5325D3DC" w14:textId="77777777" w:rsidR="00231080" w:rsidRPr="003D4228" w:rsidRDefault="00231080" w:rsidP="009B71E7">
            <w:pPr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3D4228">
              <w:rPr>
                <w:rFonts w:ascii="Calibri" w:hAnsi="Calibri" w:cs="Calibri"/>
                <w:bCs/>
                <w:sz w:val="18"/>
                <w:szCs w:val="18"/>
              </w:rPr>
              <w:t>178 351 880</w:t>
            </w:r>
          </w:p>
        </w:tc>
      </w:tr>
      <w:tr w:rsidR="00231080" w:rsidRPr="003D4228" w14:paraId="78E54B67" w14:textId="77777777" w:rsidTr="003D4228">
        <w:trPr>
          <w:trHeight w:val="240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6E5F33B1" w14:textId="77777777" w:rsidR="00231080" w:rsidRPr="003D4228" w:rsidRDefault="00231080" w:rsidP="009B71E7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D42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554F1166" w14:textId="77777777" w:rsidR="00231080" w:rsidRPr="003D4228" w:rsidRDefault="00231080" w:rsidP="009B71E7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D42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55B58E2" w14:textId="77777777" w:rsidR="00231080" w:rsidRPr="003D4228" w:rsidRDefault="00231080" w:rsidP="009B71E7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D42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107V601001505</w:t>
            </w:r>
          </w:p>
        </w:tc>
        <w:tc>
          <w:tcPr>
            <w:tcW w:w="4760" w:type="dxa"/>
            <w:shd w:val="clear" w:color="auto" w:fill="auto"/>
            <w:noWrap/>
            <w:vAlign w:val="bottom"/>
            <w:hideMark/>
          </w:tcPr>
          <w:p w14:paraId="2C6DC658" w14:textId="412DB318" w:rsidR="00231080" w:rsidRPr="003D4228" w:rsidRDefault="00231080" w:rsidP="00996114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D42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Průhledový zaměřovač </w:t>
            </w:r>
            <w:proofErr w:type="spellStart"/>
            <w:r w:rsidRPr="003D42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kolimátorového</w:t>
            </w:r>
            <w:proofErr w:type="spellEnd"/>
            <w:r w:rsidRPr="003D42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 typu </w:t>
            </w:r>
            <w:r w:rsidR="0099611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–</w:t>
            </w:r>
            <w:r w:rsidRPr="003D42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 nákup</w:t>
            </w: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14:paraId="0A5EFB8F" w14:textId="77777777" w:rsidR="00231080" w:rsidRPr="003D4228" w:rsidRDefault="00231080" w:rsidP="009B71E7">
            <w:pPr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3D4228">
              <w:rPr>
                <w:rFonts w:ascii="Calibri" w:hAnsi="Calibri" w:cs="Calibri"/>
                <w:bCs/>
                <w:sz w:val="18"/>
                <w:szCs w:val="18"/>
              </w:rPr>
              <w:t>29 116 303</w:t>
            </w:r>
          </w:p>
        </w:tc>
      </w:tr>
      <w:tr w:rsidR="00231080" w:rsidRPr="003D4228" w14:paraId="4063FFE9" w14:textId="77777777" w:rsidTr="003D4228">
        <w:trPr>
          <w:trHeight w:val="240"/>
        </w:trPr>
        <w:tc>
          <w:tcPr>
            <w:tcW w:w="853" w:type="dxa"/>
            <w:shd w:val="clear" w:color="auto" w:fill="DDD6E7"/>
            <w:noWrap/>
            <w:vAlign w:val="bottom"/>
            <w:hideMark/>
          </w:tcPr>
          <w:p w14:paraId="0F8A9FF0" w14:textId="77777777" w:rsidR="00231080" w:rsidRPr="003D4228" w:rsidRDefault="00231080" w:rsidP="009B71E7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D42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5" w:type="dxa"/>
            <w:shd w:val="clear" w:color="auto" w:fill="DDD6E7"/>
            <w:noWrap/>
            <w:vAlign w:val="bottom"/>
            <w:hideMark/>
          </w:tcPr>
          <w:p w14:paraId="542674DB" w14:textId="77777777" w:rsidR="00231080" w:rsidRPr="003D4228" w:rsidRDefault="00231080" w:rsidP="009B71E7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D42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107 602</w:t>
            </w:r>
          </w:p>
        </w:tc>
        <w:tc>
          <w:tcPr>
            <w:tcW w:w="1361" w:type="dxa"/>
            <w:shd w:val="clear" w:color="auto" w:fill="DDD6E7"/>
            <w:noWrap/>
            <w:vAlign w:val="bottom"/>
            <w:hideMark/>
          </w:tcPr>
          <w:p w14:paraId="625DD803" w14:textId="77777777" w:rsidR="00231080" w:rsidRPr="003D4228" w:rsidRDefault="00231080" w:rsidP="009B71E7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D42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60" w:type="dxa"/>
            <w:shd w:val="clear" w:color="auto" w:fill="DDD6E7"/>
            <w:noWrap/>
            <w:vAlign w:val="bottom"/>
            <w:hideMark/>
          </w:tcPr>
          <w:p w14:paraId="4534DEDB" w14:textId="77777777" w:rsidR="00231080" w:rsidRPr="003D4228" w:rsidRDefault="00231080" w:rsidP="009B71E7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3D4228">
              <w:rPr>
                <w:rFonts w:ascii="Calibri" w:hAnsi="Calibri" w:cs="Calibri"/>
                <w:bCs/>
                <w:sz w:val="18"/>
                <w:szCs w:val="18"/>
              </w:rPr>
              <w:t xml:space="preserve">Udržení a rozvoj schopností sil bojové podpory jednotek AČR </w:t>
            </w:r>
          </w:p>
        </w:tc>
        <w:tc>
          <w:tcPr>
            <w:tcW w:w="1347" w:type="dxa"/>
            <w:shd w:val="clear" w:color="auto" w:fill="DDD6E7"/>
            <w:noWrap/>
            <w:vAlign w:val="bottom"/>
            <w:hideMark/>
          </w:tcPr>
          <w:p w14:paraId="18564364" w14:textId="77777777" w:rsidR="00231080" w:rsidRPr="003D4228" w:rsidRDefault="00231080" w:rsidP="009B71E7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D42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31080" w:rsidRPr="003D4228" w14:paraId="30B00427" w14:textId="77777777" w:rsidTr="003D4228">
        <w:trPr>
          <w:trHeight w:val="240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575D6A68" w14:textId="77777777" w:rsidR="00231080" w:rsidRPr="003D4228" w:rsidRDefault="00231080" w:rsidP="009B71E7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D42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35C7ECAD" w14:textId="77777777" w:rsidR="00231080" w:rsidRPr="003D4228" w:rsidRDefault="00231080" w:rsidP="009B71E7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D42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1CF7AF8" w14:textId="77777777" w:rsidR="00231080" w:rsidRPr="003D4228" w:rsidRDefault="00231080" w:rsidP="009B71E7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D42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107V602001405</w:t>
            </w:r>
          </w:p>
        </w:tc>
        <w:tc>
          <w:tcPr>
            <w:tcW w:w="4760" w:type="dxa"/>
            <w:shd w:val="clear" w:color="auto" w:fill="auto"/>
            <w:noWrap/>
            <w:vAlign w:val="bottom"/>
            <w:hideMark/>
          </w:tcPr>
          <w:p w14:paraId="1FAD58EF" w14:textId="113C6FAC" w:rsidR="00231080" w:rsidRPr="003D4228" w:rsidRDefault="00231080" w:rsidP="00996114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D42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Minomet 81 mm </w:t>
            </w:r>
            <w:r w:rsidR="0099611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–</w:t>
            </w:r>
            <w:r w:rsidRPr="003D42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 nákup </w:t>
            </w: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14:paraId="58397E52" w14:textId="77777777" w:rsidR="00231080" w:rsidRPr="003D4228" w:rsidRDefault="00231080" w:rsidP="009B71E7">
            <w:pPr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3D4228">
              <w:rPr>
                <w:rFonts w:ascii="Calibri" w:hAnsi="Calibri" w:cs="Calibri"/>
                <w:bCs/>
                <w:sz w:val="18"/>
                <w:szCs w:val="18"/>
              </w:rPr>
              <w:t>46 417 306</w:t>
            </w:r>
          </w:p>
        </w:tc>
      </w:tr>
      <w:tr w:rsidR="00231080" w:rsidRPr="003D4228" w14:paraId="3D76AFED" w14:textId="77777777" w:rsidTr="003D4228">
        <w:trPr>
          <w:trHeight w:val="240"/>
        </w:trPr>
        <w:tc>
          <w:tcPr>
            <w:tcW w:w="853" w:type="dxa"/>
            <w:shd w:val="clear" w:color="auto" w:fill="004595"/>
            <w:noWrap/>
            <w:vAlign w:val="bottom"/>
            <w:hideMark/>
          </w:tcPr>
          <w:p w14:paraId="6B9C2960" w14:textId="77777777" w:rsidR="00231080" w:rsidRPr="003D4228" w:rsidRDefault="00231080" w:rsidP="009B71E7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3D4228"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  <w:t>107 630</w:t>
            </w:r>
          </w:p>
        </w:tc>
        <w:tc>
          <w:tcPr>
            <w:tcW w:w="1175" w:type="dxa"/>
            <w:shd w:val="clear" w:color="auto" w:fill="004595"/>
            <w:noWrap/>
            <w:vAlign w:val="bottom"/>
            <w:hideMark/>
          </w:tcPr>
          <w:p w14:paraId="60EC4694" w14:textId="77777777" w:rsidR="00231080" w:rsidRPr="003D4228" w:rsidRDefault="00231080" w:rsidP="009B71E7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3D4228"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  <w:t> </w:t>
            </w:r>
          </w:p>
        </w:tc>
        <w:tc>
          <w:tcPr>
            <w:tcW w:w="1361" w:type="dxa"/>
            <w:shd w:val="clear" w:color="auto" w:fill="004595"/>
            <w:noWrap/>
            <w:vAlign w:val="bottom"/>
            <w:hideMark/>
          </w:tcPr>
          <w:p w14:paraId="635C7B99" w14:textId="77777777" w:rsidR="00231080" w:rsidRPr="003D4228" w:rsidRDefault="00231080" w:rsidP="009B71E7">
            <w:pPr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3D4228"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  <w:t> </w:t>
            </w:r>
          </w:p>
        </w:tc>
        <w:tc>
          <w:tcPr>
            <w:tcW w:w="4760" w:type="dxa"/>
            <w:shd w:val="clear" w:color="auto" w:fill="004595"/>
            <w:noWrap/>
            <w:vAlign w:val="bottom"/>
            <w:hideMark/>
          </w:tcPr>
          <w:p w14:paraId="6DFE82A2" w14:textId="77777777" w:rsidR="00231080" w:rsidRPr="003D4228" w:rsidRDefault="00231080" w:rsidP="009B71E7">
            <w:pPr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3D4228"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  <w:t>Udržení a rozvoj schopností logistiky AČR</w:t>
            </w:r>
          </w:p>
        </w:tc>
        <w:tc>
          <w:tcPr>
            <w:tcW w:w="1347" w:type="dxa"/>
            <w:shd w:val="clear" w:color="auto" w:fill="004595"/>
            <w:noWrap/>
            <w:vAlign w:val="bottom"/>
            <w:hideMark/>
          </w:tcPr>
          <w:p w14:paraId="57E669D3" w14:textId="77777777" w:rsidR="00231080" w:rsidRPr="003D4228" w:rsidRDefault="00231080" w:rsidP="009B71E7">
            <w:pPr>
              <w:jc w:val="right"/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3D4228"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  <w:t> </w:t>
            </w:r>
          </w:p>
        </w:tc>
      </w:tr>
      <w:tr w:rsidR="00231080" w:rsidRPr="003D4228" w14:paraId="0CC56F8D" w14:textId="77777777" w:rsidTr="003D4228">
        <w:trPr>
          <w:trHeight w:val="240"/>
        </w:trPr>
        <w:tc>
          <w:tcPr>
            <w:tcW w:w="853" w:type="dxa"/>
            <w:shd w:val="clear" w:color="auto" w:fill="DDD6E7"/>
            <w:noWrap/>
            <w:vAlign w:val="bottom"/>
            <w:hideMark/>
          </w:tcPr>
          <w:p w14:paraId="0D47DCA2" w14:textId="77777777" w:rsidR="00231080" w:rsidRPr="003D4228" w:rsidRDefault="00231080" w:rsidP="009B71E7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D42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5" w:type="dxa"/>
            <w:shd w:val="clear" w:color="auto" w:fill="DDD6E7"/>
            <w:noWrap/>
            <w:vAlign w:val="bottom"/>
            <w:hideMark/>
          </w:tcPr>
          <w:p w14:paraId="18E7FBE9" w14:textId="77777777" w:rsidR="00231080" w:rsidRPr="003D4228" w:rsidRDefault="00231080" w:rsidP="009B71E7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D42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107 631</w:t>
            </w:r>
          </w:p>
        </w:tc>
        <w:tc>
          <w:tcPr>
            <w:tcW w:w="1361" w:type="dxa"/>
            <w:shd w:val="clear" w:color="auto" w:fill="DDD6E7"/>
            <w:noWrap/>
            <w:vAlign w:val="bottom"/>
            <w:hideMark/>
          </w:tcPr>
          <w:p w14:paraId="16B7D0F2" w14:textId="77777777" w:rsidR="00231080" w:rsidRPr="003D4228" w:rsidRDefault="00231080" w:rsidP="009B71E7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D42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60" w:type="dxa"/>
            <w:shd w:val="clear" w:color="auto" w:fill="DDD6E7"/>
            <w:noWrap/>
            <w:vAlign w:val="bottom"/>
            <w:hideMark/>
          </w:tcPr>
          <w:p w14:paraId="24D78957" w14:textId="77777777" w:rsidR="00231080" w:rsidRPr="003D4228" w:rsidRDefault="00231080" w:rsidP="009B71E7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D42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Udržení a rozvoj schopností logistiky AČR</w:t>
            </w:r>
          </w:p>
        </w:tc>
        <w:tc>
          <w:tcPr>
            <w:tcW w:w="1347" w:type="dxa"/>
            <w:shd w:val="clear" w:color="auto" w:fill="DDD6E7"/>
            <w:noWrap/>
            <w:vAlign w:val="bottom"/>
            <w:hideMark/>
          </w:tcPr>
          <w:p w14:paraId="7BBC95A2" w14:textId="77777777" w:rsidR="00231080" w:rsidRPr="003D4228" w:rsidRDefault="00231080" w:rsidP="009B71E7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D42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31080" w:rsidRPr="003D4228" w14:paraId="636CE40A" w14:textId="77777777" w:rsidTr="003D4228">
        <w:trPr>
          <w:trHeight w:val="240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0D5525E7" w14:textId="77777777" w:rsidR="00231080" w:rsidRPr="003D4228" w:rsidRDefault="00231080" w:rsidP="009B71E7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D42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169BD2CE" w14:textId="77777777" w:rsidR="00231080" w:rsidRPr="003D4228" w:rsidRDefault="00231080" w:rsidP="009B71E7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D42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2F2F20A" w14:textId="77777777" w:rsidR="00231080" w:rsidRPr="003D4228" w:rsidRDefault="00231080" w:rsidP="009B71E7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D42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107V631001302</w:t>
            </w:r>
          </w:p>
        </w:tc>
        <w:tc>
          <w:tcPr>
            <w:tcW w:w="4760" w:type="dxa"/>
            <w:shd w:val="clear" w:color="auto" w:fill="auto"/>
            <w:noWrap/>
            <w:vAlign w:val="bottom"/>
            <w:hideMark/>
          </w:tcPr>
          <w:p w14:paraId="6D3C553A" w14:textId="5694C5B1" w:rsidR="00231080" w:rsidRPr="003D4228" w:rsidRDefault="00231080" w:rsidP="00996114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D42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Cisternový automobil stříkací CAS </w:t>
            </w:r>
            <w:r w:rsidR="0099611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–</w:t>
            </w:r>
            <w:r w:rsidRPr="003D42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 nákup </w:t>
            </w: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14:paraId="3E9E8BFB" w14:textId="77777777" w:rsidR="00231080" w:rsidRPr="003D4228" w:rsidRDefault="00231080" w:rsidP="009B71E7">
            <w:pPr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3D4228">
              <w:rPr>
                <w:rFonts w:ascii="Calibri" w:hAnsi="Calibri" w:cs="Calibri"/>
                <w:bCs/>
                <w:sz w:val="18"/>
                <w:szCs w:val="18"/>
              </w:rPr>
              <w:t>29 982 832</w:t>
            </w:r>
          </w:p>
        </w:tc>
      </w:tr>
      <w:tr w:rsidR="00231080" w:rsidRPr="003D4228" w14:paraId="1F05C9C4" w14:textId="77777777" w:rsidTr="003D4228">
        <w:trPr>
          <w:trHeight w:val="240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637534E3" w14:textId="77777777" w:rsidR="00231080" w:rsidRPr="003D4228" w:rsidRDefault="00231080" w:rsidP="009B71E7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D42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227ADFD4" w14:textId="77777777" w:rsidR="00231080" w:rsidRPr="003D4228" w:rsidRDefault="00231080" w:rsidP="009B71E7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D42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EE9890D" w14:textId="77777777" w:rsidR="00231080" w:rsidRPr="003D4228" w:rsidRDefault="00231080" w:rsidP="009B71E7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D42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107V631001402</w:t>
            </w:r>
          </w:p>
        </w:tc>
        <w:tc>
          <w:tcPr>
            <w:tcW w:w="4760" w:type="dxa"/>
            <w:shd w:val="clear" w:color="auto" w:fill="auto"/>
            <w:noWrap/>
            <w:vAlign w:val="bottom"/>
            <w:hideMark/>
          </w:tcPr>
          <w:p w14:paraId="403BAB0A" w14:textId="2470F796" w:rsidR="00231080" w:rsidRPr="003D4228" w:rsidRDefault="00231080" w:rsidP="00996114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D42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Vyprošťovací vozidla </w:t>
            </w:r>
            <w:r w:rsidR="0099611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–</w:t>
            </w:r>
            <w:r w:rsidRPr="003D42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 nákup*</w:t>
            </w: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14:paraId="4C1D6703" w14:textId="77777777" w:rsidR="00231080" w:rsidRPr="003D4228" w:rsidRDefault="00231080" w:rsidP="009B71E7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D42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238 390 000</w:t>
            </w:r>
          </w:p>
        </w:tc>
      </w:tr>
      <w:tr w:rsidR="00231080" w:rsidRPr="003D4228" w14:paraId="7CC4033F" w14:textId="77777777" w:rsidTr="003D4228">
        <w:trPr>
          <w:trHeight w:val="240"/>
        </w:trPr>
        <w:tc>
          <w:tcPr>
            <w:tcW w:w="853" w:type="dxa"/>
            <w:shd w:val="clear" w:color="auto" w:fill="004595"/>
            <w:noWrap/>
            <w:vAlign w:val="bottom"/>
            <w:hideMark/>
          </w:tcPr>
          <w:p w14:paraId="3C1A185B" w14:textId="77777777" w:rsidR="00231080" w:rsidRPr="003D4228" w:rsidRDefault="00231080" w:rsidP="009B71E7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3D4228"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  <w:t>107 680</w:t>
            </w:r>
          </w:p>
        </w:tc>
        <w:tc>
          <w:tcPr>
            <w:tcW w:w="1175" w:type="dxa"/>
            <w:shd w:val="clear" w:color="auto" w:fill="004595"/>
            <w:noWrap/>
            <w:vAlign w:val="bottom"/>
            <w:hideMark/>
          </w:tcPr>
          <w:p w14:paraId="50251EB8" w14:textId="77777777" w:rsidR="00231080" w:rsidRPr="003D4228" w:rsidRDefault="00231080" w:rsidP="009B71E7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3D4228"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  <w:t> </w:t>
            </w:r>
          </w:p>
        </w:tc>
        <w:tc>
          <w:tcPr>
            <w:tcW w:w="1361" w:type="dxa"/>
            <w:shd w:val="clear" w:color="auto" w:fill="004595"/>
            <w:noWrap/>
            <w:vAlign w:val="bottom"/>
            <w:hideMark/>
          </w:tcPr>
          <w:p w14:paraId="3B185382" w14:textId="77777777" w:rsidR="00231080" w:rsidRPr="003D4228" w:rsidRDefault="00231080" w:rsidP="009B71E7">
            <w:pPr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3D4228"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  <w:t> </w:t>
            </w:r>
          </w:p>
        </w:tc>
        <w:tc>
          <w:tcPr>
            <w:tcW w:w="4760" w:type="dxa"/>
            <w:shd w:val="clear" w:color="auto" w:fill="004595"/>
            <w:noWrap/>
            <w:vAlign w:val="bottom"/>
            <w:hideMark/>
          </w:tcPr>
          <w:p w14:paraId="2F4873D3" w14:textId="77777777" w:rsidR="00231080" w:rsidRPr="003D4228" w:rsidRDefault="00231080" w:rsidP="009B71E7">
            <w:pPr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3D4228"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  <w:t>Udržení a rozvoj schopností pozemních sil AČR</w:t>
            </w:r>
          </w:p>
        </w:tc>
        <w:tc>
          <w:tcPr>
            <w:tcW w:w="1347" w:type="dxa"/>
            <w:shd w:val="clear" w:color="auto" w:fill="004595"/>
            <w:noWrap/>
            <w:vAlign w:val="bottom"/>
            <w:hideMark/>
          </w:tcPr>
          <w:p w14:paraId="09903814" w14:textId="77777777" w:rsidR="00231080" w:rsidRPr="003D4228" w:rsidRDefault="00231080" w:rsidP="009B71E7">
            <w:pPr>
              <w:jc w:val="right"/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3D4228"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  <w:t> </w:t>
            </w:r>
          </w:p>
        </w:tc>
      </w:tr>
      <w:tr w:rsidR="00231080" w:rsidRPr="003D4228" w14:paraId="198F1418" w14:textId="77777777" w:rsidTr="003D4228">
        <w:trPr>
          <w:trHeight w:val="240"/>
        </w:trPr>
        <w:tc>
          <w:tcPr>
            <w:tcW w:w="853" w:type="dxa"/>
            <w:shd w:val="clear" w:color="auto" w:fill="DDD6E7"/>
            <w:noWrap/>
            <w:vAlign w:val="bottom"/>
            <w:hideMark/>
          </w:tcPr>
          <w:p w14:paraId="06BD79A2" w14:textId="77777777" w:rsidR="00231080" w:rsidRPr="003D4228" w:rsidRDefault="00231080" w:rsidP="009B71E7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D42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5" w:type="dxa"/>
            <w:shd w:val="clear" w:color="auto" w:fill="DDD6E7"/>
            <w:noWrap/>
            <w:vAlign w:val="bottom"/>
            <w:hideMark/>
          </w:tcPr>
          <w:p w14:paraId="2DEFE523" w14:textId="77777777" w:rsidR="00231080" w:rsidRPr="003D4228" w:rsidRDefault="00231080" w:rsidP="009B71E7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D42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107 681</w:t>
            </w:r>
          </w:p>
        </w:tc>
        <w:tc>
          <w:tcPr>
            <w:tcW w:w="1361" w:type="dxa"/>
            <w:shd w:val="clear" w:color="auto" w:fill="DDD6E7"/>
            <w:noWrap/>
            <w:vAlign w:val="bottom"/>
            <w:hideMark/>
          </w:tcPr>
          <w:p w14:paraId="67364CC6" w14:textId="77777777" w:rsidR="00231080" w:rsidRPr="003D4228" w:rsidRDefault="00231080" w:rsidP="009B71E7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D42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60" w:type="dxa"/>
            <w:shd w:val="clear" w:color="auto" w:fill="DDD6E7"/>
            <w:noWrap/>
            <w:vAlign w:val="bottom"/>
            <w:hideMark/>
          </w:tcPr>
          <w:p w14:paraId="292C38B3" w14:textId="77777777" w:rsidR="00231080" w:rsidRPr="003D4228" w:rsidRDefault="00231080" w:rsidP="009B71E7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3D4228">
              <w:rPr>
                <w:rFonts w:ascii="Calibri" w:hAnsi="Calibri" w:cs="Calibri"/>
                <w:bCs/>
                <w:sz w:val="18"/>
                <w:szCs w:val="18"/>
              </w:rPr>
              <w:t xml:space="preserve">Udržení a rozvoj schopností bojových prvků pozemních sil </w:t>
            </w:r>
          </w:p>
        </w:tc>
        <w:tc>
          <w:tcPr>
            <w:tcW w:w="1347" w:type="dxa"/>
            <w:shd w:val="clear" w:color="auto" w:fill="DDD6E7"/>
            <w:noWrap/>
            <w:vAlign w:val="bottom"/>
            <w:hideMark/>
          </w:tcPr>
          <w:p w14:paraId="2087ECAB" w14:textId="77777777" w:rsidR="00231080" w:rsidRPr="003D4228" w:rsidRDefault="00231080" w:rsidP="009B71E7">
            <w:pPr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D42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31080" w:rsidRPr="003D4228" w14:paraId="46D1E774" w14:textId="77777777" w:rsidTr="003D4228">
        <w:trPr>
          <w:trHeight w:val="240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2102AA7F" w14:textId="77777777" w:rsidR="00231080" w:rsidRPr="003D4228" w:rsidRDefault="00231080" w:rsidP="009B71E7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D42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7E539270" w14:textId="77777777" w:rsidR="00231080" w:rsidRPr="003D4228" w:rsidRDefault="00231080" w:rsidP="009B71E7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D42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725DDC1" w14:textId="77777777" w:rsidR="00231080" w:rsidRPr="003D4228" w:rsidRDefault="00231080" w:rsidP="009B71E7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D42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107V681001604</w:t>
            </w:r>
          </w:p>
        </w:tc>
        <w:tc>
          <w:tcPr>
            <w:tcW w:w="4760" w:type="dxa"/>
            <w:shd w:val="clear" w:color="auto" w:fill="auto"/>
            <w:noWrap/>
            <w:vAlign w:val="bottom"/>
            <w:hideMark/>
          </w:tcPr>
          <w:p w14:paraId="32B913C0" w14:textId="1CD6F8A1" w:rsidR="00231080" w:rsidRPr="003D4228" w:rsidRDefault="00231080" w:rsidP="00996114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D42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Útočná puška </w:t>
            </w:r>
            <w:r w:rsidR="0099611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–</w:t>
            </w:r>
            <w:r w:rsidRPr="003D42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 nákup*</w:t>
            </w: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14:paraId="0137700A" w14:textId="77777777" w:rsidR="00231080" w:rsidRPr="003D4228" w:rsidRDefault="00231080" w:rsidP="009B71E7">
            <w:pPr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3D4228">
              <w:rPr>
                <w:rFonts w:ascii="Calibri" w:hAnsi="Calibri" w:cs="Calibri"/>
                <w:bCs/>
                <w:sz w:val="18"/>
                <w:szCs w:val="18"/>
              </w:rPr>
              <w:t>195 952 133</w:t>
            </w:r>
          </w:p>
        </w:tc>
      </w:tr>
      <w:tr w:rsidR="00231080" w:rsidRPr="003D4228" w14:paraId="453EF623" w14:textId="77777777" w:rsidTr="003D4228">
        <w:trPr>
          <w:trHeight w:val="240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7DA93357" w14:textId="77777777" w:rsidR="00231080" w:rsidRPr="003D4228" w:rsidRDefault="00231080" w:rsidP="009B71E7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D42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5F2392FB" w14:textId="77777777" w:rsidR="00231080" w:rsidRPr="003D4228" w:rsidRDefault="00231080" w:rsidP="009B71E7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D42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2CA831E" w14:textId="77777777" w:rsidR="00231080" w:rsidRPr="003D4228" w:rsidRDefault="00231080" w:rsidP="009B71E7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D42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107V681001605</w:t>
            </w:r>
          </w:p>
        </w:tc>
        <w:tc>
          <w:tcPr>
            <w:tcW w:w="4760" w:type="dxa"/>
            <w:shd w:val="clear" w:color="auto" w:fill="auto"/>
            <w:noWrap/>
            <w:vAlign w:val="bottom"/>
            <w:hideMark/>
          </w:tcPr>
          <w:p w14:paraId="5E15113B" w14:textId="7E0D08BC" w:rsidR="00231080" w:rsidRPr="003D4228" w:rsidRDefault="00231080" w:rsidP="00996114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D42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Denní zaměřovače a značkovač k </w:t>
            </w:r>
            <w:proofErr w:type="gramStart"/>
            <w:r w:rsidRPr="003D42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ÚP</w:t>
            </w:r>
            <w:proofErr w:type="gramEnd"/>
            <w:r w:rsidRPr="003D42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 </w:t>
            </w:r>
            <w:r w:rsidR="0099611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–</w:t>
            </w:r>
            <w:r w:rsidRPr="003D42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 nákup*</w:t>
            </w: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14:paraId="6942DDAC" w14:textId="77777777" w:rsidR="00231080" w:rsidRPr="003D4228" w:rsidRDefault="00231080" w:rsidP="009B71E7">
            <w:pPr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3D4228">
              <w:rPr>
                <w:rFonts w:ascii="Calibri" w:hAnsi="Calibri" w:cs="Calibri"/>
                <w:bCs/>
                <w:sz w:val="18"/>
                <w:szCs w:val="18"/>
              </w:rPr>
              <w:t>72 361 969</w:t>
            </w:r>
          </w:p>
        </w:tc>
      </w:tr>
      <w:tr w:rsidR="00231080" w:rsidRPr="003D4228" w14:paraId="1F869BC5" w14:textId="77777777" w:rsidTr="003D4228">
        <w:trPr>
          <w:trHeight w:val="240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1B7570B6" w14:textId="77777777" w:rsidR="00231080" w:rsidRPr="003D4228" w:rsidRDefault="00231080" w:rsidP="009B71E7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D42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0371C159" w14:textId="77777777" w:rsidR="00231080" w:rsidRPr="003D4228" w:rsidRDefault="00231080" w:rsidP="009B71E7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D42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E1334E5" w14:textId="77777777" w:rsidR="00231080" w:rsidRPr="003D4228" w:rsidRDefault="00231080" w:rsidP="009B71E7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D42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107V681001606</w:t>
            </w:r>
          </w:p>
        </w:tc>
        <w:tc>
          <w:tcPr>
            <w:tcW w:w="4760" w:type="dxa"/>
            <w:shd w:val="clear" w:color="auto" w:fill="auto"/>
            <w:noWrap/>
            <w:vAlign w:val="bottom"/>
            <w:hideMark/>
          </w:tcPr>
          <w:p w14:paraId="01E10C90" w14:textId="551502BD" w:rsidR="00231080" w:rsidRPr="003D4228" w:rsidRDefault="00231080" w:rsidP="00996114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D42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Přídavný noční dalekohled k </w:t>
            </w:r>
            <w:proofErr w:type="gramStart"/>
            <w:r w:rsidRPr="003D42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ÚP</w:t>
            </w:r>
            <w:proofErr w:type="gramEnd"/>
            <w:r w:rsidRPr="003D42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 </w:t>
            </w:r>
            <w:r w:rsidR="0099611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–</w:t>
            </w:r>
            <w:r w:rsidRPr="003D42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 nákup*</w:t>
            </w: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14:paraId="31AB9BD9" w14:textId="77777777" w:rsidR="00231080" w:rsidRPr="003D4228" w:rsidRDefault="00231080" w:rsidP="009B71E7">
            <w:pPr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3D4228">
              <w:rPr>
                <w:rFonts w:ascii="Calibri" w:hAnsi="Calibri" w:cs="Calibri"/>
                <w:bCs/>
                <w:sz w:val="18"/>
                <w:szCs w:val="18"/>
              </w:rPr>
              <w:t>191 762 464</w:t>
            </w:r>
          </w:p>
        </w:tc>
      </w:tr>
      <w:tr w:rsidR="00231080" w:rsidRPr="003D4228" w14:paraId="61B4958D" w14:textId="77777777" w:rsidTr="003D4228">
        <w:trPr>
          <w:trHeight w:val="240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0A128712" w14:textId="77777777" w:rsidR="00231080" w:rsidRPr="003D4228" w:rsidRDefault="00231080" w:rsidP="009B71E7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D42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03D4815A" w14:textId="77777777" w:rsidR="00231080" w:rsidRPr="003D4228" w:rsidRDefault="00231080" w:rsidP="009B71E7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D42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A731BEF" w14:textId="77777777" w:rsidR="00231080" w:rsidRPr="003D4228" w:rsidRDefault="00231080" w:rsidP="009B71E7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D42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107V681001607</w:t>
            </w:r>
          </w:p>
        </w:tc>
        <w:tc>
          <w:tcPr>
            <w:tcW w:w="4760" w:type="dxa"/>
            <w:shd w:val="clear" w:color="auto" w:fill="auto"/>
            <w:noWrap/>
            <w:vAlign w:val="bottom"/>
            <w:hideMark/>
          </w:tcPr>
          <w:p w14:paraId="7D03692D" w14:textId="221702F9" w:rsidR="00231080" w:rsidRPr="003D4228" w:rsidRDefault="00231080" w:rsidP="00996114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D42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Podvěsný granátomet k </w:t>
            </w:r>
            <w:proofErr w:type="gramStart"/>
            <w:r w:rsidRPr="003D42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ÚP</w:t>
            </w:r>
            <w:proofErr w:type="gramEnd"/>
            <w:r w:rsidRPr="003D42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 </w:t>
            </w:r>
            <w:r w:rsidR="0099611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–</w:t>
            </w:r>
            <w:r w:rsidRPr="003D42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 nákup*</w:t>
            </w: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14:paraId="06E6DCE3" w14:textId="77777777" w:rsidR="00231080" w:rsidRPr="003D4228" w:rsidRDefault="00231080" w:rsidP="009B71E7">
            <w:pPr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3D4228">
              <w:rPr>
                <w:rFonts w:ascii="Calibri" w:hAnsi="Calibri" w:cs="Calibri"/>
                <w:bCs/>
                <w:sz w:val="18"/>
                <w:szCs w:val="18"/>
              </w:rPr>
              <w:t>30 114 480</w:t>
            </w:r>
          </w:p>
        </w:tc>
      </w:tr>
      <w:tr w:rsidR="00231080" w:rsidRPr="003D4228" w14:paraId="644FBD20" w14:textId="77777777" w:rsidTr="003D4228">
        <w:trPr>
          <w:trHeight w:val="240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14:paraId="67DA3F0D" w14:textId="77777777" w:rsidR="00231080" w:rsidRPr="003D4228" w:rsidRDefault="00231080" w:rsidP="009B71E7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D42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3AB1C717" w14:textId="77777777" w:rsidR="00231080" w:rsidRPr="003D4228" w:rsidRDefault="00231080" w:rsidP="009B71E7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D42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12F9060" w14:textId="77777777" w:rsidR="00231080" w:rsidRPr="003D4228" w:rsidRDefault="00231080" w:rsidP="009B71E7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D42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107V681001609</w:t>
            </w:r>
          </w:p>
        </w:tc>
        <w:tc>
          <w:tcPr>
            <w:tcW w:w="4760" w:type="dxa"/>
            <w:shd w:val="clear" w:color="auto" w:fill="auto"/>
            <w:noWrap/>
            <w:vAlign w:val="bottom"/>
            <w:hideMark/>
          </w:tcPr>
          <w:p w14:paraId="28C2969B" w14:textId="67D9DD07" w:rsidR="00231080" w:rsidRPr="003D4228" w:rsidRDefault="00231080" w:rsidP="00996114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D42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Náhradní díly, nářadí a příslušenství k ÚP a PG </w:t>
            </w:r>
            <w:r w:rsidR="00996114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–</w:t>
            </w:r>
            <w:r w:rsidRPr="003D422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 nákup*</w:t>
            </w:r>
          </w:p>
        </w:tc>
        <w:tc>
          <w:tcPr>
            <w:tcW w:w="1347" w:type="dxa"/>
            <w:shd w:val="clear" w:color="auto" w:fill="auto"/>
            <w:noWrap/>
            <w:vAlign w:val="bottom"/>
            <w:hideMark/>
          </w:tcPr>
          <w:p w14:paraId="4C188915" w14:textId="77777777" w:rsidR="00231080" w:rsidRPr="003D4228" w:rsidRDefault="00231080" w:rsidP="009B71E7">
            <w:pPr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3D4228">
              <w:rPr>
                <w:rFonts w:ascii="Calibri" w:hAnsi="Calibri" w:cs="Calibri"/>
                <w:bCs/>
                <w:sz w:val="18"/>
                <w:szCs w:val="18"/>
              </w:rPr>
              <w:t>14 416 611</w:t>
            </w:r>
          </w:p>
        </w:tc>
      </w:tr>
      <w:tr w:rsidR="00231080" w:rsidRPr="003D4228" w14:paraId="1EED8A82" w14:textId="77777777" w:rsidTr="003D4228">
        <w:trPr>
          <w:trHeight w:val="240"/>
        </w:trPr>
        <w:tc>
          <w:tcPr>
            <w:tcW w:w="3389" w:type="dxa"/>
            <w:gridSpan w:val="3"/>
            <w:shd w:val="clear" w:color="auto" w:fill="004595"/>
            <w:noWrap/>
            <w:vAlign w:val="bottom"/>
            <w:hideMark/>
          </w:tcPr>
          <w:p w14:paraId="62174DF0" w14:textId="77777777" w:rsidR="00231080" w:rsidRPr="003D4228" w:rsidRDefault="00231080" w:rsidP="009B71E7">
            <w:pPr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3D4228"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  <w:t>Celkem za kontrolované akce</w:t>
            </w:r>
          </w:p>
        </w:tc>
        <w:tc>
          <w:tcPr>
            <w:tcW w:w="4760" w:type="dxa"/>
            <w:shd w:val="clear" w:color="auto" w:fill="004595"/>
            <w:noWrap/>
            <w:vAlign w:val="bottom"/>
            <w:hideMark/>
          </w:tcPr>
          <w:p w14:paraId="3315DDCF" w14:textId="77777777" w:rsidR="00231080" w:rsidRPr="003D4228" w:rsidRDefault="00231080" w:rsidP="009B71E7">
            <w:pPr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3D4228"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  <w:t> </w:t>
            </w:r>
          </w:p>
        </w:tc>
        <w:tc>
          <w:tcPr>
            <w:tcW w:w="1347" w:type="dxa"/>
            <w:shd w:val="clear" w:color="auto" w:fill="004595"/>
            <w:noWrap/>
            <w:vAlign w:val="bottom"/>
            <w:hideMark/>
          </w:tcPr>
          <w:p w14:paraId="68EB1E12" w14:textId="219F6337" w:rsidR="00231080" w:rsidRPr="003D4228" w:rsidRDefault="00231080" w:rsidP="007F2B8B">
            <w:pPr>
              <w:jc w:val="right"/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3D4228"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  <w:t>3 283 298 00</w:t>
            </w:r>
            <w:r w:rsidR="007F2B8B" w:rsidRPr="003D4228"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  <w:t>4</w:t>
            </w:r>
          </w:p>
        </w:tc>
      </w:tr>
    </w:tbl>
    <w:p w14:paraId="5D7A9160" w14:textId="1283AD6B" w:rsidR="00996114" w:rsidRPr="00965E6A" w:rsidRDefault="00996114" w:rsidP="00996114">
      <w:pPr>
        <w:jc w:val="both"/>
        <w:rPr>
          <w:rFonts w:asciiTheme="minorHAnsi" w:hAnsiTheme="minorHAnsi"/>
          <w:sz w:val="20"/>
          <w:szCs w:val="20"/>
        </w:rPr>
      </w:pPr>
      <w:r w:rsidRPr="00965E6A">
        <w:rPr>
          <w:rFonts w:asciiTheme="minorHAnsi" w:hAnsiTheme="minorHAnsi"/>
          <w:sz w:val="20"/>
          <w:szCs w:val="20"/>
        </w:rPr>
        <w:t>*Akce ne</w:t>
      </w:r>
      <w:r w:rsidR="008752DB">
        <w:rPr>
          <w:rFonts w:asciiTheme="minorHAnsi" w:hAnsiTheme="minorHAnsi"/>
          <w:sz w:val="20"/>
          <w:szCs w:val="20"/>
        </w:rPr>
        <w:t>ní</w:t>
      </w:r>
      <w:r w:rsidRPr="00965E6A">
        <w:rPr>
          <w:rFonts w:asciiTheme="minorHAnsi" w:hAnsiTheme="minorHAnsi"/>
          <w:sz w:val="20"/>
          <w:szCs w:val="20"/>
        </w:rPr>
        <w:t xml:space="preserve"> zatím dokončen</w:t>
      </w:r>
      <w:r w:rsidR="008752DB">
        <w:rPr>
          <w:rFonts w:asciiTheme="minorHAnsi" w:hAnsiTheme="minorHAnsi"/>
          <w:sz w:val="20"/>
          <w:szCs w:val="20"/>
        </w:rPr>
        <w:t>a</w:t>
      </w:r>
      <w:r w:rsidRPr="00965E6A">
        <w:rPr>
          <w:rFonts w:asciiTheme="minorHAnsi" w:hAnsiTheme="minorHAnsi"/>
          <w:sz w:val="20"/>
          <w:szCs w:val="20"/>
        </w:rPr>
        <w:t xml:space="preserve"> a dofinancován</w:t>
      </w:r>
      <w:r w:rsidR="008752DB">
        <w:rPr>
          <w:rFonts w:asciiTheme="minorHAnsi" w:hAnsiTheme="minorHAnsi"/>
          <w:sz w:val="20"/>
          <w:szCs w:val="20"/>
        </w:rPr>
        <w:t>a</w:t>
      </w:r>
      <w:r w:rsidRPr="00965E6A">
        <w:rPr>
          <w:rFonts w:asciiTheme="minorHAnsi" w:hAnsiTheme="minorHAnsi"/>
          <w:sz w:val="20"/>
          <w:szCs w:val="20"/>
        </w:rPr>
        <w:t>, peněžní prostředky jsou uvedeny ve výši dle uzavřené smlouvy.</w:t>
      </w:r>
    </w:p>
    <w:p w14:paraId="68432548" w14:textId="7D52D619" w:rsidR="003D4228" w:rsidRDefault="00FE3919" w:rsidP="003D4228">
      <w:pPr>
        <w:ind w:left="567" w:hanging="567"/>
        <w:jc w:val="both"/>
        <w:rPr>
          <w:rFonts w:asciiTheme="minorHAnsi" w:hAnsiTheme="minorHAnsi"/>
          <w:sz w:val="20"/>
          <w:szCs w:val="20"/>
        </w:rPr>
      </w:pPr>
      <w:r w:rsidRPr="00434EF9">
        <w:rPr>
          <w:rFonts w:asciiTheme="minorHAnsi" w:hAnsiTheme="minorHAnsi"/>
          <w:b/>
          <w:sz w:val="20"/>
          <w:szCs w:val="20"/>
        </w:rPr>
        <w:t>Pozn</w:t>
      </w:r>
      <w:r w:rsidR="003D4228">
        <w:rPr>
          <w:rFonts w:asciiTheme="minorHAnsi" w:hAnsiTheme="minorHAnsi"/>
          <w:b/>
          <w:sz w:val="20"/>
          <w:szCs w:val="20"/>
        </w:rPr>
        <w:t>.</w:t>
      </w:r>
      <w:r w:rsidR="00434EF9" w:rsidRPr="00434EF9">
        <w:rPr>
          <w:rFonts w:asciiTheme="minorHAnsi" w:hAnsiTheme="minorHAnsi"/>
          <w:b/>
          <w:sz w:val="20"/>
          <w:szCs w:val="20"/>
        </w:rPr>
        <w:t>:</w:t>
      </w:r>
      <w:r w:rsidR="00434EF9">
        <w:rPr>
          <w:rFonts w:asciiTheme="minorHAnsi" w:hAnsiTheme="minorHAnsi"/>
          <w:sz w:val="20"/>
          <w:szCs w:val="20"/>
        </w:rPr>
        <w:t xml:space="preserve"> </w:t>
      </w:r>
      <w:r w:rsidRPr="00965E6A">
        <w:rPr>
          <w:rFonts w:asciiTheme="minorHAnsi" w:hAnsiTheme="minorHAnsi"/>
          <w:sz w:val="20"/>
          <w:szCs w:val="20"/>
        </w:rPr>
        <w:t xml:space="preserve">ÚP </w:t>
      </w:r>
      <w:r w:rsidR="003D4228">
        <w:rPr>
          <w:rFonts w:asciiTheme="minorHAnsi" w:hAnsiTheme="minorHAnsi"/>
          <w:sz w:val="20"/>
          <w:szCs w:val="20"/>
        </w:rPr>
        <w:t>–</w:t>
      </w:r>
      <w:r w:rsidRPr="00965E6A">
        <w:rPr>
          <w:rFonts w:asciiTheme="minorHAnsi" w:hAnsiTheme="minorHAnsi"/>
          <w:sz w:val="20"/>
          <w:szCs w:val="20"/>
        </w:rPr>
        <w:t xml:space="preserve"> útočná puška, PG </w:t>
      </w:r>
      <w:r w:rsidR="003D4228">
        <w:rPr>
          <w:rFonts w:asciiTheme="minorHAnsi" w:hAnsiTheme="minorHAnsi"/>
          <w:sz w:val="20"/>
          <w:szCs w:val="20"/>
        </w:rPr>
        <w:t>–</w:t>
      </w:r>
      <w:r w:rsidRPr="00965E6A">
        <w:rPr>
          <w:rFonts w:asciiTheme="minorHAnsi" w:hAnsiTheme="minorHAnsi"/>
          <w:sz w:val="20"/>
          <w:szCs w:val="20"/>
        </w:rPr>
        <w:t xml:space="preserve"> podvěsný granátomet</w:t>
      </w:r>
      <w:r w:rsidR="00434EF9">
        <w:rPr>
          <w:rFonts w:asciiTheme="minorHAnsi" w:hAnsiTheme="minorHAnsi"/>
          <w:sz w:val="20"/>
          <w:szCs w:val="20"/>
        </w:rPr>
        <w:t xml:space="preserve">, </w:t>
      </w:r>
      <w:r w:rsidR="00873B2C">
        <w:rPr>
          <w:rFonts w:asciiTheme="minorHAnsi" w:hAnsiTheme="minorHAnsi"/>
          <w:sz w:val="20"/>
          <w:szCs w:val="20"/>
        </w:rPr>
        <w:t xml:space="preserve">CAS </w:t>
      </w:r>
      <w:r w:rsidR="003D4228">
        <w:rPr>
          <w:rFonts w:asciiTheme="minorHAnsi" w:hAnsiTheme="minorHAnsi"/>
          <w:sz w:val="20"/>
          <w:szCs w:val="20"/>
        </w:rPr>
        <w:t>–</w:t>
      </w:r>
      <w:r w:rsidR="00873B2C">
        <w:rPr>
          <w:rFonts w:asciiTheme="minorHAnsi" w:hAnsiTheme="minorHAnsi"/>
          <w:sz w:val="20"/>
          <w:szCs w:val="20"/>
        </w:rPr>
        <w:t xml:space="preserve"> c</w:t>
      </w:r>
      <w:r w:rsidR="00873B2C" w:rsidRPr="00873B2C">
        <w:rPr>
          <w:rFonts w:asciiTheme="minorHAnsi" w:hAnsiTheme="minorHAnsi"/>
          <w:sz w:val="20"/>
          <w:szCs w:val="20"/>
        </w:rPr>
        <w:t>isternový automobil stříkací</w:t>
      </w:r>
      <w:r w:rsidR="00873B2C">
        <w:rPr>
          <w:rFonts w:asciiTheme="minorHAnsi" w:hAnsiTheme="minorHAnsi"/>
          <w:sz w:val="20"/>
          <w:szCs w:val="20"/>
        </w:rPr>
        <w:t xml:space="preserve"> </w:t>
      </w:r>
    </w:p>
    <w:p w14:paraId="4F9154CD" w14:textId="6DEC65D4" w:rsidR="009B71E7" w:rsidRPr="00965E6A" w:rsidRDefault="009B71E7" w:rsidP="003D4228">
      <w:pPr>
        <w:ind w:left="567" w:hanging="567"/>
        <w:jc w:val="both"/>
        <w:rPr>
          <w:rFonts w:asciiTheme="minorHAnsi" w:hAnsiTheme="minorHAnsi"/>
          <w:sz w:val="20"/>
          <w:szCs w:val="20"/>
        </w:rPr>
      </w:pPr>
      <w:r w:rsidRPr="00434EF9">
        <w:rPr>
          <w:rFonts w:asciiTheme="minorHAnsi" w:hAnsiTheme="minorHAnsi"/>
          <w:b/>
          <w:sz w:val="20"/>
          <w:szCs w:val="20"/>
        </w:rPr>
        <w:t>Zdroj:</w:t>
      </w:r>
      <w:r w:rsidRPr="00965E6A">
        <w:rPr>
          <w:rFonts w:asciiTheme="minorHAnsi" w:hAnsiTheme="minorHAnsi"/>
          <w:sz w:val="20"/>
          <w:szCs w:val="20"/>
        </w:rPr>
        <w:t xml:space="preserve"> </w:t>
      </w:r>
      <w:r w:rsidR="00996114">
        <w:rPr>
          <w:rFonts w:asciiTheme="minorHAnsi" w:hAnsiTheme="minorHAnsi"/>
          <w:sz w:val="20"/>
          <w:szCs w:val="20"/>
        </w:rPr>
        <w:t>d</w:t>
      </w:r>
      <w:r w:rsidRPr="00965E6A">
        <w:rPr>
          <w:rFonts w:asciiTheme="minorHAnsi" w:hAnsiTheme="minorHAnsi"/>
          <w:sz w:val="20"/>
          <w:szCs w:val="20"/>
        </w:rPr>
        <w:t>okumentace akcí předložená MO.</w:t>
      </w:r>
    </w:p>
    <w:p w14:paraId="1D6ADFB4" w14:textId="77777777" w:rsidR="00FE3919" w:rsidRDefault="00FE3919" w:rsidP="002663D7">
      <w:pPr>
        <w:jc w:val="both"/>
        <w:rPr>
          <w:rFonts w:ascii="Calibri" w:hAnsi="Calibri" w:cs="Calibri"/>
          <w:b/>
        </w:rPr>
      </w:pPr>
    </w:p>
    <w:p w14:paraId="5F9BD8A6" w14:textId="77777777" w:rsidR="001E3922" w:rsidRDefault="001E3922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 w:type="page"/>
      </w:r>
    </w:p>
    <w:p w14:paraId="6ABEA179" w14:textId="2659D70D" w:rsidR="009B71E7" w:rsidRDefault="009B71E7" w:rsidP="003D4228">
      <w:pPr>
        <w:spacing w:after="12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>Seznam zkratek</w:t>
      </w:r>
    </w:p>
    <w:tbl>
      <w:tblPr>
        <w:tblW w:w="924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4"/>
        <w:gridCol w:w="7937"/>
      </w:tblGrid>
      <w:tr w:rsidR="007D5282" w:rsidRPr="003D4228" w14:paraId="3AB0CB3E" w14:textId="77777777" w:rsidTr="003D4228">
        <w:trPr>
          <w:trHeight w:val="227"/>
        </w:trPr>
        <w:tc>
          <w:tcPr>
            <w:tcW w:w="1304" w:type="dxa"/>
            <w:shd w:val="clear" w:color="auto" w:fill="auto"/>
            <w:noWrap/>
            <w:hideMark/>
          </w:tcPr>
          <w:p w14:paraId="40F9BE7A" w14:textId="77777777" w:rsidR="007D5282" w:rsidRPr="003D4228" w:rsidRDefault="007D5282" w:rsidP="003D4228">
            <w:pPr>
              <w:spacing w:before="40" w:after="40"/>
              <w:rPr>
                <w:rFonts w:ascii="Calibri" w:hAnsi="Calibri" w:cs="Calibri"/>
                <w:color w:val="000000"/>
              </w:rPr>
            </w:pPr>
            <w:r w:rsidRPr="003D4228">
              <w:rPr>
                <w:rFonts w:ascii="Calibri" w:hAnsi="Calibri" w:cs="Calibri"/>
                <w:color w:val="000000"/>
              </w:rPr>
              <w:t>AČR</w:t>
            </w:r>
          </w:p>
        </w:tc>
        <w:tc>
          <w:tcPr>
            <w:tcW w:w="7937" w:type="dxa"/>
            <w:shd w:val="clear" w:color="auto" w:fill="auto"/>
            <w:noWrap/>
            <w:hideMark/>
          </w:tcPr>
          <w:p w14:paraId="480D20D1" w14:textId="77777777" w:rsidR="007D5282" w:rsidRPr="003D4228" w:rsidRDefault="007D5282" w:rsidP="003D4228">
            <w:pPr>
              <w:spacing w:before="40" w:after="40"/>
              <w:rPr>
                <w:rFonts w:ascii="Calibri" w:hAnsi="Calibri" w:cs="Calibri"/>
                <w:color w:val="000000"/>
              </w:rPr>
            </w:pPr>
            <w:r w:rsidRPr="003D4228">
              <w:rPr>
                <w:rFonts w:ascii="Calibri" w:hAnsi="Calibri" w:cs="Calibri"/>
                <w:color w:val="000000"/>
              </w:rPr>
              <w:t xml:space="preserve">Armáda České republiky </w:t>
            </w:r>
          </w:p>
        </w:tc>
      </w:tr>
      <w:tr w:rsidR="007D5282" w:rsidRPr="003D4228" w14:paraId="26482503" w14:textId="77777777" w:rsidTr="003D4228">
        <w:trPr>
          <w:trHeight w:val="227"/>
        </w:trPr>
        <w:tc>
          <w:tcPr>
            <w:tcW w:w="1304" w:type="dxa"/>
            <w:shd w:val="clear" w:color="auto" w:fill="auto"/>
            <w:noWrap/>
            <w:hideMark/>
          </w:tcPr>
          <w:p w14:paraId="2B71D0C8" w14:textId="77777777" w:rsidR="007D5282" w:rsidRPr="003D4228" w:rsidRDefault="007D5282" w:rsidP="003D4228">
            <w:pPr>
              <w:spacing w:before="40" w:after="40"/>
              <w:rPr>
                <w:rFonts w:ascii="Calibri" w:hAnsi="Calibri" w:cs="Calibri"/>
                <w:color w:val="000000"/>
              </w:rPr>
            </w:pPr>
            <w:r w:rsidRPr="003D4228">
              <w:rPr>
                <w:rFonts w:ascii="Calibri" w:hAnsi="Calibri" w:cs="Calibri"/>
                <w:color w:val="000000"/>
              </w:rPr>
              <w:t>BKO</w:t>
            </w:r>
          </w:p>
        </w:tc>
        <w:tc>
          <w:tcPr>
            <w:tcW w:w="7937" w:type="dxa"/>
            <w:shd w:val="clear" w:color="auto" w:fill="auto"/>
            <w:noWrap/>
            <w:hideMark/>
          </w:tcPr>
          <w:p w14:paraId="48635888" w14:textId="77777777" w:rsidR="007D5282" w:rsidRPr="00F035F1" w:rsidRDefault="007D5282" w:rsidP="003D4228">
            <w:pPr>
              <w:spacing w:before="40" w:after="40"/>
              <w:rPr>
                <w:rFonts w:ascii="Calibri" w:hAnsi="Calibri" w:cs="Calibri"/>
                <w:i/>
                <w:color w:val="000000"/>
              </w:rPr>
            </w:pPr>
            <w:r w:rsidRPr="00F035F1">
              <w:rPr>
                <w:rFonts w:ascii="Calibri" w:hAnsi="Calibri" w:cs="Calibri"/>
                <w:i/>
                <w:color w:val="000000"/>
              </w:rPr>
              <w:t xml:space="preserve">Bílá kniha o obraně </w:t>
            </w:r>
          </w:p>
        </w:tc>
      </w:tr>
      <w:tr w:rsidR="007D5282" w:rsidRPr="003D4228" w14:paraId="0CD79C0E" w14:textId="77777777" w:rsidTr="003D4228">
        <w:trPr>
          <w:trHeight w:val="227"/>
        </w:trPr>
        <w:tc>
          <w:tcPr>
            <w:tcW w:w="1304" w:type="dxa"/>
            <w:shd w:val="clear" w:color="auto" w:fill="auto"/>
            <w:noWrap/>
            <w:hideMark/>
          </w:tcPr>
          <w:p w14:paraId="71E4A605" w14:textId="77777777" w:rsidR="007D5282" w:rsidRPr="003D4228" w:rsidRDefault="007D5282" w:rsidP="003D4228">
            <w:pPr>
              <w:spacing w:before="40" w:after="40"/>
              <w:rPr>
                <w:rFonts w:ascii="Calibri" w:hAnsi="Calibri" w:cs="Calibri"/>
                <w:color w:val="000000"/>
              </w:rPr>
            </w:pPr>
            <w:r w:rsidRPr="003D4228">
              <w:rPr>
                <w:rFonts w:ascii="Calibri" w:hAnsi="Calibri" w:cs="Calibri"/>
                <w:color w:val="000000"/>
              </w:rPr>
              <w:t>ČR</w:t>
            </w:r>
          </w:p>
        </w:tc>
        <w:tc>
          <w:tcPr>
            <w:tcW w:w="7937" w:type="dxa"/>
            <w:shd w:val="clear" w:color="auto" w:fill="auto"/>
            <w:noWrap/>
            <w:hideMark/>
          </w:tcPr>
          <w:p w14:paraId="6BC2021A" w14:textId="77777777" w:rsidR="007D5282" w:rsidRPr="003D4228" w:rsidRDefault="007D5282" w:rsidP="003D4228">
            <w:pPr>
              <w:spacing w:before="40" w:after="40"/>
              <w:rPr>
                <w:rFonts w:ascii="Calibri" w:hAnsi="Calibri" w:cs="Calibri"/>
                <w:color w:val="000000"/>
              </w:rPr>
            </w:pPr>
            <w:r w:rsidRPr="003D4228">
              <w:rPr>
                <w:rFonts w:ascii="Calibri" w:hAnsi="Calibri" w:cs="Calibri"/>
                <w:color w:val="000000"/>
              </w:rPr>
              <w:t>Česká republika</w:t>
            </w:r>
          </w:p>
        </w:tc>
      </w:tr>
      <w:tr w:rsidR="00196098" w:rsidRPr="003D4228" w14:paraId="3DAA6610" w14:textId="77777777" w:rsidTr="003D4228">
        <w:trPr>
          <w:trHeight w:val="227"/>
        </w:trPr>
        <w:tc>
          <w:tcPr>
            <w:tcW w:w="1304" w:type="dxa"/>
            <w:shd w:val="clear" w:color="auto" w:fill="auto"/>
            <w:noWrap/>
          </w:tcPr>
          <w:p w14:paraId="109DDAE7" w14:textId="4D1A3DB1" w:rsidR="00196098" w:rsidRPr="003D4228" w:rsidRDefault="00196098" w:rsidP="003D4228">
            <w:pPr>
              <w:spacing w:before="40" w:after="40"/>
              <w:rPr>
                <w:rFonts w:ascii="Calibri" w:hAnsi="Calibri" w:cs="Calibri"/>
                <w:color w:val="000000"/>
              </w:rPr>
            </w:pPr>
            <w:r w:rsidRPr="003D4228">
              <w:rPr>
                <w:rFonts w:ascii="Calibri" w:hAnsi="Calibri" w:cs="Calibri"/>
                <w:color w:val="000000"/>
              </w:rPr>
              <w:t>EU</w:t>
            </w:r>
          </w:p>
        </w:tc>
        <w:tc>
          <w:tcPr>
            <w:tcW w:w="7937" w:type="dxa"/>
            <w:shd w:val="clear" w:color="auto" w:fill="auto"/>
            <w:noWrap/>
          </w:tcPr>
          <w:p w14:paraId="12E38678" w14:textId="02F010C8" w:rsidR="00196098" w:rsidRPr="003D4228" w:rsidRDefault="00196098" w:rsidP="003D4228">
            <w:pPr>
              <w:spacing w:before="40" w:after="40"/>
              <w:rPr>
                <w:rFonts w:ascii="Calibri" w:hAnsi="Calibri" w:cs="Calibri"/>
                <w:color w:val="000000"/>
              </w:rPr>
            </w:pPr>
            <w:r w:rsidRPr="003D4228">
              <w:rPr>
                <w:rFonts w:ascii="Calibri" w:hAnsi="Calibri" w:cs="Calibri"/>
                <w:color w:val="000000"/>
              </w:rPr>
              <w:t xml:space="preserve">Evropská </w:t>
            </w:r>
            <w:r w:rsidR="003D4228">
              <w:rPr>
                <w:rFonts w:ascii="Calibri" w:hAnsi="Calibri" w:cs="Calibri"/>
                <w:color w:val="000000"/>
              </w:rPr>
              <w:t>u</w:t>
            </w:r>
            <w:r w:rsidRPr="003D4228">
              <w:rPr>
                <w:rFonts w:ascii="Calibri" w:hAnsi="Calibri" w:cs="Calibri"/>
                <w:color w:val="000000"/>
              </w:rPr>
              <w:t>nie</w:t>
            </w:r>
          </w:p>
        </w:tc>
      </w:tr>
      <w:tr w:rsidR="007D5282" w:rsidRPr="003D4228" w14:paraId="38E66A00" w14:textId="77777777" w:rsidTr="003D4228">
        <w:trPr>
          <w:trHeight w:val="227"/>
        </w:trPr>
        <w:tc>
          <w:tcPr>
            <w:tcW w:w="1304" w:type="dxa"/>
            <w:shd w:val="clear" w:color="auto" w:fill="auto"/>
            <w:noWrap/>
            <w:hideMark/>
          </w:tcPr>
          <w:p w14:paraId="468A7B42" w14:textId="77777777" w:rsidR="007D5282" w:rsidRPr="003D4228" w:rsidRDefault="007D5282" w:rsidP="003D4228">
            <w:pPr>
              <w:spacing w:before="40" w:after="40"/>
              <w:rPr>
                <w:rFonts w:ascii="Calibri" w:hAnsi="Calibri" w:cs="Calibri"/>
                <w:color w:val="000000"/>
              </w:rPr>
            </w:pPr>
            <w:r w:rsidRPr="003D4228">
              <w:rPr>
                <w:rFonts w:ascii="Calibri" w:hAnsi="Calibri" w:cs="Calibri"/>
                <w:color w:val="000000"/>
              </w:rPr>
              <w:t>FMS</w:t>
            </w:r>
          </w:p>
        </w:tc>
        <w:tc>
          <w:tcPr>
            <w:tcW w:w="7937" w:type="dxa"/>
            <w:shd w:val="clear" w:color="auto" w:fill="auto"/>
            <w:noWrap/>
            <w:hideMark/>
          </w:tcPr>
          <w:p w14:paraId="49A77954" w14:textId="77777777" w:rsidR="007D5282" w:rsidRPr="00F035F1" w:rsidRDefault="007D5282" w:rsidP="003D4228">
            <w:pPr>
              <w:spacing w:before="40" w:after="40"/>
              <w:rPr>
                <w:rFonts w:ascii="Calibri" w:hAnsi="Calibri" w:cs="Calibri"/>
                <w:i/>
                <w:color w:val="000000"/>
              </w:rPr>
            </w:pPr>
            <w:proofErr w:type="spellStart"/>
            <w:r w:rsidRPr="00F035F1">
              <w:rPr>
                <w:rFonts w:ascii="Calibri" w:hAnsi="Calibri" w:cs="Calibri"/>
                <w:i/>
                <w:color w:val="000000"/>
              </w:rPr>
              <w:t>Foreign</w:t>
            </w:r>
            <w:proofErr w:type="spellEnd"/>
            <w:r w:rsidRPr="00F035F1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F035F1">
              <w:rPr>
                <w:rFonts w:ascii="Calibri" w:hAnsi="Calibri" w:cs="Calibri"/>
                <w:i/>
                <w:color w:val="000000"/>
              </w:rPr>
              <w:t>Military</w:t>
            </w:r>
            <w:proofErr w:type="spellEnd"/>
            <w:r w:rsidRPr="00F035F1">
              <w:rPr>
                <w:rFonts w:ascii="Calibri" w:hAnsi="Calibri" w:cs="Calibri"/>
                <w:i/>
                <w:color w:val="000000"/>
              </w:rPr>
              <w:t xml:space="preserve"> Sales</w:t>
            </w:r>
          </w:p>
        </w:tc>
      </w:tr>
      <w:tr w:rsidR="007D5282" w:rsidRPr="003D4228" w14:paraId="0C58BB07" w14:textId="77777777" w:rsidTr="003D4228">
        <w:trPr>
          <w:trHeight w:val="227"/>
        </w:trPr>
        <w:tc>
          <w:tcPr>
            <w:tcW w:w="1304" w:type="dxa"/>
            <w:shd w:val="clear" w:color="auto" w:fill="auto"/>
            <w:noWrap/>
            <w:hideMark/>
          </w:tcPr>
          <w:p w14:paraId="7A7D5DB6" w14:textId="77777777" w:rsidR="007D5282" w:rsidRPr="003D4228" w:rsidRDefault="007D5282" w:rsidP="003D4228">
            <w:pPr>
              <w:spacing w:before="40" w:after="40"/>
              <w:rPr>
                <w:rFonts w:ascii="Calibri" w:hAnsi="Calibri" w:cs="Calibri"/>
                <w:color w:val="000000"/>
              </w:rPr>
            </w:pPr>
            <w:r w:rsidRPr="003D4228">
              <w:rPr>
                <w:rFonts w:ascii="Calibri" w:hAnsi="Calibri" w:cs="Calibri"/>
                <w:color w:val="000000"/>
              </w:rPr>
              <w:t>ISAF</w:t>
            </w:r>
          </w:p>
        </w:tc>
        <w:tc>
          <w:tcPr>
            <w:tcW w:w="7937" w:type="dxa"/>
            <w:shd w:val="clear" w:color="auto" w:fill="auto"/>
            <w:noWrap/>
            <w:hideMark/>
          </w:tcPr>
          <w:p w14:paraId="3680F58C" w14:textId="77777777" w:rsidR="007D5282" w:rsidRPr="00F035F1" w:rsidRDefault="007D5282" w:rsidP="003D4228">
            <w:pPr>
              <w:spacing w:before="40" w:after="40"/>
              <w:rPr>
                <w:rFonts w:ascii="Calibri" w:hAnsi="Calibri" w:cs="Calibri"/>
                <w:i/>
                <w:color w:val="000000"/>
              </w:rPr>
            </w:pPr>
            <w:r w:rsidRPr="00F035F1">
              <w:rPr>
                <w:rFonts w:ascii="Calibri" w:hAnsi="Calibri" w:cs="Calibri"/>
                <w:i/>
                <w:color w:val="000000"/>
              </w:rPr>
              <w:t xml:space="preserve">International </w:t>
            </w:r>
            <w:proofErr w:type="spellStart"/>
            <w:r w:rsidRPr="00F035F1">
              <w:rPr>
                <w:rFonts w:ascii="Calibri" w:hAnsi="Calibri" w:cs="Calibri"/>
                <w:i/>
                <w:color w:val="000000"/>
              </w:rPr>
              <w:t>Security</w:t>
            </w:r>
            <w:proofErr w:type="spellEnd"/>
            <w:r w:rsidRPr="00F035F1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F035F1">
              <w:rPr>
                <w:rFonts w:ascii="Calibri" w:hAnsi="Calibri" w:cs="Calibri"/>
                <w:i/>
                <w:color w:val="000000"/>
              </w:rPr>
              <w:t>Assistance</w:t>
            </w:r>
            <w:proofErr w:type="spellEnd"/>
            <w:r w:rsidRPr="00F035F1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F035F1">
              <w:rPr>
                <w:rFonts w:ascii="Calibri" w:hAnsi="Calibri" w:cs="Calibri"/>
                <w:i/>
                <w:color w:val="000000"/>
              </w:rPr>
              <w:t>Force</w:t>
            </w:r>
            <w:proofErr w:type="spellEnd"/>
          </w:p>
        </w:tc>
      </w:tr>
      <w:tr w:rsidR="007D5282" w:rsidRPr="003D4228" w14:paraId="6B46B7E9" w14:textId="77777777" w:rsidTr="003D4228">
        <w:trPr>
          <w:trHeight w:val="227"/>
        </w:trPr>
        <w:tc>
          <w:tcPr>
            <w:tcW w:w="1304" w:type="dxa"/>
            <w:shd w:val="clear" w:color="auto" w:fill="auto"/>
            <w:noWrap/>
            <w:hideMark/>
          </w:tcPr>
          <w:p w14:paraId="430BB3BD" w14:textId="77777777" w:rsidR="007D5282" w:rsidRPr="003D4228" w:rsidRDefault="007D5282" w:rsidP="003D4228">
            <w:pPr>
              <w:spacing w:before="40" w:after="40"/>
              <w:rPr>
                <w:rFonts w:ascii="Calibri" w:hAnsi="Calibri" w:cs="Calibri"/>
                <w:color w:val="000000"/>
              </w:rPr>
            </w:pPr>
            <w:r w:rsidRPr="003D4228">
              <w:rPr>
                <w:rFonts w:ascii="Calibri" w:hAnsi="Calibri" w:cs="Calibri"/>
                <w:color w:val="000000"/>
              </w:rPr>
              <w:t>KA</w:t>
            </w:r>
          </w:p>
        </w:tc>
        <w:tc>
          <w:tcPr>
            <w:tcW w:w="7937" w:type="dxa"/>
            <w:shd w:val="clear" w:color="auto" w:fill="auto"/>
            <w:noWrap/>
            <w:hideMark/>
          </w:tcPr>
          <w:p w14:paraId="32FB3C58" w14:textId="77777777" w:rsidR="007D5282" w:rsidRPr="003D4228" w:rsidRDefault="007D5282" w:rsidP="003D4228">
            <w:pPr>
              <w:spacing w:before="40" w:after="40"/>
              <w:rPr>
                <w:rFonts w:ascii="Calibri" w:hAnsi="Calibri" w:cs="Calibri"/>
                <w:color w:val="000000"/>
              </w:rPr>
            </w:pPr>
            <w:r w:rsidRPr="003D4228">
              <w:rPr>
                <w:rFonts w:ascii="Calibri" w:hAnsi="Calibri" w:cs="Calibri"/>
                <w:color w:val="000000"/>
              </w:rPr>
              <w:t>kontrolní akce</w:t>
            </w:r>
          </w:p>
        </w:tc>
      </w:tr>
      <w:tr w:rsidR="007D5282" w:rsidRPr="003D4228" w14:paraId="0F47FF9D" w14:textId="77777777" w:rsidTr="003D4228">
        <w:trPr>
          <w:trHeight w:val="227"/>
        </w:trPr>
        <w:tc>
          <w:tcPr>
            <w:tcW w:w="1304" w:type="dxa"/>
            <w:shd w:val="clear" w:color="auto" w:fill="auto"/>
            <w:noWrap/>
            <w:hideMark/>
          </w:tcPr>
          <w:p w14:paraId="130A4B7A" w14:textId="77777777" w:rsidR="007D5282" w:rsidRPr="003D4228" w:rsidRDefault="007D5282" w:rsidP="003D4228">
            <w:pPr>
              <w:spacing w:before="40" w:after="40"/>
              <w:rPr>
                <w:rFonts w:ascii="Calibri" w:hAnsi="Calibri" w:cs="Calibri"/>
                <w:color w:val="000000"/>
              </w:rPr>
            </w:pPr>
            <w:r w:rsidRPr="003D4228">
              <w:rPr>
                <w:rFonts w:ascii="Calibri" w:hAnsi="Calibri" w:cs="Calibri"/>
                <w:color w:val="000000"/>
              </w:rPr>
              <w:t>KVAČR</w:t>
            </w:r>
          </w:p>
        </w:tc>
        <w:tc>
          <w:tcPr>
            <w:tcW w:w="7937" w:type="dxa"/>
            <w:shd w:val="clear" w:color="auto" w:fill="auto"/>
            <w:noWrap/>
            <w:hideMark/>
          </w:tcPr>
          <w:p w14:paraId="0CFE351B" w14:textId="77777777" w:rsidR="007D5282" w:rsidRPr="00F035F1" w:rsidRDefault="007D5282" w:rsidP="003D4228">
            <w:pPr>
              <w:spacing w:before="40" w:after="40"/>
              <w:rPr>
                <w:rFonts w:ascii="Calibri" w:hAnsi="Calibri" w:cs="Calibri"/>
                <w:i/>
                <w:color w:val="000000"/>
              </w:rPr>
            </w:pPr>
            <w:r w:rsidRPr="00F035F1">
              <w:rPr>
                <w:rFonts w:ascii="Calibri" w:hAnsi="Calibri" w:cs="Calibri"/>
                <w:i/>
                <w:color w:val="000000"/>
              </w:rPr>
              <w:t>Koncepce výstavby Armády České republiky do roku 2025</w:t>
            </w:r>
          </w:p>
        </w:tc>
      </w:tr>
      <w:tr w:rsidR="007D5282" w:rsidRPr="003D4228" w14:paraId="6D4A7333" w14:textId="77777777" w:rsidTr="003D4228">
        <w:trPr>
          <w:trHeight w:val="227"/>
        </w:trPr>
        <w:tc>
          <w:tcPr>
            <w:tcW w:w="1304" w:type="dxa"/>
            <w:shd w:val="clear" w:color="auto" w:fill="auto"/>
            <w:noWrap/>
            <w:hideMark/>
          </w:tcPr>
          <w:p w14:paraId="5825E35B" w14:textId="77777777" w:rsidR="007D5282" w:rsidRPr="003D4228" w:rsidRDefault="007D5282" w:rsidP="003D4228">
            <w:pPr>
              <w:spacing w:before="40" w:after="40"/>
              <w:rPr>
                <w:rFonts w:ascii="Calibri" w:hAnsi="Calibri" w:cs="Calibri"/>
                <w:color w:val="000000"/>
              </w:rPr>
            </w:pPr>
            <w:r w:rsidRPr="003D4228">
              <w:rPr>
                <w:rFonts w:ascii="Calibri" w:hAnsi="Calibri" w:cs="Calibri"/>
                <w:color w:val="000000"/>
              </w:rPr>
              <w:t>MF</w:t>
            </w:r>
          </w:p>
        </w:tc>
        <w:tc>
          <w:tcPr>
            <w:tcW w:w="7937" w:type="dxa"/>
            <w:shd w:val="clear" w:color="auto" w:fill="auto"/>
            <w:noWrap/>
            <w:hideMark/>
          </w:tcPr>
          <w:p w14:paraId="408FF22D" w14:textId="77777777" w:rsidR="007D5282" w:rsidRPr="003D4228" w:rsidRDefault="007D5282" w:rsidP="003D4228">
            <w:pPr>
              <w:spacing w:before="40" w:after="40"/>
              <w:rPr>
                <w:rFonts w:ascii="Calibri" w:hAnsi="Calibri" w:cs="Calibri"/>
                <w:color w:val="000000"/>
              </w:rPr>
            </w:pPr>
            <w:r w:rsidRPr="003D4228">
              <w:rPr>
                <w:rFonts w:ascii="Calibri" w:hAnsi="Calibri" w:cs="Calibri"/>
                <w:color w:val="000000"/>
              </w:rPr>
              <w:t>Ministerstvo financí</w:t>
            </w:r>
          </w:p>
        </w:tc>
      </w:tr>
      <w:tr w:rsidR="007D5282" w:rsidRPr="003D4228" w14:paraId="284E5DBA" w14:textId="77777777" w:rsidTr="003D4228">
        <w:trPr>
          <w:trHeight w:val="227"/>
        </w:trPr>
        <w:tc>
          <w:tcPr>
            <w:tcW w:w="1304" w:type="dxa"/>
            <w:shd w:val="clear" w:color="auto" w:fill="auto"/>
            <w:noWrap/>
            <w:hideMark/>
          </w:tcPr>
          <w:p w14:paraId="5C3256F9" w14:textId="77777777" w:rsidR="007D5282" w:rsidRPr="003D4228" w:rsidRDefault="007D5282" w:rsidP="003D4228">
            <w:pPr>
              <w:spacing w:before="40" w:after="40"/>
              <w:rPr>
                <w:rFonts w:ascii="Calibri" w:hAnsi="Calibri" w:cs="Calibri"/>
                <w:color w:val="000000"/>
              </w:rPr>
            </w:pPr>
            <w:r w:rsidRPr="003D4228">
              <w:rPr>
                <w:rFonts w:ascii="Calibri" w:hAnsi="Calibri" w:cs="Calibri"/>
                <w:color w:val="000000"/>
              </w:rPr>
              <w:t>MO</w:t>
            </w:r>
          </w:p>
        </w:tc>
        <w:tc>
          <w:tcPr>
            <w:tcW w:w="7937" w:type="dxa"/>
            <w:shd w:val="clear" w:color="auto" w:fill="auto"/>
            <w:noWrap/>
            <w:hideMark/>
          </w:tcPr>
          <w:p w14:paraId="123F7A95" w14:textId="77777777" w:rsidR="007D5282" w:rsidRPr="003D4228" w:rsidRDefault="007D5282" w:rsidP="003D4228">
            <w:pPr>
              <w:spacing w:before="40" w:after="40"/>
              <w:rPr>
                <w:rFonts w:ascii="Calibri" w:hAnsi="Calibri" w:cs="Calibri"/>
                <w:color w:val="000000"/>
              </w:rPr>
            </w:pPr>
            <w:r w:rsidRPr="003D4228">
              <w:rPr>
                <w:rFonts w:ascii="Calibri" w:hAnsi="Calibri" w:cs="Calibri"/>
                <w:color w:val="000000"/>
              </w:rPr>
              <w:t>Ministerstvo obrany</w:t>
            </w:r>
          </w:p>
        </w:tc>
      </w:tr>
      <w:tr w:rsidR="007D5282" w:rsidRPr="003D4228" w14:paraId="474400E1" w14:textId="77777777" w:rsidTr="003D4228">
        <w:trPr>
          <w:trHeight w:val="227"/>
        </w:trPr>
        <w:tc>
          <w:tcPr>
            <w:tcW w:w="1304" w:type="dxa"/>
            <w:shd w:val="clear" w:color="auto" w:fill="auto"/>
            <w:noWrap/>
            <w:hideMark/>
          </w:tcPr>
          <w:p w14:paraId="03C7188A" w14:textId="77777777" w:rsidR="007D5282" w:rsidRPr="003D4228" w:rsidRDefault="007D5282" w:rsidP="003D4228">
            <w:pPr>
              <w:spacing w:before="40" w:after="40"/>
              <w:rPr>
                <w:rFonts w:ascii="Calibri" w:hAnsi="Calibri" w:cs="Calibri"/>
                <w:color w:val="000000"/>
              </w:rPr>
            </w:pPr>
            <w:r w:rsidRPr="003D4228">
              <w:rPr>
                <w:rFonts w:ascii="Calibri" w:hAnsi="Calibri" w:cs="Calibri"/>
                <w:color w:val="000000"/>
              </w:rPr>
              <w:t>NATO</w:t>
            </w:r>
          </w:p>
        </w:tc>
        <w:tc>
          <w:tcPr>
            <w:tcW w:w="7937" w:type="dxa"/>
            <w:shd w:val="clear" w:color="auto" w:fill="auto"/>
            <w:noWrap/>
            <w:hideMark/>
          </w:tcPr>
          <w:p w14:paraId="08051D5C" w14:textId="77777777" w:rsidR="007D5282" w:rsidRPr="003D4228" w:rsidRDefault="007D5282" w:rsidP="003D4228">
            <w:pPr>
              <w:spacing w:before="40" w:after="40"/>
              <w:rPr>
                <w:rFonts w:ascii="Calibri" w:hAnsi="Calibri" w:cs="Calibri"/>
                <w:color w:val="000000"/>
              </w:rPr>
            </w:pPr>
            <w:r w:rsidRPr="003D4228">
              <w:rPr>
                <w:rFonts w:ascii="Calibri" w:hAnsi="Calibri" w:cs="Calibri"/>
                <w:color w:val="000000"/>
              </w:rPr>
              <w:t xml:space="preserve">Severoatlantická aliance </w:t>
            </w:r>
          </w:p>
        </w:tc>
      </w:tr>
      <w:tr w:rsidR="007D5282" w:rsidRPr="003D4228" w14:paraId="26B60B82" w14:textId="77777777" w:rsidTr="003D4228">
        <w:trPr>
          <w:trHeight w:val="227"/>
        </w:trPr>
        <w:tc>
          <w:tcPr>
            <w:tcW w:w="1304" w:type="dxa"/>
            <w:shd w:val="clear" w:color="auto" w:fill="auto"/>
            <w:noWrap/>
            <w:hideMark/>
          </w:tcPr>
          <w:p w14:paraId="16E282E5" w14:textId="77777777" w:rsidR="007D5282" w:rsidRPr="003D4228" w:rsidRDefault="007D5282" w:rsidP="003D4228">
            <w:pPr>
              <w:spacing w:before="40" w:after="40"/>
              <w:rPr>
                <w:rFonts w:ascii="Calibri" w:hAnsi="Calibri" w:cs="Calibri"/>
                <w:color w:val="000000"/>
              </w:rPr>
            </w:pPr>
            <w:r w:rsidRPr="003D4228">
              <w:rPr>
                <w:rFonts w:ascii="Calibri" w:hAnsi="Calibri" w:cs="Calibri"/>
                <w:color w:val="000000"/>
              </w:rPr>
              <w:t>NKÚ</w:t>
            </w:r>
          </w:p>
        </w:tc>
        <w:tc>
          <w:tcPr>
            <w:tcW w:w="7937" w:type="dxa"/>
            <w:shd w:val="clear" w:color="auto" w:fill="auto"/>
            <w:noWrap/>
            <w:hideMark/>
          </w:tcPr>
          <w:p w14:paraId="0AC445CA" w14:textId="77777777" w:rsidR="007D5282" w:rsidRPr="003D4228" w:rsidRDefault="007D5282" w:rsidP="003D4228">
            <w:pPr>
              <w:spacing w:before="40" w:after="40"/>
              <w:rPr>
                <w:rFonts w:ascii="Calibri" w:hAnsi="Calibri" w:cs="Calibri"/>
                <w:color w:val="000000"/>
              </w:rPr>
            </w:pPr>
            <w:r w:rsidRPr="003D4228">
              <w:rPr>
                <w:rFonts w:ascii="Calibri" w:hAnsi="Calibri" w:cs="Calibri"/>
                <w:color w:val="000000"/>
              </w:rPr>
              <w:t>Nejvyšší kontrolní úřad</w:t>
            </w:r>
          </w:p>
        </w:tc>
      </w:tr>
      <w:tr w:rsidR="00801649" w:rsidRPr="003D4228" w14:paraId="2DB2A41D" w14:textId="77777777" w:rsidTr="003D4228">
        <w:trPr>
          <w:trHeight w:val="227"/>
        </w:trPr>
        <w:tc>
          <w:tcPr>
            <w:tcW w:w="1304" w:type="dxa"/>
            <w:shd w:val="clear" w:color="auto" w:fill="auto"/>
            <w:noWrap/>
          </w:tcPr>
          <w:p w14:paraId="446C2FA4" w14:textId="512B9CA5" w:rsidR="00801649" w:rsidRPr="003D4228" w:rsidRDefault="00801649" w:rsidP="003D4228">
            <w:pPr>
              <w:spacing w:before="40" w:after="40"/>
              <w:rPr>
                <w:rFonts w:ascii="Calibri" w:hAnsi="Calibri" w:cs="Calibri"/>
                <w:color w:val="000000"/>
              </w:rPr>
            </w:pPr>
            <w:r w:rsidRPr="003D4228">
              <w:rPr>
                <w:rFonts w:ascii="Calibri" w:hAnsi="Calibri" w:cs="Calibri"/>
                <w:color w:val="000000"/>
              </w:rPr>
              <w:t>NSPA</w:t>
            </w:r>
          </w:p>
        </w:tc>
        <w:tc>
          <w:tcPr>
            <w:tcW w:w="7937" w:type="dxa"/>
            <w:shd w:val="clear" w:color="auto" w:fill="auto"/>
            <w:noWrap/>
          </w:tcPr>
          <w:p w14:paraId="056C7AE0" w14:textId="112542EE" w:rsidR="00801649" w:rsidRPr="003D4228" w:rsidRDefault="00801649" w:rsidP="003D4228">
            <w:pPr>
              <w:spacing w:before="40" w:after="40"/>
              <w:rPr>
                <w:rFonts w:ascii="Calibri" w:hAnsi="Calibri" w:cs="Calibri"/>
                <w:color w:val="000000"/>
              </w:rPr>
            </w:pPr>
            <w:r w:rsidRPr="003D4228">
              <w:rPr>
                <w:rFonts w:ascii="Calibri" w:hAnsi="Calibri" w:cs="Calibri"/>
                <w:color w:val="000000"/>
              </w:rPr>
              <w:t xml:space="preserve">NATO </w:t>
            </w:r>
            <w:r w:rsidRPr="00F035F1">
              <w:rPr>
                <w:rFonts w:ascii="Calibri" w:hAnsi="Calibri" w:cs="Calibri"/>
                <w:i/>
                <w:color w:val="000000"/>
              </w:rPr>
              <w:t xml:space="preserve">Support and </w:t>
            </w:r>
            <w:proofErr w:type="spellStart"/>
            <w:r w:rsidRPr="00F035F1">
              <w:rPr>
                <w:rFonts w:ascii="Calibri" w:hAnsi="Calibri" w:cs="Calibri"/>
                <w:i/>
                <w:color w:val="000000"/>
              </w:rPr>
              <w:t>Procurement</w:t>
            </w:r>
            <w:proofErr w:type="spellEnd"/>
            <w:r w:rsidRPr="00F035F1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F035F1">
              <w:rPr>
                <w:rFonts w:ascii="Calibri" w:hAnsi="Calibri" w:cs="Calibri"/>
                <w:i/>
                <w:color w:val="000000"/>
              </w:rPr>
              <w:t>Agency</w:t>
            </w:r>
            <w:proofErr w:type="spellEnd"/>
          </w:p>
        </w:tc>
      </w:tr>
      <w:tr w:rsidR="00801649" w:rsidRPr="003D4228" w14:paraId="0852315D" w14:textId="77777777" w:rsidTr="003D4228">
        <w:trPr>
          <w:trHeight w:val="227"/>
        </w:trPr>
        <w:tc>
          <w:tcPr>
            <w:tcW w:w="1304" w:type="dxa"/>
            <w:shd w:val="clear" w:color="auto" w:fill="auto"/>
            <w:noWrap/>
            <w:hideMark/>
          </w:tcPr>
          <w:p w14:paraId="30E44BC0" w14:textId="77777777" w:rsidR="00801649" w:rsidRPr="003D4228" w:rsidRDefault="00801649" w:rsidP="003D4228">
            <w:pPr>
              <w:spacing w:before="40" w:after="40"/>
              <w:rPr>
                <w:rFonts w:ascii="Calibri" w:hAnsi="Calibri" w:cs="Calibri"/>
                <w:color w:val="000000"/>
              </w:rPr>
            </w:pPr>
            <w:proofErr w:type="spellStart"/>
            <w:r w:rsidRPr="003D4228">
              <w:rPr>
                <w:rFonts w:ascii="Calibri" w:hAnsi="Calibri" w:cs="Calibri"/>
                <w:color w:val="000000"/>
              </w:rPr>
              <w:t>NÚřV</w:t>
            </w:r>
            <w:proofErr w:type="spellEnd"/>
          </w:p>
        </w:tc>
        <w:tc>
          <w:tcPr>
            <w:tcW w:w="7937" w:type="dxa"/>
            <w:shd w:val="clear" w:color="auto" w:fill="auto"/>
            <w:noWrap/>
            <w:hideMark/>
          </w:tcPr>
          <w:p w14:paraId="413AD034" w14:textId="77777777" w:rsidR="00801649" w:rsidRPr="003D4228" w:rsidRDefault="00801649" w:rsidP="003D4228">
            <w:pPr>
              <w:spacing w:before="40" w:after="40"/>
              <w:rPr>
                <w:rFonts w:ascii="Calibri" w:hAnsi="Calibri" w:cs="Calibri"/>
                <w:color w:val="000000"/>
              </w:rPr>
            </w:pPr>
            <w:r w:rsidRPr="003D4228">
              <w:rPr>
                <w:rFonts w:ascii="Calibri" w:hAnsi="Calibri" w:cs="Calibri"/>
                <w:color w:val="000000"/>
              </w:rPr>
              <w:t>Národní úřad pro vyzbrojování</w:t>
            </w:r>
          </w:p>
        </w:tc>
      </w:tr>
      <w:tr w:rsidR="00801649" w:rsidRPr="003D4228" w14:paraId="4EBF7137" w14:textId="77777777" w:rsidTr="003D4228">
        <w:trPr>
          <w:trHeight w:val="227"/>
        </w:trPr>
        <w:tc>
          <w:tcPr>
            <w:tcW w:w="1304" w:type="dxa"/>
            <w:shd w:val="clear" w:color="auto" w:fill="auto"/>
            <w:noWrap/>
            <w:hideMark/>
          </w:tcPr>
          <w:p w14:paraId="6669C742" w14:textId="77777777" w:rsidR="00801649" w:rsidRPr="003D4228" w:rsidRDefault="00801649" w:rsidP="003D4228">
            <w:pPr>
              <w:spacing w:before="40" w:after="40"/>
              <w:rPr>
                <w:rFonts w:ascii="Calibri" w:hAnsi="Calibri" w:cs="Calibri"/>
                <w:color w:val="000000"/>
              </w:rPr>
            </w:pPr>
            <w:r w:rsidRPr="003D4228">
              <w:rPr>
                <w:rFonts w:ascii="Calibri" w:hAnsi="Calibri" w:cs="Calibri"/>
                <w:color w:val="000000"/>
              </w:rPr>
              <w:t>SR</w:t>
            </w:r>
          </w:p>
        </w:tc>
        <w:tc>
          <w:tcPr>
            <w:tcW w:w="7937" w:type="dxa"/>
            <w:shd w:val="clear" w:color="auto" w:fill="auto"/>
            <w:noWrap/>
            <w:hideMark/>
          </w:tcPr>
          <w:p w14:paraId="030E181B" w14:textId="77777777" w:rsidR="00801649" w:rsidRPr="003D4228" w:rsidRDefault="00801649" w:rsidP="003D4228">
            <w:pPr>
              <w:spacing w:before="40" w:after="40"/>
              <w:rPr>
                <w:rFonts w:ascii="Calibri" w:hAnsi="Calibri" w:cs="Calibri"/>
                <w:color w:val="000000"/>
              </w:rPr>
            </w:pPr>
            <w:r w:rsidRPr="003D4228">
              <w:rPr>
                <w:rFonts w:ascii="Calibri" w:hAnsi="Calibri" w:cs="Calibri"/>
                <w:color w:val="000000"/>
              </w:rPr>
              <w:t>státní rozpočet</w:t>
            </w:r>
          </w:p>
        </w:tc>
      </w:tr>
      <w:tr w:rsidR="00801649" w:rsidRPr="003D4228" w14:paraId="2A93AFE7" w14:textId="77777777" w:rsidTr="003D4228">
        <w:trPr>
          <w:trHeight w:val="227"/>
        </w:trPr>
        <w:tc>
          <w:tcPr>
            <w:tcW w:w="1304" w:type="dxa"/>
            <w:shd w:val="clear" w:color="auto" w:fill="auto"/>
            <w:noWrap/>
            <w:hideMark/>
          </w:tcPr>
          <w:p w14:paraId="216727AC" w14:textId="77777777" w:rsidR="00801649" w:rsidRPr="003D4228" w:rsidRDefault="00801649" w:rsidP="003D4228">
            <w:pPr>
              <w:spacing w:before="40" w:after="40"/>
              <w:rPr>
                <w:rFonts w:ascii="Calibri" w:hAnsi="Calibri" w:cs="Calibri"/>
                <w:color w:val="000000"/>
              </w:rPr>
            </w:pPr>
            <w:r w:rsidRPr="003D4228">
              <w:rPr>
                <w:rFonts w:ascii="Calibri" w:hAnsi="Calibri" w:cs="Calibri"/>
                <w:color w:val="000000"/>
              </w:rPr>
              <w:t>vybrané programy</w:t>
            </w:r>
          </w:p>
        </w:tc>
        <w:tc>
          <w:tcPr>
            <w:tcW w:w="7937" w:type="dxa"/>
            <w:shd w:val="clear" w:color="auto" w:fill="auto"/>
            <w:hideMark/>
          </w:tcPr>
          <w:p w14:paraId="0D69B00E" w14:textId="0438860B" w:rsidR="00801649" w:rsidRPr="003D4228" w:rsidRDefault="006D7C0F" w:rsidP="003D4228">
            <w:pPr>
              <w:spacing w:before="40" w:after="40"/>
              <w:rPr>
                <w:rFonts w:ascii="Calibri" w:hAnsi="Calibri" w:cs="Calibri"/>
                <w:color w:val="000000"/>
              </w:rPr>
            </w:pPr>
            <w:r w:rsidRPr="003D4228">
              <w:rPr>
                <w:rFonts w:ascii="Calibri" w:hAnsi="Calibri" w:cs="Calibri"/>
                <w:color w:val="000000"/>
              </w:rPr>
              <w:t>p</w:t>
            </w:r>
            <w:r w:rsidR="00801649" w:rsidRPr="003D4228">
              <w:rPr>
                <w:rFonts w:ascii="Calibri" w:hAnsi="Calibri" w:cs="Calibri"/>
                <w:color w:val="000000"/>
              </w:rPr>
              <w:t>rogram</w:t>
            </w:r>
            <w:r w:rsidR="003D4228">
              <w:rPr>
                <w:rFonts w:ascii="Calibri" w:hAnsi="Calibri" w:cs="Calibri"/>
                <w:color w:val="000000"/>
              </w:rPr>
              <w:t>y</w:t>
            </w:r>
            <w:r w:rsidR="00801649" w:rsidRPr="003D4228">
              <w:rPr>
                <w:rFonts w:ascii="Calibri" w:hAnsi="Calibri" w:cs="Calibri"/>
                <w:color w:val="000000"/>
              </w:rPr>
              <w:t xml:space="preserve"> 107</w:t>
            </w:r>
            <w:r w:rsidR="003D4228">
              <w:rPr>
                <w:rFonts w:ascii="Calibri" w:hAnsi="Calibri" w:cs="Calibri"/>
                <w:color w:val="000000"/>
              </w:rPr>
              <w:t> </w:t>
            </w:r>
            <w:r w:rsidR="00801649" w:rsidRPr="003D4228">
              <w:rPr>
                <w:rFonts w:ascii="Calibri" w:hAnsi="Calibri" w:cs="Calibri"/>
                <w:color w:val="000000"/>
              </w:rPr>
              <w:t>110</w:t>
            </w:r>
            <w:r w:rsidR="003D4228">
              <w:rPr>
                <w:rFonts w:ascii="Calibri" w:hAnsi="Calibri" w:cs="Calibri"/>
                <w:color w:val="000000"/>
              </w:rPr>
              <w:t> –</w:t>
            </w:r>
            <w:r w:rsidR="00801649" w:rsidRPr="003D4228">
              <w:rPr>
                <w:rFonts w:ascii="Calibri" w:hAnsi="Calibri" w:cs="Calibri"/>
                <w:color w:val="000000"/>
              </w:rPr>
              <w:t xml:space="preserve"> </w:t>
            </w:r>
            <w:r w:rsidR="00801649" w:rsidRPr="00F035F1">
              <w:rPr>
                <w:rFonts w:ascii="Calibri" w:hAnsi="Calibri" w:cs="Calibri"/>
                <w:i/>
                <w:color w:val="000000"/>
              </w:rPr>
              <w:t>Zvyšování schopností vojáka 21. století</w:t>
            </w:r>
            <w:r w:rsidR="00801649" w:rsidRPr="003D4228">
              <w:rPr>
                <w:rFonts w:ascii="Calibri" w:hAnsi="Calibri" w:cs="Calibri"/>
                <w:color w:val="000000"/>
              </w:rPr>
              <w:t xml:space="preserve">, </w:t>
            </w:r>
            <w:r w:rsidR="003D4228">
              <w:rPr>
                <w:rFonts w:ascii="Calibri" w:hAnsi="Calibri" w:cs="Calibri"/>
                <w:color w:val="000000"/>
              </w:rPr>
              <w:br/>
            </w:r>
            <w:r w:rsidR="00801649" w:rsidRPr="003D4228">
              <w:rPr>
                <w:rFonts w:ascii="Calibri" w:hAnsi="Calibri" w:cs="Calibri"/>
                <w:color w:val="000000"/>
              </w:rPr>
              <w:t>107 430 </w:t>
            </w:r>
            <w:r w:rsidR="003D4228">
              <w:rPr>
                <w:rFonts w:ascii="Calibri" w:hAnsi="Calibri" w:cs="Calibri"/>
                <w:color w:val="000000"/>
              </w:rPr>
              <w:t>–</w:t>
            </w:r>
            <w:r w:rsidR="00801649" w:rsidRPr="003D4228">
              <w:rPr>
                <w:rFonts w:ascii="Calibri" w:hAnsi="Calibri" w:cs="Calibri"/>
                <w:color w:val="000000"/>
              </w:rPr>
              <w:t xml:space="preserve"> </w:t>
            </w:r>
            <w:r w:rsidR="00801649" w:rsidRPr="00F035F1">
              <w:rPr>
                <w:rFonts w:ascii="Calibri" w:hAnsi="Calibri" w:cs="Calibri"/>
                <w:i/>
                <w:color w:val="000000"/>
              </w:rPr>
              <w:t>Zabezpečení zapojení AČR do operací a pohotovostních sil</w:t>
            </w:r>
            <w:r w:rsidR="00801649" w:rsidRPr="003D4228">
              <w:rPr>
                <w:rFonts w:ascii="Calibri" w:hAnsi="Calibri" w:cs="Calibri"/>
                <w:color w:val="000000"/>
              </w:rPr>
              <w:t xml:space="preserve">, </w:t>
            </w:r>
            <w:r w:rsidR="003D4228">
              <w:rPr>
                <w:rFonts w:ascii="Calibri" w:hAnsi="Calibri" w:cs="Calibri"/>
                <w:color w:val="000000"/>
              </w:rPr>
              <w:br/>
            </w:r>
            <w:r w:rsidR="00801649" w:rsidRPr="003D4228">
              <w:rPr>
                <w:rFonts w:ascii="Calibri" w:hAnsi="Calibri" w:cs="Calibri"/>
                <w:color w:val="000000"/>
              </w:rPr>
              <w:t>107</w:t>
            </w:r>
            <w:r w:rsidR="003D4228">
              <w:rPr>
                <w:rFonts w:ascii="Calibri" w:hAnsi="Calibri" w:cs="Calibri"/>
                <w:color w:val="000000"/>
              </w:rPr>
              <w:t> </w:t>
            </w:r>
            <w:r w:rsidR="00801649" w:rsidRPr="003D4228">
              <w:rPr>
                <w:rFonts w:ascii="Calibri" w:hAnsi="Calibri" w:cs="Calibri"/>
                <w:color w:val="000000"/>
              </w:rPr>
              <w:t>600</w:t>
            </w:r>
            <w:r w:rsidR="003D4228">
              <w:rPr>
                <w:rFonts w:ascii="Calibri" w:hAnsi="Calibri" w:cs="Calibri"/>
                <w:color w:val="000000"/>
              </w:rPr>
              <w:t xml:space="preserve"> – </w:t>
            </w:r>
            <w:r w:rsidR="00801649" w:rsidRPr="00F035F1">
              <w:rPr>
                <w:rFonts w:ascii="Calibri" w:hAnsi="Calibri" w:cs="Calibri"/>
                <w:i/>
                <w:color w:val="000000"/>
              </w:rPr>
              <w:t>Udržení a rozvoj schopností bojových sil AČR</w:t>
            </w:r>
            <w:r w:rsidR="00801649" w:rsidRPr="003D4228">
              <w:rPr>
                <w:rFonts w:ascii="Calibri" w:hAnsi="Calibri" w:cs="Calibri"/>
                <w:color w:val="000000"/>
              </w:rPr>
              <w:t xml:space="preserve">, </w:t>
            </w:r>
            <w:r w:rsidR="003D4228">
              <w:rPr>
                <w:rFonts w:ascii="Calibri" w:hAnsi="Calibri" w:cs="Calibri"/>
                <w:color w:val="000000"/>
              </w:rPr>
              <w:br/>
            </w:r>
            <w:r w:rsidR="00801649" w:rsidRPr="003D4228">
              <w:rPr>
                <w:rFonts w:ascii="Calibri" w:hAnsi="Calibri" w:cs="Calibri"/>
                <w:color w:val="000000"/>
              </w:rPr>
              <w:t>107 630 </w:t>
            </w:r>
            <w:r w:rsidR="003D4228">
              <w:rPr>
                <w:rFonts w:ascii="Calibri" w:hAnsi="Calibri" w:cs="Calibri"/>
                <w:color w:val="000000"/>
              </w:rPr>
              <w:t xml:space="preserve">– </w:t>
            </w:r>
            <w:r w:rsidR="00801649" w:rsidRPr="00F035F1">
              <w:rPr>
                <w:rFonts w:ascii="Calibri" w:hAnsi="Calibri" w:cs="Calibri"/>
                <w:i/>
                <w:color w:val="000000"/>
              </w:rPr>
              <w:t>Udržení  a ro</w:t>
            </w:r>
            <w:r w:rsidR="003D4228" w:rsidRPr="00F035F1">
              <w:rPr>
                <w:rFonts w:ascii="Calibri" w:hAnsi="Calibri" w:cs="Calibri"/>
                <w:i/>
                <w:color w:val="000000"/>
              </w:rPr>
              <w:t>zvoj schopností logistiky AČR</w:t>
            </w:r>
            <w:r w:rsidR="003D4228">
              <w:rPr>
                <w:rFonts w:ascii="Calibri" w:hAnsi="Calibri" w:cs="Calibri"/>
                <w:color w:val="000000"/>
              </w:rPr>
              <w:t>,</w:t>
            </w:r>
            <w:r w:rsidR="003D4228">
              <w:rPr>
                <w:rFonts w:ascii="Calibri" w:hAnsi="Calibri" w:cs="Calibri"/>
                <w:color w:val="000000"/>
              </w:rPr>
              <w:br/>
            </w:r>
            <w:r w:rsidR="00801649" w:rsidRPr="003D4228">
              <w:rPr>
                <w:rFonts w:ascii="Calibri" w:hAnsi="Calibri" w:cs="Calibri"/>
                <w:color w:val="000000"/>
              </w:rPr>
              <w:t xml:space="preserve">107 680 </w:t>
            </w:r>
            <w:r w:rsidR="003D4228">
              <w:rPr>
                <w:rFonts w:ascii="Calibri" w:hAnsi="Calibri" w:cs="Calibri"/>
                <w:color w:val="000000"/>
              </w:rPr>
              <w:t xml:space="preserve">– </w:t>
            </w:r>
            <w:r w:rsidR="00801649" w:rsidRPr="00F035F1">
              <w:rPr>
                <w:rFonts w:ascii="Calibri" w:hAnsi="Calibri" w:cs="Calibri"/>
                <w:i/>
                <w:color w:val="000000"/>
              </w:rPr>
              <w:t>Udržení a rozvoj schopností pozemních sil AČR</w:t>
            </w:r>
          </w:p>
        </w:tc>
      </w:tr>
      <w:tr w:rsidR="00801649" w:rsidRPr="003D4228" w14:paraId="15CC12CF" w14:textId="77777777" w:rsidTr="003D4228">
        <w:trPr>
          <w:trHeight w:val="227"/>
        </w:trPr>
        <w:tc>
          <w:tcPr>
            <w:tcW w:w="1304" w:type="dxa"/>
            <w:shd w:val="clear" w:color="auto" w:fill="auto"/>
            <w:noWrap/>
          </w:tcPr>
          <w:p w14:paraId="46848A2F" w14:textId="0825FDD7" w:rsidR="00801649" w:rsidRPr="003D4228" w:rsidRDefault="00801649" w:rsidP="003D4228">
            <w:pPr>
              <w:spacing w:before="40" w:after="40"/>
              <w:rPr>
                <w:rFonts w:ascii="Calibri" w:hAnsi="Calibri" w:cs="Calibri"/>
                <w:color w:val="000000"/>
              </w:rPr>
            </w:pPr>
            <w:r w:rsidRPr="003D4228">
              <w:rPr>
                <w:rFonts w:ascii="Calibri" w:hAnsi="Calibri" w:cs="Calibri"/>
                <w:color w:val="000000"/>
              </w:rPr>
              <w:t xml:space="preserve">ÚP </w:t>
            </w:r>
          </w:p>
        </w:tc>
        <w:tc>
          <w:tcPr>
            <w:tcW w:w="7937" w:type="dxa"/>
            <w:shd w:val="clear" w:color="auto" w:fill="auto"/>
          </w:tcPr>
          <w:p w14:paraId="65B61838" w14:textId="4232B81B" w:rsidR="00801649" w:rsidRPr="003D4228" w:rsidRDefault="00801649" w:rsidP="003D4228">
            <w:pPr>
              <w:spacing w:before="40" w:after="40"/>
              <w:rPr>
                <w:rFonts w:ascii="Calibri" w:hAnsi="Calibri" w:cs="Calibri"/>
                <w:color w:val="000000"/>
              </w:rPr>
            </w:pPr>
            <w:r w:rsidRPr="003D4228">
              <w:rPr>
                <w:rFonts w:ascii="Calibri" w:hAnsi="Calibri" w:cs="Calibri"/>
                <w:color w:val="000000"/>
              </w:rPr>
              <w:t>útočná pušk</w:t>
            </w:r>
            <w:r w:rsidR="002C61C4" w:rsidRPr="003D4228">
              <w:rPr>
                <w:rFonts w:ascii="Calibri" w:hAnsi="Calibri" w:cs="Calibri"/>
                <w:color w:val="000000"/>
              </w:rPr>
              <w:t>a</w:t>
            </w:r>
            <w:r w:rsidRPr="003D4228">
              <w:rPr>
                <w:rFonts w:ascii="Calibri" w:hAnsi="Calibri" w:cs="Calibri"/>
                <w:color w:val="000000"/>
              </w:rPr>
              <w:t xml:space="preserve"> s příslušenstvím</w:t>
            </w:r>
          </w:p>
        </w:tc>
      </w:tr>
    </w:tbl>
    <w:p w14:paraId="6354B6E6" w14:textId="77777777" w:rsidR="007D5282" w:rsidRDefault="007D5282" w:rsidP="002663D7">
      <w:pPr>
        <w:jc w:val="both"/>
        <w:rPr>
          <w:rFonts w:ascii="Calibri" w:hAnsi="Calibri" w:cs="Calibri"/>
          <w:b/>
        </w:rPr>
      </w:pPr>
    </w:p>
    <w:sectPr w:rsidR="007D5282" w:rsidSect="004247D4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7" w:h="16839" w:code="9"/>
      <w:pgMar w:top="1418" w:right="1418" w:bottom="1418" w:left="1418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F41E40" w14:textId="77777777" w:rsidR="007164F4" w:rsidRDefault="007164F4">
      <w:r>
        <w:separator/>
      </w:r>
    </w:p>
  </w:endnote>
  <w:endnote w:type="continuationSeparator" w:id="0">
    <w:p w14:paraId="400C15DD" w14:textId="77777777" w:rsidR="007164F4" w:rsidRDefault="007164F4">
      <w:r>
        <w:continuationSeparator/>
      </w:r>
    </w:p>
  </w:endnote>
  <w:endnote w:type="continuationNotice" w:id="1">
    <w:p w14:paraId="2ADDEF35" w14:textId="77777777" w:rsidR="00E803AA" w:rsidRDefault="00E803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63D4BF" w14:textId="77777777" w:rsidR="00A02DAA" w:rsidRDefault="00A02DA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9F55EC" w14:textId="77777777" w:rsidR="007164F4" w:rsidRPr="00C2708B" w:rsidRDefault="007164F4" w:rsidP="009A12AE">
    <w:pPr>
      <w:pStyle w:val="Zpat"/>
      <w:jc w:val="center"/>
      <w:rPr>
        <w:rFonts w:asciiTheme="minorHAnsi" w:hAnsiTheme="minorHAnsi" w:cstheme="minorHAnsi"/>
      </w:rPr>
    </w:pPr>
    <w:r w:rsidRPr="00C2708B">
      <w:rPr>
        <w:rFonts w:asciiTheme="minorHAnsi" w:hAnsiTheme="minorHAnsi" w:cstheme="minorHAnsi"/>
      </w:rPr>
      <w:fldChar w:fldCharType="begin"/>
    </w:r>
    <w:r w:rsidRPr="00C2708B">
      <w:rPr>
        <w:rFonts w:asciiTheme="minorHAnsi" w:hAnsiTheme="minorHAnsi" w:cstheme="minorHAnsi"/>
      </w:rPr>
      <w:instrText xml:space="preserve"> PAGE   \* MERGEFORMAT </w:instrText>
    </w:r>
    <w:r w:rsidRPr="00C2708B">
      <w:rPr>
        <w:rFonts w:asciiTheme="minorHAnsi" w:hAnsiTheme="minorHAnsi" w:cstheme="minorHAnsi"/>
      </w:rPr>
      <w:fldChar w:fldCharType="separate"/>
    </w:r>
    <w:r w:rsidR="00A02DAA">
      <w:rPr>
        <w:rFonts w:asciiTheme="minorHAnsi" w:hAnsiTheme="minorHAnsi" w:cstheme="minorHAnsi"/>
        <w:noProof/>
      </w:rPr>
      <w:t>20</w:t>
    </w:r>
    <w:r w:rsidRPr="00C2708B">
      <w:rPr>
        <w:rFonts w:asciiTheme="minorHAnsi" w:hAnsiTheme="minorHAnsi" w:cstheme="minorHAnsi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07DA1F" w14:textId="77777777" w:rsidR="00A02DAA" w:rsidRDefault="00A02D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AADC78" w14:textId="77777777" w:rsidR="007164F4" w:rsidRDefault="007164F4">
      <w:r>
        <w:separator/>
      </w:r>
    </w:p>
  </w:footnote>
  <w:footnote w:type="continuationSeparator" w:id="0">
    <w:p w14:paraId="01B1EC59" w14:textId="77777777" w:rsidR="007164F4" w:rsidRDefault="007164F4">
      <w:r>
        <w:continuationSeparator/>
      </w:r>
    </w:p>
  </w:footnote>
  <w:footnote w:type="continuationNotice" w:id="1">
    <w:p w14:paraId="50695F78" w14:textId="77777777" w:rsidR="00E803AA" w:rsidRDefault="00E803AA"/>
  </w:footnote>
  <w:footnote w:id="2">
    <w:p w14:paraId="6A1715F0" w14:textId="45419054" w:rsidR="007164F4" w:rsidRPr="004247D4" w:rsidRDefault="007164F4" w:rsidP="004247D4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4247D4">
        <w:rPr>
          <w:rStyle w:val="Znakapoznpodarou"/>
          <w:rFonts w:ascii="Calibri" w:hAnsi="Calibri" w:cs="Calibri"/>
        </w:rPr>
        <w:footnoteRef/>
      </w:r>
      <w:r w:rsidRPr="004247D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4247D4">
        <w:rPr>
          <w:rFonts w:ascii="Calibri" w:hAnsi="Calibri" w:cs="Calibri"/>
        </w:rPr>
        <w:t>Ozbrojené síly se člení na Armádu ČR, Vojenskou kancelář prezidenta republiky a Hradní stráž.</w:t>
      </w:r>
    </w:p>
  </w:footnote>
  <w:footnote w:id="3">
    <w:p w14:paraId="7B3E2E00" w14:textId="7F4ACA05" w:rsidR="007164F4" w:rsidRPr="004247D4" w:rsidRDefault="007164F4" w:rsidP="004247D4">
      <w:pPr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4247D4">
        <w:rPr>
          <w:rStyle w:val="Znakapoznpodarou"/>
          <w:rFonts w:ascii="Calibri" w:hAnsi="Calibri" w:cs="Calibri"/>
          <w:sz w:val="20"/>
          <w:szCs w:val="20"/>
        </w:rPr>
        <w:footnoteRef/>
      </w:r>
      <w:r w:rsidRPr="004247D4">
        <w:rPr>
          <w:rFonts w:ascii="Calibri" w:hAnsi="Calibri" w:cs="Calibri"/>
          <w:sz w:val="20"/>
          <w:szCs w:val="20"/>
        </w:rPr>
        <w:t> </w:t>
      </w:r>
      <w:r>
        <w:rPr>
          <w:rFonts w:ascii="Calibri" w:hAnsi="Calibri" w:cs="Calibri"/>
          <w:sz w:val="20"/>
          <w:szCs w:val="20"/>
        </w:rPr>
        <w:tab/>
      </w:r>
      <w:r w:rsidRPr="004247D4">
        <w:rPr>
          <w:rFonts w:ascii="Calibri" w:hAnsi="Calibri" w:cs="Calibri"/>
          <w:sz w:val="20"/>
          <w:szCs w:val="20"/>
        </w:rPr>
        <w:t>ČR zajišťuje obranu své suverenity a územní celistvosti v rámci společné obrany podle článku 5 Severoatlantické smlouvy.</w:t>
      </w:r>
    </w:p>
  </w:footnote>
  <w:footnote w:id="4">
    <w:p w14:paraId="61D86604" w14:textId="2A0A9739" w:rsidR="007164F4" w:rsidRPr="004247D4" w:rsidRDefault="007164F4" w:rsidP="004247D4">
      <w:pPr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4247D4">
        <w:rPr>
          <w:rStyle w:val="Znakapoznpodarou"/>
          <w:rFonts w:ascii="Calibri" w:hAnsi="Calibri" w:cs="Calibri"/>
          <w:sz w:val="20"/>
          <w:szCs w:val="20"/>
        </w:rPr>
        <w:footnoteRef/>
      </w:r>
      <w:r w:rsidRPr="004247D4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ab/>
      </w:r>
      <w:r w:rsidRPr="004247D4">
        <w:rPr>
          <w:rFonts w:ascii="Calibri" w:hAnsi="Calibri" w:cs="Calibri"/>
          <w:sz w:val="20"/>
          <w:szCs w:val="20"/>
        </w:rPr>
        <w:t>Posledním bylo u</w:t>
      </w:r>
      <w:r w:rsidRPr="004247D4">
        <w:rPr>
          <w:rFonts w:ascii="Calibri" w:hAnsi="Calibri" w:cs="Calibri"/>
          <w:bCs/>
          <w:color w:val="000000"/>
          <w:sz w:val="20"/>
          <w:szCs w:val="20"/>
        </w:rPr>
        <w:t xml:space="preserve">snesení vlády České republiky </w:t>
      </w:r>
      <w:r w:rsidRPr="004247D4">
        <w:rPr>
          <w:rFonts w:ascii="Calibri" w:hAnsi="Calibri" w:cs="Calibri"/>
          <w:color w:val="000000"/>
          <w:sz w:val="20"/>
          <w:szCs w:val="20"/>
        </w:rPr>
        <w:t>ze dne 16. března 2016 č. 238</w:t>
      </w:r>
      <w:r>
        <w:rPr>
          <w:rFonts w:ascii="Calibri" w:hAnsi="Calibri" w:cs="Calibri"/>
          <w:color w:val="000000"/>
          <w:sz w:val="20"/>
          <w:szCs w:val="20"/>
        </w:rPr>
        <w:t>,</w:t>
      </w:r>
      <w:r w:rsidRPr="004247D4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7164F4">
        <w:rPr>
          <w:rFonts w:ascii="Calibri" w:hAnsi="Calibri" w:cs="Calibri"/>
          <w:bCs/>
          <w:i/>
          <w:color w:val="000000"/>
          <w:sz w:val="20"/>
          <w:szCs w:val="20"/>
        </w:rPr>
        <w:t>o struktuře Armády České republiky a počtech vojáků ozbrojených sil České republiky</w:t>
      </w:r>
      <w:r w:rsidRPr="004247D4">
        <w:rPr>
          <w:rFonts w:ascii="Calibri" w:hAnsi="Calibri" w:cs="Calibri"/>
          <w:bCs/>
          <w:color w:val="000000"/>
          <w:sz w:val="20"/>
          <w:szCs w:val="20"/>
        </w:rPr>
        <w:t>.</w:t>
      </w:r>
    </w:p>
  </w:footnote>
  <w:footnote w:id="5">
    <w:p w14:paraId="178A5D37" w14:textId="788B1F9B" w:rsidR="007164F4" w:rsidRPr="004247D4" w:rsidRDefault="007164F4" w:rsidP="004247D4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4247D4">
        <w:rPr>
          <w:rStyle w:val="Znakapoznpodarou"/>
          <w:rFonts w:ascii="Calibri" w:hAnsi="Calibri" w:cs="Calibri"/>
        </w:rPr>
        <w:footnoteRef/>
      </w:r>
      <w:r w:rsidRPr="004247D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4247D4">
        <w:rPr>
          <w:rFonts w:ascii="Calibri" w:hAnsi="Calibri" w:cs="Calibri"/>
        </w:rPr>
        <w:t>Zákon č. 219/1999 Sb., o ozbrojených silách České republiky.</w:t>
      </w:r>
    </w:p>
  </w:footnote>
  <w:footnote w:id="6">
    <w:p w14:paraId="076FE897" w14:textId="0C487BA4" w:rsidR="007164F4" w:rsidRPr="004247D4" w:rsidRDefault="007164F4" w:rsidP="004247D4">
      <w:pPr>
        <w:ind w:left="284" w:right="6" w:hanging="284"/>
        <w:jc w:val="both"/>
        <w:rPr>
          <w:rFonts w:ascii="Calibri" w:hAnsi="Calibri" w:cs="Calibri"/>
          <w:sz w:val="20"/>
          <w:szCs w:val="20"/>
        </w:rPr>
      </w:pPr>
      <w:r w:rsidRPr="004247D4">
        <w:rPr>
          <w:rStyle w:val="Znakapoznpodarou"/>
          <w:rFonts w:ascii="Calibri" w:hAnsi="Calibri" w:cs="Calibri"/>
          <w:sz w:val="20"/>
          <w:szCs w:val="20"/>
        </w:rPr>
        <w:footnoteRef/>
      </w:r>
      <w:r w:rsidRPr="004247D4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ab/>
      </w:r>
      <w:r w:rsidRPr="004247D4">
        <w:rPr>
          <w:rFonts w:ascii="Calibri" w:hAnsi="Calibri" w:cs="Calibri"/>
          <w:color w:val="000000"/>
          <w:sz w:val="20"/>
          <w:szCs w:val="20"/>
        </w:rPr>
        <w:t>Údaj nezahrnuje počty zaměstnanců v příspěvkových organizacích, ale zahrnuje počty zaměstnanců ve Vojenském zpravodajství.</w:t>
      </w:r>
    </w:p>
  </w:footnote>
  <w:footnote w:id="7">
    <w:p w14:paraId="6FFABD80" w14:textId="6C3D8B10" w:rsidR="007164F4" w:rsidRPr="004247D4" w:rsidRDefault="007164F4" w:rsidP="004247D4">
      <w:pPr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4247D4">
        <w:rPr>
          <w:rStyle w:val="Znakapoznpodarou"/>
          <w:rFonts w:ascii="Calibri" w:hAnsi="Calibri" w:cs="Calibri"/>
          <w:sz w:val="20"/>
          <w:szCs w:val="20"/>
        </w:rPr>
        <w:footnoteRef/>
      </w:r>
      <w:r w:rsidRPr="004247D4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ab/>
      </w:r>
      <w:r w:rsidRPr="004247D4">
        <w:rPr>
          <w:rFonts w:ascii="Calibri" w:hAnsi="Calibri" w:cs="Calibri"/>
          <w:sz w:val="20"/>
          <w:szCs w:val="20"/>
        </w:rPr>
        <w:t>Vojenský materiál tvoří dle ustanovení § 2 odst. 6 zákona č. 219/1999</w:t>
      </w:r>
      <w:r>
        <w:rPr>
          <w:rFonts w:ascii="Calibri" w:hAnsi="Calibri" w:cs="Calibri"/>
          <w:sz w:val="20"/>
          <w:szCs w:val="20"/>
        </w:rPr>
        <w:t> Sb.</w:t>
      </w:r>
      <w:r w:rsidRPr="004247D4">
        <w:rPr>
          <w:rFonts w:ascii="Calibri" w:hAnsi="Calibri" w:cs="Calibri"/>
          <w:sz w:val="20"/>
          <w:szCs w:val="20"/>
        </w:rPr>
        <w:t>, o ozbrojených silách České republiky</w:t>
      </w:r>
      <w:r>
        <w:rPr>
          <w:rFonts w:ascii="Calibri" w:hAnsi="Calibri" w:cs="Calibri"/>
          <w:sz w:val="20"/>
          <w:szCs w:val="20"/>
        </w:rPr>
        <w:t>:</w:t>
      </w:r>
      <w:r w:rsidRPr="004247D4">
        <w:rPr>
          <w:rFonts w:ascii="Calibri" w:hAnsi="Calibri" w:cs="Calibri"/>
          <w:sz w:val="20"/>
          <w:szCs w:val="20"/>
        </w:rPr>
        <w:t xml:space="preserve"> vojenská výstroj, vojenská výzbroj, vojenská technika a určená technická zařízení, které jsou užívány k plnění nebo zabezpečení úkolů ozbrojených sil.</w:t>
      </w:r>
    </w:p>
  </w:footnote>
  <w:footnote w:id="8">
    <w:p w14:paraId="16A6190A" w14:textId="3FB7FB37" w:rsidR="007164F4" w:rsidRPr="004247D4" w:rsidRDefault="007164F4" w:rsidP="004247D4">
      <w:pPr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4247D4">
        <w:rPr>
          <w:rStyle w:val="Znakapoznpodarou"/>
          <w:rFonts w:ascii="Calibri" w:hAnsi="Calibri" w:cs="Calibri"/>
          <w:sz w:val="20"/>
          <w:szCs w:val="20"/>
        </w:rPr>
        <w:footnoteRef/>
      </w:r>
      <w:r w:rsidRPr="004247D4">
        <w:rPr>
          <w:rFonts w:ascii="Calibri" w:hAnsi="Calibri" w:cs="Calibri"/>
          <w:sz w:val="20"/>
          <w:szCs w:val="20"/>
        </w:rPr>
        <w:t xml:space="preserve"> </w:t>
      </w:r>
      <w:r w:rsidRPr="004247D4">
        <w:rPr>
          <w:rFonts w:ascii="Calibri" w:hAnsi="Calibri" w:cs="Calibri"/>
          <w:sz w:val="20"/>
          <w:szCs w:val="20"/>
        </w:rPr>
        <w:tab/>
        <w:t xml:space="preserve">Akviziční proces představuje úplatné nabývání majetku, které kromě realizace samotné veřejné zakázky zahrnuje i procesy předcházející i následující (tj. od definování požadavku na pořízení majetku přes podporu v průběhu životního cyklu až po likvidaci tohoto majetku). </w:t>
      </w:r>
    </w:p>
  </w:footnote>
  <w:footnote w:id="9">
    <w:p w14:paraId="33CA3DA5" w14:textId="58B4256D" w:rsidR="007164F4" w:rsidRPr="004247D4" w:rsidRDefault="007164F4" w:rsidP="004247D4">
      <w:pPr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4247D4">
        <w:rPr>
          <w:rStyle w:val="Znakapoznpodarou"/>
          <w:rFonts w:ascii="Calibri" w:hAnsi="Calibri" w:cs="Calibri"/>
          <w:sz w:val="20"/>
          <w:szCs w:val="20"/>
        </w:rPr>
        <w:footnoteRef/>
      </w:r>
      <w:r w:rsidRPr="004247D4">
        <w:rPr>
          <w:rFonts w:ascii="Calibri" w:hAnsi="Calibri" w:cs="Calibri"/>
          <w:sz w:val="20"/>
          <w:szCs w:val="20"/>
        </w:rPr>
        <w:t xml:space="preserve"> </w:t>
      </w:r>
      <w:r w:rsidRPr="004247D4">
        <w:rPr>
          <w:rFonts w:ascii="Calibri" w:hAnsi="Calibri" w:cs="Calibri"/>
          <w:sz w:val="20"/>
          <w:szCs w:val="20"/>
        </w:rPr>
        <w:tab/>
        <w:t>Usnesení vlády České republiky ze dne 21. prosince 2015 č. 1094</w:t>
      </w:r>
      <w:r>
        <w:rPr>
          <w:rFonts w:ascii="Calibri" w:hAnsi="Calibri" w:cs="Calibri"/>
          <w:sz w:val="20"/>
          <w:szCs w:val="20"/>
        </w:rPr>
        <w:t>,</w:t>
      </w:r>
      <w:r w:rsidRPr="004247D4">
        <w:rPr>
          <w:rFonts w:ascii="Calibri" w:hAnsi="Calibri" w:cs="Calibri"/>
          <w:sz w:val="20"/>
          <w:szCs w:val="20"/>
        </w:rPr>
        <w:t xml:space="preserve"> </w:t>
      </w:r>
      <w:r w:rsidRPr="007164F4">
        <w:rPr>
          <w:rFonts w:ascii="Calibri" w:hAnsi="Calibri" w:cs="Calibri"/>
          <w:i/>
          <w:sz w:val="20"/>
          <w:szCs w:val="20"/>
        </w:rPr>
        <w:t>o Koncepci výstavby Armády České republiky do roku 2025</w:t>
      </w:r>
      <w:r w:rsidRPr="004247D4">
        <w:rPr>
          <w:rFonts w:ascii="Calibri" w:hAnsi="Calibri" w:cs="Calibri"/>
          <w:sz w:val="20"/>
          <w:szCs w:val="20"/>
        </w:rPr>
        <w:t>.</w:t>
      </w:r>
    </w:p>
  </w:footnote>
  <w:footnote w:id="10">
    <w:p w14:paraId="6DF40FDE" w14:textId="6D3AEC8E" w:rsidR="007164F4" w:rsidRPr="004247D4" w:rsidRDefault="007164F4" w:rsidP="004247D4">
      <w:pPr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4247D4">
        <w:rPr>
          <w:rStyle w:val="Znakapoznpodarou"/>
          <w:rFonts w:ascii="Calibri" w:hAnsi="Calibri" w:cs="Calibri"/>
          <w:sz w:val="20"/>
          <w:szCs w:val="20"/>
        </w:rPr>
        <w:footnoteRef/>
      </w:r>
      <w:r w:rsidRPr="004247D4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ab/>
      </w:r>
      <w:r w:rsidRPr="004247D4">
        <w:rPr>
          <w:rFonts w:ascii="Calibri" w:hAnsi="Calibri" w:cs="Calibri"/>
          <w:sz w:val="20"/>
          <w:szCs w:val="20"/>
        </w:rPr>
        <w:t>Usnesení vlády České republiky ze dne 4. února 2015 č. 79</w:t>
      </w:r>
      <w:r>
        <w:rPr>
          <w:rFonts w:ascii="Calibri" w:hAnsi="Calibri" w:cs="Calibri"/>
          <w:sz w:val="20"/>
          <w:szCs w:val="20"/>
        </w:rPr>
        <w:t>,</w:t>
      </w:r>
      <w:r w:rsidRPr="004247D4">
        <w:rPr>
          <w:rFonts w:ascii="Calibri" w:hAnsi="Calibri" w:cs="Calibri"/>
          <w:sz w:val="20"/>
          <w:szCs w:val="20"/>
        </w:rPr>
        <w:t xml:space="preserve"> </w:t>
      </w:r>
      <w:r w:rsidRPr="004F50DA">
        <w:rPr>
          <w:rFonts w:ascii="Calibri" w:hAnsi="Calibri" w:cs="Calibri"/>
          <w:i/>
          <w:sz w:val="20"/>
          <w:szCs w:val="20"/>
        </w:rPr>
        <w:t>o Bezpečnostní strategii České republiky 2015</w:t>
      </w:r>
      <w:r w:rsidRPr="004247D4">
        <w:rPr>
          <w:rFonts w:ascii="Calibri" w:hAnsi="Calibri" w:cs="Calibri"/>
          <w:sz w:val="20"/>
          <w:szCs w:val="20"/>
        </w:rPr>
        <w:t>.</w:t>
      </w:r>
    </w:p>
  </w:footnote>
  <w:footnote w:id="11">
    <w:p w14:paraId="2E845FE0" w14:textId="0891EAD7" w:rsidR="007164F4" w:rsidRPr="004247D4" w:rsidRDefault="007164F4" w:rsidP="004247D4">
      <w:pPr>
        <w:pStyle w:val="Textpoznpodarou"/>
        <w:ind w:left="284" w:hanging="284"/>
        <w:rPr>
          <w:rFonts w:ascii="Calibri" w:hAnsi="Calibri" w:cs="Calibri"/>
        </w:rPr>
      </w:pPr>
      <w:r w:rsidRPr="004247D4">
        <w:rPr>
          <w:rStyle w:val="Znakapoznpodarou"/>
          <w:rFonts w:ascii="Calibri" w:hAnsi="Calibri" w:cs="Calibri"/>
        </w:rPr>
        <w:footnoteRef/>
      </w:r>
      <w:r w:rsidRPr="004247D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4247D4">
        <w:rPr>
          <w:rFonts w:ascii="Calibri" w:hAnsi="Calibri" w:cs="Calibri"/>
        </w:rPr>
        <w:t>Usnesení vlády České republiky ze dne 26. září 2012 č. 699</w:t>
      </w:r>
      <w:r>
        <w:rPr>
          <w:rFonts w:ascii="Calibri" w:hAnsi="Calibri" w:cs="Calibri"/>
        </w:rPr>
        <w:t>,</w:t>
      </w:r>
      <w:r w:rsidRPr="004247D4">
        <w:rPr>
          <w:rFonts w:ascii="Calibri" w:hAnsi="Calibri" w:cs="Calibri"/>
        </w:rPr>
        <w:t xml:space="preserve"> </w:t>
      </w:r>
      <w:r w:rsidRPr="004F50DA">
        <w:rPr>
          <w:rFonts w:ascii="Calibri" w:hAnsi="Calibri" w:cs="Calibri"/>
          <w:i/>
        </w:rPr>
        <w:t>o Obranné strategii České republiky</w:t>
      </w:r>
      <w:r w:rsidRPr="004247D4">
        <w:rPr>
          <w:rFonts w:ascii="Calibri" w:hAnsi="Calibri" w:cs="Calibri"/>
        </w:rPr>
        <w:t>.</w:t>
      </w:r>
    </w:p>
  </w:footnote>
  <w:footnote w:id="12">
    <w:p w14:paraId="07AC7BAF" w14:textId="170207D5" w:rsidR="007164F4" w:rsidRPr="004247D4" w:rsidRDefault="007164F4" w:rsidP="004247D4">
      <w:pPr>
        <w:ind w:left="284" w:hanging="284"/>
        <w:jc w:val="both"/>
        <w:outlineLvl w:val="1"/>
        <w:rPr>
          <w:rFonts w:ascii="Calibri" w:eastAsiaTheme="minorHAnsi" w:hAnsi="Calibri" w:cs="Calibri"/>
          <w:sz w:val="20"/>
          <w:szCs w:val="20"/>
          <w:lang w:eastAsia="en-US"/>
        </w:rPr>
      </w:pPr>
      <w:r w:rsidRPr="004247D4">
        <w:rPr>
          <w:rStyle w:val="Znakapoznpodarou"/>
          <w:rFonts w:ascii="Calibri" w:hAnsi="Calibri" w:cs="Calibri"/>
          <w:sz w:val="20"/>
          <w:szCs w:val="20"/>
        </w:rPr>
        <w:footnoteRef/>
      </w:r>
      <w:r w:rsidRPr="004247D4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ab/>
      </w:r>
      <w:r w:rsidRPr="004247D4">
        <w:rPr>
          <w:rFonts w:ascii="Calibri" w:hAnsi="Calibri" w:cs="Calibri"/>
          <w:bCs/>
          <w:sz w:val="20"/>
          <w:szCs w:val="20"/>
        </w:rPr>
        <w:t xml:space="preserve">Kontrolní akce č. 10/10 – </w:t>
      </w:r>
      <w:r w:rsidRPr="004247D4">
        <w:rPr>
          <w:rFonts w:ascii="Calibri" w:hAnsi="Calibri" w:cs="Calibri"/>
          <w:i/>
          <w:sz w:val="20"/>
          <w:szCs w:val="20"/>
        </w:rPr>
        <w:t>Peněžní prostředky určené na pořizování vybrané techniky Armády České republiky</w:t>
      </w:r>
      <w:r w:rsidRPr="004247D4">
        <w:rPr>
          <w:rFonts w:ascii="Calibri" w:hAnsi="Calibri" w:cs="Calibri"/>
          <w:sz w:val="20"/>
          <w:szCs w:val="20"/>
        </w:rPr>
        <w:t xml:space="preserve"> (kontrolní závěr zveřejněn v částce 2/2011 </w:t>
      </w:r>
      <w:r w:rsidRPr="004247D4">
        <w:rPr>
          <w:rFonts w:ascii="Calibri" w:hAnsi="Calibri" w:cs="Calibri"/>
          <w:i/>
          <w:sz w:val="20"/>
          <w:szCs w:val="20"/>
        </w:rPr>
        <w:t>Věstníku NKÚ</w:t>
      </w:r>
      <w:r w:rsidRPr="004F50DA">
        <w:rPr>
          <w:rFonts w:ascii="Calibri" w:hAnsi="Calibri" w:cs="Calibri"/>
          <w:sz w:val="20"/>
          <w:szCs w:val="20"/>
        </w:rPr>
        <w:t>)</w:t>
      </w:r>
      <w:r w:rsidRPr="00755BA1">
        <w:rPr>
          <w:rFonts w:ascii="Calibri" w:hAnsi="Calibri" w:cs="Calibri"/>
          <w:sz w:val="20"/>
          <w:szCs w:val="20"/>
        </w:rPr>
        <w:t xml:space="preserve"> </w:t>
      </w:r>
      <w:r w:rsidRPr="004247D4">
        <w:rPr>
          <w:rFonts w:ascii="Calibri" w:hAnsi="Calibri" w:cs="Calibri"/>
          <w:sz w:val="20"/>
          <w:szCs w:val="20"/>
        </w:rPr>
        <w:t xml:space="preserve">a </w:t>
      </w:r>
      <w:r w:rsidRPr="004247D4">
        <w:rPr>
          <w:rFonts w:ascii="Calibri" w:hAnsi="Calibri" w:cs="Calibri"/>
          <w:bCs/>
          <w:sz w:val="20"/>
          <w:szCs w:val="20"/>
        </w:rPr>
        <w:t xml:space="preserve">kontrolní akce č. 12/33 – </w:t>
      </w:r>
      <w:r w:rsidRPr="004247D4">
        <w:rPr>
          <w:rFonts w:ascii="Calibri" w:hAnsi="Calibri" w:cs="Calibri"/>
          <w:bCs/>
          <w:i/>
          <w:sz w:val="20"/>
          <w:szCs w:val="20"/>
        </w:rPr>
        <w:t xml:space="preserve">Peněžní prostředky určené na pořizování vybrané výzbroje a techniky pro pozemní a specializované síly Armády České republiky </w:t>
      </w:r>
      <w:r w:rsidRPr="004247D4">
        <w:rPr>
          <w:rFonts w:ascii="Calibri" w:hAnsi="Calibri" w:cs="Calibri"/>
          <w:bCs/>
          <w:sz w:val="20"/>
          <w:szCs w:val="20"/>
        </w:rPr>
        <w:t xml:space="preserve">(kontrolní závěr zveřejněn v částce 4/2013 </w:t>
      </w:r>
      <w:r w:rsidRPr="004247D4">
        <w:rPr>
          <w:rFonts w:ascii="Calibri" w:hAnsi="Calibri" w:cs="Calibri"/>
          <w:bCs/>
          <w:i/>
          <w:sz w:val="20"/>
          <w:szCs w:val="20"/>
        </w:rPr>
        <w:t>Věstníku NKÚ</w:t>
      </w:r>
      <w:r w:rsidRPr="004247D4">
        <w:rPr>
          <w:rFonts w:ascii="Calibri" w:hAnsi="Calibri" w:cs="Calibri"/>
          <w:bCs/>
          <w:sz w:val="20"/>
          <w:szCs w:val="20"/>
        </w:rPr>
        <w:t>).</w:t>
      </w:r>
    </w:p>
  </w:footnote>
  <w:footnote w:id="13">
    <w:p w14:paraId="7F11942E" w14:textId="4345F0FD" w:rsidR="007164F4" w:rsidRPr="004247D4" w:rsidRDefault="007164F4" w:rsidP="004247D4">
      <w:pPr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4247D4">
        <w:rPr>
          <w:rStyle w:val="Znakapoznpodarou"/>
          <w:rFonts w:ascii="Calibri" w:hAnsi="Calibri" w:cs="Calibri"/>
          <w:sz w:val="20"/>
          <w:szCs w:val="20"/>
        </w:rPr>
        <w:footnoteRef/>
      </w:r>
      <w:r w:rsidRPr="004247D4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ab/>
      </w:r>
      <w:r w:rsidRPr="004247D4">
        <w:rPr>
          <w:rFonts w:ascii="Calibri" w:hAnsi="Calibri" w:cs="Calibri"/>
          <w:sz w:val="20"/>
          <w:szCs w:val="20"/>
        </w:rPr>
        <w:t>Usnesení vlády České republiky ze dne 15. června 2015 č. 466</w:t>
      </w:r>
      <w:r>
        <w:rPr>
          <w:rFonts w:ascii="Calibri" w:hAnsi="Calibri" w:cs="Calibri"/>
          <w:sz w:val="20"/>
          <w:szCs w:val="20"/>
        </w:rPr>
        <w:t>,</w:t>
      </w:r>
      <w:r w:rsidRPr="004247D4">
        <w:rPr>
          <w:rFonts w:ascii="Calibri" w:hAnsi="Calibri" w:cs="Calibri"/>
          <w:sz w:val="20"/>
          <w:szCs w:val="20"/>
        </w:rPr>
        <w:t xml:space="preserve"> </w:t>
      </w:r>
      <w:r w:rsidRPr="004F50DA">
        <w:rPr>
          <w:rFonts w:ascii="Calibri" w:hAnsi="Calibri" w:cs="Calibri"/>
          <w:i/>
          <w:sz w:val="20"/>
          <w:szCs w:val="20"/>
        </w:rPr>
        <w:t>o Dlouhodobém výhledu pro obranu 2030</w:t>
      </w:r>
      <w:r w:rsidRPr="004247D4">
        <w:rPr>
          <w:rFonts w:ascii="Calibri" w:hAnsi="Calibri" w:cs="Calibri"/>
          <w:sz w:val="20"/>
          <w:szCs w:val="20"/>
        </w:rPr>
        <w:t>.</w:t>
      </w:r>
    </w:p>
  </w:footnote>
  <w:footnote w:id="14">
    <w:p w14:paraId="74E5F952" w14:textId="3ACB384D" w:rsidR="007164F4" w:rsidRPr="00C06B55" w:rsidRDefault="007164F4" w:rsidP="004247D4">
      <w:pPr>
        <w:pStyle w:val="Textpoznpodarou"/>
        <w:ind w:left="284" w:hanging="284"/>
        <w:rPr>
          <w:rFonts w:ascii="Calibri" w:hAnsi="Calibri"/>
        </w:rPr>
      </w:pPr>
      <w:r w:rsidRPr="00C06B55">
        <w:rPr>
          <w:rStyle w:val="Znakapoznpodarou"/>
          <w:rFonts w:ascii="Calibri" w:hAnsi="Calibri"/>
        </w:rPr>
        <w:footnoteRef/>
      </w:r>
      <w:r w:rsidRPr="00C06B55">
        <w:rPr>
          <w:rFonts w:ascii="Calibri" w:hAnsi="Calibri"/>
        </w:rPr>
        <w:t xml:space="preserve"> </w:t>
      </w:r>
      <w:r>
        <w:rPr>
          <w:rFonts w:ascii="Calibri" w:hAnsi="Calibri"/>
        </w:rPr>
        <w:tab/>
        <w:t xml:space="preserve">Viz </w:t>
      </w:r>
      <w:r w:rsidRPr="004F50DA">
        <w:rPr>
          <w:rFonts w:ascii="Calibri" w:hAnsi="Calibri"/>
          <w:color w:val="0070C0"/>
        </w:rPr>
        <w:t>https://www.gov.uk/government/publications/the-defence-equipment-plan-2015</w:t>
      </w:r>
      <w:r w:rsidRPr="00C06B55">
        <w:rPr>
          <w:rFonts w:ascii="Calibri" w:hAnsi="Calibri"/>
        </w:rPr>
        <w:t>.</w:t>
      </w:r>
    </w:p>
  </w:footnote>
  <w:footnote w:id="15">
    <w:p w14:paraId="359AA6B7" w14:textId="18EF4410" w:rsidR="007164F4" w:rsidRPr="00C06B55" w:rsidRDefault="007164F4" w:rsidP="004247D4">
      <w:p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C06B55">
        <w:rPr>
          <w:rStyle w:val="Znakapoznpodarou"/>
          <w:rFonts w:asciiTheme="minorHAnsi" w:hAnsiTheme="minorHAnsi" w:cstheme="minorHAnsi"/>
          <w:sz w:val="20"/>
          <w:szCs w:val="20"/>
        </w:rPr>
        <w:footnoteRef/>
      </w:r>
      <w:r w:rsidRPr="00C06B55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ab/>
      </w:r>
      <w:r w:rsidRPr="00C06B55">
        <w:rPr>
          <w:rFonts w:asciiTheme="minorHAnsi" w:hAnsiTheme="minorHAnsi" w:cstheme="minorHAnsi"/>
          <w:sz w:val="20"/>
          <w:szCs w:val="20"/>
        </w:rPr>
        <w:t>Usnesení vlády České republiky ze dne 15. září 2004 č. 875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C06B55">
        <w:rPr>
          <w:rFonts w:asciiTheme="minorHAnsi" w:hAnsiTheme="minorHAnsi" w:cstheme="minorHAnsi"/>
          <w:sz w:val="20"/>
          <w:szCs w:val="20"/>
        </w:rPr>
        <w:t xml:space="preserve"> </w:t>
      </w:r>
      <w:r w:rsidRPr="004F50DA">
        <w:rPr>
          <w:rFonts w:asciiTheme="minorHAnsi" w:hAnsiTheme="minorHAnsi" w:cstheme="minorHAnsi"/>
          <w:i/>
          <w:sz w:val="20"/>
          <w:szCs w:val="20"/>
        </w:rPr>
        <w:t>o Národní strategii vyzbrojování</w:t>
      </w:r>
      <w:r w:rsidRPr="00C06B55">
        <w:rPr>
          <w:rFonts w:asciiTheme="minorHAnsi" w:hAnsiTheme="minorHAnsi" w:cstheme="minorHAnsi"/>
          <w:sz w:val="20"/>
          <w:szCs w:val="20"/>
        </w:rPr>
        <w:t>.</w:t>
      </w:r>
    </w:p>
  </w:footnote>
  <w:footnote w:id="16">
    <w:p w14:paraId="08FA91ED" w14:textId="2E12DFB9" w:rsidR="007164F4" w:rsidRPr="004B3CE2" w:rsidRDefault="007164F4" w:rsidP="004247D4">
      <w:pPr>
        <w:pStyle w:val="Default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C06B55">
        <w:rPr>
          <w:rStyle w:val="Znakapoznpodarou"/>
          <w:rFonts w:asciiTheme="minorHAnsi" w:hAnsiTheme="minorHAnsi"/>
          <w:sz w:val="20"/>
          <w:szCs w:val="20"/>
        </w:rPr>
        <w:footnoteRef/>
      </w:r>
      <w:r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ab/>
      </w:r>
      <w:r w:rsidRPr="00C06B55">
        <w:rPr>
          <w:rFonts w:asciiTheme="minorHAnsi" w:hAnsiTheme="minorHAnsi"/>
          <w:sz w:val="20"/>
          <w:szCs w:val="20"/>
        </w:rPr>
        <w:t>Usnesení vlády České republiky ze dne 27. června 2016 č. 601</w:t>
      </w:r>
      <w:r>
        <w:rPr>
          <w:rFonts w:asciiTheme="minorHAnsi" w:hAnsiTheme="minorHAnsi"/>
          <w:sz w:val="20"/>
          <w:szCs w:val="20"/>
        </w:rPr>
        <w:t>,</w:t>
      </w:r>
      <w:r w:rsidRPr="00C06B55">
        <w:rPr>
          <w:rFonts w:asciiTheme="minorHAnsi" w:hAnsiTheme="minorHAnsi"/>
          <w:sz w:val="20"/>
          <w:szCs w:val="20"/>
        </w:rPr>
        <w:t xml:space="preserve"> </w:t>
      </w:r>
      <w:r w:rsidRPr="004F50DA">
        <w:rPr>
          <w:rFonts w:asciiTheme="minorHAnsi" w:hAnsiTheme="minorHAnsi"/>
          <w:bCs/>
          <w:i/>
          <w:sz w:val="20"/>
          <w:szCs w:val="20"/>
        </w:rPr>
        <w:t>ke Zprávě o plnění úkolů uložených vládou s termínem plnění od 1. května do 31. května 2016</w:t>
      </w:r>
      <w:r w:rsidRPr="00C06B55">
        <w:rPr>
          <w:rFonts w:asciiTheme="minorHAnsi" w:hAnsiTheme="minorHAnsi"/>
          <w:bCs/>
          <w:sz w:val="20"/>
          <w:szCs w:val="20"/>
        </w:rPr>
        <w:t>.</w:t>
      </w:r>
    </w:p>
  </w:footnote>
  <w:footnote w:id="17">
    <w:p w14:paraId="6AE6FE7A" w14:textId="251D81BE" w:rsidR="007164F4" w:rsidRPr="00C06B55" w:rsidRDefault="007164F4" w:rsidP="004247D4">
      <w:pPr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C06B55">
        <w:rPr>
          <w:rStyle w:val="Znakapoznpodarou"/>
          <w:rFonts w:asciiTheme="minorHAnsi" w:hAnsiTheme="minorHAnsi"/>
          <w:sz w:val="20"/>
          <w:szCs w:val="20"/>
        </w:rPr>
        <w:footnoteRef/>
      </w:r>
      <w:r w:rsidRPr="00C06B55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ab/>
      </w:r>
      <w:r w:rsidRPr="00C06B55">
        <w:rPr>
          <w:rFonts w:asciiTheme="minorHAnsi" w:hAnsiTheme="minorHAnsi"/>
          <w:sz w:val="20"/>
          <w:szCs w:val="20"/>
        </w:rPr>
        <w:t>Usnesení vlády České republiky ze dne 18. května 2011 č. 369</w:t>
      </w:r>
      <w:r>
        <w:rPr>
          <w:rFonts w:asciiTheme="minorHAnsi" w:hAnsiTheme="minorHAnsi"/>
          <w:sz w:val="20"/>
          <w:szCs w:val="20"/>
        </w:rPr>
        <w:t>,</w:t>
      </w:r>
      <w:r w:rsidRPr="00C06B55">
        <w:rPr>
          <w:rFonts w:asciiTheme="minorHAnsi" w:hAnsiTheme="minorHAnsi"/>
          <w:sz w:val="20"/>
          <w:szCs w:val="20"/>
        </w:rPr>
        <w:t xml:space="preserve"> </w:t>
      </w:r>
      <w:r w:rsidRPr="004F50DA">
        <w:rPr>
          <w:rFonts w:asciiTheme="minorHAnsi" w:hAnsiTheme="minorHAnsi"/>
          <w:i/>
          <w:sz w:val="20"/>
          <w:szCs w:val="20"/>
        </w:rPr>
        <w:t>o Bílé knize o obraně</w:t>
      </w:r>
      <w:r w:rsidRPr="00C06B55">
        <w:rPr>
          <w:rFonts w:asciiTheme="minorHAnsi" w:hAnsiTheme="minorHAnsi"/>
          <w:sz w:val="20"/>
          <w:szCs w:val="20"/>
        </w:rPr>
        <w:t>.</w:t>
      </w:r>
    </w:p>
  </w:footnote>
  <w:footnote w:id="18">
    <w:p w14:paraId="3ABD7E57" w14:textId="78071F13" w:rsidR="007164F4" w:rsidRPr="00C06B55" w:rsidRDefault="007164F4" w:rsidP="004247D4">
      <w:pPr>
        <w:pStyle w:val="Textpoznpodarou"/>
        <w:ind w:left="284" w:hanging="284"/>
        <w:jc w:val="both"/>
        <w:rPr>
          <w:rFonts w:asciiTheme="minorHAnsi" w:hAnsiTheme="minorHAnsi"/>
        </w:rPr>
      </w:pPr>
      <w:r w:rsidRPr="00C06B55">
        <w:rPr>
          <w:rStyle w:val="Znakapoznpodarou"/>
          <w:rFonts w:asciiTheme="minorHAnsi" w:hAnsiTheme="minorHAnsi"/>
        </w:rPr>
        <w:footnoteRef/>
      </w:r>
      <w:r w:rsidRPr="00C06B55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</w:r>
      <w:r w:rsidRPr="00C06B55">
        <w:rPr>
          <w:rFonts w:asciiTheme="minorHAnsi" w:hAnsiTheme="minorHAnsi" w:cstheme="minorHAnsi"/>
        </w:rPr>
        <w:t>Usnesení vlády České republiky ze dne 22. října 2007 č. 1194</w:t>
      </w:r>
      <w:r>
        <w:rPr>
          <w:rFonts w:asciiTheme="minorHAnsi" w:hAnsiTheme="minorHAnsi" w:cstheme="minorHAnsi"/>
        </w:rPr>
        <w:t>,</w:t>
      </w:r>
      <w:r w:rsidRPr="00C06B55">
        <w:rPr>
          <w:rFonts w:asciiTheme="minorHAnsi" w:hAnsiTheme="minorHAnsi" w:cstheme="minorHAnsi"/>
        </w:rPr>
        <w:t xml:space="preserve"> </w:t>
      </w:r>
      <w:r w:rsidRPr="004F50DA">
        <w:rPr>
          <w:rFonts w:asciiTheme="minorHAnsi" w:hAnsiTheme="minorHAnsi" w:cstheme="minorHAnsi"/>
          <w:i/>
        </w:rPr>
        <w:t>o Transformaci resortu Ministerstva obrany</w:t>
      </w:r>
      <w:r w:rsidRPr="00C06B55">
        <w:rPr>
          <w:rFonts w:asciiTheme="minorHAnsi" w:hAnsiTheme="minorHAnsi" w:cstheme="minorHAnsi"/>
        </w:rPr>
        <w:t>.</w:t>
      </w:r>
    </w:p>
  </w:footnote>
  <w:footnote w:id="19">
    <w:p w14:paraId="12A4985D" w14:textId="44401FED" w:rsidR="007164F4" w:rsidRPr="00F84594" w:rsidRDefault="007164F4" w:rsidP="004247D4">
      <w:pPr>
        <w:pStyle w:val="Textpoznpodarou"/>
        <w:ind w:left="284" w:hanging="284"/>
        <w:jc w:val="both"/>
        <w:rPr>
          <w:rFonts w:asciiTheme="minorHAnsi" w:hAnsiTheme="minorHAnsi"/>
          <w:sz w:val="16"/>
          <w:szCs w:val="16"/>
        </w:rPr>
      </w:pPr>
      <w:r w:rsidRPr="00C06B55">
        <w:rPr>
          <w:rStyle w:val="Znakapoznpodarou"/>
          <w:rFonts w:asciiTheme="minorHAnsi" w:hAnsiTheme="minorHAnsi"/>
        </w:rPr>
        <w:footnoteRef/>
      </w:r>
      <w:r w:rsidRPr="00C06B55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</w:r>
      <w:r w:rsidRPr="00C06B55">
        <w:rPr>
          <w:rFonts w:asciiTheme="minorHAnsi" w:hAnsiTheme="minorHAnsi"/>
        </w:rPr>
        <w:t>Usnesení vlády České republiky ze dne 13. listopadu 2002 č. 1140</w:t>
      </w:r>
      <w:r>
        <w:rPr>
          <w:rFonts w:asciiTheme="minorHAnsi" w:hAnsiTheme="minorHAnsi"/>
        </w:rPr>
        <w:t>,</w:t>
      </w:r>
      <w:r w:rsidRPr="00C06B55">
        <w:rPr>
          <w:rFonts w:asciiTheme="minorHAnsi" w:hAnsiTheme="minorHAnsi"/>
        </w:rPr>
        <w:t xml:space="preserve"> </w:t>
      </w:r>
      <w:r w:rsidRPr="004F50DA">
        <w:rPr>
          <w:rFonts w:asciiTheme="minorHAnsi" w:hAnsiTheme="minorHAnsi"/>
          <w:i/>
        </w:rPr>
        <w:t>ke Koncepci výstavby profesionální Armády České republiky a mobilizace ozbrojených sil České republiky</w:t>
      </w:r>
      <w:r w:rsidRPr="00C06B55">
        <w:rPr>
          <w:rFonts w:asciiTheme="minorHAnsi" w:hAnsiTheme="minorHAnsi"/>
        </w:rPr>
        <w:t>.</w:t>
      </w:r>
    </w:p>
  </w:footnote>
  <w:footnote w:id="20">
    <w:p w14:paraId="0B6EA3B9" w14:textId="6BBD7D27" w:rsidR="007164F4" w:rsidRPr="00FA06A6" w:rsidRDefault="007164F4" w:rsidP="004247D4">
      <w:pPr>
        <w:pStyle w:val="Textpoznpodarou"/>
        <w:ind w:left="284" w:hanging="284"/>
        <w:jc w:val="both"/>
        <w:rPr>
          <w:rFonts w:ascii="Calibri" w:hAnsi="Calibri"/>
        </w:rPr>
      </w:pPr>
      <w:r w:rsidRPr="00FA06A6">
        <w:rPr>
          <w:rStyle w:val="Znakapoznpodarou"/>
          <w:rFonts w:ascii="Calibri" w:hAnsi="Calibri"/>
        </w:rPr>
        <w:footnoteRef/>
      </w:r>
      <w:r w:rsidRPr="00FA06A6"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  <w:r w:rsidRPr="00FA06A6">
        <w:rPr>
          <w:rFonts w:ascii="Calibri" w:hAnsi="Calibri"/>
        </w:rPr>
        <w:t>Koncem roku 2014 nebylo realizováno 12 cílů.</w:t>
      </w:r>
    </w:p>
  </w:footnote>
  <w:footnote w:id="21">
    <w:p w14:paraId="712E5173" w14:textId="367B0A65" w:rsidR="007164F4" w:rsidRPr="00965E6A" w:rsidRDefault="007164F4" w:rsidP="00A13E21">
      <w:pPr>
        <w:pStyle w:val="Textpoznpodarou"/>
        <w:ind w:left="284" w:hanging="284"/>
        <w:jc w:val="both"/>
        <w:rPr>
          <w:rFonts w:ascii="Calibri" w:hAnsi="Calibri"/>
        </w:rPr>
      </w:pPr>
      <w:r w:rsidRPr="00C06B55">
        <w:rPr>
          <w:rStyle w:val="Znakapoznpodarou"/>
          <w:rFonts w:ascii="Calibri" w:hAnsi="Calibri"/>
        </w:rPr>
        <w:footnoteRef/>
      </w:r>
      <w:r w:rsidRPr="00C06B55"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  <w:r w:rsidRPr="00C06B55">
        <w:rPr>
          <w:rFonts w:ascii="Calibri" w:hAnsi="Calibri"/>
        </w:rPr>
        <w:t xml:space="preserve">Plán je </w:t>
      </w:r>
      <w:r>
        <w:rPr>
          <w:rFonts w:ascii="Calibri" w:hAnsi="Calibri"/>
        </w:rPr>
        <w:t>vytvořen</w:t>
      </w:r>
      <w:r w:rsidRPr="00C06B55">
        <w:rPr>
          <w:rFonts w:ascii="Calibri" w:hAnsi="Calibri"/>
        </w:rPr>
        <w:t xml:space="preserve"> na </w:t>
      </w:r>
      <w:r>
        <w:rPr>
          <w:rFonts w:ascii="Calibri" w:hAnsi="Calibri"/>
        </w:rPr>
        <w:t>dané</w:t>
      </w:r>
      <w:r w:rsidRPr="00C06B55">
        <w:rPr>
          <w:rFonts w:ascii="Calibri" w:hAnsi="Calibri"/>
        </w:rPr>
        <w:t xml:space="preserve"> období, přičemž je každoročně aktualizován a </w:t>
      </w:r>
      <w:r>
        <w:rPr>
          <w:rFonts w:ascii="Calibri" w:hAnsi="Calibri"/>
        </w:rPr>
        <w:t xml:space="preserve">„vyrolován“ o jeden </w:t>
      </w:r>
      <w:r w:rsidRPr="00C06B55">
        <w:rPr>
          <w:rFonts w:ascii="Calibri" w:hAnsi="Calibri"/>
        </w:rPr>
        <w:t>rok dopředu.</w:t>
      </w:r>
    </w:p>
  </w:footnote>
  <w:footnote w:id="22">
    <w:p w14:paraId="2C428240" w14:textId="5AE17E27" w:rsidR="007164F4" w:rsidRPr="009A2429" w:rsidRDefault="007164F4" w:rsidP="00A13E21">
      <w:pPr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A2429">
        <w:rPr>
          <w:rStyle w:val="Znakapoznpodarou"/>
          <w:rFonts w:asciiTheme="minorHAnsi" w:hAnsiTheme="minorHAnsi"/>
          <w:sz w:val="20"/>
          <w:szCs w:val="20"/>
        </w:rPr>
        <w:footnoteRef/>
      </w:r>
      <w:r w:rsidRPr="009A2429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ab/>
      </w:r>
      <w:r w:rsidRPr="009A2429">
        <w:rPr>
          <w:rFonts w:asciiTheme="minorHAnsi" w:hAnsiTheme="minorHAnsi"/>
          <w:sz w:val="20"/>
          <w:szCs w:val="20"/>
        </w:rPr>
        <w:t xml:space="preserve">V důsledku fyzického a morálního zastarávání vojenského materiálu dochází </w:t>
      </w:r>
      <w:r>
        <w:rPr>
          <w:rFonts w:asciiTheme="minorHAnsi" w:hAnsiTheme="minorHAnsi"/>
          <w:sz w:val="20"/>
          <w:szCs w:val="20"/>
        </w:rPr>
        <w:t>jak k omezování schopností AČR, tak k růstu provozních nákladů MO.</w:t>
      </w:r>
    </w:p>
  </w:footnote>
  <w:footnote w:id="23">
    <w:p w14:paraId="1A1EFD5B" w14:textId="2DBF23F1" w:rsidR="007164F4" w:rsidRPr="00AA5B60" w:rsidRDefault="007164F4" w:rsidP="00A13E21">
      <w:pPr>
        <w:ind w:left="284" w:hanging="284"/>
        <w:jc w:val="both"/>
        <w:rPr>
          <w:rFonts w:asciiTheme="minorHAnsi" w:hAnsiTheme="minorHAnsi" w:cstheme="minorHAnsi"/>
          <w:sz w:val="16"/>
          <w:szCs w:val="16"/>
        </w:rPr>
      </w:pPr>
      <w:r w:rsidRPr="009A2429">
        <w:rPr>
          <w:rStyle w:val="Znakapoznpodarou"/>
          <w:rFonts w:asciiTheme="minorHAnsi" w:hAnsiTheme="minorHAnsi"/>
          <w:sz w:val="20"/>
          <w:szCs w:val="20"/>
        </w:rPr>
        <w:footnoteRef/>
      </w:r>
      <w:r w:rsidRPr="009A2429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ab/>
      </w:r>
      <w:r w:rsidRPr="009A2429">
        <w:rPr>
          <w:rFonts w:asciiTheme="minorHAnsi" w:hAnsiTheme="minorHAnsi" w:cstheme="minorHAnsi"/>
          <w:sz w:val="20"/>
          <w:szCs w:val="20"/>
        </w:rPr>
        <w:t>Např. u pozemních sil nebylo dokončeno přezbrojení kolovými obrněnými vozidly, přezbrojení dělostřelectva nebo ženijního vojska.</w:t>
      </w:r>
    </w:p>
  </w:footnote>
  <w:footnote w:id="24">
    <w:p w14:paraId="31EA503F" w14:textId="581F6AD6" w:rsidR="007164F4" w:rsidRPr="00FA06A6" w:rsidRDefault="007164F4" w:rsidP="00733D67">
      <w:pPr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FA06A6">
        <w:rPr>
          <w:rStyle w:val="Znakapoznpodarou"/>
          <w:rFonts w:asciiTheme="minorHAnsi" w:hAnsiTheme="minorHAnsi"/>
          <w:sz w:val="20"/>
          <w:szCs w:val="20"/>
        </w:rPr>
        <w:footnoteRef/>
      </w:r>
      <w:r w:rsidRPr="00FA06A6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ab/>
      </w:r>
      <w:r w:rsidRPr="00FA06A6">
        <w:rPr>
          <w:rFonts w:asciiTheme="minorHAnsi" w:hAnsiTheme="minorHAnsi" w:cstheme="minorHAnsi"/>
          <w:color w:val="000000"/>
          <w:sz w:val="20"/>
          <w:szCs w:val="20"/>
        </w:rPr>
        <w:t>Návrh zákona o státním rozpočtu České republiky na rok 2017 a návrh u</w:t>
      </w:r>
      <w:r>
        <w:rPr>
          <w:rFonts w:asciiTheme="minorHAnsi" w:hAnsiTheme="minorHAnsi" w:cstheme="minorHAnsi"/>
          <w:color w:val="000000"/>
          <w:sz w:val="20"/>
          <w:szCs w:val="20"/>
        </w:rPr>
        <w:t>snesení vlády České republiky k </w:t>
      </w:r>
      <w:r w:rsidRPr="00FA06A6">
        <w:rPr>
          <w:rFonts w:asciiTheme="minorHAnsi" w:hAnsiTheme="minorHAnsi" w:cstheme="minorHAnsi"/>
          <w:color w:val="000000"/>
          <w:sz w:val="20"/>
          <w:szCs w:val="20"/>
        </w:rPr>
        <w:t xml:space="preserve">návrhu zákona o státním rozpočtu České republiky na rok 2017, k návrhu střednědobého výhledu státního rozpočtu České republiky na léta 2018 a 2019 a k návrhu střednědobých </w:t>
      </w:r>
      <w:r>
        <w:rPr>
          <w:rFonts w:asciiTheme="minorHAnsi" w:hAnsiTheme="minorHAnsi" w:cstheme="minorHAnsi"/>
          <w:color w:val="000000"/>
          <w:sz w:val="20"/>
          <w:szCs w:val="20"/>
        </w:rPr>
        <w:t>výdajových rámců na léta 2018 a </w:t>
      </w:r>
      <w:r w:rsidRPr="00FA06A6">
        <w:rPr>
          <w:rFonts w:asciiTheme="minorHAnsi" w:hAnsiTheme="minorHAnsi" w:cstheme="minorHAnsi"/>
          <w:color w:val="000000"/>
          <w:sz w:val="20"/>
          <w:szCs w:val="20"/>
        </w:rPr>
        <w:t>2019.</w:t>
      </w:r>
    </w:p>
  </w:footnote>
  <w:footnote w:id="25">
    <w:p w14:paraId="62E480DC" w14:textId="6F90A251" w:rsidR="007164F4" w:rsidRPr="00733D67" w:rsidRDefault="007164F4" w:rsidP="00733D67">
      <w:pPr>
        <w:autoSpaceDE w:val="0"/>
        <w:autoSpaceDN w:val="0"/>
        <w:adjustRightInd w:val="0"/>
        <w:ind w:left="284" w:hanging="284"/>
        <w:jc w:val="both"/>
        <w:rPr>
          <w:rFonts w:ascii="Calibri" w:eastAsiaTheme="minorHAnsi" w:hAnsi="Calibri" w:cs="Calibri"/>
          <w:sz w:val="20"/>
          <w:szCs w:val="20"/>
        </w:rPr>
      </w:pPr>
      <w:r w:rsidRPr="00733D67">
        <w:rPr>
          <w:rStyle w:val="Znakapoznpodarou"/>
          <w:rFonts w:ascii="Calibri" w:hAnsi="Calibri" w:cs="Calibri"/>
          <w:sz w:val="20"/>
          <w:szCs w:val="20"/>
        </w:rPr>
        <w:footnoteRef/>
      </w:r>
      <w:r w:rsidRPr="00733D67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ab/>
      </w:r>
      <w:r w:rsidRPr="00733D67">
        <w:rPr>
          <w:rFonts w:ascii="Calibri" w:eastAsiaTheme="minorHAnsi" w:hAnsi="Calibri" w:cs="Calibri"/>
          <w:sz w:val="20"/>
          <w:szCs w:val="20"/>
        </w:rPr>
        <w:t>Usnesení vlády České republiky ze dne 6. února 2013 č. 97</w:t>
      </w:r>
      <w:r>
        <w:rPr>
          <w:rFonts w:ascii="Calibri" w:eastAsiaTheme="minorHAnsi" w:hAnsi="Calibri" w:cs="Calibri"/>
          <w:sz w:val="20"/>
          <w:szCs w:val="20"/>
        </w:rPr>
        <w:t>,</w:t>
      </w:r>
      <w:r w:rsidRPr="00733D67">
        <w:rPr>
          <w:rFonts w:ascii="Calibri" w:eastAsiaTheme="minorHAnsi" w:hAnsi="Calibri" w:cs="Calibri"/>
          <w:sz w:val="20"/>
          <w:szCs w:val="20"/>
        </w:rPr>
        <w:t xml:space="preserve"> </w:t>
      </w:r>
      <w:r w:rsidRPr="00627F7D">
        <w:rPr>
          <w:rFonts w:ascii="Calibri" w:eastAsiaTheme="minorHAnsi" w:hAnsi="Calibri" w:cs="Calibri"/>
          <w:i/>
          <w:sz w:val="20"/>
          <w:szCs w:val="20"/>
        </w:rPr>
        <w:t>k návrhu na působení sil a prostředků resortu Ministerstva obrany ve výcvikové misi Evropské unie v Malijské republice v letech 2013 a 2014</w:t>
      </w:r>
      <w:r>
        <w:rPr>
          <w:rFonts w:ascii="Calibri" w:eastAsiaTheme="minorHAnsi" w:hAnsi="Calibri" w:cs="Calibri"/>
          <w:sz w:val="20"/>
          <w:szCs w:val="20"/>
        </w:rPr>
        <w:t>,</w:t>
      </w:r>
      <w:r w:rsidRPr="00733D67">
        <w:rPr>
          <w:rFonts w:ascii="Calibri" w:eastAsiaTheme="minorHAnsi" w:hAnsi="Calibri" w:cs="Calibri"/>
          <w:sz w:val="20"/>
          <w:szCs w:val="20"/>
        </w:rPr>
        <w:t xml:space="preserve"> nebo usnesení vlády České republiky ze dne 2. října 2013 č. 761</w:t>
      </w:r>
      <w:r>
        <w:rPr>
          <w:rFonts w:ascii="Calibri" w:eastAsiaTheme="minorHAnsi" w:hAnsi="Calibri" w:cs="Calibri"/>
          <w:sz w:val="20"/>
          <w:szCs w:val="20"/>
        </w:rPr>
        <w:t>,</w:t>
      </w:r>
      <w:r w:rsidRPr="00733D67">
        <w:rPr>
          <w:rFonts w:ascii="Calibri" w:eastAsiaTheme="minorHAnsi" w:hAnsi="Calibri" w:cs="Calibri"/>
          <w:sz w:val="20"/>
          <w:szCs w:val="20"/>
        </w:rPr>
        <w:t xml:space="preserve"> </w:t>
      </w:r>
      <w:r w:rsidRPr="00627F7D">
        <w:rPr>
          <w:rFonts w:ascii="Calibri" w:eastAsiaTheme="minorHAnsi" w:hAnsi="Calibri" w:cs="Calibri"/>
          <w:i/>
          <w:sz w:val="20"/>
          <w:szCs w:val="20"/>
        </w:rPr>
        <w:t>k návrhu na působení sil a prostředků rezortu Ministerstva obrany v misi MFO (</w:t>
      </w:r>
      <w:proofErr w:type="spellStart"/>
      <w:r w:rsidRPr="00627F7D">
        <w:rPr>
          <w:rFonts w:ascii="Calibri" w:eastAsiaTheme="minorHAnsi" w:hAnsi="Calibri" w:cs="Calibri"/>
          <w:i/>
          <w:sz w:val="20"/>
          <w:szCs w:val="20"/>
        </w:rPr>
        <w:t>Multinational</w:t>
      </w:r>
      <w:proofErr w:type="spellEnd"/>
      <w:r w:rsidRPr="00627F7D">
        <w:rPr>
          <w:rFonts w:ascii="Calibri" w:eastAsiaTheme="minorHAnsi" w:hAnsi="Calibri" w:cs="Calibri"/>
          <w:i/>
          <w:sz w:val="20"/>
          <w:szCs w:val="20"/>
        </w:rPr>
        <w:t xml:space="preserve"> </w:t>
      </w:r>
      <w:proofErr w:type="spellStart"/>
      <w:r w:rsidRPr="00627F7D">
        <w:rPr>
          <w:rFonts w:ascii="Calibri" w:eastAsiaTheme="minorHAnsi" w:hAnsi="Calibri" w:cs="Calibri"/>
          <w:i/>
          <w:sz w:val="20"/>
          <w:szCs w:val="20"/>
        </w:rPr>
        <w:t>Force</w:t>
      </w:r>
      <w:proofErr w:type="spellEnd"/>
      <w:r w:rsidRPr="00627F7D">
        <w:rPr>
          <w:rFonts w:ascii="Calibri" w:eastAsiaTheme="minorHAnsi" w:hAnsi="Calibri" w:cs="Calibri"/>
          <w:i/>
          <w:sz w:val="20"/>
          <w:szCs w:val="20"/>
        </w:rPr>
        <w:t xml:space="preserve"> and </w:t>
      </w:r>
      <w:proofErr w:type="spellStart"/>
      <w:r w:rsidRPr="00627F7D">
        <w:rPr>
          <w:rFonts w:ascii="Calibri" w:eastAsiaTheme="minorHAnsi" w:hAnsi="Calibri" w:cs="Calibri"/>
          <w:i/>
          <w:sz w:val="20"/>
          <w:szCs w:val="20"/>
        </w:rPr>
        <w:t>Observers</w:t>
      </w:r>
      <w:proofErr w:type="spellEnd"/>
      <w:r w:rsidRPr="00627F7D">
        <w:rPr>
          <w:rFonts w:ascii="Calibri" w:eastAsiaTheme="minorHAnsi" w:hAnsi="Calibri" w:cs="Calibri"/>
          <w:i/>
          <w:sz w:val="20"/>
          <w:szCs w:val="20"/>
        </w:rPr>
        <w:t>) na Sinajském poloostrově v letech 2013 až 2014</w:t>
      </w:r>
      <w:r w:rsidRPr="00733D67">
        <w:rPr>
          <w:rFonts w:ascii="Calibri" w:eastAsiaTheme="minorHAnsi" w:hAnsi="Calibri" w:cs="Calibri"/>
          <w:sz w:val="20"/>
          <w:szCs w:val="20"/>
        </w:rPr>
        <w:t>.</w:t>
      </w:r>
    </w:p>
  </w:footnote>
  <w:footnote w:id="26">
    <w:p w14:paraId="73305B33" w14:textId="38F0823D" w:rsidR="007164F4" w:rsidRPr="00733D67" w:rsidRDefault="007164F4" w:rsidP="00733D67">
      <w:pPr>
        <w:ind w:left="284" w:hanging="284"/>
        <w:jc w:val="both"/>
        <w:rPr>
          <w:rFonts w:ascii="Calibri" w:hAnsi="Calibri" w:cs="Calibri"/>
          <w:sz w:val="20"/>
          <w:szCs w:val="20"/>
          <w:lang w:eastAsia="ar-SA"/>
        </w:rPr>
      </w:pPr>
      <w:r w:rsidRPr="00733D67">
        <w:rPr>
          <w:rStyle w:val="Znakapoznpodarou"/>
          <w:rFonts w:ascii="Calibri" w:hAnsi="Calibri" w:cs="Calibri"/>
          <w:sz w:val="20"/>
          <w:szCs w:val="20"/>
        </w:rPr>
        <w:footnoteRef/>
      </w:r>
      <w:r w:rsidRPr="00733D67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ab/>
      </w:r>
      <w:r w:rsidRPr="00733D67">
        <w:rPr>
          <w:rFonts w:ascii="Calibri" w:hAnsi="Calibri" w:cs="Calibri"/>
          <w:sz w:val="20"/>
          <w:szCs w:val="20"/>
          <w:lang w:eastAsia="ar-SA"/>
        </w:rPr>
        <w:t>Pořízení vojenského materiálu a služeb prostřednictvím programů zahraniční pomoci vlády USA.</w:t>
      </w:r>
    </w:p>
  </w:footnote>
  <w:footnote w:id="27">
    <w:p w14:paraId="2AF973C3" w14:textId="3007DE86" w:rsidR="007164F4" w:rsidRPr="00733D67" w:rsidRDefault="007164F4" w:rsidP="00733D67">
      <w:pPr>
        <w:pStyle w:val="Textpoznpodarou"/>
        <w:ind w:left="284" w:hanging="284"/>
        <w:rPr>
          <w:rFonts w:ascii="Calibri" w:hAnsi="Calibri" w:cs="Calibri"/>
        </w:rPr>
      </w:pPr>
      <w:r w:rsidRPr="00733D67">
        <w:rPr>
          <w:rStyle w:val="Znakapoznpodarou"/>
          <w:rFonts w:ascii="Calibri" w:hAnsi="Calibri" w:cs="Calibri"/>
        </w:rPr>
        <w:footnoteRef/>
      </w:r>
      <w:r w:rsidRPr="00733D6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733D67">
        <w:rPr>
          <w:rFonts w:ascii="Calibri" w:hAnsi="Calibri" w:cs="Calibri"/>
        </w:rPr>
        <w:t>Zákon č. 137/2006 Sb., o veřejných zakázkách.</w:t>
      </w:r>
    </w:p>
  </w:footnote>
  <w:footnote w:id="28">
    <w:p w14:paraId="0946D435" w14:textId="1FF05A53" w:rsidR="007164F4" w:rsidRPr="000414FE" w:rsidRDefault="007164F4" w:rsidP="00733D67">
      <w:pPr>
        <w:pStyle w:val="Textpoznpodarou"/>
        <w:ind w:left="284" w:hanging="284"/>
        <w:rPr>
          <w:rFonts w:asciiTheme="minorHAnsi" w:hAnsiTheme="minorHAnsi"/>
          <w:sz w:val="16"/>
          <w:szCs w:val="16"/>
        </w:rPr>
      </w:pPr>
      <w:r w:rsidRPr="009A2429">
        <w:rPr>
          <w:rStyle w:val="Znakapoznpodarou"/>
          <w:rFonts w:asciiTheme="minorHAnsi" w:hAnsiTheme="minorHAnsi"/>
        </w:rPr>
        <w:footnoteRef/>
      </w:r>
      <w:r w:rsidRPr="009A242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</w:r>
      <w:r w:rsidRPr="009A2429">
        <w:rPr>
          <w:rFonts w:asciiTheme="minorHAnsi" w:hAnsiTheme="minorHAnsi"/>
        </w:rPr>
        <w:t xml:space="preserve">Kromě prostředků SR </w:t>
      </w:r>
      <w:r>
        <w:rPr>
          <w:rFonts w:asciiTheme="minorHAnsi" w:hAnsiTheme="minorHAnsi"/>
        </w:rPr>
        <w:t xml:space="preserve">plánuje MO i </w:t>
      </w:r>
      <w:r w:rsidRPr="009A2429">
        <w:rPr>
          <w:rFonts w:asciiTheme="minorHAnsi" w:hAnsiTheme="minorHAnsi"/>
        </w:rPr>
        <w:t>čerpání dotací z fondů NATO.</w:t>
      </w:r>
    </w:p>
  </w:footnote>
  <w:footnote w:id="29">
    <w:p w14:paraId="7D47A5F4" w14:textId="65C6DDE8" w:rsidR="007164F4" w:rsidRPr="00733D67" w:rsidRDefault="007164F4" w:rsidP="00733D67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733D67">
        <w:rPr>
          <w:rStyle w:val="Znakapoznpodarou"/>
          <w:rFonts w:ascii="Calibri" w:hAnsi="Calibri" w:cs="Calibri"/>
        </w:rPr>
        <w:footnoteRef/>
      </w:r>
      <w:r w:rsidRPr="00733D6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733D67">
        <w:rPr>
          <w:rFonts w:ascii="Calibri" w:hAnsi="Calibri" w:cs="Calibri"/>
        </w:rPr>
        <w:t>Ustanovení § 18 odst. 1 písm. e) zákona č. 137/2006 Sb., o veřejných zakázkách.</w:t>
      </w:r>
    </w:p>
  </w:footnote>
  <w:footnote w:id="30">
    <w:p w14:paraId="360B6A6D" w14:textId="193BFAE7" w:rsidR="007164F4" w:rsidRPr="00733D67" w:rsidRDefault="007164F4" w:rsidP="00733D67">
      <w:pPr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733D67">
        <w:rPr>
          <w:rStyle w:val="Znakapoznpodarou"/>
          <w:rFonts w:ascii="Calibri" w:hAnsi="Calibri" w:cs="Calibri"/>
          <w:sz w:val="20"/>
          <w:szCs w:val="20"/>
        </w:rPr>
        <w:footnoteRef/>
      </w:r>
      <w:r w:rsidRPr="00733D67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ab/>
      </w:r>
      <w:r w:rsidRPr="00733D67">
        <w:rPr>
          <w:rFonts w:ascii="Calibri" w:hAnsi="Calibri" w:cs="Calibri"/>
          <w:sz w:val="20"/>
          <w:szCs w:val="20"/>
        </w:rPr>
        <w:t>Cílově orientované rozpočtování je systémem řízení zdrojů, který umožňuje přeměňovat identifikované veřejné potřeby do podoby cílů a tyto cíle rozpočtově krýt s ohledem na jejich priority a omezené zdroje.</w:t>
      </w:r>
    </w:p>
  </w:footnote>
  <w:footnote w:id="31">
    <w:p w14:paraId="6EFEA333" w14:textId="233D1A5A" w:rsidR="007164F4" w:rsidRPr="00733D67" w:rsidRDefault="007164F4" w:rsidP="00733D67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733D67">
        <w:rPr>
          <w:rStyle w:val="Znakapoznpodarou"/>
          <w:rFonts w:ascii="Calibri" w:hAnsi="Calibri" w:cs="Calibri"/>
        </w:rPr>
        <w:footnoteRef/>
      </w:r>
      <w:r w:rsidRPr="00733D6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733D67">
        <w:rPr>
          <w:rFonts w:ascii="Calibri" w:hAnsi="Calibri" w:cs="Calibri"/>
        </w:rPr>
        <w:t xml:space="preserve">Definice pojmu „efektivní akvizice“ byla stanovena v dokumentu </w:t>
      </w:r>
      <w:proofErr w:type="spellStart"/>
      <w:r w:rsidRPr="00733D67">
        <w:rPr>
          <w:rFonts w:ascii="Calibri" w:hAnsi="Calibri" w:cs="Calibri"/>
          <w:i/>
        </w:rPr>
        <w:t>Defence</w:t>
      </w:r>
      <w:proofErr w:type="spellEnd"/>
      <w:r w:rsidRPr="00733D67">
        <w:rPr>
          <w:rFonts w:ascii="Calibri" w:hAnsi="Calibri" w:cs="Calibri"/>
          <w:i/>
        </w:rPr>
        <w:t xml:space="preserve"> </w:t>
      </w:r>
      <w:proofErr w:type="spellStart"/>
      <w:r w:rsidRPr="00733D67">
        <w:rPr>
          <w:rFonts w:ascii="Calibri" w:hAnsi="Calibri" w:cs="Calibri"/>
          <w:i/>
        </w:rPr>
        <w:t>Acquisition</w:t>
      </w:r>
      <w:proofErr w:type="spellEnd"/>
      <w:r w:rsidRPr="00733D67">
        <w:rPr>
          <w:rFonts w:ascii="Calibri" w:hAnsi="Calibri" w:cs="Calibri"/>
          <w:i/>
        </w:rPr>
        <w:t xml:space="preserve">, </w:t>
      </w:r>
      <w:proofErr w:type="spellStart"/>
      <w:r w:rsidRPr="00733D67">
        <w:rPr>
          <w:rFonts w:ascii="Calibri" w:hAnsi="Calibri" w:cs="Calibri"/>
          <w:i/>
        </w:rPr>
        <w:t>the</w:t>
      </w:r>
      <w:proofErr w:type="spellEnd"/>
      <w:r w:rsidRPr="00733D67">
        <w:rPr>
          <w:rFonts w:ascii="Calibri" w:hAnsi="Calibri" w:cs="Calibri"/>
          <w:i/>
        </w:rPr>
        <w:t xml:space="preserve"> Ministry </w:t>
      </w:r>
      <w:proofErr w:type="spellStart"/>
      <w:r w:rsidRPr="00733D67">
        <w:rPr>
          <w:rFonts w:ascii="Calibri" w:hAnsi="Calibri" w:cs="Calibri"/>
          <w:i/>
        </w:rPr>
        <w:t>of</w:t>
      </w:r>
      <w:proofErr w:type="spellEnd"/>
      <w:r w:rsidRPr="00733D67">
        <w:rPr>
          <w:rFonts w:ascii="Calibri" w:hAnsi="Calibri" w:cs="Calibri"/>
          <w:i/>
        </w:rPr>
        <w:t xml:space="preserve"> </w:t>
      </w:r>
      <w:proofErr w:type="spellStart"/>
      <w:r w:rsidRPr="00733D67">
        <w:rPr>
          <w:rFonts w:ascii="Calibri" w:hAnsi="Calibri" w:cs="Calibri"/>
          <w:i/>
        </w:rPr>
        <w:t>Defence</w:t>
      </w:r>
      <w:proofErr w:type="spellEnd"/>
      <w:r w:rsidRPr="00733D67">
        <w:rPr>
          <w:rFonts w:ascii="Calibri" w:hAnsi="Calibri" w:cs="Calibri"/>
          <w:i/>
        </w:rPr>
        <w:t xml:space="preserve"> </w:t>
      </w:r>
      <w:proofErr w:type="spellStart"/>
      <w:r w:rsidRPr="00733D67">
        <w:rPr>
          <w:rFonts w:ascii="Calibri" w:hAnsi="Calibri" w:cs="Calibri"/>
          <w:i/>
        </w:rPr>
        <w:t>Policy</w:t>
      </w:r>
      <w:proofErr w:type="spellEnd"/>
      <w:r w:rsidRPr="00733D67">
        <w:rPr>
          <w:rFonts w:ascii="Calibri" w:hAnsi="Calibri" w:cs="Calibri"/>
          <w:i/>
        </w:rPr>
        <w:t xml:space="preserve"> </w:t>
      </w:r>
      <w:proofErr w:type="spellStart"/>
      <w:r w:rsidRPr="00733D67">
        <w:rPr>
          <w:rFonts w:ascii="Calibri" w:hAnsi="Calibri" w:cs="Calibri"/>
          <w:i/>
        </w:rPr>
        <w:t>Paper</w:t>
      </w:r>
      <w:proofErr w:type="spellEnd"/>
      <w:r w:rsidRPr="00733D67">
        <w:rPr>
          <w:rFonts w:ascii="Calibri" w:hAnsi="Calibri" w:cs="Calibri"/>
          <w:i/>
        </w:rPr>
        <w:t xml:space="preserve"> no 4, Ministry </w:t>
      </w:r>
      <w:proofErr w:type="spellStart"/>
      <w:r w:rsidRPr="00733D67">
        <w:rPr>
          <w:rFonts w:ascii="Calibri" w:hAnsi="Calibri" w:cs="Calibri"/>
          <w:i/>
        </w:rPr>
        <w:t>of</w:t>
      </w:r>
      <w:proofErr w:type="spellEnd"/>
      <w:r w:rsidRPr="00733D67">
        <w:rPr>
          <w:rFonts w:ascii="Calibri" w:hAnsi="Calibri" w:cs="Calibri"/>
          <w:i/>
        </w:rPr>
        <w:t xml:space="preserve"> </w:t>
      </w:r>
      <w:proofErr w:type="spellStart"/>
      <w:r w:rsidRPr="00733D67">
        <w:rPr>
          <w:rFonts w:ascii="Calibri" w:hAnsi="Calibri" w:cs="Calibri"/>
          <w:i/>
        </w:rPr>
        <w:t>Defence</w:t>
      </w:r>
      <w:proofErr w:type="spellEnd"/>
      <w:r w:rsidRPr="00733D67">
        <w:rPr>
          <w:rFonts w:ascii="Calibri" w:hAnsi="Calibri" w:cs="Calibri"/>
          <w:i/>
        </w:rPr>
        <w:t xml:space="preserve"> United </w:t>
      </w:r>
      <w:proofErr w:type="spellStart"/>
      <w:r w:rsidRPr="00733D67">
        <w:rPr>
          <w:rFonts w:ascii="Calibri" w:hAnsi="Calibri" w:cs="Calibri"/>
          <w:i/>
        </w:rPr>
        <w:t>Kingdom</w:t>
      </w:r>
      <w:proofErr w:type="spellEnd"/>
      <w:r w:rsidRPr="00627F7D">
        <w:rPr>
          <w:rFonts w:ascii="Calibri" w:hAnsi="Calibri" w:cs="Calibri"/>
        </w:rPr>
        <w:t>, prosinec 2001</w:t>
      </w:r>
      <w:r w:rsidRPr="00733D67">
        <w:rPr>
          <w:rFonts w:ascii="Calibri" w:hAnsi="Calibri" w:cs="Calibri"/>
          <w:i/>
        </w:rPr>
        <w:t>.</w:t>
      </w:r>
    </w:p>
  </w:footnote>
  <w:footnote w:id="32">
    <w:p w14:paraId="39C7BFEF" w14:textId="7A28ACBC" w:rsidR="007164F4" w:rsidRPr="00733D67" w:rsidRDefault="007164F4" w:rsidP="00733D6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733D67">
        <w:rPr>
          <w:rStyle w:val="Znakapoznpodarou"/>
          <w:rFonts w:ascii="Calibri" w:hAnsi="Calibri" w:cs="Calibri"/>
          <w:sz w:val="20"/>
          <w:szCs w:val="20"/>
        </w:rPr>
        <w:footnoteRef/>
      </w:r>
      <w:r w:rsidRPr="00733D67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ab/>
      </w:r>
      <w:r w:rsidRPr="00733D67">
        <w:rPr>
          <w:rFonts w:ascii="Calibri" w:hAnsi="Calibri" w:cs="Calibri"/>
          <w:sz w:val="20"/>
          <w:szCs w:val="20"/>
        </w:rPr>
        <w:t>Zákon č. 258/2011 Sb., kterým se mění zákon č. 137/2006 Sb., o veřejných zakázkách, ve znění pozdějších předpisů.</w:t>
      </w:r>
    </w:p>
  </w:footnote>
  <w:footnote w:id="33">
    <w:p w14:paraId="3F1AF696" w14:textId="0577916D" w:rsidR="007164F4" w:rsidRPr="00733D67" w:rsidRDefault="007164F4" w:rsidP="00733D67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733D67">
        <w:rPr>
          <w:rStyle w:val="Znakapoznpodarou"/>
          <w:rFonts w:ascii="Calibri" w:hAnsi="Calibri" w:cs="Calibri"/>
        </w:rPr>
        <w:footnoteRef/>
      </w:r>
      <w:r w:rsidRPr="00733D6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733D67">
        <w:rPr>
          <w:rFonts w:ascii="Calibri" w:hAnsi="Calibri" w:cs="Calibri"/>
          <w:color w:val="000000" w:themeColor="text1"/>
        </w:rPr>
        <w:t>Zákon č. 248/2011 Sb., kterým se mění zákon č. 38/1994 Sb., o zahraničním obchodu s vojenským materiálem a o doplnění zákona č. 455/1991 Sb., o živnostenském podnikání (živnostenský zákon), ve znění pozdějších předpisů, a zákona č. 140/1961 Sb., trestní zákon, ve znění pozdějších předpisů, ve znění pozdějších předpisů.</w:t>
      </w:r>
    </w:p>
  </w:footnote>
  <w:footnote w:id="34">
    <w:p w14:paraId="0872AC44" w14:textId="385D3591" w:rsidR="007164F4" w:rsidRPr="00733D67" w:rsidRDefault="007164F4" w:rsidP="00733D67">
      <w:pPr>
        <w:shd w:val="clear" w:color="auto" w:fill="FFFFFF"/>
        <w:ind w:left="284" w:right="57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  <w:r w:rsidRPr="00733D67">
        <w:rPr>
          <w:rStyle w:val="Znakapoznpodarou"/>
          <w:rFonts w:ascii="Calibri" w:hAnsi="Calibri" w:cs="Calibri"/>
          <w:sz w:val="20"/>
          <w:szCs w:val="20"/>
        </w:rPr>
        <w:footnoteRef/>
      </w:r>
      <w:r w:rsidRPr="00733D67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ab/>
      </w:r>
      <w:r w:rsidRPr="00733D67">
        <w:rPr>
          <w:rFonts w:ascii="Calibri" w:hAnsi="Calibri" w:cs="Calibri"/>
          <w:bCs/>
          <w:color w:val="000000"/>
          <w:sz w:val="20"/>
          <w:szCs w:val="20"/>
        </w:rPr>
        <w:t xml:space="preserve">Usnesení vlády České republiky </w:t>
      </w:r>
      <w:r w:rsidRPr="00733D67">
        <w:rPr>
          <w:rFonts w:ascii="Calibri" w:eastAsiaTheme="minorHAnsi" w:hAnsi="Calibri" w:cs="Calibri"/>
          <w:sz w:val="20"/>
          <w:szCs w:val="20"/>
        </w:rPr>
        <w:t>ze dne 14. srpna 2013 č. 631</w:t>
      </w:r>
      <w:r>
        <w:rPr>
          <w:rFonts w:ascii="Calibri" w:eastAsiaTheme="minorHAnsi" w:hAnsi="Calibri" w:cs="Calibri"/>
          <w:sz w:val="20"/>
          <w:szCs w:val="20"/>
        </w:rPr>
        <w:t>,</w:t>
      </w:r>
      <w:r w:rsidRPr="00733D67">
        <w:rPr>
          <w:rFonts w:ascii="Calibri" w:hAnsi="Calibri" w:cs="Calibri"/>
          <w:bCs/>
          <w:color w:val="000000"/>
          <w:sz w:val="20"/>
          <w:szCs w:val="20"/>
        </w:rPr>
        <w:t xml:space="preserve"> </w:t>
      </w:r>
      <w:r w:rsidRPr="00627F7D">
        <w:rPr>
          <w:rFonts w:ascii="Calibri" w:eastAsiaTheme="minorHAnsi" w:hAnsi="Calibri" w:cs="Calibri"/>
          <w:i/>
          <w:sz w:val="20"/>
          <w:szCs w:val="20"/>
        </w:rPr>
        <w:t>ke Strategii vztahu státu a obranného a bezpečnostního průmyslu České republiky</w:t>
      </w:r>
      <w:r w:rsidRPr="00733D67">
        <w:rPr>
          <w:rFonts w:ascii="Calibri" w:eastAsiaTheme="minorHAnsi" w:hAnsi="Calibri" w:cs="Calibri"/>
          <w:sz w:val="20"/>
          <w:szCs w:val="20"/>
        </w:rPr>
        <w:t>.</w:t>
      </w:r>
    </w:p>
  </w:footnote>
  <w:footnote w:id="35">
    <w:p w14:paraId="32476307" w14:textId="02F9D2ED" w:rsidR="007164F4" w:rsidRPr="00733D67" w:rsidRDefault="007164F4" w:rsidP="00733D67">
      <w:pPr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733D67">
        <w:rPr>
          <w:rStyle w:val="Znakapoznpodarou"/>
          <w:rFonts w:ascii="Calibri" w:hAnsi="Calibri" w:cs="Calibri"/>
          <w:sz w:val="20"/>
          <w:szCs w:val="20"/>
        </w:rPr>
        <w:footnoteRef/>
      </w:r>
      <w:r w:rsidRPr="00733D67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ab/>
      </w:r>
      <w:r w:rsidRPr="00733D67">
        <w:rPr>
          <w:rFonts w:ascii="Calibri" w:hAnsi="Calibri" w:cs="Calibri"/>
          <w:sz w:val="20"/>
          <w:szCs w:val="20"/>
        </w:rPr>
        <w:t xml:space="preserve">Při splnění všech podmínek dle tzv. zbrojní výjimky upravené v článku 346 </w:t>
      </w:r>
      <w:r w:rsidRPr="00733D67">
        <w:rPr>
          <w:rFonts w:ascii="Calibri" w:hAnsi="Calibri" w:cs="Calibri"/>
          <w:i/>
          <w:sz w:val="20"/>
          <w:szCs w:val="20"/>
        </w:rPr>
        <w:t>Smlouvy o fungování EU</w:t>
      </w:r>
      <w:r w:rsidRPr="00733D67">
        <w:rPr>
          <w:rFonts w:ascii="Calibri" w:hAnsi="Calibri" w:cs="Calibri"/>
          <w:sz w:val="20"/>
          <w:szCs w:val="20"/>
        </w:rPr>
        <w:t xml:space="preserve"> může členský stát zadávat zakázky bez dodržení pravidel vnitřního trhu.</w:t>
      </w:r>
    </w:p>
  </w:footnote>
  <w:footnote w:id="36">
    <w:p w14:paraId="77AED177" w14:textId="6ADCDA15" w:rsidR="007164F4" w:rsidRPr="00733D67" w:rsidRDefault="007164F4" w:rsidP="00733D67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733D67">
        <w:rPr>
          <w:rStyle w:val="Znakapoznpodarou"/>
          <w:rFonts w:ascii="Calibri" w:hAnsi="Calibri" w:cs="Calibri"/>
        </w:rPr>
        <w:footnoteRef/>
      </w:r>
      <w:r w:rsidRPr="00733D6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733D67">
        <w:rPr>
          <w:rFonts w:ascii="Calibri" w:hAnsi="Calibri" w:cs="Calibri"/>
        </w:rPr>
        <w:t>Č. j. 49-61/2015-1150</w:t>
      </w:r>
      <w:r>
        <w:rPr>
          <w:rFonts w:ascii="Calibri" w:hAnsi="Calibri" w:cs="Calibri"/>
        </w:rPr>
        <w:t>, materiál byl</w:t>
      </w:r>
      <w:r w:rsidRPr="00733D67">
        <w:rPr>
          <w:rFonts w:ascii="Calibri" w:hAnsi="Calibri" w:cs="Calibri"/>
        </w:rPr>
        <w:t xml:space="preserve"> projednán vládou ČR dne 14. září 2015.</w:t>
      </w:r>
    </w:p>
  </w:footnote>
  <w:footnote w:id="37">
    <w:p w14:paraId="08A6BED7" w14:textId="7E41665E" w:rsidR="007164F4" w:rsidRPr="00733D67" w:rsidRDefault="007164F4" w:rsidP="00733D67">
      <w:pPr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733D67">
        <w:rPr>
          <w:rStyle w:val="Znakapoznpodarou"/>
          <w:rFonts w:ascii="Calibri" w:hAnsi="Calibri" w:cs="Calibri"/>
          <w:sz w:val="20"/>
          <w:szCs w:val="20"/>
        </w:rPr>
        <w:footnoteRef/>
      </w:r>
      <w:r w:rsidRPr="00733D67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ab/>
      </w:r>
      <w:r w:rsidRPr="00733D67">
        <w:rPr>
          <w:rFonts w:ascii="Calibri" w:eastAsiaTheme="minorHAnsi" w:hAnsi="Calibri" w:cs="Calibri"/>
          <w:sz w:val="20"/>
          <w:szCs w:val="20"/>
        </w:rPr>
        <w:t xml:space="preserve">Úřady nemají kompetenci měnit schválené potřeby a požadavky, ale odpovídají za jejich transparentní a efektivní realizaci. </w:t>
      </w:r>
      <w:r w:rsidRPr="00733D67">
        <w:rPr>
          <w:rFonts w:ascii="Calibri" w:hAnsi="Calibri" w:cs="Calibri"/>
          <w:color w:val="000000" w:themeColor="text1"/>
          <w:sz w:val="20"/>
          <w:szCs w:val="20"/>
        </w:rPr>
        <w:t>Jedná se o systémový přístup, kdy se zadavatel a zpracovatel specifikace navzájem kontrolují tak, aby nedošlo k ovlivňování zadávacích podmínek.</w:t>
      </w:r>
    </w:p>
  </w:footnote>
  <w:footnote w:id="38">
    <w:p w14:paraId="7FF3F446" w14:textId="2E013104" w:rsidR="007164F4" w:rsidRPr="00733D67" w:rsidRDefault="007164F4" w:rsidP="00733D67">
      <w:pPr>
        <w:ind w:left="284" w:hanging="284"/>
        <w:jc w:val="both"/>
        <w:rPr>
          <w:rFonts w:ascii="Calibri" w:hAnsi="Calibri" w:cs="Calibri"/>
          <w:color w:val="212121"/>
          <w:sz w:val="20"/>
          <w:szCs w:val="20"/>
        </w:rPr>
      </w:pPr>
      <w:r w:rsidRPr="00733D67">
        <w:rPr>
          <w:rStyle w:val="Znakapoznpodarou"/>
          <w:rFonts w:ascii="Calibri" w:hAnsi="Calibri" w:cs="Calibri"/>
          <w:sz w:val="20"/>
          <w:szCs w:val="20"/>
        </w:rPr>
        <w:footnoteRef/>
      </w:r>
      <w:r w:rsidRPr="00733D67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ab/>
      </w:r>
      <w:r w:rsidRPr="00733D67">
        <w:rPr>
          <w:rFonts w:ascii="Calibri" w:hAnsi="Calibri" w:cs="Calibri"/>
          <w:bCs/>
          <w:i/>
          <w:color w:val="000000"/>
          <w:sz w:val="20"/>
          <w:szCs w:val="20"/>
          <w:lang w:val="de-DE"/>
        </w:rPr>
        <w:t>Bundesamt für Ausrüstung, Informationstechnik und Nutzung der Bundeswehr</w:t>
      </w:r>
      <w:r w:rsidRPr="00733D67">
        <w:rPr>
          <w:rFonts w:ascii="Calibri" w:hAnsi="Calibri" w:cs="Calibri"/>
          <w:bCs/>
          <w:color w:val="000000"/>
          <w:sz w:val="20"/>
          <w:szCs w:val="20"/>
          <w:lang w:val="de-DE"/>
        </w:rPr>
        <w:t> (</w:t>
      </w:r>
      <w:proofErr w:type="spellStart"/>
      <w:r w:rsidRPr="00733D67">
        <w:rPr>
          <w:rFonts w:ascii="Calibri" w:hAnsi="Calibri" w:cs="Calibri"/>
          <w:bCs/>
          <w:color w:val="000000"/>
          <w:sz w:val="20"/>
          <w:szCs w:val="20"/>
          <w:lang w:val="de-DE"/>
        </w:rPr>
        <w:t>BAAINBw</w:t>
      </w:r>
      <w:proofErr w:type="spellEnd"/>
      <w:r w:rsidRPr="00733D67">
        <w:rPr>
          <w:rFonts w:ascii="Calibri" w:hAnsi="Calibri" w:cs="Calibri"/>
          <w:bCs/>
          <w:color w:val="000000"/>
          <w:sz w:val="20"/>
          <w:szCs w:val="20"/>
          <w:lang w:val="de-DE"/>
        </w:rPr>
        <w:t xml:space="preserve">), </w:t>
      </w:r>
      <w:proofErr w:type="spellStart"/>
      <w:r w:rsidRPr="00733D67">
        <w:rPr>
          <w:rFonts w:ascii="Calibri" w:hAnsi="Calibri" w:cs="Calibri"/>
          <w:i/>
          <w:color w:val="000000" w:themeColor="text1"/>
          <w:sz w:val="20"/>
          <w:szCs w:val="20"/>
        </w:rPr>
        <w:t>Direction</w:t>
      </w:r>
      <w:proofErr w:type="spellEnd"/>
      <w:r w:rsidRPr="00733D67">
        <w:rPr>
          <w:rFonts w:ascii="Calibri" w:hAnsi="Calibri" w:cs="Calibri"/>
          <w:i/>
          <w:color w:val="000000" w:themeColor="text1"/>
          <w:sz w:val="20"/>
          <w:szCs w:val="20"/>
        </w:rPr>
        <w:t xml:space="preserve"> </w:t>
      </w:r>
      <w:proofErr w:type="spellStart"/>
      <w:r w:rsidRPr="00733D67">
        <w:rPr>
          <w:rFonts w:ascii="Calibri" w:hAnsi="Calibri" w:cs="Calibri"/>
          <w:i/>
          <w:color w:val="000000" w:themeColor="text1"/>
          <w:sz w:val="20"/>
          <w:szCs w:val="20"/>
        </w:rPr>
        <w:t>générale</w:t>
      </w:r>
      <w:proofErr w:type="spellEnd"/>
      <w:r w:rsidRPr="00733D67">
        <w:rPr>
          <w:rFonts w:ascii="Calibri" w:hAnsi="Calibri" w:cs="Calibri"/>
          <w:i/>
          <w:color w:val="000000" w:themeColor="text1"/>
          <w:sz w:val="20"/>
          <w:szCs w:val="20"/>
        </w:rPr>
        <w:t xml:space="preserve"> de </w:t>
      </w:r>
      <w:proofErr w:type="spellStart"/>
      <w:r w:rsidRPr="00733D67">
        <w:rPr>
          <w:rFonts w:ascii="Calibri" w:hAnsi="Calibri" w:cs="Calibri"/>
          <w:i/>
          <w:color w:val="000000" w:themeColor="text1"/>
          <w:sz w:val="20"/>
          <w:szCs w:val="20"/>
        </w:rPr>
        <w:t>l'armement</w:t>
      </w:r>
      <w:proofErr w:type="spellEnd"/>
      <w:r w:rsidRPr="00733D67">
        <w:rPr>
          <w:rFonts w:ascii="Calibri" w:hAnsi="Calibri" w:cs="Calibri"/>
          <w:color w:val="000000" w:themeColor="text1"/>
          <w:sz w:val="20"/>
          <w:szCs w:val="20"/>
        </w:rPr>
        <w:t xml:space="preserve"> (</w:t>
      </w:r>
      <w:r w:rsidRPr="00733D67">
        <w:rPr>
          <w:rFonts w:ascii="Calibri" w:hAnsi="Calibri" w:cs="Calibri"/>
          <w:bCs/>
          <w:color w:val="000000"/>
          <w:sz w:val="20"/>
          <w:szCs w:val="20"/>
          <w:lang w:val="de-DE"/>
        </w:rPr>
        <w:t>DGA)</w:t>
      </w:r>
      <w:r w:rsidRPr="00733D67">
        <w:rPr>
          <w:rFonts w:ascii="Calibri" w:hAnsi="Calibri" w:cs="Calibri"/>
          <w:color w:val="000000" w:themeColor="text1"/>
          <w:sz w:val="20"/>
          <w:szCs w:val="20"/>
        </w:rPr>
        <w:t xml:space="preserve"> a </w:t>
      </w:r>
      <w:proofErr w:type="spellStart"/>
      <w:r w:rsidRPr="00733D67">
        <w:rPr>
          <w:rFonts w:ascii="Calibri" w:hAnsi="Calibri" w:cs="Calibri"/>
          <w:i/>
          <w:sz w:val="20"/>
          <w:szCs w:val="20"/>
        </w:rPr>
        <w:t>Försvarets</w:t>
      </w:r>
      <w:proofErr w:type="spellEnd"/>
      <w:r w:rsidRPr="00733D67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733D67">
        <w:rPr>
          <w:rFonts w:ascii="Calibri" w:hAnsi="Calibri" w:cs="Calibri"/>
          <w:i/>
          <w:sz w:val="20"/>
          <w:szCs w:val="20"/>
        </w:rPr>
        <w:t>materielverk</w:t>
      </w:r>
      <w:proofErr w:type="spellEnd"/>
      <w:r w:rsidRPr="00733D67">
        <w:rPr>
          <w:rFonts w:ascii="Calibri" w:hAnsi="Calibri" w:cs="Calibri"/>
          <w:sz w:val="20"/>
          <w:szCs w:val="20"/>
        </w:rPr>
        <w:t xml:space="preserve"> (FMV).</w:t>
      </w:r>
    </w:p>
  </w:footnote>
  <w:footnote w:id="39">
    <w:p w14:paraId="6AC4039D" w14:textId="2F80079D" w:rsidR="007164F4" w:rsidRPr="00733D67" w:rsidRDefault="007164F4" w:rsidP="00733D67">
      <w:pPr>
        <w:pStyle w:val="Textpoznpodarou"/>
        <w:ind w:left="284" w:hanging="284"/>
        <w:jc w:val="both"/>
        <w:rPr>
          <w:rFonts w:ascii="Calibri" w:hAnsi="Calibri" w:cs="Calibri"/>
          <w:color w:val="000000" w:themeColor="text1"/>
        </w:rPr>
      </w:pPr>
      <w:r w:rsidRPr="00733D67">
        <w:rPr>
          <w:rStyle w:val="Znakapoznpodarou"/>
          <w:rFonts w:ascii="Calibri" w:hAnsi="Calibri" w:cs="Calibri"/>
          <w:color w:val="000000" w:themeColor="text1"/>
        </w:rPr>
        <w:footnoteRef/>
      </w:r>
      <w:r w:rsidRPr="00733D67">
        <w:rPr>
          <w:rFonts w:ascii="Calibri" w:hAnsi="Calibri" w:cs="Calibri"/>
          <w:color w:val="000000" w:themeColor="text1"/>
        </w:rPr>
        <w:t xml:space="preserve"> </w:t>
      </w:r>
      <w:r>
        <w:rPr>
          <w:rFonts w:ascii="Calibri" w:hAnsi="Calibri" w:cs="Calibri"/>
          <w:color w:val="000000" w:themeColor="text1"/>
        </w:rPr>
        <w:tab/>
        <w:t xml:space="preserve">Viz </w:t>
      </w:r>
      <w:hyperlink r:id="rId1" w:tooltip="http://rlvz.army.cz/ProfilZadavatele" w:history="1">
        <w:r w:rsidRPr="00627F7D">
          <w:rPr>
            <w:rStyle w:val="Hypertextovodkaz"/>
            <w:rFonts w:ascii="Calibri" w:hAnsi="Calibri" w:cs="Calibri"/>
            <w:color w:val="0070C0"/>
            <w:u w:val="none"/>
          </w:rPr>
          <w:t>http://rlvz.army.cz/ProfilZadavatele</w:t>
        </w:r>
      </w:hyperlink>
      <w:r>
        <w:rPr>
          <w:rStyle w:val="Hypertextovodkaz"/>
          <w:rFonts w:ascii="Calibri" w:hAnsi="Calibri" w:cs="Calibri"/>
          <w:color w:val="000000" w:themeColor="text1"/>
          <w:u w:val="none"/>
        </w:rPr>
        <w:t>.</w:t>
      </w:r>
    </w:p>
  </w:footnote>
  <w:footnote w:id="40">
    <w:p w14:paraId="7A52E43E" w14:textId="2D571F5A" w:rsidR="007164F4" w:rsidRPr="00733D67" w:rsidRDefault="007164F4" w:rsidP="00733D67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733D67">
        <w:rPr>
          <w:rStyle w:val="Znakapoznpodarou"/>
          <w:rFonts w:ascii="Calibri" w:hAnsi="Calibri" w:cs="Calibri"/>
        </w:rPr>
        <w:footnoteRef/>
      </w:r>
      <w:r w:rsidRPr="00733D6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733D67">
        <w:rPr>
          <w:rFonts w:ascii="Calibri" w:hAnsi="Calibri" w:cs="Calibri"/>
        </w:rPr>
        <w:t>Ustanovení § 18 odst. 3 písm. g) zákona č. 137/2006 Sb.</w:t>
      </w:r>
    </w:p>
  </w:footnote>
  <w:footnote w:id="41">
    <w:p w14:paraId="45D59460" w14:textId="0E4159D2" w:rsidR="007164F4" w:rsidRPr="00733D67" w:rsidRDefault="007164F4" w:rsidP="00733D67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733D67">
        <w:rPr>
          <w:rStyle w:val="Znakapoznpodarou"/>
          <w:rFonts w:ascii="Calibri" w:hAnsi="Calibri" w:cs="Calibri"/>
        </w:rPr>
        <w:footnoteRef/>
      </w:r>
      <w:r w:rsidRPr="00733D6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733D67">
        <w:rPr>
          <w:rFonts w:ascii="Calibri" w:hAnsi="Calibri" w:cs="Calibri"/>
        </w:rPr>
        <w:t xml:space="preserve">Např. ustanovení § 39 odst. 5, § 104 odst. 1 písm. b) a § 124 zákona č. 134/2016 Sb., o zadávání veřejných zakázek. </w:t>
      </w:r>
    </w:p>
  </w:footnote>
  <w:footnote w:id="42">
    <w:p w14:paraId="228D4008" w14:textId="743FFDDA" w:rsidR="007164F4" w:rsidRPr="00733D67" w:rsidRDefault="007164F4" w:rsidP="00733D67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733D67">
        <w:rPr>
          <w:rStyle w:val="Znakapoznpodarou"/>
          <w:rFonts w:ascii="Calibri" w:hAnsi="Calibri" w:cs="Calibri"/>
        </w:rPr>
        <w:footnoteRef/>
      </w:r>
      <w:r w:rsidRPr="00733D6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733D67">
        <w:rPr>
          <w:rFonts w:ascii="Calibri" w:hAnsi="Calibri" w:cs="Calibri"/>
        </w:rPr>
        <w:t>Porovnání různých zbraní s podobnými vlastnostmi.</w:t>
      </w:r>
    </w:p>
  </w:footnote>
  <w:footnote w:id="43">
    <w:p w14:paraId="11AC38D0" w14:textId="164FD635" w:rsidR="007164F4" w:rsidRPr="00733D67" w:rsidRDefault="007164F4" w:rsidP="00733D67">
      <w:pPr>
        <w:ind w:left="284" w:hanging="284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733D67">
        <w:rPr>
          <w:rStyle w:val="Znakapoznpodarou"/>
          <w:rFonts w:ascii="Calibri" w:hAnsi="Calibri" w:cs="Calibri"/>
          <w:sz w:val="20"/>
          <w:szCs w:val="20"/>
        </w:rPr>
        <w:footnoteRef/>
      </w:r>
      <w:r w:rsidRPr="00733D67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ab/>
      </w:r>
      <w:r w:rsidRPr="00733D67">
        <w:rPr>
          <w:rFonts w:ascii="Calibri" w:hAnsi="Calibri" w:cs="Calibri"/>
          <w:color w:val="000000" w:themeColor="text1"/>
          <w:sz w:val="20"/>
          <w:szCs w:val="20"/>
        </w:rPr>
        <w:t xml:space="preserve">MO zároveň v rámci veřejné zakázky žádným způsobem nezohlednilo </w:t>
      </w:r>
      <w:r>
        <w:rPr>
          <w:rFonts w:ascii="Calibri" w:hAnsi="Calibri" w:cs="Calibri"/>
          <w:color w:val="000000" w:themeColor="text1"/>
          <w:sz w:val="20"/>
          <w:szCs w:val="20"/>
        </w:rPr>
        <w:t>u </w:t>
      </w:r>
      <w:r w:rsidRPr="00733D67">
        <w:rPr>
          <w:rFonts w:ascii="Calibri" w:hAnsi="Calibri" w:cs="Calibri"/>
          <w:color w:val="000000" w:themeColor="text1"/>
          <w:sz w:val="20"/>
          <w:szCs w:val="20"/>
        </w:rPr>
        <w:t xml:space="preserve">nabízených ÚP reference z jiných států, resp. jejich armád, což zdůvodnilo tím, že nechtělo žádného z uchazečů diskriminovat. </w:t>
      </w:r>
    </w:p>
  </w:footnote>
  <w:footnote w:id="44">
    <w:p w14:paraId="4B2F663A" w14:textId="06DFD877" w:rsidR="007164F4" w:rsidRPr="00733D67" w:rsidRDefault="007164F4" w:rsidP="00733D67">
      <w:pPr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733D67">
        <w:rPr>
          <w:rStyle w:val="Znakapoznpodarou"/>
          <w:rFonts w:ascii="Calibri" w:hAnsi="Calibri" w:cs="Calibri"/>
          <w:sz w:val="20"/>
          <w:szCs w:val="20"/>
        </w:rPr>
        <w:footnoteRef/>
      </w:r>
      <w:r w:rsidRPr="00733D67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ab/>
      </w:r>
      <w:r w:rsidRPr="00733D67">
        <w:rPr>
          <w:rFonts w:ascii="Calibri" w:hAnsi="Calibri" w:cs="Calibri"/>
          <w:sz w:val="20"/>
          <w:szCs w:val="20"/>
        </w:rPr>
        <w:t>Ustanovení § 34 s využitím ustanovení § 23 odst. 5 písm. b) zákona č. 137/2006 Sb.,</w:t>
      </w:r>
      <w:r w:rsidRPr="00733D67">
        <w:rPr>
          <w:rFonts w:ascii="Calibri" w:hAnsi="Calibri" w:cs="Calibri"/>
          <w:color w:val="000000" w:themeColor="text1"/>
          <w:sz w:val="20"/>
          <w:szCs w:val="20"/>
        </w:rPr>
        <w:t xml:space="preserve"> o veřejných zakázkách.</w:t>
      </w:r>
    </w:p>
  </w:footnote>
  <w:footnote w:id="45">
    <w:p w14:paraId="74719695" w14:textId="7C322977" w:rsidR="007164F4" w:rsidRPr="00733D67" w:rsidRDefault="007164F4" w:rsidP="00733D67">
      <w:pPr>
        <w:ind w:left="284" w:hanging="284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733D67">
        <w:rPr>
          <w:rStyle w:val="Znakapoznpodarou"/>
          <w:rFonts w:ascii="Calibri" w:hAnsi="Calibri" w:cs="Calibri"/>
          <w:sz w:val="20"/>
          <w:szCs w:val="20"/>
        </w:rPr>
        <w:footnoteRef/>
      </w:r>
      <w:r w:rsidRPr="00733D67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ab/>
      </w:r>
      <w:r w:rsidRPr="00733D67">
        <w:rPr>
          <w:rFonts w:ascii="Calibri" w:hAnsi="Calibri" w:cs="Calibri"/>
          <w:sz w:val="20"/>
          <w:szCs w:val="20"/>
        </w:rPr>
        <w:t>V předkládací zprávě k u</w:t>
      </w:r>
      <w:r w:rsidRPr="00733D67">
        <w:rPr>
          <w:rFonts w:ascii="Calibri" w:hAnsi="Calibri" w:cs="Calibri"/>
          <w:color w:val="000000" w:themeColor="text1"/>
          <w:sz w:val="20"/>
          <w:szCs w:val="20"/>
        </w:rPr>
        <w:t>snesení vlády České republiky ze dne 23. listopadu 2009 č. 1443</w:t>
      </w:r>
      <w:r>
        <w:rPr>
          <w:rFonts w:ascii="Calibri" w:hAnsi="Calibri" w:cs="Calibri"/>
          <w:color w:val="000000" w:themeColor="text1"/>
          <w:sz w:val="20"/>
          <w:szCs w:val="20"/>
        </w:rPr>
        <w:t>,</w:t>
      </w:r>
      <w:r w:rsidRPr="00733D67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627F7D">
        <w:rPr>
          <w:rFonts w:ascii="Calibri" w:hAnsi="Calibri" w:cs="Calibri"/>
          <w:i/>
          <w:color w:val="000000" w:themeColor="text1"/>
          <w:sz w:val="20"/>
          <w:szCs w:val="20"/>
        </w:rPr>
        <w:t>k Informaci o stavu projektu Voják 21. století</w:t>
      </w:r>
      <w:r>
        <w:rPr>
          <w:rFonts w:ascii="Calibri" w:hAnsi="Calibri" w:cs="Calibri"/>
          <w:color w:val="000000" w:themeColor="text1"/>
          <w:sz w:val="20"/>
          <w:szCs w:val="20"/>
        </w:rPr>
        <w:t>,</w:t>
      </w:r>
      <w:r w:rsidRPr="00733D67">
        <w:rPr>
          <w:rFonts w:ascii="Calibri" w:hAnsi="Calibri" w:cs="Calibri"/>
          <w:color w:val="000000" w:themeColor="text1"/>
          <w:sz w:val="20"/>
          <w:szCs w:val="20"/>
        </w:rPr>
        <w:t xml:space="preserve"> MO mj. uvedlo, že jednoznačnou preferencí v dalších etapách přezbrojení bude pořízení ÚP právě z produkce národního výrobce.</w:t>
      </w:r>
    </w:p>
  </w:footnote>
  <w:footnote w:id="46">
    <w:p w14:paraId="44AAD853" w14:textId="4C55158A" w:rsidR="007164F4" w:rsidRPr="00733D67" w:rsidRDefault="007164F4" w:rsidP="00733D67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733D67">
        <w:rPr>
          <w:rStyle w:val="Znakapoznpodarou"/>
          <w:rFonts w:ascii="Calibri" w:hAnsi="Calibri" w:cs="Calibri"/>
        </w:rPr>
        <w:footnoteRef/>
      </w:r>
      <w:r w:rsidRPr="00733D6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733D67">
        <w:rPr>
          <w:rFonts w:ascii="Calibri" w:hAnsi="Calibri" w:cs="Calibri"/>
        </w:rPr>
        <w:t>Offsetové programy představují nástroj ekonomické kompenzace výdajů SR spojených s pořízením techniky, materiálu a služeb, zejména pro obranné a bezpečnostní účely ČR. Jsou založeny na systému dohod, podle kterých zahraniční dodavatel zajišťuje realizaci dohodnutých projektů s využitím domácích výrobců.</w:t>
      </w:r>
    </w:p>
  </w:footnote>
  <w:footnote w:id="47">
    <w:p w14:paraId="45838388" w14:textId="51283BCE" w:rsidR="007164F4" w:rsidRPr="00733D67" w:rsidRDefault="007164F4" w:rsidP="00733D67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733D67">
        <w:rPr>
          <w:rStyle w:val="Znakapoznpodarou"/>
          <w:rFonts w:ascii="Calibri" w:hAnsi="Calibri" w:cs="Calibri"/>
        </w:rPr>
        <w:footnoteRef/>
      </w:r>
      <w:r w:rsidRPr="00733D6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733D67">
        <w:rPr>
          <w:rFonts w:ascii="Calibri" w:hAnsi="Calibri" w:cs="Calibri"/>
        </w:rPr>
        <w:t>Jednalo se o celkovou cenu (váha 60 %), hmotnost kompletu ÚP (váha 20 %</w:t>
      </w:r>
      <w:r>
        <w:rPr>
          <w:rFonts w:ascii="Calibri" w:hAnsi="Calibri" w:cs="Calibri"/>
        </w:rPr>
        <w:t>), účinný dostřel (váha 15 %) a </w:t>
      </w:r>
      <w:r w:rsidRPr="00733D67">
        <w:rPr>
          <w:rFonts w:ascii="Calibri" w:hAnsi="Calibri" w:cs="Calibri"/>
        </w:rPr>
        <w:t>životnost hlavně (váha 5 %).</w:t>
      </w:r>
    </w:p>
  </w:footnote>
  <w:footnote w:id="48">
    <w:p w14:paraId="6939CE47" w14:textId="6B1A6839" w:rsidR="007164F4" w:rsidRPr="00733D67" w:rsidRDefault="007164F4" w:rsidP="00733D67">
      <w:pPr>
        <w:pStyle w:val="Bezmezer"/>
        <w:ind w:left="284" w:hanging="284"/>
        <w:jc w:val="both"/>
        <w:rPr>
          <w:rFonts w:ascii="Calibri" w:hAnsi="Calibri" w:cs="Calibri"/>
          <w:color w:val="000000" w:themeColor="text1"/>
        </w:rPr>
      </w:pPr>
      <w:r w:rsidRPr="00733D67">
        <w:rPr>
          <w:rStyle w:val="Znakapoznpodarou"/>
          <w:rFonts w:ascii="Calibri" w:hAnsi="Calibri" w:cs="Calibri"/>
        </w:rPr>
        <w:footnoteRef/>
      </w:r>
      <w:r w:rsidRPr="00733D6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733D67">
        <w:rPr>
          <w:rFonts w:ascii="Calibri" w:hAnsi="Calibri" w:cs="Calibri"/>
          <w:color w:val="000000" w:themeColor="text1"/>
        </w:rPr>
        <w:t>Jak se po zavedení ÚP do užívání ukázalo, byla hmotnost pro uživatele zásadním parametrem a v dalším období došlo k jejímu snížení.</w:t>
      </w:r>
    </w:p>
  </w:footnote>
  <w:footnote w:id="49">
    <w:p w14:paraId="69AB69BC" w14:textId="3B4ED9A8" w:rsidR="007164F4" w:rsidRPr="00965E6A" w:rsidRDefault="007164F4" w:rsidP="00733D67">
      <w:pPr>
        <w:ind w:left="284" w:hanging="284"/>
        <w:jc w:val="both"/>
        <w:rPr>
          <w:rFonts w:ascii="Calibri" w:hAnsi="Calibri" w:cstheme="minorHAnsi"/>
          <w:sz w:val="20"/>
          <w:szCs w:val="20"/>
        </w:rPr>
      </w:pPr>
      <w:r w:rsidRPr="00FA06A6">
        <w:rPr>
          <w:rStyle w:val="Znakapoznpodarou"/>
          <w:rFonts w:ascii="Calibri" w:hAnsi="Calibri"/>
          <w:sz w:val="20"/>
          <w:szCs w:val="20"/>
        </w:rPr>
        <w:footnoteRef/>
      </w:r>
      <w:r w:rsidRPr="00FA06A6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ab/>
      </w:r>
      <w:r w:rsidRPr="00FA06A6">
        <w:rPr>
          <w:rFonts w:ascii="Calibri" w:hAnsi="Calibri" w:cstheme="minorHAnsi"/>
          <w:sz w:val="20"/>
          <w:szCs w:val="20"/>
        </w:rPr>
        <w:t xml:space="preserve">Z pohledu konstrukce směřovala kritika např. na pohybující se táhlo závěru při střelbě, chybějící vypouštění závěru, nemožnost natažení zbraně v zajištěném stavu, použití </w:t>
      </w:r>
      <w:proofErr w:type="spellStart"/>
      <w:r w:rsidRPr="00FA06A6">
        <w:rPr>
          <w:rFonts w:ascii="Calibri" w:hAnsi="Calibri" w:cstheme="minorHAnsi"/>
          <w:sz w:val="20"/>
          <w:szCs w:val="20"/>
        </w:rPr>
        <w:t>dvouranné</w:t>
      </w:r>
      <w:proofErr w:type="spellEnd"/>
      <w:r w:rsidRPr="00FA06A6">
        <w:rPr>
          <w:rFonts w:ascii="Calibri" w:hAnsi="Calibri" w:cstheme="minorHAnsi"/>
          <w:sz w:val="20"/>
          <w:szCs w:val="20"/>
        </w:rPr>
        <w:t xml:space="preserve"> dávky nebo </w:t>
      </w:r>
      <w:r w:rsidRPr="003B6D10">
        <w:rPr>
          <w:rFonts w:ascii="Calibri" w:hAnsi="Calibri" w:cstheme="minorHAnsi"/>
          <w:sz w:val="20"/>
          <w:szCs w:val="20"/>
        </w:rPr>
        <w:t xml:space="preserve">uživatelsky </w:t>
      </w:r>
      <w:r w:rsidR="003B6D10">
        <w:rPr>
          <w:rFonts w:ascii="Calibri" w:hAnsi="Calibri" w:cstheme="minorHAnsi"/>
          <w:sz w:val="20"/>
          <w:szCs w:val="20"/>
        </w:rPr>
        <w:t xml:space="preserve">ne zcela </w:t>
      </w:r>
      <w:r w:rsidRPr="003B6D10">
        <w:rPr>
          <w:rFonts w:ascii="Calibri" w:hAnsi="Calibri" w:cstheme="minorHAnsi"/>
          <w:sz w:val="20"/>
          <w:szCs w:val="20"/>
        </w:rPr>
        <w:t>rozebíratelný závěr</w:t>
      </w:r>
      <w:r w:rsidRPr="00FA06A6">
        <w:rPr>
          <w:rFonts w:ascii="Calibri" w:hAnsi="Calibri" w:cstheme="minorHAnsi"/>
          <w:sz w:val="20"/>
          <w:szCs w:val="20"/>
        </w:rPr>
        <w:t xml:space="preserve"> a sestavu pístu, což komplikovalo údržbu a opravu zbraně v terénu.</w:t>
      </w:r>
      <w:r w:rsidRPr="00965E6A">
        <w:rPr>
          <w:rFonts w:ascii="Calibri" w:hAnsi="Calibri" w:cstheme="minorHAnsi"/>
          <w:sz w:val="20"/>
          <w:szCs w:val="20"/>
        </w:rPr>
        <w:t xml:space="preserve"> </w:t>
      </w:r>
    </w:p>
  </w:footnote>
  <w:footnote w:id="50">
    <w:p w14:paraId="7004395F" w14:textId="084DB6CE" w:rsidR="007164F4" w:rsidRPr="00AE2012" w:rsidRDefault="007164F4" w:rsidP="00733D67">
      <w:pPr>
        <w:ind w:left="284" w:hanging="284"/>
        <w:jc w:val="both"/>
        <w:rPr>
          <w:rFonts w:ascii="Calibri" w:hAnsi="Calibri" w:cstheme="minorHAnsi"/>
          <w:sz w:val="16"/>
          <w:szCs w:val="16"/>
        </w:rPr>
      </w:pPr>
      <w:r w:rsidRPr="00965E6A">
        <w:rPr>
          <w:rStyle w:val="Znakapoznpodarou"/>
          <w:rFonts w:ascii="Calibri" w:hAnsi="Calibri"/>
          <w:sz w:val="20"/>
          <w:szCs w:val="20"/>
        </w:rPr>
        <w:footnoteRef/>
      </w:r>
      <w:r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ab/>
        <w:t xml:space="preserve">Dále např. </w:t>
      </w:r>
      <w:r w:rsidRPr="00965E6A">
        <w:rPr>
          <w:rFonts w:ascii="Calibri" w:hAnsi="Calibri" w:cstheme="minorHAnsi"/>
          <w:sz w:val="20"/>
          <w:szCs w:val="20"/>
        </w:rPr>
        <w:t xml:space="preserve">úprava zásobníků, ovládací (napínací) páky, páčky přeřaďovače, kompenzátoru, laserové </w:t>
      </w:r>
      <w:proofErr w:type="spellStart"/>
      <w:r w:rsidRPr="00965E6A">
        <w:rPr>
          <w:rFonts w:ascii="Calibri" w:hAnsi="Calibri" w:cstheme="minorHAnsi"/>
          <w:sz w:val="20"/>
          <w:szCs w:val="20"/>
        </w:rPr>
        <w:t>boroskopické</w:t>
      </w:r>
      <w:proofErr w:type="spellEnd"/>
      <w:r w:rsidRPr="00965E6A">
        <w:rPr>
          <w:rFonts w:ascii="Calibri" w:hAnsi="Calibri" w:cstheme="minorHAnsi"/>
          <w:sz w:val="20"/>
          <w:szCs w:val="20"/>
        </w:rPr>
        <w:t xml:space="preserve"> sady či pouzder na zbrani.</w:t>
      </w:r>
    </w:p>
  </w:footnote>
  <w:footnote w:id="51">
    <w:p w14:paraId="6D19D6D0" w14:textId="4F55A8F5" w:rsidR="007164F4" w:rsidRPr="00965E6A" w:rsidRDefault="007164F4" w:rsidP="00733D67">
      <w:pPr>
        <w:ind w:left="284" w:hanging="284"/>
        <w:jc w:val="both"/>
        <w:rPr>
          <w:rFonts w:ascii="Calibri" w:hAnsi="Calibri" w:cstheme="minorHAnsi"/>
          <w:color w:val="000000" w:themeColor="text1"/>
          <w:sz w:val="20"/>
          <w:szCs w:val="20"/>
        </w:rPr>
      </w:pPr>
      <w:r w:rsidRPr="00965E6A">
        <w:rPr>
          <w:rStyle w:val="Znakapoznpodarou"/>
          <w:rFonts w:ascii="Calibri" w:hAnsi="Calibri"/>
          <w:sz w:val="20"/>
          <w:szCs w:val="20"/>
        </w:rPr>
        <w:footnoteRef/>
      </w:r>
      <w:r w:rsidRPr="00965E6A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ab/>
      </w:r>
      <w:r w:rsidRPr="00965E6A">
        <w:rPr>
          <w:rFonts w:ascii="Calibri" w:hAnsi="Calibri" w:cstheme="minorHAnsi"/>
          <w:color w:val="000000" w:themeColor="text1"/>
          <w:sz w:val="20"/>
          <w:szCs w:val="20"/>
        </w:rPr>
        <w:t>Usnesení vlády České republiky ze dne 5. prosince 2012 č. 908</w:t>
      </w:r>
      <w:r>
        <w:rPr>
          <w:rFonts w:ascii="Calibri" w:hAnsi="Calibri" w:cstheme="minorHAnsi"/>
          <w:color w:val="000000" w:themeColor="text1"/>
          <w:sz w:val="20"/>
          <w:szCs w:val="20"/>
        </w:rPr>
        <w:t>,</w:t>
      </w:r>
      <w:r w:rsidRPr="00965E6A">
        <w:rPr>
          <w:rFonts w:ascii="Calibri" w:hAnsi="Calibri" w:cstheme="minorHAnsi"/>
          <w:color w:val="000000" w:themeColor="text1"/>
          <w:sz w:val="20"/>
          <w:szCs w:val="20"/>
        </w:rPr>
        <w:t xml:space="preserve"> </w:t>
      </w:r>
      <w:r w:rsidRPr="00627F7D">
        <w:rPr>
          <w:rFonts w:ascii="Calibri" w:hAnsi="Calibri" w:cstheme="minorHAnsi"/>
          <w:i/>
          <w:color w:val="000000" w:themeColor="text1"/>
          <w:sz w:val="20"/>
          <w:szCs w:val="20"/>
        </w:rPr>
        <w:t>k návrhu dokončení přezbrojení resortu Ministerstva obrany ručními palnými zbraněmi jednotlivce</w:t>
      </w:r>
      <w:r w:rsidRPr="00965E6A">
        <w:rPr>
          <w:rFonts w:ascii="Calibri" w:hAnsi="Calibri" w:cstheme="minorHAnsi"/>
          <w:color w:val="000000" w:themeColor="text1"/>
          <w:sz w:val="20"/>
          <w:szCs w:val="20"/>
        </w:rPr>
        <w:t>.</w:t>
      </w:r>
    </w:p>
  </w:footnote>
  <w:footnote w:id="52">
    <w:p w14:paraId="1352D995" w14:textId="243FA7FB" w:rsidR="007164F4" w:rsidRPr="00965E6A" w:rsidRDefault="007164F4" w:rsidP="00733D67">
      <w:pPr>
        <w:ind w:left="284" w:hanging="284"/>
        <w:jc w:val="both"/>
        <w:rPr>
          <w:rFonts w:ascii="Calibri" w:hAnsi="Calibri" w:cstheme="minorHAnsi"/>
          <w:color w:val="000000" w:themeColor="text1"/>
          <w:sz w:val="20"/>
          <w:szCs w:val="20"/>
        </w:rPr>
      </w:pPr>
      <w:r w:rsidRPr="00965E6A">
        <w:rPr>
          <w:rStyle w:val="Znakapoznpodarou"/>
          <w:rFonts w:ascii="Calibri" w:hAnsi="Calibri"/>
          <w:sz w:val="20"/>
          <w:szCs w:val="20"/>
        </w:rPr>
        <w:footnoteRef/>
      </w:r>
      <w:r w:rsidRPr="00965E6A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ab/>
      </w:r>
      <w:r w:rsidRPr="00965E6A">
        <w:rPr>
          <w:rFonts w:ascii="Calibri" w:hAnsi="Calibri" w:cstheme="minorHAnsi"/>
          <w:color w:val="000000" w:themeColor="text1"/>
          <w:sz w:val="20"/>
          <w:szCs w:val="20"/>
        </w:rPr>
        <w:t>MO mělo v roce 2014 pořídit 1 784 ÚP, které měly být původně pořizovány až v roce 2015, a v roce 2015 mělo pořídit 3 439, resp. 2</w:t>
      </w:r>
      <w:r>
        <w:rPr>
          <w:rFonts w:ascii="Calibri" w:hAnsi="Calibri" w:cstheme="minorHAnsi"/>
          <w:color w:val="000000" w:themeColor="text1"/>
          <w:sz w:val="20"/>
          <w:szCs w:val="20"/>
        </w:rPr>
        <w:t> </w:t>
      </w:r>
      <w:r w:rsidRPr="00965E6A">
        <w:rPr>
          <w:rFonts w:ascii="Calibri" w:hAnsi="Calibri" w:cstheme="minorHAnsi"/>
          <w:color w:val="000000" w:themeColor="text1"/>
          <w:sz w:val="20"/>
          <w:szCs w:val="20"/>
        </w:rPr>
        <w:t>226 ÚP, které měly být původně pořízeny až v letech 2016</w:t>
      </w:r>
      <w:r>
        <w:rPr>
          <w:rFonts w:ascii="Calibri" w:hAnsi="Calibri" w:cstheme="minorHAnsi"/>
          <w:color w:val="000000" w:themeColor="text1"/>
          <w:sz w:val="20"/>
          <w:szCs w:val="20"/>
        </w:rPr>
        <w:t>–2019, resp. v roce </w:t>
      </w:r>
      <w:r w:rsidRPr="00965E6A">
        <w:rPr>
          <w:rFonts w:ascii="Calibri" w:hAnsi="Calibri" w:cstheme="minorHAnsi"/>
          <w:color w:val="000000" w:themeColor="text1"/>
          <w:sz w:val="20"/>
          <w:szCs w:val="20"/>
        </w:rPr>
        <w:t>2020.</w:t>
      </w:r>
    </w:p>
  </w:footnote>
  <w:footnote w:id="53">
    <w:p w14:paraId="6C71F1E2" w14:textId="1B6E602C" w:rsidR="007164F4" w:rsidRPr="00965E6A" w:rsidRDefault="007164F4" w:rsidP="00227824">
      <w:pPr>
        <w:ind w:left="284" w:hanging="284"/>
        <w:jc w:val="both"/>
        <w:rPr>
          <w:rFonts w:ascii="Calibri" w:hAnsi="Calibri" w:cstheme="minorHAnsi"/>
          <w:color w:val="000000" w:themeColor="text1"/>
          <w:sz w:val="20"/>
          <w:szCs w:val="20"/>
        </w:rPr>
      </w:pPr>
      <w:r w:rsidRPr="00965E6A">
        <w:rPr>
          <w:rStyle w:val="Znakapoznpodarou"/>
          <w:rFonts w:ascii="Calibri" w:hAnsi="Calibri"/>
          <w:sz w:val="20"/>
          <w:szCs w:val="20"/>
        </w:rPr>
        <w:footnoteRef/>
      </w:r>
      <w:r w:rsidRPr="00965E6A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ab/>
      </w:r>
      <w:r w:rsidRPr="00965E6A">
        <w:rPr>
          <w:rFonts w:ascii="Calibri" w:hAnsi="Calibri" w:cstheme="minorHAnsi"/>
          <w:color w:val="000000" w:themeColor="text1"/>
          <w:sz w:val="20"/>
          <w:szCs w:val="20"/>
        </w:rPr>
        <w:t xml:space="preserve">I. etapa: </w:t>
      </w:r>
      <w:r>
        <w:rPr>
          <w:rFonts w:ascii="Calibri" w:hAnsi="Calibri" w:cstheme="minorHAnsi"/>
          <w:color w:val="000000" w:themeColor="text1"/>
          <w:sz w:val="20"/>
          <w:szCs w:val="20"/>
        </w:rPr>
        <w:t>ÚP původní</w:t>
      </w:r>
      <w:r w:rsidRPr="00965E6A">
        <w:rPr>
          <w:rFonts w:ascii="Calibri" w:hAnsi="Calibri" w:cstheme="minorHAnsi"/>
          <w:color w:val="000000" w:themeColor="text1"/>
          <w:sz w:val="20"/>
          <w:szCs w:val="20"/>
        </w:rPr>
        <w:t xml:space="preserve"> </w:t>
      </w:r>
      <w:r>
        <w:rPr>
          <w:rFonts w:ascii="Calibri" w:hAnsi="Calibri" w:cstheme="minorHAnsi"/>
          <w:color w:val="000000" w:themeColor="text1"/>
          <w:sz w:val="20"/>
          <w:szCs w:val="20"/>
        </w:rPr>
        <w:t xml:space="preserve">verze </w:t>
      </w:r>
      <w:r w:rsidRPr="00965E6A">
        <w:rPr>
          <w:rFonts w:ascii="Calibri" w:hAnsi="Calibri" w:cstheme="minorHAnsi"/>
          <w:color w:val="000000" w:themeColor="text1"/>
          <w:sz w:val="20"/>
          <w:szCs w:val="20"/>
        </w:rPr>
        <w:t>za 77 189 Kč</w:t>
      </w:r>
      <w:r>
        <w:rPr>
          <w:rFonts w:ascii="Calibri" w:hAnsi="Calibri" w:cstheme="minorHAnsi"/>
          <w:color w:val="000000" w:themeColor="text1"/>
          <w:sz w:val="20"/>
          <w:szCs w:val="20"/>
        </w:rPr>
        <w:t xml:space="preserve"> </w:t>
      </w:r>
      <w:r w:rsidRPr="00965E6A">
        <w:rPr>
          <w:rFonts w:ascii="Calibri" w:hAnsi="Calibri" w:cstheme="minorHAnsi"/>
          <w:color w:val="000000" w:themeColor="text1"/>
          <w:sz w:val="20"/>
          <w:szCs w:val="20"/>
        </w:rPr>
        <w:t>/</w:t>
      </w:r>
      <w:r>
        <w:rPr>
          <w:rFonts w:ascii="Calibri" w:hAnsi="Calibri" w:cstheme="minorHAnsi"/>
          <w:color w:val="000000" w:themeColor="text1"/>
          <w:sz w:val="20"/>
          <w:szCs w:val="20"/>
        </w:rPr>
        <w:t xml:space="preserve"> </w:t>
      </w:r>
      <w:r w:rsidRPr="00965E6A">
        <w:rPr>
          <w:rFonts w:ascii="Calibri" w:hAnsi="Calibri" w:cstheme="minorHAnsi"/>
          <w:color w:val="000000" w:themeColor="text1"/>
          <w:sz w:val="20"/>
          <w:szCs w:val="20"/>
        </w:rPr>
        <w:t>77 833 Kč</w:t>
      </w:r>
      <w:r>
        <w:rPr>
          <w:rFonts w:ascii="Calibri" w:hAnsi="Calibri" w:cstheme="minorHAnsi"/>
          <w:color w:val="000000" w:themeColor="text1"/>
          <w:sz w:val="20"/>
          <w:szCs w:val="20"/>
        </w:rPr>
        <w:t xml:space="preserve"> </w:t>
      </w:r>
      <w:r w:rsidRPr="00965E6A">
        <w:rPr>
          <w:rFonts w:ascii="Calibri" w:hAnsi="Calibri" w:cstheme="minorHAnsi"/>
          <w:color w:val="000000" w:themeColor="text1"/>
          <w:sz w:val="20"/>
          <w:szCs w:val="20"/>
        </w:rPr>
        <w:t>/</w:t>
      </w:r>
      <w:r>
        <w:rPr>
          <w:rFonts w:ascii="Calibri" w:hAnsi="Calibri" w:cstheme="minorHAnsi"/>
          <w:color w:val="000000" w:themeColor="text1"/>
          <w:sz w:val="20"/>
          <w:szCs w:val="20"/>
        </w:rPr>
        <w:t xml:space="preserve"> </w:t>
      </w:r>
      <w:r w:rsidRPr="00965E6A">
        <w:rPr>
          <w:rFonts w:ascii="Calibri" w:hAnsi="Calibri" w:cstheme="minorHAnsi"/>
          <w:color w:val="000000" w:themeColor="text1"/>
          <w:sz w:val="20"/>
          <w:szCs w:val="20"/>
        </w:rPr>
        <w:t xml:space="preserve">76 809 Kč, II. a III. etapa: </w:t>
      </w:r>
      <w:r>
        <w:rPr>
          <w:rFonts w:ascii="Calibri" w:hAnsi="Calibri" w:cstheme="minorHAnsi"/>
          <w:color w:val="000000" w:themeColor="text1"/>
          <w:sz w:val="20"/>
          <w:szCs w:val="20"/>
        </w:rPr>
        <w:t>ÚP původní verze s </w:t>
      </w:r>
      <w:r w:rsidRPr="00801649">
        <w:rPr>
          <w:rFonts w:ascii="Calibri" w:hAnsi="Calibri" w:cstheme="minorHAnsi"/>
          <w:color w:val="000000" w:themeColor="text1"/>
          <w:sz w:val="20"/>
          <w:szCs w:val="20"/>
        </w:rPr>
        <w:t>kompatibilní</w:t>
      </w:r>
      <w:r>
        <w:rPr>
          <w:rFonts w:ascii="Calibri" w:hAnsi="Calibri" w:cstheme="minorHAnsi"/>
          <w:color w:val="000000" w:themeColor="text1"/>
          <w:sz w:val="20"/>
          <w:szCs w:val="20"/>
        </w:rPr>
        <w:t>mi</w:t>
      </w:r>
      <w:r w:rsidRPr="00801649">
        <w:rPr>
          <w:rFonts w:ascii="Calibri" w:hAnsi="Calibri" w:cstheme="minorHAnsi"/>
          <w:color w:val="000000" w:themeColor="text1"/>
          <w:sz w:val="20"/>
          <w:szCs w:val="20"/>
        </w:rPr>
        <w:t xml:space="preserve"> zásobníky</w:t>
      </w:r>
      <w:r w:rsidRPr="00965E6A">
        <w:rPr>
          <w:rFonts w:ascii="Calibri" w:hAnsi="Calibri" w:cstheme="minorHAnsi"/>
          <w:color w:val="000000" w:themeColor="text1"/>
          <w:sz w:val="20"/>
          <w:szCs w:val="20"/>
        </w:rPr>
        <w:t xml:space="preserve"> za 77 832 Kč</w:t>
      </w:r>
      <w:r>
        <w:rPr>
          <w:rFonts w:ascii="Calibri" w:hAnsi="Calibri" w:cstheme="minorHAnsi"/>
          <w:color w:val="000000" w:themeColor="text1"/>
          <w:sz w:val="20"/>
          <w:szCs w:val="20"/>
        </w:rPr>
        <w:t xml:space="preserve"> </w:t>
      </w:r>
      <w:r w:rsidRPr="00965E6A">
        <w:rPr>
          <w:rFonts w:ascii="Calibri" w:hAnsi="Calibri" w:cstheme="minorHAnsi"/>
          <w:color w:val="000000" w:themeColor="text1"/>
          <w:sz w:val="20"/>
          <w:szCs w:val="20"/>
        </w:rPr>
        <w:t>/</w:t>
      </w:r>
      <w:r>
        <w:rPr>
          <w:rFonts w:ascii="Calibri" w:hAnsi="Calibri" w:cstheme="minorHAnsi"/>
          <w:color w:val="000000" w:themeColor="text1"/>
          <w:sz w:val="20"/>
          <w:szCs w:val="20"/>
        </w:rPr>
        <w:t xml:space="preserve"> </w:t>
      </w:r>
      <w:r w:rsidRPr="00965E6A">
        <w:rPr>
          <w:rFonts w:ascii="Calibri" w:hAnsi="Calibri" w:cstheme="minorHAnsi"/>
          <w:color w:val="000000" w:themeColor="text1"/>
          <w:sz w:val="20"/>
          <w:szCs w:val="20"/>
        </w:rPr>
        <w:t xml:space="preserve">76 898 Kč, IV. etapa: </w:t>
      </w:r>
      <w:r>
        <w:rPr>
          <w:rFonts w:ascii="Calibri" w:hAnsi="Calibri" w:cstheme="minorHAnsi"/>
          <w:color w:val="000000" w:themeColor="text1"/>
          <w:sz w:val="20"/>
          <w:szCs w:val="20"/>
        </w:rPr>
        <w:t xml:space="preserve">ÚP </w:t>
      </w:r>
      <w:r w:rsidRPr="00C370E9">
        <w:rPr>
          <w:rFonts w:ascii="Calibri" w:hAnsi="Calibri" w:cstheme="minorHAnsi"/>
          <w:color w:val="000000" w:themeColor="text1"/>
          <w:sz w:val="20"/>
          <w:szCs w:val="20"/>
        </w:rPr>
        <w:t>v nové konfiguraci</w:t>
      </w:r>
      <w:r w:rsidRPr="00965E6A">
        <w:rPr>
          <w:rFonts w:ascii="Calibri" w:hAnsi="Calibri" w:cstheme="minorHAnsi"/>
          <w:color w:val="000000" w:themeColor="text1"/>
          <w:sz w:val="20"/>
          <w:szCs w:val="20"/>
        </w:rPr>
        <w:t xml:space="preserve"> za 75 366 Kč.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588FA7" w14:textId="77777777" w:rsidR="00A02DAA" w:rsidRDefault="00A02DA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E51069" w14:textId="77777777" w:rsidR="00E803AA" w:rsidRDefault="00E803AA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9459A3" w14:textId="77777777" w:rsidR="00A02DAA" w:rsidRDefault="00A02DA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255B6"/>
    <w:multiLevelType w:val="hybridMultilevel"/>
    <w:tmpl w:val="CAA824B4"/>
    <w:lvl w:ilvl="0" w:tplc="9C8E93EE">
      <w:start w:val="1"/>
      <w:numFmt w:val="bullet"/>
      <w:lvlText w:val=""/>
      <w:lvlJc w:val="left"/>
      <w:pPr>
        <w:ind w:left="4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0E230B2F"/>
    <w:multiLevelType w:val="hybridMultilevel"/>
    <w:tmpl w:val="8B189BE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04435A9"/>
    <w:multiLevelType w:val="hybridMultilevel"/>
    <w:tmpl w:val="9502EE32"/>
    <w:lvl w:ilvl="0" w:tplc="0405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1159489C"/>
    <w:multiLevelType w:val="hybridMultilevel"/>
    <w:tmpl w:val="8290661E"/>
    <w:lvl w:ilvl="0" w:tplc="2270AE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EECC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3651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302E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8245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FAF0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9E57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B6CA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6CA0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9622D2"/>
    <w:multiLevelType w:val="hybridMultilevel"/>
    <w:tmpl w:val="D4EE4ACC"/>
    <w:lvl w:ilvl="0" w:tplc="13526EFA">
      <w:start w:val="10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59A6784"/>
    <w:multiLevelType w:val="hybridMultilevel"/>
    <w:tmpl w:val="7B2CA2CA"/>
    <w:lvl w:ilvl="0" w:tplc="B39860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A42C06"/>
    <w:multiLevelType w:val="hybridMultilevel"/>
    <w:tmpl w:val="3BD81DB6"/>
    <w:lvl w:ilvl="0" w:tplc="5382076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F7737A"/>
    <w:multiLevelType w:val="hybridMultilevel"/>
    <w:tmpl w:val="9CF4EDD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33B5783"/>
    <w:multiLevelType w:val="hybridMultilevel"/>
    <w:tmpl w:val="38AA5B6E"/>
    <w:lvl w:ilvl="0" w:tplc="2D94CD5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B94E5F"/>
    <w:multiLevelType w:val="hybridMultilevel"/>
    <w:tmpl w:val="79FE8290"/>
    <w:lvl w:ilvl="0" w:tplc="380C7202">
      <w:start w:val="1"/>
      <w:numFmt w:val="decimal"/>
      <w:lvlText w:val="%1."/>
      <w:lvlJc w:val="left"/>
      <w:pPr>
        <w:ind w:left="420" w:hanging="360"/>
      </w:pPr>
      <w:rPr>
        <w:rFonts w:ascii="Calibri" w:eastAsia="Times New Roman" w:hAnsi="Calibri" w:cs="Calibri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>
    <w:nsid w:val="2C8E711B"/>
    <w:multiLevelType w:val="hybridMultilevel"/>
    <w:tmpl w:val="FB8CE96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F116CBB"/>
    <w:multiLevelType w:val="hybridMultilevel"/>
    <w:tmpl w:val="204C59BC"/>
    <w:lvl w:ilvl="0" w:tplc="4AE4A2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D4E6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BE66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4E1C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8874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F641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162D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546E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7EFC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EA2609"/>
    <w:multiLevelType w:val="hybridMultilevel"/>
    <w:tmpl w:val="A440C9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A35941"/>
    <w:multiLevelType w:val="hybridMultilevel"/>
    <w:tmpl w:val="5928CD30"/>
    <w:lvl w:ilvl="0" w:tplc="69F44772">
      <w:numFmt w:val="bullet"/>
      <w:lvlText w:val="-"/>
      <w:lvlJc w:val="left"/>
      <w:pPr>
        <w:ind w:left="360" w:hanging="360"/>
      </w:pPr>
      <w:rPr>
        <w:rFonts w:ascii="Calibri" w:eastAsia="Times New Roman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82A5B51"/>
    <w:multiLevelType w:val="hybridMultilevel"/>
    <w:tmpl w:val="E560390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BB67D30"/>
    <w:multiLevelType w:val="hybridMultilevel"/>
    <w:tmpl w:val="D9FC433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3D8564BA"/>
    <w:multiLevelType w:val="hybridMultilevel"/>
    <w:tmpl w:val="BDAC11AA"/>
    <w:lvl w:ilvl="0" w:tplc="0D46B694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AD21F26"/>
    <w:multiLevelType w:val="hybridMultilevel"/>
    <w:tmpl w:val="D0CC9E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D75930"/>
    <w:multiLevelType w:val="hybridMultilevel"/>
    <w:tmpl w:val="750CE060"/>
    <w:lvl w:ilvl="0" w:tplc="BBE82248">
      <w:numFmt w:val="bullet"/>
      <w:lvlText w:val="-"/>
      <w:lvlJc w:val="left"/>
      <w:pPr>
        <w:ind w:left="-708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19">
    <w:nsid w:val="569554BA"/>
    <w:multiLevelType w:val="hybridMultilevel"/>
    <w:tmpl w:val="AB241E46"/>
    <w:lvl w:ilvl="0" w:tplc="E40678AA">
      <w:numFmt w:val="bullet"/>
      <w:lvlText w:val="-"/>
      <w:lvlJc w:val="left"/>
      <w:pPr>
        <w:ind w:left="360" w:hanging="360"/>
      </w:pPr>
      <w:rPr>
        <w:rFonts w:ascii="Calibri" w:eastAsia="Times New Roman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E693B99"/>
    <w:multiLevelType w:val="hybridMultilevel"/>
    <w:tmpl w:val="1A00CE8E"/>
    <w:lvl w:ilvl="0" w:tplc="826E4C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6CB3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AA08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2A71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208E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4CF3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56BC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D2F4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E65D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D77D01"/>
    <w:multiLevelType w:val="hybridMultilevel"/>
    <w:tmpl w:val="98A0C448"/>
    <w:lvl w:ilvl="0" w:tplc="231AFBE2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>
    <w:nsid w:val="68B71390"/>
    <w:multiLevelType w:val="multilevel"/>
    <w:tmpl w:val="7974E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243353E"/>
    <w:multiLevelType w:val="hybridMultilevel"/>
    <w:tmpl w:val="A6080AEA"/>
    <w:lvl w:ilvl="0" w:tplc="0405000F">
      <w:start w:val="1"/>
      <w:numFmt w:val="decimal"/>
      <w:lvlText w:val="%1."/>
      <w:lvlJc w:val="left"/>
      <w:pPr>
        <w:ind w:left="420" w:hanging="360"/>
      </w:p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>
    <w:nsid w:val="78DC53A7"/>
    <w:multiLevelType w:val="hybridMultilevel"/>
    <w:tmpl w:val="CF7A13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EC3CC1"/>
    <w:multiLevelType w:val="hybridMultilevel"/>
    <w:tmpl w:val="F3CC7D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7"/>
  </w:num>
  <w:num w:numId="3">
    <w:abstractNumId w:val="12"/>
  </w:num>
  <w:num w:numId="4">
    <w:abstractNumId w:val="15"/>
  </w:num>
  <w:num w:numId="5">
    <w:abstractNumId w:val="6"/>
  </w:num>
  <w:num w:numId="6">
    <w:abstractNumId w:val="25"/>
  </w:num>
  <w:num w:numId="7">
    <w:abstractNumId w:val="7"/>
  </w:num>
  <w:num w:numId="8">
    <w:abstractNumId w:val="4"/>
  </w:num>
  <w:num w:numId="9">
    <w:abstractNumId w:val="14"/>
  </w:num>
  <w:num w:numId="10">
    <w:abstractNumId w:val="1"/>
  </w:num>
  <w:num w:numId="11">
    <w:abstractNumId w:val="24"/>
  </w:num>
  <w:num w:numId="12">
    <w:abstractNumId w:val="2"/>
  </w:num>
  <w:num w:numId="13">
    <w:abstractNumId w:val="21"/>
  </w:num>
  <w:num w:numId="14">
    <w:abstractNumId w:val="9"/>
  </w:num>
  <w:num w:numId="15">
    <w:abstractNumId w:val="11"/>
  </w:num>
  <w:num w:numId="16">
    <w:abstractNumId w:val="18"/>
  </w:num>
  <w:num w:numId="17">
    <w:abstractNumId w:val="3"/>
  </w:num>
  <w:num w:numId="18">
    <w:abstractNumId w:val="19"/>
  </w:num>
  <w:num w:numId="19">
    <w:abstractNumId w:val="20"/>
  </w:num>
  <w:num w:numId="20">
    <w:abstractNumId w:val="13"/>
  </w:num>
  <w:num w:numId="21">
    <w:abstractNumId w:val="16"/>
  </w:num>
  <w:num w:numId="22">
    <w:abstractNumId w:val="10"/>
  </w:num>
  <w:num w:numId="23">
    <w:abstractNumId w:val="0"/>
  </w:num>
  <w:num w:numId="24">
    <w:abstractNumId w:val="23"/>
  </w:num>
  <w:num w:numId="25">
    <w:abstractNumId w:val="8"/>
  </w:num>
  <w:num w:numId="26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90B"/>
    <w:rsid w:val="00000881"/>
    <w:rsid w:val="00000932"/>
    <w:rsid w:val="00000F96"/>
    <w:rsid w:val="00001B91"/>
    <w:rsid w:val="00002073"/>
    <w:rsid w:val="0000236D"/>
    <w:rsid w:val="0000285D"/>
    <w:rsid w:val="0000330E"/>
    <w:rsid w:val="000033DB"/>
    <w:rsid w:val="0000346E"/>
    <w:rsid w:val="00003B60"/>
    <w:rsid w:val="00003D20"/>
    <w:rsid w:val="00003EAD"/>
    <w:rsid w:val="00003FF9"/>
    <w:rsid w:val="000044CF"/>
    <w:rsid w:val="00004A9B"/>
    <w:rsid w:val="00004DB0"/>
    <w:rsid w:val="00004E73"/>
    <w:rsid w:val="00005220"/>
    <w:rsid w:val="0000580F"/>
    <w:rsid w:val="00005C3E"/>
    <w:rsid w:val="00005C47"/>
    <w:rsid w:val="00005C6C"/>
    <w:rsid w:val="000066B9"/>
    <w:rsid w:val="00006886"/>
    <w:rsid w:val="00006B02"/>
    <w:rsid w:val="00007773"/>
    <w:rsid w:val="00007FD1"/>
    <w:rsid w:val="000104BD"/>
    <w:rsid w:val="0001113E"/>
    <w:rsid w:val="000112F9"/>
    <w:rsid w:val="00011810"/>
    <w:rsid w:val="000119C8"/>
    <w:rsid w:val="00011EF7"/>
    <w:rsid w:val="0001248D"/>
    <w:rsid w:val="000124FE"/>
    <w:rsid w:val="00013006"/>
    <w:rsid w:val="000131C6"/>
    <w:rsid w:val="00013507"/>
    <w:rsid w:val="000138FD"/>
    <w:rsid w:val="00013A3C"/>
    <w:rsid w:val="00013AD7"/>
    <w:rsid w:val="000141DD"/>
    <w:rsid w:val="00014603"/>
    <w:rsid w:val="000152B0"/>
    <w:rsid w:val="0001567E"/>
    <w:rsid w:val="000156CF"/>
    <w:rsid w:val="0001597F"/>
    <w:rsid w:val="00015CCB"/>
    <w:rsid w:val="00015F28"/>
    <w:rsid w:val="000163B7"/>
    <w:rsid w:val="000172AE"/>
    <w:rsid w:val="00017773"/>
    <w:rsid w:val="00017BE6"/>
    <w:rsid w:val="00017E46"/>
    <w:rsid w:val="00017EC7"/>
    <w:rsid w:val="00017F46"/>
    <w:rsid w:val="00020834"/>
    <w:rsid w:val="00020A05"/>
    <w:rsid w:val="00020A74"/>
    <w:rsid w:val="00020DE5"/>
    <w:rsid w:val="00021026"/>
    <w:rsid w:val="000218CA"/>
    <w:rsid w:val="000219F5"/>
    <w:rsid w:val="000225B8"/>
    <w:rsid w:val="00022D5C"/>
    <w:rsid w:val="00023D6D"/>
    <w:rsid w:val="00023EA1"/>
    <w:rsid w:val="00024A45"/>
    <w:rsid w:val="00024AA7"/>
    <w:rsid w:val="00024E81"/>
    <w:rsid w:val="00025491"/>
    <w:rsid w:val="000254CB"/>
    <w:rsid w:val="00025A70"/>
    <w:rsid w:val="00025CF1"/>
    <w:rsid w:val="00025E01"/>
    <w:rsid w:val="00026AFA"/>
    <w:rsid w:val="000278C6"/>
    <w:rsid w:val="00027D3C"/>
    <w:rsid w:val="00030772"/>
    <w:rsid w:val="000307C5"/>
    <w:rsid w:val="0003087F"/>
    <w:rsid w:val="00030DD7"/>
    <w:rsid w:val="0003111A"/>
    <w:rsid w:val="00031292"/>
    <w:rsid w:val="000314CC"/>
    <w:rsid w:val="00031A57"/>
    <w:rsid w:val="00031C8A"/>
    <w:rsid w:val="00031D26"/>
    <w:rsid w:val="00031DEE"/>
    <w:rsid w:val="00032482"/>
    <w:rsid w:val="000326DA"/>
    <w:rsid w:val="000328E1"/>
    <w:rsid w:val="00033741"/>
    <w:rsid w:val="000342ED"/>
    <w:rsid w:val="00034393"/>
    <w:rsid w:val="000343CF"/>
    <w:rsid w:val="000343E1"/>
    <w:rsid w:val="000347C0"/>
    <w:rsid w:val="00034844"/>
    <w:rsid w:val="00034AA9"/>
    <w:rsid w:val="00035230"/>
    <w:rsid w:val="000357D3"/>
    <w:rsid w:val="00037363"/>
    <w:rsid w:val="000406B5"/>
    <w:rsid w:val="000407CE"/>
    <w:rsid w:val="00040D85"/>
    <w:rsid w:val="0004108C"/>
    <w:rsid w:val="000413E1"/>
    <w:rsid w:val="000414FE"/>
    <w:rsid w:val="00041909"/>
    <w:rsid w:val="00041943"/>
    <w:rsid w:val="000419A7"/>
    <w:rsid w:val="00041F40"/>
    <w:rsid w:val="00041F64"/>
    <w:rsid w:val="0004223E"/>
    <w:rsid w:val="000423CF"/>
    <w:rsid w:val="00042D81"/>
    <w:rsid w:val="00042F15"/>
    <w:rsid w:val="000430E2"/>
    <w:rsid w:val="00043439"/>
    <w:rsid w:val="000437B0"/>
    <w:rsid w:val="00043891"/>
    <w:rsid w:val="00043B34"/>
    <w:rsid w:val="00043B6B"/>
    <w:rsid w:val="0004461C"/>
    <w:rsid w:val="00044938"/>
    <w:rsid w:val="000459C2"/>
    <w:rsid w:val="00045E0B"/>
    <w:rsid w:val="000465B1"/>
    <w:rsid w:val="00046CD6"/>
    <w:rsid w:val="00050407"/>
    <w:rsid w:val="00050E1F"/>
    <w:rsid w:val="00051606"/>
    <w:rsid w:val="00051EBF"/>
    <w:rsid w:val="00052837"/>
    <w:rsid w:val="00052CBB"/>
    <w:rsid w:val="00052F4A"/>
    <w:rsid w:val="000530F1"/>
    <w:rsid w:val="000532AB"/>
    <w:rsid w:val="000536DB"/>
    <w:rsid w:val="00054517"/>
    <w:rsid w:val="00054696"/>
    <w:rsid w:val="0005491B"/>
    <w:rsid w:val="000549C6"/>
    <w:rsid w:val="00054BBC"/>
    <w:rsid w:val="00054E4B"/>
    <w:rsid w:val="000550B4"/>
    <w:rsid w:val="000558EC"/>
    <w:rsid w:val="000559AC"/>
    <w:rsid w:val="000559BB"/>
    <w:rsid w:val="00055A17"/>
    <w:rsid w:val="000569A4"/>
    <w:rsid w:val="00056F50"/>
    <w:rsid w:val="00057193"/>
    <w:rsid w:val="00057235"/>
    <w:rsid w:val="00057577"/>
    <w:rsid w:val="00057A70"/>
    <w:rsid w:val="00057CBE"/>
    <w:rsid w:val="00060843"/>
    <w:rsid w:val="00060C32"/>
    <w:rsid w:val="000613C2"/>
    <w:rsid w:val="00061429"/>
    <w:rsid w:val="00061621"/>
    <w:rsid w:val="0006260B"/>
    <w:rsid w:val="00063045"/>
    <w:rsid w:val="00064144"/>
    <w:rsid w:val="000641DB"/>
    <w:rsid w:val="00064235"/>
    <w:rsid w:val="000642CE"/>
    <w:rsid w:val="00064524"/>
    <w:rsid w:val="0006454E"/>
    <w:rsid w:val="000647BD"/>
    <w:rsid w:val="00064CAA"/>
    <w:rsid w:val="00064DC8"/>
    <w:rsid w:val="00064DEF"/>
    <w:rsid w:val="00064F00"/>
    <w:rsid w:val="000654EA"/>
    <w:rsid w:val="00066699"/>
    <w:rsid w:val="0006671D"/>
    <w:rsid w:val="00066725"/>
    <w:rsid w:val="00066D9F"/>
    <w:rsid w:val="00066E48"/>
    <w:rsid w:val="00067642"/>
    <w:rsid w:val="00067667"/>
    <w:rsid w:val="00067D49"/>
    <w:rsid w:val="00070408"/>
    <w:rsid w:val="0007064B"/>
    <w:rsid w:val="000706B4"/>
    <w:rsid w:val="000710D5"/>
    <w:rsid w:val="00071186"/>
    <w:rsid w:val="00071622"/>
    <w:rsid w:val="00071686"/>
    <w:rsid w:val="00071B68"/>
    <w:rsid w:val="00071FA4"/>
    <w:rsid w:val="00072445"/>
    <w:rsid w:val="00072D5A"/>
    <w:rsid w:val="000732F3"/>
    <w:rsid w:val="000733C0"/>
    <w:rsid w:val="0007408B"/>
    <w:rsid w:val="00074954"/>
    <w:rsid w:val="00074A01"/>
    <w:rsid w:val="00074AA6"/>
    <w:rsid w:val="00075409"/>
    <w:rsid w:val="00075C06"/>
    <w:rsid w:val="00076806"/>
    <w:rsid w:val="00077153"/>
    <w:rsid w:val="00077196"/>
    <w:rsid w:val="000772FC"/>
    <w:rsid w:val="00077727"/>
    <w:rsid w:val="00080987"/>
    <w:rsid w:val="00080C12"/>
    <w:rsid w:val="00080EDC"/>
    <w:rsid w:val="00081221"/>
    <w:rsid w:val="000813FB"/>
    <w:rsid w:val="00081F8E"/>
    <w:rsid w:val="00082640"/>
    <w:rsid w:val="0008264D"/>
    <w:rsid w:val="000828E4"/>
    <w:rsid w:val="00082FB7"/>
    <w:rsid w:val="000839E5"/>
    <w:rsid w:val="000843F6"/>
    <w:rsid w:val="00084DFA"/>
    <w:rsid w:val="00084EF4"/>
    <w:rsid w:val="00084F19"/>
    <w:rsid w:val="000855DB"/>
    <w:rsid w:val="00086696"/>
    <w:rsid w:val="00086D3E"/>
    <w:rsid w:val="00087183"/>
    <w:rsid w:val="00087884"/>
    <w:rsid w:val="00087A8A"/>
    <w:rsid w:val="00087ABD"/>
    <w:rsid w:val="00087F21"/>
    <w:rsid w:val="000903FF"/>
    <w:rsid w:val="000908D8"/>
    <w:rsid w:val="0009092D"/>
    <w:rsid w:val="000913CB"/>
    <w:rsid w:val="00091459"/>
    <w:rsid w:val="000919E2"/>
    <w:rsid w:val="00091A81"/>
    <w:rsid w:val="000927F6"/>
    <w:rsid w:val="0009286D"/>
    <w:rsid w:val="000928BB"/>
    <w:rsid w:val="000928EE"/>
    <w:rsid w:val="00092FA7"/>
    <w:rsid w:val="000932A7"/>
    <w:rsid w:val="0009336C"/>
    <w:rsid w:val="00093E2F"/>
    <w:rsid w:val="00094A2D"/>
    <w:rsid w:val="00094B6E"/>
    <w:rsid w:val="00095323"/>
    <w:rsid w:val="00095329"/>
    <w:rsid w:val="00095721"/>
    <w:rsid w:val="00095904"/>
    <w:rsid w:val="0009635C"/>
    <w:rsid w:val="00096DF6"/>
    <w:rsid w:val="00096E1C"/>
    <w:rsid w:val="00096F81"/>
    <w:rsid w:val="0009709F"/>
    <w:rsid w:val="0009745F"/>
    <w:rsid w:val="000979E8"/>
    <w:rsid w:val="000A0A28"/>
    <w:rsid w:val="000A0AB9"/>
    <w:rsid w:val="000A0DA9"/>
    <w:rsid w:val="000A0E63"/>
    <w:rsid w:val="000A0FA8"/>
    <w:rsid w:val="000A15CA"/>
    <w:rsid w:val="000A1ABD"/>
    <w:rsid w:val="000A2538"/>
    <w:rsid w:val="000A39BB"/>
    <w:rsid w:val="000A41A3"/>
    <w:rsid w:val="000A446F"/>
    <w:rsid w:val="000A46D3"/>
    <w:rsid w:val="000A4816"/>
    <w:rsid w:val="000A53CC"/>
    <w:rsid w:val="000A58F6"/>
    <w:rsid w:val="000A6D74"/>
    <w:rsid w:val="000A7392"/>
    <w:rsid w:val="000B02A7"/>
    <w:rsid w:val="000B0407"/>
    <w:rsid w:val="000B04BE"/>
    <w:rsid w:val="000B114F"/>
    <w:rsid w:val="000B12F1"/>
    <w:rsid w:val="000B1348"/>
    <w:rsid w:val="000B1C04"/>
    <w:rsid w:val="000B25C3"/>
    <w:rsid w:val="000B3105"/>
    <w:rsid w:val="000B3145"/>
    <w:rsid w:val="000B3978"/>
    <w:rsid w:val="000B3B08"/>
    <w:rsid w:val="000B3B74"/>
    <w:rsid w:val="000B3BD6"/>
    <w:rsid w:val="000B5426"/>
    <w:rsid w:val="000B556B"/>
    <w:rsid w:val="000B571C"/>
    <w:rsid w:val="000B5A19"/>
    <w:rsid w:val="000B5FE2"/>
    <w:rsid w:val="000B6D43"/>
    <w:rsid w:val="000B710A"/>
    <w:rsid w:val="000B7411"/>
    <w:rsid w:val="000B75F0"/>
    <w:rsid w:val="000C113C"/>
    <w:rsid w:val="000C1234"/>
    <w:rsid w:val="000C1305"/>
    <w:rsid w:val="000C18EF"/>
    <w:rsid w:val="000C1C55"/>
    <w:rsid w:val="000C1DFD"/>
    <w:rsid w:val="000C1E95"/>
    <w:rsid w:val="000C2190"/>
    <w:rsid w:val="000C27C1"/>
    <w:rsid w:val="000C28BB"/>
    <w:rsid w:val="000C3130"/>
    <w:rsid w:val="000C320D"/>
    <w:rsid w:val="000C3B6B"/>
    <w:rsid w:val="000C40E9"/>
    <w:rsid w:val="000C438C"/>
    <w:rsid w:val="000C4484"/>
    <w:rsid w:val="000C4C9A"/>
    <w:rsid w:val="000C5338"/>
    <w:rsid w:val="000C5A55"/>
    <w:rsid w:val="000C64AC"/>
    <w:rsid w:val="000C672F"/>
    <w:rsid w:val="000C6DA4"/>
    <w:rsid w:val="000C6F9D"/>
    <w:rsid w:val="000C7BDF"/>
    <w:rsid w:val="000D0088"/>
    <w:rsid w:val="000D0135"/>
    <w:rsid w:val="000D01D6"/>
    <w:rsid w:val="000D05D4"/>
    <w:rsid w:val="000D0735"/>
    <w:rsid w:val="000D0ED6"/>
    <w:rsid w:val="000D17BB"/>
    <w:rsid w:val="000D18A3"/>
    <w:rsid w:val="000D18F3"/>
    <w:rsid w:val="000D1CB4"/>
    <w:rsid w:val="000D202F"/>
    <w:rsid w:val="000D2204"/>
    <w:rsid w:val="000D225C"/>
    <w:rsid w:val="000D225E"/>
    <w:rsid w:val="000D2CC7"/>
    <w:rsid w:val="000D2D82"/>
    <w:rsid w:val="000D3453"/>
    <w:rsid w:val="000D350B"/>
    <w:rsid w:val="000D40A9"/>
    <w:rsid w:val="000D456D"/>
    <w:rsid w:val="000D4F7E"/>
    <w:rsid w:val="000D6081"/>
    <w:rsid w:val="000D62D0"/>
    <w:rsid w:val="000D6416"/>
    <w:rsid w:val="000D671A"/>
    <w:rsid w:val="000D6A32"/>
    <w:rsid w:val="000D6EB0"/>
    <w:rsid w:val="000D6EB6"/>
    <w:rsid w:val="000D702C"/>
    <w:rsid w:val="000D7A33"/>
    <w:rsid w:val="000D7D68"/>
    <w:rsid w:val="000E0245"/>
    <w:rsid w:val="000E0445"/>
    <w:rsid w:val="000E05EA"/>
    <w:rsid w:val="000E0AE6"/>
    <w:rsid w:val="000E101D"/>
    <w:rsid w:val="000E1099"/>
    <w:rsid w:val="000E123D"/>
    <w:rsid w:val="000E196A"/>
    <w:rsid w:val="000E1CA1"/>
    <w:rsid w:val="000E1E4B"/>
    <w:rsid w:val="000E2251"/>
    <w:rsid w:val="000E23CC"/>
    <w:rsid w:val="000E2E38"/>
    <w:rsid w:val="000E352E"/>
    <w:rsid w:val="000E398D"/>
    <w:rsid w:val="000E399D"/>
    <w:rsid w:val="000E41C0"/>
    <w:rsid w:val="000E4219"/>
    <w:rsid w:val="000E5022"/>
    <w:rsid w:val="000E5071"/>
    <w:rsid w:val="000E53AF"/>
    <w:rsid w:val="000E5476"/>
    <w:rsid w:val="000E5629"/>
    <w:rsid w:val="000E5967"/>
    <w:rsid w:val="000E62B1"/>
    <w:rsid w:val="000E650F"/>
    <w:rsid w:val="000E661B"/>
    <w:rsid w:val="000E67B9"/>
    <w:rsid w:val="000F0258"/>
    <w:rsid w:val="000F0864"/>
    <w:rsid w:val="000F1BD9"/>
    <w:rsid w:val="000F1DF3"/>
    <w:rsid w:val="000F1FF6"/>
    <w:rsid w:val="000F272E"/>
    <w:rsid w:val="000F2839"/>
    <w:rsid w:val="000F31D0"/>
    <w:rsid w:val="000F36FA"/>
    <w:rsid w:val="000F3776"/>
    <w:rsid w:val="000F37A0"/>
    <w:rsid w:val="000F3957"/>
    <w:rsid w:val="000F4618"/>
    <w:rsid w:val="000F4A05"/>
    <w:rsid w:val="000F4E31"/>
    <w:rsid w:val="000F514F"/>
    <w:rsid w:val="000F5263"/>
    <w:rsid w:val="000F5FE2"/>
    <w:rsid w:val="000F5FF1"/>
    <w:rsid w:val="000F6159"/>
    <w:rsid w:val="000F659A"/>
    <w:rsid w:val="000F6B2D"/>
    <w:rsid w:val="000F6E30"/>
    <w:rsid w:val="000F74CC"/>
    <w:rsid w:val="000F7CC7"/>
    <w:rsid w:val="000F7D04"/>
    <w:rsid w:val="000F7EC8"/>
    <w:rsid w:val="001002B8"/>
    <w:rsid w:val="001002DE"/>
    <w:rsid w:val="0010034C"/>
    <w:rsid w:val="001009B5"/>
    <w:rsid w:val="0010159A"/>
    <w:rsid w:val="00101798"/>
    <w:rsid w:val="001019FC"/>
    <w:rsid w:val="001021F7"/>
    <w:rsid w:val="0010231F"/>
    <w:rsid w:val="0010304D"/>
    <w:rsid w:val="0010376B"/>
    <w:rsid w:val="00103A3A"/>
    <w:rsid w:val="00103BA6"/>
    <w:rsid w:val="00103BAF"/>
    <w:rsid w:val="00104BDC"/>
    <w:rsid w:val="00105AD0"/>
    <w:rsid w:val="00106174"/>
    <w:rsid w:val="00106532"/>
    <w:rsid w:val="00106833"/>
    <w:rsid w:val="0010688E"/>
    <w:rsid w:val="00106D02"/>
    <w:rsid w:val="00107CAA"/>
    <w:rsid w:val="00110594"/>
    <w:rsid w:val="00110FFD"/>
    <w:rsid w:val="0011171A"/>
    <w:rsid w:val="00111936"/>
    <w:rsid w:val="00111E71"/>
    <w:rsid w:val="001129ED"/>
    <w:rsid w:val="00112B51"/>
    <w:rsid w:val="001135CA"/>
    <w:rsid w:val="0011376D"/>
    <w:rsid w:val="00113B93"/>
    <w:rsid w:val="001140CF"/>
    <w:rsid w:val="001140E8"/>
    <w:rsid w:val="00115CEF"/>
    <w:rsid w:val="00115E25"/>
    <w:rsid w:val="0011637B"/>
    <w:rsid w:val="00116982"/>
    <w:rsid w:val="00116B2E"/>
    <w:rsid w:val="001176BB"/>
    <w:rsid w:val="00117DC9"/>
    <w:rsid w:val="001208DD"/>
    <w:rsid w:val="00120AA3"/>
    <w:rsid w:val="0012129B"/>
    <w:rsid w:val="00121642"/>
    <w:rsid w:val="00121B6F"/>
    <w:rsid w:val="00122D95"/>
    <w:rsid w:val="00122F13"/>
    <w:rsid w:val="0012376C"/>
    <w:rsid w:val="00123ACC"/>
    <w:rsid w:val="00123BB9"/>
    <w:rsid w:val="00124136"/>
    <w:rsid w:val="0012476C"/>
    <w:rsid w:val="0012499F"/>
    <w:rsid w:val="00124FF6"/>
    <w:rsid w:val="0012511E"/>
    <w:rsid w:val="00125B7B"/>
    <w:rsid w:val="00126303"/>
    <w:rsid w:val="001265E7"/>
    <w:rsid w:val="00126713"/>
    <w:rsid w:val="00126AA0"/>
    <w:rsid w:val="00127CC1"/>
    <w:rsid w:val="00127E65"/>
    <w:rsid w:val="00127FF9"/>
    <w:rsid w:val="001302F2"/>
    <w:rsid w:val="0013051A"/>
    <w:rsid w:val="00131AC9"/>
    <w:rsid w:val="00132277"/>
    <w:rsid w:val="001325AD"/>
    <w:rsid w:val="00132A7F"/>
    <w:rsid w:val="00133019"/>
    <w:rsid w:val="00133222"/>
    <w:rsid w:val="001332BC"/>
    <w:rsid w:val="0013397D"/>
    <w:rsid w:val="00133B3E"/>
    <w:rsid w:val="00134C4E"/>
    <w:rsid w:val="00134F63"/>
    <w:rsid w:val="0013587A"/>
    <w:rsid w:val="00135D90"/>
    <w:rsid w:val="00135E06"/>
    <w:rsid w:val="001360A2"/>
    <w:rsid w:val="001364A6"/>
    <w:rsid w:val="001368E7"/>
    <w:rsid w:val="00137D95"/>
    <w:rsid w:val="00140B7F"/>
    <w:rsid w:val="00140D10"/>
    <w:rsid w:val="0014105F"/>
    <w:rsid w:val="001410DB"/>
    <w:rsid w:val="0014132F"/>
    <w:rsid w:val="00141355"/>
    <w:rsid w:val="001415FD"/>
    <w:rsid w:val="0014163E"/>
    <w:rsid w:val="001418C0"/>
    <w:rsid w:val="00141BF7"/>
    <w:rsid w:val="00141C97"/>
    <w:rsid w:val="00141FA2"/>
    <w:rsid w:val="00141FDE"/>
    <w:rsid w:val="00142073"/>
    <w:rsid w:val="001422A6"/>
    <w:rsid w:val="001425AD"/>
    <w:rsid w:val="00142A6C"/>
    <w:rsid w:val="00142B1D"/>
    <w:rsid w:val="00142FD1"/>
    <w:rsid w:val="00143392"/>
    <w:rsid w:val="0014351A"/>
    <w:rsid w:val="00143530"/>
    <w:rsid w:val="00143C9D"/>
    <w:rsid w:val="0014414B"/>
    <w:rsid w:val="001442C8"/>
    <w:rsid w:val="00144332"/>
    <w:rsid w:val="00144916"/>
    <w:rsid w:val="00144FA1"/>
    <w:rsid w:val="0014534E"/>
    <w:rsid w:val="0014548A"/>
    <w:rsid w:val="001456CE"/>
    <w:rsid w:val="00145861"/>
    <w:rsid w:val="001462AD"/>
    <w:rsid w:val="00146599"/>
    <w:rsid w:val="001468BA"/>
    <w:rsid w:val="00146C0C"/>
    <w:rsid w:val="00147599"/>
    <w:rsid w:val="00147A69"/>
    <w:rsid w:val="00147AE0"/>
    <w:rsid w:val="00147EAF"/>
    <w:rsid w:val="00150511"/>
    <w:rsid w:val="00150987"/>
    <w:rsid w:val="00150B60"/>
    <w:rsid w:val="00151252"/>
    <w:rsid w:val="00151B47"/>
    <w:rsid w:val="00151D94"/>
    <w:rsid w:val="001522D1"/>
    <w:rsid w:val="001523C1"/>
    <w:rsid w:val="00152479"/>
    <w:rsid w:val="00152B55"/>
    <w:rsid w:val="001531E3"/>
    <w:rsid w:val="0015334F"/>
    <w:rsid w:val="00153700"/>
    <w:rsid w:val="00153985"/>
    <w:rsid w:val="00153BF0"/>
    <w:rsid w:val="00154178"/>
    <w:rsid w:val="00154C1C"/>
    <w:rsid w:val="001550CC"/>
    <w:rsid w:val="0015511A"/>
    <w:rsid w:val="00155CDC"/>
    <w:rsid w:val="00155DE6"/>
    <w:rsid w:val="001564AB"/>
    <w:rsid w:val="00156C62"/>
    <w:rsid w:val="00157FCD"/>
    <w:rsid w:val="0016027D"/>
    <w:rsid w:val="00160429"/>
    <w:rsid w:val="00160905"/>
    <w:rsid w:val="00160D42"/>
    <w:rsid w:val="00160E9D"/>
    <w:rsid w:val="00160F69"/>
    <w:rsid w:val="001616E0"/>
    <w:rsid w:val="00161978"/>
    <w:rsid w:val="0016199E"/>
    <w:rsid w:val="00161C93"/>
    <w:rsid w:val="00161D5B"/>
    <w:rsid w:val="001625D9"/>
    <w:rsid w:val="00162A88"/>
    <w:rsid w:val="00162B1D"/>
    <w:rsid w:val="00162BDF"/>
    <w:rsid w:val="00162C1D"/>
    <w:rsid w:val="00163354"/>
    <w:rsid w:val="00163DAC"/>
    <w:rsid w:val="0016453D"/>
    <w:rsid w:val="001645EF"/>
    <w:rsid w:val="00164813"/>
    <w:rsid w:val="00164BA7"/>
    <w:rsid w:val="001671F8"/>
    <w:rsid w:val="00167879"/>
    <w:rsid w:val="001679FB"/>
    <w:rsid w:val="00167F98"/>
    <w:rsid w:val="001702DE"/>
    <w:rsid w:val="00170BEB"/>
    <w:rsid w:val="00171086"/>
    <w:rsid w:val="001712AF"/>
    <w:rsid w:val="00171371"/>
    <w:rsid w:val="001715AC"/>
    <w:rsid w:val="001718B7"/>
    <w:rsid w:val="00171A28"/>
    <w:rsid w:val="00171A41"/>
    <w:rsid w:val="00171E37"/>
    <w:rsid w:val="00172390"/>
    <w:rsid w:val="001725CE"/>
    <w:rsid w:val="00172804"/>
    <w:rsid w:val="001728D7"/>
    <w:rsid w:val="00173420"/>
    <w:rsid w:val="0017377A"/>
    <w:rsid w:val="00173BFF"/>
    <w:rsid w:val="00173EA1"/>
    <w:rsid w:val="0017418E"/>
    <w:rsid w:val="001742A7"/>
    <w:rsid w:val="0017464D"/>
    <w:rsid w:val="00174783"/>
    <w:rsid w:val="00174F59"/>
    <w:rsid w:val="00175157"/>
    <w:rsid w:val="0017558B"/>
    <w:rsid w:val="00176033"/>
    <w:rsid w:val="001766BF"/>
    <w:rsid w:val="00176AE7"/>
    <w:rsid w:val="00177D39"/>
    <w:rsid w:val="00177D45"/>
    <w:rsid w:val="00177E1E"/>
    <w:rsid w:val="00177FC3"/>
    <w:rsid w:val="00180090"/>
    <w:rsid w:val="00180226"/>
    <w:rsid w:val="00180600"/>
    <w:rsid w:val="0018067B"/>
    <w:rsid w:val="001806F7"/>
    <w:rsid w:val="00180879"/>
    <w:rsid w:val="0018090A"/>
    <w:rsid w:val="00180B46"/>
    <w:rsid w:val="00180F3B"/>
    <w:rsid w:val="001826FC"/>
    <w:rsid w:val="00182BE1"/>
    <w:rsid w:val="00182F04"/>
    <w:rsid w:val="0018327F"/>
    <w:rsid w:val="001832B9"/>
    <w:rsid w:val="00183702"/>
    <w:rsid w:val="00183FDB"/>
    <w:rsid w:val="00184724"/>
    <w:rsid w:val="00185486"/>
    <w:rsid w:val="00185710"/>
    <w:rsid w:val="00185888"/>
    <w:rsid w:val="00185E76"/>
    <w:rsid w:val="001862F0"/>
    <w:rsid w:val="0018704C"/>
    <w:rsid w:val="0018718E"/>
    <w:rsid w:val="0018767F"/>
    <w:rsid w:val="0019012B"/>
    <w:rsid w:val="00190D5F"/>
    <w:rsid w:val="00191A89"/>
    <w:rsid w:val="001922FC"/>
    <w:rsid w:val="00192304"/>
    <w:rsid w:val="00192BC2"/>
    <w:rsid w:val="00193533"/>
    <w:rsid w:val="0019357D"/>
    <w:rsid w:val="001938C6"/>
    <w:rsid w:val="00193C73"/>
    <w:rsid w:val="00193DC1"/>
    <w:rsid w:val="00194005"/>
    <w:rsid w:val="00194298"/>
    <w:rsid w:val="0019441C"/>
    <w:rsid w:val="00194491"/>
    <w:rsid w:val="001948B1"/>
    <w:rsid w:val="00194F87"/>
    <w:rsid w:val="0019536B"/>
    <w:rsid w:val="0019541A"/>
    <w:rsid w:val="00195A5C"/>
    <w:rsid w:val="00195B7C"/>
    <w:rsid w:val="00195E69"/>
    <w:rsid w:val="00196098"/>
    <w:rsid w:val="0019670B"/>
    <w:rsid w:val="0019675E"/>
    <w:rsid w:val="00196F2C"/>
    <w:rsid w:val="00197E13"/>
    <w:rsid w:val="001A03F3"/>
    <w:rsid w:val="001A08A9"/>
    <w:rsid w:val="001A094E"/>
    <w:rsid w:val="001A0E1F"/>
    <w:rsid w:val="001A0FC2"/>
    <w:rsid w:val="001A11D8"/>
    <w:rsid w:val="001A1216"/>
    <w:rsid w:val="001A1518"/>
    <w:rsid w:val="001A15D3"/>
    <w:rsid w:val="001A1AAC"/>
    <w:rsid w:val="001A1CBF"/>
    <w:rsid w:val="001A1DB1"/>
    <w:rsid w:val="001A1EC5"/>
    <w:rsid w:val="001A1F1B"/>
    <w:rsid w:val="001A2C49"/>
    <w:rsid w:val="001A3388"/>
    <w:rsid w:val="001A37F7"/>
    <w:rsid w:val="001A3FD4"/>
    <w:rsid w:val="001A4061"/>
    <w:rsid w:val="001A4CED"/>
    <w:rsid w:val="001A4FFF"/>
    <w:rsid w:val="001A50E5"/>
    <w:rsid w:val="001A5214"/>
    <w:rsid w:val="001A5493"/>
    <w:rsid w:val="001A5628"/>
    <w:rsid w:val="001A5B2A"/>
    <w:rsid w:val="001A5D01"/>
    <w:rsid w:val="001A5F21"/>
    <w:rsid w:val="001A6FD0"/>
    <w:rsid w:val="001A71B5"/>
    <w:rsid w:val="001A7F32"/>
    <w:rsid w:val="001B0CBD"/>
    <w:rsid w:val="001B0CFC"/>
    <w:rsid w:val="001B0E97"/>
    <w:rsid w:val="001B12AA"/>
    <w:rsid w:val="001B12AC"/>
    <w:rsid w:val="001B1A8D"/>
    <w:rsid w:val="001B1AB6"/>
    <w:rsid w:val="001B1C52"/>
    <w:rsid w:val="001B2131"/>
    <w:rsid w:val="001B2565"/>
    <w:rsid w:val="001B296C"/>
    <w:rsid w:val="001B2A38"/>
    <w:rsid w:val="001B2B19"/>
    <w:rsid w:val="001B2B2B"/>
    <w:rsid w:val="001B2F10"/>
    <w:rsid w:val="001B3C76"/>
    <w:rsid w:val="001B3EE5"/>
    <w:rsid w:val="001B44B7"/>
    <w:rsid w:val="001B4CB0"/>
    <w:rsid w:val="001B4DB6"/>
    <w:rsid w:val="001B5134"/>
    <w:rsid w:val="001B537D"/>
    <w:rsid w:val="001B54CD"/>
    <w:rsid w:val="001B57E8"/>
    <w:rsid w:val="001B5B67"/>
    <w:rsid w:val="001B6433"/>
    <w:rsid w:val="001B69B3"/>
    <w:rsid w:val="001B6DAD"/>
    <w:rsid w:val="001B7707"/>
    <w:rsid w:val="001C1368"/>
    <w:rsid w:val="001C194C"/>
    <w:rsid w:val="001C1958"/>
    <w:rsid w:val="001C196B"/>
    <w:rsid w:val="001C1BE9"/>
    <w:rsid w:val="001C2F11"/>
    <w:rsid w:val="001C301A"/>
    <w:rsid w:val="001C3ECD"/>
    <w:rsid w:val="001C4029"/>
    <w:rsid w:val="001C422A"/>
    <w:rsid w:val="001C42DE"/>
    <w:rsid w:val="001C43C9"/>
    <w:rsid w:val="001C43FA"/>
    <w:rsid w:val="001C4488"/>
    <w:rsid w:val="001C561C"/>
    <w:rsid w:val="001C5D62"/>
    <w:rsid w:val="001C69F4"/>
    <w:rsid w:val="001C6A88"/>
    <w:rsid w:val="001C6C82"/>
    <w:rsid w:val="001C78EE"/>
    <w:rsid w:val="001C7DEA"/>
    <w:rsid w:val="001C7E12"/>
    <w:rsid w:val="001D03FD"/>
    <w:rsid w:val="001D0C24"/>
    <w:rsid w:val="001D0FC2"/>
    <w:rsid w:val="001D0FEF"/>
    <w:rsid w:val="001D1646"/>
    <w:rsid w:val="001D1661"/>
    <w:rsid w:val="001D16B5"/>
    <w:rsid w:val="001D231A"/>
    <w:rsid w:val="001D2E18"/>
    <w:rsid w:val="001D2F79"/>
    <w:rsid w:val="001D370A"/>
    <w:rsid w:val="001D37E1"/>
    <w:rsid w:val="001D54B9"/>
    <w:rsid w:val="001D61A3"/>
    <w:rsid w:val="001D727C"/>
    <w:rsid w:val="001D7A52"/>
    <w:rsid w:val="001E091B"/>
    <w:rsid w:val="001E0FF3"/>
    <w:rsid w:val="001E1655"/>
    <w:rsid w:val="001E1BDA"/>
    <w:rsid w:val="001E1D26"/>
    <w:rsid w:val="001E237D"/>
    <w:rsid w:val="001E2767"/>
    <w:rsid w:val="001E31FA"/>
    <w:rsid w:val="001E3785"/>
    <w:rsid w:val="001E3922"/>
    <w:rsid w:val="001E41B1"/>
    <w:rsid w:val="001E5B7E"/>
    <w:rsid w:val="001E5B89"/>
    <w:rsid w:val="001E6654"/>
    <w:rsid w:val="001E71A6"/>
    <w:rsid w:val="001E71E7"/>
    <w:rsid w:val="001F0078"/>
    <w:rsid w:val="001F028E"/>
    <w:rsid w:val="001F04A5"/>
    <w:rsid w:val="001F0576"/>
    <w:rsid w:val="001F071B"/>
    <w:rsid w:val="001F0D00"/>
    <w:rsid w:val="001F17E0"/>
    <w:rsid w:val="001F19FB"/>
    <w:rsid w:val="001F1CA5"/>
    <w:rsid w:val="001F1D32"/>
    <w:rsid w:val="001F28F7"/>
    <w:rsid w:val="001F2A64"/>
    <w:rsid w:val="001F2D5B"/>
    <w:rsid w:val="001F32ED"/>
    <w:rsid w:val="001F47D9"/>
    <w:rsid w:val="001F4AA4"/>
    <w:rsid w:val="001F5098"/>
    <w:rsid w:val="001F5500"/>
    <w:rsid w:val="001F555F"/>
    <w:rsid w:val="001F5654"/>
    <w:rsid w:val="001F57C1"/>
    <w:rsid w:val="001F5FC9"/>
    <w:rsid w:val="001F60FB"/>
    <w:rsid w:val="001F633D"/>
    <w:rsid w:val="001F66B9"/>
    <w:rsid w:val="001F6C4F"/>
    <w:rsid w:val="001F6CE7"/>
    <w:rsid w:val="001F7CAC"/>
    <w:rsid w:val="00200350"/>
    <w:rsid w:val="00200625"/>
    <w:rsid w:val="002009D7"/>
    <w:rsid w:val="00201C5B"/>
    <w:rsid w:val="00201E5D"/>
    <w:rsid w:val="00202300"/>
    <w:rsid w:val="002026C0"/>
    <w:rsid w:val="00203DCE"/>
    <w:rsid w:val="00203FDA"/>
    <w:rsid w:val="002041DA"/>
    <w:rsid w:val="0020444C"/>
    <w:rsid w:val="00204CEA"/>
    <w:rsid w:val="00205237"/>
    <w:rsid w:val="0020536C"/>
    <w:rsid w:val="002053B9"/>
    <w:rsid w:val="002055CF"/>
    <w:rsid w:val="0020638B"/>
    <w:rsid w:val="00206604"/>
    <w:rsid w:val="002066F6"/>
    <w:rsid w:val="002067AB"/>
    <w:rsid w:val="00206DB2"/>
    <w:rsid w:val="00207D69"/>
    <w:rsid w:val="00210221"/>
    <w:rsid w:val="002102F9"/>
    <w:rsid w:val="00210672"/>
    <w:rsid w:val="00210D87"/>
    <w:rsid w:val="00210DAC"/>
    <w:rsid w:val="00210E6A"/>
    <w:rsid w:val="002112BF"/>
    <w:rsid w:val="00211AB9"/>
    <w:rsid w:val="002120C1"/>
    <w:rsid w:val="002121C0"/>
    <w:rsid w:val="0021235F"/>
    <w:rsid w:val="002125EB"/>
    <w:rsid w:val="00212868"/>
    <w:rsid w:val="00212FBB"/>
    <w:rsid w:val="00213252"/>
    <w:rsid w:val="0021333B"/>
    <w:rsid w:val="002138E6"/>
    <w:rsid w:val="00213FA5"/>
    <w:rsid w:val="0021620D"/>
    <w:rsid w:val="002162D9"/>
    <w:rsid w:val="00216406"/>
    <w:rsid w:val="00216450"/>
    <w:rsid w:val="00216945"/>
    <w:rsid w:val="00216A84"/>
    <w:rsid w:val="002178C3"/>
    <w:rsid w:val="002207F9"/>
    <w:rsid w:val="00220899"/>
    <w:rsid w:val="00220BE9"/>
    <w:rsid w:val="0022140D"/>
    <w:rsid w:val="00221626"/>
    <w:rsid w:val="00222072"/>
    <w:rsid w:val="002231C0"/>
    <w:rsid w:val="0022321D"/>
    <w:rsid w:val="00223B8E"/>
    <w:rsid w:val="00224385"/>
    <w:rsid w:val="00225082"/>
    <w:rsid w:val="00225295"/>
    <w:rsid w:val="0022560C"/>
    <w:rsid w:val="00225814"/>
    <w:rsid w:val="00225A49"/>
    <w:rsid w:val="00225AD3"/>
    <w:rsid w:val="00225AEE"/>
    <w:rsid w:val="00226524"/>
    <w:rsid w:val="002268E1"/>
    <w:rsid w:val="00226C3E"/>
    <w:rsid w:val="00226E28"/>
    <w:rsid w:val="00227824"/>
    <w:rsid w:val="002302B8"/>
    <w:rsid w:val="002305C9"/>
    <w:rsid w:val="00230AF7"/>
    <w:rsid w:val="00230F90"/>
    <w:rsid w:val="00231080"/>
    <w:rsid w:val="002313A4"/>
    <w:rsid w:val="00231891"/>
    <w:rsid w:val="00231DBD"/>
    <w:rsid w:val="00232369"/>
    <w:rsid w:val="00233586"/>
    <w:rsid w:val="00233807"/>
    <w:rsid w:val="00233994"/>
    <w:rsid w:val="00233B2D"/>
    <w:rsid w:val="00234F8D"/>
    <w:rsid w:val="00235288"/>
    <w:rsid w:val="002352B4"/>
    <w:rsid w:val="00235671"/>
    <w:rsid w:val="00235DB4"/>
    <w:rsid w:val="00236071"/>
    <w:rsid w:val="002363A9"/>
    <w:rsid w:val="00236495"/>
    <w:rsid w:val="002364A9"/>
    <w:rsid w:val="0023655C"/>
    <w:rsid w:val="0023666E"/>
    <w:rsid w:val="00236DAD"/>
    <w:rsid w:val="002404C4"/>
    <w:rsid w:val="0024071F"/>
    <w:rsid w:val="00241158"/>
    <w:rsid w:val="0024127B"/>
    <w:rsid w:val="0024159C"/>
    <w:rsid w:val="0024175C"/>
    <w:rsid w:val="00242247"/>
    <w:rsid w:val="0024296A"/>
    <w:rsid w:val="00242A4C"/>
    <w:rsid w:val="002433C3"/>
    <w:rsid w:val="00243D37"/>
    <w:rsid w:val="00244A9F"/>
    <w:rsid w:val="00244C66"/>
    <w:rsid w:val="00245685"/>
    <w:rsid w:val="00245B80"/>
    <w:rsid w:val="002460FB"/>
    <w:rsid w:val="0024692B"/>
    <w:rsid w:val="0024718B"/>
    <w:rsid w:val="00247367"/>
    <w:rsid w:val="00247706"/>
    <w:rsid w:val="00250426"/>
    <w:rsid w:val="002506B7"/>
    <w:rsid w:val="00251810"/>
    <w:rsid w:val="002518B4"/>
    <w:rsid w:val="00251995"/>
    <w:rsid w:val="00251B25"/>
    <w:rsid w:val="00251B8F"/>
    <w:rsid w:val="002521DD"/>
    <w:rsid w:val="00252631"/>
    <w:rsid w:val="00252758"/>
    <w:rsid w:val="00252CFD"/>
    <w:rsid w:val="002536D6"/>
    <w:rsid w:val="002538C5"/>
    <w:rsid w:val="00254047"/>
    <w:rsid w:val="002558FE"/>
    <w:rsid w:val="00255EB1"/>
    <w:rsid w:val="0025628A"/>
    <w:rsid w:val="00256320"/>
    <w:rsid w:val="00256572"/>
    <w:rsid w:val="00256EB7"/>
    <w:rsid w:val="00256EFA"/>
    <w:rsid w:val="00257241"/>
    <w:rsid w:val="00257267"/>
    <w:rsid w:val="00257332"/>
    <w:rsid w:val="00257504"/>
    <w:rsid w:val="00257719"/>
    <w:rsid w:val="002602FB"/>
    <w:rsid w:val="00260848"/>
    <w:rsid w:val="002609EA"/>
    <w:rsid w:val="002611AB"/>
    <w:rsid w:val="0026148B"/>
    <w:rsid w:val="00261540"/>
    <w:rsid w:val="00261C74"/>
    <w:rsid w:val="00261EF0"/>
    <w:rsid w:val="0026274F"/>
    <w:rsid w:val="00262AD6"/>
    <w:rsid w:val="00262B21"/>
    <w:rsid w:val="00262DF8"/>
    <w:rsid w:val="00262E38"/>
    <w:rsid w:val="002631DD"/>
    <w:rsid w:val="002634F2"/>
    <w:rsid w:val="00263EAF"/>
    <w:rsid w:val="00263EDA"/>
    <w:rsid w:val="002646BF"/>
    <w:rsid w:val="00264E84"/>
    <w:rsid w:val="00265587"/>
    <w:rsid w:val="00265970"/>
    <w:rsid w:val="00265BFF"/>
    <w:rsid w:val="002663D7"/>
    <w:rsid w:val="0026642A"/>
    <w:rsid w:val="00266517"/>
    <w:rsid w:val="00266632"/>
    <w:rsid w:val="00266664"/>
    <w:rsid w:val="0026712E"/>
    <w:rsid w:val="00267136"/>
    <w:rsid w:val="00267306"/>
    <w:rsid w:val="002675B4"/>
    <w:rsid w:val="002677BF"/>
    <w:rsid w:val="00267B5B"/>
    <w:rsid w:val="002701B7"/>
    <w:rsid w:val="002706B5"/>
    <w:rsid w:val="00270C84"/>
    <w:rsid w:val="00271D19"/>
    <w:rsid w:val="0027213E"/>
    <w:rsid w:val="0027368D"/>
    <w:rsid w:val="002740E9"/>
    <w:rsid w:val="0027414F"/>
    <w:rsid w:val="00274CA4"/>
    <w:rsid w:val="002752AF"/>
    <w:rsid w:val="002752BB"/>
    <w:rsid w:val="00275A7A"/>
    <w:rsid w:val="00275C51"/>
    <w:rsid w:val="00276D19"/>
    <w:rsid w:val="00276F6C"/>
    <w:rsid w:val="0027715A"/>
    <w:rsid w:val="0027732A"/>
    <w:rsid w:val="00277434"/>
    <w:rsid w:val="00280007"/>
    <w:rsid w:val="0028011C"/>
    <w:rsid w:val="00280D14"/>
    <w:rsid w:val="002813A9"/>
    <w:rsid w:val="002814FC"/>
    <w:rsid w:val="00281932"/>
    <w:rsid w:val="0028216D"/>
    <w:rsid w:val="00282327"/>
    <w:rsid w:val="00283109"/>
    <w:rsid w:val="0028311C"/>
    <w:rsid w:val="00283969"/>
    <w:rsid w:val="00283D70"/>
    <w:rsid w:val="00284318"/>
    <w:rsid w:val="00284AAA"/>
    <w:rsid w:val="00285FA7"/>
    <w:rsid w:val="00285FBA"/>
    <w:rsid w:val="002867B7"/>
    <w:rsid w:val="00286893"/>
    <w:rsid w:val="00286C01"/>
    <w:rsid w:val="00286C26"/>
    <w:rsid w:val="00287824"/>
    <w:rsid w:val="00287A57"/>
    <w:rsid w:val="00287D23"/>
    <w:rsid w:val="002906F9"/>
    <w:rsid w:val="002912DF"/>
    <w:rsid w:val="00291500"/>
    <w:rsid w:val="00291C52"/>
    <w:rsid w:val="00291E7B"/>
    <w:rsid w:val="00292390"/>
    <w:rsid w:val="00292459"/>
    <w:rsid w:val="0029283B"/>
    <w:rsid w:val="002928DA"/>
    <w:rsid w:val="00292E56"/>
    <w:rsid w:val="00293017"/>
    <w:rsid w:val="002932D8"/>
    <w:rsid w:val="002935A5"/>
    <w:rsid w:val="002938F8"/>
    <w:rsid w:val="00293C31"/>
    <w:rsid w:val="00293D6C"/>
    <w:rsid w:val="002942B3"/>
    <w:rsid w:val="0029441E"/>
    <w:rsid w:val="0029453E"/>
    <w:rsid w:val="00295242"/>
    <w:rsid w:val="00295758"/>
    <w:rsid w:val="00295FE9"/>
    <w:rsid w:val="00296193"/>
    <w:rsid w:val="002961A0"/>
    <w:rsid w:val="002961BB"/>
    <w:rsid w:val="002970F8"/>
    <w:rsid w:val="00297590"/>
    <w:rsid w:val="002975F0"/>
    <w:rsid w:val="002976D5"/>
    <w:rsid w:val="002979E6"/>
    <w:rsid w:val="00297B31"/>
    <w:rsid w:val="00297C5D"/>
    <w:rsid w:val="002A028B"/>
    <w:rsid w:val="002A08E4"/>
    <w:rsid w:val="002A094F"/>
    <w:rsid w:val="002A097F"/>
    <w:rsid w:val="002A0F56"/>
    <w:rsid w:val="002A1935"/>
    <w:rsid w:val="002A1CB6"/>
    <w:rsid w:val="002A1F47"/>
    <w:rsid w:val="002A21F9"/>
    <w:rsid w:val="002A23C8"/>
    <w:rsid w:val="002A2C8F"/>
    <w:rsid w:val="002A31B4"/>
    <w:rsid w:val="002A3666"/>
    <w:rsid w:val="002A369C"/>
    <w:rsid w:val="002A38AB"/>
    <w:rsid w:val="002A3B7E"/>
    <w:rsid w:val="002A3CA9"/>
    <w:rsid w:val="002A4B86"/>
    <w:rsid w:val="002A4CB4"/>
    <w:rsid w:val="002A546C"/>
    <w:rsid w:val="002A5708"/>
    <w:rsid w:val="002A5E06"/>
    <w:rsid w:val="002A60F6"/>
    <w:rsid w:val="002A62ED"/>
    <w:rsid w:val="002A65F7"/>
    <w:rsid w:val="002A7D7D"/>
    <w:rsid w:val="002A7DC1"/>
    <w:rsid w:val="002B023D"/>
    <w:rsid w:val="002B0259"/>
    <w:rsid w:val="002B0982"/>
    <w:rsid w:val="002B19B7"/>
    <w:rsid w:val="002B1B19"/>
    <w:rsid w:val="002B2032"/>
    <w:rsid w:val="002B2090"/>
    <w:rsid w:val="002B2268"/>
    <w:rsid w:val="002B2874"/>
    <w:rsid w:val="002B40EE"/>
    <w:rsid w:val="002B449A"/>
    <w:rsid w:val="002B452A"/>
    <w:rsid w:val="002B49C3"/>
    <w:rsid w:val="002B4DC3"/>
    <w:rsid w:val="002B5587"/>
    <w:rsid w:val="002B5B65"/>
    <w:rsid w:val="002B6023"/>
    <w:rsid w:val="002B64F0"/>
    <w:rsid w:val="002B667A"/>
    <w:rsid w:val="002B6CC1"/>
    <w:rsid w:val="002B706F"/>
    <w:rsid w:val="002B71FA"/>
    <w:rsid w:val="002B743E"/>
    <w:rsid w:val="002B77AD"/>
    <w:rsid w:val="002B7D05"/>
    <w:rsid w:val="002C052C"/>
    <w:rsid w:val="002C1910"/>
    <w:rsid w:val="002C1E06"/>
    <w:rsid w:val="002C2D4A"/>
    <w:rsid w:val="002C2D4B"/>
    <w:rsid w:val="002C321C"/>
    <w:rsid w:val="002C3A25"/>
    <w:rsid w:val="002C43D4"/>
    <w:rsid w:val="002C4CBB"/>
    <w:rsid w:val="002C4EB2"/>
    <w:rsid w:val="002C5128"/>
    <w:rsid w:val="002C5723"/>
    <w:rsid w:val="002C60C3"/>
    <w:rsid w:val="002C61C4"/>
    <w:rsid w:val="002C62BA"/>
    <w:rsid w:val="002C6584"/>
    <w:rsid w:val="002C6636"/>
    <w:rsid w:val="002C6872"/>
    <w:rsid w:val="002C69F1"/>
    <w:rsid w:val="002C6AF1"/>
    <w:rsid w:val="002C77D6"/>
    <w:rsid w:val="002C7AB8"/>
    <w:rsid w:val="002C7AD7"/>
    <w:rsid w:val="002C7C29"/>
    <w:rsid w:val="002D0280"/>
    <w:rsid w:val="002D0488"/>
    <w:rsid w:val="002D0602"/>
    <w:rsid w:val="002D07DD"/>
    <w:rsid w:val="002D0E06"/>
    <w:rsid w:val="002D0E0E"/>
    <w:rsid w:val="002D15C9"/>
    <w:rsid w:val="002D1983"/>
    <w:rsid w:val="002D20DF"/>
    <w:rsid w:val="002D2772"/>
    <w:rsid w:val="002D36B3"/>
    <w:rsid w:val="002D3D19"/>
    <w:rsid w:val="002D3D44"/>
    <w:rsid w:val="002D42C7"/>
    <w:rsid w:val="002D4A1A"/>
    <w:rsid w:val="002D5E03"/>
    <w:rsid w:val="002D6137"/>
    <w:rsid w:val="002D6A90"/>
    <w:rsid w:val="002D6DFA"/>
    <w:rsid w:val="002D7756"/>
    <w:rsid w:val="002D7863"/>
    <w:rsid w:val="002E0094"/>
    <w:rsid w:val="002E0186"/>
    <w:rsid w:val="002E0724"/>
    <w:rsid w:val="002E0869"/>
    <w:rsid w:val="002E0973"/>
    <w:rsid w:val="002E0A3E"/>
    <w:rsid w:val="002E0F51"/>
    <w:rsid w:val="002E1083"/>
    <w:rsid w:val="002E15B2"/>
    <w:rsid w:val="002E1C5F"/>
    <w:rsid w:val="002E2E1C"/>
    <w:rsid w:val="002E2E50"/>
    <w:rsid w:val="002E3346"/>
    <w:rsid w:val="002E359B"/>
    <w:rsid w:val="002E35D3"/>
    <w:rsid w:val="002E3C7D"/>
    <w:rsid w:val="002E3D05"/>
    <w:rsid w:val="002E505E"/>
    <w:rsid w:val="002E5174"/>
    <w:rsid w:val="002E51F0"/>
    <w:rsid w:val="002E55D7"/>
    <w:rsid w:val="002E5898"/>
    <w:rsid w:val="002E5B89"/>
    <w:rsid w:val="002E64D3"/>
    <w:rsid w:val="002E7555"/>
    <w:rsid w:val="002E772A"/>
    <w:rsid w:val="002E7D5C"/>
    <w:rsid w:val="002E7F49"/>
    <w:rsid w:val="002F0451"/>
    <w:rsid w:val="002F0581"/>
    <w:rsid w:val="002F070D"/>
    <w:rsid w:val="002F0F7A"/>
    <w:rsid w:val="002F139B"/>
    <w:rsid w:val="002F1B3A"/>
    <w:rsid w:val="002F1DDD"/>
    <w:rsid w:val="002F1F14"/>
    <w:rsid w:val="002F1F30"/>
    <w:rsid w:val="002F2131"/>
    <w:rsid w:val="002F2767"/>
    <w:rsid w:val="002F3137"/>
    <w:rsid w:val="002F3302"/>
    <w:rsid w:val="002F375C"/>
    <w:rsid w:val="002F39A5"/>
    <w:rsid w:val="002F3D42"/>
    <w:rsid w:val="002F4FD7"/>
    <w:rsid w:val="002F564D"/>
    <w:rsid w:val="002F5868"/>
    <w:rsid w:val="002F604F"/>
    <w:rsid w:val="002F61D6"/>
    <w:rsid w:val="002F65B0"/>
    <w:rsid w:val="002F68DF"/>
    <w:rsid w:val="002F6A21"/>
    <w:rsid w:val="002F6B67"/>
    <w:rsid w:val="002F7049"/>
    <w:rsid w:val="002F71ED"/>
    <w:rsid w:val="002F723B"/>
    <w:rsid w:val="002F745A"/>
    <w:rsid w:val="002F75BA"/>
    <w:rsid w:val="002F7C1A"/>
    <w:rsid w:val="00300043"/>
    <w:rsid w:val="003002FF"/>
    <w:rsid w:val="003007B2"/>
    <w:rsid w:val="003012CE"/>
    <w:rsid w:val="00301A10"/>
    <w:rsid w:val="00302053"/>
    <w:rsid w:val="00302146"/>
    <w:rsid w:val="00302194"/>
    <w:rsid w:val="003037C0"/>
    <w:rsid w:val="00303F08"/>
    <w:rsid w:val="00304520"/>
    <w:rsid w:val="00304E98"/>
    <w:rsid w:val="003059F1"/>
    <w:rsid w:val="0030653B"/>
    <w:rsid w:val="0030698E"/>
    <w:rsid w:val="00306C89"/>
    <w:rsid w:val="00306F79"/>
    <w:rsid w:val="003073C5"/>
    <w:rsid w:val="0030741C"/>
    <w:rsid w:val="00307855"/>
    <w:rsid w:val="00310230"/>
    <w:rsid w:val="00310BDA"/>
    <w:rsid w:val="00310F25"/>
    <w:rsid w:val="00311027"/>
    <w:rsid w:val="003110B8"/>
    <w:rsid w:val="0031110D"/>
    <w:rsid w:val="00311871"/>
    <w:rsid w:val="00311DC6"/>
    <w:rsid w:val="00313014"/>
    <w:rsid w:val="0031325B"/>
    <w:rsid w:val="003137B1"/>
    <w:rsid w:val="0031405F"/>
    <w:rsid w:val="00314B6A"/>
    <w:rsid w:val="00314BCF"/>
    <w:rsid w:val="00314E4D"/>
    <w:rsid w:val="00315100"/>
    <w:rsid w:val="00315B4B"/>
    <w:rsid w:val="00315C2F"/>
    <w:rsid w:val="003163D4"/>
    <w:rsid w:val="0031645C"/>
    <w:rsid w:val="003166A9"/>
    <w:rsid w:val="0031679F"/>
    <w:rsid w:val="00316E13"/>
    <w:rsid w:val="0031716A"/>
    <w:rsid w:val="00317254"/>
    <w:rsid w:val="00317A1A"/>
    <w:rsid w:val="00317B2B"/>
    <w:rsid w:val="00320023"/>
    <w:rsid w:val="00320241"/>
    <w:rsid w:val="00320B18"/>
    <w:rsid w:val="00320C8C"/>
    <w:rsid w:val="003214CE"/>
    <w:rsid w:val="003217BE"/>
    <w:rsid w:val="0032182E"/>
    <w:rsid w:val="00321AF2"/>
    <w:rsid w:val="00322325"/>
    <w:rsid w:val="00322345"/>
    <w:rsid w:val="0032236E"/>
    <w:rsid w:val="00322466"/>
    <w:rsid w:val="0032250E"/>
    <w:rsid w:val="003231D6"/>
    <w:rsid w:val="0032329B"/>
    <w:rsid w:val="00323725"/>
    <w:rsid w:val="00323CC7"/>
    <w:rsid w:val="00323E94"/>
    <w:rsid w:val="00323F1A"/>
    <w:rsid w:val="003241F1"/>
    <w:rsid w:val="003245B8"/>
    <w:rsid w:val="00324B7C"/>
    <w:rsid w:val="00324F23"/>
    <w:rsid w:val="00324F5A"/>
    <w:rsid w:val="00325004"/>
    <w:rsid w:val="0032616D"/>
    <w:rsid w:val="003262A8"/>
    <w:rsid w:val="00327081"/>
    <w:rsid w:val="00327502"/>
    <w:rsid w:val="00327AD6"/>
    <w:rsid w:val="00327DB8"/>
    <w:rsid w:val="0033001F"/>
    <w:rsid w:val="003304B8"/>
    <w:rsid w:val="00330E41"/>
    <w:rsid w:val="003317CA"/>
    <w:rsid w:val="00331F06"/>
    <w:rsid w:val="0033217F"/>
    <w:rsid w:val="003325F1"/>
    <w:rsid w:val="00332910"/>
    <w:rsid w:val="003329C3"/>
    <w:rsid w:val="00332DC7"/>
    <w:rsid w:val="00332FAF"/>
    <w:rsid w:val="00333668"/>
    <w:rsid w:val="00333C3B"/>
    <w:rsid w:val="0033422D"/>
    <w:rsid w:val="00334643"/>
    <w:rsid w:val="00336063"/>
    <w:rsid w:val="00336171"/>
    <w:rsid w:val="00336D14"/>
    <w:rsid w:val="00337293"/>
    <w:rsid w:val="003379D9"/>
    <w:rsid w:val="00337E9C"/>
    <w:rsid w:val="00340233"/>
    <w:rsid w:val="003405F5"/>
    <w:rsid w:val="00340791"/>
    <w:rsid w:val="003409EE"/>
    <w:rsid w:val="003413A8"/>
    <w:rsid w:val="003418E1"/>
    <w:rsid w:val="0034227F"/>
    <w:rsid w:val="00342486"/>
    <w:rsid w:val="003432FA"/>
    <w:rsid w:val="0034365F"/>
    <w:rsid w:val="003437C6"/>
    <w:rsid w:val="00343D8E"/>
    <w:rsid w:val="00343D91"/>
    <w:rsid w:val="00343F6F"/>
    <w:rsid w:val="0034446D"/>
    <w:rsid w:val="00344D8C"/>
    <w:rsid w:val="003459A8"/>
    <w:rsid w:val="00345B02"/>
    <w:rsid w:val="00345C6E"/>
    <w:rsid w:val="00346154"/>
    <w:rsid w:val="003461DB"/>
    <w:rsid w:val="00346ED1"/>
    <w:rsid w:val="00347495"/>
    <w:rsid w:val="00347513"/>
    <w:rsid w:val="00347570"/>
    <w:rsid w:val="00347E78"/>
    <w:rsid w:val="00347EA1"/>
    <w:rsid w:val="00347F22"/>
    <w:rsid w:val="003501FD"/>
    <w:rsid w:val="003503AB"/>
    <w:rsid w:val="00350760"/>
    <w:rsid w:val="00351186"/>
    <w:rsid w:val="003516A8"/>
    <w:rsid w:val="00351CCE"/>
    <w:rsid w:val="00352769"/>
    <w:rsid w:val="003527E5"/>
    <w:rsid w:val="00352FDD"/>
    <w:rsid w:val="003530D9"/>
    <w:rsid w:val="003532A3"/>
    <w:rsid w:val="00353B0A"/>
    <w:rsid w:val="0035498B"/>
    <w:rsid w:val="003554C0"/>
    <w:rsid w:val="00355574"/>
    <w:rsid w:val="00355A60"/>
    <w:rsid w:val="003569B5"/>
    <w:rsid w:val="00357E3F"/>
    <w:rsid w:val="0036017B"/>
    <w:rsid w:val="0036057B"/>
    <w:rsid w:val="003605E5"/>
    <w:rsid w:val="003609B2"/>
    <w:rsid w:val="00361034"/>
    <w:rsid w:val="00361469"/>
    <w:rsid w:val="00361986"/>
    <w:rsid w:val="00361D3F"/>
    <w:rsid w:val="00361FBE"/>
    <w:rsid w:val="0036238B"/>
    <w:rsid w:val="00362F33"/>
    <w:rsid w:val="003632BC"/>
    <w:rsid w:val="0036343D"/>
    <w:rsid w:val="00363DB3"/>
    <w:rsid w:val="00363DD0"/>
    <w:rsid w:val="0036400F"/>
    <w:rsid w:val="003654BF"/>
    <w:rsid w:val="0036648A"/>
    <w:rsid w:val="00366780"/>
    <w:rsid w:val="003669B7"/>
    <w:rsid w:val="00367296"/>
    <w:rsid w:val="00367774"/>
    <w:rsid w:val="00367A0B"/>
    <w:rsid w:val="00367ED2"/>
    <w:rsid w:val="00367EF5"/>
    <w:rsid w:val="00370161"/>
    <w:rsid w:val="0037080A"/>
    <w:rsid w:val="00370B9B"/>
    <w:rsid w:val="00370D8B"/>
    <w:rsid w:val="00370EEE"/>
    <w:rsid w:val="00370F52"/>
    <w:rsid w:val="003710CA"/>
    <w:rsid w:val="00371287"/>
    <w:rsid w:val="0037139B"/>
    <w:rsid w:val="00371A1A"/>
    <w:rsid w:val="00371B53"/>
    <w:rsid w:val="00372011"/>
    <w:rsid w:val="003734EE"/>
    <w:rsid w:val="00373B5C"/>
    <w:rsid w:val="00374117"/>
    <w:rsid w:val="00374B2E"/>
    <w:rsid w:val="00374DED"/>
    <w:rsid w:val="00374E61"/>
    <w:rsid w:val="00375005"/>
    <w:rsid w:val="00375947"/>
    <w:rsid w:val="003760CA"/>
    <w:rsid w:val="0037620A"/>
    <w:rsid w:val="00376323"/>
    <w:rsid w:val="00376378"/>
    <w:rsid w:val="00376E39"/>
    <w:rsid w:val="003773C8"/>
    <w:rsid w:val="003775EB"/>
    <w:rsid w:val="00377735"/>
    <w:rsid w:val="00377F7D"/>
    <w:rsid w:val="0038042C"/>
    <w:rsid w:val="00380743"/>
    <w:rsid w:val="00380A3C"/>
    <w:rsid w:val="00380B93"/>
    <w:rsid w:val="00380E69"/>
    <w:rsid w:val="00380E77"/>
    <w:rsid w:val="00380F67"/>
    <w:rsid w:val="00381031"/>
    <w:rsid w:val="003810AF"/>
    <w:rsid w:val="003817CB"/>
    <w:rsid w:val="00382C5D"/>
    <w:rsid w:val="00382C98"/>
    <w:rsid w:val="00382D65"/>
    <w:rsid w:val="00382FF4"/>
    <w:rsid w:val="0038370D"/>
    <w:rsid w:val="00383DA1"/>
    <w:rsid w:val="0038477D"/>
    <w:rsid w:val="0038550A"/>
    <w:rsid w:val="00385688"/>
    <w:rsid w:val="00386336"/>
    <w:rsid w:val="0038635C"/>
    <w:rsid w:val="00386617"/>
    <w:rsid w:val="003867B5"/>
    <w:rsid w:val="0038752E"/>
    <w:rsid w:val="00387A5A"/>
    <w:rsid w:val="00390646"/>
    <w:rsid w:val="00390C9B"/>
    <w:rsid w:val="00390D42"/>
    <w:rsid w:val="003913FF"/>
    <w:rsid w:val="003935E8"/>
    <w:rsid w:val="0039363F"/>
    <w:rsid w:val="003936B9"/>
    <w:rsid w:val="003938BB"/>
    <w:rsid w:val="00393B90"/>
    <w:rsid w:val="00393E70"/>
    <w:rsid w:val="003944B3"/>
    <w:rsid w:val="00394B6C"/>
    <w:rsid w:val="00396506"/>
    <w:rsid w:val="00396884"/>
    <w:rsid w:val="00396DA8"/>
    <w:rsid w:val="00396FA1"/>
    <w:rsid w:val="00397981"/>
    <w:rsid w:val="0039799D"/>
    <w:rsid w:val="00397D2C"/>
    <w:rsid w:val="003A022D"/>
    <w:rsid w:val="003A0581"/>
    <w:rsid w:val="003A0932"/>
    <w:rsid w:val="003A0B0D"/>
    <w:rsid w:val="003A0EBC"/>
    <w:rsid w:val="003A142D"/>
    <w:rsid w:val="003A19E6"/>
    <w:rsid w:val="003A1A1E"/>
    <w:rsid w:val="003A1C8D"/>
    <w:rsid w:val="003A27F3"/>
    <w:rsid w:val="003A2BA0"/>
    <w:rsid w:val="003A2E8D"/>
    <w:rsid w:val="003A3681"/>
    <w:rsid w:val="003A3C8E"/>
    <w:rsid w:val="003A4000"/>
    <w:rsid w:val="003A4059"/>
    <w:rsid w:val="003A40C3"/>
    <w:rsid w:val="003A4481"/>
    <w:rsid w:val="003A4B8E"/>
    <w:rsid w:val="003A50BC"/>
    <w:rsid w:val="003A5668"/>
    <w:rsid w:val="003A6650"/>
    <w:rsid w:val="003A67C6"/>
    <w:rsid w:val="003A6F58"/>
    <w:rsid w:val="003A732C"/>
    <w:rsid w:val="003A7746"/>
    <w:rsid w:val="003B0D1D"/>
    <w:rsid w:val="003B0FC5"/>
    <w:rsid w:val="003B1208"/>
    <w:rsid w:val="003B15BB"/>
    <w:rsid w:val="003B1653"/>
    <w:rsid w:val="003B1F73"/>
    <w:rsid w:val="003B2036"/>
    <w:rsid w:val="003B247C"/>
    <w:rsid w:val="003B287C"/>
    <w:rsid w:val="003B29E1"/>
    <w:rsid w:val="003B2F0D"/>
    <w:rsid w:val="003B3007"/>
    <w:rsid w:val="003B4908"/>
    <w:rsid w:val="003B490B"/>
    <w:rsid w:val="003B509B"/>
    <w:rsid w:val="003B5DB2"/>
    <w:rsid w:val="003B6D0E"/>
    <w:rsid w:val="003B6D10"/>
    <w:rsid w:val="003B7745"/>
    <w:rsid w:val="003B789C"/>
    <w:rsid w:val="003B7ED7"/>
    <w:rsid w:val="003C01C4"/>
    <w:rsid w:val="003C074F"/>
    <w:rsid w:val="003C0A39"/>
    <w:rsid w:val="003C0CD9"/>
    <w:rsid w:val="003C0EB0"/>
    <w:rsid w:val="003C12E8"/>
    <w:rsid w:val="003C1C3D"/>
    <w:rsid w:val="003C249B"/>
    <w:rsid w:val="003C33D4"/>
    <w:rsid w:val="003C3CE6"/>
    <w:rsid w:val="003C4915"/>
    <w:rsid w:val="003C4D47"/>
    <w:rsid w:val="003C56C7"/>
    <w:rsid w:val="003C5C52"/>
    <w:rsid w:val="003C6486"/>
    <w:rsid w:val="003C6BE7"/>
    <w:rsid w:val="003C6D0E"/>
    <w:rsid w:val="003C7688"/>
    <w:rsid w:val="003D0394"/>
    <w:rsid w:val="003D0751"/>
    <w:rsid w:val="003D0D59"/>
    <w:rsid w:val="003D1391"/>
    <w:rsid w:val="003D2161"/>
    <w:rsid w:val="003D27CF"/>
    <w:rsid w:val="003D3E73"/>
    <w:rsid w:val="003D4228"/>
    <w:rsid w:val="003D4507"/>
    <w:rsid w:val="003D61EA"/>
    <w:rsid w:val="003D64F8"/>
    <w:rsid w:val="003D65DD"/>
    <w:rsid w:val="003D683E"/>
    <w:rsid w:val="003D79D3"/>
    <w:rsid w:val="003E0542"/>
    <w:rsid w:val="003E0B9F"/>
    <w:rsid w:val="003E0C7C"/>
    <w:rsid w:val="003E0E8D"/>
    <w:rsid w:val="003E11C3"/>
    <w:rsid w:val="003E1640"/>
    <w:rsid w:val="003E1EF4"/>
    <w:rsid w:val="003E2019"/>
    <w:rsid w:val="003E2576"/>
    <w:rsid w:val="003E2874"/>
    <w:rsid w:val="003E2F16"/>
    <w:rsid w:val="003E32D4"/>
    <w:rsid w:val="003E36B0"/>
    <w:rsid w:val="003E37A1"/>
    <w:rsid w:val="003E3C54"/>
    <w:rsid w:val="003E3EED"/>
    <w:rsid w:val="003E42C9"/>
    <w:rsid w:val="003E436A"/>
    <w:rsid w:val="003E4602"/>
    <w:rsid w:val="003E60A1"/>
    <w:rsid w:val="003E61C3"/>
    <w:rsid w:val="003E61C9"/>
    <w:rsid w:val="003E62EC"/>
    <w:rsid w:val="003E64F1"/>
    <w:rsid w:val="003E67F9"/>
    <w:rsid w:val="003E6877"/>
    <w:rsid w:val="003E70D1"/>
    <w:rsid w:val="003E75C1"/>
    <w:rsid w:val="003F0277"/>
    <w:rsid w:val="003F046B"/>
    <w:rsid w:val="003F070E"/>
    <w:rsid w:val="003F0DF9"/>
    <w:rsid w:val="003F12AF"/>
    <w:rsid w:val="003F1743"/>
    <w:rsid w:val="003F18CF"/>
    <w:rsid w:val="003F1FD6"/>
    <w:rsid w:val="003F22E7"/>
    <w:rsid w:val="003F3594"/>
    <w:rsid w:val="003F38E8"/>
    <w:rsid w:val="003F4DE4"/>
    <w:rsid w:val="003F4E24"/>
    <w:rsid w:val="003F4E3D"/>
    <w:rsid w:val="003F4E96"/>
    <w:rsid w:val="003F51DE"/>
    <w:rsid w:val="003F5951"/>
    <w:rsid w:val="003F6CB9"/>
    <w:rsid w:val="003F6D3F"/>
    <w:rsid w:val="003F6D77"/>
    <w:rsid w:val="003F72E0"/>
    <w:rsid w:val="003F72F2"/>
    <w:rsid w:val="003F75C8"/>
    <w:rsid w:val="003F77BE"/>
    <w:rsid w:val="003F7B5D"/>
    <w:rsid w:val="003F7C6A"/>
    <w:rsid w:val="004001DE"/>
    <w:rsid w:val="00400393"/>
    <w:rsid w:val="00400436"/>
    <w:rsid w:val="00400A4B"/>
    <w:rsid w:val="00401605"/>
    <w:rsid w:val="00401B97"/>
    <w:rsid w:val="00402464"/>
    <w:rsid w:val="00402BE6"/>
    <w:rsid w:val="00402D68"/>
    <w:rsid w:val="00402D91"/>
    <w:rsid w:val="004030D0"/>
    <w:rsid w:val="0040328B"/>
    <w:rsid w:val="0040374F"/>
    <w:rsid w:val="004042DB"/>
    <w:rsid w:val="004044FC"/>
    <w:rsid w:val="00404632"/>
    <w:rsid w:val="0040485C"/>
    <w:rsid w:val="00405793"/>
    <w:rsid w:val="00405BE6"/>
    <w:rsid w:val="00405D0F"/>
    <w:rsid w:val="004064FE"/>
    <w:rsid w:val="004066D6"/>
    <w:rsid w:val="00406E59"/>
    <w:rsid w:val="00407431"/>
    <w:rsid w:val="0041094C"/>
    <w:rsid w:val="004115FD"/>
    <w:rsid w:val="00411A7E"/>
    <w:rsid w:val="00411CB8"/>
    <w:rsid w:val="00411DDC"/>
    <w:rsid w:val="00411E5A"/>
    <w:rsid w:val="004123A2"/>
    <w:rsid w:val="00412A45"/>
    <w:rsid w:val="00412BD9"/>
    <w:rsid w:val="00412D07"/>
    <w:rsid w:val="00412F8F"/>
    <w:rsid w:val="00413017"/>
    <w:rsid w:val="004131AD"/>
    <w:rsid w:val="00413501"/>
    <w:rsid w:val="004137CB"/>
    <w:rsid w:val="00413C47"/>
    <w:rsid w:val="004145C0"/>
    <w:rsid w:val="00414A86"/>
    <w:rsid w:val="00414ABF"/>
    <w:rsid w:val="00414B15"/>
    <w:rsid w:val="00414D3A"/>
    <w:rsid w:val="00415098"/>
    <w:rsid w:val="0041533F"/>
    <w:rsid w:val="00415771"/>
    <w:rsid w:val="00416193"/>
    <w:rsid w:val="0041632B"/>
    <w:rsid w:val="00416ABD"/>
    <w:rsid w:val="00416C56"/>
    <w:rsid w:val="004175CD"/>
    <w:rsid w:val="00417708"/>
    <w:rsid w:val="00417B66"/>
    <w:rsid w:val="00417C8E"/>
    <w:rsid w:val="00420043"/>
    <w:rsid w:val="00420287"/>
    <w:rsid w:val="00420445"/>
    <w:rsid w:val="004204A3"/>
    <w:rsid w:val="004205B3"/>
    <w:rsid w:val="00420B23"/>
    <w:rsid w:val="00421448"/>
    <w:rsid w:val="0042175C"/>
    <w:rsid w:val="004218CB"/>
    <w:rsid w:val="00421B4F"/>
    <w:rsid w:val="00421E08"/>
    <w:rsid w:val="00422042"/>
    <w:rsid w:val="0042236D"/>
    <w:rsid w:val="0042347F"/>
    <w:rsid w:val="004238F0"/>
    <w:rsid w:val="00423D11"/>
    <w:rsid w:val="00423FF0"/>
    <w:rsid w:val="0042469E"/>
    <w:rsid w:val="004247D4"/>
    <w:rsid w:val="00424C2D"/>
    <w:rsid w:val="00425014"/>
    <w:rsid w:val="0042540E"/>
    <w:rsid w:val="004254AE"/>
    <w:rsid w:val="00425BAA"/>
    <w:rsid w:val="0042615D"/>
    <w:rsid w:val="004265B6"/>
    <w:rsid w:val="00426B60"/>
    <w:rsid w:val="0042708B"/>
    <w:rsid w:val="00427F0D"/>
    <w:rsid w:val="00430278"/>
    <w:rsid w:val="004304E4"/>
    <w:rsid w:val="004305D4"/>
    <w:rsid w:val="004307F3"/>
    <w:rsid w:val="00430F1D"/>
    <w:rsid w:val="00431190"/>
    <w:rsid w:val="004316CE"/>
    <w:rsid w:val="00431E7C"/>
    <w:rsid w:val="0043270E"/>
    <w:rsid w:val="00432878"/>
    <w:rsid w:val="00432B9B"/>
    <w:rsid w:val="00432BEE"/>
    <w:rsid w:val="004334D9"/>
    <w:rsid w:val="00434336"/>
    <w:rsid w:val="0043472C"/>
    <w:rsid w:val="00434EF9"/>
    <w:rsid w:val="004357F7"/>
    <w:rsid w:val="00435A98"/>
    <w:rsid w:val="00436C29"/>
    <w:rsid w:val="00436D7A"/>
    <w:rsid w:val="00436FE4"/>
    <w:rsid w:val="00437689"/>
    <w:rsid w:val="004377D2"/>
    <w:rsid w:val="004379AD"/>
    <w:rsid w:val="00437D19"/>
    <w:rsid w:val="0044076A"/>
    <w:rsid w:val="00440A71"/>
    <w:rsid w:val="00440C28"/>
    <w:rsid w:val="00440E58"/>
    <w:rsid w:val="00440F95"/>
    <w:rsid w:val="00440FD2"/>
    <w:rsid w:val="0044156E"/>
    <w:rsid w:val="00441848"/>
    <w:rsid w:val="00441FA7"/>
    <w:rsid w:val="004420AF"/>
    <w:rsid w:val="0044225D"/>
    <w:rsid w:val="004423DF"/>
    <w:rsid w:val="0044294F"/>
    <w:rsid w:val="00443032"/>
    <w:rsid w:val="0044337C"/>
    <w:rsid w:val="00443443"/>
    <w:rsid w:val="0044382A"/>
    <w:rsid w:val="00443949"/>
    <w:rsid w:val="00443C05"/>
    <w:rsid w:val="00443FD3"/>
    <w:rsid w:val="00444832"/>
    <w:rsid w:val="00444854"/>
    <w:rsid w:val="004460E3"/>
    <w:rsid w:val="004463C9"/>
    <w:rsid w:val="00446FF8"/>
    <w:rsid w:val="004476A7"/>
    <w:rsid w:val="0044798F"/>
    <w:rsid w:val="00447B00"/>
    <w:rsid w:val="004502BA"/>
    <w:rsid w:val="004505F8"/>
    <w:rsid w:val="0045108E"/>
    <w:rsid w:val="004516C8"/>
    <w:rsid w:val="0045185C"/>
    <w:rsid w:val="00452318"/>
    <w:rsid w:val="00452559"/>
    <w:rsid w:val="0045287B"/>
    <w:rsid w:val="004528D2"/>
    <w:rsid w:val="00452BDA"/>
    <w:rsid w:val="0045313B"/>
    <w:rsid w:val="00453835"/>
    <w:rsid w:val="00453B39"/>
    <w:rsid w:val="00453D50"/>
    <w:rsid w:val="004541FF"/>
    <w:rsid w:val="00455704"/>
    <w:rsid w:val="00455A18"/>
    <w:rsid w:val="00455C05"/>
    <w:rsid w:val="004563AF"/>
    <w:rsid w:val="00456B6C"/>
    <w:rsid w:val="00457503"/>
    <w:rsid w:val="00457C80"/>
    <w:rsid w:val="00457E68"/>
    <w:rsid w:val="0046040B"/>
    <w:rsid w:val="004604A9"/>
    <w:rsid w:val="00460687"/>
    <w:rsid w:val="00461010"/>
    <w:rsid w:val="00461016"/>
    <w:rsid w:val="00461467"/>
    <w:rsid w:val="004617F4"/>
    <w:rsid w:val="00461BC3"/>
    <w:rsid w:val="00461BDC"/>
    <w:rsid w:val="004621FE"/>
    <w:rsid w:val="004629DB"/>
    <w:rsid w:val="00462A53"/>
    <w:rsid w:val="00462C92"/>
    <w:rsid w:val="00462DFF"/>
    <w:rsid w:val="0046306C"/>
    <w:rsid w:val="0046326E"/>
    <w:rsid w:val="00463B09"/>
    <w:rsid w:val="00463E5E"/>
    <w:rsid w:val="00463E73"/>
    <w:rsid w:val="00463F28"/>
    <w:rsid w:val="0046403D"/>
    <w:rsid w:val="0046417E"/>
    <w:rsid w:val="00464D6C"/>
    <w:rsid w:val="00464DC0"/>
    <w:rsid w:val="00464E56"/>
    <w:rsid w:val="00465D2E"/>
    <w:rsid w:val="00465DFE"/>
    <w:rsid w:val="004660EA"/>
    <w:rsid w:val="004666F5"/>
    <w:rsid w:val="00466B44"/>
    <w:rsid w:val="00467297"/>
    <w:rsid w:val="00467A9B"/>
    <w:rsid w:val="00467C75"/>
    <w:rsid w:val="0047020D"/>
    <w:rsid w:val="004702C9"/>
    <w:rsid w:val="00470A1F"/>
    <w:rsid w:val="00470ADE"/>
    <w:rsid w:val="00470DD0"/>
    <w:rsid w:val="00472692"/>
    <w:rsid w:val="0047280B"/>
    <w:rsid w:val="004730AD"/>
    <w:rsid w:val="0047371F"/>
    <w:rsid w:val="00473A64"/>
    <w:rsid w:val="00473FD7"/>
    <w:rsid w:val="0047419F"/>
    <w:rsid w:val="0047425E"/>
    <w:rsid w:val="004743F8"/>
    <w:rsid w:val="00475654"/>
    <w:rsid w:val="004756ED"/>
    <w:rsid w:val="00476250"/>
    <w:rsid w:val="00477441"/>
    <w:rsid w:val="00477B72"/>
    <w:rsid w:val="0048021D"/>
    <w:rsid w:val="00480434"/>
    <w:rsid w:val="004805F9"/>
    <w:rsid w:val="00480A9C"/>
    <w:rsid w:val="004811CC"/>
    <w:rsid w:val="00481299"/>
    <w:rsid w:val="004818E2"/>
    <w:rsid w:val="00481E91"/>
    <w:rsid w:val="004826A3"/>
    <w:rsid w:val="004827C3"/>
    <w:rsid w:val="0048288E"/>
    <w:rsid w:val="00482A3B"/>
    <w:rsid w:val="004837AA"/>
    <w:rsid w:val="00483E99"/>
    <w:rsid w:val="0048444C"/>
    <w:rsid w:val="00485431"/>
    <w:rsid w:val="00485900"/>
    <w:rsid w:val="00485B34"/>
    <w:rsid w:val="00485CB1"/>
    <w:rsid w:val="00486346"/>
    <w:rsid w:val="004867B9"/>
    <w:rsid w:val="00486AA2"/>
    <w:rsid w:val="00487375"/>
    <w:rsid w:val="004879EE"/>
    <w:rsid w:val="004904BD"/>
    <w:rsid w:val="00490D8F"/>
    <w:rsid w:val="00491482"/>
    <w:rsid w:val="00491C48"/>
    <w:rsid w:val="0049213C"/>
    <w:rsid w:val="0049247C"/>
    <w:rsid w:val="004927A0"/>
    <w:rsid w:val="00492930"/>
    <w:rsid w:val="00492B9C"/>
    <w:rsid w:val="00492E74"/>
    <w:rsid w:val="00493528"/>
    <w:rsid w:val="004942FB"/>
    <w:rsid w:val="004944F3"/>
    <w:rsid w:val="0049458D"/>
    <w:rsid w:val="00494608"/>
    <w:rsid w:val="00494B16"/>
    <w:rsid w:val="00494BBB"/>
    <w:rsid w:val="00494FD7"/>
    <w:rsid w:val="00495944"/>
    <w:rsid w:val="00495CFC"/>
    <w:rsid w:val="004961EC"/>
    <w:rsid w:val="00496AB7"/>
    <w:rsid w:val="00497D13"/>
    <w:rsid w:val="00497D33"/>
    <w:rsid w:val="004A0150"/>
    <w:rsid w:val="004A0235"/>
    <w:rsid w:val="004A1078"/>
    <w:rsid w:val="004A1233"/>
    <w:rsid w:val="004A1725"/>
    <w:rsid w:val="004A17DA"/>
    <w:rsid w:val="004A1BA8"/>
    <w:rsid w:val="004A1EAF"/>
    <w:rsid w:val="004A2CA9"/>
    <w:rsid w:val="004A3E4B"/>
    <w:rsid w:val="004A41CB"/>
    <w:rsid w:val="004A4673"/>
    <w:rsid w:val="004A4AF5"/>
    <w:rsid w:val="004A5560"/>
    <w:rsid w:val="004A6B78"/>
    <w:rsid w:val="004A6E29"/>
    <w:rsid w:val="004A71FC"/>
    <w:rsid w:val="004A76A1"/>
    <w:rsid w:val="004A77B9"/>
    <w:rsid w:val="004A7D52"/>
    <w:rsid w:val="004B03CB"/>
    <w:rsid w:val="004B07DF"/>
    <w:rsid w:val="004B0943"/>
    <w:rsid w:val="004B0A94"/>
    <w:rsid w:val="004B0F26"/>
    <w:rsid w:val="004B1187"/>
    <w:rsid w:val="004B18E9"/>
    <w:rsid w:val="004B1C33"/>
    <w:rsid w:val="004B1F41"/>
    <w:rsid w:val="004B220A"/>
    <w:rsid w:val="004B2742"/>
    <w:rsid w:val="004B2E60"/>
    <w:rsid w:val="004B3394"/>
    <w:rsid w:val="004B3500"/>
    <w:rsid w:val="004B3CE2"/>
    <w:rsid w:val="004B3F26"/>
    <w:rsid w:val="004B4092"/>
    <w:rsid w:val="004B40D7"/>
    <w:rsid w:val="004B4192"/>
    <w:rsid w:val="004B4275"/>
    <w:rsid w:val="004B48CE"/>
    <w:rsid w:val="004B4E93"/>
    <w:rsid w:val="004B5553"/>
    <w:rsid w:val="004B5CEA"/>
    <w:rsid w:val="004B5FDA"/>
    <w:rsid w:val="004B602F"/>
    <w:rsid w:val="004B61A5"/>
    <w:rsid w:val="004B6E5E"/>
    <w:rsid w:val="004B7281"/>
    <w:rsid w:val="004B7372"/>
    <w:rsid w:val="004C031F"/>
    <w:rsid w:val="004C0469"/>
    <w:rsid w:val="004C068E"/>
    <w:rsid w:val="004C076A"/>
    <w:rsid w:val="004C08A0"/>
    <w:rsid w:val="004C09D0"/>
    <w:rsid w:val="004C0AB6"/>
    <w:rsid w:val="004C0C18"/>
    <w:rsid w:val="004C1221"/>
    <w:rsid w:val="004C146D"/>
    <w:rsid w:val="004C1FA3"/>
    <w:rsid w:val="004C2156"/>
    <w:rsid w:val="004C2AC9"/>
    <w:rsid w:val="004C2BA4"/>
    <w:rsid w:val="004C2D0D"/>
    <w:rsid w:val="004C2DA2"/>
    <w:rsid w:val="004C3573"/>
    <w:rsid w:val="004C3661"/>
    <w:rsid w:val="004C3AF1"/>
    <w:rsid w:val="004C3B8C"/>
    <w:rsid w:val="004C40B6"/>
    <w:rsid w:val="004C40C7"/>
    <w:rsid w:val="004C4189"/>
    <w:rsid w:val="004C4959"/>
    <w:rsid w:val="004C4C23"/>
    <w:rsid w:val="004C4D0E"/>
    <w:rsid w:val="004C4E36"/>
    <w:rsid w:val="004C5379"/>
    <w:rsid w:val="004C5770"/>
    <w:rsid w:val="004C59D8"/>
    <w:rsid w:val="004C5C23"/>
    <w:rsid w:val="004C5C45"/>
    <w:rsid w:val="004C5EA3"/>
    <w:rsid w:val="004C6991"/>
    <w:rsid w:val="004C6B00"/>
    <w:rsid w:val="004C6B23"/>
    <w:rsid w:val="004C6BC7"/>
    <w:rsid w:val="004C7718"/>
    <w:rsid w:val="004C7B1A"/>
    <w:rsid w:val="004C7EB2"/>
    <w:rsid w:val="004D0310"/>
    <w:rsid w:val="004D0421"/>
    <w:rsid w:val="004D0A8E"/>
    <w:rsid w:val="004D0B8D"/>
    <w:rsid w:val="004D0E96"/>
    <w:rsid w:val="004D0EC9"/>
    <w:rsid w:val="004D1154"/>
    <w:rsid w:val="004D12C2"/>
    <w:rsid w:val="004D26FF"/>
    <w:rsid w:val="004D2EB4"/>
    <w:rsid w:val="004D3024"/>
    <w:rsid w:val="004D3193"/>
    <w:rsid w:val="004D3406"/>
    <w:rsid w:val="004D3796"/>
    <w:rsid w:val="004D3BF1"/>
    <w:rsid w:val="004D3D5C"/>
    <w:rsid w:val="004D68F9"/>
    <w:rsid w:val="004D6A48"/>
    <w:rsid w:val="004D7280"/>
    <w:rsid w:val="004D72A8"/>
    <w:rsid w:val="004D7484"/>
    <w:rsid w:val="004D7973"/>
    <w:rsid w:val="004E07C1"/>
    <w:rsid w:val="004E07C4"/>
    <w:rsid w:val="004E1577"/>
    <w:rsid w:val="004E192B"/>
    <w:rsid w:val="004E1BEC"/>
    <w:rsid w:val="004E1DF2"/>
    <w:rsid w:val="004E1EC0"/>
    <w:rsid w:val="004E2588"/>
    <w:rsid w:val="004E2685"/>
    <w:rsid w:val="004E32F8"/>
    <w:rsid w:val="004E408D"/>
    <w:rsid w:val="004E42B9"/>
    <w:rsid w:val="004E4693"/>
    <w:rsid w:val="004E474A"/>
    <w:rsid w:val="004E4964"/>
    <w:rsid w:val="004E4B73"/>
    <w:rsid w:val="004E4DFD"/>
    <w:rsid w:val="004E5260"/>
    <w:rsid w:val="004E549E"/>
    <w:rsid w:val="004E5B5E"/>
    <w:rsid w:val="004E5B8C"/>
    <w:rsid w:val="004E647E"/>
    <w:rsid w:val="004E7035"/>
    <w:rsid w:val="004E70BA"/>
    <w:rsid w:val="004E71C3"/>
    <w:rsid w:val="004E725A"/>
    <w:rsid w:val="004E775C"/>
    <w:rsid w:val="004E779A"/>
    <w:rsid w:val="004E7B81"/>
    <w:rsid w:val="004F088C"/>
    <w:rsid w:val="004F0C9A"/>
    <w:rsid w:val="004F0D80"/>
    <w:rsid w:val="004F14ED"/>
    <w:rsid w:val="004F187D"/>
    <w:rsid w:val="004F1B60"/>
    <w:rsid w:val="004F3124"/>
    <w:rsid w:val="004F3A42"/>
    <w:rsid w:val="004F409E"/>
    <w:rsid w:val="004F4402"/>
    <w:rsid w:val="004F50DA"/>
    <w:rsid w:val="004F54B3"/>
    <w:rsid w:val="004F566B"/>
    <w:rsid w:val="004F5D1D"/>
    <w:rsid w:val="004F5F98"/>
    <w:rsid w:val="004F6DD2"/>
    <w:rsid w:val="004F6F8B"/>
    <w:rsid w:val="004F6FC2"/>
    <w:rsid w:val="004F7254"/>
    <w:rsid w:val="004F7D98"/>
    <w:rsid w:val="00500575"/>
    <w:rsid w:val="00500C69"/>
    <w:rsid w:val="005010CD"/>
    <w:rsid w:val="0050124D"/>
    <w:rsid w:val="005012C0"/>
    <w:rsid w:val="0050134C"/>
    <w:rsid w:val="005014F5"/>
    <w:rsid w:val="0050184D"/>
    <w:rsid w:val="00501B51"/>
    <w:rsid w:val="00502861"/>
    <w:rsid w:val="00502A6D"/>
    <w:rsid w:val="00502D63"/>
    <w:rsid w:val="00503447"/>
    <w:rsid w:val="00503750"/>
    <w:rsid w:val="00503941"/>
    <w:rsid w:val="00503952"/>
    <w:rsid w:val="00503C3B"/>
    <w:rsid w:val="0050428D"/>
    <w:rsid w:val="00504691"/>
    <w:rsid w:val="0050551D"/>
    <w:rsid w:val="005056D7"/>
    <w:rsid w:val="00505A53"/>
    <w:rsid w:val="00505B30"/>
    <w:rsid w:val="00505EF8"/>
    <w:rsid w:val="0050623D"/>
    <w:rsid w:val="00506EFF"/>
    <w:rsid w:val="0050734A"/>
    <w:rsid w:val="00510023"/>
    <w:rsid w:val="00510863"/>
    <w:rsid w:val="00510E6B"/>
    <w:rsid w:val="005113AD"/>
    <w:rsid w:val="00512231"/>
    <w:rsid w:val="00512C66"/>
    <w:rsid w:val="00512EF8"/>
    <w:rsid w:val="0051323B"/>
    <w:rsid w:val="0051333D"/>
    <w:rsid w:val="0051386E"/>
    <w:rsid w:val="00513B71"/>
    <w:rsid w:val="00513D0F"/>
    <w:rsid w:val="0051468D"/>
    <w:rsid w:val="0051494D"/>
    <w:rsid w:val="00514C6C"/>
    <w:rsid w:val="00514F96"/>
    <w:rsid w:val="0051518E"/>
    <w:rsid w:val="005151EE"/>
    <w:rsid w:val="005152BC"/>
    <w:rsid w:val="0051542A"/>
    <w:rsid w:val="00516FD6"/>
    <w:rsid w:val="00517A19"/>
    <w:rsid w:val="005207E0"/>
    <w:rsid w:val="00521127"/>
    <w:rsid w:val="005211B2"/>
    <w:rsid w:val="005227A3"/>
    <w:rsid w:val="00522C42"/>
    <w:rsid w:val="00522D42"/>
    <w:rsid w:val="00522F55"/>
    <w:rsid w:val="00523275"/>
    <w:rsid w:val="00523A49"/>
    <w:rsid w:val="00523A52"/>
    <w:rsid w:val="00524095"/>
    <w:rsid w:val="00524F8D"/>
    <w:rsid w:val="00525331"/>
    <w:rsid w:val="00525945"/>
    <w:rsid w:val="00525B84"/>
    <w:rsid w:val="00526192"/>
    <w:rsid w:val="005262A9"/>
    <w:rsid w:val="005262E4"/>
    <w:rsid w:val="005264BD"/>
    <w:rsid w:val="00526E20"/>
    <w:rsid w:val="00526EA2"/>
    <w:rsid w:val="00527102"/>
    <w:rsid w:val="005273FC"/>
    <w:rsid w:val="00527595"/>
    <w:rsid w:val="005276F9"/>
    <w:rsid w:val="0052771A"/>
    <w:rsid w:val="00527890"/>
    <w:rsid w:val="00530B59"/>
    <w:rsid w:val="00530E88"/>
    <w:rsid w:val="0053112F"/>
    <w:rsid w:val="00531385"/>
    <w:rsid w:val="00531520"/>
    <w:rsid w:val="005316B6"/>
    <w:rsid w:val="0053175C"/>
    <w:rsid w:val="00531952"/>
    <w:rsid w:val="00531B8F"/>
    <w:rsid w:val="00532930"/>
    <w:rsid w:val="00532984"/>
    <w:rsid w:val="00533040"/>
    <w:rsid w:val="00533DFE"/>
    <w:rsid w:val="00533E8B"/>
    <w:rsid w:val="00534BFA"/>
    <w:rsid w:val="005351A2"/>
    <w:rsid w:val="00535250"/>
    <w:rsid w:val="00535620"/>
    <w:rsid w:val="005356ED"/>
    <w:rsid w:val="0053612D"/>
    <w:rsid w:val="005364A3"/>
    <w:rsid w:val="00536535"/>
    <w:rsid w:val="00536AE4"/>
    <w:rsid w:val="00536F52"/>
    <w:rsid w:val="0053761C"/>
    <w:rsid w:val="005378B0"/>
    <w:rsid w:val="00537EB3"/>
    <w:rsid w:val="00537EFC"/>
    <w:rsid w:val="005402D7"/>
    <w:rsid w:val="0054056E"/>
    <w:rsid w:val="00540573"/>
    <w:rsid w:val="00540E91"/>
    <w:rsid w:val="00541C20"/>
    <w:rsid w:val="00541D5C"/>
    <w:rsid w:val="005422D6"/>
    <w:rsid w:val="00542554"/>
    <w:rsid w:val="00542591"/>
    <w:rsid w:val="00542D05"/>
    <w:rsid w:val="0054320E"/>
    <w:rsid w:val="00543CEA"/>
    <w:rsid w:val="00543DCA"/>
    <w:rsid w:val="0054437F"/>
    <w:rsid w:val="0054455F"/>
    <w:rsid w:val="005446DE"/>
    <w:rsid w:val="00544718"/>
    <w:rsid w:val="00544765"/>
    <w:rsid w:val="00544FA1"/>
    <w:rsid w:val="00545330"/>
    <w:rsid w:val="00545339"/>
    <w:rsid w:val="005460EA"/>
    <w:rsid w:val="005467F0"/>
    <w:rsid w:val="0054695B"/>
    <w:rsid w:val="00546DA4"/>
    <w:rsid w:val="00546F15"/>
    <w:rsid w:val="005477A2"/>
    <w:rsid w:val="00547DFD"/>
    <w:rsid w:val="0055013D"/>
    <w:rsid w:val="00550320"/>
    <w:rsid w:val="005504A5"/>
    <w:rsid w:val="00550DD5"/>
    <w:rsid w:val="00550E46"/>
    <w:rsid w:val="00550EC7"/>
    <w:rsid w:val="00551243"/>
    <w:rsid w:val="00551769"/>
    <w:rsid w:val="00551961"/>
    <w:rsid w:val="005519B7"/>
    <w:rsid w:val="00551C9A"/>
    <w:rsid w:val="00551F12"/>
    <w:rsid w:val="0055235B"/>
    <w:rsid w:val="005523F1"/>
    <w:rsid w:val="00553974"/>
    <w:rsid w:val="005539AE"/>
    <w:rsid w:val="0055449C"/>
    <w:rsid w:val="00554650"/>
    <w:rsid w:val="00554FF2"/>
    <w:rsid w:val="0055560D"/>
    <w:rsid w:val="005559E9"/>
    <w:rsid w:val="00555A4F"/>
    <w:rsid w:val="00556DA4"/>
    <w:rsid w:val="005570BE"/>
    <w:rsid w:val="0055765B"/>
    <w:rsid w:val="00557940"/>
    <w:rsid w:val="00557D62"/>
    <w:rsid w:val="00557EF0"/>
    <w:rsid w:val="0056052D"/>
    <w:rsid w:val="005607B9"/>
    <w:rsid w:val="00560B85"/>
    <w:rsid w:val="0056233B"/>
    <w:rsid w:val="00562A51"/>
    <w:rsid w:val="00562B73"/>
    <w:rsid w:val="00562D96"/>
    <w:rsid w:val="00563694"/>
    <w:rsid w:val="005642F4"/>
    <w:rsid w:val="00564313"/>
    <w:rsid w:val="005644DD"/>
    <w:rsid w:val="00564978"/>
    <w:rsid w:val="00564CC4"/>
    <w:rsid w:val="00564EBB"/>
    <w:rsid w:val="00565D6A"/>
    <w:rsid w:val="0056610C"/>
    <w:rsid w:val="00566A8C"/>
    <w:rsid w:val="00566C7E"/>
    <w:rsid w:val="0056717F"/>
    <w:rsid w:val="00567253"/>
    <w:rsid w:val="00567530"/>
    <w:rsid w:val="00567B17"/>
    <w:rsid w:val="00567F19"/>
    <w:rsid w:val="00570B82"/>
    <w:rsid w:val="00570E53"/>
    <w:rsid w:val="00571660"/>
    <w:rsid w:val="005716EA"/>
    <w:rsid w:val="005718A0"/>
    <w:rsid w:val="005720E6"/>
    <w:rsid w:val="005724C3"/>
    <w:rsid w:val="005729C7"/>
    <w:rsid w:val="00572E82"/>
    <w:rsid w:val="00572F77"/>
    <w:rsid w:val="00572FA9"/>
    <w:rsid w:val="0057357B"/>
    <w:rsid w:val="00573718"/>
    <w:rsid w:val="005738F8"/>
    <w:rsid w:val="00573D5E"/>
    <w:rsid w:val="00574403"/>
    <w:rsid w:val="00574EA9"/>
    <w:rsid w:val="005753A1"/>
    <w:rsid w:val="0057587C"/>
    <w:rsid w:val="005760AF"/>
    <w:rsid w:val="005764BD"/>
    <w:rsid w:val="00576987"/>
    <w:rsid w:val="005774CE"/>
    <w:rsid w:val="00577A7B"/>
    <w:rsid w:val="00577D02"/>
    <w:rsid w:val="00580127"/>
    <w:rsid w:val="00580B39"/>
    <w:rsid w:val="005811AA"/>
    <w:rsid w:val="005812A5"/>
    <w:rsid w:val="005815F1"/>
    <w:rsid w:val="00581DBF"/>
    <w:rsid w:val="00582527"/>
    <w:rsid w:val="005831FD"/>
    <w:rsid w:val="00583247"/>
    <w:rsid w:val="0058326E"/>
    <w:rsid w:val="00583329"/>
    <w:rsid w:val="005834B1"/>
    <w:rsid w:val="0058352B"/>
    <w:rsid w:val="005838B7"/>
    <w:rsid w:val="00583A41"/>
    <w:rsid w:val="00584737"/>
    <w:rsid w:val="00585028"/>
    <w:rsid w:val="005866E0"/>
    <w:rsid w:val="00586B32"/>
    <w:rsid w:val="00587440"/>
    <w:rsid w:val="00587679"/>
    <w:rsid w:val="0059015E"/>
    <w:rsid w:val="00590396"/>
    <w:rsid w:val="00590661"/>
    <w:rsid w:val="00590D00"/>
    <w:rsid w:val="00591271"/>
    <w:rsid w:val="005919CC"/>
    <w:rsid w:val="00591F58"/>
    <w:rsid w:val="005923E7"/>
    <w:rsid w:val="00592611"/>
    <w:rsid w:val="005926FF"/>
    <w:rsid w:val="005927B6"/>
    <w:rsid w:val="00592ED9"/>
    <w:rsid w:val="00592FDE"/>
    <w:rsid w:val="00592FE6"/>
    <w:rsid w:val="005931E4"/>
    <w:rsid w:val="00593A13"/>
    <w:rsid w:val="005954D3"/>
    <w:rsid w:val="0059575C"/>
    <w:rsid w:val="00595AF1"/>
    <w:rsid w:val="00596199"/>
    <w:rsid w:val="00596E97"/>
    <w:rsid w:val="00596F3F"/>
    <w:rsid w:val="005972F4"/>
    <w:rsid w:val="005A00B2"/>
    <w:rsid w:val="005A0A00"/>
    <w:rsid w:val="005A0ADC"/>
    <w:rsid w:val="005A0BC1"/>
    <w:rsid w:val="005A16EB"/>
    <w:rsid w:val="005A2843"/>
    <w:rsid w:val="005A2B90"/>
    <w:rsid w:val="005A2D77"/>
    <w:rsid w:val="005A2E40"/>
    <w:rsid w:val="005A38A2"/>
    <w:rsid w:val="005A39D0"/>
    <w:rsid w:val="005A3D43"/>
    <w:rsid w:val="005A4010"/>
    <w:rsid w:val="005A4CC6"/>
    <w:rsid w:val="005A564F"/>
    <w:rsid w:val="005A5F5E"/>
    <w:rsid w:val="005A642E"/>
    <w:rsid w:val="005A7426"/>
    <w:rsid w:val="005A7722"/>
    <w:rsid w:val="005B009E"/>
    <w:rsid w:val="005B0659"/>
    <w:rsid w:val="005B0933"/>
    <w:rsid w:val="005B0A49"/>
    <w:rsid w:val="005B0F48"/>
    <w:rsid w:val="005B195A"/>
    <w:rsid w:val="005B1A15"/>
    <w:rsid w:val="005B1BC4"/>
    <w:rsid w:val="005B1D52"/>
    <w:rsid w:val="005B23F0"/>
    <w:rsid w:val="005B2922"/>
    <w:rsid w:val="005B2A93"/>
    <w:rsid w:val="005B2F71"/>
    <w:rsid w:val="005B2F76"/>
    <w:rsid w:val="005B3624"/>
    <w:rsid w:val="005B3903"/>
    <w:rsid w:val="005B3B25"/>
    <w:rsid w:val="005B3EC6"/>
    <w:rsid w:val="005B4034"/>
    <w:rsid w:val="005B43F2"/>
    <w:rsid w:val="005B47E5"/>
    <w:rsid w:val="005B4B4D"/>
    <w:rsid w:val="005B4E81"/>
    <w:rsid w:val="005B56E2"/>
    <w:rsid w:val="005B57A3"/>
    <w:rsid w:val="005B5A51"/>
    <w:rsid w:val="005B5EE5"/>
    <w:rsid w:val="005B665B"/>
    <w:rsid w:val="005B69B1"/>
    <w:rsid w:val="005B72D0"/>
    <w:rsid w:val="005B7D95"/>
    <w:rsid w:val="005B7EC4"/>
    <w:rsid w:val="005B7FFB"/>
    <w:rsid w:val="005C0398"/>
    <w:rsid w:val="005C0588"/>
    <w:rsid w:val="005C0D9C"/>
    <w:rsid w:val="005C105E"/>
    <w:rsid w:val="005C1082"/>
    <w:rsid w:val="005C110C"/>
    <w:rsid w:val="005C1434"/>
    <w:rsid w:val="005C20F3"/>
    <w:rsid w:val="005C27DD"/>
    <w:rsid w:val="005C2A50"/>
    <w:rsid w:val="005C3502"/>
    <w:rsid w:val="005C4E45"/>
    <w:rsid w:val="005C4F27"/>
    <w:rsid w:val="005C5203"/>
    <w:rsid w:val="005C560C"/>
    <w:rsid w:val="005C5697"/>
    <w:rsid w:val="005C5D13"/>
    <w:rsid w:val="005C6494"/>
    <w:rsid w:val="005C7158"/>
    <w:rsid w:val="005C75C9"/>
    <w:rsid w:val="005D01B7"/>
    <w:rsid w:val="005D0527"/>
    <w:rsid w:val="005D08B8"/>
    <w:rsid w:val="005D0C99"/>
    <w:rsid w:val="005D0D84"/>
    <w:rsid w:val="005D1278"/>
    <w:rsid w:val="005D1A73"/>
    <w:rsid w:val="005D4151"/>
    <w:rsid w:val="005D4DB0"/>
    <w:rsid w:val="005D5494"/>
    <w:rsid w:val="005D6267"/>
    <w:rsid w:val="005D6FF9"/>
    <w:rsid w:val="005D70FF"/>
    <w:rsid w:val="005D77BD"/>
    <w:rsid w:val="005E0230"/>
    <w:rsid w:val="005E04B5"/>
    <w:rsid w:val="005E05E5"/>
    <w:rsid w:val="005E0A06"/>
    <w:rsid w:val="005E0AB8"/>
    <w:rsid w:val="005E0B36"/>
    <w:rsid w:val="005E0CC2"/>
    <w:rsid w:val="005E199B"/>
    <w:rsid w:val="005E1E7B"/>
    <w:rsid w:val="005E2246"/>
    <w:rsid w:val="005E2660"/>
    <w:rsid w:val="005E273B"/>
    <w:rsid w:val="005E2B13"/>
    <w:rsid w:val="005E2CCA"/>
    <w:rsid w:val="005E30C8"/>
    <w:rsid w:val="005E3A52"/>
    <w:rsid w:val="005E44FA"/>
    <w:rsid w:val="005E48EA"/>
    <w:rsid w:val="005E50A8"/>
    <w:rsid w:val="005E687F"/>
    <w:rsid w:val="005E7C04"/>
    <w:rsid w:val="005F061D"/>
    <w:rsid w:val="005F09AD"/>
    <w:rsid w:val="005F0C85"/>
    <w:rsid w:val="005F0CDE"/>
    <w:rsid w:val="005F0FFB"/>
    <w:rsid w:val="005F1E84"/>
    <w:rsid w:val="005F20B1"/>
    <w:rsid w:val="005F2181"/>
    <w:rsid w:val="005F22FC"/>
    <w:rsid w:val="005F2A54"/>
    <w:rsid w:val="005F33D8"/>
    <w:rsid w:val="005F3755"/>
    <w:rsid w:val="005F37A5"/>
    <w:rsid w:val="005F3C9F"/>
    <w:rsid w:val="005F3D86"/>
    <w:rsid w:val="005F49F6"/>
    <w:rsid w:val="005F4C42"/>
    <w:rsid w:val="005F4CA5"/>
    <w:rsid w:val="005F4EF4"/>
    <w:rsid w:val="005F543F"/>
    <w:rsid w:val="005F5D8A"/>
    <w:rsid w:val="005F5D8E"/>
    <w:rsid w:val="005F5E17"/>
    <w:rsid w:val="005F63B8"/>
    <w:rsid w:val="005F63C4"/>
    <w:rsid w:val="005F6C7F"/>
    <w:rsid w:val="005F7203"/>
    <w:rsid w:val="005F7485"/>
    <w:rsid w:val="005F7753"/>
    <w:rsid w:val="005F7778"/>
    <w:rsid w:val="005F7D19"/>
    <w:rsid w:val="00600F1B"/>
    <w:rsid w:val="006010C2"/>
    <w:rsid w:val="00601D92"/>
    <w:rsid w:val="00601E41"/>
    <w:rsid w:val="00602760"/>
    <w:rsid w:val="0060284B"/>
    <w:rsid w:val="00602B6F"/>
    <w:rsid w:val="00602F99"/>
    <w:rsid w:val="006033C1"/>
    <w:rsid w:val="006037AB"/>
    <w:rsid w:val="006037E0"/>
    <w:rsid w:val="0060403D"/>
    <w:rsid w:val="0060510F"/>
    <w:rsid w:val="00605650"/>
    <w:rsid w:val="00605772"/>
    <w:rsid w:val="0060582B"/>
    <w:rsid w:val="006061B3"/>
    <w:rsid w:val="006061D6"/>
    <w:rsid w:val="00607113"/>
    <w:rsid w:val="00607473"/>
    <w:rsid w:val="00607D7B"/>
    <w:rsid w:val="006101EC"/>
    <w:rsid w:val="00610A0D"/>
    <w:rsid w:val="00610D3B"/>
    <w:rsid w:val="006110B9"/>
    <w:rsid w:val="00612F76"/>
    <w:rsid w:val="006134F1"/>
    <w:rsid w:val="006136B6"/>
    <w:rsid w:val="006138C2"/>
    <w:rsid w:val="006143BD"/>
    <w:rsid w:val="0061444E"/>
    <w:rsid w:val="006144BC"/>
    <w:rsid w:val="0061463F"/>
    <w:rsid w:val="00614EF9"/>
    <w:rsid w:val="006165E7"/>
    <w:rsid w:val="0061681B"/>
    <w:rsid w:val="00616F79"/>
    <w:rsid w:val="006177A1"/>
    <w:rsid w:val="00617A2C"/>
    <w:rsid w:val="0062070E"/>
    <w:rsid w:val="00620866"/>
    <w:rsid w:val="00620A0C"/>
    <w:rsid w:val="0062143E"/>
    <w:rsid w:val="0062251A"/>
    <w:rsid w:val="0062268C"/>
    <w:rsid w:val="006229AA"/>
    <w:rsid w:val="00622F5C"/>
    <w:rsid w:val="006235C4"/>
    <w:rsid w:val="006235D8"/>
    <w:rsid w:val="0062383D"/>
    <w:rsid w:val="00623A07"/>
    <w:rsid w:val="00624315"/>
    <w:rsid w:val="00624D07"/>
    <w:rsid w:val="00624DE8"/>
    <w:rsid w:val="00625674"/>
    <w:rsid w:val="00625684"/>
    <w:rsid w:val="0062595F"/>
    <w:rsid w:val="00625B88"/>
    <w:rsid w:val="00625CFB"/>
    <w:rsid w:val="00625E35"/>
    <w:rsid w:val="006261F5"/>
    <w:rsid w:val="00626C02"/>
    <w:rsid w:val="00626E5C"/>
    <w:rsid w:val="0062715B"/>
    <w:rsid w:val="00627336"/>
    <w:rsid w:val="00627DAF"/>
    <w:rsid w:val="00627F7D"/>
    <w:rsid w:val="006308CC"/>
    <w:rsid w:val="00630BAC"/>
    <w:rsid w:val="00630BDC"/>
    <w:rsid w:val="0063110C"/>
    <w:rsid w:val="006311CE"/>
    <w:rsid w:val="006312D5"/>
    <w:rsid w:val="00631481"/>
    <w:rsid w:val="00631892"/>
    <w:rsid w:val="00631FF2"/>
    <w:rsid w:val="00632192"/>
    <w:rsid w:val="0063224C"/>
    <w:rsid w:val="00632780"/>
    <w:rsid w:val="00632EAC"/>
    <w:rsid w:val="00632F91"/>
    <w:rsid w:val="00633A97"/>
    <w:rsid w:val="00633AE0"/>
    <w:rsid w:val="00633D8A"/>
    <w:rsid w:val="00633E0D"/>
    <w:rsid w:val="0063422C"/>
    <w:rsid w:val="006344F8"/>
    <w:rsid w:val="0063489F"/>
    <w:rsid w:val="006348B6"/>
    <w:rsid w:val="006348B8"/>
    <w:rsid w:val="00634A5D"/>
    <w:rsid w:val="00635682"/>
    <w:rsid w:val="006358AE"/>
    <w:rsid w:val="00635A2D"/>
    <w:rsid w:val="0063668C"/>
    <w:rsid w:val="006368F7"/>
    <w:rsid w:val="00636944"/>
    <w:rsid w:val="00636B55"/>
    <w:rsid w:val="00636C61"/>
    <w:rsid w:val="006373ED"/>
    <w:rsid w:val="00637493"/>
    <w:rsid w:val="00637967"/>
    <w:rsid w:val="00637B66"/>
    <w:rsid w:val="00637E06"/>
    <w:rsid w:val="00637E90"/>
    <w:rsid w:val="00637FB4"/>
    <w:rsid w:val="00640589"/>
    <w:rsid w:val="006412B0"/>
    <w:rsid w:val="006417AE"/>
    <w:rsid w:val="00641AFA"/>
    <w:rsid w:val="00641F85"/>
    <w:rsid w:val="00642520"/>
    <w:rsid w:val="00642731"/>
    <w:rsid w:val="00642870"/>
    <w:rsid w:val="00642C24"/>
    <w:rsid w:val="00642EEE"/>
    <w:rsid w:val="0064383B"/>
    <w:rsid w:val="00643891"/>
    <w:rsid w:val="00643A2A"/>
    <w:rsid w:val="006443E3"/>
    <w:rsid w:val="00644499"/>
    <w:rsid w:val="0064482E"/>
    <w:rsid w:val="0064535F"/>
    <w:rsid w:val="006461CE"/>
    <w:rsid w:val="006462DB"/>
    <w:rsid w:val="006468BB"/>
    <w:rsid w:val="00646942"/>
    <w:rsid w:val="00646A88"/>
    <w:rsid w:val="00646B30"/>
    <w:rsid w:val="00647216"/>
    <w:rsid w:val="00647767"/>
    <w:rsid w:val="006501C2"/>
    <w:rsid w:val="006507F0"/>
    <w:rsid w:val="0065096B"/>
    <w:rsid w:val="00650EAA"/>
    <w:rsid w:val="00651C20"/>
    <w:rsid w:val="0065276A"/>
    <w:rsid w:val="00652998"/>
    <w:rsid w:val="00652B7E"/>
    <w:rsid w:val="00652FC8"/>
    <w:rsid w:val="006533E3"/>
    <w:rsid w:val="006537A6"/>
    <w:rsid w:val="00654441"/>
    <w:rsid w:val="00654A78"/>
    <w:rsid w:val="00654D4A"/>
    <w:rsid w:val="00655687"/>
    <w:rsid w:val="00655A73"/>
    <w:rsid w:val="00655C7B"/>
    <w:rsid w:val="00655DDE"/>
    <w:rsid w:val="00655EA0"/>
    <w:rsid w:val="00656A42"/>
    <w:rsid w:val="00656CDB"/>
    <w:rsid w:val="00656D9F"/>
    <w:rsid w:val="00656DD1"/>
    <w:rsid w:val="00657579"/>
    <w:rsid w:val="0065787C"/>
    <w:rsid w:val="00657DF3"/>
    <w:rsid w:val="00660347"/>
    <w:rsid w:val="00660FFD"/>
    <w:rsid w:val="00661D41"/>
    <w:rsid w:val="0066205D"/>
    <w:rsid w:val="00663026"/>
    <w:rsid w:val="00663112"/>
    <w:rsid w:val="0066330D"/>
    <w:rsid w:val="00663CAD"/>
    <w:rsid w:val="00664453"/>
    <w:rsid w:val="00664ADF"/>
    <w:rsid w:val="0066505D"/>
    <w:rsid w:val="006655F7"/>
    <w:rsid w:val="006656B4"/>
    <w:rsid w:val="00665C19"/>
    <w:rsid w:val="006660AE"/>
    <w:rsid w:val="00666B65"/>
    <w:rsid w:val="00666C65"/>
    <w:rsid w:val="00666EC5"/>
    <w:rsid w:val="00666F3C"/>
    <w:rsid w:val="0066717D"/>
    <w:rsid w:val="00667772"/>
    <w:rsid w:val="0066790E"/>
    <w:rsid w:val="00667B99"/>
    <w:rsid w:val="00667E26"/>
    <w:rsid w:val="00670891"/>
    <w:rsid w:val="00670EC4"/>
    <w:rsid w:val="00671F70"/>
    <w:rsid w:val="0067229D"/>
    <w:rsid w:val="00672956"/>
    <w:rsid w:val="006732B0"/>
    <w:rsid w:val="0067342E"/>
    <w:rsid w:val="006734B0"/>
    <w:rsid w:val="0067366E"/>
    <w:rsid w:val="006737F4"/>
    <w:rsid w:val="0067381A"/>
    <w:rsid w:val="00673909"/>
    <w:rsid w:val="006753D6"/>
    <w:rsid w:val="0067564A"/>
    <w:rsid w:val="00675842"/>
    <w:rsid w:val="00675E97"/>
    <w:rsid w:val="00675EF7"/>
    <w:rsid w:val="00675FD2"/>
    <w:rsid w:val="00676344"/>
    <w:rsid w:val="00676552"/>
    <w:rsid w:val="00676869"/>
    <w:rsid w:val="00676E77"/>
    <w:rsid w:val="00677755"/>
    <w:rsid w:val="00677B80"/>
    <w:rsid w:val="00677DFC"/>
    <w:rsid w:val="00677F37"/>
    <w:rsid w:val="006801FF"/>
    <w:rsid w:val="00680376"/>
    <w:rsid w:val="00680488"/>
    <w:rsid w:val="0068064E"/>
    <w:rsid w:val="00680745"/>
    <w:rsid w:val="0068092F"/>
    <w:rsid w:val="00680A9F"/>
    <w:rsid w:val="00680D69"/>
    <w:rsid w:val="00680DEA"/>
    <w:rsid w:val="006811F6"/>
    <w:rsid w:val="0068148F"/>
    <w:rsid w:val="0068158B"/>
    <w:rsid w:val="00681B0D"/>
    <w:rsid w:val="00681C95"/>
    <w:rsid w:val="006823EA"/>
    <w:rsid w:val="00682A8B"/>
    <w:rsid w:val="00682AAD"/>
    <w:rsid w:val="00682D13"/>
    <w:rsid w:val="006832E6"/>
    <w:rsid w:val="0068424C"/>
    <w:rsid w:val="00684A34"/>
    <w:rsid w:val="00684E7E"/>
    <w:rsid w:val="006854E7"/>
    <w:rsid w:val="006854F4"/>
    <w:rsid w:val="006855A5"/>
    <w:rsid w:val="006864E2"/>
    <w:rsid w:val="00686C5D"/>
    <w:rsid w:val="00686E78"/>
    <w:rsid w:val="00687035"/>
    <w:rsid w:val="00687072"/>
    <w:rsid w:val="00687651"/>
    <w:rsid w:val="00687738"/>
    <w:rsid w:val="00687815"/>
    <w:rsid w:val="006879AF"/>
    <w:rsid w:val="00687D9B"/>
    <w:rsid w:val="00687F8E"/>
    <w:rsid w:val="0069058A"/>
    <w:rsid w:val="00691AF7"/>
    <w:rsid w:val="00692D9C"/>
    <w:rsid w:val="00693110"/>
    <w:rsid w:val="00693C56"/>
    <w:rsid w:val="00694496"/>
    <w:rsid w:val="00694A71"/>
    <w:rsid w:val="00694B7F"/>
    <w:rsid w:val="00695257"/>
    <w:rsid w:val="006953FB"/>
    <w:rsid w:val="00695CDD"/>
    <w:rsid w:val="00695D02"/>
    <w:rsid w:val="00695DC0"/>
    <w:rsid w:val="00695F83"/>
    <w:rsid w:val="00696759"/>
    <w:rsid w:val="00696A2A"/>
    <w:rsid w:val="0069771F"/>
    <w:rsid w:val="006A0491"/>
    <w:rsid w:val="006A05F9"/>
    <w:rsid w:val="006A08BA"/>
    <w:rsid w:val="006A0DCA"/>
    <w:rsid w:val="006A0F82"/>
    <w:rsid w:val="006A105E"/>
    <w:rsid w:val="006A1329"/>
    <w:rsid w:val="006A1850"/>
    <w:rsid w:val="006A190C"/>
    <w:rsid w:val="006A24D4"/>
    <w:rsid w:val="006A3864"/>
    <w:rsid w:val="006A4744"/>
    <w:rsid w:val="006A4F47"/>
    <w:rsid w:val="006A646E"/>
    <w:rsid w:val="006A6C05"/>
    <w:rsid w:val="006A6CF0"/>
    <w:rsid w:val="006A716E"/>
    <w:rsid w:val="006A7430"/>
    <w:rsid w:val="006A7B8E"/>
    <w:rsid w:val="006B0092"/>
    <w:rsid w:val="006B01AA"/>
    <w:rsid w:val="006B123D"/>
    <w:rsid w:val="006B13BC"/>
    <w:rsid w:val="006B1452"/>
    <w:rsid w:val="006B1790"/>
    <w:rsid w:val="006B1946"/>
    <w:rsid w:val="006B1DAC"/>
    <w:rsid w:val="006B1DC1"/>
    <w:rsid w:val="006B285F"/>
    <w:rsid w:val="006B2898"/>
    <w:rsid w:val="006B2E55"/>
    <w:rsid w:val="006B336C"/>
    <w:rsid w:val="006B34BF"/>
    <w:rsid w:val="006B3797"/>
    <w:rsid w:val="006B475E"/>
    <w:rsid w:val="006B4CBD"/>
    <w:rsid w:val="006B4F09"/>
    <w:rsid w:val="006B5CC1"/>
    <w:rsid w:val="006B5DE6"/>
    <w:rsid w:val="006B5E01"/>
    <w:rsid w:val="006B609B"/>
    <w:rsid w:val="006B6130"/>
    <w:rsid w:val="006B6571"/>
    <w:rsid w:val="006B696C"/>
    <w:rsid w:val="006B6E06"/>
    <w:rsid w:val="006B6F29"/>
    <w:rsid w:val="006B74D5"/>
    <w:rsid w:val="006B787F"/>
    <w:rsid w:val="006B7C1E"/>
    <w:rsid w:val="006C0CD2"/>
    <w:rsid w:val="006C155E"/>
    <w:rsid w:val="006C1685"/>
    <w:rsid w:val="006C2094"/>
    <w:rsid w:val="006C21CD"/>
    <w:rsid w:val="006C2237"/>
    <w:rsid w:val="006C2365"/>
    <w:rsid w:val="006C2486"/>
    <w:rsid w:val="006C25E5"/>
    <w:rsid w:val="006C2A41"/>
    <w:rsid w:val="006C2C87"/>
    <w:rsid w:val="006C2ED5"/>
    <w:rsid w:val="006C2F3A"/>
    <w:rsid w:val="006C3DC4"/>
    <w:rsid w:val="006C4055"/>
    <w:rsid w:val="006C42DA"/>
    <w:rsid w:val="006C4B12"/>
    <w:rsid w:val="006C53E6"/>
    <w:rsid w:val="006C5591"/>
    <w:rsid w:val="006C56D2"/>
    <w:rsid w:val="006C5943"/>
    <w:rsid w:val="006C5B48"/>
    <w:rsid w:val="006C664B"/>
    <w:rsid w:val="006C664D"/>
    <w:rsid w:val="006C67E7"/>
    <w:rsid w:val="006C6EEA"/>
    <w:rsid w:val="006C711A"/>
    <w:rsid w:val="006C7215"/>
    <w:rsid w:val="006C75E1"/>
    <w:rsid w:val="006C7992"/>
    <w:rsid w:val="006C7CE8"/>
    <w:rsid w:val="006C7D39"/>
    <w:rsid w:val="006C7E76"/>
    <w:rsid w:val="006D024A"/>
    <w:rsid w:val="006D07EA"/>
    <w:rsid w:val="006D0A26"/>
    <w:rsid w:val="006D0E1E"/>
    <w:rsid w:val="006D11E2"/>
    <w:rsid w:val="006D1761"/>
    <w:rsid w:val="006D17D9"/>
    <w:rsid w:val="006D1CC1"/>
    <w:rsid w:val="006D2804"/>
    <w:rsid w:val="006D3446"/>
    <w:rsid w:val="006D4195"/>
    <w:rsid w:val="006D432B"/>
    <w:rsid w:val="006D460E"/>
    <w:rsid w:val="006D47C3"/>
    <w:rsid w:val="006D568B"/>
    <w:rsid w:val="006D5F7B"/>
    <w:rsid w:val="006D5FB1"/>
    <w:rsid w:val="006D6507"/>
    <w:rsid w:val="006D6E54"/>
    <w:rsid w:val="006D700C"/>
    <w:rsid w:val="006D7B49"/>
    <w:rsid w:val="006D7C0F"/>
    <w:rsid w:val="006E0102"/>
    <w:rsid w:val="006E0693"/>
    <w:rsid w:val="006E0E9F"/>
    <w:rsid w:val="006E18E3"/>
    <w:rsid w:val="006E19B9"/>
    <w:rsid w:val="006E21E6"/>
    <w:rsid w:val="006E2276"/>
    <w:rsid w:val="006E2678"/>
    <w:rsid w:val="006E2C32"/>
    <w:rsid w:val="006E30BE"/>
    <w:rsid w:val="006E318F"/>
    <w:rsid w:val="006E31DE"/>
    <w:rsid w:val="006E3703"/>
    <w:rsid w:val="006E3C3E"/>
    <w:rsid w:val="006E4676"/>
    <w:rsid w:val="006E52AF"/>
    <w:rsid w:val="006E52FD"/>
    <w:rsid w:val="006E5D2E"/>
    <w:rsid w:val="006E613C"/>
    <w:rsid w:val="006E61F3"/>
    <w:rsid w:val="006E6B7E"/>
    <w:rsid w:val="006E74AD"/>
    <w:rsid w:val="006E7E9C"/>
    <w:rsid w:val="006F055A"/>
    <w:rsid w:val="006F0733"/>
    <w:rsid w:val="006F0A85"/>
    <w:rsid w:val="006F0D72"/>
    <w:rsid w:val="006F103C"/>
    <w:rsid w:val="006F1468"/>
    <w:rsid w:val="006F1605"/>
    <w:rsid w:val="006F174D"/>
    <w:rsid w:val="006F2FFF"/>
    <w:rsid w:val="006F3550"/>
    <w:rsid w:val="006F36C4"/>
    <w:rsid w:val="006F3A71"/>
    <w:rsid w:val="006F3F3F"/>
    <w:rsid w:val="006F4053"/>
    <w:rsid w:val="006F457C"/>
    <w:rsid w:val="006F4786"/>
    <w:rsid w:val="006F47BA"/>
    <w:rsid w:val="006F4887"/>
    <w:rsid w:val="006F4D6E"/>
    <w:rsid w:val="006F5BD1"/>
    <w:rsid w:val="006F5CA0"/>
    <w:rsid w:val="006F5F53"/>
    <w:rsid w:val="006F69D6"/>
    <w:rsid w:val="006F6BA9"/>
    <w:rsid w:val="006F7716"/>
    <w:rsid w:val="006F77E2"/>
    <w:rsid w:val="007000AC"/>
    <w:rsid w:val="00700202"/>
    <w:rsid w:val="00701076"/>
    <w:rsid w:val="00701276"/>
    <w:rsid w:val="0070196F"/>
    <w:rsid w:val="00701AF0"/>
    <w:rsid w:val="00701BB7"/>
    <w:rsid w:val="00702007"/>
    <w:rsid w:val="007023DC"/>
    <w:rsid w:val="00703E8A"/>
    <w:rsid w:val="0070413D"/>
    <w:rsid w:val="00704509"/>
    <w:rsid w:val="00705066"/>
    <w:rsid w:val="00705FEC"/>
    <w:rsid w:val="007062DB"/>
    <w:rsid w:val="007067C5"/>
    <w:rsid w:val="007068CA"/>
    <w:rsid w:val="0070699C"/>
    <w:rsid w:val="00706B0D"/>
    <w:rsid w:val="00706EDD"/>
    <w:rsid w:val="0070777B"/>
    <w:rsid w:val="007077E9"/>
    <w:rsid w:val="00707865"/>
    <w:rsid w:val="0071012B"/>
    <w:rsid w:val="0071057A"/>
    <w:rsid w:val="00710ED3"/>
    <w:rsid w:val="0071110D"/>
    <w:rsid w:val="00711432"/>
    <w:rsid w:val="00711CD0"/>
    <w:rsid w:val="00712711"/>
    <w:rsid w:val="00712FD4"/>
    <w:rsid w:val="00713181"/>
    <w:rsid w:val="007134FE"/>
    <w:rsid w:val="00714162"/>
    <w:rsid w:val="00714812"/>
    <w:rsid w:val="00714EE0"/>
    <w:rsid w:val="007154F8"/>
    <w:rsid w:val="007161D7"/>
    <w:rsid w:val="007164A8"/>
    <w:rsid w:val="007164F4"/>
    <w:rsid w:val="007164FB"/>
    <w:rsid w:val="0071682C"/>
    <w:rsid w:val="00717757"/>
    <w:rsid w:val="00717B5E"/>
    <w:rsid w:val="00720389"/>
    <w:rsid w:val="007203DF"/>
    <w:rsid w:val="00720C23"/>
    <w:rsid w:val="00720C60"/>
    <w:rsid w:val="00720E75"/>
    <w:rsid w:val="00720EDB"/>
    <w:rsid w:val="00722439"/>
    <w:rsid w:val="007227A3"/>
    <w:rsid w:val="00722DE9"/>
    <w:rsid w:val="00723710"/>
    <w:rsid w:val="00723950"/>
    <w:rsid w:val="00723983"/>
    <w:rsid w:val="007241B4"/>
    <w:rsid w:val="007249AC"/>
    <w:rsid w:val="0072520C"/>
    <w:rsid w:val="0072524F"/>
    <w:rsid w:val="00725458"/>
    <w:rsid w:val="00725701"/>
    <w:rsid w:val="00725CF2"/>
    <w:rsid w:val="00726123"/>
    <w:rsid w:val="007261F2"/>
    <w:rsid w:val="007264D8"/>
    <w:rsid w:val="00730837"/>
    <w:rsid w:val="0073131D"/>
    <w:rsid w:val="0073196A"/>
    <w:rsid w:val="00731AFD"/>
    <w:rsid w:val="00731B0C"/>
    <w:rsid w:val="00731BFE"/>
    <w:rsid w:val="00731D56"/>
    <w:rsid w:val="00732486"/>
    <w:rsid w:val="0073317A"/>
    <w:rsid w:val="0073329F"/>
    <w:rsid w:val="007333C4"/>
    <w:rsid w:val="00733A39"/>
    <w:rsid w:val="00733B11"/>
    <w:rsid w:val="00733B8B"/>
    <w:rsid w:val="00733D11"/>
    <w:rsid w:val="00733D67"/>
    <w:rsid w:val="00734578"/>
    <w:rsid w:val="0073459A"/>
    <w:rsid w:val="00734C2E"/>
    <w:rsid w:val="0073541E"/>
    <w:rsid w:val="0073599E"/>
    <w:rsid w:val="00735E7A"/>
    <w:rsid w:val="007362A7"/>
    <w:rsid w:val="0073704C"/>
    <w:rsid w:val="007371DC"/>
    <w:rsid w:val="00737251"/>
    <w:rsid w:val="00737705"/>
    <w:rsid w:val="0074053E"/>
    <w:rsid w:val="0074076E"/>
    <w:rsid w:val="00740A31"/>
    <w:rsid w:val="00740DA7"/>
    <w:rsid w:val="00740F67"/>
    <w:rsid w:val="007414A8"/>
    <w:rsid w:val="00741516"/>
    <w:rsid w:val="007415D9"/>
    <w:rsid w:val="00741F27"/>
    <w:rsid w:val="00742ED7"/>
    <w:rsid w:val="00743007"/>
    <w:rsid w:val="007438F4"/>
    <w:rsid w:val="00743912"/>
    <w:rsid w:val="00743A44"/>
    <w:rsid w:val="007446E7"/>
    <w:rsid w:val="00745FAC"/>
    <w:rsid w:val="0074618B"/>
    <w:rsid w:val="00746609"/>
    <w:rsid w:val="00746908"/>
    <w:rsid w:val="00746DF4"/>
    <w:rsid w:val="007477ED"/>
    <w:rsid w:val="00747C9C"/>
    <w:rsid w:val="007506FC"/>
    <w:rsid w:val="007507A8"/>
    <w:rsid w:val="007508EA"/>
    <w:rsid w:val="00750CE3"/>
    <w:rsid w:val="0075155A"/>
    <w:rsid w:val="00751895"/>
    <w:rsid w:val="00752012"/>
    <w:rsid w:val="007523C2"/>
    <w:rsid w:val="007527B9"/>
    <w:rsid w:val="00752DB4"/>
    <w:rsid w:val="00752E40"/>
    <w:rsid w:val="007530C6"/>
    <w:rsid w:val="00754418"/>
    <w:rsid w:val="0075460F"/>
    <w:rsid w:val="0075463A"/>
    <w:rsid w:val="007546D0"/>
    <w:rsid w:val="007552A7"/>
    <w:rsid w:val="0075538F"/>
    <w:rsid w:val="0075560F"/>
    <w:rsid w:val="00755748"/>
    <w:rsid w:val="007558B2"/>
    <w:rsid w:val="00755BA1"/>
    <w:rsid w:val="007561CC"/>
    <w:rsid w:val="00756312"/>
    <w:rsid w:val="00756562"/>
    <w:rsid w:val="00757034"/>
    <w:rsid w:val="00757897"/>
    <w:rsid w:val="00757D3D"/>
    <w:rsid w:val="007600DB"/>
    <w:rsid w:val="00760141"/>
    <w:rsid w:val="007608B5"/>
    <w:rsid w:val="007609E9"/>
    <w:rsid w:val="00761000"/>
    <w:rsid w:val="007615AC"/>
    <w:rsid w:val="00761926"/>
    <w:rsid w:val="00762030"/>
    <w:rsid w:val="00762401"/>
    <w:rsid w:val="00762A2A"/>
    <w:rsid w:val="00762DF4"/>
    <w:rsid w:val="007633F2"/>
    <w:rsid w:val="007637EC"/>
    <w:rsid w:val="0076405B"/>
    <w:rsid w:val="007640A4"/>
    <w:rsid w:val="00764685"/>
    <w:rsid w:val="00764A74"/>
    <w:rsid w:val="00765046"/>
    <w:rsid w:val="007663D9"/>
    <w:rsid w:val="007668F3"/>
    <w:rsid w:val="00766C04"/>
    <w:rsid w:val="00766FAF"/>
    <w:rsid w:val="007670A5"/>
    <w:rsid w:val="00767286"/>
    <w:rsid w:val="007676AA"/>
    <w:rsid w:val="007677F9"/>
    <w:rsid w:val="00767971"/>
    <w:rsid w:val="00767C06"/>
    <w:rsid w:val="00767D48"/>
    <w:rsid w:val="00770913"/>
    <w:rsid w:val="0077108F"/>
    <w:rsid w:val="0077112E"/>
    <w:rsid w:val="00771EF5"/>
    <w:rsid w:val="00772362"/>
    <w:rsid w:val="007731C0"/>
    <w:rsid w:val="00773D50"/>
    <w:rsid w:val="00773E73"/>
    <w:rsid w:val="0077427E"/>
    <w:rsid w:val="00774735"/>
    <w:rsid w:val="0077493C"/>
    <w:rsid w:val="00774FD1"/>
    <w:rsid w:val="007752DC"/>
    <w:rsid w:val="0077539F"/>
    <w:rsid w:val="00775A4B"/>
    <w:rsid w:val="00775CD8"/>
    <w:rsid w:val="00776040"/>
    <w:rsid w:val="00776523"/>
    <w:rsid w:val="0078026A"/>
    <w:rsid w:val="00780495"/>
    <w:rsid w:val="007805D0"/>
    <w:rsid w:val="00780745"/>
    <w:rsid w:val="00781014"/>
    <w:rsid w:val="007816A1"/>
    <w:rsid w:val="0078175A"/>
    <w:rsid w:val="0078187B"/>
    <w:rsid w:val="00781AD5"/>
    <w:rsid w:val="007824D1"/>
    <w:rsid w:val="0078251A"/>
    <w:rsid w:val="0078265F"/>
    <w:rsid w:val="00782D34"/>
    <w:rsid w:val="00782F4B"/>
    <w:rsid w:val="0078333E"/>
    <w:rsid w:val="0078374C"/>
    <w:rsid w:val="007838D5"/>
    <w:rsid w:val="00783BBB"/>
    <w:rsid w:val="00784232"/>
    <w:rsid w:val="007847A7"/>
    <w:rsid w:val="0078509A"/>
    <w:rsid w:val="007850C5"/>
    <w:rsid w:val="00785BCB"/>
    <w:rsid w:val="00785E9B"/>
    <w:rsid w:val="00785F22"/>
    <w:rsid w:val="00786472"/>
    <w:rsid w:val="007875C0"/>
    <w:rsid w:val="007905C9"/>
    <w:rsid w:val="00790DA6"/>
    <w:rsid w:val="007911CB"/>
    <w:rsid w:val="007916E6"/>
    <w:rsid w:val="00792AEC"/>
    <w:rsid w:val="0079312A"/>
    <w:rsid w:val="0079344E"/>
    <w:rsid w:val="007935FC"/>
    <w:rsid w:val="0079360E"/>
    <w:rsid w:val="0079391D"/>
    <w:rsid w:val="007939F2"/>
    <w:rsid w:val="00794283"/>
    <w:rsid w:val="007947E4"/>
    <w:rsid w:val="007948FA"/>
    <w:rsid w:val="00794A4A"/>
    <w:rsid w:val="00794EDC"/>
    <w:rsid w:val="007950ED"/>
    <w:rsid w:val="007956E7"/>
    <w:rsid w:val="00796C4C"/>
    <w:rsid w:val="00797103"/>
    <w:rsid w:val="00797B24"/>
    <w:rsid w:val="00797E09"/>
    <w:rsid w:val="00797F91"/>
    <w:rsid w:val="007A0B63"/>
    <w:rsid w:val="007A0D4D"/>
    <w:rsid w:val="007A1BC0"/>
    <w:rsid w:val="007A20EE"/>
    <w:rsid w:val="007A253E"/>
    <w:rsid w:val="007A35C4"/>
    <w:rsid w:val="007A3763"/>
    <w:rsid w:val="007A387D"/>
    <w:rsid w:val="007A39A0"/>
    <w:rsid w:val="007A3B72"/>
    <w:rsid w:val="007A4423"/>
    <w:rsid w:val="007A5144"/>
    <w:rsid w:val="007A516F"/>
    <w:rsid w:val="007A5196"/>
    <w:rsid w:val="007A57ED"/>
    <w:rsid w:val="007A5A84"/>
    <w:rsid w:val="007A5CE0"/>
    <w:rsid w:val="007A6634"/>
    <w:rsid w:val="007A67F8"/>
    <w:rsid w:val="007A6C55"/>
    <w:rsid w:val="007A7054"/>
    <w:rsid w:val="007A7248"/>
    <w:rsid w:val="007A7F4A"/>
    <w:rsid w:val="007B01EC"/>
    <w:rsid w:val="007B0508"/>
    <w:rsid w:val="007B05B5"/>
    <w:rsid w:val="007B070C"/>
    <w:rsid w:val="007B0943"/>
    <w:rsid w:val="007B0B80"/>
    <w:rsid w:val="007B0B90"/>
    <w:rsid w:val="007B1295"/>
    <w:rsid w:val="007B14D0"/>
    <w:rsid w:val="007B1AE6"/>
    <w:rsid w:val="007B1BA3"/>
    <w:rsid w:val="007B2294"/>
    <w:rsid w:val="007B2503"/>
    <w:rsid w:val="007B2554"/>
    <w:rsid w:val="007B30A1"/>
    <w:rsid w:val="007B3569"/>
    <w:rsid w:val="007B3B15"/>
    <w:rsid w:val="007B3D05"/>
    <w:rsid w:val="007B40AA"/>
    <w:rsid w:val="007B40BB"/>
    <w:rsid w:val="007B498A"/>
    <w:rsid w:val="007B49FE"/>
    <w:rsid w:val="007B4BF8"/>
    <w:rsid w:val="007B5259"/>
    <w:rsid w:val="007B601D"/>
    <w:rsid w:val="007B6379"/>
    <w:rsid w:val="007B68CC"/>
    <w:rsid w:val="007B695D"/>
    <w:rsid w:val="007B69D8"/>
    <w:rsid w:val="007B6CC8"/>
    <w:rsid w:val="007B764A"/>
    <w:rsid w:val="007B78BD"/>
    <w:rsid w:val="007B7A9C"/>
    <w:rsid w:val="007C0203"/>
    <w:rsid w:val="007C0476"/>
    <w:rsid w:val="007C0573"/>
    <w:rsid w:val="007C13EB"/>
    <w:rsid w:val="007C1EF4"/>
    <w:rsid w:val="007C21D7"/>
    <w:rsid w:val="007C23FF"/>
    <w:rsid w:val="007C2A01"/>
    <w:rsid w:val="007C3291"/>
    <w:rsid w:val="007C33D8"/>
    <w:rsid w:val="007C384E"/>
    <w:rsid w:val="007C3BFD"/>
    <w:rsid w:val="007C4325"/>
    <w:rsid w:val="007C45EB"/>
    <w:rsid w:val="007C5222"/>
    <w:rsid w:val="007C5432"/>
    <w:rsid w:val="007C5AF5"/>
    <w:rsid w:val="007C5D42"/>
    <w:rsid w:val="007C5E89"/>
    <w:rsid w:val="007C5F3F"/>
    <w:rsid w:val="007C614B"/>
    <w:rsid w:val="007C6D49"/>
    <w:rsid w:val="007C7647"/>
    <w:rsid w:val="007C7B74"/>
    <w:rsid w:val="007C7F32"/>
    <w:rsid w:val="007D006F"/>
    <w:rsid w:val="007D00E0"/>
    <w:rsid w:val="007D0FD1"/>
    <w:rsid w:val="007D10FE"/>
    <w:rsid w:val="007D1AAC"/>
    <w:rsid w:val="007D24DA"/>
    <w:rsid w:val="007D2606"/>
    <w:rsid w:val="007D3BDE"/>
    <w:rsid w:val="007D4072"/>
    <w:rsid w:val="007D4260"/>
    <w:rsid w:val="007D427E"/>
    <w:rsid w:val="007D42FC"/>
    <w:rsid w:val="007D50D9"/>
    <w:rsid w:val="007D5282"/>
    <w:rsid w:val="007D53A6"/>
    <w:rsid w:val="007D68C1"/>
    <w:rsid w:val="007D6A29"/>
    <w:rsid w:val="007D6A4A"/>
    <w:rsid w:val="007D6DC4"/>
    <w:rsid w:val="007D7508"/>
    <w:rsid w:val="007D763F"/>
    <w:rsid w:val="007D7C50"/>
    <w:rsid w:val="007D7D37"/>
    <w:rsid w:val="007D7F39"/>
    <w:rsid w:val="007E0756"/>
    <w:rsid w:val="007E12BE"/>
    <w:rsid w:val="007E1976"/>
    <w:rsid w:val="007E1980"/>
    <w:rsid w:val="007E256E"/>
    <w:rsid w:val="007E3210"/>
    <w:rsid w:val="007E336E"/>
    <w:rsid w:val="007E33E4"/>
    <w:rsid w:val="007E382B"/>
    <w:rsid w:val="007E3B79"/>
    <w:rsid w:val="007E44BD"/>
    <w:rsid w:val="007E4515"/>
    <w:rsid w:val="007E4DFF"/>
    <w:rsid w:val="007E4E7C"/>
    <w:rsid w:val="007E58D3"/>
    <w:rsid w:val="007E6337"/>
    <w:rsid w:val="007E681F"/>
    <w:rsid w:val="007E685B"/>
    <w:rsid w:val="007E68AF"/>
    <w:rsid w:val="007E6ACA"/>
    <w:rsid w:val="007E6FA9"/>
    <w:rsid w:val="007E7695"/>
    <w:rsid w:val="007E7BC4"/>
    <w:rsid w:val="007E7F6A"/>
    <w:rsid w:val="007F0283"/>
    <w:rsid w:val="007F08E3"/>
    <w:rsid w:val="007F13F9"/>
    <w:rsid w:val="007F1ED9"/>
    <w:rsid w:val="007F2472"/>
    <w:rsid w:val="007F2B8B"/>
    <w:rsid w:val="007F31DA"/>
    <w:rsid w:val="007F3BC0"/>
    <w:rsid w:val="007F3E0C"/>
    <w:rsid w:val="007F3FE2"/>
    <w:rsid w:val="007F473F"/>
    <w:rsid w:val="007F47F5"/>
    <w:rsid w:val="007F5681"/>
    <w:rsid w:val="007F58E4"/>
    <w:rsid w:val="007F6EFF"/>
    <w:rsid w:val="007F718D"/>
    <w:rsid w:val="007F7E38"/>
    <w:rsid w:val="008003D0"/>
    <w:rsid w:val="00801649"/>
    <w:rsid w:val="00801731"/>
    <w:rsid w:val="0080248B"/>
    <w:rsid w:val="00802614"/>
    <w:rsid w:val="00802B39"/>
    <w:rsid w:val="00802C84"/>
    <w:rsid w:val="008039DF"/>
    <w:rsid w:val="00803A70"/>
    <w:rsid w:val="00804518"/>
    <w:rsid w:val="0080487E"/>
    <w:rsid w:val="008048AA"/>
    <w:rsid w:val="00804FD6"/>
    <w:rsid w:val="0080513F"/>
    <w:rsid w:val="0080593D"/>
    <w:rsid w:val="008060FB"/>
    <w:rsid w:val="00806C40"/>
    <w:rsid w:val="00806D82"/>
    <w:rsid w:val="00806E1B"/>
    <w:rsid w:val="00810B35"/>
    <w:rsid w:val="00810C83"/>
    <w:rsid w:val="008110EB"/>
    <w:rsid w:val="008110F7"/>
    <w:rsid w:val="00811182"/>
    <w:rsid w:val="008117B2"/>
    <w:rsid w:val="00811833"/>
    <w:rsid w:val="0081188F"/>
    <w:rsid w:val="008121BE"/>
    <w:rsid w:val="0081264C"/>
    <w:rsid w:val="00812F37"/>
    <w:rsid w:val="00813008"/>
    <w:rsid w:val="008131EE"/>
    <w:rsid w:val="00813F25"/>
    <w:rsid w:val="00813FE5"/>
    <w:rsid w:val="00814D33"/>
    <w:rsid w:val="00814EDD"/>
    <w:rsid w:val="00815A4D"/>
    <w:rsid w:val="00816029"/>
    <w:rsid w:val="0081614C"/>
    <w:rsid w:val="00816894"/>
    <w:rsid w:val="00816933"/>
    <w:rsid w:val="00817190"/>
    <w:rsid w:val="008172EE"/>
    <w:rsid w:val="00817AC6"/>
    <w:rsid w:val="00817AE6"/>
    <w:rsid w:val="00817DB2"/>
    <w:rsid w:val="00817F11"/>
    <w:rsid w:val="00820060"/>
    <w:rsid w:val="008203A1"/>
    <w:rsid w:val="00820575"/>
    <w:rsid w:val="0082071B"/>
    <w:rsid w:val="008207B5"/>
    <w:rsid w:val="0082092A"/>
    <w:rsid w:val="00820B56"/>
    <w:rsid w:val="00820E5E"/>
    <w:rsid w:val="00820F12"/>
    <w:rsid w:val="0082126D"/>
    <w:rsid w:val="00821493"/>
    <w:rsid w:val="00821681"/>
    <w:rsid w:val="008216FE"/>
    <w:rsid w:val="00821B62"/>
    <w:rsid w:val="00821B67"/>
    <w:rsid w:val="00821D98"/>
    <w:rsid w:val="00822BB3"/>
    <w:rsid w:val="00822C4B"/>
    <w:rsid w:val="00823667"/>
    <w:rsid w:val="00823B2D"/>
    <w:rsid w:val="00823DEC"/>
    <w:rsid w:val="00824EE4"/>
    <w:rsid w:val="008251F3"/>
    <w:rsid w:val="00825727"/>
    <w:rsid w:val="008258B5"/>
    <w:rsid w:val="00825903"/>
    <w:rsid w:val="00825D60"/>
    <w:rsid w:val="00825F29"/>
    <w:rsid w:val="00825FFE"/>
    <w:rsid w:val="00826099"/>
    <w:rsid w:val="00826EEB"/>
    <w:rsid w:val="00826F64"/>
    <w:rsid w:val="00826F7B"/>
    <w:rsid w:val="0082730E"/>
    <w:rsid w:val="00827934"/>
    <w:rsid w:val="008303F5"/>
    <w:rsid w:val="00830620"/>
    <w:rsid w:val="00830BDF"/>
    <w:rsid w:val="00830CA0"/>
    <w:rsid w:val="008312F6"/>
    <w:rsid w:val="00831F9D"/>
    <w:rsid w:val="00832192"/>
    <w:rsid w:val="008324C9"/>
    <w:rsid w:val="00832A8E"/>
    <w:rsid w:val="00832C0C"/>
    <w:rsid w:val="00832D51"/>
    <w:rsid w:val="0083368D"/>
    <w:rsid w:val="00833701"/>
    <w:rsid w:val="00833ED1"/>
    <w:rsid w:val="008340D9"/>
    <w:rsid w:val="008340DA"/>
    <w:rsid w:val="00834625"/>
    <w:rsid w:val="0083582D"/>
    <w:rsid w:val="00836327"/>
    <w:rsid w:val="00836B00"/>
    <w:rsid w:val="00836B07"/>
    <w:rsid w:val="00837170"/>
    <w:rsid w:val="00837499"/>
    <w:rsid w:val="00837D4C"/>
    <w:rsid w:val="00837F48"/>
    <w:rsid w:val="008406A5"/>
    <w:rsid w:val="00840771"/>
    <w:rsid w:val="008409D5"/>
    <w:rsid w:val="008409FA"/>
    <w:rsid w:val="00840DED"/>
    <w:rsid w:val="0084142C"/>
    <w:rsid w:val="00841790"/>
    <w:rsid w:val="00841BA1"/>
    <w:rsid w:val="00842297"/>
    <w:rsid w:val="008425D8"/>
    <w:rsid w:val="00842C0B"/>
    <w:rsid w:val="00843056"/>
    <w:rsid w:val="008434EF"/>
    <w:rsid w:val="008437A8"/>
    <w:rsid w:val="00843ADC"/>
    <w:rsid w:val="00844463"/>
    <w:rsid w:val="0084483E"/>
    <w:rsid w:val="00844C99"/>
    <w:rsid w:val="00844F10"/>
    <w:rsid w:val="008453ED"/>
    <w:rsid w:val="00845EEE"/>
    <w:rsid w:val="008464CA"/>
    <w:rsid w:val="008470B8"/>
    <w:rsid w:val="008479DD"/>
    <w:rsid w:val="008500C4"/>
    <w:rsid w:val="008501F9"/>
    <w:rsid w:val="008501FD"/>
    <w:rsid w:val="0085083E"/>
    <w:rsid w:val="00851027"/>
    <w:rsid w:val="00851217"/>
    <w:rsid w:val="00851239"/>
    <w:rsid w:val="008516EF"/>
    <w:rsid w:val="00851B6C"/>
    <w:rsid w:val="00852512"/>
    <w:rsid w:val="00852643"/>
    <w:rsid w:val="008534E4"/>
    <w:rsid w:val="0085415B"/>
    <w:rsid w:val="00854741"/>
    <w:rsid w:val="00854A3C"/>
    <w:rsid w:val="00854D3B"/>
    <w:rsid w:val="00855DFC"/>
    <w:rsid w:val="00855E3E"/>
    <w:rsid w:val="00855E50"/>
    <w:rsid w:val="008568E3"/>
    <w:rsid w:val="00856AE5"/>
    <w:rsid w:val="00856B2B"/>
    <w:rsid w:val="00856D75"/>
    <w:rsid w:val="0085708B"/>
    <w:rsid w:val="008570D5"/>
    <w:rsid w:val="008578C7"/>
    <w:rsid w:val="008578CD"/>
    <w:rsid w:val="008579F4"/>
    <w:rsid w:val="00857B15"/>
    <w:rsid w:val="00857E36"/>
    <w:rsid w:val="00860DC3"/>
    <w:rsid w:val="00861BD6"/>
    <w:rsid w:val="00861C9F"/>
    <w:rsid w:val="00862181"/>
    <w:rsid w:val="00862B96"/>
    <w:rsid w:val="00862BEC"/>
    <w:rsid w:val="00862DAF"/>
    <w:rsid w:val="00862F2E"/>
    <w:rsid w:val="00862FA2"/>
    <w:rsid w:val="008631DC"/>
    <w:rsid w:val="008632A6"/>
    <w:rsid w:val="0086390D"/>
    <w:rsid w:val="0086470A"/>
    <w:rsid w:val="00864860"/>
    <w:rsid w:val="00864B9D"/>
    <w:rsid w:val="00864DC3"/>
    <w:rsid w:val="00864ECB"/>
    <w:rsid w:val="008666C6"/>
    <w:rsid w:val="00867B06"/>
    <w:rsid w:val="00867BAB"/>
    <w:rsid w:val="0087066E"/>
    <w:rsid w:val="0087121D"/>
    <w:rsid w:val="008712C1"/>
    <w:rsid w:val="00871332"/>
    <w:rsid w:val="008723D0"/>
    <w:rsid w:val="008728E8"/>
    <w:rsid w:val="00872A16"/>
    <w:rsid w:val="0087328F"/>
    <w:rsid w:val="00873436"/>
    <w:rsid w:val="00873B2C"/>
    <w:rsid w:val="00873FE6"/>
    <w:rsid w:val="0087444C"/>
    <w:rsid w:val="00874C86"/>
    <w:rsid w:val="00874EA8"/>
    <w:rsid w:val="00874F7B"/>
    <w:rsid w:val="00875253"/>
    <w:rsid w:val="008752DB"/>
    <w:rsid w:val="008753ED"/>
    <w:rsid w:val="00875432"/>
    <w:rsid w:val="00876278"/>
    <w:rsid w:val="0087692D"/>
    <w:rsid w:val="008770CD"/>
    <w:rsid w:val="00877352"/>
    <w:rsid w:val="0087748D"/>
    <w:rsid w:val="008777F8"/>
    <w:rsid w:val="0087783C"/>
    <w:rsid w:val="00877AE1"/>
    <w:rsid w:val="008807FD"/>
    <w:rsid w:val="008809F3"/>
    <w:rsid w:val="008809FB"/>
    <w:rsid w:val="00880E67"/>
    <w:rsid w:val="0088151A"/>
    <w:rsid w:val="00881899"/>
    <w:rsid w:val="00882244"/>
    <w:rsid w:val="00882518"/>
    <w:rsid w:val="008826F5"/>
    <w:rsid w:val="008828D7"/>
    <w:rsid w:val="00882D52"/>
    <w:rsid w:val="00883050"/>
    <w:rsid w:val="0088314C"/>
    <w:rsid w:val="00883F9B"/>
    <w:rsid w:val="00883FC5"/>
    <w:rsid w:val="00884703"/>
    <w:rsid w:val="00884791"/>
    <w:rsid w:val="0088486D"/>
    <w:rsid w:val="00884E5A"/>
    <w:rsid w:val="00885045"/>
    <w:rsid w:val="00885097"/>
    <w:rsid w:val="008850B1"/>
    <w:rsid w:val="00885946"/>
    <w:rsid w:val="00885A29"/>
    <w:rsid w:val="00886699"/>
    <w:rsid w:val="00886EE9"/>
    <w:rsid w:val="0088709D"/>
    <w:rsid w:val="0088766D"/>
    <w:rsid w:val="00887706"/>
    <w:rsid w:val="00890076"/>
    <w:rsid w:val="008905E0"/>
    <w:rsid w:val="00890679"/>
    <w:rsid w:val="0089084B"/>
    <w:rsid w:val="008909CF"/>
    <w:rsid w:val="00890B07"/>
    <w:rsid w:val="008911E4"/>
    <w:rsid w:val="0089158D"/>
    <w:rsid w:val="00892557"/>
    <w:rsid w:val="00892F39"/>
    <w:rsid w:val="00892F94"/>
    <w:rsid w:val="00893184"/>
    <w:rsid w:val="008931C9"/>
    <w:rsid w:val="00893379"/>
    <w:rsid w:val="008934D9"/>
    <w:rsid w:val="00893535"/>
    <w:rsid w:val="00893CA7"/>
    <w:rsid w:val="0089409D"/>
    <w:rsid w:val="00894660"/>
    <w:rsid w:val="00894886"/>
    <w:rsid w:val="00894D9B"/>
    <w:rsid w:val="0089524C"/>
    <w:rsid w:val="008955EF"/>
    <w:rsid w:val="0089568E"/>
    <w:rsid w:val="008958C0"/>
    <w:rsid w:val="008962DB"/>
    <w:rsid w:val="00896A23"/>
    <w:rsid w:val="00897B69"/>
    <w:rsid w:val="008A0110"/>
    <w:rsid w:val="008A049C"/>
    <w:rsid w:val="008A066D"/>
    <w:rsid w:val="008A0CC1"/>
    <w:rsid w:val="008A0E8D"/>
    <w:rsid w:val="008A0FDD"/>
    <w:rsid w:val="008A1059"/>
    <w:rsid w:val="008A10EF"/>
    <w:rsid w:val="008A11A2"/>
    <w:rsid w:val="008A1821"/>
    <w:rsid w:val="008A1C6F"/>
    <w:rsid w:val="008A2261"/>
    <w:rsid w:val="008A2427"/>
    <w:rsid w:val="008A242C"/>
    <w:rsid w:val="008A2813"/>
    <w:rsid w:val="008A2BD5"/>
    <w:rsid w:val="008A318B"/>
    <w:rsid w:val="008A3518"/>
    <w:rsid w:val="008A3E8C"/>
    <w:rsid w:val="008A4461"/>
    <w:rsid w:val="008A4E4F"/>
    <w:rsid w:val="008A4F25"/>
    <w:rsid w:val="008A5649"/>
    <w:rsid w:val="008A5AE1"/>
    <w:rsid w:val="008A5EEC"/>
    <w:rsid w:val="008A6084"/>
    <w:rsid w:val="008A6BEC"/>
    <w:rsid w:val="008A6C63"/>
    <w:rsid w:val="008A6CA7"/>
    <w:rsid w:val="008A6D36"/>
    <w:rsid w:val="008A6ED5"/>
    <w:rsid w:val="008A702A"/>
    <w:rsid w:val="008A7203"/>
    <w:rsid w:val="008A72B1"/>
    <w:rsid w:val="008B06DB"/>
    <w:rsid w:val="008B074B"/>
    <w:rsid w:val="008B085A"/>
    <w:rsid w:val="008B29FC"/>
    <w:rsid w:val="008B2BB9"/>
    <w:rsid w:val="008B2EB8"/>
    <w:rsid w:val="008B30CD"/>
    <w:rsid w:val="008B3266"/>
    <w:rsid w:val="008B35D4"/>
    <w:rsid w:val="008B42AD"/>
    <w:rsid w:val="008B4684"/>
    <w:rsid w:val="008B4E7B"/>
    <w:rsid w:val="008B503C"/>
    <w:rsid w:val="008B5262"/>
    <w:rsid w:val="008B54A0"/>
    <w:rsid w:val="008B55D7"/>
    <w:rsid w:val="008B611E"/>
    <w:rsid w:val="008B646A"/>
    <w:rsid w:val="008B72CB"/>
    <w:rsid w:val="008B7405"/>
    <w:rsid w:val="008B759D"/>
    <w:rsid w:val="008B769F"/>
    <w:rsid w:val="008C032B"/>
    <w:rsid w:val="008C0580"/>
    <w:rsid w:val="008C0685"/>
    <w:rsid w:val="008C090E"/>
    <w:rsid w:val="008C1077"/>
    <w:rsid w:val="008C11F0"/>
    <w:rsid w:val="008C1D9F"/>
    <w:rsid w:val="008C259D"/>
    <w:rsid w:val="008C2A97"/>
    <w:rsid w:val="008C2DDC"/>
    <w:rsid w:val="008C38B5"/>
    <w:rsid w:val="008C4B2C"/>
    <w:rsid w:val="008C4E4E"/>
    <w:rsid w:val="008C4FA8"/>
    <w:rsid w:val="008C521F"/>
    <w:rsid w:val="008C52F3"/>
    <w:rsid w:val="008C55E2"/>
    <w:rsid w:val="008C5669"/>
    <w:rsid w:val="008C5FFF"/>
    <w:rsid w:val="008C62D2"/>
    <w:rsid w:val="008C6332"/>
    <w:rsid w:val="008C65F7"/>
    <w:rsid w:val="008C665E"/>
    <w:rsid w:val="008C6AD5"/>
    <w:rsid w:val="008C6C81"/>
    <w:rsid w:val="008C71A2"/>
    <w:rsid w:val="008C72EC"/>
    <w:rsid w:val="008C7B12"/>
    <w:rsid w:val="008D01C5"/>
    <w:rsid w:val="008D065D"/>
    <w:rsid w:val="008D06D2"/>
    <w:rsid w:val="008D0868"/>
    <w:rsid w:val="008D166B"/>
    <w:rsid w:val="008D1BCD"/>
    <w:rsid w:val="008D1F85"/>
    <w:rsid w:val="008D2496"/>
    <w:rsid w:val="008D2E5B"/>
    <w:rsid w:val="008D37E4"/>
    <w:rsid w:val="008D3A22"/>
    <w:rsid w:val="008D3C28"/>
    <w:rsid w:val="008D3F97"/>
    <w:rsid w:val="008D42F9"/>
    <w:rsid w:val="008D443A"/>
    <w:rsid w:val="008D451E"/>
    <w:rsid w:val="008D4586"/>
    <w:rsid w:val="008D464C"/>
    <w:rsid w:val="008D4821"/>
    <w:rsid w:val="008D496B"/>
    <w:rsid w:val="008D4AAA"/>
    <w:rsid w:val="008D505D"/>
    <w:rsid w:val="008D51E1"/>
    <w:rsid w:val="008D568F"/>
    <w:rsid w:val="008D628C"/>
    <w:rsid w:val="008D64F4"/>
    <w:rsid w:val="008D64F9"/>
    <w:rsid w:val="008D6538"/>
    <w:rsid w:val="008D7322"/>
    <w:rsid w:val="008E0901"/>
    <w:rsid w:val="008E15FD"/>
    <w:rsid w:val="008E173B"/>
    <w:rsid w:val="008E1B8F"/>
    <w:rsid w:val="008E1EE5"/>
    <w:rsid w:val="008E2949"/>
    <w:rsid w:val="008E29C2"/>
    <w:rsid w:val="008E2BC9"/>
    <w:rsid w:val="008E2E99"/>
    <w:rsid w:val="008E4476"/>
    <w:rsid w:val="008E4B95"/>
    <w:rsid w:val="008E5422"/>
    <w:rsid w:val="008E5FF2"/>
    <w:rsid w:val="008E6536"/>
    <w:rsid w:val="008E711B"/>
    <w:rsid w:val="008E71B4"/>
    <w:rsid w:val="008E7491"/>
    <w:rsid w:val="008F0017"/>
    <w:rsid w:val="008F0DDE"/>
    <w:rsid w:val="008F119B"/>
    <w:rsid w:val="008F1361"/>
    <w:rsid w:val="008F1C0F"/>
    <w:rsid w:val="008F245A"/>
    <w:rsid w:val="008F25C8"/>
    <w:rsid w:val="008F29A0"/>
    <w:rsid w:val="008F2B10"/>
    <w:rsid w:val="008F2DEC"/>
    <w:rsid w:val="008F364E"/>
    <w:rsid w:val="008F3676"/>
    <w:rsid w:val="008F3757"/>
    <w:rsid w:val="008F3794"/>
    <w:rsid w:val="008F3F86"/>
    <w:rsid w:val="008F4290"/>
    <w:rsid w:val="008F4458"/>
    <w:rsid w:val="008F5167"/>
    <w:rsid w:val="008F519B"/>
    <w:rsid w:val="008F666B"/>
    <w:rsid w:val="008F6808"/>
    <w:rsid w:val="008F6B69"/>
    <w:rsid w:val="008F7853"/>
    <w:rsid w:val="009004DB"/>
    <w:rsid w:val="0090060E"/>
    <w:rsid w:val="00900FA8"/>
    <w:rsid w:val="00901164"/>
    <w:rsid w:val="009013C1"/>
    <w:rsid w:val="00901F09"/>
    <w:rsid w:val="00902843"/>
    <w:rsid w:val="00902BF5"/>
    <w:rsid w:val="0090325B"/>
    <w:rsid w:val="00903288"/>
    <w:rsid w:val="00903994"/>
    <w:rsid w:val="00903D12"/>
    <w:rsid w:val="0090533A"/>
    <w:rsid w:val="00905B1E"/>
    <w:rsid w:val="00905C0B"/>
    <w:rsid w:val="00905C58"/>
    <w:rsid w:val="00906E55"/>
    <w:rsid w:val="0090746C"/>
    <w:rsid w:val="009078EF"/>
    <w:rsid w:val="00907E29"/>
    <w:rsid w:val="0091051D"/>
    <w:rsid w:val="00910695"/>
    <w:rsid w:val="00910D55"/>
    <w:rsid w:val="009111DA"/>
    <w:rsid w:val="00911B42"/>
    <w:rsid w:val="009124C2"/>
    <w:rsid w:val="00912D0D"/>
    <w:rsid w:val="00913104"/>
    <w:rsid w:val="00913453"/>
    <w:rsid w:val="009136EF"/>
    <w:rsid w:val="00913984"/>
    <w:rsid w:val="00913DA4"/>
    <w:rsid w:val="00914BF8"/>
    <w:rsid w:val="00915857"/>
    <w:rsid w:val="00915E7E"/>
    <w:rsid w:val="00915F86"/>
    <w:rsid w:val="0091678E"/>
    <w:rsid w:val="00916948"/>
    <w:rsid w:val="00917B99"/>
    <w:rsid w:val="00917C21"/>
    <w:rsid w:val="00917E99"/>
    <w:rsid w:val="00920574"/>
    <w:rsid w:val="0092090D"/>
    <w:rsid w:val="00920BF2"/>
    <w:rsid w:val="00920C5D"/>
    <w:rsid w:val="0092161B"/>
    <w:rsid w:val="00922431"/>
    <w:rsid w:val="0092273E"/>
    <w:rsid w:val="00922983"/>
    <w:rsid w:val="00922C87"/>
    <w:rsid w:val="00923283"/>
    <w:rsid w:val="0092344D"/>
    <w:rsid w:val="009240B4"/>
    <w:rsid w:val="00924B50"/>
    <w:rsid w:val="00924C13"/>
    <w:rsid w:val="00924EAF"/>
    <w:rsid w:val="00924ECB"/>
    <w:rsid w:val="00925EFE"/>
    <w:rsid w:val="00926207"/>
    <w:rsid w:val="009267D1"/>
    <w:rsid w:val="00926E74"/>
    <w:rsid w:val="00927207"/>
    <w:rsid w:val="00927571"/>
    <w:rsid w:val="00927C3D"/>
    <w:rsid w:val="00927CAA"/>
    <w:rsid w:val="00927D99"/>
    <w:rsid w:val="00927DD9"/>
    <w:rsid w:val="00927E3C"/>
    <w:rsid w:val="0093022A"/>
    <w:rsid w:val="0093035C"/>
    <w:rsid w:val="00930613"/>
    <w:rsid w:val="00930AA1"/>
    <w:rsid w:val="0093115D"/>
    <w:rsid w:val="00931762"/>
    <w:rsid w:val="009319C5"/>
    <w:rsid w:val="00931B6B"/>
    <w:rsid w:val="00931BD8"/>
    <w:rsid w:val="00933300"/>
    <w:rsid w:val="00933328"/>
    <w:rsid w:val="0093472F"/>
    <w:rsid w:val="00934FB4"/>
    <w:rsid w:val="0093509F"/>
    <w:rsid w:val="00935502"/>
    <w:rsid w:val="009355AD"/>
    <w:rsid w:val="00936F7E"/>
    <w:rsid w:val="009378CB"/>
    <w:rsid w:val="00937A74"/>
    <w:rsid w:val="00940813"/>
    <w:rsid w:val="00940F2F"/>
    <w:rsid w:val="0094111C"/>
    <w:rsid w:val="009413DF"/>
    <w:rsid w:val="009417F4"/>
    <w:rsid w:val="00941EA2"/>
    <w:rsid w:val="00942077"/>
    <w:rsid w:val="0094307C"/>
    <w:rsid w:val="0094314A"/>
    <w:rsid w:val="00944526"/>
    <w:rsid w:val="00944732"/>
    <w:rsid w:val="00944ECF"/>
    <w:rsid w:val="00944F12"/>
    <w:rsid w:val="0094504C"/>
    <w:rsid w:val="00945275"/>
    <w:rsid w:val="00945808"/>
    <w:rsid w:val="00945AB1"/>
    <w:rsid w:val="00946BE2"/>
    <w:rsid w:val="0094704F"/>
    <w:rsid w:val="00947143"/>
    <w:rsid w:val="009472A2"/>
    <w:rsid w:val="009476B5"/>
    <w:rsid w:val="00947A5E"/>
    <w:rsid w:val="00950B5D"/>
    <w:rsid w:val="0095123B"/>
    <w:rsid w:val="00951A5F"/>
    <w:rsid w:val="00951EAE"/>
    <w:rsid w:val="0095209D"/>
    <w:rsid w:val="0095213B"/>
    <w:rsid w:val="00952224"/>
    <w:rsid w:val="00952490"/>
    <w:rsid w:val="00952642"/>
    <w:rsid w:val="009527A5"/>
    <w:rsid w:val="00952882"/>
    <w:rsid w:val="00953BE2"/>
    <w:rsid w:val="00953D0A"/>
    <w:rsid w:val="0095401D"/>
    <w:rsid w:val="009540B0"/>
    <w:rsid w:val="009569A7"/>
    <w:rsid w:val="00956B22"/>
    <w:rsid w:val="00956BE2"/>
    <w:rsid w:val="00956DB5"/>
    <w:rsid w:val="00957498"/>
    <w:rsid w:val="0095777D"/>
    <w:rsid w:val="00960017"/>
    <w:rsid w:val="00960242"/>
    <w:rsid w:val="00960FDA"/>
    <w:rsid w:val="00961184"/>
    <w:rsid w:val="009612DD"/>
    <w:rsid w:val="009619F0"/>
    <w:rsid w:val="009619FE"/>
    <w:rsid w:val="009623B6"/>
    <w:rsid w:val="00962500"/>
    <w:rsid w:val="00963056"/>
    <w:rsid w:val="00963178"/>
    <w:rsid w:val="009633AA"/>
    <w:rsid w:val="009638D4"/>
    <w:rsid w:val="009643EC"/>
    <w:rsid w:val="0096484B"/>
    <w:rsid w:val="00964BBA"/>
    <w:rsid w:val="00964FA6"/>
    <w:rsid w:val="00965D21"/>
    <w:rsid w:val="00965E6A"/>
    <w:rsid w:val="0096718D"/>
    <w:rsid w:val="00967261"/>
    <w:rsid w:val="009672DC"/>
    <w:rsid w:val="0096741E"/>
    <w:rsid w:val="009676A0"/>
    <w:rsid w:val="00967F1F"/>
    <w:rsid w:val="0097004D"/>
    <w:rsid w:val="00971964"/>
    <w:rsid w:val="00971AF8"/>
    <w:rsid w:val="00971C25"/>
    <w:rsid w:val="0097250A"/>
    <w:rsid w:val="00972B03"/>
    <w:rsid w:val="00972B61"/>
    <w:rsid w:val="00972E21"/>
    <w:rsid w:val="00972E84"/>
    <w:rsid w:val="00973081"/>
    <w:rsid w:val="00973911"/>
    <w:rsid w:val="00974A6C"/>
    <w:rsid w:val="00974B25"/>
    <w:rsid w:val="00974BEA"/>
    <w:rsid w:val="00974C3E"/>
    <w:rsid w:val="00975D4F"/>
    <w:rsid w:val="00975F7F"/>
    <w:rsid w:val="00976387"/>
    <w:rsid w:val="00976ADB"/>
    <w:rsid w:val="009777CF"/>
    <w:rsid w:val="00977EDB"/>
    <w:rsid w:val="00977EE4"/>
    <w:rsid w:val="00977FBC"/>
    <w:rsid w:val="009801C9"/>
    <w:rsid w:val="0098066D"/>
    <w:rsid w:val="009808CA"/>
    <w:rsid w:val="00980EB4"/>
    <w:rsid w:val="00982184"/>
    <w:rsid w:val="009828BA"/>
    <w:rsid w:val="00982AF5"/>
    <w:rsid w:val="009832E5"/>
    <w:rsid w:val="00983469"/>
    <w:rsid w:val="00983584"/>
    <w:rsid w:val="00983786"/>
    <w:rsid w:val="00983F2D"/>
    <w:rsid w:val="009847DC"/>
    <w:rsid w:val="00984817"/>
    <w:rsid w:val="00984AC1"/>
    <w:rsid w:val="0098523B"/>
    <w:rsid w:val="009855D3"/>
    <w:rsid w:val="0098582E"/>
    <w:rsid w:val="009858DF"/>
    <w:rsid w:val="00985CFC"/>
    <w:rsid w:val="00986619"/>
    <w:rsid w:val="00986728"/>
    <w:rsid w:val="009868A7"/>
    <w:rsid w:val="00986A73"/>
    <w:rsid w:val="0098792A"/>
    <w:rsid w:val="00987E3E"/>
    <w:rsid w:val="009900A2"/>
    <w:rsid w:val="0099026B"/>
    <w:rsid w:val="009903D7"/>
    <w:rsid w:val="00990B48"/>
    <w:rsid w:val="00990C82"/>
    <w:rsid w:val="00990CA5"/>
    <w:rsid w:val="00990D4C"/>
    <w:rsid w:val="00990D6E"/>
    <w:rsid w:val="009910C0"/>
    <w:rsid w:val="00991331"/>
    <w:rsid w:val="00991CA4"/>
    <w:rsid w:val="009928A3"/>
    <w:rsid w:val="0099292A"/>
    <w:rsid w:val="00992EA9"/>
    <w:rsid w:val="009934A2"/>
    <w:rsid w:val="0099443D"/>
    <w:rsid w:val="009944CD"/>
    <w:rsid w:val="0099503A"/>
    <w:rsid w:val="0099546D"/>
    <w:rsid w:val="009959D3"/>
    <w:rsid w:val="00995C8D"/>
    <w:rsid w:val="00995E6A"/>
    <w:rsid w:val="00995F6C"/>
    <w:rsid w:val="00996114"/>
    <w:rsid w:val="009966D0"/>
    <w:rsid w:val="0099691D"/>
    <w:rsid w:val="00996C56"/>
    <w:rsid w:val="00997638"/>
    <w:rsid w:val="00997710"/>
    <w:rsid w:val="00997866"/>
    <w:rsid w:val="009A00DD"/>
    <w:rsid w:val="009A06F7"/>
    <w:rsid w:val="009A06F9"/>
    <w:rsid w:val="009A0EC1"/>
    <w:rsid w:val="009A1173"/>
    <w:rsid w:val="009A119C"/>
    <w:rsid w:val="009A11D0"/>
    <w:rsid w:val="009A1212"/>
    <w:rsid w:val="009A12AE"/>
    <w:rsid w:val="009A1658"/>
    <w:rsid w:val="009A1A0E"/>
    <w:rsid w:val="009A1A75"/>
    <w:rsid w:val="009A2429"/>
    <w:rsid w:val="009A33DA"/>
    <w:rsid w:val="009A37B6"/>
    <w:rsid w:val="009A475B"/>
    <w:rsid w:val="009A4A40"/>
    <w:rsid w:val="009A4DFE"/>
    <w:rsid w:val="009A4F6D"/>
    <w:rsid w:val="009A54F1"/>
    <w:rsid w:val="009A557B"/>
    <w:rsid w:val="009A5821"/>
    <w:rsid w:val="009A5AA7"/>
    <w:rsid w:val="009A5D83"/>
    <w:rsid w:val="009A670E"/>
    <w:rsid w:val="009A67DA"/>
    <w:rsid w:val="009A7257"/>
    <w:rsid w:val="009A776B"/>
    <w:rsid w:val="009A7B96"/>
    <w:rsid w:val="009B029C"/>
    <w:rsid w:val="009B1547"/>
    <w:rsid w:val="009B1811"/>
    <w:rsid w:val="009B1A55"/>
    <w:rsid w:val="009B1FC5"/>
    <w:rsid w:val="009B2469"/>
    <w:rsid w:val="009B2541"/>
    <w:rsid w:val="009B2A5D"/>
    <w:rsid w:val="009B3893"/>
    <w:rsid w:val="009B39F7"/>
    <w:rsid w:val="009B3D68"/>
    <w:rsid w:val="009B3D96"/>
    <w:rsid w:val="009B42B1"/>
    <w:rsid w:val="009B4BD0"/>
    <w:rsid w:val="009B4BE6"/>
    <w:rsid w:val="009B5407"/>
    <w:rsid w:val="009B5435"/>
    <w:rsid w:val="009B575C"/>
    <w:rsid w:val="009B5B69"/>
    <w:rsid w:val="009B69D1"/>
    <w:rsid w:val="009B6DF3"/>
    <w:rsid w:val="009B71E7"/>
    <w:rsid w:val="009B7709"/>
    <w:rsid w:val="009B792B"/>
    <w:rsid w:val="009B7E21"/>
    <w:rsid w:val="009C0062"/>
    <w:rsid w:val="009C01C9"/>
    <w:rsid w:val="009C02A3"/>
    <w:rsid w:val="009C02D8"/>
    <w:rsid w:val="009C0BA6"/>
    <w:rsid w:val="009C0D71"/>
    <w:rsid w:val="009C0DAD"/>
    <w:rsid w:val="009C1291"/>
    <w:rsid w:val="009C1A17"/>
    <w:rsid w:val="009C1D01"/>
    <w:rsid w:val="009C1D40"/>
    <w:rsid w:val="009C1D5E"/>
    <w:rsid w:val="009C1FE3"/>
    <w:rsid w:val="009C20CC"/>
    <w:rsid w:val="009C2431"/>
    <w:rsid w:val="009C2BEC"/>
    <w:rsid w:val="009C368F"/>
    <w:rsid w:val="009C38B5"/>
    <w:rsid w:val="009C4C95"/>
    <w:rsid w:val="009C4D1E"/>
    <w:rsid w:val="009C4EA9"/>
    <w:rsid w:val="009C4EE5"/>
    <w:rsid w:val="009C4FAC"/>
    <w:rsid w:val="009C5448"/>
    <w:rsid w:val="009C55A5"/>
    <w:rsid w:val="009C5925"/>
    <w:rsid w:val="009C5C1F"/>
    <w:rsid w:val="009C6725"/>
    <w:rsid w:val="009C680D"/>
    <w:rsid w:val="009C6DDD"/>
    <w:rsid w:val="009C7A8F"/>
    <w:rsid w:val="009C7D11"/>
    <w:rsid w:val="009C7EC2"/>
    <w:rsid w:val="009C7F1C"/>
    <w:rsid w:val="009D0503"/>
    <w:rsid w:val="009D0692"/>
    <w:rsid w:val="009D0B05"/>
    <w:rsid w:val="009D0F4C"/>
    <w:rsid w:val="009D13E9"/>
    <w:rsid w:val="009D14BC"/>
    <w:rsid w:val="009D16C0"/>
    <w:rsid w:val="009D17D3"/>
    <w:rsid w:val="009D203E"/>
    <w:rsid w:val="009D292A"/>
    <w:rsid w:val="009D3140"/>
    <w:rsid w:val="009D364B"/>
    <w:rsid w:val="009D3793"/>
    <w:rsid w:val="009D3E26"/>
    <w:rsid w:val="009D42AC"/>
    <w:rsid w:val="009D452F"/>
    <w:rsid w:val="009D4E80"/>
    <w:rsid w:val="009D52A0"/>
    <w:rsid w:val="009D5642"/>
    <w:rsid w:val="009D57D5"/>
    <w:rsid w:val="009D5FBB"/>
    <w:rsid w:val="009D63E2"/>
    <w:rsid w:val="009D68B5"/>
    <w:rsid w:val="009D68FB"/>
    <w:rsid w:val="009D71FC"/>
    <w:rsid w:val="009D732B"/>
    <w:rsid w:val="009D7427"/>
    <w:rsid w:val="009D7B65"/>
    <w:rsid w:val="009E00F9"/>
    <w:rsid w:val="009E19D8"/>
    <w:rsid w:val="009E1CB2"/>
    <w:rsid w:val="009E1ED5"/>
    <w:rsid w:val="009E1F16"/>
    <w:rsid w:val="009E23D4"/>
    <w:rsid w:val="009E2450"/>
    <w:rsid w:val="009E24A5"/>
    <w:rsid w:val="009E29C4"/>
    <w:rsid w:val="009E31AA"/>
    <w:rsid w:val="009E3807"/>
    <w:rsid w:val="009E412D"/>
    <w:rsid w:val="009E4151"/>
    <w:rsid w:val="009E4181"/>
    <w:rsid w:val="009E4236"/>
    <w:rsid w:val="009E444E"/>
    <w:rsid w:val="009E4B4F"/>
    <w:rsid w:val="009E4CF6"/>
    <w:rsid w:val="009E61EE"/>
    <w:rsid w:val="009E65E3"/>
    <w:rsid w:val="009E660A"/>
    <w:rsid w:val="009E6EEE"/>
    <w:rsid w:val="009E71FE"/>
    <w:rsid w:val="009F0167"/>
    <w:rsid w:val="009F04BC"/>
    <w:rsid w:val="009F0571"/>
    <w:rsid w:val="009F0BE1"/>
    <w:rsid w:val="009F0F1D"/>
    <w:rsid w:val="009F1684"/>
    <w:rsid w:val="009F1AFC"/>
    <w:rsid w:val="009F1E4F"/>
    <w:rsid w:val="009F282E"/>
    <w:rsid w:val="009F3502"/>
    <w:rsid w:val="009F356F"/>
    <w:rsid w:val="009F36AD"/>
    <w:rsid w:val="009F3A73"/>
    <w:rsid w:val="009F3FFB"/>
    <w:rsid w:val="009F439A"/>
    <w:rsid w:val="009F4714"/>
    <w:rsid w:val="009F4D8D"/>
    <w:rsid w:val="009F51B0"/>
    <w:rsid w:val="009F53BD"/>
    <w:rsid w:val="009F550C"/>
    <w:rsid w:val="009F57C8"/>
    <w:rsid w:val="009F63B2"/>
    <w:rsid w:val="009F6942"/>
    <w:rsid w:val="009F6B03"/>
    <w:rsid w:val="00A008E8"/>
    <w:rsid w:val="00A00905"/>
    <w:rsid w:val="00A01162"/>
    <w:rsid w:val="00A01409"/>
    <w:rsid w:val="00A01CC1"/>
    <w:rsid w:val="00A01E5C"/>
    <w:rsid w:val="00A01F02"/>
    <w:rsid w:val="00A023F2"/>
    <w:rsid w:val="00A0285E"/>
    <w:rsid w:val="00A02DAA"/>
    <w:rsid w:val="00A03D23"/>
    <w:rsid w:val="00A03F1D"/>
    <w:rsid w:val="00A04ABD"/>
    <w:rsid w:val="00A04EA5"/>
    <w:rsid w:val="00A05041"/>
    <w:rsid w:val="00A051A6"/>
    <w:rsid w:val="00A0533C"/>
    <w:rsid w:val="00A05690"/>
    <w:rsid w:val="00A05DD3"/>
    <w:rsid w:val="00A05FE9"/>
    <w:rsid w:val="00A0613B"/>
    <w:rsid w:val="00A06675"/>
    <w:rsid w:val="00A10C16"/>
    <w:rsid w:val="00A10FA6"/>
    <w:rsid w:val="00A1120A"/>
    <w:rsid w:val="00A11711"/>
    <w:rsid w:val="00A11898"/>
    <w:rsid w:val="00A11C3C"/>
    <w:rsid w:val="00A120FB"/>
    <w:rsid w:val="00A12F50"/>
    <w:rsid w:val="00A13512"/>
    <w:rsid w:val="00A137E0"/>
    <w:rsid w:val="00A13C71"/>
    <w:rsid w:val="00A13E21"/>
    <w:rsid w:val="00A142D1"/>
    <w:rsid w:val="00A148A0"/>
    <w:rsid w:val="00A14D9D"/>
    <w:rsid w:val="00A155BA"/>
    <w:rsid w:val="00A158CC"/>
    <w:rsid w:val="00A1592C"/>
    <w:rsid w:val="00A15A27"/>
    <w:rsid w:val="00A1675E"/>
    <w:rsid w:val="00A16920"/>
    <w:rsid w:val="00A169C8"/>
    <w:rsid w:val="00A16BA7"/>
    <w:rsid w:val="00A16E48"/>
    <w:rsid w:val="00A17091"/>
    <w:rsid w:val="00A171B6"/>
    <w:rsid w:val="00A174B3"/>
    <w:rsid w:val="00A17F05"/>
    <w:rsid w:val="00A201CB"/>
    <w:rsid w:val="00A204D8"/>
    <w:rsid w:val="00A207D5"/>
    <w:rsid w:val="00A21096"/>
    <w:rsid w:val="00A215E5"/>
    <w:rsid w:val="00A22242"/>
    <w:rsid w:val="00A22264"/>
    <w:rsid w:val="00A22570"/>
    <w:rsid w:val="00A22E51"/>
    <w:rsid w:val="00A2314E"/>
    <w:rsid w:val="00A234AA"/>
    <w:rsid w:val="00A23A00"/>
    <w:rsid w:val="00A23C0F"/>
    <w:rsid w:val="00A23F99"/>
    <w:rsid w:val="00A24140"/>
    <w:rsid w:val="00A24C93"/>
    <w:rsid w:val="00A24DD4"/>
    <w:rsid w:val="00A2552E"/>
    <w:rsid w:val="00A25751"/>
    <w:rsid w:val="00A258F0"/>
    <w:rsid w:val="00A25E02"/>
    <w:rsid w:val="00A25FC5"/>
    <w:rsid w:val="00A2692F"/>
    <w:rsid w:val="00A26B88"/>
    <w:rsid w:val="00A27672"/>
    <w:rsid w:val="00A30584"/>
    <w:rsid w:val="00A30E44"/>
    <w:rsid w:val="00A311E1"/>
    <w:rsid w:val="00A313B1"/>
    <w:rsid w:val="00A314B2"/>
    <w:rsid w:val="00A315CB"/>
    <w:rsid w:val="00A3180D"/>
    <w:rsid w:val="00A32050"/>
    <w:rsid w:val="00A32209"/>
    <w:rsid w:val="00A3265F"/>
    <w:rsid w:val="00A32ADA"/>
    <w:rsid w:val="00A32AE1"/>
    <w:rsid w:val="00A33141"/>
    <w:rsid w:val="00A339D3"/>
    <w:rsid w:val="00A342F9"/>
    <w:rsid w:val="00A34E2C"/>
    <w:rsid w:val="00A34F96"/>
    <w:rsid w:val="00A3547A"/>
    <w:rsid w:val="00A356E1"/>
    <w:rsid w:val="00A35D62"/>
    <w:rsid w:val="00A3616A"/>
    <w:rsid w:val="00A3632F"/>
    <w:rsid w:val="00A3653C"/>
    <w:rsid w:val="00A36950"/>
    <w:rsid w:val="00A36CBC"/>
    <w:rsid w:val="00A37178"/>
    <w:rsid w:val="00A37278"/>
    <w:rsid w:val="00A372E0"/>
    <w:rsid w:val="00A3741A"/>
    <w:rsid w:val="00A410FB"/>
    <w:rsid w:val="00A41A09"/>
    <w:rsid w:val="00A425B6"/>
    <w:rsid w:val="00A427F9"/>
    <w:rsid w:val="00A428D5"/>
    <w:rsid w:val="00A42B46"/>
    <w:rsid w:val="00A42B59"/>
    <w:rsid w:val="00A42EFA"/>
    <w:rsid w:val="00A4301B"/>
    <w:rsid w:val="00A43074"/>
    <w:rsid w:val="00A43D61"/>
    <w:rsid w:val="00A447E6"/>
    <w:rsid w:val="00A449C1"/>
    <w:rsid w:val="00A44AA3"/>
    <w:rsid w:val="00A45167"/>
    <w:rsid w:val="00A45FB6"/>
    <w:rsid w:val="00A46081"/>
    <w:rsid w:val="00A467BB"/>
    <w:rsid w:val="00A4691B"/>
    <w:rsid w:val="00A46ECF"/>
    <w:rsid w:val="00A47EBA"/>
    <w:rsid w:val="00A47FFA"/>
    <w:rsid w:val="00A5078C"/>
    <w:rsid w:val="00A50A8F"/>
    <w:rsid w:val="00A51829"/>
    <w:rsid w:val="00A51932"/>
    <w:rsid w:val="00A52229"/>
    <w:rsid w:val="00A524C8"/>
    <w:rsid w:val="00A52D20"/>
    <w:rsid w:val="00A52FAC"/>
    <w:rsid w:val="00A53BD6"/>
    <w:rsid w:val="00A53D94"/>
    <w:rsid w:val="00A541CA"/>
    <w:rsid w:val="00A5425B"/>
    <w:rsid w:val="00A54264"/>
    <w:rsid w:val="00A547E3"/>
    <w:rsid w:val="00A551AC"/>
    <w:rsid w:val="00A552E4"/>
    <w:rsid w:val="00A5596A"/>
    <w:rsid w:val="00A55A29"/>
    <w:rsid w:val="00A55E20"/>
    <w:rsid w:val="00A561CE"/>
    <w:rsid w:val="00A5633F"/>
    <w:rsid w:val="00A5641B"/>
    <w:rsid w:val="00A56430"/>
    <w:rsid w:val="00A56658"/>
    <w:rsid w:val="00A56775"/>
    <w:rsid w:val="00A56A18"/>
    <w:rsid w:val="00A600C4"/>
    <w:rsid w:val="00A6023B"/>
    <w:rsid w:val="00A60874"/>
    <w:rsid w:val="00A617D8"/>
    <w:rsid w:val="00A61A50"/>
    <w:rsid w:val="00A6239B"/>
    <w:rsid w:val="00A62540"/>
    <w:rsid w:val="00A625A6"/>
    <w:rsid w:val="00A626EA"/>
    <w:rsid w:val="00A62DD8"/>
    <w:rsid w:val="00A63108"/>
    <w:rsid w:val="00A63199"/>
    <w:rsid w:val="00A63646"/>
    <w:rsid w:val="00A6388A"/>
    <w:rsid w:val="00A63AD2"/>
    <w:rsid w:val="00A63CDA"/>
    <w:rsid w:val="00A63EB5"/>
    <w:rsid w:val="00A6456A"/>
    <w:rsid w:val="00A64DA5"/>
    <w:rsid w:val="00A674DD"/>
    <w:rsid w:val="00A67910"/>
    <w:rsid w:val="00A67A2B"/>
    <w:rsid w:val="00A67EAE"/>
    <w:rsid w:val="00A7009F"/>
    <w:rsid w:val="00A7024A"/>
    <w:rsid w:val="00A70277"/>
    <w:rsid w:val="00A70768"/>
    <w:rsid w:val="00A709BF"/>
    <w:rsid w:val="00A70D2A"/>
    <w:rsid w:val="00A713BF"/>
    <w:rsid w:val="00A714CC"/>
    <w:rsid w:val="00A71896"/>
    <w:rsid w:val="00A71DE0"/>
    <w:rsid w:val="00A7209C"/>
    <w:rsid w:val="00A7268A"/>
    <w:rsid w:val="00A729AF"/>
    <w:rsid w:val="00A729F7"/>
    <w:rsid w:val="00A72C20"/>
    <w:rsid w:val="00A73374"/>
    <w:rsid w:val="00A7372E"/>
    <w:rsid w:val="00A7403F"/>
    <w:rsid w:val="00A74040"/>
    <w:rsid w:val="00A741F2"/>
    <w:rsid w:val="00A74385"/>
    <w:rsid w:val="00A744A3"/>
    <w:rsid w:val="00A74672"/>
    <w:rsid w:val="00A74B17"/>
    <w:rsid w:val="00A75249"/>
    <w:rsid w:val="00A7525E"/>
    <w:rsid w:val="00A75399"/>
    <w:rsid w:val="00A75455"/>
    <w:rsid w:val="00A75C11"/>
    <w:rsid w:val="00A7600D"/>
    <w:rsid w:val="00A7607E"/>
    <w:rsid w:val="00A762C5"/>
    <w:rsid w:val="00A779E2"/>
    <w:rsid w:val="00A77F83"/>
    <w:rsid w:val="00A80557"/>
    <w:rsid w:val="00A80A0D"/>
    <w:rsid w:val="00A80C9B"/>
    <w:rsid w:val="00A80ED8"/>
    <w:rsid w:val="00A81B3A"/>
    <w:rsid w:val="00A81C21"/>
    <w:rsid w:val="00A81D98"/>
    <w:rsid w:val="00A82174"/>
    <w:rsid w:val="00A82D0F"/>
    <w:rsid w:val="00A82FD2"/>
    <w:rsid w:val="00A8346D"/>
    <w:rsid w:val="00A8351D"/>
    <w:rsid w:val="00A836DB"/>
    <w:rsid w:val="00A842B7"/>
    <w:rsid w:val="00A853AB"/>
    <w:rsid w:val="00A85939"/>
    <w:rsid w:val="00A86DF7"/>
    <w:rsid w:val="00A870E9"/>
    <w:rsid w:val="00A87AF6"/>
    <w:rsid w:val="00A87B32"/>
    <w:rsid w:val="00A87DBB"/>
    <w:rsid w:val="00A9032C"/>
    <w:rsid w:val="00A906C3"/>
    <w:rsid w:val="00A90AA9"/>
    <w:rsid w:val="00A90E4B"/>
    <w:rsid w:val="00A9126B"/>
    <w:rsid w:val="00A91550"/>
    <w:rsid w:val="00A91777"/>
    <w:rsid w:val="00A91BB7"/>
    <w:rsid w:val="00A92204"/>
    <w:rsid w:val="00A927AF"/>
    <w:rsid w:val="00A927F1"/>
    <w:rsid w:val="00A93399"/>
    <w:rsid w:val="00A94993"/>
    <w:rsid w:val="00A94C3A"/>
    <w:rsid w:val="00A95018"/>
    <w:rsid w:val="00A950F4"/>
    <w:rsid w:val="00A9515E"/>
    <w:rsid w:val="00A953EB"/>
    <w:rsid w:val="00A9663A"/>
    <w:rsid w:val="00A96A9B"/>
    <w:rsid w:val="00A97704"/>
    <w:rsid w:val="00A97923"/>
    <w:rsid w:val="00AA023A"/>
    <w:rsid w:val="00AA0639"/>
    <w:rsid w:val="00AA0D62"/>
    <w:rsid w:val="00AA119C"/>
    <w:rsid w:val="00AA11D8"/>
    <w:rsid w:val="00AA12FB"/>
    <w:rsid w:val="00AA13BD"/>
    <w:rsid w:val="00AA1A37"/>
    <w:rsid w:val="00AA26D8"/>
    <w:rsid w:val="00AA2D89"/>
    <w:rsid w:val="00AA353F"/>
    <w:rsid w:val="00AA367F"/>
    <w:rsid w:val="00AA3695"/>
    <w:rsid w:val="00AA3A1A"/>
    <w:rsid w:val="00AA3B5D"/>
    <w:rsid w:val="00AA4033"/>
    <w:rsid w:val="00AA4402"/>
    <w:rsid w:val="00AA48ED"/>
    <w:rsid w:val="00AA5329"/>
    <w:rsid w:val="00AA550F"/>
    <w:rsid w:val="00AA5530"/>
    <w:rsid w:val="00AA5697"/>
    <w:rsid w:val="00AA5B60"/>
    <w:rsid w:val="00AA5CC6"/>
    <w:rsid w:val="00AA6068"/>
    <w:rsid w:val="00AA7044"/>
    <w:rsid w:val="00AA7239"/>
    <w:rsid w:val="00AA74AB"/>
    <w:rsid w:val="00AA7D06"/>
    <w:rsid w:val="00AA7D36"/>
    <w:rsid w:val="00AA7F82"/>
    <w:rsid w:val="00AB0F9F"/>
    <w:rsid w:val="00AB21D1"/>
    <w:rsid w:val="00AB2264"/>
    <w:rsid w:val="00AB23E5"/>
    <w:rsid w:val="00AB25D0"/>
    <w:rsid w:val="00AB4355"/>
    <w:rsid w:val="00AB4B0A"/>
    <w:rsid w:val="00AB4D59"/>
    <w:rsid w:val="00AB55F9"/>
    <w:rsid w:val="00AB6307"/>
    <w:rsid w:val="00AB6614"/>
    <w:rsid w:val="00AB662B"/>
    <w:rsid w:val="00AB6A9C"/>
    <w:rsid w:val="00AB6C39"/>
    <w:rsid w:val="00AB742D"/>
    <w:rsid w:val="00AB7D51"/>
    <w:rsid w:val="00AB7D98"/>
    <w:rsid w:val="00AC0A12"/>
    <w:rsid w:val="00AC0B12"/>
    <w:rsid w:val="00AC0F4F"/>
    <w:rsid w:val="00AC0F8A"/>
    <w:rsid w:val="00AC0FFF"/>
    <w:rsid w:val="00AC1136"/>
    <w:rsid w:val="00AC161B"/>
    <w:rsid w:val="00AC16A4"/>
    <w:rsid w:val="00AC19AB"/>
    <w:rsid w:val="00AC1A02"/>
    <w:rsid w:val="00AC2755"/>
    <w:rsid w:val="00AC2BC3"/>
    <w:rsid w:val="00AC3133"/>
    <w:rsid w:val="00AC32E7"/>
    <w:rsid w:val="00AC3338"/>
    <w:rsid w:val="00AC33D2"/>
    <w:rsid w:val="00AC3842"/>
    <w:rsid w:val="00AC4496"/>
    <w:rsid w:val="00AC45DF"/>
    <w:rsid w:val="00AC4682"/>
    <w:rsid w:val="00AC47F7"/>
    <w:rsid w:val="00AC6184"/>
    <w:rsid w:val="00AC63F4"/>
    <w:rsid w:val="00AC665A"/>
    <w:rsid w:val="00AC6948"/>
    <w:rsid w:val="00AC7AE9"/>
    <w:rsid w:val="00AC7E07"/>
    <w:rsid w:val="00AD1443"/>
    <w:rsid w:val="00AD150E"/>
    <w:rsid w:val="00AD17CC"/>
    <w:rsid w:val="00AD1998"/>
    <w:rsid w:val="00AD25B0"/>
    <w:rsid w:val="00AD28AE"/>
    <w:rsid w:val="00AD2E20"/>
    <w:rsid w:val="00AD3995"/>
    <w:rsid w:val="00AD39A2"/>
    <w:rsid w:val="00AD47DD"/>
    <w:rsid w:val="00AD4B4E"/>
    <w:rsid w:val="00AD4B83"/>
    <w:rsid w:val="00AD5755"/>
    <w:rsid w:val="00AD6150"/>
    <w:rsid w:val="00AD6154"/>
    <w:rsid w:val="00AD62A2"/>
    <w:rsid w:val="00AD6E24"/>
    <w:rsid w:val="00AD74AF"/>
    <w:rsid w:val="00AD7567"/>
    <w:rsid w:val="00AE0D59"/>
    <w:rsid w:val="00AE1799"/>
    <w:rsid w:val="00AE19E9"/>
    <w:rsid w:val="00AE2095"/>
    <w:rsid w:val="00AE26A2"/>
    <w:rsid w:val="00AE28B1"/>
    <w:rsid w:val="00AE28EB"/>
    <w:rsid w:val="00AE2F24"/>
    <w:rsid w:val="00AE3A56"/>
    <w:rsid w:val="00AE3C96"/>
    <w:rsid w:val="00AE3D4D"/>
    <w:rsid w:val="00AE4352"/>
    <w:rsid w:val="00AE44F9"/>
    <w:rsid w:val="00AE5206"/>
    <w:rsid w:val="00AE521E"/>
    <w:rsid w:val="00AE5248"/>
    <w:rsid w:val="00AE59EC"/>
    <w:rsid w:val="00AE5D74"/>
    <w:rsid w:val="00AE6432"/>
    <w:rsid w:val="00AE6818"/>
    <w:rsid w:val="00AE69DE"/>
    <w:rsid w:val="00AE6AE6"/>
    <w:rsid w:val="00AE6EC9"/>
    <w:rsid w:val="00AE716C"/>
    <w:rsid w:val="00AE7192"/>
    <w:rsid w:val="00AF0033"/>
    <w:rsid w:val="00AF040E"/>
    <w:rsid w:val="00AF042F"/>
    <w:rsid w:val="00AF05D4"/>
    <w:rsid w:val="00AF0C9C"/>
    <w:rsid w:val="00AF0D54"/>
    <w:rsid w:val="00AF1325"/>
    <w:rsid w:val="00AF1340"/>
    <w:rsid w:val="00AF13BA"/>
    <w:rsid w:val="00AF1459"/>
    <w:rsid w:val="00AF15E7"/>
    <w:rsid w:val="00AF1B7F"/>
    <w:rsid w:val="00AF208C"/>
    <w:rsid w:val="00AF22E3"/>
    <w:rsid w:val="00AF258E"/>
    <w:rsid w:val="00AF3197"/>
    <w:rsid w:val="00AF3280"/>
    <w:rsid w:val="00AF375C"/>
    <w:rsid w:val="00AF3B03"/>
    <w:rsid w:val="00AF3FDA"/>
    <w:rsid w:val="00AF4040"/>
    <w:rsid w:val="00AF4374"/>
    <w:rsid w:val="00AF47B5"/>
    <w:rsid w:val="00AF498F"/>
    <w:rsid w:val="00AF4C84"/>
    <w:rsid w:val="00AF4C9B"/>
    <w:rsid w:val="00AF4DE8"/>
    <w:rsid w:val="00AF5033"/>
    <w:rsid w:val="00AF5169"/>
    <w:rsid w:val="00AF5183"/>
    <w:rsid w:val="00AF5246"/>
    <w:rsid w:val="00AF5AC3"/>
    <w:rsid w:val="00AF5CC7"/>
    <w:rsid w:val="00AF5D3E"/>
    <w:rsid w:val="00AF61C2"/>
    <w:rsid w:val="00AF6858"/>
    <w:rsid w:val="00AF6C18"/>
    <w:rsid w:val="00AF6CB6"/>
    <w:rsid w:val="00AF6CF7"/>
    <w:rsid w:val="00AF72EA"/>
    <w:rsid w:val="00AF749B"/>
    <w:rsid w:val="00AF761C"/>
    <w:rsid w:val="00AF7774"/>
    <w:rsid w:val="00AF7B5D"/>
    <w:rsid w:val="00B00307"/>
    <w:rsid w:val="00B00891"/>
    <w:rsid w:val="00B00949"/>
    <w:rsid w:val="00B00B12"/>
    <w:rsid w:val="00B00D58"/>
    <w:rsid w:val="00B01014"/>
    <w:rsid w:val="00B0116B"/>
    <w:rsid w:val="00B0144E"/>
    <w:rsid w:val="00B0158D"/>
    <w:rsid w:val="00B0169E"/>
    <w:rsid w:val="00B01889"/>
    <w:rsid w:val="00B02275"/>
    <w:rsid w:val="00B0234B"/>
    <w:rsid w:val="00B02657"/>
    <w:rsid w:val="00B028F1"/>
    <w:rsid w:val="00B03363"/>
    <w:rsid w:val="00B03FD1"/>
    <w:rsid w:val="00B0406B"/>
    <w:rsid w:val="00B06137"/>
    <w:rsid w:val="00B063C7"/>
    <w:rsid w:val="00B06538"/>
    <w:rsid w:val="00B06988"/>
    <w:rsid w:val="00B06A0C"/>
    <w:rsid w:val="00B06B9F"/>
    <w:rsid w:val="00B06D9A"/>
    <w:rsid w:val="00B07B16"/>
    <w:rsid w:val="00B07C9D"/>
    <w:rsid w:val="00B104F1"/>
    <w:rsid w:val="00B10506"/>
    <w:rsid w:val="00B1070F"/>
    <w:rsid w:val="00B1072F"/>
    <w:rsid w:val="00B10E04"/>
    <w:rsid w:val="00B116F9"/>
    <w:rsid w:val="00B119DA"/>
    <w:rsid w:val="00B11C91"/>
    <w:rsid w:val="00B123AC"/>
    <w:rsid w:val="00B12444"/>
    <w:rsid w:val="00B1294A"/>
    <w:rsid w:val="00B129C6"/>
    <w:rsid w:val="00B129E8"/>
    <w:rsid w:val="00B13230"/>
    <w:rsid w:val="00B13C7F"/>
    <w:rsid w:val="00B13DA4"/>
    <w:rsid w:val="00B14069"/>
    <w:rsid w:val="00B142F5"/>
    <w:rsid w:val="00B143B3"/>
    <w:rsid w:val="00B145FC"/>
    <w:rsid w:val="00B145FD"/>
    <w:rsid w:val="00B1476B"/>
    <w:rsid w:val="00B14847"/>
    <w:rsid w:val="00B153CC"/>
    <w:rsid w:val="00B15C49"/>
    <w:rsid w:val="00B1694C"/>
    <w:rsid w:val="00B16AB7"/>
    <w:rsid w:val="00B1705E"/>
    <w:rsid w:val="00B174A1"/>
    <w:rsid w:val="00B17DD0"/>
    <w:rsid w:val="00B20265"/>
    <w:rsid w:val="00B20B8A"/>
    <w:rsid w:val="00B21368"/>
    <w:rsid w:val="00B21405"/>
    <w:rsid w:val="00B21520"/>
    <w:rsid w:val="00B21A15"/>
    <w:rsid w:val="00B21ED4"/>
    <w:rsid w:val="00B21F67"/>
    <w:rsid w:val="00B22382"/>
    <w:rsid w:val="00B223F8"/>
    <w:rsid w:val="00B22532"/>
    <w:rsid w:val="00B22B40"/>
    <w:rsid w:val="00B22EA4"/>
    <w:rsid w:val="00B23354"/>
    <w:rsid w:val="00B23884"/>
    <w:rsid w:val="00B23E54"/>
    <w:rsid w:val="00B24170"/>
    <w:rsid w:val="00B242D5"/>
    <w:rsid w:val="00B24319"/>
    <w:rsid w:val="00B24337"/>
    <w:rsid w:val="00B249BC"/>
    <w:rsid w:val="00B24BDD"/>
    <w:rsid w:val="00B25853"/>
    <w:rsid w:val="00B25989"/>
    <w:rsid w:val="00B25D0B"/>
    <w:rsid w:val="00B26384"/>
    <w:rsid w:val="00B26F97"/>
    <w:rsid w:val="00B27432"/>
    <w:rsid w:val="00B27760"/>
    <w:rsid w:val="00B27B29"/>
    <w:rsid w:val="00B27B2D"/>
    <w:rsid w:val="00B3005C"/>
    <w:rsid w:val="00B3011F"/>
    <w:rsid w:val="00B3037B"/>
    <w:rsid w:val="00B30CAC"/>
    <w:rsid w:val="00B313A5"/>
    <w:rsid w:val="00B31491"/>
    <w:rsid w:val="00B315AF"/>
    <w:rsid w:val="00B31B3D"/>
    <w:rsid w:val="00B31E6C"/>
    <w:rsid w:val="00B324BD"/>
    <w:rsid w:val="00B32921"/>
    <w:rsid w:val="00B32F22"/>
    <w:rsid w:val="00B33240"/>
    <w:rsid w:val="00B332A6"/>
    <w:rsid w:val="00B33386"/>
    <w:rsid w:val="00B333B9"/>
    <w:rsid w:val="00B3415C"/>
    <w:rsid w:val="00B34207"/>
    <w:rsid w:val="00B3446D"/>
    <w:rsid w:val="00B3478D"/>
    <w:rsid w:val="00B34FED"/>
    <w:rsid w:val="00B356C1"/>
    <w:rsid w:val="00B35875"/>
    <w:rsid w:val="00B35884"/>
    <w:rsid w:val="00B36023"/>
    <w:rsid w:val="00B3604B"/>
    <w:rsid w:val="00B36129"/>
    <w:rsid w:val="00B36517"/>
    <w:rsid w:val="00B36868"/>
    <w:rsid w:val="00B36F71"/>
    <w:rsid w:val="00B3729A"/>
    <w:rsid w:val="00B374DF"/>
    <w:rsid w:val="00B3766B"/>
    <w:rsid w:val="00B37A03"/>
    <w:rsid w:val="00B37E03"/>
    <w:rsid w:val="00B404FF"/>
    <w:rsid w:val="00B4097F"/>
    <w:rsid w:val="00B40B50"/>
    <w:rsid w:val="00B40CBB"/>
    <w:rsid w:val="00B412DF"/>
    <w:rsid w:val="00B41527"/>
    <w:rsid w:val="00B416F4"/>
    <w:rsid w:val="00B41E9C"/>
    <w:rsid w:val="00B43009"/>
    <w:rsid w:val="00B43268"/>
    <w:rsid w:val="00B43B56"/>
    <w:rsid w:val="00B43C85"/>
    <w:rsid w:val="00B43DF6"/>
    <w:rsid w:val="00B43F83"/>
    <w:rsid w:val="00B442FD"/>
    <w:rsid w:val="00B44681"/>
    <w:rsid w:val="00B4478A"/>
    <w:rsid w:val="00B44791"/>
    <w:rsid w:val="00B44B4E"/>
    <w:rsid w:val="00B44B71"/>
    <w:rsid w:val="00B44C6B"/>
    <w:rsid w:val="00B44F8C"/>
    <w:rsid w:val="00B450C6"/>
    <w:rsid w:val="00B453A6"/>
    <w:rsid w:val="00B4572F"/>
    <w:rsid w:val="00B46183"/>
    <w:rsid w:val="00B46D2B"/>
    <w:rsid w:val="00B46F9C"/>
    <w:rsid w:val="00B472DC"/>
    <w:rsid w:val="00B4749F"/>
    <w:rsid w:val="00B4766E"/>
    <w:rsid w:val="00B5017B"/>
    <w:rsid w:val="00B50D31"/>
    <w:rsid w:val="00B50D62"/>
    <w:rsid w:val="00B50E55"/>
    <w:rsid w:val="00B51775"/>
    <w:rsid w:val="00B51B3E"/>
    <w:rsid w:val="00B52AB2"/>
    <w:rsid w:val="00B532DB"/>
    <w:rsid w:val="00B54028"/>
    <w:rsid w:val="00B5464E"/>
    <w:rsid w:val="00B547E8"/>
    <w:rsid w:val="00B547F8"/>
    <w:rsid w:val="00B54B49"/>
    <w:rsid w:val="00B54E8B"/>
    <w:rsid w:val="00B555D6"/>
    <w:rsid w:val="00B56179"/>
    <w:rsid w:val="00B57081"/>
    <w:rsid w:val="00B57F3E"/>
    <w:rsid w:val="00B60196"/>
    <w:rsid w:val="00B6033F"/>
    <w:rsid w:val="00B60B57"/>
    <w:rsid w:val="00B60CEB"/>
    <w:rsid w:val="00B614E8"/>
    <w:rsid w:val="00B61989"/>
    <w:rsid w:val="00B6268E"/>
    <w:rsid w:val="00B62D4B"/>
    <w:rsid w:val="00B63141"/>
    <w:rsid w:val="00B637DD"/>
    <w:rsid w:val="00B638D6"/>
    <w:rsid w:val="00B639E6"/>
    <w:rsid w:val="00B63B13"/>
    <w:rsid w:val="00B63C59"/>
    <w:rsid w:val="00B63F0D"/>
    <w:rsid w:val="00B6413C"/>
    <w:rsid w:val="00B64F45"/>
    <w:rsid w:val="00B6517F"/>
    <w:rsid w:val="00B65500"/>
    <w:rsid w:val="00B65547"/>
    <w:rsid w:val="00B659FB"/>
    <w:rsid w:val="00B664DA"/>
    <w:rsid w:val="00B6658E"/>
    <w:rsid w:val="00B666B6"/>
    <w:rsid w:val="00B667E8"/>
    <w:rsid w:val="00B70CEC"/>
    <w:rsid w:val="00B71185"/>
    <w:rsid w:val="00B71532"/>
    <w:rsid w:val="00B72579"/>
    <w:rsid w:val="00B73402"/>
    <w:rsid w:val="00B734E8"/>
    <w:rsid w:val="00B7371D"/>
    <w:rsid w:val="00B73734"/>
    <w:rsid w:val="00B73897"/>
    <w:rsid w:val="00B73E87"/>
    <w:rsid w:val="00B740A4"/>
    <w:rsid w:val="00B74221"/>
    <w:rsid w:val="00B746A9"/>
    <w:rsid w:val="00B74A64"/>
    <w:rsid w:val="00B74D55"/>
    <w:rsid w:val="00B7569D"/>
    <w:rsid w:val="00B75F16"/>
    <w:rsid w:val="00B7653E"/>
    <w:rsid w:val="00B7698A"/>
    <w:rsid w:val="00B77C64"/>
    <w:rsid w:val="00B77F3C"/>
    <w:rsid w:val="00B8026C"/>
    <w:rsid w:val="00B809F8"/>
    <w:rsid w:val="00B81396"/>
    <w:rsid w:val="00B81DEB"/>
    <w:rsid w:val="00B826A8"/>
    <w:rsid w:val="00B82C95"/>
    <w:rsid w:val="00B830A1"/>
    <w:rsid w:val="00B831A1"/>
    <w:rsid w:val="00B83771"/>
    <w:rsid w:val="00B83A62"/>
    <w:rsid w:val="00B83AA9"/>
    <w:rsid w:val="00B84034"/>
    <w:rsid w:val="00B8408A"/>
    <w:rsid w:val="00B841F4"/>
    <w:rsid w:val="00B8504F"/>
    <w:rsid w:val="00B8667B"/>
    <w:rsid w:val="00B867F7"/>
    <w:rsid w:val="00B869DE"/>
    <w:rsid w:val="00B86F5C"/>
    <w:rsid w:val="00B874EA"/>
    <w:rsid w:val="00B87A7D"/>
    <w:rsid w:val="00B87C7B"/>
    <w:rsid w:val="00B90DB2"/>
    <w:rsid w:val="00B919F3"/>
    <w:rsid w:val="00B91A8A"/>
    <w:rsid w:val="00B93F38"/>
    <w:rsid w:val="00B942C2"/>
    <w:rsid w:val="00B94668"/>
    <w:rsid w:val="00B94B65"/>
    <w:rsid w:val="00B95F65"/>
    <w:rsid w:val="00B96307"/>
    <w:rsid w:val="00B96590"/>
    <w:rsid w:val="00B965AE"/>
    <w:rsid w:val="00B96B55"/>
    <w:rsid w:val="00B9755F"/>
    <w:rsid w:val="00B977CF"/>
    <w:rsid w:val="00B97828"/>
    <w:rsid w:val="00B97EC5"/>
    <w:rsid w:val="00BA037C"/>
    <w:rsid w:val="00BA0B34"/>
    <w:rsid w:val="00BA0E42"/>
    <w:rsid w:val="00BA18B1"/>
    <w:rsid w:val="00BA1CEF"/>
    <w:rsid w:val="00BA1DFE"/>
    <w:rsid w:val="00BA1E84"/>
    <w:rsid w:val="00BA1FCB"/>
    <w:rsid w:val="00BA2038"/>
    <w:rsid w:val="00BA25A7"/>
    <w:rsid w:val="00BA2696"/>
    <w:rsid w:val="00BA2948"/>
    <w:rsid w:val="00BA2CC3"/>
    <w:rsid w:val="00BA2CD3"/>
    <w:rsid w:val="00BA2EA6"/>
    <w:rsid w:val="00BA3051"/>
    <w:rsid w:val="00BA30CE"/>
    <w:rsid w:val="00BA33A6"/>
    <w:rsid w:val="00BA36F5"/>
    <w:rsid w:val="00BA3DEC"/>
    <w:rsid w:val="00BA4119"/>
    <w:rsid w:val="00BA449C"/>
    <w:rsid w:val="00BA6413"/>
    <w:rsid w:val="00BA6D57"/>
    <w:rsid w:val="00BA6EC6"/>
    <w:rsid w:val="00BA709C"/>
    <w:rsid w:val="00BA73E5"/>
    <w:rsid w:val="00BA73F9"/>
    <w:rsid w:val="00BA79E1"/>
    <w:rsid w:val="00BA7A53"/>
    <w:rsid w:val="00BA7A55"/>
    <w:rsid w:val="00BA7A92"/>
    <w:rsid w:val="00BB006E"/>
    <w:rsid w:val="00BB0305"/>
    <w:rsid w:val="00BB054A"/>
    <w:rsid w:val="00BB0DB8"/>
    <w:rsid w:val="00BB16CF"/>
    <w:rsid w:val="00BB194E"/>
    <w:rsid w:val="00BB1E0D"/>
    <w:rsid w:val="00BB225D"/>
    <w:rsid w:val="00BB2409"/>
    <w:rsid w:val="00BB27AA"/>
    <w:rsid w:val="00BB2CF6"/>
    <w:rsid w:val="00BB3056"/>
    <w:rsid w:val="00BB3619"/>
    <w:rsid w:val="00BB396F"/>
    <w:rsid w:val="00BB423A"/>
    <w:rsid w:val="00BB4669"/>
    <w:rsid w:val="00BB491B"/>
    <w:rsid w:val="00BB4CC8"/>
    <w:rsid w:val="00BB5EA1"/>
    <w:rsid w:val="00BB674A"/>
    <w:rsid w:val="00BB677B"/>
    <w:rsid w:val="00BB6DBE"/>
    <w:rsid w:val="00BB72D2"/>
    <w:rsid w:val="00BB789F"/>
    <w:rsid w:val="00BB7908"/>
    <w:rsid w:val="00BB7F47"/>
    <w:rsid w:val="00BC0A0C"/>
    <w:rsid w:val="00BC0A3F"/>
    <w:rsid w:val="00BC2277"/>
    <w:rsid w:val="00BC24EC"/>
    <w:rsid w:val="00BC296A"/>
    <w:rsid w:val="00BC2D2A"/>
    <w:rsid w:val="00BC3CD5"/>
    <w:rsid w:val="00BC3F4A"/>
    <w:rsid w:val="00BC407B"/>
    <w:rsid w:val="00BC4673"/>
    <w:rsid w:val="00BC49D1"/>
    <w:rsid w:val="00BC4F19"/>
    <w:rsid w:val="00BC523C"/>
    <w:rsid w:val="00BC5612"/>
    <w:rsid w:val="00BC585A"/>
    <w:rsid w:val="00BC58E7"/>
    <w:rsid w:val="00BC5B22"/>
    <w:rsid w:val="00BC5BBB"/>
    <w:rsid w:val="00BC5BD1"/>
    <w:rsid w:val="00BC6A61"/>
    <w:rsid w:val="00BC6D6E"/>
    <w:rsid w:val="00BC6E7B"/>
    <w:rsid w:val="00BC75EC"/>
    <w:rsid w:val="00BC7805"/>
    <w:rsid w:val="00BC7A24"/>
    <w:rsid w:val="00BD031F"/>
    <w:rsid w:val="00BD0EF2"/>
    <w:rsid w:val="00BD0F1D"/>
    <w:rsid w:val="00BD1315"/>
    <w:rsid w:val="00BD1470"/>
    <w:rsid w:val="00BD1C20"/>
    <w:rsid w:val="00BD2316"/>
    <w:rsid w:val="00BD2911"/>
    <w:rsid w:val="00BD3289"/>
    <w:rsid w:val="00BD377C"/>
    <w:rsid w:val="00BD3C9A"/>
    <w:rsid w:val="00BD413F"/>
    <w:rsid w:val="00BD453E"/>
    <w:rsid w:val="00BD45CA"/>
    <w:rsid w:val="00BD49FF"/>
    <w:rsid w:val="00BD4C23"/>
    <w:rsid w:val="00BD4E34"/>
    <w:rsid w:val="00BD4F0D"/>
    <w:rsid w:val="00BD55CB"/>
    <w:rsid w:val="00BD5BDC"/>
    <w:rsid w:val="00BD5C08"/>
    <w:rsid w:val="00BD5D56"/>
    <w:rsid w:val="00BD61AE"/>
    <w:rsid w:val="00BD630D"/>
    <w:rsid w:val="00BD66A1"/>
    <w:rsid w:val="00BD6D1F"/>
    <w:rsid w:val="00BD6FDB"/>
    <w:rsid w:val="00BD7124"/>
    <w:rsid w:val="00BD736B"/>
    <w:rsid w:val="00BD737D"/>
    <w:rsid w:val="00BD742C"/>
    <w:rsid w:val="00BD743C"/>
    <w:rsid w:val="00BD7FAA"/>
    <w:rsid w:val="00BE015B"/>
    <w:rsid w:val="00BE046B"/>
    <w:rsid w:val="00BE0E11"/>
    <w:rsid w:val="00BE0E92"/>
    <w:rsid w:val="00BE1A0A"/>
    <w:rsid w:val="00BE1CD3"/>
    <w:rsid w:val="00BE217C"/>
    <w:rsid w:val="00BE2346"/>
    <w:rsid w:val="00BE2407"/>
    <w:rsid w:val="00BE25B9"/>
    <w:rsid w:val="00BE2612"/>
    <w:rsid w:val="00BE2870"/>
    <w:rsid w:val="00BE2954"/>
    <w:rsid w:val="00BE2AA4"/>
    <w:rsid w:val="00BE3174"/>
    <w:rsid w:val="00BE376A"/>
    <w:rsid w:val="00BE3799"/>
    <w:rsid w:val="00BE3A42"/>
    <w:rsid w:val="00BE3CB9"/>
    <w:rsid w:val="00BE4313"/>
    <w:rsid w:val="00BE4E7E"/>
    <w:rsid w:val="00BE55C5"/>
    <w:rsid w:val="00BE5C2E"/>
    <w:rsid w:val="00BE617B"/>
    <w:rsid w:val="00BE6403"/>
    <w:rsid w:val="00BE656D"/>
    <w:rsid w:val="00BE676D"/>
    <w:rsid w:val="00BE67AB"/>
    <w:rsid w:val="00BE6998"/>
    <w:rsid w:val="00BE7C52"/>
    <w:rsid w:val="00BE7D16"/>
    <w:rsid w:val="00BF031B"/>
    <w:rsid w:val="00BF05F3"/>
    <w:rsid w:val="00BF0608"/>
    <w:rsid w:val="00BF0A9E"/>
    <w:rsid w:val="00BF0DAB"/>
    <w:rsid w:val="00BF0EBF"/>
    <w:rsid w:val="00BF154E"/>
    <w:rsid w:val="00BF1ACB"/>
    <w:rsid w:val="00BF1CA4"/>
    <w:rsid w:val="00BF248C"/>
    <w:rsid w:val="00BF271E"/>
    <w:rsid w:val="00BF2FE2"/>
    <w:rsid w:val="00BF391A"/>
    <w:rsid w:val="00BF395F"/>
    <w:rsid w:val="00BF39C1"/>
    <w:rsid w:val="00BF3DB8"/>
    <w:rsid w:val="00BF44EE"/>
    <w:rsid w:val="00BF4996"/>
    <w:rsid w:val="00BF49E7"/>
    <w:rsid w:val="00BF4CA3"/>
    <w:rsid w:val="00BF4F9D"/>
    <w:rsid w:val="00BF5F21"/>
    <w:rsid w:val="00BF6099"/>
    <w:rsid w:val="00BF6129"/>
    <w:rsid w:val="00BF6700"/>
    <w:rsid w:val="00BF6ABA"/>
    <w:rsid w:val="00BF77FF"/>
    <w:rsid w:val="00BF7CA9"/>
    <w:rsid w:val="00BF7E75"/>
    <w:rsid w:val="00C00405"/>
    <w:rsid w:val="00C00FD4"/>
    <w:rsid w:val="00C01487"/>
    <w:rsid w:val="00C01D33"/>
    <w:rsid w:val="00C029F2"/>
    <w:rsid w:val="00C038DD"/>
    <w:rsid w:val="00C042E8"/>
    <w:rsid w:val="00C04CDB"/>
    <w:rsid w:val="00C04EC8"/>
    <w:rsid w:val="00C0509C"/>
    <w:rsid w:val="00C0546A"/>
    <w:rsid w:val="00C057A2"/>
    <w:rsid w:val="00C05BCF"/>
    <w:rsid w:val="00C05F41"/>
    <w:rsid w:val="00C066D8"/>
    <w:rsid w:val="00C06B49"/>
    <w:rsid w:val="00C06B55"/>
    <w:rsid w:val="00C1070E"/>
    <w:rsid w:val="00C10ECE"/>
    <w:rsid w:val="00C11055"/>
    <w:rsid w:val="00C1134F"/>
    <w:rsid w:val="00C113D6"/>
    <w:rsid w:val="00C114F2"/>
    <w:rsid w:val="00C117A9"/>
    <w:rsid w:val="00C12CB7"/>
    <w:rsid w:val="00C12F37"/>
    <w:rsid w:val="00C14FAF"/>
    <w:rsid w:val="00C151B7"/>
    <w:rsid w:val="00C152B8"/>
    <w:rsid w:val="00C1579C"/>
    <w:rsid w:val="00C16FF4"/>
    <w:rsid w:val="00C171E8"/>
    <w:rsid w:val="00C174A4"/>
    <w:rsid w:val="00C17824"/>
    <w:rsid w:val="00C20BB3"/>
    <w:rsid w:val="00C20EA1"/>
    <w:rsid w:val="00C21610"/>
    <w:rsid w:val="00C21781"/>
    <w:rsid w:val="00C224F9"/>
    <w:rsid w:val="00C226D7"/>
    <w:rsid w:val="00C22AC8"/>
    <w:rsid w:val="00C22BF9"/>
    <w:rsid w:val="00C236F8"/>
    <w:rsid w:val="00C23B4D"/>
    <w:rsid w:val="00C23C9D"/>
    <w:rsid w:val="00C23CB0"/>
    <w:rsid w:val="00C23E01"/>
    <w:rsid w:val="00C24B61"/>
    <w:rsid w:val="00C24D9B"/>
    <w:rsid w:val="00C25482"/>
    <w:rsid w:val="00C25556"/>
    <w:rsid w:val="00C25780"/>
    <w:rsid w:val="00C26205"/>
    <w:rsid w:val="00C26F99"/>
    <w:rsid w:val="00C27078"/>
    <w:rsid w:val="00C2708B"/>
    <w:rsid w:val="00C270C6"/>
    <w:rsid w:val="00C2790C"/>
    <w:rsid w:val="00C27EA4"/>
    <w:rsid w:val="00C302C6"/>
    <w:rsid w:val="00C3061C"/>
    <w:rsid w:val="00C30643"/>
    <w:rsid w:val="00C30B75"/>
    <w:rsid w:val="00C30FD5"/>
    <w:rsid w:val="00C310F9"/>
    <w:rsid w:val="00C313CF"/>
    <w:rsid w:val="00C318E5"/>
    <w:rsid w:val="00C319C5"/>
    <w:rsid w:val="00C31BBF"/>
    <w:rsid w:val="00C31D2E"/>
    <w:rsid w:val="00C31DF0"/>
    <w:rsid w:val="00C32026"/>
    <w:rsid w:val="00C328D5"/>
    <w:rsid w:val="00C32C9F"/>
    <w:rsid w:val="00C332E7"/>
    <w:rsid w:val="00C33C54"/>
    <w:rsid w:val="00C33C67"/>
    <w:rsid w:val="00C345E4"/>
    <w:rsid w:val="00C34A52"/>
    <w:rsid w:val="00C3518A"/>
    <w:rsid w:val="00C3522D"/>
    <w:rsid w:val="00C3557B"/>
    <w:rsid w:val="00C359F0"/>
    <w:rsid w:val="00C35C10"/>
    <w:rsid w:val="00C35D93"/>
    <w:rsid w:val="00C36336"/>
    <w:rsid w:val="00C36464"/>
    <w:rsid w:val="00C370E9"/>
    <w:rsid w:val="00C37159"/>
    <w:rsid w:val="00C37699"/>
    <w:rsid w:val="00C37B67"/>
    <w:rsid w:val="00C400E9"/>
    <w:rsid w:val="00C406FA"/>
    <w:rsid w:val="00C41263"/>
    <w:rsid w:val="00C417AA"/>
    <w:rsid w:val="00C417AE"/>
    <w:rsid w:val="00C41D2F"/>
    <w:rsid w:val="00C41EFA"/>
    <w:rsid w:val="00C420B7"/>
    <w:rsid w:val="00C4244C"/>
    <w:rsid w:val="00C42497"/>
    <w:rsid w:val="00C428C4"/>
    <w:rsid w:val="00C42A5D"/>
    <w:rsid w:val="00C42C95"/>
    <w:rsid w:val="00C430C9"/>
    <w:rsid w:val="00C437C6"/>
    <w:rsid w:val="00C4383E"/>
    <w:rsid w:val="00C43AA2"/>
    <w:rsid w:val="00C43F54"/>
    <w:rsid w:val="00C444C3"/>
    <w:rsid w:val="00C44681"/>
    <w:rsid w:val="00C44978"/>
    <w:rsid w:val="00C449DD"/>
    <w:rsid w:val="00C455BF"/>
    <w:rsid w:val="00C45925"/>
    <w:rsid w:val="00C45F9B"/>
    <w:rsid w:val="00C45FF2"/>
    <w:rsid w:val="00C461FB"/>
    <w:rsid w:val="00C465F9"/>
    <w:rsid w:val="00C466ED"/>
    <w:rsid w:val="00C467D0"/>
    <w:rsid w:val="00C47091"/>
    <w:rsid w:val="00C470F0"/>
    <w:rsid w:val="00C47254"/>
    <w:rsid w:val="00C4774E"/>
    <w:rsid w:val="00C478A4"/>
    <w:rsid w:val="00C4794F"/>
    <w:rsid w:val="00C479A3"/>
    <w:rsid w:val="00C50544"/>
    <w:rsid w:val="00C50670"/>
    <w:rsid w:val="00C50C26"/>
    <w:rsid w:val="00C50C30"/>
    <w:rsid w:val="00C51D3E"/>
    <w:rsid w:val="00C51E52"/>
    <w:rsid w:val="00C52231"/>
    <w:rsid w:val="00C52569"/>
    <w:rsid w:val="00C52898"/>
    <w:rsid w:val="00C52F0D"/>
    <w:rsid w:val="00C53028"/>
    <w:rsid w:val="00C53555"/>
    <w:rsid w:val="00C53CBF"/>
    <w:rsid w:val="00C5410C"/>
    <w:rsid w:val="00C54264"/>
    <w:rsid w:val="00C5500D"/>
    <w:rsid w:val="00C5505E"/>
    <w:rsid w:val="00C5592C"/>
    <w:rsid w:val="00C55A92"/>
    <w:rsid w:val="00C55E70"/>
    <w:rsid w:val="00C56F36"/>
    <w:rsid w:val="00C57425"/>
    <w:rsid w:val="00C577FA"/>
    <w:rsid w:val="00C57AE1"/>
    <w:rsid w:val="00C602FB"/>
    <w:rsid w:val="00C61166"/>
    <w:rsid w:val="00C61376"/>
    <w:rsid w:val="00C6168C"/>
    <w:rsid w:val="00C618A2"/>
    <w:rsid w:val="00C61ED8"/>
    <w:rsid w:val="00C61F06"/>
    <w:rsid w:val="00C62235"/>
    <w:rsid w:val="00C62586"/>
    <w:rsid w:val="00C62692"/>
    <w:rsid w:val="00C632B5"/>
    <w:rsid w:val="00C63352"/>
    <w:rsid w:val="00C63B83"/>
    <w:rsid w:val="00C63CA7"/>
    <w:rsid w:val="00C63F45"/>
    <w:rsid w:val="00C6469C"/>
    <w:rsid w:val="00C64708"/>
    <w:rsid w:val="00C64C3A"/>
    <w:rsid w:val="00C64CB6"/>
    <w:rsid w:val="00C65035"/>
    <w:rsid w:val="00C6513C"/>
    <w:rsid w:val="00C654ED"/>
    <w:rsid w:val="00C65674"/>
    <w:rsid w:val="00C66028"/>
    <w:rsid w:val="00C66997"/>
    <w:rsid w:val="00C66B7F"/>
    <w:rsid w:val="00C66F1F"/>
    <w:rsid w:val="00C66F6B"/>
    <w:rsid w:val="00C675C3"/>
    <w:rsid w:val="00C67A91"/>
    <w:rsid w:val="00C67BE1"/>
    <w:rsid w:val="00C70B3A"/>
    <w:rsid w:val="00C71265"/>
    <w:rsid w:val="00C71CD7"/>
    <w:rsid w:val="00C71E69"/>
    <w:rsid w:val="00C7201B"/>
    <w:rsid w:val="00C733CE"/>
    <w:rsid w:val="00C73AA7"/>
    <w:rsid w:val="00C73F00"/>
    <w:rsid w:val="00C740B1"/>
    <w:rsid w:val="00C74C83"/>
    <w:rsid w:val="00C75C46"/>
    <w:rsid w:val="00C75FC0"/>
    <w:rsid w:val="00C76256"/>
    <w:rsid w:val="00C76537"/>
    <w:rsid w:val="00C76802"/>
    <w:rsid w:val="00C76F9D"/>
    <w:rsid w:val="00C77661"/>
    <w:rsid w:val="00C7778D"/>
    <w:rsid w:val="00C778EF"/>
    <w:rsid w:val="00C77A99"/>
    <w:rsid w:val="00C77AA6"/>
    <w:rsid w:val="00C77B0D"/>
    <w:rsid w:val="00C809F9"/>
    <w:rsid w:val="00C80F06"/>
    <w:rsid w:val="00C82316"/>
    <w:rsid w:val="00C82495"/>
    <w:rsid w:val="00C82621"/>
    <w:rsid w:val="00C82A6A"/>
    <w:rsid w:val="00C82F60"/>
    <w:rsid w:val="00C82FAC"/>
    <w:rsid w:val="00C831B6"/>
    <w:rsid w:val="00C83501"/>
    <w:rsid w:val="00C8381C"/>
    <w:rsid w:val="00C83966"/>
    <w:rsid w:val="00C83F96"/>
    <w:rsid w:val="00C84161"/>
    <w:rsid w:val="00C85617"/>
    <w:rsid w:val="00C85ABF"/>
    <w:rsid w:val="00C85D9A"/>
    <w:rsid w:val="00C85FF3"/>
    <w:rsid w:val="00C860B5"/>
    <w:rsid w:val="00C8672F"/>
    <w:rsid w:val="00C86DEA"/>
    <w:rsid w:val="00C879E7"/>
    <w:rsid w:val="00C90227"/>
    <w:rsid w:val="00C90985"/>
    <w:rsid w:val="00C90C3D"/>
    <w:rsid w:val="00C91216"/>
    <w:rsid w:val="00C9126E"/>
    <w:rsid w:val="00C930AE"/>
    <w:rsid w:val="00C93533"/>
    <w:rsid w:val="00C93CE7"/>
    <w:rsid w:val="00C94AFD"/>
    <w:rsid w:val="00C95D21"/>
    <w:rsid w:val="00C967D1"/>
    <w:rsid w:val="00C96A43"/>
    <w:rsid w:val="00C97599"/>
    <w:rsid w:val="00C979D8"/>
    <w:rsid w:val="00CA00F8"/>
    <w:rsid w:val="00CA016D"/>
    <w:rsid w:val="00CA0556"/>
    <w:rsid w:val="00CA0846"/>
    <w:rsid w:val="00CA0C1D"/>
    <w:rsid w:val="00CA11CF"/>
    <w:rsid w:val="00CA131D"/>
    <w:rsid w:val="00CA1619"/>
    <w:rsid w:val="00CA162C"/>
    <w:rsid w:val="00CA18AC"/>
    <w:rsid w:val="00CA2837"/>
    <w:rsid w:val="00CA2D27"/>
    <w:rsid w:val="00CA2D86"/>
    <w:rsid w:val="00CA301C"/>
    <w:rsid w:val="00CA30D6"/>
    <w:rsid w:val="00CA36CB"/>
    <w:rsid w:val="00CA374A"/>
    <w:rsid w:val="00CA3A21"/>
    <w:rsid w:val="00CA4CC3"/>
    <w:rsid w:val="00CA5201"/>
    <w:rsid w:val="00CA584D"/>
    <w:rsid w:val="00CA5C8F"/>
    <w:rsid w:val="00CA5E93"/>
    <w:rsid w:val="00CA5FD8"/>
    <w:rsid w:val="00CA60A2"/>
    <w:rsid w:val="00CA6518"/>
    <w:rsid w:val="00CA67FD"/>
    <w:rsid w:val="00CA6DB2"/>
    <w:rsid w:val="00CA70E6"/>
    <w:rsid w:val="00CA73A4"/>
    <w:rsid w:val="00CA787B"/>
    <w:rsid w:val="00CB04B2"/>
    <w:rsid w:val="00CB061C"/>
    <w:rsid w:val="00CB08EB"/>
    <w:rsid w:val="00CB0FA3"/>
    <w:rsid w:val="00CB1B08"/>
    <w:rsid w:val="00CB1E6A"/>
    <w:rsid w:val="00CB228A"/>
    <w:rsid w:val="00CB24A4"/>
    <w:rsid w:val="00CB2B98"/>
    <w:rsid w:val="00CB2D83"/>
    <w:rsid w:val="00CB315A"/>
    <w:rsid w:val="00CB31B2"/>
    <w:rsid w:val="00CB38CF"/>
    <w:rsid w:val="00CB3C92"/>
    <w:rsid w:val="00CB4450"/>
    <w:rsid w:val="00CB456D"/>
    <w:rsid w:val="00CB4841"/>
    <w:rsid w:val="00CB4EE1"/>
    <w:rsid w:val="00CB514A"/>
    <w:rsid w:val="00CB5258"/>
    <w:rsid w:val="00CB55AF"/>
    <w:rsid w:val="00CB5BFA"/>
    <w:rsid w:val="00CB5E8A"/>
    <w:rsid w:val="00CB627A"/>
    <w:rsid w:val="00CB6902"/>
    <w:rsid w:val="00CB6A12"/>
    <w:rsid w:val="00CB6C48"/>
    <w:rsid w:val="00CB6EC0"/>
    <w:rsid w:val="00CB6F14"/>
    <w:rsid w:val="00CB78F8"/>
    <w:rsid w:val="00CB7C72"/>
    <w:rsid w:val="00CC165F"/>
    <w:rsid w:val="00CC17AE"/>
    <w:rsid w:val="00CC1D97"/>
    <w:rsid w:val="00CC21DB"/>
    <w:rsid w:val="00CC2526"/>
    <w:rsid w:val="00CC2532"/>
    <w:rsid w:val="00CC29AA"/>
    <w:rsid w:val="00CC3BCB"/>
    <w:rsid w:val="00CC4668"/>
    <w:rsid w:val="00CC4753"/>
    <w:rsid w:val="00CC479A"/>
    <w:rsid w:val="00CC4AA5"/>
    <w:rsid w:val="00CC4E1C"/>
    <w:rsid w:val="00CC4FFF"/>
    <w:rsid w:val="00CC5338"/>
    <w:rsid w:val="00CC59FB"/>
    <w:rsid w:val="00CC5F10"/>
    <w:rsid w:val="00CC6193"/>
    <w:rsid w:val="00CC6BC7"/>
    <w:rsid w:val="00CC6BCF"/>
    <w:rsid w:val="00CC6C16"/>
    <w:rsid w:val="00CC6C2B"/>
    <w:rsid w:val="00CC6F2A"/>
    <w:rsid w:val="00CC6F58"/>
    <w:rsid w:val="00CC76A9"/>
    <w:rsid w:val="00CC7709"/>
    <w:rsid w:val="00CC7A76"/>
    <w:rsid w:val="00CC7A77"/>
    <w:rsid w:val="00CC7D8F"/>
    <w:rsid w:val="00CD0075"/>
    <w:rsid w:val="00CD025E"/>
    <w:rsid w:val="00CD0FDF"/>
    <w:rsid w:val="00CD11B0"/>
    <w:rsid w:val="00CD1357"/>
    <w:rsid w:val="00CD163E"/>
    <w:rsid w:val="00CD17F8"/>
    <w:rsid w:val="00CD1855"/>
    <w:rsid w:val="00CD1D0A"/>
    <w:rsid w:val="00CD2295"/>
    <w:rsid w:val="00CD33C4"/>
    <w:rsid w:val="00CD343F"/>
    <w:rsid w:val="00CD366F"/>
    <w:rsid w:val="00CD38D3"/>
    <w:rsid w:val="00CD3938"/>
    <w:rsid w:val="00CD3B88"/>
    <w:rsid w:val="00CD4DB8"/>
    <w:rsid w:val="00CD5388"/>
    <w:rsid w:val="00CD552D"/>
    <w:rsid w:val="00CD5816"/>
    <w:rsid w:val="00CD5C32"/>
    <w:rsid w:val="00CD5C6C"/>
    <w:rsid w:val="00CD5DD3"/>
    <w:rsid w:val="00CD5FED"/>
    <w:rsid w:val="00CD60C0"/>
    <w:rsid w:val="00CD6666"/>
    <w:rsid w:val="00CD6700"/>
    <w:rsid w:val="00CD70A7"/>
    <w:rsid w:val="00CD787B"/>
    <w:rsid w:val="00CD7AE6"/>
    <w:rsid w:val="00CD7F4A"/>
    <w:rsid w:val="00CE0257"/>
    <w:rsid w:val="00CE0261"/>
    <w:rsid w:val="00CE06F0"/>
    <w:rsid w:val="00CE07E1"/>
    <w:rsid w:val="00CE0B99"/>
    <w:rsid w:val="00CE1045"/>
    <w:rsid w:val="00CE1192"/>
    <w:rsid w:val="00CE1CB7"/>
    <w:rsid w:val="00CE1CE5"/>
    <w:rsid w:val="00CE1FE6"/>
    <w:rsid w:val="00CE291F"/>
    <w:rsid w:val="00CE2BE8"/>
    <w:rsid w:val="00CE30D0"/>
    <w:rsid w:val="00CE315F"/>
    <w:rsid w:val="00CE3288"/>
    <w:rsid w:val="00CE3568"/>
    <w:rsid w:val="00CE37AE"/>
    <w:rsid w:val="00CE3E15"/>
    <w:rsid w:val="00CE3F00"/>
    <w:rsid w:val="00CE4083"/>
    <w:rsid w:val="00CE409D"/>
    <w:rsid w:val="00CE4955"/>
    <w:rsid w:val="00CE4F4A"/>
    <w:rsid w:val="00CE51C2"/>
    <w:rsid w:val="00CE5693"/>
    <w:rsid w:val="00CE615B"/>
    <w:rsid w:val="00CE6538"/>
    <w:rsid w:val="00CE6695"/>
    <w:rsid w:val="00CE6918"/>
    <w:rsid w:val="00CE6B77"/>
    <w:rsid w:val="00CE764E"/>
    <w:rsid w:val="00CE7FCF"/>
    <w:rsid w:val="00CF0E64"/>
    <w:rsid w:val="00CF0EE2"/>
    <w:rsid w:val="00CF11CF"/>
    <w:rsid w:val="00CF1289"/>
    <w:rsid w:val="00CF1562"/>
    <w:rsid w:val="00CF16CB"/>
    <w:rsid w:val="00CF1751"/>
    <w:rsid w:val="00CF1ACA"/>
    <w:rsid w:val="00CF2F2E"/>
    <w:rsid w:val="00CF44B3"/>
    <w:rsid w:val="00CF4560"/>
    <w:rsid w:val="00CF46D6"/>
    <w:rsid w:val="00CF4930"/>
    <w:rsid w:val="00CF54EC"/>
    <w:rsid w:val="00CF5839"/>
    <w:rsid w:val="00CF58F6"/>
    <w:rsid w:val="00CF5C61"/>
    <w:rsid w:val="00CF5E37"/>
    <w:rsid w:val="00CF5E40"/>
    <w:rsid w:val="00CF62CF"/>
    <w:rsid w:val="00CF6E55"/>
    <w:rsid w:val="00CF6FB0"/>
    <w:rsid w:val="00CF72AE"/>
    <w:rsid w:val="00CF7D7A"/>
    <w:rsid w:val="00D00178"/>
    <w:rsid w:val="00D003C6"/>
    <w:rsid w:val="00D00670"/>
    <w:rsid w:val="00D00AE5"/>
    <w:rsid w:val="00D00CF7"/>
    <w:rsid w:val="00D00E6B"/>
    <w:rsid w:val="00D0132F"/>
    <w:rsid w:val="00D01C2E"/>
    <w:rsid w:val="00D01FE3"/>
    <w:rsid w:val="00D0256E"/>
    <w:rsid w:val="00D02A4B"/>
    <w:rsid w:val="00D03804"/>
    <w:rsid w:val="00D039F9"/>
    <w:rsid w:val="00D03B5C"/>
    <w:rsid w:val="00D04971"/>
    <w:rsid w:val="00D0582E"/>
    <w:rsid w:val="00D05ADB"/>
    <w:rsid w:val="00D071CC"/>
    <w:rsid w:val="00D10AAD"/>
    <w:rsid w:val="00D10BDA"/>
    <w:rsid w:val="00D10CA3"/>
    <w:rsid w:val="00D11351"/>
    <w:rsid w:val="00D1139F"/>
    <w:rsid w:val="00D115EB"/>
    <w:rsid w:val="00D1162E"/>
    <w:rsid w:val="00D124AF"/>
    <w:rsid w:val="00D127B4"/>
    <w:rsid w:val="00D12EAE"/>
    <w:rsid w:val="00D12ECA"/>
    <w:rsid w:val="00D13C51"/>
    <w:rsid w:val="00D14196"/>
    <w:rsid w:val="00D14707"/>
    <w:rsid w:val="00D14FB8"/>
    <w:rsid w:val="00D15759"/>
    <w:rsid w:val="00D15835"/>
    <w:rsid w:val="00D15A6D"/>
    <w:rsid w:val="00D16452"/>
    <w:rsid w:val="00D16671"/>
    <w:rsid w:val="00D16A5D"/>
    <w:rsid w:val="00D16ADF"/>
    <w:rsid w:val="00D16C09"/>
    <w:rsid w:val="00D175FA"/>
    <w:rsid w:val="00D17893"/>
    <w:rsid w:val="00D179A8"/>
    <w:rsid w:val="00D17A14"/>
    <w:rsid w:val="00D17B20"/>
    <w:rsid w:val="00D17B52"/>
    <w:rsid w:val="00D200A9"/>
    <w:rsid w:val="00D20A68"/>
    <w:rsid w:val="00D20F99"/>
    <w:rsid w:val="00D22039"/>
    <w:rsid w:val="00D225AA"/>
    <w:rsid w:val="00D22F9B"/>
    <w:rsid w:val="00D231F1"/>
    <w:rsid w:val="00D23606"/>
    <w:rsid w:val="00D23B8B"/>
    <w:rsid w:val="00D23F72"/>
    <w:rsid w:val="00D2414B"/>
    <w:rsid w:val="00D242A2"/>
    <w:rsid w:val="00D24480"/>
    <w:rsid w:val="00D24938"/>
    <w:rsid w:val="00D24AC0"/>
    <w:rsid w:val="00D24CDC"/>
    <w:rsid w:val="00D250D0"/>
    <w:rsid w:val="00D256C2"/>
    <w:rsid w:val="00D25968"/>
    <w:rsid w:val="00D25E83"/>
    <w:rsid w:val="00D2608A"/>
    <w:rsid w:val="00D26160"/>
    <w:rsid w:val="00D26464"/>
    <w:rsid w:val="00D2651A"/>
    <w:rsid w:val="00D2697F"/>
    <w:rsid w:val="00D270EC"/>
    <w:rsid w:val="00D27B09"/>
    <w:rsid w:val="00D3029F"/>
    <w:rsid w:val="00D302FC"/>
    <w:rsid w:val="00D30426"/>
    <w:rsid w:val="00D3074F"/>
    <w:rsid w:val="00D30A1A"/>
    <w:rsid w:val="00D3109E"/>
    <w:rsid w:val="00D31312"/>
    <w:rsid w:val="00D3141F"/>
    <w:rsid w:val="00D327E3"/>
    <w:rsid w:val="00D32ECF"/>
    <w:rsid w:val="00D330C2"/>
    <w:rsid w:val="00D33B6D"/>
    <w:rsid w:val="00D33F47"/>
    <w:rsid w:val="00D33F7F"/>
    <w:rsid w:val="00D344B2"/>
    <w:rsid w:val="00D35484"/>
    <w:rsid w:val="00D35653"/>
    <w:rsid w:val="00D35AF7"/>
    <w:rsid w:val="00D361DA"/>
    <w:rsid w:val="00D36366"/>
    <w:rsid w:val="00D36547"/>
    <w:rsid w:val="00D36F5B"/>
    <w:rsid w:val="00D37ADD"/>
    <w:rsid w:val="00D37B0A"/>
    <w:rsid w:val="00D37C79"/>
    <w:rsid w:val="00D4053B"/>
    <w:rsid w:val="00D40B46"/>
    <w:rsid w:val="00D40E6B"/>
    <w:rsid w:val="00D41189"/>
    <w:rsid w:val="00D412BF"/>
    <w:rsid w:val="00D41E85"/>
    <w:rsid w:val="00D4221E"/>
    <w:rsid w:val="00D422B0"/>
    <w:rsid w:val="00D42381"/>
    <w:rsid w:val="00D425B9"/>
    <w:rsid w:val="00D42DDB"/>
    <w:rsid w:val="00D43F19"/>
    <w:rsid w:val="00D44816"/>
    <w:rsid w:val="00D449FD"/>
    <w:rsid w:val="00D44A77"/>
    <w:rsid w:val="00D44B33"/>
    <w:rsid w:val="00D4548B"/>
    <w:rsid w:val="00D45997"/>
    <w:rsid w:val="00D46525"/>
    <w:rsid w:val="00D469C0"/>
    <w:rsid w:val="00D47645"/>
    <w:rsid w:val="00D50408"/>
    <w:rsid w:val="00D50593"/>
    <w:rsid w:val="00D50751"/>
    <w:rsid w:val="00D50841"/>
    <w:rsid w:val="00D50902"/>
    <w:rsid w:val="00D50BDC"/>
    <w:rsid w:val="00D52061"/>
    <w:rsid w:val="00D520E2"/>
    <w:rsid w:val="00D52251"/>
    <w:rsid w:val="00D5262C"/>
    <w:rsid w:val="00D52757"/>
    <w:rsid w:val="00D52F55"/>
    <w:rsid w:val="00D52F66"/>
    <w:rsid w:val="00D52FA1"/>
    <w:rsid w:val="00D5332E"/>
    <w:rsid w:val="00D535DB"/>
    <w:rsid w:val="00D5380A"/>
    <w:rsid w:val="00D53A27"/>
    <w:rsid w:val="00D53AF6"/>
    <w:rsid w:val="00D53CED"/>
    <w:rsid w:val="00D54236"/>
    <w:rsid w:val="00D54552"/>
    <w:rsid w:val="00D55208"/>
    <w:rsid w:val="00D56265"/>
    <w:rsid w:val="00D57B03"/>
    <w:rsid w:val="00D57D86"/>
    <w:rsid w:val="00D57D9E"/>
    <w:rsid w:val="00D6067B"/>
    <w:rsid w:val="00D6070B"/>
    <w:rsid w:val="00D60C23"/>
    <w:rsid w:val="00D62779"/>
    <w:rsid w:val="00D629EA"/>
    <w:rsid w:val="00D641EB"/>
    <w:rsid w:val="00D64ECB"/>
    <w:rsid w:val="00D6544A"/>
    <w:rsid w:val="00D6567D"/>
    <w:rsid w:val="00D659A1"/>
    <w:rsid w:val="00D65D9C"/>
    <w:rsid w:val="00D65EF1"/>
    <w:rsid w:val="00D6645C"/>
    <w:rsid w:val="00D66739"/>
    <w:rsid w:val="00D66B1F"/>
    <w:rsid w:val="00D67E02"/>
    <w:rsid w:val="00D703B4"/>
    <w:rsid w:val="00D70451"/>
    <w:rsid w:val="00D711D8"/>
    <w:rsid w:val="00D71407"/>
    <w:rsid w:val="00D7173B"/>
    <w:rsid w:val="00D7204E"/>
    <w:rsid w:val="00D72204"/>
    <w:rsid w:val="00D72257"/>
    <w:rsid w:val="00D728B8"/>
    <w:rsid w:val="00D729D5"/>
    <w:rsid w:val="00D73F03"/>
    <w:rsid w:val="00D741C2"/>
    <w:rsid w:val="00D742C4"/>
    <w:rsid w:val="00D75601"/>
    <w:rsid w:val="00D759F1"/>
    <w:rsid w:val="00D75A7D"/>
    <w:rsid w:val="00D761EE"/>
    <w:rsid w:val="00D76B4E"/>
    <w:rsid w:val="00D77226"/>
    <w:rsid w:val="00D8170D"/>
    <w:rsid w:val="00D818DF"/>
    <w:rsid w:val="00D81D91"/>
    <w:rsid w:val="00D81EC8"/>
    <w:rsid w:val="00D83B90"/>
    <w:rsid w:val="00D84514"/>
    <w:rsid w:val="00D847D0"/>
    <w:rsid w:val="00D84BFD"/>
    <w:rsid w:val="00D84E21"/>
    <w:rsid w:val="00D853C0"/>
    <w:rsid w:val="00D861CD"/>
    <w:rsid w:val="00D8637C"/>
    <w:rsid w:val="00D86778"/>
    <w:rsid w:val="00D86C17"/>
    <w:rsid w:val="00D87003"/>
    <w:rsid w:val="00D87211"/>
    <w:rsid w:val="00D872D2"/>
    <w:rsid w:val="00D87357"/>
    <w:rsid w:val="00D8771E"/>
    <w:rsid w:val="00D87769"/>
    <w:rsid w:val="00D90608"/>
    <w:rsid w:val="00D9095E"/>
    <w:rsid w:val="00D90A53"/>
    <w:rsid w:val="00D91038"/>
    <w:rsid w:val="00D91235"/>
    <w:rsid w:val="00D913D8"/>
    <w:rsid w:val="00D920FB"/>
    <w:rsid w:val="00D922F1"/>
    <w:rsid w:val="00D9248A"/>
    <w:rsid w:val="00D9346A"/>
    <w:rsid w:val="00D93503"/>
    <w:rsid w:val="00D9353A"/>
    <w:rsid w:val="00D9375D"/>
    <w:rsid w:val="00D93A38"/>
    <w:rsid w:val="00D94131"/>
    <w:rsid w:val="00D95701"/>
    <w:rsid w:val="00D95CF6"/>
    <w:rsid w:val="00D95D04"/>
    <w:rsid w:val="00D9622C"/>
    <w:rsid w:val="00D9629F"/>
    <w:rsid w:val="00D96FA2"/>
    <w:rsid w:val="00D9743D"/>
    <w:rsid w:val="00D97542"/>
    <w:rsid w:val="00DA0304"/>
    <w:rsid w:val="00DA0328"/>
    <w:rsid w:val="00DA0443"/>
    <w:rsid w:val="00DA0556"/>
    <w:rsid w:val="00DA05B3"/>
    <w:rsid w:val="00DA23FC"/>
    <w:rsid w:val="00DA2589"/>
    <w:rsid w:val="00DA2782"/>
    <w:rsid w:val="00DA2BEF"/>
    <w:rsid w:val="00DA2E49"/>
    <w:rsid w:val="00DA2F78"/>
    <w:rsid w:val="00DA32A6"/>
    <w:rsid w:val="00DA3550"/>
    <w:rsid w:val="00DA37E5"/>
    <w:rsid w:val="00DA401C"/>
    <w:rsid w:val="00DA427E"/>
    <w:rsid w:val="00DA42A9"/>
    <w:rsid w:val="00DA4E73"/>
    <w:rsid w:val="00DA4ED3"/>
    <w:rsid w:val="00DA51D8"/>
    <w:rsid w:val="00DA51FB"/>
    <w:rsid w:val="00DA5232"/>
    <w:rsid w:val="00DA6919"/>
    <w:rsid w:val="00DA6BF4"/>
    <w:rsid w:val="00DA75DB"/>
    <w:rsid w:val="00DA76C0"/>
    <w:rsid w:val="00DA780C"/>
    <w:rsid w:val="00DA7998"/>
    <w:rsid w:val="00DA7AF8"/>
    <w:rsid w:val="00DA7B97"/>
    <w:rsid w:val="00DB0142"/>
    <w:rsid w:val="00DB01EC"/>
    <w:rsid w:val="00DB028C"/>
    <w:rsid w:val="00DB0BBB"/>
    <w:rsid w:val="00DB0EA1"/>
    <w:rsid w:val="00DB1189"/>
    <w:rsid w:val="00DB1DB6"/>
    <w:rsid w:val="00DB23ED"/>
    <w:rsid w:val="00DB2515"/>
    <w:rsid w:val="00DB2620"/>
    <w:rsid w:val="00DB2BE3"/>
    <w:rsid w:val="00DB308F"/>
    <w:rsid w:val="00DB31B9"/>
    <w:rsid w:val="00DB3727"/>
    <w:rsid w:val="00DB3FA9"/>
    <w:rsid w:val="00DB41C1"/>
    <w:rsid w:val="00DB44A6"/>
    <w:rsid w:val="00DB4DC4"/>
    <w:rsid w:val="00DB528D"/>
    <w:rsid w:val="00DB5B26"/>
    <w:rsid w:val="00DB5E62"/>
    <w:rsid w:val="00DB6035"/>
    <w:rsid w:val="00DB6644"/>
    <w:rsid w:val="00DB66DB"/>
    <w:rsid w:val="00DB7327"/>
    <w:rsid w:val="00DB7F76"/>
    <w:rsid w:val="00DC0769"/>
    <w:rsid w:val="00DC0D8A"/>
    <w:rsid w:val="00DC0E52"/>
    <w:rsid w:val="00DC115F"/>
    <w:rsid w:val="00DC1775"/>
    <w:rsid w:val="00DC1DC8"/>
    <w:rsid w:val="00DC272B"/>
    <w:rsid w:val="00DC284A"/>
    <w:rsid w:val="00DC2D6E"/>
    <w:rsid w:val="00DC33A4"/>
    <w:rsid w:val="00DC3581"/>
    <w:rsid w:val="00DC3B4E"/>
    <w:rsid w:val="00DC3F04"/>
    <w:rsid w:val="00DC411B"/>
    <w:rsid w:val="00DC438B"/>
    <w:rsid w:val="00DC461C"/>
    <w:rsid w:val="00DC47C7"/>
    <w:rsid w:val="00DC4D3E"/>
    <w:rsid w:val="00DC53AC"/>
    <w:rsid w:val="00DC53BA"/>
    <w:rsid w:val="00DC5D44"/>
    <w:rsid w:val="00DC6D51"/>
    <w:rsid w:val="00DC7C7A"/>
    <w:rsid w:val="00DC7DF7"/>
    <w:rsid w:val="00DD0129"/>
    <w:rsid w:val="00DD0992"/>
    <w:rsid w:val="00DD0EE2"/>
    <w:rsid w:val="00DD1058"/>
    <w:rsid w:val="00DD18C9"/>
    <w:rsid w:val="00DD1F0E"/>
    <w:rsid w:val="00DD2BE6"/>
    <w:rsid w:val="00DD31A7"/>
    <w:rsid w:val="00DD4C0D"/>
    <w:rsid w:val="00DD4C9B"/>
    <w:rsid w:val="00DD4D18"/>
    <w:rsid w:val="00DD53DC"/>
    <w:rsid w:val="00DD563E"/>
    <w:rsid w:val="00DD5A7B"/>
    <w:rsid w:val="00DD5C29"/>
    <w:rsid w:val="00DD5CAC"/>
    <w:rsid w:val="00DD5E65"/>
    <w:rsid w:val="00DD672F"/>
    <w:rsid w:val="00DD68C8"/>
    <w:rsid w:val="00DD68F8"/>
    <w:rsid w:val="00DD7101"/>
    <w:rsid w:val="00DD784D"/>
    <w:rsid w:val="00DE0907"/>
    <w:rsid w:val="00DE137C"/>
    <w:rsid w:val="00DE1471"/>
    <w:rsid w:val="00DE1620"/>
    <w:rsid w:val="00DE189A"/>
    <w:rsid w:val="00DE1BB2"/>
    <w:rsid w:val="00DE2194"/>
    <w:rsid w:val="00DE2AB6"/>
    <w:rsid w:val="00DE3855"/>
    <w:rsid w:val="00DE3D75"/>
    <w:rsid w:val="00DE400F"/>
    <w:rsid w:val="00DE44F7"/>
    <w:rsid w:val="00DE4962"/>
    <w:rsid w:val="00DE4C61"/>
    <w:rsid w:val="00DE5B80"/>
    <w:rsid w:val="00DE6583"/>
    <w:rsid w:val="00DE709F"/>
    <w:rsid w:val="00DE7313"/>
    <w:rsid w:val="00DE774A"/>
    <w:rsid w:val="00DF0018"/>
    <w:rsid w:val="00DF0BF8"/>
    <w:rsid w:val="00DF0D66"/>
    <w:rsid w:val="00DF0E3D"/>
    <w:rsid w:val="00DF16D9"/>
    <w:rsid w:val="00DF1A4B"/>
    <w:rsid w:val="00DF1B40"/>
    <w:rsid w:val="00DF21A4"/>
    <w:rsid w:val="00DF23F1"/>
    <w:rsid w:val="00DF27D9"/>
    <w:rsid w:val="00DF2922"/>
    <w:rsid w:val="00DF2EE8"/>
    <w:rsid w:val="00DF3B01"/>
    <w:rsid w:val="00DF4181"/>
    <w:rsid w:val="00DF458D"/>
    <w:rsid w:val="00DF4A4A"/>
    <w:rsid w:val="00DF519A"/>
    <w:rsid w:val="00DF5A27"/>
    <w:rsid w:val="00DF5FBE"/>
    <w:rsid w:val="00DF61D0"/>
    <w:rsid w:val="00DF65A4"/>
    <w:rsid w:val="00DF6B48"/>
    <w:rsid w:val="00DF6C8A"/>
    <w:rsid w:val="00DF715D"/>
    <w:rsid w:val="00DF76D1"/>
    <w:rsid w:val="00DF79A2"/>
    <w:rsid w:val="00DF7A18"/>
    <w:rsid w:val="00DF7DCC"/>
    <w:rsid w:val="00DF7F0A"/>
    <w:rsid w:val="00E0012D"/>
    <w:rsid w:val="00E00326"/>
    <w:rsid w:val="00E004E0"/>
    <w:rsid w:val="00E00B9C"/>
    <w:rsid w:val="00E00BEC"/>
    <w:rsid w:val="00E00F25"/>
    <w:rsid w:val="00E01109"/>
    <w:rsid w:val="00E014C0"/>
    <w:rsid w:val="00E0152A"/>
    <w:rsid w:val="00E0192D"/>
    <w:rsid w:val="00E01E47"/>
    <w:rsid w:val="00E02779"/>
    <w:rsid w:val="00E02AED"/>
    <w:rsid w:val="00E035CE"/>
    <w:rsid w:val="00E038D0"/>
    <w:rsid w:val="00E03B8E"/>
    <w:rsid w:val="00E03FB5"/>
    <w:rsid w:val="00E04049"/>
    <w:rsid w:val="00E04842"/>
    <w:rsid w:val="00E0485B"/>
    <w:rsid w:val="00E0496B"/>
    <w:rsid w:val="00E05A55"/>
    <w:rsid w:val="00E05B24"/>
    <w:rsid w:val="00E0637B"/>
    <w:rsid w:val="00E06505"/>
    <w:rsid w:val="00E0664A"/>
    <w:rsid w:val="00E0680E"/>
    <w:rsid w:val="00E06933"/>
    <w:rsid w:val="00E06BC9"/>
    <w:rsid w:val="00E06D12"/>
    <w:rsid w:val="00E101AC"/>
    <w:rsid w:val="00E106CC"/>
    <w:rsid w:val="00E10EB5"/>
    <w:rsid w:val="00E112A6"/>
    <w:rsid w:val="00E1176A"/>
    <w:rsid w:val="00E11D2E"/>
    <w:rsid w:val="00E11E2C"/>
    <w:rsid w:val="00E1223C"/>
    <w:rsid w:val="00E13744"/>
    <w:rsid w:val="00E13BEB"/>
    <w:rsid w:val="00E14167"/>
    <w:rsid w:val="00E14318"/>
    <w:rsid w:val="00E14ECE"/>
    <w:rsid w:val="00E15335"/>
    <w:rsid w:val="00E1582D"/>
    <w:rsid w:val="00E1611B"/>
    <w:rsid w:val="00E16312"/>
    <w:rsid w:val="00E16B59"/>
    <w:rsid w:val="00E16FEC"/>
    <w:rsid w:val="00E17BC7"/>
    <w:rsid w:val="00E17D38"/>
    <w:rsid w:val="00E17E1F"/>
    <w:rsid w:val="00E20067"/>
    <w:rsid w:val="00E2030C"/>
    <w:rsid w:val="00E204C5"/>
    <w:rsid w:val="00E20656"/>
    <w:rsid w:val="00E20780"/>
    <w:rsid w:val="00E20A0C"/>
    <w:rsid w:val="00E20AC8"/>
    <w:rsid w:val="00E2126A"/>
    <w:rsid w:val="00E218BA"/>
    <w:rsid w:val="00E21A9E"/>
    <w:rsid w:val="00E21DBE"/>
    <w:rsid w:val="00E22208"/>
    <w:rsid w:val="00E22683"/>
    <w:rsid w:val="00E232AE"/>
    <w:rsid w:val="00E23372"/>
    <w:rsid w:val="00E23797"/>
    <w:rsid w:val="00E238EC"/>
    <w:rsid w:val="00E24A16"/>
    <w:rsid w:val="00E24BE8"/>
    <w:rsid w:val="00E24DEA"/>
    <w:rsid w:val="00E24EE7"/>
    <w:rsid w:val="00E252F0"/>
    <w:rsid w:val="00E25F2A"/>
    <w:rsid w:val="00E26675"/>
    <w:rsid w:val="00E27702"/>
    <w:rsid w:val="00E27726"/>
    <w:rsid w:val="00E27EF2"/>
    <w:rsid w:val="00E3003E"/>
    <w:rsid w:val="00E3022B"/>
    <w:rsid w:val="00E303BE"/>
    <w:rsid w:val="00E30597"/>
    <w:rsid w:val="00E306DA"/>
    <w:rsid w:val="00E30968"/>
    <w:rsid w:val="00E30B86"/>
    <w:rsid w:val="00E3124F"/>
    <w:rsid w:val="00E316D9"/>
    <w:rsid w:val="00E31C41"/>
    <w:rsid w:val="00E32E67"/>
    <w:rsid w:val="00E330C5"/>
    <w:rsid w:val="00E33560"/>
    <w:rsid w:val="00E33AB2"/>
    <w:rsid w:val="00E3413B"/>
    <w:rsid w:val="00E347E7"/>
    <w:rsid w:val="00E353E9"/>
    <w:rsid w:val="00E35776"/>
    <w:rsid w:val="00E3589F"/>
    <w:rsid w:val="00E35F3B"/>
    <w:rsid w:val="00E3650D"/>
    <w:rsid w:val="00E36E8D"/>
    <w:rsid w:val="00E36EA9"/>
    <w:rsid w:val="00E370F0"/>
    <w:rsid w:val="00E3740A"/>
    <w:rsid w:val="00E37716"/>
    <w:rsid w:val="00E37E4F"/>
    <w:rsid w:val="00E401CF"/>
    <w:rsid w:val="00E40299"/>
    <w:rsid w:val="00E40F41"/>
    <w:rsid w:val="00E41393"/>
    <w:rsid w:val="00E41A9E"/>
    <w:rsid w:val="00E41E97"/>
    <w:rsid w:val="00E42372"/>
    <w:rsid w:val="00E43744"/>
    <w:rsid w:val="00E4381D"/>
    <w:rsid w:val="00E43879"/>
    <w:rsid w:val="00E43B2E"/>
    <w:rsid w:val="00E43B36"/>
    <w:rsid w:val="00E43E23"/>
    <w:rsid w:val="00E44044"/>
    <w:rsid w:val="00E441BF"/>
    <w:rsid w:val="00E44414"/>
    <w:rsid w:val="00E449B5"/>
    <w:rsid w:val="00E44A49"/>
    <w:rsid w:val="00E44C4D"/>
    <w:rsid w:val="00E45190"/>
    <w:rsid w:val="00E4592C"/>
    <w:rsid w:val="00E45BB7"/>
    <w:rsid w:val="00E47304"/>
    <w:rsid w:val="00E47864"/>
    <w:rsid w:val="00E47BBB"/>
    <w:rsid w:val="00E47BD0"/>
    <w:rsid w:val="00E47DAC"/>
    <w:rsid w:val="00E47F22"/>
    <w:rsid w:val="00E501A6"/>
    <w:rsid w:val="00E501EB"/>
    <w:rsid w:val="00E5076A"/>
    <w:rsid w:val="00E507F5"/>
    <w:rsid w:val="00E50BDC"/>
    <w:rsid w:val="00E50DBB"/>
    <w:rsid w:val="00E50E83"/>
    <w:rsid w:val="00E51B18"/>
    <w:rsid w:val="00E52403"/>
    <w:rsid w:val="00E52C97"/>
    <w:rsid w:val="00E532A8"/>
    <w:rsid w:val="00E53334"/>
    <w:rsid w:val="00E53D05"/>
    <w:rsid w:val="00E54403"/>
    <w:rsid w:val="00E550F5"/>
    <w:rsid w:val="00E55624"/>
    <w:rsid w:val="00E55777"/>
    <w:rsid w:val="00E558D5"/>
    <w:rsid w:val="00E56132"/>
    <w:rsid w:val="00E56B33"/>
    <w:rsid w:val="00E56C37"/>
    <w:rsid w:val="00E572FC"/>
    <w:rsid w:val="00E60643"/>
    <w:rsid w:val="00E60CD7"/>
    <w:rsid w:val="00E61322"/>
    <w:rsid w:val="00E61572"/>
    <w:rsid w:val="00E61F75"/>
    <w:rsid w:val="00E62EEC"/>
    <w:rsid w:val="00E636AB"/>
    <w:rsid w:val="00E63EF4"/>
    <w:rsid w:val="00E643C2"/>
    <w:rsid w:val="00E64B1C"/>
    <w:rsid w:val="00E64C3E"/>
    <w:rsid w:val="00E64E56"/>
    <w:rsid w:val="00E6576C"/>
    <w:rsid w:val="00E65973"/>
    <w:rsid w:val="00E65F0D"/>
    <w:rsid w:val="00E662E1"/>
    <w:rsid w:val="00E666D7"/>
    <w:rsid w:val="00E66D43"/>
    <w:rsid w:val="00E679D3"/>
    <w:rsid w:val="00E70AE1"/>
    <w:rsid w:val="00E70C20"/>
    <w:rsid w:val="00E70D73"/>
    <w:rsid w:val="00E70FD0"/>
    <w:rsid w:val="00E71169"/>
    <w:rsid w:val="00E711F0"/>
    <w:rsid w:val="00E7169C"/>
    <w:rsid w:val="00E719DD"/>
    <w:rsid w:val="00E71D09"/>
    <w:rsid w:val="00E72019"/>
    <w:rsid w:val="00E7335D"/>
    <w:rsid w:val="00E7374D"/>
    <w:rsid w:val="00E73D04"/>
    <w:rsid w:val="00E74165"/>
    <w:rsid w:val="00E745B4"/>
    <w:rsid w:val="00E7461B"/>
    <w:rsid w:val="00E7484B"/>
    <w:rsid w:val="00E750A5"/>
    <w:rsid w:val="00E759E4"/>
    <w:rsid w:val="00E761A1"/>
    <w:rsid w:val="00E766D7"/>
    <w:rsid w:val="00E76BCC"/>
    <w:rsid w:val="00E7762A"/>
    <w:rsid w:val="00E7793F"/>
    <w:rsid w:val="00E77F8B"/>
    <w:rsid w:val="00E803AA"/>
    <w:rsid w:val="00E80EAC"/>
    <w:rsid w:val="00E811CA"/>
    <w:rsid w:val="00E8174E"/>
    <w:rsid w:val="00E81FD0"/>
    <w:rsid w:val="00E823CA"/>
    <w:rsid w:val="00E826FF"/>
    <w:rsid w:val="00E8271A"/>
    <w:rsid w:val="00E8284D"/>
    <w:rsid w:val="00E828FC"/>
    <w:rsid w:val="00E82BD9"/>
    <w:rsid w:val="00E83082"/>
    <w:rsid w:val="00E83EFF"/>
    <w:rsid w:val="00E83F2D"/>
    <w:rsid w:val="00E83F55"/>
    <w:rsid w:val="00E8408A"/>
    <w:rsid w:val="00E841DA"/>
    <w:rsid w:val="00E846ED"/>
    <w:rsid w:val="00E84760"/>
    <w:rsid w:val="00E8476C"/>
    <w:rsid w:val="00E84E97"/>
    <w:rsid w:val="00E856C5"/>
    <w:rsid w:val="00E85BFF"/>
    <w:rsid w:val="00E86030"/>
    <w:rsid w:val="00E8618A"/>
    <w:rsid w:val="00E86DD1"/>
    <w:rsid w:val="00E876E4"/>
    <w:rsid w:val="00E90810"/>
    <w:rsid w:val="00E90A62"/>
    <w:rsid w:val="00E90DE0"/>
    <w:rsid w:val="00E9139B"/>
    <w:rsid w:val="00E918E1"/>
    <w:rsid w:val="00E919AD"/>
    <w:rsid w:val="00E928DA"/>
    <w:rsid w:val="00E929BC"/>
    <w:rsid w:val="00E93B7F"/>
    <w:rsid w:val="00E94894"/>
    <w:rsid w:val="00E94C7C"/>
    <w:rsid w:val="00E950BB"/>
    <w:rsid w:val="00E95263"/>
    <w:rsid w:val="00E95429"/>
    <w:rsid w:val="00E95804"/>
    <w:rsid w:val="00E95A51"/>
    <w:rsid w:val="00E9689F"/>
    <w:rsid w:val="00E96D01"/>
    <w:rsid w:val="00E96F1C"/>
    <w:rsid w:val="00E973CA"/>
    <w:rsid w:val="00E97504"/>
    <w:rsid w:val="00EA04E4"/>
    <w:rsid w:val="00EA0A7C"/>
    <w:rsid w:val="00EA0C40"/>
    <w:rsid w:val="00EA0E09"/>
    <w:rsid w:val="00EA19F0"/>
    <w:rsid w:val="00EA1C34"/>
    <w:rsid w:val="00EA2978"/>
    <w:rsid w:val="00EA2ACB"/>
    <w:rsid w:val="00EA2F88"/>
    <w:rsid w:val="00EA2F8D"/>
    <w:rsid w:val="00EA3450"/>
    <w:rsid w:val="00EA3599"/>
    <w:rsid w:val="00EA3B0A"/>
    <w:rsid w:val="00EA3CCF"/>
    <w:rsid w:val="00EA3D86"/>
    <w:rsid w:val="00EA437D"/>
    <w:rsid w:val="00EA4EE5"/>
    <w:rsid w:val="00EA57AA"/>
    <w:rsid w:val="00EA5879"/>
    <w:rsid w:val="00EA5895"/>
    <w:rsid w:val="00EA5C4C"/>
    <w:rsid w:val="00EA6ABD"/>
    <w:rsid w:val="00EA6D90"/>
    <w:rsid w:val="00EA6E50"/>
    <w:rsid w:val="00EA7311"/>
    <w:rsid w:val="00EA7688"/>
    <w:rsid w:val="00EA7762"/>
    <w:rsid w:val="00EA7784"/>
    <w:rsid w:val="00EA7A80"/>
    <w:rsid w:val="00EB0474"/>
    <w:rsid w:val="00EB06C3"/>
    <w:rsid w:val="00EB0A80"/>
    <w:rsid w:val="00EB0B3A"/>
    <w:rsid w:val="00EB102E"/>
    <w:rsid w:val="00EB1914"/>
    <w:rsid w:val="00EB1C7D"/>
    <w:rsid w:val="00EB1F40"/>
    <w:rsid w:val="00EB29FE"/>
    <w:rsid w:val="00EB2A02"/>
    <w:rsid w:val="00EB2F66"/>
    <w:rsid w:val="00EB3012"/>
    <w:rsid w:val="00EB3834"/>
    <w:rsid w:val="00EB39F1"/>
    <w:rsid w:val="00EB3B43"/>
    <w:rsid w:val="00EB3BA9"/>
    <w:rsid w:val="00EB3E72"/>
    <w:rsid w:val="00EB4738"/>
    <w:rsid w:val="00EB54FC"/>
    <w:rsid w:val="00EB5EF2"/>
    <w:rsid w:val="00EB5F83"/>
    <w:rsid w:val="00EB643C"/>
    <w:rsid w:val="00EB68F7"/>
    <w:rsid w:val="00EB6948"/>
    <w:rsid w:val="00EB6C92"/>
    <w:rsid w:val="00EB6E9A"/>
    <w:rsid w:val="00EB718C"/>
    <w:rsid w:val="00EB7472"/>
    <w:rsid w:val="00EB757A"/>
    <w:rsid w:val="00EB760D"/>
    <w:rsid w:val="00EB7667"/>
    <w:rsid w:val="00EC0250"/>
    <w:rsid w:val="00EC03AB"/>
    <w:rsid w:val="00EC0BF9"/>
    <w:rsid w:val="00EC12B7"/>
    <w:rsid w:val="00EC17A9"/>
    <w:rsid w:val="00EC1A2B"/>
    <w:rsid w:val="00EC2717"/>
    <w:rsid w:val="00EC321D"/>
    <w:rsid w:val="00EC3531"/>
    <w:rsid w:val="00EC3FF3"/>
    <w:rsid w:val="00EC438F"/>
    <w:rsid w:val="00EC4757"/>
    <w:rsid w:val="00EC48D1"/>
    <w:rsid w:val="00EC4E4D"/>
    <w:rsid w:val="00EC5A39"/>
    <w:rsid w:val="00EC5E74"/>
    <w:rsid w:val="00EC6532"/>
    <w:rsid w:val="00EC6D5D"/>
    <w:rsid w:val="00EC7046"/>
    <w:rsid w:val="00EC71CC"/>
    <w:rsid w:val="00EC71E5"/>
    <w:rsid w:val="00EC7404"/>
    <w:rsid w:val="00EC7ECE"/>
    <w:rsid w:val="00ED0086"/>
    <w:rsid w:val="00ED0A9A"/>
    <w:rsid w:val="00ED13C7"/>
    <w:rsid w:val="00ED1871"/>
    <w:rsid w:val="00ED18D1"/>
    <w:rsid w:val="00ED1A4B"/>
    <w:rsid w:val="00ED1C10"/>
    <w:rsid w:val="00ED1DAC"/>
    <w:rsid w:val="00ED2023"/>
    <w:rsid w:val="00ED2699"/>
    <w:rsid w:val="00ED2717"/>
    <w:rsid w:val="00ED2DAA"/>
    <w:rsid w:val="00ED3218"/>
    <w:rsid w:val="00ED32B8"/>
    <w:rsid w:val="00ED347A"/>
    <w:rsid w:val="00ED3581"/>
    <w:rsid w:val="00ED39F1"/>
    <w:rsid w:val="00ED3A9B"/>
    <w:rsid w:val="00ED3E2D"/>
    <w:rsid w:val="00ED44B0"/>
    <w:rsid w:val="00ED4951"/>
    <w:rsid w:val="00ED4965"/>
    <w:rsid w:val="00ED4AFE"/>
    <w:rsid w:val="00ED4EAC"/>
    <w:rsid w:val="00ED5396"/>
    <w:rsid w:val="00ED59E7"/>
    <w:rsid w:val="00ED6065"/>
    <w:rsid w:val="00ED609F"/>
    <w:rsid w:val="00ED63EC"/>
    <w:rsid w:val="00ED6577"/>
    <w:rsid w:val="00ED6A52"/>
    <w:rsid w:val="00ED6D93"/>
    <w:rsid w:val="00ED701C"/>
    <w:rsid w:val="00ED7815"/>
    <w:rsid w:val="00EE03AE"/>
    <w:rsid w:val="00EE05C0"/>
    <w:rsid w:val="00EE0737"/>
    <w:rsid w:val="00EE0CAD"/>
    <w:rsid w:val="00EE0EFE"/>
    <w:rsid w:val="00EE206D"/>
    <w:rsid w:val="00EE28AB"/>
    <w:rsid w:val="00EE300F"/>
    <w:rsid w:val="00EE318C"/>
    <w:rsid w:val="00EE3AAE"/>
    <w:rsid w:val="00EE3AC4"/>
    <w:rsid w:val="00EE3C69"/>
    <w:rsid w:val="00EE485C"/>
    <w:rsid w:val="00EE5052"/>
    <w:rsid w:val="00EE590D"/>
    <w:rsid w:val="00EE5923"/>
    <w:rsid w:val="00EE5EFB"/>
    <w:rsid w:val="00EE62E5"/>
    <w:rsid w:val="00EE7084"/>
    <w:rsid w:val="00EE7633"/>
    <w:rsid w:val="00EF006D"/>
    <w:rsid w:val="00EF0149"/>
    <w:rsid w:val="00EF03D2"/>
    <w:rsid w:val="00EF08AD"/>
    <w:rsid w:val="00EF139E"/>
    <w:rsid w:val="00EF1ADA"/>
    <w:rsid w:val="00EF23B6"/>
    <w:rsid w:val="00EF280D"/>
    <w:rsid w:val="00EF2C66"/>
    <w:rsid w:val="00EF2CD9"/>
    <w:rsid w:val="00EF30BB"/>
    <w:rsid w:val="00EF3356"/>
    <w:rsid w:val="00EF33BE"/>
    <w:rsid w:val="00EF3689"/>
    <w:rsid w:val="00EF37FB"/>
    <w:rsid w:val="00EF37FD"/>
    <w:rsid w:val="00EF3FDC"/>
    <w:rsid w:val="00EF40A5"/>
    <w:rsid w:val="00EF4214"/>
    <w:rsid w:val="00EF4EE1"/>
    <w:rsid w:val="00EF5684"/>
    <w:rsid w:val="00EF57CE"/>
    <w:rsid w:val="00EF5AB2"/>
    <w:rsid w:val="00EF5CFA"/>
    <w:rsid w:val="00EF658A"/>
    <w:rsid w:val="00EF690E"/>
    <w:rsid w:val="00EF7182"/>
    <w:rsid w:val="00EF73D4"/>
    <w:rsid w:val="00EF77F4"/>
    <w:rsid w:val="00EF791F"/>
    <w:rsid w:val="00EF7998"/>
    <w:rsid w:val="00EF7A22"/>
    <w:rsid w:val="00EF7AF1"/>
    <w:rsid w:val="00EF7CC1"/>
    <w:rsid w:val="00F0086F"/>
    <w:rsid w:val="00F00A2F"/>
    <w:rsid w:val="00F00EA8"/>
    <w:rsid w:val="00F0183A"/>
    <w:rsid w:val="00F01E16"/>
    <w:rsid w:val="00F01EC4"/>
    <w:rsid w:val="00F0239A"/>
    <w:rsid w:val="00F02B37"/>
    <w:rsid w:val="00F02DD4"/>
    <w:rsid w:val="00F02DFD"/>
    <w:rsid w:val="00F02F78"/>
    <w:rsid w:val="00F03025"/>
    <w:rsid w:val="00F0307C"/>
    <w:rsid w:val="00F03225"/>
    <w:rsid w:val="00F0327A"/>
    <w:rsid w:val="00F035F1"/>
    <w:rsid w:val="00F037E7"/>
    <w:rsid w:val="00F03A20"/>
    <w:rsid w:val="00F03BD3"/>
    <w:rsid w:val="00F0404B"/>
    <w:rsid w:val="00F043FE"/>
    <w:rsid w:val="00F044C2"/>
    <w:rsid w:val="00F044C9"/>
    <w:rsid w:val="00F045AD"/>
    <w:rsid w:val="00F04602"/>
    <w:rsid w:val="00F05BAB"/>
    <w:rsid w:val="00F060B8"/>
    <w:rsid w:val="00F062AB"/>
    <w:rsid w:val="00F0674E"/>
    <w:rsid w:val="00F074A5"/>
    <w:rsid w:val="00F07B72"/>
    <w:rsid w:val="00F07CBF"/>
    <w:rsid w:val="00F07E79"/>
    <w:rsid w:val="00F07EF1"/>
    <w:rsid w:val="00F1023E"/>
    <w:rsid w:val="00F107C8"/>
    <w:rsid w:val="00F10B18"/>
    <w:rsid w:val="00F10C2E"/>
    <w:rsid w:val="00F10C36"/>
    <w:rsid w:val="00F112ED"/>
    <w:rsid w:val="00F11B59"/>
    <w:rsid w:val="00F11C9F"/>
    <w:rsid w:val="00F1226D"/>
    <w:rsid w:val="00F126A3"/>
    <w:rsid w:val="00F12763"/>
    <w:rsid w:val="00F13AFC"/>
    <w:rsid w:val="00F13B8B"/>
    <w:rsid w:val="00F13E27"/>
    <w:rsid w:val="00F13EB3"/>
    <w:rsid w:val="00F13F08"/>
    <w:rsid w:val="00F14329"/>
    <w:rsid w:val="00F14641"/>
    <w:rsid w:val="00F14678"/>
    <w:rsid w:val="00F14946"/>
    <w:rsid w:val="00F14CF1"/>
    <w:rsid w:val="00F14F12"/>
    <w:rsid w:val="00F14F67"/>
    <w:rsid w:val="00F1578B"/>
    <w:rsid w:val="00F159E9"/>
    <w:rsid w:val="00F15AF9"/>
    <w:rsid w:val="00F15CBB"/>
    <w:rsid w:val="00F16BF6"/>
    <w:rsid w:val="00F1755B"/>
    <w:rsid w:val="00F17563"/>
    <w:rsid w:val="00F17E1C"/>
    <w:rsid w:val="00F2004F"/>
    <w:rsid w:val="00F20438"/>
    <w:rsid w:val="00F2086E"/>
    <w:rsid w:val="00F20FEC"/>
    <w:rsid w:val="00F216C6"/>
    <w:rsid w:val="00F21860"/>
    <w:rsid w:val="00F229AB"/>
    <w:rsid w:val="00F2334B"/>
    <w:rsid w:val="00F2382B"/>
    <w:rsid w:val="00F242C4"/>
    <w:rsid w:val="00F2491C"/>
    <w:rsid w:val="00F24C32"/>
    <w:rsid w:val="00F24E37"/>
    <w:rsid w:val="00F251A9"/>
    <w:rsid w:val="00F2523C"/>
    <w:rsid w:val="00F25282"/>
    <w:rsid w:val="00F2548A"/>
    <w:rsid w:val="00F25C6D"/>
    <w:rsid w:val="00F25FE8"/>
    <w:rsid w:val="00F26123"/>
    <w:rsid w:val="00F26336"/>
    <w:rsid w:val="00F26767"/>
    <w:rsid w:val="00F2698F"/>
    <w:rsid w:val="00F26D89"/>
    <w:rsid w:val="00F270F4"/>
    <w:rsid w:val="00F27339"/>
    <w:rsid w:val="00F27730"/>
    <w:rsid w:val="00F279E0"/>
    <w:rsid w:val="00F30327"/>
    <w:rsid w:val="00F31384"/>
    <w:rsid w:val="00F316EA"/>
    <w:rsid w:val="00F317C6"/>
    <w:rsid w:val="00F326E3"/>
    <w:rsid w:val="00F32855"/>
    <w:rsid w:val="00F32DA9"/>
    <w:rsid w:val="00F334ED"/>
    <w:rsid w:val="00F33658"/>
    <w:rsid w:val="00F33718"/>
    <w:rsid w:val="00F34AD3"/>
    <w:rsid w:val="00F3577A"/>
    <w:rsid w:val="00F36260"/>
    <w:rsid w:val="00F365CD"/>
    <w:rsid w:val="00F36743"/>
    <w:rsid w:val="00F37157"/>
    <w:rsid w:val="00F3745B"/>
    <w:rsid w:val="00F37CF5"/>
    <w:rsid w:val="00F40326"/>
    <w:rsid w:val="00F4058F"/>
    <w:rsid w:val="00F40725"/>
    <w:rsid w:val="00F4099A"/>
    <w:rsid w:val="00F40EAA"/>
    <w:rsid w:val="00F41805"/>
    <w:rsid w:val="00F41923"/>
    <w:rsid w:val="00F41A88"/>
    <w:rsid w:val="00F4218A"/>
    <w:rsid w:val="00F425F3"/>
    <w:rsid w:val="00F43763"/>
    <w:rsid w:val="00F441B7"/>
    <w:rsid w:val="00F44588"/>
    <w:rsid w:val="00F45465"/>
    <w:rsid w:val="00F45495"/>
    <w:rsid w:val="00F454C4"/>
    <w:rsid w:val="00F4575F"/>
    <w:rsid w:val="00F45930"/>
    <w:rsid w:val="00F45ADC"/>
    <w:rsid w:val="00F46FA3"/>
    <w:rsid w:val="00F4755A"/>
    <w:rsid w:val="00F477AF"/>
    <w:rsid w:val="00F47B42"/>
    <w:rsid w:val="00F47F8D"/>
    <w:rsid w:val="00F50043"/>
    <w:rsid w:val="00F514F9"/>
    <w:rsid w:val="00F515EC"/>
    <w:rsid w:val="00F51B18"/>
    <w:rsid w:val="00F52A59"/>
    <w:rsid w:val="00F52B30"/>
    <w:rsid w:val="00F52D8B"/>
    <w:rsid w:val="00F5340B"/>
    <w:rsid w:val="00F53749"/>
    <w:rsid w:val="00F53D62"/>
    <w:rsid w:val="00F54B05"/>
    <w:rsid w:val="00F54F7B"/>
    <w:rsid w:val="00F557C3"/>
    <w:rsid w:val="00F558DD"/>
    <w:rsid w:val="00F559D1"/>
    <w:rsid w:val="00F5630D"/>
    <w:rsid w:val="00F56708"/>
    <w:rsid w:val="00F56712"/>
    <w:rsid w:val="00F56EA2"/>
    <w:rsid w:val="00F56F50"/>
    <w:rsid w:val="00F56F63"/>
    <w:rsid w:val="00F573EC"/>
    <w:rsid w:val="00F57828"/>
    <w:rsid w:val="00F57AFD"/>
    <w:rsid w:val="00F57CC9"/>
    <w:rsid w:val="00F57EC4"/>
    <w:rsid w:val="00F6004D"/>
    <w:rsid w:val="00F6029F"/>
    <w:rsid w:val="00F60834"/>
    <w:rsid w:val="00F60C57"/>
    <w:rsid w:val="00F61436"/>
    <w:rsid w:val="00F618C5"/>
    <w:rsid w:val="00F6295B"/>
    <w:rsid w:val="00F62C06"/>
    <w:rsid w:val="00F63232"/>
    <w:rsid w:val="00F6342A"/>
    <w:rsid w:val="00F63719"/>
    <w:rsid w:val="00F63B12"/>
    <w:rsid w:val="00F63C24"/>
    <w:rsid w:val="00F63DFE"/>
    <w:rsid w:val="00F641BE"/>
    <w:rsid w:val="00F649FE"/>
    <w:rsid w:val="00F64A0A"/>
    <w:rsid w:val="00F65334"/>
    <w:rsid w:val="00F653FF"/>
    <w:rsid w:val="00F65B68"/>
    <w:rsid w:val="00F65BAD"/>
    <w:rsid w:val="00F65EE4"/>
    <w:rsid w:val="00F6615F"/>
    <w:rsid w:val="00F66DFC"/>
    <w:rsid w:val="00F67157"/>
    <w:rsid w:val="00F6780B"/>
    <w:rsid w:val="00F67A7F"/>
    <w:rsid w:val="00F67B77"/>
    <w:rsid w:val="00F70ABD"/>
    <w:rsid w:val="00F710A0"/>
    <w:rsid w:val="00F71216"/>
    <w:rsid w:val="00F7142B"/>
    <w:rsid w:val="00F7168D"/>
    <w:rsid w:val="00F71757"/>
    <w:rsid w:val="00F71ABB"/>
    <w:rsid w:val="00F72B96"/>
    <w:rsid w:val="00F72BB7"/>
    <w:rsid w:val="00F72CD7"/>
    <w:rsid w:val="00F72DED"/>
    <w:rsid w:val="00F72E25"/>
    <w:rsid w:val="00F734B3"/>
    <w:rsid w:val="00F73714"/>
    <w:rsid w:val="00F737AD"/>
    <w:rsid w:val="00F738AA"/>
    <w:rsid w:val="00F73C18"/>
    <w:rsid w:val="00F73C38"/>
    <w:rsid w:val="00F745B5"/>
    <w:rsid w:val="00F7481E"/>
    <w:rsid w:val="00F748D8"/>
    <w:rsid w:val="00F7508B"/>
    <w:rsid w:val="00F750CE"/>
    <w:rsid w:val="00F753E4"/>
    <w:rsid w:val="00F7586D"/>
    <w:rsid w:val="00F762FA"/>
    <w:rsid w:val="00F76BC7"/>
    <w:rsid w:val="00F76FF4"/>
    <w:rsid w:val="00F771D5"/>
    <w:rsid w:val="00F7725C"/>
    <w:rsid w:val="00F77D60"/>
    <w:rsid w:val="00F803C0"/>
    <w:rsid w:val="00F80489"/>
    <w:rsid w:val="00F8074A"/>
    <w:rsid w:val="00F80A31"/>
    <w:rsid w:val="00F817A0"/>
    <w:rsid w:val="00F82639"/>
    <w:rsid w:val="00F82A8E"/>
    <w:rsid w:val="00F82E95"/>
    <w:rsid w:val="00F83456"/>
    <w:rsid w:val="00F8346F"/>
    <w:rsid w:val="00F83628"/>
    <w:rsid w:val="00F83875"/>
    <w:rsid w:val="00F83AF8"/>
    <w:rsid w:val="00F83D7F"/>
    <w:rsid w:val="00F83EA5"/>
    <w:rsid w:val="00F843D3"/>
    <w:rsid w:val="00F84594"/>
    <w:rsid w:val="00F847A5"/>
    <w:rsid w:val="00F84D77"/>
    <w:rsid w:val="00F84DAF"/>
    <w:rsid w:val="00F8640F"/>
    <w:rsid w:val="00F8664B"/>
    <w:rsid w:val="00F866AD"/>
    <w:rsid w:val="00F86860"/>
    <w:rsid w:val="00F87171"/>
    <w:rsid w:val="00F87DAF"/>
    <w:rsid w:val="00F87E05"/>
    <w:rsid w:val="00F91080"/>
    <w:rsid w:val="00F9172B"/>
    <w:rsid w:val="00F91DCC"/>
    <w:rsid w:val="00F927A3"/>
    <w:rsid w:val="00F929C3"/>
    <w:rsid w:val="00F92D19"/>
    <w:rsid w:val="00F930B6"/>
    <w:rsid w:val="00F934DE"/>
    <w:rsid w:val="00F936A7"/>
    <w:rsid w:val="00F9384D"/>
    <w:rsid w:val="00F93FBF"/>
    <w:rsid w:val="00F9438F"/>
    <w:rsid w:val="00F94858"/>
    <w:rsid w:val="00F94A2A"/>
    <w:rsid w:val="00F956E6"/>
    <w:rsid w:val="00F95924"/>
    <w:rsid w:val="00F95DEB"/>
    <w:rsid w:val="00F9624F"/>
    <w:rsid w:val="00F96407"/>
    <w:rsid w:val="00F966B1"/>
    <w:rsid w:val="00F966DF"/>
    <w:rsid w:val="00F96874"/>
    <w:rsid w:val="00F968E7"/>
    <w:rsid w:val="00F96F87"/>
    <w:rsid w:val="00F9704E"/>
    <w:rsid w:val="00F97721"/>
    <w:rsid w:val="00F97CD4"/>
    <w:rsid w:val="00FA023A"/>
    <w:rsid w:val="00FA06A6"/>
    <w:rsid w:val="00FA0B9C"/>
    <w:rsid w:val="00FA0DE0"/>
    <w:rsid w:val="00FA0F72"/>
    <w:rsid w:val="00FA15FD"/>
    <w:rsid w:val="00FA34D5"/>
    <w:rsid w:val="00FA3896"/>
    <w:rsid w:val="00FA3BD6"/>
    <w:rsid w:val="00FA3D16"/>
    <w:rsid w:val="00FA4994"/>
    <w:rsid w:val="00FA5199"/>
    <w:rsid w:val="00FA59F5"/>
    <w:rsid w:val="00FA5A27"/>
    <w:rsid w:val="00FA5BF6"/>
    <w:rsid w:val="00FA5E8A"/>
    <w:rsid w:val="00FA6BB1"/>
    <w:rsid w:val="00FA6FD7"/>
    <w:rsid w:val="00FA7217"/>
    <w:rsid w:val="00FA7415"/>
    <w:rsid w:val="00FA7508"/>
    <w:rsid w:val="00FA7EDB"/>
    <w:rsid w:val="00FB0048"/>
    <w:rsid w:val="00FB0072"/>
    <w:rsid w:val="00FB0E34"/>
    <w:rsid w:val="00FB0EAF"/>
    <w:rsid w:val="00FB1CBB"/>
    <w:rsid w:val="00FB2B1A"/>
    <w:rsid w:val="00FB2C78"/>
    <w:rsid w:val="00FB2DE2"/>
    <w:rsid w:val="00FB3045"/>
    <w:rsid w:val="00FB3293"/>
    <w:rsid w:val="00FB4389"/>
    <w:rsid w:val="00FB46D1"/>
    <w:rsid w:val="00FB46D4"/>
    <w:rsid w:val="00FB50FD"/>
    <w:rsid w:val="00FB524C"/>
    <w:rsid w:val="00FB52D9"/>
    <w:rsid w:val="00FB5316"/>
    <w:rsid w:val="00FB57B9"/>
    <w:rsid w:val="00FB59EA"/>
    <w:rsid w:val="00FB5E62"/>
    <w:rsid w:val="00FB61AB"/>
    <w:rsid w:val="00FB633A"/>
    <w:rsid w:val="00FB6B8B"/>
    <w:rsid w:val="00FB6C55"/>
    <w:rsid w:val="00FB706D"/>
    <w:rsid w:val="00FB70B5"/>
    <w:rsid w:val="00FB74D5"/>
    <w:rsid w:val="00FB7993"/>
    <w:rsid w:val="00FB79EC"/>
    <w:rsid w:val="00FC0850"/>
    <w:rsid w:val="00FC0F42"/>
    <w:rsid w:val="00FC1A80"/>
    <w:rsid w:val="00FC1D0C"/>
    <w:rsid w:val="00FC2A8F"/>
    <w:rsid w:val="00FC3394"/>
    <w:rsid w:val="00FC3EDF"/>
    <w:rsid w:val="00FC3EF0"/>
    <w:rsid w:val="00FC428A"/>
    <w:rsid w:val="00FC4453"/>
    <w:rsid w:val="00FC487A"/>
    <w:rsid w:val="00FC4981"/>
    <w:rsid w:val="00FC64E1"/>
    <w:rsid w:val="00FC6653"/>
    <w:rsid w:val="00FC74BF"/>
    <w:rsid w:val="00FC7678"/>
    <w:rsid w:val="00FD008B"/>
    <w:rsid w:val="00FD0A8C"/>
    <w:rsid w:val="00FD0C3C"/>
    <w:rsid w:val="00FD0CCF"/>
    <w:rsid w:val="00FD0E12"/>
    <w:rsid w:val="00FD0FB0"/>
    <w:rsid w:val="00FD0FE1"/>
    <w:rsid w:val="00FD140C"/>
    <w:rsid w:val="00FD145C"/>
    <w:rsid w:val="00FD1762"/>
    <w:rsid w:val="00FD1F85"/>
    <w:rsid w:val="00FD215A"/>
    <w:rsid w:val="00FD253E"/>
    <w:rsid w:val="00FD2665"/>
    <w:rsid w:val="00FD2A53"/>
    <w:rsid w:val="00FD2E1D"/>
    <w:rsid w:val="00FD3575"/>
    <w:rsid w:val="00FD39BE"/>
    <w:rsid w:val="00FD3D98"/>
    <w:rsid w:val="00FD40D8"/>
    <w:rsid w:val="00FD40E6"/>
    <w:rsid w:val="00FD447D"/>
    <w:rsid w:val="00FD44A4"/>
    <w:rsid w:val="00FD461F"/>
    <w:rsid w:val="00FD50A4"/>
    <w:rsid w:val="00FD520B"/>
    <w:rsid w:val="00FD5B60"/>
    <w:rsid w:val="00FD5F3A"/>
    <w:rsid w:val="00FD6D5F"/>
    <w:rsid w:val="00FD7198"/>
    <w:rsid w:val="00FD74A7"/>
    <w:rsid w:val="00FD7932"/>
    <w:rsid w:val="00FD7A1C"/>
    <w:rsid w:val="00FE015D"/>
    <w:rsid w:val="00FE08FD"/>
    <w:rsid w:val="00FE0E7A"/>
    <w:rsid w:val="00FE1009"/>
    <w:rsid w:val="00FE12A2"/>
    <w:rsid w:val="00FE190B"/>
    <w:rsid w:val="00FE218F"/>
    <w:rsid w:val="00FE232F"/>
    <w:rsid w:val="00FE2DDD"/>
    <w:rsid w:val="00FE3640"/>
    <w:rsid w:val="00FE3919"/>
    <w:rsid w:val="00FE3C3F"/>
    <w:rsid w:val="00FE3D8E"/>
    <w:rsid w:val="00FE3E91"/>
    <w:rsid w:val="00FE3F3A"/>
    <w:rsid w:val="00FE4629"/>
    <w:rsid w:val="00FE490F"/>
    <w:rsid w:val="00FE584F"/>
    <w:rsid w:val="00FE585E"/>
    <w:rsid w:val="00FE5861"/>
    <w:rsid w:val="00FE5E84"/>
    <w:rsid w:val="00FE5F1E"/>
    <w:rsid w:val="00FE6142"/>
    <w:rsid w:val="00FE62BA"/>
    <w:rsid w:val="00FE6954"/>
    <w:rsid w:val="00FE6A6E"/>
    <w:rsid w:val="00FE6B87"/>
    <w:rsid w:val="00FF0182"/>
    <w:rsid w:val="00FF0634"/>
    <w:rsid w:val="00FF12AA"/>
    <w:rsid w:val="00FF19ED"/>
    <w:rsid w:val="00FF2154"/>
    <w:rsid w:val="00FF239F"/>
    <w:rsid w:val="00FF2716"/>
    <w:rsid w:val="00FF32F9"/>
    <w:rsid w:val="00FF340F"/>
    <w:rsid w:val="00FF344D"/>
    <w:rsid w:val="00FF38FB"/>
    <w:rsid w:val="00FF3964"/>
    <w:rsid w:val="00FF554B"/>
    <w:rsid w:val="00FF5DE6"/>
    <w:rsid w:val="00FF5FF2"/>
    <w:rsid w:val="00FF7569"/>
    <w:rsid w:val="00FF7AE5"/>
    <w:rsid w:val="00FF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0CE2729"/>
  <w15:docId w15:val="{FEB3AFAE-96A7-4B91-A513-52105C4D0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839E5"/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qFormat/>
    <w:rsid w:val="00074A01"/>
    <w:pPr>
      <w:keepNext/>
      <w:keepLines/>
      <w:suppressAutoHyphens/>
      <w:overflowPunct w:val="0"/>
      <w:autoSpaceDE w:val="0"/>
      <w:autoSpaceDN w:val="0"/>
      <w:adjustRightInd w:val="0"/>
      <w:spacing w:before="480" w:after="240"/>
      <w:textAlignment w:val="baseline"/>
      <w:outlineLvl w:val="0"/>
    </w:pPr>
    <w:rPr>
      <w:rFonts w:ascii="Arial Narrow" w:hAnsi="Arial Narrow"/>
      <w:b/>
      <w:kern w:val="36"/>
      <w:sz w:val="36"/>
      <w:szCs w:val="20"/>
    </w:rPr>
  </w:style>
  <w:style w:type="paragraph" w:styleId="Nadpis2">
    <w:name w:val="heading 2"/>
    <w:basedOn w:val="Normln"/>
    <w:next w:val="Normln"/>
    <w:qFormat/>
    <w:rsid w:val="00074A0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uiPriority w:val="9"/>
    <w:qFormat/>
    <w:rsid w:val="00074A01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qFormat/>
    <w:rsid w:val="00074A0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074A0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9">
    <w:name w:val="heading 9"/>
    <w:basedOn w:val="Normln"/>
    <w:next w:val="Normln"/>
    <w:qFormat/>
    <w:rsid w:val="00074A0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rsid w:val="00074A01"/>
    <w:rPr>
      <w:rFonts w:ascii="Arial Narrow" w:hAnsi="Arial Narrow"/>
      <w:b/>
      <w:kern w:val="36"/>
      <w:sz w:val="36"/>
    </w:rPr>
  </w:style>
  <w:style w:type="character" w:customStyle="1" w:styleId="Nadpis2Char">
    <w:name w:val="Nadpis 2 Char"/>
    <w:basedOn w:val="Standardnpsmoodstavce"/>
    <w:rsid w:val="00074A0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Vrazncitt">
    <w:name w:val="Intense Quote"/>
    <w:basedOn w:val="Normln"/>
    <w:next w:val="Normln"/>
    <w:qFormat/>
    <w:rsid w:val="00074A0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ceintenzivnChar">
    <w:name w:val="Citace – intenzivní Char"/>
    <w:basedOn w:val="Standardnpsmoodstavce"/>
    <w:rsid w:val="00074A01"/>
    <w:rPr>
      <w:b/>
      <w:bCs/>
      <w:i/>
      <w:iCs/>
      <w:color w:val="4F81BD"/>
      <w:sz w:val="24"/>
      <w:szCs w:val="24"/>
    </w:rPr>
  </w:style>
  <w:style w:type="character" w:styleId="Zdraznnintenzivn">
    <w:name w:val="Intense Emphasis"/>
    <w:basedOn w:val="Standardnpsmoodstavce"/>
    <w:qFormat/>
    <w:rsid w:val="00074A01"/>
    <w:rPr>
      <w:b/>
      <w:bCs/>
      <w:i/>
      <w:iCs/>
      <w:color w:val="4F81BD"/>
    </w:rPr>
  </w:style>
  <w:style w:type="paragraph" w:customStyle="1" w:styleId="Bn">
    <w:name w:val="Běžný"/>
    <w:basedOn w:val="Normln"/>
    <w:qFormat/>
    <w:rsid w:val="00074A01"/>
    <w:pPr>
      <w:spacing w:before="40" w:line="276" w:lineRule="auto"/>
      <w:ind w:firstLine="284"/>
      <w:jc w:val="both"/>
    </w:pPr>
    <w:rPr>
      <w:rFonts w:ascii="Palatino Linotype" w:eastAsia="Calibri" w:hAnsi="Palatino Linotype"/>
      <w:sz w:val="22"/>
      <w:szCs w:val="22"/>
    </w:rPr>
  </w:style>
  <w:style w:type="character" w:customStyle="1" w:styleId="Nadpis3Char">
    <w:name w:val="Nadpis 3 Char"/>
    <w:basedOn w:val="Standardnpsmoodstavce"/>
    <w:uiPriority w:val="9"/>
    <w:rsid w:val="00074A0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Zkladntext3">
    <w:name w:val="Body Text 3"/>
    <w:basedOn w:val="Normln"/>
    <w:unhideWhenUsed/>
    <w:rsid w:val="00074A01"/>
    <w:pPr>
      <w:spacing w:after="120"/>
    </w:pPr>
    <w:rPr>
      <w:sz w:val="16"/>
      <w:szCs w:val="16"/>
      <w:lang w:eastAsia="en-US"/>
    </w:rPr>
  </w:style>
  <w:style w:type="character" w:customStyle="1" w:styleId="Zkladntext3Char">
    <w:name w:val="Základní text 3 Char"/>
    <w:basedOn w:val="Standardnpsmoodstavce"/>
    <w:rsid w:val="00074A01"/>
    <w:rPr>
      <w:sz w:val="16"/>
      <w:szCs w:val="16"/>
      <w:lang w:eastAsia="en-US"/>
    </w:rPr>
  </w:style>
  <w:style w:type="character" w:customStyle="1" w:styleId="Nadpis4Char">
    <w:name w:val="Nadpis 4 Char"/>
    <w:basedOn w:val="Standardnpsmoodstavce"/>
    <w:rsid w:val="00074A0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semiHidden/>
    <w:rsid w:val="00074A0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9Char">
    <w:name w:val="Nadpis 9 Char"/>
    <w:basedOn w:val="Standardnpsmoodstavce"/>
    <w:semiHidden/>
    <w:rsid w:val="00074A01"/>
    <w:rPr>
      <w:rFonts w:ascii="Cambria" w:eastAsia="Times New Roman" w:hAnsi="Cambria" w:cs="Times New Roman"/>
      <w:sz w:val="22"/>
      <w:szCs w:val="22"/>
    </w:rPr>
  </w:style>
  <w:style w:type="paragraph" w:styleId="Zkladntextodsazen">
    <w:name w:val="Body Text Indent"/>
    <w:basedOn w:val="Normln"/>
    <w:uiPriority w:val="99"/>
    <w:unhideWhenUsed/>
    <w:rsid w:val="00074A0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uiPriority w:val="99"/>
    <w:rsid w:val="00074A01"/>
    <w:rPr>
      <w:sz w:val="24"/>
      <w:szCs w:val="24"/>
    </w:rPr>
  </w:style>
  <w:style w:type="paragraph" w:customStyle="1" w:styleId="Zkladn">
    <w:name w:val="Základní"/>
    <w:basedOn w:val="Normln"/>
    <w:rsid w:val="00074A01"/>
    <w:pPr>
      <w:spacing w:before="120"/>
      <w:jc w:val="both"/>
    </w:pPr>
    <w:rPr>
      <w:lang w:eastAsia="en-US"/>
    </w:rPr>
  </w:style>
  <w:style w:type="paragraph" w:styleId="Textpoznpodarou">
    <w:name w:val="footnote text"/>
    <w:aliases w:val=" Char Char,Char Char,ft"/>
    <w:basedOn w:val="Normln"/>
    <w:uiPriority w:val="99"/>
    <w:unhideWhenUsed/>
    <w:rsid w:val="00074A01"/>
    <w:rPr>
      <w:sz w:val="20"/>
      <w:szCs w:val="20"/>
    </w:rPr>
  </w:style>
  <w:style w:type="character" w:customStyle="1" w:styleId="TextpoznpodarouChar">
    <w:name w:val="Text pozn. pod čarou Char"/>
    <w:aliases w:val=" Char Char Char,Char Char Char,ft Char"/>
    <w:basedOn w:val="Standardnpsmoodstavce"/>
    <w:uiPriority w:val="99"/>
    <w:rsid w:val="00074A01"/>
  </w:style>
  <w:style w:type="character" w:styleId="Znakapoznpodarou">
    <w:name w:val="footnote reference"/>
    <w:aliases w:val="Footnote,Footnote call,12 b.,PGI Fußnote Ziffer,PGI Fußnote Ziffer + Times New Roman,Zúžené o ..."/>
    <w:basedOn w:val="Standardnpsmoodstavce"/>
    <w:uiPriority w:val="99"/>
    <w:unhideWhenUsed/>
    <w:rsid w:val="00074A01"/>
    <w:rPr>
      <w:vertAlign w:val="superscript"/>
    </w:rPr>
  </w:style>
  <w:style w:type="paragraph" w:styleId="Zhlav">
    <w:name w:val="header"/>
    <w:basedOn w:val="Normln"/>
    <w:uiPriority w:val="99"/>
    <w:unhideWhenUsed/>
    <w:rsid w:val="00074A0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uiPriority w:val="99"/>
    <w:rsid w:val="00074A01"/>
    <w:rPr>
      <w:sz w:val="24"/>
      <w:szCs w:val="24"/>
    </w:rPr>
  </w:style>
  <w:style w:type="paragraph" w:styleId="Zpat">
    <w:name w:val="footer"/>
    <w:basedOn w:val="Normln"/>
    <w:uiPriority w:val="99"/>
    <w:unhideWhenUsed/>
    <w:rsid w:val="00074A0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uiPriority w:val="99"/>
    <w:rsid w:val="00074A01"/>
    <w:rPr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BA709C"/>
    <w:pPr>
      <w:ind w:left="708"/>
    </w:pPr>
  </w:style>
  <w:style w:type="character" w:styleId="Odkaznakoment">
    <w:name w:val="annotation reference"/>
    <w:basedOn w:val="Standardnpsmoodstavce"/>
    <w:uiPriority w:val="99"/>
    <w:semiHidden/>
    <w:unhideWhenUsed/>
    <w:rsid w:val="00B667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667E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667E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67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67E8"/>
    <w:rPr>
      <w:b/>
      <w:bCs/>
    </w:rPr>
  </w:style>
  <w:style w:type="paragraph" w:styleId="Revize">
    <w:name w:val="Revision"/>
    <w:hidden/>
    <w:uiPriority w:val="99"/>
    <w:semiHidden/>
    <w:rsid w:val="00B667E8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67E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67E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803A70"/>
    <w:rPr>
      <w:rFonts w:ascii="Arial" w:eastAsia="Calibri" w:hAnsi="Aria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">
    <w:name w:val="Body Text"/>
    <w:basedOn w:val="Normln"/>
    <w:link w:val="ZkladntextChar"/>
    <w:uiPriority w:val="99"/>
    <w:rsid w:val="00C41D2F"/>
    <w:pPr>
      <w:jc w:val="both"/>
    </w:pPr>
    <w:rPr>
      <w:rFonts w:cs="Arial"/>
      <w:i/>
      <w:sz w:val="22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41D2F"/>
    <w:rPr>
      <w:rFonts w:ascii="Arial" w:hAnsi="Arial" w:cs="Arial"/>
      <w:i/>
      <w:sz w:val="22"/>
      <w:szCs w:val="24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43027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430278"/>
    <w:rPr>
      <w:rFonts w:ascii="Consolas" w:eastAsiaTheme="minorHAnsi" w:hAnsi="Consolas" w:cstheme="minorBidi"/>
      <w:sz w:val="21"/>
      <w:szCs w:val="21"/>
      <w:lang w:eastAsia="en-US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695DC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95DC0"/>
    <w:rPr>
      <w:rFonts w:ascii="Arial" w:hAnsi="Arial"/>
      <w:sz w:val="16"/>
      <w:szCs w:val="16"/>
    </w:rPr>
  </w:style>
  <w:style w:type="paragraph" w:customStyle="1" w:styleId="NadpisKZ">
    <w:name w:val="Nadpis KZ"/>
    <w:basedOn w:val="Zkladntext2"/>
    <w:rsid w:val="004827C3"/>
  </w:style>
  <w:style w:type="paragraph" w:styleId="Zkladntext2">
    <w:name w:val="Body Text 2"/>
    <w:basedOn w:val="Normln"/>
    <w:link w:val="Zkladntext2Char"/>
    <w:uiPriority w:val="99"/>
    <w:semiHidden/>
    <w:unhideWhenUsed/>
    <w:rsid w:val="004827C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4827C3"/>
    <w:rPr>
      <w:rFonts w:ascii="Arial" w:hAnsi="Arial"/>
      <w:sz w:val="24"/>
      <w:szCs w:val="24"/>
    </w:rPr>
  </w:style>
  <w:style w:type="paragraph" w:customStyle="1" w:styleId="Char4CharCharCharCharCharCharCharCharCharChar">
    <w:name w:val="Char4 Char Char Char Char Char Char Char Char Char Char"/>
    <w:basedOn w:val="Normln"/>
    <w:rsid w:val="000F3776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unhideWhenUsed/>
    <w:rsid w:val="00925EFE"/>
    <w:rPr>
      <w:color w:val="0000FF" w:themeColor="hyperlink"/>
      <w:u w:val="single"/>
    </w:rPr>
  </w:style>
  <w:style w:type="table" w:customStyle="1" w:styleId="Mkatabulky10">
    <w:name w:val="Mřížka tabulky10"/>
    <w:basedOn w:val="Normlntabulka"/>
    <w:next w:val="Mkatabulky"/>
    <w:uiPriority w:val="59"/>
    <w:rsid w:val="003A2E8D"/>
    <w:rPr>
      <w:rFonts w:asciiTheme="minorHAnsi" w:eastAsia="Calibr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katabulky1">
    <w:name w:val="Mřížka tabulky1"/>
    <w:basedOn w:val="Normlntabulka"/>
    <w:next w:val="Mkatabulky"/>
    <w:uiPriority w:val="59"/>
    <w:rsid w:val="007A253E"/>
    <w:rPr>
      <w:rFonts w:ascii="Arial" w:eastAsia="Calibri" w:hAnsi="Aria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67B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Standardnpsmoodstavce"/>
    <w:rsid w:val="003163D4"/>
  </w:style>
  <w:style w:type="paragraph" w:styleId="Normlnweb">
    <w:name w:val="Normal (Web)"/>
    <w:basedOn w:val="Normln"/>
    <w:uiPriority w:val="99"/>
    <w:semiHidden/>
    <w:unhideWhenUsed/>
    <w:rsid w:val="003163D4"/>
    <w:pPr>
      <w:spacing w:before="100" w:beforeAutospacing="1" w:after="100" w:afterAutospacing="1"/>
    </w:pPr>
    <w:rPr>
      <w:rFonts w:ascii="Times New Roman" w:hAnsi="Times New Roman"/>
    </w:rPr>
  </w:style>
  <w:style w:type="character" w:styleId="Siln">
    <w:name w:val="Strong"/>
    <w:basedOn w:val="Standardnpsmoodstavce"/>
    <w:uiPriority w:val="22"/>
    <w:qFormat/>
    <w:rsid w:val="003163D4"/>
    <w:rPr>
      <w:b/>
      <w:b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67B99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67B99"/>
    <w:rPr>
      <w:rFonts w:ascii="Arial" w:hAnsi="Arial"/>
    </w:rPr>
  </w:style>
  <w:style w:type="character" w:styleId="Odkaznavysvtlivky">
    <w:name w:val="endnote reference"/>
    <w:basedOn w:val="Standardnpsmoodstavce"/>
    <w:uiPriority w:val="99"/>
    <w:semiHidden/>
    <w:unhideWhenUsed/>
    <w:rsid w:val="00667B99"/>
    <w:rPr>
      <w:vertAlign w:val="superscript"/>
    </w:rPr>
  </w:style>
  <w:style w:type="character" w:customStyle="1" w:styleId="A0">
    <w:name w:val="A0"/>
    <w:uiPriority w:val="99"/>
    <w:rsid w:val="00AD28AE"/>
    <w:rPr>
      <w:rFonts w:cs="Myriad Pro"/>
      <w:b/>
      <w:bCs/>
      <w:color w:val="000000"/>
      <w:sz w:val="26"/>
      <w:szCs w:val="26"/>
    </w:rPr>
  </w:style>
  <w:style w:type="character" w:customStyle="1" w:styleId="A2">
    <w:name w:val="A2"/>
    <w:uiPriority w:val="99"/>
    <w:rsid w:val="00AD28AE"/>
    <w:rPr>
      <w:rFonts w:cs="Myriad Pro"/>
      <w:b/>
      <w:bCs/>
      <w:color w:val="000000"/>
      <w:sz w:val="44"/>
      <w:szCs w:val="44"/>
    </w:rPr>
  </w:style>
  <w:style w:type="character" w:customStyle="1" w:styleId="st1">
    <w:name w:val="st1"/>
    <w:basedOn w:val="Standardnpsmoodstavce"/>
    <w:rsid w:val="009858DF"/>
  </w:style>
  <w:style w:type="character" w:customStyle="1" w:styleId="OdstavecseseznamemChar">
    <w:name w:val="Odstavec se seznamem Char"/>
    <w:link w:val="Odstavecseseznamem"/>
    <w:uiPriority w:val="34"/>
    <w:rsid w:val="00310230"/>
    <w:rPr>
      <w:rFonts w:ascii="Arial" w:hAnsi="Arial"/>
      <w:sz w:val="24"/>
      <w:szCs w:val="24"/>
    </w:rPr>
  </w:style>
  <w:style w:type="paragraph" w:styleId="Bezmezer">
    <w:name w:val="No Spacing"/>
    <w:uiPriority w:val="1"/>
    <w:qFormat/>
    <w:rsid w:val="00BB3619"/>
  </w:style>
  <w:style w:type="character" w:styleId="Zdraznn">
    <w:name w:val="Emphasis"/>
    <w:basedOn w:val="Standardnpsmoodstavce"/>
    <w:uiPriority w:val="20"/>
    <w:qFormat/>
    <w:rsid w:val="005010CD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76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30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6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84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34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52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7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8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7737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83552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069898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7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nspa.nato.int/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://www.nato.int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chart" Target="charts/chart1.xml"/><Relationship Id="rId22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rlvz.army.cz/ProfilZadavatele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D:\Agendy\NK&#218;\16_05\Graf%20-%20mezin&#225;rodn&#237;%20srovn&#225;n&#237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2787679890529147"/>
          <c:y val="5.5455745197204677E-2"/>
          <c:w val="0.84719967101653926"/>
          <c:h val="0.53330928154967494"/>
        </c:manualLayout>
      </c:layout>
      <c:lineChart>
        <c:grouping val="standard"/>
        <c:varyColors val="0"/>
        <c:ser>
          <c:idx val="0"/>
          <c:order val="0"/>
          <c:tx>
            <c:strRef>
              <c:f>List1!$A$2</c:f>
              <c:strCache>
                <c:ptCount val="1"/>
                <c:pt idx="0">
                  <c:v>Česká republika</c:v>
                </c:pt>
              </c:strCache>
            </c:strRef>
          </c:tx>
          <c:spPr>
            <a:ln w="28575" cap="rnd">
              <a:solidFill>
                <a:srgbClr val="BD2A33"/>
              </a:solidFill>
              <a:round/>
            </a:ln>
            <a:effectLst/>
          </c:spPr>
          <c:marker>
            <c:symbol val="none"/>
          </c:marker>
          <c:cat>
            <c:strRef>
              <c:f>List1!$B$1:$F$1</c:f>
              <c:strCache>
                <c:ptCount val="5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2015*</c:v>
                </c:pt>
              </c:strCache>
            </c:strRef>
          </c:cat>
          <c:val>
            <c:numRef>
              <c:f>List1!$B$2:$F$2</c:f>
              <c:numCache>
                <c:formatCode>General</c:formatCode>
                <c:ptCount val="5"/>
                <c:pt idx="0">
                  <c:v>1.07</c:v>
                </c:pt>
                <c:pt idx="1">
                  <c:v>1.06</c:v>
                </c:pt>
                <c:pt idx="2">
                  <c:v>1.03</c:v>
                </c:pt>
                <c:pt idx="3">
                  <c:v>0.96</c:v>
                </c:pt>
                <c:pt idx="4">
                  <c:v>0.97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List1!$A$3</c:f>
              <c:strCache>
                <c:ptCount val="1"/>
                <c:pt idx="0">
                  <c:v>Polsko</c:v>
                </c:pt>
              </c:strCache>
            </c:strRef>
          </c:tx>
          <c:spPr>
            <a:ln w="28575" cap="rnd">
              <a:solidFill>
                <a:srgbClr val="004595">
                  <a:alpha val="60000"/>
                </a:srgbClr>
              </a:solidFill>
              <a:round/>
            </a:ln>
            <a:effectLst/>
          </c:spPr>
          <c:marker>
            <c:symbol val="none"/>
          </c:marker>
          <c:cat>
            <c:strRef>
              <c:f>List1!$B$1:$F$1</c:f>
              <c:strCache>
                <c:ptCount val="5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2015*</c:v>
                </c:pt>
              </c:strCache>
            </c:strRef>
          </c:cat>
          <c:val>
            <c:numRef>
              <c:f>List1!$B$3:$F$3</c:f>
              <c:numCache>
                <c:formatCode>General</c:formatCode>
                <c:ptCount val="5"/>
                <c:pt idx="0">
                  <c:v>1.72</c:v>
                </c:pt>
                <c:pt idx="1">
                  <c:v>1.74</c:v>
                </c:pt>
                <c:pt idx="2">
                  <c:v>1.72</c:v>
                </c:pt>
                <c:pt idx="3">
                  <c:v>1.85</c:v>
                </c:pt>
                <c:pt idx="4">
                  <c:v>2.1800000000000002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List1!$A$4</c:f>
              <c:strCache>
                <c:ptCount val="1"/>
                <c:pt idx="0">
                  <c:v>Slovensko</c:v>
                </c:pt>
              </c:strCache>
            </c:strRef>
          </c:tx>
          <c:spPr>
            <a:ln w="28575" cap="rnd">
              <a:solidFill>
                <a:srgbClr val="BD2A33">
                  <a:alpha val="60000"/>
                </a:srgbClr>
              </a:solidFill>
              <a:round/>
            </a:ln>
            <a:effectLst/>
          </c:spPr>
          <c:marker>
            <c:symbol val="none"/>
          </c:marker>
          <c:cat>
            <c:strRef>
              <c:f>List1!$B$1:$F$1</c:f>
              <c:strCache>
                <c:ptCount val="5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2015*</c:v>
                </c:pt>
              </c:strCache>
            </c:strRef>
          </c:cat>
          <c:val>
            <c:numRef>
              <c:f>List1!$B$4:$F$4</c:f>
              <c:numCache>
                <c:formatCode>General</c:formatCode>
                <c:ptCount val="5"/>
                <c:pt idx="0">
                  <c:v>1.0900000000000001</c:v>
                </c:pt>
                <c:pt idx="1">
                  <c:v>1.1000000000000001</c:v>
                </c:pt>
                <c:pt idx="2">
                  <c:v>0.99</c:v>
                </c:pt>
                <c:pt idx="3">
                  <c:v>0.99</c:v>
                </c:pt>
                <c:pt idx="4">
                  <c:v>1.1200000000000001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List1!$A$5</c:f>
              <c:strCache>
                <c:ptCount val="1"/>
                <c:pt idx="0">
                  <c:v>Německo</c:v>
                </c:pt>
              </c:strCache>
            </c:strRef>
          </c:tx>
          <c:spPr>
            <a:ln w="28575" cap="rnd">
              <a:solidFill>
                <a:srgbClr val="BD2A33">
                  <a:alpha val="20000"/>
                </a:srgbClr>
              </a:solidFill>
              <a:round/>
            </a:ln>
            <a:effectLst/>
          </c:spPr>
          <c:marker>
            <c:symbol val="none"/>
          </c:marker>
          <c:cat>
            <c:strRef>
              <c:f>List1!$B$1:$F$1</c:f>
              <c:strCache>
                <c:ptCount val="5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2015*</c:v>
                </c:pt>
              </c:strCache>
            </c:strRef>
          </c:cat>
          <c:val>
            <c:numRef>
              <c:f>List1!$B$5:$F$5</c:f>
              <c:numCache>
                <c:formatCode>General</c:formatCode>
                <c:ptCount val="5"/>
                <c:pt idx="0">
                  <c:v>1.28</c:v>
                </c:pt>
                <c:pt idx="1">
                  <c:v>1.31</c:v>
                </c:pt>
                <c:pt idx="2">
                  <c:v>1.23</c:v>
                </c:pt>
                <c:pt idx="3">
                  <c:v>1.19</c:v>
                </c:pt>
                <c:pt idx="4">
                  <c:v>1.18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List1!$A$6</c:f>
              <c:strCache>
                <c:ptCount val="1"/>
                <c:pt idx="0">
                  <c:v>Řecko</c:v>
                </c:pt>
              </c:strCache>
            </c:strRef>
          </c:tx>
          <c:spPr>
            <a:ln w="28575" cap="rnd">
              <a:solidFill>
                <a:schemeClr val="bg1">
                  <a:lumMod val="5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List1!$B$1:$F$1</c:f>
              <c:strCache>
                <c:ptCount val="5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2015*</c:v>
                </c:pt>
              </c:strCache>
            </c:strRef>
          </c:cat>
          <c:val>
            <c:numRef>
              <c:f>List1!$B$6:$F$6</c:f>
              <c:numCache>
                <c:formatCode>General</c:formatCode>
                <c:ptCount val="5"/>
                <c:pt idx="0">
                  <c:v>2.37</c:v>
                </c:pt>
                <c:pt idx="1">
                  <c:v>2.2599999999999998</c:v>
                </c:pt>
                <c:pt idx="2">
                  <c:v>2.19</c:v>
                </c:pt>
                <c:pt idx="3">
                  <c:v>2.2000000000000002</c:v>
                </c:pt>
                <c:pt idx="4">
                  <c:v>2.46</c:v>
                </c:pt>
              </c:numCache>
            </c:numRef>
          </c:val>
          <c:smooth val="0"/>
        </c:ser>
        <c:ser>
          <c:idx val="5"/>
          <c:order val="5"/>
          <c:tx>
            <c:strRef>
              <c:f>List1!$A$7</c:f>
              <c:strCache>
                <c:ptCount val="1"/>
                <c:pt idx="0">
                  <c:v>Velká Británie</c:v>
                </c:pt>
              </c:strCache>
            </c:strRef>
          </c:tx>
          <c:spPr>
            <a:ln w="28575" cap="rnd">
              <a:solidFill>
                <a:srgbClr val="004595">
                  <a:alpha val="20000"/>
                </a:srgbClr>
              </a:solidFill>
              <a:round/>
            </a:ln>
            <a:effectLst/>
          </c:spPr>
          <c:marker>
            <c:symbol val="none"/>
          </c:marker>
          <c:cat>
            <c:strRef>
              <c:f>List1!$B$1:$F$1</c:f>
              <c:strCache>
                <c:ptCount val="5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2015*</c:v>
                </c:pt>
              </c:strCache>
            </c:strRef>
          </c:cat>
          <c:val>
            <c:numRef>
              <c:f>List1!$B$7:$F$7</c:f>
              <c:numCache>
                <c:formatCode>General</c:formatCode>
                <c:ptCount val="5"/>
                <c:pt idx="0">
                  <c:v>2.42</c:v>
                </c:pt>
                <c:pt idx="1">
                  <c:v>2.2000000000000002</c:v>
                </c:pt>
                <c:pt idx="2">
                  <c:v>2.2999999999999998</c:v>
                </c:pt>
                <c:pt idx="3">
                  <c:v>2.2000000000000002</c:v>
                </c:pt>
                <c:pt idx="4">
                  <c:v>2.0699999999999998</c:v>
                </c:pt>
              </c:numCache>
            </c:numRef>
          </c:val>
          <c:smooth val="0"/>
        </c:ser>
        <c:ser>
          <c:idx val="6"/>
          <c:order val="6"/>
          <c:tx>
            <c:strRef>
              <c:f>List1!$A$8</c:f>
              <c:strCache>
                <c:ptCount val="1"/>
                <c:pt idx="0">
                  <c:v>NATO (Evropa)</c:v>
                </c:pt>
              </c:strCache>
            </c:strRef>
          </c:tx>
          <c:spPr>
            <a:ln w="28575" cap="rnd">
              <a:solidFill>
                <a:srgbClr val="004595"/>
              </a:solidFill>
              <a:round/>
            </a:ln>
            <a:effectLst/>
          </c:spPr>
          <c:marker>
            <c:symbol val="none"/>
          </c:marker>
          <c:cat>
            <c:strRef>
              <c:f>List1!$B$1:$F$1</c:f>
              <c:strCache>
                <c:ptCount val="5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2015*</c:v>
                </c:pt>
              </c:strCache>
            </c:strRef>
          </c:cat>
          <c:val>
            <c:numRef>
              <c:f>List1!$B$8:$F$8</c:f>
              <c:numCache>
                <c:formatCode>General</c:formatCode>
                <c:ptCount val="5"/>
                <c:pt idx="0">
                  <c:v>1.56</c:v>
                </c:pt>
                <c:pt idx="1">
                  <c:v>1.53</c:v>
                </c:pt>
                <c:pt idx="2">
                  <c:v>1.51</c:v>
                </c:pt>
                <c:pt idx="3">
                  <c:v>1.47</c:v>
                </c:pt>
                <c:pt idx="4">
                  <c:v>1.43</c:v>
                </c:pt>
              </c:numCache>
            </c:numRef>
          </c:val>
          <c:smooth val="0"/>
        </c:ser>
        <c:ser>
          <c:idx val="7"/>
          <c:order val="7"/>
          <c:tx>
            <c:strRef>
              <c:f>List1!$A$9</c:f>
              <c:strCache>
                <c:ptCount val="1"/>
                <c:pt idx="0">
                  <c:v>NATO (celkem)</c:v>
                </c:pt>
              </c:strCache>
            </c:strRef>
          </c:tx>
          <c:spPr>
            <a:ln w="28575" cap="rnd">
              <a:solidFill>
                <a:schemeClr val="bg1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List1!$B$1:$F$1</c:f>
              <c:strCache>
                <c:ptCount val="5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2015*</c:v>
                </c:pt>
              </c:strCache>
            </c:strRef>
          </c:cat>
          <c:val>
            <c:numRef>
              <c:f>List1!$B$9:$F$9</c:f>
              <c:numCache>
                <c:formatCode>General</c:formatCode>
                <c:ptCount val="5"/>
                <c:pt idx="0">
                  <c:v>2.98</c:v>
                </c:pt>
                <c:pt idx="1">
                  <c:v>2.82</c:v>
                </c:pt>
                <c:pt idx="2">
                  <c:v>2.66</c:v>
                </c:pt>
                <c:pt idx="3">
                  <c:v>2.5099999999999998</c:v>
                </c:pt>
                <c:pt idx="4">
                  <c:v>2.42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89926728"/>
        <c:axId val="189831480"/>
      </c:lineChart>
      <c:catAx>
        <c:axId val="18992672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cs-CZ" sz="1000" baseline="0">
                    <a:solidFill>
                      <a:schemeClr val="tx1"/>
                    </a:solidFill>
                  </a:rPr>
                  <a:t>Rok</a:t>
                </a:r>
              </a:p>
            </c:rich>
          </c:tx>
          <c:layout>
            <c:manualLayout>
              <c:xMode val="edge"/>
              <c:yMode val="edge"/>
              <c:x val="0.46818593250614782"/>
              <c:y val="0.7054028211228482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cs-CZ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89831480"/>
        <c:crosses val="autoZero"/>
        <c:auto val="1"/>
        <c:lblAlgn val="ctr"/>
        <c:lblOffset val="100"/>
        <c:noMultiLvlLbl val="0"/>
      </c:catAx>
      <c:valAx>
        <c:axId val="189831480"/>
        <c:scaling>
          <c:orientation val="minMax"/>
          <c:max val="3.3"/>
          <c:min val="0.8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7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cs-CZ" sz="1200" baseline="0">
                    <a:solidFill>
                      <a:schemeClr val="tx1"/>
                    </a:solidFill>
                  </a:rPr>
                  <a:t>v % HDP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cs-CZ"/>
            </a:p>
          </c:txPr>
        </c:title>
        <c:numFmt formatCode="#,##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89926728"/>
        <c:crosses val="autoZero"/>
        <c:crossBetween val="between"/>
        <c:majorUnit val="0.4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9940243990355725E-2"/>
          <c:y val="0.77545082893693973"/>
          <c:w val="0.91462740606050896"/>
          <c:h val="0.1899590638337277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cs-CZ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Kancelář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7A625AE9F5AB4A939F92BCAA7FEC02" ma:contentTypeVersion="1" ma:contentTypeDescription="Vytvoří nový dokument" ma:contentTypeScope="" ma:versionID="09736fd4d2dc7a7ec8b641ae14df0e5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91a41dfb025b41eb9943aabee43187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Datum zahájení plánování je sloupec webu, který vytvořila funkce Publikování. Používá se k zadání data a času, od kterého se tato stránka začne návštěvníkům webu zobrazovat.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Datum ukončení plánování je sloupec webu, který vytvořila funkce Publikování. Používá se k zadání data a času, od kterého se tato stránka už nebude návštěvníkům webu zobrazovat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228B4-BA39-49C6-B50E-51DA7CF18AF6}">
  <ds:schemaRefs>
    <ds:schemaRef ds:uri="http://purl.org/dc/dcmitype/"/>
    <ds:schemaRef ds:uri="http://schemas.microsoft.com/office/2006/metadata/properties"/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871347A-F5E8-4EAA-9ACC-BF9749B23F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3FF9C3-D13A-47EF-BA63-F61B707A4C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93BCD6-FB5D-4C3C-82C7-DF45134FAC9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94D7504-F374-46AB-9463-AF0833874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39A68B2B.dotm</Template>
  <TotalTime>4</TotalTime>
  <Pages>20</Pages>
  <Words>6900</Words>
  <Characters>40712</Characters>
  <Application>Microsoft Office Word</Application>
  <DocSecurity>0</DocSecurity>
  <Lines>339</Lines>
  <Paragraphs>95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Kontrolní závěr z kontrolní akce NKÚ č. 15/27 - Peněžní prostředky státu určené na účelovou podporu výzkumu a vývoje prostřednictvím rozpočtové kapitoly Technologická agentura České republiky</vt:lpstr>
      <vt:lpstr> </vt:lpstr>
    </vt:vector>
  </TitlesOfParts>
  <Company>Nejvyšší kontrolní úřad</Company>
  <LinksUpToDate>false</LinksUpToDate>
  <CharactersWithSpaces>47517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Kontrolní závěr z kontrolní akce NKÚ č. 15/27 - Peněžní prostředky státu určené na účelovou podporu výzkumu a vývoje prostřednictvím rozpočtové kapitoly Technologická agentura České republiky</dc:title>
  <dc:creator>Nejvyšší kontrolní úřad</dc:creator>
  <cp:keywords>kontrolní závěr, technika armády, armáda ČR, výzbroj</cp:keywords>
  <dc:description/>
  <cp:lastModifiedBy>KOKRDA Daniel</cp:lastModifiedBy>
  <cp:revision>4</cp:revision>
  <cp:lastPrinted>2016-11-30T12:06:00Z</cp:lastPrinted>
  <dcterms:created xsi:type="dcterms:W3CDTF">2016-11-30T12:04:00Z</dcterms:created>
  <dcterms:modified xsi:type="dcterms:W3CDTF">2016-11-30T12:07:00Z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J">
    <vt:lpwstr>15/27-NKU30/403/16</vt:lpwstr>
  </property>
  <property fmtid="{D5CDD505-2E9C-101B-9397-08002B2CF9AE}" pid="3" name="SZ_Spis_Pisemnost">
    <vt:lpwstr>15/27</vt:lpwstr>
  </property>
  <property fmtid="{D5CDD505-2E9C-101B-9397-08002B2CF9AE}" pid="4" name="DisplayName_SpisovyUzel_PoziceZodpo_Pisemnost">
    <vt:lpwstr>30</vt:lpwstr>
  </property>
  <property fmtid="{D5CDD505-2E9C-101B-9397-08002B2CF9AE}" pid="5" name="Zkratka_SpisovyUzel_PoziceZodpo_Pisemnost">
    <vt:lpwstr>30</vt:lpwstr>
  </property>
  <property fmtid="{D5CDD505-2E9C-101B-9397-08002B2CF9AE}" pid="6" name="Key_BarCode_Pisemnost">
    <vt:lpwstr>*B000263723*</vt:lpwstr>
  </property>
  <property fmtid="{D5CDD505-2E9C-101B-9397-08002B2CF9AE}" pid="7" name="DisplayName_CisloObalky_PostaOdes">
    <vt:lpwstr>{DisplayName_CisloObalky_PostaOdes}</vt:lpwstr>
  </property>
  <property fmtid="{D5CDD505-2E9C-101B-9397-08002B2CF9AE}" pid="8" name="EC_Pisemnost">
    <vt:lpwstr>16-5943/NKU</vt:lpwstr>
  </property>
  <property fmtid="{D5CDD505-2E9C-101B-9397-08002B2CF9AE}" pid="9" name="Odkaz">
    <vt:lpwstr>ODKAZ</vt:lpwstr>
  </property>
  <property fmtid="{D5CDD505-2E9C-101B-9397-08002B2CF9AE}" pid="10" name="SkartacniZnakLhuta_PisemnostZnak">
    <vt:lpwstr>?/?</vt:lpwstr>
  </property>
  <property fmtid="{D5CDD505-2E9C-101B-9397-08002B2CF9AE}" pid="11" name="CJ_Spis_Pisemnost">
    <vt:lpwstr>CJ/SPIS/ROK</vt:lpwstr>
  </property>
  <property fmtid="{D5CDD505-2E9C-101B-9397-08002B2CF9AE}" pid="12" name="ContentTypeId">
    <vt:lpwstr>0x0101002F7A625AE9F5AB4A939F92BCAA7FEC02</vt:lpwstr>
  </property>
  <property fmtid="{D5CDD505-2E9C-101B-9397-08002B2CF9AE}" pid="13" name="Contact_PostaOdes_All">
    <vt:lpwstr>ROZDĚLOVNÍK...</vt:lpwstr>
  </property>
  <property fmtid="{D5CDD505-2E9C-101B-9397-08002B2CF9AE}" pid="14" name="UserName_PisemnostTypZpristupneniInformaciZOSZ_Pisemnost">
    <vt:lpwstr>ZOSZ_UserName</vt:lpwstr>
  </property>
  <property fmtid="{D5CDD505-2E9C-101B-9397-08002B2CF9AE}" pid="15" name="Password_PisemnostTypZpristupneniInformaciZOSZ_Pisemnost">
    <vt:lpwstr>ZOSZ_Password</vt:lpwstr>
  </property>
  <property fmtid="{D5CDD505-2E9C-101B-9397-08002B2CF9AE}" pid="16" name="DatumPlatnosti_PisemnostTypZpristupneniInformaciZOSZ_Pisemnost">
    <vt:lpwstr>ZOSZ_DatumPlatnosti</vt:lpwstr>
  </property>
  <property fmtid="{D5CDD505-2E9C-101B-9397-08002B2CF9AE}" pid="17" name="TEST">
    <vt:lpwstr>testovací pole</vt:lpwstr>
  </property>
  <property fmtid="{D5CDD505-2E9C-101B-9397-08002B2CF9AE}" pid="18" name="PocetListu_Pisemnost">
    <vt:lpwstr>1</vt:lpwstr>
  </property>
  <property fmtid="{D5CDD505-2E9C-101B-9397-08002B2CF9AE}" pid="19" name="Vec_Pisemnost">
    <vt:lpwstr>Návrh kontrolního závěru z KA č. 15/27 do připomínek. Termín pro předložení připomínek je 29. 4. 2016.</vt:lpwstr>
  </property>
  <property fmtid="{D5CDD505-2E9C-101B-9397-08002B2CF9AE}" pid="20" name="DatumPoriz_Pisemnost">
    <vt:lpwstr>20.4.2016</vt:lpwstr>
  </property>
  <property fmtid="{D5CDD505-2E9C-101B-9397-08002B2CF9AE}" pid="21" name="KRukam">
    <vt:lpwstr>{KRukam}</vt:lpwstr>
  </property>
  <property fmtid="{D5CDD505-2E9C-101B-9397-08002B2CF9AE}" pid="22" name="PocetListuDokumentu_Pisemnost">
    <vt:lpwstr>1</vt:lpwstr>
  </property>
  <property fmtid="{D5CDD505-2E9C-101B-9397-08002B2CF9AE}" pid="23" name="PocetPriloh_Pisemnost">
    <vt:lpwstr>0</vt:lpwstr>
  </property>
  <property fmtid="{D5CDD505-2E9C-101B-9397-08002B2CF9AE}" pid="24" name="TypPrilohy_Pisemnost">
    <vt:lpwstr>TYP PŘÍLOHY</vt:lpwstr>
  </property>
  <property fmtid="{D5CDD505-2E9C-101B-9397-08002B2CF9AE}" pid="25" name="DisplayName_UserPoriz_Pisemnost">
    <vt:lpwstr>Bc. Jana Pokorná</vt:lpwstr>
  </property>
  <property fmtid="{D5CDD505-2E9C-101B-9397-08002B2CF9AE}" pid="26" name="Podpis">
    <vt:lpwstr/>
  </property>
  <property fmtid="{D5CDD505-2E9C-101B-9397-08002B2CF9AE}" pid="27" name="SmlouvaCislo">
    <vt:lpwstr>ČÍSLO SMLOUVY</vt:lpwstr>
  </property>
</Properties>
</file>