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88A5" w14:textId="77777777" w:rsidR="00D5553D" w:rsidRPr="00516D74" w:rsidRDefault="00D5553D" w:rsidP="00D5553D">
      <w:pPr>
        <w:jc w:val="center"/>
        <w:rPr>
          <w:color w:val="000000" w:themeColor="text1"/>
        </w:rPr>
      </w:pPr>
      <w:bookmarkStart w:id="0" w:name="_GoBack"/>
      <w:bookmarkEnd w:id="0"/>
      <w:r w:rsidRPr="00516D74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0830D1E5" wp14:editId="5BDD38FB">
            <wp:simplePos x="0" y="0"/>
            <wp:positionH relativeFrom="margin">
              <wp:posOffset>2522855</wp:posOffset>
            </wp:positionH>
            <wp:positionV relativeFrom="paragraph">
              <wp:posOffset>0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E02BF" w14:textId="77777777" w:rsidR="00D5553D" w:rsidRPr="00516D74" w:rsidRDefault="00D5553D" w:rsidP="00D5553D">
      <w:pPr>
        <w:jc w:val="center"/>
        <w:rPr>
          <w:color w:val="000000" w:themeColor="text1"/>
        </w:rPr>
      </w:pPr>
    </w:p>
    <w:p w14:paraId="2C3C4D4D" w14:textId="77777777" w:rsidR="00D5553D" w:rsidRPr="00516D74" w:rsidRDefault="00D5553D" w:rsidP="00D5553D">
      <w:pPr>
        <w:jc w:val="center"/>
        <w:rPr>
          <w:color w:val="000000" w:themeColor="text1"/>
        </w:rPr>
      </w:pPr>
    </w:p>
    <w:p w14:paraId="206E5CD0" w14:textId="77777777" w:rsidR="00D5553D" w:rsidRPr="00516D74" w:rsidRDefault="00D5553D" w:rsidP="00D5553D">
      <w:pPr>
        <w:jc w:val="center"/>
        <w:rPr>
          <w:b/>
          <w:color w:val="000000" w:themeColor="text1"/>
          <w:sz w:val="28"/>
          <w:szCs w:val="28"/>
        </w:rPr>
      </w:pPr>
      <w:r w:rsidRPr="00516D74">
        <w:rPr>
          <w:b/>
          <w:color w:val="000000" w:themeColor="text1"/>
          <w:sz w:val="28"/>
          <w:szCs w:val="28"/>
        </w:rPr>
        <w:t>Kontrolní závěr z kontrolní akce</w:t>
      </w:r>
    </w:p>
    <w:p w14:paraId="44EB693C" w14:textId="77777777" w:rsidR="00D5553D" w:rsidRPr="00516D74" w:rsidRDefault="00D5553D" w:rsidP="00D5553D">
      <w:pPr>
        <w:jc w:val="center"/>
        <w:rPr>
          <w:color w:val="000000" w:themeColor="text1"/>
        </w:rPr>
      </w:pPr>
    </w:p>
    <w:p w14:paraId="1630FC30" w14:textId="77777777" w:rsidR="00D5553D" w:rsidRPr="00516D74" w:rsidRDefault="00D5553D" w:rsidP="00D5553D">
      <w:pPr>
        <w:jc w:val="center"/>
        <w:rPr>
          <w:b/>
          <w:color w:val="000000" w:themeColor="text1"/>
          <w:sz w:val="28"/>
          <w:szCs w:val="28"/>
        </w:rPr>
      </w:pPr>
      <w:r w:rsidRPr="00516D74">
        <w:rPr>
          <w:b/>
          <w:color w:val="000000" w:themeColor="text1"/>
          <w:sz w:val="28"/>
          <w:szCs w:val="28"/>
        </w:rPr>
        <w:t>22/12</w:t>
      </w:r>
    </w:p>
    <w:p w14:paraId="70478BA9" w14:textId="77777777" w:rsidR="00D5553D" w:rsidRPr="00516D74" w:rsidRDefault="00D5553D" w:rsidP="00D5553D">
      <w:pPr>
        <w:jc w:val="center"/>
        <w:rPr>
          <w:color w:val="000000" w:themeColor="text1"/>
        </w:rPr>
      </w:pPr>
    </w:p>
    <w:p w14:paraId="03C5C484" w14:textId="6AC582E8" w:rsidR="00D5553D" w:rsidRPr="00516D74" w:rsidRDefault="00D5553D" w:rsidP="00D5553D">
      <w:pPr>
        <w:jc w:val="center"/>
        <w:rPr>
          <w:color w:val="000000" w:themeColor="text1"/>
        </w:rPr>
      </w:pPr>
      <w:r w:rsidRPr="00516D74">
        <w:rPr>
          <w:rFonts w:cstheme="minorHAnsi"/>
          <w:b/>
          <w:color w:val="000000" w:themeColor="text1"/>
          <w:sz w:val="28"/>
          <w:szCs w:val="28"/>
        </w:rPr>
        <w:t xml:space="preserve">Peněžní prostředky státu určené na přípravu a zajištění systému </w:t>
      </w:r>
      <w:r w:rsidR="0090143E">
        <w:rPr>
          <w:rFonts w:cstheme="minorHAnsi"/>
          <w:b/>
          <w:color w:val="000000" w:themeColor="text1"/>
          <w:sz w:val="28"/>
          <w:szCs w:val="28"/>
        </w:rPr>
        <w:br/>
      </w:r>
      <w:r w:rsidRPr="00516D74">
        <w:rPr>
          <w:rFonts w:cstheme="minorHAnsi"/>
          <w:b/>
          <w:color w:val="000000" w:themeColor="text1"/>
          <w:sz w:val="28"/>
          <w:szCs w:val="28"/>
        </w:rPr>
        <w:t>ochrany obyvatelstva</w:t>
      </w:r>
    </w:p>
    <w:p w14:paraId="5510A1A4" w14:textId="77777777" w:rsidR="00D5553D" w:rsidRPr="00516D74" w:rsidRDefault="00D5553D" w:rsidP="00D5553D">
      <w:pPr>
        <w:jc w:val="both"/>
        <w:rPr>
          <w:color w:val="000000" w:themeColor="text1"/>
        </w:rPr>
      </w:pPr>
    </w:p>
    <w:p w14:paraId="7A15F86D" w14:textId="77777777" w:rsidR="00D5553D" w:rsidRPr="00516D74" w:rsidRDefault="00D5553D" w:rsidP="00D5553D">
      <w:pPr>
        <w:jc w:val="both"/>
        <w:rPr>
          <w:color w:val="000000" w:themeColor="text1"/>
        </w:rPr>
      </w:pPr>
    </w:p>
    <w:p w14:paraId="37E8645C" w14:textId="457B3DA5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  <w:r w:rsidRPr="00516D74">
        <w:rPr>
          <w:rFonts w:cstheme="minorHAnsi"/>
          <w:color w:val="000000" w:themeColor="text1"/>
        </w:rPr>
        <w:t>Kontrolní akce byla zařazena do plánu kontrolní činnosti Nejvyššího kontrolního úřadu (dále také „NKÚ“) na rok 2022 pod číslem 22/12. Kontrolní akci řídil a</w:t>
      </w:r>
      <w:r w:rsidR="00470FC9">
        <w:rPr>
          <w:rFonts w:cstheme="minorHAnsi"/>
          <w:color w:val="000000" w:themeColor="text1"/>
        </w:rPr>
        <w:t> </w:t>
      </w:r>
      <w:r w:rsidRPr="00516D74">
        <w:rPr>
          <w:rFonts w:cstheme="minorHAnsi"/>
          <w:color w:val="000000" w:themeColor="text1"/>
        </w:rPr>
        <w:t>kontrolní závěr vypracoval člen</w:t>
      </w:r>
      <w:r w:rsidR="00470FC9">
        <w:rPr>
          <w:rFonts w:cstheme="minorHAnsi"/>
          <w:color w:val="000000" w:themeColor="text1"/>
        </w:rPr>
        <w:t> </w:t>
      </w:r>
      <w:r w:rsidRPr="00516D74">
        <w:rPr>
          <w:rFonts w:cstheme="minorHAnsi"/>
          <w:color w:val="000000" w:themeColor="text1"/>
        </w:rPr>
        <w:t>NKÚ Ing.</w:t>
      </w:r>
      <w:r w:rsidR="00470FC9">
        <w:rPr>
          <w:rFonts w:cstheme="minorHAnsi"/>
          <w:color w:val="000000" w:themeColor="text1"/>
        </w:rPr>
        <w:t> </w:t>
      </w:r>
      <w:r w:rsidRPr="00516D74">
        <w:rPr>
          <w:rFonts w:cstheme="minorHAnsi"/>
          <w:color w:val="000000" w:themeColor="text1"/>
        </w:rPr>
        <w:t xml:space="preserve">Michal </w:t>
      </w:r>
      <w:proofErr w:type="spellStart"/>
      <w:r w:rsidRPr="00516D74">
        <w:rPr>
          <w:rFonts w:cstheme="minorHAnsi"/>
          <w:color w:val="000000" w:themeColor="text1"/>
        </w:rPr>
        <w:t>Šmucr</w:t>
      </w:r>
      <w:proofErr w:type="spellEnd"/>
      <w:r w:rsidRPr="00516D74">
        <w:rPr>
          <w:rFonts w:cstheme="minorHAnsi"/>
          <w:color w:val="000000" w:themeColor="text1"/>
        </w:rPr>
        <w:t>.</w:t>
      </w:r>
    </w:p>
    <w:p w14:paraId="695EF383" w14:textId="77777777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</w:p>
    <w:p w14:paraId="7AB0DD7A" w14:textId="77777777" w:rsidR="00D5553D" w:rsidRPr="00516D74" w:rsidRDefault="00D5553D" w:rsidP="00D5553D">
      <w:pPr>
        <w:autoSpaceDE w:val="0"/>
        <w:autoSpaceDN w:val="0"/>
        <w:adjustRightInd w:val="0"/>
        <w:rPr>
          <w:rFonts w:ascii="Calibri" w:eastAsia="Times New Roman" w:hAnsi="Calibri" w:cs="Calibri"/>
          <w:color w:val="000000" w:themeColor="text1"/>
          <w:lang w:eastAsia="cs-CZ"/>
        </w:rPr>
      </w:pPr>
      <w:r w:rsidRPr="00516D74">
        <w:rPr>
          <w:rFonts w:cstheme="minorHAnsi"/>
          <w:color w:val="000000" w:themeColor="text1"/>
        </w:rPr>
        <w:t xml:space="preserve">Cílem kontroly bylo </w:t>
      </w:r>
      <w:r w:rsidRPr="00516D74">
        <w:rPr>
          <w:rFonts w:ascii="Calibri" w:eastAsia="Times New Roman" w:hAnsi="Calibri" w:cs="Calibri"/>
          <w:color w:val="000000" w:themeColor="text1"/>
          <w:lang w:eastAsia="cs-CZ"/>
        </w:rPr>
        <w:t>prověřit, zda byly peněžní prostředky státu určené na přípravu a zajištění systému ochrany obyvatelstva vynakládány účelně a v souladu s právními předpisy.</w:t>
      </w:r>
    </w:p>
    <w:p w14:paraId="6E2D78F2" w14:textId="77777777" w:rsidR="00D5553D" w:rsidRPr="00516D74" w:rsidRDefault="00D5553D" w:rsidP="00D5553D">
      <w:pPr>
        <w:autoSpaceDE w:val="0"/>
        <w:autoSpaceDN w:val="0"/>
        <w:adjustRightInd w:val="0"/>
        <w:rPr>
          <w:rFonts w:ascii="Calibri" w:eastAsia="Times New Roman" w:hAnsi="Calibri" w:cs="Calibri"/>
          <w:color w:val="000000" w:themeColor="text1"/>
          <w:lang w:eastAsia="cs-CZ"/>
        </w:rPr>
      </w:pPr>
    </w:p>
    <w:p w14:paraId="6185BDD8" w14:textId="77777777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  <w:r w:rsidRPr="00516D74">
        <w:rPr>
          <w:rFonts w:cstheme="minorHAnsi"/>
          <w:color w:val="000000" w:themeColor="text1"/>
        </w:rPr>
        <w:t>Kontrola byla prováděna u kontrolovaných osob v období od května 2022 do prosince 2022.</w:t>
      </w:r>
    </w:p>
    <w:p w14:paraId="62D0F0E4" w14:textId="77777777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</w:p>
    <w:p w14:paraId="04B64A7A" w14:textId="77777777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  <w:r w:rsidRPr="00516D74">
        <w:rPr>
          <w:rFonts w:cstheme="minorHAnsi"/>
          <w:color w:val="000000" w:themeColor="text1"/>
        </w:rPr>
        <w:t>Kontrolovaným obdobím byly roky 2015 až 2021, v případě věcných souvislostí i období předcházející a následující.</w:t>
      </w:r>
    </w:p>
    <w:p w14:paraId="6053D028" w14:textId="77777777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</w:p>
    <w:p w14:paraId="51F1A001" w14:textId="696440F2" w:rsidR="00755B7D" w:rsidRDefault="00D5553D" w:rsidP="00D5553D">
      <w:pPr>
        <w:jc w:val="both"/>
        <w:rPr>
          <w:rFonts w:cstheme="minorHAnsi"/>
          <w:color w:val="000000" w:themeColor="text1"/>
        </w:rPr>
      </w:pPr>
      <w:r w:rsidRPr="00F402B7">
        <w:rPr>
          <w:rFonts w:cstheme="minorHAnsi"/>
          <w:b/>
          <w:color w:val="000000" w:themeColor="text1"/>
        </w:rPr>
        <w:t>Kontrolované osoby:</w:t>
      </w:r>
      <w:r w:rsidRPr="00F402B7">
        <w:rPr>
          <w:rFonts w:cstheme="minorHAnsi"/>
          <w:b/>
          <w:color w:val="000000" w:themeColor="text1"/>
        </w:rPr>
        <w:cr/>
      </w:r>
      <w:r w:rsidRPr="00516D74">
        <w:rPr>
          <w:rFonts w:cstheme="minorHAnsi"/>
          <w:color w:val="000000" w:themeColor="text1"/>
        </w:rPr>
        <w:t>Ministerstvo vnitra (dále také „MV“)</w:t>
      </w:r>
      <w:r w:rsidR="00755B7D">
        <w:rPr>
          <w:rFonts w:cstheme="minorHAnsi"/>
          <w:color w:val="000000" w:themeColor="text1"/>
        </w:rPr>
        <w:t>;</w:t>
      </w:r>
      <w:r w:rsidRPr="00516D74">
        <w:rPr>
          <w:rFonts w:cstheme="minorHAnsi"/>
          <w:color w:val="000000" w:themeColor="text1"/>
        </w:rPr>
        <w:t xml:space="preserve"> </w:t>
      </w:r>
    </w:p>
    <w:p w14:paraId="0A658452" w14:textId="42BC6EC0" w:rsidR="00D5553D" w:rsidRPr="00516D74" w:rsidRDefault="00D5553D" w:rsidP="00D5553D">
      <w:pPr>
        <w:jc w:val="both"/>
        <w:rPr>
          <w:rFonts w:cstheme="minorHAnsi"/>
          <w:color w:val="000000" w:themeColor="text1"/>
        </w:rPr>
      </w:pPr>
      <w:r w:rsidRPr="00516D74">
        <w:rPr>
          <w:rFonts w:cstheme="minorHAnsi"/>
          <w:color w:val="000000" w:themeColor="text1"/>
        </w:rPr>
        <w:t>Ministerstvo zdravotnictví (dále také „</w:t>
      </w:r>
      <w:proofErr w:type="spellStart"/>
      <w:r w:rsidRPr="00516D74">
        <w:rPr>
          <w:rFonts w:cstheme="minorHAnsi"/>
          <w:color w:val="000000" w:themeColor="text1"/>
        </w:rPr>
        <w:t>MZd</w:t>
      </w:r>
      <w:proofErr w:type="spellEnd"/>
      <w:r w:rsidRPr="00516D74">
        <w:rPr>
          <w:rFonts w:cstheme="minorHAnsi"/>
          <w:color w:val="000000" w:themeColor="text1"/>
        </w:rPr>
        <w:t>“)</w:t>
      </w:r>
      <w:r w:rsidR="00755B7D">
        <w:rPr>
          <w:rFonts w:cstheme="minorHAnsi"/>
          <w:color w:val="000000" w:themeColor="text1"/>
        </w:rPr>
        <w:t>.</w:t>
      </w:r>
    </w:p>
    <w:p w14:paraId="739205F1" w14:textId="77777777" w:rsidR="00D5553D" w:rsidRPr="00516D74" w:rsidRDefault="00D5553D" w:rsidP="00D5553D">
      <w:pPr>
        <w:rPr>
          <w:color w:val="000000" w:themeColor="text1"/>
        </w:rPr>
      </w:pPr>
    </w:p>
    <w:p w14:paraId="43FAEBAE" w14:textId="77777777" w:rsidR="00D5553D" w:rsidRPr="00516D74" w:rsidRDefault="00D5553D" w:rsidP="00D5553D">
      <w:pPr>
        <w:rPr>
          <w:color w:val="000000" w:themeColor="text1"/>
        </w:rPr>
      </w:pPr>
    </w:p>
    <w:p w14:paraId="0C30593E" w14:textId="0D5E114B" w:rsidR="00D5553D" w:rsidRPr="0024725E" w:rsidRDefault="00D5553D" w:rsidP="00D5553D">
      <w:pPr>
        <w:spacing w:after="120" w:line="360" w:lineRule="auto"/>
      </w:pPr>
      <w:r w:rsidRPr="0024725E">
        <w:rPr>
          <w:b/>
          <w:i/>
          <w:spacing w:val="40"/>
        </w:rPr>
        <w:t>Kolegium</w:t>
      </w:r>
      <w:r w:rsidR="006176E2" w:rsidRPr="0024725E">
        <w:rPr>
          <w:b/>
          <w:i/>
        </w:rPr>
        <w:t xml:space="preserve">   </w:t>
      </w:r>
      <w:r w:rsidRPr="0024725E">
        <w:rPr>
          <w:b/>
          <w:i/>
          <w:spacing w:val="40"/>
        </w:rPr>
        <w:t>NKÚ</w:t>
      </w:r>
      <w:r w:rsidRPr="0024725E">
        <w:rPr>
          <w:b/>
          <w:i/>
        </w:rPr>
        <w:t xml:space="preserve">   </w:t>
      </w:r>
      <w:r w:rsidRPr="0024725E">
        <w:t xml:space="preserve">na svém </w:t>
      </w:r>
      <w:r w:rsidR="005C677B">
        <w:t>IV</w:t>
      </w:r>
      <w:r w:rsidRPr="0024725E">
        <w:t xml:space="preserve">. jednání, které se konalo </w:t>
      </w:r>
      <w:r w:rsidRPr="005C677B">
        <w:t>dne</w:t>
      </w:r>
      <w:r w:rsidR="005C677B" w:rsidRPr="005C677B">
        <w:t xml:space="preserve"> 27. února 2023</w:t>
      </w:r>
      <w:r w:rsidRPr="005C677B">
        <w:t>,</w:t>
      </w:r>
    </w:p>
    <w:p w14:paraId="35DC49A2" w14:textId="6CE83A49" w:rsidR="00D5553D" w:rsidRPr="0024725E" w:rsidRDefault="00D5553D" w:rsidP="00D5553D">
      <w:pPr>
        <w:spacing w:after="120" w:line="360" w:lineRule="auto"/>
      </w:pPr>
      <w:r w:rsidRPr="0024725E">
        <w:rPr>
          <w:b/>
          <w:i/>
          <w:spacing w:val="40"/>
        </w:rPr>
        <w:t>schválilo</w:t>
      </w:r>
      <w:r w:rsidRPr="0024725E">
        <w:rPr>
          <w:b/>
          <w:i/>
        </w:rPr>
        <w:t xml:space="preserve">   </w:t>
      </w:r>
      <w:r w:rsidRPr="0024725E">
        <w:t xml:space="preserve">usnesením č. </w:t>
      </w:r>
      <w:r w:rsidR="00422DB2">
        <w:t>6</w:t>
      </w:r>
      <w:r w:rsidRPr="005C677B">
        <w:t>/</w:t>
      </w:r>
      <w:r w:rsidR="005C677B" w:rsidRPr="005C677B">
        <w:t>IV</w:t>
      </w:r>
      <w:r w:rsidRPr="005C677B">
        <w:t>/2023</w:t>
      </w:r>
    </w:p>
    <w:p w14:paraId="5F01A8D6" w14:textId="21E00880" w:rsidR="00D5553D" w:rsidRPr="00057439" w:rsidRDefault="00D5553D" w:rsidP="00D5553D">
      <w:pPr>
        <w:spacing w:after="120" w:line="360" w:lineRule="auto"/>
        <w:jc w:val="both"/>
        <w:rPr>
          <w:rFonts w:cstheme="minorHAnsi"/>
        </w:rPr>
      </w:pPr>
      <w:r w:rsidRPr="0024725E">
        <w:rPr>
          <w:rFonts w:cstheme="minorHAnsi"/>
          <w:b/>
          <w:i/>
          <w:spacing w:val="40"/>
        </w:rPr>
        <w:t>kontrolní</w:t>
      </w:r>
      <w:r w:rsidR="006176E2" w:rsidRPr="0024725E">
        <w:rPr>
          <w:b/>
          <w:i/>
        </w:rPr>
        <w:t xml:space="preserve">   </w:t>
      </w:r>
      <w:r w:rsidRPr="0024725E">
        <w:rPr>
          <w:rFonts w:cstheme="minorHAnsi"/>
          <w:b/>
          <w:i/>
          <w:spacing w:val="40"/>
        </w:rPr>
        <w:t>závěr</w:t>
      </w:r>
      <w:r w:rsidRPr="0024725E">
        <w:rPr>
          <w:b/>
          <w:i/>
        </w:rPr>
        <w:t xml:space="preserve">   </w:t>
      </w:r>
      <w:r w:rsidRPr="0024725E">
        <w:rPr>
          <w:rFonts w:cstheme="minorHAnsi"/>
        </w:rPr>
        <w:t>v tomto znění:</w:t>
      </w:r>
    </w:p>
    <w:p w14:paraId="5DB7038A" w14:textId="77777777" w:rsidR="00681CBB" w:rsidRDefault="00681CBB"/>
    <w:p w14:paraId="510FB141" w14:textId="74A50C49" w:rsidR="006176E2" w:rsidRDefault="006176E2">
      <w:pPr>
        <w:spacing w:after="160" w:line="259" w:lineRule="auto"/>
      </w:pPr>
      <w:r>
        <w:br w:type="page"/>
      </w:r>
    </w:p>
    <w:p w14:paraId="7AD553B0" w14:textId="33D3ABD1" w:rsidR="00D5553D" w:rsidRDefault="00B4320D" w:rsidP="00A86638">
      <w:pPr>
        <w:spacing w:after="360"/>
        <w:jc w:val="center"/>
      </w:pPr>
      <w:r>
        <w:rPr>
          <w:noProof/>
        </w:rPr>
        <w:lastRenderedPageBreak/>
        <w:drawing>
          <wp:inline distT="0" distB="0" distL="0" distR="0" wp14:anchorId="5A5E297F" wp14:editId="0D954DBB">
            <wp:extent cx="5772150" cy="7781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67B6" w14:textId="0E372C3C" w:rsidR="006176E2" w:rsidRDefault="006176E2" w:rsidP="00A86638">
      <w:r>
        <w:br w:type="page"/>
      </w:r>
    </w:p>
    <w:p w14:paraId="00BE30D3" w14:textId="584A7C1F" w:rsidR="00E7521C" w:rsidRDefault="00506B07" w:rsidP="00576642">
      <w:pPr>
        <w:pStyle w:val="Zkladntext1"/>
        <w:spacing w:after="240" w:line="240" w:lineRule="auto"/>
        <w:ind w:left="357"/>
        <w:jc w:val="center"/>
        <w:rPr>
          <w:rFonts w:asciiTheme="minorHAnsi" w:eastAsiaTheme="minorHAnsi" w:hAnsiTheme="minorHAnsi" w:cstheme="minorHAnsi"/>
          <w:b/>
          <w:sz w:val="28"/>
          <w:szCs w:val="24"/>
        </w:rPr>
      </w:pPr>
      <w:r>
        <w:rPr>
          <w:rFonts w:asciiTheme="minorHAnsi" w:eastAsiaTheme="minorHAnsi" w:hAnsiTheme="minorHAnsi" w:cstheme="minorHAnsi"/>
          <w:b/>
          <w:sz w:val="28"/>
          <w:szCs w:val="24"/>
        </w:rPr>
        <w:lastRenderedPageBreak/>
        <w:t xml:space="preserve">I. </w:t>
      </w:r>
      <w:r w:rsidR="00E7521C">
        <w:rPr>
          <w:rFonts w:asciiTheme="minorHAnsi" w:eastAsiaTheme="minorHAnsi" w:hAnsiTheme="minorHAnsi" w:cstheme="minorHAnsi"/>
          <w:b/>
          <w:sz w:val="28"/>
          <w:szCs w:val="24"/>
        </w:rPr>
        <w:t>Shrnutí a vyhodnocení</w:t>
      </w:r>
    </w:p>
    <w:p w14:paraId="1B63B9BD" w14:textId="77777777" w:rsidR="00E7521C" w:rsidRPr="00BC59B2" w:rsidRDefault="00E7521C" w:rsidP="00576642">
      <w:pPr>
        <w:spacing w:after="120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</w:rPr>
        <w:t xml:space="preserve">NKÚ provedl v rámci kontrolní akce č. 22/12 kontrolu peněžních prostředků státního rozpočtu určených na přípravu a zajištění systému ochrany obyvatelstva (dále také „OOB“). </w:t>
      </w:r>
    </w:p>
    <w:p w14:paraId="726B716F" w14:textId="6723F1A5" w:rsidR="00B02E1D" w:rsidRPr="00BC59B2" w:rsidRDefault="00B02E1D" w:rsidP="00576642">
      <w:pPr>
        <w:spacing w:after="120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</w:rPr>
        <w:t xml:space="preserve">Prostředky vynaložené na zajištění systému OOB v kontrolovaném období nebylo možné z důvodu porušení právního předpisu v oblasti rozpočtové skladby u MV přesně vyčíslit, u </w:t>
      </w:r>
      <w:proofErr w:type="spellStart"/>
      <w:r w:rsidRPr="00BC59B2">
        <w:rPr>
          <w:rFonts w:ascii="Calibri" w:hAnsi="Calibri" w:cs="Calibri"/>
        </w:rPr>
        <w:t>MZd</w:t>
      </w:r>
      <w:proofErr w:type="spellEnd"/>
      <w:r w:rsidRPr="00BC59B2">
        <w:rPr>
          <w:rFonts w:ascii="Calibri" w:hAnsi="Calibri" w:cs="Calibri"/>
        </w:rPr>
        <w:t xml:space="preserve"> činila tato částka 132,8 mil. Kč. MV i </w:t>
      </w:r>
      <w:proofErr w:type="spellStart"/>
      <w:r w:rsidRPr="00BC59B2">
        <w:rPr>
          <w:rFonts w:ascii="Calibri" w:hAnsi="Calibri" w:cs="Calibri"/>
        </w:rPr>
        <w:t>MZd</w:t>
      </w:r>
      <w:proofErr w:type="spellEnd"/>
      <w:r w:rsidRPr="00BC59B2">
        <w:rPr>
          <w:rFonts w:ascii="Calibri" w:hAnsi="Calibri" w:cs="Calibri"/>
        </w:rPr>
        <w:t xml:space="preserve"> vykazují výdaje na OOB také v rámci specifického ukazatele rozpočtu „</w:t>
      </w:r>
      <w:r w:rsidRPr="00BC59B2">
        <w:rPr>
          <w:rFonts w:ascii="Calibri" w:hAnsi="Calibri" w:cs="Calibri"/>
          <w:i/>
        </w:rPr>
        <w:t>Zajištění přípravy na krizové situace podle zákona č. 240/2000 Sb.</w:t>
      </w:r>
      <w:r w:rsidRPr="00BC59B2">
        <w:rPr>
          <w:rFonts w:ascii="Calibri" w:hAnsi="Calibri" w:cs="Calibri"/>
        </w:rPr>
        <w:t xml:space="preserve">“, výdaje za oba resorty činily v kontrolovaném období celkem 721 mil. Kč. </w:t>
      </w:r>
    </w:p>
    <w:p w14:paraId="3A4B0D88" w14:textId="2A79F1E5" w:rsidR="00E7521C" w:rsidRPr="00BC59B2" w:rsidRDefault="00E7521C" w:rsidP="00576642">
      <w:pPr>
        <w:spacing w:after="120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</w:rPr>
        <w:t>Ochrana obyvatelstva je jednou ze základních funkcí státu a strategickým bezpečnostním zájmem České republiky (dále jen „ČR“)</w:t>
      </w:r>
      <w:r w:rsidR="00C32869">
        <w:rPr>
          <w:rFonts w:ascii="Calibri" w:hAnsi="Calibri" w:cs="Calibri"/>
        </w:rPr>
        <w:t xml:space="preserve"> </w:t>
      </w:r>
      <w:r w:rsidR="00DC0461">
        <w:rPr>
          <w:rFonts w:ascii="Calibri" w:hAnsi="Calibri" w:cs="Calibri"/>
        </w:rPr>
        <w:t>dle</w:t>
      </w:r>
      <w:r w:rsidR="0081161D" w:rsidRPr="00BC59B2">
        <w:rPr>
          <w:rFonts w:ascii="Calibri" w:hAnsi="Calibri" w:cs="Calibri"/>
        </w:rPr>
        <w:t xml:space="preserve"> </w:t>
      </w:r>
      <w:r w:rsidR="0081161D" w:rsidRPr="0036620F">
        <w:rPr>
          <w:rFonts w:ascii="Calibri" w:hAnsi="Calibri" w:cs="Calibri"/>
          <w:i/>
        </w:rPr>
        <w:t>Bezpečnostní strategie Č</w:t>
      </w:r>
      <w:r w:rsidR="0036620F">
        <w:rPr>
          <w:rFonts w:ascii="Calibri" w:hAnsi="Calibri" w:cs="Calibri"/>
          <w:i/>
        </w:rPr>
        <w:t>eské republiky</w:t>
      </w:r>
      <w:r w:rsidR="0081161D" w:rsidRPr="0036620F">
        <w:rPr>
          <w:rFonts w:ascii="Calibri" w:hAnsi="Calibri" w:cs="Calibri"/>
          <w:i/>
        </w:rPr>
        <w:t xml:space="preserve"> 2015</w:t>
      </w:r>
      <w:r w:rsidR="0081161D" w:rsidRPr="00BC59B2">
        <w:rPr>
          <w:rStyle w:val="Znakapoznpodarou"/>
          <w:rFonts w:ascii="Calibri" w:hAnsi="Calibri" w:cs="Calibri"/>
        </w:rPr>
        <w:footnoteReference w:id="2"/>
      </w:r>
      <w:r w:rsidRPr="00BC59B2">
        <w:rPr>
          <w:rFonts w:ascii="Calibri" w:hAnsi="Calibri" w:cs="Calibri"/>
        </w:rPr>
        <w:t xml:space="preserve">, který nabývá důležitosti v době zhoršené bezpečnostní situace v Evropě. Systém OOB zahrnuje úkoly </w:t>
      </w:r>
      <w:r w:rsidR="0081161D" w:rsidRPr="00BC59B2">
        <w:rPr>
          <w:rFonts w:ascii="Calibri" w:hAnsi="Calibri" w:cs="Calibri"/>
        </w:rPr>
        <w:t xml:space="preserve">zejména </w:t>
      </w:r>
      <w:r w:rsidRPr="00BC59B2">
        <w:rPr>
          <w:rFonts w:ascii="Calibri" w:hAnsi="Calibri" w:cs="Calibri"/>
        </w:rPr>
        <w:t>v oblasti varování, evakuace, ukrytí a nouzového přežití obyvatelstva</w:t>
      </w:r>
      <w:r w:rsidR="0002035D" w:rsidRPr="00BC59B2">
        <w:rPr>
          <w:rFonts w:ascii="Calibri" w:hAnsi="Calibri" w:cs="Calibri"/>
        </w:rPr>
        <w:t>.</w:t>
      </w:r>
      <w:r w:rsidRPr="00BC59B2">
        <w:rPr>
          <w:rFonts w:ascii="Calibri" w:hAnsi="Calibri" w:cs="Calibri"/>
        </w:rPr>
        <w:t xml:space="preserve"> </w:t>
      </w:r>
    </w:p>
    <w:p w14:paraId="6C52F3B8" w14:textId="1AAA7385" w:rsidR="00E7521C" w:rsidRPr="00BC59B2" w:rsidRDefault="00E7521C" w:rsidP="00576642">
      <w:pPr>
        <w:spacing w:after="120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</w:rPr>
        <w:t>Cílem kontroly bylo prověřit, zda peněžní prostředky</w:t>
      </w:r>
      <w:r w:rsidR="00D83B18" w:rsidRPr="00BC59B2">
        <w:rPr>
          <w:rFonts w:ascii="Calibri" w:hAnsi="Calibri" w:cs="Calibri"/>
        </w:rPr>
        <w:t xml:space="preserve"> </w:t>
      </w:r>
      <w:r w:rsidRPr="00BC59B2">
        <w:rPr>
          <w:rFonts w:ascii="Calibri" w:hAnsi="Calibri" w:cs="Calibri"/>
        </w:rPr>
        <w:t>státního rozpočtu určené na přípravu a</w:t>
      </w:r>
      <w:r w:rsidR="00BC59B2" w:rsidRPr="00BC59B2">
        <w:rPr>
          <w:rFonts w:ascii="Calibri" w:hAnsi="Calibri" w:cs="Calibri"/>
        </w:rPr>
        <w:t> </w:t>
      </w:r>
      <w:r w:rsidRPr="00BC59B2">
        <w:rPr>
          <w:rFonts w:ascii="Calibri" w:hAnsi="Calibri" w:cs="Calibri"/>
        </w:rPr>
        <w:t xml:space="preserve">zajištění systému OOB byly vynakládány účelně a v souladu s právními předpisy. Kontrola byla provedena u MV jako </w:t>
      </w:r>
      <w:r w:rsidR="001C3D15" w:rsidRPr="00BC59B2">
        <w:rPr>
          <w:rFonts w:ascii="Calibri" w:hAnsi="Calibri" w:cs="Calibri"/>
        </w:rPr>
        <w:t xml:space="preserve">ústředního orgánu státní správy </w:t>
      </w:r>
      <w:r w:rsidRPr="00BC59B2">
        <w:rPr>
          <w:rFonts w:ascii="Calibri" w:hAnsi="Calibri" w:cs="Calibri"/>
        </w:rPr>
        <w:t xml:space="preserve">ve věcech OOB a u </w:t>
      </w:r>
      <w:proofErr w:type="spellStart"/>
      <w:r w:rsidRPr="00BC59B2">
        <w:rPr>
          <w:rFonts w:ascii="Calibri" w:hAnsi="Calibri" w:cs="Calibri"/>
        </w:rPr>
        <w:t>MZd</w:t>
      </w:r>
      <w:proofErr w:type="spellEnd"/>
      <w:r w:rsidRPr="00BC59B2">
        <w:rPr>
          <w:rFonts w:ascii="Calibri" w:hAnsi="Calibri" w:cs="Calibri"/>
        </w:rPr>
        <w:t>, které</w:t>
      </w:r>
      <w:r w:rsidR="0002035D" w:rsidRPr="00BC59B2">
        <w:rPr>
          <w:rFonts w:ascii="Calibri" w:hAnsi="Calibri" w:cs="Calibri"/>
        </w:rPr>
        <w:t xml:space="preserve"> </w:t>
      </w:r>
      <w:r w:rsidRPr="00BC59B2">
        <w:rPr>
          <w:rFonts w:ascii="Calibri" w:hAnsi="Calibri" w:cs="Calibri"/>
        </w:rPr>
        <w:t xml:space="preserve">při plnění některých úkolů </w:t>
      </w:r>
      <w:r w:rsidR="00371F63">
        <w:rPr>
          <w:rFonts w:ascii="Calibri" w:hAnsi="Calibri" w:cs="Calibri"/>
        </w:rPr>
        <w:t>k</w:t>
      </w:r>
      <w:r w:rsidRPr="00BC59B2">
        <w:rPr>
          <w:rFonts w:ascii="Calibri" w:hAnsi="Calibri" w:cs="Calibri"/>
        </w:rPr>
        <w:t>oncepcí OOB</w:t>
      </w:r>
      <w:r w:rsidR="0081161D" w:rsidRPr="00BC59B2">
        <w:rPr>
          <w:rStyle w:val="Znakapoznpodarou"/>
          <w:rFonts w:ascii="Calibri" w:hAnsi="Calibri" w:cs="Calibri"/>
        </w:rPr>
        <w:footnoteReference w:id="3"/>
      </w:r>
      <w:r w:rsidRPr="00BC59B2">
        <w:rPr>
          <w:rFonts w:ascii="Calibri" w:hAnsi="Calibri" w:cs="Calibri"/>
        </w:rPr>
        <w:t xml:space="preserve"> </w:t>
      </w:r>
      <w:r w:rsidR="0002035D" w:rsidRPr="00BC59B2">
        <w:rPr>
          <w:rFonts w:ascii="Calibri" w:hAnsi="Calibri" w:cs="Calibri"/>
        </w:rPr>
        <w:t xml:space="preserve">poskytovalo </w:t>
      </w:r>
      <w:r w:rsidRPr="00BC59B2">
        <w:rPr>
          <w:rFonts w:ascii="Calibri" w:hAnsi="Calibri" w:cs="Calibri"/>
        </w:rPr>
        <w:t xml:space="preserve">součinnost. </w:t>
      </w:r>
    </w:p>
    <w:p w14:paraId="40A1AFA4" w14:textId="10D0F2EC" w:rsidR="00EC0F47" w:rsidRPr="00BC59B2" w:rsidRDefault="00E7521C" w:rsidP="00576642">
      <w:pPr>
        <w:spacing w:after="120"/>
        <w:jc w:val="both"/>
        <w:rPr>
          <w:rFonts w:ascii="Calibri" w:eastAsia="Calibri" w:hAnsi="Calibri" w:cs="Calibri"/>
          <w:b/>
        </w:rPr>
      </w:pPr>
      <w:r w:rsidRPr="00BC59B2">
        <w:rPr>
          <w:rFonts w:ascii="Calibri" w:hAnsi="Calibri" w:cs="Calibri"/>
        </w:rPr>
        <w:t>Současná podoba OOB, kdy tato oblast spadá pod MV, byla legislativně vymezena v roce 2001</w:t>
      </w:r>
      <w:r w:rsidR="00CE6D2C" w:rsidRPr="00BC59B2">
        <w:rPr>
          <w:rFonts w:ascii="Calibri" w:hAnsi="Calibri" w:cs="Calibri"/>
        </w:rPr>
        <w:t>.</w:t>
      </w:r>
      <w:r w:rsidRPr="00BC59B2">
        <w:rPr>
          <w:rFonts w:ascii="Calibri" w:hAnsi="Calibri" w:cs="Calibri"/>
        </w:rPr>
        <w:t xml:space="preserve"> </w:t>
      </w:r>
      <w:r w:rsidR="00CE6D2C" w:rsidRPr="00BC59B2">
        <w:rPr>
          <w:rFonts w:ascii="Calibri" w:hAnsi="Calibri" w:cs="Calibri"/>
        </w:rPr>
        <w:t>J</w:t>
      </w:r>
      <w:r w:rsidRPr="00BC59B2">
        <w:rPr>
          <w:rFonts w:ascii="Calibri" w:hAnsi="Calibri" w:cs="Calibri"/>
        </w:rPr>
        <w:t xml:space="preserve">ejím základním prvkem musí být dle MV informovaný a sebevzdělaný občan. NKÚ proto provedl dobrovolné dotazníkové šetření znalostí problematiky OOB u </w:t>
      </w:r>
      <w:r w:rsidR="0081161D" w:rsidRPr="00BC59B2">
        <w:rPr>
          <w:rFonts w:ascii="Calibri" w:hAnsi="Calibri" w:cs="Calibri"/>
        </w:rPr>
        <w:t>žáků 3. a 4. ročníků středních škol a 7. a 8. ročníků u víceletých středních škol</w:t>
      </w:r>
      <w:r w:rsidR="0081161D" w:rsidRPr="00BC59B2" w:rsidDel="0081161D">
        <w:rPr>
          <w:rFonts w:ascii="Calibri" w:hAnsi="Calibri" w:cs="Calibri"/>
        </w:rPr>
        <w:t xml:space="preserve"> </w:t>
      </w:r>
      <w:r w:rsidRPr="00BC59B2">
        <w:rPr>
          <w:rFonts w:ascii="Calibri" w:hAnsi="Calibri" w:cs="Calibri"/>
        </w:rPr>
        <w:t xml:space="preserve">v rámci celé ČR (dále viz </w:t>
      </w:r>
      <w:r w:rsidRPr="00BC59B2">
        <w:rPr>
          <w:rFonts w:ascii="Calibri" w:hAnsi="Calibri" w:cs="Calibri"/>
          <w:b/>
          <w:i/>
        </w:rPr>
        <w:t>interaktivní výsledek dotazníku</w:t>
      </w:r>
      <w:r w:rsidR="00F654BB" w:rsidRPr="00BC59B2">
        <w:rPr>
          <w:rStyle w:val="Znakapoznpodarou"/>
          <w:rFonts w:ascii="Calibri" w:hAnsi="Calibri" w:cs="Calibri"/>
          <w:b/>
          <w:i/>
        </w:rPr>
        <w:footnoteReference w:id="4"/>
      </w:r>
      <w:r w:rsidRPr="00BC59B2">
        <w:rPr>
          <w:rFonts w:ascii="Calibri" w:hAnsi="Calibri" w:cs="Calibri"/>
        </w:rPr>
        <w:t xml:space="preserve"> a </w:t>
      </w:r>
      <w:r w:rsidRPr="00BC59B2">
        <w:rPr>
          <w:rFonts w:ascii="Calibri" w:hAnsi="Calibri" w:cs="Calibri"/>
          <w:b/>
          <w:i/>
        </w:rPr>
        <w:t>kvíz</w:t>
      </w:r>
      <w:r w:rsidR="00F654BB" w:rsidRPr="00BC59B2">
        <w:rPr>
          <w:rStyle w:val="Znakapoznpodarou"/>
          <w:rFonts w:ascii="Calibri" w:hAnsi="Calibri" w:cs="Calibri"/>
          <w:b/>
          <w:i/>
        </w:rPr>
        <w:footnoteReference w:id="5"/>
      </w:r>
      <w:r w:rsidRPr="00BC59B2">
        <w:rPr>
          <w:rFonts w:ascii="Calibri" w:hAnsi="Calibri" w:cs="Calibri"/>
        </w:rPr>
        <w:t xml:space="preserve">). Podmínky pro fungování systému OOB tvoří adekvátní právní prostředí a nezbytné zdroje (lidské, finanční, materiální). K zajištění těchto podmínek měly sloužit od roku 2002 peněžní prostředky státního rozpočtu určené a vynakládané na plnění cílů a úkolů </w:t>
      </w:r>
      <w:r w:rsidR="00A362E3">
        <w:rPr>
          <w:rFonts w:ascii="Calibri" w:hAnsi="Calibri" w:cs="Calibri"/>
        </w:rPr>
        <w:t>k</w:t>
      </w:r>
      <w:r w:rsidRPr="00BC59B2">
        <w:rPr>
          <w:rFonts w:ascii="Calibri" w:hAnsi="Calibri" w:cs="Calibri"/>
        </w:rPr>
        <w:t xml:space="preserve">oncepcí OOB zpracovávaných MV. </w:t>
      </w:r>
    </w:p>
    <w:p w14:paraId="6F76E748" w14:textId="24054A11" w:rsidR="00E7521C" w:rsidRPr="00BC59B2" w:rsidRDefault="00E7521C" w:rsidP="00576642">
      <w:pPr>
        <w:spacing w:after="120"/>
        <w:jc w:val="both"/>
        <w:rPr>
          <w:rFonts w:ascii="Calibri" w:hAnsi="Calibri" w:cs="Calibri"/>
          <w:b/>
        </w:rPr>
      </w:pPr>
      <w:r w:rsidRPr="00BC59B2">
        <w:rPr>
          <w:rFonts w:ascii="Calibri" w:eastAsia="Calibri" w:hAnsi="Calibri" w:cs="Calibri"/>
          <w:b/>
        </w:rPr>
        <w:t>MV</w:t>
      </w:r>
      <w:r w:rsidR="00CE6D2C" w:rsidRPr="00BC59B2">
        <w:rPr>
          <w:rFonts w:ascii="Calibri" w:eastAsia="Calibri" w:hAnsi="Calibri" w:cs="Calibri"/>
          <w:b/>
        </w:rPr>
        <w:t xml:space="preserve"> </w:t>
      </w:r>
      <w:r w:rsidRPr="00BC59B2">
        <w:rPr>
          <w:rFonts w:ascii="Calibri" w:eastAsia="Calibri" w:hAnsi="Calibri" w:cs="Calibri"/>
          <w:b/>
        </w:rPr>
        <w:t xml:space="preserve">při plnění některých úkolů OOB postupovalo v rozporu s právními předpisy, zejména </w:t>
      </w:r>
      <w:r w:rsidRPr="00BC59B2">
        <w:rPr>
          <w:rFonts w:ascii="Calibri" w:hAnsi="Calibri" w:cs="Calibri"/>
          <w:b/>
        </w:rPr>
        <w:t>zákonem</w:t>
      </w:r>
      <w:r w:rsidR="00A362E3">
        <w:rPr>
          <w:rFonts w:ascii="Calibri" w:hAnsi="Calibri" w:cs="Calibri"/>
          <w:b/>
        </w:rPr>
        <w:t xml:space="preserve"> č. 2/1969 Sb.</w:t>
      </w:r>
      <w:r w:rsidR="008006AE">
        <w:rPr>
          <w:rFonts w:ascii="Calibri" w:hAnsi="Calibri" w:cs="Calibri"/>
          <w:b/>
        </w:rPr>
        <w:t xml:space="preserve"> </w:t>
      </w:r>
      <w:r w:rsidR="008006AE" w:rsidRPr="008006AE">
        <w:rPr>
          <w:rFonts w:ascii="Calibri" w:hAnsi="Calibri" w:cs="Calibri"/>
          <w:b/>
        </w:rPr>
        <w:t>(dále jen „kompetenční zákon“)</w:t>
      </w:r>
      <w:r w:rsidRPr="00BC59B2">
        <w:rPr>
          <w:rStyle w:val="Znakapoznpodarou"/>
          <w:rFonts w:ascii="Calibri" w:eastAsia="Calibri" w:hAnsi="Calibri" w:cs="Calibri"/>
        </w:rPr>
        <w:footnoteReference w:id="6"/>
      </w:r>
      <w:r w:rsidRPr="00BC59B2">
        <w:rPr>
          <w:rFonts w:ascii="Calibri" w:hAnsi="Calibri" w:cs="Calibri"/>
          <w:b/>
        </w:rPr>
        <w:t>, rozpočtovými pravidly</w:t>
      </w:r>
      <w:r w:rsidRPr="00BC59B2">
        <w:rPr>
          <w:rStyle w:val="Znakapoznpodarou"/>
          <w:rFonts w:ascii="Calibri" w:eastAsia="Calibri" w:hAnsi="Calibri" w:cs="Calibri"/>
        </w:rPr>
        <w:footnoteReference w:id="7"/>
      </w:r>
      <w:r w:rsidRPr="00BC59B2">
        <w:rPr>
          <w:rFonts w:ascii="Calibri" w:hAnsi="Calibri" w:cs="Calibri"/>
          <w:b/>
        </w:rPr>
        <w:t xml:space="preserve"> a zákonem</w:t>
      </w:r>
      <w:r w:rsidR="008006AE">
        <w:rPr>
          <w:rFonts w:ascii="Calibri" w:hAnsi="Calibri" w:cs="Calibri"/>
          <w:b/>
        </w:rPr>
        <w:t xml:space="preserve"> č. 239/2000 Sb. </w:t>
      </w:r>
      <w:r w:rsidR="008006AE" w:rsidRPr="008006AE">
        <w:rPr>
          <w:rFonts w:ascii="Calibri" w:hAnsi="Calibri" w:cs="Calibri"/>
          <w:b/>
        </w:rPr>
        <w:t xml:space="preserve">(dále </w:t>
      </w:r>
      <w:r w:rsidR="008440AE">
        <w:rPr>
          <w:rFonts w:ascii="Calibri" w:hAnsi="Calibri" w:cs="Calibri"/>
          <w:b/>
        </w:rPr>
        <w:t>také</w:t>
      </w:r>
      <w:r w:rsidR="008006AE" w:rsidRPr="008006AE">
        <w:rPr>
          <w:rFonts w:ascii="Calibri" w:hAnsi="Calibri" w:cs="Calibri"/>
          <w:b/>
        </w:rPr>
        <w:t xml:space="preserve"> „zákon</w:t>
      </w:r>
      <w:r w:rsidRPr="00BC59B2">
        <w:rPr>
          <w:rFonts w:ascii="Calibri" w:hAnsi="Calibri" w:cs="Calibri"/>
          <w:b/>
        </w:rPr>
        <w:t xml:space="preserve"> o integrovaném záchranném systému</w:t>
      </w:r>
      <w:r w:rsidR="008006AE">
        <w:rPr>
          <w:rFonts w:ascii="Calibri" w:hAnsi="Calibri" w:cs="Calibri"/>
          <w:b/>
        </w:rPr>
        <w:t>“)</w:t>
      </w:r>
      <w:r w:rsidRPr="00BC59B2">
        <w:rPr>
          <w:rStyle w:val="Znakapoznpodarou"/>
          <w:rFonts w:ascii="Calibri" w:eastAsia="Calibri" w:hAnsi="Calibri" w:cs="Calibri"/>
        </w:rPr>
        <w:footnoteReference w:id="8"/>
      </w:r>
      <w:r w:rsidRPr="00BC59B2">
        <w:rPr>
          <w:rFonts w:ascii="Calibri" w:hAnsi="Calibri" w:cs="Calibri"/>
          <w:b/>
        </w:rPr>
        <w:t>.</w:t>
      </w:r>
      <w:r w:rsidR="00CE6D2C" w:rsidRPr="00BC59B2">
        <w:rPr>
          <w:rFonts w:ascii="Calibri" w:eastAsia="Calibri" w:hAnsi="Calibri" w:cs="Calibri"/>
          <w:b/>
        </w:rPr>
        <w:t xml:space="preserve"> </w:t>
      </w:r>
      <w:r w:rsidR="0057228D" w:rsidRPr="00BC59B2">
        <w:rPr>
          <w:rFonts w:ascii="Calibri" w:eastAsia="Calibri" w:hAnsi="Calibri" w:cs="Calibri"/>
          <w:b/>
        </w:rPr>
        <w:t>MV dále nenastavilo kritéria</w:t>
      </w:r>
      <w:r w:rsidR="0036314B" w:rsidRPr="00BC59B2">
        <w:rPr>
          <w:rFonts w:ascii="Calibri" w:eastAsia="Calibri" w:hAnsi="Calibri" w:cs="Calibri"/>
          <w:b/>
        </w:rPr>
        <w:t xml:space="preserve"> postupu při nastavení úkolů </w:t>
      </w:r>
      <w:r w:rsidR="008006AE">
        <w:rPr>
          <w:rFonts w:ascii="Calibri" w:eastAsia="Calibri" w:hAnsi="Calibri" w:cs="Calibri"/>
          <w:b/>
        </w:rPr>
        <w:t>k</w:t>
      </w:r>
      <w:r w:rsidR="0036314B" w:rsidRPr="00BC59B2">
        <w:rPr>
          <w:rFonts w:ascii="Calibri" w:eastAsia="Calibri" w:hAnsi="Calibri" w:cs="Calibri"/>
          <w:b/>
        </w:rPr>
        <w:t>oncepcí OOB a pro vyhodnocení účelnosti vynaložených peněžních prostředků státního rozpočtu.</w:t>
      </w:r>
      <w:r w:rsidR="00EB509B" w:rsidRPr="00BC59B2">
        <w:rPr>
          <w:rFonts w:ascii="Calibri" w:eastAsia="Calibri" w:hAnsi="Calibri" w:cs="Calibri"/>
          <w:b/>
        </w:rPr>
        <w:t xml:space="preserve"> V případě dvou projektů v oblasti vědy a výzkumu však NKÚ </w:t>
      </w:r>
      <w:r w:rsidR="00EB509B" w:rsidRPr="00BC59B2">
        <w:rPr>
          <w:rFonts w:ascii="Calibri" w:hAnsi="Calibri" w:cs="Calibri"/>
          <w:b/>
        </w:rPr>
        <w:t>konstatuje riziko neúčelnosti vynaložení peněžních prostředků státního rozpočtu.</w:t>
      </w:r>
    </w:p>
    <w:p w14:paraId="479B7B0A" w14:textId="7D31AD71" w:rsidR="009A2B97" w:rsidRPr="00BC59B2" w:rsidRDefault="00E7521C" w:rsidP="00576642">
      <w:pPr>
        <w:spacing w:after="120"/>
        <w:jc w:val="both"/>
        <w:rPr>
          <w:rFonts w:ascii="Calibri" w:eastAsia="Calibri" w:hAnsi="Calibri" w:cs="Calibri"/>
          <w:b/>
          <w:highlight w:val="yellow"/>
        </w:rPr>
      </w:pPr>
      <w:r w:rsidRPr="00BC59B2">
        <w:rPr>
          <w:rFonts w:ascii="Calibri" w:hAnsi="Calibri" w:cs="Calibri"/>
          <w:b/>
        </w:rPr>
        <w:t>MV průběžně plnilo řadu</w:t>
      </w:r>
      <w:r w:rsidRPr="00BC59B2">
        <w:rPr>
          <w:rFonts w:ascii="Calibri" w:eastAsia="Calibri" w:hAnsi="Calibri" w:cs="Calibri"/>
          <w:b/>
        </w:rPr>
        <w:t xml:space="preserve"> úkolů </w:t>
      </w:r>
      <w:r w:rsidR="008006AE">
        <w:rPr>
          <w:rFonts w:ascii="Calibri" w:eastAsia="Calibri" w:hAnsi="Calibri" w:cs="Calibri"/>
          <w:b/>
        </w:rPr>
        <w:t>k</w:t>
      </w:r>
      <w:r w:rsidRPr="00BC59B2">
        <w:rPr>
          <w:rFonts w:ascii="Calibri" w:eastAsia="Calibri" w:hAnsi="Calibri" w:cs="Calibri"/>
          <w:b/>
        </w:rPr>
        <w:t>oncepcí OOB</w:t>
      </w:r>
      <w:r w:rsidRPr="00BC59B2">
        <w:rPr>
          <w:rFonts w:ascii="Calibri" w:hAnsi="Calibri" w:cs="Calibri"/>
          <w:b/>
        </w:rPr>
        <w:t xml:space="preserve">, které po jejich dokončení přispějí k zajištění systému OOB, v době ukončení kontroly však přetrvávaly zásadní nedostatky ovlivňující </w:t>
      </w:r>
      <w:r w:rsidRPr="00BC59B2">
        <w:rPr>
          <w:rFonts w:ascii="Calibri" w:hAnsi="Calibri" w:cs="Calibri"/>
          <w:b/>
        </w:rPr>
        <w:lastRenderedPageBreak/>
        <w:t xml:space="preserve">fungování systému OOB. </w:t>
      </w:r>
      <w:r w:rsidRPr="00BC59B2">
        <w:rPr>
          <w:rFonts w:ascii="Calibri" w:eastAsia="Calibri" w:hAnsi="Calibri" w:cs="Calibri"/>
          <w:b/>
        </w:rPr>
        <w:t xml:space="preserve">Jedná se především o nesplnění úkolů </w:t>
      </w:r>
      <w:r w:rsidR="008006AE">
        <w:rPr>
          <w:rFonts w:ascii="Calibri" w:eastAsia="Calibri" w:hAnsi="Calibri" w:cs="Calibri"/>
          <w:b/>
        </w:rPr>
        <w:t>k</w:t>
      </w:r>
      <w:r w:rsidRPr="00BC59B2">
        <w:rPr>
          <w:rFonts w:ascii="Calibri" w:eastAsia="Calibri" w:hAnsi="Calibri" w:cs="Calibri"/>
          <w:b/>
        </w:rPr>
        <w:t xml:space="preserve">oncepcí OOB v oblasti novelizace právních předpisů, </w:t>
      </w:r>
      <w:r w:rsidRPr="00BC59B2">
        <w:rPr>
          <w:rFonts w:ascii="Calibri" w:hAnsi="Calibri" w:cs="Calibri"/>
          <w:b/>
        </w:rPr>
        <w:t>výchovy a vzdělávání, zabezpečení prostředků individuální ochrany, využití výsledků výzkumu OOB v praxi, dokončení obměny rotačních sirén a</w:t>
      </w:r>
      <w:r w:rsidR="00BC59B2">
        <w:rPr>
          <w:rFonts w:ascii="Calibri" w:hAnsi="Calibri" w:cs="Calibri"/>
          <w:b/>
        </w:rPr>
        <w:t> </w:t>
      </w:r>
      <w:r w:rsidRPr="00BC59B2">
        <w:rPr>
          <w:rFonts w:ascii="Calibri" w:hAnsi="Calibri" w:cs="Calibri"/>
          <w:b/>
        </w:rPr>
        <w:t xml:space="preserve">provázání úkolů </w:t>
      </w:r>
      <w:r w:rsidR="007536D4">
        <w:rPr>
          <w:rFonts w:ascii="Calibri" w:eastAsia="Calibri" w:hAnsi="Calibri" w:cs="Calibri"/>
          <w:b/>
        </w:rPr>
        <w:t>k</w:t>
      </w:r>
      <w:r w:rsidRPr="00BC59B2">
        <w:rPr>
          <w:rFonts w:ascii="Calibri" w:eastAsia="Calibri" w:hAnsi="Calibri" w:cs="Calibri"/>
          <w:b/>
        </w:rPr>
        <w:t>oncepcí OOB s</w:t>
      </w:r>
      <w:r w:rsidR="00891479" w:rsidRPr="00BC59B2">
        <w:rPr>
          <w:rFonts w:ascii="Calibri" w:eastAsia="Calibri" w:hAnsi="Calibri" w:cs="Calibri"/>
          <w:b/>
        </w:rPr>
        <w:t> rozpočtovými zdroji.</w:t>
      </w:r>
    </w:p>
    <w:p w14:paraId="6B094FD1" w14:textId="6A39D489" w:rsidR="00E7521C" w:rsidRPr="009A2B97" w:rsidRDefault="00E7521C" w:rsidP="00576642">
      <w:pPr>
        <w:keepNext/>
        <w:spacing w:before="240" w:after="120"/>
        <w:jc w:val="both"/>
        <w:rPr>
          <w:rFonts w:eastAsia="Calibri"/>
          <w:b/>
        </w:rPr>
      </w:pPr>
      <w:r w:rsidRPr="00E7521C">
        <w:rPr>
          <w:rFonts w:ascii="Calibri" w:eastAsia="Calibri" w:hAnsi="Calibri" w:cs="Calibri"/>
        </w:rPr>
        <w:t>Celkové hodnocení se opírá o následující hlavní skutečnosti zjištěné v kontrole:</w:t>
      </w:r>
    </w:p>
    <w:p w14:paraId="5F47EC66" w14:textId="741E60DB" w:rsidR="00E7521C" w:rsidRPr="00E7521C" w:rsidRDefault="00E7521C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E7521C">
        <w:rPr>
          <w:rFonts w:ascii="Calibri" w:eastAsia="Calibri" w:hAnsi="Calibri" w:cs="Calibri"/>
          <w:sz w:val="24"/>
          <w:szCs w:val="24"/>
        </w:rPr>
        <w:t xml:space="preserve">MV prodlužuje termíny splnění některých úkolů </w:t>
      </w:r>
      <w:r w:rsidR="007536D4">
        <w:rPr>
          <w:rFonts w:ascii="Calibri" w:eastAsia="Calibri" w:hAnsi="Calibri" w:cs="Calibri"/>
          <w:sz w:val="24"/>
          <w:szCs w:val="24"/>
        </w:rPr>
        <w:t>k</w:t>
      </w:r>
      <w:r w:rsidRPr="00E7521C">
        <w:rPr>
          <w:rFonts w:ascii="Calibri" w:eastAsia="Calibri" w:hAnsi="Calibri" w:cs="Calibri"/>
          <w:sz w:val="24"/>
          <w:szCs w:val="24"/>
        </w:rPr>
        <w:t>oncepcí OOB, např. oblast výchovy a</w:t>
      </w:r>
      <w:r w:rsidR="00BC59B2">
        <w:rPr>
          <w:rFonts w:ascii="Calibri" w:eastAsia="Calibri" w:hAnsi="Calibri" w:cs="Calibri"/>
          <w:sz w:val="24"/>
          <w:szCs w:val="24"/>
        </w:rPr>
        <w:t> </w:t>
      </w:r>
      <w:r w:rsidRPr="00E7521C">
        <w:rPr>
          <w:rFonts w:ascii="Calibri" w:eastAsia="Calibri" w:hAnsi="Calibri" w:cs="Calibri"/>
          <w:sz w:val="24"/>
          <w:szCs w:val="24"/>
        </w:rPr>
        <w:t>vzdělávání, varování a informování obyvatel nebo zapojení neziskových organizací do systému OOB</w:t>
      </w:r>
      <w:r w:rsidR="00A867F4">
        <w:rPr>
          <w:rFonts w:ascii="Calibri" w:eastAsia="Calibri" w:hAnsi="Calibri" w:cs="Calibri"/>
          <w:sz w:val="24"/>
          <w:szCs w:val="24"/>
        </w:rPr>
        <w:t>. Tyto úkoly</w:t>
      </w:r>
      <w:r w:rsidRPr="00E7521C">
        <w:rPr>
          <w:rFonts w:ascii="Calibri" w:eastAsia="Calibri" w:hAnsi="Calibri" w:cs="Calibri"/>
          <w:sz w:val="24"/>
          <w:szCs w:val="24"/>
        </w:rPr>
        <w:t xml:space="preserve"> řeší již od roku 2002 a do doby ukončení kontroly </w:t>
      </w:r>
      <w:r w:rsidR="00A867F4">
        <w:rPr>
          <w:rFonts w:ascii="Calibri" w:eastAsia="Calibri" w:hAnsi="Calibri" w:cs="Calibri"/>
          <w:sz w:val="24"/>
          <w:szCs w:val="24"/>
        </w:rPr>
        <w:t>je</w:t>
      </w:r>
      <w:r w:rsidR="00A867F4" w:rsidRPr="00E7521C">
        <w:rPr>
          <w:rFonts w:ascii="Calibri" w:eastAsia="Calibri" w:hAnsi="Calibri" w:cs="Calibri"/>
          <w:sz w:val="24"/>
          <w:szCs w:val="24"/>
        </w:rPr>
        <w:t xml:space="preserve"> </w:t>
      </w:r>
      <w:r w:rsidRPr="00E7521C">
        <w:rPr>
          <w:rFonts w:ascii="Calibri" w:eastAsia="Calibri" w:hAnsi="Calibri" w:cs="Calibri"/>
          <w:sz w:val="24"/>
          <w:szCs w:val="24"/>
        </w:rPr>
        <w:t>nedořešilo. MV v </w:t>
      </w:r>
      <w:r w:rsidR="007536D4">
        <w:rPr>
          <w:rFonts w:ascii="Calibri" w:eastAsia="Calibri" w:hAnsi="Calibri" w:cs="Calibri"/>
          <w:sz w:val="24"/>
          <w:szCs w:val="24"/>
        </w:rPr>
        <w:t>k</w:t>
      </w:r>
      <w:r w:rsidRPr="00E7521C">
        <w:rPr>
          <w:rFonts w:ascii="Calibri" w:eastAsia="Calibri" w:hAnsi="Calibri" w:cs="Calibri"/>
          <w:sz w:val="24"/>
          <w:szCs w:val="24"/>
        </w:rPr>
        <w:t>oncepcích OOB dále nenastavilo některé úkoly měřitelně a neprovázalo je s peněžními prostředky státního rozpočtu potřebnými na jejich splnění. Tím nepostupovalo v souladu s metodikami pro tvorbu koncepcí</w:t>
      </w:r>
      <w:r w:rsidRPr="00E7521C">
        <w:rPr>
          <w:rFonts w:ascii="Calibri" w:hAnsi="Calibri" w:cs="Calibri"/>
          <w:sz w:val="24"/>
          <w:szCs w:val="24"/>
          <w:vertAlign w:val="superscript"/>
        </w:rPr>
        <w:footnoteReference w:id="9"/>
      </w:r>
      <w:r w:rsidRPr="00E7521C">
        <w:rPr>
          <w:rFonts w:ascii="Calibri" w:eastAsia="Calibri" w:hAnsi="Calibri" w:cs="Calibri"/>
          <w:sz w:val="24"/>
          <w:szCs w:val="24"/>
        </w:rPr>
        <w:t xml:space="preserve"> a</w:t>
      </w:r>
      <w:r w:rsidR="007536D4">
        <w:rPr>
          <w:rFonts w:ascii="Calibri" w:eastAsia="Calibri" w:hAnsi="Calibri" w:cs="Calibri"/>
          <w:sz w:val="24"/>
          <w:szCs w:val="24"/>
        </w:rPr>
        <w:t>ni</w:t>
      </w:r>
      <w:r w:rsidRPr="00E7521C">
        <w:rPr>
          <w:rFonts w:ascii="Calibri" w:eastAsia="Calibri" w:hAnsi="Calibri" w:cs="Calibri"/>
          <w:sz w:val="24"/>
          <w:szCs w:val="24"/>
        </w:rPr>
        <w:t xml:space="preserve"> v souladu s kompetenčním zákonem. </w:t>
      </w:r>
    </w:p>
    <w:p w14:paraId="6544FF69" w14:textId="2B2A0435" w:rsidR="00E7521C" w:rsidRPr="00E7521C" w:rsidRDefault="00E7521C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E7521C">
        <w:rPr>
          <w:rFonts w:ascii="Calibri" w:eastAsia="Calibri" w:hAnsi="Calibri" w:cs="Calibri"/>
          <w:sz w:val="24"/>
          <w:szCs w:val="24"/>
        </w:rPr>
        <w:t xml:space="preserve">MV netřídilo </w:t>
      </w:r>
      <w:r w:rsidR="00A06B14">
        <w:rPr>
          <w:rFonts w:ascii="Calibri" w:eastAsia="Calibri" w:hAnsi="Calibri" w:cs="Calibri"/>
          <w:sz w:val="24"/>
          <w:szCs w:val="24"/>
        </w:rPr>
        <w:t xml:space="preserve">a nevykazovalo </w:t>
      </w:r>
      <w:r w:rsidRPr="00E7521C">
        <w:rPr>
          <w:rFonts w:ascii="Calibri" w:eastAsia="Calibri" w:hAnsi="Calibri" w:cs="Calibri"/>
          <w:sz w:val="24"/>
          <w:szCs w:val="24"/>
        </w:rPr>
        <w:t xml:space="preserve">peněžní prostředky státního rozpočtu dle </w:t>
      </w:r>
      <w:r w:rsidR="00821C87">
        <w:rPr>
          <w:rFonts w:ascii="Calibri" w:eastAsia="Calibri" w:hAnsi="Calibri" w:cs="Calibri"/>
          <w:sz w:val="24"/>
          <w:szCs w:val="24"/>
        </w:rPr>
        <w:t>vyhlášky o</w:t>
      </w:r>
      <w:r w:rsidR="00BC59B2">
        <w:rPr>
          <w:rFonts w:ascii="Calibri" w:eastAsia="Calibri" w:hAnsi="Calibri" w:cs="Calibri"/>
          <w:sz w:val="24"/>
          <w:szCs w:val="24"/>
        </w:rPr>
        <w:t> </w:t>
      </w:r>
      <w:r w:rsidRPr="00E7521C">
        <w:rPr>
          <w:rFonts w:ascii="Calibri" w:eastAsia="Calibri" w:hAnsi="Calibri" w:cs="Calibri"/>
          <w:sz w:val="24"/>
          <w:szCs w:val="24"/>
        </w:rPr>
        <w:t>rozpočtové skladb</w:t>
      </w:r>
      <w:r w:rsidR="00821C87">
        <w:rPr>
          <w:rFonts w:ascii="Calibri" w:eastAsia="Calibri" w:hAnsi="Calibri" w:cs="Calibri"/>
          <w:sz w:val="24"/>
          <w:szCs w:val="24"/>
        </w:rPr>
        <w:t>ě</w:t>
      </w:r>
      <w:r w:rsidRPr="00D83B18">
        <w:rPr>
          <w:rFonts w:ascii="Calibri" w:hAnsi="Calibri" w:cs="Calibri"/>
          <w:sz w:val="24"/>
          <w:szCs w:val="24"/>
          <w:vertAlign w:val="superscript"/>
        </w:rPr>
        <w:footnoteReference w:id="10"/>
      </w:r>
      <w:r w:rsidRPr="00E7521C">
        <w:rPr>
          <w:rFonts w:ascii="Calibri" w:eastAsia="Calibri" w:hAnsi="Calibri" w:cs="Calibri"/>
          <w:sz w:val="24"/>
          <w:szCs w:val="24"/>
        </w:rPr>
        <w:t xml:space="preserve"> a tím nepostupovalo v souladu s rozpočtovými pravidly. </w:t>
      </w:r>
    </w:p>
    <w:p w14:paraId="230750BD" w14:textId="31317DFB" w:rsidR="00E7521C" w:rsidRPr="00B02E1D" w:rsidRDefault="00E7521C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E7521C">
        <w:rPr>
          <w:rFonts w:ascii="Calibri" w:eastAsia="Calibri" w:hAnsi="Calibri" w:cs="Calibri"/>
          <w:sz w:val="24"/>
          <w:szCs w:val="24"/>
        </w:rPr>
        <w:t xml:space="preserve">V oblasti varování a </w:t>
      </w:r>
      <w:r w:rsidR="00A867F4">
        <w:rPr>
          <w:rFonts w:ascii="Calibri" w:eastAsia="Calibri" w:hAnsi="Calibri" w:cs="Calibri"/>
          <w:sz w:val="24"/>
          <w:szCs w:val="24"/>
        </w:rPr>
        <w:t>informování obyvatel</w:t>
      </w:r>
      <w:r w:rsidR="00A867F4" w:rsidRPr="00E7521C">
        <w:rPr>
          <w:rFonts w:ascii="Calibri" w:eastAsia="Calibri" w:hAnsi="Calibri" w:cs="Calibri"/>
          <w:sz w:val="24"/>
          <w:szCs w:val="24"/>
        </w:rPr>
        <w:t xml:space="preserve"> </w:t>
      </w:r>
      <w:r w:rsidRPr="00E7521C">
        <w:rPr>
          <w:rFonts w:ascii="Calibri" w:eastAsia="Calibri" w:hAnsi="Calibri" w:cs="Calibri"/>
          <w:sz w:val="24"/>
          <w:szCs w:val="24"/>
        </w:rPr>
        <w:t>nedokončilo MV do doby ukončení kontroly obměnu rotačních sirén. Tu provádí již od roku 2002, termín dokončení prodloužilo o deset let, z roku 2015 na rok 2025</w:t>
      </w:r>
      <w:r w:rsidRPr="000173EE">
        <w:rPr>
          <w:rFonts w:ascii="Calibri" w:eastAsia="Calibri" w:hAnsi="Calibri" w:cs="Calibri"/>
          <w:sz w:val="24"/>
          <w:szCs w:val="24"/>
        </w:rPr>
        <w:t xml:space="preserve">. </w:t>
      </w:r>
      <w:r w:rsidR="00A06B14" w:rsidRPr="00B02E1D">
        <w:rPr>
          <w:rFonts w:ascii="Calibri" w:eastAsia="Calibri" w:hAnsi="Calibri" w:cs="Calibri"/>
          <w:sz w:val="24"/>
          <w:szCs w:val="24"/>
        </w:rPr>
        <w:t>Při kontrole peněžních prostředků státního rozpočtu vynaložených MV v kontrolovaném období na obměnu rotačních sirén nezjistil NKÚ nedostatky.</w:t>
      </w:r>
      <w:r w:rsidR="00A06B14" w:rsidRPr="00B02E1D">
        <w:rPr>
          <w:rFonts w:ascii="Calibri" w:eastAsia="Calibri" w:hAnsi="Calibri" w:cs="Calibri"/>
        </w:rPr>
        <w:t xml:space="preserve"> </w:t>
      </w:r>
      <w:r w:rsidRPr="00B02E1D">
        <w:rPr>
          <w:rFonts w:ascii="Calibri" w:eastAsia="Calibri" w:hAnsi="Calibri" w:cs="Calibri"/>
          <w:sz w:val="24"/>
          <w:szCs w:val="24"/>
        </w:rPr>
        <w:t xml:space="preserve">V oblasti zvyšování informovanosti obyvatelstva MV nespustilo webový portál OOB, v plánovaném termínu nedokončilo </w:t>
      </w:r>
      <w:r w:rsidR="0002035D">
        <w:rPr>
          <w:rFonts w:ascii="Calibri" w:eastAsia="Calibri" w:hAnsi="Calibri" w:cs="Calibri"/>
          <w:sz w:val="24"/>
          <w:szCs w:val="24"/>
        </w:rPr>
        <w:t>ani</w:t>
      </w:r>
      <w:r w:rsidRPr="00B02E1D">
        <w:rPr>
          <w:rFonts w:ascii="Calibri" w:eastAsia="Calibri" w:hAnsi="Calibri" w:cs="Calibri"/>
          <w:sz w:val="24"/>
          <w:szCs w:val="24"/>
        </w:rPr>
        <w:t xml:space="preserve"> </w:t>
      </w:r>
      <w:r w:rsidR="002320C3">
        <w:rPr>
          <w:rFonts w:ascii="Calibri" w:eastAsia="Calibri" w:hAnsi="Calibri" w:cs="Calibri"/>
          <w:sz w:val="24"/>
          <w:szCs w:val="24"/>
        </w:rPr>
        <w:t xml:space="preserve">řešení </w:t>
      </w:r>
      <w:r w:rsidRPr="00B02E1D">
        <w:rPr>
          <w:rFonts w:ascii="Calibri" w:eastAsia="Calibri" w:hAnsi="Calibri" w:cs="Calibri"/>
          <w:sz w:val="24"/>
          <w:szCs w:val="24"/>
        </w:rPr>
        <w:t>rozesílání varovných SMS zpráv.</w:t>
      </w:r>
    </w:p>
    <w:p w14:paraId="6AB12438" w14:textId="69C960B8" w:rsidR="00E7521C" w:rsidRPr="00E7521C" w:rsidRDefault="00E7521C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E7521C">
        <w:rPr>
          <w:rFonts w:ascii="Calibri" w:eastAsia="Calibri" w:hAnsi="Calibri" w:cs="Calibri"/>
          <w:sz w:val="24"/>
          <w:szCs w:val="24"/>
        </w:rPr>
        <w:t>V oblasti nouzového přežití obyvatelstva MV nezabezpečilo prostředky individuální ochrany (dále také „PIO“) pro vybrané kategorie osob při stavu ohrožení státu a válečném stavu a tím postupovalo v rozporu se</w:t>
      </w:r>
      <w:r w:rsidR="00B5012F">
        <w:rPr>
          <w:rFonts w:ascii="Calibri" w:eastAsia="Calibri" w:hAnsi="Calibri" w:cs="Calibri"/>
          <w:sz w:val="24"/>
          <w:szCs w:val="24"/>
        </w:rPr>
        <w:t xml:space="preserve"> zákonem</w:t>
      </w:r>
      <w:r w:rsidRPr="00E7521C">
        <w:rPr>
          <w:rFonts w:ascii="Calibri" w:eastAsia="Calibri" w:hAnsi="Calibri" w:cs="Calibri"/>
          <w:sz w:val="24"/>
          <w:szCs w:val="24"/>
        </w:rPr>
        <w:t xml:space="preserve"> </w:t>
      </w:r>
      <w:r w:rsidR="005037FA">
        <w:rPr>
          <w:rFonts w:ascii="Calibri" w:eastAsia="Calibri" w:hAnsi="Calibri" w:cs="Calibri"/>
          <w:sz w:val="24"/>
          <w:szCs w:val="24"/>
        </w:rPr>
        <w:t>239/2000 Sb.</w:t>
      </w:r>
      <w:r w:rsidRPr="00E7521C">
        <w:rPr>
          <w:rFonts w:ascii="Calibri" w:eastAsia="Calibri" w:hAnsi="Calibri" w:cs="Calibri"/>
          <w:sz w:val="24"/>
          <w:szCs w:val="24"/>
        </w:rPr>
        <w:t xml:space="preserve"> a vyhláškou</w:t>
      </w:r>
      <w:r w:rsidR="0002035D">
        <w:rPr>
          <w:rFonts w:ascii="Calibri" w:eastAsia="Calibri" w:hAnsi="Calibri" w:cs="Calibri"/>
          <w:sz w:val="24"/>
          <w:szCs w:val="24"/>
        </w:rPr>
        <w:t xml:space="preserve"> č. 380/2002</w:t>
      </w:r>
      <w:r w:rsidR="00B5012F">
        <w:rPr>
          <w:rFonts w:ascii="Calibri" w:eastAsia="Calibri" w:hAnsi="Calibri" w:cs="Calibri"/>
          <w:sz w:val="24"/>
          <w:szCs w:val="24"/>
        </w:rPr>
        <w:t xml:space="preserve"> Sb.</w:t>
      </w:r>
      <w:r w:rsidR="007536D4">
        <w:rPr>
          <w:rFonts w:ascii="Calibri" w:eastAsia="Calibri" w:hAnsi="Calibri" w:cs="Calibri"/>
          <w:sz w:val="24"/>
          <w:szCs w:val="24"/>
        </w:rPr>
        <w:t>,</w:t>
      </w:r>
      <w:r w:rsidR="0002035D">
        <w:rPr>
          <w:rFonts w:ascii="Calibri" w:eastAsia="Calibri" w:hAnsi="Calibri" w:cs="Calibri"/>
          <w:sz w:val="24"/>
          <w:szCs w:val="24"/>
        </w:rPr>
        <w:t xml:space="preserve"> </w:t>
      </w:r>
      <w:r w:rsidR="0002035D" w:rsidRPr="00E7521C">
        <w:rPr>
          <w:rFonts w:ascii="Calibri" w:eastAsia="Calibri" w:hAnsi="Calibri" w:cs="Calibri"/>
          <w:sz w:val="24"/>
          <w:szCs w:val="24"/>
        </w:rPr>
        <w:t>k</w:t>
      </w:r>
      <w:r w:rsidR="00BC59B2">
        <w:rPr>
          <w:rFonts w:ascii="Calibri" w:eastAsia="Calibri" w:hAnsi="Calibri" w:cs="Calibri"/>
          <w:sz w:val="24"/>
          <w:szCs w:val="24"/>
        </w:rPr>
        <w:t> </w:t>
      </w:r>
      <w:r w:rsidR="0002035D" w:rsidRPr="00E7521C">
        <w:rPr>
          <w:rFonts w:ascii="Calibri" w:eastAsia="Calibri" w:hAnsi="Calibri" w:cs="Calibri"/>
          <w:sz w:val="24"/>
          <w:szCs w:val="24"/>
        </w:rPr>
        <w:t>přípravě a provádění úkolů ochrany obyvatelstva</w:t>
      </w:r>
      <w:r w:rsidR="0002035D" w:rsidRPr="00E7521C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02035D" w:rsidRPr="00E7521C">
        <w:rPr>
          <w:rFonts w:ascii="Calibri" w:hAnsi="Calibri" w:cs="Calibri"/>
          <w:sz w:val="24"/>
          <w:szCs w:val="24"/>
          <w:vertAlign w:val="superscript"/>
        </w:rPr>
        <w:footnoteReference w:id="11"/>
      </w:r>
      <w:r w:rsidR="0002035D" w:rsidRPr="0002035D">
        <w:rPr>
          <w:rFonts w:ascii="Calibri" w:hAnsi="Calibri" w:cs="Calibri"/>
          <w:sz w:val="24"/>
          <w:szCs w:val="24"/>
        </w:rPr>
        <w:t>.</w:t>
      </w:r>
    </w:p>
    <w:p w14:paraId="28C77613" w14:textId="4C769DD4" w:rsidR="00E7521C" w:rsidRPr="00A46104" w:rsidRDefault="00A06B14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oblasti ukrytí se </w:t>
      </w:r>
      <w:r w:rsidR="00E7521C" w:rsidRPr="00E7521C">
        <w:rPr>
          <w:rFonts w:ascii="Calibri" w:eastAsia="Calibri" w:hAnsi="Calibri" w:cs="Calibri"/>
          <w:sz w:val="24"/>
          <w:szCs w:val="24"/>
        </w:rPr>
        <w:t>MV</w:t>
      </w:r>
      <w:r w:rsidR="00A46104">
        <w:rPr>
          <w:rFonts w:ascii="Calibri" w:eastAsia="Calibri" w:hAnsi="Calibri" w:cs="Calibri"/>
          <w:sz w:val="24"/>
          <w:szCs w:val="24"/>
        </w:rPr>
        <w:t xml:space="preserve"> do doby ukončení kontroly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46104">
        <w:rPr>
          <w:rFonts w:ascii="Calibri" w:eastAsia="Calibri" w:hAnsi="Calibri" w:cs="Calibri"/>
          <w:sz w:val="24"/>
          <w:szCs w:val="24"/>
        </w:rPr>
        <w:t xml:space="preserve">nepodařilo naplnit jeden ze základních úkolů </w:t>
      </w:r>
      <w:r w:rsidR="007536D4">
        <w:rPr>
          <w:rFonts w:ascii="Calibri" w:eastAsia="Calibri" w:hAnsi="Calibri" w:cs="Calibri"/>
          <w:sz w:val="24"/>
          <w:szCs w:val="24"/>
        </w:rPr>
        <w:t>k</w:t>
      </w:r>
      <w:r w:rsidR="00A46104">
        <w:rPr>
          <w:rFonts w:ascii="Calibri" w:eastAsia="Calibri" w:hAnsi="Calibri" w:cs="Calibri"/>
          <w:sz w:val="24"/>
          <w:szCs w:val="24"/>
        </w:rPr>
        <w:t>oncepcí OOB týkající se potřeby</w:t>
      </w:r>
      <w:r w:rsidR="00907BE5">
        <w:rPr>
          <w:rFonts w:ascii="Calibri" w:eastAsia="Calibri" w:hAnsi="Calibri" w:cs="Calibri"/>
          <w:sz w:val="24"/>
          <w:szCs w:val="24"/>
        </w:rPr>
        <w:t xml:space="preserve"> iniciace</w:t>
      </w:r>
      <w:r w:rsidR="00A46104">
        <w:rPr>
          <w:rFonts w:ascii="Calibri" w:eastAsia="Calibri" w:hAnsi="Calibri" w:cs="Calibri"/>
          <w:sz w:val="24"/>
          <w:szCs w:val="24"/>
        </w:rPr>
        <w:t xml:space="preserve"> legislativních změn. </w:t>
      </w:r>
      <w:r w:rsidR="00E7521C" w:rsidRPr="00E7521C">
        <w:rPr>
          <w:rFonts w:ascii="Calibri" w:eastAsia="Calibri" w:hAnsi="Calibri" w:cs="Calibri"/>
          <w:sz w:val="24"/>
          <w:szCs w:val="24"/>
        </w:rPr>
        <w:t xml:space="preserve">Tento úkol přitom definovalo MV již </w:t>
      </w:r>
      <w:r>
        <w:rPr>
          <w:rFonts w:ascii="Calibri" w:eastAsia="Calibri" w:hAnsi="Calibri" w:cs="Calibri"/>
          <w:sz w:val="24"/>
          <w:szCs w:val="24"/>
        </w:rPr>
        <w:t xml:space="preserve">v roce 2002 </w:t>
      </w:r>
      <w:r w:rsidR="00E7521C" w:rsidRPr="00E7521C">
        <w:rPr>
          <w:rFonts w:ascii="Calibri" w:eastAsia="Calibri" w:hAnsi="Calibri" w:cs="Calibri"/>
          <w:sz w:val="24"/>
          <w:szCs w:val="24"/>
        </w:rPr>
        <w:t>v Koncepci 2006</w:t>
      </w:r>
      <w:r w:rsidR="00A46104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Z</w:t>
      </w:r>
      <w:r w:rsidR="00A46104" w:rsidRPr="00A46104">
        <w:rPr>
          <w:rFonts w:ascii="Calibri" w:eastAsia="Calibri" w:hAnsi="Calibri" w:cs="Calibri"/>
          <w:sz w:val="24"/>
          <w:szCs w:val="24"/>
        </w:rPr>
        <w:t xml:space="preserve">ákon </w:t>
      </w:r>
      <w:r w:rsidR="00C6140E">
        <w:rPr>
          <w:rFonts w:ascii="Calibri" w:eastAsia="Calibri" w:hAnsi="Calibri" w:cs="Calibri"/>
          <w:sz w:val="24"/>
          <w:szCs w:val="24"/>
        </w:rPr>
        <w:t>č. 239/2000 Sb.</w:t>
      </w:r>
      <w:r w:rsidR="00A46104">
        <w:rPr>
          <w:rFonts w:ascii="Calibri" w:eastAsia="Calibri" w:hAnsi="Calibri" w:cs="Calibri"/>
          <w:sz w:val="24"/>
          <w:szCs w:val="24"/>
        </w:rPr>
        <w:t xml:space="preserve"> </w:t>
      </w:r>
      <w:r w:rsidR="00A46104" w:rsidRPr="00A46104">
        <w:rPr>
          <w:rFonts w:ascii="Calibri" w:eastAsia="Calibri" w:hAnsi="Calibri" w:cs="Calibri"/>
          <w:sz w:val="24"/>
          <w:szCs w:val="24"/>
        </w:rPr>
        <w:t>a vyhlášk</w:t>
      </w:r>
      <w:r>
        <w:rPr>
          <w:rFonts w:ascii="Calibri" w:eastAsia="Calibri" w:hAnsi="Calibri" w:cs="Calibri"/>
          <w:sz w:val="24"/>
          <w:szCs w:val="24"/>
        </w:rPr>
        <w:t>a</w:t>
      </w:r>
      <w:r w:rsidR="00A46104" w:rsidRPr="00A46104">
        <w:rPr>
          <w:rFonts w:ascii="Calibri" w:eastAsia="Calibri" w:hAnsi="Calibri" w:cs="Calibri"/>
          <w:sz w:val="24"/>
          <w:szCs w:val="24"/>
        </w:rPr>
        <w:t xml:space="preserve"> </w:t>
      </w:r>
      <w:r w:rsidR="006763D8">
        <w:rPr>
          <w:rFonts w:ascii="Calibri" w:eastAsia="Calibri" w:hAnsi="Calibri" w:cs="Calibri"/>
          <w:sz w:val="24"/>
          <w:szCs w:val="24"/>
        </w:rPr>
        <w:t>č.</w:t>
      </w:r>
      <w:r w:rsidR="00BC59B2">
        <w:rPr>
          <w:rFonts w:ascii="Calibri" w:eastAsia="Calibri" w:hAnsi="Calibri" w:cs="Calibri"/>
          <w:sz w:val="24"/>
          <w:szCs w:val="24"/>
        </w:rPr>
        <w:t> </w:t>
      </w:r>
      <w:r w:rsidR="006763D8">
        <w:rPr>
          <w:rFonts w:ascii="Calibri" w:eastAsia="Calibri" w:hAnsi="Calibri" w:cs="Calibri"/>
          <w:sz w:val="24"/>
          <w:szCs w:val="24"/>
        </w:rPr>
        <w:t xml:space="preserve">380/2002 </w:t>
      </w:r>
      <w:r w:rsidR="00A46104" w:rsidRPr="00A46104">
        <w:rPr>
          <w:rFonts w:ascii="Calibri" w:eastAsia="Calibri" w:hAnsi="Calibri" w:cs="Calibri"/>
          <w:sz w:val="24"/>
          <w:szCs w:val="24"/>
        </w:rPr>
        <w:t>tak v současnosti zcela nereflektují potřeby OOB především v oblasti improvizovaného ukrytí</w:t>
      </w:r>
      <w:r>
        <w:rPr>
          <w:rFonts w:ascii="Calibri" w:eastAsia="Calibri" w:hAnsi="Calibri" w:cs="Calibri"/>
          <w:sz w:val="24"/>
          <w:szCs w:val="24"/>
        </w:rPr>
        <w:t xml:space="preserve"> nebo PIO</w:t>
      </w:r>
      <w:r w:rsidR="00A46104" w:rsidRPr="00A46104">
        <w:rPr>
          <w:rFonts w:ascii="Calibri" w:eastAsia="Calibri" w:hAnsi="Calibri" w:cs="Calibri"/>
          <w:sz w:val="24"/>
          <w:szCs w:val="24"/>
        </w:rPr>
        <w:t xml:space="preserve">. </w:t>
      </w:r>
      <w:r w:rsidR="00C6140E" w:rsidRPr="00C6140E">
        <w:rPr>
          <w:rFonts w:ascii="Calibri" w:eastAsia="Calibri" w:hAnsi="Calibri" w:cs="Calibri"/>
          <w:sz w:val="24"/>
          <w:szCs w:val="24"/>
        </w:rPr>
        <w:t>NKÚ zjistil, že z platných právních předpisů nevyplývá pro MV odpovědnost za kapacitu stálých úkrytů. Ta se od roku 2010 snížila o 32 % a v roce 2021 byla zabezpečena pro cca 3,2 % obyvatelstva ČR.</w:t>
      </w:r>
    </w:p>
    <w:p w14:paraId="6EF1A203" w14:textId="3813205D" w:rsidR="001A10FF" w:rsidRPr="00B02E1D" w:rsidRDefault="00E7521C" w:rsidP="00576642">
      <w:pPr>
        <w:pStyle w:val="Odstavecseseznamem"/>
        <w:numPr>
          <w:ilvl w:val="0"/>
          <w:numId w:val="33"/>
        </w:numPr>
        <w:spacing w:after="6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1A10FF">
        <w:rPr>
          <w:rFonts w:ascii="Calibri" w:eastAsia="Calibri" w:hAnsi="Calibri" w:cs="Calibri"/>
          <w:sz w:val="24"/>
          <w:szCs w:val="24"/>
        </w:rPr>
        <w:t xml:space="preserve">V oblasti výchovy a vzdělávání MV nedokončilo některé klíčové úkoly </w:t>
      </w:r>
      <w:r w:rsidR="007536D4">
        <w:rPr>
          <w:rFonts w:ascii="Calibri" w:eastAsia="Calibri" w:hAnsi="Calibri" w:cs="Calibri"/>
          <w:sz w:val="24"/>
          <w:szCs w:val="24"/>
        </w:rPr>
        <w:t>k</w:t>
      </w:r>
      <w:r w:rsidRPr="001A10FF">
        <w:rPr>
          <w:rFonts w:ascii="Calibri" w:eastAsia="Calibri" w:hAnsi="Calibri" w:cs="Calibri"/>
          <w:sz w:val="24"/>
          <w:szCs w:val="24"/>
        </w:rPr>
        <w:t>oncepcí OOB. Jedná se především o vymezení rozsahu a formy výuky tématiky OOB na základních a</w:t>
      </w:r>
      <w:r w:rsidR="007536D4">
        <w:rPr>
          <w:rFonts w:ascii="Calibri" w:eastAsia="Calibri" w:hAnsi="Calibri" w:cs="Calibri"/>
          <w:sz w:val="24"/>
          <w:szCs w:val="24"/>
        </w:rPr>
        <w:t> </w:t>
      </w:r>
      <w:r w:rsidRPr="001A10FF">
        <w:rPr>
          <w:rFonts w:ascii="Calibri" w:eastAsia="Calibri" w:hAnsi="Calibri" w:cs="Calibri"/>
          <w:sz w:val="24"/>
          <w:szCs w:val="24"/>
        </w:rPr>
        <w:t>středních školách nebo zapracování úkolů, práv a povinností všech aktérů OOB do právních předpisů</w:t>
      </w:r>
      <w:r w:rsidR="00C87F96" w:rsidRPr="001A10FF">
        <w:rPr>
          <w:rFonts w:ascii="Calibri" w:eastAsia="Calibri" w:hAnsi="Calibri" w:cs="Calibri"/>
          <w:sz w:val="24"/>
          <w:szCs w:val="24"/>
        </w:rPr>
        <w:t xml:space="preserve"> v této oblasti.</w:t>
      </w:r>
      <w:r w:rsidRPr="001A10FF">
        <w:rPr>
          <w:rFonts w:ascii="Calibri" w:eastAsia="Calibri" w:hAnsi="Calibri" w:cs="Calibri"/>
          <w:sz w:val="24"/>
          <w:szCs w:val="24"/>
        </w:rPr>
        <w:t xml:space="preserve"> </w:t>
      </w:r>
      <w:r w:rsidR="001A10FF" w:rsidRPr="00B02E1D">
        <w:rPr>
          <w:rFonts w:ascii="Calibri" w:eastAsia="Calibri" w:hAnsi="Calibri" w:cs="Calibri"/>
          <w:sz w:val="24"/>
          <w:szCs w:val="24"/>
        </w:rPr>
        <w:t xml:space="preserve">Při kontrole peněžních prostředků státního rozpočtu vynaložených MV </w:t>
      </w:r>
      <w:r w:rsidR="00531615">
        <w:rPr>
          <w:rFonts w:ascii="Calibri" w:eastAsia="Calibri" w:hAnsi="Calibri" w:cs="Calibri"/>
          <w:sz w:val="24"/>
          <w:szCs w:val="24"/>
        </w:rPr>
        <w:t>v</w:t>
      </w:r>
      <w:r w:rsidR="00BC59B2">
        <w:rPr>
          <w:rFonts w:ascii="Calibri" w:eastAsia="Calibri" w:hAnsi="Calibri" w:cs="Calibri"/>
          <w:sz w:val="24"/>
          <w:szCs w:val="24"/>
        </w:rPr>
        <w:t> </w:t>
      </w:r>
      <w:r w:rsidR="001A10FF" w:rsidRPr="00B02E1D">
        <w:rPr>
          <w:rFonts w:ascii="Calibri" w:eastAsia="Calibri" w:hAnsi="Calibri" w:cs="Calibri"/>
          <w:sz w:val="24"/>
          <w:szCs w:val="24"/>
        </w:rPr>
        <w:t>období 2016</w:t>
      </w:r>
      <w:r w:rsidR="007536D4">
        <w:rPr>
          <w:rFonts w:ascii="Calibri" w:eastAsia="Calibri" w:hAnsi="Calibri" w:cs="Calibri"/>
          <w:sz w:val="24"/>
          <w:szCs w:val="24"/>
        </w:rPr>
        <w:t>–</w:t>
      </w:r>
      <w:r w:rsidR="001A10FF" w:rsidRPr="00B02E1D">
        <w:rPr>
          <w:rFonts w:ascii="Calibri" w:eastAsia="Calibri" w:hAnsi="Calibri" w:cs="Calibri"/>
          <w:sz w:val="24"/>
          <w:szCs w:val="24"/>
        </w:rPr>
        <w:t>2022 na Centrum zdraví a bezpečí v Karlových Varech nezjistil NKÚ nedostatky.</w:t>
      </w:r>
    </w:p>
    <w:p w14:paraId="13D1E868" w14:textId="77777777" w:rsidR="00E7521C" w:rsidRPr="00E7521C" w:rsidRDefault="00E7521C" w:rsidP="00576642">
      <w:pPr>
        <w:pStyle w:val="Odstavecseseznamem"/>
        <w:numPr>
          <w:ilvl w:val="0"/>
          <w:numId w:val="33"/>
        </w:numPr>
        <w:spacing w:after="12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E7521C">
        <w:rPr>
          <w:rFonts w:ascii="Calibri" w:eastAsia="Calibri" w:hAnsi="Calibri" w:cs="Calibri"/>
          <w:sz w:val="24"/>
          <w:szCs w:val="24"/>
        </w:rPr>
        <w:t xml:space="preserve">MV nevyužilo v praxi OOB některé výsledky výzkumu projektů (např. funkční vzorky PIO). Nedošlo tak k naplnění předpokládaných ekonomických přínosů vyplývajících </w:t>
      </w:r>
      <w:proofErr w:type="gramStart"/>
      <w:r w:rsidRPr="00E7521C">
        <w:rPr>
          <w:rFonts w:ascii="Calibri" w:eastAsia="Calibri" w:hAnsi="Calibri" w:cs="Calibri"/>
          <w:sz w:val="24"/>
          <w:szCs w:val="24"/>
        </w:rPr>
        <w:t>ze</w:t>
      </w:r>
      <w:proofErr w:type="gramEnd"/>
      <w:r w:rsidRPr="00E7521C">
        <w:rPr>
          <w:rFonts w:ascii="Calibri" w:eastAsia="Calibri" w:hAnsi="Calibri" w:cs="Calibri"/>
          <w:sz w:val="24"/>
          <w:szCs w:val="24"/>
        </w:rPr>
        <w:t xml:space="preserve"> zavedení dosažených výsledků do praxe. Na projekty přitom MV vynaložilo celkem 132,5 mil. Kč.</w:t>
      </w:r>
    </w:p>
    <w:p w14:paraId="54EC1A6A" w14:textId="70CF0E56" w:rsidR="00E7521C" w:rsidRPr="00E7521C" w:rsidRDefault="00E7521C" w:rsidP="00576642">
      <w:pPr>
        <w:spacing w:after="120"/>
        <w:jc w:val="both"/>
        <w:rPr>
          <w:rFonts w:ascii="Calibri" w:eastAsia="Calibri" w:hAnsi="Calibri" w:cs="Calibri"/>
        </w:rPr>
      </w:pPr>
      <w:r w:rsidRPr="00E7521C">
        <w:rPr>
          <w:rFonts w:ascii="Calibri" w:eastAsia="Calibri" w:hAnsi="Calibri" w:cs="Calibri"/>
        </w:rPr>
        <w:lastRenderedPageBreak/>
        <w:t>Na základě výše uvedených skutečností NKÚ doporučuje, aby MV provedlo v</w:t>
      </w:r>
      <w:r w:rsidR="0002035D">
        <w:rPr>
          <w:rFonts w:ascii="Calibri" w:eastAsia="Calibri" w:hAnsi="Calibri" w:cs="Calibri"/>
        </w:rPr>
        <w:t xml:space="preserve"> rozsahu své působnosti </w:t>
      </w:r>
      <w:r w:rsidRPr="00E7521C">
        <w:rPr>
          <w:rFonts w:ascii="Calibri" w:eastAsia="Calibri" w:hAnsi="Calibri" w:cs="Calibri"/>
        </w:rPr>
        <w:t>kroky vedoucí k potřebné aktualizaci příslušných právních předpisů. V dalších stále nedořešených oblastech OOB (např. vzdělávání obyvatelstva) doporučuje NKÚ využít uváděné příklady zahraniční praxe. Necelých 47 tisíc respondentů dobrovolného dotazníkového šetření NKÚ totiž dokazuje mimořádný zájem veřejnosti o tuto problematiku, proto je možné důvodně předpokládat, že veřejnost bude pozitivně vnímat opatření vedoucí k nápravě nedostatků současného systému OOB.</w:t>
      </w:r>
    </w:p>
    <w:p w14:paraId="6AD33FBE" w14:textId="77777777" w:rsidR="00FC5525" w:rsidRDefault="00FC5525" w:rsidP="00576642">
      <w:pPr>
        <w:keepNext/>
        <w:keepLines/>
        <w:spacing w:before="600" w:after="240"/>
        <w:jc w:val="center"/>
        <w:outlineLvl w:val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II. Informace o kontrolované oblasti</w:t>
      </w:r>
    </w:p>
    <w:p w14:paraId="45415E8C" w14:textId="3D579DA9" w:rsidR="00FC5525" w:rsidRPr="00D252AD" w:rsidRDefault="00FC5525" w:rsidP="00576642">
      <w:pPr>
        <w:spacing w:after="120"/>
        <w:jc w:val="both"/>
        <w:rPr>
          <w:rFonts w:ascii="Calibri" w:hAnsi="Calibri" w:cs="Calibri"/>
        </w:rPr>
      </w:pPr>
      <w:r w:rsidRPr="00D252AD">
        <w:rPr>
          <w:rFonts w:ascii="Calibri" w:hAnsi="Calibri" w:cs="Calibri"/>
        </w:rPr>
        <w:t>V letech 1951</w:t>
      </w:r>
      <w:r w:rsidR="00612002">
        <w:rPr>
          <w:rFonts w:ascii="Calibri" w:hAnsi="Calibri" w:cs="Calibri"/>
        </w:rPr>
        <w:t>–</w:t>
      </w:r>
      <w:r w:rsidRPr="00D252AD">
        <w:rPr>
          <w:rFonts w:ascii="Calibri" w:hAnsi="Calibri" w:cs="Calibri"/>
        </w:rPr>
        <w:t xml:space="preserve">1993 byl pro kontrolovanou oblast používán pojem </w:t>
      </w:r>
      <w:r w:rsidRPr="00371F63">
        <w:rPr>
          <w:rFonts w:ascii="Calibri" w:hAnsi="Calibri" w:cs="Calibri"/>
        </w:rPr>
        <w:t>„civilní obrana“</w:t>
      </w:r>
      <w:r w:rsidRPr="00D252AD">
        <w:rPr>
          <w:rFonts w:ascii="Calibri" w:hAnsi="Calibri" w:cs="Calibri"/>
        </w:rPr>
        <w:t>, který v sobě akcentoval důraz na válečn</w:t>
      </w:r>
      <w:r w:rsidR="00612002">
        <w:rPr>
          <w:rFonts w:ascii="Calibri" w:hAnsi="Calibri" w:cs="Calibri"/>
        </w:rPr>
        <w:t>ý</w:t>
      </w:r>
      <w:r w:rsidRPr="00D252AD">
        <w:rPr>
          <w:rFonts w:ascii="Calibri" w:hAnsi="Calibri" w:cs="Calibri"/>
        </w:rPr>
        <w:t xml:space="preserve"> stav.</w:t>
      </w:r>
      <w:r w:rsidRPr="00612002">
        <w:rPr>
          <w:rFonts w:ascii="Calibri" w:hAnsi="Calibri" w:cs="Calibri"/>
        </w:rPr>
        <w:t xml:space="preserve"> </w:t>
      </w:r>
      <w:r w:rsidR="001C3D15" w:rsidRPr="00D252AD">
        <w:rPr>
          <w:rFonts w:ascii="Calibri" w:hAnsi="Calibri" w:cs="Calibri"/>
        </w:rPr>
        <w:t>Přitom o</w:t>
      </w:r>
      <w:r w:rsidRPr="00D252AD">
        <w:rPr>
          <w:rFonts w:ascii="Calibri" w:hAnsi="Calibri" w:cs="Calibri"/>
        </w:rPr>
        <w:t>d roku 1990 začala transformace civilní obrany tak, aby nově vytvářený systém mohl být využíván pro řešení všech mimořádných událostí</w:t>
      </w:r>
      <w:r w:rsidRPr="00D252AD">
        <w:rPr>
          <w:rStyle w:val="Znakapoznpodarou"/>
          <w:rFonts w:ascii="Calibri" w:hAnsi="Calibri" w:cs="Calibri"/>
        </w:rPr>
        <w:footnoteReference w:id="12"/>
      </w:r>
      <w:r w:rsidRPr="00D252AD">
        <w:rPr>
          <w:rFonts w:ascii="Calibri" w:hAnsi="Calibri" w:cs="Calibri"/>
        </w:rPr>
        <w:t>, a nikoliv jen pro válečn</w:t>
      </w:r>
      <w:r w:rsidR="00612002">
        <w:rPr>
          <w:rFonts w:ascii="Calibri" w:hAnsi="Calibri" w:cs="Calibri"/>
        </w:rPr>
        <w:t>ý</w:t>
      </w:r>
      <w:r w:rsidRPr="00D252AD">
        <w:rPr>
          <w:rFonts w:ascii="Calibri" w:hAnsi="Calibri" w:cs="Calibri"/>
        </w:rPr>
        <w:t xml:space="preserve"> stav. V roce 1993 tak došlo i ke změně názvu na </w:t>
      </w:r>
      <w:r w:rsidRPr="00371F63">
        <w:rPr>
          <w:rFonts w:ascii="Calibri" w:hAnsi="Calibri" w:cs="Calibri"/>
        </w:rPr>
        <w:t>„civilní ochrana“</w:t>
      </w:r>
      <w:r w:rsidRPr="00D252AD">
        <w:rPr>
          <w:rFonts w:ascii="Calibri" w:hAnsi="Calibri" w:cs="Calibri"/>
          <w:i/>
        </w:rPr>
        <w:t xml:space="preserve">. </w:t>
      </w:r>
      <w:r w:rsidRPr="00D252AD">
        <w:rPr>
          <w:rFonts w:ascii="Calibri" w:hAnsi="Calibri" w:cs="Calibri"/>
        </w:rPr>
        <w:t xml:space="preserve">Pojem ochrana obyvatelstva byl zaveden od roku 2001 </w:t>
      </w:r>
      <w:r w:rsidR="001C3D15" w:rsidRPr="00D252AD">
        <w:rPr>
          <w:rFonts w:ascii="Calibri" w:eastAsia="Calibri" w:hAnsi="Calibri" w:cs="Calibri"/>
        </w:rPr>
        <w:t>zákonem o integrovaném záchranném systému</w:t>
      </w:r>
      <w:r w:rsidRPr="00D252AD">
        <w:rPr>
          <w:rFonts w:ascii="Calibri" w:hAnsi="Calibri" w:cs="Calibri"/>
        </w:rPr>
        <w:t xml:space="preserve"> a rozumí se </w:t>
      </w:r>
      <w:r w:rsidR="00140C70">
        <w:rPr>
          <w:rFonts w:ascii="Calibri" w:hAnsi="Calibri" w:cs="Calibri"/>
        </w:rPr>
        <w:t>j</w:t>
      </w:r>
      <w:r w:rsidRPr="00D252AD">
        <w:rPr>
          <w:rFonts w:ascii="Calibri" w:hAnsi="Calibri" w:cs="Calibri"/>
        </w:rPr>
        <w:t>ím plnění úkolů civilní ochrany</w:t>
      </w:r>
      <w:r w:rsidRPr="00D252AD">
        <w:rPr>
          <w:rStyle w:val="Znakapoznpodarou"/>
          <w:rFonts w:ascii="Calibri" w:hAnsi="Calibri" w:cs="Calibri"/>
        </w:rPr>
        <w:footnoteReference w:id="13"/>
      </w:r>
      <w:r w:rsidR="00612002">
        <w:rPr>
          <w:rFonts w:ascii="Calibri" w:hAnsi="Calibri" w:cs="Calibri"/>
        </w:rPr>
        <w:t>,</w:t>
      </w:r>
      <w:r w:rsidRPr="00D252AD">
        <w:rPr>
          <w:rFonts w:ascii="Calibri" w:hAnsi="Calibri" w:cs="Calibri"/>
        </w:rPr>
        <w:t xml:space="preserve"> zejména varování, evakuace, ukrytí a nouzové přežití obyvatelstva a další opatření k zabezpečení ochrany života, zdraví a majetku. </w:t>
      </w:r>
    </w:p>
    <w:p w14:paraId="430F5AC4" w14:textId="3117FFDA" w:rsidR="00FC5525" w:rsidRPr="00D252AD" w:rsidRDefault="00FC5525" w:rsidP="00576642">
      <w:pPr>
        <w:spacing w:after="120"/>
        <w:jc w:val="both"/>
        <w:rPr>
          <w:rFonts w:ascii="Calibri" w:hAnsi="Calibri" w:cs="Calibri"/>
        </w:rPr>
      </w:pPr>
      <w:r w:rsidRPr="00D252AD">
        <w:rPr>
          <w:rFonts w:ascii="Calibri" w:hAnsi="Calibri" w:cs="Calibri"/>
          <w:b/>
        </w:rPr>
        <w:t>Ministerstvo vnitra</w:t>
      </w:r>
      <w:r w:rsidRPr="00D252AD">
        <w:rPr>
          <w:rFonts w:ascii="Calibri" w:hAnsi="Calibri" w:cs="Calibri"/>
        </w:rPr>
        <w:t xml:space="preserve"> je dle</w:t>
      </w:r>
      <w:r w:rsidR="008D7EEE" w:rsidRPr="00D252AD">
        <w:rPr>
          <w:rFonts w:ascii="Calibri" w:hAnsi="Calibri" w:cs="Calibri"/>
        </w:rPr>
        <w:t xml:space="preserve"> kompetenčního zákona</w:t>
      </w:r>
      <w:r w:rsidR="0059075D" w:rsidRPr="00D252AD">
        <w:rPr>
          <w:rFonts w:ascii="Calibri" w:hAnsi="Calibri" w:cs="Calibri"/>
        </w:rPr>
        <w:t xml:space="preserve"> </w:t>
      </w:r>
      <w:r w:rsidRPr="00D252AD">
        <w:rPr>
          <w:rFonts w:ascii="Calibri" w:hAnsi="Calibri" w:cs="Calibri"/>
        </w:rPr>
        <w:t>ústředním orgánem státní správy pro vnitřní věci, mj. pro krizové řízení, civilní nouzové plánování, ochranu obyvatelstva a integrovaný záchranný systém</w:t>
      </w:r>
      <w:r w:rsidR="00F944D9" w:rsidRPr="00D252AD">
        <w:rPr>
          <w:rFonts w:ascii="Calibri" w:hAnsi="Calibri" w:cs="Calibri"/>
        </w:rPr>
        <w:t>. MV</w:t>
      </w:r>
      <w:r w:rsidRPr="00D252AD">
        <w:rPr>
          <w:rFonts w:ascii="Calibri" w:hAnsi="Calibri" w:cs="Calibri"/>
        </w:rPr>
        <w:t xml:space="preserve"> při plnění úkolů </w:t>
      </w:r>
      <w:r w:rsidR="001138B8" w:rsidRPr="00D252AD">
        <w:rPr>
          <w:rFonts w:ascii="Calibri" w:hAnsi="Calibri" w:cs="Calibri"/>
        </w:rPr>
        <w:t xml:space="preserve">ochrany obyvatelstva </w:t>
      </w:r>
      <w:r w:rsidR="00F944D9" w:rsidRPr="00D252AD">
        <w:rPr>
          <w:rFonts w:ascii="Calibri" w:hAnsi="Calibri" w:cs="Calibri"/>
        </w:rPr>
        <w:t xml:space="preserve">dle zákona o </w:t>
      </w:r>
      <w:r w:rsidR="00F944D9" w:rsidRPr="00D252AD">
        <w:rPr>
          <w:rFonts w:ascii="Calibri" w:eastAsia="Calibri" w:hAnsi="Calibri" w:cs="Calibri"/>
        </w:rPr>
        <w:t xml:space="preserve">integrovaném záchranném systému </w:t>
      </w:r>
      <w:r w:rsidRPr="00D252AD">
        <w:rPr>
          <w:rFonts w:ascii="Calibri" w:hAnsi="Calibri" w:cs="Calibri"/>
        </w:rPr>
        <w:t xml:space="preserve">mj. sjednocuje postupy ministerstev, krajských úřadů, obecních úřadů, právnických osob, fyzických osob a podnikajících fyzických osob, zpracovává koncepci ochrany obyvatelstva, zajišťuje a provozuje jednotný systém varování a vyrozumění a systém veřejné výstrahy, stanoví způsob informování právnických a fyzických osob o charakteru možného ohrožení, připravovaných opatřeních, způsobu a době jejich provedení, organizuje instruktáže a školení v oblasti </w:t>
      </w:r>
      <w:r w:rsidR="00BB71C0" w:rsidRPr="00D252AD">
        <w:rPr>
          <w:rFonts w:ascii="Calibri" w:hAnsi="Calibri" w:cs="Calibri"/>
        </w:rPr>
        <w:t>OOB</w:t>
      </w:r>
      <w:r w:rsidRPr="00D252AD">
        <w:rPr>
          <w:rFonts w:ascii="Calibri" w:hAnsi="Calibri" w:cs="Calibri"/>
        </w:rPr>
        <w:t xml:space="preserve"> a pro přípravu složek integrovaného záchranného systému zaměřené na jejich vzájemnou součinnost </w:t>
      </w:r>
      <w:r w:rsidRPr="00D252AD">
        <w:rPr>
          <w:rFonts w:ascii="Calibri" w:hAnsi="Calibri" w:cs="Calibri"/>
          <w:lang w:eastAsia="cs-CZ"/>
        </w:rPr>
        <w:t>nebo</w:t>
      </w:r>
      <w:r w:rsidRPr="00D252AD">
        <w:rPr>
          <w:rFonts w:ascii="Calibri" w:hAnsi="Calibri" w:cs="Calibri"/>
          <w:b/>
          <w:lang w:eastAsia="cs-CZ"/>
        </w:rPr>
        <w:t xml:space="preserve"> </w:t>
      </w:r>
      <w:r w:rsidRPr="00D252AD">
        <w:rPr>
          <w:rFonts w:ascii="Calibri" w:hAnsi="Calibri" w:cs="Calibri"/>
        </w:rPr>
        <w:t>usměrňuje postup při zřizování zařízení civilní ochrany. Tyto úkoly M</w:t>
      </w:r>
      <w:r w:rsidR="0002035D" w:rsidRPr="00D252AD">
        <w:rPr>
          <w:rFonts w:ascii="Calibri" w:hAnsi="Calibri" w:cs="Calibri"/>
        </w:rPr>
        <w:t>inisterstva vnitra</w:t>
      </w:r>
      <w:r w:rsidRPr="00D252AD">
        <w:rPr>
          <w:rFonts w:ascii="Calibri" w:hAnsi="Calibri" w:cs="Calibri"/>
        </w:rPr>
        <w:t xml:space="preserve"> plní </w:t>
      </w:r>
      <w:r w:rsidR="00906E23" w:rsidRPr="00D252AD">
        <w:rPr>
          <w:rFonts w:ascii="Calibri" w:hAnsi="Calibri" w:cs="Calibri"/>
        </w:rPr>
        <w:t>G</w:t>
      </w:r>
      <w:r w:rsidRPr="00D252AD">
        <w:rPr>
          <w:rFonts w:ascii="Calibri" w:hAnsi="Calibri" w:cs="Calibri"/>
        </w:rPr>
        <w:t>enerální ředitelství hasičského záchranného sboru (dále také „MV-GŘ HZS</w:t>
      </w:r>
      <w:r w:rsidR="00D44DEC" w:rsidRPr="00D252AD">
        <w:rPr>
          <w:rFonts w:ascii="Calibri" w:hAnsi="Calibri" w:cs="Calibri"/>
        </w:rPr>
        <w:t xml:space="preserve"> ČR</w:t>
      </w:r>
      <w:r w:rsidRPr="00D252AD">
        <w:rPr>
          <w:rFonts w:ascii="Calibri" w:hAnsi="Calibri" w:cs="Calibri"/>
        </w:rPr>
        <w:t>“</w:t>
      </w:r>
      <w:r w:rsidR="001E4EE9" w:rsidRPr="00D252AD">
        <w:rPr>
          <w:rFonts w:ascii="Calibri" w:hAnsi="Calibri" w:cs="Calibri"/>
        </w:rPr>
        <w:t>), které</w:t>
      </w:r>
      <w:r w:rsidR="00176CD4" w:rsidRPr="00D252AD">
        <w:rPr>
          <w:rFonts w:ascii="Calibri" w:hAnsi="Calibri" w:cs="Calibri"/>
        </w:rPr>
        <w:t xml:space="preserve"> je podle ustanovení § 6 odst. 1 zákona č. 320/2015 Sb.</w:t>
      </w:r>
      <w:r w:rsidR="00176CD4" w:rsidRPr="00D252AD">
        <w:rPr>
          <w:rStyle w:val="Znakapoznpodarou"/>
          <w:rFonts w:ascii="Calibri" w:hAnsi="Calibri" w:cs="Calibri"/>
        </w:rPr>
        <w:t xml:space="preserve"> </w:t>
      </w:r>
      <w:r w:rsidR="00176CD4" w:rsidRPr="00D252AD">
        <w:rPr>
          <w:rStyle w:val="Znakapoznpodarou"/>
          <w:rFonts w:ascii="Calibri" w:hAnsi="Calibri" w:cs="Calibri"/>
        </w:rPr>
        <w:footnoteReference w:id="14"/>
      </w:r>
      <w:r w:rsidR="00176CD4" w:rsidRPr="00D252AD">
        <w:rPr>
          <w:rFonts w:ascii="Calibri" w:hAnsi="Calibri" w:cs="Calibri"/>
        </w:rPr>
        <w:t xml:space="preserve"> součástí Ministerstva vnitra</w:t>
      </w:r>
      <w:r w:rsidRPr="00D252AD">
        <w:rPr>
          <w:rFonts w:ascii="Calibri" w:hAnsi="Calibri" w:cs="Calibri"/>
        </w:rPr>
        <w:t xml:space="preserve">. </w:t>
      </w:r>
    </w:p>
    <w:p w14:paraId="3F19E2F3" w14:textId="7C9AD32F" w:rsidR="00FC5525" w:rsidRPr="00D252AD" w:rsidRDefault="00FC5525" w:rsidP="00576642">
      <w:pPr>
        <w:spacing w:after="120"/>
        <w:jc w:val="both"/>
        <w:rPr>
          <w:rFonts w:ascii="Calibri" w:hAnsi="Calibri" w:cs="Calibri"/>
        </w:rPr>
      </w:pPr>
      <w:r w:rsidRPr="00D252AD">
        <w:rPr>
          <w:rFonts w:ascii="Calibri" w:hAnsi="Calibri" w:cs="Calibri"/>
        </w:rPr>
        <w:t>Prováděcí právní předpis</w:t>
      </w:r>
      <w:r w:rsidR="00F944D9" w:rsidRPr="00D252AD">
        <w:rPr>
          <w:rFonts w:ascii="Calibri" w:hAnsi="Calibri" w:cs="Calibri"/>
        </w:rPr>
        <w:t xml:space="preserve"> zákona o </w:t>
      </w:r>
      <w:r w:rsidR="00F944D9" w:rsidRPr="00D252AD">
        <w:rPr>
          <w:rFonts w:ascii="Calibri" w:eastAsia="Calibri" w:hAnsi="Calibri" w:cs="Calibri"/>
        </w:rPr>
        <w:t>integrovaném záchranném systému</w:t>
      </w:r>
      <w:r w:rsidRPr="00D252AD">
        <w:rPr>
          <w:rFonts w:ascii="Calibri" w:hAnsi="Calibri" w:cs="Calibri"/>
        </w:rPr>
        <w:t>, kterým je vyhláška</w:t>
      </w:r>
      <w:r w:rsidR="00333371" w:rsidRPr="00D252AD">
        <w:rPr>
          <w:rFonts w:ascii="Calibri" w:hAnsi="Calibri" w:cs="Calibri"/>
        </w:rPr>
        <w:t xml:space="preserve"> </w:t>
      </w:r>
      <w:r w:rsidRPr="00D252AD">
        <w:rPr>
          <w:rFonts w:ascii="Calibri" w:hAnsi="Calibri" w:cs="Calibri"/>
        </w:rPr>
        <w:t>č.</w:t>
      </w:r>
      <w:r w:rsidR="00730AF2">
        <w:rPr>
          <w:rFonts w:ascii="Calibri" w:hAnsi="Calibri" w:cs="Calibri"/>
        </w:rPr>
        <w:t> </w:t>
      </w:r>
      <w:r w:rsidRPr="00D252AD">
        <w:rPr>
          <w:rFonts w:ascii="Calibri" w:hAnsi="Calibri" w:cs="Calibri"/>
        </w:rPr>
        <w:t>380/2002 Sb.</w:t>
      </w:r>
      <w:r w:rsidR="002D5076">
        <w:rPr>
          <w:rFonts w:ascii="Calibri" w:hAnsi="Calibri" w:cs="Calibri"/>
        </w:rPr>
        <w:t>,</w:t>
      </w:r>
      <w:r w:rsidRPr="00D252AD">
        <w:rPr>
          <w:rFonts w:ascii="Calibri" w:hAnsi="Calibri" w:cs="Calibri"/>
        </w:rPr>
        <w:t xml:space="preserve"> stanoví mj. postup při zřizování zařízení civilní ochrany a při odborné přípravě jejich personálu, způsob informování právnických a fyzických osob o charakteru možného ohrožení, </w:t>
      </w:r>
      <w:r w:rsidR="002D5076">
        <w:rPr>
          <w:rFonts w:ascii="Calibri" w:hAnsi="Calibri" w:cs="Calibri"/>
        </w:rPr>
        <w:t>o </w:t>
      </w:r>
      <w:r w:rsidRPr="00D252AD">
        <w:rPr>
          <w:rFonts w:ascii="Calibri" w:hAnsi="Calibri" w:cs="Calibri"/>
        </w:rPr>
        <w:t xml:space="preserve">připravovaných opatřeních a způsobu jejich provedení, </w:t>
      </w:r>
      <w:r w:rsidR="002D5076">
        <w:rPr>
          <w:rFonts w:ascii="Calibri" w:hAnsi="Calibri" w:cs="Calibri"/>
        </w:rPr>
        <w:t>dále stanoví</w:t>
      </w:r>
      <w:r w:rsidRPr="00D252AD">
        <w:rPr>
          <w:rFonts w:ascii="Calibri" w:hAnsi="Calibri" w:cs="Calibri"/>
        </w:rPr>
        <w:t xml:space="preserve"> technické, provozní a</w:t>
      </w:r>
      <w:r w:rsidR="00730AF2">
        <w:rPr>
          <w:rFonts w:ascii="Calibri" w:hAnsi="Calibri" w:cs="Calibri"/>
        </w:rPr>
        <w:t> </w:t>
      </w:r>
      <w:r w:rsidRPr="00D252AD">
        <w:rPr>
          <w:rFonts w:ascii="Calibri" w:hAnsi="Calibri" w:cs="Calibri"/>
        </w:rPr>
        <w:t>organizační zabezpečení jednotného systému varování a vyrozumění a způsob poskytování tísňových informací, zásady postupu při poskytování úkrytů a způsob a rozsah kolektivní a</w:t>
      </w:r>
      <w:r w:rsidR="00730AF2">
        <w:rPr>
          <w:rFonts w:ascii="Calibri" w:hAnsi="Calibri" w:cs="Calibri"/>
        </w:rPr>
        <w:t> </w:t>
      </w:r>
      <w:r w:rsidRPr="00D252AD">
        <w:rPr>
          <w:rFonts w:ascii="Calibri" w:hAnsi="Calibri" w:cs="Calibri"/>
        </w:rPr>
        <w:t xml:space="preserve">individuální ochrany obyvatel, požadavky ochrany obyvatelstva v územním </w:t>
      </w:r>
      <w:r w:rsidRPr="00D252AD">
        <w:rPr>
          <w:rFonts w:ascii="Calibri" w:hAnsi="Calibri" w:cs="Calibri"/>
        </w:rPr>
        <w:lastRenderedPageBreak/>
        <w:t>plánování a</w:t>
      </w:r>
      <w:r w:rsidR="001B1182">
        <w:rPr>
          <w:rFonts w:ascii="Calibri" w:hAnsi="Calibri" w:cs="Calibri"/>
        </w:rPr>
        <w:t> </w:t>
      </w:r>
      <w:r w:rsidRPr="00D252AD">
        <w:rPr>
          <w:rFonts w:ascii="Calibri" w:hAnsi="Calibri" w:cs="Calibri"/>
        </w:rPr>
        <w:t>stavebně technické požadavky na stavby civilní ochrany nebo stavby dotčené požadavky civilní ochrany.</w:t>
      </w:r>
    </w:p>
    <w:p w14:paraId="0EB1A7BC" w14:textId="77777777" w:rsidR="0002035D" w:rsidRPr="00D252AD" w:rsidRDefault="00FC5525" w:rsidP="00576642">
      <w:pPr>
        <w:spacing w:after="120"/>
        <w:jc w:val="both"/>
        <w:rPr>
          <w:rFonts w:ascii="Calibri" w:hAnsi="Calibri" w:cs="Calibri"/>
        </w:rPr>
      </w:pPr>
      <w:r w:rsidRPr="00D252AD">
        <w:rPr>
          <w:rFonts w:ascii="Calibri" w:hAnsi="Calibri" w:cs="Calibri"/>
        </w:rPr>
        <w:t>Povinnost zpracování koncepčních dokumentů vyplývá také z ustanovení § 22</w:t>
      </w:r>
      <w:r w:rsidR="008D7EEE" w:rsidRPr="00D252AD">
        <w:rPr>
          <w:rFonts w:ascii="Calibri" w:hAnsi="Calibri" w:cs="Calibri"/>
        </w:rPr>
        <w:t xml:space="preserve"> kompetenčního zákona</w:t>
      </w:r>
      <w:r w:rsidRPr="00D252AD">
        <w:rPr>
          <w:rFonts w:ascii="Calibri" w:hAnsi="Calibri" w:cs="Calibri"/>
        </w:rPr>
        <w:t>, podle kterého má MV mj. zkoumat společenskou problematiku v okruhu své působnosti, analyzovat dosahované výsledky a činit opatření k řešení aktuálních otázek.</w:t>
      </w:r>
    </w:p>
    <w:p w14:paraId="5F2464A2" w14:textId="16B91825" w:rsidR="00FC5525" w:rsidRPr="00D252AD" w:rsidRDefault="001E4EE9" w:rsidP="00576642">
      <w:pPr>
        <w:jc w:val="both"/>
        <w:rPr>
          <w:rFonts w:ascii="Calibri" w:hAnsi="Calibri" w:cs="Calibri"/>
        </w:rPr>
      </w:pPr>
      <w:r w:rsidRPr="00D252AD">
        <w:rPr>
          <w:rFonts w:ascii="Calibri" w:hAnsi="Calibri" w:cs="Calibri"/>
        </w:rPr>
        <w:t xml:space="preserve">Pro </w:t>
      </w:r>
      <w:r w:rsidR="00FC5525" w:rsidRPr="00D252AD">
        <w:rPr>
          <w:rFonts w:ascii="Calibri" w:hAnsi="Calibri" w:cs="Calibri"/>
        </w:rPr>
        <w:t>kontrolované období</w:t>
      </w:r>
      <w:r w:rsidR="007D7D0D" w:rsidRPr="00D252AD">
        <w:rPr>
          <w:rFonts w:ascii="Calibri" w:hAnsi="Calibri" w:cs="Calibri"/>
        </w:rPr>
        <w:t xml:space="preserve"> a období předcházející</w:t>
      </w:r>
      <w:r w:rsidR="0002035D" w:rsidRPr="00D252AD">
        <w:rPr>
          <w:rFonts w:ascii="Calibri" w:hAnsi="Calibri" w:cs="Calibri"/>
        </w:rPr>
        <w:t xml:space="preserve"> </w:t>
      </w:r>
      <w:r w:rsidR="007D7D0D" w:rsidRPr="00D252AD">
        <w:rPr>
          <w:rFonts w:ascii="Calibri" w:hAnsi="Calibri" w:cs="Calibri"/>
        </w:rPr>
        <w:t>zpracov</w:t>
      </w:r>
      <w:r w:rsidR="0002035D" w:rsidRPr="00D252AD">
        <w:rPr>
          <w:rFonts w:ascii="Calibri" w:hAnsi="Calibri" w:cs="Calibri"/>
        </w:rPr>
        <w:t>alo</w:t>
      </w:r>
      <w:r w:rsidR="002D5076" w:rsidRPr="002D5076">
        <w:rPr>
          <w:rFonts w:ascii="Calibri" w:hAnsi="Calibri" w:cs="Calibri"/>
        </w:rPr>
        <w:t xml:space="preserve"> </w:t>
      </w:r>
      <w:r w:rsidR="002D5076" w:rsidRPr="00D252AD">
        <w:rPr>
          <w:rFonts w:ascii="Calibri" w:hAnsi="Calibri" w:cs="Calibri"/>
        </w:rPr>
        <w:t>MV</w:t>
      </w:r>
      <w:r w:rsidR="007D7D0D" w:rsidRPr="00D252AD">
        <w:rPr>
          <w:rFonts w:ascii="Calibri" w:hAnsi="Calibri" w:cs="Calibri"/>
        </w:rPr>
        <w:t xml:space="preserve"> </w:t>
      </w:r>
      <w:r w:rsidR="00FC5525" w:rsidRPr="00D252AD">
        <w:rPr>
          <w:rFonts w:ascii="Calibri" w:hAnsi="Calibri" w:cs="Calibri"/>
        </w:rPr>
        <w:t xml:space="preserve">následující </w:t>
      </w:r>
      <w:r w:rsidR="002D5076">
        <w:rPr>
          <w:rFonts w:ascii="Calibri" w:hAnsi="Calibri" w:cs="Calibri"/>
        </w:rPr>
        <w:t>k</w:t>
      </w:r>
      <w:r w:rsidR="00FC5525" w:rsidRPr="00D252AD">
        <w:rPr>
          <w:rFonts w:ascii="Calibri" w:hAnsi="Calibri" w:cs="Calibri"/>
        </w:rPr>
        <w:t>oncepce OOB:</w:t>
      </w:r>
    </w:p>
    <w:p w14:paraId="2B2E94EB" w14:textId="43C9A7A9" w:rsidR="00FC5525" w:rsidRPr="00576642" w:rsidRDefault="00FC5525" w:rsidP="00576642">
      <w:pPr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noProof/>
          <w:color w:val="000000"/>
        </w:rPr>
      </w:pPr>
      <w:bookmarkStart w:id="1" w:name="_Hlk127420261"/>
      <w:r w:rsidRPr="00576642">
        <w:rPr>
          <w:rFonts w:ascii="Calibri" w:eastAsia="Times New Roman" w:hAnsi="Calibri" w:cs="Calibri"/>
          <w:i/>
          <w:noProof/>
          <w:color w:val="000000"/>
        </w:rPr>
        <w:t>Koncepce ochrany obyvatelstva do roku 2006 s výhledem do roku 2015</w:t>
      </w:r>
      <w:r w:rsidRPr="00576642">
        <w:rPr>
          <w:rFonts w:ascii="Calibri" w:eastAsia="Times New Roman" w:hAnsi="Calibri" w:cs="Calibri"/>
          <w:i/>
          <w:noProof/>
          <w:color w:val="000000"/>
          <w:vertAlign w:val="superscript"/>
        </w:rPr>
        <w:footnoteReference w:id="15"/>
      </w:r>
      <w:r w:rsidRPr="00576642">
        <w:rPr>
          <w:rFonts w:ascii="Calibri" w:eastAsia="Times New Roman" w:hAnsi="Calibri" w:cs="Calibri"/>
          <w:noProof/>
          <w:color w:val="000000"/>
        </w:rPr>
        <w:t xml:space="preserve"> </w:t>
      </w:r>
      <w:r w:rsidRPr="00576642">
        <w:rPr>
          <w:rFonts w:ascii="Calibri" w:eastAsia="Times New Roman" w:hAnsi="Calibri" w:cs="Calibri"/>
          <w:noProof/>
          <w:color w:val="000000"/>
          <w:lang w:eastAsia="cs-CZ"/>
        </w:rPr>
        <w:t>(dále jen „Koncepce 2006“)</w:t>
      </w:r>
      <w:r w:rsidRPr="00576642">
        <w:rPr>
          <w:rFonts w:ascii="Calibri" w:eastAsia="Times New Roman" w:hAnsi="Calibri" w:cs="Calibri"/>
          <w:noProof/>
          <w:color w:val="000000"/>
        </w:rPr>
        <w:t>,</w:t>
      </w:r>
    </w:p>
    <w:p w14:paraId="3513C3D4" w14:textId="2A31CDAC" w:rsidR="00FC5525" w:rsidRPr="00576642" w:rsidRDefault="00FC5525" w:rsidP="00576642">
      <w:pPr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noProof/>
          <w:color w:val="000000"/>
        </w:rPr>
      </w:pPr>
      <w:r w:rsidRPr="00576642">
        <w:rPr>
          <w:rFonts w:ascii="Calibri" w:eastAsia="Times New Roman" w:hAnsi="Calibri" w:cs="Calibri"/>
          <w:i/>
          <w:noProof/>
          <w:color w:val="000000"/>
        </w:rPr>
        <w:t>Koncepce ochrany obyvatelstva do roku 2013 s výhledem do roku 2020</w:t>
      </w:r>
      <w:r w:rsidRPr="00576642">
        <w:rPr>
          <w:rFonts w:ascii="Calibri" w:eastAsia="Times New Roman" w:hAnsi="Calibri" w:cs="Calibri"/>
          <w:i/>
          <w:noProof/>
          <w:color w:val="000000"/>
          <w:vertAlign w:val="superscript"/>
        </w:rPr>
        <w:footnoteReference w:id="16"/>
      </w:r>
      <w:r w:rsidRPr="00576642">
        <w:rPr>
          <w:rFonts w:ascii="Calibri" w:eastAsia="Times New Roman" w:hAnsi="Calibri" w:cs="Calibri"/>
          <w:noProof/>
          <w:color w:val="000000"/>
        </w:rPr>
        <w:t xml:space="preserve"> </w:t>
      </w:r>
      <w:r w:rsidRPr="00576642">
        <w:rPr>
          <w:rFonts w:ascii="Calibri" w:eastAsia="Times New Roman" w:hAnsi="Calibri" w:cs="Calibri"/>
          <w:noProof/>
          <w:color w:val="000000"/>
          <w:lang w:eastAsia="cs-CZ"/>
        </w:rPr>
        <w:t>(dále jen „Koncepce 2013“)</w:t>
      </w:r>
      <w:r w:rsidRPr="00576642">
        <w:rPr>
          <w:rFonts w:ascii="Calibri" w:eastAsia="Times New Roman" w:hAnsi="Calibri" w:cs="Calibri"/>
          <w:noProof/>
          <w:color w:val="000000"/>
        </w:rPr>
        <w:t>,</w:t>
      </w:r>
    </w:p>
    <w:p w14:paraId="524C684B" w14:textId="77777777" w:rsidR="00FC5525" w:rsidRPr="00576642" w:rsidRDefault="00FC5525" w:rsidP="00576642">
      <w:pPr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noProof/>
          <w:color w:val="000000"/>
          <w:lang w:eastAsia="cs-CZ"/>
        </w:rPr>
      </w:pPr>
      <w:r w:rsidRPr="00576642">
        <w:rPr>
          <w:rFonts w:ascii="Calibri" w:eastAsia="Times New Roman" w:hAnsi="Calibri" w:cs="Calibri"/>
          <w:i/>
          <w:noProof/>
          <w:color w:val="000000"/>
        </w:rPr>
        <w:t>Koncepce ochrany obyvatelstva do roku 2020 s výhledem do roku 2030</w:t>
      </w:r>
      <w:r w:rsidRPr="00576642">
        <w:rPr>
          <w:rFonts w:ascii="Calibri" w:eastAsia="Times New Roman" w:hAnsi="Calibri" w:cs="Calibri"/>
          <w:i/>
          <w:noProof/>
          <w:color w:val="000000"/>
          <w:vertAlign w:val="superscript"/>
        </w:rPr>
        <w:footnoteReference w:id="17"/>
      </w:r>
      <w:r w:rsidRPr="00576642">
        <w:rPr>
          <w:rFonts w:ascii="Calibri" w:eastAsia="Times New Roman" w:hAnsi="Calibri" w:cs="Calibri"/>
          <w:i/>
          <w:noProof/>
          <w:color w:val="000000"/>
        </w:rPr>
        <w:t xml:space="preserve"> </w:t>
      </w:r>
      <w:r w:rsidRPr="00576642">
        <w:rPr>
          <w:rFonts w:ascii="Calibri" w:eastAsia="Times New Roman" w:hAnsi="Calibri" w:cs="Calibri"/>
          <w:noProof/>
          <w:color w:val="000000"/>
          <w:lang w:eastAsia="cs-CZ"/>
        </w:rPr>
        <w:t>(dále jen „Koncepce 2020“),</w:t>
      </w:r>
    </w:p>
    <w:p w14:paraId="5849DBA3" w14:textId="77777777" w:rsidR="00FC5525" w:rsidRPr="00576642" w:rsidRDefault="00FC5525" w:rsidP="00576642">
      <w:pPr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noProof/>
          <w:color w:val="000000"/>
        </w:rPr>
      </w:pPr>
      <w:r w:rsidRPr="00576642">
        <w:rPr>
          <w:rFonts w:ascii="Calibri" w:eastAsia="Times New Roman" w:hAnsi="Calibri" w:cs="Calibri"/>
          <w:i/>
          <w:noProof/>
          <w:color w:val="000000"/>
        </w:rPr>
        <w:t>Koncepce ochrany obyvatelstva do roku 2025 s výhledem do roku 2030</w:t>
      </w:r>
      <w:r w:rsidRPr="00576642">
        <w:rPr>
          <w:rFonts w:ascii="Calibri" w:eastAsia="Times New Roman" w:hAnsi="Calibri" w:cs="Calibri"/>
          <w:i/>
          <w:noProof/>
          <w:color w:val="000000"/>
          <w:vertAlign w:val="superscript"/>
        </w:rPr>
        <w:footnoteReference w:id="18"/>
      </w:r>
      <w:r w:rsidRPr="00576642">
        <w:rPr>
          <w:rFonts w:ascii="Calibri" w:eastAsia="Times New Roman" w:hAnsi="Calibri" w:cs="Calibri"/>
          <w:noProof/>
          <w:color w:val="000000"/>
        </w:rPr>
        <w:t xml:space="preserve"> </w:t>
      </w:r>
      <w:r w:rsidRPr="00576642">
        <w:rPr>
          <w:rFonts w:ascii="Calibri" w:eastAsia="Times New Roman" w:hAnsi="Calibri" w:cs="Calibri"/>
          <w:noProof/>
          <w:color w:val="000000"/>
          <w:lang w:eastAsia="cs-CZ"/>
        </w:rPr>
        <w:t>(dále jen„Koncepce 2025“)</w:t>
      </w:r>
      <w:r w:rsidRPr="00576642">
        <w:rPr>
          <w:rFonts w:ascii="Calibri" w:eastAsia="Times New Roman" w:hAnsi="Calibri" w:cs="Calibri"/>
          <w:noProof/>
          <w:color w:val="000000"/>
        </w:rPr>
        <w:t>.</w:t>
      </w:r>
    </w:p>
    <w:bookmarkEnd w:id="1"/>
    <w:p w14:paraId="247BE69D" w14:textId="71121BF1" w:rsidR="00FC5525" w:rsidRDefault="00FC5525" w:rsidP="00576642">
      <w:pPr>
        <w:spacing w:before="120" w:after="120"/>
        <w:jc w:val="both"/>
        <w:rPr>
          <w:rFonts w:ascii="Calibri" w:eastAsia="Times New Roman" w:hAnsi="Calibri" w:cs="Calibri"/>
          <w:noProof/>
        </w:rPr>
      </w:pPr>
      <w:r>
        <w:rPr>
          <w:rFonts w:ascii="Calibri" w:eastAsia="Times New Roman" w:hAnsi="Calibri" w:cs="Calibri"/>
          <w:noProof/>
        </w:rPr>
        <w:t>Součástí všech u</w:t>
      </w:r>
      <w:r w:rsidRPr="008B281F">
        <w:rPr>
          <w:rFonts w:ascii="Calibri" w:eastAsia="Times New Roman" w:hAnsi="Calibri" w:cs="Calibri"/>
          <w:noProof/>
        </w:rPr>
        <w:t xml:space="preserve">vedených </w:t>
      </w:r>
      <w:r w:rsidR="00BB71C0">
        <w:rPr>
          <w:rFonts w:ascii="Calibri" w:eastAsia="Times New Roman" w:hAnsi="Calibri" w:cs="Calibri"/>
          <w:noProof/>
        </w:rPr>
        <w:t>k</w:t>
      </w:r>
      <w:r w:rsidRPr="008B281F">
        <w:rPr>
          <w:rFonts w:ascii="Calibri" w:eastAsia="Times New Roman" w:hAnsi="Calibri" w:cs="Calibri"/>
          <w:noProof/>
        </w:rPr>
        <w:t xml:space="preserve">oncepcí jsou také harmonogramy realizace </w:t>
      </w:r>
      <w:r w:rsidR="00BB71C0">
        <w:rPr>
          <w:rFonts w:ascii="Calibri" w:eastAsia="Times New Roman" w:hAnsi="Calibri" w:cs="Calibri"/>
          <w:noProof/>
        </w:rPr>
        <w:t>úkolů</w:t>
      </w:r>
      <w:r w:rsidR="00BB71C0" w:rsidRPr="008B281F">
        <w:rPr>
          <w:rFonts w:ascii="Calibri" w:eastAsia="Times New Roman" w:hAnsi="Calibri" w:cs="Calibri"/>
          <w:noProof/>
        </w:rPr>
        <w:t xml:space="preserve"> </w:t>
      </w:r>
      <w:r w:rsidRPr="008B281F">
        <w:rPr>
          <w:rFonts w:ascii="Calibri" w:eastAsia="Times New Roman" w:hAnsi="Calibri" w:cs="Calibri"/>
          <w:noProof/>
        </w:rPr>
        <w:t>a termíny jejich splnění. Uveden je vždy odpovědný gesční orgán, který je splněním úkolu pověřen a zodpovídá za něj, případně jsou uvedeny i orgány v součinnosti. V řadě</w:t>
      </w:r>
      <w:r>
        <w:rPr>
          <w:rFonts w:ascii="Calibri" w:eastAsia="Times New Roman" w:hAnsi="Calibri" w:cs="Calibri"/>
          <w:noProof/>
        </w:rPr>
        <w:t xml:space="preserve"> případů</w:t>
      </w:r>
      <w:r w:rsidR="00BC0EC6">
        <w:rPr>
          <w:rFonts w:ascii="Calibri" w:eastAsia="Times New Roman" w:hAnsi="Calibri" w:cs="Calibri"/>
          <w:noProof/>
        </w:rPr>
        <w:t xml:space="preserve"> je </w:t>
      </w:r>
      <w:r>
        <w:rPr>
          <w:rFonts w:ascii="Calibri" w:eastAsia="Times New Roman" w:hAnsi="Calibri" w:cs="Calibri"/>
          <w:noProof/>
        </w:rPr>
        <w:t>orgánem</w:t>
      </w:r>
      <w:r w:rsidR="00BC0EC6">
        <w:rPr>
          <w:rFonts w:ascii="Calibri" w:eastAsia="Times New Roman" w:hAnsi="Calibri" w:cs="Calibri"/>
          <w:noProof/>
        </w:rPr>
        <w:t xml:space="preserve"> v součinnosti</w:t>
      </w:r>
      <w:r>
        <w:rPr>
          <w:rFonts w:ascii="Calibri" w:eastAsia="Times New Roman" w:hAnsi="Calibri" w:cs="Calibri"/>
          <w:noProof/>
        </w:rPr>
        <w:t xml:space="preserve"> Ministerstvo zdravotnictví</w:t>
      </w:r>
      <w:r w:rsidR="00B914F9">
        <w:rPr>
          <w:rFonts w:ascii="Calibri" w:eastAsia="Times New Roman" w:hAnsi="Calibri" w:cs="Calibri"/>
          <w:noProof/>
        </w:rPr>
        <w:t>.</w:t>
      </w:r>
    </w:p>
    <w:p w14:paraId="15535DB5" w14:textId="7DED593F" w:rsidR="00D5553D" w:rsidRPr="001138B8" w:rsidRDefault="00FC5525" w:rsidP="00576642">
      <w:pPr>
        <w:pStyle w:val="Textkomente"/>
        <w:spacing w:after="120"/>
        <w:jc w:val="both"/>
        <w:rPr>
          <w:rFonts w:eastAsia="Calibri" w:cstheme="minorHAnsi"/>
          <w:bCs/>
          <w:sz w:val="24"/>
          <w:szCs w:val="24"/>
          <w:lang w:eastAsia="cs-CZ"/>
        </w:rPr>
      </w:pPr>
      <w:r>
        <w:rPr>
          <w:rFonts w:eastAsia="Calibri" w:cstheme="minorHAnsi"/>
          <w:b/>
          <w:bCs/>
          <w:sz w:val="24"/>
          <w:szCs w:val="24"/>
          <w:lang w:eastAsia="cs-CZ"/>
        </w:rPr>
        <w:t>Ministerstvo zdravotnictví</w:t>
      </w:r>
      <w:r>
        <w:rPr>
          <w:rFonts w:eastAsia="Calibri" w:cstheme="minorHAnsi"/>
          <w:bCs/>
          <w:sz w:val="24"/>
          <w:szCs w:val="24"/>
          <w:lang w:eastAsia="cs-CZ"/>
        </w:rPr>
        <w:t xml:space="preserve"> </w:t>
      </w:r>
      <w:r w:rsidRPr="00B771A8">
        <w:rPr>
          <w:rFonts w:ascii="Calibri" w:hAnsi="Calibri" w:cs="Calibri"/>
          <w:noProof/>
          <w:sz w:val="24"/>
          <w:szCs w:val="24"/>
        </w:rPr>
        <w:t xml:space="preserve">je dle </w:t>
      </w:r>
      <w:r w:rsidR="008D7EEE">
        <w:rPr>
          <w:rFonts w:ascii="Calibri" w:hAnsi="Calibri" w:cs="Calibri"/>
          <w:noProof/>
          <w:sz w:val="24"/>
          <w:szCs w:val="24"/>
        </w:rPr>
        <w:t xml:space="preserve">kompetenčního </w:t>
      </w:r>
      <w:r w:rsidRPr="00B771A8">
        <w:rPr>
          <w:rFonts w:ascii="Calibri" w:hAnsi="Calibri" w:cs="Calibri"/>
          <w:noProof/>
          <w:sz w:val="24"/>
          <w:szCs w:val="24"/>
        </w:rPr>
        <w:t>zákona ústředním</w:t>
      </w:r>
      <w:r>
        <w:rPr>
          <w:rFonts w:eastAsia="Calibri" w:cstheme="minorHAnsi"/>
          <w:bCs/>
          <w:sz w:val="24"/>
          <w:szCs w:val="24"/>
          <w:lang w:eastAsia="cs-CZ"/>
        </w:rPr>
        <w:t xml:space="preserve"> orgánem státní správy mj.</w:t>
      </w:r>
      <w:r w:rsidR="000D1B9D">
        <w:rPr>
          <w:rFonts w:eastAsia="Calibri" w:cstheme="minorHAnsi"/>
          <w:bCs/>
          <w:sz w:val="24"/>
          <w:szCs w:val="24"/>
          <w:lang w:eastAsia="cs-CZ"/>
        </w:rPr>
        <w:t> </w:t>
      </w:r>
      <w:r w:rsidRPr="00B771A8">
        <w:rPr>
          <w:rFonts w:eastAsia="Calibri" w:cstheme="minorHAnsi"/>
          <w:bCs/>
          <w:sz w:val="24"/>
          <w:szCs w:val="24"/>
          <w:lang w:eastAsia="cs-CZ"/>
        </w:rPr>
        <w:t>pro zdravotní služby, ochranu veřejného zdraví</w:t>
      </w:r>
      <w:r>
        <w:rPr>
          <w:rFonts w:eastAsia="Calibri" w:cstheme="minorHAnsi"/>
          <w:bCs/>
          <w:sz w:val="24"/>
          <w:szCs w:val="24"/>
          <w:lang w:eastAsia="cs-CZ"/>
        </w:rPr>
        <w:t xml:space="preserve"> nebo </w:t>
      </w:r>
      <w:r w:rsidRPr="00B771A8">
        <w:rPr>
          <w:rFonts w:eastAsia="Calibri" w:cstheme="minorHAnsi"/>
          <w:bCs/>
          <w:sz w:val="24"/>
          <w:szCs w:val="24"/>
          <w:lang w:eastAsia="cs-CZ"/>
        </w:rPr>
        <w:t>zdravotnickou vědeckovýzkumnou činnost</w:t>
      </w:r>
      <w:r>
        <w:rPr>
          <w:rFonts w:eastAsia="Calibri" w:cstheme="minorHAnsi"/>
          <w:bCs/>
          <w:sz w:val="24"/>
          <w:szCs w:val="24"/>
          <w:lang w:eastAsia="cs-CZ"/>
        </w:rPr>
        <w:t xml:space="preserve">. V oblasti ochrany obyvatelstva spolupracuje s MV zejména při tvorbě </w:t>
      </w:r>
      <w:r w:rsidR="002D5076">
        <w:rPr>
          <w:rFonts w:eastAsia="Calibri" w:cstheme="minorHAnsi"/>
          <w:bCs/>
          <w:sz w:val="24"/>
          <w:szCs w:val="24"/>
          <w:lang w:eastAsia="cs-CZ"/>
        </w:rPr>
        <w:t>k</w:t>
      </w:r>
      <w:r>
        <w:rPr>
          <w:rFonts w:eastAsia="Calibri" w:cstheme="minorHAnsi"/>
          <w:bCs/>
          <w:sz w:val="24"/>
          <w:szCs w:val="24"/>
          <w:lang w:eastAsia="cs-CZ"/>
        </w:rPr>
        <w:t xml:space="preserve">oncepcí </w:t>
      </w:r>
      <w:r w:rsidR="005F4090">
        <w:rPr>
          <w:rFonts w:eastAsia="Calibri" w:cstheme="minorHAnsi"/>
          <w:bCs/>
          <w:sz w:val="24"/>
          <w:szCs w:val="24"/>
          <w:lang w:eastAsia="cs-CZ"/>
        </w:rPr>
        <w:t xml:space="preserve">OOB </w:t>
      </w:r>
      <w:r>
        <w:rPr>
          <w:rFonts w:eastAsia="Calibri" w:cstheme="minorHAnsi"/>
          <w:bCs/>
          <w:sz w:val="24"/>
          <w:szCs w:val="24"/>
          <w:lang w:eastAsia="cs-CZ"/>
        </w:rPr>
        <w:t>a plnění úkolů</w:t>
      </w:r>
      <w:r w:rsidR="001E4EE9">
        <w:rPr>
          <w:rFonts w:eastAsia="Calibri" w:cstheme="minorHAnsi"/>
          <w:bCs/>
          <w:sz w:val="24"/>
          <w:szCs w:val="24"/>
          <w:lang w:eastAsia="cs-CZ"/>
        </w:rPr>
        <w:t>.</w:t>
      </w:r>
      <w:r w:rsidR="00D44DEC">
        <w:rPr>
          <w:rFonts w:eastAsia="Calibri" w:cstheme="minorHAnsi"/>
          <w:bCs/>
          <w:sz w:val="24"/>
          <w:szCs w:val="24"/>
          <w:lang w:eastAsia="cs-CZ"/>
        </w:rPr>
        <w:t xml:space="preserve"> </w:t>
      </w:r>
      <w:proofErr w:type="spellStart"/>
      <w:r w:rsidR="00D44DEC" w:rsidRPr="00D44DEC">
        <w:rPr>
          <w:rFonts w:eastAsia="Calibri" w:cstheme="minorHAnsi"/>
          <w:bCs/>
          <w:sz w:val="24"/>
          <w:szCs w:val="24"/>
          <w:lang w:eastAsia="cs-CZ"/>
        </w:rPr>
        <w:t>MZd</w:t>
      </w:r>
      <w:proofErr w:type="spellEnd"/>
      <w:r w:rsidR="00D44DEC" w:rsidRPr="00D44DEC">
        <w:rPr>
          <w:rFonts w:eastAsia="Calibri" w:cstheme="minorHAnsi"/>
          <w:bCs/>
          <w:sz w:val="24"/>
          <w:szCs w:val="24"/>
          <w:lang w:eastAsia="cs-CZ"/>
        </w:rPr>
        <w:t xml:space="preserve"> </w:t>
      </w:r>
      <w:r w:rsidR="00D44DEC">
        <w:rPr>
          <w:rFonts w:eastAsia="Calibri" w:cstheme="minorHAnsi"/>
          <w:bCs/>
          <w:sz w:val="24"/>
          <w:szCs w:val="24"/>
          <w:lang w:eastAsia="cs-CZ"/>
        </w:rPr>
        <w:t xml:space="preserve">se také podílelo formou </w:t>
      </w:r>
      <w:r w:rsidR="005F4090">
        <w:rPr>
          <w:rFonts w:eastAsia="Calibri" w:cstheme="minorHAnsi"/>
          <w:bCs/>
          <w:sz w:val="24"/>
          <w:szCs w:val="24"/>
          <w:lang w:eastAsia="cs-CZ"/>
        </w:rPr>
        <w:t>poskyt</w:t>
      </w:r>
      <w:r w:rsidR="005C2EEB">
        <w:rPr>
          <w:rFonts w:eastAsia="Calibri" w:cstheme="minorHAnsi"/>
          <w:bCs/>
          <w:sz w:val="24"/>
          <w:szCs w:val="24"/>
          <w:lang w:eastAsia="cs-CZ"/>
        </w:rPr>
        <w:t xml:space="preserve">nutí peněžních prostředků státního rozpočtu </w:t>
      </w:r>
      <w:r w:rsidR="00D44DEC">
        <w:rPr>
          <w:rFonts w:eastAsia="Calibri" w:cstheme="minorHAnsi"/>
          <w:bCs/>
          <w:sz w:val="24"/>
          <w:szCs w:val="24"/>
          <w:lang w:eastAsia="cs-CZ"/>
        </w:rPr>
        <w:t xml:space="preserve">na provozu a údržbě úkrytu ve </w:t>
      </w:r>
      <w:r w:rsidR="00D44DEC" w:rsidRPr="00D44DEC">
        <w:rPr>
          <w:rFonts w:eastAsia="Calibri" w:cstheme="minorHAnsi"/>
          <w:bCs/>
          <w:sz w:val="24"/>
          <w:szCs w:val="24"/>
          <w:lang w:eastAsia="cs-CZ"/>
        </w:rPr>
        <w:t>Fakultní Thomayerově nemocnici (dále také „FTN“)</w:t>
      </w:r>
      <w:r w:rsidR="00BB71C0">
        <w:rPr>
          <w:rFonts w:eastAsia="Calibri" w:cstheme="minorHAnsi"/>
          <w:bCs/>
          <w:sz w:val="24"/>
          <w:szCs w:val="24"/>
          <w:lang w:eastAsia="cs-CZ"/>
        </w:rPr>
        <w:t>,</w:t>
      </w:r>
      <w:r w:rsidR="00D44DEC">
        <w:rPr>
          <w:rFonts w:eastAsia="Calibri" w:cstheme="minorHAnsi"/>
          <w:bCs/>
          <w:sz w:val="24"/>
          <w:szCs w:val="24"/>
          <w:lang w:eastAsia="cs-CZ"/>
        </w:rPr>
        <w:t xml:space="preserve"> jakožto své přímo řízené organizaci.</w:t>
      </w:r>
    </w:p>
    <w:p w14:paraId="3A3E96B0" w14:textId="77777777" w:rsidR="00173884" w:rsidRDefault="00173884" w:rsidP="00576642">
      <w:pPr>
        <w:keepNext/>
        <w:keepLines/>
        <w:tabs>
          <w:tab w:val="left" w:pos="708"/>
        </w:tabs>
        <w:spacing w:before="600" w:after="240"/>
        <w:ind w:left="431" w:hanging="431"/>
        <w:jc w:val="center"/>
        <w:outlineLvl w:val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2"/>
        </w:rPr>
        <w:t>III. Rozsah kontroly</w:t>
      </w:r>
    </w:p>
    <w:p w14:paraId="0ED09E53" w14:textId="53AEBC71" w:rsidR="001843DC" w:rsidRDefault="00DA719A" w:rsidP="001843DC">
      <w:pPr>
        <w:spacing w:after="120"/>
        <w:jc w:val="both"/>
        <w:rPr>
          <w:rFonts w:cstheme="minorHAnsi"/>
          <w:lang w:eastAsia="cs-CZ"/>
        </w:rPr>
      </w:pPr>
      <w:r>
        <w:rPr>
          <w:rFonts w:ascii="Calibri" w:eastAsia="Calibri" w:hAnsi="Calibri" w:cs="Calibri"/>
        </w:rPr>
        <w:t>NKÚ prověřil</w:t>
      </w:r>
      <w:r w:rsidR="001843DC">
        <w:rPr>
          <w:rFonts w:ascii="Calibri" w:eastAsia="Calibri" w:hAnsi="Calibri" w:cs="Calibri"/>
        </w:rPr>
        <w:t xml:space="preserve">, </w:t>
      </w:r>
      <w:r w:rsidR="001843DC">
        <w:rPr>
          <w:rFonts w:cstheme="minorHAnsi"/>
          <w:lang w:eastAsia="cs-CZ"/>
        </w:rPr>
        <w:t>zda byly peněžní prostředky stát</w:t>
      </w:r>
      <w:r w:rsidR="009F4A25">
        <w:rPr>
          <w:rFonts w:cstheme="minorHAnsi"/>
          <w:lang w:eastAsia="cs-CZ"/>
        </w:rPr>
        <w:t>ního rozpočtu</w:t>
      </w:r>
      <w:r w:rsidR="001843DC">
        <w:rPr>
          <w:rFonts w:cstheme="minorHAnsi"/>
          <w:lang w:eastAsia="cs-CZ"/>
        </w:rPr>
        <w:t xml:space="preserve"> určené na přípravu a zajištění systému ochrany obyvatelstva vynakládány účelně a v souladu s právními předpisy.</w:t>
      </w:r>
    </w:p>
    <w:p w14:paraId="3999B841" w14:textId="6C17B40E" w:rsidR="001843DC" w:rsidRPr="00774666" w:rsidRDefault="001843DC" w:rsidP="001843DC">
      <w:pPr>
        <w:spacing w:after="120"/>
        <w:jc w:val="both"/>
        <w:rPr>
          <w:rFonts w:cstheme="minorHAnsi"/>
        </w:rPr>
      </w:pPr>
      <w:r>
        <w:rPr>
          <w:rFonts w:cstheme="minorHAnsi"/>
        </w:rPr>
        <w:t>Kontrol</w:t>
      </w:r>
      <w:r w:rsidR="00DA719A">
        <w:rPr>
          <w:rFonts w:cstheme="minorHAnsi"/>
        </w:rPr>
        <w:t>ou</w:t>
      </w:r>
      <w:r>
        <w:rPr>
          <w:rFonts w:cstheme="minorHAnsi"/>
        </w:rPr>
        <w:t xml:space="preserve"> bylo</w:t>
      </w:r>
      <w:r w:rsidR="00DA719A">
        <w:rPr>
          <w:rFonts w:cstheme="minorHAnsi"/>
        </w:rPr>
        <w:t xml:space="preserve"> zjišťováno</w:t>
      </w:r>
      <w:r>
        <w:rPr>
          <w:rFonts w:cstheme="minorHAnsi"/>
        </w:rPr>
        <w:t xml:space="preserve">, zda MV a </w:t>
      </w:r>
      <w:proofErr w:type="spellStart"/>
      <w:r>
        <w:rPr>
          <w:rFonts w:cstheme="minorHAnsi"/>
        </w:rPr>
        <w:t>MZd</w:t>
      </w:r>
      <w:proofErr w:type="spellEnd"/>
      <w:r>
        <w:rPr>
          <w:rFonts w:cstheme="minorHAnsi"/>
        </w:rPr>
        <w:t xml:space="preserve"> plní a vyhodnocuje</w:t>
      </w:r>
      <w:r w:rsidR="000624BB">
        <w:rPr>
          <w:rFonts w:cstheme="minorHAnsi"/>
        </w:rPr>
        <w:t xml:space="preserve"> </w:t>
      </w:r>
      <w:r>
        <w:rPr>
          <w:rFonts w:cstheme="minorHAnsi"/>
        </w:rPr>
        <w:t>úkoly</w:t>
      </w:r>
      <w:r w:rsidR="00920620" w:rsidRPr="00920620">
        <w:rPr>
          <w:rFonts w:cstheme="minorHAnsi"/>
        </w:rPr>
        <w:t xml:space="preserve"> </w:t>
      </w:r>
      <w:r w:rsidR="00920620">
        <w:rPr>
          <w:rFonts w:cstheme="minorHAnsi"/>
        </w:rPr>
        <w:t>nastavené</w:t>
      </w:r>
      <w:r w:rsidR="005F4090">
        <w:rPr>
          <w:rFonts w:cstheme="minorHAnsi"/>
        </w:rPr>
        <w:t xml:space="preserve"> </w:t>
      </w:r>
      <w:r w:rsidR="00920620">
        <w:rPr>
          <w:rFonts w:cstheme="minorHAnsi"/>
        </w:rPr>
        <w:t>k</w:t>
      </w:r>
      <w:r w:rsidR="005F4090">
        <w:rPr>
          <w:rFonts w:cstheme="minorHAnsi"/>
        </w:rPr>
        <w:t>oncepc</w:t>
      </w:r>
      <w:r w:rsidR="00920620">
        <w:rPr>
          <w:rFonts w:cstheme="minorHAnsi"/>
        </w:rPr>
        <w:t>emi</w:t>
      </w:r>
      <w:r w:rsidR="005F4090">
        <w:rPr>
          <w:rFonts w:cstheme="minorHAnsi"/>
        </w:rPr>
        <w:t xml:space="preserve"> OOB</w:t>
      </w:r>
      <w:r>
        <w:rPr>
          <w:rFonts w:cstheme="minorHAnsi"/>
        </w:rPr>
        <w:t xml:space="preserve">, zda byl ze strany MV </w:t>
      </w:r>
      <w:r w:rsidR="005F4090">
        <w:rPr>
          <w:rFonts w:cstheme="minorHAnsi"/>
        </w:rPr>
        <w:t xml:space="preserve">ve vazbě na tyto úkoly </w:t>
      </w:r>
      <w:r>
        <w:rPr>
          <w:rFonts w:cstheme="minorHAnsi"/>
        </w:rPr>
        <w:t>zajištěn</w:t>
      </w:r>
      <w:r w:rsidR="005C2EEB">
        <w:rPr>
          <w:rFonts w:cstheme="minorHAnsi"/>
        </w:rPr>
        <w:t>y rozpočtové zdroje</w:t>
      </w:r>
      <w:r>
        <w:rPr>
          <w:rFonts w:cstheme="minorHAnsi"/>
        </w:rPr>
        <w:t xml:space="preserve"> financování </w:t>
      </w:r>
      <w:r w:rsidR="00E13362">
        <w:rPr>
          <w:rFonts w:cstheme="minorHAnsi"/>
        </w:rPr>
        <w:t>a</w:t>
      </w:r>
      <w:r w:rsidR="000D1B9D">
        <w:rPr>
          <w:rFonts w:cstheme="minorHAnsi"/>
        </w:rPr>
        <w:t> </w:t>
      </w:r>
      <w:r w:rsidR="00E13362">
        <w:rPr>
          <w:rFonts w:cstheme="minorHAnsi"/>
        </w:rPr>
        <w:t>zda MV navrhlo úpravu legislativního vymezení OOB</w:t>
      </w:r>
      <w:r w:rsidR="005F4090">
        <w:rPr>
          <w:rFonts w:cstheme="minorHAnsi"/>
        </w:rPr>
        <w:t xml:space="preserve"> </w:t>
      </w:r>
      <w:r w:rsidR="00B02E1D">
        <w:rPr>
          <w:rFonts w:cstheme="minorHAnsi"/>
        </w:rPr>
        <w:t>tak, aby</w:t>
      </w:r>
      <w:r w:rsidR="00E13362">
        <w:rPr>
          <w:rFonts w:cstheme="minorHAnsi"/>
        </w:rPr>
        <w:t xml:space="preserve"> reflektoval</w:t>
      </w:r>
      <w:r w:rsidR="000B05D8">
        <w:rPr>
          <w:rFonts w:cstheme="minorHAnsi"/>
        </w:rPr>
        <w:t>a</w:t>
      </w:r>
      <w:r w:rsidR="00E13362">
        <w:rPr>
          <w:rFonts w:cstheme="minorHAnsi"/>
        </w:rPr>
        <w:t xml:space="preserve"> jeho současné zaměření, což označilo v roce 2013 jako jeden ze stěžejních úkolů Koncepce 2020.</w:t>
      </w:r>
    </w:p>
    <w:p w14:paraId="593E553A" w14:textId="5AA4BDE4" w:rsidR="001843DC" w:rsidRDefault="001843DC" w:rsidP="001843DC">
      <w:pPr>
        <w:spacing w:after="12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 MV byly ke kontrole vybrány úkoly vztahující se </w:t>
      </w:r>
      <w:r w:rsidRPr="001843DC">
        <w:rPr>
          <w:rFonts w:cstheme="minorHAnsi"/>
        </w:rPr>
        <w:t>k oblastem varování, evakuace, ukrytí a</w:t>
      </w:r>
      <w:r w:rsidR="00576642">
        <w:rPr>
          <w:rFonts w:cstheme="minorHAnsi"/>
        </w:rPr>
        <w:t> </w:t>
      </w:r>
      <w:r w:rsidRPr="001843DC">
        <w:rPr>
          <w:rFonts w:cstheme="minorHAnsi"/>
        </w:rPr>
        <w:t>nouzového přežití obyvatelstva</w:t>
      </w:r>
      <w:r w:rsidR="000624BB">
        <w:rPr>
          <w:rFonts w:cstheme="minorHAnsi"/>
        </w:rPr>
        <w:t xml:space="preserve">, </w:t>
      </w:r>
      <w:r w:rsidR="005F4090">
        <w:rPr>
          <w:rFonts w:cstheme="minorHAnsi"/>
        </w:rPr>
        <w:t>na jejichž splnění byly vynaloženy</w:t>
      </w:r>
      <w:r>
        <w:rPr>
          <w:rFonts w:cstheme="minorHAnsi"/>
        </w:rPr>
        <w:t xml:space="preserve"> peněžní prostředk</w:t>
      </w:r>
      <w:r w:rsidR="005F4090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362CE6">
        <w:rPr>
          <w:rFonts w:cstheme="minorHAnsi"/>
        </w:rPr>
        <w:t>státního rozpočtu</w:t>
      </w:r>
      <w:r>
        <w:rPr>
          <w:rFonts w:cstheme="minorHAnsi"/>
        </w:rPr>
        <w:t xml:space="preserve">. Kontrola se tak u MV zaměřila na stav a dostupnost </w:t>
      </w:r>
      <w:r w:rsidR="005F4090">
        <w:rPr>
          <w:rFonts w:cstheme="minorHAnsi"/>
        </w:rPr>
        <w:t>PIO</w:t>
      </w:r>
      <w:r>
        <w:rPr>
          <w:rFonts w:cstheme="minorHAnsi"/>
        </w:rPr>
        <w:t xml:space="preserve"> </w:t>
      </w:r>
      <w:r w:rsidRPr="00173884">
        <w:rPr>
          <w:rFonts w:cstheme="minorHAnsi"/>
        </w:rPr>
        <w:t xml:space="preserve">jako jsou např. masky, ochranné obleky a další ochranný materiál pro vybrané </w:t>
      </w:r>
      <w:r>
        <w:rPr>
          <w:rFonts w:cstheme="minorHAnsi"/>
        </w:rPr>
        <w:t xml:space="preserve">kategorie osob při stavu ohrožení státu a válečném stavu, stav úkrytového fondu na území ČR nebo způsob informování obyvatelstva ČR. Kontrola prověřila také oblast vzdělávání, ve které si MV stanovilo řadu cílů. U </w:t>
      </w:r>
      <w:proofErr w:type="spellStart"/>
      <w:r>
        <w:rPr>
          <w:rFonts w:cstheme="minorHAnsi"/>
        </w:rPr>
        <w:t>MZd</w:t>
      </w:r>
      <w:proofErr w:type="spellEnd"/>
      <w:r>
        <w:rPr>
          <w:rFonts w:cstheme="minorHAnsi"/>
        </w:rPr>
        <w:t xml:space="preserve"> byly podrobeny kontrole úkoly</w:t>
      </w:r>
      <w:r w:rsidR="005F4090">
        <w:rPr>
          <w:rFonts w:cstheme="minorHAnsi"/>
        </w:rPr>
        <w:t xml:space="preserve"> </w:t>
      </w:r>
      <w:r w:rsidR="008440AE">
        <w:rPr>
          <w:rFonts w:cstheme="minorHAnsi"/>
        </w:rPr>
        <w:t>k</w:t>
      </w:r>
      <w:r w:rsidR="005F4090">
        <w:rPr>
          <w:rFonts w:cstheme="minorHAnsi"/>
        </w:rPr>
        <w:t>oncepcí OOB</w:t>
      </w:r>
      <w:r>
        <w:rPr>
          <w:rFonts w:cstheme="minorHAnsi"/>
        </w:rPr>
        <w:t>, u kterých bylo</w:t>
      </w:r>
      <w:r w:rsidR="00DA719A">
        <w:rPr>
          <w:rFonts w:cstheme="minorHAnsi"/>
        </w:rPr>
        <w:t xml:space="preserve"> </w:t>
      </w:r>
      <w:r w:rsidR="008440AE">
        <w:rPr>
          <w:rFonts w:cstheme="minorHAnsi"/>
        </w:rPr>
        <w:t xml:space="preserve">ministerstvo </w:t>
      </w:r>
      <w:r>
        <w:rPr>
          <w:rFonts w:cstheme="minorHAnsi"/>
        </w:rPr>
        <w:t>určeno v</w:t>
      </w:r>
      <w:r w:rsidR="00DA719A">
        <w:rPr>
          <w:rFonts w:cstheme="minorHAnsi"/>
        </w:rPr>
        <w:t> </w:t>
      </w:r>
      <w:r>
        <w:rPr>
          <w:rFonts w:cstheme="minorHAnsi"/>
        </w:rPr>
        <w:t>součinnosti</w:t>
      </w:r>
      <w:r w:rsidR="00DA719A">
        <w:rPr>
          <w:rFonts w:cstheme="minorHAnsi"/>
        </w:rPr>
        <w:t xml:space="preserve"> pro jejich plnění.</w:t>
      </w:r>
    </w:p>
    <w:p w14:paraId="6C5CE0CB" w14:textId="13DF6707" w:rsidR="00554ED4" w:rsidRDefault="00173884" w:rsidP="00173884">
      <w:pPr>
        <w:spacing w:after="240"/>
        <w:jc w:val="both"/>
        <w:rPr>
          <w:rFonts w:cstheme="minorHAnsi"/>
        </w:rPr>
      </w:pPr>
      <w:r w:rsidRPr="003F5565">
        <w:rPr>
          <w:rFonts w:cstheme="minorHAnsi"/>
        </w:rPr>
        <w:t>Pro vyhodnocení souladu s právními předpisy použil</w:t>
      </w:r>
      <w:r w:rsidR="00DA719A">
        <w:rPr>
          <w:rFonts w:cstheme="minorHAnsi"/>
        </w:rPr>
        <w:t xml:space="preserve"> </w:t>
      </w:r>
      <w:r w:rsidRPr="003F5565">
        <w:rPr>
          <w:rFonts w:cstheme="minorHAnsi"/>
        </w:rPr>
        <w:t xml:space="preserve">NKÚ zejména vybraná ustanovení </w:t>
      </w:r>
      <w:bookmarkStart w:id="2" w:name="_Hlk116628034"/>
      <w:r w:rsidRPr="003F5565">
        <w:rPr>
          <w:rFonts w:cstheme="minorHAnsi"/>
        </w:rPr>
        <w:t>zákona č. 320/20</w:t>
      </w:r>
      <w:r w:rsidR="005C2EEB">
        <w:rPr>
          <w:rFonts w:cstheme="minorHAnsi"/>
        </w:rPr>
        <w:t>01</w:t>
      </w:r>
      <w:r w:rsidRPr="003F5565">
        <w:rPr>
          <w:rFonts w:cstheme="minorHAnsi"/>
        </w:rPr>
        <w:t xml:space="preserve"> Sb.</w:t>
      </w:r>
      <w:r w:rsidR="00BB00AA">
        <w:rPr>
          <w:rStyle w:val="Znakapoznpodarou"/>
          <w:rFonts w:cstheme="minorHAnsi"/>
        </w:rPr>
        <w:footnoteReference w:id="19"/>
      </w:r>
      <w:r w:rsidR="00D02716">
        <w:rPr>
          <w:rFonts w:cstheme="minorHAnsi"/>
        </w:rPr>
        <w:t>,</w:t>
      </w:r>
      <w:r w:rsidR="008D7EEE">
        <w:rPr>
          <w:rFonts w:cstheme="minorHAnsi"/>
        </w:rPr>
        <w:t xml:space="preserve"> kompetenčního</w:t>
      </w:r>
      <w:r w:rsidR="00D02716">
        <w:rPr>
          <w:rFonts w:cstheme="minorHAnsi"/>
        </w:rPr>
        <w:t xml:space="preserve"> zákona</w:t>
      </w:r>
      <w:r w:rsidRPr="003F5565">
        <w:rPr>
          <w:rFonts w:cstheme="minorHAnsi"/>
        </w:rPr>
        <w:t xml:space="preserve">, </w:t>
      </w:r>
      <w:r w:rsidR="00BB00AA">
        <w:rPr>
          <w:rFonts w:cstheme="minorHAnsi"/>
        </w:rPr>
        <w:t xml:space="preserve">zákona </w:t>
      </w:r>
      <w:r w:rsidR="00821C87">
        <w:rPr>
          <w:rFonts w:cstheme="minorHAnsi"/>
        </w:rPr>
        <w:t>č. 239/2000 Sb.</w:t>
      </w:r>
      <w:r w:rsidR="00BB00AA">
        <w:rPr>
          <w:rFonts w:ascii="Calibri" w:eastAsia="Calibri" w:hAnsi="Calibri" w:cs="Calibri"/>
        </w:rPr>
        <w:t xml:space="preserve"> </w:t>
      </w:r>
      <w:bookmarkEnd w:id="2"/>
      <w:r w:rsidRPr="003F5565">
        <w:rPr>
          <w:rFonts w:cstheme="minorHAnsi"/>
        </w:rPr>
        <w:t>a zákona č. 240/2000 Sb.</w:t>
      </w:r>
      <w:r w:rsidR="003E24C3">
        <w:rPr>
          <w:rStyle w:val="Znakapoznpodarou"/>
          <w:rFonts w:cstheme="minorHAnsi"/>
        </w:rPr>
        <w:footnoteReference w:id="20"/>
      </w:r>
      <w:r w:rsidR="00330757">
        <w:rPr>
          <w:rFonts w:cstheme="minorHAnsi"/>
        </w:rPr>
        <w:t>,</w:t>
      </w:r>
      <w:r w:rsidRPr="003F5565">
        <w:rPr>
          <w:rFonts w:cstheme="minorHAnsi"/>
        </w:rPr>
        <w:t xml:space="preserve"> které </w:t>
      </w:r>
      <w:r w:rsidR="00DA719A">
        <w:rPr>
          <w:rFonts w:cstheme="minorHAnsi"/>
        </w:rPr>
        <w:t>ukládají</w:t>
      </w:r>
      <w:r w:rsidRPr="003F5565">
        <w:rPr>
          <w:rFonts w:cstheme="minorHAnsi"/>
        </w:rPr>
        <w:t xml:space="preserve"> MV jakožto garantovi ochrany obyvatelstva</w:t>
      </w:r>
      <w:r>
        <w:rPr>
          <w:rFonts w:cstheme="minorHAnsi"/>
        </w:rPr>
        <w:t xml:space="preserve"> </w:t>
      </w:r>
      <w:r w:rsidRPr="003F5565">
        <w:rPr>
          <w:rFonts w:cstheme="minorHAnsi"/>
        </w:rPr>
        <w:t xml:space="preserve">a </w:t>
      </w:r>
      <w:proofErr w:type="spellStart"/>
      <w:r w:rsidRPr="003F5565">
        <w:rPr>
          <w:rFonts w:cstheme="minorHAnsi"/>
        </w:rPr>
        <w:t>MZd</w:t>
      </w:r>
      <w:proofErr w:type="spellEnd"/>
      <w:r w:rsidRPr="003F5565">
        <w:rPr>
          <w:rFonts w:cstheme="minorHAnsi"/>
        </w:rPr>
        <w:t xml:space="preserve"> </w:t>
      </w:r>
      <w:r>
        <w:rPr>
          <w:rFonts w:cstheme="minorHAnsi"/>
        </w:rPr>
        <w:t xml:space="preserve">povinnosti </w:t>
      </w:r>
      <w:r w:rsidRPr="003F5565">
        <w:rPr>
          <w:rFonts w:cstheme="minorHAnsi"/>
        </w:rPr>
        <w:t xml:space="preserve">v oblasti </w:t>
      </w:r>
      <w:r w:rsidR="00554ED4">
        <w:rPr>
          <w:rFonts w:cstheme="minorHAnsi"/>
        </w:rPr>
        <w:t>OOB</w:t>
      </w:r>
      <w:r w:rsidRPr="003F5565">
        <w:rPr>
          <w:rFonts w:cstheme="minorHAnsi"/>
        </w:rPr>
        <w:t xml:space="preserve">. </w:t>
      </w:r>
      <w:r w:rsidR="00B812B3">
        <w:rPr>
          <w:rFonts w:cstheme="minorHAnsi"/>
        </w:rPr>
        <w:t>Z</w:t>
      </w:r>
      <w:r w:rsidR="00B812B3" w:rsidRPr="00015F27">
        <w:rPr>
          <w:rFonts w:cstheme="minorHAnsi"/>
        </w:rPr>
        <w:t>a účelné</w:t>
      </w:r>
      <w:r w:rsidR="00B812B3">
        <w:rPr>
          <w:rFonts w:cstheme="minorHAnsi"/>
        </w:rPr>
        <w:t xml:space="preserve"> NKÚ</w:t>
      </w:r>
      <w:r w:rsidR="00B812B3" w:rsidRPr="00015F27">
        <w:rPr>
          <w:rFonts w:cstheme="minorHAnsi"/>
        </w:rPr>
        <w:t xml:space="preserve"> považoval použití peněžních prostředků státního rozpočtu ke splnění úkolů </w:t>
      </w:r>
      <w:r w:rsidR="009A7554">
        <w:rPr>
          <w:rFonts w:cstheme="minorHAnsi"/>
        </w:rPr>
        <w:t>k</w:t>
      </w:r>
      <w:r w:rsidR="00B812B3" w:rsidRPr="00015F27">
        <w:rPr>
          <w:rFonts w:cstheme="minorHAnsi"/>
        </w:rPr>
        <w:t xml:space="preserve">oncepcí OOB a dosažení zamýšlených výsledků (dopadů), tj. splnění cílů </w:t>
      </w:r>
      <w:r w:rsidR="009A7554">
        <w:rPr>
          <w:rFonts w:cstheme="minorHAnsi"/>
        </w:rPr>
        <w:t>k</w:t>
      </w:r>
      <w:r w:rsidR="00B812B3" w:rsidRPr="00015F27">
        <w:rPr>
          <w:rFonts w:cstheme="minorHAnsi"/>
        </w:rPr>
        <w:t>oncepcí OOB.</w:t>
      </w:r>
    </w:p>
    <w:p w14:paraId="019894A1" w14:textId="7C803A3A" w:rsidR="00173884" w:rsidRDefault="00692891" w:rsidP="00947443">
      <w:pPr>
        <w:spacing w:after="240"/>
        <w:jc w:val="both"/>
        <w:rPr>
          <w:rFonts w:cstheme="minorHAnsi"/>
        </w:rPr>
      </w:pPr>
      <w:r>
        <w:rPr>
          <w:rFonts w:cstheme="minorHAnsi"/>
        </w:rPr>
        <w:t>Z</w:t>
      </w:r>
      <w:r w:rsidR="00173884" w:rsidRPr="003F5565">
        <w:rPr>
          <w:rFonts w:cstheme="minorHAnsi"/>
        </w:rPr>
        <w:t>ákon č. 218/2000 Sb.</w:t>
      </w:r>
      <w:r w:rsidR="00BB00AA">
        <w:rPr>
          <w:rStyle w:val="Znakapoznpodarou"/>
          <w:rFonts w:cstheme="minorHAnsi"/>
        </w:rPr>
        <w:footnoteReference w:id="21"/>
      </w:r>
      <w:r w:rsidR="00173884" w:rsidRPr="003F5565">
        <w:rPr>
          <w:rFonts w:cstheme="minorHAnsi"/>
        </w:rPr>
        <w:t xml:space="preserve"> </w:t>
      </w:r>
      <w:r w:rsidR="00C435E5">
        <w:rPr>
          <w:rFonts w:cstheme="minorHAnsi"/>
        </w:rPr>
        <w:t>ukládá</w:t>
      </w:r>
      <w:r w:rsidR="00173884" w:rsidRPr="003F5565">
        <w:rPr>
          <w:rFonts w:cstheme="minorHAnsi"/>
        </w:rPr>
        <w:t xml:space="preserve"> správci kapitoly (MV, </w:t>
      </w:r>
      <w:proofErr w:type="spellStart"/>
      <w:r w:rsidR="00173884" w:rsidRPr="003F5565">
        <w:rPr>
          <w:rFonts w:cstheme="minorHAnsi"/>
        </w:rPr>
        <w:t>MZd</w:t>
      </w:r>
      <w:proofErr w:type="spellEnd"/>
      <w:r w:rsidR="00173884" w:rsidRPr="003F5565">
        <w:rPr>
          <w:rFonts w:cstheme="minorHAnsi"/>
        </w:rPr>
        <w:t xml:space="preserve">) soustavně sledovat a vyhodnocovat </w:t>
      </w:r>
      <w:r w:rsidR="00947443">
        <w:rPr>
          <w:rFonts w:cstheme="minorHAnsi"/>
        </w:rPr>
        <w:t>mj.</w:t>
      </w:r>
      <w:r w:rsidR="00173884" w:rsidRPr="003F5565">
        <w:rPr>
          <w:rFonts w:cstheme="minorHAnsi"/>
        </w:rPr>
        <w:t xml:space="preserve"> účelnost vynaklád</w:t>
      </w:r>
      <w:r w:rsidR="00554ED4">
        <w:rPr>
          <w:rFonts w:cstheme="minorHAnsi"/>
        </w:rPr>
        <w:t xml:space="preserve">aných </w:t>
      </w:r>
      <w:r w:rsidR="00173884" w:rsidRPr="003F5565">
        <w:rPr>
          <w:rFonts w:cstheme="minorHAnsi"/>
        </w:rPr>
        <w:t>výdajů ve své kapitole a zákon č. 320/2001 Sb. stanovuje pro případ</w:t>
      </w:r>
      <w:r w:rsidR="00821C87">
        <w:rPr>
          <w:rFonts w:cstheme="minorHAnsi"/>
        </w:rPr>
        <w:t xml:space="preserve">, kdy nejsou </w:t>
      </w:r>
      <w:r w:rsidR="00173884" w:rsidRPr="003F5565">
        <w:rPr>
          <w:rFonts w:cstheme="minorHAnsi"/>
        </w:rPr>
        <w:t>kritéri</w:t>
      </w:r>
      <w:r w:rsidR="00821C87">
        <w:rPr>
          <w:rFonts w:cstheme="minorHAnsi"/>
        </w:rPr>
        <w:t>a pro hodnocení</w:t>
      </w:r>
      <w:r w:rsidR="00173884" w:rsidRPr="003F5565">
        <w:rPr>
          <w:rFonts w:cstheme="minorHAnsi"/>
        </w:rPr>
        <w:t xml:space="preserve"> hospodárnosti, efektivnosti a účelnosti</w:t>
      </w:r>
      <w:r w:rsidR="00821C87">
        <w:rPr>
          <w:rFonts w:cstheme="minorHAnsi"/>
        </w:rPr>
        <w:t xml:space="preserve"> stanovena v právních předpisech technických nebo jiných normách, povinnost vedoucího orgánu veřejné správy tato kritéria stanovit na základě objektivně zjištěných skutečností.</w:t>
      </w:r>
      <w:r w:rsidR="00B812B3">
        <w:rPr>
          <w:rFonts w:cstheme="minorHAnsi"/>
        </w:rPr>
        <w:t xml:space="preserve"> </w:t>
      </w:r>
      <w:r w:rsidR="00173884" w:rsidRPr="003F5565">
        <w:rPr>
          <w:rFonts w:cstheme="minorHAnsi"/>
        </w:rPr>
        <w:t>NKÚ</w:t>
      </w:r>
      <w:r w:rsidR="00821C87">
        <w:rPr>
          <w:rFonts w:cstheme="minorHAnsi"/>
        </w:rPr>
        <w:t xml:space="preserve"> </w:t>
      </w:r>
      <w:r w:rsidR="00173884" w:rsidRPr="003F5565">
        <w:rPr>
          <w:rFonts w:cstheme="minorHAnsi"/>
        </w:rPr>
        <w:t xml:space="preserve">prověřil </w:t>
      </w:r>
      <w:r w:rsidR="00554ED4">
        <w:rPr>
          <w:rFonts w:cstheme="minorHAnsi"/>
        </w:rPr>
        <w:t>vynaložené</w:t>
      </w:r>
      <w:r w:rsidR="00173884" w:rsidRPr="003F5565">
        <w:rPr>
          <w:rFonts w:cstheme="minorHAnsi"/>
        </w:rPr>
        <w:t xml:space="preserve"> peněžní prostředky </w:t>
      </w:r>
      <w:r w:rsidR="00554ED4">
        <w:rPr>
          <w:rFonts w:cstheme="minorHAnsi"/>
        </w:rPr>
        <w:t>stát</w:t>
      </w:r>
      <w:r w:rsidR="00795C69">
        <w:rPr>
          <w:rFonts w:cstheme="minorHAnsi"/>
        </w:rPr>
        <w:t>ního rozpočtu</w:t>
      </w:r>
      <w:r w:rsidR="00554ED4">
        <w:rPr>
          <w:rFonts w:cstheme="minorHAnsi"/>
        </w:rPr>
        <w:t xml:space="preserve"> v souvislosti s </w:t>
      </w:r>
      <w:r w:rsidR="00947443">
        <w:rPr>
          <w:rFonts w:cstheme="minorHAnsi"/>
        </w:rPr>
        <w:t>na</w:t>
      </w:r>
      <w:r w:rsidR="00554ED4">
        <w:rPr>
          <w:rFonts w:cstheme="minorHAnsi"/>
        </w:rPr>
        <w:t xml:space="preserve">plněním </w:t>
      </w:r>
      <w:r w:rsidR="00173884" w:rsidRPr="003F5565">
        <w:rPr>
          <w:rFonts w:cstheme="minorHAnsi"/>
        </w:rPr>
        <w:t>úkolů</w:t>
      </w:r>
      <w:r w:rsidR="00BB00AA">
        <w:rPr>
          <w:rFonts w:cstheme="minorHAnsi"/>
        </w:rPr>
        <w:t xml:space="preserve"> </w:t>
      </w:r>
      <w:r w:rsidR="009A7554">
        <w:rPr>
          <w:rFonts w:cstheme="minorHAnsi"/>
        </w:rPr>
        <w:t>k</w:t>
      </w:r>
      <w:r w:rsidR="00BB00AA">
        <w:rPr>
          <w:rFonts w:cstheme="minorHAnsi"/>
        </w:rPr>
        <w:t xml:space="preserve">oncepcí OOB. </w:t>
      </w:r>
      <w:r w:rsidR="00947443">
        <w:rPr>
          <w:rFonts w:cstheme="minorHAnsi"/>
        </w:rPr>
        <w:t xml:space="preserve">Dále NKÚ prověřil </w:t>
      </w:r>
      <w:r w:rsidR="00173884" w:rsidRPr="003F5565">
        <w:rPr>
          <w:rFonts w:cstheme="minorHAnsi"/>
        </w:rPr>
        <w:t>dodržení způsobu</w:t>
      </w:r>
      <w:r w:rsidR="004A7EA2">
        <w:rPr>
          <w:rFonts w:cstheme="minorHAnsi"/>
        </w:rPr>
        <w:t xml:space="preserve"> </w:t>
      </w:r>
      <w:r w:rsidR="00E96ABD">
        <w:rPr>
          <w:rFonts w:cstheme="minorHAnsi"/>
        </w:rPr>
        <w:t xml:space="preserve">třídění a </w:t>
      </w:r>
      <w:r w:rsidR="00947443">
        <w:rPr>
          <w:rFonts w:cstheme="minorHAnsi"/>
        </w:rPr>
        <w:t>vykazování</w:t>
      </w:r>
      <w:r w:rsidR="007D7D0D">
        <w:rPr>
          <w:rFonts w:cstheme="minorHAnsi"/>
        </w:rPr>
        <w:t xml:space="preserve"> </w:t>
      </w:r>
      <w:r w:rsidR="00173884" w:rsidRPr="003F5565">
        <w:rPr>
          <w:rFonts w:cstheme="minorHAnsi"/>
        </w:rPr>
        <w:t>výdajů</w:t>
      </w:r>
      <w:r w:rsidR="007D7D0D">
        <w:rPr>
          <w:rFonts w:cstheme="minorHAnsi"/>
        </w:rPr>
        <w:t xml:space="preserve"> </w:t>
      </w:r>
      <w:r>
        <w:rPr>
          <w:rFonts w:cstheme="minorHAnsi"/>
        </w:rPr>
        <w:t xml:space="preserve">na OOB </w:t>
      </w:r>
      <w:r w:rsidR="007D7D0D">
        <w:rPr>
          <w:rFonts w:cstheme="minorHAnsi"/>
        </w:rPr>
        <w:t xml:space="preserve">dle </w:t>
      </w:r>
      <w:r w:rsidR="007D7D0D" w:rsidRPr="004774FC">
        <w:rPr>
          <w:rFonts w:cstheme="minorHAnsi"/>
        </w:rPr>
        <w:t>vyhláš</w:t>
      </w:r>
      <w:r>
        <w:rPr>
          <w:rFonts w:cstheme="minorHAnsi"/>
        </w:rPr>
        <w:t xml:space="preserve">ky </w:t>
      </w:r>
      <w:r w:rsidR="007D7D0D" w:rsidRPr="004774FC">
        <w:rPr>
          <w:rFonts w:cstheme="minorHAnsi"/>
        </w:rPr>
        <w:t>č.</w:t>
      </w:r>
      <w:r w:rsidR="00576642">
        <w:rPr>
          <w:rFonts w:cstheme="minorHAnsi"/>
        </w:rPr>
        <w:t> </w:t>
      </w:r>
      <w:r w:rsidR="007D7D0D" w:rsidRPr="004774FC">
        <w:rPr>
          <w:rFonts w:cstheme="minorHAnsi"/>
        </w:rPr>
        <w:t>323/2002 Sb.</w:t>
      </w:r>
      <w:r w:rsidR="007B1DE0">
        <w:rPr>
          <w:rStyle w:val="Znakapoznpodarou"/>
          <w:rFonts w:cstheme="minorHAnsi"/>
        </w:rPr>
        <w:footnoteReference w:id="22"/>
      </w:r>
      <w:r>
        <w:rPr>
          <w:rFonts w:cstheme="minorHAnsi"/>
        </w:rPr>
        <w:t>, resp.</w:t>
      </w:r>
      <w:r w:rsidR="00821C87">
        <w:rPr>
          <w:rFonts w:cstheme="minorHAnsi"/>
        </w:rPr>
        <w:t xml:space="preserve"> </w:t>
      </w:r>
      <w:r w:rsidRPr="004774FC">
        <w:rPr>
          <w:rFonts w:cstheme="minorHAnsi"/>
        </w:rPr>
        <w:t>vyhláš</w:t>
      </w:r>
      <w:r>
        <w:rPr>
          <w:rFonts w:cstheme="minorHAnsi"/>
        </w:rPr>
        <w:t xml:space="preserve">ky </w:t>
      </w:r>
      <w:r w:rsidR="007D7D0D">
        <w:rPr>
          <w:rFonts w:cstheme="minorHAnsi"/>
        </w:rPr>
        <w:t>č. 412/2021 Sb.</w:t>
      </w:r>
      <w:r w:rsidR="007B1DE0">
        <w:rPr>
          <w:rStyle w:val="Znakapoznpodarou"/>
          <w:rFonts w:cstheme="minorHAnsi"/>
        </w:rPr>
        <w:footnoteReference w:id="23"/>
      </w:r>
      <w:r w:rsidR="007B1DE0">
        <w:rPr>
          <w:rFonts w:cstheme="minorHAnsi"/>
        </w:rPr>
        <w:t xml:space="preserve"> </w:t>
      </w:r>
    </w:p>
    <w:p w14:paraId="1F4CEE40" w14:textId="5E46B63C" w:rsidR="0059075D" w:rsidRDefault="00173884" w:rsidP="0059075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Kontrolovaným obdobím byly roky 2015 až 2021, v případě věcných souvislostí i období předcházející a následující.</w:t>
      </w:r>
      <w:r w:rsidR="00D53E9D">
        <w:rPr>
          <w:rFonts w:ascii="Calibri" w:eastAsia="Calibri" w:hAnsi="Calibri" w:cs="Times New Roman"/>
        </w:rPr>
        <w:t xml:space="preserve"> </w:t>
      </w:r>
      <w:r w:rsidR="00D53E9D" w:rsidRPr="00032EA3">
        <w:rPr>
          <w:rFonts w:cstheme="minorHAnsi"/>
        </w:rPr>
        <w:t xml:space="preserve">MV i </w:t>
      </w:r>
      <w:proofErr w:type="spellStart"/>
      <w:r w:rsidR="00D53E9D" w:rsidRPr="00032EA3">
        <w:rPr>
          <w:rFonts w:cstheme="minorHAnsi"/>
        </w:rPr>
        <w:t>MZd</w:t>
      </w:r>
      <w:proofErr w:type="spellEnd"/>
      <w:r w:rsidR="00D53E9D" w:rsidRPr="00032EA3">
        <w:rPr>
          <w:rFonts w:cstheme="minorHAnsi"/>
        </w:rPr>
        <w:t xml:space="preserve"> vykazují výdaje na OOB také v rámci specifického ukazatele</w:t>
      </w:r>
      <w:r w:rsidR="00D53E9D">
        <w:rPr>
          <w:rFonts w:cstheme="minorHAnsi"/>
        </w:rPr>
        <w:t xml:space="preserve"> </w:t>
      </w:r>
      <w:r w:rsidR="00D53E9D" w:rsidRPr="00032EA3">
        <w:rPr>
          <w:rFonts w:cstheme="minorHAnsi"/>
        </w:rPr>
        <w:t>rozpočtu</w:t>
      </w:r>
      <w:r w:rsidR="00D53E9D">
        <w:rPr>
          <w:rFonts w:cstheme="minorHAnsi"/>
        </w:rPr>
        <w:t xml:space="preserve"> </w:t>
      </w:r>
      <w:r w:rsidR="00D53E9D" w:rsidRPr="00032EA3">
        <w:rPr>
          <w:rFonts w:cstheme="minorHAnsi"/>
        </w:rPr>
        <w:t>„</w:t>
      </w:r>
      <w:r w:rsidR="00D53E9D" w:rsidRPr="00032EA3">
        <w:rPr>
          <w:rFonts w:cstheme="minorHAnsi"/>
          <w:i/>
        </w:rPr>
        <w:t>Zajištění přípravy na krizové situace podle zákona č. 240/2000 Sb.</w:t>
      </w:r>
      <w:r w:rsidR="00D53E9D">
        <w:rPr>
          <w:rFonts w:cstheme="minorHAnsi"/>
        </w:rPr>
        <w:t>“</w:t>
      </w:r>
      <w:r w:rsidR="009A7554">
        <w:rPr>
          <w:rFonts w:cstheme="minorHAnsi"/>
        </w:rPr>
        <w:t>;</w:t>
      </w:r>
      <w:r w:rsidR="00D53E9D" w:rsidRPr="00032EA3">
        <w:rPr>
          <w:rFonts w:cstheme="minorHAnsi"/>
        </w:rPr>
        <w:t xml:space="preserve"> </w:t>
      </w:r>
      <w:r w:rsidR="00D53E9D">
        <w:rPr>
          <w:rFonts w:cstheme="minorHAnsi"/>
        </w:rPr>
        <w:t>výdaje</w:t>
      </w:r>
      <w:r w:rsidR="00D53E9D" w:rsidRPr="00032EA3">
        <w:rPr>
          <w:rFonts w:cstheme="minorHAnsi"/>
        </w:rPr>
        <w:t xml:space="preserve"> za oba resorty </w:t>
      </w:r>
      <w:r w:rsidR="00D53E9D">
        <w:rPr>
          <w:rFonts w:cstheme="minorHAnsi"/>
        </w:rPr>
        <w:t xml:space="preserve">činily </w:t>
      </w:r>
      <w:r w:rsidR="00D53E9D" w:rsidRPr="00032EA3">
        <w:rPr>
          <w:rFonts w:cstheme="minorHAnsi"/>
        </w:rPr>
        <w:t xml:space="preserve">v kontrolovaném období celkem </w:t>
      </w:r>
      <w:r w:rsidR="00D53E9D" w:rsidRPr="00032EA3">
        <w:t>721 mil. Kč.</w:t>
      </w:r>
      <w:r w:rsidR="00D53E9D">
        <w:rPr>
          <w:rFonts w:ascii="Calibri" w:eastAsia="Calibri" w:hAnsi="Calibri" w:cs="Times New Roman"/>
        </w:rPr>
        <w:t xml:space="preserve"> </w:t>
      </w:r>
      <w:r w:rsidR="00B02E1D">
        <w:rPr>
          <w:rFonts w:cstheme="minorHAnsi"/>
        </w:rPr>
        <w:t xml:space="preserve">Prostředky vynaložené na zajištění systému OOB v kontrolovaném období nebylo možné z důvodu porušení právního předpisu v oblasti rozpočtové skladby u MV přesně vyčíslit, u </w:t>
      </w:r>
      <w:proofErr w:type="spellStart"/>
      <w:r w:rsidR="00B02E1D">
        <w:rPr>
          <w:rFonts w:cstheme="minorHAnsi"/>
        </w:rPr>
        <w:t>MZd</w:t>
      </w:r>
      <w:proofErr w:type="spellEnd"/>
      <w:r w:rsidR="00B02E1D">
        <w:rPr>
          <w:rFonts w:cstheme="minorHAnsi"/>
        </w:rPr>
        <w:t xml:space="preserve"> činila tato částka 132,8</w:t>
      </w:r>
      <w:r w:rsidR="00D252AD">
        <w:rPr>
          <w:rFonts w:cstheme="minorHAnsi"/>
        </w:rPr>
        <w:t> </w:t>
      </w:r>
      <w:r w:rsidR="00B02E1D">
        <w:rPr>
          <w:rFonts w:cstheme="minorHAnsi"/>
        </w:rPr>
        <w:t>mil.</w:t>
      </w:r>
      <w:r w:rsidR="00D252AD">
        <w:rPr>
          <w:rFonts w:cstheme="minorHAnsi"/>
        </w:rPr>
        <w:t> </w:t>
      </w:r>
      <w:r w:rsidR="00B02E1D">
        <w:rPr>
          <w:rFonts w:cstheme="minorHAnsi"/>
        </w:rPr>
        <w:t>Kč.</w:t>
      </w:r>
    </w:p>
    <w:p w14:paraId="4781DF0F" w14:textId="7CAB1054" w:rsidR="00A9144C" w:rsidRPr="00907900" w:rsidRDefault="00A9144C" w:rsidP="00576642">
      <w:pPr>
        <w:pStyle w:val="Nadpis1"/>
        <w:numPr>
          <w:ilvl w:val="0"/>
          <w:numId w:val="0"/>
        </w:numPr>
        <w:spacing w:before="600"/>
        <w:ind w:left="431" w:hanging="431"/>
        <w:jc w:val="center"/>
        <w:rPr>
          <w:rFonts w:eastAsiaTheme="minorHAnsi"/>
          <w:szCs w:val="28"/>
        </w:rPr>
      </w:pPr>
      <w:r w:rsidRPr="004774FC">
        <w:rPr>
          <w:rFonts w:eastAsiaTheme="minorHAnsi"/>
          <w:szCs w:val="28"/>
        </w:rPr>
        <w:t>IV. Podrobné skutečnosti zjištěné kontrolou</w:t>
      </w:r>
    </w:p>
    <w:p w14:paraId="3FF7C234" w14:textId="34EF73BB" w:rsidR="008E729B" w:rsidRDefault="00DC12E7" w:rsidP="00567580">
      <w:pPr>
        <w:autoSpaceDE w:val="0"/>
        <w:autoSpaceDN w:val="0"/>
        <w:spacing w:after="240"/>
        <w:jc w:val="both"/>
        <w:rPr>
          <w:rFonts w:cstheme="minorHAnsi"/>
          <w:bCs/>
          <w:i/>
          <w:highlight w:val="lightGray"/>
        </w:rPr>
      </w:pPr>
      <w:r>
        <w:rPr>
          <w:rFonts w:cstheme="minorHAnsi"/>
          <w:b/>
          <w:bCs/>
        </w:rPr>
        <w:t>A.</w:t>
      </w:r>
      <w:r w:rsidR="007604DB">
        <w:rPr>
          <w:rFonts w:cstheme="minorHAnsi"/>
          <w:b/>
          <w:bCs/>
        </w:rPr>
        <w:t xml:space="preserve"> </w:t>
      </w:r>
      <w:r w:rsidR="007604DB" w:rsidRPr="007604DB">
        <w:rPr>
          <w:rFonts w:cstheme="minorHAnsi"/>
          <w:b/>
          <w:bCs/>
        </w:rPr>
        <w:t xml:space="preserve">MV prodlužuje termíny splnění některých úkolů </w:t>
      </w:r>
      <w:r w:rsidR="009A7554">
        <w:rPr>
          <w:rFonts w:cstheme="minorHAnsi"/>
          <w:b/>
          <w:bCs/>
        </w:rPr>
        <w:t>k</w:t>
      </w:r>
      <w:r w:rsidR="007604DB" w:rsidRPr="007604DB">
        <w:rPr>
          <w:rFonts w:cstheme="minorHAnsi"/>
          <w:b/>
          <w:bCs/>
        </w:rPr>
        <w:t>oncepcí OOB, např. oblast výchovy a</w:t>
      </w:r>
      <w:r w:rsidR="00576642">
        <w:rPr>
          <w:rFonts w:cstheme="minorHAnsi"/>
          <w:b/>
          <w:bCs/>
        </w:rPr>
        <w:t> </w:t>
      </w:r>
      <w:r w:rsidR="007604DB" w:rsidRPr="007604DB">
        <w:rPr>
          <w:rFonts w:cstheme="minorHAnsi"/>
          <w:b/>
          <w:bCs/>
        </w:rPr>
        <w:t>vzdělávání, varování a informování obyvatel nebo zapojení neziskových organizací do systému OOB</w:t>
      </w:r>
      <w:r w:rsidR="00AB53EF">
        <w:rPr>
          <w:rFonts w:cstheme="minorHAnsi"/>
          <w:b/>
          <w:bCs/>
        </w:rPr>
        <w:t xml:space="preserve">. MV tyto úkoly </w:t>
      </w:r>
      <w:r w:rsidR="007604DB" w:rsidRPr="007604DB">
        <w:rPr>
          <w:rFonts w:cstheme="minorHAnsi"/>
          <w:b/>
          <w:bCs/>
        </w:rPr>
        <w:t xml:space="preserve">řeší již od roku 2002 a do doby ukončení kontroly </w:t>
      </w:r>
      <w:r w:rsidR="00AB53EF">
        <w:rPr>
          <w:rFonts w:cstheme="minorHAnsi"/>
          <w:b/>
          <w:bCs/>
        </w:rPr>
        <w:t>je</w:t>
      </w:r>
      <w:r w:rsidR="007604DB" w:rsidRPr="007604DB">
        <w:rPr>
          <w:rFonts w:cstheme="minorHAnsi"/>
          <w:b/>
          <w:bCs/>
        </w:rPr>
        <w:t xml:space="preserve"> nedořešilo. MV v </w:t>
      </w:r>
      <w:r w:rsidR="009A7554">
        <w:rPr>
          <w:rFonts w:cstheme="minorHAnsi"/>
          <w:b/>
          <w:bCs/>
        </w:rPr>
        <w:t>k</w:t>
      </w:r>
      <w:r w:rsidR="007604DB" w:rsidRPr="007604DB">
        <w:rPr>
          <w:rFonts w:cstheme="minorHAnsi"/>
          <w:b/>
          <w:bCs/>
        </w:rPr>
        <w:t>oncepcích OOB dále nenastavilo některé úkoly měřitelně a neprovázalo je s</w:t>
      </w:r>
      <w:r w:rsidR="00576642">
        <w:rPr>
          <w:rFonts w:cstheme="minorHAnsi"/>
          <w:b/>
          <w:bCs/>
        </w:rPr>
        <w:t> </w:t>
      </w:r>
      <w:r w:rsidR="007604DB" w:rsidRPr="007604DB">
        <w:rPr>
          <w:rFonts w:cstheme="minorHAnsi"/>
          <w:b/>
          <w:bCs/>
        </w:rPr>
        <w:t>peněžními prostředky státního rozpočtu potřebnými na jejich splnění. Tím nepostupovalo v</w:t>
      </w:r>
      <w:r w:rsidR="00576642">
        <w:rPr>
          <w:rFonts w:cstheme="minorHAnsi"/>
          <w:b/>
          <w:bCs/>
        </w:rPr>
        <w:t> </w:t>
      </w:r>
      <w:r w:rsidR="007604DB" w:rsidRPr="007604DB">
        <w:rPr>
          <w:rFonts w:cstheme="minorHAnsi"/>
          <w:b/>
          <w:bCs/>
        </w:rPr>
        <w:t>souladu s metodikami pro tvorbu koncepcí</w:t>
      </w:r>
      <w:r w:rsidR="007604DB">
        <w:rPr>
          <w:rFonts w:cstheme="minorHAnsi"/>
          <w:b/>
          <w:bCs/>
        </w:rPr>
        <w:t xml:space="preserve"> </w:t>
      </w:r>
      <w:r w:rsidR="007604DB" w:rsidRPr="007604DB">
        <w:rPr>
          <w:rFonts w:cstheme="minorHAnsi"/>
          <w:b/>
          <w:bCs/>
        </w:rPr>
        <w:t>a v souladu s kompetenčním zákonem.</w:t>
      </w:r>
    </w:p>
    <w:p w14:paraId="1F92CDB3" w14:textId="547A57B4" w:rsidR="00A9144C" w:rsidRPr="00934F62" w:rsidRDefault="00A9144C" w:rsidP="00A9144C">
      <w:pPr>
        <w:autoSpaceDE w:val="0"/>
        <w:autoSpaceDN w:val="0"/>
        <w:jc w:val="both"/>
        <w:rPr>
          <w:rFonts w:cstheme="minorHAnsi"/>
          <w:bCs/>
          <w:highlight w:val="lightGray"/>
        </w:rPr>
      </w:pPr>
      <w:r w:rsidRPr="00934F62">
        <w:rPr>
          <w:rFonts w:cstheme="minorHAnsi"/>
          <w:bCs/>
          <w:highlight w:val="lightGray"/>
        </w:rPr>
        <w:lastRenderedPageBreak/>
        <w:t xml:space="preserve">Kontrolou NKÚ bylo ověřeno, zda MV zpracovalo </w:t>
      </w:r>
      <w:r w:rsidR="009A7554">
        <w:rPr>
          <w:rFonts w:cstheme="minorHAnsi"/>
          <w:bCs/>
          <w:highlight w:val="lightGray"/>
        </w:rPr>
        <w:t>k</w:t>
      </w:r>
      <w:r w:rsidRPr="00934F62">
        <w:rPr>
          <w:rFonts w:cstheme="minorHAnsi"/>
          <w:bCs/>
          <w:highlight w:val="lightGray"/>
        </w:rPr>
        <w:t xml:space="preserve">oncepce OOB dle § 7 odst. 2 písm. f) zákona </w:t>
      </w:r>
      <w:r w:rsidR="000624BB" w:rsidRPr="00934F62">
        <w:rPr>
          <w:rFonts w:cstheme="minorHAnsi"/>
          <w:bCs/>
          <w:highlight w:val="lightGray"/>
        </w:rPr>
        <w:t xml:space="preserve">č. 239/2000 Sb. </w:t>
      </w:r>
      <w:r w:rsidRPr="00934F62">
        <w:rPr>
          <w:rFonts w:cstheme="minorHAnsi"/>
          <w:bCs/>
          <w:highlight w:val="lightGray"/>
        </w:rPr>
        <w:t>a zda obsahová stránka těchto koncepcí (zejména v oblasti stanovení cílů, úkolů a financování) byla v jednotlivých letech zpracována v souladu s usnesením vlády Č</w:t>
      </w:r>
      <w:r w:rsidR="00821C87" w:rsidRPr="00934F62">
        <w:rPr>
          <w:rFonts w:cstheme="minorHAnsi"/>
          <w:bCs/>
          <w:highlight w:val="lightGray"/>
        </w:rPr>
        <w:t>eské republiky</w:t>
      </w:r>
      <w:r w:rsidRPr="00934F62">
        <w:rPr>
          <w:rFonts w:cstheme="minorHAnsi"/>
          <w:bCs/>
          <w:highlight w:val="lightGray"/>
        </w:rPr>
        <w:t xml:space="preserve"> ze dne 3. ledna 2001 č. 10</w:t>
      </w:r>
      <w:r w:rsidR="009A7554">
        <w:rPr>
          <w:rFonts w:cstheme="minorHAnsi"/>
          <w:bCs/>
          <w:highlight w:val="lightGray"/>
        </w:rPr>
        <w:t>,</w:t>
      </w:r>
      <w:r w:rsidR="00BD6604" w:rsidRPr="00934F62">
        <w:rPr>
          <w:rFonts w:cstheme="minorHAnsi"/>
          <w:bCs/>
          <w:highlight w:val="lightGray"/>
        </w:rPr>
        <w:t xml:space="preserve"> </w:t>
      </w:r>
      <w:r w:rsidR="00821C87" w:rsidRPr="004B4F8D">
        <w:rPr>
          <w:i/>
          <w:highlight w:val="lightGray"/>
        </w:rPr>
        <w:t xml:space="preserve">k </w:t>
      </w:r>
      <w:r w:rsidRPr="004B4F8D">
        <w:rPr>
          <w:i/>
          <w:highlight w:val="lightGray"/>
        </w:rPr>
        <w:t>návrhu Metodiky střednědobých koncepcí</w:t>
      </w:r>
      <w:r w:rsidRPr="00934F62">
        <w:rPr>
          <w:rFonts w:cstheme="minorHAnsi"/>
          <w:bCs/>
          <w:highlight w:val="lightGray"/>
        </w:rPr>
        <w:t>, resp. usnesením vlády Č</w:t>
      </w:r>
      <w:r w:rsidR="00821C87" w:rsidRPr="00934F62">
        <w:rPr>
          <w:rFonts w:cstheme="minorHAnsi"/>
          <w:bCs/>
          <w:highlight w:val="lightGray"/>
        </w:rPr>
        <w:t>eské republiky</w:t>
      </w:r>
      <w:r w:rsidRPr="00934F62">
        <w:rPr>
          <w:rFonts w:cstheme="minorHAnsi"/>
          <w:bCs/>
          <w:highlight w:val="lightGray"/>
        </w:rPr>
        <w:t xml:space="preserve"> ze dne 2. května 2013 č.</w:t>
      </w:r>
      <w:r w:rsidR="00934F62">
        <w:rPr>
          <w:rFonts w:cstheme="minorHAnsi"/>
          <w:bCs/>
          <w:highlight w:val="lightGray"/>
        </w:rPr>
        <w:t> </w:t>
      </w:r>
      <w:r w:rsidRPr="00934F62">
        <w:rPr>
          <w:rFonts w:cstheme="minorHAnsi"/>
          <w:bCs/>
          <w:highlight w:val="lightGray"/>
        </w:rPr>
        <w:t>318</w:t>
      </w:r>
      <w:r w:rsidR="009A7554">
        <w:rPr>
          <w:rFonts w:cstheme="minorHAnsi"/>
          <w:bCs/>
          <w:highlight w:val="lightGray"/>
        </w:rPr>
        <w:t>,</w:t>
      </w:r>
      <w:r w:rsidRPr="00934F62">
        <w:rPr>
          <w:rFonts w:cstheme="minorHAnsi"/>
          <w:bCs/>
          <w:highlight w:val="lightGray"/>
        </w:rPr>
        <w:t xml:space="preserve"> </w:t>
      </w:r>
      <w:r w:rsidRPr="004B4F8D">
        <w:rPr>
          <w:i/>
          <w:highlight w:val="lightGray"/>
        </w:rPr>
        <w:t>k Metodice přípravy veřejných strategií</w:t>
      </w:r>
      <w:r w:rsidRPr="00934F62">
        <w:rPr>
          <w:rFonts w:cstheme="minorHAnsi"/>
          <w:bCs/>
          <w:highlight w:val="lightGray"/>
        </w:rPr>
        <w:t>, resp. usnesením vlády Č</w:t>
      </w:r>
      <w:r w:rsidR="00821C87" w:rsidRPr="00934F62">
        <w:rPr>
          <w:rFonts w:cstheme="minorHAnsi"/>
          <w:bCs/>
          <w:highlight w:val="lightGray"/>
        </w:rPr>
        <w:t>eské republiky</w:t>
      </w:r>
      <w:r w:rsidRPr="00934F62">
        <w:rPr>
          <w:rFonts w:cstheme="minorHAnsi"/>
          <w:bCs/>
          <w:highlight w:val="lightGray"/>
        </w:rPr>
        <w:t xml:space="preserve"> ze dne 28. ledna 2019 č. 71</w:t>
      </w:r>
      <w:r w:rsidR="009A7554">
        <w:rPr>
          <w:rFonts w:cstheme="minorHAnsi"/>
          <w:bCs/>
          <w:highlight w:val="lightGray"/>
        </w:rPr>
        <w:t>,</w:t>
      </w:r>
      <w:r w:rsidRPr="00934F62">
        <w:rPr>
          <w:rFonts w:cstheme="minorHAnsi"/>
          <w:bCs/>
          <w:highlight w:val="lightGray"/>
        </w:rPr>
        <w:t xml:space="preserve"> </w:t>
      </w:r>
      <w:r w:rsidRPr="004B4F8D">
        <w:rPr>
          <w:i/>
          <w:highlight w:val="lightGray"/>
        </w:rPr>
        <w:t>o aktualizaci Metodiky přípravy veřejných strategií</w:t>
      </w:r>
      <w:r w:rsidRPr="00934F62">
        <w:rPr>
          <w:rFonts w:cstheme="minorHAnsi"/>
          <w:bCs/>
          <w:highlight w:val="lightGray"/>
        </w:rPr>
        <w:t xml:space="preserve">. Nadefinování cílů a úkolů </w:t>
      </w:r>
      <w:r w:rsidR="00763F2A">
        <w:rPr>
          <w:rFonts w:cstheme="minorHAnsi"/>
          <w:bCs/>
          <w:highlight w:val="lightGray"/>
        </w:rPr>
        <w:t>k</w:t>
      </w:r>
      <w:r w:rsidRPr="00934F62">
        <w:rPr>
          <w:rFonts w:cstheme="minorHAnsi"/>
          <w:bCs/>
          <w:highlight w:val="lightGray"/>
        </w:rPr>
        <w:t xml:space="preserve">oncepcí OOB </w:t>
      </w:r>
      <w:r w:rsidR="00763F2A">
        <w:rPr>
          <w:rFonts w:cstheme="minorHAnsi"/>
          <w:bCs/>
          <w:highlight w:val="lightGray"/>
        </w:rPr>
        <w:t>d</w:t>
      </w:r>
      <w:r w:rsidR="001008A9">
        <w:rPr>
          <w:rFonts w:cstheme="minorHAnsi"/>
          <w:bCs/>
          <w:highlight w:val="lightGray"/>
        </w:rPr>
        <w:t>le</w:t>
      </w:r>
      <w:r w:rsidR="00763F2A">
        <w:rPr>
          <w:rFonts w:cstheme="minorHAnsi"/>
          <w:bCs/>
          <w:highlight w:val="lightGray"/>
        </w:rPr>
        <w:t xml:space="preserve"> </w:t>
      </w:r>
      <w:r w:rsidRPr="00934F62">
        <w:rPr>
          <w:rFonts w:cstheme="minorHAnsi"/>
          <w:bCs/>
          <w:highlight w:val="lightGray"/>
        </w:rPr>
        <w:t>princip</w:t>
      </w:r>
      <w:r w:rsidR="001008A9">
        <w:rPr>
          <w:rFonts w:cstheme="minorHAnsi"/>
          <w:bCs/>
          <w:highlight w:val="lightGray"/>
        </w:rPr>
        <w:t>ů</w:t>
      </w:r>
      <w:r w:rsidRPr="00934F62">
        <w:rPr>
          <w:rFonts w:cstheme="minorHAnsi"/>
          <w:bCs/>
          <w:highlight w:val="lightGray"/>
        </w:rPr>
        <w:t xml:space="preserve"> SMART je základním předpokladem pro nastavení mj. účelného</w:t>
      </w:r>
      <w:r w:rsidR="00C4743F" w:rsidRPr="00934F62">
        <w:rPr>
          <w:rFonts w:cstheme="minorHAnsi"/>
          <w:bCs/>
          <w:highlight w:val="lightGray"/>
        </w:rPr>
        <w:t xml:space="preserve"> postupu MV</w:t>
      </w:r>
      <w:r w:rsidRPr="00934F62">
        <w:rPr>
          <w:rFonts w:cstheme="minorHAnsi"/>
          <w:bCs/>
          <w:highlight w:val="lightGray"/>
        </w:rPr>
        <w:t>.</w:t>
      </w:r>
      <w:r w:rsidR="004A7EA2" w:rsidRPr="00934F62">
        <w:rPr>
          <w:rFonts w:cstheme="minorHAnsi"/>
          <w:bCs/>
          <w:highlight w:val="lightGray"/>
        </w:rPr>
        <w:t xml:space="preserve"> </w:t>
      </w:r>
      <w:r w:rsidRPr="00934F62">
        <w:rPr>
          <w:rFonts w:cstheme="minorHAnsi"/>
          <w:bCs/>
          <w:highlight w:val="lightGray"/>
        </w:rPr>
        <w:t xml:space="preserve">NKÚ dále ověřoval, zda MV sleduje a vyhodnocuje plnění úkolů </w:t>
      </w:r>
      <w:r w:rsidR="00763F2A">
        <w:rPr>
          <w:rFonts w:cstheme="minorHAnsi"/>
          <w:bCs/>
          <w:highlight w:val="lightGray"/>
        </w:rPr>
        <w:t>k</w:t>
      </w:r>
      <w:r w:rsidRPr="00934F62">
        <w:rPr>
          <w:rFonts w:cstheme="minorHAnsi"/>
          <w:bCs/>
          <w:highlight w:val="lightGray"/>
        </w:rPr>
        <w:t>oncepcí OOB a</w:t>
      </w:r>
      <w:r w:rsidR="00763F2A">
        <w:rPr>
          <w:rFonts w:cstheme="minorHAnsi"/>
          <w:bCs/>
          <w:highlight w:val="lightGray"/>
        </w:rPr>
        <w:t> </w:t>
      </w:r>
      <w:r w:rsidRPr="00934F62">
        <w:rPr>
          <w:rFonts w:cstheme="minorHAnsi"/>
          <w:bCs/>
          <w:highlight w:val="lightGray"/>
        </w:rPr>
        <w:t xml:space="preserve">roli </w:t>
      </w:r>
      <w:proofErr w:type="spellStart"/>
      <w:r w:rsidRPr="00934F62">
        <w:rPr>
          <w:rFonts w:cstheme="minorHAnsi"/>
          <w:bCs/>
          <w:highlight w:val="lightGray"/>
        </w:rPr>
        <w:t>MZd</w:t>
      </w:r>
      <w:proofErr w:type="spellEnd"/>
      <w:r w:rsidRPr="00934F62">
        <w:rPr>
          <w:rFonts w:cstheme="minorHAnsi"/>
          <w:bCs/>
          <w:highlight w:val="lightGray"/>
        </w:rPr>
        <w:t xml:space="preserve"> při přípravě a</w:t>
      </w:r>
      <w:r w:rsidR="000D1B9D">
        <w:rPr>
          <w:rFonts w:cstheme="minorHAnsi"/>
          <w:bCs/>
          <w:highlight w:val="lightGray"/>
        </w:rPr>
        <w:t> </w:t>
      </w:r>
      <w:r w:rsidRPr="00934F62">
        <w:rPr>
          <w:rFonts w:cstheme="minorHAnsi"/>
          <w:bCs/>
          <w:highlight w:val="lightGray"/>
        </w:rPr>
        <w:t xml:space="preserve">plnění úkolů </w:t>
      </w:r>
      <w:r w:rsidR="00763F2A">
        <w:rPr>
          <w:rFonts w:cstheme="minorHAnsi"/>
          <w:bCs/>
          <w:highlight w:val="lightGray"/>
        </w:rPr>
        <w:t>k</w:t>
      </w:r>
      <w:r w:rsidRPr="00934F62">
        <w:rPr>
          <w:rFonts w:cstheme="minorHAnsi"/>
          <w:bCs/>
          <w:highlight w:val="lightGray"/>
        </w:rPr>
        <w:t>oncepcí OOB.</w:t>
      </w:r>
    </w:p>
    <w:p w14:paraId="5DE9FF20" w14:textId="0BF96C41" w:rsidR="00A9144C" w:rsidRDefault="00A9144C" w:rsidP="00A9144C">
      <w:pPr>
        <w:autoSpaceDE w:val="0"/>
        <w:autoSpaceDN w:val="0"/>
        <w:spacing w:before="120"/>
        <w:jc w:val="both"/>
        <w:rPr>
          <w:rFonts w:cstheme="minorHAnsi"/>
        </w:rPr>
      </w:pPr>
      <w:r w:rsidRPr="004774FC">
        <w:rPr>
          <w:rFonts w:cstheme="minorHAnsi"/>
          <w:color w:val="000000"/>
        </w:rPr>
        <w:t xml:space="preserve">MV zpracovalo </w:t>
      </w:r>
      <w:r w:rsidR="00692891">
        <w:rPr>
          <w:rFonts w:cstheme="minorHAnsi"/>
          <w:color w:val="000000"/>
        </w:rPr>
        <w:t xml:space="preserve">v souladu se </w:t>
      </w:r>
      <w:r w:rsidR="00692891">
        <w:rPr>
          <w:rFonts w:cstheme="minorHAnsi"/>
        </w:rPr>
        <w:t xml:space="preserve">zákonem o </w:t>
      </w:r>
      <w:r w:rsidR="00692891" w:rsidRPr="00E7521C">
        <w:rPr>
          <w:rFonts w:ascii="Calibri" w:eastAsia="Calibri" w:hAnsi="Calibri" w:cs="Calibri"/>
        </w:rPr>
        <w:t>integrovaném záchranném systému</w:t>
      </w:r>
      <w:r w:rsidR="00692891">
        <w:rPr>
          <w:rFonts w:ascii="Calibri" w:eastAsia="Calibri" w:hAnsi="Calibri" w:cs="Calibri"/>
        </w:rPr>
        <w:t xml:space="preserve"> </w:t>
      </w:r>
      <w:r w:rsidRPr="004774FC">
        <w:rPr>
          <w:rFonts w:cstheme="minorHAnsi"/>
          <w:color w:val="000000"/>
        </w:rPr>
        <w:t xml:space="preserve">od roku 2002 celkem čtyři </w:t>
      </w:r>
      <w:r w:rsidR="00763F2A">
        <w:rPr>
          <w:rFonts w:cstheme="minorHAnsi"/>
          <w:color w:val="000000"/>
        </w:rPr>
        <w:t>k</w:t>
      </w:r>
      <w:r w:rsidRPr="004774FC">
        <w:rPr>
          <w:rFonts w:cstheme="minorHAnsi"/>
          <w:color w:val="000000"/>
        </w:rPr>
        <w:t xml:space="preserve">oncepce OOB – Koncepci 2006, Koncepci 2013, Koncepci 2020 a Koncepci </w:t>
      </w:r>
      <w:r w:rsidRPr="00EE43D3">
        <w:rPr>
          <w:rFonts w:cstheme="minorHAnsi"/>
          <w:color w:val="000000"/>
        </w:rPr>
        <w:t xml:space="preserve">2025 </w:t>
      </w:r>
      <w:r w:rsidRPr="00763F2A">
        <w:rPr>
          <w:rFonts w:cstheme="minorHAnsi"/>
          <w:b/>
          <w:color w:val="000000"/>
        </w:rPr>
        <w:t>(</w:t>
      </w:r>
      <w:r w:rsidRPr="00EE43D3">
        <w:rPr>
          <w:rFonts w:cstheme="minorHAnsi"/>
          <w:b/>
          <w:color w:val="000000"/>
        </w:rPr>
        <w:t>viz část II.</w:t>
      </w:r>
      <w:r w:rsidRPr="00763F2A">
        <w:rPr>
          <w:rFonts w:cstheme="minorHAnsi"/>
          <w:b/>
          <w:color w:val="000000"/>
        </w:rPr>
        <w:t>).</w:t>
      </w:r>
      <w:r w:rsidRPr="00EE43D3">
        <w:rPr>
          <w:rFonts w:cstheme="minorHAnsi"/>
          <w:color w:val="000000"/>
        </w:rPr>
        <w:t xml:space="preserve"> </w:t>
      </w:r>
      <w:r w:rsidRPr="00EE43D3">
        <w:rPr>
          <w:rFonts w:cstheme="minorHAnsi"/>
        </w:rPr>
        <w:t>Koncepce</w:t>
      </w:r>
      <w:r w:rsidRPr="004774FC">
        <w:rPr>
          <w:rFonts w:cstheme="minorHAnsi"/>
        </w:rPr>
        <w:t xml:space="preserve"> vždy tvoří textová část, která obsahuje priority, obecné cíle a vize v</w:t>
      </w:r>
      <w:r w:rsidR="00060309">
        <w:rPr>
          <w:rFonts w:cstheme="minorHAnsi"/>
        </w:rPr>
        <w:t> </w:t>
      </w:r>
      <w:r w:rsidRPr="004774FC">
        <w:rPr>
          <w:rFonts w:cstheme="minorHAnsi"/>
        </w:rPr>
        <w:t xml:space="preserve">jednotlivých oblastech OOB, na kterou navazují harmonogramy </w:t>
      </w:r>
      <w:r w:rsidR="007C7797">
        <w:rPr>
          <w:rFonts w:cstheme="minorHAnsi"/>
        </w:rPr>
        <w:t>úkolů</w:t>
      </w:r>
      <w:r w:rsidRPr="004774FC">
        <w:rPr>
          <w:rFonts w:cstheme="minorHAnsi"/>
        </w:rPr>
        <w:t xml:space="preserve"> pro jednotlivé subjekty (</w:t>
      </w:r>
      <w:r w:rsidR="00907171">
        <w:rPr>
          <w:rFonts w:cstheme="minorHAnsi"/>
        </w:rPr>
        <w:t>zpravidla</w:t>
      </w:r>
      <w:r w:rsidRPr="004774FC">
        <w:rPr>
          <w:rFonts w:cstheme="minorHAnsi"/>
        </w:rPr>
        <w:t xml:space="preserve"> ministerstva).</w:t>
      </w:r>
      <w:r w:rsidR="007C7797">
        <w:rPr>
          <w:rFonts w:cstheme="minorHAnsi"/>
        </w:rPr>
        <w:t xml:space="preserve"> Koncepce</w:t>
      </w:r>
      <w:r w:rsidR="00692891">
        <w:rPr>
          <w:rFonts w:cstheme="minorHAnsi"/>
        </w:rPr>
        <w:t xml:space="preserve"> OOB</w:t>
      </w:r>
      <w:r w:rsidR="007C7797">
        <w:rPr>
          <w:rFonts w:cstheme="minorHAnsi"/>
        </w:rPr>
        <w:t xml:space="preserve"> byly zpracovány dle dokumentů bezpečnostní politiky</w:t>
      </w:r>
      <w:r w:rsidR="00692891">
        <w:rPr>
          <w:rFonts w:cstheme="minorHAnsi"/>
        </w:rPr>
        <w:t xml:space="preserve"> ČR</w:t>
      </w:r>
      <w:r w:rsidR="007C7797">
        <w:rPr>
          <w:rFonts w:cstheme="minorHAnsi"/>
        </w:rPr>
        <w:t>, které nepředpokládaly masivní vojenský útok proti ČR.</w:t>
      </w:r>
    </w:p>
    <w:p w14:paraId="3EE41159" w14:textId="7ABAB866" w:rsidR="00692891" w:rsidRPr="00763F2A" w:rsidRDefault="00692891" w:rsidP="00934F62">
      <w:pPr>
        <w:pStyle w:val="Mluvcnadpis"/>
        <w:spacing w:before="240"/>
        <w:rPr>
          <w:rFonts w:ascii="Calibri" w:hAnsi="Calibri" w:cs="Calibri"/>
          <w:i w:val="0"/>
        </w:rPr>
      </w:pPr>
      <w:r w:rsidRPr="00763F2A">
        <w:rPr>
          <w:rFonts w:ascii="Calibri" w:hAnsi="Calibri" w:cs="Calibri"/>
        </w:rPr>
        <w:t>→</w:t>
      </w:r>
      <w:r w:rsidRPr="00763F2A">
        <w:rPr>
          <w:rFonts w:ascii="Calibri" w:hAnsi="Calibri" w:cs="Calibri"/>
        </w:rPr>
        <w:tab/>
      </w:r>
      <w:r w:rsidRPr="00763F2A">
        <w:rPr>
          <w:rFonts w:ascii="Calibri" w:hAnsi="Calibri" w:cs="Calibri"/>
          <w:i w:val="0"/>
        </w:rPr>
        <w:t xml:space="preserve">MV nezpracovalo </w:t>
      </w:r>
      <w:r w:rsidR="00763F2A">
        <w:rPr>
          <w:rFonts w:ascii="Calibri" w:hAnsi="Calibri" w:cs="Calibri"/>
          <w:i w:val="0"/>
        </w:rPr>
        <w:t>k</w:t>
      </w:r>
      <w:r w:rsidRPr="00763F2A">
        <w:rPr>
          <w:rFonts w:ascii="Calibri" w:hAnsi="Calibri" w:cs="Calibri"/>
          <w:i w:val="0"/>
        </w:rPr>
        <w:t>oncepce OOB dle požadavků metodik pro jejich tvorbu</w:t>
      </w:r>
    </w:p>
    <w:p w14:paraId="74ED6A2E" w14:textId="2ECA57D0" w:rsidR="00A9144C" w:rsidRPr="004774FC" w:rsidRDefault="00A9144C" w:rsidP="00060309">
      <w:pPr>
        <w:autoSpaceDE w:val="0"/>
        <w:autoSpaceDN w:val="0"/>
        <w:spacing w:before="120"/>
        <w:jc w:val="both"/>
        <w:rPr>
          <w:rFonts w:cstheme="minorHAnsi"/>
        </w:rPr>
      </w:pPr>
      <w:r w:rsidRPr="004774FC">
        <w:rPr>
          <w:rFonts w:cstheme="minorHAnsi"/>
        </w:rPr>
        <w:t>Metodiky přípravy veřejných strategií z roku 2013, resp. 2019</w:t>
      </w:r>
      <w:r w:rsidR="00E97B21">
        <w:rPr>
          <w:rFonts w:cstheme="minorHAnsi"/>
        </w:rPr>
        <w:t xml:space="preserve"> </w:t>
      </w:r>
      <w:r w:rsidRPr="004774FC">
        <w:rPr>
          <w:rFonts w:cstheme="minorHAnsi"/>
        </w:rPr>
        <w:t xml:space="preserve">mj. stanoví, že cíle musí být definovány v souladu s principy SMART. Při kontrole stanovení některých cílů (úkolů) </w:t>
      </w:r>
      <w:r w:rsidR="00763F2A">
        <w:rPr>
          <w:rFonts w:cstheme="minorHAnsi"/>
        </w:rPr>
        <w:t>k</w:t>
      </w:r>
      <w:r w:rsidRPr="004774FC">
        <w:rPr>
          <w:rFonts w:cstheme="minorHAnsi"/>
        </w:rPr>
        <w:t>oncepcí OOB zjistil</w:t>
      </w:r>
      <w:r w:rsidR="00763F2A" w:rsidRPr="00763F2A">
        <w:rPr>
          <w:rFonts w:cstheme="minorHAnsi"/>
        </w:rPr>
        <w:t xml:space="preserve"> </w:t>
      </w:r>
      <w:r w:rsidR="00763F2A" w:rsidRPr="004774FC">
        <w:rPr>
          <w:rFonts w:cstheme="minorHAnsi"/>
        </w:rPr>
        <w:t>NKÚ</w:t>
      </w:r>
      <w:r w:rsidRPr="004774FC">
        <w:rPr>
          <w:rFonts w:cstheme="minorHAnsi"/>
        </w:rPr>
        <w:t xml:space="preserve">, že tak definovány nebyly, tj. nesplňovaly některé z principů specifičnosti (S), měřitelnosti (M), dosažitelnosti (A), realističnosti (R) a časové vymezenosti (T): </w:t>
      </w:r>
    </w:p>
    <w:p w14:paraId="530F54B4" w14:textId="19B0A917" w:rsidR="00A9144C" w:rsidRPr="004774FC" w:rsidRDefault="00A9144C" w:rsidP="00060309">
      <w:pPr>
        <w:pStyle w:val="Odstavecseseznamem"/>
        <w:numPr>
          <w:ilvl w:val="0"/>
          <w:numId w:val="12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4774FC">
        <w:rPr>
          <w:rFonts w:cstheme="minorHAnsi"/>
          <w:bCs/>
          <w:sz w:val="24"/>
          <w:szCs w:val="24"/>
        </w:rPr>
        <w:t>v Koncepci 2020 např. úkol: s</w:t>
      </w:r>
      <w:r w:rsidRPr="004774FC">
        <w:rPr>
          <w:rFonts w:cstheme="minorHAnsi"/>
          <w:i/>
          <w:sz w:val="24"/>
          <w:szCs w:val="24"/>
        </w:rPr>
        <w:t>ystematicky vytvářet zdroje pro obměnu a nákup nové techniky pro efektivní, účinný a rychlý zásah složek integrovaného záchranného systému v</w:t>
      </w:r>
      <w:r w:rsidR="00060309">
        <w:rPr>
          <w:rFonts w:cstheme="minorHAnsi"/>
          <w:i/>
          <w:sz w:val="24"/>
          <w:szCs w:val="24"/>
        </w:rPr>
        <w:t> </w:t>
      </w:r>
      <w:r w:rsidRPr="004774FC">
        <w:rPr>
          <w:rFonts w:cstheme="minorHAnsi"/>
          <w:i/>
          <w:sz w:val="24"/>
          <w:szCs w:val="24"/>
        </w:rPr>
        <w:t xml:space="preserve">souladu s požadavky na zajištění jejich akceschopnosti pro záchranné a likvidační práce na celém území České republiky za využití jak </w:t>
      </w:r>
      <w:r w:rsidR="008218F8" w:rsidRPr="004774FC">
        <w:rPr>
          <w:rFonts w:cstheme="minorHAnsi"/>
          <w:i/>
          <w:sz w:val="24"/>
          <w:szCs w:val="24"/>
        </w:rPr>
        <w:t>národních,</w:t>
      </w:r>
      <w:r w:rsidRPr="004774FC">
        <w:rPr>
          <w:rFonts w:cstheme="minorHAnsi"/>
          <w:i/>
          <w:sz w:val="24"/>
          <w:szCs w:val="24"/>
        </w:rPr>
        <w:t xml:space="preserve"> tak i mezinárodních zdrojů</w:t>
      </w:r>
      <w:r w:rsidRPr="00F83B0E">
        <w:rPr>
          <w:rFonts w:cstheme="minorHAnsi"/>
          <w:sz w:val="24"/>
          <w:szCs w:val="24"/>
        </w:rPr>
        <w:t>;</w:t>
      </w:r>
      <w:r w:rsidRPr="004774FC">
        <w:rPr>
          <w:rFonts w:cstheme="minorHAnsi"/>
          <w:i/>
          <w:sz w:val="24"/>
          <w:szCs w:val="24"/>
        </w:rPr>
        <w:t xml:space="preserve"> </w:t>
      </w:r>
    </w:p>
    <w:p w14:paraId="5427437F" w14:textId="382F458E" w:rsidR="00776C30" w:rsidRPr="00776C30" w:rsidRDefault="00A9144C" w:rsidP="00060309">
      <w:pPr>
        <w:pStyle w:val="Odstavecseseznamem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774FC">
        <w:rPr>
          <w:rFonts w:cstheme="minorHAnsi"/>
          <w:bCs/>
          <w:sz w:val="24"/>
          <w:szCs w:val="24"/>
        </w:rPr>
        <w:t>v Koncepci 2025 např. úkol: s</w:t>
      </w:r>
      <w:r w:rsidRPr="004774FC">
        <w:rPr>
          <w:rFonts w:cstheme="minorHAnsi"/>
          <w:i/>
          <w:sz w:val="24"/>
          <w:szCs w:val="24"/>
        </w:rPr>
        <w:t>tandardizovat a zajistit materiálně technické zabezpečení plnění úkolů ochrany obyvatelstva.</w:t>
      </w:r>
    </w:p>
    <w:p w14:paraId="19A6992C" w14:textId="2397989C" w:rsidR="00A9144C" w:rsidRPr="004774FC" w:rsidRDefault="00A9144C" w:rsidP="00A9144C">
      <w:pPr>
        <w:autoSpaceDE w:val="0"/>
        <w:autoSpaceDN w:val="0"/>
        <w:spacing w:before="120" w:after="120"/>
        <w:jc w:val="both"/>
        <w:rPr>
          <w:rFonts w:cstheme="minorHAnsi"/>
        </w:rPr>
      </w:pPr>
      <w:r w:rsidRPr="004774FC">
        <w:rPr>
          <w:rFonts w:cstheme="minorHAnsi"/>
        </w:rPr>
        <w:t>Výše uvedené úkoly nestanovilo MV specificky (tj. úkol není přesně popsán) a měřitelně (tj.</w:t>
      </w:r>
      <w:r w:rsidR="00060309">
        <w:rPr>
          <w:rFonts w:cstheme="minorHAnsi"/>
        </w:rPr>
        <w:t> </w:t>
      </w:r>
      <w:r w:rsidRPr="004774FC">
        <w:rPr>
          <w:rFonts w:cstheme="minorHAnsi"/>
        </w:rPr>
        <w:t>dosažení úkolu není měřitelné). MV tak nepostupovalo v souladu s usneseními vlády č.</w:t>
      </w:r>
      <w:r w:rsidR="00060309">
        <w:rPr>
          <w:rFonts w:cstheme="minorHAnsi"/>
        </w:rPr>
        <w:t> </w:t>
      </w:r>
      <w:r w:rsidRPr="004774FC">
        <w:rPr>
          <w:rFonts w:cstheme="minorHAnsi"/>
        </w:rPr>
        <w:t xml:space="preserve">318/2013 a č. 71/2019, které ukládaly MV podle metodik při tvorbě </w:t>
      </w:r>
      <w:r w:rsidR="00763F2A">
        <w:rPr>
          <w:rFonts w:cstheme="minorHAnsi"/>
        </w:rPr>
        <w:t>k</w:t>
      </w:r>
      <w:r w:rsidRPr="004774FC">
        <w:rPr>
          <w:rFonts w:cstheme="minorHAnsi"/>
        </w:rPr>
        <w:t>oncepcí OOB postupovat</w:t>
      </w:r>
      <w:r w:rsidR="001008A9">
        <w:rPr>
          <w:rFonts w:cstheme="minorHAnsi"/>
        </w:rPr>
        <w:t>,</w:t>
      </w:r>
      <w:r w:rsidRPr="004774FC">
        <w:rPr>
          <w:rFonts w:cstheme="minorHAnsi"/>
        </w:rPr>
        <w:t xml:space="preserve"> a tím </w:t>
      </w:r>
      <w:r w:rsidR="00A846D3">
        <w:rPr>
          <w:rFonts w:cstheme="minorHAnsi"/>
        </w:rPr>
        <w:t>porušilo ustanovení</w:t>
      </w:r>
      <w:r w:rsidRPr="004774FC">
        <w:rPr>
          <w:rFonts w:cstheme="minorHAnsi"/>
        </w:rPr>
        <w:t xml:space="preserve"> § 21 </w:t>
      </w:r>
      <w:r w:rsidR="008D7EEE">
        <w:rPr>
          <w:rFonts w:cstheme="minorHAnsi"/>
        </w:rPr>
        <w:t>kompetenčního zákona</w:t>
      </w:r>
      <w:r w:rsidR="00A846D3">
        <w:rPr>
          <w:rFonts w:cstheme="minorHAnsi"/>
        </w:rPr>
        <w:t>.</w:t>
      </w:r>
      <w:r w:rsidRPr="004774FC">
        <w:rPr>
          <w:rFonts w:cstheme="minorHAnsi"/>
        </w:rPr>
        <w:t xml:space="preserve"> Tím, že MV nestanovilo cíle v souladu s princip</w:t>
      </w:r>
      <w:r w:rsidR="00C90F33">
        <w:rPr>
          <w:rFonts w:cstheme="minorHAnsi"/>
        </w:rPr>
        <w:t>y</w:t>
      </w:r>
      <w:r w:rsidRPr="004774FC">
        <w:rPr>
          <w:rFonts w:cstheme="minorHAnsi"/>
        </w:rPr>
        <w:t xml:space="preserve"> SMART, nemohlo následně hodnotit přínos vynaložených peněžních prostředků </w:t>
      </w:r>
      <w:r w:rsidR="00362CE6">
        <w:rPr>
          <w:rFonts w:cstheme="minorHAnsi"/>
        </w:rPr>
        <w:t>státního rozpočtu</w:t>
      </w:r>
      <w:r w:rsidR="00362CE6" w:rsidRPr="004774FC">
        <w:rPr>
          <w:rFonts w:cstheme="minorHAnsi"/>
        </w:rPr>
        <w:t xml:space="preserve"> </w:t>
      </w:r>
      <w:r w:rsidRPr="004774FC">
        <w:rPr>
          <w:rFonts w:cstheme="minorHAnsi"/>
        </w:rPr>
        <w:t>a vyhodnocovat účelnost výdajů.</w:t>
      </w:r>
    </w:p>
    <w:p w14:paraId="274EECE6" w14:textId="43FCC99E" w:rsidR="00A9144C" w:rsidRPr="004774FC" w:rsidRDefault="00A9144C" w:rsidP="00060309">
      <w:pPr>
        <w:jc w:val="both"/>
        <w:rPr>
          <w:rFonts w:cstheme="minorHAnsi"/>
        </w:rPr>
      </w:pPr>
      <w:r w:rsidRPr="004774FC">
        <w:rPr>
          <w:rFonts w:cstheme="minorHAnsi"/>
        </w:rPr>
        <w:t>Metodiky</w:t>
      </w:r>
      <w:r w:rsidR="00692891" w:rsidRPr="004774FC">
        <w:rPr>
          <w:rStyle w:val="Znakapoznpodarou"/>
        </w:rPr>
        <w:footnoteReference w:id="24"/>
      </w:r>
      <w:r w:rsidR="00DC38B8">
        <w:rPr>
          <w:rFonts w:cstheme="minorHAnsi"/>
        </w:rPr>
        <w:t xml:space="preserve"> </w:t>
      </w:r>
      <w:r w:rsidRPr="004774FC">
        <w:rPr>
          <w:rFonts w:cstheme="minorHAnsi"/>
        </w:rPr>
        <w:t>upravují rovněž otázku sestavení rozpočtu implementace koncepce</w:t>
      </w:r>
      <w:r w:rsidR="00A846D3">
        <w:rPr>
          <w:rFonts w:cstheme="minorHAnsi"/>
        </w:rPr>
        <w:t>.</w:t>
      </w:r>
      <w:r w:rsidRPr="004774FC">
        <w:rPr>
          <w:rFonts w:cstheme="minorHAnsi"/>
        </w:rPr>
        <w:t xml:space="preserve"> </w:t>
      </w:r>
      <w:r w:rsidR="00A846D3">
        <w:rPr>
          <w:rFonts w:cstheme="minorHAnsi"/>
        </w:rPr>
        <w:t>K</w:t>
      </w:r>
      <w:r w:rsidRPr="004774FC">
        <w:rPr>
          <w:rFonts w:cstheme="minorHAnsi"/>
        </w:rPr>
        <w:t>líčovým krokem její tvorby je totiž zajištění prostředků na její financování.</w:t>
      </w:r>
      <w:r w:rsidR="00E97B21">
        <w:rPr>
          <w:rFonts w:cstheme="minorHAnsi"/>
        </w:rPr>
        <w:t xml:space="preserve"> </w:t>
      </w:r>
      <w:r w:rsidR="00773743">
        <w:rPr>
          <w:rFonts w:cstheme="minorHAnsi"/>
          <w:bCs/>
        </w:rPr>
        <w:t>NKÚ zjistil</w:t>
      </w:r>
      <w:r w:rsidRPr="004774FC">
        <w:rPr>
          <w:rFonts w:cstheme="minorHAnsi"/>
          <w:bCs/>
        </w:rPr>
        <w:t xml:space="preserve">, že MV </w:t>
      </w:r>
      <w:r w:rsidRPr="004774FC">
        <w:rPr>
          <w:rFonts w:cstheme="minorHAnsi"/>
        </w:rPr>
        <w:t xml:space="preserve">stanovilo některé úkoly </w:t>
      </w:r>
      <w:r w:rsidR="00C90F33">
        <w:rPr>
          <w:rFonts w:cstheme="minorHAnsi"/>
        </w:rPr>
        <w:t>k</w:t>
      </w:r>
      <w:r w:rsidRPr="004774FC">
        <w:rPr>
          <w:rFonts w:cstheme="minorHAnsi"/>
        </w:rPr>
        <w:t xml:space="preserve">oncepcí OOB bez vazby na předpokládaný objem peněžních prostředků </w:t>
      </w:r>
      <w:r w:rsidR="00362CE6">
        <w:rPr>
          <w:rFonts w:cstheme="minorHAnsi"/>
        </w:rPr>
        <w:t>státního rozpočtu</w:t>
      </w:r>
      <w:r w:rsidRPr="004774FC">
        <w:rPr>
          <w:rFonts w:cstheme="minorHAnsi"/>
        </w:rPr>
        <w:t>, přestože z jejich věcného zaměření vyplývá, že při plnění úkolu dojde k jejich vynaložení:</w:t>
      </w:r>
    </w:p>
    <w:p w14:paraId="19E30B13" w14:textId="53CF8425" w:rsidR="00A9144C" w:rsidRPr="004774FC" w:rsidRDefault="00B44B0D" w:rsidP="00060309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např. </w:t>
      </w:r>
      <w:r w:rsidR="00A9144C" w:rsidRPr="004774FC">
        <w:rPr>
          <w:rFonts w:cstheme="minorHAnsi"/>
          <w:bCs/>
          <w:sz w:val="24"/>
          <w:szCs w:val="24"/>
        </w:rPr>
        <w:t>v Koncepci 2006 je to</w:t>
      </w:r>
      <w:r>
        <w:rPr>
          <w:rFonts w:cstheme="minorHAnsi"/>
          <w:bCs/>
          <w:sz w:val="24"/>
          <w:szCs w:val="24"/>
        </w:rPr>
        <w:t xml:space="preserve"> </w:t>
      </w:r>
      <w:r w:rsidR="007D0D7B" w:rsidRPr="004774FC">
        <w:rPr>
          <w:rFonts w:cstheme="minorHAnsi"/>
          <w:bCs/>
          <w:sz w:val="24"/>
          <w:szCs w:val="24"/>
        </w:rPr>
        <w:t>úkol</w:t>
      </w:r>
      <w:r w:rsidR="007D0D7B">
        <w:rPr>
          <w:rFonts w:cstheme="minorHAnsi"/>
          <w:bCs/>
          <w:sz w:val="24"/>
          <w:szCs w:val="24"/>
        </w:rPr>
        <w:t xml:space="preserve"> </w:t>
      </w:r>
      <w:r w:rsidR="00C90F33">
        <w:rPr>
          <w:rFonts w:cstheme="minorHAnsi"/>
          <w:bCs/>
          <w:sz w:val="24"/>
          <w:szCs w:val="24"/>
        </w:rPr>
        <w:t>„</w:t>
      </w:r>
      <w:r w:rsidR="007D0D7B">
        <w:rPr>
          <w:rFonts w:cstheme="minorHAnsi"/>
          <w:bCs/>
          <w:sz w:val="24"/>
          <w:szCs w:val="24"/>
        </w:rPr>
        <w:t>zahájit</w:t>
      </w:r>
      <w:r w:rsidR="00A9144C" w:rsidRPr="004774FC">
        <w:rPr>
          <w:rFonts w:cstheme="minorHAnsi"/>
          <w:i/>
          <w:sz w:val="24"/>
          <w:szCs w:val="24"/>
        </w:rPr>
        <w:t xml:space="preserve"> materiální vybavení a přípravu složek integrovaného záchranného systému, včetně zařízení civilní ochrany, k plnění úkolů ochrany obyvatelstva při mimořádných událostech</w:t>
      </w:r>
      <w:r w:rsidR="00C90F33">
        <w:rPr>
          <w:rFonts w:cstheme="minorHAnsi"/>
          <w:sz w:val="24"/>
          <w:szCs w:val="24"/>
        </w:rPr>
        <w:t>“</w:t>
      </w:r>
      <w:r w:rsidR="00A9144C" w:rsidRPr="00F83B0E">
        <w:rPr>
          <w:rFonts w:cstheme="minorHAnsi"/>
          <w:sz w:val="24"/>
          <w:szCs w:val="24"/>
        </w:rPr>
        <w:t>;</w:t>
      </w:r>
    </w:p>
    <w:p w14:paraId="362C9160" w14:textId="5B0D5FCC" w:rsidR="00A9144C" w:rsidRPr="00F83B0E" w:rsidRDefault="00A9144C" w:rsidP="00060309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4774FC">
        <w:rPr>
          <w:rFonts w:cstheme="minorHAnsi"/>
          <w:bCs/>
          <w:sz w:val="24"/>
          <w:szCs w:val="24"/>
        </w:rPr>
        <w:lastRenderedPageBreak/>
        <w:t xml:space="preserve">v Koncepci 2013 </w:t>
      </w:r>
      <w:r w:rsidR="007D0D7B" w:rsidRPr="004774FC">
        <w:rPr>
          <w:rFonts w:cstheme="minorHAnsi"/>
          <w:bCs/>
          <w:sz w:val="24"/>
          <w:szCs w:val="24"/>
        </w:rPr>
        <w:t>úkoly</w:t>
      </w:r>
      <w:r w:rsidR="007D0D7B">
        <w:rPr>
          <w:rFonts w:cstheme="minorHAnsi"/>
          <w:bCs/>
          <w:sz w:val="24"/>
          <w:szCs w:val="24"/>
        </w:rPr>
        <w:t xml:space="preserve"> </w:t>
      </w:r>
      <w:r w:rsidR="00C90F33">
        <w:rPr>
          <w:rFonts w:cstheme="minorHAnsi"/>
          <w:bCs/>
          <w:sz w:val="24"/>
          <w:szCs w:val="24"/>
        </w:rPr>
        <w:t>„</w:t>
      </w:r>
      <w:r w:rsidR="007D0D7B" w:rsidRPr="00F83B0E">
        <w:rPr>
          <w:rFonts w:cstheme="minorHAnsi"/>
          <w:bCs/>
          <w:i/>
          <w:sz w:val="24"/>
          <w:szCs w:val="24"/>
        </w:rPr>
        <w:t>k</w:t>
      </w:r>
      <w:r w:rsidRPr="00C90F33">
        <w:rPr>
          <w:rFonts w:cstheme="minorHAnsi"/>
          <w:i/>
          <w:sz w:val="24"/>
          <w:szCs w:val="24"/>
        </w:rPr>
        <w:t xml:space="preserve"> </w:t>
      </w:r>
      <w:r w:rsidRPr="004774FC">
        <w:rPr>
          <w:rFonts w:cstheme="minorHAnsi"/>
          <w:i/>
          <w:sz w:val="24"/>
          <w:szCs w:val="24"/>
        </w:rPr>
        <w:t>provádění dekontaminace osob a techniky vybavit předurčené jednotky HZS ČR (opěrné body) mobilními prostředky</w:t>
      </w:r>
      <w:r w:rsidR="00C90F33">
        <w:rPr>
          <w:rFonts w:cstheme="minorHAnsi"/>
          <w:sz w:val="24"/>
          <w:szCs w:val="24"/>
        </w:rPr>
        <w:t>“</w:t>
      </w:r>
      <w:r w:rsidRPr="004774FC">
        <w:rPr>
          <w:rFonts w:cstheme="minorHAnsi"/>
          <w:i/>
          <w:sz w:val="24"/>
          <w:szCs w:val="24"/>
        </w:rPr>
        <w:t xml:space="preserve"> </w:t>
      </w:r>
      <w:r w:rsidRPr="004774FC">
        <w:rPr>
          <w:rFonts w:cstheme="minorHAnsi"/>
          <w:sz w:val="24"/>
          <w:szCs w:val="24"/>
        </w:rPr>
        <w:t xml:space="preserve">nebo </w:t>
      </w:r>
      <w:r w:rsidR="00C90F33">
        <w:rPr>
          <w:rFonts w:cstheme="minorHAnsi"/>
          <w:sz w:val="24"/>
          <w:szCs w:val="24"/>
        </w:rPr>
        <w:t>„</w:t>
      </w:r>
      <w:r w:rsidRPr="004774FC">
        <w:rPr>
          <w:rFonts w:cstheme="minorHAnsi"/>
          <w:i/>
          <w:sz w:val="24"/>
          <w:szCs w:val="24"/>
        </w:rPr>
        <w:t>dokončit obměnu elektrických rotačních sirén za moderní koncové prvky varování</w:t>
      </w:r>
      <w:r w:rsidR="00C90F33">
        <w:rPr>
          <w:rFonts w:cstheme="minorHAnsi"/>
          <w:sz w:val="24"/>
          <w:szCs w:val="24"/>
        </w:rPr>
        <w:t>“</w:t>
      </w:r>
      <w:r w:rsidRPr="00F83B0E">
        <w:rPr>
          <w:rFonts w:cstheme="minorHAnsi"/>
          <w:sz w:val="24"/>
          <w:szCs w:val="24"/>
        </w:rPr>
        <w:t>;</w:t>
      </w:r>
    </w:p>
    <w:p w14:paraId="66D1CF90" w14:textId="2B210594" w:rsidR="00A9144C" w:rsidRPr="00F83B0E" w:rsidRDefault="00A9144C" w:rsidP="00060309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4774FC">
        <w:rPr>
          <w:rFonts w:cstheme="minorHAnsi"/>
          <w:bCs/>
          <w:sz w:val="24"/>
          <w:szCs w:val="24"/>
        </w:rPr>
        <w:t xml:space="preserve">v Koncepci 2020 </w:t>
      </w:r>
      <w:r w:rsidR="007D0D7B" w:rsidRPr="004774FC">
        <w:rPr>
          <w:rFonts w:cstheme="minorHAnsi"/>
          <w:bCs/>
          <w:sz w:val="24"/>
          <w:szCs w:val="24"/>
        </w:rPr>
        <w:t>úkol</w:t>
      </w:r>
      <w:r w:rsidR="007D0D7B">
        <w:rPr>
          <w:rFonts w:cstheme="minorHAnsi"/>
          <w:bCs/>
          <w:sz w:val="24"/>
          <w:szCs w:val="24"/>
        </w:rPr>
        <w:t xml:space="preserve"> </w:t>
      </w:r>
      <w:r w:rsidR="00C90F33">
        <w:rPr>
          <w:rFonts w:cstheme="minorHAnsi"/>
          <w:bCs/>
          <w:sz w:val="24"/>
          <w:szCs w:val="24"/>
        </w:rPr>
        <w:t>„</w:t>
      </w:r>
      <w:r w:rsidR="007D0D7B" w:rsidRPr="00F83B0E">
        <w:rPr>
          <w:rFonts w:cstheme="minorHAnsi"/>
          <w:bCs/>
          <w:i/>
          <w:sz w:val="24"/>
          <w:szCs w:val="24"/>
        </w:rPr>
        <w:t>rozšiřovat</w:t>
      </w:r>
      <w:r w:rsidRPr="00C90F33">
        <w:rPr>
          <w:rFonts w:cstheme="minorHAnsi"/>
          <w:i/>
          <w:sz w:val="24"/>
          <w:szCs w:val="24"/>
        </w:rPr>
        <w:t xml:space="preserve"> </w:t>
      </w:r>
      <w:r w:rsidRPr="004774FC">
        <w:rPr>
          <w:rFonts w:cstheme="minorHAnsi"/>
          <w:i/>
          <w:sz w:val="24"/>
          <w:szCs w:val="24"/>
        </w:rPr>
        <w:t>využívání infrastruktury jednotného systému varování a</w:t>
      </w:r>
      <w:r w:rsidR="00060309">
        <w:rPr>
          <w:rFonts w:cstheme="minorHAnsi"/>
          <w:i/>
          <w:sz w:val="24"/>
          <w:szCs w:val="24"/>
        </w:rPr>
        <w:t> </w:t>
      </w:r>
      <w:r w:rsidRPr="004774FC">
        <w:rPr>
          <w:rFonts w:cstheme="minorHAnsi"/>
          <w:i/>
          <w:sz w:val="24"/>
          <w:szCs w:val="24"/>
        </w:rPr>
        <w:t>informování obyvatelstva o další funkcionality (např. s podporou instalace snímačů sběru dat realizovat přenos dat od čidel detekujících nebezpečné látky, čidel měření výšky vodní hladiny nebo srážkoměrů)</w:t>
      </w:r>
      <w:r w:rsidR="00C90F33">
        <w:rPr>
          <w:rFonts w:cstheme="minorHAnsi"/>
          <w:sz w:val="24"/>
          <w:szCs w:val="24"/>
        </w:rPr>
        <w:t>“</w:t>
      </w:r>
      <w:r w:rsidRPr="00F83B0E">
        <w:rPr>
          <w:rFonts w:cstheme="minorHAnsi"/>
          <w:sz w:val="24"/>
          <w:szCs w:val="24"/>
        </w:rPr>
        <w:t>;</w:t>
      </w:r>
    </w:p>
    <w:p w14:paraId="1A14B04A" w14:textId="2CDFCAE5" w:rsidR="00A9144C" w:rsidRPr="00F83B0E" w:rsidRDefault="00A9144C" w:rsidP="00060309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4774FC">
        <w:rPr>
          <w:rFonts w:cstheme="minorHAnsi"/>
          <w:bCs/>
          <w:sz w:val="24"/>
          <w:szCs w:val="24"/>
        </w:rPr>
        <w:t xml:space="preserve">a v Koncepci 2025 </w:t>
      </w:r>
      <w:r w:rsidR="00B44B0D">
        <w:rPr>
          <w:rFonts w:cstheme="minorHAnsi"/>
          <w:bCs/>
          <w:sz w:val="24"/>
          <w:szCs w:val="24"/>
        </w:rPr>
        <w:t xml:space="preserve">úkol </w:t>
      </w:r>
      <w:r w:rsidR="00C90F33">
        <w:rPr>
          <w:rFonts w:cstheme="minorHAnsi"/>
          <w:bCs/>
          <w:sz w:val="24"/>
          <w:szCs w:val="24"/>
        </w:rPr>
        <w:t>„</w:t>
      </w:r>
      <w:r w:rsidR="00B44B0D" w:rsidRPr="00F83B0E">
        <w:rPr>
          <w:rFonts w:cstheme="minorHAnsi"/>
          <w:bCs/>
          <w:i/>
          <w:sz w:val="24"/>
          <w:szCs w:val="24"/>
        </w:rPr>
        <w:t>koncepčně</w:t>
      </w:r>
      <w:r w:rsidRPr="00C90F33">
        <w:rPr>
          <w:rFonts w:cstheme="minorHAnsi"/>
          <w:i/>
          <w:sz w:val="24"/>
          <w:szCs w:val="24"/>
        </w:rPr>
        <w:t xml:space="preserve"> </w:t>
      </w:r>
      <w:r w:rsidRPr="004774FC">
        <w:rPr>
          <w:rFonts w:cstheme="minorHAnsi"/>
          <w:i/>
          <w:sz w:val="24"/>
          <w:szCs w:val="24"/>
        </w:rPr>
        <w:t>a technologicky modernizovat varování a informování obyvatelstva</w:t>
      </w:r>
      <w:r w:rsidR="00C90F33">
        <w:rPr>
          <w:rFonts w:cstheme="minorHAnsi"/>
          <w:sz w:val="24"/>
          <w:szCs w:val="24"/>
        </w:rPr>
        <w:t>“</w:t>
      </w:r>
      <w:r w:rsidRPr="00F83B0E">
        <w:rPr>
          <w:rFonts w:cstheme="minorHAnsi"/>
          <w:sz w:val="24"/>
          <w:szCs w:val="24"/>
        </w:rPr>
        <w:t xml:space="preserve">. </w:t>
      </w:r>
    </w:p>
    <w:p w14:paraId="26BBCCB8" w14:textId="21CE265B" w:rsidR="00A9144C" w:rsidRDefault="00EB509B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</w:rPr>
        <w:t xml:space="preserve">MV nepostupovalo v souladu s usneseními vlády č. 10/2001, č. 318/2013 a č. 71/2019, které ukládaly MV podle metodik při tvorbě </w:t>
      </w:r>
      <w:r w:rsidR="00C90F33">
        <w:rPr>
          <w:rFonts w:cstheme="minorHAnsi"/>
        </w:rPr>
        <w:t>k</w:t>
      </w:r>
      <w:r w:rsidRPr="004774FC">
        <w:rPr>
          <w:rFonts w:cstheme="minorHAnsi"/>
        </w:rPr>
        <w:t xml:space="preserve">oncepcí OOB postupovat, a tím </w:t>
      </w:r>
      <w:r>
        <w:rPr>
          <w:rFonts w:cstheme="minorHAnsi"/>
        </w:rPr>
        <w:t xml:space="preserve">porušilo ustanovení </w:t>
      </w:r>
      <w:r w:rsidRPr="004774FC">
        <w:rPr>
          <w:rFonts w:cstheme="minorHAnsi"/>
        </w:rPr>
        <w:t>§</w:t>
      </w:r>
      <w:r w:rsidR="00060309">
        <w:rPr>
          <w:rFonts w:cstheme="minorHAnsi"/>
        </w:rPr>
        <w:t> </w:t>
      </w:r>
      <w:r w:rsidRPr="004774FC">
        <w:rPr>
          <w:rFonts w:cstheme="minorHAnsi"/>
        </w:rPr>
        <w:t xml:space="preserve">21 </w:t>
      </w:r>
      <w:r>
        <w:rPr>
          <w:rFonts w:cstheme="minorHAnsi"/>
        </w:rPr>
        <w:t xml:space="preserve">kompetenčního </w:t>
      </w:r>
      <w:r w:rsidRPr="004774FC">
        <w:rPr>
          <w:rFonts w:cstheme="minorHAnsi"/>
        </w:rPr>
        <w:t>zákona.</w:t>
      </w:r>
      <w:r w:rsidR="00901F37">
        <w:rPr>
          <w:rFonts w:cstheme="minorHAnsi"/>
        </w:rPr>
        <w:t xml:space="preserve"> </w:t>
      </w:r>
      <w:r w:rsidR="00B44B0D">
        <w:rPr>
          <w:rFonts w:cstheme="minorHAnsi"/>
        </w:rPr>
        <w:t>NK</w:t>
      </w:r>
      <w:r w:rsidR="00946A58">
        <w:rPr>
          <w:rFonts w:cstheme="minorHAnsi"/>
        </w:rPr>
        <w:t>Ú</w:t>
      </w:r>
      <w:r w:rsidR="00B44B0D">
        <w:rPr>
          <w:rFonts w:cstheme="minorHAnsi"/>
        </w:rPr>
        <w:t xml:space="preserve"> zjistil</w:t>
      </w:r>
      <w:r w:rsidR="00A9144C" w:rsidRPr="004774FC">
        <w:rPr>
          <w:rFonts w:cstheme="minorHAnsi"/>
        </w:rPr>
        <w:t>, že peněžní prostředky stát</w:t>
      </w:r>
      <w:r w:rsidR="009F4A25">
        <w:rPr>
          <w:rFonts w:cstheme="minorHAnsi"/>
        </w:rPr>
        <w:t>ního rozpočtu</w:t>
      </w:r>
      <w:r w:rsidR="00A9144C" w:rsidRPr="004774FC">
        <w:rPr>
          <w:rFonts w:cstheme="minorHAnsi"/>
        </w:rPr>
        <w:t xml:space="preserve"> byly následně na jednotlivé úkoly skutečně poskytnuty, např. na výše uvedený úkol </w:t>
      </w:r>
      <w:r w:rsidR="00B44B0D">
        <w:rPr>
          <w:rFonts w:cstheme="minorHAnsi"/>
        </w:rPr>
        <w:t>Koncepce 2013</w:t>
      </w:r>
      <w:r w:rsidR="00A9144C" w:rsidRPr="004774FC">
        <w:rPr>
          <w:rFonts w:cstheme="minorHAnsi"/>
        </w:rPr>
        <w:t xml:space="preserve"> </w:t>
      </w:r>
      <w:r w:rsidR="00C90F33">
        <w:rPr>
          <w:rFonts w:cstheme="minorHAnsi"/>
        </w:rPr>
        <w:t>„</w:t>
      </w:r>
      <w:r w:rsidR="00A9144C" w:rsidRPr="004774FC">
        <w:rPr>
          <w:rFonts w:cstheme="minorHAnsi"/>
          <w:i/>
        </w:rPr>
        <w:t>dokončit obměnu elektrických rotačních sirén za moderní koncové prvky varování</w:t>
      </w:r>
      <w:r w:rsidR="00C90F33">
        <w:rPr>
          <w:rFonts w:cstheme="minorHAnsi"/>
        </w:rPr>
        <w:t>“</w:t>
      </w:r>
      <w:r w:rsidR="00A9144C" w:rsidRPr="004774FC">
        <w:rPr>
          <w:rFonts w:cstheme="minorHAnsi"/>
          <w:i/>
        </w:rPr>
        <w:t xml:space="preserve"> </w:t>
      </w:r>
      <w:r w:rsidR="00A9144C" w:rsidRPr="004774FC">
        <w:rPr>
          <w:rFonts w:cstheme="minorHAnsi"/>
        </w:rPr>
        <w:t>byly obcím přiděleny dotace na koncové prvky varování v částce 16 mil. Kč.</w:t>
      </w:r>
      <w:r w:rsidR="00821C87">
        <w:rPr>
          <w:rFonts w:cstheme="minorHAnsi"/>
        </w:rPr>
        <w:t xml:space="preserve"> </w:t>
      </w:r>
    </w:p>
    <w:p w14:paraId="152C7362" w14:textId="5D4136B4" w:rsidR="00776C30" w:rsidRPr="00C90F33" w:rsidRDefault="00776C30" w:rsidP="00934F62">
      <w:pPr>
        <w:pStyle w:val="Mluvcnadpis"/>
        <w:spacing w:before="240"/>
        <w:rPr>
          <w:rFonts w:ascii="Calibri" w:hAnsi="Calibri" w:cs="Calibri"/>
          <w:i w:val="0"/>
        </w:rPr>
      </w:pPr>
      <w:r w:rsidRPr="00C90F33">
        <w:rPr>
          <w:rFonts w:ascii="Calibri" w:hAnsi="Calibri" w:cs="Calibri"/>
          <w:i w:val="0"/>
        </w:rPr>
        <w:t xml:space="preserve">→ </w:t>
      </w:r>
      <w:r w:rsidR="003664BA" w:rsidRPr="00C90F33">
        <w:rPr>
          <w:rFonts w:ascii="Calibri" w:hAnsi="Calibri" w:cs="Calibri"/>
          <w:i w:val="0"/>
        </w:rPr>
        <w:t>MV řeší n</w:t>
      </w:r>
      <w:r w:rsidRPr="00C90F33">
        <w:rPr>
          <w:rFonts w:ascii="Calibri" w:hAnsi="Calibri" w:cs="Calibri"/>
          <w:i w:val="0"/>
        </w:rPr>
        <w:t xml:space="preserve">ěkteré oblasti </w:t>
      </w:r>
      <w:r w:rsidR="00C90F33">
        <w:rPr>
          <w:rFonts w:ascii="Calibri" w:hAnsi="Calibri" w:cs="Calibri"/>
          <w:i w:val="0"/>
        </w:rPr>
        <w:t>k</w:t>
      </w:r>
      <w:r w:rsidRPr="00C90F33">
        <w:rPr>
          <w:rFonts w:ascii="Calibri" w:hAnsi="Calibri" w:cs="Calibri"/>
          <w:i w:val="0"/>
        </w:rPr>
        <w:t>oncepcí OOB již od roku 2002</w:t>
      </w:r>
      <w:r w:rsidR="003664BA" w:rsidRPr="00C90F33">
        <w:rPr>
          <w:rFonts w:ascii="Calibri" w:hAnsi="Calibri" w:cs="Calibri"/>
          <w:i w:val="0"/>
        </w:rPr>
        <w:t xml:space="preserve"> a dosud nejsou vyřešeny</w:t>
      </w:r>
    </w:p>
    <w:p w14:paraId="0DA96D6A" w14:textId="755B70B3" w:rsidR="00A9144C" w:rsidRDefault="00586935" w:rsidP="00B00050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NKÚ </w:t>
      </w:r>
      <w:r w:rsidR="00B44B0D">
        <w:rPr>
          <w:rFonts w:cstheme="minorHAnsi"/>
        </w:rPr>
        <w:t>ověřil</w:t>
      </w:r>
      <w:r>
        <w:rPr>
          <w:rFonts w:cstheme="minorHAnsi"/>
        </w:rPr>
        <w:t xml:space="preserve">, že </w:t>
      </w:r>
      <w:r w:rsidRPr="00586935">
        <w:rPr>
          <w:rFonts w:cstheme="minorHAnsi"/>
        </w:rPr>
        <w:t xml:space="preserve">MV sleduje a vyhodnocuje plnění úkolů stanovených v </w:t>
      </w:r>
      <w:r w:rsidR="00C90F33">
        <w:rPr>
          <w:rFonts w:cstheme="minorHAnsi"/>
        </w:rPr>
        <w:t>k</w:t>
      </w:r>
      <w:r w:rsidRPr="00586935">
        <w:rPr>
          <w:rFonts w:cstheme="minorHAnsi"/>
        </w:rPr>
        <w:t>oncepcích OOB</w:t>
      </w:r>
      <w:r>
        <w:rPr>
          <w:rFonts w:cstheme="minorHAnsi"/>
        </w:rPr>
        <w:t xml:space="preserve">. </w:t>
      </w:r>
      <w:r w:rsidRPr="00586935">
        <w:rPr>
          <w:rFonts w:cstheme="minorHAnsi"/>
        </w:rPr>
        <w:t>Na věcné a finanční vyhodnocení plnění úkolů</w:t>
      </w:r>
      <w:r>
        <w:rPr>
          <w:rFonts w:cstheme="minorHAnsi"/>
        </w:rPr>
        <w:t xml:space="preserve"> však měla </w:t>
      </w:r>
      <w:r w:rsidR="00B44B0D">
        <w:rPr>
          <w:rFonts w:cstheme="minorHAnsi"/>
        </w:rPr>
        <w:t xml:space="preserve">negativní </w:t>
      </w:r>
      <w:r>
        <w:rPr>
          <w:rFonts w:cstheme="minorHAnsi"/>
        </w:rPr>
        <w:t>vliv</w:t>
      </w:r>
      <w:r w:rsidRPr="00586935">
        <w:rPr>
          <w:rFonts w:cstheme="minorHAnsi"/>
        </w:rPr>
        <w:t xml:space="preserve"> skutečnost, že MV </w:t>
      </w:r>
      <w:r w:rsidR="00B44B0D">
        <w:rPr>
          <w:rFonts w:cstheme="minorHAnsi"/>
        </w:rPr>
        <w:t>je nedefinovalo</w:t>
      </w:r>
      <w:r w:rsidRPr="00586935">
        <w:rPr>
          <w:rFonts w:cstheme="minorHAnsi"/>
        </w:rPr>
        <w:t xml:space="preserve"> dle </w:t>
      </w:r>
      <w:r w:rsidRPr="00821C87">
        <w:rPr>
          <w:rFonts w:cstheme="minorHAnsi"/>
        </w:rPr>
        <w:t xml:space="preserve">principů </w:t>
      </w:r>
      <w:r w:rsidR="00A9144C" w:rsidRPr="00821C87">
        <w:rPr>
          <w:rFonts w:cstheme="minorHAnsi"/>
        </w:rPr>
        <w:t xml:space="preserve">SMART (viz výše). Některé klíčové oblasti OOB však MV od roku 2002 nedořešilo, jedná se zejména o oblasti vzdělávání </w:t>
      </w:r>
      <w:r w:rsidR="00A9144C" w:rsidRPr="00DB6451">
        <w:rPr>
          <w:rFonts w:cstheme="minorHAnsi"/>
          <w:b/>
        </w:rPr>
        <w:t>(</w:t>
      </w:r>
      <w:r w:rsidR="00A9144C" w:rsidRPr="00821C87">
        <w:rPr>
          <w:rFonts w:cstheme="minorHAnsi"/>
          <w:b/>
        </w:rPr>
        <w:t xml:space="preserve">viz část </w:t>
      </w:r>
      <w:r w:rsidR="006E345A" w:rsidRPr="00821C87">
        <w:rPr>
          <w:rFonts w:cstheme="minorHAnsi"/>
          <w:b/>
        </w:rPr>
        <w:t>F</w:t>
      </w:r>
      <w:r w:rsidR="00A9144C" w:rsidRPr="00DB6451">
        <w:rPr>
          <w:rFonts w:cstheme="minorHAnsi"/>
          <w:b/>
        </w:rPr>
        <w:t>)</w:t>
      </w:r>
      <w:r w:rsidR="00A9144C" w:rsidRPr="00AE5724">
        <w:rPr>
          <w:rFonts w:cstheme="minorHAnsi"/>
          <w:b/>
        </w:rPr>
        <w:t>,</w:t>
      </w:r>
      <w:r w:rsidR="00A9144C" w:rsidRPr="00821C87">
        <w:rPr>
          <w:rFonts w:cstheme="minorHAnsi"/>
        </w:rPr>
        <w:t xml:space="preserve"> varování a informování obyvatel </w:t>
      </w:r>
      <w:r w:rsidR="00A9144C" w:rsidRPr="00DB6451">
        <w:rPr>
          <w:rFonts w:cstheme="minorHAnsi"/>
          <w:b/>
        </w:rPr>
        <w:t>(</w:t>
      </w:r>
      <w:r w:rsidR="00A9144C" w:rsidRPr="00821C87">
        <w:rPr>
          <w:rFonts w:cstheme="minorHAnsi"/>
          <w:b/>
        </w:rPr>
        <w:t xml:space="preserve">viz část </w:t>
      </w:r>
      <w:r w:rsidR="006E345A" w:rsidRPr="00821C87">
        <w:rPr>
          <w:rFonts w:cstheme="minorHAnsi"/>
          <w:b/>
        </w:rPr>
        <w:t>C</w:t>
      </w:r>
      <w:r w:rsidR="00A9144C" w:rsidRPr="00DB6451">
        <w:rPr>
          <w:rFonts w:cstheme="minorHAnsi"/>
          <w:b/>
        </w:rPr>
        <w:t>),</w:t>
      </w:r>
      <w:r w:rsidR="00A9144C" w:rsidRPr="00821C87">
        <w:rPr>
          <w:rFonts w:cstheme="minorHAnsi"/>
        </w:rPr>
        <w:t xml:space="preserve"> zapojení neziskových organizací do systému OOB nebo zajištění sebeochrany obyvatel. Úkoly se tak v </w:t>
      </w:r>
      <w:r w:rsidR="00AE5724">
        <w:rPr>
          <w:rFonts w:cstheme="minorHAnsi"/>
        </w:rPr>
        <w:t>k</w:t>
      </w:r>
      <w:r w:rsidR="00A9144C" w:rsidRPr="00821C87">
        <w:rPr>
          <w:rFonts w:cstheme="minorHAnsi"/>
        </w:rPr>
        <w:t xml:space="preserve">oncepcích OOB částečně opakují </w:t>
      </w:r>
      <w:r w:rsidR="00A9144C" w:rsidRPr="00DB6451">
        <w:rPr>
          <w:rFonts w:cstheme="minorHAnsi"/>
          <w:b/>
        </w:rPr>
        <w:t>(</w:t>
      </w:r>
      <w:r w:rsidR="00A9144C" w:rsidRPr="00821C87">
        <w:rPr>
          <w:rFonts w:cstheme="minorHAnsi"/>
          <w:b/>
        </w:rPr>
        <w:t>viz tabulka</w:t>
      </w:r>
      <w:r w:rsidR="003C0D52" w:rsidRPr="00821C87">
        <w:rPr>
          <w:rFonts w:cstheme="minorHAnsi"/>
          <w:b/>
        </w:rPr>
        <w:t xml:space="preserve"> č. </w:t>
      </w:r>
      <w:r w:rsidR="006E345A" w:rsidRPr="00821C87">
        <w:rPr>
          <w:rFonts w:cstheme="minorHAnsi"/>
          <w:b/>
        </w:rPr>
        <w:t>1</w:t>
      </w:r>
      <w:r w:rsidR="00A9144C" w:rsidRPr="00DB6451">
        <w:rPr>
          <w:rFonts w:cstheme="minorHAnsi"/>
          <w:b/>
        </w:rPr>
        <w:t>).</w:t>
      </w:r>
    </w:p>
    <w:p w14:paraId="37D72252" w14:textId="4FFF79DD" w:rsidR="008218F8" w:rsidRPr="00DB6451" w:rsidRDefault="003C0D52" w:rsidP="00DB6451">
      <w:pPr>
        <w:spacing w:after="40"/>
        <w:jc w:val="both"/>
        <w:rPr>
          <w:rFonts w:cstheme="minorHAnsi"/>
          <w:b/>
        </w:rPr>
      </w:pPr>
      <w:r w:rsidRPr="00DB6451">
        <w:rPr>
          <w:rFonts w:cstheme="minorHAnsi"/>
          <w:b/>
        </w:rPr>
        <w:t xml:space="preserve">Tabulka č. </w:t>
      </w:r>
      <w:r w:rsidR="006E345A" w:rsidRPr="00DB6451">
        <w:rPr>
          <w:rFonts w:cstheme="minorHAnsi"/>
          <w:b/>
        </w:rPr>
        <w:t>1</w:t>
      </w:r>
      <w:r w:rsidR="00AE5724">
        <w:rPr>
          <w:rFonts w:cstheme="minorHAnsi"/>
          <w:b/>
        </w:rPr>
        <w:t>:</w:t>
      </w:r>
      <w:r w:rsidR="00946A58" w:rsidRPr="00DB6451">
        <w:rPr>
          <w:rFonts w:cstheme="minorHAnsi"/>
          <w:b/>
        </w:rPr>
        <w:t xml:space="preserve"> Opakující se koncepční úkoly od roku 2006</w:t>
      </w:r>
    </w:p>
    <w:tbl>
      <w:tblPr>
        <w:tblStyle w:val="Mkatabulky"/>
        <w:tblW w:w="9123" w:type="dxa"/>
        <w:jc w:val="center"/>
        <w:tblLook w:val="04A0" w:firstRow="1" w:lastRow="0" w:firstColumn="1" w:lastColumn="0" w:noHBand="0" w:noVBand="1"/>
      </w:tblPr>
      <w:tblGrid>
        <w:gridCol w:w="1186"/>
        <w:gridCol w:w="1928"/>
        <w:gridCol w:w="2381"/>
        <w:gridCol w:w="1814"/>
        <w:gridCol w:w="1814"/>
      </w:tblGrid>
      <w:tr w:rsidR="00A9144C" w:rsidRPr="004774FC" w14:paraId="6E3C84C0" w14:textId="77777777" w:rsidTr="00DE60C2">
        <w:trPr>
          <w:trHeight w:val="283"/>
          <w:jc w:val="center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34C8113" w14:textId="77777777" w:rsidR="00A9144C" w:rsidRPr="0032069F" w:rsidRDefault="00A9144C" w:rsidP="00DB6451">
            <w:pPr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Oblast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9009536" w14:textId="77777777" w:rsidR="00A9144C" w:rsidRPr="0032069F" w:rsidRDefault="00A9144C" w:rsidP="00DB6451">
            <w:pPr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Úkol v Koncepci 2006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6691441" w14:textId="77777777" w:rsidR="00A9144C" w:rsidRPr="0032069F" w:rsidRDefault="00A9144C" w:rsidP="00DB6451">
            <w:pPr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Úkol v Koncepci 2013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83AE112" w14:textId="77777777" w:rsidR="00A9144C" w:rsidRPr="0032069F" w:rsidRDefault="00A9144C" w:rsidP="00DB6451">
            <w:pPr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Úkol v Koncepci 2020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5D9591D" w14:textId="77777777" w:rsidR="00A9144C" w:rsidRPr="0032069F" w:rsidRDefault="00A9144C" w:rsidP="00DB6451">
            <w:pPr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Úkol v Koncepci 2025</w:t>
            </w:r>
          </w:p>
        </w:tc>
      </w:tr>
      <w:tr w:rsidR="00A9144C" w:rsidRPr="004774FC" w14:paraId="2564D296" w14:textId="77777777" w:rsidTr="00DE60C2">
        <w:trPr>
          <w:jc w:val="center"/>
        </w:trPr>
        <w:tc>
          <w:tcPr>
            <w:tcW w:w="1186" w:type="dxa"/>
            <w:vAlign w:val="center"/>
          </w:tcPr>
          <w:p w14:paraId="22BDA413" w14:textId="77777777" w:rsidR="00A9144C" w:rsidRPr="0032069F" w:rsidRDefault="00A9144C" w:rsidP="00554ED4">
            <w:pPr>
              <w:autoSpaceDE w:val="0"/>
              <w:autoSpaceDN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Neziskové organizace</w:t>
            </w:r>
          </w:p>
        </w:tc>
        <w:tc>
          <w:tcPr>
            <w:tcW w:w="1928" w:type="dxa"/>
            <w:vAlign w:val="center"/>
          </w:tcPr>
          <w:p w14:paraId="604C3D26" w14:textId="329B8E30" w:rsidR="00A9144C" w:rsidRPr="0032069F" w:rsidRDefault="00A9144C" w:rsidP="00554ED4">
            <w:pPr>
              <w:autoSpaceDE w:val="0"/>
              <w:autoSpaceDN w:val="0"/>
              <w:jc w:val="center"/>
              <w:rPr>
                <w:rFonts w:cstheme="minorHAnsi"/>
                <w:sz w:val="18"/>
                <w:szCs w:val="18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Vytvořit podmínky pro organizované zapojení nevládních humanitárních organizací při přípravě a realizaci opatření k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nouzovému přežití obyvatelstva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poskytování humanitární pomoci</w:t>
            </w:r>
          </w:p>
        </w:tc>
        <w:tc>
          <w:tcPr>
            <w:tcW w:w="2381" w:type="dxa"/>
            <w:vAlign w:val="center"/>
          </w:tcPr>
          <w:p w14:paraId="67D2C93F" w14:textId="77777777" w:rsidR="00A9144C" w:rsidRPr="0032069F" w:rsidRDefault="00A9144C" w:rsidP="00554ED4">
            <w:pPr>
              <w:autoSpaceDE w:val="0"/>
              <w:autoSpaceDN w:val="0"/>
              <w:jc w:val="center"/>
              <w:rPr>
                <w:rFonts w:cstheme="minorHAnsi"/>
                <w:sz w:val="18"/>
                <w:szCs w:val="18"/>
              </w:rPr>
            </w:pPr>
            <w:r w:rsidRPr="0032069F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814" w:type="dxa"/>
            <w:vAlign w:val="center"/>
          </w:tcPr>
          <w:p w14:paraId="1C7F6C0D" w14:textId="00FE309C" w:rsidR="00A9144C" w:rsidRPr="0032069F" w:rsidRDefault="00A9144C" w:rsidP="00554ED4">
            <w:pPr>
              <w:autoSpaceDE w:val="0"/>
              <w:autoSpaceDN w:val="0"/>
              <w:jc w:val="center"/>
              <w:rPr>
                <w:rFonts w:cstheme="minorHAnsi"/>
                <w:sz w:val="18"/>
                <w:szCs w:val="18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Zdokonalit systém zapojení nestátních neziskových organizací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dobrovolníků do řešení mimořádných událostí a krizových situací</w:t>
            </w:r>
          </w:p>
        </w:tc>
        <w:tc>
          <w:tcPr>
            <w:tcW w:w="1814" w:type="dxa"/>
            <w:vAlign w:val="center"/>
          </w:tcPr>
          <w:p w14:paraId="5F60F35B" w14:textId="7483883A" w:rsidR="00A9144C" w:rsidRPr="0032069F" w:rsidRDefault="00A9144C" w:rsidP="00554ED4">
            <w:pPr>
              <w:autoSpaceDE w:val="0"/>
              <w:autoSpaceDN w:val="0"/>
              <w:jc w:val="center"/>
              <w:rPr>
                <w:rFonts w:cstheme="minorHAnsi"/>
                <w:sz w:val="18"/>
                <w:szCs w:val="18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Vytvořit podmínky pro větší využívání NNO při plnění úkolů ochrany obyvatelstva</w:t>
            </w:r>
          </w:p>
        </w:tc>
      </w:tr>
      <w:tr w:rsidR="00A9144C" w:rsidRPr="004774FC" w14:paraId="7C3627FA" w14:textId="77777777" w:rsidTr="00DE60C2">
        <w:trPr>
          <w:jc w:val="center"/>
        </w:trPr>
        <w:tc>
          <w:tcPr>
            <w:tcW w:w="1186" w:type="dxa"/>
            <w:vAlign w:val="center"/>
          </w:tcPr>
          <w:p w14:paraId="27EF86E1" w14:textId="77777777" w:rsidR="00A9144C" w:rsidRPr="0032069F" w:rsidRDefault="00A9144C" w:rsidP="00554ED4">
            <w:pPr>
              <w:autoSpaceDE w:val="0"/>
              <w:autoSpaceDN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2069F">
              <w:rPr>
                <w:rFonts w:cstheme="minorHAnsi"/>
                <w:b/>
                <w:sz w:val="18"/>
                <w:szCs w:val="18"/>
              </w:rPr>
              <w:t>Sebeochrana obyvatel</w:t>
            </w:r>
          </w:p>
        </w:tc>
        <w:tc>
          <w:tcPr>
            <w:tcW w:w="1928" w:type="dxa"/>
            <w:vAlign w:val="center"/>
          </w:tcPr>
          <w:p w14:paraId="2B163D08" w14:textId="14AAA627" w:rsidR="00A9144C" w:rsidRPr="0032069F" w:rsidRDefault="00A9144C" w:rsidP="00554ED4">
            <w:pPr>
              <w:autoSpaceDE w:val="0"/>
              <w:autoSpaceDN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Stanovit zaměření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formy přípravy obyvatelstva k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sebeochraně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vzájemné pomoci při vzniku mimořádných událostí</w:t>
            </w:r>
          </w:p>
        </w:tc>
        <w:tc>
          <w:tcPr>
            <w:tcW w:w="2381" w:type="dxa"/>
            <w:vAlign w:val="center"/>
          </w:tcPr>
          <w:p w14:paraId="0F3026D6" w14:textId="4171B7A9" w:rsidR="00A9144C" w:rsidRPr="0032069F" w:rsidRDefault="00A9144C" w:rsidP="00554ED4">
            <w:pPr>
              <w:autoSpaceDE w:val="0"/>
              <w:autoSpaceDN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Definovat a legislativně zakotvit konkrétní úkoly ochrany obyvatelstva (důraz položit zejména na problematiku preventivních opatření, sebeochrany občanů, vazbu na územní plánování a další úkoly ve vazbě na závěry analýzy hrozeb pro Českou republiku) a cestou metodických pokynů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technických norem nastavit detaily jejich technického zabezpečení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provedení</w:t>
            </w:r>
          </w:p>
        </w:tc>
        <w:tc>
          <w:tcPr>
            <w:tcW w:w="1814" w:type="dxa"/>
            <w:vAlign w:val="center"/>
          </w:tcPr>
          <w:p w14:paraId="454EABCB" w14:textId="429FB56C" w:rsidR="00A9144C" w:rsidRPr="0032069F" w:rsidRDefault="00A9144C" w:rsidP="00554ED4">
            <w:pPr>
              <w:autoSpaceDE w:val="0"/>
              <w:autoSpaceDN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Vytvořit metodický pokyn pro prezentaci výsledků a propagaci činnosti v oblasti ochrany obyvatelstva s cílem přispět k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popularizaci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správnému pochopení této problematiky u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obyvatelstva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zvýšit jejich schopnost sebeochrany</w:t>
            </w:r>
          </w:p>
        </w:tc>
        <w:tc>
          <w:tcPr>
            <w:tcW w:w="1814" w:type="dxa"/>
            <w:vAlign w:val="center"/>
          </w:tcPr>
          <w:p w14:paraId="76217298" w14:textId="71B4D58F" w:rsidR="00A9144C" w:rsidRPr="0032069F" w:rsidRDefault="00A9144C" w:rsidP="00554ED4">
            <w:pPr>
              <w:autoSpaceDE w:val="0"/>
              <w:autoSpaceDN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Posílit přípravu obyvatelstva k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sebeochraně a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vzájemné pomoci s</w:t>
            </w:r>
            <w:r w:rsidR="00DE60C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2069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důrazem na moderní metody vzdělávání</w:t>
            </w:r>
          </w:p>
        </w:tc>
      </w:tr>
    </w:tbl>
    <w:p w14:paraId="44A89E47" w14:textId="77777777" w:rsidR="00A9144C" w:rsidRPr="0032069F" w:rsidRDefault="00A9144C" w:rsidP="00DE60C2">
      <w:pPr>
        <w:spacing w:before="40" w:after="12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E60C2">
        <w:rPr>
          <w:rFonts w:eastAsia="Times New Roman" w:cstheme="minorHAnsi"/>
          <w:b/>
          <w:color w:val="000000"/>
          <w:sz w:val="20"/>
          <w:szCs w:val="20"/>
          <w:lang w:eastAsia="cs-CZ"/>
        </w:rPr>
        <w:t>Zdroj:</w:t>
      </w:r>
      <w:r w:rsidRPr="0032069F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Koncepce 2006, Koncepce 2013, Koncepce 2020 a Koncepce 2025. </w:t>
      </w:r>
    </w:p>
    <w:p w14:paraId="596CF1EC" w14:textId="03FFC0B6" w:rsidR="00987CCD" w:rsidRDefault="001777E8" w:rsidP="00B02E1D">
      <w:pPr>
        <w:jc w:val="both"/>
        <w:rPr>
          <w:rFonts w:cstheme="minorHAnsi"/>
        </w:rPr>
      </w:pPr>
      <w:r w:rsidRPr="007B44B5">
        <w:rPr>
          <w:rFonts w:cstheme="minorHAnsi"/>
        </w:rPr>
        <w:lastRenderedPageBreak/>
        <w:t xml:space="preserve">NKÚ </w:t>
      </w:r>
      <w:r>
        <w:rPr>
          <w:rFonts w:cstheme="minorHAnsi"/>
        </w:rPr>
        <w:t xml:space="preserve">dále </w:t>
      </w:r>
      <w:r w:rsidRPr="007B44B5">
        <w:rPr>
          <w:rFonts w:cstheme="minorHAnsi"/>
        </w:rPr>
        <w:t>zji</w:t>
      </w:r>
      <w:r w:rsidR="00946A58">
        <w:rPr>
          <w:rFonts w:cstheme="minorHAnsi"/>
        </w:rPr>
        <w:t>stil</w:t>
      </w:r>
      <w:r w:rsidRPr="007B44B5">
        <w:rPr>
          <w:rFonts w:cstheme="minorHAnsi"/>
        </w:rPr>
        <w:t xml:space="preserve">, že ačkoliv na </w:t>
      </w:r>
      <w:r w:rsidRPr="007B44B5">
        <w:rPr>
          <w:rFonts w:cstheme="minorHAnsi"/>
          <w:color w:val="000000" w:themeColor="text1"/>
        </w:rPr>
        <w:t xml:space="preserve">potřebu legislativních změn v oblasti OOB upozorňuje MV </w:t>
      </w:r>
      <w:r>
        <w:rPr>
          <w:rFonts w:cstheme="minorHAnsi"/>
          <w:color w:val="000000" w:themeColor="text1"/>
        </w:rPr>
        <w:t>od roku 2002</w:t>
      </w:r>
      <w:r w:rsidRPr="007B44B5">
        <w:rPr>
          <w:rFonts w:cstheme="minorHAnsi"/>
          <w:color w:val="000000" w:themeColor="text1"/>
        </w:rPr>
        <w:t xml:space="preserve">, tyto změny </w:t>
      </w:r>
      <w:r w:rsidR="00821C87">
        <w:rPr>
          <w:rFonts w:cstheme="minorHAnsi"/>
          <w:color w:val="000000" w:themeColor="text1"/>
        </w:rPr>
        <w:t>dosud nenavrhlo</w:t>
      </w:r>
      <w:r w:rsidRPr="007B44B5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Učinilo</w:t>
      </w:r>
      <w:r w:rsidRPr="007B44B5">
        <w:rPr>
          <w:rFonts w:cstheme="minorHAnsi"/>
          <w:color w:val="000000" w:themeColor="text1"/>
        </w:rPr>
        <w:t xml:space="preserve"> pouze dílčí legislativní kroky (např. přijetí vnitřních přepisů a norem HZS</w:t>
      </w:r>
      <w:r>
        <w:rPr>
          <w:rFonts w:cstheme="minorHAnsi"/>
          <w:color w:val="000000" w:themeColor="text1"/>
        </w:rPr>
        <w:t xml:space="preserve"> ČR</w:t>
      </w:r>
      <w:r w:rsidRPr="007B44B5">
        <w:rPr>
          <w:rFonts w:cstheme="minorHAnsi"/>
          <w:color w:val="000000" w:themeColor="text1"/>
        </w:rPr>
        <w:t xml:space="preserve">), </w:t>
      </w:r>
      <w:r w:rsidR="00821C87">
        <w:rPr>
          <w:rFonts w:cstheme="minorHAnsi"/>
          <w:color w:val="000000" w:themeColor="text1"/>
        </w:rPr>
        <w:t xml:space="preserve">nenavrhlo zejména novelizaci </w:t>
      </w:r>
      <w:r w:rsidRPr="007B44B5">
        <w:rPr>
          <w:rFonts w:cstheme="minorHAnsi"/>
          <w:color w:val="000000" w:themeColor="text1"/>
        </w:rPr>
        <w:t>vyhlášky č. 380/2002 Sb. a</w:t>
      </w:r>
      <w:r w:rsidR="00DE60C2">
        <w:rPr>
          <w:rFonts w:cstheme="minorHAnsi"/>
          <w:color w:val="000000" w:themeColor="text1"/>
        </w:rPr>
        <w:t> </w:t>
      </w:r>
      <w:r w:rsidR="00821C87">
        <w:rPr>
          <w:rFonts w:cstheme="minorHAnsi"/>
          <w:color w:val="000000" w:themeColor="text1"/>
        </w:rPr>
        <w:t xml:space="preserve">nenavrhlo změnu </w:t>
      </w:r>
      <w:r>
        <w:rPr>
          <w:rFonts w:cstheme="minorHAnsi"/>
        </w:rPr>
        <w:t>zákona</w:t>
      </w:r>
      <w:r w:rsidR="00821C87">
        <w:rPr>
          <w:rFonts w:cstheme="minorHAnsi"/>
        </w:rPr>
        <w:t xml:space="preserve"> č. 239/2000 Sb</w:t>
      </w:r>
      <w:r>
        <w:rPr>
          <w:rFonts w:ascii="Calibri" w:eastAsia="Calibri" w:hAnsi="Calibri" w:cs="Calibri"/>
        </w:rPr>
        <w:t xml:space="preserve">. </w:t>
      </w:r>
      <w:r w:rsidR="00987CCD" w:rsidRPr="007B44B5">
        <w:rPr>
          <w:rFonts w:cstheme="minorHAnsi"/>
        </w:rPr>
        <w:t xml:space="preserve">Z důvodu nesplnění úkolů </w:t>
      </w:r>
      <w:r w:rsidR="00AE5724">
        <w:rPr>
          <w:rFonts w:cstheme="minorHAnsi"/>
        </w:rPr>
        <w:t>k</w:t>
      </w:r>
      <w:r>
        <w:rPr>
          <w:rFonts w:cstheme="minorHAnsi"/>
        </w:rPr>
        <w:t xml:space="preserve">oncepcí OOB v oblasti </w:t>
      </w:r>
      <w:r w:rsidR="00987CCD" w:rsidRPr="007B44B5">
        <w:rPr>
          <w:rFonts w:cstheme="minorHAnsi"/>
        </w:rPr>
        <w:t xml:space="preserve">legislativních změn si MV také v Koncepci 2025 opětovně stanovilo strategický cíl </w:t>
      </w:r>
      <w:r w:rsidR="00AE5724">
        <w:rPr>
          <w:rFonts w:cstheme="minorHAnsi"/>
        </w:rPr>
        <w:t>„</w:t>
      </w:r>
      <w:r w:rsidR="00987CCD" w:rsidRPr="007B44B5">
        <w:rPr>
          <w:rFonts w:cstheme="minorHAnsi"/>
          <w:i/>
        </w:rPr>
        <w:t>vytvořit adekvátní právní podmínky pro fungování systému a jeho jednotlivých složek</w:t>
      </w:r>
      <w:r w:rsidR="00AE5724">
        <w:rPr>
          <w:rFonts w:cstheme="minorHAnsi"/>
        </w:rPr>
        <w:t>“</w:t>
      </w:r>
      <w:r w:rsidR="00987CCD" w:rsidRPr="007B44B5">
        <w:rPr>
          <w:rFonts w:cstheme="minorHAnsi"/>
          <w:i/>
        </w:rPr>
        <w:t xml:space="preserve"> </w:t>
      </w:r>
      <w:r w:rsidR="00987CCD" w:rsidRPr="007B44B5">
        <w:rPr>
          <w:rFonts w:cstheme="minorHAnsi"/>
        </w:rPr>
        <w:t xml:space="preserve">s termínem splnění do roku 2025. Záměrem MV je </w:t>
      </w:r>
      <w:r w:rsidR="00946A58">
        <w:rPr>
          <w:rFonts w:cstheme="minorHAnsi"/>
        </w:rPr>
        <w:t xml:space="preserve">i nadále </w:t>
      </w:r>
      <w:r w:rsidR="00987CCD" w:rsidRPr="007B44B5">
        <w:rPr>
          <w:rFonts w:cstheme="minorHAnsi"/>
        </w:rPr>
        <w:t>iniciovat</w:t>
      </w:r>
      <w:r w:rsidR="00821C87">
        <w:rPr>
          <w:rFonts w:cstheme="minorHAnsi"/>
        </w:rPr>
        <w:t xml:space="preserve"> změny</w:t>
      </w:r>
      <w:r w:rsidR="00987CCD" w:rsidRPr="007B44B5">
        <w:rPr>
          <w:rFonts w:cstheme="minorHAnsi"/>
        </w:rPr>
        <w:t xml:space="preserve"> právní úpravy, které budou pokrývat všechny úkoly, oblasti a opatření OOB. Pozornost má být věnována novelizaci vyhlášky č. 380/2002 Sb., konkrétně např. oblasti způsobu a rozsahu informování, jednotného systému varování a vyrozumění, evakuace, ukrytí, způsobu a rozsahu kolektivní a individuální ochrany obyvatelstva a požadavků OOB v územním plánování a stavebním řízení.</w:t>
      </w:r>
    </w:p>
    <w:p w14:paraId="0733DA27" w14:textId="0590BCBE" w:rsidR="00B56018" w:rsidRPr="00AE5724" w:rsidRDefault="00B56018" w:rsidP="00934F62">
      <w:pPr>
        <w:pStyle w:val="Mluvcnadpis"/>
        <w:spacing w:before="240"/>
        <w:rPr>
          <w:rFonts w:ascii="Calibri" w:hAnsi="Calibri" w:cs="Calibri"/>
          <w:i w:val="0"/>
        </w:rPr>
      </w:pPr>
      <w:r w:rsidRPr="00AE5724">
        <w:rPr>
          <w:rFonts w:ascii="Calibri" w:hAnsi="Calibri" w:cs="Calibri"/>
        </w:rPr>
        <w:t xml:space="preserve">→ </w:t>
      </w:r>
      <w:r w:rsidRPr="00AE5724">
        <w:rPr>
          <w:rFonts w:ascii="Calibri" w:hAnsi="Calibri" w:cs="Calibri"/>
          <w:i w:val="0"/>
        </w:rPr>
        <w:t xml:space="preserve">MV nevyzvalo </w:t>
      </w:r>
      <w:proofErr w:type="spellStart"/>
      <w:r w:rsidRPr="00AE5724">
        <w:rPr>
          <w:rFonts w:ascii="Calibri" w:hAnsi="Calibri" w:cs="Calibri"/>
          <w:i w:val="0"/>
        </w:rPr>
        <w:t>MZd</w:t>
      </w:r>
      <w:proofErr w:type="spellEnd"/>
      <w:r w:rsidRPr="00AE5724">
        <w:rPr>
          <w:rFonts w:ascii="Calibri" w:hAnsi="Calibri" w:cs="Calibri"/>
          <w:i w:val="0"/>
        </w:rPr>
        <w:t xml:space="preserve"> k plnění některých úkolů </w:t>
      </w:r>
      <w:r w:rsidR="00AE5724">
        <w:rPr>
          <w:rFonts w:ascii="Calibri" w:hAnsi="Calibri" w:cs="Calibri"/>
          <w:i w:val="0"/>
        </w:rPr>
        <w:t>k</w:t>
      </w:r>
      <w:r w:rsidRPr="00AE5724">
        <w:rPr>
          <w:rFonts w:ascii="Calibri" w:hAnsi="Calibri" w:cs="Calibri"/>
          <w:i w:val="0"/>
        </w:rPr>
        <w:t>oncepcí OOB</w:t>
      </w:r>
    </w:p>
    <w:p w14:paraId="4F552773" w14:textId="74E47BFB" w:rsidR="00987CCD" w:rsidRPr="00B02E1D" w:rsidRDefault="00B56018" w:rsidP="00B02E1D">
      <w:pPr>
        <w:spacing w:after="120"/>
        <w:jc w:val="both"/>
      </w:pPr>
      <w:r w:rsidRPr="00CE1511">
        <w:rPr>
          <w:rFonts w:cstheme="minorHAnsi"/>
        </w:rPr>
        <w:t xml:space="preserve">MV připravovalo </w:t>
      </w:r>
      <w:r w:rsidR="00A9144C" w:rsidRPr="004774FC">
        <w:t>Koncepci 2013 prostřednictvím odborné pracovní skupiny Výboru pro civilní nouzové plánování</w:t>
      </w:r>
      <w:r w:rsidR="00A9144C" w:rsidRPr="004774FC">
        <w:rPr>
          <w:rStyle w:val="Znakapoznpodarou"/>
          <w:rFonts w:cstheme="minorHAnsi"/>
        </w:rPr>
        <w:footnoteReference w:id="25"/>
      </w:r>
      <w:r w:rsidR="00A9144C" w:rsidRPr="004774FC">
        <w:t xml:space="preserve">, jejímž členem byl také zástupce </w:t>
      </w:r>
      <w:proofErr w:type="spellStart"/>
      <w:r w:rsidR="00A9144C" w:rsidRPr="004774FC">
        <w:t>MZd</w:t>
      </w:r>
      <w:proofErr w:type="spellEnd"/>
      <w:r>
        <w:t xml:space="preserve">. NKÚ přesto zjistil, že </w:t>
      </w:r>
      <w:proofErr w:type="spellStart"/>
      <w:r w:rsidR="00A9144C" w:rsidRPr="004774FC">
        <w:t>MZd</w:t>
      </w:r>
      <w:proofErr w:type="spellEnd"/>
      <w:r w:rsidR="00A9144C" w:rsidRPr="004774FC">
        <w:t xml:space="preserve"> nepřipomínkovalo u osmi úkolů určení </w:t>
      </w:r>
      <w:r w:rsidR="005E65F7">
        <w:t xml:space="preserve">své </w:t>
      </w:r>
      <w:r w:rsidR="00A9144C" w:rsidRPr="004774FC">
        <w:t>součinnosti</w:t>
      </w:r>
      <w:r w:rsidR="005E65F7">
        <w:t xml:space="preserve"> </w:t>
      </w:r>
      <w:r w:rsidR="00A9144C" w:rsidRPr="004774FC">
        <w:t>pro jejich plnění.</w:t>
      </w:r>
      <w:r w:rsidR="005E65F7">
        <w:t xml:space="preserve"> Důsledkem pak byla skutečnost, kdy v rámci realizace Koncepce 2013 se u</w:t>
      </w:r>
      <w:r w:rsidR="005E65F7" w:rsidRPr="004774FC">
        <w:t xml:space="preserve"> tří úkolů</w:t>
      </w:r>
      <w:r w:rsidR="005E65F7">
        <w:t xml:space="preserve"> </w:t>
      </w:r>
      <w:r w:rsidR="005E65F7" w:rsidRPr="004774FC">
        <w:t xml:space="preserve">jednalo </w:t>
      </w:r>
      <w:r w:rsidR="005E65F7">
        <w:t>o</w:t>
      </w:r>
      <w:r w:rsidR="00244C0A">
        <w:t> </w:t>
      </w:r>
      <w:r w:rsidR="005E65F7" w:rsidRPr="004774FC">
        <w:t>oblast mimo působnost</w:t>
      </w:r>
      <w:r w:rsidR="005E65F7">
        <w:t xml:space="preserve"> </w:t>
      </w:r>
      <w:proofErr w:type="spellStart"/>
      <w:r w:rsidR="005E65F7">
        <w:t>M</w:t>
      </w:r>
      <w:r>
        <w:t>Z</w:t>
      </w:r>
      <w:r w:rsidR="005E65F7">
        <w:t>d</w:t>
      </w:r>
      <w:proofErr w:type="spellEnd"/>
      <w:r w:rsidR="005E65F7" w:rsidRPr="004774FC">
        <w:t xml:space="preserve"> (např. úkol </w:t>
      </w:r>
      <w:r w:rsidR="00244C0A">
        <w:t>„</w:t>
      </w:r>
      <w:r w:rsidR="005E65F7" w:rsidRPr="004774FC">
        <w:rPr>
          <w:i/>
        </w:rPr>
        <w:t>stanovit postupy pro distribuci vytvořených zásob nouzového přežití fyzickým osobám v postižených oblastech</w:t>
      </w:r>
      <w:r w:rsidR="00244C0A">
        <w:t>“</w:t>
      </w:r>
      <w:r w:rsidR="005E65F7" w:rsidRPr="004774FC">
        <w:t>)</w:t>
      </w:r>
      <w:r w:rsidR="005E65F7">
        <w:t xml:space="preserve"> a </w:t>
      </w:r>
      <w:proofErr w:type="spellStart"/>
      <w:r w:rsidR="005E65F7">
        <w:t>MZd</w:t>
      </w:r>
      <w:proofErr w:type="spellEnd"/>
      <w:r w:rsidR="005E65F7">
        <w:t xml:space="preserve"> </w:t>
      </w:r>
      <w:r w:rsidR="00A9144C" w:rsidRPr="004774FC">
        <w:t>se následně zapojilo pouze do plnění tří úkolů</w:t>
      </w:r>
      <w:r w:rsidR="005E65F7">
        <w:t xml:space="preserve"> a </w:t>
      </w:r>
      <w:r w:rsidR="00A9144C" w:rsidRPr="004774FC">
        <w:t>u dvou nebylo</w:t>
      </w:r>
      <w:r w:rsidR="005E65F7">
        <w:t xml:space="preserve"> vůbec</w:t>
      </w:r>
      <w:r w:rsidR="00A9144C" w:rsidRPr="004774FC">
        <w:t xml:space="preserve"> vyzváno MV k</w:t>
      </w:r>
      <w:r w:rsidR="005E65F7">
        <w:t> </w:t>
      </w:r>
      <w:r w:rsidR="00A9144C" w:rsidRPr="004774FC">
        <w:t>součinnosti</w:t>
      </w:r>
      <w:r w:rsidR="005E65F7">
        <w:t>.</w:t>
      </w:r>
      <w:r>
        <w:t xml:space="preserve"> </w:t>
      </w:r>
      <w:r w:rsidR="00A9144C" w:rsidRPr="004774FC">
        <w:t xml:space="preserve">Totéž se opakovalo i v rámci Koncepce 2020, kde bylo </w:t>
      </w:r>
      <w:proofErr w:type="spellStart"/>
      <w:r w:rsidR="00A9144C" w:rsidRPr="004774FC">
        <w:t>MZd</w:t>
      </w:r>
      <w:proofErr w:type="spellEnd"/>
      <w:r w:rsidR="00A9144C" w:rsidRPr="004774FC">
        <w:t xml:space="preserve"> určeno k součinnosti u pěti úkolů. V rámci realizace Koncepce 2020 se následně zapojilo pouze do plnění jednoho úkolu, u tří nebylo vyzváno MV k součinnosti a u jednoho úkolu se jednalo dokonce o oblast mimo jeho působnost (úkol </w:t>
      </w:r>
      <w:r w:rsidR="00244C0A">
        <w:t>„</w:t>
      </w:r>
      <w:r w:rsidR="00A9144C" w:rsidRPr="00BB3818">
        <w:rPr>
          <w:i/>
        </w:rPr>
        <w:t>s</w:t>
      </w:r>
      <w:r w:rsidR="00A9144C" w:rsidRPr="004774FC">
        <w:rPr>
          <w:i/>
        </w:rPr>
        <w:t>ystematicky vytvářet zdroje pro obměnu a nákup nové techniky pro efektivní, účinný a rychlý zásah složek integrovaného záchranného systému v souladu s požadavky na zajištění jejich akceschopnosti pro záchranné a likvidační práce na celém území České republiky za využití jak národních tak i mezinárodních zdrojů</w:t>
      </w:r>
      <w:r w:rsidR="00244C0A">
        <w:t>“</w:t>
      </w:r>
      <w:r w:rsidR="00A9144C" w:rsidRPr="00BB3818">
        <w:t>.)</w:t>
      </w:r>
    </w:p>
    <w:p w14:paraId="00BF75D6" w14:textId="507D0340" w:rsidR="00DC12E7" w:rsidRPr="0087555B" w:rsidRDefault="00DC12E7" w:rsidP="00567580">
      <w:pPr>
        <w:spacing w:after="240"/>
        <w:jc w:val="both"/>
        <w:rPr>
          <w:sz w:val="22"/>
          <w:szCs w:val="22"/>
        </w:rPr>
      </w:pPr>
      <w:r>
        <w:rPr>
          <w:rFonts w:cstheme="minorHAnsi"/>
          <w:b/>
          <w:lang w:eastAsia="cs-CZ"/>
        </w:rPr>
        <w:t>B.</w:t>
      </w:r>
      <w:r w:rsidR="007604DB">
        <w:rPr>
          <w:rFonts w:cstheme="minorHAnsi"/>
          <w:b/>
          <w:lang w:eastAsia="cs-CZ"/>
        </w:rPr>
        <w:t xml:space="preserve"> </w:t>
      </w:r>
      <w:r w:rsidR="007604DB" w:rsidRPr="007604DB">
        <w:rPr>
          <w:rFonts w:eastAsia="Calibri" w:cstheme="minorHAnsi"/>
          <w:b/>
        </w:rPr>
        <w:t xml:space="preserve">MV netřídilo </w:t>
      </w:r>
      <w:r w:rsidR="00DD579A">
        <w:rPr>
          <w:rFonts w:eastAsia="Calibri" w:cstheme="minorHAnsi"/>
          <w:b/>
        </w:rPr>
        <w:t xml:space="preserve">a nevykazovalo </w:t>
      </w:r>
      <w:r w:rsidR="007604DB" w:rsidRPr="007604DB">
        <w:rPr>
          <w:rFonts w:eastAsia="Calibri" w:cstheme="minorHAnsi"/>
          <w:b/>
        </w:rPr>
        <w:t>peněžní prostředky státního rozpočtu dle</w:t>
      </w:r>
      <w:r w:rsidR="00821C87">
        <w:rPr>
          <w:rFonts w:eastAsia="Calibri" w:cstheme="minorHAnsi"/>
          <w:b/>
        </w:rPr>
        <w:t xml:space="preserve"> vyhlášky o</w:t>
      </w:r>
      <w:r w:rsidR="00934F62">
        <w:rPr>
          <w:rFonts w:eastAsia="Calibri" w:cstheme="minorHAnsi"/>
          <w:b/>
        </w:rPr>
        <w:t> </w:t>
      </w:r>
      <w:r w:rsidR="007604DB" w:rsidRPr="007604DB">
        <w:rPr>
          <w:rFonts w:eastAsia="Calibri" w:cstheme="minorHAnsi"/>
          <w:b/>
        </w:rPr>
        <w:t>rozpočtové skladb</w:t>
      </w:r>
      <w:r w:rsidR="00821C87">
        <w:rPr>
          <w:rFonts w:eastAsia="Calibri" w:cstheme="minorHAnsi"/>
          <w:b/>
        </w:rPr>
        <w:t>ě</w:t>
      </w:r>
      <w:r w:rsidR="007604DB" w:rsidRPr="007604DB">
        <w:rPr>
          <w:rFonts w:eastAsia="Calibri" w:cstheme="minorHAnsi"/>
          <w:b/>
        </w:rPr>
        <w:t xml:space="preserve"> a tím nepostupovalo v souladu s rozpočtovými pravidly.</w:t>
      </w:r>
    </w:p>
    <w:p w14:paraId="692B9502" w14:textId="4B013AE7" w:rsidR="00776C30" w:rsidRPr="00934F62" w:rsidRDefault="00A9144C" w:rsidP="00A9144C">
      <w:pPr>
        <w:jc w:val="both"/>
        <w:rPr>
          <w:rFonts w:ascii="Calibri" w:hAnsi="Calibri" w:cs="Calibri"/>
          <w:iCs/>
          <w:highlight w:val="lightGray"/>
        </w:rPr>
      </w:pPr>
      <w:r w:rsidRPr="00934F62">
        <w:rPr>
          <w:rFonts w:ascii="Calibri" w:hAnsi="Calibri" w:cs="Calibri"/>
          <w:iCs/>
          <w:highlight w:val="lightGray"/>
        </w:rPr>
        <w:t xml:space="preserve">Kontrolou NKÚ bylo ověřeno, zda MV a </w:t>
      </w:r>
      <w:proofErr w:type="spellStart"/>
      <w:r w:rsidRPr="00934F62">
        <w:rPr>
          <w:rFonts w:ascii="Calibri" w:hAnsi="Calibri" w:cs="Calibri"/>
          <w:iCs/>
          <w:highlight w:val="lightGray"/>
        </w:rPr>
        <w:t>MZd</w:t>
      </w:r>
      <w:proofErr w:type="spellEnd"/>
      <w:r w:rsidRPr="00934F62">
        <w:rPr>
          <w:rFonts w:ascii="Calibri" w:hAnsi="Calibri" w:cs="Calibri"/>
          <w:iCs/>
          <w:highlight w:val="lightGray"/>
        </w:rPr>
        <w:t xml:space="preserve"> plní požadavky právních předpisů a MV </w:t>
      </w:r>
      <w:r w:rsidR="00DD579A" w:rsidRPr="00934F62">
        <w:rPr>
          <w:rFonts w:ascii="Calibri" w:hAnsi="Calibri" w:cs="Calibri"/>
          <w:iCs/>
          <w:highlight w:val="lightGray"/>
        </w:rPr>
        <w:t xml:space="preserve">plní </w:t>
      </w:r>
      <w:r w:rsidRPr="00934F62">
        <w:rPr>
          <w:rFonts w:ascii="Calibri" w:hAnsi="Calibri" w:cs="Calibri"/>
          <w:iCs/>
          <w:highlight w:val="lightGray"/>
        </w:rPr>
        <w:t>cíle</w:t>
      </w:r>
      <w:r w:rsidR="00B34DB6" w:rsidRPr="00934F62">
        <w:rPr>
          <w:rFonts w:ascii="Calibri" w:hAnsi="Calibri" w:cs="Calibri"/>
          <w:iCs/>
          <w:highlight w:val="lightGray"/>
        </w:rPr>
        <w:t xml:space="preserve"> a úkoly </w:t>
      </w:r>
      <w:r w:rsidR="00244C0A">
        <w:rPr>
          <w:rFonts w:ascii="Calibri" w:hAnsi="Calibri" w:cs="Calibri"/>
          <w:iCs/>
          <w:highlight w:val="lightGray"/>
        </w:rPr>
        <w:t>k</w:t>
      </w:r>
      <w:r w:rsidRPr="00934F62">
        <w:rPr>
          <w:rFonts w:ascii="Calibri" w:hAnsi="Calibri" w:cs="Calibri"/>
          <w:iCs/>
          <w:highlight w:val="lightGray"/>
        </w:rPr>
        <w:t>oncepcí OOB v oblasti financování OOB, zejména, zda MV</w:t>
      </w:r>
      <w:r w:rsidR="00D770D4" w:rsidRPr="00934F62">
        <w:rPr>
          <w:rFonts w:ascii="Calibri" w:hAnsi="Calibri" w:cs="Calibri"/>
          <w:iCs/>
          <w:highlight w:val="lightGray"/>
        </w:rPr>
        <w:t xml:space="preserve"> provázalo úkoly s</w:t>
      </w:r>
      <w:r w:rsidR="00934F62">
        <w:rPr>
          <w:rFonts w:ascii="Calibri" w:hAnsi="Calibri" w:cs="Calibri"/>
          <w:iCs/>
          <w:highlight w:val="lightGray"/>
        </w:rPr>
        <w:t> </w:t>
      </w:r>
      <w:r w:rsidR="00D770D4" w:rsidRPr="00934F62">
        <w:rPr>
          <w:rFonts w:ascii="Calibri" w:hAnsi="Calibri" w:cs="Calibri"/>
          <w:iCs/>
          <w:highlight w:val="lightGray"/>
        </w:rPr>
        <w:t>rozpočtovými zdroji</w:t>
      </w:r>
      <w:r w:rsidRPr="00934F62">
        <w:rPr>
          <w:rFonts w:ascii="Calibri" w:hAnsi="Calibri" w:cs="Calibri"/>
          <w:iCs/>
          <w:highlight w:val="lightGray"/>
        </w:rPr>
        <w:t xml:space="preserve">, </w:t>
      </w:r>
      <w:r w:rsidR="00DD579A" w:rsidRPr="00934F62">
        <w:rPr>
          <w:rFonts w:ascii="Calibri" w:hAnsi="Calibri" w:cs="Calibri"/>
          <w:iCs/>
          <w:highlight w:val="lightGray"/>
        </w:rPr>
        <w:t xml:space="preserve">jejichž </w:t>
      </w:r>
      <w:r w:rsidRPr="00934F62">
        <w:rPr>
          <w:rFonts w:ascii="Calibri" w:hAnsi="Calibri" w:cs="Calibri"/>
          <w:iCs/>
          <w:highlight w:val="lightGray"/>
        </w:rPr>
        <w:t>absenci označilo v </w:t>
      </w:r>
      <w:r w:rsidR="00244C0A">
        <w:rPr>
          <w:rFonts w:ascii="Calibri" w:hAnsi="Calibri" w:cs="Calibri"/>
          <w:iCs/>
          <w:highlight w:val="lightGray"/>
        </w:rPr>
        <w:t>k</w:t>
      </w:r>
      <w:r w:rsidRPr="00934F62">
        <w:rPr>
          <w:rFonts w:ascii="Calibri" w:hAnsi="Calibri" w:cs="Calibri"/>
          <w:iCs/>
          <w:highlight w:val="lightGray"/>
        </w:rPr>
        <w:t>oncepcích OOB opakovaně jako jednu ze zásadních slabých stránek systému OOB</w:t>
      </w:r>
      <w:r w:rsidR="00566FB5" w:rsidRPr="00934F62">
        <w:rPr>
          <w:rFonts w:ascii="Calibri" w:hAnsi="Calibri" w:cs="Calibri"/>
          <w:iCs/>
          <w:highlight w:val="lightGray"/>
        </w:rPr>
        <w:t>.</w:t>
      </w:r>
    </w:p>
    <w:p w14:paraId="794AA744" w14:textId="093D94A0" w:rsidR="00776C30" w:rsidRPr="00244C0A" w:rsidRDefault="00776C30" w:rsidP="00244C0A">
      <w:pPr>
        <w:pStyle w:val="Mluvcnadpis"/>
        <w:spacing w:before="240"/>
        <w:rPr>
          <w:rFonts w:ascii="Calibri" w:hAnsi="Calibri" w:cs="Calibri"/>
          <w:i w:val="0"/>
        </w:rPr>
      </w:pPr>
      <w:r w:rsidRPr="00244C0A">
        <w:rPr>
          <w:rFonts w:ascii="Calibri" w:hAnsi="Calibri" w:cs="Calibri"/>
          <w:i w:val="0"/>
        </w:rPr>
        <w:t xml:space="preserve">→ MV neprovázalo </w:t>
      </w:r>
      <w:r w:rsidR="008F5ABA" w:rsidRPr="00244C0A">
        <w:rPr>
          <w:rFonts w:ascii="Calibri" w:hAnsi="Calibri" w:cs="Calibri"/>
          <w:i w:val="0"/>
        </w:rPr>
        <w:t xml:space="preserve">úkoly </w:t>
      </w:r>
      <w:r w:rsidR="00244C0A">
        <w:rPr>
          <w:rFonts w:ascii="Calibri" w:hAnsi="Calibri" w:cs="Calibri"/>
          <w:i w:val="0"/>
        </w:rPr>
        <w:t>k</w:t>
      </w:r>
      <w:r w:rsidR="008F5ABA" w:rsidRPr="00244C0A">
        <w:rPr>
          <w:rFonts w:ascii="Calibri" w:hAnsi="Calibri" w:cs="Calibri"/>
          <w:i w:val="0"/>
        </w:rPr>
        <w:t>oncepcí OOB s rozpočtovými zdroji</w:t>
      </w:r>
    </w:p>
    <w:p w14:paraId="248B27F2" w14:textId="191FE9CB" w:rsidR="00A9144C" w:rsidRDefault="00A9144C" w:rsidP="00B02E1D">
      <w:pPr>
        <w:spacing w:after="120"/>
        <w:jc w:val="both"/>
        <w:rPr>
          <w:rFonts w:cstheme="minorHAnsi"/>
        </w:rPr>
      </w:pPr>
      <w:r w:rsidRPr="004774FC">
        <w:rPr>
          <w:rFonts w:cstheme="minorHAnsi"/>
          <w:lang w:eastAsia="cs-CZ"/>
        </w:rPr>
        <w:t xml:space="preserve">Výdaje </w:t>
      </w:r>
      <w:r w:rsidR="00BC1DFE">
        <w:rPr>
          <w:rFonts w:cstheme="minorHAnsi"/>
          <w:lang w:eastAsia="cs-CZ"/>
        </w:rPr>
        <w:t xml:space="preserve">na </w:t>
      </w:r>
      <w:r w:rsidRPr="004774FC">
        <w:rPr>
          <w:rFonts w:cstheme="minorHAnsi"/>
          <w:lang w:eastAsia="cs-CZ"/>
        </w:rPr>
        <w:t>OOB jsou součástí výdajů státního rozpočt</w:t>
      </w:r>
      <w:r w:rsidR="00BC1DFE">
        <w:rPr>
          <w:rFonts w:cstheme="minorHAnsi"/>
          <w:lang w:eastAsia="cs-CZ"/>
        </w:rPr>
        <w:t xml:space="preserve">u a </w:t>
      </w:r>
      <w:r w:rsidRPr="004774FC">
        <w:rPr>
          <w:rFonts w:cstheme="minorHAnsi"/>
          <w:lang w:eastAsia="cs-CZ"/>
        </w:rPr>
        <w:t>rozpočtů územních samosprávných celků</w:t>
      </w:r>
      <w:r w:rsidR="00BC1DFE">
        <w:rPr>
          <w:rFonts w:cstheme="minorHAnsi"/>
          <w:lang w:eastAsia="cs-CZ"/>
        </w:rPr>
        <w:t xml:space="preserve">. </w:t>
      </w:r>
      <w:r w:rsidRPr="004774FC">
        <w:rPr>
          <w:rFonts w:cstheme="minorHAnsi"/>
          <w:lang w:eastAsia="cs-CZ"/>
        </w:rPr>
        <w:t>Z rozpočtových kapitol 314</w:t>
      </w:r>
      <w:r w:rsidR="00244C0A">
        <w:rPr>
          <w:rFonts w:cstheme="minorHAnsi"/>
          <w:lang w:eastAsia="cs-CZ"/>
        </w:rPr>
        <w:t xml:space="preserve"> – </w:t>
      </w:r>
      <w:r w:rsidR="00244C0A">
        <w:rPr>
          <w:rFonts w:cstheme="minorHAnsi"/>
          <w:i/>
          <w:lang w:eastAsia="cs-CZ"/>
        </w:rPr>
        <w:t>Ministerstvo vnitra</w:t>
      </w:r>
      <w:r w:rsidRPr="004774FC">
        <w:rPr>
          <w:rFonts w:cstheme="minorHAnsi"/>
          <w:lang w:eastAsia="cs-CZ"/>
        </w:rPr>
        <w:t xml:space="preserve"> a 335</w:t>
      </w:r>
      <w:r w:rsidR="00244C0A">
        <w:rPr>
          <w:rFonts w:cstheme="minorHAnsi"/>
          <w:lang w:eastAsia="cs-CZ"/>
        </w:rPr>
        <w:t> – Ministerstvo zdravotnictví</w:t>
      </w:r>
      <w:r w:rsidRPr="004774FC">
        <w:rPr>
          <w:rFonts w:cstheme="minorHAnsi"/>
          <w:lang w:eastAsia="cs-CZ"/>
        </w:rPr>
        <w:t xml:space="preserve"> byly hrazeny běžné výdaje OOB</w:t>
      </w:r>
      <w:r w:rsidR="00244C0A">
        <w:rPr>
          <w:rFonts w:cstheme="minorHAnsi"/>
          <w:lang w:eastAsia="cs-CZ"/>
        </w:rPr>
        <w:t>,</w:t>
      </w:r>
      <w:r w:rsidRPr="004774FC">
        <w:rPr>
          <w:rFonts w:cstheme="minorHAnsi"/>
          <w:lang w:eastAsia="cs-CZ"/>
        </w:rPr>
        <w:t xml:space="preserve"> jako </w:t>
      </w:r>
      <w:r w:rsidR="00244C0A">
        <w:rPr>
          <w:rFonts w:cstheme="minorHAnsi"/>
          <w:lang w:eastAsia="cs-CZ"/>
        </w:rPr>
        <w:t xml:space="preserve">jsou </w:t>
      </w:r>
      <w:r w:rsidRPr="004774FC">
        <w:rPr>
          <w:rFonts w:cstheme="minorHAnsi"/>
          <w:lang w:eastAsia="cs-CZ"/>
        </w:rPr>
        <w:t xml:space="preserve">např. </w:t>
      </w:r>
      <w:r w:rsidRPr="004774FC">
        <w:rPr>
          <w:rFonts w:cstheme="minorHAnsi"/>
        </w:rPr>
        <w:t>příprava a informování obyvatelstva, zabezpečení provozu systému varování a vyrozumění, uskladnění věcných prostředků u HZS</w:t>
      </w:r>
      <w:r w:rsidR="008F5ABA">
        <w:rPr>
          <w:rFonts w:cstheme="minorHAnsi"/>
        </w:rPr>
        <w:t xml:space="preserve"> ČR</w:t>
      </w:r>
      <w:r w:rsidRPr="004774FC">
        <w:rPr>
          <w:rFonts w:cstheme="minorHAnsi"/>
        </w:rPr>
        <w:t>, likvidace nefunkčního materiálu civilní ochrany nebo provoz infrastruktury OOB (např. vzdělávací zařízení, úkryt ve FTN, sklady, opravny).</w:t>
      </w:r>
      <w:r w:rsidRPr="004774FC">
        <w:rPr>
          <w:rFonts w:cstheme="minorHAnsi"/>
          <w:lang w:eastAsia="cs-CZ"/>
        </w:rPr>
        <w:t xml:space="preserve"> </w:t>
      </w:r>
      <w:r w:rsidRPr="004774FC">
        <w:rPr>
          <w:rFonts w:cstheme="minorHAnsi"/>
        </w:rPr>
        <w:t>Kapitálové výdaje OOB zahrnovaly např. modernizaci systému varování a vyrozumění, vybavování HZS</w:t>
      </w:r>
      <w:r w:rsidR="009D68C4">
        <w:rPr>
          <w:rFonts w:cstheme="minorHAnsi"/>
        </w:rPr>
        <w:t xml:space="preserve"> ČR</w:t>
      </w:r>
      <w:r w:rsidRPr="004774FC">
        <w:rPr>
          <w:rFonts w:cstheme="minorHAnsi"/>
        </w:rPr>
        <w:t xml:space="preserve"> speciální technikou a přístroji pro </w:t>
      </w:r>
      <w:r w:rsidRPr="004774FC">
        <w:rPr>
          <w:rFonts w:cstheme="minorHAnsi"/>
        </w:rPr>
        <w:lastRenderedPageBreak/>
        <w:t>zabezpečení záchranných a likvidačních prací nebo výdaje na materiální vybavení zdravotnické humanitární pomoci.</w:t>
      </w:r>
    </w:p>
    <w:p w14:paraId="09882983" w14:textId="4750C116" w:rsidR="00A9144C" w:rsidRPr="004774FC" w:rsidRDefault="00E97B21" w:rsidP="00B02E1D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</w:rPr>
        <w:t>NKÚ zjistil, že MV v </w:t>
      </w:r>
      <w:r w:rsidR="00244C0A">
        <w:rPr>
          <w:rFonts w:cstheme="minorHAnsi"/>
        </w:rPr>
        <w:t>k</w:t>
      </w:r>
      <w:r>
        <w:rPr>
          <w:rFonts w:cstheme="minorHAnsi"/>
        </w:rPr>
        <w:t>oncepcích OOB mj. uvedlo, že je třeba zajistit plánovité přidělování potřebného objemu prostředků, což by umožnilo přilákat nové odborně vzdělané pracovníky, zabezpečit pravidelnou obměnu a modernizaci věcných zdrojů, více využívat moderních technologií a zvýšit kredit OOB u veřejnosti.</w:t>
      </w:r>
      <w:r w:rsidR="00566FB5">
        <w:rPr>
          <w:rFonts w:cstheme="minorHAnsi"/>
        </w:rPr>
        <w:t xml:space="preserve"> </w:t>
      </w:r>
      <w:r w:rsidR="00A9144C" w:rsidRPr="004774FC">
        <w:rPr>
          <w:rFonts w:cstheme="minorHAnsi"/>
        </w:rPr>
        <w:t>MV</w:t>
      </w:r>
      <w:r w:rsidR="00821796">
        <w:rPr>
          <w:rFonts w:cstheme="minorHAnsi"/>
        </w:rPr>
        <w:t xml:space="preserve"> však v řadě případů uvedlo,</w:t>
      </w:r>
      <w:r w:rsidR="00A9144C" w:rsidRPr="004774FC">
        <w:rPr>
          <w:rFonts w:cstheme="minorHAnsi"/>
        </w:rPr>
        <w:t xml:space="preserve"> že úkoly nemají povahu akcí, které by zakládaly nové finanční nároky.</w:t>
      </w:r>
      <w:r w:rsidR="00A9144C" w:rsidRPr="004774FC">
        <w:rPr>
          <w:rFonts w:cstheme="minorHAnsi"/>
          <w:color w:val="000000"/>
        </w:rPr>
        <w:t xml:space="preserve"> </w:t>
      </w:r>
      <w:r w:rsidR="00A9144C" w:rsidRPr="004774FC">
        <w:rPr>
          <w:rFonts w:cstheme="minorHAnsi"/>
          <w:bCs/>
        </w:rPr>
        <w:t xml:space="preserve">Otázka sestavení rozpočtu je přitom klíčovým prvkem implementace </w:t>
      </w:r>
      <w:r w:rsidR="00244C0A">
        <w:rPr>
          <w:rFonts w:cstheme="minorHAnsi"/>
          <w:bCs/>
        </w:rPr>
        <w:t>k</w:t>
      </w:r>
      <w:r w:rsidR="00A9144C" w:rsidRPr="004774FC">
        <w:rPr>
          <w:rFonts w:cstheme="minorHAnsi"/>
          <w:bCs/>
        </w:rPr>
        <w:t>oncepcí OO</w:t>
      </w:r>
      <w:r w:rsidR="00A9144C" w:rsidRPr="00EE43D3">
        <w:rPr>
          <w:rFonts w:cstheme="minorHAnsi"/>
          <w:bCs/>
        </w:rPr>
        <w:t>B</w:t>
      </w:r>
      <w:r w:rsidR="00401D38">
        <w:rPr>
          <w:rFonts w:cstheme="minorHAnsi"/>
          <w:bCs/>
        </w:rPr>
        <w:t xml:space="preserve"> </w:t>
      </w:r>
      <w:r w:rsidR="00401D38" w:rsidRPr="00EB4178">
        <w:rPr>
          <w:rFonts w:cstheme="minorHAnsi"/>
          <w:b/>
        </w:rPr>
        <w:t xml:space="preserve">(viz část </w:t>
      </w:r>
      <w:r w:rsidR="006E345A" w:rsidRPr="00EB4178">
        <w:rPr>
          <w:rFonts w:cstheme="minorHAnsi"/>
          <w:b/>
        </w:rPr>
        <w:t>A</w:t>
      </w:r>
      <w:r w:rsidR="00401D38" w:rsidRPr="00EB4178">
        <w:rPr>
          <w:rFonts w:cstheme="minorHAnsi"/>
          <w:b/>
        </w:rPr>
        <w:t>)</w:t>
      </w:r>
      <w:r w:rsidR="00EB4178">
        <w:rPr>
          <w:rFonts w:cstheme="minorHAnsi"/>
          <w:b/>
        </w:rPr>
        <w:t>.</w:t>
      </w:r>
    </w:p>
    <w:p w14:paraId="47AD3BB7" w14:textId="4AB74C81" w:rsidR="00A9144C" w:rsidRDefault="00A9144C" w:rsidP="00A914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4774FC">
        <w:rPr>
          <w:rFonts w:cstheme="minorHAnsi"/>
          <w:bCs/>
        </w:rPr>
        <w:t xml:space="preserve">NKÚ přitom zjistil, že řada úkolů </w:t>
      </w:r>
      <w:r w:rsidR="00EB4178">
        <w:rPr>
          <w:rFonts w:cstheme="minorHAnsi"/>
          <w:bCs/>
        </w:rPr>
        <w:t>k</w:t>
      </w:r>
      <w:r w:rsidRPr="004774FC">
        <w:rPr>
          <w:rFonts w:cstheme="minorHAnsi"/>
          <w:bCs/>
        </w:rPr>
        <w:t xml:space="preserve">oncepcí OOB </w:t>
      </w:r>
      <w:r w:rsidRPr="004774FC">
        <w:rPr>
          <w:rFonts w:cstheme="minorHAnsi"/>
        </w:rPr>
        <w:t>vynaložení prostředků</w:t>
      </w:r>
      <w:r w:rsidRPr="004774FC">
        <w:rPr>
          <w:rFonts w:cstheme="minorHAnsi"/>
          <w:bCs/>
        </w:rPr>
        <w:t xml:space="preserve"> vyžadovala</w:t>
      </w:r>
      <w:r w:rsidRPr="004774FC">
        <w:rPr>
          <w:rFonts w:cstheme="minorHAnsi"/>
        </w:rPr>
        <w:t xml:space="preserve">, k čemuž také v rámci plnění úkolů následně došlo. Např. na úkol Koncepce 2013 </w:t>
      </w:r>
      <w:r w:rsidR="00EB4178">
        <w:rPr>
          <w:rFonts w:cstheme="minorHAnsi"/>
        </w:rPr>
        <w:t>„</w:t>
      </w:r>
      <w:r w:rsidRPr="004774FC">
        <w:rPr>
          <w:rFonts w:cstheme="minorHAnsi"/>
          <w:i/>
        </w:rPr>
        <w:t>pokračovat</w:t>
      </w:r>
      <w:r w:rsidRPr="004774FC">
        <w:rPr>
          <w:rFonts w:eastAsia="Times New Roman" w:cstheme="minorHAnsi"/>
          <w:i/>
          <w:lang w:eastAsia="cs-CZ"/>
        </w:rPr>
        <w:t xml:space="preserve"> ve vybavování a přípravě</w:t>
      </w:r>
      <w:r w:rsidRPr="004774FC">
        <w:rPr>
          <w:rFonts w:eastAsia="Times New Roman" w:cstheme="minorHAnsi"/>
          <w:b/>
          <w:i/>
          <w:lang w:eastAsia="cs-CZ"/>
        </w:rPr>
        <w:t xml:space="preserve"> </w:t>
      </w:r>
      <w:r w:rsidRPr="004774FC">
        <w:rPr>
          <w:rFonts w:eastAsia="Times New Roman" w:cstheme="minorHAnsi"/>
          <w:i/>
          <w:lang w:eastAsia="cs-CZ"/>
        </w:rPr>
        <w:t>složek integrovaného záchranného systému, včetně zařízení civilní ochrany, k plnění úkolů ochrany obyvatelstva při mimořádných událostech a krizových situacích</w:t>
      </w:r>
      <w:r w:rsidR="00EB4178">
        <w:rPr>
          <w:rFonts w:eastAsia="Times New Roman" w:cstheme="minorHAnsi"/>
          <w:lang w:eastAsia="cs-CZ"/>
        </w:rPr>
        <w:t>“</w:t>
      </w:r>
      <w:r w:rsidRPr="004774FC">
        <w:rPr>
          <w:rFonts w:eastAsia="Times New Roman" w:cstheme="minorHAnsi"/>
          <w:lang w:eastAsia="cs-CZ"/>
        </w:rPr>
        <w:t xml:space="preserve"> vynaložilo MV </w:t>
      </w:r>
      <w:r w:rsidR="00401D38">
        <w:rPr>
          <w:rFonts w:eastAsia="Times New Roman" w:cstheme="minorHAnsi"/>
          <w:lang w:eastAsia="cs-CZ"/>
        </w:rPr>
        <w:t xml:space="preserve">jen </w:t>
      </w:r>
      <w:r w:rsidRPr="004774FC">
        <w:rPr>
          <w:rFonts w:eastAsia="Times New Roman" w:cstheme="minorHAnsi"/>
          <w:lang w:eastAsia="cs-CZ"/>
        </w:rPr>
        <w:t>v letech 2015</w:t>
      </w:r>
      <w:r w:rsidR="00EB4178">
        <w:rPr>
          <w:rFonts w:cstheme="minorHAnsi"/>
          <w:lang w:eastAsia="cs-CZ"/>
        </w:rPr>
        <w:t>–</w:t>
      </w:r>
      <w:r w:rsidRPr="004774FC">
        <w:rPr>
          <w:rFonts w:eastAsia="Times New Roman" w:cstheme="minorHAnsi"/>
          <w:lang w:eastAsia="cs-CZ"/>
        </w:rPr>
        <w:t xml:space="preserve">2017 v rámci podpory jednotek </w:t>
      </w:r>
      <w:r w:rsidRPr="004774FC">
        <w:rPr>
          <w:rFonts w:cstheme="minorHAnsi"/>
        </w:rPr>
        <w:t>dobrovolných hasičů částku 1</w:t>
      </w:r>
      <w:r w:rsidR="00401D38">
        <w:rPr>
          <w:rFonts w:cstheme="minorHAnsi"/>
        </w:rPr>
        <w:t xml:space="preserve"> </w:t>
      </w:r>
      <w:r w:rsidRPr="004774FC">
        <w:rPr>
          <w:rFonts w:cstheme="minorHAnsi"/>
        </w:rPr>
        <w:t>059,3 mil. Kč.</w:t>
      </w:r>
      <w:r w:rsidR="00AB53EF">
        <w:rPr>
          <w:rStyle w:val="Znakapoznpodarou"/>
          <w:rFonts w:cstheme="minorHAnsi"/>
        </w:rPr>
        <w:footnoteReference w:id="26"/>
      </w:r>
    </w:p>
    <w:p w14:paraId="3B742086" w14:textId="724E0045" w:rsidR="00776C30" w:rsidRPr="00013077" w:rsidRDefault="00776C30" w:rsidP="00934F62">
      <w:pPr>
        <w:pStyle w:val="Mluvcnadpis"/>
        <w:spacing w:before="240"/>
        <w:rPr>
          <w:rFonts w:ascii="Calibri" w:hAnsi="Calibri" w:cs="Calibri"/>
          <w:i w:val="0"/>
        </w:rPr>
      </w:pPr>
      <w:r w:rsidRPr="00013077">
        <w:rPr>
          <w:rFonts w:ascii="Calibri" w:hAnsi="Calibri" w:cs="Calibri"/>
          <w:i w:val="0"/>
        </w:rPr>
        <w:t xml:space="preserve">→ MV při </w:t>
      </w:r>
      <w:r w:rsidR="00EC033E" w:rsidRPr="00013077">
        <w:rPr>
          <w:rFonts w:ascii="Calibri" w:hAnsi="Calibri" w:cs="Calibri"/>
          <w:i w:val="0"/>
        </w:rPr>
        <w:t>třídění</w:t>
      </w:r>
      <w:r w:rsidRPr="00013077">
        <w:rPr>
          <w:rFonts w:ascii="Calibri" w:hAnsi="Calibri" w:cs="Calibri"/>
          <w:i w:val="0"/>
        </w:rPr>
        <w:t xml:space="preserve"> a vykazování výdajů na OOB nepostupovalo </w:t>
      </w:r>
      <w:r w:rsidR="00BA40D7" w:rsidRPr="00013077">
        <w:rPr>
          <w:rFonts w:ascii="Calibri" w:hAnsi="Calibri" w:cs="Calibri"/>
          <w:i w:val="0"/>
        </w:rPr>
        <w:t>dle</w:t>
      </w:r>
      <w:r w:rsidR="00F66691" w:rsidRPr="00013077">
        <w:rPr>
          <w:rFonts w:ascii="Calibri" w:hAnsi="Calibri" w:cs="Calibri"/>
          <w:i w:val="0"/>
        </w:rPr>
        <w:t xml:space="preserve"> </w:t>
      </w:r>
      <w:r w:rsidRPr="00013077">
        <w:rPr>
          <w:rFonts w:ascii="Calibri" w:hAnsi="Calibri" w:cs="Calibri"/>
          <w:i w:val="0"/>
        </w:rPr>
        <w:t>rozpočtov</w:t>
      </w:r>
      <w:r w:rsidR="00F66691" w:rsidRPr="00013077">
        <w:rPr>
          <w:rFonts w:ascii="Calibri" w:hAnsi="Calibri" w:cs="Calibri"/>
          <w:i w:val="0"/>
        </w:rPr>
        <w:t>é</w:t>
      </w:r>
      <w:r w:rsidRPr="00013077">
        <w:rPr>
          <w:rFonts w:ascii="Calibri" w:hAnsi="Calibri" w:cs="Calibri"/>
          <w:i w:val="0"/>
        </w:rPr>
        <w:t xml:space="preserve"> skladb</w:t>
      </w:r>
      <w:r w:rsidR="00F66691" w:rsidRPr="00013077">
        <w:rPr>
          <w:rFonts w:ascii="Calibri" w:hAnsi="Calibri" w:cs="Calibri"/>
          <w:i w:val="0"/>
        </w:rPr>
        <w:t>y</w:t>
      </w:r>
    </w:p>
    <w:p w14:paraId="5E353EC4" w14:textId="70315059" w:rsidR="001E4EE9" w:rsidRPr="00684781" w:rsidRDefault="004730E6" w:rsidP="00601496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NKÚ zjistil, že </w:t>
      </w:r>
      <w:r w:rsidR="00A9144C" w:rsidRPr="004774FC">
        <w:rPr>
          <w:rFonts w:cstheme="minorHAnsi"/>
        </w:rPr>
        <w:t xml:space="preserve">MV v kontrolovaném období nerozpočtovalo peněžní prostředky </w:t>
      </w:r>
      <w:r w:rsidR="003E0718">
        <w:rPr>
          <w:rFonts w:cstheme="minorHAnsi"/>
        </w:rPr>
        <w:t>stát</w:t>
      </w:r>
      <w:r w:rsidR="009F4A25">
        <w:rPr>
          <w:rFonts w:cstheme="minorHAnsi"/>
        </w:rPr>
        <w:t>ního rozpočtu</w:t>
      </w:r>
      <w:r w:rsidR="003E0718">
        <w:rPr>
          <w:rFonts w:cstheme="minorHAnsi"/>
        </w:rPr>
        <w:t xml:space="preserve"> </w:t>
      </w:r>
      <w:r w:rsidR="00427B15">
        <w:rPr>
          <w:rFonts w:cstheme="minorHAnsi"/>
        </w:rPr>
        <w:t xml:space="preserve">určené na </w:t>
      </w:r>
      <w:r w:rsidR="00A9144C" w:rsidRPr="004774FC">
        <w:rPr>
          <w:rFonts w:cstheme="minorHAnsi"/>
        </w:rPr>
        <w:t xml:space="preserve">OOB pro příslušný rok. </w:t>
      </w:r>
      <w:r w:rsidR="00B75D44">
        <w:rPr>
          <w:rFonts w:cstheme="minorHAnsi"/>
        </w:rPr>
        <w:t>V</w:t>
      </w:r>
      <w:r w:rsidR="00A9144C" w:rsidRPr="004774FC">
        <w:rPr>
          <w:rFonts w:cstheme="minorHAnsi"/>
        </w:rPr>
        <w:t xml:space="preserve">ýši rozpočtu průřezového ukazatele </w:t>
      </w:r>
      <w:r w:rsidR="00A9144C" w:rsidRPr="00934F62">
        <w:rPr>
          <w:rFonts w:cstheme="minorHAnsi"/>
        </w:rPr>
        <w:t>„</w:t>
      </w:r>
      <w:r w:rsidR="00A9144C" w:rsidRPr="004774FC">
        <w:rPr>
          <w:rFonts w:cstheme="minorHAnsi"/>
          <w:i/>
        </w:rPr>
        <w:t>Zajištění přípravy na krizové situace podle zákona č. 240/2000 Sb.</w:t>
      </w:r>
      <w:r w:rsidR="00A9144C" w:rsidRPr="00427B15">
        <w:rPr>
          <w:rFonts w:cstheme="minorHAnsi"/>
        </w:rPr>
        <w:t>“</w:t>
      </w:r>
      <w:r w:rsidR="00A9144C" w:rsidRPr="00BB3818">
        <w:rPr>
          <w:rStyle w:val="Znakapoznpodarou"/>
          <w:rFonts w:cstheme="minorHAnsi"/>
        </w:rPr>
        <w:footnoteReference w:id="27"/>
      </w:r>
      <w:r w:rsidR="00A9144C" w:rsidRPr="00427B15">
        <w:rPr>
          <w:rFonts w:cstheme="minorHAnsi"/>
        </w:rPr>
        <w:t>,</w:t>
      </w:r>
      <w:r w:rsidR="00A9144C" w:rsidRPr="004774FC">
        <w:rPr>
          <w:rFonts w:cstheme="minorHAnsi"/>
        </w:rPr>
        <w:t xml:space="preserve"> kam věcně peněžní prostředky </w:t>
      </w:r>
      <w:r w:rsidR="003E0718">
        <w:rPr>
          <w:rFonts w:cstheme="minorHAnsi"/>
        </w:rPr>
        <w:t>stát</w:t>
      </w:r>
      <w:r w:rsidR="009F4A25">
        <w:rPr>
          <w:rFonts w:cstheme="minorHAnsi"/>
        </w:rPr>
        <w:t>ního rozpočtu</w:t>
      </w:r>
      <w:r w:rsidR="003E0718">
        <w:rPr>
          <w:rFonts w:cstheme="minorHAnsi"/>
        </w:rPr>
        <w:t xml:space="preserve"> </w:t>
      </w:r>
      <w:r w:rsidR="00427B15">
        <w:rPr>
          <w:rFonts w:cstheme="minorHAnsi"/>
        </w:rPr>
        <w:t xml:space="preserve">určené na </w:t>
      </w:r>
      <w:r w:rsidR="00A9144C" w:rsidRPr="004774FC">
        <w:rPr>
          <w:rFonts w:cstheme="minorHAnsi"/>
        </w:rPr>
        <w:t xml:space="preserve">OOB mj. náleží, stanovilo </w:t>
      </w:r>
      <w:r w:rsidR="00B75D44">
        <w:rPr>
          <w:rFonts w:cstheme="minorHAnsi"/>
        </w:rPr>
        <w:t xml:space="preserve">MV </w:t>
      </w:r>
      <w:r w:rsidR="00A9144C" w:rsidRPr="004774FC">
        <w:rPr>
          <w:rFonts w:cstheme="minorHAnsi"/>
        </w:rPr>
        <w:t xml:space="preserve">každoročně ve výši 50 tis. Kč, bez vazby na </w:t>
      </w:r>
      <w:r w:rsidR="00B75D44">
        <w:rPr>
          <w:rFonts w:cstheme="minorHAnsi"/>
        </w:rPr>
        <w:t xml:space="preserve">úkoly </w:t>
      </w:r>
      <w:r w:rsidR="00427B15">
        <w:rPr>
          <w:rFonts w:cstheme="minorHAnsi"/>
        </w:rPr>
        <w:t>k</w:t>
      </w:r>
      <w:r w:rsidR="00B75D44">
        <w:rPr>
          <w:rFonts w:cstheme="minorHAnsi"/>
        </w:rPr>
        <w:t>oncepcí</w:t>
      </w:r>
      <w:r w:rsidR="00B75D44" w:rsidRPr="004774FC">
        <w:rPr>
          <w:rFonts w:cstheme="minorHAnsi"/>
        </w:rPr>
        <w:t xml:space="preserve"> </w:t>
      </w:r>
      <w:r w:rsidR="00A9144C" w:rsidRPr="004774FC">
        <w:rPr>
          <w:rFonts w:cstheme="minorHAnsi"/>
        </w:rPr>
        <w:t>OOB</w:t>
      </w:r>
      <w:r w:rsidR="003C0D52">
        <w:rPr>
          <w:rFonts w:cstheme="minorHAnsi"/>
        </w:rPr>
        <w:t xml:space="preserve"> </w:t>
      </w:r>
      <w:r w:rsidR="003C0D52" w:rsidRPr="00934F62">
        <w:rPr>
          <w:rFonts w:cstheme="minorHAnsi"/>
          <w:b/>
        </w:rPr>
        <w:t>(v</w:t>
      </w:r>
      <w:r w:rsidR="003C0D52" w:rsidRPr="00B02E1D">
        <w:rPr>
          <w:rFonts w:cstheme="minorHAnsi"/>
          <w:b/>
        </w:rPr>
        <w:t xml:space="preserve">iz </w:t>
      </w:r>
      <w:r w:rsidR="003C0D52" w:rsidRPr="00684781">
        <w:rPr>
          <w:rFonts w:cstheme="minorHAnsi"/>
          <w:b/>
        </w:rPr>
        <w:t xml:space="preserve">tabulka č. </w:t>
      </w:r>
      <w:r w:rsidR="003F08F7">
        <w:rPr>
          <w:rFonts w:cstheme="minorHAnsi"/>
          <w:b/>
        </w:rPr>
        <w:t>2</w:t>
      </w:r>
      <w:r w:rsidR="003C0D52" w:rsidRPr="00934F62">
        <w:rPr>
          <w:rFonts w:cstheme="minorHAnsi"/>
          <w:b/>
        </w:rPr>
        <w:t>).</w:t>
      </w:r>
      <w:r w:rsidR="00A9144C" w:rsidRPr="00684781">
        <w:rPr>
          <w:rFonts w:cstheme="minorHAnsi"/>
        </w:rPr>
        <w:t xml:space="preserve"> Během rozpočtového roku pak ukazatel s ohledem na výskyt krizových situací navýšilo a prostředky využilo např. na pořízení speciální techniky pro HZS</w:t>
      </w:r>
      <w:r w:rsidR="00B75D44" w:rsidRPr="00684781">
        <w:rPr>
          <w:rFonts w:cstheme="minorHAnsi"/>
        </w:rPr>
        <w:t xml:space="preserve"> ČR</w:t>
      </w:r>
      <w:r w:rsidR="00A9144C" w:rsidRPr="00684781">
        <w:rPr>
          <w:rFonts w:cstheme="minorHAnsi"/>
        </w:rPr>
        <w:t>.</w:t>
      </w:r>
    </w:p>
    <w:p w14:paraId="788F1282" w14:textId="77E3DB70" w:rsidR="003C0D52" w:rsidRPr="00934F62" w:rsidRDefault="003C0D52" w:rsidP="00934F62">
      <w:pPr>
        <w:pStyle w:val="Titulek"/>
        <w:keepNext/>
        <w:spacing w:before="120" w:after="40"/>
        <w:ind w:left="1418" w:hanging="1418"/>
        <w:rPr>
          <w:b/>
          <w:i w:val="0"/>
          <w:color w:val="000000" w:themeColor="text1"/>
          <w:sz w:val="24"/>
          <w:szCs w:val="24"/>
        </w:rPr>
      </w:pPr>
      <w:bookmarkStart w:id="3" w:name="_Hlk119919842"/>
      <w:r w:rsidRPr="00934F62">
        <w:rPr>
          <w:b/>
          <w:i w:val="0"/>
          <w:color w:val="000000" w:themeColor="text1"/>
          <w:sz w:val="24"/>
          <w:szCs w:val="24"/>
        </w:rPr>
        <w:t xml:space="preserve">Tabulka č. </w:t>
      </w:r>
      <w:bookmarkEnd w:id="3"/>
      <w:r w:rsidR="006E345A" w:rsidRPr="00934F62">
        <w:rPr>
          <w:b/>
          <w:i w:val="0"/>
          <w:color w:val="000000" w:themeColor="text1"/>
          <w:sz w:val="24"/>
          <w:szCs w:val="24"/>
        </w:rPr>
        <w:t>2</w:t>
      </w:r>
      <w:r w:rsidR="003F08F7">
        <w:rPr>
          <w:b/>
          <w:i w:val="0"/>
          <w:color w:val="000000" w:themeColor="text1"/>
          <w:sz w:val="24"/>
          <w:szCs w:val="24"/>
        </w:rPr>
        <w:t>:</w:t>
      </w:r>
      <w:r w:rsidR="00CE6922">
        <w:rPr>
          <w:b/>
          <w:i w:val="0"/>
          <w:color w:val="000000" w:themeColor="text1"/>
          <w:sz w:val="24"/>
          <w:szCs w:val="24"/>
        </w:rPr>
        <w:tab/>
      </w:r>
      <w:r w:rsidR="001E4EE9" w:rsidRPr="00934F62">
        <w:rPr>
          <w:b/>
          <w:i w:val="0"/>
          <w:color w:val="000000" w:themeColor="text1"/>
          <w:sz w:val="24"/>
          <w:szCs w:val="24"/>
        </w:rPr>
        <w:t>Specifický ukazatel „</w:t>
      </w:r>
      <w:r w:rsidR="001E4EE9" w:rsidRPr="00BB3818">
        <w:rPr>
          <w:b/>
          <w:color w:val="000000" w:themeColor="text1"/>
          <w:sz w:val="24"/>
          <w:szCs w:val="24"/>
        </w:rPr>
        <w:t>Zajištění přípravy na krizové situace podle zákona č.</w:t>
      </w:r>
      <w:r w:rsidR="00CE6922" w:rsidRPr="00BB3818">
        <w:rPr>
          <w:b/>
          <w:color w:val="000000" w:themeColor="text1"/>
          <w:sz w:val="24"/>
          <w:szCs w:val="24"/>
        </w:rPr>
        <w:t> </w:t>
      </w:r>
      <w:r w:rsidR="001E4EE9" w:rsidRPr="00BB3818">
        <w:rPr>
          <w:b/>
          <w:color w:val="000000" w:themeColor="text1"/>
          <w:sz w:val="24"/>
          <w:szCs w:val="24"/>
        </w:rPr>
        <w:t>240/2000 Sb.</w:t>
      </w:r>
      <w:r w:rsidR="001E4EE9" w:rsidRPr="00934F62">
        <w:rPr>
          <w:b/>
          <w:i w:val="0"/>
          <w:color w:val="000000" w:themeColor="text1"/>
          <w:sz w:val="24"/>
          <w:szCs w:val="24"/>
        </w:rPr>
        <w:t>“ v letech 2015</w:t>
      </w:r>
      <w:r w:rsidR="003F08F7">
        <w:rPr>
          <w:b/>
          <w:i w:val="0"/>
          <w:color w:val="000000" w:themeColor="text1"/>
          <w:sz w:val="24"/>
          <w:szCs w:val="24"/>
        </w:rPr>
        <w:t>–</w:t>
      </w:r>
      <w:r w:rsidR="001E4EE9" w:rsidRPr="00934F62">
        <w:rPr>
          <w:b/>
          <w:i w:val="0"/>
          <w:color w:val="000000" w:themeColor="text1"/>
          <w:sz w:val="24"/>
          <w:szCs w:val="24"/>
        </w:rPr>
        <w:t xml:space="preserve">2021 </w:t>
      </w:r>
      <w:r w:rsidR="00176CD4" w:rsidRPr="00934F62">
        <w:rPr>
          <w:b/>
          <w:i w:val="0"/>
          <w:color w:val="000000" w:themeColor="text1"/>
          <w:sz w:val="24"/>
          <w:szCs w:val="24"/>
        </w:rPr>
        <w:t>(</w:t>
      </w:r>
      <w:r w:rsidR="002D38EA" w:rsidRPr="00934F62">
        <w:rPr>
          <w:b/>
          <w:i w:val="0"/>
          <w:color w:val="000000" w:themeColor="text1"/>
          <w:sz w:val="24"/>
          <w:szCs w:val="24"/>
        </w:rPr>
        <w:t>v Kč</w:t>
      </w:r>
      <w:r w:rsidR="00176CD4" w:rsidRPr="00934F62">
        <w:rPr>
          <w:b/>
          <w:i w:val="0"/>
          <w:color w:val="000000" w:themeColor="text1"/>
          <w:sz w:val="24"/>
          <w:szCs w:val="24"/>
        </w:rPr>
        <w:t>)</w:t>
      </w:r>
    </w:p>
    <w:tbl>
      <w:tblPr>
        <w:tblStyle w:val="Mkatabulky"/>
        <w:tblW w:w="9136" w:type="dxa"/>
        <w:jc w:val="center"/>
        <w:tblLook w:val="04A0" w:firstRow="1" w:lastRow="0" w:firstColumn="1" w:lastColumn="0" w:noHBand="0" w:noVBand="1"/>
      </w:tblPr>
      <w:tblGrid>
        <w:gridCol w:w="775"/>
        <w:gridCol w:w="1417"/>
        <w:gridCol w:w="1862"/>
        <w:gridCol w:w="2030"/>
        <w:gridCol w:w="1693"/>
        <w:gridCol w:w="1359"/>
      </w:tblGrid>
      <w:tr w:rsidR="00CE6922" w:rsidRPr="002A0E0B" w14:paraId="58387027" w14:textId="77777777" w:rsidTr="002A0E0B">
        <w:trPr>
          <w:trHeight w:val="283"/>
          <w:jc w:val="center"/>
        </w:trPr>
        <w:tc>
          <w:tcPr>
            <w:tcW w:w="775" w:type="dxa"/>
            <w:shd w:val="clear" w:color="auto" w:fill="E5F1FF"/>
            <w:vAlign w:val="center"/>
          </w:tcPr>
          <w:p w14:paraId="3C6DE75D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Rok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5F51B167" w14:textId="77777777" w:rsidR="003C0D52" w:rsidRPr="002A0E0B" w:rsidRDefault="003C0D52" w:rsidP="00567580">
            <w:pPr>
              <w:ind w:lef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Orgán</w:t>
            </w:r>
          </w:p>
        </w:tc>
        <w:tc>
          <w:tcPr>
            <w:tcW w:w="1862" w:type="dxa"/>
            <w:shd w:val="clear" w:color="auto" w:fill="E5F1FF"/>
            <w:vAlign w:val="center"/>
          </w:tcPr>
          <w:p w14:paraId="5C0F955B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Schválený rozpočet</w:t>
            </w:r>
          </w:p>
        </w:tc>
        <w:tc>
          <w:tcPr>
            <w:tcW w:w="2030" w:type="dxa"/>
            <w:shd w:val="clear" w:color="auto" w:fill="E5F1FF"/>
            <w:vAlign w:val="center"/>
          </w:tcPr>
          <w:p w14:paraId="5CE1B533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Rozpočet po změnách</w:t>
            </w:r>
          </w:p>
        </w:tc>
        <w:tc>
          <w:tcPr>
            <w:tcW w:w="1693" w:type="dxa"/>
            <w:shd w:val="clear" w:color="auto" w:fill="E5F1FF"/>
            <w:vAlign w:val="center"/>
          </w:tcPr>
          <w:p w14:paraId="59F14A01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Konečný rozpočet</w:t>
            </w:r>
          </w:p>
        </w:tc>
        <w:tc>
          <w:tcPr>
            <w:tcW w:w="1359" w:type="dxa"/>
            <w:shd w:val="clear" w:color="auto" w:fill="E5F1FF"/>
            <w:vAlign w:val="center"/>
          </w:tcPr>
          <w:p w14:paraId="18B0F875" w14:textId="77777777" w:rsidR="003C0D52" w:rsidRPr="002A0E0B" w:rsidRDefault="003C0D52" w:rsidP="00CE692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Skutečnost</w:t>
            </w:r>
          </w:p>
        </w:tc>
      </w:tr>
      <w:tr w:rsidR="00567580" w:rsidRPr="002A0E0B" w14:paraId="67FF8115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0833653C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14:paraId="36BF52D7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64D9C3BE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11372E5D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50 000</w:t>
            </w:r>
          </w:p>
        </w:tc>
        <w:tc>
          <w:tcPr>
            <w:tcW w:w="1693" w:type="dxa"/>
            <w:vAlign w:val="center"/>
          </w:tcPr>
          <w:p w14:paraId="0CFA4D33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797065D4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47 301</w:t>
            </w:r>
          </w:p>
        </w:tc>
      </w:tr>
      <w:tr w:rsidR="00567580" w:rsidRPr="002A0E0B" w14:paraId="4F4119D9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5007E143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59B0FD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60E7B818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348E56E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6 595 200</w:t>
            </w:r>
          </w:p>
        </w:tc>
        <w:tc>
          <w:tcPr>
            <w:tcW w:w="1693" w:type="dxa"/>
            <w:vAlign w:val="center"/>
          </w:tcPr>
          <w:p w14:paraId="53A96C48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21 635 755</w:t>
            </w:r>
          </w:p>
        </w:tc>
        <w:tc>
          <w:tcPr>
            <w:tcW w:w="1359" w:type="dxa"/>
            <w:vAlign w:val="center"/>
          </w:tcPr>
          <w:p w14:paraId="25ABEA1D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17 626 397</w:t>
            </w:r>
          </w:p>
        </w:tc>
      </w:tr>
      <w:tr w:rsidR="00567580" w:rsidRPr="002A0E0B" w14:paraId="2C0C6465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0F898655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</w:tcPr>
          <w:p w14:paraId="29F31EF5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6EF759B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2238E073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693" w:type="dxa"/>
            <w:vAlign w:val="center"/>
          </w:tcPr>
          <w:p w14:paraId="7B076D12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66F04ED0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41 000</w:t>
            </w:r>
          </w:p>
        </w:tc>
      </w:tr>
      <w:tr w:rsidR="00567580" w:rsidRPr="002A0E0B" w14:paraId="32EEAC33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72744091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DDFE9F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0F7E150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72F93303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31 363 817</w:t>
            </w:r>
          </w:p>
        </w:tc>
        <w:tc>
          <w:tcPr>
            <w:tcW w:w="1693" w:type="dxa"/>
            <w:vAlign w:val="center"/>
          </w:tcPr>
          <w:p w14:paraId="5D26DDE5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35 373 174</w:t>
            </w:r>
          </w:p>
        </w:tc>
        <w:tc>
          <w:tcPr>
            <w:tcW w:w="1359" w:type="dxa"/>
            <w:vAlign w:val="center"/>
          </w:tcPr>
          <w:p w14:paraId="371B71EF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25 363 064</w:t>
            </w:r>
          </w:p>
        </w:tc>
      </w:tr>
      <w:tr w:rsidR="00567580" w:rsidRPr="002A0E0B" w14:paraId="2345578D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0950FA38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center"/>
          </w:tcPr>
          <w:p w14:paraId="029BFA15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34D5B2E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053CEF09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693" w:type="dxa"/>
            <w:vAlign w:val="center"/>
          </w:tcPr>
          <w:p w14:paraId="0DAAEFB5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71BAB882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36 507</w:t>
            </w:r>
          </w:p>
        </w:tc>
      </w:tr>
      <w:tr w:rsidR="00567580" w:rsidRPr="002A0E0B" w14:paraId="0EE69E83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363C8DAC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13C3F8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2D51DBAF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38659334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82 745 734</w:t>
            </w:r>
          </w:p>
        </w:tc>
        <w:tc>
          <w:tcPr>
            <w:tcW w:w="1693" w:type="dxa"/>
            <w:vAlign w:val="center"/>
          </w:tcPr>
          <w:p w14:paraId="2BCD086F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92 527 021</w:t>
            </w:r>
          </w:p>
        </w:tc>
        <w:tc>
          <w:tcPr>
            <w:tcW w:w="1359" w:type="dxa"/>
            <w:vAlign w:val="center"/>
          </w:tcPr>
          <w:p w14:paraId="73C95C4B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14 408 279</w:t>
            </w:r>
          </w:p>
        </w:tc>
      </w:tr>
      <w:tr w:rsidR="00567580" w:rsidRPr="002A0E0B" w14:paraId="6E578600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405BC568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center"/>
          </w:tcPr>
          <w:p w14:paraId="1BB0FB01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6F9A0F2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044366EB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693" w:type="dxa"/>
            <w:vAlign w:val="center"/>
          </w:tcPr>
          <w:p w14:paraId="28CFF7A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4D5C7093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37 466</w:t>
            </w:r>
          </w:p>
        </w:tc>
      </w:tr>
      <w:tr w:rsidR="00567580" w:rsidRPr="002A0E0B" w14:paraId="7EC1E706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2EBC9C98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D050F5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16BE836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25C3A2F8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82 711 196</w:t>
            </w:r>
          </w:p>
        </w:tc>
        <w:tc>
          <w:tcPr>
            <w:tcW w:w="1693" w:type="dxa"/>
            <w:vAlign w:val="center"/>
          </w:tcPr>
          <w:p w14:paraId="5D4FBF6F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160 787 342</w:t>
            </w:r>
          </w:p>
        </w:tc>
        <w:tc>
          <w:tcPr>
            <w:tcW w:w="1359" w:type="dxa"/>
            <w:vAlign w:val="center"/>
          </w:tcPr>
          <w:p w14:paraId="5770002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84 008 105</w:t>
            </w:r>
          </w:p>
        </w:tc>
      </w:tr>
      <w:tr w:rsidR="00567580" w:rsidRPr="002A0E0B" w14:paraId="29FD9F29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6FC8C6BD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417" w:type="dxa"/>
            <w:vAlign w:val="center"/>
          </w:tcPr>
          <w:p w14:paraId="047D40B7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5428704A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2E68AF7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693" w:type="dxa"/>
            <w:vAlign w:val="center"/>
          </w:tcPr>
          <w:p w14:paraId="0120F168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67D9CF9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23 325</w:t>
            </w:r>
          </w:p>
        </w:tc>
      </w:tr>
      <w:tr w:rsidR="00567580" w:rsidRPr="002A0E0B" w14:paraId="116355CF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01CFBBE5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67E50F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41CB3204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2B4A8B7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120 062 909</w:t>
            </w:r>
          </w:p>
        </w:tc>
        <w:tc>
          <w:tcPr>
            <w:tcW w:w="1693" w:type="dxa"/>
            <w:vAlign w:val="center"/>
          </w:tcPr>
          <w:p w14:paraId="65D4F6B2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196 653 826</w:t>
            </w:r>
          </w:p>
        </w:tc>
        <w:tc>
          <w:tcPr>
            <w:tcW w:w="1359" w:type="dxa"/>
            <w:vAlign w:val="center"/>
          </w:tcPr>
          <w:p w14:paraId="3608F9C9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63 868 837</w:t>
            </w:r>
          </w:p>
        </w:tc>
      </w:tr>
      <w:tr w:rsidR="00567580" w:rsidRPr="002A0E0B" w14:paraId="01574024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2ADFAC1C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14:paraId="61DA73B4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1495AFD0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4D8675D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693" w:type="dxa"/>
            <w:vAlign w:val="center"/>
          </w:tcPr>
          <w:p w14:paraId="3A6454B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1359" w:type="dxa"/>
            <w:vAlign w:val="center"/>
          </w:tcPr>
          <w:p w14:paraId="36129126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67580" w:rsidRPr="002A0E0B" w14:paraId="29FD454B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0B4456AF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E347E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36F09E9A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48014D6A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6 767 490</w:t>
            </w:r>
          </w:p>
        </w:tc>
        <w:tc>
          <w:tcPr>
            <w:tcW w:w="1693" w:type="dxa"/>
            <w:vAlign w:val="center"/>
          </w:tcPr>
          <w:p w14:paraId="7503C2AE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139 544 010</w:t>
            </w:r>
          </w:p>
        </w:tc>
        <w:tc>
          <w:tcPr>
            <w:tcW w:w="1359" w:type="dxa"/>
            <w:vAlign w:val="center"/>
          </w:tcPr>
          <w:p w14:paraId="2C5091F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138 221 458</w:t>
            </w:r>
          </w:p>
        </w:tc>
      </w:tr>
      <w:tr w:rsidR="00567580" w:rsidRPr="002A0E0B" w14:paraId="1BEF0D55" w14:textId="77777777" w:rsidTr="002A0E0B">
        <w:trPr>
          <w:trHeight w:val="283"/>
          <w:jc w:val="center"/>
        </w:trPr>
        <w:tc>
          <w:tcPr>
            <w:tcW w:w="775" w:type="dxa"/>
            <w:vMerge w:val="restart"/>
            <w:vAlign w:val="center"/>
          </w:tcPr>
          <w:p w14:paraId="7458126E" w14:textId="77777777" w:rsidR="003C0D52" w:rsidRPr="002A0E0B" w:rsidRDefault="003C0D52" w:rsidP="00CE6922">
            <w:pPr>
              <w:ind w:lef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71C7EB09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MV-GŘ HZS ČR</w:t>
            </w:r>
          </w:p>
        </w:tc>
        <w:tc>
          <w:tcPr>
            <w:tcW w:w="1862" w:type="dxa"/>
            <w:vAlign w:val="center"/>
          </w:tcPr>
          <w:p w14:paraId="1D90B9D3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50 000</w:t>
            </w:r>
          </w:p>
        </w:tc>
        <w:tc>
          <w:tcPr>
            <w:tcW w:w="2030" w:type="dxa"/>
            <w:vAlign w:val="center"/>
          </w:tcPr>
          <w:p w14:paraId="54358960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237 589 250</w:t>
            </w:r>
          </w:p>
        </w:tc>
        <w:tc>
          <w:tcPr>
            <w:tcW w:w="1693" w:type="dxa"/>
            <w:vAlign w:val="center"/>
          </w:tcPr>
          <w:p w14:paraId="24E40AC8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237 589 250</w:t>
            </w:r>
          </w:p>
        </w:tc>
        <w:tc>
          <w:tcPr>
            <w:tcW w:w="1359" w:type="dxa"/>
            <w:vAlign w:val="center"/>
          </w:tcPr>
          <w:p w14:paraId="5B7E6B8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237 560 900</w:t>
            </w:r>
          </w:p>
        </w:tc>
      </w:tr>
      <w:tr w:rsidR="00567580" w:rsidRPr="002A0E0B" w14:paraId="207B586E" w14:textId="77777777" w:rsidTr="002A0E0B">
        <w:trPr>
          <w:trHeight w:val="283"/>
          <w:jc w:val="center"/>
        </w:trPr>
        <w:tc>
          <w:tcPr>
            <w:tcW w:w="775" w:type="dxa"/>
            <w:vMerge/>
            <w:vAlign w:val="center"/>
          </w:tcPr>
          <w:p w14:paraId="3CDF24B6" w14:textId="77777777" w:rsidR="003C0D52" w:rsidRPr="002A0E0B" w:rsidRDefault="003C0D52" w:rsidP="00CE6922">
            <w:pPr>
              <w:ind w:left="-5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9021BF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HZS ČR</w:t>
            </w:r>
          </w:p>
        </w:tc>
        <w:tc>
          <w:tcPr>
            <w:tcW w:w="1862" w:type="dxa"/>
            <w:vAlign w:val="center"/>
          </w:tcPr>
          <w:p w14:paraId="4F6B8F1A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6C5DB5CE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7 011 542</w:t>
            </w:r>
          </w:p>
        </w:tc>
        <w:tc>
          <w:tcPr>
            <w:tcW w:w="1693" w:type="dxa"/>
            <w:vAlign w:val="center"/>
          </w:tcPr>
          <w:p w14:paraId="6214861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7 329 960</w:t>
            </w:r>
          </w:p>
        </w:tc>
        <w:tc>
          <w:tcPr>
            <w:tcW w:w="1359" w:type="dxa"/>
            <w:vAlign w:val="center"/>
          </w:tcPr>
          <w:p w14:paraId="4869DE20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A0E0B">
              <w:rPr>
                <w:rFonts w:ascii="Calibri" w:hAnsi="Calibri" w:cs="Calibri"/>
                <w:sz w:val="20"/>
                <w:szCs w:val="20"/>
              </w:rPr>
              <w:t>6 932 562</w:t>
            </w:r>
          </w:p>
        </w:tc>
      </w:tr>
      <w:tr w:rsidR="00CE6922" w:rsidRPr="002A0E0B" w14:paraId="146EF2DE" w14:textId="77777777" w:rsidTr="002A0E0B">
        <w:trPr>
          <w:trHeight w:val="283"/>
          <w:jc w:val="center"/>
        </w:trPr>
        <w:tc>
          <w:tcPr>
            <w:tcW w:w="775" w:type="dxa"/>
            <w:shd w:val="clear" w:color="auto" w:fill="F2C6C9"/>
            <w:vAlign w:val="center"/>
          </w:tcPr>
          <w:p w14:paraId="36FC2F88" w14:textId="77777777" w:rsidR="003C0D52" w:rsidRPr="002A0E0B" w:rsidRDefault="003C0D52" w:rsidP="00CE6922">
            <w:pPr>
              <w:ind w:left="-57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417" w:type="dxa"/>
            <w:shd w:val="clear" w:color="auto" w:fill="F2C6C9"/>
            <w:vAlign w:val="center"/>
          </w:tcPr>
          <w:p w14:paraId="03B83765" w14:textId="77777777" w:rsidR="003C0D52" w:rsidRPr="002A0E0B" w:rsidRDefault="003C0D52" w:rsidP="00567580">
            <w:pPr>
              <w:ind w:left="-57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1862" w:type="dxa"/>
            <w:shd w:val="clear" w:color="auto" w:fill="F2C6C9"/>
            <w:vAlign w:val="center"/>
          </w:tcPr>
          <w:p w14:paraId="4D31E00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350 000</w:t>
            </w:r>
          </w:p>
        </w:tc>
        <w:tc>
          <w:tcPr>
            <w:tcW w:w="2030" w:type="dxa"/>
            <w:shd w:val="clear" w:color="auto" w:fill="F2C6C9"/>
            <w:vAlign w:val="center"/>
          </w:tcPr>
          <w:p w14:paraId="0D6B56B1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575 097 138</w:t>
            </w:r>
          </w:p>
        </w:tc>
        <w:tc>
          <w:tcPr>
            <w:tcW w:w="1693" w:type="dxa"/>
            <w:shd w:val="clear" w:color="auto" w:fill="F2C6C9"/>
            <w:vAlign w:val="center"/>
          </w:tcPr>
          <w:p w14:paraId="69E96CFC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891 740 338</w:t>
            </w:r>
          </w:p>
        </w:tc>
        <w:tc>
          <w:tcPr>
            <w:tcW w:w="1359" w:type="dxa"/>
            <w:shd w:val="clear" w:color="auto" w:fill="F2C6C9"/>
            <w:vAlign w:val="center"/>
          </w:tcPr>
          <w:p w14:paraId="3B06F197" w14:textId="77777777" w:rsidR="003C0D52" w:rsidRPr="002A0E0B" w:rsidRDefault="003C0D52" w:rsidP="0056758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2A0E0B">
              <w:rPr>
                <w:rFonts w:ascii="Calibri" w:hAnsi="Calibri" w:cs="Calibri"/>
                <w:b/>
                <w:sz w:val="20"/>
                <w:szCs w:val="20"/>
              </w:rPr>
              <w:t>588 175 201</w:t>
            </w:r>
          </w:p>
        </w:tc>
      </w:tr>
    </w:tbl>
    <w:p w14:paraId="2024BCDB" w14:textId="1C360665" w:rsidR="003C0D52" w:rsidRPr="00B00050" w:rsidRDefault="003C0D52" w:rsidP="00B00050">
      <w:pPr>
        <w:autoSpaceDE w:val="0"/>
        <w:autoSpaceDN w:val="0"/>
        <w:adjustRightInd w:val="0"/>
        <w:spacing w:before="40" w:after="120"/>
        <w:jc w:val="both"/>
        <w:rPr>
          <w:rFonts w:ascii="Calibri" w:hAnsi="Calibri" w:cs="Calibri"/>
          <w:sz w:val="20"/>
          <w:szCs w:val="20"/>
        </w:rPr>
      </w:pPr>
      <w:r w:rsidRPr="002A0E0B">
        <w:rPr>
          <w:rFonts w:ascii="Calibri" w:hAnsi="Calibri" w:cs="Calibri"/>
          <w:b/>
          <w:sz w:val="20"/>
          <w:szCs w:val="20"/>
        </w:rPr>
        <w:t xml:space="preserve">Zdroj: </w:t>
      </w:r>
      <w:r w:rsidR="003F08F7">
        <w:rPr>
          <w:rFonts w:ascii="Calibri" w:hAnsi="Calibri" w:cs="Calibri"/>
          <w:sz w:val="20"/>
          <w:szCs w:val="20"/>
        </w:rPr>
        <w:t>z</w:t>
      </w:r>
      <w:r w:rsidRPr="00B00050">
        <w:rPr>
          <w:rFonts w:ascii="Calibri" w:hAnsi="Calibri" w:cs="Calibri"/>
          <w:sz w:val="20"/>
          <w:szCs w:val="20"/>
        </w:rPr>
        <w:t xml:space="preserve">ávěrečné účty MV </w:t>
      </w:r>
      <w:r w:rsidR="003F08F7">
        <w:rPr>
          <w:rFonts w:ascii="Calibri" w:hAnsi="Calibri" w:cs="Calibri"/>
          <w:sz w:val="20"/>
          <w:szCs w:val="20"/>
        </w:rPr>
        <w:t xml:space="preserve">za roky </w:t>
      </w:r>
      <w:r w:rsidRPr="00B00050">
        <w:rPr>
          <w:rFonts w:ascii="Calibri" w:hAnsi="Calibri" w:cs="Calibri"/>
          <w:sz w:val="20"/>
          <w:szCs w:val="20"/>
        </w:rPr>
        <w:t>2015</w:t>
      </w:r>
      <w:r w:rsidR="003F08F7">
        <w:rPr>
          <w:rFonts w:ascii="Calibri" w:hAnsi="Calibri" w:cs="Calibri"/>
          <w:sz w:val="20"/>
          <w:szCs w:val="20"/>
        </w:rPr>
        <w:t>–</w:t>
      </w:r>
      <w:r w:rsidRPr="00B00050">
        <w:rPr>
          <w:rFonts w:ascii="Calibri" w:hAnsi="Calibri" w:cs="Calibri"/>
          <w:sz w:val="20"/>
          <w:szCs w:val="20"/>
        </w:rPr>
        <w:t>2021, odpověď MV na žádost NKÚ č. 3</w:t>
      </w:r>
      <w:r w:rsidR="0060751F">
        <w:rPr>
          <w:rFonts w:ascii="Calibri" w:hAnsi="Calibri" w:cs="Calibri"/>
          <w:sz w:val="20"/>
          <w:szCs w:val="20"/>
        </w:rPr>
        <w:t>.</w:t>
      </w:r>
    </w:p>
    <w:p w14:paraId="79931B19" w14:textId="469AA6CD" w:rsidR="00821796" w:rsidRDefault="009B56A7" w:rsidP="00A914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V kontrolovaném období muselo MV v</w:t>
      </w:r>
      <w:r w:rsidR="00A9144C" w:rsidRPr="004774FC">
        <w:rPr>
          <w:rFonts w:cstheme="minorHAnsi"/>
        </w:rPr>
        <w:t> rámci odvětvového třídění rozpočtu</w:t>
      </w:r>
      <w:r>
        <w:rPr>
          <w:rFonts w:cstheme="minorHAnsi"/>
        </w:rPr>
        <w:t xml:space="preserve"> </w:t>
      </w:r>
      <w:r w:rsidR="00A9144C" w:rsidRPr="004774FC">
        <w:rPr>
          <w:rFonts w:cstheme="minorHAnsi"/>
        </w:rPr>
        <w:t>dodržovat vyhlášku</w:t>
      </w:r>
      <w:r>
        <w:rPr>
          <w:rFonts w:cstheme="minorHAnsi"/>
        </w:rPr>
        <w:t xml:space="preserve"> </w:t>
      </w:r>
      <w:r w:rsidR="00A9144C" w:rsidRPr="004774FC">
        <w:rPr>
          <w:rFonts w:cstheme="minorHAnsi"/>
        </w:rPr>
        <w:t>č. 323/2002 Sb.</w:t>
      </w:r>
      <w:r w:rsidR="00B75D44">
        <w:rPr>
          <w:rFonts w:cstheme="minorHAnsi"/>
        </w:rPr>
        <w:t xml:space="preserve">, resp. </w:t>
      </w:r>
      <w:r>
        <w:rPr>
          <w:rFonts w:cstheme="minorHAnsi"/>
        </w:rPr>
        <w:t xml:space="preserve">od </w:t>
      </w:r>
      <w:r w:rsidR="00BA40D7">
        <w:rPr>
          <w:rFonts w:cstheme="minorHAnsi"/>
        </w:rPr>
        <w:t>1. 1.</w:t>
      </w:r>
      <w:r>
        <w:rPr>
          <w:rFonts w:cstheme="minorHAnsi"/>
        </w:rPr>
        <w:t xml:space="preserve"> 2022 vyhlášku č. 412/2021 Sb.</w:t>
      </w:r>
      <w:r w:rsidR="00B75D44">
        <w:rPr>
          <w:rFonts w:cstheme="minorHAnsi"/>
        </w:rPr>
        <w:t xml:space="preserve">, </w:t>
      </w:r>
      <w:r w:rsidR="00A9144C" w:rsidRPr="004774FC">
        <w:rPr>
          <w:rFonts w:cstheme="minorHAnsi"/>
        </w:rPr>
        <w:t xml:space="preserve">konkrétně paragraf 5212 – </w:t>
      </w:r>
      <w:r w:rsidR="00A9144C" w:rsidRPr="00BB3818">
        <w:rPr>
          <w:rFonts w:cstheme="minorHAnsi"/>
          <w:i/>
        </w:rPr>
        <w:t>Ochrana obyvatelstva</w:t>
      </w:r>
      <w:r w:rsidR="00A9144C" w:rsidRPr="004774FC">
        <w:rPr>
          <w:rFonts w:cstheme="minorHAnsi"/>
        </w:rPr>
        <w:t>, na kterém mají být vykazovány</w:t>
      </w:r>
      <w:r w:rsidR="00821796">
        <w:rPr>
          <w:rFonts w:cstheme="minorHAnsi"/>
        </w:rPr>
        <w:t xml:space="preserve"> </w:t>
      </w:r>
      <w:r w:rsidR="00A9144C" w:rsidRPr="004774FC">
        <w:rPr>
          <w:rFonts w:cstheme="minorHAnsi"/>
        </w:rPr>
        <w:t>výdaje</w:t>
      </w:r>
      <w:r w:rsidR="00821796">
        <w:rPr>
          <w:rFonts w:cstheme="minorHAnsi"/>
        </w:rPr>
        <w:t xml:space="preserve"> jako např. materiál civilní ochrany nebo </w:t>
      </w:r>
      <w:r w:rsidR="00D4654F">
        <w:rPr>
          <w:rFonts w:cstheme="minorHAnsi"/>
        </w:rPr>
        <w:t xml:space="preserve">výdaje spojené se zajištěním </w:t>
      </w:r>
      <w:r w:rsidR="00821796">
        <w:rPr>
          <w:rFonts w:cstheme="minorHAnsi"/>
        </w:rPr>
        <w:t>úkrytov</w:t>
      </w:r>
      <w:r w:rsidR="00D4654F">
        <w:rPr>
          <w:rFonts w:cstheme="minorHAnsi"/>
        </w:rPr>
        <w:t>ého</w:t>
      </w:r>
      <w:r w:rsidR="00821796">
        <w:rPr>
          <w:rFonts w:cstheme="minorHAnsi"/>
        </w:rPr>
        <w:t xml:space="preserve"> fond</w:t>
      </w:r>
      <w:r w:rsidR="00D4654F">
        <w:rPr>
          <w:rFonts w:cstheme="minorHAnsi"/>
        </w:rPr>
        <w:t>u</w:t>
      </w:r>
      <w:r w:rsidR="00821796">
        <w:rPr>
          <w:rFonts w:cstheme="minorHAnsi"/>
        </w:rPr>
        <w:t xml:space="preserve">. </w:t>
      </w:r>
    </w:p>
    <w:p w14:paraId="2271CAD1" w14:textId="23CAFBC0" w:rsidR="00A9144C" w:rsidRPr="004774FC" w:rsidRDefault="00225FD4" w:rsidP="00A914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NKÚ zjistil</w:t>
      </w:r>
      <w:r w:rsidR="00A9144C" w:rsidRPr="004774FC">
        <w:rPr>
          <w:rFonts w:cstheme="minorHAnsi"/>
        </w:rPr>
        <w:t>, že ačkoliv MV některé z výše uvedených výdajů (např. údržba a opravy prvků jednotného systému varování a vyrozumění, vzdělávání) každoročně na oblast OOB poskytlo, vykazovalo na tomto paragrafu v kontrolovaném období nulový zůstatek</w:t>
      </w:r>
      <w:r w:rsidR="00FD5EFA">
        <w:rPr>
          <w:rFonts w:cstheme="minorHAnsi"/>
        </w:rPr>
        <w:t xml:space="preserve">. </w:t>
      </w:r>
      <w:r w:rsidR="00A9144C" w:rsidRPr="004774FC">
        <w:rPr>
          <w:rFonts w:cstheme="minorHAnsi"/>
        </w:rPr>
        <w:t xml:space="preserve">Tím MV </w:t>
      </w:r>
      <w:r w:rsidR="00A9144C" w:rsidRPr="007D6034">
        <w:rPr>
          <w:rFonts w:cstheme="minorHAnsi"/>
        </w:rPr>
        <w:t>nepostupovalo v souladu s</w:t>
      </w:r>
      <w:r w:rsidR="00BA40D7">
        <w:rPr>
          <w:rFonts w:cstheme="minorHAnsi"/>
        </w:rPr>
        <w:t> </w:t>
      </w:r>
      <w:r w:rsidR="00A9144C" w:rsidRPr="007D6034">
        <w:rPr>
          <w:rFonts w:cstheme="minorHAnsi"/>
        </w:rPr>
        <w:t>ustanovením</w:t>
      </w:r>
      <w:r w:rsidR="00BA40D7">
        <w:rPr>
          <w:rFonts w:cstheme="minorHAnsi"/>
        </w:rPr>
        <w:t xml:space="preserve"> </w:t>
      </w:r>
      <w:r w:rsidR="00A9144C" w:rsidRPr="007D6034">
        <w:rPr>
          <w:rFonts w:cstheme="minorHAnsi"/>
        </w:rPr>
        <w:t>§</w:t>
      </w:r>
      <w:r w:rsidR="0060751F">
        <w:rPr>
          <w:rFonts w:cstheme="minorHAnsi"/>
        </w:rPr>
        <w:t> </w:t>
      </w:r>
      <w:r w:rsidR="00774717">
        <w:rPr>
          <w:rFonts w:cstheme="minorHAnsi"/>
        </w:rPr>
        <w:t>1</w:t>
      </w:r>
      <w:r w:rsidR="00A9144C" w:rsidRPr="007D6034">
        <w:rPr>
          <w:rFonts w:cstheme="minorHAnsi"/>
        </w:rPr>
        <w:t xml:space="preserve"> odst.</w:t>
      </w:r>
      <w:r w:rsidR="0060751F">
        <w:rPr>
          <w:rFonts w:cstheme="minorHAnsi"/>
        </w:rPr>
        <w:t> </w:t>
      </w:r>
      <w:r w:rsidR="00EB509B">
        <w:rPr>
          <w:rFonts w:cstheme="minorHAnsi"/>
        </w:rPr>
        <w:t>2</w:t>
      </w:r>
      <w:r w:rsidR="00774717">
        <w:rPr>
          <w:rFonts w:cstheme="minorHAnsi"/>
        </w:rPr>
        <w:t xml:space="preserve"> </w:t>
      </w:r>
      <w:r w:rsidR="00A9144C" w:rsidRPr="007D6034">
        <w:rPr>
          <w:rFonts w:cstheme="minorHAnsi"/>
        </w:rPr>
        <w:t xml:space="preserve">vyhlášky </w:t>
      </w:r>
      <w:r w:rsidR="00BA40D7">
        <w:rPr>
          <w:rFonts w:cstheme="minorHAnsi"/>
        </w:rPr>
        <w:t xml:space="preserve">o rozpočtové skladbě </w:t>
      </w:r>
      <w:r w:rsidR="00A9144C" w:rsidRPr="007D6034">
        <w:rPr>
          <w:rFonts w:cstheme="minorHAnsi"/>
        </w:rPr>
        <w:t>a</w:t>
      </w:r>
      <w:r w:rsidR="0060751F">
        <w:rPr>
          <w:rFonts w:cstheme="minorHAnsi"/>
        </w:rPr>
        <w:t> </w:t>
      </w:r>
      <w:r w:rsidR="00A9144C" w:rsidRPr="007D6034">
        <w:rPr>
          <w:rFonts w:cstheme="minorHAnsi"/>
        </w:rPr>
        <w:t>§</w:t>
      </w:r>
      <w:r w:rsidR="0060751F">
        <w:rPr>
          <w:rFonts w:cstheme="minorHAnsi"/>
        </w:rPr>
        <w:t> </w:t>
      </w:r>
      <w:r w:rsidR="00A9144C" w:rsidRPr="007D6034">
        <w:rPr>
          <w:rFonts w:cstheme="minorHAnsi"/>
        </w:rPr>
        <w:t>2 odst.</w:t>
      </w:r>
      <w:r w:rsidR="0060751F">
        <w:rPr>
          <w:rFonts w:cstheme="minorHAnsi"/>
        </w:rPr>
        <w:t> </w:t>
      </w:r>
      <w:r w:rsidR="00A9144C" w:rsidRPr="007D6034">
        <w:rPr>
          <w:rFonts w:cstheme="minorHAnsi"/>
        </w:rPr>
        <w:t xml:space="preserve">4 </w:t>
      </w:r>
      <w:r w:rsidR="00BA40D7">
        <w:rPr>
          <w:rFonts w:cstheme="minorHAnsi"/>
        </w:rPr>
        <w:t>rozpočtových pravidel.</w:t>
      </w:r>
      <w:r w:rsidR="00176CD4">
        <w:rPr>
          <w:rFonts w:cstheme="minorHAnsi"/>
        </w:rPr>
        <w:t xml:space="preserve"> </w:t>
      </w:r>
      <w:r w:rsidR="00A9144C" w:rsidRPr="007D6034">
        <w:rPr>
          <w:rFonts w:cstheme="minorHAnsi"/>
        </w:rPr>
        <w:t>Výše uvedenému</w:t>
      </w:r>
      <w:r w:rsidR="00A9144C" w:rsidRPr="004774FC">
        <w:rPr>
          <w:rFonts w:cstheme="minorHAnsi"/>
        </w:rPr>
        <w:t xml:space="preserve"> zjištění odpovídá i další skutečnost zjištěná </w:t>
      </w:r>
      <w:r w:rsidR="008218F8" w:rsidRPr="004774FC">
        <w:rPr>
          <w:rFonts w:cstheme="minorHAnsi"/>
        </w:rPr>
        <w:t>NKÚ,</w:t>
      </w:r>
      <w:r w:rsidR="00A9144C" w:rsidRPr="004774FC">
        <w:rPr>
          <w:rFonts w:cstheme="minorHAnsi"/>
        </w:rPr>
        <w:t xml:space="preserve"> a</w:t>
      </w:r>
      <w:r w:rsidR="002A0E0B">
        <w:rPr>
          <w:rFonts w:cstheme="minorHAnsi"/>
        </w:rPr>
        <w:t> </w:t>
      </w:r>
      <w:r w:rsidR="00A9144C" w:rsidRPr="004774FC">
        <w:rPr>
          <w:rFonts w:cstheme="minorHAnsi"/>
        </w:rPr>
        <w:t xml:space="preserve">to že v závěrečných účtech kapitoly 314 – </w:t>
      </w:r>
      <w:r w:rsidR="0060751F">
        <w:rPr>
          <w:rFonts w:cstheme="minorHAnsi"/>
          <w:i/>
        </w:rPr>
        <w:t>Ministerstvo vnitra</w:t>
      </w:r>
      <w:r w:rsidR="00A9144C" w:rsidRPr="004774FC">
        <w:rPr>
          <w:rFonts w:cstheme="minorHAnsi"/>
        </w:rPr>
        <w:t xml:space="preserve"> za období 2015</w:t>
      </w:r>
      <w:r w:rsidR="0060751F" w:rsidRPr="004774FC">
        <w:rPr>
          <w:rFonts w:cstheme="minorHAnsi"/>
        </w:rPr>
        <w:t>–</w:t>
      </w:r>
      <w:r w:rsidR="00A9144C" w:rsidRPr="004774FC">
        <w:rPr>
          <w:rFonts w:cstheme="minorHAnsi"/>
        </w:rPr>
        <w:t>2021 vždy</w:t>
      </w:r>
      <w:r w:rsidR="0060751F" w:rsidRPr="0060751F">
        <w:rPr>
          <w:rFonts w:cstheme="minorHAnsi"/>
        </w:rPr>
        <w:t xml:space="preserve"> </w:t>
      </w:r>
      <w:r w:rsidR="0060751F" w:rsidRPr="004774FC">
        <w:rPr>
          <w:rFonts w:cstheme="minorHAnsi"/>
        </w:rPr>
        <w:t>MV</w:t>
      </w:r>
      <w:r w:rsidR="00A9144C" w:rsidRPr="004774FC">
        <w:rPr>
          <w:rFonts w:cstheme="minorHAnsi"/>
        </w:rPr>
        <w:t xml:space="preserve"> shrnulo výdaje HZS</w:t>
      </w:r>
      <w:r w:rsidR="009D68C4">
        <w:rPr>
          <w:rFonts w:cstheme="minorHAnsi"/>
        </w:rPr>
        <w:t xml:space="preserve"> ČR</w:t>
      </w:r>
      <w:r w:rsidR="00A9144C" w:rsidRPr="004774FC">
        <w:rPr>
          <w:rFonts w:cstheme="minorHAnsi"/>
        </w:rPr>
        <w:t xml:space="preserve"> za uplynulé období a uvedlo výčet priorit, kterým se HZS</w:t>
      </w:r>
      <w:r w:rsidR="009D68C4">
        <w:rPr>
          <w:rFonts w:cstheme="minorHAnsi"/>
        </w:rPr>
        <w:t xml:space="preserve"> ČR</w:t>
      </w:r>
      <w:r w:rsidR="00A9144C" w:rsidRPr="004774FC">
        <w:rPr>
          <w:rFonts w:cstheme="minorHAnsi"/>
        </w:rPr>
        <w:t xml:space="preserve"> věnoval, ale neuvedlo objem peněžních prostředků </w:t>
      </w:r>
      <w:r w:rsidR="00AF521B">
        <w:rPr>
          <w:rFonts w:cstheme="minorHAnsi"/>
        </w:rPr>
        <w:t xml:space="preserve">státního rozpočtu </w:t>
      </w:r>
      <w:r w:rsidR="00A9144C" w:rsidRPr="004774FC">
        <w:rPr>
          <w:rFonts w:cstheme="minorHAnsi"/>
        </w:rPr>
        <w:t xml:space="preserve">vynaložených na OOB. </w:t>
      </w:r>
    </w:p>
    <w:p w14:paraId="616BB6A7" w14:textId="3D28B903" w:rsidR="00170D70" w:rsidRPr="00987CCD" w:rsidRDefault="00A9144C" w:rsidP="00A9144C">
      <w:pPr>
        <w:spacing w:after="120"/>
        <w:jc w:val="both"/>
        <w:rPr>
          <w:rFonts w:eastAsia="Times New Roman" w:cstheme="minorHAnsi"/>
        </w:rPr>
      </w:pPr>
      <w:r w:rsidRPr="004774FC">
        <w:rPr>
          <w:rFonts w:eastAsia="Times New Roman" w:cstheme="minorHAnsi"/>
        </w:rPr>
        <w:t xml:space="preserve">Oproti tomu </w:t>
      </w:r>
      <w:proofErr w:type="spellStart"/>
      <w:r w:rsidRPr="004774FC">
        <w:rPr>
          <w:rFonts w:eastAsia="Times New Roman" w:cstheme="minorHAnsi"/>
        </w:rPr>
        <w:t>MZd</w:t>
      </w:r>
      <w:proofErr w:type="spellEnd"/>
      <w:r w:rsidRPr="004774FC">
        <w:rPr>
          <w:rFonts w:eastAsia="Times New Roman" w:cstheme="minorHAnsi"/>
        </w:rPr>
        <w:t xml:space="preserve"> </w:t>
      </w:r>
      <w:r w:rsidRPr="004774FC">
        <w:rPr>
          <w:rFonts w:eastAsia="Times New Roman" w:cstheme="minorHAnsi"/>
          <w:color w:val="000000" w:themeColor="text1"/>
        </w:rPr>
        <w:t xml:space="preserve">vyčleňovalo peněžní prostředky </w:t>
      </w:r>
      <w:r w:rsidR="003E0718">
        <w:rPr>
          <w:rFonts w:eastAsia="Times New Roman" w:cstheme="minorHAnsi"/>
          <w:color w:val="000000" w:themeColor="text1"/>
        </w:rPr>
        <w:t>stát</w:t>
      </w:r>
      <w:r w:rsidR="009F4A25">
        <w:rPr>
          <w:rFonts w:eastAsia="Times New Roman" w:cstheme="minorHAnsi"/>
          <w:color w:val="000000" w:themeColor="text1"/>
        </w:rPr>
        <w:t>ního rozpočtu</w:t>
      </w:r>
      <w:r w:rsidR="003E0718">
        <w:rPr>
          <w:rFonts w:eastAsia="Times New Roman" w:cstheme="minorHAnsi"/>
          <w:color w:val="000000" w:themeColor="text1"/>
        </w:rPr>
        <w:t xml:space="preserve"> </w:t>
      </w:r>
      <w:r w:rsidRPr="004774FC">
        <w:rPr>
          <w:rFonts w:eastAsia="Times New Roman" w:cstheme="minorHAnsi"/>
          <w:color w:val="000000" w:themeColor="text1"/>
        </w:rPr>
        <w:t>v letech 2015 a 2021 na oblast OOB v rámci paragrafu</w:t>
      </w:r>
      <w:r w:rsidRPr="004774FC">
        <w:rPr>
          <w:rFonts w:eastAsia="Times New Roman" w:cstheme="minorHAnsi"/>
          <w:i/>
          <w:color w:val="000000" w:themeColor="text1"/>
        </w:rPr>
        <w:t xml:space="preserve"> </w:t>
      </w:r>
      <w:r w:rsidRPr="00BB3818">
        <w:rPr>
          <w:rFonts w:eastAsia="Times New Roman" w:cstheme="minorHAnsi"/>
          <w:color w:val="000000" w:themeColor="text1"/>
        </w:rPr>
        <w:t>5212 –</w:t>
      </w:r>
      <w:r w:rsidRPr="004774FC">
        <w:rPr>
          <w:rFonts w:eastAsia="Times New Roman" w:cstheme="minorHAnsi"/>
          <w:i/>
          <w:color w:val="000000" w:themeColor="text1"/>
        </w:rPr>
        <w:t xml:space="preserve"> Ochrana obyvatelstva</w:t>
      </w:r>
      <w:r w:rsidRPr="004774FC">
        <w:rPr>
          <w:rFonts w:eastAsia="Times New Roman" w:cstheme="minorHAnsi"/>
          <w:color w:val="000000" w:themeColor="text1"/>
        </w:rPr>
        <w:t xml:space="preserve">. Výše vykazovaných prostředků byla následně podkladem pro </w:t>
      </w:r>
      <w:r w:rsidRPr="004774FC">
        <w:rPr>
          <w:rFonts w:cstheme="minorHAnsi"/>
        </w:rPr>
        <w:t xml:space="preserve">průřezový ukazatel </w:t>
      </w:r>
      <w:r w:rsidRPr="004774FC">
        <w:rPr>
          <w:rFonts w:eastAsia="Times New Roman" w:cstheme="minorHAnsi"/>
        </w:rPr>
        <w:t>„</w:t>
      </w:r>
      <w:r w:rsidRPr="004774FC">
        <w:rPr>
          <w:rFonts w:eastAsia="Times New Roman" w:cstheme="minorHAnsi"/>
          <w:i/>
        </w:rPr>
        <w:t>Zajištění přípravy na krizové situace dle zákona č. 240/2000 Sb.</w:t>
      </w:r>
      <w:r w:rsidRPr="00BB3818">
        <w:rPr>
          <w:rFonts w:eastAsia="Times New Roman" w:cstheme="minorHAnsi"/>
        </w:rPr>
        <w:t>“</w:t>
      </w:r>
      <w:r w:rsidRPr="004774FC">
        <w:rPr>
          <w:rFonts w:eastAsia="Times New Roman" w:cstheme="minorHAnsi"/>
          <w:i/>
        </w:rPr>
        <w:t xml:space="preserve"> </w:t>
      </w:r>
      <w:r w:rsidRPr="004774FC">
        <w:rPr>
          <w:rFonts w:eastAsia="Times New Roman" w:cstheme="minorHAnsi"/>
        </w:rPr>
        <w:t xml:space="preserve">závěrečných účtů kapitoly 335 – </w:t>
      </w:r>
      <w:r w:rsidR="0060751F">
        <w:rPr>
          <w:rFonts w:eastAsia="Times New Roman" w:cstheme="minorHAnsi"/>
          <w:i/>
        </w:rPr>
        <w:t>Ministerstvo zdravotnictví</w:t>
      </w:r>
      <w:r w:rsidRPr="004774FC">
        <w:rPr>
          <w:rFonts w:eastAsia="Times New Roman" w:cstheme="minorHAnsi"/>
        </w:rPr>
        <w:t>.</w:t>
      </w:r>
    </w:p>
    <w:p w14:paraId="45CAFB5D" w14:textId="0DBE25C9" w:rsidR="0052730D" w:rsidRPr="002A0E0B" w:rsidRDefault="00DC12E7" w:rsidP="002A0E0B">
      <w:pPr>
        <w:spacing w:before="120" w:after="240"/>
        <w:jc w:val="both"/>
        <w:rPr>
          <w:rFonts w:ascii="Calibri" w:eastAsia="Calibri" w:hAnsi="Calibri" w:cs="Calibri"/>
          <w:b/>
        </w:rPr>
      </w:pPr>
      <w:r w:rsidRPr="00B02E1D">
        <w:rPr>
          <w:rFonts w:eastAsia="Calibri" w:cstheme="minorHAnsi"/>
          <w:b/>
        </w:rPr>
        <w:t>C</w:t>
      </w:r>
      <w:r w:rsidR="00A9144C" w:rsidRPr="00B02E1D">
        <w:rPr>
          <w:rFonts w:eastAsia="Calibri" w:cstheme="minorHAnsi"/>
          <w:b/>
        </w:rPr>
        <w:t>.</w:t>
      </w:r>
      <w:r w:rsidR="007604DB" w:rsidRPr="00B02E1D">
        <w:rPr>
          <w:rFonts w:eastAsia="Calibri" w:cstheme="minorHAnsi"/>
          <w:b/>
        </w:rPr>
        <w:t xml:space="preserve"> </w:t>
      </w:r>
      <w:r w:rsidR="0052730D" w:rsidRPr="002A0E0B">
        <w:rPr>
          <w:rFonts w:ascii="Calibri" w:eastAsia="Calibri" w:hAnsi="Calibri" w:cs="Calibri"/>
          <w:b/>
        </w:rPr>
        <w:t xml:space="preserve">V oblasti varování a </w:t>
      </w:r>
      <w:r w:rsidR="00D4654F" w:rsidRPr="002A0E0B">
        <w:rPr>
          <w:rFonts w:ascii="Calibri" w:eastAsia="Calibri" w:hAnsi="Calibri" w:cs="Calibri"/>
          <w:b/>
        </w:rPr>
        <w:t>informování obyvatel</w:t>
      </w:r>
      <w:r w:rsidR="0052730D" w:rsidRPr="002A0E0B">
        <w:rPr>
          <w:rFonts w:ascii="Calibri" w:eastAsia="Calibri" w:hAnsi="Calibri" w:cs="Calibri"/>
          <w:b/>
        </w:rPr>
        <w:t xml:space="preserve"> nedokončilo MV do doby ukončení kontroly obměnu rotačních sirén. Tu provádí již od roku 2002, termín dokončení prodloužilo o deset let, z roku 2015 na rok 2025. Při kontrole peněžních prostředků státního rozpočtu vynaložených MV v kontrolovaném období na obměnu rotačních sirén nezjistil NKÚ nedostatky. V oblasti zvyšování informovanosti obyvatelstva MV nespustilo webový portál OOB, v plánovaném termínu nedokončilo také</w:t>
      </w:r>
      <w:r w:rsidR="001D2A7D">
        <w:rPr>
          <w:rFonts w:ascii="Calibri" w:eastAsia="Calibri" w:hAnsi="Calibri" w:cs="Calibri"/>
          <w:b/>
        </w:rPr>
        <w:t xml:space="preserve"> řešení</w:t>
      </w:r>
      <w:r w:rsidR="00665724">
        <w:rPr>
          <w:rFonts w:ascii="Calibri" w:eastAsia="Calibri" w:hAnsi="Calibri" w:cs="Calibri"/>
          <w:b/>
        </w:rPr>
        <w:t xml:space="preserve"> </w:t>
      </w:r>
      <w:r w:rsidR="0052730D" w:rsidRPr="002A0E0B">
        <w:rPr>
          <w:rFonts w:ascii="Calibri" w:eastAsia="Calibri" w:hAnsi="Calibri" w:cs="Calibri"/>
          <w:b/>
        </w:rPr>
        <w:t>rozesílání varovných SMS zpráv.</w:t>
      </w:r>
    </w:p>
    <w:p w14:paraId="044365F8" w14:textId="2F584087" w:rsidR="0052730D" w:rsidRPr="002A0E0B" w:rsidRDefault="00A9144C" w:rsidP="00A9144C">
      <w:pPr>
        <w:spacing w:after="120"/>
        <w:jc w:val="both"/>
        <w:rPr>
          <w:rFonts w:cstheme="minorHAnsi"/>
          <w:iCs/>
          <w:color w:val="000000"/>
          <w:highlight w:val="lightGray"/>
        </w:rPr>
      </w:pPr>
      <w:r w:rsidRPr="002A0E0B">
        <w:rPr>
          <w:rFonts w:cstheme="minorHAnsi"/>
          <w:iCs/>
          <w:highlight w:val="lightGray"/>
        </w:rPr>
        <w:t xml:space="preserve">Kontrolou NKÚ bylo ověřeno, zda MV plní požadavky právních předpisů a cíle a úkoly </w:t>
      </w:r>
      <w:r w:rsidR="008D22DC">
        <w:rPr>
          <w:rFonts w:cstheme="minorHAnsi"/>
          <w:iCs/>
          <w:highlight w:val="lightGray"/>
        </w:rPr>
        <w:t>k</w:t>
      </w:r>
      <w:r w:rsidRPr="002A0E0B">
        <w:rPr>
          <w:rFonts w:cstheme="minorHAnsi"/>
          <w:iCs/>
          <w:highlight w:val="lightGray"/>
        </w:rPr>
        <w:t>oncepcí OOB v oblasti varování a informování obyvatelstva. MV dle ustanovení § 7 odst. 2 písm. f)</w:t>
      </w:r>
      <w:r w:rsidR="00BA40D7" w:rsidRPr="002A0E0B">
        <w:rPr>
          <w:rFonts w:cstheme="minorHAnsi"/>
          <w:iCs/>
          <w:highlight w:val="lightGray"/>
        </w:rPr>
        <w:t xml:space="preserve"> zákona č. 239/2000 Sb.</w:t>
      </w:r>
      <w:r w:rsidRPr="002A0E0B">
        <w:rPr>
          <w:rFonts w:cstheme="minorHAnsi"/>
          <w:iCs/>
          <w:highlight w:val="lightGray"/>
        </w:rPr>
        <w:t xml:space="preserve"> mj. zajišťuje a provozuje jednotný systém varování a</w:t>
      </w:r>
      <w:r w:rsidR="008D22DC">
        <w:rPr>
          <w:rFonts w:cstheme="minorHAnsi"/>
          <w:iCs/>
          <w:highlight w:val="lightGray"/>
        </w:rPr>
        <w:t> </w:t>
      </w:r>
      <w:r w:rsidRPr="002A0E0B">
        <w:rPr>
          <w:rFonts w:cstheme="minorHAnsi"/>
          <w:iCs/>
          <w:highlight w:val="lightGray"/>
        </w:rPr>
        <w:t>vyrozumění a</w:t>
      </w:r>
      <w:r w:rsidR="002A0E0B">
        <w:rPr>
          <w:rFonts w:cstheme="minorHAnsi"/>
          <w:iCs/>
          <w:highlight w:val="lightGray"/>
        </w:rPr>
        <w:t> </w:t>
      </w:r>
      <w:r w:rsidRPr="002A0E0B">
        <w:rPr>
          <w:rFonts w:cstheme="minorHAnsi"/>
          <w:iCs/>
          <w:highlight w:val="lightGray"/>
        </w:rPr>
        <w:t xml:space="preserve">systém veřejné výstrahy. Technické, provozní a organizační zabezpečení jednotného systému varování a vyrozumění a způsob poskytování tísňových informací stanoví </w:t>
      </w:r>
      <w:r w:rsidRPr="002A0E0B">
        <w:rPr>
          <w:rFonts w:cstheme="minorHAnsi"/>
          <w:iCs/>
          <w:color w:val="000000"/>
          <w:highlight w:val="lightGray"/>
        </w:rPr>
        <w:t>vyhláška</w:t>
      </w:r>
      <w:r w:rsidR="00333371" w:rsidRPr="002A0E0B">
        <w:rPr>
          <w:rFonts w:cstheme="minorHAnsi"/>
          <w:iCs/>
          <w:color w:val="000000"/>
          <w:highlight w:val="lightGray"/>
        </w:rPr>
        <w:t xml:space="preserve"> </w:t>
      </w:r>
      <w:r w:rsidRPr="002A0E0B">
        <w:rPr>
          <w:rFonts w:cstheme="minorHAnsi"/>
          <w:iCs/>
          <w:color w:val="000000"/>
          <w:highlight w:val="lightGray"/>
        </w:rPr>
        <w:t>č.</w:t>
      </w:r>
      <w:r w:rsidR="002A0E0B">
        <w:rPr>
          <w:rFonts w:cstheme="minorHAnsi"/>
          <w:iCs/>
          <w:color w:val="000000"/>
          <w:highlight w:val="lightGray"/>
        </w:rPr>
        <w:t> </w:t>
      </w:r>
      <w:r w:rsidRPr="002A0E0B">
        <w:rPr>
          <w:rFonts w:cstheme="minorHAnsi"/>
          <w:iCs/>
          <w:color w:val="000000"/>
          <w:highlight w:val="lightGray"/>
        </w:rPr>
        <w:t>380/2002 Sb.</w:t>
      </w:r>
      <w:r w:rsidR="00330870" w:rsidRPr="002A0E0B">
        <w:rPr>
          <w:rFonts w:cstheme="minorHAnsi"/>
          <w:iCs/>
          <w:highlight w:val="lightGray"/>
        </w:rPr>
        <w:t xml:space="preserve"> </w:t>
      </w:r>
      <w:r w:rsidRPr="002A0E0B">
        <w:rPr>
          <w:rFonts w:cstheme="minorHAnsi"/>
          <w:iCs/>
          <w:color w:val="000000"/>
          <w:highlight w:val="lightGray"/>
        </w:rPr>
        <w:t>MV vynakládalo peněžní prostředky stát</w:t>
      </w:r>
      <w:r w:rsidR="009F4A25" w:rsidRPr="002A0E0B">
        <w:rPr>
          <w:rFonts w:cstheme="minorHAnsi"/>
          <w:iCs/>
          <w:color w:val="000000"/>
          <w:highlight w:val="lightGray"/>
        </w:rPr>
        <w:t>ního rozpočtu</w:t>
      </w:r>
      <w:r w:rsidRPr="002A0E0B">
        <w:rPr>
          <w:rFonts w:cstheme="minorHAnsi"/>
          <w:iCs/>
          <w:color w:val="000000"/>
          <w:highlight w:val="lightGray"/>
        </w:rPr>
        <w:t xml:space="preserve"> zejména na </w:t>
      </w:r>
      <w:r w:rsidRPr="002A0E0B">
        <w:rPr>
          <w:rFonts w:cstheme="minorHAnsi"/>
          <w:iCs/>
          <w:highlight w:val="lightGray"/>
        </w:rPr>
        <w:t>údržbu a</w:t>
      </w:r>
      <w:r w:rsidR="002A0E0B">
        <w:rPr>
          <w:rFonts w:cstheme="minorHAnsi"/>
          <w:iCs/>
          <w:highlight w:val="lightGray"/>
        </w:rPr>
        <w:t> </w:t>
      </w:r>
      <w:r w:rsidRPr="002A0E0B">
        <w:rPr>
          <w:rFonts w:cstheme="minorHAnsi"/>
          <w:iCs/>
          <w:highlight w:val="lightGray"/>
        </w:rPr>
        <w:t>provoz koncových prvků varování, obměnu rotačních sirén</w:t>
      </w:r>
      <w:r w:rsidRPr="002A0E0B">
        <w:rPr>
          <w:rFonts w:cstheme="minorHAnsi"/>
          <w:iCs/>
          <w:color w:val="000000"/>
          <w:highlight w:val="lightGray"/>
        </w:rPr>
        <w:t xml:space="preserve"> </w:t>
      </w:r>
      <w:r w:rsidR="0052730D" w:rsidRPr="002A0E0B">
        <w:rPr>
          <w:rFonts w:cstheme="minorHAnsi"/>
          <w:iCs/>
          <w:color w:val="000000"/>
          <w:highlight w:val="lightGray"/>
        </w:rPr>
        <w:t>(v kontrolovaném období 4</w:t>
      </w:r>
      <w:r w:rsidR="002A0E0B">
        <w:rPr>
          <w:rFonts w:cstheme="minorHAnsi"/>
          <w:iCs/>
          <w:color w:val="000000"/>
          <w:highlight w:val="lightGray"/>
        </w:rPr>
        <w:t> </w:t>
      </w:r>
      <w:r w:rsidR="0052730D" w:rsidRPr="002A0E0B">
        <w:rPr>
          <w:rFonts w:cstheme="minorHAnsi"/>
          <w:iCs/>
          <w:color w:val="000000"/>
          <w:highlight w:val="lightGray"/>
        </w:rPr>
        <w:t>mil.</w:t>
      </w:r>
      <w:r w:rsidR="002A0E0B">
        <w:rPr>
          <w:rFonts w:cstheme="minorHAnsi"/>
          <w:iCs/>
          <w:color w:val="000000"/>
          <w:highlight w:val="lightGray"/>
        </w:rPr>
        <w:t> </w:t>
      </w:r>
      <w:r w:rsidR="0052730D" w:rsidRPr="002A0E0B">
        <w:rPr>
          <w:rFonts w:cstheme="minorHAnsi"/>
          <w:iCs/>
          <w:color w:val="000000"/>
          <w:highlight w:val="lightGray"/>
        </w:rPr>
        <w:t xml:space="preserve">Kč) </w:t>
      </w:r>
      <w:r w:rsidRPr="002A0E0B">
        <w:rPr>
          <w:rFonts w:cstheme="minorHAnsi"/>
          <w:iCs/>
          <w:color w:val="000000"/>
          <w:highlight w:val="lightGray"/>
        </w:rPr>
        <w:t xml:space="preserve">nebo nástroje ke zvýšení informovanosti obyvatel. </w:t>
      </w:r>
    </w:p>
    <w:p w14:paraId="065A7DDB" w14:textId="730FF0E8" w:rsidR="00A9144C" w:rsidRDefault="00A9144C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</w:rPr>
        <w:t>Spolehlivé a včasné varování a informování obyvatelstva před možným nebo již nastalým vznikem mimořádné události či krizové situace</w:t>
      </w:r>
      <w:r w:rsidRPr="004774FC">
        <w:rPr>
          <w:rStyle w:val="Znakapoznpodarou"/>
          <w:rFonts w:cstheme="minorHAnsi"/>
        </w:rPr>
        <w:footnoteReference w:id="28"/>
      </w:r>
      <w:r w:rsidRPr="004774FC">
        <w:rPr>
          <w:rFonts w:cstheme="minorHAnsi"/>
        </w:rPr>
        <w:t xml:space="preserve"> je předpokladem pro minimalizaci následků.</w:t>
      </w:r>
    </w:p>
    <w:p w14:paraId="6159057B" w14:textId="4E56E596" w:rsidR="0052730D" w:rsidRPr="008D22DC" w:rsidRDefault="0052730D" w:rsidP="002A0E0B">
      <w:pPr>
        <w:pStyle w:val="Mluvcnadpis"/>
        <w:spacing w:before="240"/>
        <w:rPr>
          <w:rFonts w:ascii="Calibri" w:hAnsi="Calibri" w:cs="Calibri"/>
          <w:i w:val="0"/>
        </w:rPr>
      </w:pPr>
      <w:r w:rsidRPr="008D22DC">
        <w:rPr>
          <w:rFonts w:ascii="Calibri" w:hAnsi="Calibri" w:cs="Calibri"/>
          <w:i w:val="0"/>
        </w:rPr>
        <w:lastRenderedPageBreak/>
        <w:t xml:space="preserve">→ MV </w:t>
      </w:r>
      <w:r w:rsidR="00BA40D7" w:rsidRPr="008D22DC">
        <w:rPr>
          <w:rFonts w:ascii="Calibri" w:hAnsi="Calibri" w:cs="Calibri"/>
          <w:i w:val="0"/>
        </w:rPr>
        <w:t>neplní</w:t>
      </w:r>
      <w:r w:rsidRPr="008D22DC">
        <w:rPr>
          <w:rFonts w:ascii="Calibri" w:hAnsi="Calibri" w:cs="Calibri"/>
          <w:i w:val="0"/>
        </w:rPr>
        <w:t xml:space="preserve"> úkoly v oblasti varování a informování obyvatel</w:t>
      </w:r>
    </w:p>
    <w:p w14:paraId="589AE62A" w14:textId="220CAC2B" w:rsidR="00A9144C" w:rsidRDefault="00A9144C" w:rsidP="00A9144C">
      <w:pPr>
        <w:spacing w:after="120"/>
        <w:jc w:val="both"/>
        <w:rPr>
          <w:rFonts w:cstheme="minorHAnsi"/>
          <w:color w:val="000000"/>
        </w:rPr>
      </w:pPr>
      <w:r w:rsidRPr="004774FC">
        <w:rPr>
          <w:rFonts w:cstheme="minorHAnsi"/>
        </w:rPr>
        <w:t>MV v Koncepci 2006 uvedlo, že tzv. koncové prvky varování (e</w:t>
      </w:r>
      <w:r w:rsidRPr="004774FC">
        <w:rPr>
          <w:rFonts w:eastAsia="Times New Roman" w:cstheme="minorHAnsi"/>
          <w:color w:val="000000" w:themeColor="text1"/>
          <w:lang w:eastAsia="cs-CZ"/>
        </w:rPr>
        <w:t>lektronické sirény, místní informační systémy a rotační sirény) je nutné modernizovat</w:t>
      </w:r>
      <w:r w:rsidR="008D22DC">
        <w:rPr>
          <w:rFonts w:eastAsia="Times New Roman" w:cstheme="minorHAnsi"/>
          <w:color w:val="000000" w:themeColor="text1"/>
          <w:lang w:eastAsia="cs-CZ"/>
        </w:rPr>
        <w:t>,</w:t>
      </w:r>
      <w:r w:rsidRPr="004774FC">
        <w:rPr>
          <w:rFonts w:eastAsia="Times New Roman" w:cstheme="minorHAnsi"/>
          <w:color w:val="000000" w:themeColor="text1"/>
          <w:lang w:eastAsia="cs-CZ"/>
        </w:rPr>
        <w:t xml:space="preserve"> a stanovilo úkol dokončit obměnu rotačních sirén za sirény elektronické.</w:t>
      </w:r>
      <w:r w:rsidR="0082179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41197">
        <w:rPr>
          <w:rFonts w:cstheme="minorHAnsi"/>
          <w:color w:val="000000"/>
        </w:rPr>
        <w:t>NKÚ zjistil, že a</w:t>
      </w:r>
      <w:r w:rsidRPr="004774FC">
        <w:rPr>
          <w:rFonts w:cstheme="minorHAnsi"/>
          <w:color w:val="000000"/>
        </w:rPr>
        <w:t xml:space="preserve">čkoliv </w:t>
      </w:r>
      <w:r w:rsidRPr="004774FC">
        <w:rPr>
          <w:rFonts w:cstheme="minorHAnsi"/>
        </w:rPr>
        <w:t>byla realizována řada projektů modernizace a dobudování systému varování (např. v rámci OPŽP</w:t>
      </w:r>
      <w:r w:rsidRPr="004774FC">
        <w:rPr>
          <w:rStyle w:val="Znakapoznpodarou"/>
          <w:rFonts w:cstheme="minorHAnsi"/>
        </w:rPr>
        <w:footnoteReference w:id="29"/>
      </w:r>
      <w:r w:rsidRPr="004774FC">
        <w:rPr>
          <w:rFonts w:cstheme="minorHAnsi"/>
        </w:rPr>
        <w:t xml:space="preserve"> projekty za cca 400</w:t>
      </w:r>
      <w:r w:rsidR="0030287C">
        <w:rPr>
          <w:rFonts w:cstheme="minorHAnsi"/>
        </w:rPr>
        <w:t> </w:t>
      </w:r>
      <w:r w:rsidRPr="004774FC">
        <w:rPr>
          <w:rFonts w:cstheme="minorHAnsi"/>
        </w:rPr>
        <w:t>mil.</w:t>
      </w:r>
      <w:r w:rsidR="0030287C">
        <w:rPr>
          <w:rFonts w:cstheme="minorHAnsi"/>
        </w:rPr>
        <w:t> </w:t>
      </w:r>
      <w:r w:rsidRPr="004774FC">
        <w:rPr>
          <w:rFonts w:cstheme="minorHAnsi"/>
        </w:rPr>
        <w:t xml:space="preserve">Kč), </w:t>
      </w:r>
      <w:r w:rsidRPr="004774FC">
        <w:rPr>
          <w:rFonts w:cstheme="minorHAnsi"/>
          <w:color w:val="000000"/>
        </w:rPr>
        <w:t>MV úkol ve stanoveném termínu – do roku 2015</w:t>
      </w:r>
      <w:r w:rsidR="008D22DC" w:rsidRPr="004774FC">
        <w:rPr>
          <w:rFonts w:cstheme="minorHAnsi"/>
          <w:color w:val="000000"/>
        </w:rPr>
        <w:t xml:space="preserve"> –</w:t>
      </w:r>
      <w:r w:rsidRPr="004774FC">
        <w:rPr>
          <w:rFonts w:cstheme="minorHAnsi"/>
          <w:color w:val="000000"/>
        </w:rPr>
        <w:t xml:space="preserve"> nedokončilo.</w:t>
      </w:r>
      <w:r w:rsidRPr="004774F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4774FC">
        <w:rPr>
          <w:rFonts w:cstheme="minorHAnsi"/>
          <w:color w:val="000000"/>
        </w:rPr>
        <w:t>V roce 2014 bylo z</w:t>
      </w:r>
      <w:r w:rsidR="0030287C">
        <w:rPr>
          <w:rFonts w:cstheme="minorHAnsi"/>
          <w:color w:val="000000"/>
        </w:rPr>
        <w:t> </w:t>
      </w:r>
      <w:r w:rsidRPr="004774FC">
        <w:rPr>
          <w:rFonts w:cstheme="minorHAnsi"/>
        </w:rPr>
        <w:t xml:space="preserve">celkového počtu </w:t>
      </w:r>
      <w:r w:rsidRPr="004774FC">
        <w:rPr>
          <w:rFonts w:eastAsia="Times New Roman" w:cstheme="minorHAnsi"/>
          <w:color w:val="000000" w:themeColor="text1"/>
          <w:lang w:eastAsia="cs-CZ"/>
        </w:rPr>
        <w:t xml:space="preserve">koncových prvků varování 68 % rotačních sirén. Modernizaci systému </w:t>
      </w:r>
      <w:r w:rsidRPr="004774FC">
        <w:rPr>
          <w:rFonts w:cstheme="minorHAnsi"/>
          <w:color w:val="000000"/>
        </w:rPr>
        <w:t>varování proto MV opět stanovilo jako úkol Koncepce 2013, s termínem dokončení v roce 2020.</w:t>
      </w:r>
    </w:p>
    <w:p w14:paraId="497CCE85" w14:textId="47F50B8E" w:rsidR="00A9144C" w:rsidRDefault="00700E4E" w:rsidP="00A9144C">
      <w:pPr>
        <w:spacing w:after="120"/>
        <w:jc w:val="both"/>
        <w:rPr>
          <w:rFonts w:cstheme="minorHAnsi"/>
        </w:rPr>
      </w:pPr>
      <w:r>
        <w:t>NKÚ zjistil</w:t>
      </w:r>
      <w:r w:rsidR="00441197">
        <w:t xml:space="preserve"> </w:t>
      </w:r>
      <w:r>
        <w:t xml:space="preserve">že k </w:t>
      </w:r>
      <w:r w:rsidR="00441197">
        <w:t>ro</w:t>
      </w:r>
      <w:r>
        <w:t>ku</w:t>
      </w:r>
      <w:r w:rsidR="00441197">
        <w:t xml:space="preserve"> 2017 </w:t>
      </w:r>
      <w:r w:rsidR="00441197" w:rsidRPr="004774FC">
        <w:rPr>
          <w:color w:val="000000"/>
        </w:rPr>
        <w:t xml:space="preserve">bylo z </w:t>
      </w:r>
      <w:r w:rsidR="00441197" w:rsidRPr="004774FC">
        <w:t xml:space="preserve">celkového počtu </w:t>
      </w:r>
      <w:r w:rsidR="00441197" w:rsidRPr="004774FC">
        <w:rPr>
          <w:rFonts w:eastAsia="Times New Roman"/>
          <w:color w:val="000000" w:themeColor="text1"/>
          <w:lang w:eastAsia="cs-CZ"/>
        </w:rPr>
        <w:t xml:space="preserve">koncových prvků varování </w:t>
      </w:r>
      <w:r w:rsidR="00441197">
        <w:rPr>
          <w:rFonts w:eastAsia="Times New Roman"/>
          <w:color w:val="000000" w:themeColor="text1"/>
          <w:lang w:eastAsia="cs-CZ"/>
        </w:rPr>
        <w:t xml:space="preserve">stále </w:t>
      </w:r>
      <w:r w:rsidR="00441197" w:rsidRPr="004774FC">
        <w:rPr>
          <w:rFonts w:eastAsia="Times New Roman"/>
          <w:color w:val="000000" w:themeColor="text1"/>
          <w:lang w:eastAsia="cs-CZ"/>
        </w:rPr>
        <w:t>6</w:t>
      </w:r>
      <w:r w:rsidR="00441197">
        <w:rPr>
          <w:rFonts w:eastAsia="Times New Roman"/>
          <w:color w:val="000000" w:themeColor="text1"/>
          <w:lang w:eastAsia="cs-CZ"/>
        </w:rPr>
        <w:t>0</w:t>
      </w:r>
      <w:r w:rsidR="00441197" w:rsidRPr="004774FC">
        <w:rPr>
          <w:rFonts w:eastAsia="Times New Roman"/>
          <w:color w:val="000000" w:themeColor="text1"/>
          <w:lang w:eastAsia="cs-CZ"/>
        </w:rPr>
        <w:t xml:space="preserve"> % rotačních sirén.</w:t>
      </w:r>
      <w:r w:rsidR="001E4EE9">
        <w:rPr>
          <w:rFonts w:eastAsia="Times New Roman"/>
          <w:color w:val="000000" w:themeColor="text1"/>
          <w:lang w:eastAsia="cs-CZ"/>
        </w:rPr>
        <w:t xml:space="preserve"> </w:t>
      </w:r>
      <w:r w:rsidR="00A9144C" w:rsidRPr="004774FC">
        <w:rPr>
          <w:rFonts w:cstheme="minorHAnsi"/>
        </w:rPr>
        <w:t xml:space="preserve">V rámci dalšího postupu si MV nicméně uložilo pokračovat v obměně rotačních sirén. </w:t>
      </w:r>
    </w:p>
    <w:p w14:paraId="070A2DDF" w14:textId="013730CF" w:rsidR="00AB53EF" w:rsidRDefault="00D4654F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t>NKÚ uvádí</w:t>
      </w:r>
      <w:r w:rsidR="00441197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A9144C" w:rsidRPr="004774FC">
        <w:rPr>
          <w:rFonts w:eastAsia="Times New Roman" w:cstheme="minorHAnsi"/>
          <w:color w:val="000000" w:themeColor="text1"/>
          <w:lang w:eastAsia="cs-CZ"/>
        </w:rPr>
        <w:t xml:space="preserve">že </w:t>
      </w:r>
      <w:r>
        <w:rPr>
          <w:rFonts w:eastAsia="Times New Roman" w:cstheme="minorHAnsi"/>
          <w:color w:val="000000" w:themeColor="text1"/>
          <w:lang w:eastAsia="cs-CZ"/>
        </w:rPr>
        <w:t xml:space="preserve">v roce 2020 </w:t>
      </w:r>
      <w:r w:rsidR="00A9144C" w:rsidRPr="004774FC">
        <w:rPr>
          <w:rFonts w:cstheme="minorHAnsi"/>
        </w:rPr>
        <w:t>systém nadále využív</w:t>
      </w:r>
      <w:r>
        <w:rPr>
          <w:rFonts w:cstheme="minorHAnsi"/>
        </w:rPr>
        <w:t>al</w:t>
      </w:r>
      <w:r w:rsidR="00A9144C" w:rsidRPr="004774FC">
        <w:rPr>
          <w:rFonts w:cstheme="minorHAnsi"/>
        </w:rPr>
        <w:t xml:space="preserve"> především rotačních sirén</w:t>
      </w:r>
      <w:r w:rsidR="00A9144C" w:rsidRPr="004774F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9144C" w:rsidRPr="004774FC">
        <w:rPr>
          <w:rFonts w:cstheme="minorHAnsi"/>
        </w:rPr>
        <w:t xml:space="preserve">a ČR tak má </w:t>
      </w:r>
      <w:r w:rsidR="002E2130">
        <w:rPr>
          <w:rFonts w:cstheme="minorHAnsi"/>
        </w:rPr>
        <w:t>i</w:t>
      </w:r>
      <w:r w:rsidR="009D703E">
        <w:rPr>
          <w:rFonts w:cstheme="minorHAnsi"/>
        </w:rPr>
        <w:t> </w:t>
      </w:r>
      <w:r w:rsidR="002E2130">
        <w:rPr>
          <w:rFonts w:cstheme="minorHAnsi"/>
        </w:rPr>
        <w:t xml:space="preserve">nadále </w:t>
      </w:r>
      <w:r w:rsidR="00A9144C" w:rsidRPr="004774FC">
        <w:rPr>
          <w:rFonts w:cstheme="minorHAnsi"/>
        </w:rPr>
        <w:t>stále omezené pokrytí území hlasovými tísňovými informacemi.</w:t>
      </w:r>
      <w:r w:rsidR="001E4EE9">
        <w:rPr>
          <w:rFonts w:cstheme="minorHAnsi"/>
        </w:rPr>
        <w:t xml:space="preserve"> </w:t>
      </w:r>
      <w:r w:rsidR="00A9144C" w:rsidRPr="004774FC">
        <w:rPr>
          <w:rFonts w:cstheme="minorHAnsi"/>
        </w:rPr>
        <w:t>Stanovený úkol, koncepčně a technologicky modernizovat varování a informování obyvatelstva</w:t>
      </w:r>
      <w:r w:rsidR="008D22DC">
        <w:rPr>
          <w:rFonts w:cstheme="minorHAnsi"/>
        </w:rPr>
        <w:t>,</w:t>
      </w:r>
      <w:r w:rsidR="00A9144C" w:rsidRPr="004774FC">
        <w:rPr>
          <w:rFonts w:cstheme="minorHAnsi"/>
        </w:rPr>
        <w:t xml:space="preserve"> </w:t>
      </w:r>
      <w:r w:rsidR="002E2130">
        <w:rPr>
          <w:rFonts w:cstheme="minorHAnsi"/>
        </w:rPr>
        <w:t xml:space="preserve">MV převedlo </w:t>
      </w:r>
      <w:r w:rsidR="00A9144C" w:rsidRPr="004774FC">
        <w:rPr>
          <w:rFonts w:cstheme="minorHAnsi"/>
        </w:rPr>
        <w:t>do roku 2025</w:t>
      </w:r>
      <w:r w:rsidR="002E2130">
        <w:rPr>
          <w:rFonts w:cstheme="minorHAnsi"/>
        </w:rPr>
        <w:t xml:space="preserve"> a </w:t>
      </w:r>
      <w:r w:rsidR="00A9144C" w:rsidRPr="004774FC">
        <w:rPr>
          <w:rFonts w:cstheme="minorHAnsi"/>
        </w:rPr>
        <w:t>spočívá opět v obměně rotačních sirén</w:t>
      </w:r>
      <w:r w:rsidR="00712760">
        <w:rPr>
          <w:rFonts w:cstheme="minorHAnsi"/>
        </w:rPr>
        <w:t>.</w:t>
      </w:r>
      <w:r w:rsidR="00A9144C" w:rsidRPr="004774FC">
        <w:rPr>
          <w:rFonts w:cstheme="minorHAnsi"/>
        </w:rPr>
        <w:t xml:space="preserve"> </w:t>
      </w:r>
      <w:r w:rsidR="00225FD4">
        <w:rPr>
          <w:rFonts w:eastAsia="Times New Roman" w:cstheme="minorHAnsi"/>
          <w:color w:val="000000" w:themeColor="text1"/>
          <w:lang w:eastAsia="cs-CZ"/>
        </w:rPr>
        <w:t xml:space="preserve">NKÚ </w:t>
      </w:r>
      <w:r w:rsidR="00441197">
        <w:rPr>
          <w:rFonts w:eastAsia="Times New Roman" w:cstheme="minorHAnsi"/>
          <w:color w:val="000000" w:themeColor="text1"/>
          <w:lang w:eastAsia="cs-CZ"/>
        </w:rPr>
        <w:t xml:space="preserve">tak </w:t>
      </w:r>
      <w:r w:rsidR="00225FD4">
        <w:rPr>
          <w:rFonts w:eastAsia="Times New Roman" w:cstheme="minorHAnsi"/>
          <w:color w:val="000000" w:themeColor="text1"/>
          <w:lang w:eastAsia="cs-CZ"/>
        </w:rPr>
        <w:t>zjistil</w:t>
      </w:r>
      <w:r w:rsidR="00A9144C" w:rsidRPr="004774FC">
        <w:rPr>
          <w:rFonts w:cstheme="minorHAnsi"/>
        </w:rPr>
        <w:t xml:space="preserve">, že MV provádí obměnu rotačních sirén již od roku 2002 s termíny dokončení dle </w:t>
      </w:r>
      <w:r w:rsidR="008D22DC">
        <w:rPr>
          <w:rFonts w:cstheme="minorHAnsi"/>
        </w:rPr>
        <w:t>k</w:t>
      </w:r>
      <w:r w:rsidR="00A9144C" w:rsidRPr="004774FC">
        <w:rPr>
          <w:rFonts w:cstheme="minorHAnsi"/>
        </w:rPr>
        <w:t>oncepcí OOB postupně 2015, 2020 a 2025.</w:t>
      </w:r>
      <w:r w:rsidR="00843B6D">
        <w:rPr>
          <w:rFonts w:cstheme="minorHAnsi"/>
        </w:rPr>
        <w:t xml:space="preserve"> </w:t>
      </w:r>
      <w:r w:rsidR="00AB53EF" w:rsidRPr="00B02E1D">
        <w:rPr>
          <w:rFonts w:eastAsia="Calibri" w:cstheme="minorHAnsi"/>
        </w:rPr>
        <w:t xml:space="preserve">Při kontrole peněžních prostředků státního rozpočtu </w:t>
      </w:r>
      <w:r w:rsidR="00AB53EF">
        <w:rPr>
          <w:rFonts w:eastAsia="Calibri" w:cstheme="minorHAnsi"/>
        </w:rPr>
        <w:t xml:space="preserve">ve výši 4 mil. Kč </w:t>
      </w:r>
      <w:r w:rsidR="00AB53EF" w:rsidRPr="00B02E1D">
        <w:rPr>
          <w:rFonts w:eastAsia="Calibri" w:cstheme="minorHAnsi"/>
        </w:rPr>
        <w:t>vynaložených MV v kontrolovaném období na obměnu rotačních sirén nezjistil NKÚ nedostatky.</w:t>
      </w:r>
    </w:p>
    <w:p w14:paraId="5E49047C" w14:textId="0AD24E04" w:rsidR="00A9144C" w:rsidRDefault="00A9144C" w:rsidP="00A9144C">
      <w:pPr>
        <w:spacing w:after="120"/>
        <w:ind w:left="5" w:hanging="11"/>
        <w:jc w:val="both"/>
        <w:rPr>
          <w:rFonts w:cstheme="minorHAnsi"/>
        </w:rPr>
      </w:pPr>
      <w:r w:rsidRPr="004774FC">
        <w:rPr>
          <w:rFonts w:cstheme="minorHAnsi"/>
        </w:rPr>
        <w:t>Jelikož rotační sirény</w:t>
      </w:r>
      <w:r w:rsidRPr="004774FC">
        <w:rPr>
          <w:rFonts w:eastAsia="Times New Roman" w:cstheme="minorHAnsi"/>
          <w:color w:val="000000" w:themeColor="text1"/>
          <w:lang w:eastAsia="cs-CZ"/>
        </w:rPr>
        <w:t xml:space="preserve"> neumožňují doplnit </w:t>
      </w:r>
      <w:r w:rsidRPr="004774FC">
        <w:rPr>
          <w:rFonts w:cstheme="minorHAnsi"/>
          <w:color w:val="000000"/>
        </w:rPr>
        <w:t xml:space="preserve">varovný signál o hlasové tísňové informace, je důležitá míra informovanosti </w:t>
      </w:r>
      <w:r w:rsidRPr="00B02642">
        <w:rPr>
          <w:rFonts w:cstheme="minorHAnsi"/>
          <w:color w:val="000000"/>
        </w:rPr>
        <w:t>obyvatel</w:t>
      </w:r>
      <w:r w:rsidR="00EC0F47">
        <w:rPr>
          <w:rFonts w:cstheme="minorHAnsi"/>
          <w:color w:val="000000"/>
        </w:rPr>
        <w:t xml:space="preserve">. </w:t>
      </w:r>
      <w:r w:rsidRPr="00B02642">
        <w:rPr>
          <w:rFonts w:cstheme="minorHAnsi"/>
        </w:rPr>
        <w:t>NKÚ</w:t>
      </w:r>
      <w:r w:rsidRPr="004774FC">
        <w:rPr>
          <w:rFonts w:cstheme="minorHAnsi"/>
        </w:rPr>
        <w:t xml:space="preserve"> provedl dotazníkové šetření a mj. zjistil, že 47 % respondentů (žáků 3. a 4. ročníků středních škol a 7. a 8. ročníků u víceletých středních škol) nerozezná jednotlivé druhy varování při mimořádných událostech, 50 % respondentů nemá znalosti, jak se zachovat při úniku nebezpečných chemických látek</w:t>
      </w:r>
      <w:r w:rsidR="008D22DC">
        <w:rPr>
          <w:rFonts w:cstheme="minorHAnsi"/>
        </w:rPr>
        <w:t>,</w:t>
      </w:r>
      <w:r w:rsidRPr="004774FC">
        <w:rPr>
          <w:rFonts w:cstheme="minorHAnsi"/>
        </w:rPr>
        <w:t xml:space="preserve"> a 45 % respondentů nemá znalosti, jak se zachovat při úniku radioaktivních látek.</w:t>
      </w:r>
    </w:p>
    <w:p w14:paraId="1FBB64C5" w14:textId="7A84C1DD" w:rsidR="00547BE0" w:rsidRDefault="00547BE0" w:rsidP="00547BE0">
      <w:pPr>
        <w:spacing w:after="120"/>
        <w:ind w:left="-6"/>
        <w:jc w:val="both"/>
        <w:rPr>
          <w:rFonts w:cstheme="minorHAnsi"/>
        </w:rPr>
      </w:pPr>
      <w:r>
        <w:rPr>
          <w:rFonts w:cstheme="minorHAnsi"/>
        </w:rPr>
        <w:t>K</w:t>
      </w:r>
      <w:r w:rsidRPr="004774FC">
        <w:rPr>
          <w:rFonts w:cstheme="minorHAnsi"/>
        </w:rPr>
        <w:t xml:space="preserve">e zvýšení informovanosti obyvatelstva stanovilo MV v Koncepci 2025 mj. i úkol týkající se spuštění webového portálu OOB do roku 2022. </w:t>
      </w:r>
      <w:r>
        <w:rPr>
          <w:rFonts w:cstheme="minorHAnsi"/>
        </w:rPr>
        <w:t>NKÚ zjistil, že p</w:t>
      </w:r>
      <w:r w:rsidRPr="004774FC">
        <w:rPr>
          <w:rFonts w:cstheme="minorHAnsi"/>
        </w:rPr>
        <w:t>ortál nebyl do doby ukončení kontroly z rozhodnutí MV spuštěn</w:t>
      </w:r>
      <w:r w:rsidR="008D22DC">
        <w:rPr>
          <w:rFonts w:cstheme="minorHAnsi"/>
        </w:rPr>
        <w:t>,</w:t>
      </w:r>
      <w:r w:rsidRPr="004774FC">
        <w:rPr>
          <w:rFonts w:cstheme="minorHAnsi"/>
        </w:rPr>
        <w:t xml:space="preserve"> a úkol tak MV nesplnilo. V rámci zvyšování informovanosti obyvatel může být příkladem zahraniční praxe</w:t>
      </w:r>
      <w:r w:rsidR="008D22DC">
        <w:rPr>
          <w:rFonts w:cstheme="minorHAnsi"/>
        </w:rPr>
        <w:t>.</w:t>
      </w:r>
      <w:r w:rsidRPr="004774FC">
        <w:rPr>
          <w:rFonts w:cstheme="minorHAnsi"/>
        </w:rPr>
        <w:t xml:space="preserve"> </w:t>
      </w:r>
      <w:r w:rsidR="008D22DC">
        <w:rPr>
          <w:rFonts w:cstheme="minorHAnsi"/>
        </w:rPr>
        <w:t>N</w:t>
      </w:r>
      <w:r w:rsidRPr="004774FC">
        <w:rPr>
          <w:rFonts w:cstheme="minorHAnsi"/>
        </w:rPr>
        <w:t>apř. Švédsko, kde je od roku 1943 pravidelně pro všechny domácnosti vydávána brožura</w:t>
      </w:r>
      <w:r>
        <w:rPr>
          <w:rFonts w:cstheme="minorHAnsi"/>
        </w:rPr>
        <w:t xml:space="preserve"> (pod názvem </w:t>
      </w:r>
      <w:proofErr w:type="spellStart"/>
      <w:r w:rsidRPr="001D73B3">
        <w:rPr>
          <w:rFonts w:cstheme="minorHAnsi"/>
          <w:i/>
        </w:rPr>
        <w:t>Om</w:t>
      </w:r>
      <w:proofErr w:type="spellEnd"/>
      <w:r w:rsidRPr="001D73B3">
        <w:rPr>
          <w:rFonts w:cstheme="minorHAnsi"/>
          <w:i/>
        </w:rPr>
        <w:t xml:space="preserve"> </w:t>
      </w:r>
      <w:proofErr w:type="spellStart"/>
      <w:r w:rsidRPr="001D73B3">
        <w:rPr>
          <w:rFonts w:cstheme="minorHAnsi"/>
          <w:i/>
        </w:rPr>
        <w:t>krisen</w:t>
      </w:r>
      <w:proofErr w:type="spellEnd"/>
      <w:r w:rsidRPr="001D73B3">
        <w:rPr>
          <w:rFonts w:cstheme="minorHAnsi"/>
          <w:i/>
        </w:rPr>
        <w:t xml:space="preserve"> </w:t>
      </w:r>
      <w:proofErr w:type="spellStart"/>
      <w:r w:rsidRPr="001D73B3">
        <w:rPr>
          <w:rFonts w:cstheme="minorHAnsi"/>
          <w:i/>
        </w:rPr>
        <w:t>eller</w:t>
      </w:r>
      <w:proofErr w:type="spellEnd"/>
      <w:r w:rsidRPr="001D73B3">
        <w:rPr>
          <w:rFonts w:cstheme="minorHAnsi"/>
          <w:i/>
        </w:rPr>
        <w:t xml:space="preserve"> </w:t>
      </w:r>
      <w:proofErr w:type="spellStart"/>
      <w:r w:rsidRPr="001D73B3">
        <w:rPr>
          <w:rFonts w:cstheme="minorHAnsi"/>
          <w:i/>
        </w:rPr>
        <w:t>kriget</w:t>
      </w:r>
      <w:proofErr w:type="spellEnd"/>
      <w:r w:rsidRPr="001D73B3">
        <w:rPr>
          <w:rFonts w:cstheme="minorHAnsi"/>
          <w:i/>
        </w:rPr>
        <w:t xml:space="preserve"> </w:t>
      </w:r>
      <w:proofErr w:type="spellStart"/>
      <w:r w:rsidRPr="001D73B3">
        <w:rPr>
          <w:rFonts w:cstheme="minorHAnsi"/>
          <w:i/>
        </w:rPr>
        <w:t>kommer</w:t>
      </w:r>
      <w:proofErr w:type="spellEnd"/>
      <w:r>
        <w:rPr>
          <w:rFonts w:cstheme="minorHAnsi"/>
        </w:rPr>
        <w:t>)</w:t>
      </w:r>
      <w:r w:rsidRPr="004774FC">
        <w:rPr>
          <w:rFonts w:cstheme="minorHAnsi"/>
        </w:rPr>
        <w:t>, která obsahuje informace vztahující se ke způsobům chování při širokém spektru negativních událostí (od přírodních katastrof až po válku), věnuje se také varovným signálům a uvádí i</w:t>
      </w:r>
      <w:r w:rsidR="009D703E">
        <w:rPr>
          <w:rFonts w:cstheme="minorHAnsi"/>
        </w:rPr>
        <w:t> </w:t>
      </w:r>
      <w:r w:rsidRPr="004774FC">
        <w:rPr>
          <w:rFonts w:cstheme="minorHAnsi"/>
        </w:rPr>
        <w:t xml:space="preserve">konkrétní doporučení (tzv. </w:t>
      </w:r>
      <w:proofErr w:type="spellStart"/>
      <w:r w:rsidRPr="004774FC">
        <w:rPr>
          <w:rFonts w:cstheme="minorHAnsi"/>
        </w:rPr>
        <w:t>checklisty</w:t>
      </w:r>
      <w:proofErr w:type="spellEnd"/>
      <w:r w:rsidRPr="004774FC">
        <w:rPr>
          <w:rFonts w:cstheme="minorHAnsi"/>
        </w:rPr>
        <w:t>) ve vztahu k zajištění dostatečných zásob potravin, vody aj. pro případ nenadálých krizí.</w:t>
      </w:r>
    </w:p>
    <w:p w14:paraId="73159FE2" w14:textId="7691677F" w:rsidR="00547BE0" w:rsidRPr="00712760" w:rsidRDefault="00547BE0" w:rsidP="00547BE0">
      <w:pPr>
        <w:spacing w:after="120"/>
        <w:jc w:val="both"/>
        <w:rPr>
          <w:rFonts w:eastAsia="Times New Roman" w:cstheme="minorHAnsi"/>
          <w:b/>
          <w:color w:val="000000" w:themeColor="text1"/>
          <w:lang w:eastAsia="cs-CZ"/>
        </w:rPr>
      </w:pPr>
      <w:r>
        <w:rPr>
          <w:rFonts w:cstheme="minorHAnsi"/>
        </w:rPr>
        <w:t xml:space="preserve">NKÚ dále ověřil plnění úkolu prosazení </w:t>
      </w:r>
      <w:bookmarkStart w:id="4" w:name="_Hlk125024709"/>
      <w:r w:rsidRPr="004774FC">
        <w:rPr>
          <w:rFonts w:cstheme="minorHAnsi"/>
          <w:bCs/>
          <w:color w:val="000000" w:themeColor="text1"/>
        </w:rPr>
        <w:t>rozesílání varovných SMS</w:t>
      </w:r>
      <w:r w:rsidRPr="004774FC">
        <w:rPr>
          <w:rFonts w:cstheme="minorHAnsi"/>
          <w:color w:val="000000" w:themeColor="text1"/>
        </w:rPr>
        <w:t xml:space="preserve"> zpráv u všech mobilních operátorů </w:t>
      </w:r>
      <w:bookmarkEnd w:id="4"/>
      <w:r w:rsidRPr="004774FC">
        <w:rPr>
          <w:rFonts w:cstheme="minorHAnsi"/>
          <w:color w:val="000000" w:themeColor="text1"/>
        </w:rPr>
        <w:t xml:space="preserve">do roku 2017. </w:t>
      </w:r>
      <w:r>
        <w:rPr>
          <w:rFonts w:cstheme="minorHAnsi"/>
          <w:color w:val="000000" w:themeColor="text1"/>
        </w:rPr>
        <w:t xml:space="preserve">NKÚ zjistil, že </w:t>
      </w:r>
      <w:r w:rsidRPr="004774FC">
        <w:rPr>
          <w:rFonts w:cstheme="minorHAnsi"/>
        </w:rPr>
        <w:t>MV termín nesplnilo, neboť uzavřelo příslušné smlouvy, a to pouze se dvěma mobilními operátory, až v roce 2019.</w:t>
      </w:r>
      <w:r>
        <w:rPr>
          <w:rFonts w:cstheme="minorHAnsi"/>
        </w:rPr>
        <w:t xml:space="preserve"> </w:t>
      </w:r>
      <w:r w:rsidRPr="004774FC">
        <w:rPr>
          <w:rFonts w:cstheme="minorHAnsi"/>
        </w:rPr>
        <w:t>MV proto stanovilo stejný úkol i</w:t>
      </w:r>
      <w:r w:rsidR="009D703E">
        <w:rPr>
          <w:rFonts w:cstheme="minorHAnsi"/>
        </w:rPr>
        <w:t> </w:t>
      </w:r>
      <w:r w:rsidRPr="004774FC">
        <w:rPr>
          <w:rFonts w:eastAsia="Times New Roman" w:cstheme="minorHAnsi"/>
          <w:color w:val="000000" w:themeColor="text1"/>
          <w:lang w:eastAsia="cs-CZ"/>
        </w:rPr>
        <w:t>v</w:t>
      </w:r>
      <w:r w:rsidR="009D703E">
        <w:rPr>
          <w:rFonts w:eastAsia="Times New Roman" w:cstheme="minorHAnsi"/>
          <w:color w:val="000000" w:themeColor="text1"/>
          <w:lang w:eastAsia="cs-CZ"/>
        </w:rPr>
        <w:t> </w:t>
      </w:r>
      <w:r w:rsidRPr="004774FC">
        <w:rPr>
          <w:rFonts w:eastAsia="Times New Roman" w:cstheme="minorHAnsi"/>
          <w:color w:val="000000" w:themeColor="text1"/>
          <w:lang w:eastAsia="cs-CZ"/>
        </w:rPr>
        <w:t>Koncepci 2025.</w:t>
      </w:r>
      <w:r>
        <w:rPr>
          <w:rFonts w:eastAsia="Times New Roman" w:cstheme="minorHAnsi"/>
          <w:color w:val="000000" w:themeColor="text1"/>
          <w:lang w:eastAsia="cs-CZ"/>
        </w:rPr>
        <w:t xml:space="preserve"> </w:t>
      </w:r>
      <w:r>
        <w:rPr>
          <w:rFonts w:cstheme="minorHAnsi"/>
        </w:rPr>
        <w:t>Do doby ukončení kontroly MV úkol nesplnilo.</w:t>
      </w:r>
    </w:p>
    <w:p w14:paraId="7F574C8B" w14:textId="7FF98F98" w:rsidR="005F684F" w:rsidRDefault="00547BE0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</w:rPr>
        <w:lastRenderedPageBreak/>
        <w:t>Posun přinesla novela zákona o elektronických komunikacích</w:t>
      </w:r>
      <w:r w:rsidRPr="004774FC">
        <w:rPr>
          <w:rStyle w:val="Znakapoznpodarou"/>
          <w:rFonts w:cstheme="minorHAnsi"/>
        </w:rPr>
        <w:footnoteReference w:id="30"/>
      </w:r>
      <w:r w:rsidRPr="004774FC">
        <w:rPr>
          <w:rFonts w:cstheme="minorHAnsi"/>
        </w:rPr>
        <w:t>, která od 1. ledna 2022 stanovila povinnost mobilních operátorů</w:t>
      </w:r>
      <w:r w:rsidRPr="004774FC">
        <w:rPr>
          <w:rStyle w:val="Znakapoznpodarou"/>
          <w:rFonts w:cstheme="minorHAnsi"/>
        </w:rPr>
        <w:footnoteReference w:id="31"/>
      </w:r>
      <w:r w:rsidRPr="004774FC">
        <w:rPr>
          <w:rFonts w:cstheme="minorHAnsi"/>
        </w:rPr>
        <w:t xml:space="preserve"> </w:t>
      </w:r>
      <w:r>
        <w:rPr>
          <w:rFonts w:cstheme="minorHAnsi"/>
        </w:rPr>
        <w:t>rozesílat varovné SMS</w:t>
      </w:r>
      <w:r w:rsidRPr="004774FC">
        <w:rPr>
          <w:rFonts w:cstheme="minorHAnsi"/>
        </w:rPr>
        <w:t>. MV předpokládá varování a</w:t>
      </w:r>
      <w:r w:rsidR="009D703E">
        <w:rPr>
          <w:rFonts w:cstheme="minorHAnsi"/>
        </w:rPr>
        <w:t> </w:t>
      </w:r>
      <w:r w:rsidRPr="004774FC">
        <w:rPr>
          <w:rFonts w:cstheme="minorHAnsi"/>
        </w:rPr>
        <w:t xml:space="preserve">informování obyvatelstva </w:t>
      </w:r>
      <w:r>
        <w:rPr>
          <w:rFonts w:cstheme="minorHAnsi"/>
        </w:rPr>
        <w:t xml:space="preserve">zatím pouze </w:t>
      </w:r>
      <w:r w:rsidRPr="004774FC">
        <w:rPr>
          <w:rFonts w:cstheme="minorHAnsi"/>
        </w:rPr>
        <w:t>prostřednictvím zpráv SMS</w:t>
      </w:r>
      <w:r>
        <w:rPr>
          <w:rFonts w:cstheme="minorHAnsi"/>
        </w:rPr>
        <w:t xml:space="preserve">. Např. </w:t>
      </w:r>
      <w:r w:rsidRPr="004774FC">
        <w:rPr>
          <w:rFonts w:cstheme="minorHAnsi"/>
        </w:rPr>
        <w:t>ve Švýcarsku</w:t>
      </w:r>
      <w:r w:rsidRPr="005F684F">
        <w:rPr>
          <w:rFonts w:cstheme="minorHAnsi"/>
        </w:rPr>
        <w:t xml:space="preserve"> </w:t>
      </w:r>
      <w:r w:rsidRPr="004774FC">
        <w:rPr>
          <w:rFonts w:cstheme="minorHAnsi"/>
        </w:rPr>
        <w:t xml:space="preserve">funguje </w:t>
      </w:r>
      <w:r>
        <w:rPr>
          <w:rFonts w:cstheme="minorHAnsi"/>
        </w:rPr>
        <w:t>v</w:t>
      </w:r>
      <w:r w:rsidRPr="004774FC">
        <w:rPr>
          <w:rFonts w:cstheme="minorHAnsi"/>
        </w:rPr>
        <w:t>arování a informování obyvatelstva</w:t>
      </w:r>
      <w:r w:rsidRPr="005F684F">
        <w:rPr>
          <w:rFonts w:cstheme="minorHAnsi"/>
        </w:rPr>
        <w:t xml:space="preserve"> </w:t>
      </w:r>
      <w:r>
        <w:rPr>
          <w:rFonts w:cstheme="minorHAnsi"/>
        </w:rPr>
        <w:t xml:space="preserve">formou </w:t>
      </w:r>
      <w:r w:rsidRPr="004774FC">
        <w:rPr>
          <w:rFonts w:cstheme="minorHAnsi"/>
        </w:rPr>
        <w:t>mobilní aplikace</w:t>
      </w:r>
      <w:r>
        <w:rPr>
          <w:rFonts w:cstheme="minorHAnsi"/>
        </w:rPr>
        <w:t xml:space="preserve"> </w:t>
      </w:r>
      <w:r w:rsidRPr="004774FC">
        <w:rPr>
          <w:rFonts w:cstheme="minorHAnsi"/>
        </w:rPr>
        <w:t xml:space="preserve">pod názvem </w:t>
      </w:r>
      <w:proofErr w:type="spellStart"/>
      <w:r w:rsidRPr="004774FC">
        <w:rPr>
          <w:rFonts w:cstheme="minorHAnsi"/>
        </w:rPr>
        <w:t>Alertswiss</w:t>
      </w:r>
      <w:proofErr w:type="spellEnd"/>
      <w:r w:rsidRPr="004774FC">
        <w:rPr>
          <w:rStyle w:val="Znakapoznpodarou"/>
          <w:rFonts w:cstheme="minorHAnsi"/>
        </w:rPr>
        <w:footnoteReference w:id="32"/>
      </w:r>
      <w:r w:rsidRPr="005F684F">
        <w:rPr>
          <w:rFonts w:cstheme="minorHAnsi"/>
        </w:rPr>
        <w:t xml:space="preserve"> </w:t>
      </w:r>
      <w:r w:rsidRPr="004774FC">
        <w:rPr>
          <w:rFonts w:cstheme="minorHAnsi"/>
        </w:rPr>
        <w:t>již od roku 2018.</w:t>
      </w:r>
    </w:p>
    <w:p w14:paraId="05179D6B" w14:textId="6E4C7EEF" w:rsidR="00D45A2E" w:rsidRPr="00B02E1D" w:rsidRDefault="00D45A2E" w:rsidP="009D703E">
      <w:pPr>
        <w:spacing w:before="240" w:after="12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D. </w:t>
      </w:r>
      <w:r w:rsidRPr="00B02E1D">
        <w:rPr>
          <w:rFonts w:eastAsia="Calibri" w:cstheme="minorHAnsi"/>
          <w:b/>
        </w:rPr>
        <w:t>V oblasti nouzového přežití obyvatelstva MV nezabezpečilo prostředky individuální ochrany</w:t>
      </w:r>
      <w:r>
        <w:rPr>
          <w:rFonts w:eastAsia="Calibri" w:cstheme="minorHAnsi"/>
          <w:b/>
        </w:rPr>
        <w:t xml:space="preserve"> </w:t>
      </w:r>
      <w:r w:rsidRPr="00B02E1D">
        <w:rPr>
          <w:rFonts w:eastAsia="Calibri" w:cstheme="minorHAnsi"/>
          <w:b/>
        </w:rPr>
        <w:t>pro vybrané kategorie osob při stavu ohrožení státu a válečném stavu</w:t>
      </w:r>
      <w:r w:rsidR="00817530">
        <w:rPr>
          <w:rFonts w:eastAsia="Calibri" w:cstheme="minorHAnsi"/>
          <w:b/>
        </w:rPr>
        <w:t>,</w:t>
      </w:r>
      <w:r w:rsidRPr="00B02E1D">
        <w:rPr>
          <w:rFonts w:eastAsia="Calibri" w:cstheme="minorHAnsi"/>
          <w:b/>
        </w:rPr>
        <w:t xml:space="preserve"> a tím postupovalo v rozporu se zákonem </w:t>
      </w:r>
      <w:r w:rsidR="005037FA">
        <w:rPr>
          <w:rFonts w:eastAsia="Calibri" w:cstheme="minorHAnsi"/>
          <w:b/>
        </w:rPr>
        <w:t>č. 239/2000 Sb.</w:t>
      </w:r>
      <w:r w:rsidRPr="00B02E1D">
        <w:rPr>
          <w:rFonts w:eastAsia="Calibri" w:cstheme="minorHAnsi"/>
          <w:b/>
        </w:rPr>
        <w:t xml:space="preserve"> a vyhláškou </w:t>
      </w:r>
      <w:r w:rsidR="005037FA">
        <w:rPr>
          <w:rFonts w:eastAsia="Calibri" w:cstheme="minorHAnsi"/>
          <w:b/>
        </w:rPr>
        <w:t>č. 380/2002 Sb.</w:t>
      </w:r>
    </w:p>
    <w:p w14:paraId="706CEAFE" w14:textId="750E123A" w:rsidR="00D45A2E" w:rsidRPr="009D703E" w:rsidRDefault="00A9144C" w:rsidP="00A9144C">
      <w:pPr>
        <w:spacing w:after="108"/>
        <w:jc w:val="both"/>
        <w:rPr>
          <w:rFonts w:cstheme="minorHAnsi"/>
          <w:iCs/>
          <w:color w:val="000000"/>
          <w:highlight w:val="lightGray"/>
        </w:rPr>
      </w:pPr>
      <w:r w:rsidRPr="009D703E">
        <w:rPr>
          <w:rFonts w:cstheme="minorHAnsi"/>
          <w:iCs/>
          <w:highlight w:val="lightGray"/>
        </w:rPr>
        <w:t xml:space="preserve">Kontrolou NKÚ bylo ověřeno, zda MV plní požadavky na počet PIO dle právních předpisů </w:t>
      </w:r>
      <w:r w:rsidR="006156B8" w:rsidRPr="009D703E">
        <w:rPr>
          <w:rFonts w:cstheme="minorHAnsi"/>
          <w:iCs/>
          <w:highlight w:val="lightGray"/>
        </w:rPr>
        <w:t>a</w:t>
      </w:r>
      <w:r w:rsidR="009D703E">
        <w:rPr>
          <w:rFonts w:cstheme="minorHAnsi"/>
          <w:iCs/>
          <w:highlight w:val="lightGray"/>
        </w:rPr>
        <w:t> </w:t>
      </w:r>
      <w:r w:rsidR="006156B8" w:rsidRPr="009D703E">
        <w:rPr>
          <w:rFonts w:cstheme="minorHAnsi"/>
          <w:iCs/>
          <w:highlight w:val="lightGray"/>
        </w:rPr>
        <w:t xml:space="preserve">cíle a úkoly </w:t>
      </w:r>
      <w:r w:rsidR="00817530">
        <w:rPr>
          <w:rFonts w:cstheme="minorHAnsi"/>
          <w:iCs/>
          <w:highlight w:val="lightGray"/>
        </w:rPr>
        <w:t>k</w:t>
      </w:r>
      <w:r w:rsidR="006156B8" w:rsidRPr="009D703E">
        <w:rPr>
          <w:rFonts w:cstheme="minorHAnsi"/>
          <w:iCs/>
          <w:highlight w:val="lightGray"/>
        </w:rPr>
        <w:t xml:space="preserve">oncepcí OOB. </w:t>
      </w:r>
      <w:r w:rsidRPr="009D703E">
        <w:rPr>
          <w:rFonts w:cstheme="minorHAnsi"/>
          <w:iCs/>
          <w:highlight w:val="lightGray"/>
        </w:rPr>
        <w:t>R</w:t>
      </w:r>
      <w:r w:rsidRPr="009D703E">
        <w:rPr>
          <w:rFonts w:cstheme="minorHAnsi"/>
          <w:iCs/>
          <w:color w:val="000000"/>
          <w:highlight w:val="lightGray"/>
        </w:rPr>
        <w:t xml:space="preserve">ozsah individuální ochrany obyvatel stanoví dle </w:t>
      </w:r>
      <w:r w:rsidRPr="009D703E">
        <w:rPr>
          <w:rFonts w:cstheme="minorHAnsi"/>
          <w:bCs/>
          <w:iCs/>
          <w:highlight w:val="lightGray"/>
        </w:rPr>
        <w:t>ustanovení § 7, odst.</w:t>
      </w:r>
      <w:r w:rsidR="009D703E">
        <w:rPr>
          <w:rFonts w:cstheme="minorHAnsi"/>
          <w:bCs/>
          <w:iCs/>
          <w:highlight w:val="lightGray"/>
        </w:rPr>
        <w:t> </w:t>
      </w:r>
      <w:r w:rsidRPr="009D703E">
        <w:rPr>
          <w:rFonts w:cstheme="minorHAnsi"/>
          <w:bCs/>
          <w:iCs/>
          <w:highlight w:val="lightGray"/>
        </w:rPr>
        <w:t xml:space="preserve">8 písm. </w:t>
      </w:r>
      <w:r w:rsidRPr="009D703E">
        <w:rPr>
          <w:rFonts w:cstheme="minorHAnsi"/>
          <w:iCs/>
          <w:color w:val="000000"/>
          <w:highlight w:val="lightGray"/>
        </w:rPr>
        <w:t xml:space="preserve">g) zákona </w:t>
      </w:r>
      <w:r w:rsidR="004F2AD0" w:rsidRPr="009D703E">
        <w:rPr>
          <w:rFonts w:cstheme="minorHAnsi"/>
          <w:iCs/>
          <w:color w:val="000000"/>
          <w:highlight w:val="lightGray"/>
        </w:rPr>
        <w:t>č. 239/2000 Sb.</w:t>
      </w:r>
      <w:r w:rsidR="004E512A" w:rsidRPr="009D703E">
        <w:rPr>
          <w:rFonts w:cstheme="minorHAnsi"/>
          <w:iCs/>
          <w:color w:val="000000"/>
          <w:highlight w:val="lightGray"/>
        </w:rPr>
        <w:t xml:space="preserve"> </w:t>
      </w:r>
      <w:r w:rsidRPr="009D703E">
        <w:rPr>
          <w:rFonts w:cstheme="minorHAnsi"/>
          <w:iCs/>
          <w:color w:val="000000"/>
          <w:highlight w:val="lightGray"/>
        </w:rPr>
        <w:t>vyhláška</w:t>
      </w:r>
      <w:r w:rsidR="00333371" w:rsidRPr="009D703E">
        <w:rPr>
          <w:rFonts w:cstheme="minorHAnsi"/>
          <w:iCs/>
          <w:color w:val="000000"/>
          <w:highlight w:val="lightGray"/>
        </w:rPr>
        <w:t xml:space="preserve"> </w:t>
      </w:r>
      <w:r w:rsidRPr="009D703E">
        <w:rPr>
          <w:rFonts w:cstheme="minorHAnsi"/>
          <w:iCs/>
          <w:color w:val="000000"/>
          <w:highlight w:val="lightGray"/>
        </w:rPr>
        <w:t>č. 380/2002 Sb</w:t>
      </w:r>
      <w:r w:rsidR="00B34DB6" w:rsidRPr="009D703E">
        <w:rPr>
          <w:rFonts w:cstheme="minorHAnsi"/>
          <w:iCs/>
          <w:color w:val="000000"/>
          <w:highlight w:val="lightGray"/>
        </w:rPr>
        <w:t xml:space="preserve">. </w:t>
      </w:r>
      <w:r w:rsidRPr="009D703E">
        <w:rPr>
          <w:rFonts w:cstheme="minorHAnsi"/>
          <w:iCs/>
          <w:color w:val="000000"/>
          <w:highlight w:val="lightGray"/>
        </w:rPr>
        <w:t>Při stavu ohrožení státu a</w:t>
      </w:r>
      <w:r w:rsidR="009D703E">
        <w:rPr>
          <w:rFonts w:cstheme="minorHAnsi"/>
          <w:iCs/>
          <w:color w:val="000000"/>
          <w:highlight w:val="lightGray"/>
        </w:rPr>
        <w:t> </w:t>
      </w:r>
      <w:r w:rsidRPr="009D703E">
        <w:rPr>
          <w:rFonts w:cstheme="minorHAnsi"/>
          <w:iCs/>
          <w:color w:val="000000"/>
          <w:highlight w:val="lightGray"/>
        </w:rPr>
        <w:t>válečném stavu má MV dle ustanovení § 17 odst. 2 vyhlášky</w:t>
      </w:r>
      <w:r w:rsidR="00C03717" w:rsidRPr="009D703E">
        <w:rPr>
          <w:rFonts w:cstheme="minorHAnsi"/>
          <w:iCs/>
          <w:color w:val="000000"/>
          <w:highlight w:val="lightGray"/>
        </w:rPr>
        <w:t xml:space="preserve"> č. 380/2002 Sb.</w:t>
      </w:r>
      <w:r w:rsidRPr="009D703E">
        <w:rPr>
          <w:rFonts w:cstheme="minorHAnsi"/>
          <w:iCs/>
          <w:color w:val="000000"/>
          <w:highlight w:val="lightGray"/>
        </w:rPr>
        <w:t xml:space="preserve"> provádět výdej prostředků individuální ochrany pro vybrané kategorie osob</w:t>
      </w:r>
      <w:r w:rsidR="00817530">
        <w:rPr>
          <w:rFonts w:cstheme="minorHAnsi"/>
          <w:iCs/>
          <w:color w:val="000000"/>
          <w:highlight w:val="lightGray"/>
        </w:rPr>
        <w:t>,</w:t>
      </w:r>
      <w:r w:rsidRPr="009D703E">
        <w:rPr>
          <w:rFonts w:cstheme="minorHAnsi"/>
          <w:iCs/>
          <w:color w:val="000000"/>
          <w:highlight w:val="lightGray"/>
        </w:rPr>
        <w:t xml:space="preserve"> např. dětské ochranné vaky pro děti do 1,5</w:t>
      </w:r>
      <w:r w:rsidR="000D1B9D">
        <w:rPr>
          <w:rFonts w:cstheme="minorHAnsi"/>
          <w:iCs/>
          <w:color w:val="000000"/>
          <w:highlight w:val="lightGray"/>
        </w:rPr>
        <w:t> </w:t>
      </w:r>
      <w:r w:rsidRPr="009D703E">
        <w:rPr>
          <w:rFonts w:cstheme="minorHAnsi"/>
          <w:iCs/>
          <w:color w:val="000000"/>
          <w:highlight w:val="lightGray"/>
        </w:rPr>
        <w:t>roku, dětské ochranné kazajky pro děti od 1,5 do 6 let, dětské ochranné masky pro děti od 1,5 do 18 let nebo ochranné masky pro osoby umístěné ve zdravotnických a sociálních zařízeních.</w:t>
      </w:r>
      <w:r w:rsidR="00330870" w:rsidRPr="009D703E">
        <w:rPr>
          <w:rFonts w:cstheme="minorHAnsi"/>
          <w:iCs/>
          <w:color w:val="000000"/>
          <w:highlight w:val="lightGray"/>
        </w:rPr>
        <w:t xml:space="preserve"> </w:t>
      </w:r>
      <w:r w:rsidRPr="009D703E">
        <w:rPr>
          <w:rFonts w:cstheme="minorHAnsi"/>
          <w:iCs/>
          <w:color w:val="000000"/>
          <w:highlight w:val="lightGray"/>
        </w:rPr>
        <w:t>MV vynakládalo peněžní prostředky stát</w:t>
      </w:r>
      <w:r w:rsidR="00512E86" w:rsidRPr="009D703E">
        <w:rPr>
          <w:rFonts w:cstheme="minorHAnsi"/>
          <w:iCs/>
          <w:color w:val="000000"/>
          <w:highlight w:val="lightGray"/>
        </w:rPr>
        <w:t>ního rozpočtu</w:t>
      </w:r>
      <w:r w:rsidRPr="009D703E">
        <w:rPr>
          <w:rFonts w:cstheme="minorHAnsi"/>
          <w:iCs/>
          <w:color w:val="000000"/>
          <w:highlight w:val="lightGray"/>
        </w:rPr>
        <w:t xml:space="preserve"> zejména na skladování, pravidelné revize a likvidaci nefunkčních PIO</w:t>
      </w:r>
      <w:r w:rsidR="00D45A2E" w:rsidRPr="009D703E">
        <w:rPr>
          <w:rFonts w:cstheme="minorHAnsi"/>
          <w:iCs/>
          <w:color w:val="000000"/>
          <w:highlight w:val="lightGray"/>
        </w:rPr>
        <w:t xml:space="preserve"> (v kontrolovaném období uhradilo za likvidaci PIO částku 26,5 mil. Kč).</w:t>
      </w:r>
    </w:p>
    <w:p w14:paraId="7249D271" w14:textId="05802093" w:rsidR="00A9144C" w:rsidRDefault="00A9144C" w:rsidP="00A9144C">
      <w:pPr>
        <w:spacing w:after="120"/>
        <w:jc w:val="both"/>
        <w:rPr>
          <w:rFonts w:cstheme="minorHAnsi"/>
          <w:color w:val="000000"/>
        </w:rPr>
      </w:pPr>
      <w:r w:rsidRPr="004774FC">
        <w:rPr>
          <w:rFonts w:cstheme="minorHAnsi"/>
          <w:color w:val="000000" w:themeColor="text1"/>
        </w:rPr>
        <w:t xml:space="preserve">PIO jsou určeny k </w:t>
      </w:r>
      <w:r w:rsidRPr="004774FC">
        <w:rPr>
          <w:rFonts w:cstheme="minorHAnsi"/>
          <w:color w:val="000000"/>
        </w:rPr>
        <w:t>ochraně obyvatel před toxickými, radiačními a infekčními účinky bojových otravných, radioaktivních a biologických látek.</w:t>
      </w:r>
    </w:p>
    <w:p w14:paraId="303F7C95" w14:textId="77777777" w:rsidR="00F0259C" w:rsidRPr="00817530" w:rsidRDefault="00F0259C" w:rsidP="009D703E">
      <w:pPr>
        <w:pStyle w:val="Mluvcnadpis"/>
        <w:spacing w:before="240"/>
        <w:rPr>
          <w:rFonts w:ascii="Calibri" w:hAnsi="Calibri" w:cs="Calibri"/>
          <w:i w:val="0"/>
        </w:rPr>
      </w:pPr>
      <w:r w:rsidRPr="00817530">
        <w:rPr>
          <w:rFonts w:ascii="Calibri" w:hAnsi="Calibri" w:cs="Calibri"/>
          <w:i w:val="0"/>
        </w:rPr>
        <w:t>→ MV nezabezpečilo stanovený počet PIO pro vybrané kategorie osob při stavu ohrožení státu a válečném stavu</w:t>
      </w:r>
    </w:p>
    <w:p w14:paraId="151B2F5E" w14:textId="2EFD7CEC" w:rsidR="00A9144C" w:rsidRPr="004774FC" w:rsidRDefault="00302352" w:rsidP="00A9144C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MV je p</w:t>
      </w:r>
      <w:r w:rsidR="00A9144C" w:rsidRPr="004774FC">
        <w:rPr>
          <w:rFonts w:cstheme="minorHAnsi"/>
          <w:color w:val="000000"/>
        </w:rPr>
        <w:t>říslušn</w:t>
      </w:r>
      <w:r>
        <w:rPr>
          <w:rFonts w:cstheme="minorHAnsi"/>
          <w:color w:val="000000"/>
        </w:rPr>
        <w:t>é</w:t>
      </w:r>
      <w:r w:rsidR="00A9144C" w:rsidRPr="004774FC">
        <w:rPr>
          <w:rFonts w:cstheme="minorHAnsi"/>
          <w:color w:val="000000"/>
        </w:rPr>
        <w:t xml:space="preserve"> hospodař</w:t>
      </w:r>
      <w:r>
        <w:rPr>
          <w:rFonts w:cstheme="minorHAnsi"/>
          <w:color w:val="000000"/>
        </w:rPr>
        <w:t xml:space="preserve">it s </w:t>
      </w:r>
      <w:r w:rsidR="00A9144C" w:rsidRPr="004774FC">
        <w:rPr>
          <w:rFonts w:cstheme="minorHAnsi"/>
          <w:color w:val="000000"/>
        </w:rPr>
        <w:t>materiál</w:t>
      </w:r>
      <w:r>
        <w:rPr>
          <w:rFonts w:cstheme="minorHAnsi"/>
          <w:color w:val="000000"/>
        </w:rPr>
        <w:t>em</w:t>
      </w:r>
      <w:r w:rsidR="00A9144C" w:rsidRPr="004774FC">
        <w:rPr>
          <w:rFonts w:cstheme="minorHAnsi"/>
          <w:color w:val="000000"/>
        </w:rPr>
        <w:t xml:space="preserve"> civilní ochrany (kromě PIO také přístroje k provádění průzkumu nebo filtry do stálých úkrytů)</w:t>
      </w:r>
      <w:r>
        <w:rPr>
          <w:rFonts w:cstheme="minorHAnsi"/>
          <w:color w:val="000000"/>
        </w:rPr>
        <w:t xml:space="preserve"> od roku</w:t>
      </w:r>
      <w:r w:rsidR="00A9144C" w:rsidRPr="004774FC">
        <w:rPr>
          <w:rFonts w:cstheme="minorHAnsi"/>
          <w:color w:val="000000"/>
        </w:rPr>
        <w:t xml:space="preserve"> 2001. </w:t>
      </w:r>
      <w:r w:rsidR="004E512A">
        <w:rPr>
          <w:rFonts w:cstheme="minorHAnsi"/>
          <w:color w:val="000000"/>
        </w:rPr>
        <w:t>V</w:t>
      </w:r>
      <w:r w:rsidR="00A9144C" w:rsidRPr="004774FC">
        <w:rPr>
          <w:rFonts w:cstheme="minorHAnsi"/>
          <w:color w:val="000000"/>
        </w:rPr>
        <w:t xml:space="preserve"> roce 2002 </w:t>
      </w:r>
      <w:r>
        <w:rPr>
          <w:rFonts w:cstheme="minorHAnsi"/>
          <w:color w:val="000000"/>
        </w:rPr>
        <w:t xml:space="preserve">MV </w:t>
      </w:r>
      <w:r w:rsidR="00A9144C" w:rsidRPr="004774FC">
        <w:rPr>
          <w:rFonts w:cstheme="minorHAnsi"/>
          <w:color w:val="000000"/>
        </w:rPr>
        <w:t>zmínilo v Koncepci 2006 zastaralost a nefunkčnost tohoto materiálu, potřebu doplnění počtu PIO vybraných kategorií osob, změnu zákona č. 241/2000 Sb.</w:t>
      </w:r>
      <w:r w:rsidR="004E512A">
        <w:rPr>
          <w:rStyle w:val="Znakapoznpodarou"/>
          <w:rFonts w:cstheme="minorHAnsi"/>
          <w:color w:val="000000"/>
        </w:rPr>
        <w:footnoteReference w:id="33"/>
      </w:r>
      <w:r w:rsidR="004E512A">
        <w:rPr>
          <w:rFonts w:cstheme="minorHAnsi"/>
          <w:color w:val="000000"/>
        </w:rPr>
        <w:t xml:space="preserve"> </w:t>
      </w:r>
      <w:r w:rsidR="00A9144C" w:rsidRPr="004774FC">
        <w:rPr>
          <w:rFonts w:cstheme="minorHAnsi"/>
          <w:color w:val="000000"/>
        </w:rPr>
        <w:t xml:space="preserve">a nutnost provedení kontroly funkčnosti PIO. </w:t>
      </w:r>
      <w:r w:rsidR="004E512A">
        <w:rPr>
          <w:rFonts w:cstheme="minorHAnsi"/>
          <w:color w:val="000000"/>
        </w:rPr>
        <w:t>NKÚ zjistil, že z</w:t>
      </w:r>
      <w:r w:rsidR="00A9144C" w:rsidRPr="004774FC">
        <w:rPr>
          <w:rFonts w:cstheme="minorHAnsi"/>
          <w:color w:val="000000"/>
        </w:rPr>
        <w:t> důvodu nesplnění těchto úkolů stanovilo MV v navazující</w:t>
      </w:r>
      <w:r w:rsidR="0091421D">
        <w:rPr>
          <w:rFonts w:cstheme="minorHAnsi"/>
          <w:color w:val="000000"/>
        </w:rPr>
        <w:t xml:space="preserve"> </w:t>
      </w:r>
      <w:r w:rsidR="00A9144C" w:rsidRPr="004774FC">
        <w:rPr>
          <w:rFonts w:cstheme="minorHAnsi"/>
          <w:color w:val="000000"/>
        </w:rPr>
        <w:t>Koncepci 2013 pro zajištění požadovaného počtu a stavu PIO tyto úkoly:</w:t>
      </w:r>
    </w:p>
    <w:p w14:paraId="4EF4D56E" w14:textId="31F7396A" w:rsidR="00A9144C" w:rsidRPr="007139F9" w:rsidRDefault="00A9144C" w:rsidP="00B02E1D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cstheme="minorHAnsi"/>
          <w:i/>
          <w:color w:val="000000"/>
          <w:sz w:val="24"/>
          <w:szCs w:val="24"/>
        </w:rPr>
      </w:pPr>
      <w:r w:rsidRPr="009D703E">
        <w:rPr>
          <w:rFonts w:cstheme="minorHAnsi"/>
          <w:iCs/>
          <w:sz w:val="24"/>
          <w:szCs w:val="24"/>
        </w:rPr>
        <w:t>„</w:t>
      </w:r>
      <w:r w:rsidRPr="007139F9">
        <w:rPr>
          <w:rFonts w:cstheme="minorHAnsi"/>
          <w:i/>
          <w:iCs/>
          <w:sz w:val="24"/>
          <w:szCs w:val="24"/>
        </w:rPr>
        <w:t>Dokončit kontroly funkčnosti majetku a provést vytřídění a likvidaci nefunkčního materiálu</w:t>
      </w:r>
      <w:r w:rsidRPr="009D703E">
        <w:rPr>
          <w:rFonts w:cstheme="minorHAnsi"/>
          <w:iCs/>
          <w:sz w:val="24"/>
          <w:szCs w:val="24"/>
        </w:rPr>
        <w:t>“</w:t>
      </w:r>
      <w:r w:rsidR="00080FC7" w:rsidRPr="00847BF7">
        <w:rPr>
          <w:rFonts w:cstheme="minorHAnsi"/>
          <w:iCs/>
          <w:sz w:val="24"/>
          <w:szCs w:val="24"/>
        </w:rPr>
        <w:t>;</w:t>
      </w:r>
      <w:r w:rsidRPr="00847BF7">
        <w:rPr>
          <w:rFonts w:cstheme="minorHAnsi"/>
          <w:iCs/>
          <w:sz w:val="24"/>
          <w:szCs w:val="24"/>
        </w:rPr>
        <w:t xml:space="preserve"> </w:t>
      </w:r>
      <w:r w:rsidR="00080FC7">
        <w:rPr>
          <w:rFonts w:cstheme="minorHAnsi"/>
          <w:iCs/>
          <w:sz w:val="24"/>
          <w:szCs w:val="24"/>
        </w:rPr>
        <w:t>s</w:t>
      </w:r>
      <w:r w:rsidRPr="007139F9">
        <w:rPr>
          <w:rFonts w:cstheme="minorHAnsi"/>
          <w:iCs/>
          <w:sz w:val="24"/>
          <w:szCs w:val="24"/>
        </w:rPr>
        <w:t>tanovený termín rok 2012 MV nesplnilo a splnění úkolu posunulo do roku 2020. Do doby ukončení kontroly NKÚ nebyl úkol splněn.</w:t>
      </w:r>
    </w:p>
    <w:p w14:paraId="5F47A0DD" w14:textId="7F6117FA" w:rsidR="00987CCD" w:rsidRPr="00BC6FD4" w:rsidRDefault="00A9144C" w:rsidP="00BC6FD4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  <w:iCs/>
          <w:sz w:val="24"/>
          <w:szCs w:val="24"/>
        </w:rPr>
      </w:pPr>
      <w:r w:rsidRPr="009D703E">
        <w:rPr>
          <w:rFonts w:cstheme="minorHAnsi"/>
          <w:color w:val="000000"/>
          <w:sz w:val="24"/>
          <w:szCs w:val="24"/>
        </w:rPr>
        <w:t>„</w:t>
      </w:r>
      <w:r w:rsidRPr="007139F9">
        <w:rPr>
          <w:rFonts w:cstheme="minorHAnsi"/>
          <w:i/>
          <w:color w:val="000000"/>
          <w:sz w:val="24"/>
          <w:szCs w:val="24"/>
        </w:rPr>
        <w:t>Zajistit věcné prostředky pro ochranu obyvatelstva a PIO pro určené kategorie osob systémem hospodářských opatření pro krizové stavy</w:t>
      </w:r>
      <w:r w:rsidRPr="009D703E">
        <w:rPr>
          <w:rFonts w:cstheme="minorHAnsi"/>
          <w:color w:val="000000"/>
          <w:sz w:val="24"/>
          <w:szCs w:val="24"/>
        </w:rPr>
        <w:t>“</w:t>
      </w:r>
      <w:r w:rsidR="00080FC7">
        <w:rPr>
          <w:rFonts w:cstheme="minorHAnsi"/>
          <w:color w:val="000000"/>
          <w:sz w:val="24"/>
          <w:szCs w:val="24"/>
        </w:rPr>
        <w:t>;</w:t>
      </w:r>
      <w:r w:rsidRPr="009D703E">
        <w:rPr>
          <w:rFonts w:cstheme="minorHAnsi"/>
          <w:color w:val="000000"/>
          <w:sz w:val="24"/>
          <w:szCs w:val="24"/>
        </w:rPr>
        <w:t xml:space="preserve"> </w:t>
      </w:r>
      <w:r w:rsidR="00080FC7">
        <w:rPr>
          <w:rFonts w:cstheme="minorHAnsi"/>
          <w:iCs/>
          <w:sz w:val="24"/>
          <w:szCs w:val="24"/>
        </w:rPr>
        <w:t>s</w:t>
      </w:r>
      <w:r w:rsidRPr="007139F9">
        <w:rPr>
          <w:rFonts w:cstheme="minorHAnsi"/>
          <w:iCs/>
          <w:sz w:val="24"/>
          <w:szCs w:val="24"/>
        </w:rPr>
        <w:t xml:space="preserve">tanovený termín rok 2013 MV </w:t>
      </w:r>
      <w:r w:rsidRPr="007139F9">
        <w:rPr>
          <w:rFonts w:cstheme="minorHAnsi"/>
          <w:iCs/>
          <w:sz w:val="24"/>
          <w:szCs w:val="24"/>
        </w:rPr>
        <w:lastRenderedPageBreak/>
        <w:t>nesplnilo, ve vyhodnocení plnění úkolů opětovně uvedlo, že je nutná změna zákona č. 241/2000 Sb. Do doby ukončení kontroly NKÚ nebyl úkol splněn.</w:t>
      </w:r>
    </w:p>
    <w:p w14:paraId="7BF030FE" w14:textId="7EDEC028" w:rsidR="00A9144C" w:rsidRPr="004774FC" w:rsidRDefault="00225FD4" w:rsidP="00A9144C">
      <w:pPr>
        <w:spacing w:after="120"/>
        <w:jc w:val="both"/>
        <w:rPr>
          <w:rFonts w:cstheme="minorHAnsi"/>
          <w:bCs/>
          <w:color w:val="000000" w:themeColor="text1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NKÚ </w:t>
      </w:r>
      <w:r w:rsidR="004E512A">
        <w:rPr>
          <w:rFonts w:eastAsia="Times New Roman" w:cstheme="minorHAnsi"/>
          <w:color w:val="000000" w:themeColor="text1"/>
          <w:lang w:eastAsia="cs-CZ"/>
        </w:rPr>
        <w:t xml:space="preserve">dále </w:t>
      </w:r>
      <w:r>
        <w:rPr>
          <w:rFonts w:eastAsia="Times New Roman" w:cstheme="minorHAnsi"/>
          <w:color w:val="000000" w:themeColor="text1"/>
          <w:lang w:eastAsia="cs-CZ"/>
        </w:rPr>
        <w:t>zjistil</w:t>
      </w:r>
      <w:r w:rsidR="004730E6">
        <w:rPr>
          <w:rFonts w:cstheme="minorHAnsi"/>
          <w:iCs/>
        </w:rPr>
        <w:t xml:space="preserve">, že </w:t>
      </w:r>
      <w:r w:rsidR="00BB7AB4">
        <w:rPr>
          <w:rFonts w:cstheme="minorHAnsi"/>
          <w:iCs/>
        </w:rPr>
        <w:t xml:space="preserve">již </w:t>
      </w:r>
      <w:r w:rsidR="00BB7AB4">
        <w:rPr>
          <w:rFonts w:cstheme="minorHAnsi"/>
        </w:rPr>
        <w:t xml:space="preserve">od roku </w:t>
      </w:r>
      <w:r w:rsidR="00A9144C" w:rsidRPr="004774FC">
        <w:rPr>
          <w:rFonts w:cstheme="minorHAnsi"/>
          <w:iCs/>
        </w:rPr>
        <w:t xml:space="preserve">2015 </w:t>
      </w:r>
      <w:r w:rsidR="00BB7AB4">
        <w:rPr>
          <w:rFonts w:cstheme="minorHAnsi"/>
          <w:iCs/>
        </w:rPr>
        <w:t>se</w:t>
      </w:r>
      <w:r w:rsidR="00A9144C" w:rsidRPr="004774FC">
        <w:rPr>
          <w:rFonts w:cstheme="minorHAnsi"/>
        </w:rPr>
        <w:t xml:space="preserve"> </w:t>
      </w:r>
      <w:r w:rsidR="00A9144C" w:rsidRPr="004774FC">
        <w:rPr>
          <w:rFonts w:cstheme="minorHAnsi"/>
          <w:bCs/>
        </w:rPr>
        <w:t xml:space="preserve">PIO </w:t>
      </w:r>
      <w:r w:rsidR="00A9144C" w:rsidRPr="004774FC">
        <w:rPr>
          <w:rFonts w:cstheme="minorHAnsi"/>
          <w:bCs/>
          <w:color w:val="000000" w:themeColor="text1"/>
        </w:rPr>
        <w:t xml:space="preserve">vzhledem k úsporným opatřením nedoplňují a jejich počty vzhledem ke stáří trvale klesají. </w:t>
      </w:r>
      <w:r w:rsidR="00A9144C" w:rsidRPr="004774FC">
        <w:rPr>
          <w:rFonts w:cstheme="minorHAnsi"/>
          <w:color w:val="000000" w:themeColor="text1"/>
        </w:rPr>
        <w:t xml:space="preserve">Chybělo tak 88 % PIO pro děti do 1,5 roku, 99 % PIO pro děti od 1,5 do 6 let, 8 % PIO pro děti od 6 do 18 let a 42 % ochranných filtrů. Celkem </w:t>
      </w:r>
      <w:r w:rsidR="00A9144C" w:rsidRPr="004774FC">
        <w:rPr>
          <w:rFonts w:cstheme="minorHAnsi"/>
        </w:rPr>
        <w:t xml:space="preserve">MV disponovalo </w:t>
      </w:r>
      <w:r w:rsidR="00A9144C" w:rsidRPr="004774FC">
        <w:rPr>
          <w:rFonts w:eastAsia="Times New Roman" w:cstheme="minorHAnsi"/>
        </w:rPr>
        <w:t xml:space="preserve">1 739 957 ks PIO pro 2 492 184 osob (tj. 70 %). </w:t>
      </w:r>
      <w:r w:rsidR="00BB7AB4">
        <w:rPr>
          <w:rFonts w:eastAsia="Times New Roman" w:cstheme="minorHAnsi"/>
        </w:rPr>
        <w:t xml:space="preserve">Proto si MV </w:t>
      </w:r>
      <w:r w:rsidR="001E4EE9">
        <w:rPr>
          <w:rFonts w:eastAsia="Times New Roman" w:cstheme="minorHAnsi"/>
        </w:rPr>
        <w:t xml:space="preserve">v </w:t>
      </w:r>
      <w:r w:rsidR="001E4EE9" w:rsidRPr="004774FC">
        <w:rPr>
          <w:rFonts w:cstheme="minorHAnsi"/>
          <w:color w:val="000000" w:themeColor="text1"/>
        </w:rPr>
        <w:t>rámci</w:t>
      </w:r>
      <w:r w:rsidR="00A9144C" w:rsidRPr="004774FC">
        <w:rPr>
          <w:rFonts w:cstheme="minorHAnsi"/>
          <w:color w:val="000000" w:themeColor="text1"/>
        </w:rPr>
        <w:t xml:space="preserve"> dalšího postupu stanovilo úkol provést do roku 2020 úpravu vyhlášky </w:t>
      </w:r>
      <w:r w:rsidR="004E512A">
        <w:rPr>
          <w:rFonts w:cstheme="minorHAnsi"/>
          <w:color w:val="000000" w:themeColor="text1"/>
        </w:rPr>
        <w:t xml:space="preserve">380/2002 Sb. </w:t>
      </w:r>
      <w:r w:rsidR="00A9144C" w:rsidRPr="004774FC">
        <w:rPr>
          <w:rFonts w:cstheme="minorHAnsi"/>
          <w:color w:val="000000" w:themeColor="text1"/>
        </w:rPr>
        <w:t>tak, aby odpovídala reálnosti využití PIO.</w:t>
      </w:r>
      <w:r w:rsidR="00A9144C" w:rsidRPr="004774FC">
        <w:rPr>
          <w:rFonts w:cstheme="minorHAnsi"/>
          <w:b/>
          <w:bCs/>
          <w:color w:val="000000" w:themeColor="text1"/>
        </w:rPr>
        <w:t xml:space="preserve"> </w:t>
      </w:r>
    </w:p>
    <w:p w14:paraId="36789E1D" w14:textId="6DFDEA16" w:rsidR="00A9144C" w:rsidRPr="004774FC" w:rsidRDefault="00A9144C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</w:rPr>
        <w:t>Obrat v</w:t>
      </w:r>
      <w:r w:rsidR="004E512A">
        <w:rPr>
          <w:rFonts w:cstheme="minorHAnsi"/>
        </w:rPr>
        <w:t> </w:t>
      </w:r>
      <w:r w:rsidRPr="004774FC">
        <w:rPr>
          <w:rFonts w:cstheme="minorHAnsi"/>
        </w:rPr>
        <w:t>pohledu</w:t>
      </w:r>
      <w:r w:rsidR="004E512A">
        <w:rPr>
          <w:rFonts w:cstheme="minorHAnsi"/>
        </w:rPr>
        <w:t xml:space="preserve"> MV </w:t>
      </w:r>
      <w:r w:rsidRPr="004774FC">
        <w:rPr>
          <w:rFonts w:cstheme="minorHAnsi"/>
        </w:rPr>
        <w:t>na počet PIO nastal v Koncepci 2025,</w:t>
      </w:r>
      <w:r w:rsidR="004E512A">
        <w:rPr>
          <w:rFonts w:cstheme="minorHAnsi"/>
        </w:rPr>
        <w:t xml:space="preserve"> </w:t>
      </w:r>
      <w:r w:rsidRPr="004774FC">
        <w:rPr>
          <w:rFonts w:cstheme="minorHAnsi"/>
        </w:rPr>
        <w:t>ve které MV definuje nutnost doplnit přístup sebeochrany také o pořizování komerčně dostupných PIO (respirátory, roušky, ochranné kukly a ochranné oděvy na jedno použití), které budou mít uplatnění při hrozbách spojených s déletrvajícími incidenty typu chemick</w:t>
      </w:r>
      <w:r w:rsidR="00080FC7">
        <w:rPr>
          <w:rFonts w:cstheme="minorHAnsi"/>
        </w:rPr>
        <w:t>ého</w:t>
      </w:r>
      <w:r w:rsidRPr="004774FC">
        <w:rPr>
          <w:rFonts w:cstheme="minorHAnsi"/>
        </w:rPr>
        <w:t>, biologick</w:t>
      </w:r>
      <w:r w:rsidR="00080FC7">
        <w:rPr>
          <w:rFonts w:cstheme="minorHAnsi"/>
        </w:rPr>
        <w:t>ého</w:t>
      </w:r>
      <w:r w:rsidRPr="004774FC">
        <w:rPr>
          <w:rFonts w:cstheme="minorHAnsi"/>
        </w:rPr>
        <w:t>, radiologick</w:t>
      </w:r>
      <w:r w:rsidR="00080FC7">
        <w:rPr>
          <w:rFonts w:cstheme="minorHAnsi"/>
        </w:rPr>
        <w:t>ého</w:t>
      </w:r>
      <w:r w:rsidRPr="004774FC">
        <w:rPr>
          <w:rFonts w:cstheme="minorHAnsi"/>
        </w:rPr>
        <w:t xml:space="preserve"> či jadern</w:t>
      </w:r>
      <w:r w:rsidR="00080FC7">
        <w:rPr>
          <w:rFonts w:cstheme="minorHAnsi"/>
        </w:rPr>
        <w:t>ého</w:t>
      </w:r>
      <w:r w:rsidRPr="004774FC">
        <w:rPr>
          <w:rFonts w:cstheme="minorHAnsi"/>
        </w:rPr>
        <w:t xml:space="preserve"> terorismu. MV stanovilo konkrétní </w:t>
      </w:r>
      <w:r w:rsidR="004E512A" w:rsidRPr="004774FC">
        <w:rPr>
          <w:rFonts w:cstheme="minorHAnsi"/>
        </w:rPr>
        <w:t>úkol</w:t>
      </w:r>
      <w:r w:rsidR="004E512A">
        <w:rPr>
          <w:rFonts w:cstheme="minorHAnsi"/>
        </w:rPr>
        <w:t xml:space="preserve"> – r</w:t>
      </w:r>
      <w:r w:rsidRPr="00CE1511">
        <w:rPr>
          <w:rFonts w:cstheme="minorHAnsi"/>
        </w:rPr>
        <w:t xml:space="preserve">evidovat opatření </w:t>
      </w:r>
      <w:r w:rsidR="004E512A">
        <w:rPr>
          <w:rFonts w:cstheme="minorHAnsi"/>
        </w:rPr>
        <w:t>OOB</w:t>
      </w:r>
      <w:r w:rsidR="004E512A">
        <w:rPr>
          <w:rFonts w:cstheme="minorHAnsi"/>
          <w:i/>
          <w:iCs/>
        </w:rPr>
        <w:t xml:space="preserve"> </w:t>
      </w:r>
      <w:r w:rsidRPr="00CE1511">
        <w:rPr>
          <w:rFonts w:cstheme="minorHAnsi"/>
          <w:iCs/>
        </w:rPr>
        <w:t>s termínem splnění do roku 2025.</w:t>
      </w:r>
      <w:r w:rsidR="004E512A">
        <w:rPr>
          <w:rFonts w:cstheme="minorHAnsi"/>
        </w:rPr>
        <w:t xml:space="preserve"> </w:t>
      </w:r>
      <w:r w:rsidRPr="004774FC">
        <w:rPr>
          <w:rFonts w:cstheme="minorHAnsi"/>
        </w:rPr>
        <w:t xml:space="preserve">V rámci úkolu má být provedena mj. </w:t>
      </w:r>
      <w:r w:rsidRPr="00EE43D3">
        <w:rPr>
          <w:rFonts w:cstheme="minorHAnsi"/>
        </w:rPr>
        <w:t xml:space="preserve">certifikace PIO a ochranných prostředků, které byly v uplynulých letech vyvinuty do stádia funkčních </w:t>
      </w:r>
      <w:r w:rsidRPr="00B02642">
        <w:rPr>
          <w:rFonts w:cstheme="minorHAnsi"/>
        </w:rPr>
        <w:t>vzorků. Za</w:t>
      </w:r>
      <w:r w:rsidRPr="004774FC">
        <w:rPr>
          <w:rFonts w:cstheme="minorHAnsi"/>
        </w:rPr>
        <w:t xml:space="preserve"> stavu ohrožení státu a válečného stavu má být problematika PIO řešena v souladu se zákonem č.</w:t>
      </w:r>
      <w:r w:rsidR="00080FC7">
        <w:rPr>
          <w:rFonts w:cstheme="minorHAnsi"/>
        </w:rPr>
        <w:t> </w:t>
      </w:r>
      <w:r w:rsidRPr="004774FC">
        <w:rPr>
          <w:rFonts w:cstheme="minorHAnsi"/>
        </w:rPr>
        <w:t xml:space="preserve">241/2000 Sb. s ohledem na výrobní kapacity tuzemských výrobců ochranných masek, polomasek a ochranných filtrů. MV má požádat SSHR o uzavření smluv mezi SSHR a výrobci PIO o uchování výrobních schopností. </w:t>
      </w:r>
    </w:p>
    <w:p w14:paraId="4C56850B" w14:textId="74847598" w:rsidR="00A9144C" w:rsidRDefault="00A9144C" w:rsidP="00A9144C">
      <w:pPr>
        <w:spacing w:after="120"/>
        <w:jc w:val="both"/>
        <w:rPr>
          <w:rFonts w:cstheme="minorHAnsi"/>
          <w:iCs/>
        </w:rPr>
      </w:pPr>
      <w:r w:rsidRPr="004774FC">
        <w:rPr>
          <w:rFonts w:cstheme="minorHAnsi"/>
          <w:iCs/>
        </w:rPr>
        <w:t>NKÚ zjišťoval stav PIO ke konci roku 2021. Zjistil, že MV disponovalo celkem 1 453 089 ks, což je hodnota odpovídající klesajícímu trendu stavu PIO. Z porovnání počtu PIO s počtem vyhláškou požadovaných vybraných kategorií osob dle ČSÚ</w:t>
      </w:r>
      <w:r w:rsidRPr="004774FC">
        <w:rPr>
          <w:rStyle w:val="Znakapoznpodarou"/>
          <w:rFonts w:cstheme="minorHAnsi"/>
          <w:iCs/>
        </w:rPr>
        <w:footnoteReference w:id="34"/>
      </w:r>
      <w:r w:rsidRPr="004774FC">
        <w:rPr>
          <w:rFonts w:cstheme="minorHAnsi"/>
          <w:iCs/>
        </w:rPr>
        <w:t xml:space="preserve"> vyplývá, že ani v roce 2021 MV nedisponovalo dostatečným počtem PIO. MV</w:t>
      </w:r>
      <w:r w:rsidR="003E4F0D">
        <w:rPr>
          <w:rFonts w:cstheme="minorHAnsi"/>
          <w:iCs/>
        </w:rPr>
        <w:t xml:space="preserve"> </w:t>
      </w:r>
      <w:r w:rsidRPr="004774FC">
        <w:rPr>
          <w:rFonts w:cstheme="minorHAnsi"/>
          <w:iCs/>
        </w:rPr>
        <w:t>v kontrolovaném období nezabezpečilo počet PIO pro vybrané kategorie osob při stavu ohrožení státu a válečném stavu</w:t>
      </w:r>
      <w:r w:rsidRPr="00080FC7">
        <w:rPr>
          <w:rFonts w:cstheme="minorHAnsi"/>
        </w:rPr>
        <w:t xml:space="preserve"> </w:t>
      </w:r>
      <w:r w:rsidRPr="004774FC">
        <w:rPr>
          <w:rFonts w:cstheme="minorHAnsi"/>
          <w:bCs/>
        </w:rPr>
        <w:t xml:space="preserve">dle ustanovení § 17 odst. 2 vyhlášky </w:t>
      </w:r>
      <w:r w:rsidRPr="004774FC">
        <w:rPr>
          <w:rFonts w:cstheme="minorHAnsi"/>
          <w:iCs/>
        </w:rPr>
        <w:t xml:space="preserve">č. 380/2002 Sb. </w:t>
      </w:r>
      <w:r w:rsidRPr="004774FC">
        <w:rPr>
          <w:rFonts w:cstheme="minorHAnsi"/>
          <w:bCs/>
        </w:rPr>
        <w:t>a neplnilo tak stanovené úkoly v oblasti OOB dle ustanovení § 7 odst. 1 zákon</w:t>
      </w:r>
      <w:r w:rsidR="004E512A">
        <w:rPr>
          <w:rFonts w:ascii="Calibri" w:eastAsia="Calibri" w:hAnsi="Calibri" w:cs="Calibri"/>
        </w:rPr>
        <w:t xml:space="preserve">a </w:t>
      </w:r>
      <w:r w:rsidR="00C6140E">
        <w:rPr>
          <w:rFonts w:ascii="Calibri" w:eastAsia="Calibri" w:hAnsi="Calibri" w:cs="Calibri"/>
        </w:rPr>
        <w:t>č. 239/2000 Sb</w:t>
      </w:r>
      <w:r w:rsidR="007D0D7B" w:rsidRPr="00E7521C">
        <w:rPr>
          <w:rFonts w:ascii="Calibri" w:eastAsia="Calibri" w:hAnsi="Calibri" w:cs="Calibri"/>
        </w:rPr>
        <w:t>.</w:t>
      </w:r>
      <w:r w:rsidRPr="00080FC7">
        <w:rPr>
          <w:rFonts w:cstheme="minorHAnsi"/>
        </w:rPr>
        <w:t xml:space="preserve"> </w:t>
      </w:r>
      <w:r w:rsidRPr="004774FC">
        <w:rPr>
          <w:rFonts w:cstheme="minorHAnsi"/>
          <w:iCs/>
        </w:rPr>
        <w:t>Zároveň MV neprovedlo v kontrolovaném období žádné aktivity, které by tento negativní stav změnily</w:t>
      </w:r>
      <w:r w:rsidR="002F3F68">
        <w:rPr>
          <w:rFonts w:cstheme="minorHAnsi"/>
          <w:iCs/>
        </w:rPr>
        <w:t>.</w:t>
      </w:r>
    </w:p>
    <w:p w14:paraId="5D780053" w14:textId="5FB15168" w:rsidR="00987CCD" w:rsidRPr="00C32869" w:rsidRDefault="00987CCD" w:rsidP="009D703E">
      <w:pPr>
        <w:pStyle w:val="Mluvcnadpis"/>
        <w:spacing w:before="240"/>
        <w:rPr>
          <w:rFonts w:ascii="Calibri" w:hAnsi="Calibri" w:cs="Calibri"/>
          <w:i w:val="0"/>
        </w:rPr>
      </w:pPr>
      <w:r w:rsidRPr="00C32869">
        <w:rPr>
          <w:rFonts w:ascii="Calibri" w:hAnsi="Calibri" w:cs="Calibri"/>
          <w:i w:val="0"/>
        </w:rPr>
        <w:t>→ MV nedokončilo kontrolu funkčnosti PIO</w:t>
      </w:r>
    </w:p>
    <w:p w14:paraId="00E0BF29" w14:textId="6F5F3DDC" w:rsidR="00142043" w:rsidRDefault="00A9144C" w:rsidP="00DC12E7">
      <w:pPr>
        <w:spacing w:after="120"/>
        <w:jc w:val="both"/>
        <w:rPr>
          <w:rFonts w:cstheme="minorHAnsi"/>
          <w:iCs/>
        </w:rPr>
      </w:pPr>
      <w:r w:rsidRPr="004774FC">
        <w:rPr>
          <w:rFonts w:cstheme="minorHAnsi"/>
        </w:rPr>
        <w:t>V návaznosti na výše uvedený úkol Koncepce 2013 (a)</w:t>
      </w:r>
      <w:r w:rsidR="004C02D8" w:rsidRPr="004C02D8">
        <w:rPr>
          <w:rFonts w:cstheme="minorHAnsi"/>
          <w:iCs/>
        </w:rPr>
        <w:t xml:space="preserve"> </w:t>
      </w:r>
      <w:r w:rsidR="004C02D8" w:rsidRPr="009D703E">
        <w:rPr>
          <w:rFonts w:cstheme="minorHAnsi"/>
          <w:iCs/>
        </w:rPr>
        <w:t>„</w:t>
      </w:r>
      <w:r w:rsidR="004C02D8" w:rsidRPr="007139F9">
        <w:rPr>
          <w:rFonts w:cstheme="minorHAnsi"/>
          <w:i/>
          <w:iCs/>
        </w:rPr>
        <w:t>Dokončit kontroly funkčnosti majetku a provést vytřídění a likvidaci nefunkčního materiálu</w:t>
      </w:r>
      <w:r w:rsidR="004C02D8" w:rsidRPr="009D703E">
        <w:rPr>
          <w:rFonts w:cstheme="minorHAnsi"/>
          <w:iCs/>
        </w:rPr>
        <w:t>“</w:t>
      </w:r>
      <w:r w:rsidRPr="004774FC">
        <w:rPr>
          <w:rFonts w:cstheme="minorHAnsi"/>
        </w:rPr>
        <w:t xml:space="preserve">) </w:t>
      </w:r>
      <w:r w:rsidRPr="004774FC">
        <w:rPr>
          <w:rFonts w:cstheme="minorHAnsi"/>
          <w:iCs/>
        </w:rPr>
        <w:t xml:space="preserve">ověřil NKÚ u MV </w:t>
      </w:r>
      <w:r w:rsidRPr="004774FC">
        <w:rPr>
          <w:rFonts w:cstheme="minorHAnsi"/>
        </w:rPr>
        <w:t>systém kontroly životnosti a provozuschopnosti PIO a zjistil, že v roce 2022 bylo z celkového počtu 1</w:t>
      </w:r>
      <w:r w:rsidR="004C02D8">
        <w:rPr>
          <w:rFonts w:cstheme="minorHAnsi"/>
        </w:rPr>
        <w:t> </w:t>
      </w:r>
      <w:r w:rsidRPr="004774FC">
        <w:rPr>
          <w:rFonts w:cstheme="minorHAnsi"/>
        </w:rPr>
        <w:t>453</w:t>
      </w:r>
      <w:r w:rsidR="004C02D8">
        <w:rPr>
          <w:rFonts w:cstheme="minorHAnsi"/>
        </w:rPr>
        <w:t> </w:t>
      </w:r>
      <w:r w:rsidRPr="004774FC">
        <w:rPr>
          <w:rFonts w:cstheme="minorHAnsi"/>
        </w:rPr>
        <w:t xml:space="preserve">089 PIO po revizi pouze 230 615 PIO, tedy </w:t>
      </w:r>
      <w:r w:rsidRPr="004774FC">
        <w:rPr>
          <w:rFonts w:cstheme="minorHAnsi"/>
          <w:bCs/>
        </w:rPr>
        <w:t>15,8 %.</w:t>
      </w:r>
    </w:p>
    <w:p w14:paraId="446545DD" w14:textId="451C81C0" w:rsidR="00CE1511" w:rsidRPr="00B02E1D" w:rsidRDefault="00DC12E7" w:rsidP="009D703E">
      <w:pPr>
        <w:spacing w:before="240" w:after="120"/>
        <w:jc w:val="both"/>
        <w:rPr>
          <w:rFonts w:eastAsia="Calibri" w:cstheme="minorHAnsi"/>
          <w:b/>
        </w:rPr>
      </w:pPr>
      <w:r>
        <w:rPr>
          <w:rFonts w:cstheme="minorHAnsi"/>
          <w:b/>
          <w:iCs/>
        </w:rPr>
        <w:t>E</w:t>
      </w:r>
      <w:r w:rsidR="00A9144C">
        <w:rPr>
          <w:rFonts w:cstheme="minorHAnsi"/>
          <w:b/>
          <w:iCs/>
        </w:rPr>
        <w:t>.</w:t>
      </w:r>
      <w:r w:rsidR="007604DB">
        <w:rPr>
          <w:rFonts w:cstheme="minorHAnsi"/>
          <w:b/>
          <w:iCs/>
        </w:rPr>
        <w:t xml:space="preserve"> </w:t>
      </w:r>
      <w:r w:rsidR="00CE1511" w:rsidRPr="00B02E1D">
        <w:rPr>
          <w:rFonts w:eastAsia="Calibri" w:cstheme="minorHAnsi"/>
          <w:b/>
        </w:rPr>
        <w:t xml:space="preserve">V oblasti ukrytí se MV do doby ukončení kontroly nepodařilo naplnit jeden ze základních úkolů </w:t>
      </w:r>
      <w:r w:rsidR="004C02D8">
        <w:rPr>
          <w:rFonts w:eastAsia="Calibri" w:cstheme="minorHAnsi"/>
          <w:b/>
        </w:rPr>
        <w:t>k</w:t>
      </w:r>
      <w:r w:rsidR="00CE1511" w:rsidRPr="00B02E1D">
        <w:rPr>
          <w:rFonts w:eastAsia="Calibri" w:cstheme="minorHAnsi"/>
          <w:b/>
        </w:rPr>
        <w:t xml:space="preserve">oncepcí OOB týkající se potřeby legislativních změn. Tento úkol přitom definovalo MV již v roce 2002 v Koncepci 2006. Zákon </w:t>
      </w:r>
      <w:r w:rsidR="00C6140E">
        <w:rPr>
          <w:rFonts w:eastAsia="Calibri" w:cstheme="minorHAnsi"/>
          <w:b/>
        </w:rPr>
        <w:t>č. 239/2000 Sb.</w:t>
      </w:r>
      <w:r w:rsidR="00CE1511" w:rsidRPr="00B02E1D">
        <w:rPr>
          <w:rFonts w:eastAsia="Calibri" w:cstheme="minorHAnsi"/>
          <w:b/>
        </w:rPr>
        <w:t xml:space="preserve"> a vyhláška č. 380/2002 tak v současnosti zcela nereflektují potřeby OOB především v oblasti improvizovaného ukrytí nebo PIO. NKÚ zjistil, že z</w:t>
      </w:r>
      <w:r w:rsidR="00C6140E">
        <w:rPr>
          <w:rFonts w:eastAsia="Calibri" w:cstheme="minorHAnsi"/>
          <w:b/>
        </w:rPr>
        <w:t> </w:t>
      </w:r>
      <w:r w:rsidR="00CE1511" w:rsidRPr="00B02E1D">
        <w:rPr>
          <w:rFonts w:eastAsia="Calibri" w:cstheme="minorHAnsi"/>
          <w:b/>
        </w:rPr>
        <w:t>platn</w:t>
      </w:r>
      <w:r w:rsidR="00C6140E">
        <w:rPr>
          <w:rFonts w:eastAsia="Calibri" w:cstheme="minorHAnsi"/>
          <w:b/>
        </w:rPr>
        <w:t xml:space="preserve">ých právních předpisů </w:t>
      </w:r>
      <w:r w:rsidR="00CE1511" w:rsidRPr="00B02E1D">
        <w:rPr>
          <w:rFonts w:eastAsia="Calibri" w:cstheme="minorHAnsi"/>
          <w:b/>
        </w:rPr>
        <w:t>nevyplývá pro MV odpovědnost za kapacitu stálých úkrytů. Ta se od roku 2010 snížila o 32 % a v roce 2021 byl</w:t>
      </w:r>
      <w:r w:rsidR="006156B8">
        <w:rPr>
          <w:rFonts w:eastAsia="Calibri" w:cstheme="minorHAnsi"/>
          <w:b/>
        </w:rPr>
        <w:t>a</w:t>
      </w:r>
      <w:r w:rsidR="00CE1511" w:rsidRPr="00B02E1D">
        <w:rPr>
          <w:rFonts w:eastAsia="Calibri" w:cstheme="minorHAnsi"/>
          <w:b/>
        </w:rPr>
        <w:t xml:space="preserve"> zabezpečen</w:t>
      </w:r>
      <w:r w:rsidR="006156B8">
        <w:rPr>
          <w:rFonts w:eastAsia="Calibri" w:cstheme="minorHAnsi"/>
          <w:b/>
        </w:rPr>
        <w:t>a</w:t>
      </w:r>
      <w:r w:rsidR="00CE1511" w:rsidRPr="00B02E1D">
        <w:rPr>
          <w:rFonts w:eastAsia="Calibri" w:cstheme="minorHAnsi"/>
          <w:b/>
        </w:rPr>
        <w:t xml:space="preserve"> </w:t>
      </w:r>
      <w:r w:rsidR="006156B8">
        <w:rPr>
          <w:rFonts w:eastAsia="Calibri" w:cstheme="minorHAnsi"/>
          <w:b/>
        </w:rPr>
        <w:t xml:space="preserve">pro </w:t>
      </w:r>
      <w:r w:rsidR="00CE1511" w:rsidRPr="00B02E1D">
        <w:rPr>
          <w:rFonts w:eastAsia="Calibri" w:cstheme="minorHAnsi"/>
          <w:b/>
        </w:rPr>
        <w:t>cca 3,2 % obyvatelstva ČR.</w:t>
      </w:r>
    </w:p>
    <w:p w14:paraId="16CEFC37" w14:textId="1F8B3FD4" w:rsidR="00CE1511" w:rsidRPr="009D703E" w:rsidRDefault="00A9144C" w:rsidP="00A9144C">
      <w:pPr>
        <w:spacing w:after="120"/>
        <w:jc w:val="both"/>
        <w:rPr>
          <w:rFonts w:cstheme="minorHAnsi"/>
          <w:iCs/>
          <w:highlight w:val="lightGray"/>
        </w:rPr>
      </w:pPr>
      <w:r w:rsidRPr="009D703E">
        <w:rPr>
          <w:rFonts w:cstheme="minorHAnsi"/>
          <w:iCs/>
          <w:highlight w:val="lightGray"/>
        </w:rPr>
        <w:t xml:space="preserve">Kontrolou NKÚ bylo ověřeno, zda MV plní požadavky právních předpisů a cíle a úkoly </w:t>
      </w:r>
      <w:r w:rsidR="004C02D8">
        <w:rPr>
          <w:rFonts w:cstheme="minorHAnsi"/>
          <w:iCs/>
          <w:highlight w:val="lightGray"/>
        </w:rPr>
        <w:t>k</w:t>
      </w:r>
      <w:r w:rsidRPr="009D703E">
        <w:rPr>
          <w:rFonts w:cstheme="minorHAnsi"/>
          <w:iCs/>
          <w:highlight w:val="lightGray"/>
        </w:rPr>
        <w:t xml:space="preserve">oncepcí OOB v oblasti kolektivní ochrany obyvatelstva (ukrytí). Rozsah kolektivní ochrany obyvatelstva </w:t>
      </w:r>
      <w:r w:rsidRPr="009D703E">
        <w:rPr>
          <w:rFonts w:cstheme="minorHAnsi"/>
          <w:iCs/>
          <w:highlight w:val="lightGray"/>
        </w:rPr>
        <w:lastRenderedPageBreak/>
        <w:t xml:space="preserve">stanoví dle ustanovení § 7 odst. 8 písm. g) zákona </w:t>
      </w:r>
      <w:r w:rsidR="00AD6EE0" w:rsidRPr="009D703E">
        <w:rPr>
          <w:rFonts w:cstheme="minorHAnsi"/>
          <w:iCs/>
          <w:highlight w:val="lightGray"/>
        </w:rPr>
        <w:t>č. 239/2000 Sb.</w:t>
      </w:r>
      <w:r w:rsidR="007D0D7B" w:rsidRPr="009D703E">
        <w:rPr>
          <w:rFonts w:cstheme="minorHAnsi"/>
          <w:iCs/>
          <w:highlight w:val="lightGray"/>
        </w:rPr>
        <w:t xml:space="preserve"> vyhláška</w:t>
      </w:r>
      <w:r w:rsidR="00333371" w:rsidRPr="009D703E">
        <w:rPr>
          <w:rFonts w:cstheme="minorHAnsi"/>
          <w:iCs/>
          <w:highlight w:val="lightGray"/>
        </w:rPr>
        <w:t xml:space="preserve"> </w:t>
      </w:r>
      <w:r w:rsidRPr="009D703E">
        <w:rPr>
          <w:rFonts w:cstheme="minorHAnsi"/>
          <w:iCs/>
          <w:highlight w:val="lightGray"/>
        </w:rPr>
        <w:t>č.</w:t>
      </w:r>
      <w:r w:rsidR="004C02D8">
        <w:rPr>
          <w:rFonts w:cstheme="minorHAnsi"/>
          <w:iCs/>
          <w:highlight w:val="lightGray"/>
        </w:rPr>
        <w:t> </w:t>
      </w:r>
      <w:r w:rsidRPr="009D703E">
        <w:rPr>
          <w:rFonts w:cstheme="minorHAnsi"/>
          <w:iCs/>
          <w:highlight w:val="lightGray"/>
        </w:rPr>
        <w:t xml:space="preserve">380/2002 Sb. Dle ustanovení § 16 odst. 2 </w:t>
      </w:r>
      <w:r w:rsidR="00AD6EE0" w:rsidRPr="009D703E">
        <w:rPr>
          <w:rFonts w:cstheme="minorHAnsi"/>
          <w:iCs/>
          <w:highlight w:val="lightGray"/>
        </w:rPr>
        <w:t xml:space="preserve">této </w:t>
      </w:r>
      <w:r w:rsidRPr="009D703E">
        <w:rPr>
          <w:rFonts w:cstheme="minorHAnsi"/>
          <w:iCs/>
          <w:highlight w:val="lightGray"/>
        </w:rPr>
        <w:t>vyhlášky se ukrytí obyvatelstva při mimořádných událostech zajišťuje v improvizovaných a ve stálých úkrytech.</w:t>
      </w:r>
      <w:r w:rsidR="00CE1511" w:rsidRPr="009D703E">
        <w:rPr>
          <w:rFonts w:cstheme="minorHAnsi"/>
          <w:iCs/>
          <w:highlight w:val="lightGray"/>
        </w:rPr>
        <w:t xml:space="preserve"> </w:t>
      </w:r>
      <w:proofErr w:type="spellStart"/>
      <w:r w:rsidR="00CE1511" w:rsidRPr="009D703E">
        <w:rPr>
          <w:rFonts w:cstheme="minorHAnsi"/>
          <w:iCs/>
          <w:highlight w:val="lightGray"/>
        </w:rPr>
        <w:t>MZd</w:t>
      </w:r>
      <w:proofErr w:type="spellEnd"/>
      <w:r w:rsidR="00CE1511" w:rsidRPr="009D703E">
        <w:rPr>
          <w:rFonts w:cstheme="minorHAnsi"/>
          <w:iCs/>
          <w:highlight w:val="lightGray"/>
        </w:rPr>
        <w:t xml:space="preserve"> vynakládalo peněžní prostředky státního rozpočtu na provoz a údržbu krytu ve Fakultní Thomayerově nemocnici (v</w:t>
      </w:r>
      <w:r w:rsidR="001F7AD7">
        <w:rPr>
          <w:rFonts w:cstheme="minorHAnsi"/>
          <w:iCs/>
          <w:highlight w:val="lightGray"/>
        </w:rPr>
        <w:t> </w:t>
      </w:r>
      <w:r w:rsidR="00CE1511" w:rsidRPr="009D703E">
        <w:rPr>
          <w:rFonts w:cstheme="minorHAnsi"/>
          <w:iCs/>
          <w:highlight w:val="lightGray"/>
        </w:rPr>
        <w:t>kontrolovaném období v celkové výši 57,2 mil. Kč)</w:t>
      </w:r>
      <w:r w:rsidR="006156B8" w:rsidRPr="009D703E">
        <w:rPr>
          <w:rFonts w:cstheme="minorHAnsi"/>
          <w:iCs/>
          <w:highlight w:val="lightGray"/>
        </w:rPr>
        <w:t>.</w:t>
      </w:r>
    </w:p>
    <w:p w14:paraId="47EBDC14" w14:textId="13794345" w:rsidR="00A9144C" w:rsidRPr="004774FC" w:rsidRDefault="00A9144C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</w:rPr>
        <w:t>Improvizované úkryty se budují k OOB mj. před účinky světelného a tepelného záření nebo pronikavé radiace např. v případě nouzového stavu nebo stavu ohrožení státu. Stálé úkryty se využívají k OOB zejména proti účinkům zbraní hromadného ničení v případě stavu ohrožení státu a válečném stavu.</w:t>
      </w:r>
    </w:p>
    <w:p w14:paraId="3E66BE83" w14:textId="5F8FDECE" w:rsidR="00A9144C" w:rsidRDefault="00A9144C" w:rsidP="00A9144C">
      <w:pPr>
        <w:spacing w:after="108"/>
        <w:jc w:val="both"/>
        <w:rPr>
          <w:rFonts w:cstheme="minorHAnsi"/>
          <w:iCs/>
          <w:color w:val="000000"/>
        </w:rPr>
      </w:pPr>
      <w:r w:rsidRPr="004774FC">
        <w:rPr>
          <w:rFonts w:cstheme="minorHAnsi"/>
          <w:iCs/>
          <w:color w:val="000000"/>
        </w:rPr>
        <w:t xml:space="preserve">MV </w:t>
      </w:r>
      <w:r w:rsidR="005574FA">
        <w:rPr>
          <w:rFonts w:cstheme="minorHAnsi"/>
          <w:iCs/>
          <w:color w:val="000000"/>
        </w:rPr>
        <w:t xml:space="preserve">již </w:t>
      </w:r>
      <w:r w:rsidRPr="004774FC">
        <w:rPr>
          <w:rFonts w:cstheme="minorHAnsi"/>
          <w:iCs/>
          <w:color w:val="000000"/>
        </w:rPr>
        <w:t xml:space="preserve">v Koncepci 2006 mj. uvedlo, že </w:t>
      </w:r>
      <w:r w:rsidRPr="004774FC">
        <w:rPr>
          <w:rFonts w:cstheme="minorHAnsi"/>
          <w:color w:val="000000"/>
        </w:rPr>
        <w:t>k ukrytí obyvatelstva budou využívány stávající stálé úkryty, jejich počet ale nebude dále rozšiřován</w:t>
      </w:r>
      <w:r w:rsidR="00AE46AA">
        <w:rPr>
          <w:rFonts w:cstheme="minorHAnsi"/>
          <w:color w:val="000000"/>
        </w:rPr>
        <w:t xml:space="preserve"> a nebudou podpor</w:t>
      </w:r>
      <w:r w:rsidR="00572BA9">
        <w:rPr>
          <w:rFonts w:cstheme="minorHAnsi"/>
          <w:color w:val="000000"/>
        </w:rPr>
        <w:t xml:space="preserve">ovány peněžními prostředky státního rozpočtu. </w:t>
      </w:r>
      <w:r w:rsidR="00FE00F2">
        <w:rPr>
          <w:rFonts w:cstheme="minorHAnsi"/>
          <w:color w:val="000000"/>
        </w:rPr>
        <w:t xml:space="preserve">NKÚ zjistil, že </w:t>
      </w:r>
      <w:r w:rsidRPr="004774FC">
        <w:rPr>
          <w:rFonts w:cstheme="minorHAnsi"/>
          <w:color w:val="000000"/>
        </w:rPr>
        <w:t xml:space="preserve">MV </w:t>
      </w:r>
      <w:r w:rsidR="005574FA">
        <w:rPr>
          <w:rFonts w:cstheme="minorHAnsi"/>
          <w:color w:val="000000"/>
        </w:rPr>
        <w:t xml:space="preserve">již </w:t>
      </w:r>
      <w:r w:rsidRPr="004774FC">
        <w:rPr>
          <w:rFonts w:cstheme="minorHAnsi"/>
          <w:color w:val="000000"/>
        </w:rPr>
        <w:t>v roce 2005</w:t>
      </w:r>
      <w:r w:rsidRPr="004774FC">
        <w:rPr>
          <w:rStyle w:val="Znakapoznpodarou"/>
          <w:rFonts w:cstheme="minorHAnsi"/>
          <w:color w:val="000000"/>
        </w:rPr>
        <w:footnoteReference w:id="35"/>
      </w:r>
      <w:r w:rsidRPr="004774FC">
        <w:rPr>
          <w:rFonts w:cstheme="minorHAnsi"/>
          <w:color w:val="000000"/>
        </w:rPr>
        <w:t xml:space="preserve"> </w:t>
      </w:r>
      <w:r w:rsidR="005574FA">
        <w:rPr>
          <w:rFonts w:cstheme="minorHAnsi"/>
          <w:color w:val="000000"/>
        </w:rPr>
        <w:t>netrvalo</w:t>
      </w:r>
      <w:r w:rsidRPr="004774FC">
        <w:rPr>
          <w:rFonts w:cstheme="minorHAnsi"/>
          <w:color w:val="000000"/>
        </w:rPr>
        <w:t xml:space="preserve"> </w:t>
      </w:r>
      <w:r w:rsidR="005574FA" w:rsidRPr="004774FC">
        <w:rPr>
          <w:rFonts w:cstheme="minorHAnsi"/>
          <w:color w:val="000000"/>
        </w:rPr>
        <w:t>na</w:t>
      </w:r>
      <w:r w:rsidR="004C02D8">
        <w:rPr>
          <w:rFonts w:cstheme="minorHAnsi"/>
          <w:color w:val="000000"/>
        </w:rPr>
        <w:t xml:space="preserve"> </w:t>
      </w:r>
      <w:r w:rsidR="005574FA" w:rsidRPr="004774FC">
        <w:rPr>
          <w:rFonts w:cstheme="minorHAnsi"/>
          <w:color w:val="000000"/>
        </w:rPr>
        <w:t xml:space="preserve">zachování účelu stálých úkrytů pro ukrytí obyvatelstva v mírové </w:t>
      </w:r>
      <w:r w:rsidR="001E4EE9" w:rsidRPr="004774FC">
        <w:rPr>
          <w:rFonts w:cstheme="minorHAnsi"/>
          <w:color w:val="000000"/>
        </w:rPr>
        <w:t>době.</w:t>
      </w:r>
      <w:r w:rsidRPr="004774FC">
        <w:rPr>
          <w:rFonts w:cstheme="minorHAnsi"/>
          <w:color w:val="000000"/>
        </w:rPr>
        <w:t xml:space="preserve"> MV tímto reagovalo na vyhodnocení hrozeb v</w:t>
      </w:r>
      <w:r w:rsidR="001F7AD7">
        <w:rPr>
          <w:rFonts w:cstheme="minorHAnsi"/>
          <w:color w:val="000000"/>
        </w:rPr>
        <w:t> </w:t>
      </w:r>
      <w:r w:rsidR="00D4766A">
        <w:rPr>
          <w:rFonts w:cstheme="minorHAnsi"/>
          <w:color w:val="000000"/>
        </w:rPr>
        <w:t>b</w:t>
      </w:r>
      <w:r w:rsidRPr="004774FC">
        <w:rPr>
          <w:rFonts w:cstheme="minorHAnsi"/>
          <w:color w:val="000000"/>
        </w:rPr>
        <w:t>ezpečnostní strategii ČR</w:t>
      </w:r>
      <w:r w:rsidRPr="004774FC">
        <w:rPr>
          <w:rFonts w:cstheme="minorHAnsi"/>
          <w:i/>
          <w:color w:val="000000"/>
        </w:rPr>
        <w:t>,</w:t>
      </w:r>
      <w:r w:rsidRPr="004774FC">
        <w:rPr>
          <w:rFonts w:cstheme="minorHAnsi"/>
          <w:color w:val="000000"/>
        </w:rPr>
        <w:t xml:space="preserve"> kdy ve střednědobém výhledu nebyl pravděpodobný masivní</w:t>
      </w:r>
      <w:r w:rsidRPr="004774FC">
        <w:rPr>
          <w:rFonts w:cstheme="minorHAnsi"/>
          <w:iCs/>
          <w:color w:val="000000"/>
        </w:rPr>
        <w:t xml:space="preserve"> </w:t>
      </w:r>
      <w:r w:rsidRPr="004774FC">
        <w:rPr>
          <w:rFonts w:cstheme="minorHAnsi"/>
          <w:color w:val="000000"/>
        </w:rPr>
        <w:t xml:space="preserve">vojenský útok proti ČR. Při nárůstu hrozby válečného konfliktu měly být vytipovány části obytných domů, provozních a výrobních objektů k jejich úpravě na improvizované úkryty. </w:t>
      </w:r>
      <w:r w:rsidRPr="004774FC">
        <w:rPr>
          <w:rFonts w:cstheme="minorHAnsi"/>
          <w:iCs/>
          <w:color w:val="000000"/>
        </w:rPr>
        <w:t xml:space="preserve">Preferováním improvizovaného ukrytí vznikla nově </w:t>
      </w:r>
      <w:r w:rsidR="00FE00F2">
        <w:rPr>
          <w:rFonts w:cstheme="minorHAnsi"/>
          <w:iCs/>
          <w:color w:val="000000"/>
        </w:rPr>
        <w:t xml:space="preserve">legislativní </w:t>
      </w:r>
      <w:r w:rsidRPr="004774FC">
        <w:rPr>
          <w:rFonts w:cstheme="minorHAnsi"/>
          <w:iCs/>
          <w:color w:val="000000"/>
        </w:rPr>
        <w:t>potřeba stanovení požadavků OOB na projektování staveb, v nichž dochází ke shromažďování velkého počtu osob (např. multifunkční budovy, kulturní a sportovní zařízení)</w:t>
      </w:r>
      <w:r w:rsidRPr="004774FC">
        <w:rPr>
          <w:rStyle w:val="Znakapoznpodarou"/>
          <w:rFonts w:cstheme="minorHAnsi"/>
          <w:iCs/>
          <w:color w:val="000000"/>
        </w:rPr>
        <w:footnoteReference w:id="36"/>
      </w:r>
      <w:r w:rsidRPr="004774FC">
        <w:rPr>
          <w:rFonts w:cstheme="minorHAnsi"/>
          <w:iCs/>
          <w:color w:val="000000"/>
        </w:rPr>
        <w:t>.</w:t>
      </w:r>
    </w:p>
    <w:p w14:paraId="1A337B28" w14:textId="34924FEC" w:rsidR="00987CCD" w:rsidRPr="004C02D8" w:rsidRDefault="00987CCD" w:rsidP="001F7AD7">
      <w:pPr>
        <w:pStyle w:val="Mluvcnadpis"/>
        <w:spacing w:before="240"/>
        <w:rPr>
          <w:rFonts w:ascii="Calibri" w:hAnsi="Calibri" w:cs="Calibri"/>
          <w:i w:val="0"/>
        </w:rPr>
      </w:pPr>
      <w:r w:rsidRPr="004C02D8">
        <w:rPr>
          <w:rFonts w:ascii="Calibri" w:hAnsi="Calibri" w:cs="Calibri"/>
          <w:i w:val="0"/>
        </w:rPr>
        <w:t>→ MV</w:t>
      </w:r>
      <w:r w:rsidR="00BC6FD4" w:rsidRPr="004C02D8">
        <w:rPr>
          <w:rFonts w:ascii="Calibri" w:hAnsi="Calibri" w:cs="Calibri"/>
          <w:i w:val="0"/>
        </w:rPr>
        <w:t xml:space="preserve"> neiniciovalo</w:t>
      </w:r>
      <w:r w:rsidRPr="004C02D8">
        <w:rPr>
          <w:rFonts w:ascii="Calibri" w:hAnsi="Calibri" w:cs="Calibri"/>
          <w:i w:val="0"/>
        </w:rPr>
        <w:t xml:space="preserve"> </w:t>
      </w:r>
      <w:r w:rsidR="00BC6FD4" w:rsidRPr="004C02D8">
        <w:rPr>
          <w:rFonts w:ascii="Calibri" w:hAnsi="Calibri" w:cs="Calibri"/>
          <w:i w:val="0"/>
        </w:rPr>
        <w:t>změny</w:t>
      </w:r>
      <w:r w:rsidRPr="004C02D8">
        <w:rPr>
          <w:rFonts w:ascii="Calibri" w:hAnsi="Calibri" w:cs="Calibri"/>
          <w:i w:val="0"/>
        </w:rPr>
        <w:t xml:space="preserve"> právní úpravy, kter</w:t>
      </w:r>
      <w:r w:rsidR="00FA2EA5" w:rsidRPr="004C02D8">
        <w:rPr>
          <w:rFonts w:ascii="Calibri" w:hAnsi="Calibri" w:cs="Calibri"/>
          <w:i w:val="0"/>
        </w:rPr>
        <w:t>é</w:t>
      </w:r>
      <w:r w:rsidRPr="004C02D8">
        <w:rPr>
          <w:rFonts w:ascii="Calibri" w:hAnsi="Calibri" w:cs="Calibri"/>
          <w:i w:val="0"/>
        </w:rPr>
        <w:t xml:space="preserve"> by posílil</w:t>
      </w:r>
      <w:r w:rsidR="00FA2EA5" w:rsidRPr="004C02D8">
        <w:rPr>
          <w:rFonts w:ascii="Calibri" w:hAnsi="Calibri" w:cs="Calibri"/>
          <w:i w:val="0"/>
        </w:rPr>
        <w:t>y</w:t>
      </w:r>
      <w:r w:rsidRPr="004C02D8">
        <w:rPr>
          <w:rFonts w:ascii="Calibri" w:hAnsi="Calibri" w:cs="Calibri"/>
          <w:i w:val="0"/>
        </w:rPr>
        <w:t xml:space="preserve"> roli improvizovaného ukrytí</w:t>
      </w:r>
    </w:p>
    <w:p w14:paraId="6D355AC4" w14:textId="5A95491A" w:rsidR="00396DFD" w:rsidRDefault="00DD0720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NKÚ </w:t>
      </w:r>
      <w:r w:rsidR="0013206C">
        <w:rPr>
          <w:rFonts w:cstheme="minorHAnsi"/>
        </w:rPr>
        <w:t>ověřil</w:t>
      </w:r>
      <w:r>
        <w:rPr>
          <w:rFonts w:cstheme="minorHAnsi"/>
        </w:rPr>
        <w:t>, že n</w:t>
      </w:r>
      <w:r w:rsidR="00A9144C" w:rsidRPr="004774FC">
        <w:rPr>
          <w:rFonts w:cstheme="minorHAnsi"/>
        </w:rPr>
        <w:t xml:space="preserve">a tuto </w:t>
      </w:r>
      <w:r w:rsidR="005574FA">
        <w:rPr>
          <w:rFonts w:cstheme="minorHAnsi"/>
        </w:rPr>
        <w:t xml:space="preserve">legislativní </w:t>
      </w:r>
      <w:r w:rsidR="00A9144C" w:rsidRPr="004774FC">
        <w:rPr>
          <w:rFonts w:cstheme="minorHAnsi"/>
        </w:rPr>
        <w:t>potřebu reagovalo MV v Koncepci 2013, ve které si stanovilo dva legislativní úkoly, a to a) v návaznosti na</w:t>
      </w:r>
      <w:r w:rsidR="00AD6EE0">
        <w:rPr>
          <w:rFonts w:cstheme="minorHAnsi"/>
        </w:rPr>
        <w:t xml:space="preserve"> </w:t>
      </w:r>
      <w:r w:rsidR="00A9144C" w:rsidRPr="004774FC">
        <w:rPr>
          <w:rFonts w:cstheme="minorHAnsi"/>
        </w:rPr>
        <w:t>zákon</w:t>
      </w:r>
      <w:r w:rsidR="00AD6EE0">
        <w:rPr>
          <w:rFonts w:cstheme="minorHAnsi"/>
        </w:rPr>
        <w:t xml:space="preserve"> č. 183/2006 Sb., o územním plánování a</w:t>
      </w:r>
      <w:r w:rsidR="001F7AD7">
        <w:rPr>
          <w:rFonts w:cstheme="minorHAnsi"/>
        </w:rPr>
        <w:t> </w:t>
      </w:r>
      <w:r w:rsidR="00AD6EE0">
        <w:rPr>
          <w:rFonts w:cstheme="minorHAnsi"/>
        </w:rPr>
        <w:t>stavebním řádu (stavební zákon)</w:t>
      </w:r>
      <w:r w:rsidR="008D3489">
        <w:rPr>
          <w:rFonts w:cstheme="minorHAnsi"/>
        </w:rPr>
        <w:t>,</w:t>
      </w:r>
      <w:r w:rsidR="00A9144C" w:rsidRPr="004774FC">
        <w:rPr>
          <w:rFonts w:cstheme="minorHAnsi"/>
        </w:rPr>
        <w:t xml:space="preserve"> stanovit základní technické požadavky na stavby civilní ochrany a stavby dotčené požadavky civilní ochrany a za b) vytvořit legislativní podmínky pro </w:t>
      </w:r>
      <w:r w:rsidR="008D3489">
        <w:rPr>
          <w:rFonts w:cstheme="minorHAnsi"/>
        </w:rPr>
        <w:t>hasičské záchranné sbory</w:t>
      </w:r>
      <w:r w:rsidR="00A9144C" w:rsidRPr="004774FC">
        <w:rPr>
          <w:rFonts w:cstheme="minorHAnsi"/>
        </w:rPr>
        <w:t xml:space="preserve"> krajů k účinnějšímu prosazování požadavků OOB již ve fázi územního a stavebního řízení. </w:t>
      </w:r>
      <w:r w:rsidR="0013206C">
        <w:rPr>
          <w:rFonts w:cstheme="minorHAnsi"/>
        </w:rPr>
        <w:t xml:space="preserve">NKÚ zjistil, že </w:t>
      </w:r>
      <w:r w:rsidR="00A9144C" w:rsidRPr="004774FC">
        <w:rPr>
          <w:rFonts w:cstheme="minorHAnsi"/>
        </w:rPr>
        <w:t>MV tyto úkoly nesplnilo ani v prodlouženém termínu do roku 2012</w:t>
      </w:r>
      <w:r w:rsidR="00A9144C" w:rsidRPr="004774FC">
        <w:rPr>
          <w:rStyle w:val="Znakapoznpodarou"/>
          <w:rFonts w:cstheme="minorHAnsi"/>
        </w:rPr>
        <w:footnoteReference w:id="37"/>
      </w:r>
      <w:r w:rsidR="00A9144C" w:rsidRPr="004774FC">
        <w:rPr>
          <w:rFonts w:cstheme="minorHAnsi"/>
        </w:rPr>
        <w:t xml:space="preserve">. Nedokončené legislativní úkoly tak </w:t>
      </w:r>
      <w:r w:rsidR="0013206C">
        <w:rPr>
          <w:rFonts w:cstheme="minorHAnsi"/>
        </w:rPr>
        <w:t xml:space="preserve">MV </w:t>
      </w:r>
      <w:r w:rsidR="00A9144C" w:rsidRPr="004774FC">
        <w:rPr>
          <w:rFonts w:cstheme="minorHAnsi"/>
        </w:rPr>
        <w:t>přenesl</w:t>
      </w:r>
      <w:r w:rsidR="0013206C">
        <w:rPr>
          <w:rFonts w:cstheme="minorHAnsi"/>
        </w:rPr>
        <w:t>o</w:t>
      </w:r>
      <w:r w:rsidR="00A9144C" w:rsidRPr="004774FC">
        <w:rPr>
          <w:rFonts w:cstheme="minorHAnsi"/>
        </w:rPr>
        <w:t xml:space="preserve"> do Koncepce 2020, konkrétně do úkolu </w:t>
      </w:r>
      <w:r w:rsidR="008D3489">
        <w:rPr>
          <w:rFonts w:cstheme="minorHAnsi"/>
        </w:rPr>
        <w:t>„</w:t>
      </w:r>
      <w:r w:rsidR="00A9144C" w:rsidRPr="00847BF7">
        <w:rPr>
          <w:rFonts w:cstheme="minorHAnsi"/>
          <w:i/>
        </w:rPr>
        <w:t>definovat</w:t>
      </w:r>
      <w:r w:rsidR="00A9144C" w:rsidRPr="00847BF7">
        <w:rPr>
          <w:rFonts w:cstheme="minorHAnsi"/>
          <w:i/>
          <w:iCs/>
        </w:rPr>
        <w:t xml:space="preserve"> a legislativně zakotvit konkrétní úkoly OOB a zaměřit se na identifikaci nových úkolů a</w:t>
      </w:r>
      <w:r w:rsidR="001F7AD7" w:rsidRPr="00847BF7">
        <w:rPr>
          <w:rFonts w:cstheme="minorHAnsi"/>
          <w:i/>
          <w:iCs/>
        </w:rPr>
        <w:t> </w:t>
      </w:r>
      <w:r w:rsidR="00A9144C" w:rsidRPr="00847BF7">
        <w:rPr>
          <w:rFonts w:cstheme="minorHAnsi"/>
          <w:i/>
          <w:iCs/>
        </w:rPr>
        <w:t>analyzovat potřebu zachování či redukce některých stávajících úkolů (např. využití stálých úkrytů)</w:t>
      </w:r>
      <w:r w:rsidR="008D3489">
        <w:rPr>
          <w:rFonts w:cstheme="minorHAnsi"/>
          <w:iCs/>
        </w:rPr>
        <w:t>“</w:t>
      </w:r>
      <w:r w:rsidR="00A9144C" w:rsidRPr="004774FC">
        <w:rPr>
          <w:rFonts w:cstheme="minorHAnsi"/>
          <w:iCs/>
        </w:rPr>
        <w:t>.</w:t>
      </w:r>
      <w:r w:rsidR="00A9144C" w:rsidRPr="004774FC">
        <w:rPr>
          <w:rFonts w:cstheme="minorHAnsi"/>
        </w:rPr>
        <w:t xml:space="preserve"> </w:t>
      </w:r>
    </w:p>
    <w:p w14:paraId="4CED4494" w14:textId="2C224C87" w:rsidR="00D43796" w:rsidRDefault="00FA2EA5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t>NKÚ ověřil, že v</w:t>
      </w:r>
      <w:r w:rsidR="00A9144C" w:rsidRPr="004774FC">
        <w:rPr>
          <w:rFonts w:cstheme="minorHAnsi"/>
        </w:rPr>
        <w:t xml:space="preserve"> roce 2018 sice vešla v účinnost novela stavebního zákona, nicméně dle MV bylo třeba vydefinovat oblasti (stavby), ke kterým by mohla HZS ČR vydávat negativní závazné stanovisko. Proto bylo v rámci dalšího postupu nutné legislativně navázat a zakotvit problematiku územního plánování a územního a stavebního řízení pro oblast OOB v souladu s</w:t>
      </w:r>
      <w:r w:rsidR="001F7AD7">
        <w:rPr>
          <w:rFonts w:cstheme="minorHAnsi"/>
        </w:rPr>
        <w:t> </w:t>
      </w:r>
      <w:r w:rsidR="00A9144C" w:rsidRPr="004774FC">
        <w:rPr>
          <w:rFonts w:cstheme="minorHAnsi"/>
        </w:rPr>
        <w:t xml:space="preserve">novelou stavebního zákona s tím, že termín měla stanovit nová </w:t>
      </w:r>
      <w:r w:rsidR="008D3489">
        <w:rPr>
          <w:rFonts w:cstheme="minorHAnsi"/>
        </w:rPr>
        <w:t>k</w:t>
      </w:r>
      <w:r w:rsidR="00A9144C" w:rsidRPr="004774FC">
        <w:rPr>
          <w:rFonts w:cstheme="minorHAnsi"/>
        </w:rPr>
        <w:t xml:space="preserve">oncepce OOB. </w:t>
      </w:r>
      <w:r w:rsidR="0013206C">
        <w:rPr>
          <w:rFonts w:cstheme="minorHAnsi"/>
        </w:rPr>
        <w:t xml:space="preserve">NKÚ zjistil, že </w:t>
      </w:r>
      <w:r w:rsidR="00DD0720">
        <w:rPr>
          <w:rFonts w:cstheme="minorHAnsi"/>
        </w:rPr>
        <w:t>MV</w:t>
      </w:r>
      <w:r w:rsidR="003E07C5">
        <w:rPr>
          <w:rFonts w:cstheme="minorHAnsi"/>
        </w:rPr>
        <w:t xml:space="preserve"> jako gestor s dalšími orgány v součinnosti</w:t>
      </w:r>
      <w:r w:rsidR="00DD0720">
        <w:rPr>
          <w:rFonts w:cstheme="minorHAnsi"/>
        </w:rPr>
        <w:t xml:space="preserve"> v </w:t>
      </w:r>
      <w:r w:rsidR="00A9144C" w:rsidRPr="004774FC">
        <w:rPr>
          <w:rFonts w:cstheme="minorHAnsi"/>
        </w:rPr>
        <w:t>Koncepc</w:t>
      </w:r>
      <w:r w:rsidR="00DD0720">
        <w:rPr>
          <w:rFonts w:cstheme="minorHAnsi"/>
        </w:rPr>
        <w:t>i</w:t>
      </w:r>
      <w:r w:rsidR="00A9144C" w:rsidRPr="004774FC">
        <w:rPr>
          <w:rFonts w:cstheme="minorHAnsi"/>
        </w:rPr>
        <w:t xml:space="preserve"> 2025</w:t>
      </w:r>
      <w:r w:rsidR="00DD0720">
        <w:rPr>
          <w:rFonts w:cstheme="minorHAnsi"/>
        </w:rPr>
        <w:t xml:space="preserve"> </w:t>
      </w:r>
      <w:r w:rsidR="00A9144C" w:rsidRPr="004774FC">
        <w:rPr>
          <w:rFonts w:cstheme="minorHAnsi"/>
        </w:rPr>
        <w:t>konkrétní termín nestanovil</w:t>
      </w:r>
      <w:r w:rsidR="00DD0720">
        <w:rPr>
          <w:rFonts w:cstheme="minorHAnsi"/>
        </w:rPr>
        <w:t>o</w:t>
      </w:r>
      <w:r w:rsidR="00A9144C" w:rsidRPr="004774FC">
        <w:rPr>
          <w:rFonts w:cstheme="minorHAnsi"/>
        </w:rPr>
        <w:t>, do doby ukončení kontroly NKÚ k</w:t>
      </w:r>
      <w:r w:rsidR="00AD6EE0">
        <w:rPr>
          <w:rFonts w:cstheme="minorHAnsi"/>
        </w:rPr>
        <w:t xml:space="preserve"> iniciování </w:t>
      </w:r>
      <w:r w:rsidR="00A9144C" w:rsidRPr="004774FC">
        <w:rPr>
          <w:rFonts w:cstheme="minorHAnsi"/>
        </w:rPr>
        <w:t>výše požadované legislativní změn</w:t>
      </w:r>
      <w:r w:rsidR="00AD6EE0">
        <w:rPr>
          <w:rFonts w:cstheme="minorHAnsi"/>
        </w:rPr>
        <w:t>y, tedy</w:t>
      </w:r>
      <w:r>
        <w:rPr>
          <w:rFonts w:cstheme="minorHAnsi"/>
        </w:rPr>
        <w:t xml:space="preserve"> </w:t>
      </w:r>
      <w:r w:rsidRPr="004774FC">
        <w:rPr>
          <w:rFonts w:cstheme="minorHAnsi"/>
          <w:iCs/>
        </w:rPr>
        <w:t xml:space="preserve">posílení úlohy improvizovaného ukrytí prostřednictvím vytvoření podmínek </w:t>
      </w:r>
      <w:r w:rsidRPr="004774FC">
        <w:rPr>
          <w:rFonts w:cstheme="minorHAnsi"/>
        </w:rPr>
        <w:t>pro HZS ČR k účinnějšímu prosazování požadavků OOB</w:t>
      </w:r>
      <w:r w:rsidR="00AD6EE0">
        <w:rPr>
          <w:rFonts w:cstheme="minorHAnsi"/>
        </w:rPr>
        <w:t>,</w:t>
      </w:r>
      <w:r w:rsidRPr="004774FC">
        <w:rPr>
          <w:rFonts w:cstheme="minorHAnsi"/>
        </w:rPr>
        <w:t xml:space="preserve"> </w:t>
      </w:r>
      <w:r w:rsidR="00A9144C" w:rsidRPr="004774FC">
        <w:rPr>
          <w:rFonts w:cstheme="minorHAnsi"/>
        </w:rPr>
        <w:t>nedošlo.</w:t>
      </w:r>
    </w:p>
    <w:p w14:paraId="234FB002" w14:textId="1551F5B9" w:rsidR="00D24027" w:rsidRPr="008D3489" w:rsidRDefault="00987CCD" w:rsidP="001F7AD7">
      <w:pPr>
        <w:pStyle w:val="Mluvcnadpis"/>
        <w:spacing w:before="240"/>
        <w:rPr>
          <w:rFonts w:ascii="Calibri" w:hAnsi="Calibri" w:cs="Calibri"/>
          <w:i w:val="0"/>
        </w:rPr>
      </w:pPr>
      <w:r w:rsidRPr="008D3489">
        <w:rPr>
          <w:rFonts w:ascii="Calibri" w:hAnsi="Calibri" w:cs="Calibri"/>
          <w:i w:val="0"/>
        </w:rPr>
        <w:lastRenderedPageBreak/>
        <w:t xml:space="preserve">→ </w:t>
      </w:r>
      <w:r w:rsidR="000373F0" w:rsidRPr="008D3489">
        <w:rPr>
          <w:rFonts w:ascii="Calibri" w:hAnsi="Calibri" w:cs="Calibri"/>
          <w:i w:val="0"/>
        </w:rPr>
        <w:t>MV pouze eviduje trvalý pokles kapacity stálých úkrytů</w:t>
      </w:r>
      <w:r w:rsidR="00AD6EE0" w:rsidRPr="008D3489">
        <w:rPr>
          <w:rFonts w:ascii="Calibri" w:hAnsi="Calibri" w:cs="Calibri"/>
          <w:i w:val="0"/>
        </w:rPr>
        <w:t>.</w:t>
      </w:r>
      <w:r w:rsidR="00D24027" w:rsidRPr="008D3489">
        <w:rPr>
          <w:rFonts w:ascii="Calibri" w:hAnsi="Calibri" w:cs="Calibri"/>
          <w:i w:val="0"/>
        </w:rPr>
        <w:t xml:space="preserve"> </w:t>
      </w:r>
      <w:r w:rsidR="00AD6EE0" w:rsidRPr="008D3489">
        <w:rPr>
          <w:rFonts w:ascii="Calibri" w:hAnsi="Calibri" w:cs="Calibri"/>
          <w:i w:val="0"/>
        </w:rPr>
        <w:t>V</w:t>
      </w:r>
      <w:r w:rsidR="00D24027" w:rsidRPr="008D3489">
        <w:rPr>
          <w:rFonts w:ascii="Calibri" w:hAnsi="Calibri" w:cs="Calibri"/>
          <w:i w:val="0"/>
        </w:rPr>
        <w:t> roce 2021</w:t>
      </w:r>
      <w:r w:rsidR="00AD6EE0" w:rsidRPr="008D3489">
        <w:rPr>
          <w:rFonts w:ascii="Calibri" w:hAnsi="Calibri" w:cs="Calibri"/>
          <w:i w:val="0"/>
        </w:rPr>
        <w:t xml:space="preserve"> </w:t>
      </w:r>
      <w:r w:rsidR="00D24027" w:rsidRPr="008D3489">
        <w:rPr>
          <w:rFonts w:ascii="Calibri" w:hAnsi="Calibri" w:cs="Calibri"/>
          <w:i w:val="0"/>
        </w:rPr>
        <w:t xml:space="preserve">bylo stálými úkryty zabezpečeno </w:t>
      </w:r>
      <w:r w:rsidR="00AD6EE0" w:rsidRPr="008D3489">
        <w:rPr>
          <w:rFonts w:ascii="Calibri" w:hAnsi="Calibri" w:cs="Calibri"/>
          <w:i w:val="0"/>
        </w:rPr>
        <w:t xml:space="preserve">cca </w:t>
      </w:r>
      <w:r w:rsidR="00D24027" w:rsidRPr="008D3489">
        <w:rPr>
          <w:rFonts w:ascii="Calibri" w:hAnsi="Calibri" w:cs="Calibri"/>
          <w:i w:val="0"/>
        </w:rPr>
        <w:t>3,2 % obyvatelstva ČR</w:t>
      </w:r>
    </w:p>
    <w:p w14:paraId="6F319B48" w14:textId="0ADE8F2B" w:rsidR="00A9144C" w:rsidRPr="004774FC" w:rsidRDefault="00A9144C" w:rsidP="00A9144C">
      <w:pPr>
        <w:spacing w:after="120"/>
        <w:ind w:left="6"/>
        <w:jc w:val="both"/>
        <w:rPr>
          <w:rFonts w:cstheme="minorHAnsi"/>
          <w:color w:val="000000"/>
        </w:rPr>
      </w:pPr>
      <w:r w:rsidRPr="004774FC">
        <w:rPr>
          <w:rFonts w:cstheme="minorHAnsi"/>
        </w:rPr>
        <w:t xml:space="preserve">V roce 2002 bylo </w:t>
      </w:r>
      <w:r w:rsidR="00D24027">
        <w:rPr>
          <w:rFonts w:cstheme="minorHAnsi"/>
        </w:rPr>
        <w:t xml:space="preserve">dle Koncepce 2006 </w:t>
      </w:r>
      <w:r w:rsidRPr="004774FC">
        <w:rPr>
          <w:rFonts w:cstheme="minorHAnsi"/>
        </w:rPr>
        <w:t xml:space="preserve">v ČR evidováno </w:t>
      </w:r>
      <w:r w:rsidRPr="004774FC">
        <w:rPr>
          <w:rFonts w:cstheme="minorHAnsi"/>
          <w:color w:val="000000"/>
        </w:rPr>
        <w:t>5 178 stálých úkrytů s celkovou kapacitou 920 tisíc osob, ke konci roku 2021 to bylo 1 680 úkrytů s kapacitou 347 tisíc osob. NKÚ získal v rámci kontroly statistiku MV o počtu a kapacitě stálých úkrytů v období 2010</w:t>
      </w:r>
      <w:r w:rsidR="008D3489">
        <w:rPr>
          <w:rFonts w:cstheme="minorHAnsi"/>
          <w:color w:val="000000"/>
        </w:rPr>
        <w:t>–</w:t>
      </w:r>
      <w:r w:rsidRPr="004774FC">
        <w:rPr>
          <w:rFonts w:cstheme="minorHAnsi"/>
          <w:color w:val="000000"/>
        </w:rPr>
        <w:t xml:space="preserve">2021, ze které vyplývá, že počet a kapacita se snížily mezi uvedenými léty shodně o 32 %. NKÚ dále zjistil, že v roce 2021 bylo stálými úkryty zabezpečeno cca 3,2 % obyvatelstva ČR s tím, že </w:t>
      </w:r>
      <w:r w:rsidRPr="004774FC">
        <w:rPr>
          <w:rFonts w:cstheme="minorHAnsi"/>
        </w:rPr>
        <w:t>plošné rozmístění stálých úkrytů je nerovnoměrné, a to jak z početního hlediska, tak i z hlediska kapacity úkrytů.</w:t>
      </w:r>
    </w:p>
    <w:p w14:paraId="5D1F0E45" w14:textId="77777777" w:rsidR="00A9144C" w:rsidRPr="004774FC" w:rsidRDefault="00A9144C" w:rsidP="00A9144C">
      <w:pPr>
        <w:ind w:left="6"/>
        <w:jc w:val="both"/>
        <w:rPr>
          <w:rFonts w:cstheme="minorHAnsi"/>
        </w:rPr>
      </w:pPr>
      <w:r w:rsidRPr="004774FC">
        <w:rPr>
          <w:rFonts w:cstheme="minorHAnsi"/>
          <w:noProof/>
        </w:rPr>
        <w:drawing>
          <wp:inline distT="0" distB="0" distL="0" distR="0" wp14:anchorId="0DB49F0E" wp14:editId="60C773CD">
            <wp:extent cx="5813947" cy="2407550"/>
            <wp:effectExtent l="0" t="0" r="15875" b="12065"/>
            <wp:docPr id="22" name="Graf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734350" w14:textId="77777777" w:rsidR="00A9144C" w:rsidRPr="008D14A7" w:rsidRDefault="00A9144C" w:rsidP="001F7AD7">
      <w:pPr>
        <w:spacing w:before="40" w:after="120"/>
        <w:jc w:val="both"/>
        <w:rPr>
          <w:rFonts w:cstheme="minorHAnsi"/>
          <w:sz w:val="20"/>
          <w:szCs w:val="20"/>
        </w:rPr>
      </w:pPr>
      <w:r w:rsidRPr="001F7AD7">
        <w:rPr>
          <w:rFonts w:cstheme="minorHAnsi"/>
          <w:b/>
          <w:sz w:val="20"/>
          <w:szCs w:val="20"/>
        </w:rPr>
        <w:t>Zdroj:</w:t>
      </w:r>
      <w:r w:rsidRPr="008D14A7">
        <w:rPr>
          <w:rFonts w:cstheme="minorHAnsi"/>
          <w:sz w:val="20"/>
          <w:szCs w:val="20"/>
        </w:rPr>
        <w:t xml:space="preserve"> MV-GŘ HZS ČR</w:t>
      </w:r>
    </w:p>
    <w:p w14:paraId="5FEA0A29" w14:textId="2AD5C548" w:rsidR="00A9144C" w:rsidRDefault="00225FD4" w:rsidP="00A9144C">
      <w:pPr>
        <w:spacing w:before="120" w:after="120"/>
        <w:jc w:val="both"/>
        <w:rPr>
          <w:rFonts w:cstheme="minorHAnsi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NKÚ </w:t>
      </w:r>
      <w:r w:rsidR="00D24027">
        <w:rPr>
          <w:rFonts w:eastAsia="Times New Roman" w:cstheme="minorHAnsi"/>
          <w:color w:val="000000" w:themeColor="text1"/>
          <w:lang w:eastAsia="cs-CZ"/>
        </w:rPr>
        <w:t xml:space="preserve">dále </w:t>
      </w:r>
      <w:r>
        <w:rPr>
          <w:rFonts w:eastAsia="Times New Roman" w:cstheme="minorHAnsi"/>
          <w:color w:val="000000" w:themeColor="text1"/>
          <w:lang w:eastAsia="cs-CZ"/>
        </w:rPr>
        <w:t>zjistil</w:t>
      </w:r>
      <w:r w:rsidR="00A9144C" w:rsidRPr="004774FC">
        <w:rPr>
          <w:rFonts w:cstheme="minorHAnsi"/>
        </w:rPr>
        <w:t>, že právní předpisy nevymezují povinnosti MV ve vazbě na počet nebo kapacitu stálých úkrytů, např. v podobě zajištění stálých úkrytů dle počtu obyvatel nebo povinnost financování jejich výstavby</w:t>
      </w:r>
      <w:r w:rsidR="00A9144C" w:rsidRPr="004774FC">
        <w:rPr>
          <w:rStyle w:val="Znakapoznpodarou"/>
          <w:rFonts w:cstheme="minorHAnsi"/>
        </w:rPr>
        <w:footnoteReference w:id="38"/>
      </w:r>
      <w:r w:rsidR="00A9144C" w:rsidRPr="004774FC">
        <w:rPr>
          <w:rFonts w:cstheme="minorHAnsi"/>
        </w:rPr>
        <w:t xml:space="preserve">. Odpovědnost za zajištění ukrytí obyvatelstva má v ČR </w:t>
      </w:r>
      <w:r w:rsidR="00B914F9">
        <w:rPr>
          <w:rFonts w:cstheme="minorHAnsi"/>
        </w:rPr>
        <w:t>dle</w:t>
      </w:r>
      <w:r w:rsidR="00A9144C" w:rsidRPr="004774FC">
        <w:rPr>
          <w:rFonts w:cstheme="minorHAnsi"/>
        </w:rPr>
        <w:t xml:space="preserve"> § 15 odst. 2 písm. c) zákona </w:t>
      </w:r>
      <w:r w:rsidR="00AD6EE0">
        <w:rPr>
          <w:rFonts w:ascii="Calibri" w:eastAsia="Calibri" w:hAnsi="Calibri" w:cs="Calibri"/>
        </w:rPr>
        <w:t>č. 239/2000 Sb.</w:t>
      </w:r>
      <w:r w:rsidR="004E512A" w:rsidRPr="00E7521C">
        <w:rPr>
          <w:rFonts w:ascii="Calibri" w:eastAsia="Calibri" w:hAnsi="Calibri" w:cs="Calibri"/>
        </w:rPr>
        <w:t xml:space="preserve"> </w:t>
      </w:r>
      <w:r w:rsidR="00A9144C" w:rsidRPr="004774FC">
        <w:rPr>
          <w:rFonts w:cstheme="minorHAnsi"/>
        </w:rPr>
        <w:t>totiž obecní úřad. Výše uvedená statistika stálých úkrytů je tak vedena MV dobrovolně. ČR nemá na rozdíl např. od Švédska celostátní on-line mapu úkrytů</w:t>
      </w:r>
      <w:r w:rsidR="00A9144C" w:rsidRPr="004774FC">
        <w:rPr>
          <w:rStyle w:val="Znakapoznpodarou"/>
          <w:rFonts w:cstheme="minorHAnsi"/>
        </w:rPr>
        <w:footnoteReference w:id="39"/>
      </w:r>
      <w:r w:rsidR="00883EF0">
        <w:rPr>
          <w:rFonts w:cstheme="minorHAnsi"/>
        </w:rPr>
        <w:t>.</w:t>
      </w:r>
    </w:p>
    <w:p w14:paraId="61DB95D6" w14:textId="5E92466A" w:rsidR="00987CCD" w:rsidRPr="00616FCF" w:rsidRDefault="00987CCD" w:rsidP="001F7AD7">
      <w:pPr>
        <w:pStyle w:val="Mluvcnadpis"/>
        <w:spacing w:before="240"/>
        <w:rPr>
          <w:rFonts w:ascii="Calibri" w:hAnsi="Calibri" w:cs="Calibri"/>
          <w:i w:val="0"/>
        </w:rPr>
      </w:pPr>
      <w:r w:rsidRPr="00616FCF">
        <w:rPr>
          <w:rFonts w:ascii="Calibri" w:hAnsi="Calibri" w:cs="Calibri"/>
          <w:i w:val="0"/>
        </w:rPr>
        <w:t xml:space="preserve">→ </w:t>
      </w:r>
      <w:r w:rsidR="00151A50" w:rsidRPr="00616FCF">
        <w:rPr>
          <w:rFonts w:ascii="Calibri" w:hAnsi="Calibri" w:cs="Calibri"/>
          <w:i w:val="0"/>
        </w:rPr>
        <w:t>Stálé úkryty ve fakultních nemocnicích zůstaly jen ve dvou městech ČR</w:t>
      </w:r>
    </w:p>
    <w:p w14:paraId="33CA3299" w14:textId="5E0B6DDD" w:rsidR="00987CCD" w:rsidRDefault="00A9144C" w:rsidP="00A9144C">
      <w:pPr>
        <w:spacing w:after="120"/>
        <w:jc w:val="both"/>
        <w:rPr>
          <w:rFonts w:cstheme="minorHAnsi"/>
        </w:rPr>
      </w:pPr>
      <w:r w:rsidRPr="004774FC">
        <w:rPr>
          <w:rFonts w:cstheme="minorHAnsi"/>
          <w:color w:val="000000"/>
        </w:rPr>
        <w:t>Údržba a provoz stálých úkrytů není státem</w:t>
      </w:r>
      <w:r w:rsidR="008D7324">
        <w:rPr>
          <w:rFonts w:cstheme="minorHAnsi"/>
          <w:color w:val="000000"/>
        </w:rPr>
        <w:t xml:space="preserve"> systémově</w:t>
      </w:r>
      <w:r w:rsidRPr="004774FC">
        <w:rPr>
          <w:rFonts w:cstheme="minorHAnsi"/>
          <w:color w:val="000000"/>
        </w:rPr>
        <w:t xml:space="preserve"> podporován, výjimku tvoří</w:t>
      </w:r>
      <w:r w:rsidR="008D7324">
        <w:rPr>
          <w:rFonts w:cstheme="minorHAnsi"/>
          <w:color w:val="000000"/>
        </w:rPr>
        <w:t xml:space="preserve"> </w:t>
      </w:r>
      <w:r w:rsidRPr="004774FC">
        <w:rPr>
          <w:rFonts w:cstheme="minorHAnsi"/>
        </w:rPr>
        <w:t xml:space="preserve">úkryt </w:t>
      </w:r>
      <w:r w:rsidR="001F7AD7">
        <w:rPr>
          <w:rFonts w:cstheme="minorHAnsi"/>
        </w:rPr>
        <w:br/>
      </w:r>
      <w:r w:rsidRPr="004774FC">
        <w:rPr>
          <w:rFonts w:cstheme="minorHAnsi"/>
        </w:rPr>
        <w:t>KO-17</w:t>
      </w:r>
      <w:r w:rsidRPr="004774FC">
        <w:rPr>
          <w:rStyle w:val="Znakapoznpodarou"/>
          <w:rFonts w:cstheme="minorHAnsi"/>
        </w:rPr>
        <w:footnoteReference w:id="40"/>
      </w:r>
      <w:r w:rsidRPr="004774FC">
        <w:rPr>
          <w:rFonts w:cstheme="minorHAnsi"/>
        </w:rPr>
        <w:t xml:space="preserve"> ve FTN, na jehož provoz poskytlo </w:t>
      </w:r>
      <w:proofErr w:type="spellStart"/>
      <w:r w:rsidRPr="004774FC">
        <w:rPr>
          <w:rFonts w:cstheme="minorHAnsi"/>
        </w:rPr>
        <w:t>MZd</w:t>
      </w:r>
      <w:proofErr w:type="spellEnd"/>
      <w:r w:rsidRPr="004774FC">
        <w:rPr>
          <w:rFonts w:cstheme="minorHAnsi"/>
        </w:rPr>
        <w:t xml:space="preserve"> v letech 2015 až 2021 částku 57,2 mil. Kč.</w:t>
      </w:r>
      <w:r w:rsidR="00883EF0">
        <w:rPr>
          <w:rFonts w:cstheme="minorHAnsi"/>
        </w:rPr>
        <w:t xml:space="preserve"> </w:t>
      </w:r>
      <w:r w:rsidRPr="004774FC">
        <w:rPr>
          <w:rFonts w:cstheme="minorHAnsi"/>
        </w:rPr>
        <w:t xml:space="preserve">Jedná se o jediný úkryt u fakultních nemocnic (dále jen „FN“), </w:t>
      </w:r>
      <w:r w:rsidR="00AD6EE0">
        <w:rPr>
          <w:rFonts w:cstheme="minorHAnsi"/>
        </w:rPr>
        <w:t>na který</w:t>
      </w:r>
      <w:r w:rsidR="00AC1E9F">
        <w:rPr>
          <w:rFonts w:cstheme="minorHAnsi"/>
        </w:rPr>
        <w:t xml:space="preserve"> </w:t>
      </w:r>
      <w:proofErr w:type="spellStart"/>
      <w:r w:rsidR="00AC1E9F">
        <w:rPr>
          <w:rFonts w:cstheme="minorHAnsi"/>
        </w:rPr>
        <w:t>MZd</w:t>
      </w:r>
      <w:proofErr w:type="spellEnd"/>
      <w:r w:rsidR="00AC1E9F">
        <w:rPr>
          <w:rFonts w:cstheme="minorHAnsi"/>
        </w:rPr>
        <w:t xml:space="preserve"> poskytlo </w:t>
      </w:r>
      <w:r w:rsidR="00883EF0">
        <w:rPr>
          <w:rFonts w:cstheme="minorHAnsi"/>
        </w:rPr>
        <w:t>peněžní prostředky státního rozpočtu</w:t>
      </w:r>
      <w:r w:rsidRPr="004774FC">
        <w:rPr>
          <w:rFonts w:cstheme="minorHAnsi"/>
        </w:rPr>
        <w:t>. Údržba dalších úkrytů (FN Plzeň, FN Bulovka) byla zajištěna vlastními prostředky nemocnic. NKÚ dále zjistil, že také</w:t>
      </w:r>
      <w:r w:rsidRPr="004774FC">
        <w:rPr>
          <w:rFonts w:eastAsia="Times New Roman" w:cstheme="minorHAnsi"/>
          <w:color w:val="000000" w:themeColor="text1"/>
        </w:rPr>
        <w:t xml:space="preserve"> počet a kapacita úkrytů u FN se rok od </w:t>
      </w:r>
      <w:r w:rsidRPr="004774FC">
        <w:rPr>
          <w:rFonts w:eastAsia="Times New Roman" w:cstheme="minorHAnsi"/>
          <w:color w:val="000000" w:themeColor="text1"/>
        </w:rPr>
        <w:lastRenderedPageBreak/>
        <w:t>roku snižuje, v roce 2007</w:t>
      </w:r>
      <w:r w:rsidRPr="004774FC">
        <w:rPr>
          <w:rStyle w:val="Znakapoznpodarou"/>
          <w:rFonts w:cstheme="minorHAnsi"/>
          <w:color w:val="000000" w:themeColor="text1"/>
        </w:rPr>
        <w:footnoteReference w:id="41"/>
      </w:r>
      <w:r w:rsidRPr="004774FC">
        <w:rPr>
          <w:rFonts w:eastAsia="Times New Roman" w:cstheme="minorHAnsi"/>
          <w:color w:val="000000" w:themeColor="text1"/>
        </w:rPr>
        <w:t xml:space="preserve"> jich bylo 13, v roce 2021 již pouze </w:t>
      </w:r>
      <w:r w:rsidR="00030275" w:rsidRPr="004774FC">
        <w:rPr>
          <w:rFonts w:eastAsia="Times New Roman" w:cstheme="minorHAnsi"/>
          <w:color w:val="000000" w:themeColor="text1"/>
        </w:rPr>
        <w:t>osm,</w:t>
      </w:r>
      <w:r w:rsidRPr="004774FC">
        <w:rPr>
          <w:rFonts w:eastAsia="Times New Roman" w:cstheme="minorHAnsi"/>
          <w:color w:val="000000" w:themeColor="text1"/>
        </w:rPr>
        <w:t xml:space="preserve"> a to u čtyř FN. </w:t>
      </w:r>
      <w:r w:rsidRPr="004774FC">
        <w:rPr>
          <w:rFonts w:cstheme="minorHAnsi"/>
          <w:color w:val="000000"/>
        </w:rPr>
        <w:t xml:space="preserve">Kapacita osob se snížila o 17 %, nyní pro </w:t>
      </w:r>
      <w:r w:rsidRPr="004774FC">
        <w:rPr>
          <w:rFonts w:eastAsia="Times New Roman" w:cstheme="minorHAnsi"/>
          <w:color w:val="000000" w:themeColor="text1"/>
        </w:rPr>
        <w:t xml:space="preserve">3 170 osob, resp. 772 lůžek. </w:t>
      </w:r>
      <w:r w:rsidRPr="004774FC">
        <w:rPr>
          <w:rFonts w:cstheme="minorHAnsi"/>
        </w:rPr>
        <w:t>Výsledkem snižování je mj. stav, kdy do roku 2021 byly vyřazeny na návrh FN všechny zbývající úkryty na území Moravy a</w:t>
      </w:r>
      <w:r w:rsidR="001F7AD7">
        <w:rPr>
          <w:rFonts w:cstheme="minorHAnsi"/>
        </w:rPr>
        <w:t> </w:t>
      </w:r>
      <w:r w:rsidRPr="004774FC">
        <w:rPr>
          <w:rFonts w:cstheme="minorHAnsi"/>
        </w:rPr>
        <w:t xml:space="preserve">Slezska a úkryty zůstaly jen ve dvou městech ČR, </w:t>
      </w:r>
      <w:r w:rsidR="00543304">
        <w:rPr>
          <w:rFonts w:cstheme="minorHAnsi"/>
        </w:rPr>
        <w:t xml:space="preserve">a to </w:t>
      </w:r>
      <w:r w:rsidRPr="004774FC">
        <w:rPr>
          <w:rFonts w:cstheme="minorHAnsi"/>
        </w:rPr>
        <w:t>v Praze a Plzni</w:t>
      </w:r>
      <w:r w:rsidR="00DC12E7">
        <w:rPr>
          <w:rFonts w:cstheme="minorHAnsi"/>
        </w:rPr>
        <w:t>.</w:t>
      </w:r>
    </w:p>
    <w:p w14:paraId="23A2B3EA" w14:textId="133726A9" w:rsidR="001A10FF" w:rsidRPr="00B02E1D" w:rsidRDefault="00DC12E7" w:rsidP="001F7AD7">
      <w:pPr>
        <w:spacing w:before="240" w:after="120"/>
        <w:jc w:val="both"/>
        <w:rPr>
          <w:rFonts w:eastAsia="Calibri" w:cstheme="minorHAnsi"/>
          <w:b/>
        </w:rPr>
      </w:pPr>
      <w:r>
        <w:rPr>
          <w:rFonts w:cstheme="minorHAnsi"/>
          <w:b/>
        </w:rPr>
        <w:t>F</w:t>
      </w:r>
      <w:r w:rsidR="00A9144C">
        <w:rPr>
          <w:rFonts w:cstheme="minorHAnsi"/>
          <w:b/>
        </w:rPr>
        <w:t>.</w:t>
      </w:r>
      <w:r w:rsidR="007604DB">
        <w:rPr>
          <w:rFonts w:cstheme="minorHAnsi"/>
          <w:b/>
        </w:rPr>
        <w:t xml:space="preserve"> </w:t>
      </w:r>
      <w:r w:rsidR="007604DB" w:rsidRPr="007604DB">
        <w:rPr>
          <w:rFonts w:eastAsia="Calibri" w:cstheme="minorHAnsi"/>
          <w:b/>
        </w:rPr>
        <w:t xml:space="preserve">V oblasti výchovy a vzdělávání MV nedokončilo některé klíčové úkoly </w:t>
      </w:r>
      <w:r w:rsidR="00543304">
        <w:rPr>
          <w:rFonts w:eastAsia="Calibri" w:cstheme="minorHAnsi"/>
          <w:b/>
        </w:rPr>
        <w:t>k</w:t>
      </w:r>
      <w:r w:rsidR="007604DB" w:rsidRPr="007604DB">
        <w:rPr>
          <w:rFonts w:eastAsia="Calibri" w:cstheme="minorHAnsi"/>
          <w:b/>
        </w:rPr>
        <w:t>oncepcí OOB. Jedná se především o vymezení rozsahu a formy výuky tématiky OOB na základních a</w:t>
      </w:r>
      <w:r w:rsidR="00543304">
        <w:rPr>
          <w:rFonts w:eastAsia="Calibri" w:cstheme="minorHAnsi"/>
          <w:b/>
        </w:rPr>
        <w:t> </w:t>
      </w:r>
      <w:r w:rsidR="007604DB" w:rsidRPr="007604DB">
        <w:rPr>
          <w:rFonts w:eastAsia="Calibri" w:cstheme="minorHAnsi"/>
          <w:b/>
        </w:rPr>
        <w:t>středních školách nebo zapracování úkolů, práv a povinností všech aktérů OOB do právních předpisů v této oblasti.</w:t>
      </w:r>
      <w:r w:rsidR="001A10FF">
        <w:rPr>
          <w:rFonts w:eastAsia="Calibri" w:cstheme="minorHAnsi"/>
          <w:b/>
        </w:rPr>
        <w:t xml:space="preserve"> </w:t>
      </w:r>
      <w:r w:rsidR="001A10FF" w:rsidRPr="00D96BF5">
        <w:rPr>
          <w:rFonts w:eastAsia="Calibri" w:cstheme="minorHAnsi"/>
          <w:b/>
        </w:rPr>
        <w:t xml:space="preserve">Při kontrole peněžních prostředků státního rozpočtu vynaložených MV období </w:t>
      </w:r>
      <w:r w:rsidR="001A10FF">
        <w:rPr>
          <w:rFonts w:eastAsia="Calibri" w:cstheme="minorHAnsi"/>
          <w:b/>
        </w:rPr>
        <w:t>2016</w:t>
      </w:r>
      <w:r w:rsidR="00543304">
        <w:rPr>
          <w:rFonts w:eastAsia="Calibri" w:cstheme="minorHAnsi"/>
          <w:b/>
        </w:rPr>
        <w:t>–</w:t>
      </w:r>
      <w:r w:rsidR="001A10FF">
        <w:rPr>
          <w:rFonts w:eastAsia="Calibri" w:cstheme="minorHAnsi"/>
          <w:b/>
        </w:rPr>
        <w:t xml:space="preserve">2022 na </w:t>
      </w:r>
      <w:r w:rsidR="001A10FF" w:rsidRPr="00D96BF5">
        <w:rPr>
          <w:rFonts w:eastAsia="Calibri" w:cstheme="minorHAnsi"/>
          <w:b/>
        </w:rPr>
        <w:t>Centru</w:t>
      </w:r>
      <w:r w:rsidR="001A10FF">
        <w:rPr>
          <w:rFonts w:eastAsia="Calibri" w:cstheme="minorHAnsi"/>
          <w:b/>
        </w:rPr>
        <w:t>m</w:t>
      </w:r>
      <w:r w:rsidR="001A10FF" w:rsidRPr="00D96BF5">
        <w:rPr>
          <w:rFonts w:eastAsia="Calibri" w:cstheme="minorHAnsi"/>
          <w:b/>
        </w:rPr>
        <w:t xml:space="preserve"> zdraví a bezpečí v Karlových Varech</w:t>
      </w:r>
      <w:r w:rsidR="001A10FF">
        <w:rPr>
          <w:rFonts w:eastAsia="Calibri" w:cstheme="minorHAnsi"/>
          <w:b/>
        </w:rPr>
        <w:t xml:space="preserve"> n</w:t>
      </w:r>
      <w:r w:rsidR="001A10FF" w:rsidRPr="00D96BF5">
        <w:rPr>
          <w:rFonts w:eastAsia="Calibri" w:cstheme="minorHAnsi"/>
          <w:b/>
        </w:rPr>
        <w:t>ezjistil NKÚ nedostatky.</w:t>
      </w:r>
    </w:p>
    <w:p w14:paraId="6BF3183E" w14:textId="4448C02B" w:rsidR="00A9144C" w:rsidRPr="00C4638D" w:rsidRDefault="00A9144C" w:rsidP="00A9144C">
      <w:pPr>
        <w:spacing w:after="120"/>
        <w:jc w:val="both"/>
        <w:rPr>
          <w:rFonts w:cstheme="minorHAnsi"/>
          <w:highlight w:val="lightGray"/>
        </w:rPr>
      </w:pPr>
      <w:r w:rsidRPr="00C4638D">
        <w:rPr>
          <w:rFonts w:cstheme="minorHAnsi"/>
          <w:highlight w:val="lightGray"/>
        </w:rPr>
        <w:t>Kontrolou NKÚ bylo ověřeno, zda MV splnilo cíle a úkoly v oblasti výchovy a vzdělávání OOB stanovené v koncepcích OOB.</w:t>
      </w:r>
      <w:r w:rsidR="00A846D3" w:rsidRPr="00C4638D">
        <w:rPr>
          <w:rFonts w:cstheme="minorHAnsi"/>
          <w:highlight w:val="lightGray"/>
        </w:rPr>
        <w:t xml:space="preserve"> </w:t>
      </w:r>
      <w:r w:rsidRPr="00C4638D">
        <w:rPr>
          <w:rFonts w:cstheme="minorHAnsi"/>
          <w:iCs/>
          <w:color w:val="000000"/>
          <w:highlight w:val="lightGray"/>
        </w:rPr>
        <w:t>MV vynakládalo peněžní prostředky stát</w:t>
      </w:r>
      <w:r w:rsidR="00512E86" w:rsidRPr="00C4638D">
        <w:rPr>
          <w:rFonts w:cstheme="minorHAnsi"/>
          <w:iCs/>
          <w:color w:val="000000"/>
          <w:highlight w:val="lightGray"/>
        </w:rPr>
        <w:t>ního rozpočtu</w:t>
      </w:r>
      <w:r w:rsidRPr="00C4638D">
        <w:rPr>
          <w:rFonts w:cstheme="minorHAnsi"/>
          <w:iCs/>
          <w:color w:val="000000"/>
          <w:highlight w:val="lightGray"/>
        </w:rPr>
        <w:t xml:space="preserve"> zejména </w:t>
      </w:r>
      <w:r w:rsidRPr="00C4638D">
        <w:rPr>
          <w:rFonts w:cstheme="minorHAnsi"/>
          <w:highlight w:val="lightGray"/>
        </w:rPr>
        <w:t xml:space="preserve">na realizaci vzdělávacích aktivit organizovaných průběžně </w:t>
      </w:r>
      <w:r w:rsidR="00543304">
        <w:rPr>
          <w:rFonts w:cstheme="minorHAnsi"/>
          <w:highlight w:val="lightGray"/>
        </w:rPr>
        <w:t>hasičských záchranných sborů</w:t>
      </w:r>
      <w:r w:rsidRPr="00C4638D">
        <w:rPr>
          <w:rFonts w:cstheme="minorHAnsi"/>
          <w:highlight w:val="lightGray"/>
        </w:rPr>
        <w:t xml:space="preserve"> krajů a MV-GŘ HZS ČR nebo na řešení </w:t>
      </w:r>
      <w:r w:rsidRPr="00C4638D">
        <w:rPr>
          <w:rFonts w:cstheme="minorHAnsi"/>
          <w:iCs/>
          <w:color w:val="000000"/>
          <w:highlight w:val="lightGray"/>
        </w:rPr>
        <w:t>výuky tématiky OOB na základních a středních školách.</w:t>
      </w:r>
      <w:r w:rsidR="00D67226" w:rsidRPr="00C4638D">
        <w:rPr>
          <w:rFonts w:cstheme="minorHAnsi"/>
          <w:iCs/>
          <w:color w:val="000000"/>
          <w:highlight w:val="lightGray"/>
        </w:rPr>
        <w:t xml:space="preserve"> </w:t>
      </w:r>
      <w:r w:rsidR="007D0D7B" w:rsidRPr="00C4638D">
        <w:rPr>
          <w:rFonts w:cstheme="minorHAnsi"/>
          <w:iCs/>
          <w:color w:val="000000"/>
          <w:highlight w:val="lightGray"/>
        </w:rPr>
        <w:t>V období</w:t>
      </w:r>
      <w:r w:rsidR="00D67226" w:rsidRPr="00C4638D">
        <w:rPr>
          <w:rFonts w:cstheme="minorHAnsi"/>
          <w:iCs/>
          <w:color w:val="000000"/>
          <w:highlight w:val="lightGray"/>
        </w:rPr>
        <w:t xml:space="preserve"> 201</w:t>
      </w:r>
      <w:r w:rsidR="009A723E" w:rsidRPr="00C4638D">
        <w:rPr>
          <w:rFonts w:cstheme="minorHAnsi"/>
          <w:iCs/>
          <w:color w:val="000000"/>
          <w:highlight w:val="lightGray"/>
        </w:rPr>
        <w:t>6</w:t>
      </w:r>
      <w:r w:rsidR="00662F66">
        <w:rPr>
          <w:rFonts w:cstheme="minorHAnsi"/>
          <w:iCs/>
          <w:color w:val="000000"/>
          <w:highlight w:val="lightGray"/>
        </w:rPr>
        <w:t>–</w:t>
      </w:r>
      <w:r w:rsidR="00D67226" w:rsidRPr="00C4638D">
        <w:rPr>
          <w:rFonts w:cstheme="minorHAnsi"/>
          <w:iCs/>
          <w:color w:val="000000"/>
          <w:highlight w:val="lightGray"/>
        </w:rPr>
        <w:t>202</w:t>
      </w:r>
      <w:r w:rsidR="009A723E" w:rsidRPr="00C4638D">
        <w:rPr>
          <w:rFonts w:cstheme="minorHAnsi"/>
          <w:iCs/>
          <w:color w:val="000000"/>
          <w:highlight w:val="lightGray"/>
        </w:rPr>
        <w:t>2</w:t>
      </w:r>
      <w:r w:rsidR="00D67226" w:rsidRPr="00C4638D">
        <w:rPr>
          <w:rFonts w:cstheme="minorHAnsi"/>
          <w:iCs/>
          <w:color w:val="000000"/>
          <w:highlight w:val="lightGray"/>
        </w:rPr>
        <w:t xml:space="preserve"> poskytlo MV peněžní prostředky státního rozpočtu ve výši 1,</w:t>
      </w:r>
      <w:r w:rsidR="009A723E" w:rsidRPr="00C4638D">
        <w:rPr>
          <w:rFonts w:cstheme="minorHAnsi"/>
          <w:iCs/>
          <w:color w:val="000000"/>
          <w:highlight w:val="lightGray"/>
        </w:rPr>
        <w:t>75</w:t>
      </w:r>
      <w:r w:rsidR="00662F66">
        <w:rPr>
          <w:rFonts w:cstheme="minorHAnsi"/>
          <w:iCs/>
          <w:color w:val="000000"/>
          <w:highlight w:val="lightGray"/>
        </w:rPr>
        <w:t> </w:t>
      </w:r>
      <w:r w:rsidR="00D67226" w:rsidRPr="00C4638D">
        <w:rPr>
          <w:rFonts w:cstheme="minorHAnsi"/>
          <w:iCs/>
          <w:color w:val="000000"/>
          <w:highlight w:val="lightGray"/>
        </w:rPr>
        <w:t>mil.</w:t>
      </w:r>
      <w:r w:rsidR="00662F66">
        <w:rPr>
          <w:rFonts w:cstheme="minorHAnsi"/>
          <w:iCs/>
          <w:color w:val="000000"/>
          <w:highlight w:val="lightGray"/>
        </w:rPr>
        <w:t> </w:t>
      </w:r>
      <w:r w:rsidR="00D67226" w:rsidRPr="00C4638D">
        <w:rPr>
          <w:rFonts w:cstheme="minorHAnsi"/>
          <w:iCs/>
          <w:color w:val="000000"/>
          <w:highlight w:val="lightGray"/>
        </w:rPr>
        <w:t>Kč Centru zdraví a bezpečí v Karlových Varech.</w:t>
      </w:r>
    </w:p>
    <w:p w14:paraId="01F6FD69" w14:textId="7366B9E3" w:rsidR="00987CCD" w:rsidRPr="00662F66" w:rsidRDefault="00987CCD" w:rsidP="00C4638D">
      <w:pPr>
        <w:pStyle w:val="Mluvcnadpis"/>
        <w:spacing w:before="240"/>
        <w:rPr>
          <w:rFonts w:ascii="Calibri" w:hAnsi="Calibri" w:cs="Calibri"/>
          <w:i w:val="0"/>
        </w:rPr>
      </w:pPr>
      <w:r w:rsidRPr="00662F66">
        <w:rPr>
          <w:rFonts w:ascii="Calibri" w:hAnsi="Calibri" w:cs="Calibri"/>
          <w:i w:val="0"/>
        </w:rPr>
        <w:t xml:space="preserve">→ </w:t>
      </w:r>
      <w:r w:rsidR="00205D78" w:rsidRPr="00662F66">
        <w:rPr>
          <w:rFonts w:ascii="Calibri" w:hAnsi="Calibri" w:cs="Calibri"/>
          <w:i w:val="0"/>
        </w:rPr>
        <w:t>MV řeší dlouhodobě</w:t>
      </w:r>
      <w:r w:rsidR="00D91912" w:rsidRPr="00662F66">
        <w:rPr>
          <w:rFonts w:ascii="Calibri" w:hAnsi="Calibri" w:cs="Calibri"/>
          <w:i w:val="0"/>
        </w:rPr>
        <w:t xml:space="preserve"> </w:t>
      </w:r>
      <w:r w:rsidR="00205D78" w:rsidRPr="00662F66">
        <w:rPr>
          <w:rFonts w:ascii="Calibri" w:hAnsi="Calibri" w:cs="Calibri"/>
          <w:i w:val="0"/>
        </w:rPr>
        <w:t>r</w:t>
      </w:r>
      <w:r w:rsidRPr="00662F66">
        <w:rPr>
          <w:rFonts w:ascii="Calibri" w:hAnsi="Calibri" w:cs="Calibri"/>
          <w:i w:val="0"/>
        </w:rPr>
        <w:t xml:space="preserve">ozsah a formu </w:t>
      </w:r>
      <w:r w:rsidR="00EB5A6E" w:rsidRPr="00662F66">
        <w:rPr>
          <w:rFonts w:ascii="Calibri" w:hAnsi="Calibri" w:cs="Calibri"/>
          <w:i w:val="0"/>
        </w:rPr>
        <w:t>vzdělávání</w:t>
      </w:r>
      <w:r w:rsidRPr="00662F66">
        <w:rPr>
          <w:rFonts w:ascii="Calibri" w:hAnsi="Calibri" w:cs="Calibri"/>
          <w:i w:val="0"/>
        </w:rPr>
        <w:t xml:space="preserve"> tématiky OOB</w:t>
      </w:r>
    </w:p>
    <w:p w14:paraId="67F5F623" w14:textId="3600FA87" w:rsidR="00A9144C" w:rsidRPr="004774FC" w:rsidRDefault="00A9144C" w:rsidP="00A9144C">
      <w:pPr>
        <w:spacing w:after="120"/>
        <w:jc w:val="both"/>
        <w:rPr>
          <w:rFonts w:cstheme="minorHAnsi"/>
          <w:bCs/>
          <w:color w:val="000000"/>
          <w:lang w:eastAsia="cs-CZ"/>
        </w:rPr>
      </w:pPr>
      <w:r w:rsidRPr="004774FC">
        <w:rPr>
          <w:rFonts w:cstheme="minorHAnsi"/>
        </w:rPr>
        <w:t xml:space="preserve">Výchova a vzdělávání (dále také jen „vzdělávání“) obyvatelstva je jedním z hlavních úkolů </w:t>
      </w:r>
      <w:r w:rsidR="00662F66">
        <w:rPr>
          <w:rFonts w:cstheme="minorHAnsi"/>
        </w:rPr>
        <w:t>k</w:t>
      </w:r>
      <w:r w:rsidR="005C2D26">
        <w:rPr>
          <w:rFonts w:cstheme="minorHAnsi"/>
        </w:rPr>
        <w:t xml:space="preserve">oncepcí </w:t>
      </w:r>
      <w:r w:rsidRPr="004774FC">
        <w:rPr>
          <w:rFonts w:cstheme="minorHAnsi"/>
        </w:rPr>
        <w:t xml:space="preserve">OOB. </w:t>
      </w:r>
      <w:r w:rsidRPr="004774FC">
        <w:rPr>
          <w:rFonts w:cstheme="minorHAnsi"/>
          <w:bCs/>
          <w:color w:val="000000"/>
        </w:rPr>
        <w:t>Základním prvkem</w:t>
      </w:r>
      <w:r w:rsidR="00645C1D">
        <w:rPr>
          <w:rFonts w:cstheme="minorHAnsi"/>
          <w:bCs/>
          <w:color w:val="000000"/>
        </w:rPr>
        <w:t xml:space="preserve"> systému OOB</w:t>
      </w:r>
      <w:r w:rsidRPr="004774FC">
        <w:rPr>
          <w:rFonts w:cstheme="minorHAnsi"/>
          <w:bCs/>
          <w:color w:val="000000"/>
        </w:rPr>
        <w:t xml:space="preserve"> musí být </w:t>
      </w:r>
      <w:r w:rsidR="00645C1D">
        <w:rPr>
          <w:rFonts w:cstheme="minorHAnsi"/>
          <w:bCs/>
          <w:color w:val="000000"/>
        </w:rPr>
        <w:t xml:space="preserve">dle MV </w:t>
      </w:r>
      <w:r w:rsidRPr="004774FC">
        <w:rPr>
          <w:rFonts w:cstheme="minorHAnsi"/>
          <w:bCs/>
          <w:color w:val="000000"/>
        </w:rPr>
        <w:t>informovaný a</w:t>
      </w:r>
      <w:r w:rsidR="00662F66">
        <w:rPr>
          <w:rFonts w:cstheme="minorHAnsi"/>
          <w:bCs/>
          <w:color w:val="000000"/>
        </w:rPr>
        <w:t> </w:t>
      </w:r>
      <w:r w:rsidRPr="004774FC">
        <w:rPr>
          <w:rFonts w:cstheme="minorHAnsi"/>
          <w:bCs/>
          <w:color w:val="000000"/>
        </w:rPr>
        <w:t xml:space="preserve">sebevzdělaný občan, </w:t>
      </w:r>
      <w:r w:rsidRPr="004774FC">
        <w:rPr>
          <w:rFonts w:cstheme="minorHAnsi"/>
          <w:bCs/>
          <w:color w:val="000000"/>
          <w:lang w:eastAsia="cs-CZ"/>
        </w:rPr>
        <w:t>což</w:t>
      </w:r>
      <w:r w:rsidR="00662F66">
        <w:rPr>
          <w:rFonts w:cstheme="minorHAnsi"/>
          <w:bCs/>
          <w:color w:val="000000"/>
          <w:lang w:eastAsia="cs-CZ"/>
        </w:rPr>
        <w:t xml:space="preserve"> </w:t>
      </w:r>
      <w:r w:rsidRPr="004774FC">
        <w:rPr>
          <w:rFonts w:cstheme="minorHAnsi"/>
          <w:bCs/>
          <w:color w:val="000000"/>
          <w:lang w:eastAsia="cs-CZ"/>
        </w:rPr>
        <w:t>z dlouhodobého hlediska může přispět ke snižování ztrát na</w:t>
      </w:r>
      <w:r w:rsidR="00662F66">
        <w:rPr>
          <w:rFonts w:cstheme="minorHAnsi"/>
          <w:bCs/>
          <w:color w:val="000000"/>
          <w:lang w:eastAsia="cs-CZ"/>
        </w:rPr>
        <w:t xml:space="preserve"> </w:t>
      </w:r>
      <w:r w:rsidRPr="004774FC">
        <w:rPr>
          <w:rFonts w:cstheme="minorHAnsi"/>
          <w:bCs/>
          <w:color w:val="000000"/>
          <w:lang w:eastAsia="cs-CZ"/>
        </w:rPr>
        <w:t>životech a zdraví osob, zvířat, majetku a životním prostředí, a tím snižovat finanční zátěž při samotném řešení mimořádných událostí.</w:t>
      </w:r>
    </w:p>
    <w:p w14:paraId="61F0810B" w14:textId="5EFFBF27" w:rsidR="00A9144C" w:rsidRPr="001E4EE9" w:rsidRDefault="001E4EE9" w:rsidP="00A9144C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1E4EE9">
        <w:rPr>
          <w:rFonts w:asciiTheme="minorHAnsi" w:hAnsiTheme="minorHAnsi" w:cstheme="minorHAnsi"/>
          <w:color w:val="000000"/>
        </w:rPr>
        <w:t>NKÚ ověřil úkoly MV jako např. zahájit profesní, kvalifikační a doplňující profesní vzdělávání v</w:t>
      </w:r>
      <w:r w:rsidR="00C4638D">
        <w:rPr>
          <w:rFonts w:asciiTheme="minorHAnsi" w:hAnsiTheme="minorHAnsi" w:cstheme="minorHAnsi"/>
          <w:color w:val="000000"/>
        </w:rPr>
        <w:t> </w:t>
      </w:r>
      <w:r w:rsidRPr="001E4EE9">
        <w:rPr>
          <w:rFonts w:asciiTheme="minorHAnsi" w:hAnsiTheme="minorHAnsi" w:cstheme="minorHAnsi"/>
          <w:color w:val="000000"/>
        </w:rPr>
        <w:t>oblasti OOB, stanovit zaměření a formy přípravy obyvatelstva k sebeochraně a vzájemné pomoci nebo vyhodnotit realizaci výuky tématiky ochrany člověka na základních a středních školách a zvážit další postup. Úkol MV splnilo. Na základních a středních školách se začala vyučovat tematika ochrany člověka za mimořádných událostí a krizových situacích v rozsahu šesti vyučovacích hodin ročně.</w:t>
      </w:r>
      <w:r>
        <w:rPr>
          <w:rFonts w:asciiTheme="minorHAnsi" w:hAnsiTheme="minorHAnsi" w:cstheme="minorHAnsi"/>
          <w:color w:val="000000"/>
        </w:rPr>
        <w:t xml:space="preserve"> </w:t>
      </w:r>
      <w:r w:rsidR="00422922">
        <w:rPr>
          <w:rFonts w:asciiTheme="minorHAnsi" w:hAnsiTheme="minorHAnsi" w:cstheme="minorHAnsi"/>
          <w:color w:val="000000"/>
        </w:rPr>
        <w:t>Dle MV však i nadále</w:t>
      </w:r>
      <w:r w:rsidR="00A9144C" w:rsidRPr="004774FC">
        <w:rPr>
          <w:rFonts w:asciiTheme="minorHAnsi" w:hAnsiTheme="minorHAnsi" w:cstheme="minorHAnsi"/>
          <w:color w:val="000000"/>
        </w:rPr>
        <w:t xml:space="preserve"> většina občanů není dostatečně informována a připravena správně reagovat na mimořádné události a poskytnout pomoc sobě a svým blízkým. To byl jeden z důvodů, proč si ke zkvalitnění připravenosti fyzických osob v</w:t>
      </w:r>
      <w:r w:rsidR="00C4638D">
        <w:rPr>
          <w:rFonts w:asciiTheme="minorHAnsi" w:hAnsiTheme="minorHAnsi" w:cstheme="minorHAnsi"/>
          <w:color w:val="000000"/>
        </w:rPr>
        <w:t> </w:t>
      </w:r>
      <w:r w:rsidR="00A9144C" w:rsidRPr="004774FC">
        <w:rPr>
          <w:rFonts w:asciiTheme="minorHAnsi" w:hAnsiTheme="minorHAnsi" w:cstheme="minorHAnsi"/>
          <w:color w:val="000000"/>
        </w:rPr>
        <w:t xml:space="preserve">Koncepci 2013 stanovilo mj. úkol přijmout </w:t>
      </w:r>
      <w:r w:rsidR="00A9144C" w:rsidRPr="004774FC">
        <w:rPr>
          <w:rFonts w:asciiTheme="minorHAnsi" w:hAnsiTheme="minorHAnsi" w:cstheme="minorHAnsi"/>
          <w:i/>
          <w:color w:val="000000"/>
        </w:rPr>
        <w:t>Program výchovy a vzdělávání obyvatelstva k jeho bezpečnosti a ochraně při mimořádných událostech a krizových situacích</w:t>
      </w:r>
      <w:r w:rsidR="00A9144C" w:rsidRPr="004774FC">
        <w:rPr>
          <w:rFonts w:asciiTheme="minorHAnsi" w:hAnsiTheme="minorHAnsi" w:cstheme="minorHAnsi"/>
          <w:color w:val="000000"/>
        </w:rPr>
        <w:t>.</w:t>
      </w:r>
    </w:p>
    <w:p w14:paraId="1ECD8C73" w14:textId="023FE9EC" w:rsidR="00987CCD" w:rsidRPr="00662F66" w:rsidRDefault="00987CCD" w:rsidP="00C4638D">
      <w:pPr>
        <w:pStyle w:val="Mluvcnadpis"/>
        <w:spacing w:before="240"/>
        <w:rPr>
          <w:rFonts w:ascii="Calibri" w:hAnsi="Calibri" w:cs="Calibri"/>
          <w:i w:val="0"/>
        </w:rPr>
      </w:pPr>
      <w:r w:rsidRPr="00662F66">
        <w:rPr>
          <w:rFonts w:ascii="Calibri" w:hAnsi="Calibri" w:cs="Calibri"/>
          <w:i w:val="0"/>
        </w:rPr>
        <w:t xml:space="preserve">→ </w:t>
      </w:r>
      <w:r w:rsidR="00A81E27" w:rsidRPr="00662F66">
        <w:rPr>
          <w:rFonts w:ascii="Calibri" w:hAnsi="Calibri" w:cs="Calibri"/>
          <w:i w:val="0"/>
        </w:rPr>
        <w:t>Současný stav úrovně vzdělávání v oblasti OOB nelze považovat za uspokojivý</w:t>
      </w:r>
    </w:p>
    <w:p w14:paraId="62936526" w14:textId="5529C8B4" w:rsidR="00A9144C" w:rsidRPr="004774FC" w:rsidRDefault="009A723E" w:rsidP="00C32869">
      <w:pPr>
        <w:pStyle w:val="Normlsodsazenm"/>
      </w:pPr>
      <w:r>
        <w:rPr>
          <w:rFonts w:eastAsia="Times New Roman"/>
        </w:rPr>
        <w:t>NKÚ</w:t>
      </w:r>
      <w:r w:rsidR="008A2FE6">
        <w:rPr>
          <w:rFonts w:eastAsia="Times New Roman"/>
        </w:rPr>
        <w:t xml:space="preserve"> ověřil</w:t>
      </w:r>
      <w:r>
        <w:rPr>
          <w:rFonts w:eastAsia="Times New Roman"/>
        </w:rPr>
        <w:t>, že p</w:t>
      </w:r>
      <w:r w:rsidR="00A9144C" w:rsidRPr="004774FC">
        <w:rPr>
          <w:rFonts w:eastAsia="Times New Roman"/>
        </w:rPr>
        <w:t xml:space="preserve">lnění cílů </w:t>
      </w:r>
      <w:r w:rsidR="00662F66">
        <w:rPr>
          <w:rFonts w:eastAsia="Times New Roman"/>
        </w:rPr>
        <w:t>k</w:t>
      </w:r>
      <w:r w:rsidR="00A9144C" w:rsidRPr="004774FC">
        <w:rPr>
          <w:rFonts w:eastAsia="Times New Roman"/>
        </w:rPr>
        <w:t>oncepcí OOB v období 2002–2013 v oblasti vzdělávání vyhodnotilo MV v Koncepci 2020</w:t>
      </w:r>
      <w:r w:rsidR="000B3050">
        <w:rPr>
          <w:rFonts w:eastAsia="Times New Roman"/>
        </w:rPr>
        <w:t xml:space="preserve">, </w:t>
      </w:r>
      <w:r>
        <w:rPr>
          <w:rFonts w:eastAsia="Times New Roman"/>
        </w:rPr>
        <w:t>kde m</w:t>
      </w:r>
      <w:r w:rsidR="00A9144C" w:rsidRPr="004774FC">
        <w:rPr>
          <w:rFonts w:eastAsia="Times New Roman"/>
        </w:rPr>
        <w:t>j. sdělilo, že úroveň vzdělávání nereflektuje reálné hrozby a</w:t>
      </w:r>
      <w:r w:rsidR="00C4638D">
        <w:rPr>
          <w:rFonts w:eastAsia="Times New Roman"/>
        </w:rPr>
        <w:t> </w:t>
      </w:r>
      <w:r w:rsidR="00A9144C" w:rsidRPr="004774FC">
        <w:rPr>
          <w:rFonts w:eastAsia="Times New Roman"/>
        </w:rPr>
        <w:t>důsledky plynoucí z mimořádných událostí či krizových situací. Nejdůležitější příležitostí bylo</w:t>
      </w:r>
      <w:r w:rsidR="00662F66">
        <w:rPr>
          <w:rFonts w:eastAsia="Times New Roman"/>
        </w:rPr>
        <w:t xml:space="preserve"> </w:t>
      </w:r>
      <w:r w:rsidR="00A9144C" w:rsidRPr="004774FC">
        <w:rPr>
          <w:rFonts w:eastAsia="Times New Roman"/>
        </w:rPr>
        <w:t xml:space="preserve">proto dle MV další rozvíjení pravidelného vzdělávání v mateřských, základních a středních školách. Pro zlepšení situace bylo proto dle MV naprosto nezbytné oblast vzdělávání zapracovat do právních předpisů, ve kterých </w:t>
      </w:r>
      <w:r w:rsidR="00662F66">
        <w:rPr>
          <w:rFonts w:eastAsia="Times New Roman"/>
        </w:rPr>
        <w:t>by</w:t>
      </w:r>
      <w:r w:rsidR="00A9144C" w:rsidRPr="004774FC">
        <w:rPr>
          <w:rFonts w:eastAsia="Times New Roman"/>
        </w:rPr>
        <w:t xml:space="preserve"> bylo třeba konkretizovat pojmosloví, specifikovat úkoly a odpovědnosti a jasně stanovit práva a povinnosti všech zainteresovaných subjektů.</w:t>
      </w:r>
      <w:r w:rsidR="00C4638D">
        <w:rPr>
          <w:rFonts w:eastAsia="Times New Roman"/>
        </w:rPr>
        <w:t xml:space="preserve"> </w:t>
      </w:r>
      <w:r w:rsidR="00225FD4" w:rsidRPr="00B02E1D">
        <w:rPr>
          <w:rFonts w:eastAsia="Times New Roman"/>
          <w:color w:val="000000" w:themeColor="text1"/>
        </w:rPr>
        <w:t>NKÚ zjistil</w:t>
      </w:r>
      <w:r w:rsidR="00A9144C" w:rsidRPr="00CE1511">
        <w:rPr>
          <w:rFonts w:eastAsia="Times New Roman"/>
        </w:rPr>
        <w:t>, že MV ne</w:t>
      </w:r>
      <w:r w:rsidR="00A81E27" w:rsidRPr="00225FD4">
        <w:rPr>
          <w:rFonts w:eastAsia="Times New Roman"/>
        </w:rPr>
        <w:t>iniciovalo</w:t>
      </w:r>
      <w:r w:rsidR="00A9144C" w:rsidRPr="004774FC">
        <w:rPr>
          <w:rFonts w:eastAsia="Times New Roman"/>
        </w:rPr>
        <w:t xml:space="preserve"> do doby ukončení kontroly NKÚ žádné legislativní změny, které by </w:t>
      </w:r>
      <w:r w:rsidR="00A9144C" w:rsidRPr="004774FC">
        <w:t xml:space="preserve">neuspokojivou situaci zlepšily. </w:t>
      </w:r>
    </w:p>
    <w:p w14:paraId="5E0E0249" w14:textId="3F05856C" w:rsidR="00A9144C" w:rsidRDefault="00D17D04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lastRenderedPageBreak/>
        <w:t>V </w:t>
      </w:r>
      <w:r w:rsidRPr="00B46F4F">
        <w:rPr>
          <w:rFonts w:cstheme="minorHAnsi"/>
        </w:rPr>
        <w:t>roce 201</w:t>
      </w:r>
      <w:r w:rsidR="00B46F4F" w:rsidRPr="00B46F4F">
        <w:rPr>
          <w:rFonts w:cstheme="minorHAnsi"/>
        </w:rPr>
        <w:t>6</w:t>
      </w:r>
      <w:r w:rsidRPr="00B46F4F">
        <w:rPr>
          <w:rFonts w:cstheme="minorHAnsi"/>
        </w:rPr>
        <w:t xml:space="preserve"> prověřilo</w:t>
      </w:r>
      <w:r w:rsidRPr="004774FC">
        <w:rPr>
          <w:rFonts w:cstheme="minorHAnsi"/>
        </w:rPr>
        <w:t xml:space="preserve"> MV spolu s Českou školní inspekcí</w:t>
      </w:r>
      <w:r>
        <w:rPr>
          <w:rFonts w:cstheme="minorHAnsi"/>
        </w:rPr>
        <w:t xml:space="preserve"> ú</w:t>
      </w:r>
      <w:r w:rsidR="00A9144C" w:rsidRPr="004774FC">
        <w:rPr>
          <w:rFonts w:cstheme="minorHAnsi"/>
        </w:rPr>
        <w:t>roveň vzdělání v rámci ověřování znalostí žáků 5. a 9. ročníků základních škol</w:t>
      </w:r>
      <w:r w:rsidR="00A9144C" w:rsidRPr="004774FC">
        <w:rPr>
          <w:rStyle w:val="Znakapoznpodarou"/>
          <w:rFonts w:cstheme="minorHAnsi"/>
        </w:rPr>
        <w:footnoteReference w:id="42"/>
      </w:r>
      <w:r w:rsidR="00A9144C" w:rsidRPr="004774FC">
        <w:rPr>
          <w:rFonts w:cstheme="minorHAnsi"/>
        </w:rPr>
        <w:t>, které bylo mimo jiné zaměřeno i na bezpečnostní témata</w:t>
      </w:r>
      <w:r w:rsidR="00662F66">
        <w:rPr>
          <w:rFonts w:cstheme="minorHAnsi"/>
        </w:rPr>
        <w:t>,</w:t>
      </w:r>
      <w:r w:rsidR="00A9144C" w:rsidRPr="004774FC">
        <w:rPr>
          <w:rFonts w:cstheme="minorHAnsi"/>
        </w:rPr>
        <w:t xml:space="preserve"> jako je ochrana člověka za mimořádných událostí, ochrana zdraví, příprava občanů k obraně státu nebo bezpečnost v dopravě. Celková průměrná úspěšnost respondentů byla 60</w:t>
      </w:r>
      <w:r w:rsidR="00C4638D">
        <w:rPr>
          <w:rFonts w:cstheme="minorHAnsi"/>
        </w:rPr>
        <w:t> </w:t>
      </w:r>
      <w:r w:rsidR="00A9144C" w:rsidRPr="004774FC">
        <w:rPr>
          <w:rFonts w:cstheme="minorHAnsi"/>
        </w:rPr>
        <w:t xml:space="preserve">%, ačkoliv požadovanou (minimální) úspěšností byla hodnota 67 %, u problematik vztahujících se k řešení mimořádných událostí výsledek dosáhl pouze 53 %. </w:t>
      </w:r>
      <w:r>
        <w:rPr>
          <w:rFonts w:cstheme="minorHAnsi"/>
        </w:rPr>
        <w:t>V</w:t>
      </w:r>
      <w:r w:rsidRPr="004774FC">
        <w:rPr>
          <w:rFonts w:cstheme="minorHAnsi"/>
        </w:rPr>
        <w:t> roce 2022</w:t>
      </w:r>
      <w:r>
        <w:rPr>
          <w:rFonts w:cstheme="minorHAnsi"/>
        </w:rPr>
        <w:t xml:space="preserve"> provedl NKÚ v rámci této kontrolní akce </w:t>
      </w:r>
      <w:r w:rsidR="00A9144C" w:rsidRPr="004774FC">
        <w:rPr>
          <w:rFonts w:cstheme="minorHAnsi"/>
        </w:rPr>
        <w:t>dotazníkové šetření, respondenty byli žáci 3.</w:t>
      </w:r>
      <w:r w:rsidR="00C4638D">
        <w:rPr>
          <w:rFonts w:cstheme="minorHAnsi"/>
        </w:rPr>
        <w:t> </w:t>
      </w:r>
      <w:r w:rsidR="00A9144C" w:rsidRPr="004774FC">
        <w:rPr>
          <w:rFonts w:cstheme="minorHAnsi"/>
        </w:rPr>
        <w:t>a</w:t>
      </w:r>
      <w:r w:rsidR="00C4638D">
        <w:rPr>
          <w:rFonts w:cstheme="minorHAnsi"/>
        </w:rPr>
        <w:t> </w:t>
      </w:r>
      <w:r w:rsidR="00A9144C" w:rsidRPr="004774FC">
        <w:rPr>
          <w:rFonts w:cstheme="minorHAnsi"/>
        </w:rPr>
        <w:t>4.</w:t>
      </w:r>
      <w:r w:rsidR="00C4638D">
        <w:rPr>
          <w:rFonts w:cstheme="minorHAnsi"/>
        </w:rPr>
        <w:t> </w:t>
      </w:r>
      <w:r w:rsidR="00A9144C" w:rsidRPr="004774FC">
        <w:rPr>
          <w:rFonts w:cstheme="minorHAnsi"/>
        </w:rPr>
        <w:t>ročníků SŠ a také 7. a 8. ročníků u víceletých SŠ</w:t>
      </w:r>
      <w:r w:rsidR="00C169FC">
        <w:rPr>
          <w:rFonts w:cstheme="minorHAnsi"/>
        </w:rPr>
        <w:t xml:space="preserve">, </w:t>
      </w:r>
      <w:r>
        <w:rPr>
          <w:rFonts w:ascii="Calibri" w:eastAsia="Calibri" w:hAnsi="Calibri" w:cs="Calibri"/>
        </w:rPr>
        <w:t xml:space="preserve">celkem </w:t>
      </w:r>
      <w:r w:rsidRPr="004774FC">
        <w:rPr>
          <w:rFonts w:cstheme="minorHAnsi"/>
        </w:rPr>
        <w:t>46</w:t>
      </w:r>
      <w:r>
        <w:rPr>
          <w:rFonts w:cstheme="minorHAnsi"/>
        </w:rPr>
        <w:t> </w:t>
      </w:r>
      <w:r w:rsidRPr="004774FC">
        <w:rPr>
          <w:rFonts w:cstheme="minorHAnsi"/>
        </w:rPr>
        <w:t>922</w:t>
      </w:r>
      <w:r>
        <w:rPr>
          <w:rFonts w:ascii="Calibri" w:eastAsia="Calibri" w:hAnsi="Calibri" w:cs="Calibri"/>
        </w:rPr>
        <w:t xml:space="preserve"> odpovědí </w:t>
      </w:r>
      <w:r w:rsidRPr="00E7521C">
        <w:rPr>
          <w:rFonts w:ascii="Calibri" w:eastAsia="Calibri" w:hAnsi="Calibri" w:cs="Calibri"/>
        </w:rPr>
        <w:t>dokazuje mimořádný zájem veřejnosti o tuto problematiku</w:t>
      </w:r>
      <w:r w:rsidR="00C169FC">
        <w:rPr>
          <w:rFonts w:ascii="Calibri" w:eastAsia="Calibri" w:hAnsi="Calibri" w:cs="Calibri"/>
        </w:rPr>
        <w:t xml:space="preserve">. </w:t>
      </w:r>
      <w:r w:rsidR="00C169FC">
        <w:rPr>
          <w:rFonts w:cstheme="minorHAnsi"/>
        </w:rPr>
        <w:t>Také</w:t>
      </w:r>
      <w:r w:rsidR="00A9144C" w:rsidRPr="004774FC">
        <w:rPr>
          <w:rFonts w:cstheme="minorHAnsi"/>
        </w:rPr>
        <w:t xml:space="preserve"> NKÚ zjistil, že řada respondentů nedisponuje potřebnými znalostmi z klíčových oblastí OOB – např. varování</w:t>
      </w:r>
      <w:r w:rsidR="00DC7BEE">
        <w:rPr>
          <w:rFonts w:cstheme="minorHAnsi"/>
        </w:rPr>
        <w:t xml:space="preserve"> a </w:t>
      </w:r>
      <w:r w:rsidR="00A9144C" w:rsidRPr="00EE43D3">
        <w:rPr>
          <w:rFonts w:cstheme="minorHAnsi"/>
        </w:rPr>
        <w:t xml:space="preserve">ukrytí </w:t>
      </w:r>
      <w:r w:rsidR="00A9144C" w:rsidRPr="00C4638D">
        <w:rPr>
          <w:rFonts w:cstheme="minorHAnsi"/>
          <w:b/>
        </w:rPr>
        <w:t>(</w:t>
      </w:r>
      <w:r w:rsidR="00DC7BEE" w:rsidRPr="00C4638D">
        <w:rPr>
          <w:rFonts w:cstheme="minorHAnsi"/>
          <w:b/>
        </w:rPr>
        <w:t>v</w:t>
      </w:r>
      <w:r w:rsidR="00DC7BEE" w:rsidRPr="00EE43D3">
        <w:rPr>
          <w:rFonts w:cstheme="minorHAnsi"/>
          <w:b/>
        </w:rPr>
        <w:t>iz s</w:t>
      </w:r>
      <w:r w:rsidR="00E1373D" w:rsidRPr="00EE43D3">
        <w:rPr>
          <w:rFonts w:cstheme="minorHAnsi"/>
          <w:b/>
        </w:rPr>
        <w:t>trana</w:t>
      </w:r>
      <w:r w:rsidR="00662F66">
        <w:rPr>
          <w:rFonts w:cstheme="minorHAnsi"/>
          <w:b/>
        </w:rPr>
        <w:t> </w:t>
      </w:r>
      <w:r w:rsidR="00E1373D" w:rsidRPr="00EE43D3">
        <w:rPr>
          <w:rFonts w:cstheme="minorHAnsi"/>
          <w:b/>
        </w:rPr>
        <w:t>2</w:t>
      </w:r>
      <w:r w:rsidR="00AD6EE0">
        <w:rPr>
          <w:rFonts w:cstheme="minorHAnsi"/>
          <w:b/>
        </w:rPr>
        <w:t xml:space="preserve"> </w:t>
      </w:r>
      <w:r w:rsidR="00662F66">
        <w:rPr>
          <w:rFonts w:cstheme="minorHAnsi"/>
          <w:b/>
        </w:rPr>
        <w:t xml:space="preserve">tohoto </w:t>
      </w:r>
      <w:r w:rsidR="00AD6EE0">
        <w:rPr>
          <w:rFonts w:cstheme="minorHAnsi"/>
          <w:b/>
        </w:rPr>
        <w:t>kontrolního závěru</w:t>
      </w:r>
      <w:r w:rsidR="00A9144C" w:rsidRPr="00C4638D">
        <w:rPr>
          <w:rFonts w:cstheme="minorHAnsi"/>
          <w:b/>
        </w:rPr>
        <w:t>).</w:t>
      </w:r>
      <w:r w:rsidR="00A9144C" w:rsidRPr="004774FC">
        <w:rPr>
          <w:rFonts w:cstheme="minorHAnsi"/>
        </w:rPr>
        <w:t xml:space="preserve"> </w:t>
      </w:r>
    </w:p>
    <w:p w14:paraId="5A7A955E" w14:textId="2F9C9F2F" w:rsidR="00A9144C" w:rsidRPr="004774FC" w:rsidRDefault="007B1CAE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t>NKÚ zjistil, že n</w:t>
      </w:r>
      <w:r w:rsidR="00A9144C" w:rsidRPr="004774FC">
        <w:rPr>
          <w:rFonts w:cstheme="minorHAnsi"/>
        </w:rPr>
        <w:t>a neuspokojivý stav v oblasti vzdělávání navazuje MV cíli stanovenými v</w:t>
      </w:r>
      <w:r w:rsidR="00C4638D">
        <w:rPr>
          <w:rFonts w:cstheme="minorHAnsi"/>
        </w:rPr>
        <w:t> </w:t>
      </w:r>
      <w:r w:rsidR="00A9144C" w:rsidRPr="004774FC">
        <w:rPr>
          <w:rFonts w:cstheme="minorHAnsi"/>
        </w:rPr>
        <w:t xml:space="preserve">Koncepci 2025, kterými jsou především vzdělávání a příprava žáků a studentů a občan, který je připravován moderními metodami vzdělávání. K prvému cíli se váže úkol vytvořit v rámci vzdělávacích programů pro základní a středoškolské vzdělávání samostatnou oblast </w:t>
      </w:r>
      <w:r w:rsidR="00A9144C" w:rsidRPr="00C4638D">
        <w:rPr>
          <w:rFonts w:cstheme="minorHAnsi"/>
        </w:rPr>
        <w:t>„</w:t>
      </w:r>
      <w:r w:rsidR="00A9144C" w:rsidRPr="00601496">
        <w:rPr>
          <w:rFonts w:cstheme="minorHAnsi"/>
          <w:i/>
        </w:rPr>
        <w:t>Výchova k bezpečnosti</w:t>
      </w:r>
      <w:r w:rsidR="00A9144C" w:rsidRPr="00C4638D">
        <w:rPr>
          <w:rFonts w:cstheme="minorHAnsi"/>
        </w:rPr>
        <w:t>“</w:t>
      </w:r>
      <w:r w:rsidR="00A9144C" w:rsidRPr="004774FC">
        <w:rPr>
          <w:rFonts w:cstheme="minorHAnsi"/>
        </w:rPr>
        <w:t xml:space="preserve"> a zahájit její realizaci.</w:t>
      </w:r>
      <w:r w:rsidR="00231F78">
        <w:rPr>
          <w:rFonts w:cstheme="minorHAnsi"/>
        </w:rPr>
        <w:t xml:space="preserve"> </w:t>
      </w:r>
      <w:r w:rsidR="00A9144C" w:rsidRPr="004774FC">
        <w:rPr>
          <w:rFonts w:cstheme="minorHAnsi"/>
        </w:rPr>
        <w:t xml:space="preserve">Příkladem zahraniční praxe může být např. Polsko, kde již od roku 2009 existuje samostatný předmět </w:t>
      </w:r>
      <w:r w:rsidR="00A9144C" w:rsidRPr="008C76AA">
        <w:rPr>
          <w:rFonts w:cstheme="minorHAnsi"/>
          <w:i/>
        </w:rPr>
        <w:t>Výchova k bezpečnosti</w:t>
      </w:r>
      <w:r w:rsidR="00A9144C" w:rsidRPr="004774FC">
        <w:rPr>
          <w:rFonts w:cstheme="minorHAnsi"/>
        </w:rPr>
        <w:t xml:space="preserve"> („</w:t>
      </w:r>
      <w:proofErr w:type="spellStart"/>
      <w:r w:rsidR="00273B45">
        <w:fldChar w:fldCharType="begin"/>
      </w:r>
      <w:r w:rsidR="00273B45">
        <w:instrText xml:space="preserve"> HYPERLINK "https://podstawaprogramowa.pl/Szkola-podstawowa-IV-VIII/Edukacja-dla-bezpieczenstwa" </w:instrText>
      </w:r>
      <w:r w:rsidR="00273B45">
        <w:fldChar w:fldCharType="separate"/>
      </w:r>
      <w:r w:rsidR="00A9144C" w:rsidRPr="004774FC">
        <w:rPr>
          <w:rFonts w:cstheme="minorHAnsi"/>
        </w:rPr>
        <w:t>Edukacja</w:t>
      </w:r>
      <w:proofErr w:type="spellEnd"/>
      <w:r w:rsidR="00A9144C" w:rsidRPr="004774FC">
        <w:rPr>
          <w:rFonts w:cstheme="minorHAnsi"/>
        </w:rPr>
        <w:t xml:space="preserve"> </w:t>
      </w:r>
      <w:proofErr w:type="spellStart"/>
      <w:r w:rsidR="00A9144C" w:rsidRPr="004774FC">
        <w:rPr>
          <w:rFonts w:cstheme="minorHAnsi"/>
        </w:rPr>
        <w:t>dla</w:t>
      </w:r>
      <w:proofErr w:type="spellEnd"/>
      <w:r w:rsidR="00A9144C" w:rsidRPr="004774FC">
        <w:rPr>
          <w:rFonts w:cstheme="minorHAnsi"/>
        </w:rPr>
        <w:t xml:space="preserve"> </w:t>
      </w:r>
      <w:proofErr w:type="spellStart"/>
      <w:r w:rsidR="00A9144C" w:rsidRPr="004774FC">
        <w:rPr>
          <w:rFonts w:cstheme="minorHAnsi"/>
        </w:rPr>
        <w:t>bezpieczeństwa</w:t>
      </w:r>
      <w:proofErr w:type="spellEnd"/>
      <w:r w:rsidR="00273B45">
        <w:rPr>
          <w:rFonts w:cstheme="minorHAnsi"/>
        </w:rPr>
        <w:fldChar w:fldCharType="end"/>
      </w:r>
      <w:r w:rsidR="00A9144C" w:rsidRPr="004774FC">
        <w:rPr>
          <w:rFonts w:cstheme="minorHAnsi"/>
        </w:rPr>
        <w:t>“)</w:t>
      </w:r>
      <w:r w:rsidR="00A9144C" w:rsidRPr="004774FC">
        <w:rPr>
          <w:rStyle w:val="Znakapoznpodarou"/>
          <w:rFonts w:cstheme="minorHAnsi"/>
        </w:rPr>
        <w:footnoteReference w:id="43"/>
      </w:r>
      <w:r w:rsidR="00C4638D">
        <w:rPr>
          <w:rFonts w:cstheme="minorHAnsi"/>
        </w:rPr>
        <w:t xml:space="preserve"> </w:t>
      </w:r>
      <w:r w:rsidR="00A9144C" w:rsidRPr="004774FC">
        <w:rPr>
          <w:rFonts w:cstheme="minorHAnsi"/>
        </w:rPr>
        <w:t>věnující se OOB. Je povinný v 8. ročníku</w:t>
      </w:r>
      <w:r w:rsidR="00F45902">
        <w:rPr>
          <w:rFonts w:cstheme="minorHAnsi"/>
        </w:rPr>
        <w:t xml:space="preserve"> </w:t>
      </w:r>
      <w:r w:rsidR="00A9144C" w:rsidRPr="004774FC">
        <w:rPr>
          <w:rFonts w:cstheme="minorHAnsi"/>
        </w:rPr>
        <w:t xml:space="preserve">základní školy a na 1. stupni vyšších odborných škol v rozsahu </w:t>
      </w:r>
      <w:r w:rsidR="00F45902">
        <w:rPr>
          <w:rFonts w:cstheme="minorHAnsi"/>
        </w:rPr>
        <w:t>jedné</w:t>
      </w:r>
      <w:r w:rsidR="00A9144C" w:rsidRPr="004774FC">
        <w:rPr>
          <w:rFonts w:cstheme="minorHAnsi"/>
        </w:rPr>
        <w:t xml:space="preserve"> hodiny týdně.</w:t>
      </w:r>
    </w:p>
    <w:p w14:paraId="3A84F86D" w14:textId="45981CF1" w:rsidR="00034112" w:rsidRPr="00CE1511" w:rsidRDefault="00034112" w:rsidP="00B02E1D">
      <w:pPr>
        <w:pStyle w:val="Default"/>
        <w:spacing w:after="120"/>
        <w:jc w:val="both"/>
        <w:rPr>
          <w:rFonts w:cstheme="minorHAnsi"/>
        </w:rPr>
      </w:pPr>
      <w:bookmarkStart w:id="5" w:name="_Toc130002"/>
      <w:r w:rsidRPr="00D96BF5">
        <w:rPr>
          <w:rFonts w:eastAsia="Calibri" w:cstheme="minorHAnsi"/>
        </w:rPr>
        <w:t xml:space="preserve">Při kontrole peněžních prostředků státního rozpočtu </w:t>
      </w:r>
      <w:r>
        <w:rPr>
          <w:rFonts w:eastAsia="Calibri" w:cstheme="minorHAnsi"/>
        </w:rPr>
        <w:t xml:space="preserve">ve výši 1,75 mil. Kč </w:t>
      </w:r>
      <w:r w:rsidRPr="00D96BF5">
        <w:rPr>
          <w:rFonts w:eastAsia="Calibri" w:cstheme="minorHAnsi"/>
        </w:rPr>
        <w:t xml:space="preserve">vynaložených MV v kontrolovaném období </w:t>
      </w:r>
      <w:r>
        <w:rPr>
          <w:rFonts w:eastAsia="Calibri" w:cstheme="minorHAnsi"/>
        </w:rPr>
        <w:t xml:space="preserve">na </w:t>
      </w:r>
      <w:r w:rsidRPr="00B02E1D">
        <w:rPr>
          <w:rFonts w:eastAsia="Calibri" w:cstheme="minorHAnsi"/>
        </w:rPr>
        <w:t>Centrum zdraví a bezpečí v Karlových Varech</w:t>
      </w:r>
      <w:r w:rsidRPr="00C4638D">
        <w:rPr>
          <w:rFonts w:eastAsia="Calibri" w:cstheme="minorHAnsi"/>
        </w:rPr>
        <w:t xml:space="preserve"> </w:t>
      </w:r>
      <w:r w:rsidRPr="00D96BF5">
        <w:rPr>
          <w:rFonts w:eastAsia="Calibri" w:cstheme="minorHAnsi"/>
        </w:rPr>
        <w:t>nezjistil NKÚ nedostatky.</w:t>
      </w:r>
    </w:p>
    <w:p w14:paraId="61AED50A" w14:textId="6725036B" w:rsidR="00722F58" w:rsidRPr="007604DB" w:rsidRDefault="007604DB" w:rsidP="00C4638D">
      <w:pPr>
        <w:spacing w:before="240" w:after="120"/>
        <w:jc w:val="both"/>
        <w:rPr>
          <w:rFonts w:eastAsia="Calibri" w:cstheme="minorHAnsi"/>
          <w:b/>
        </w:rPr>
      </w:pPr>
      <w:r w:rsidRPr="007604DB">
        <w:rPr>
          <w:rFonts w:eastAsia="Calibri" w:cstheme="minorHAnsi"/>
          <w:b/>
        </w:rPr>
        <w:t xml:space="preserve">G. MV nevyužilo v praxi OOB některé výsledky výzkumu projektů (např. funkční vzorky PIO). Nedošlo tak k naplnění předpokládaných ekonomických přínosů vyplývajících </w:t>
      </w:r>
      <w:proofErr w:type="gramStart"/>
      <w:r w:rsidRPr="007604DB">
        <w:rPr>
          <w:rFonts w:eastAsia="Calibri" w:cstheme="minorHAnsi"/>
          <w:b/>
        </w:rPr>
        <w:t>ze</w:t>
      </w:r>
      <w:proofErr w:type="gramEnd"/>
      <w:r w:rsidRPr="007604DB">
        <w:rPr>
          <w:rFonts w:eastAsia="Calibri" w:cstheme="minorHAnsi"/>
          <w:b/>
        </w:rPr>
        <w:t xml:space="preserve"> zavedení dosažených výsledků do praxe. Na projekty přitom MV vynaložilo celkem 132,5 mil. Kč.</w:t>
      </w:r>
    </w:p>
    <w:p w14:paraId="0B2FC38B" w14:textId="57F1ABEB" w:rsidR="00A9144C" w:rsidRPr="00C4638D" w:rsidRDefault="00A9144C" w:rsidP="00A9144C">
      <w:pPr>
        <w:shd w:val="clear" w:color="auto" w:fill="D9D9D9" w:themeFill="background1" w:themeFillShade="D9"/>
        <w:spacing w:after="120"/>
        <w:ind w:left="6"/>
        <w:jc w:val="both"/>
        <w:rPr>
          <w:rFonts w:cstheme="minorHAnsi"/>
          <w:iCs/>
        </w:rPr>
      </w:pPr>
      <w:r w:rsidRPr="00C4638D">
        <w:rPr>
          <w:rFonts w:cstheme="minorHAnsi"/>
          <w:iCs/>
        </w:rPr>
        <w:t>Kontrolou NKÚ bylo ověřeno, zda MV prostřednictvím Institutu ochrany obyvatelstva Lázně Bohdaneč (dále také „IOO“) plní vědecké a výzkumné úkoly v oblasti OOB uvedené v</w:t>
      </w:r>
      <w:r w:rsidR="00C4638D">
        <w:rPr>
          <w:rFonts w:cstheme="minorHAnsi"/>
          <w:iCs/>
        </w:rPr>
        <w:t> </w:t>
      </w:r>
      <w:r w:rsidRPr="00C4638D">
        <w:rPr>
          <w:rFonts w:cstheme="minorHAnsi"/>
          <w:iCs/>
        </w:rPr>
        <w:t>koncepcích OOB.</w:t>
      </w:r>
      <w:r w:rsidR="00A846D3" w:rsidRPr="00C4638D">
        <w:rPr>
          <w:rFonts w:cstheme="minorHAnsi"/>
          <w:iCs/>
        </w:rPr>
        <w:t xml:space="preserve"> </w:t>
      </w:r>
      <w:r w:rsidRPr="00C4638D">
        <w:rPr>
          <w:rFonts w:cstheme="minorHAnsi"/>
          <w:iCs/>
        </w:rPr>
        <w:t>NKÚ za účelné považoval použití peněžních prostředků stát</w:t>
      </w:r>
      <w:r w:rsidR="00B05078" w:rsidRPr="00C4638D">
        <w:rPr>
          <w:rFonts w:cstheme="minorHAnsi"/>
          <w:iCs/>
        </w:rPr>
        <w:t>ního rozpočtu</w:t>
      </w:r>
      <w:r w:rsidRPr="00C4638D">
        <w:rPr>
          <w:rFonts w:cstheme="minorHAnsi"/>
          <w:iCs/>
        </w:rPr>
        <w:t xml:space="preserve"> ke splnění úkolů </w:t>
      </w:r>
      <w:r w:rsidR="00F45902">
        <w:rPr>
          <w:rFonts w:cstheme="minorHAnsi"/>
          <w:iCs/>
        </w:rPr>
        <w:t>k</w:t>
      </w:r>
      <w:r w:rsidRPr="00C4638D">
        <w:rPr>
          <w:rFonts w:cstheme="minorHAnsi"/>
          <w:iCs/>
        </w:rPr>
        <w:t xml:space="preserve">oncepcí OOB a dosažení zamýšlených výsledků (dopadů), tj. splnění cílů </w:t>
      </w:r>
      <w:r w:rsidR="00F45902">
        <w:rPr>
          <w:rFonts w:cstheme="minorHAnsi"/>
          <w:iCs/>
        </w:rPr>
        <w:t>k</w:t>
      </w:r>
      <w:r w:rsidRPr="00C4638D">
        <w:rPr>
          <w:rFonts w:cstheme="minorHAnsi"/>
          <w:iCs/>
        </w:rPr>
        <w:t>oncepcí OOB. V oblasti výzkumu se jednalo o vyhodnocení peněžních prostředků stát</w:t>
      </w:r>
      <w:r w:rsidR="00B05078" w:rsidRPr="00C4638D">
        <w:rPr>
          <w:rFonts w:cstheme="minorHAnsi"/>
          <w:iCs/>
        </w:rPr>
        <w:t>ního rozpočtu</w:t>
      </w:r>
      <w:r w:rsidRPr="00C4638D">
        <w:rPr>
          <w:rFonts w:cstheme="minorHAnsi"/>
          <w:iCs/>
        </w:rPr>
        <w:t xml:space="preserve"> vynaložených na realizaci projektů výzkumu IOO v oblasti PIO ve vazbě na jejich následné praktické využití v oblasti OOB.</w:t>
      </w:r>
    </w:p>
    <w:p w14:paraId="426D55FB" w14:textId="6D5D3ED2" w:rsidR="00A9144C" w:rsidRPr="00C5465C" w:rsidRDefault="00034112" w:rsidP="00A9144C">
      <w:pPr>
        <w:spacing w:after="120"/>
        <w:ind w:left="11" w:hanging="11"/>
        <w:jc w:val="both"/>
        <w:rPr>
          <w:rFonts w:cstheme="minorHAnsi"/>
        </w:rPr>
      </w:pPr>
      <w:r>
        <w:rPr>
          <w:rFonts w:cstheme="minorHAnsi"/>
        </w:rPr>
        <w:t>N</w:t>
      </w:r>
      <w:r w:rsidR="00077002">
        <w:rPr>
          <w:rFonts w:cstheme="minorHAnsi"/>
        </w:rPr>
        <w:t xml:space="preserve">KÚ ověřil, že </w:t>
      </w:r>
      <w:r w:rsidR="00A9144C" w:rsidRPr="00C5465C">
        <w:rPr>
          <w:rFonts w:cstheme="minorHAnsi"/>
        </w:rPr>
        <w:t>MV zřídilo IOO dle ustanovení § 6 odst. 8 zákona č. 320/2015 Sb</w:t>
      </w:r>
      <w:r w:rsidR="00AE12B2">
        <w:rPr>
          <w:rFonts w:cstheme="minorHAnsi"/>
        </w:rPr>
        <w:t>.</w:t>
      </w:r>
      <w:r w:rsidR="00AE12B2" w:rsidRPr="00C5465C">
        <w:rPr>
          <w:rFonts w:cstheme="minorHAnsi"/>
        </w:rPr>
        <w:t xml:space="preserve"> </w:t>
      </w:r>
      <w:r w:rsidR="00A9144C" w:rsidRPr="00C5465C">
        <w:rPr>
          <w:rFonts w:cstheme="minorHAnsi"/>
        </w:rPr>
        <w:t xml:space="preserve">jako účelové zařízení MV pro vědu a výzkum. IOO je dle </w:t>
      </w:r>
      <w:r w:rsidR="00704771">
        <w:rPr>
          <w:rFonts w:cstheme="minorHAnsi"/>
        </w:rPr>
        <w:t>k</w:t>
      </w:r>
      <w:r w:rsidR="00A9144C" w:rsidRPr="00C5465C">
        <w:rPr>
          <w:rFonts w:cstheme="minorHAnsi"/>
        </w:rPr>
        <w:t xml:space="preserve">oncepcí OOB mj. odpovědné za vlastní doplňkový a aplikační výzkum v oblasti OOB a </w:t>
      </w:r>
      <w:r w:rsidR="00CA578F">
        <w:rPr>
          <w:rFonts w:cstheme="minorHAnsi"/>
        </w:rPr>
        <w:t xml:space="preserve">podílí se na </w:t>
      </w:r>
      <w:r w:rsidR="00A9144C" w:rsidRPr="00C5465C">
        <w:rPr>
          <w:rFonts w:cstheme="minorHAnsi"/>
        </w:rPr>
        <w:t>transfer</w:t>
      </w:r>
      <w:r w:rsidR="00CA578F">
        <w:rPr>
          <w:rFonts w:cstheme="minorHAnsi"/>
        </w:rPr>
        <w:t>u</w:t>
      </w:r>
      <w:r w:rsidR="00A9144C" w:rsidRPr="00C5465C">
        <w:rPr>
          <w:rFonts w:cstheme="minorHAnsi"/>
        </w:rPr>
        <w:t xml:space="preserve"> výsledků do praxe.</w:t>
      </w:r>
    </w:p>
    <w:p w14:paraId="778857A5" w14:textId="1C5ACE78" w:rsidR="00A9144C" w:rsidRDefault="00034112" w:rsidP="00A9144C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MV v </w:t>
      </w:r>
      <w:r w:rsidR="00A9144C" w:rsidRPr="00C5465C">
        <w:rPr>
          <w:rFonts w:cstheme="minorHAnsi"/>
        </w:rPr>
        <w:t>Koncepci 2020 vyhodnotilo, že neexistuje bližší provázanost mezi aktéry podpory ochrany obyvatelstva, zejména mezi výzkumnými pracovišti, vysokoškolskými zařízeními a</w:t>
      </w:r>
      <w:r w:rsidR="00C4638D">
        <w:rPr>
          <w:rFonts w:cstheme="minorHAnsi"/>
        </w:rPr>
        <w:t> </w:t>
      </w:r>
      <w:r w:rsidR="00A9144C" w:rsidRPr="00C5465C">
        <w:rPr>
          <w:rFonts w:cstheme="minorHAnsi"/>
        </w:rPr>
        <w:t>uživateli výsledků.</w:t>
      </w:r>
      <w:r w:rsidR="00A9144C" w:rsidRPr="00C5465C">
        <w:rPr>
          <w:rFonts w:cstheme="minorHAnsi"/>
          <w:bCs/>
        </w:rPr>
        <w:t xml:space="preserve"> Jedním z cílů proto stanovilo zefektivnění, resp. zvýšení </w:t>
      </w:r>
      <w:r w:rsidR="00A9144C" w:rsidRPr="00C5465C">
        <w:rPr>
          <w:rFonts w:cstheme="minorHAnsi"/>
        </w:rPr>
        <w:t xml:space="preserve">využívání výsledků výzkumné činnosti ve prospěch podpory OOB. </w:t>
      </w:r>
      <w:r w:rsidR="00A9144C" w:rsidRPr="00C5465C">
        <w:rPr>
          <w:rFonts w:cstheme="minorHAnsi"/>
          <w:bCs/>
        </w:rPr>
        <w:t>K </w:t>
      </w:r>
      <w:r w:rsidR="00A9144C" w:rsidRPr="00C5465C">
        <w:rPr>
          <w:rFonts w:cstheme="minorHAnsi"/>
        </w:rPr>
        <w:t xml:space="preserve">dosažení přenosu získaných poznatků do praxe měl sloužit úkol </w:t>
      </w:r>
      <w:r w:rsidR="00A9144C" w:rsidRPr="00C5465C">
        <w:rPr>
          <w:rFonts w:cstheme="minorHAnsi"/>
          <w:iCs/>
          <w:color w:val="000000" w:themeColor="text1"/>
        </w:rPr>
        <w:t xml:space="preserve">vytvořit platformu pro efektivní výměnu informací </w:t>
      </w:r>
      <w:r w:rsidR="00A9144C" w:rsidRPr="00C5465C">
        <w:rPr>
          <w:rFonts w:cstheme="minorHAnsi"/>
          <w:iCs/>
          <w:color w:val="000000" w:themeColor="text1"/>
        </w:rPr>
        <w:lastRenderedPageBreak/>
        <w:t>a</w:t>
      </w:r>
      <w:r w:rsidR="00C4638D">
        <w:rPr>
          <w:rFonts w:cstheme="minorHAnsi"/>
          <w:iCs/>
          <w:color w:val="000000" w:themeColor="text1"/>
        </w:rPr>
        <w:t> </w:t>
      </w:r>
      <w:r w:rsidR="00A9144C" w:rsidRPr="00C5465C">
        <w:rPr>
          <w:rFonts w:cstheme="minorHAnsi"/>
          <w:iCs/>
          <w:color w:val="000000" w:themeColor="text1"/>
        </w:rPr>
        <w:t>zkušeností mezi výzkumnými pracovišti, akademickou obcí a aplikační sférou</w:t>
      </w:r>
      <w:r w:rsidR="00A9144C" w:rsidRPr="00C5465C">
        <w:rPr>
          <w:rFonts w:cstheme="minorHAnsi"/>
          <w:color w:val="000000" w:themeColor="text1"/>
        </w:rPr>
        <w:t xml:space="preserve">. </w:t>
      </w:r>
      <w:r w:rsidR="00077002">
        <w:rPr>
          <w:rFonts w:cstheme="minorHAnsi"/>
          <w:color w:val="000000" w:themeColor="text1"/>
        </w:rPr>
        <w:t>NKÚ dále ověřil, že p</w:t>
      </w:r>
      <w:r w:rsidR="00A9144C" w:rsidRPr="00C5465C">
        <w:rPr>
          <w:rFonts w:cstheme="minorHAnsi"/>
          <w:color w:val="000000" w:themeColor="text1"/>
        </w:rPr>
        <w:t xml:space="preserve">latformu MV vytvořilo a ve vyhodnocení Koncepce 2020 mj. uvedlo, že v IOO </w:t>
      </w:r>
      <w:r w:rsidR="00A9144C" w:rsidRPr="00C5465C">
        <w:rPr>
          <w:rFonts w:cstheme="minorHAnsi"/>
        </w:rPr>
        <w:t>jsou vyvíjeny nové typy dětských vaků, dětských ochranných kukel a kazajek, ochranných kukel pro</w:t>
      </w:r>
      <w:r w:rsidR="00704771">
        <w:rPr>
          <w:rFonts w:cstheme="minorHAnsi"/>
        </w:rPr>
        <w:t xml:space="preserve"> </w:t>
      </w:r>
      <w:r w:rsidR="00A9144C" w:rsidRPr="00C5465C">
        <w:rPr>
          <w:rFonts w:cstheme="minorHAnsi"/>
        </w:rPr>
        <w:t>dospělé. Tyto PIO byly dle MV nenáročné na</w:t>
      </w:r>
      <w:r w:rsidR="00D22716">
        <w:rPr>
          <w:rFonts w:cstheme="minorHAnsi"/>
        </w:rPr>
        <w:t xml:space="preserve"> </w:t>
      </w:r>
      <w:r w:rsidR="00A9144C" w:rsidRPr="00C5465C">
        <w:rPr>
          <w:rFonts w:cstheme="minorHAnsi"/>
        </w:rPr>
        <w:t>výrobu,</w:t>
      </w:r>
      <w:r>
        <w:rPr>
          <w:rFonts w:cstheme="minorHAnsi"/>
        </w:rPr>
        <w:t xml:space="preserve"> </w:t>
      </w:r>
      <w:r w:rsidR="00A9144C" w:rsidRPr="00C5465C">
        <w:rPr>
          <w:rFonts w:cstheme="minorHAnsi"/>
        </w:rPr>
        <w:t>s prodlouženou dobou skladovatelnosti a s vyššími užitnými vlastnostmi, proto bylo žádoucí dokončit jejich vývoj a</w:t>
      </w:r>
      <w:r w:rsidR="00C4638D">
        <w:rPr>
          <w:rFonts w:cstheme="minorHAnsi"/>
        </w:rPr>
        <w:t> </w:t>
      </w:r>
      <w:r w:rsidR="00A9144C" w:rsidRPr="00C5465C">
        <w:rPr>
          <w:rFonts w:cstheme="minorHAnsi"/>
        </w:rPr>
        <w:t>zabezpečit výrobu pro případ potřeby.</w:t>
      </w:r>
    </w:p>
    <w:p w14:paraId="17C645AE" w14:textId="786982EF" w:rsidR="00987CCD" w:rsidRPr="00D22716" w:rsidRDefault="00987CCD" w:rsidP="00C4638D">
      <w:pPr>
        <w:pStyle w:val="Mluvcnadpis"/>
        <w:spacing w:before="240"/>
        <w:rPr>
          <w:rFonts w:ascii="Calibri" w:eastAsia="Calibri" w:hAnsi="Calibri" w:cs="Calibri"/>
          <w:i w:val="0"/>
        </w:rPr>
      </w:pPr>
      <w:r w:rsidRPr="00D22716">
        <w:rPr>
          <w:rFonts w:ascii="Calibri" w:hAnsi="Calibri" w:cs="Calibri"/>
          <w:i w:val="0"/>
        </w:rPr>
        <w:t xml:space="preserve">→ </w:t>
      </w:r>
      <w:r w:rsidR="00502194" w:rsidRPr="00D22716">
        <w:rPr>
          <w:rFonts w:ascii="Calibri" w:hAnsi="Calibri" w:cs="Calibri"/>
          <w:i w:val="0"/>
        </w:rPr>
        <w:t>MV n</w:t>
      </w:r>
      <w:r w:rsidRPr="00D22716">
        <w:rPr>
          <w:rFonts w:ascii="Calibri" w:hAnsi="Calibri" w:cs="Calibri"/>
          <w:i w:val="0"/>
        </w:rPr>
        <w:t>ěkteré výsledky</w:t>
      </w:r>
      <w:r w:rsidR="00502194" w:rsidRPr="00D22716">
        <w:rPr>
          <w:rFonts w:ascii="Calibri" w:eastAsia="Calibri" w:hAnsi="Calibri" w:cs="Calibri"/>
          <w:i w:val="0"/>
        </w:rPr>
        <w:t xml:space="preserve"> </w:t>
      </w:r>
      <w:r w:rsidRPr="00D22716">
        <w:rPr>
          <w:rFonts w:ascii="Calibri" w:eastAsia="Calibri" w:hAnsi="Calibri" w:cs="Calibri"/>
          <w:i w:val="0"/>
        </w:rPr>
        <w:t>výzkumu IOO (</w:t>
      </w:r>
      <w:r w:rsidR="00502194" w:rsidRPr="00D22716">
        <w:rPr>
          <w:rFonts w:ascii="Calibri" w:eastAsia="Calibri" w:hAnsi="Calibri" w:cs="Calibri"/>
          <w:i w:val="0"/>
        </w:rPr>
        <w:t xml:space="preserve">např. </w:t>
      </w:r>
      <w:r w:rsidRPr="00D22716">
        <w:rPr>
          <w:rFonts w:ascii="Calibri" w:eastAsia="Calibri" w:hAnsi="Calibri" w:cs="Calibri"/>
          <w:i w:val="0"/>
        </w:rPr>
        <w:t xml:space="preserve">funkční vzorky PIO) </w:t>
      </w:r>
      <w:r w:rsidR="00502194" w:rsidRPr="00D22716">
        <w:rPr>
          <w:rFonts w:ascii="Calibri" w:eastAsia="Calibri" w:hAnsi="Calibri" w:cs="Calibri"/>
          <w:i w:val="0"/>
        </w:rPr>
        <w:t>dosud nevyužilo v</w:t>
      </w:r>
      <w:r w:rsidRPr="00D22716">
        <w:rPr>
          <w:rFonts w:ascii="Calibri" w:eastAsia="Calibri" w:hAnsi="Calibri" w:cs="Calibri"/>
          <w:i w:val="0"/>
        </w:rPr>
        <w:t> praxi OOB</w:t>
      </w:r>
    </w:p>
    <w:p w14:paraId="7789978F" w14:textId="77777777" w:rsidR="00755B7D" w:rsidRDefault="00A9144C" w:rsidP="00755B7D">
      <w:pPr>
        <w:spacing w:after="120"/>
        <w:jc w:val="both"/>
        <w:rPr>
          <w:rFonts w:cstheme="minorHAnsi"/>
        </w:rPr>
      </w:pPr>
      <w:r w:rsidRPr="00C5465C">
        <w:rPr>
          <w:rFonts w:cstheme="minorHAnsi"/>
        </w:rPr>
        <w:t>Kontrola NKÚ z tohoto důvodu prověřila tři projekty</w:t>
      </w:r>
      <w:r w:rsidR="006A5632">
        <w:rPr>
          <w:rFonts w:cstheme="minorHAnsi"/>
        </w:rPr>
        <w:t xml:space="preserve"> ve výši bezmála 164 mil. Kč</w:t>
      </w:r>
      <w:r w:rsidRPr="00C5465C">
        <w:rPr>
          <w:rFonts w:cstheme="minorHAnsi"/>
        </w:rPr>
        <w:t>, které IOO realizoval v kontrolovaném období a z jejichž plánovaných výsledků vyplýval potenciál využitelnosti v oblasti OOB.</w:t>
      </w:r>
      <w:r w:rsidR="00B05078">
        <w:rPr>
          <w:rFonts w:cstheme="minorHAnsi"/>
        </w:rPr>
        <w:t xml:space="preserve"> </w:t>
      </w:r>
    </w:p>
    <w:p w14:paraId="44975080" w14:textId="6307A1BA" w:rsidR="00A9144C" w:rsidRPr="00C5465C" w:rsidRDefault="00034112" w:rsidP="005D5676">
      <w:pPr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</w:rPr>
        <w:t>NKÚ zjistil</w:t>
      </w:r>
      <w:r w:rsidR="00077002">
        <w:rPr>
          <w:rFonts w:cstheme="minorHAnsi"/>
        </w:rPr>
        <w:t>, že u</w:t>
      </w:r>
      <w:r w:rsidR="00A9144C" w:rsidRPr="00C5465C">
        <w:rPr>
          <w:rFonts w:cstheme="minorHAnsi"/>
        </w:rPr>
        <w:t xml:space="preserve"> dvou</w:t>
      </w:r>
      <w:r w:rsidR="00B05078">
        <w:rPr>
          <w:rFonts w:cstheme="minorHAnsi"/>
        </w:rPr>
        <w:t xml:space="preserve"> projektů v celkové výši peněžních prostředků státního rozpočtu 132,5</w:t>
      </w:r>
      <w:r w:rsidR="00755B7D">
        <w:rPr>
          <w:rFonts w:cstheme="minorHAnsi"/>
        </w:rPr>
        <w:t> </w:t>
      </w:r>
      <w:r w:rsidR="00B05078">
        <w:rPr>
          <w:rFonts w:cstheme="minorHAnsi"/>
        </w:rPr>
        <w:t>mil.</w:t>
      </w:r>
      <w:r w:rsidR="00755B7D">
        <w:rPr>
          <w:rFonts w:cstheme="minorHAnsi"/>
        </w:rPr>
        <w:t> </w:t>
      </w:r>
      <w:r w:rsidR="00B05078">
        <w:rPr>
          <w:rFonts w:cstheme="minorHAnsi"/>
        </w:rPr>
        <w:t xml:space="preserve">Kč nebyly </w:t>
      </w:r>
      <w:r w:rsidR="00A9144C" w:rsidRPr="00C5465C">
        <w:rPr>
          <w:rFonts w:cstheme="minorHAnsi"/>
        </w:rPr>
        <w:t>některé z výsledků projektů (</w:t>
      </w:r>
      <w:r w:rsidR="00A9144C" w:rsidRPr="00C5465C">
        <w:rPr>
          <w:rFonts w:cstheme="minorHAnsi"/>
          <w:color w:val="000000" w:themeColor="text1"/>
        </w:rPr>
        <w:t>funkční vzorky PIO)</w:t>
      </w:r>
      <w:r w:rsidR="00B05078">
        <w:rPr>
          <w:rFonts w:cstheme="minorHAnsi"/>
          <w:color w:val="000000" w:themeColor="text1"/>
        </w:rPr>
        <w:t xml:space="preserve"> </w:t>
      </w:r>
      <w:r w:rsidR="001106E3">
        <w:rPr>
          <w:rFonts w:cstheme="minorHAnsi"/>
          <w:color w:val="000000" w:themeColor="text1"/>
        </w:rPr>
        <w:t xml:space="preserve">ze strany MV </w:t>
      </w:r>
      <w:r w:rsidR="00A9144C" w:rsidRPr="00C5465C">
        <w:rPr>
          <w:rFonts w:cstheme="minorHAnsi"/>
          <w:color w:val="000000" w:themeColor="text1"/>
        </w:rPr>
        <w:t>do</w:t>
      </w:r>
      <w:r w:rsidR="00B05078">
        <w:rPr>
          <w:rFonts w:cstheme="minorHAnsi"/>
          <w:color w:val="000000" w:themeColor="text1"/>
        </w:rPr>
        <w:t xml:space="preserve">sud </w:t>
      </w:r>
      <w:r w:rsidR="00A9144C" w:rsidRPr="00C5465C">
        <w:rPr>
          <w:rFonts w:cstheme="minorHAnsi"/>
          <w:color w:val="000000" w:themeColor="text1"/>
        </w:rPr>
        <w:t>využity v</w:t>
      </w:r>
      <w:r w:rsidR="00B05078">
        <w:rPr>
          <w:rFonts w:cstheme="minorHAnsi"/>
          <w:color w:val="000000" w:themeColor="text1"/>
        </w:rPr>
        <w:t> </w:t>
      </w:r>
      <w:r w:rsidR="00A9144C" w:rsidRPr="00C5465C">
        <w:rPr>
          <w:rFonts w:cstheme="minorHAnsi"/>
          <w:color w:val="000000" w:themeColor="text1"/>
        </w:rPr>
        <w:t>praxi</w:t>
      </w:r>
      <w:r w:rsidR="00B05078">
        <w:rPr>
          <w:rFonts w:cstheme="minorHAnsi"/>
          <w:color w:val="000000" w:themeColor="text1"/>
        </w:rPr>
        <w:t xml:space="preserve"> v </w:t>
      </w:r>
      <w:r w:rsidR="00A9144C" w:rsidRPr="00C5465C">
        <w:rPr>
          <w:rFonts w:cstheme="minorHAnsi"/>
          <w:color w:val="000000" w:themeColor="text1"/>
        </w:rPr>
        <w:t>oblasti OOB</w:t>
      </w:r>
      <w:r w:rsidR="00B05078">
        <w:rPr>
          <w:rFonts w:cstheme="minorHAnsi"/>
        </w:rPr>
        <w:t>.</w:t>
      </w:r>
      <w:r>
        <w:rPr>
          <w:rFonts w:cstheme="minorHAnsi"/>
        </w:rPr>
        <w:t xml:space="preserve"> V</w:t>
      </w:r>
      <w:r w:rsidR="00A9144C" w:rsidRPr="00C5465C">
        <w:rPr>
          <w:rFonts w:cstheme="minorHAnsi"/>
        </w:rPr>
        <w:t>ýsledky tak nevedly k naplnění ekonomických přínosů výzkumu (tj. zamýšlených dopadů)</w:t>
      </w:r>
      <w:r w:rsidR="00755B7D">
        <w:rPr>
          <w:rFonts w:cstheme="minorHAnsi"/>
        </w:rPr>
        <w:t>:</w:t>
      </w:r>
    </w:p>
    <w:p w14:paraId="7BF80634" w14:textId="36D44FD0" w:rsidR="00A9144C" w:rsidRPr="005D5676" w:rsidRDefault="00A9144C" w:rsidP="005D5676">
      <w:pPr>
        <w:pStyle w:val="Odstavecseseznamem"/>
        <w:numPr>
          <w:ilvl w:val="0"/>
          <w:numId w:val="22"/>
        </w:numPr>
        <w:shd w:val="clear" w:color="auto" w:fill="FFFFFF" w:themeFill="background1"/>
        <w:spacing w:after="0" w:line="240" w:lineRule="auto"/>
        <w:ind w:left="284" w:hanging="284"/>
        <w:contextualSpacing w:val="0"/>
        <w:jc w:val="both"/>
        <w:rPr>
          <w:rFonts w:cstheme="minorHAnsi"/>
          <w:iCs/>
          <w:sz w:val="24"/>
          <w:szCs w:val="24"/>
        </w:rPr>
      </w:pPr>
      <w:r w:rsidRPr="005D5676">
        <w:rPr>
          <w:rFonts w:cstheme="minorHAnsi"/>
          <w:iCs/>
          <w:sz w:val="24"/>
          <w:szCs w:val="24"/>
        </w:rPr>
        <w:t xml:space="preserve">Projekt VG20102015062 – </w:t>
      </w:r>
      <w:r w:rsidRPr="00C5465C">
        <w:rPr>
          <w:rFonts w:cstheme="minorHAnsi"/>
          <w:i/>
          <w:iCs/>
          <w:sz w:val="24"/>
          <w:szCs w:val="24"/>
        </w:rPr>
        <w:t xml:space="preserve">Výzkumná podpora HZS ČR a dalších složek </w:t>
      </w:r>
      <w:r w:rsidR="00034112">
        <w:rPr>
          <w:rFonts w:cstheme="minorHAnsi"/>
          <w:i/>
          <w:iCs/>
          <w:sz w:val="24"/>
          <w:szCs w:val="24"/>
        </w:rPr>
        <w:t>integrovaného záchranného systému</w:t>
      </w:r>
      <w:r w:rsidR="00034112" w:rsidRPr="00C5465C">
        <w:rPr>
          <w:rFonts w:cstheme="minorHAnsi"/>
          <w:i/>
          <w:iCs/>
          <w:sz w:val="24"/>
          <w:szCs w:val="24"/>
        </w:rPr>
        <w:t xml:space="preserve"> </w:t>
      </w:r>
      <w:r w:rsidRPr="00C5465C">
        <w:rPr>
          <w:rFonts w:cstheme="minorHAnsi"/>
          <w:i/>
          <w:iCs/>
          <w:sz w:val="24"/>
          <w:szCs w:val="24"/>
        </w:rPr>
        <w:t>ČR</w:t>
      </w:r>
      <w:r w:rsidR="00AC588A">
        <w:rPr>
          <w:rFonts w:cstheme="minorHAnsi"/>
          <w:iCs/>
          <w:sz w:val="24"/>
          <w:szCs w:val="24"/>
        </w:rPr>
        <w:t>;</w:t>
      </w:r>
      <w:r w:rsidRPr="00AC588A">
        <w:rPr>
          <w:rFonts w:cstheme="minorHAnsi"/>
          <w:iCs/>
          <w:sz w:val="24"/>
          <w:szCs w:val="24"/>
        </w:rPr>
        <w:t xml:space="preserve"> </w:t>
      </w:r>
      <w:r w:rsidRPr="005D5676">
        <w:rPr>
          <w:rFonts w:cstheme="minorHAnsi"/>
          <w:iCs/>
          <w:sz w:val="24"/>
          <w:szCs w:val="24"/>
        </w:rPr>
        <w:t xml:space="preserve">účast </w:t>
      </w:r>
      <w:r w:rsidR="00034112" w:rsidRPr="005D5676">
        <w:rPr>
          <w:rFonts w:cstheme="minorHAnsi"/>
          <w:iCs/>
          <w:sz w:val="24"/>
          <w:szCs w:val="24"/>
        </w:rPr>
        <w:t xml:space="preserve">státního rozpočtu </w:t>
      </w:r>
      <w:r w:rsidRPr="005D5676">
        <w:rPr>
          <w:rFonts w:cstheme="minorHAnsi"/>
          <w:iCs/>
          <w:sz w:val="24"/>
          <w:szCs w:val="24"/>
        </w:rPr>
        <w:t>ve výši 57 614 tis. Kč, ukončení projektu 2015. Výsledkem projektu byly např. funkční vzorky kompletu ochranné kukly, plicního ventilátoru, provětrávaný ochranný oděv nebo nový přijímač jednotného systému varování a informování. NKÚ zjistil, že funkční vzorky nebyly do doby ukončení kontroly NKÚ implementovány v praxi oblasti OOB, ačkoliv MV v závěrečné zprávě projektu v roce 2015 uvedlo, že výsledky jsou plně využitelné v návaznosti na aktuální politiku vlády v oblasti bezpečnosti.</w:t>
      </w:r>
    </w:p>
    <w:p w14:paraId="0895384E" w14:textId="27DA3AC7" w:rsidR="00C5465C" w:rsidRPr="005D5676" w:rsidRDefault="00A9144C" w:rsidP="005D5676">
      <w:pPr>
        <w:pStyle w:val="Odstavecseseznamem"/>
        <w:numPr>
          <w:ilvl w:val="0"/>
          <w:numId w:val="22"/>
        </w:numPr>
        <w:shd w:val="clear" w:color="auto" w:fill="FFFFFF" w:themeFill="background1"/>
        <w:spacing w:after="120" w:line="240" w:lineRule="auto"/>
        <w:ind w:left="284" w:hanging="284"/>
        <w:contextualSpacing w:val="0"/>
        <w:jc w:val="both"/>
        <w:rPr>
          <w:rFonts w:cstheme="minorHAnsi"/>
          <w:iCs/>
          <w:sz w:val="24"/>
          <w:szCs w:val="24"/>
        </w:rPr>
      </w:pPr>
      <w:r w:rsidRPr="005D5676">
        <w:rPr>
          <w:rFonts w:cstheme="minorHAnsi"/>
          <w:iCs/>
          <w:sz w:val="24"/>
          <w:szCs w:val="24"/>
        </w:rPr>
        <w:t>Projekt VI20152020009 –</w:t>
      </w:r>
      <w:r w:rsidRPr="00C5465C">
        <w:rPr>
          <w:rFonts w:cstheme="minorHAnsi"/>
          <w:i/>
          <w:iCs/>
          <w:sz w:val="24"/>
          <w:szCs w:val="24"/>
        </w:rPr>
        <w:t xml:space="preserve"> Cílený aplikovaný výzkum nových moderních technologií, metod a postupů ke zvýšení úrovně schopností HZS ČR – CAVHZS</w:t>
      </w:r>
      <w:r w:rsidRPr="00C5465C">
        <w:rPr>
          <w:sz w:val="24"/>
          <w:szCs w:val="24"/>
          <w:vertAlign w:val="superscript"/>
        </w:rPr>
        <w:footnoteReference w:id="44"/>
      </w:r>
      <w:r w:rsidR="00A034A9">
        <w:rPr>
          <w:rFonts w:cstheme="minorHAnsi"/>
          <w:iCs/>
          <w:sz w:val="24"/>
          <w:szCs w:val="24"/>
        </w:rPr>
        <w:t>;</w:t>
      </w:r>
      <w:r w:rsidRPr="005D5676">
        <w:rPr>
          <w:rFonts w:cstheme="minorHAnsi"/>
          <w:iCs/>
          <w:sz w:val="24"/>
          <w:szCs w:val="24"/>
        </w:rPr>
        <w:t xml:space="preserve"> účast </w:t>
      </w:r>
      <w:r w:rsidR="00034112" w:rsidRPr="005D5676">
        <w:rPr>
          <w:rFonts w:cstheme="minorHAnsi"/>
          <w:iCs/>
          <w:sz w:val="24"/>
          <w:szCs w:val="24"/>
        </w:rPr>
        <w:t xml:space="preserve">státního rozpočtu </w:t>
      </w:r>
      <w:r w:rsidRPr="005D5676">
        <w:rPr>
          <w:rFonts w:cstheme="minorHAnsi"/>
          <w:iCs/>
          <w:sz w:val="24"/>
          <w:szCs w:val="24"/>
        </w:rPr>
        <w:t xml:space="preserve">ve výši 74 895 tis. Kč, ukončení projektu 2020. Výsledkem projektu byly např. funkční vzorky ochranných prostředků dle vyhlášky č. 380/2002 Sb. </w:t>
      </w:r>
      <w:r w:rsidR="00D424CC">
        <w:rPr>
          <w:rFonts w:cstheme="minorHAnsi"/>
          <w:iCs/>
          <w:sz w:val="24"/>
          <w:szCs w:val="24"/>
        </w:rPr>
        <w:t>–</w:t>
      </w:r>
      <w:r w:rsidRPr="005D5676">
        <w:rPr>
          <w:rFonts w:cstheme="minorHAnsi"/>
          <w:iCs/>
          <w:sz w:val="24"/>
          <w:szCs w:val="24"/>
        </w:rPr>
        <w:t xml:space="preserve"> ochranný prostředek dýchacích cest pro děti od 6 do 12 let a pro děti od 12 do 18 let nebo </w:t>
      </w:r>
      <w:proofErr w:type="spellStart"/>
      <w:r w:rsidRPr="005D5676">
        <w:rPr>
          <w:rFonts w:cstheme="minorHAnsi"/>
          <w:iCs/>
          <w:sz w:val="24"/>
          <w:szCs w:val="24"/>
        </w:rPr>
        <w:t>filtroventilační</w:t>
      </w:r>
      <w:proofErr w:type="spellEnd"/>
      <w:r w:rsidRPr="005D5676">
        <w:rPr>
          <w:rFonts w:cstheme="minorHAnsi"/>
          <w:iCs/>
          <w:sz w:val="24"/>
          <w:szCs w:val="24"/>
        </w:rPr>
        <w:t xml:space="preserve"> jednotky do improvizovaných úkrytů budovaných v předškolních a školních zařízeních, domácnostech, úřadech.</w:t>
      </w:r>
      <w:bookmarkEnd w:id="5"/>
      <w:r w:rsidRPr="005D5676">
        <w:rPr>
          <w:rFonts w:cstheme="minorHAnsi"/>
          <w:iCs/>
          <w:sz w:val="24"/>
          <w:szCs w:val="24"/>
        </w:rPr>
        <w:t xml:space="preserve"> NKÚ zjistil, že funkční vzorky nebyly do doby ukončení kontroly NKÚ implementovány v praxi oblasti OOB.</w:t>
      </w:r>
    </w:p>
    <w:p w14:paraId="5BB08F1E" w14:textId="41E4BF81" w:rsidR="00932E76" w:rsidRDefault="001143D9" w:rsidP="007D0D7B">
      <w:pPr>
        <w:spacing w:after="120"/>
        <w:jc w:val="both"/>
      </w:pPr>
      <w:r w:rsidRPr="00C5465C">
        <w:rPr>
          <w:rFonts w:cstheme="minorHAnsi"/>
          <w:iCs/>
          <w:color w:val="000000" w:themeColor="text1"/>
        </w:rPr>
        <w:t xml:space="preserve">MV </w:t>
      </w:r>
      <w:r>
        <w:rPr>
          <w:rFonts w:cstheme="minorHAnsi"/>
          <w:iCs/>
          <w:color w:val="000000" w:themeColor="text1"/>
        </w:rPr>
        <w:t>tak</w:t>
      </w:r>
      <w:r w:rsidRPr="00C5465C">
        <w:rPr>
          <w:rFonts w:cstheme="minorHAnsi"/>
          <w:iCs/>
          <w:color w:val="000000" w:themeColor="text1"/>
        </w:rPr>
        <w:t xml:space="preserve"> nenaplnilo cíl stanovený Koncepcí 2020, tj. zvýšení využívání výsledků výzkumné činnosti ve prospěch podpory OOB.</w:t>
      </w:r>
      <w:r w:rsidR="0014325A">
        <w:rPr>
          <w:rFonts w:cstheme="minorHAnsi"/>
          <w:iCs/>
          <w:color w:val="000000" w:themeColor="text1"/>
        </w:rPr>
        <w:t xml:space="preserve"> </w:t>
      </w:r>
      <w:r w:rsidR="0014325A">
        <w:rPr>
          <w:rFonts w:eastAsia="Calibri"/>
        </w:rPr>
        <w:t>V</w:t>
      </w:r>
      <w:r w:rsidR="0014325A" w:rsidRPr="0014325A">
        <w:rPr>
          <w:rFonts w:eastAsia="Calibri"/>
        </w:rPr>
        <w:t xml:space="preserve"> případě dvou projektů v oblasti vědy a výzkumu NKÚ </w:t>
      </w:r>
      <w:r w:rsidR="0014325A" w:rsidRPr="0014325A">
        <w:t>konstatuje riziko neúčelnosti vynaložení peněžních prostředků státního rozpočtu.</w:t>
      </w:r>
    </w:p>
    <w:p w14:paraId="5EC26460" w14:textId="4637882F" w:rsidR="00C421BE" w:rsidRPr="005D00FE" w:rsidRDefault="00C421BE" w:rsidP="005D5676">
      <w:pPr>
        <w:pStyle w:val="Styl1"/>
        <w:keepNext/>
        <w:numPr>
          <w:ilvl w:val="0"/>
          <w:numId w:val="0"/>
        </w:numPr>
        <w:spacing w:before="720"/>
        <w:rPr>
          <w:sz w:val="24"/>
          <w:szCs w:val="24"/>
        </w:rPr>
      </w:pPr>
      <w:r w:rsidRPr="005D00FE">
        <w:rPr>
          <w:sz w:val="24"/>
          <w:szCs w:val="24"/>
        </w:rPr>
        <w:lastRenderedPageBreak/>
        <w:t xml:space="preserve">Seznam zkratek </w:t>
      </w:r>
    </w:p>
    <w:p w14:paraId="6C4580E7" w14:textId="4C33E0F3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ČR</w:t>
      </w:r>
      <w:r w:rsidRPr="005D00FE">
        <w:rPr>
          <w:rFonts w:ascii="Calibri" w:hAnsi="Calibri" w:cs="Calibri"/>
        </w:rPr>
        <w:tab/>
        <w:t>Česká republika</w:t>
      </w:r>
    </w:p>
    <w:p w14:paraId="416F0073" w14:textId="0D6C0199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ČSÚ</w:t>
      </w:r>
      <w:r w:rsidRPr="005D00FE">
        <w:rPr>
          <w:rFonts w:ascii="Calibri" w:hAnsi="Calibri" w:cs="Calibri"/>
        </w:rPr>
        <w:tab/>
        <w:t>Český statistický úřad</w:t>
      </w:r>
    </w:p>
    <w:p w14:paraId="3E882962" w14:textId="496CF4B8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HZS ČR</w:t>
      </w:r>
      <w:r w:rsidRPr="005D00FE">
        <w:rPr>
          <w:rFonts w:ascii="Calibri" w:hAnsi="Calibri" w:cs="Calibri"/>
        </w:rPr>
        <w:tab/>
        <w:t>Hasičský záchranný sbor České republiky</w:t>
      </w:r>
    </w:p>
    <w:p w14:paraId="08A863CE" w14:textId="2AAC6E9D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HZS ČR – CAVHZS</w:t>
      </w:r>
      <w:r w:rsidRPr="005D00FE">
        <w:rPr>
          <w:rFonts w:ascii="Calibri" w:hAnsi="Calibri" w:cs="Calibri"/>
        </w:rPr>
        <w:tab/>
      </w:r>
      <w:r w:rsidR="007E3759">
        <w:rPr>
          <w:rFonts w:ascii="Calibri" w:hAnsi="Calibri" w:cs="Calibri"/>
        </w:rPr>
        <w:t xml:space="preserve">projekt </w:t>
      </w:r>
      <w:r w:rsidRPr="008F5FC8">
        <w:rPr>
          <w:rFonts w:ascii="Calibri" w:hAnsi="Calibri" w:cs="Calibri"/>
          <w:i/>
        </w:rPr>
        <w:t>Cílený aplikovaný výzkum nových moderních technologií, metod a</w:t>
      </w:r>
      <w:r w:rsidR="005D00FE" w:rsidRPr="008F5FC8">
        <w:rPr>
          <w:rFonts w:ascii="Calibri" w:hAnsi="Calibri" w:cs="Calibri"/>
          <w:i/>
        </w:rPr>
        <w:t> </w:t>
      </w:r>
      <w:r w:rsidRPr="008F5FC8">
        <w:rPr>
          <w:rFonts w:ascii="Calibri" w:hAnsi="Calibri" w:cs="Calibri"/>
          <w:i/>
        </w:rPr>
        <w:t>postupů ke zvýšení úrovně schopností HZS ČR</w:t>
      </w:r>
    </w:p>
    <w:p w14:paraId="3F098916" w14:textId="5E5C08F1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  <w:lang w:eastAsia="cs-CZ"/>
        </w:rPr>
      </w:pPr>
      <w:r w:rsidRPr="005D00FE">
        <w:rPr>
          <w:rFonts w:ascii="Calibri" w:hAnsi="Calibri" w:cs="Calibri"/>
        </w:rPr>
        <w:t>FN</w:t>
      </w:r>
      <w:r w:rsidRPr="005D00FE">
        <w:rPr>
          <w:rFonts w:ascii="Calibri" w:hAnsi="Calibri" w:cs="Calibri"/>
        </w:rPr>
        <w:tab/>
      </w:r>
      <w:r w:rsidR="00E821FA">
        <w:rPr>
          <w:rFonts w:ascii="Calibri" w:hAnsi="Calibri" w:cs="Calibri"/>
          <w:lang w:eastAsia="cs-CZ"/>
        </w:rPr>
        <w:t>f</w:t>
      </w:r>
      <w:r w:rsidRPr="005D00FE">
        <w:rPr>
          <w:rFonts w:ascii="Calibri" w:hAnsi="Calibri" w:cs="Calibri"/>
          <w:lang w:eastAsia="cs-CZ"/>
        </w:rPr>
        <w:t>akultní nemocnice</w:t>
      </w:r>
    </w:p>
    <w:p w14:paraId="6BDCF41F" w14:textId="4F71468A" w:rsidR="009947D5" w:rsidRPr="005D00FE" w:rsidRDefault="009947D5" w:rsidP="00351A95">
      <w:pPr>
        <w:keepNext/>
        <w:spacing w:before="40" w:after="40"/>
        <w:ind w:left="2127" w:hanging="2127"/>
        <w:rPr>
          <w:rFonts w:ascii="Calibri" w:eastAsia="Times New Roman" w:hAnsi="Calibri" w:cs="Calibri"/>
        </w:rPr>
      </w:pPr>
      <w:r w:rsidRPr="005D00FE">
        <w:rPr>
          <w:rFonts w:ascii="Calibri" w:hAnsi="Calibri" w:cs="Calibri"/>
        </w:rPr>
        <w:t>FTN</w:t>
      </w:r>
      <w:r w:rsidRPr="005D00FE">
        <w:rPr>
          <w:rFonts w:ascii="Calibri" w:hAnsi="Calibri" w:cs="Calibri"/>
        </w:rPr>
        <w:tab/>
      </w:r>
      <w:r w:rsidRPr="005D00FE">
        <w:rPr>
          <w:rFonts w:ascii="Calibri" w:eastAsia="Times New Roman" w:hAnsi="Calibri" w:cs="Calibri"/>
        </w:rPr>
        <w:t>Fakultní Thomayerova nemocnice</w:t>
      </w:r>
    </w:p>
    <w:p w14:paraId="168E2F04" w14:textId="2C9A9106" w:rsidR="009947D5" w:rsidRPr="005D00FE" w:rsidRDefault="009947D5" w:rsidP="00351A95">
      <w:pPr>
        <w:keepNext/>
        <w:spacing w:before="40" w:after="40"/>
        <w:ind w:left="2127" w:hanging="2127"/>
        <w:rPr>
          <w:rFonts w:ascii="Calibri" w:eastAsia="Times New Roman" w:hAnsi="Calibri" w:cs="Calibri"/>
        </w:rPr>
      </w:pPr>
      <w:r w:rsidRPr="005D00FE">
        <w:rPr>
          <w:rFonts w:ascii="Calibri" w:eastAsia="Times New Roman" w:hAnsi="Calibri" w:cs="Calibri"/>
        </w:rPr>
        <w:t>IOO</w:t>
      </w:r>
      <w:r w:rsidRPr="005D00FE">
        <w:rPr>
          <w:rFonts w:ascii="Calibri" w:eastAsia="Times New Roman" w:hAnsi="Calibri" w:cs="Calibri"/>
        </w:rPr>
        <w:tab/>
        <w:t>Institut ochrany obyvatelstva Lázně Bohdaneč</w:t>
      </w:r>
    </w:p>
    <w:p w14:paraId="451DFF7A" w14:textId="5F1CFD08" w:rsidR="00E821FA" w:rsidRDefault="00E821FA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>
        <w:rPr>
          <w:rFonts w:ascii="Calibri" w:hAnsi="Calibri" w:cs="Calibri"/>
        </w:rPr>
        <w:t>KA</w:t>
      </w:r>
      <w:r>
        <w:rPr>
          <w:rFonts w:ascii="Calibri" w:hAnsi="Calibri" w:cs="Calibri"/>
        </w:rPr>
        <w:tab/>
        <w:t>kontrolní akce NKÚ</w:t>
      </w:r>
    </w:p>
    <w:p w14:paraId="7082D860" w14:textId="115ECE92" w:rsidR="00351A95" w:rsidRDefault="00351A9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>
        <w:rPr>
          <w:rFonts w:ascii="Calibri" w:hAnsi="Calibri" w:cs="Calibri"/>
        </w:rPr>
        <w:t>kompetenční zákon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zákon</w:t>
      </w:r>
      <w:proofErr w:type="spellEnd"/>
      <w:r>
        <w:rPr>
          <w:rFonts w:ascii="Calibri" w:hAnsi="Calibri" w:cs="Calibri"/>
        </w:rPr>
        <w:t xml:space="preserve"> č. 2/1969, </w:t>
      </w:r>
      <w:r w:rsidRPr="00351A95">
        <w:rPr>
          <w:rFonts w:ascii="Calibri" w:hAnsi="Calibri" w:cs="Calibri"/>
        </w:rPr>
        <w:t>o zřízení ministerstev a jiných ústředních orgánů státní správy České republiky</w:t>
      </w:r>
    </w:p>
    <w:p w14:paraId="2B7FD2A5" w14:textId="4D7DDC8C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 xml:space="preserve">Koncepce 2006 </w:t>
      </w:r>
      <w:r w:rsidRPr="005D00FE">
        <w:rPr>
          <w:rFonts w:ascii="Calibri" w:hAnsi="Calibri" w:cs="Calibri"/>
        </w:rPr>
        <w:tab/>
      </w:r>
      <w:r w:rsidRPr="008F5FC8">
        <w:rPr>
          <w:rFonts w:ascii="Calibri" w:hAnsi="Calibri" w:cs="Calibri"/>
          <w:i/>
        </w:rPr>
        <w:t>Koncepce ochrany obyvatelstva do roku 2006 s výhledem do roku 2015</w:t>
      </w:r>
    </w:p>
    <w:p w14:paraId="61C0DF21" w14:textId="77777777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 xml:space="preserve">Koncepce 2013 </w:t>
      </w:r>
      <w:r w:rsidRPr="005D00FE">
        <w:rPr>
          <w:rFonts w:ascii="Calibri" w:hAnsi="Calibri" w:cs="Calibri"/>
        </w:rPr>
        <w:tab/>
      </w:r>
      <w:r w:rsidRPr="008F5FC8">
        <w:rPr>
          <w:rFonts w:ascii="Calibri" w:hAnsi="Calibri" w:cs="Calibri"/>
          <w:i/>
        </w:rPr>
        <w:t>Koncepce ochrany obyvatelstva do roku 2013 s výhledem do roku 2020</w:t>
      </w:r>
    </w:p>
    <w:p w14:paraId="3F3CD100" w14:textId="77777777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 xml:space="preserve">Koncepce 2020 </w:t>
      </w:r>
      <w:r w:rsidRPr="005D00FE">
        <w:rPr>
          <w:rFonts w:ascii="Calibri" w:hAnsi="Calibri" w:cs="Calibri"/>
        </w:rPr>
        <w:tab/>
      </w:r>
      <w:r w:rsidRPr="008F5FC8">
        <w:rPr>
          <w:rFonts w:ascii="Calibri" w:hAnsi="Calibri" w:cs="Calibri"/>
          <w:i/>
        </w:rPr>
        <w:t>Koncepce ochrany obyvatelstva do roku 2020 s výhledem do roku 2030</w:t>
      </w:r>
    </w:p>
    <w:p w14:paraId="1B2AC8F1" w14:textId="77777777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Koncepce 2025</w:t>
      </w:r>
      <w:r w:rsidRPr="005D00FE">
        <w:rPr>
          <w:rFonts w:ascii="Calibri" w:hAnsi="Calibri" w:cs="Calibri"/>
        </w:rPr>
        <w:tab/>
      </w:r>
      <w:r w:rsidRPr="008F5FC8">
        <w:rPr>
          <w:rFonts w:ascii="Calibri" w:hAnsi="Calibri" w:cs="Calibri"/>
          <w:i/>
        </w:rPr>
        <w:t>Koncepce ochrany obyvatelstva do roku 2025 s výhledem do roku 2030</w:t>
      </w:r>
    </w:p>
    <w:p w14:paraId="536B7428" w14:textId="447FA58C" w:rsidR="009947D5" w:rsidRPr="005D00FE" w:rsidRDefault="00D22716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9947D5" w:rsidRPr="005D00FE">
        <w:rPr>
          <w:rFonts w:ascii="Calibri" w:hAnsi="Calibri" w:cs="Calibri"/>
        </w:rPr>
        <w:t>oncepce OOB</w:t>
      </w:r>
      <w:r w:rsidR="009947D5" w:rsidRPr="005D00FE">
        <w:rPr>
          <w:rFonts w:ascii="Calibri" w:hAnsi="Calibri" w:cs="Calibri"/>
        </w:rPr>
        <w:tab/>
        <w:t>Koncepce 2006, 2013, 2020</w:t>
      </w:r>
      <w:r w:rsidR="00CB781D">
        <w:rPr>
          <w:rFonts w:ascii="Calibri" w:hAnsi="Calibri" w:cs="Calibri"/>
        </w:rPr>
        <w:t xml:space="preserve"> a</w:t>
      </w:r>
      <w:r w:rsidR="009947D5" w:rsidRPr="005D00FE">
        <w:rPr>
          <w:rFonts w:ascii="Calibri" w:hAnsi="Calibri" w:cs="Calibri"/>
        </w:rPr>
        <w:t xml:space="preserve"> 2025</w:t>
      </w:r>
    </w:p>
    <w:p w14:paraId="1CE8DB7B" w14:textId="3A57AD55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MV</w:t>
      </w:r>
      <w:r w:rsidRPr="005D00FE">
        <w:rPr>
          <w:rFonts w:ascii="Calibri" w:hAnsi="Calibri" w:cs="Calibri"/>
        </w:rPr>
        <w:tab/>
        <w:t>Ministerstvo vnitra</w:t>
      </w:r>
    </w:p>
    <w:p w14:paraId="2C38B38F" w14:textId="77777777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 xml:space="preserve">MV – GŘ HZS ČR </w:t>
      </w:r>
      <w:r w:rsidRPr="005D00FE">
        <w:rPr>
          <w:rFonts w:ascii="Calibri" w:hAnsi="Calibri" w:cs="Calibri"/>
        </w:rPr>
        <w:tab/>
        <w:t>Ministerstvo vnitra – Generální ředitelství Hasičského záchranného sboru České republiky</w:t>
      </w:r>
    </w:p>
    <w:p w14:paraId="164D3F6E" w14:textId="4AAA6DDA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proofErr w:type="spellStart"/>
      <w:r w:rsidRPr="005D00FE">
        <w:rPr>
          <w:rFonts w:ascii="Calibri" w:hAnsi="Calibri" w:cs="Calibri"/>
        </w:rPr>
        <w:t>MZd</w:t>
      </w:r>
      <w:proofErr w:type="spellEnd"/>
      <w:r w:rsidRPr="005D00FE">
        <w:rPr>
          <w:rFonts w:ascii="Calibri" w:hAnsi="Calibri" w:cs="Calibri"/>
        </w:rPr>
        <w:tab/>
        <w:t>Ministerstvo zdravotnictví</w:t>
      </w:r>
    </w:p>
    <w:p w14:paraId="2C872791" w14:textId="005C1F6E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NKÚ</w:t>
      </w:r>
      <w:r w:rsidRPr="005D00FE">
        <w:rPr>
          <w:rFonts w:ascii="Calibri" w:hAnsi="Calibri" w:cs="Calibri"/>
        </w:rPr>
        <w:tab/>
        <w:t>Nejvyšší kontrolní úřad</w:t>
      </w:r>
    </w:p>
    <w:p w14:paraId="5805BFE3" w14:textId="6FFEC1A6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OOB</w:t>
      </w:r>
      <w:r w:rsidRPr="005D00FE">
        <w:rPr>
          <w:rFonts w:ascii="Calibri" w:hAnsi="Calibri" w:cs="Calibri"/>
        </w:rPr>
        <w:tab/>
      </w:r>
      <w:r w:rsidR="00E821FA">
        <w:rPr>
          <w:rFonts w:ascii="Calibri" w:hAnsi="Calibri" w:cs="Calibri"/>
        </w:rPr>
        <w:t>o</w:t>
      </w:r>
      <w:r w:rsidRPr="005D00FE">
        <w:rPr>
          <w:rFonts w:ascii="Calibri" w:hAnsi="Calibri" w:cs="Calibri"/>
        </w:rPr>
        <w:t>chrana obyvatelstva</w:t>
      </w:r>
    </w:p>
    <w:p w14:paraId="6F9F5BFA" w14:textId="1B57FCAF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OPŽP</w:t>
      </w:r>
      <w:r w:rsidRPr="005D00FE">
        <w:rPr>
          <w:rFonts w:ascii="Calibri" w:hAnsi="Calibri" w:cs="Calibri"/>
        </w:rPr>
        <w:tab/>
      </w:r>
      <w:r w:rsidR="00E821FA">
        <w:rPr>
          <w:rFonts w:ascii="Calibri" w:hAnsi="Calibri" w:cs="Calibri"/>
        </w:rPr>
        <w:t>o</w:t>
      </w:r>
      <w:r w:rsidRPr="005D00FE">
        <w:rPr>
          <w:rFonts w:ascii="Calibri" w:hAnsi="Calibri" w:cs="Calibri"/>
        </w:rPr>
        <w:t xml:space="preserve">perační program </w:t>
      </w:r>
      <w:r w:rsidRPr="008F5FC8">
        <w:rPr>
          <w:rFonts w:ascii="Calibri" w:hAnsi="Calibri" w:cs="Calibri"/>
          <w:i/>
        </w:rPr>
        <w:t>Životní prostředí</w:t>
      </w:r>
    </w:p>
    <w:p w14:paraId="4F9870F8" w14:textId="19859753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PIO</w:t>
      </w:r>
      <w:r w:rsidRPr="005D00FE">
        <w:rPr>
          <w:rFonts w:ascii="Calibri" w:hAnsi="Calibri" w:cs="Calibri"/>
        </w:rPr>
        <w:tab/>
      </w:r>
      <w:r w:rsidR="00E821FA">
        <w:rPr>
          <w:rFonts w:ascii="Calibri" w:hAnsi="Calibri" w:cs="Calibri"/>
        </w:rPr>
        <w:t>p</w:t>
      </w:r>
      <w:r w:rsidRPr="005D00FE">
        <w:rPr>
          <w:rFonts w:ascii="Calibri" w:hAnsi="Calibri" w:cs="Calibri"/>
        </w:rPr>
        <w:t xml:space="preserve">rostředky individuální ochrany </w:t>
      </w:r>
    </w:p>
    <w:p w14:paraId="2632AA58" w14:textId="335F0FDD" w:rsidR="009947D5" w:rsidRPr="005D00FE" w:rsidRDefault="009947D5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 w:rsidRPr="005D00FE">
        <w:rPr>
          <w:rFonts w:ascii="Calibri" w:hAnsi="Calibri" w:cs="Calibri"/>
        </w:rPr>
        <w:t>SSHR</w:t>
      </w:r>
      <w:r w:rsidRPr="005D00FE">
        <w:rPr>
          <w:rFonts w:ascii="Calibri" w:hAnsi="Calibri" w:cs="Calibri"/>
        </w:rPr>
        <w:tab/>
        <w:t xml:space="preserve">Správa státních hmotných rezerv České republiky </w:t>
      </w:r>
    </w:p>
    <w:p w14:paraId="31C00950" w14:textId="02D14CEA" w:rsidR="0086798E" w:rsidRPr="005D00FE" w:rsidRDefault="00D22716" w:rsidP="00351A95">
      <w:pPr>
        <w:keepNext/>
        <w:spacing w:before="40" w:after="40"/>
        <w:ind w:left="2127" w:hanging="2127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9947D5" w:rsidRPr="005D00FE">
        <w:rPr>
          <w:rFonts w:ascii="Calibri" w:hAnsi="Calibri" w:cs="Calibri"/>
        </w:rPr>
        <w:t>zdělávání</w:t>
      </w:r>
      <w:r w:rsidR="009947D5" w:rsidRPr="005D00FE">
        <w:rPr>
          <w:rFonts w:ascii="Calibri" w:hAnsi="Calibri" w:cs="Calibri"/>
        </w:rPr>
        <w:tab/>
      </w:r>
      <w:r w:rsidR="00E821FA">
        <w:rPr>
          <w:rFonts w:ascii="Calibri" w:hAnsi="Calibri" w:cs="Calibri"/>
        </w:rPr>
        <w:t>v</w:t>
      </w:r>
      <w:r w:rsidR="009947D5" w:rsidRPr="005D00FE">
        <w:rPr>
          <w:rFonts w:ascii="Calibri" w:hAnsi="Calibri" w:cs="Calibri"/>
        </w:rPr>
        <w:t>ýchova a vzdělávání</w:t>
      </w:r>
    </w:p>
    <w:p w14:paraId="7FD93F12" w14:textId="4C559870" w:rsidR="007D0D7B" w:rsidRDefault="007D0D7B" w:rsidP="008218F8">
      <w:pPr>
        <w:rPr>
          <w:rFonts w:ascii="Calibri" w:hAnsi="Calibri" w:cs="Calibri"/>
        </w:rPr>
      </w:pPr>
    </w:p>
    <w:p w14:paraId="243D2FFD" w14:textId="78E19E76" w:rsidR="0086798E" w:rsidRPr="005D00FE" w:rsidRDefault="0086798E" w:rsidP="005D5676">
      <w:pPr>
        <w:pStyle w:val="Styl1"/>
        <w:keepNext/>
        <w:numPr>
          <w:ilvl w:val="0"/>
          <w:numId w:val="0"/>
        </w:numPr>
        <w:spacing w:before="600" w:after="120"/>
        <w:rPr>
          <w:rFonts w:cs="Calibri"/>
          <w:sz w:val="24"/>
          <w:szCs w:val="24"/>
        </w:rPr>
      </w:pPr>
      <w:r w:rsidRPr="005D00FE">
        <w:rPr>
          <w:rFonts w:cs="Calibri"/>
          <w:sz w:val="24"/>
          <w:szCs w:val="24"/>
        </w:rPr>
        <w:t xml:space="preserve">Seznam </w:t>
      </w:r>
      <w:r w:rsidR="00AA185A">
        <w:rPr>
          <w:rFonts w:cs="Calibri"/>
          <w:sz w:val="24"/>
          <w:szCs w:val="24"/>
        </w:rPr>
        <w:t xml:space="preserve">on-line </w:t>
      </w:r>
      <w:r w:rsidRPr="005D00FE">
        <w:rPr>
          <w:rFonts w:cs="Calibri"/>
          <w:sz w:val="24"/>
          <w:szCs w:val="24"/>
        </w:rPr>
        <w:t>příloh</w:t>
      </w:r>
    </w:p>
    <w:p w14:paraId="407DBDC4" w14:textId="7A0DB4C3" w:rsidR="0086798E" w:rsidRPr="00CB781D" w:rsidRDefault="0086798E" w:rsidP="005D5676">
      <w:pPr>
        <w:keepNext/>
        <w:rPr>
          <w:rFonts w:ascii="Calibri" w:hAnsi="Calibri" w:cs="Calibri"/>
          <w:color w:val="000000" w:themeColor="text1"/>
        </w:rPr>
      </w:pPr>
      <w:r w:rsidRPr="005D00FE">
        <w:rPr>
          <w:rFonts w:ascii="Calibri" w:hAnsi="Calibri" w:cs="Calibri"/>
        </w:rPr>
        <w:t>Příloha č. 1</w:t>
      </w:r>
      <w:r w:rsidRPr="005D00FE">
        <w:rPr>
          <w:rFonts w:ascii="Calibri" w:hAnsi="Calibri" w:cs="Calibri"/>
        </w:rPr>
        <w:tab/>
        <w:t>Interaktivní výsledek dotazníku</w:t>
      </w:r>
      <w:r w:rsidR="00CB781D">
        <w:rPr>
          <w:rFonts w:ascii="Calibri" w:hAnsi="Calibri" w:cs="Calibri"/>
        </w:rPr>
        <w:t>.</w:t>
      </w:r>
      <w:r w:rsidR="00B23B6C" w:rsidRPr="005D00FE">
        <w:rPr>
          <w:rFonts w:ascii="Calibri" w:hAnsi="Calibri" w:cs="Calibri"/>
        </w:rPr>
        <w:t xml:space="preserve"> </w:t>
      </w:r>
      <w:r w:rsidR="00CB781D">
        <w:rPr>
          <w:rFonts w:ascii="Calibri" w:hAnsi="Calibri" w:cs="Calibri"/>
          <w:color w:val="000000" w:themeColor="text1"/>
        </w:rPr>
        <w:t xml:space="preserve">Dostupné na </w:t>
      </w:r>
      <w:hyperlink r:id="rId11" w:history="1">
        <w:r w:rsidR="00CB781D" w:rsidRPr="00351A95">
          <w:rPr>
            <w:rStyle w:val="Hypertextovodkaz"/>
            <w:rFonts w:ascii="Calibri" w:hAnsi="Calibri" w:cs="Calibri"/>
          </w:rPr>
          <w:t>https://infogram.com/1p9g2q3jynlw72f72mdqe37yrwf3vlqjkzn?live</w:t>
        </w:r>
      </w:hyperlink>
      <w:r w:rsidR="00CB781D">
        <w:rPr>
          <w:rFonts w:ascii="Calibri" w:hAnsi="Calibri" w:cs="Calibri"/>
        </w:rPr>
        <w:t xml:space="preserve">. </w:t>
      </w:r>
    </w:p>
    <w:p w14:paraId="0DE1CBC4" w14:textId="7ADCA030" w:rsidR="0086798E" w:rsidRPr="00CB781D" w:rsidRDefault="0086798E" w:rsidP="005D5676">
      <w:pPr>
        <w:keepNext/>
        <w:rPr>
          <w:rFonts w:ascii="Calibri" w:hAnsi="Calibri" w:cs="Calibri"/>
          <w:color w:val="000000" w:themeColor="text1"/>
        </w:rPr>
      </w:pPr>
      <w:r w:rsidRPr="005D00FE">
        <w:rPr>
          <w:rFonts w:ascii="Calibri" w:hAnsi="Calibri" w:cs="Calibri"/>
        </w:rPr>
        <w:t>Příloha č. 2</w:t>
      </w:r>
      <w:r w:rsidRPr="005D00FE">
        <w:rPr>
          <w:rFonts w:ascii="Calibri" w:hAnsi="Calibri" w:cs="Calibri"/>
        </w:rPr>
        <w:tab/>
        <w:t>Kvíz ochrana obyvatelstva</w:t>
      </w:r>
      <w:r w:rsidR="00CB781D">
        <w:rPr>
          <w:rFonts w:ascii="Calibri" w:hAnsi="Calibri" w:cs="Calibri"/>
        </w:rPr>
        <w:t>.</w:t>
      </w:r>
      <w:r w:rsidR="00B23B6C" w:rsidRPr="005D00FE">
        <w:rPr>
          <w:rFonts w:ascii="Calibri" w:hAnsi="Calibri" w:cs="Calibri"/>
        </w:rPr>
        <w:t xml:space="preserve"> </w:t>
      </w:r>
      <w:r w:rsidR="00CB781D">
        <w:rPr>
          <w:rFonts w:ascii="Calibri" w:hAnsi="Calibri" w:cs="Calibri"/>
          <w:color w:val="000000" w:themeColor="text1"/>
        </w:rPr>
        <w:t>Dostupné na</w:t>
      </w:r>
      <w:r w:rsidR="00C32869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CB781D" w:rsidRPr="00351A95">
          <w:rPr>
            <w:rStyle w:val="Hypertextovodkaz"/>
            <w:rFonts w:ascii="Calibri" w:hAnsi="Calibri" w:cs="Calibri"/>
          </w:rPr>
          <w:t>https://infogram.com/1pven79km6xe9dux6q93glmzdnarnem7lp7?live</w:t>
        </w:r>
      </w:hyperlink>
      <w:r w:rsidR="00CB781D">
        <w:rPr>
          <w:rFonts w:ascii="Calibri" w:hAnsi="Calibri" w:cs="Calibri"/>
        </w:rPr>
        <w:t xml:space="preserve">. </w:t>
      </w:r>
    </w:p>
    <w:p w14:paraId="35D6D623" w14:textId="77777777" w:rsidR="0086798E" w:rsidRPr="005D00FE" w:rsidRDefault="0086798E" w:rsidP="0086798E">
      <w:pPr>
        <w:rPr>
          <w:rFonts w:ascii="Calibri" w:hAnsi="Calibri" w:cs="Calibri"/>
        </w:rPr>
      </w:pPr>
    </w:p>
    <w:sectPr w:rsidR="0086798E" w:rsidRPr="005D00FE" w:rsidSect="00554ED4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1952F" w14:textId="77777777" w:rsidR="004176E5" w:rsidRDefault="004176E5" w:rsidP="00FC5525">
      <w:r>
        <w:separator/>
      </w:r>
    </w:p>
  </w:endnote>
  <w:endnote w:type="continuationSeparator" w:id="0">
    <w:p w14:paraId="34F0EFBF" w14:textId="77777777" w:rsidR="004176E5" w:rsidRDefault="004176E5" w:rsidP="00FC5525">
      <w:r>
        <w:continuationSeparator/>
      </w:r>
    </w:p>
  </w:endnote>
  <w:endnote w:type="continuationNotice" w:id="1">
    <w:p w14:paraId="5FB32D2B" w14:textId="77777777" w:rsidR="004176E5" w:rsidRDefault="00417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91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BFAB4" w14:textId="77777777" w:rsidR="00371F63" w:rsidRDefault="00371F63" w:rsidP="00554ED4">
        <w:pPr>
          <w:pStyle w:val="Zpat"/>
          <w:jc w:val="center"/>
          <w:rPr>
            <w:noProof/>
          </w:rPr>
        </w:pPr>
        <w:r w:rsidRPr="00634727">
          <w:rPr>
            <w:noProof/>
          </w:rPr>
          <w:fldChar w:fldCharType="begin"/>
        </w:r>
        <w:r w:rsidRPr="00634727">
          <w:rPr>
            <w:noProof/>
          </w:rPr>
          <w:instrText>PAGE   \* MERGEFORMAT</w:instrText>
        </w:r>
        <w:r w:rsidRPr="00634727">
          <w:rPr>
            <w:noProof/>
          </w:rPr>
          <w:fldChar w:fldCharType="separate"/>
        </w:r>
        <w:r>
          <w:rPr>
            <w:noProof/>
          </w:rPr>
          <w:t>18</w:t>
        </w:r>
        <w:r w:rsidRPr="0063472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0597" w14:textId="77777777" w:rsidR="004176E5" w:rsidRDefault="004176E5" w:rsidP="00FC5525">
      <w:r>
        <w:separator/>
      </w:r>
    </w:p>
  </w:footnote>
  <w:footnote w:type="continuationSeparator" w:id="0">
    <w:p w14:paraId="6D9193B9" w14:textId="77777777" w:rsidR="004176E5" w:rsidRDefault="004176E5" w:rsidP="00FC5525">
      <w:r>
        <w:continuationSeparator/>
      </w:r>
    </w:p>
  </w:footnote>
  <w:footnote w:type="continuationNotice" w:id="1">
    <w:p w14:paraId="30BB7EB4" w14:textId="77777777" w:rsidR="004176E5" w:rsidRDefault="004176E5"/>
  </w:footnote>
  <w:footnote w:id="2">
    <w:p w14:paraId="48CB7310" w14:textId="6DD28F7E" w:rsidR="00371F63" w:rsidRPr="00BC59B2" w:rsidRDefault="00371F63" w:rsidP="00BC59B2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C59B2">
        <w:rPr>
          <w:rStyle w:val="Znakapoznpodarou"/>
          <w:rFonts w:ascii="Calibri" w:hAnsi="Calibri" w:cs="Calibri"/>
          <w:sz w:val="20"/>
          <w:szCs w:val="20"/>
        </w:rPr>
        <w:footnoteRef/>
      </w:r>
      <w:r w:rsidRPr="00BC59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BC59B2">
        <w:rPr>
          <w:rFonts w:ascii="Calibri" w:hAnsi="Calibri" w:cs="Calibri"/>
          <w:sz w:val="20"/>
          <w:szCs w:val="20"/>
        </w:rPr>
        <w:t>Usnesení vlády České republiky ze dne 4. února 2015 č. 79</w:t>
      </w:r>
      <w:r>
        <w:rPr>
          <w:rFonts w:ascii="Calibri" w:hAnsi="Calibri" w:cs="Calibri"/>
          <w:sz w:val="20"/>
          <w:szCs w:val="20"/>
        </w:rPr>
        <w:t>,</w:t>
      </w:r>
      <w:r w:rsidRPr="00BC59B2">
        <w:rPr>
          <w:rFonts w:ascii="Calibri" w:hAnsi="Calibri" w:cs="Calibri"/>
          <w:sz w:val="20"/>
          <w:szCs w:val="20"/>
        </w:rPr>
        <w:t xml:space="preserve"> </w:t>
      </w:r>
      <w:r w:rsidRPr="00371F63">
        <w:rPr>
          <w:rFonts w:ascii="Calibri" w:hAnsi="Calibri" w:cs="Calibri"/>
          <w:i/>
          <w:sz w:val="20"/>
          <w:szCs w:val="20"/>
        </w:rPr>
        <w:t>o Bezpečnostní strategii České republiky 2015</w:t>
      </w:r>
      <w:r w:rsidRPr="00BC59B2">
        <w:rPr>
          <w:rFonts w:ascii="Calibri" w:hAnsi="Calibri" w:cs="Calibri"/>
          <w:sz w:val="20"/>
          <w:szCs w:val="20"/>
        </w:rPr>
        <w:t>.</w:t>
      </w:r>
    </w:p>
  </w:footnote>
  <w:footnote w:id="3">
    <w:p w14:paraId="69406782" w14:textId="448B76E5" w:rsidR="00371F63" w:rsidRPr="00BC59B2" w:rsidRDefault="00371F63" w:rsidP="00BC59B2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C59B2">
        <w:rPr>
          <w:rStyle w:val="Znakapoznpodarou"/>
          <w:rFonts w:ascii="Calibri" w:hAnsi="Calibri" w:cs="Calibri"/>
          <w:sz w:val="20"/>
          <w:szCs w:val="20"/>
        </w:rPr>
        <w:footnoteRef/>
      </w:r>
      <w:r w:rsidRPr="00BC59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Jde o následující dokumenty: </w:t>
      </w:r>
      <w:r w:rsidRPr="00371F63">
        <w:rPr>
          <w:rFonts w:ascii="Calibri" w:eastAsia="Times New Roman" w:hAnsi="Calibri" w:cs="Calibri"/>
          <w:i/>
          <w:noProof/>
          <w:color w:val="000000"/>
          <w:sz w:val="20"/>
          <w:szCs w:val="20"/>
        </w:rPr>
        <w:t>Koncepce ochrany obyvatelstva do roku 2006 s výhledem do roku 2015</w:t>
      </w:r>
      <w:r w:rsidRPr="00BC59B2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, </w:t>
      </w:r>
      <w:r w:rsidRPr="00371F63">
        <w:rPr>
          <w:rFonts w:ascii="Calibri" w:eastAsia="Times New Roman" w:hAnsi="Calibri" w:cs="Calibri"/>
          <w:i/>
          <w:noProof/>
          <w:color w:val="000000"/>
          <w:sz w:val="20"/>
          <w:szCs w:val="20"/>
        </w:rPr>
        <w:t>Koncepce ochrany obyvatelstva do roku 2013 s výhledem do roku 2020</w:t>
      </w:r>
      <w:r w:rsidRPr="00BC59B2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, </w:t>
      </w:r>
      <w:r w:rsidRPr="00371F63">
        <w:rPr>
          <w:rFonts w:ascii="Calibri" w:eastAsia="Times New Roman" w:hAnsi="Calibri" w:cs="Calibri"/>
          <w:i/>
          <w:noProof/>
          <w:color w:val="000000"/>
          <w:sz w:val="20"/>
          <w:szCs w:val="20"/>
        </w:rPr>
        <w:t>Koncepce ochrany obyvatelstva do roku 2020 s výhledem do roku 2030</w:t>
      </w:r>
      <w:r w:rsidRPr="00BC59B2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, </w:t>
      </w:r>
      <w:r w:rsidRPr="00371F63">
        <w:rPr>
          <w:rFonts w:ascii="Calibri" w:eastAsia="Times New Roman" w:hAnsi="Calibri" w:cs="Calibri"/>
          <w:i/>
          <w:noProof/>
          <w:color w:val="000000"/>
          <w:sz w:val="20"/>
          <w:szCs w:val="20"/>
        </w:rPr>
        <w:t>Koncepce ochrany obyvatelstva do roku 2025 s výhledem do roku 2030</w:t>
      </w:r>
      <w:r w:rsidRPr="00BC59B2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. </w:t>
      </w:r>
    </w:p>
  </w:footnote>
  <w:footnote w:id="4">
    <w:p w14:paraId="128D87DD" w14:textId="46DAF51B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Style w:val="Znakapoznpodarou"/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Viz </w:t>
      </w:r>
      <w:hyperlink r:id="rId1" w:history="1">
        <w:r w:rsidRPr="00351A95">
          <w:rPr>
            <w:rStyle w:val="Hypertextovodkaz"/>
            <w:rFonts w:ascii="Calibri" w:hAnsi="Calibri" w:cs="Calibri"/>
          </w:rPr>
          <w:t>https://infogram.com/1p9g2q3jynlw72f72mdqe37yrwf3vlqjkzn?live</w:t>
        </w:r>
      </w:hyperlink>
      <w:r w:rsidRPr="00BC59B2">
        <w:rPr>
          <w:rFonts w:ascii="Calibri" w:hAnsi="Calibri" w:cs="Calibri"/>
        </w:rPr>
        <w:t>.</w:t>
      </w:r>
    </w:p>
  </w:footnote>
  <w:footnote w:id="5">
    <w:p w14:paraId="1C53F0B9" w14:textId="5D1BBBBF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  <w:vertAlign w:val="superscript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Viz </w:t>
      </w:r>
      <w:hyperlink r:id="rId2" w:history="1">
        <w:r w:rsidRPr="00351A95">
          <w:rPr>
            <w:rStyle w:val="Hypertextovodkaz"/>
            <w:rFonts w:ascii="Calibri" w:hAnsi="Calibri" w:cs="Calibri"/>
          </w:rPr>
          <w:t>https://infogram.com/1pven79km6xe9dux6q93glmzdnarnem7lp7?live</w:t>
        </w:r>
      </w:hyperlink>
      <w:r w:rsidRPr="00BC59B2">
        <w:rPr>
          <w:rFonts w:ascii="Calibri" w:hAnsi="Calibri" w:cs="Calibri"/>
        </w:rPr>
        <w:t>.</w:t>
      </w:r>
    </w:p>
  </w:footnote>
  <w:footnote w:id="6">
    <w:p w14:paraId="497249D1" w14:textId="79F7283E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</w:t>
      </w:r>
      <w:r w:rsidRPr="00BC59B2">
        <w:rPr>
          <w:rFonts w:ascii="Calibri" w:hAnsi="Calibri" w:cs="Calibri"/>
        </w:rPr>
        <w:t>§ 21 zákona č. 2/1969 Sb., o zřízení ministerstev a jiných ústředních orgánů státní správy České republiky.</w:t>
      </w:r>
    </w:p>
  </w:footnote>
  <w:footnote w:id="7">
    <w:p w14:paraId="4086BEDA" w14:textId="5364CAE3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</w:t>
      </w:r>
      <w:r w:rsidRPr="00BC59B2">
        <w:rPr>
          <w:rFonts w:ascii="Calibri" w:hAnsi="Calibri" w:cs="Calibri"/>
        </w:rPr>
        <w:t>§ 2 odst. 4 zákona č. 218/2000 Sb., o rozpočtových pravidlech a o změně některých souvisejících zákonů („rozpočtová pravidla“)</w:t>
      </w:r>
      <w:r>
        <w:rPr>
          <w:rFonts w:ascii="Calibri" w:hAnsi="Calibri" w:cs="Calibri"/>
        </w:rPr>
        <w:t>,</w:t>
      </w:r>
      <w:r w:rsidRPr="00BC59B2">
        <w:rPr>
          <w:rFonts w:ascii="Calibri" w:hAnsi="Calibri" w:cs="Calibri"/>
        </w:rPr>
        <w:t xml:space="preserve"> ve znění platném do 31.</w:t>
      </w:r>
      <w:r>
        <w:rPr>
          <w:rFonts w:ascii="Calibri" w:hAnsi="Calibri" w:cs="Calibri"/>
        </w:rPr>
        <w:t> </w:t>
      </w:r>
      <w:r w:rsidRPr="00BC59B2">
        <w:rPr>
          <w:rFonts w:ascii="Calibri" w:hAnsi="Calibri" w:cs="Calibri"/>
        </w:rPr>
        <w:t>12. 2021.</w:t>
      </w:r>
    </w:p>
  </w:footnote>
  <w:footnote w:id="8">
    <w:p w14:paraId="0C548891" w14:textId="1B24FAD9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</w:t>
      </w:r>
      <w:r w:rsidRPr="00BC59B2">
        <w:rPr>
          <w:rFonts w:ascii="Calibri" w:hAnsi="Calibri" w:cs="Calibri"/>
        </w:rPr>
        <w:t>§ 7 odst. 1 zákona č. 239/2000 Sb., o integrovaném záchranném systému a o změně některých zákonů.</w:t>
      </w:r>
    </w:p>
  </w:footnote>
  <w:footnote w:id="9">
    <w:p w14:paraId="2207CE36" w14:textId="312B933B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Fonts w:ascii="Calibri" w:hAnsi="Calibri" w:cs="Calibri"/>
          <w:vertAlign w:val="superscript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371F63">
        <w:rPr>
          <w:rFonts w:ascii="Calibri" w:hAnsi="Calibri" w:cs="Calibri"/>
          <w:i/>
        </w:rPr>
        <w:t>Metodika přípravy veřejných strategií</w:t>
      </w:r>
      <w:r w:rsidRPr="00BC59B2">
        <w:rPr>
          <w:rFonts w:ascii="Calibri" w:hAnsi="Calibri" w:cs="Calibri"/>
        </w:rPr>
        <w:t xml:space="preserve"> schválená usnesením vlády České republiky ze dne 2. května 2013 č.</w:t>
      </w:r>
      <w:r>
        <w:rPr>
          <w:rFonts w:ascii="Calibri" w:hAnsi="Calibri" w:cs="Calibri"/>
        </w:rPr>
        <w:t> </w:t>
      </w:r>
      <w:r w:rsidRPr="00BC59B2">
        <w:rPr>
          <w:rFonts w:ascii="Calibri" w:hAnsi="Calibri" w:cs="Calibri"/>
        </w:rPr>
        <w:t xml:space="preserve">318 a aktualizace </w:t>
      </w:r>
      <w:r w:rsidRPr="00371F63">
        <w:rPr>
          <w:rFonts w:ascii="Calibri" w:hAnsi="Calibri" w:cs="Calibri"/>
          <w:i/>
        </w:rPr>
        <w:t xml:space="preserve">Metodiky přípravy veřejných strategií </w:t>
      </w:r>
      <w:r w:rsidRPr="00BC59B2">
        <w:rPr>
          <w:rFonts w:ascii="Calibri" w:hAnsi="Calibri" w:cs="Calibri"/>
        </w:rPr>
        <w:t>schválená usnesením vlády České republiky ze dne 28.</w:t>
      </w:r>
      <w:r>
        <w:rPr>
          <w:rFonts w:ascii="Calibri" w:hAnsi="Calibri" w:cs="Calibri"/>
        </w:rPr>
        <w:t> </w:t>
      </w:r>
      <w:r w:rsidRPr="00BC59B2">
        <w:rPr>
          <w:rFonts w:ascii="Calibri" w:hAnsi="Calibri" w:cs="Calibri"/>
        </w:rPr>
        <w:t>ledna 2019 č. 71.</w:t>
      </w:r>
    </w:p>
  </w:footnote>
  <w:footnote w:id="10">
    <w:p w14:paraId="207EB58D" w14:textId="36DEBAFD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</w:t>
      </w:r>
      <w:r w:rsidRPr="00BC59B2">
        <w:rPr>
          <w:rFonts w:ascii="Calibri" w:hAnsi="Calibri" w:cs="Calibri"/>
        </w:rPr>
        <w:t>§ 1 odst. 2 vyhlášky č. 323/2002 Sb. a § 2 odst. 1 vyhlášky č. 412/2021 Sb.</w:t>
      </w:r>
      <w:r>
        <w:rPr>
          <w:rFonts w:ascii="Calibri" w:hAnsi="Calibri" w:cs="Calibri"/>
        </w:rPr>
        <w:t>,</w:t>
      </w:r>
      <w:r w:rsidRPr="00BC59B2">
        <w:rPr>
          <w:rFonts w:ascii="Calibri" w:hAnsi="Calibri" w:cs="Calibri"/>
        </w:rPr>
        <w:t xml:space="preserve"> o rozpočtové skladbě.</w:t>
      </w:r>
    </w:p>
  </w:footnote>
  <w:footnote w:id="11">
    <w:p w14:paraId="1AC1997F" w14:textId="7266251A" w:rsidR="00371F63" w:rsidRPr="00BC59B2" w:rsidRDefault="00371F63" w:rsidP="00BC59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59B2">
        <w:rPr>
          <w:rStyle w:val="Znakapoznpodarou"/>
          <w:rFonts w:ascii="Calibri" w:hAnsi="Calibri" w:cs="Calibri"/>
        </w:rPr>
        <w:footnoteRef/>
      </w:r>
      <w:r w:rsidRPr="00BC5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</w:t>
      </w:r>
      <w:r w:rsidRPr="00BC59B2">
        <w:rPr>
          <w:rFonts w:ascii="Calibri" w:hAnsi="Calibri" w:cs="Calibri"/>
        </w:rPr>
        <w:t>§ 17 vyhlášky č. 380/2002 Sb.</w:t>
      </w:r>
    </w:p>
  </w:footnote>
  <w:footnote w:id="12">
    <w:p w14:paraId="40ECED46" w14:textId="6463672F" w:rsidR="00371F63" w:rsidRPr="00D252AD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252AD">
        <w:rPr>
          <w:rStyle w:val="Znakapoznpodarou"/>
          <w:rFonts w:ascii="Calibri" w:hAnsi="Calibri" w:cs="Calibri"/>
        </w:rPr>
        <w:footnoteRef/>
      </w:r>
      <w:r w:rsidRPr="00D252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D252AD">
        <w:rPr>
          <w:rFonts w:ascii="Calibri" w:hAnsi="Calibri" w:cs="Calibri"/>
        </w:rPr>
        <w:t>Mimořádnou událostí je dle § 2 písm. b) zákona č. 239/2000 Sb. škodlivé působení sil a jevů vyvolaných činností člověka, přírodními vlivy a také havárie, které ohrožují život, zdraví, majetek nebo životní prostředí a</w:t>
      </w:r>
      <w:r w:rsidR="000D1B9D">
        <w:rPr>
          <w:rFonts w:ascii="Calibri" w:hAnsi="Calibri" w:cs="Calibri"/>
        </w:rPr>
        <w:t> </w:t>
      </w:r>
      <w:r w:rsidRPr="00D252AD">
        <w:rPr>
          <w:rFonts w:ascii="Calibri" w:hAnsi="Calibri" w:cs="Calibri"/>
        </w:rPr>
        <w:t>vyžadují provedení záchranných a likvidačních prací.</w:t>
      </w:r>
    </w:p>
  </w:footnote>
  <w:footnote w:id="13">
    <w:p w14:paraId="5C576986" w14:textId="1C3905C9" w:rsidR="00371F63" w:rsidRPr="00D252AD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252AD">
        <w:rPr>
          <w:rStyle w:val="Znakapoznpodarou"/>
          <w:rFonts w:ascii="Calibri" w:hAnsi="Calibri" w:cs="Calibri"/>
        </w:rPr>
        <w:footnoteRef/>
      </w:r>
      <w:r w:rsidRPr="00D252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D252AD">
        <w:rPr>
          <w:rFonts w:ascii="Calibri" w:eastAsiaTheme="minorHAnsi" w:hAnsi="Calibri" w:cs="Calibri"/>
        </w:rPr>
        <w:t xml:space="preserve">Čl. 61 </w:t>
      </w:r>
      <w:r>
        <w:rPr>
          <w:rFonts w:ascii="Calibri" w:eastAsiaTheme="minorHAnsi" w:hAnsi="Calibri" w:cs="Calibri"/>
        </w:rPr>
        <w:t>d</w:t>
      </w:r>
      <w:r w:rsidRPr="00D252AD">
        <w:rPr>
          <w:rFonts w:ascii="Calibri" w:eastAsiaTheme="minorHAnsi" w:hAnsi="Calibri" w:cs="Calibri"/>
        </w:rPr>
        <w:t>odatkového protokolu k Ženevským úmluvám z 12. srpna 1949</w:t>
      </w:r>
      <w:r>
        <w:rPr>
          <w:rFonts w:ascii="Calibri" w:eastAsiaTheme="minorHAnsi" w:hAnsi="Calibri" w:cs="Calibri"/>
        </w:rPr>
        <w:t>,</w:t>
      </w:r>
      <w:r w:rsidRPr="00D252AD">
        <w:rPr>
          <w:rFonts w:ascii="Calibri" w:eastAsiaTheme="minorHAnsi" w:hAnsi="Calibri" w:cs="Calibri"/>
        </w:rPr>
        <w:t xml:space="preserve"> o ochraně obětí mezinárodních ozbrojených konfliktů (Protokol I), přijatého v Ženevě dne 8. června 1977 a publikovaného sdělením pod č. 168/1991 Sb.</w:t>
      </w:r>
    </w:p>
  </w:footnote>
  <w:footnote w:id="14">
    <w:p w14:paraId="6B40162F" w14:textId="7D7FAFC4" w:rsidR="00371F63" w:rsidRPr="00576642" w:rsidRDefault="00371F63" w:rsidP="00D252AD">
      <w:pPr>
        <w:ind w:left="284" w:hanging="284"/>
        <w:jc w:val="both"/>
        <w:rPr>
          <w:rFonts w:ascii="Calibri" w:hAnsi="Calibri" w:cs="Calibri"/>
          <w:b/>
          <w:sz w:val="20"/>
          <w:szCs w:val="20"/>
          <w:lang w:eastAsia="cs-CZ"/>
        </w:rPr>
      </w:pPr>
      <w:r w:rsidRPr="00D252A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252A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576642">
        <w:rPr>
          <w:rFonts w:ascii="Calibri" w:hAnsi="Calibri" w:cs="Calibri"/>
          <w:sz w:val="20"/>
          <w:szCs w:val="20"/>
        </w:rPr>
        <w:t>Zákon č. 320/2015 Sb., o Hasičském záchranném sboru České republiky a o změně některých zákonů (zákon o hasičském záchranném sboru).</w:t>
      </w:r>
    </w:p>
  </w:footnote>
  <w:footnote w:id="15">
    <w:p w14:paraId="0FA322B4" w14:textId="686BC15D" w:rsidR="00371F63" w:rsidRPr="00576642" w:rsidRDefault="00371F63" w:rsidP="00D252AD">
      <w:pPr>
        <w:ind w:left="284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576642">
        <w:rPr>
          <w:rStyle w:val="Znakapoznpodarou"/>
          <w:rFonts w:ascii="Calibri" w:hAnsi="Calibri" w:cs="Calibri"/>
          <w:sz w:val="20"/>
          <w:szCs w:val="20"/>
        </w:rPr>
        <w:footnoteRef/>
      </w:r>
      <w:r w:rsidRPr="00576642">
        <w:rPr>
          <w:rFonts w:ascii="Calibri" w:hAnsi="Calibri" w:cs="Calibri"/>
          <w:sz w:val="20"/>
          <w:szCs w:val="20"/>
        </w:rPr>
        <w:t xml:space="preserve"> </w:t>
      </w:r>
      <w:r w:rsidRPr="00576642">
        <w:rPr>
          <w:rFonts w:ascii="Calibri" w:hAnsi="Calibri" w:cs="Calibri"/>
          <w:sz w:val="20"/>
          <w:szCs w:val="20"/>
        </w:rPr>
        <w:tab/>
      </w:r>
      <w:r w:rsidRPr="00576642">
        <w:rPr>
          <w:rFonts w:ascii="Calibri" w:eastAsia="Times New Roman" w:hAnsi="Calibri" w:cs="Calibri"/>
          <w:sz w:val="20"/>
          <w:szCs w:val="20"/>
        </w:rPr>
        <w:t>Usnesení vlády České republiky ze dne 22. dubna 2002 č. 417</w:t>
      </w:r>
      <w:r>
        <w:rPr>
          <w:rFonts w:ascii="Calibri" w:eastAsia="Times New Roman" w:hAnsi="Calibri" w:cs="Calibri"/>
          <w:sz w:val="20"/>
          <w:szCs w:val="20"/>
        </w:rPr>
        <w:t>,</w:t>
      </w:r>
      <w:r w:rsidRPr="00576642">
        <w:rPr>
          <w:rFonts w:ascii="Calibri" w:eastAsia="Times New Roman" w:hAnsi="Calibri" w:cs="Calibri"/>
          <w:sz w:val="20"/>
          <w:szCs w:val="20"/>
        </w:rPr>
        <w:t xml:space="preserve"> </w:t>
      </w:r>
      <w:r w:rsidRPr="00371F63">
        <w:rPr>
          <w:rFonts w:ascii="Calibri" w:eastAsia="Times New Roman" w:hAnsi="Calibri" w:cs="Calibri"/>
          <w:i/>
          <w:sz w:val="20"/>
          <w:szCs w:val="20"/>
        </w:rPr>
        <w:t>ke Koncepci ochrany obyvatelstva do roku 2006 s výhledem do roku 2015</w:t>
      </w:r>
      <w:r w:rsidRPr="00576642">
        <w:rPr>
          <w:rFonts w:ascii="Calibri" w:eastAsia="Times New Roman" w:hAnsi="Calibri" w:cs="Calibri"/>
          <w:sz w:val="20"/>
          <w:szCs w:val="20"/>
        </w:rPr>
        <w:t>.</w:t>
      </w:r>
    </w:p>
  </w:footnote>
  <w:footnote w:id="16">
    <w:p w14:paraId="007702D3" w14:textId="328C2F84" w:rsidR="00371F63" w:rsidRPr="00576642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76642">
        <w:rPr>
          <w:rStyle w:val="Znakapoznpodarou"/>
          <w:rFonts w:ascii="Calibri" w:hAnsi="Calibri" w:cs="Calibri"/>
        </w:rPr>
        <w:footnoteRef/>
      </w:r>
      <w:r w:rsidRPr="00576642">
        <w:rPr>
          <w:rFonts w:ascii="Calibri" w:hAnsi="Calibri" w:cs="Calibri"/>
        </w:rPr>
        <w:t xml:space="preserve"> </w:t>
      </w:r>
      <w:r w:rsidRPr="00576642">
        <w:rPr>
          <w:rFonts w:ascii="Calibri" w:hAnsi="Calibri" w:cs="Calibri"/>
        </w:rPr>
        <w:tab/>
        <w:t xml:space="preserve">Usnesení vlády České republiky ze dne 25. 2. 2008 č. 165, </w:t>
      </w:r>
      <w:r w:rsidRPr="00371F63">
        <w:rPr>
          <w:rFonts w:ascii="Calibri" w:hAnsi="Calibri" w:cs="Calibri"/>
          <w:i/>
        </w:rPr>
        <w:t>k Vyhodnocení stavu realizace Koncepce ochrany obyvatelstva do roku 2006 s výhledem do roku 2015 a o Koncepci ochrany obyvatelstva do roku 2013 s výhledem do roku 2020</w:t>
      </w:r>
      <w:r w:rsidRPr="00576642">
        <w:rPr>
          <w:rFonts w:ascii="Calibri" w:hAnsi="Calibri" w:cs="Calibri"/>
        </w:rPr>
        <w:t>.</w:t>
      </w:r>
    </w:p>
  </w:footnote>
  <w:footnote w:id="17">
    <w:p w14:paraId="70B40B4D" w14:textId="1EF4F539" w:rsidR="00371F63" w:rsidRPr="00576642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76642">
        <w:rPr>
          <w:rStyle w:val="Znakapoznpodarou"/>
          <w:rFonts w:ascii="Calibri" w:hAnsi="Calibri" w:cs="Calibri"/>
        </w:rPr>
        <w:footnoteRef/>
      </w:r>
      <w:r w:rsidRPr="00576642">
        <w:rPr>
          <w:rFonts w:ascii="Calibri" w:hAnsi="Calibri" w:cs="Calibri"/>
        </w:rPr>
        <w:t xml:space="preserve"> </w:t>
      </w:r>
      <w:r w:rsidRPr="00576642">
        <w:rPr>
          <w:rFonts w:ascii="Calibri" w:hAnsi="Calibri" w:cs="Calibri"/>
        </w:rPr>
        <w:tab/>
        <w:t xml:space="preserve">Usnesení vlády České republiky ze dne 23. 10. 2013 č. 805, </w:t>
      </w:r>
      <w:r w:rsidRPr="00371F63">
        <w:rPr>
          <w:rFonts w:ascii="Calibri" w:hAnsi="Calibri" w:cs="Calibri"/>
          <w:i/>
        </w:rPr>
        <w:t>ke Koncepci ochrany obyvatelstva do roku 2020 s výhledem do roku 2030</w:t>
      </w:r>
      <w:r w:rsidRPr="00576642">
        <w:rPr>
          <w:rFonts w:ascii="Calibri" w:hAnsi="Calibri" w:cs="Calibri"/>
        </w:rPr>
        <w:t>.</w:t>
      </w:r>
    </w:p>
  </w:footnote>
  <w:footnote w:id="18">
    <w:p w14:paraId="46228115" w14:textId="0FE92990" w:rsidR="00371F63" w:rsidRPr="00576642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76642">
        <w:rPr>
          <w:rStyle w:val="Znakapoznpodarou"/>
          <w:rFonts w:ascii="Calibri" w:hAnsi="Calibri" w:cs="Calibri"/>
        </w:rPr>
        <w:footnoteRef/>
      </w:r>
      <w:r w:rsidRPr="00576642">
        <w:rPr>
          <w:rFonts w:ascii="Calibri" w:hAnsi="Calibri" w:cs="Calibri"/>
        </w:rPr>
        <w:t xml:space="preserve"> </w:t>
      </w:r>
      <w:r w:rsidRPr="00576642">
        <w:rPr>
          <w:rFonts w:ascii="Calibri" w:hAnsi="Calibri" w:cs="Calibri"/>
        </w:rPr>
        <w:tab/>
        <w:t xml:space="preserve">Usnesení vlády České republiky ze dne 21. 6. 2021 č. 560, </w:t>
      </w:r>
      <w:r w:rsidRPr="00371F63">
        <w:rPr>
          <w:rFonts w:ascii="Calibri" w:hAnsi="Calibri" w:cs="Calibri"/>
          <w:i/>
        </w:rPr>
        <w:t>ke Koncepci ochrany obyvatelstva do roku 2025 s výhledem do roku 2030</w:t>
      </w:r>
      <w:r w:rsidRPr="00576642">
        <w:rPr>
          <w:rFonts w:ascii="Calibri" w:hAnsi="Calibri" w:cs="Calibri"/>
        </w:rPr>
        <w:t>.</w:t>
      </w:r>
    </w:p>
  </w:footnote>
  <w:footnote w:id="19">
    <w:p w14:paraId="2E9E558F" w14:textId="39B366AD" w:rsidR="00371F63" w:rsidRPr="008440AE" w:rsidRDefault="00371F63" w:rsidP="00D252AD">
      <w:pPr>
        <w:pStyle w:val="Textpoznpodarou"/>
        <w:ind w:left="284" w:hanging="284"/>
        <w:rPr>
          <w:rFonts w:ascii="Calibri" w:hAnsi="Calibri" w:cs="Calibri"/>
        </w:rPr>
      </w:pPr>
      <w:r w:rsidRPr="008440AE">
        <w:rPr>
          <w:rStyle w:val="Znakapoznpodarou"/>
          <w:rFonts w:ascii="Calibri" w:hAnsi="Calibri" w:cs="Calibri"/>
        </w:rPr>
        <w:footnoteRef/>
      </w:r>
      <w:r w:rsidRPr="008440AE">
        <w:rPr>
          <w:rFonts w:ascii="Calibri" w:hAnsi="Calibri" w:cs="Calibri"/>
        </w:rPr>
        <w:t xml:space="preserve"> </w:t>
      </w:r>
      <w:r w:rsidRPr="008440AE">
        <w:rPr>
          <w:rFonts w:ascii="Calibri" w:hAnsi="Calibri" w:cs="Calibri"/>
        </w:rPr>
        <w:tab/>
        <w:t>Zákon č. 320/2001 Sb., o finanční kontrole ve veřejné správě a o změně některých zákonů (zákon o finanční kontrole).</w:t>
      </w:r>
    </w:p>
  </w:footnote>
  <w:footnote w:id="20">
    <w:p w14:paraId="5FDF74EC" w14:textId="3276CEB2" w:rsidR="00371F63" w:rsidRPr="008440AE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440AE">
        <w:rPr>
          <w:rStyle w:val="Znakapoznpodarou"/>
          <w:rFonts w:ascii="Calibri" w:hAnsi="Calibri" w:cs="Calibri"/>
        </w:rPr>
        <w:footnoteRef/>
      </w:r>
      <w:r w:rsidRPr="008440AE">
        <w:rPr>
          <w:rFonts w:ascii="Calibri" w:hAnsi="Calibri" w:cs="Calibri"/>
        </w:rPr>
        <w:t xml:space="preserve"> </w:t>
      </w:r>
      <w:r w:rsidRPr="008440AE">
        <w:rPr>
          <w:rFonts w:ascii="Calibri" w:hAnsi="Calibri" w:cs="Calibri"/>
        </w:rPr>
        <w:tab/>
        <w:t>Zákon č. 240/2000 Sb., o krizovém řízení a o změně některých zákonů (krizový zákon).</w:t>
      </w:r>
    </w:p>
  </w:footnote>
  <w:footnote w:id="21">
    <w:p w14:paraId="2A8D38CD" w14:textId="12E43FF5" w:rsidR="00371F63" w:rsidRPr="008440AE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440AE">
        <w:rPr>
          <w:rStyle w:val="Znakapoznpodarou"/>
          <w:rFonts w:ascii="Calibri" w:hAnsi="Calibri" w:cs="Calibri"/>
        </w:rPr>
        <w:footnoteRef/>
      </w:r>
      <w:r w:rsidRPr="008440AE">
        <w:rPr>
          <w:rFonts w:ascii="Calibri" w:hAnsi="Calibri" w:cs="Calibri"/>
        </w:rPr>
        <w:t xml:space="preserve"> </w:t>
      </w:r>
      <w:r w:rsidRPr="008440AE">
        <w:rPr>
          <w:rFonts w:ascii="Calibri" w:hAnsi="Calibri" w:cs="Calibri"/>
        </w:rPr>
        <w:tab/>
        <w:t>Zákon č. 218/2000 Sb., o rozpočtových pravidlech a o změně některých souvisejících zákonů (rozpočtová pravidla).</w:t>
      </w:r>
    </w:p>
  </w:footnote>
  <w:footnote w:id="22">
    <w:p w14:paraId="426DA72D" w14:textId="597663CF" w:rsidR="00371F63" w:rsidRPr="008440AE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440AE">
        <w:rPr>
          <w:rStyle w:val="Znakapoznpodarou"/>
          <w:rFonts w:ascii="Calibri" w:hAnsi="Calibri" w:cs="Calibri"/>
        </w:rPr>
        <w:footnoteRef/>
      </w:r>
      <w:r w:rsidRPr="008440AE">
        <w:rPr>
          <w:rFonts w:ascii="Calibri" w:hAnsi="Calibri" w:cs="Calibri"/>
        </w:rPr>
        <w:t xml:space="preserve"> </w:t>
      </w:r>
      <w:r w:rsidRPr="008440AE">
        <w:rPr>
          <w:rFonts w:ascii="Calibri" w:hAnsi="Calibri" w:cs="Calibri"/>
        </w:rPr>
        <w:tab/>
        <w:t>Vyhláška č. 323/2002 Sb., o rozpočtové skladbě.</w:t>
      </w:r>
    </w:p>
  </w:footnote>
  <w:footnote w:id="23">
    <w:p w14:paraId="794E7FCF" w14:textId="2DDFD2D1" w:rsidR="00371F63" w:rsidRPr="008440AE" w:rsidRDefault="00371F63" w:rsidP="00D252A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440AE">
        <w:rPr>
          <w:rStyle w:val="Znakapoznpodarou"/>
          <w:rFonts w:ascii="Calibri" w:hAnsi="Calibri" w:cs="Calibri"/>
        </w:rPr>
        <w:footnoteRef/>
      </w:r>
      <w:r w:rsidRPr="008440AE">
        <w:rPr>
          <w:rFonts w:ascii="Calibri" w:hAnsi="Calibri" w:cs="Calibri"/>
        </w:rPr>
        <w:t xml:space="preserve"> </w:t>
      </w:r>
      <w:r w:rsidRPr="008440AE">
        <w:rPr>
          <w:rFonts w:ascii="Calibri" w:hAnsi="Calibri" w:cs="Calibri"/>
        </w:rPr>
        <w:tab/>
        <w:t>Vyhláška č. 412/2021 Sb., o rozpočtové skladbě, účinná od 1. 1. 2022.</w:t>
      </w:r>
    </w:p>
  </w:footnote>
  <w:footnote w:id="24">
    <w:p w14:paraId="155E1BB8" w14:textId="57BA0816" w:rsidR="00371F63" w:rsidRPr="00547BE0" w:rsidRDefault="00371F63" w:rsidP="00060309">
      <w:pPr>
        <w:shd w:val="clear" w:color="auto" w:fill="FFFFFF" w:themeFill="background1"/>
        <w:ind w:left="284" w:hanging="284"/>
        <w:jc w:val="both"/>
        <w:rPr>
          <w:sz w:val="20"/>
          <w:szCs w:val="20"/>
        </w:rPr>
      </w:pPr>
      <w:r w:rsidRPr="00547BE0">
        <w:rPr>
          <w:rStyle w:val="Znakapoznpodarou"/>
          <w:sz w:val="20"/>
          <w:szCs w:val="20"/>
        </w:rPr>
        <w:footnoteRef/>
      </w:r>
      <w:r w:rsidRPr="00547BE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47BE0">
        <w:rPr>
          <w:sz w:val="20"/>
          <w:szCs w:val="20"/>
        </w:rPr>
        <w:t xml:space="preserve">Metodika střednědobých koncepcí – část III. </w:t>
      </w:r>
      <w:r w:rsidRPr="00F83B0E">
        <w:rPr>
          <w:i/>
          <w:sz w:val="20"/>
          <w:szCs w:val="20"/>
        </w:rPr>
        <w:t>Stanovení finančních nároků</w:t>
      </w:r>
      <w:r w:rsidRPr="00547BE0">
        <w:rPr>
          <w:sz w:val="20"/>
          <w:szCs w:val="20"/>
        </w:rPr>
        <w:t xml:space="preserve">, 2) Metodika přípravy veřejných strategií – část 3.6.10. </w:t>
      </w:r>
      <w:r w:rsidRPr="00F83B0E">
        <w:rPr>
          <w:i/>
          <w:sz w:val="20"/>
          <w:szCs w:val="20"/>
        </w:rPr>
        <w:t>Aktivita 8: Sestavení rozpočtu implementace strategie</w:t>
      </w:r>
      <w:r w:rsidRPr="00547BE0">
        <w:rPr>
          <w:sz w:val="20"/>
          <w:szCs w:val="20"/>
        </w:rPr>
        <w:t xml:space="preserve">, 3) aktualizace Metodiky přípravy veřejných strategií – část 3.6.10. </w:t>
      </w:r>
      <w:r w:rsidRPr="00F83B0E">
        <w:rPr>
          <w:i/>
          <w:sz w:val="20"/>
          <w:szCs w:val="20"/>
        </w:rPr>
        <w:t>Aktivita 8: Sestavení rozpočtu implementace strategie</w:t>
      </w:r>
      <w:r w:rsidRPr="00547BE0">
        <w:rPr>
          <w:sz w:val="20"/>
          <w:szCs w:val="20"/>
        </w:rPr>
        <w:t>.</w:t>
      </w:r>
    </w:p>
  </w:footnote>
  <w:footnote w:id="25">
    <w:p w14:paraId="3C8C58A2" w14:textId="3A5698B4" w:rsidR="00371F63" w:rsidRPr="00934F62" w:rsidRDefault="00371F63" w:rsidP="00934F6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34F62">
        <w:rPr>
          <w:rStyle w:val="Znakapoznpodarou"/>
          <w:rFonts w:ascii="Calibri" w:hAnsi="Calibri" w:cs="Calibri"/>
        </w:rPr>
        <w:footnoteRef/>
      </w:r>
      <w:r w:rsidRPr="00934F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34F62">
        <w:rPr>
          <w:rFonts w:ascii="Calibri" w:hAnsi="Calibri" w:cs="Calibri"/>
          <w:noProof/>
          <w:color w:val="000000"/>
        </w:rPr>
        <w:t>Výbor pro civilní nouzové plánování je stálým pracovním orgánem Bezpečnostní rady státu pro oblast civilního nouzového plánování a pro koordinaci a plánování opatření k zajištění ochrany vnitřní bezpečnosti státu. Výbor mj. schvaluje odbornou pracovní skupinu ke zpracování koncepcí OOB.</w:t>
      </w:r>
    </w:p>
  </w:footnote>
  <w:footnote w:id="26">
    <w:p w14:paraId="3C3680C7" w14:textId="3DF05CC2" w:rsidR="00371F63" w:rsidRPr="00B00050" w:rsidRDefault="00371F63" w:rsidP="00B254F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0050">
        <w:rPr>
          <w:rStyle w:val="Znakapoznpodarou"/>
          <w:rFonts w:ascii="Calibri" w:hAnsi="Calibri" w:cs="Calibri"/>
        </w:rPr>
        <w:footnoteRef/>
      </w:r>
      <w:r w:rsidRPr="00B000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00050">
        <w:rPr>
          <w:rFonts w:ascii="Calibri" w:eastAsiaTheme="minorHAnsi" w:hAnsi="Calibri" w:cs="Calibri"/>
        </w:rPr>
        <w:t>Peněžní prostředky státního rozpočtu na podporu jednotek dobrovolných hasičů nebyly předmětem KA č.</w:t>
      </w:r>
      <w:r>
        <w:rPr>
          <w:rFonts w:ascii="Calibri" w:eastAsiaTheme="minorHAnsi" w:hAnsi="Calibri" w:cs="Calibri"/>
        </w:rPr>
        <w:t> </w:t>
      </w:r>
      <w:r w:rsidRPr="00B00050">
        <w:rPr>
          <w:rFonts w:ascii="Calibri" w:eastAsiaTheme="minorHAnsi" w:hAnsi="Calibri" w:cs="Calibri"/>
        </w:rPr>
        <w:t>22/12.</w:t>
      </w:r>
    </w:p>
  </w:footnote>
  <w:footnote w:id="27">
    <w:p w14:paraId="6F311B03" w14:textId="1D84C26F" w:rsidR="00371F63" w:rsidRPr="00B00050" w:rsidRDefault="00371F63" w:rsidP="00B00050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  <w:r w:rsidRPr="00B00050">
        <w:rPr>
          <w:rStyle w:val="Znakapoznpodarou"/>
          <w:rFonts w:ascii="Calibri" w:hAnsi="Calibri" w:cs="Calibri"/>
          <w:sz w:val="20"/>
          <w:szCs w:val="20"/>
        </w:rPr>
        <w:footnoteRef/>
      </w:r>
      <w:r w:rsidRPr="00B0005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B00050">
        <w:rPr>
          <w:rFonts w:ascii="Calibri" w:hAnsi="Calibri" w:cs="Calibri"/>
          <w:sz w:val="20"/>
          <w:szCs w:val="20"/>
        </w:rPr>
        <w:t>V ustanovení § 25 a) zákona č. 240/2000 Sb. je uvedeno: „</w:t>
      </w:r>
      <w:r w:rsidRPr="00B00050">
        <w:rPr>
          <w:rFonts w:ascii="Calibri" w:hAnsi="Calibri" w:cs="Calibri"/>
          <w:i/>
          <w:sz w:val="20"/>
          <w:szCs w:val="20"/>
        </w:rPr>
        <w:t>Ministerstva a jiné ústřední správní úřady v rozpočtu své kapitoly a kraje a obce ve svých rozpočtech na příslušný rok vyčleňují objem finančních prostředků potřebný k zajištění přípravy na krizové situace; kraje a obce dále ve svém rozpočtu na příslušný rok vyčleňují účelovou rezervu finančních prostředků na řešení krizových situací a odstraňování jejich následků.</w:t>
      </w:r>
      <w:r w:rsidRPr="00B00050">
        <w:rPr>
          <w:rFonts w:ascii="Calibri" w:hAnsi="Calibri" w:cs="Calibri"/>
          <w:sz w:val="20"/>
          <w:szCs w:val="20"/>
        </w:rPr>
        <w:t>“</w:t>
      </w:r>
      <w:r>
        <w:rPr>
          <w:rFonts w:ascii="Calibri" w:hAnsi="Calibri" w:cs="Calibri"/>
          <w:sz w:val="20"/>
          <w:szCs w:val="20"/>
        </w:rPr>
        <w:t xml:space="preserve"> </w:t>
      </w:r>
      <w:r w:rsidRPr="00B0005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 </w:t>
      </w:r>
      <w:r w:rsidRPr="00B00050"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 </w:t>
      </w:r>
      <w:r w:rsidRPr="00B00050">
        <w:rPr>
          <w:rFonts w:ascii="Calibri" w:hAnsi="Calibri" w:cs="Calibri"/>
          <w:sz w:val="20"/>
          <w:szCs w:val="20"/>
        </w:rPr>
        <w:t>ustanovení § 25 b) tohoto zákona „</w:t>
      </w:r>
      <w:r w:rsidRPr="00B00050">
        <w:rPr>
          <w:rFonts w:ascii="Calibri" w:hAnsi="Calibri" w:cs="Calibri"/>
          <w:i/>
          <w:sz w:val="20"/>
          <w:szCs w:val="20"/>
        </w:rPr>
        <w:t>... se finanční prostředky potřebné k zajištění přípravy na krizové situace vyčleňované ministerstvy a jinými ústředními správními úřady v rozpočtech kapitol považují za závazný ukazatel státního rozpočtu na příslušný rok</w:t>
      </w:r>
      <w:r w:rsidRPr="00B00050">
        <w:rPr>
          <w:rFonts w:ascii="Calibri" w:hAnsi="Calibri" w:cs="Calibri"/>
          <w:sz w:val="20"/>
          <w:szCs w:val="20"/>
        </w:rPr>
        <w:t>.“</w:t>
      </w:r>
    </w:p>
  </w:footnote>
  <w:footnote w:id="28">
    <w:p w14:paraId="1E316F89" w14:textId="15447DA0" w:rsidR="00371F63" w:rsidRPr="00547BE0" w:rsidRDefault="00371F63" w:rsidP="002A0E0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47BE0">
        <w:rPr>
          <w:rStyle w:val="Znakapoznpodarou"/>
          <w:rFonts w:asciiTheme="minorHAnsi" w:eastAsia="Calibri" w:hAnsiTheme="minorHAnsi" w:cstheme="minorHAnsi"/>
        </w:rPr>
        <w:footnoteRef/>
      </w:r>
      <w:r w:rsidRPr="00547B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47BE0">
        <w:rPr>
          <w:rFonts w:asciiTheme="minorHAnsi" w:hAnsiTheme="minorHAnsi" w:cstheme="minorHAnsi"/>
        </w:rPr>
        <w:t>Krizovou situací je mimořádná událost dle zákona č. 239/2000 Sb., narušení kritické infrastruktury nebo jiné nebezpečí, při nichž je vyhlášen stav nebezpečí, nouzový stav nebo stav ohrožení státu (dále také „krizový stav“).</w:t>
      </w:r>
    </w:p>
  </w:footnote>
  <w:footnote w:id="29">
    <w:p w14:paraId="69909536" w14:textId="705109FA" w:rsidR="00371F63" w:rsidRPr="00547BE0" w:rsidRDefault="00371F63" w:rsidP="009D703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47BE0">
        <w:rPr>
          <w:rStyle w:val="Znakapoznpodarou"/>
          <w:rFonts w:asciiTheme="minorHAnsi" w:eastAsia="Calibri" w:hAnsiTheme="minorHAnsi" w:cstheme="minorHAnsi"/>
        </w:rPr>
        <w:footnoteRef/>
      </w:r>
      <w:r w:rsidRPr="00547B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47BE0">
        <w:rPr>
          <w:rFonts w:asciiTheme="minorHAnsi" w:hAnsiTheme="minorHAnsi" w:cstheme="minorHAnsi"/>
        </w:rPr>
        <w:t xml:space="preserve">Operační program </w:t>
      </w:r>
      <w:r w:rsidRPr="00847BF7">
        <w:rPr>
          <w:rFonts w:asciiTheme="minorHAnsi" w:hAnsiTheme="minorHAnsi" w:cstheme="minorHAnsi"/>
          <w:i/>
        </w:rPr>
        <w:t>Životní prostředí</w:t>
      </w:r>
      <w:r>
        <w:rPr>
          <w:rFonts w:asciiTheme="minorHAnsi" w:hAnsiTheme="minorHAnsi" w:cstheme="minorHAnsi"/>
        </w:rPr>
        <w:t>.</w:t>
      </w:r>
    </w:p>
  </w:footnote>
  <w:footnote w:id="30">
    <w:p w14:paraId="0D2DAB19" w14:textId="1BE34C51" w:rsidR="00371F63" w:rsidRPr="00547BE0" w:rsidRDefault="00371F63" w:rsidP="009D703E">
      <w:pPr>
        <w:ind w:left="284" w:hanging="284"/>
        <w:jc w:val="both"/>
        <w:rPr>
          <w:rFonts w:cstheme="minorHAnsi"/>
          <w:sz w:val="20"/>
          <w:szCs w:val="20"/>
        </w:rPr>
      </w:pPr>
      <w:r w:rsidRPr="00547BE0">
        <w:rPr>
          <w:rStyle w:val="Znakapoznpodarou"/>
          <w:rFonts w:cstheme="minorHAnsi"/>
          <w:sz w:val="20"/>
          <w:szCs w:val="20"/>
        </w:rPr>
        <w:footnoteRef/>
      </w:r>
      <w:r w:rsidRPr="00547B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547BE0">
        <w:rPr>
          <w:rFonts w:cstheme="minorHAnsi"/>
          <w:sz w:val="20"/>
          <w:szCs w:val="20"/>
        </w:rPr>
        <w:t>Zákon č. 374/2021 Sb., kterým se mění zákon č. 127/2005 Sb., o elektronických komunikacích a o změně některých souvisejících zákonů (zákon o elektronických komunikacích), ve znění pozdějších předpisů, a</w:t>
      </w:r>
      <w:r>
        <w:rPr>
          <w:rFonts w:cstheme="minorHAnsi"/>
          <w:sz w:val="20"/>
          <w:szCs w:val="20"/>
        </w:rPr>
        <w:t> </w:t>
      </w:r>
      <w:r w:rsidRPr="00547BE0">
        <w:rPr>
          <w:rFonts w:cstheme="minorHAnsi"/>
          <w:sz w:val="20"/>
          <w:szCs w:val="20"/>
        </w:rPr>
        <w:t xml:space="preserve">některé další zákony. </w:t>
      </w:r>
    </w:p>
  </w:footnote>
  <w:footnote w:id="31">
    <w:p w14:paraId="2C0998C1" w14:textId="2406BC72" w:rsidR="00371F63" w:rsidRPr="00547BE0" w:rsidRDefault="00371F63" w:rsidP="009D703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47BE0">
        <w:rPr>
          <w:rStyle w:val="Znakapoznpodarou"/>
          <w:rFonts w:asciiTheme="minorHAnsi" w:eastAsia="Calibri" w:hAnsiTheme="minorHAnsi" w:cstheme="minorHAnsi"/>
        </w:rPr>
        <w:footnoteRef/>
      </w:r>
      <w:r w:rsidRPr="00547B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47BE0">
        <w:rPr>
          <w:rFonts w:asciiTheme="minorHAnsi" w:hAnsiTheme="minorHAnsi" w:cstheme="minorHAnsi"/>
        </w:rPr>
        <w:t>Podnikatelů poskytujících veřejně dostupnou mobilní interpersonální komunikační službu založenou na číslech.</w:t>
      </w:r>
    </w:p>
  </w:footnote>
  <w:footnote w:id="32">
    <w:p w14:paraId="0735E036" w14:textId="4FD54DF5" w:rsidR="00371F63" w:rsidRPr="009D703E" w:rsidRDefault="00371F63" w:rsidP="009D703E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D703E">
        <w:rPr>
          <w:rStyle w:val="Znakapoznpodarou"/>
          <w:rFonts w:ascii="Calibri" w:eastAsia="Calibri" w:hAnsi="Calibri" w:cs="Calibri"/>
        </w:rPr>
        <w:footnoteRef/>
      </w:r>
      <w:r w:rsidRPr="009D70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D703E">
        <w:rPr>
          <w:rFonts w:ascii="Calibri" w:hAnsi="Calibri" w:cs="Calibri"/>
        </w:rPr>
        <w:t>Švýcarsk</w:t>
      </w:r>
      <w:r>
        <w:rPr>
          <w:rFonts w:ascii="Calibri" w:hAnsi="Calibri" w:cs="Calibri"/>
        </w:rPr>
        <w:t>ý</w:t>
      </w:r>
      <w:r w:rsidRPr="009D703E">
        <w:rPr>
          <w:rFonts w:ascii="Calibri" w:hAnsi="Calibri" w:cs="Calibri"/>
        </w:rPr>
        <w:t xml:space="preserve"> Spolkový úřad pro civilní ochranu</w:t>
      </w:r>
      <w:r>
        <w:rPr>
          <w:rFonts w:ascii="Calibri" w:hAnsi="Calibri" w:cs="Calibri"/>
        </w:rPr>
        <w:t>:</w:t>
      </w:r>
      <w:r w:rsidRPr="009D703E">
        <w:rPr>
          <w:rFonts w:ascii="Calibri" w:hAnsi="Calibri" w:cs="Calibri"/>
        </w:rPr>
        <w:t xml:space="preserve"> </w:t>
      </w:r>
      <w:r w:rsidRPr="009D703E">
        <w:rPr>
          <w:rFonts w:ascii="Calibri" w:hAnsi="Calibri" w:cs="Calibri"/>
          <w:i/>
        </w:rPr>
        <w:t xml:space="preserve">BABS: </w:t>
      </w:r>
      <w:proofErr w:type="spellStart"/>
      <w:r w:rsidRPr="009D703E">
        <w:rPr>
          <w:rFonts w:ascii="Calibri" w:hAnsi="Calibri" w:cs="Calibri"/>
          <w:i/>
        </w:rPr>
        <w:t>Bundesamt</w:t>
      </w:r>
      <w:proofErr w:type="spellEnd"/>
      <w:r w:rsidRPr="009D703E">
        <w:rPr>
          <w:rFonts w:ascii="Calibri" w:hAnsi="Calibri" w:cs="Calibri"/>
          <w:i/>
        </w:rPr>
        <w:t xml:space="preserve"> </w:t>
      </w:r>
      <w:proofErr w:type="spellStart"/>
      <w:r w:rsidRPr="009D703E">
        <w:rPr>
          <w:rFonts w:ascii="Calibri" w:hAnsi="Calibri" w:cs="Calibri"/>
          <w:i/>
        </w:rPr>
        <w:t>für</w:t>
      </w:r>
      <w:proofErr w:type="spellEnd"/>
      <w:r w:rsidRPr="009D703E">
        <w:rPr>
          <w:rFonts w:ascii="Calibri" w:hAnsi="Calibri" w:cs="Calibri"/>
          <w:i/>
        </w:rPr>
        <w:t xml:space="preserve"> </w:t>
      </w:r>
      <w:proofErr w:type="spellStart"/>
      <w:r w:rsidRPr="009D703E">
        <w:rPr>
          <w:rFonts w:ascii="Calibri" w:hAnsi="Calibri" w:cs="Calibri"/>
          <w:i/>
        </w:rPr>
        <w:t>Bevölkerungsschutz</w:t>
      </w:r>
      <w:proofErr w:type="spellEnd"/>
      <w:r w:rsidRPr="009D703E">
        <w:rPr>
          <w:rFonts w:ascii="Calibri" w:hAnsi="Calibri" w:cs="Calibri"/>
        </w:rPr>
        <w:t xml:space="preserve"> [</w:t>
      </w:r>
      <w:r>
        <w:rPr>
          <w:rFonts w:ascii="Calibri" w:hAnsi="Calibri" w:cs="Calibri"/>
        </w:rPr>
        <w:t>verze</w:t>
      </w:r>
      <w:r w:rsidRPr="009D703E">
        <w:rPr>
          <w:rFonts w:ascii="Calibri" w:hAnsi="Calibri" w:cs="Calibri"/>
        </w:rPr>
        <w:t xml:space="preserve"> 20. 2. 2023]. Dostupné z: </w:t>
      </w:r>
      <w:hyperlink r:id="rId3" w:history="1">
        <w:r w:rsidRPr="009D703E">
          <w:rPr>
            <w:rStyle w:val="Hypertextovodkaz"/>
            <w:rFonts w:ascii="Calibri" w:eastAsia="Calibri" w:hAnsi="Calibri" w:cs="Calibri"/>
            <w:lang w:eastAsia="cs-CZ"/>
          </w:rPr>
          <w:t>https://www.alert.swiss/</w:t>
        </w:r>
      </w:hyperlink>
      <w:r w:rsidRPr="009D703E">
        <w:rPr>
          <w:rFonts w:ascii="Calibri" w:eastAsia="Calibri" w:hAnsi="Calibri" w:cs="Calibri"/>
          <w:u w:color="0000FF"/>
          <w:lang w:eastAsia="cs-CZ"/>
        </w:rPr>
        <w:t>.</w:t>
      </w:r>
    </w:p>
  </w:footnote>
  <w:footnote w:id="33">
    <w:p w14:paraId="551AB6B9" w14:textId="6DA4BC6F" w:rsidR="00371F63" w:rsidRPr="009D703E" w:rsidRDefault="00371F63" w:rsidP="009D703E">
      <w:pPr>
        <w:ind w:left="284" w:hanging="284"/>
        <w:rPr>
          <w:rFonts w:ascii="Calibri" w:hAnsi="Calibri" w:cs="Calibri"/>
          <w:sz w:val="20"/>
          <w:szCs w:val="20"/>
        </w:rPr>
      </w:pPr>
      <w:r w:rsidRPr="009D703E">
        <w:rPr>
          <w:rStyle w:val="Znakapoznpodarou"/>
          <w:rFonts w:ascii="Calibri" w:hAnsi="Calibri" w:cs="Calibri"/>
          <w:sz w:val="20"/>
          <w:szCs w:val="20"/>
        </w:rPr>
        <w:footnoteRef/>
      </w:r>
      <w:r w:rsidRPr="009D703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9D703E">
        <w:rPr>
          <w:rFonts w:ascii="Calibri" w:hAnsi="Calibri" w:cs="Calibri"/>
          <w:sz w:val="20"/>
          <w:szCs w:val="20"/>
        </w:rPr>
        <w:t>Zákon č. 241/2000 Sb., o hospodářských opatřeních pro krizové stavy a o změně některých souvisejících zákonů.</w:t>
      </w:r>
    </w:p>
  </w:footnote>
  <w:footnote w:id="34">
    <w:p w14:paraId="1C02C540" w14:textId="401589E0" w:rsidR="00371F63" w:rsidRPr="001F7AD7" w:rsidRDefault="00371F63" w:rsidP="001F7AD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F7AD7">
        <w:rPr>
          <w:rStyle w:val="Znakapoznpodarou"/>
          <w:rFonts w:ascii="Calibri" w:hAnsi="Calibri" w:cs="Calibri"/>
        </w:rPr>
        <w:footnoteRef/>
      </w:r>
      <w:r w:rsidRPr="001F7A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F7AD7">
        <w:rPr>
          <w:rFonts w:ascii="Calibri" w:hAnsi="Calibri" w:cs="Calibri"/>
        </w:rPr>
        <w:t>Dle veřejně dostupných údajů ČSÚ bylo k datu 1. 1. 2021 v ČR 331 128 dětí ve věku 0</w:t>
      </w:r>
      <w:r>
        <w:rPr>
          <w:rFonts w:ascii="Calibri" w:hAnsi="Calibri" w:cs="Calibri"/>
        </w:rPr>
        <w:t>–</w:t>
      </w:r>
      <w:r w:rsidRPr="001F7AD7">
        <w:rPr>
          <w:rFonts w:ascii="Calibri" w:hAnsi="Calibri" w:cs="Calibri"/>
        </w:rPr>
        <w:t xml:space="preserve">2 roky, dětí </w:t>
      </w:r>
      <w:r>
        <w:rPr>
          <w:rFonts w:ascii="Calibri" w:hAnsi="Calibri" w:cs="Calibri"/>
        </w:rPr>
        <w:t>ve věku</w:t>
      </w:r>
      <w:r w:rsidRPr="001F7AD7">
        <w:rPr>
          <w:rFonts w:ascii="Calibri" w:hAnsi="Calibri" w:cs="Calibri"/>
        </w:rPr>
        <w:t xml:space="preserve"> </w:t>
      </w:r>
      <w:r w:rsidR="00C32869">
        <w:rPr>
          <w:rFonts w:ascii="Calibri" w:hAnsi="Calibri" w:cs="Calibri"/>
        </w:rPr>
        <w:br/>
      </w:r>
      <w:r w:rsidRPr="001F7AD7">
        <w:rPr>
          <w:rFonts w:ascii="Calibri" w:hAnsi="Calibri" w:cs="Calibri"/>
        </w:rPr>
        <w:t>2</w:t>
      </w:r>
      <w:r>
        <w:rPr>
          <w:rFonts w:ascii="Calibri" w:hAnsi="Calibri" w:cs="Calibri"/>
        </w:rPr>
        <w:t>–</w:t>
      </w:r>
      <w:r w:rsidRPr="001F7AD7">
        <w:rPr>
          <w:rFonts w:ascii="Calibri" w:hAnsi="Calibri" w:cs="Calibri"/>
        </w:rPr>
        <w:t xml:space="preserve">6 let bylo 561 580 a dětí a mladistvých </w:t>
      </w:r>
      <w:r>
        <w:rPr>
          <w:rFonts w:ascii="Calibri" w:hAnsi="Calibri" w:cs="Calibri"/>
        </w:rPr>
        <w:t>ve věku</w:t>
      </w:r>
      <w:r w:rsidRPr="001F7AD7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–</w:t>
      </w:r>
      <w:r w:rsidRPr="001F7AD7">
        <w:rPr>
          <w:rFonts w:ascii="Calibri" w:hAnsi="Calibri" w:cs="Calibri"/>
        </w:rPr>
        <w:t>18 let bylo 1 858 349.</w:t>
      </w:r>
    </w:p>
  </w:footnote>
  <w:footnote w:id="35">
    <w:p w14:paraId="3155E9F7" w14:textId="3ADEA7F7" w:rsidR="00371F63" w:rsidRPr="001F7AD7" w:rsidRDefault="00371F63" w:rsidP="001F7AD7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F7AD7">
        <w:rPr>
          <w:rStyle w:val="Znakapoznpodarou"/>
          <w:rFonts w:ascii="Calibri" w:hAnsi="Calibri" w:cs="Calibri"/>
          <w:sz w:val="20"/>
          <w:szCs w:val="20"/>
        </w:rPr>
        <w:footnoteRef/>
      </w:r>
      <w:r w:rsidRPr="001F7AD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1F7AD7">
        <w:rPr>
          <w:rFonts w:ascii="Calibri" w:hAnsi="Calibri" w:cs="Calibri"/>
          <w:sz w:val="20"/>
          <w:szCs w:val="20"/>
        </w:rPr>
        <w:t xml:space="preserve">Usnesení vlády České republiky ze </w:t>
      </w:r>
      <w:r w:rsidRPr="001F7AD7">
        <w:rPr>
          <w:rFonts w:ascii="Calibri" w:hAnsi="Calibri" w:cs="Calibri"/>
          <w:color w:val="000000"/>
          <w:sz w:val="20"/>
          <w:szCs w:val="20"/>
        </w:rPr>
        <w:t>dne 5. ledna 2005 č. 21</w:t>
      </w:r>
      <w:r>
        <w:rPr>
          <w:rFonts w:ascii="Calibri" w:hAnsi="Calibri" w:cs="Calibri"/>
          <w:color w:val="000000"/>
          <w:sz w:val="20"/>
          <w:szCs w:val="20"/>
        </w:rPr>
        <w:t>,</w:t>
      </w:r>
      <w:r w:rsidRPr="001F7AD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47BF7">
        <w:rPr>
          <w:rFonts w:ascii="Calibri" w:hAnsi="Calibri" w:cs="Calibri"/>
          <w:i/>
          <w:color w:val="000000"/>
          <w:sz w:val="20"/>
          <w:szCs w:val="20"/>
        </w:rPr>
        <w:t>Informace o plnění Koncepce ochrany obyvatelstva do roku 2006 s výhledem do roku 2015 s návrhem na její dílčí úpravu</w:t>
      </w:r>
      <w:r w:rsidRPr="001F7AD7">
        <w:rPr>
          <w:rFonts w:ascii="Calibri" w:hAnsi="Calibri" w:cs="Calibri"/>
          <w:color w:val="000000"/>
          <w:sz w:val="20"/>
          <w:szCs w:val="20"/>
        </w:rPr>
        <w:t>.</w:t>
      </w:r>
    </w:p>
  </w:footnote>
  <w:footnote w:id="36">
    <w:p w14:paraId="47FD67AC" w14:textId="2A2A137A" w:rsidR="00371F63" w:rsidRPr="001F7AD7" w:rsidRDefault="00371F63" w:rsidP="001F7AD7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F7AD7">
        <w:rPr>
          <w:rStyle w:val="Znakapoznpodarou"/>
          <w:rFonts w:ascii="Calibri" w:hAnsi="Calibri" w:cs="Calibri"/>
          <w:sz w:val="20"/>
          <w:szCs w:val="20"/>
        </w:rPr>
        <w:footnoteRef/>
      </w:r>
      <w:r w:rsidRPr="001F7AD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847BF7">
        <w:rPr>
          <w:rFonts w:ascii="Calibri" w:hAnsi="Calibri" w:cs="Calibri"/>
          <w:i/>
          <w:sz w:val="20"/>
          <w:szCs w:val="20"/>
        </w:rPr>
        <w:t>Zpráva o stavu zajištění bezpečnosti ČR v oblasti ochrany před mimořádnými událostmi</w:t>
      </w:r>
      <w:r w:rsidRPr="001F7AD7">
        <w:rPr>
          <w:rFonts w:ascii="Calibri" w:hAnsi="Calibri" w:cs="Calibri"/>
          <w:sz w:val="20"/>
          <w:szCs w:val="20"/>
        </w:rPr>
        <w:t xml:space="preserve"> (2006).</w:t>
      </w:r>
    </w:p>
  </w:footnote>
  <w:footnote w:id="37">
    <w:p w14:paraId="5F7EFB23" w14:textId="2B39F468" w:rsidR="00371F63" w:rsidRPr="001F7AD7" w:rsidRDefault="00371F63" w:rsidP="001F7AD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F7AD7">
        <w:rPr>
          <w:rStyle w:val="Znakapoznpodarou"/>
          <w:rFonts w:ascii="Calibri" w:hAnsi="Calibri" w:cs="Calibri"/>
        </w:rPr>
        <w:footnoteRef/>
      </w:r>
      <w:r w:rsidRPr="001F7A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F7AD7">
        <w:rPr>
          <w:rFonts w:ascii="Calibri" w:hAnsi="Calibri" w:cs="Calibri"/>
        </w:rPr>
        <w:t>Původním termínem byl rok 2009.</w:t>
      </w:r>
    </w:p>
  </w:footnote>
  <w:footnote w:id="38">
    <w:p w14:paraId="22745FA9" w14:textId="06EF2091" w:rsidR="00371F63" w:rsidRPr="00C4638D" w:rsidRDefault="00371F63" w:rsidP="00C4638D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4638D">
        <w:rPr>
          <w:rStyle w:val="Znakapoznpodarou"/>
          <w:rFonts w:ascii="Calibri" w:hAnsi="Calibri" w:cs="Calibri"/>
          <w:sz w:val="20"/>
          <w:szCs w:val="20"/>
        </w:rPr>
        <w:footnoteRef/>
      </w:r>
      <w:r w:rsidRPr="00C463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C4638D">
        <w:rPr>
          <w:rFonts w:ascii="Calibri" w:hAnsi="Calibri" w:cs="Calibri"/>
          <w:sz w:val="20"/>
          <w:szCs w:val="20"/>
        </w:rPr>
        <w:t xml:space="preserve">Z mezinárodního srovnání vyplynulo, že např. ve Finsku jsou stálé úkryty financovány ze státního rozpočtu, v Norsku dokonce existovala možnost státem financovat také privátní úkryty. </w:t>
      </w:r>
    </w:p>
  </w:footnote>
  <w:footnote w:id="39">
    <w:p w14:paraId="6586A06C" w14:textId="220E9C03" w:rsidR="00371F63" w:rsidRPr="00C4638D" w:rsidRDefault="00371F63" w:rsidP="00C4638D">
      <w:pPr>
        <w:ind w:left="284" w:hanging="284"/>
        <w:rPr>
          <w:rFonts w:ascii="Calibri" w:hAnsi="Calibri" w:cs="Calibri"/>
          <w:sz w:val="20"/>
          <w:szCs w:val="20"/>
        </w:rPr>
      </w:pPr>
      <w:r w:rsidRPr="00C4638D">
        <w:rPr>
          <w:rStyle w:val="Znakapoznpodarou"/>
          <w:rFonts w:ascii="Calibri" w:hAnsi="Calibri" w:cs="Calibri"/>
          <w:sz w:val="20"/>
          <w:szCs w:val="20"/>
        </w:rPr>
        <w:footnoteRef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C4638D">
        <w:rPr>
          <w:rFonts w:ascii="Calibri" w:hAnsi="Calibri" w:cs="Calibri"/>
          <w:sz w:val="20"/>
          <w:szCs w:val="20"/>
        </w:rPr>
        <w:t>Švédsk</w:t>
      </w:r>
      <w:r>
        <w:rPr>
          <w:rFonts w:ascii="Calibri" w:hAnsi="Calibri" w:cs="Calibri"/>
          <w:sz w:val="20"/>
          <w:szCs w:val="20"/>
        </w:rPr>
        <w:t>á</w:t>
      </w:r>
      <w:r w:rsidRPr="00C4638D">
        <w:rPr>
          <w:rFonts w:ascii="Calibri" w:hAnsi="Calibri" w:cs="Calibri"/>
          <w:sz w:val="20"/>
          <w:szCs w:val="20"/>
        </w:rPr>
        <w:t xml:space="preserve"> mapa úkrytů. In: </w:t>
      </w:r>
      <w:r w:rsidRPr="00C4638D">
        <w:rPr>
          <w:rFonts w:ascii="Calibri" w:hAnsi="Calibri" w:cs="Calibri"/>
          <w:i/>
          <w:sz w:val="20"/>
          <w:szCs w:val="20"/>
        </w:rPr>
        <w:t>Orgán sociální ochrany a připravenosti</w:t>
      </w:r>
      <w:r>
        <w:rPr>
          <w:rFonts w:ascii="Calibri" w:hAnsi="Calibri" w:cs="Calibri"/>
          <w:sz w:val="20"/>
          <w:szCs w:val="20"/>
        </w:rPr>
        <w:t>:</w:t>
      </w:r>
      <w:r w:rsidRPr="00C4638D">
        <w:rPr>
          <w:rFonts w:ascii="Calibri" w:hAnsi="Calibri" w:cs="Calibri"/>
          <w:sz w:val="20"/>
          <w:szCs w:val="20"/>
        </w:rPr>
        <w:t xml:space="preserve"> </w:t>
      </w:r>
      <w:r w:rsidRPr="00C4638D">
        <w:rPr>
          <w:rFonts w:ascii="Calibri" w:hAnsi="Calibri" w:cs="Calibri"/>
          <w:i/>
          <w:sz w:val="20"/>
          <w:szCs w:val="20"/>
        </w:rPr>
        <w:t xml:space="preserve">MSB: </w:t>
      </w:r>
      <w:proofErr w:type="spellStart"/>
      <w:r w:rsidRPr="00C4638D">
        <w:rPr>
          <w:rFonts w:ascii="Calibri" w:hAnsi="Calibri" w:cs="Calibri"/>
          <w:i/>
          <w:sz w:val="20"/>
          <w:szCs w:val="20"/>
        </w:rPr>
        <w:t>Myndigheten</w:t>
      </w:r>
      <w:proofErr w:type="spellEnd"/>
      <w:r w:rsidRPr="00C4638D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C4638D">
        <w:rPr>
          <w:rFonts w:ascii="Calibri" w:hAnsi="Calibri" w:cs="Calibri"/>
          <w:i/>
          <w:sz w:val="20"/>
          <w:szCs w:val="20"/>
        </w:rPr>
        <w:t>för</w:t>
      </w:r>
      <w:proofErr w:type="spellEnd"/>
      <w:r w:rsidRPr="00C4638D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C4638D">
        <w:rPr>
          <w:rFonts w:ascii="Calibri" w:hAnsi="Calibri" w:cs="Calibri"/>
          <w:i/>
          <w:sz w:val="20"/>
          <w:szCs w:val="20"/>
        </w:rPr>
        <w:t>samhällsskydd</w:t>
      </w:r>
      <w:proofErr w:type="spellEnd"/>
      <w:r w:rsidRPr="00C4638D">
        <w:rPr>
          <w:rFonts w:ascii="Calibri" w:hAnsi="Calibri" w:cs="Calibri"/>
          <w:i/>
          <w:sz w:val="20"/>
          <w:szCs w:val="20"/>
        </w:rPr>
        <w:t xml:space="preserve"> och </w:t>
      </w:r>
      <w:proofErr w:type="spellStart"/>
      <w:r w:rsidRPr="00C4638D">
        <w:rPr>
          <w:rFonts w:ascii="Calibri" w:hAnsi="Calibri" w:cs="Calibri"/>
          <w:i/>
          <w:sz w:val="20"/>
          <w:szCs w:val="20"/>
        </w:rPr>
        <w:t>beredskap</w:t>
      </w:r>
      <w:proofErr w:type="spellEnd"/>
      <w:r w:rsidRPr="00C4638D">
        <w:rPr>
          <w:rFonts w:ascii="Calibri" w:hAnsi="Calibri" w:cs="Calibri"/>
          <w:sz w:val="20"/>
          <w:szCs w:val="20"/>
        </w:rPr>
        <w:t xml:space="preserve"> [</w:t>
      </w:r>
      <w:r>
        <w:rPr>
          <w:rFonts w:ascii="Calibri" w:hAnsi="Calibri" w:cs="Calibri"/>
          <w:sz w:val="20"/>
          <w:szCs w:val="20"/>
        </w:rPr>
        <w:t>verze</w:t>
      </w:r>
      <w:r w:rsidRPr="00C4638D">
        <w:rPr>
          <w:rFonts w:ascii="Calibri" w:hAnsi="Calibri" w:cs="Calibri"/>
          <w:sz w:val="20"/>
          <w:szCs w:val="20"/>
        </w:rPr>
        <w:t xml:space="preserve"> 20. 2. 2023]. Dostupné z: </w:t>
      </w:r>
      <w:hyperlink r:id="rId4" w:history="1">
        <w:r w:rsidRPr="00C4638D">
          <w:rPr>
            <w:rStyle w:val="Hypertextovodkaz"/>
            <w:rFonts w:ascii="Calibri" w:hAnsi="Calibri" w:cs="Calibri"/>
            <w:sz w:val="20"/>
            <w:szCs w:val="20"/>
          </w:rPr>
          <w:t>https://msbgis.maps.arcgis.com/apps/instant/nearby/index.html?appid=8bfc89e7c6064bc181c6a1a6bbac2fa3&amp;s%20liderDistance=1</w:t>
        </w:r>
      </w:hyperlink>
      <w:r w:rsidRPr="00C4638D">
        <w:rPr>
          <w:rFonts w:ascii="Calibri" w:hAnsi="Calibri" w:cs="Calibri"/>
          <w:sz w:val="20"/>
          <w:szCs w:val="20"/>
        </w:rPr>
        <w:t>.</w:t>
      </w:r>
    </w:p>
  </w:footnote>
  <w:footnote w:id="40">
    <w:p w14:paraId="416BF10E" w14:textId="7C8FCC28" w:rsidR="00371F63" w:rsidRPr="00C4638D" w:rsidRDefault="00371F63" w:rsidP="00C4638D">
      <w:pPr>
        <w:ind w:left="284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C4638D">
        <w:rPr>
          <w:rStyle w:val="Znakapoznpodarou"/>
          <w:rFonts w:ascii="Calibri" w:hAnsi="Calibri" w:cs="Calibri"/>
          <w:sz w:val="20"/>
          <w:szCs w:val="20"/>
        </w:rPr>
        <w:footnoteRef/>
      </w:r>
      <w:r w:rsidRPr="00C463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KO-17 je podzemní chráněný úkryt, který slouží jako záložní zdravotnické pracoviště v případě mimořádných událostí či krizových stavů. K okamžitému zprovoznění je v něm připraveno 72 lůžek a do úplné pohotovosti je připraven do 60 minut. Kryt je plně vybaven pro zdravotnické účely včetně zásob kyslíku a nádrží na pitnou vodu. Veškeré zdravotnické vybavení je plně funkční. </w:t>
      </w:r>
    </w:p>
  </w:footnote>
  <w:footnote w:id="41">
    <w:p w14:paraId="650B7223" w14:textId="3629F2FA" w:rsidR="00371F63" w:rsidRPr="00C4638D" w:rsidRDefault="00371F63" w:rsidP="00C4638D">
      <w:pPr>
        <w:ind w:left="284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C4638D">
        <w:rPr>
          <w:rStyle w:val="Znakapoznpodarou"/>
          <w:rFonts w:ascii="Calibri" w:hAnsi="Calibri" w:cs="Calibri"/>
          <w:sz w:val="20"/>
          <w:szCs w:val="20"/>
        </w:rPr>
        <w:footnoteRef/>
      </w:r>
      <w:r w:rsidRPr="00C463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proofErr w:type="spellStart"/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>MZd</w:t>
      </w:r>
      <w:proofErr w:type="spellEnd"/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poskytlo </w:t>
      </w:r>
      <w:r>
        <w:rPr>
          <w:rFonts w:ascii="Calibri" w:eastAsia="Times New Roman" w:hAnsi="Calibri" w:cs="Calibri"/>
          <w:color w:val="000000" w:themeColor="text1"/>
          <w:sz w:val="20"/>
          <w:szCs w:val="20"/>
        </w:rPr>
        <w:t>p</w:t>
      </w:r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>řehled</w:t>
      </w:r>
      <w:r>
        <w:rPr>
          <w:rFonts w:ascii="Calibri" w:eastAsia="Times New Roman" w:hAnsi="Calibri" w:cs="Calibri"/>
          <w:color w:val="000000" w:themeColor="text1"/>
          <w:sz w:val="20"/>
          <w:szCs w:val="20"/>
        </w:rPr>
        <w:t>y</w:t>
      </w:r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úkrytů přímo řízených organizací </w:t>
      </w:r>
      <w:proofErr w:type="spellStart"/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>MZd</w:t>
      </w:r>
      <w:proofErr w:type="spellEnd"/>
      <w:r w:rsidRPr="00C4638D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k 5/2007, 9/2013 a 6/2021.</w:t>
      </w:r>
    </w:p>
  </w:footnote>
  <w:footnote w:id="42">
    <w:p w14:paraId="46DAB642" w14:textId="31FF7C5F" w:rsidR="00371F63" w:rsidRPr="00D92DC2" w:rsidRDefault="00371F63" w:rsidP="00C4638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92DC2">
        <w:rPr>
          <w:rStyle w:val="Znakapoznpodarou"/>
          <w:rFonts w:asciiTheme="minorHAnsi" w:eastAsia="Calibri" w:hAnsiTheme="minorHAnsi" w:cstheme="minorHAnsi"/>
        </w:rPr>
        <w:footnoteRef/>
      </w:r>
      <w:r w:rsidRPr="00D92D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92DC2">
        <w:rPr>
          <w:rFonts w:asciiTheme="minorHAnsi" w:hAnsiTheme="minorHAnsi" w:cstheme="minorHAnsi"/>
        </w:rPr>
        <w:t>Testováno bylo celkem 5 851 žáků 9. ročníků základních škol a odpovídajících ročníků víceletých gymnázií ve 197 školách.</w:t>
      </w:r>
    </w:p>
  </w:footnote>
  <w:footnote w:id="43">
    <w:p w14:paraId="4F8ED3CC" w14:textId="2FEE85F5" w:rsidR="00371F63" w:rsidRPr="008B5997" w:rsidRDefault="00371F63" w:rsidP="00C4638D">
      <w:pPr>
        <w:ind w:left="284" w:hanging="284"/>
        <w:rPr>
          <w:sz w:val="20"/>
          <w:szCs w:val="20"/>
        </w:rPr>
      </w:pPr>
      <w:r w:rsidRPr="008B5997">
        <w:rPr>
          <w:rStyle w:val="Znakapoznpodarou"/>
          <w:sz w:val="20"/>
          <w:szCs w:val="20"/>
        </w:rPr>
        <w:footnoteRef/>
      </w:r>
      <w:r w:rsidRPr="008B599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B5997">
        <w:rPr>
          <w:sz w:val="20"/>
          <w:szCs w:val="20"/>
        </w:rPr>
        <w:t>Polsko</w:t>
      </w:r>
      <w:r>
        <w:rPr>
          <w:sz w:val="20"/>
          <w:szCs w:val="20"/>
        </w:rPr>
        <w:t xml:space="preserve"> –</w:t>
      </w:r>
      <w:r w:rsidRPr="008B5997">
        <w:rPr>
          <w:sz w:val="20"/>
          <w:szCs w:val="20"/>
        </w:rPr>
        <w:t xml:space="preserve"> základní učební programy</w:t>
      </w:r>
      <w:r>
        <w:rPr>
          <w:sz w:val="20"/>
          <w:szCs w:val="20"/>
        </w:rPr>
        <w:t>:</w:t>
      </w:r>
      <w:r w:rsidRPr="008B5997">
        <w:rPr>
          <w:sz w:val="20"/>
          <w:szCs w:val="20"/>
        </w:rPr>
        <w:t xml:space="preserve"> </w:t>
      </w:r>
      <w:r w:rsidRPr="008B5997">
        <w:rPr>
          <w:i/>
          <w:sz w:val="20"/>
          <w:szCs w:val="20"/>
        </w:rPr>
        <w:t xml:space="preserve">PP: </w:t>
      </w:r>
      <w:proofErr w:type="spellStart"/>
      <w:r w:rsidRPr="008B5997">
        <w:rPr>
          <w:i/>
          <w:sz w:val="20"/>
          <w:szCs w:val="20"/>
        </w:rPr>
        <w:t>Podstawa</w:t>
      </w:r>
      <w:proofErr w:type="spellEnd"/>
      <w:r w:rsidRPr="008B5997">
        <w:rPr>
          <w:i/>
          <w:sz w:val="20"/>
          <w:szCs w:val="20"/>
        </w:rPr>
        <w:t xml:space="preserve"> PROGRAMOWA</w:t>
      </w:r>
      <w:r w:rsidRPr="008B5997">
        <w:rPr>
          <w:sz w:val="20"/>
          <w:szCs w:val="20"/>
        </w:rPr>
        <w:t xml:space="preserve"> </w:t>
      </w:r>
      <w:r w:rsidRPr="008B5997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 xml:space="preserve">verze </w:t>
      </w:r>
      <w:r w:rsidRPr="008B5997">
        <w:rPr>
          <w:rFonts w:cstheme="minorHAnsi"/>
          <w:sz w:val="20"/>
          <w:szCs w:val="20"/>
        </w:rPr>
        <w:t>20. 2. 2023]. Dostupné z:</w:t>
      </w:r>
      <w:r w:rsidRPr="008B5997">
        <w:rPr>
          <w:sz w:val="20"/>
          <w:szCs w:val="20"/>
        </w:rPr>
        <w:t xml:space="preserve"> </w:t>
      </w:r>
      <w:hyperlink r:id="rId5" w:history="1">
        <w:r w:rsidRPr="008B5997">
          <w:rPr>
            <w:rStyle w:val="Hypertextovodkaz"/>
            <w:sz w:val="20"/>
            <w:szCs w:val="20"/>
          </w:rPr>
          <w:t>https://podstawaprogramowa.pl/Szkola-podstawowa-IV-VIII/Edukacja-dla-bezpieczenstwa</w:t>
        </w:r>
      </w:hyperlink>
      <w:r w:rsidRPr="008B5997">
        <w:rPr>
          <w:rFonts w:cstheme="minorHAnsi"/>
          <w:sz w:val="20"/>
          <w:szCs w:val="20"/>
        </w:rPr>
        <w:t>.</w:t>
      </w:r>
    </w:p>
  </w:footnote>
  <w:footnote w:id="44">
    <w:p w14:paraId="43CCD6D8" w14:textId="7C77E239" w:rsidR="00371F63" w:rsidRPr="00F50083" w:rsidRDefault="00371F63" w:rsidP="005D5676">
      <w:pPr>
        <w:pStyle w:val="footnotedescription"/>
        <w:spacing w:line="240" w:lineRule="auto"/>
        <w:ind w:left="284" w:hanging="273"/>
        <w:jc w:val="both"/>
        <w:rPr>
          <w:rFonts w:asciiTheme="minorHAnsi" w:hAnsiTheme="minorHAnsi" w:cstheme="minorHAnsi"/>
          <w:szCs w:val="20"/>
        </w:rPr>
      </w:pPr>
      <w:r w:rsidRPr="00F50083">
        <w:rPr>
          <w:rStyle w:val="footnotemark"/>
          <w:rFonts w:asciiTheme="minorHAnsi" w:hAnsiTheme="minorHAnsi"/>
          <w:szCs w:val="20"/>
        </w:rPr>
        <w:footnoteRef/>
      </w:r>
      <w:r w:rsidRPr="00F50083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8F5FC8">
        <w:rPr>
          <w:rFonts w:asciiTheme="minorHAnsi" w:hAnsiTheme="minorHAnsi" w:cstheme="minorHAnsi"/>
          <w:i/>
          <w:szCs w:val="20"/>
        </w:rPr>
        <w:t>Cílený aplikovaný výzkum nových moderních technologií, metod a postupů ke zvýšení úrovně schopností HZS ČR</w:t>
      </w:r>
      <w:r w:rsidRPr="00F50083">
        <w:rPr>
          <w:rFonts w:asciiTheme="minorHAnsi" w:hAnsiTheme="minorHAnsi" w:cstheme="minorHAnsi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1A2"/>
    <w:multiLevelType w:val="hybridMultilevel"/>
    <w:tmpl w:val="6AE67C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A9E"/>
    <w:multiLevelType w:val="hybridMultilevel"/>
    <w:tmpl w:val="ED6AA19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E1943"/>
    <w:multiLevelType w:val="hybridMultilevel"/>
    <w:tmpl w:val="AD5AC6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58FE"/>
    <w:multiLevelType w:val="hybridMultilevel"/>
    <w:tmpl w:val="6F1A99AC"/>
    <w:lvl w:ilvl="0" w:tplc="0405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0FEC7ED6"/>
    <w:multiLevelType w:val="hybridMultilevel"/>
    <w:tmpl w:val="372A9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80C51"/>
    <w:multiLevelType w:val="multilevel"/>
    <w:tmpl w:val="DAE40AAE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F13BB6"/>
    <w:multiLevelType w:val="hybridMultilevel"/>
    <w:tmpl w:val="CDDAA1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60A7"/>
    <w:multiLevelType w:val="hybridMultilevel"/>
    <w:tmpl w:val="4DC01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3974"/>
    <w:multiLevelType w:val="hybridMultilevel"/>
    <w:tmpl w:val="CA3A980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EF76494"/>
    <w:multiLevelType w:val="hybridMultilevel"/>
    <w:tmpl w:val="A508D6F8"/>
    <w:lvl w:ilvl="0" w:tplc="8B28DE6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69DF"/>
    <w:multiLevelType w:val="hybridMultilevel"/>
    <w:tmpl w:val="D5B87A7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5A82EBB"/>
    <w:multiLevelType w:val="hybridMultilevel"/>
    <w:tmpl w:val="41608CB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7599"/>
    <w:multiLevelType w:val="hybridMultilevel"/>
    <w:tmpl w:val="32F40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E3276"/>
    <w:multiLevelType w:val="hybridMultilevel"/>
    <w:tmpl w:val="0806119E"/>
    <w:lvl w:ilvl="0" w:tplc="5D46A1D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E97"/>
    <w:multiLevelType w:val="hybridMultilevel"/>
    <w:tmpl w:val="095ECF02"/>
    <w:lvl w:ilvl="0" w:tplc="1E4A77A4">
      <w:start w:val="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50AAE"/>
    <w:multiLevelType w:val="hybridMultilevel"/>
    <w:tmpl w:val="C884EC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F4279"/>
    <w:multiLevelType w:val="hybridMultilevel"/>
    <w:tmpl w:val="C402FABA"/>
    <w:lvl w:ilvl="0" w:tplc="040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1248B"/>
    <w:multiLevelType w:val="hybridMultilevel"/>
    <w:tmpl w:val="8438C1E8"/>
    <w:lvl w:ilvl="0" w:tplc="1A9C4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12883"/>
    <w:multiLevelType w:val="hybridMultilevel"/>
    <w:tmpl w:val="0A4413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CFF93"/>
    <w:multiLevelType w:val="hybridMultilevel"/>
    <w:tmpl w:val="39BBEEC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18E5059"/>
    <w:multiLevelType w:val="hybridMultilevel"/>
    <w:tmpl w:val="33A2454E"/>
    <w:lvl w:ilvl="0" w:tplc="82489B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A0BF6"/>
    <w:multiLevelType w:val="hybridMultilevel"/>
    <w:tmpl w:val="EDCAE5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50F82"/>
    <w:multiLevelType w:val="multilevel"/>
    <w:tmpl w:val="2FFEA7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7C52E2B"/>
    <w:multiLevelType w:val="hybridMultilevel"/>
    <w:tmpl w:val="2806B5FC"/>
    <w:lvl w:ilvl="0" w:tplc="040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C3CB4"/>
    <w:multiLevelType w:val="hybridMultilevel"/>
    <w:tmpl w:val="FDAC539A"/>
    <w:lvl w:ilvl="0" w:tplc="040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5" w15:restartNumberingAfterBreak="0">
    <w:nsid w:val="6BCD6AA6"/>
    <w:multiLevelType w:val="hybridMultilevel"/>
    <w:tmpl w:val="66B243DE"/>
    <w:lvl w:ilvl="0" w:tplc="040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C0B32BD"/>
    <w:multiLevelType w:val="hybridMultilevel"/>
    <w:tmpl w:val="64C65B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11A77"/>
    <w:multiLevelType w:val="hybridMultilevel"/>
    <w:tmpl w:val="CB506496"/>
    <w:lvl w:ilvl="0" w:tplc="2A58BCFE">
      <w:start w:val="8"/>
      <w:numFmt w:val="upperLetter"/>
      <w:lvlText w:val="%1."/>
      <w:lvlJc w:val="left"/>
      <w:pPr>
        <w:ind w:left="36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5B16697"/>
    <w:multiLevelType w:val="hybridMultilevel"/>
    <w:tmpl w:val="120E042A"/>
    <w:lvl w:ilvl="0" w:tplc="0405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29" w15:restartNumberingAfterBreak="0">
    <w:nsid w:val="77960469"/>
    <w:multiLevelType w:val="hybridMultilevel"/>
    <w:tmpl w:val="6088D1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E3839"/>
    <w:multiLevelType w:val="hybridMultilevel"/>
    <w:tmpl w:val="5504EC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F6340"/>
    <w:multiLevelType w:val="hybridMultilevel"/>
    <w:tmpl w:val="0896E710"/>
    <w:lvl w:ilvl="0" w:tplc="0506207E">
      <w:start w:val="1"/>
      <w:numFmt w:val="upperLetter"/>
      <w:lvlText w:val="%1."/>
      <w:lvlJc w:val="left"/>
      <w:pPr>
        <w:ind w:left="81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10"/>
  </w:num>
  <w:num w:numId="4">
    <w:abstractNumId w:val="2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20"/>
  </w:num>
  <w:num w:numId="9">
    <w:abstractNumId w:val="1"/>
  </w:num>
  <w:num w:numId="10">
    <w:abstractNumId w:val="2"/>
  </w:num>
  <w:num w:numId="11">
    <w:abstractNumId w:val="4"/>
  </w:num>
  <w:num w:numId="12">
    <w:abstractNumId w:val="24"/>
  </w:num>
  <w:num w:numId="13">
    <w:abstractNumId w:val="30"/>
  </w:num>
  <w:num w:numId="14">
    <w:abstractNumId w:val="2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9"/>
  </w:num>
  <w:num w:numId="18">
    <w:abstractNumId w:val="7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27"/>
  </w:num>
  <w:num w:numId="22">
    <w:abstractNumId w:val="18"/>
  </w:num>
  <w:num w:numId="23">
    <w:abstractNumId w:val="11"/>
  </w:num>
  <w:num w:numId="24">
    <w:abstractNumId w:val="14"/>
  </w:num>
  <w:num w:numId="25">
    <w:abstractNumId w:val="23"/>
  </w:num>
  <w:num w:numId="26">
    <w:abstractNumId w:val="17"/>
  </w:num>
  <w:num w:numId="27">
    <w:abstractNumId w:val="6"/>
  </w:num>
  <w:num w:numId="28">
    <w:abstractNumId w:val="21"/>
  </w:num>
  <w:num w:numId="29">
    <w:abstractNumId w:val="9"/>
  </w:num>
  <w:num w:numId="30">
    <w:abstractNumId w:val="1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A2"/>
    <w:rsid w:val="00001DB0"/>
    <w:rsid w:val="00005C69"/>
    <w:rsid w:val="0000758E"/>
    <w:rsid w:val="00013077"/>
    <w:rsid w:val="00015F27"/>
    <w:rsid w:val="000173EE"/>
    <w:rsid w:val="0002035D"/>
    <w:rsid w:val="00030275"/>
    <w:rsid w:val="00034112"/>
    <w:rsid w:val="000373F0"/>
    <w:rsid w:val="00041724"/>
    <w:rsid w:val="00060309"/>
    <w:rsid w:val="000624BB"/>
    <w:rsid w:val="00065CE7"/>
    <w:rsid w:val="00074861"/>
    <w:rsid w:val="00077002"/>
    <w:rsid w:val="000805F8"/>
    <w:rsid w:val="00080FC7"/>
    <w:rsid w:val="00096A43"/>
    <w:rsid w:val="000A3516"/>
    <w:rsid w:val="000A360A"/>
    <w:rsid w:val="000B05D8"/>
    <w:rsid w:val="000B2C28"/>
    <w:rsid w:val="000B3050"/>
    <w:rsid w:val="000B789F"/>
    <w:rsid w:val="000C6198"/>
    <w:rsid w:val="000D1B9D"/>
    <w:rsid w:val="000D3752"/>
    <w:rsid w:val="001008A9"/>
    <w:rsid w:val="001106E3"/>
    <w:rsid w:val="001138B8"/>
    <w:rsid w:val="001143D9"/>
    <w:rsid w:val="00123787"/>
    <w:rsid w:val="00125C0A"/>
    <w:rsid w:val="0013206C"/>
    <w:rsid w:val="001324AC"/>
    <w:rsid w:val="00140C70"/>
    <w:rsid w:val="00142043"/>
    <w:rsid w:val="0014325A"/>
    <w:rsid w:val="001469BC"/>
    <w:rsid w:val="00151A50"/>
    <w:rsid w:val="00153075"/>
    <w:rsid w:val="00155E8A"/>
    <w:rsid w:val="00156050"/>
    <w:rsid w:val="00157A4D"/>
    <w:rsid w:val="00163AA2"/>
    <w:rsid w:val="00170D70"/>
    <w:rsid w:val="00171153"/>
    <w:rsid w:val="00173884"/>
    <w:rsid w:val="00176CD4"/>
    <w:rsid w:val="001777E8"/>
    <w:rsid w:val="00177BFB"/>
    <w:rsid w:val="001843DC"/>
    <w:rsid w:val="001A10FF"/>
    <w:rsid w:val="001A13F6"/>
    <w:rsid w:val="001B1182"/>
    <w:rsid w:val="001B79D9"/>
    <w:rsid w:val="001C3D15"/>
    <w:rsid w:val="001C5E66"/>
    <w:rsid w:val="001D2A7D"/>
    <w:rsid w:val="001E4EE9"/>
    <w:rsid w:val="001F26F2"/>
    <w:rsid w:val="001F50D5"/>
    <w:rsid w:val="001F687E"/>
    <w:rsid w:val="001F7AD7"/>
    <w:rsid w:val="00201B74"/>
    <w:rsid w:val="00205D78"/>
    <w:rsid w:val="002162D9"/>
    <w:rsid w:val="002163AB"/>
    <w:rsid w:val="00221321"/>
    <w:rsid w:val="00225FD4"/>
    <w:rsid w:val="00231F78"/>
    <w:rsid w:val="002320C3"/>
    <w:rsid w:val="00244C0A"/>
    <w:rsid w:val="0024621E"/>
    <w:rsid w:val="0026066F"/>
    <w:rsid w:val="00262465"/>
    <w:rsid w:val="00273B45"/>
    <w:rsid w:val="0028177C"/>
    <w:rsid w:val="002A0E0B"/>
    <w:rsid w:val="002C419E"/>
    <w:rsid w:val="002D01B4"/>
    <w:rsid w:val="002D38EA"/>
    <w:rsid w:val="002D5076"/>
    <w:rsid w:val="002E2130"/>
    <w:rsid w:val="002F3F68"/>
    <w:rsid w:val="00300117"/>
    <w:rsid w:val="00302352"/>
    <w:rsid w:val="0030287C"/>
    <w:rsid w:val="00305F08"/>
    <w:rsid w:val="00330757"/>
    <w:rsid w:val="00330870"/>
    <w:rsid w:val="00333371"/>
    <w:rsid w:val="00351A95"/>
    <w:rsid w:val="00362CE6"/>
    <w:rsid w:val="0036314B"/>
    <w:rsid w:val="0036620F"/>
    <w:rsid w:val="003664BA"/>
    <w:rsid w:val="00371F63"/>
    <w:rsid w:val="00372AF5"/>
    <w:rsid w:val="00374332"/>
    <w:rsid w:val="00396DFD"/>
    <w:rsid w:val="003A14AD"/>
    <w:rsid w:val="003A4A1D"/>
    <w:rsid w:val="003B349B"/>
    <w:rsid w:val="003C0D52"/>
    <w:rsid w:val="003C333A"/>
    <w:rsid w:val="003E0718"/>
    <w:rsid w:val="003E07C5"/>
    <w:rsid w:val="003E24C3"/>
    <w:rsid w:val="003E3EA6"/>
    <w:rsid w:val="003E4F0D"/>
    <w:rsid w:val="003E51F7"/>
    <w:rsid w:val="003E6D66"/>
    <w:rsid w:val="003F08F7"/>
    <w:rsid w:val="003F3FA8"/>
    <w:rsid w:val="003F5CF5"/>
    <w:rsid w:val="00401D38"/>
    <w:rsid w:val="004047DE"/>
    <w:rsid w:val="00404C13"/>
    <w:rsid w:val="00406D11"/>
    <w:rsid w:val="00407D73"/>
    <w:rsid w:val="00413BDF"/>
    <w:rsid w:val="00414137"/>
    <w:rsid w:val="004176E5"/>
    <w:rsid w:val="00422922"/>
    <w:rsid w:val="00422DB2"/>
    <w:rsid w:val="00427B15"/>
    <w:rsid w:val="00435F43"/>
    <w:rsid w:val="00441197"/>
    <w:rsid w:val="00446F63"/>
    <w:rsid w:val="00470FC9"/>
    <w:rsid w:val="004730E6"/>
    <w:rsid w:val="0049248B"/>
    <w:rsid w:val="004A7EA2"/>
    <w:rsid w:val="004B18DA"/>
    <w:rsid w:val="004B1EA9"/>
    <w:rsid w:val="004B4F8D"/>
    <w:rsid w:val="004B6C57"/>
    <w:rsid w:val="004C02D8"/>
    <w:rsid w:val="004C750F"/>
    <w:rsid w:val="004D0520"/>
    <w:rsid w:val="004D21CC"/>
    <w:rsid w:val="004E25A6"/>
    <w:rsid w:val="004E512A"/>
    <w:rsid w:val="004F2AD0"/>
    <w:rsid w:val="004F72CA"/>
    <w:rsid w:val="00502194"/>
    <w:rsid w:val="005037FA"/>
    <w:rsid w:val="0050421A"/>
    <w:rsid w:val="00505F3A"/>
    <w:rsid w:val="00506B07"/>
    <w:rsid w:val="00512E86"/>
    <w:rsid w:val="0051359F"/>
    <w:rsid w:val="00516D74"/>
    <w:rsid w:val="00521ECD"/>
    <w:rsid w:val="0052730D"/>
    <w:rsid w:val="00531615"/>
    <w:rsid w:val="00543304"/>
    <w:rsid w:val="00547BE0"/>
    <w:rsid w:val="00554ED4"/>
    <w:rsid w:val="005574FA"/>
    <w:rsid w:val="00561289"/>
    <w:rsid w:val="00561BB8"/>
    <w:rsid w:val="00566FB5"/>
    <w:rsid w:val="00567580"/>
    <w:rsid w:val="0057228D"/>
    <w:rsid w:val="00572BA9"/>
    <w:rsid w:val="00576642"/>
    <w:rsid w:val="00586935"/>
    <w:rsid w:val="0059075D"/>
    <w:rsid w:val="00591380"/>
    <w:rsid w:val="005A11DB"/>
    <w:rsid w:val="005C2D26"/>
    <w:rsid w:val="005C2EEB"/>
    <w:rsid w:val="005C677B"/>
    <w:rsid w:val="005D00FE"/>
    <w:rsid w:val="005D5676"/>
    <w:rsid w:val="005E0B7B"/>
    <w:rsid w:val="005E65F7"/>
    <w:rsid w:val="005F136A"/>
    <w:rsid w:val="005F4090"/>
    <w:rsid w:val="005F684F"/>
    <w:rsid w:val="00601496"/>
    <w:rsid w:val="0060751F"/>
    <w:rsid w:val="00612002"/>
    <w:rsid w:val="006156B8"/>
    <w:rsid w:val="00616BDF"/>
    <w:rsid w:val="00616FCF"/>
    <w:rsid w:val="006176E2"/>
    <w:rsid w:val="006223EB"/>
    <w:rsid w:val="00623D23"/>
    <w:rsid w:val="006411A2"/>
    <w:rsid w:val="00642966"/>
    <w:rsid w:val="006436D7"/>
    <w:rsid w:val="00645C1D"/>
    <w:rsid w:val="00646F97"/>
    <w:rsid w:val="00650688"/>
    <w:rsid w:val="00651F4F"/>
    <w:rsid w:val="00662F66"/>
    <w:rsid w:val="00664A80"/>
    <w:rsid w:val="00665724"/>
    <w:rsid w:val="00673D1E"/>
    <w:rsid w:val="006763D8"/>
    <w:rsid w:val="00681CBB"/>
    <w:rsid w:val="00684781"/>
    <w:rsid w:val="00692891"/>
    <w:rsid w:val="0069789B"/>
    <w:rsid w:val="006A3566"/>
    <w:rsid w:val="006A535D"/>
    <w:rsid w:val="006A5632"/>
    <w:rsid w:val="006A7379"/>
    <w:rsid w:val="006C4E5F"/>
    <w:rsid w:val="006C629D"/>
    <w:rsid w:val="006E345A"/>
    <w:rsid w:val="006E6605"/>
    <w:rsid w:val="00700E4E"/>
    <w:rsid w:val="00704771"/>
    <w:rsid w:val="007115CD"/>
    <w:rsid w:val="00712760"/>
    <w:rsid w:val="007139F9"/>
    <w:rsid w:val="00721AE8"/>
    <w:rsid w:val="00722F58"/>
    <w:rsid w:val="00730AF2"/>
    <w:rsid w:val="00732F8A"/>
    <w:rsid w:val="007536D4"/>
    <w:rsid w:val="00755B7D"/>
    <w:rsid w:val="00755D48"/>
    <w:rsid w:val="007604DB"/>
    <w:rsid w:val="00763F2A"/>
    <w:rsid w:val="00770109"/>
    <w:rsid w:val="00772B52"/>
    <w:rsid w:val="00773743"/>
    <w:rsid w:val="00774717"/>
    <w:rsid w:val="00776C30"/>
    <w:rsid w:val="0078735F"/>
    <w:rsid w:val="007925D2"/>
    <w:rsid w:val="00795C69"/>
    <w:rsid w:val="007B1C08"/>
    <w:rsid w:val="007B1CAE"/>
    <w:rsid w:val="007B1DE0"/>
    <w:rsid w:val="007B44B5"/>
    <w:rsid w:val="007B719D"/>
    <w:rsid w:val="007C3EF5"/>
    <w:rsid w:val="007C7797"/>
    <w:rsid w:val="007D0D7B"/>
    <w:rsid w:val="007D42E6"/>
    <w:rsid w:val="007D6034"/>
    <w:rsid w:val="007D7D0D"/>
    <w:rsid w:val="007E3759"/>
    <w:rsid w:val="007E4443"/>
    <w:rsid w:val="008006AE"/>
    <w:rsid w:val="00811185"/>
    <w:rsid w:val="0081161D"/>
    <w:rsid w:val="00817530"/>
    <w:rsid w:val="008175DF"/>
    <w:rsid w:val="00821796"/>
    <w:rsid w:val="008218F8"/>
    <w:rsid w:val="00821C87"/>
    <w:rsid w:val="00823D27"/>
    <w:rsid w:val="0082619E"/>
    <w:rsid w:val="008271CD"/>
    <w:rsid w:val="00830933"/>
    <w:rsid w:val="0083240C"/>
    <w:rsid w:val="00841EFA"/>
    <w:rsid w:val="00843B6D"/>
    <w:rsid w:val="008440AE"/>
    <w:rsid w:val="00847BF7"/>
    <w:rsid w:val="0086720D"/>
    <w:rsid w:val="0086798E"/>
    <w:rsid w:val="0087555B"/>
    <w:rsid w:val="00883EF0"/>
    <w:rsid w:val="00891479"/>
    <w:rsid w:val="00893481"/>
    <w:rsid w:val="00896E8E"/>
    <w:rsid w:val="008A2FE6"/>
    <w:rsid w:val="008B5997"/>
    <w:rsid w:val="008C202C"/>
    <w:rsid w:val="008C4EF9"/>
    <w:rsid w:val="008C76AA"/>
    <w:rsid w:val="008C7F98"/>
    <w:rsid w:val="008D22DC"/>
    <w:rsid w:val="008D3489"/>
    <w:rsid w:val="008D7324"/>
    <w:rsid w:val="008D7EEE"/>
    <w:rsid w:val="008E729B"/>
    <w:rsid w:val="008F5ABA"/>
    <w:rsid w:val="008F5FC8"/>
    <w:rsid w:val="0090143E"/>
    <w:rsid w:val="00901F37"/>
    <w:rsid w:val="00906C3E"/>
    <w:rsid w:val="00906E23"/>
    <w:rsid w:val="00907171"/>
    <w:rsid w:val="00907900"/>
    <w:rsid w:val="00907BE5"/>
    <w:rsid w:val="00911D19"/>
    <w:rsid w:val="00913120"/>
    <w:rsid w:val="0091421D"/>
    <w:rsid w:val="00920620"/>
    <w:rsid w:val="009212A9"/>
    <w:rsid w:val="00932E76"/>
    <w:rsid w:val="00934F62"/>
    <w:rsid w:val="00946A58"/>
    <w:rsid w:val="00947443"/>
    <w:rsid w:val="00962897"/>
    <w:rsid w:val="00962FCD"/>
    <w:rsid w:val="009708B8"/>
    <w:rsid w:val="00987CCD"/>
    <w:rsid w:val="009918D9"/>
    <w:rsid w:val="009947D5"/>
    <w:rsid w:val="00994EF3"/>
    <w:rsid w:val="009A2B97"/>
    <w:rsid w:val="009A723E"/>
    <w:rsid w:val="009A7554"/>
    <w:rsid w:val="009A7A4D"/>
    <w:rsid w:val="009B56A7"/>
    <w:rsid w:val="009C3ADD"/>
    <w:rsid w:val="009C3E68"/>
    <w:rsid w:val="009D5760"/>
    <w:rsid w:val="009D68C4"/>
    <w:rsid w:val="009D703E"/>
    <w:rsid w:val="009F409B"/>
    <w:rsid w:val="009F4A25"/>
    <w:rsid w:val="009F77AD"/>
    <w:rsid w:val="00A00748"/>
    <w:rsid w:val="00A034A9"/>
    <w:rsid w:val="00A06B14"/>
    <w:rsid w:val="00A12977"/>
    <w:rsid w:val="00A159D9"/>
    <w:rsid w:val="00A26669"/>
    <w:rsid w:val="00A362E3"/>
    <w:rsid w:val="00A46104"/>
    <w:rsid w:val="00A506EE"/>
    <w:rsid w:val="00A56AD9"/>
    <w:rsid w:val="00A721C7"/>
    <w:rsid w:val="00A74D13"/>
    <w:rsid w:val="00A7641E"/>
    <w:rsid w:val="00A81E27"/>
    <w:rsid w:val="00A846D3"/>
    <w:rsid w:val="00A85983"/>
    <w:rsid w:val="00A86638"/>
    <w:rsid w:val="00A867F4"/>
    <w:rsid w:val="00A9144C"/>
    <w:rsid w:val="00A9385B"/>
    <w:rsid w:val="00A948DF"/>
    <w:rsid w:val="00AA185A"/>
    <w:rsid w:val="00AB53EF"/>
    <w:rsid w:val="00AC1E9F"/>
    <w:rsid w:val="00AC588A"/>
    <w:rsid w:val="00AD6EE0"/>
    <w:rsid w:val="00AE12B2"/>
    <w:rsid w:val="00AE46AA"/>
    <w:rsid w:val="00AE5724"/>
    <w:rsid w:val="00AE65D8"/>
    <w:rsid w:val="00AF521B"/>
    <w:rsid w:val="00AF5EAE"/>
    <w:rsid w:val="00B00050"/>
    <w:rsid w:val="00B02642"/>
    <w:rsid w:val="00B02E1D"/>
    <w:rsid w:val="00B03470"/>
    <w:rsid w:val="00B05078"/>
    <w:rsid w:val="00B13DE5"/>
    <w:rsid w:val="00B16050"/>
    <w:rsid w:val="00B23B6C"/>
    <w:rsid w:val="00B254FC"/>
    <w:rsid w:val="00B25CC6"/>
    <w:rsid w:val="00B275F1"/>
    <w:rsid w:val="00B34DB6"/>
    <w:rsid w:val="00B4320D"/>
    <w:rsid w:val="00B44B0D"/>
    <w:rsid w:val="00B456B3"/>
    <w:rsid w:val="00B46F4F"/>
    <w:rsid w:val="00B5012F"/>
    <w:rsid w:val="00B56018"/>
    <w:rsid w:val="00B75D44"/>
    <w:rsid w:val="00B779F1"/>
    <w:rsid w:val="00B812B3"/>
    <w:rsid w:val="00B87386"/>
    <w:rsid w:val="00B914F9"/>
    <w:rsid w:val="00BA40D7"/>
    <w:rsid w:val="00BA741B"/>
    <w:rsid w:val="00BB00AA"/>
    <w:rsid w:val="00BB3818"/>
    <w:rsid w:val="00BB71C0"/>
    <w:rsid w:val="00BB7AB4"/>
    <w:rsid w:val="00BC0EC6"/>
    <w:rsid w:val="00BC1912"/>
    <w:rsid w:val="00BC1DFE"/>
    <w:rsid w:val="00BC59B2"/>
    <w:rsid w:val="00BC6FD4"/>
    <w:rsid w:val="00BD6604"/>
    <w:rsid w:val="00BE5B84"/>
    <w:rsid w:val="00BE6551"/>
    <w:rsid w:val="00C03717"/>
    <w:rsid w:val="00C03FEF"/>
    <w:rsid w:val="00C169FC"/>
    <w:rsid w:val="00C17EB3"/>
    <w:rsid w:val="00C253C8"/>
    <w:rsid w:val="00C32869"/>
    <w:rsid w:val="00C3455C"/>
    <w:rsid w:val="00C368AD"/>
    <w:rsid w:val="00C421BE"/>
    <w:rsid w:val="00C435E5"/>
    <w:rsid w:val="00C4638D"/>
    <w:rsid w:val="00C4743F"/>
    <w:rsid w:val="00C5465C"/>
    <w:rsid w:val="00C6140E"/>
    <w:rsid w:val="00C653E6"/>
    <w:rsid w:val="00C663E7"/>
    <w:rsid w:val="00C766F5"/>
    <w:rsid w:val="00C84772"/>
    <w:rsid w:val="00C86EFE"/>
    <w:rsid w:val="00C87F96"/>
    <w:rsid w:val="00C900AC"/>
    <w:rsid w:val="00C90F33"/>
    <w:rsid w:val="00CA578F"/>
    <w:rsid w:val="00CB781D"/>
    <w:rsid w:val="00CD76A8"/>
    <w:rsid w:val="00CE1511"/>
    <w:rsid w:val="00CE6922"/>
    <w:rsid w:val="00CE6D2C"/>
    <w:rsid w:val="00CF2CC1"/>
    <w:rsid w:val="00CF43E4"/>
    <w:rsid w:val="00D02716"/>
    <w:rsid w:val="00D03655"/>
    <w:rsid w:val="00D1666C"/>
    <w:rsid w:val="00D17D04"/>
    <w:rsid w:val="00D22716"/>
    <w:rsid w:val="00D24027"/>
    <w:rsid w:val="00D252AD"/>
    <w:rsid w:val="00D424CC"/>
    <w:rsid w:val="00D43796"/>
    <w:rsid w:val="00D44126"/>
    <w:rsid w:val="00D44DEC"/>
    <w:rsid w:val="00D45A2E"/>
    <w:rsid w:val="00D4654F"/>
    <w:rsid w:val="00D4766A"/>
    <w:rsid w:val="00D53E9D"/>
    <w:rsid w:val="00D5553D"/>
    <w:rsid w:val="00D629A0"/>
    <w:rsid w:val="00D67226"/>
    <w:rsid w:val="00D770D4"/>
    <w:rsid w:val="00D77FBE"/>
    <w:rsid w:val="00D83B18"/>
    <w:rsid w:val="00D91912"/>
    <w:rsid w:val="00D92DC2"/>
    <w:rsid w:val="00DA5593"/>
    <w:rsid w:val="00DA719A"/>
    <w:rsid w:val="00DB6451"/>
    <w:rsid w:val="00DC0461"/>
    <w:rsid w:val="00DC12E7"/>
    <w:rsid w:val="00DC1FB6"/>
    <w:rsid w:val="00DC38B8"/>
    <w:rsid w:val="00DC7BEE"/>
    <w:rsid w:val="00DD0720"/>
    <w:rsid w:val="00DD0D0F"/>
    <w:rsid w:val="00DD41D5"/>
    <w:rsid w:val="00DD579A"/>
    <w:rsid w:val="00DE60C2"/>
    <w:rsid w:val="00DE756E"/>
    <w:rsid w:val="00E0140D"/>
    <w:rsid w:val="00E068E4"/>
    <w:rsid w:val="00E13362"/>
    <w:rsid w:val="00E1373D"/>
    <w:rsid w:val="00E35BFB"/>
    <w:rsid w:val="00E43947"/>
    <w:rsid w:val="00E50AA2"/>
    <w:rsid w:val="00E522CC"/>
    <w:rsid w:val="00E60034"/>
    <w:rsid w:val="00E700D1"/>
    <w:rsid w:val="00E7521C"/>
    <w:rsid w:val="00E77510"/>
    <w:rsid w:val="00E821FA"/>
    <w:rsid w:val="00E96ABD"/>
    <w:rsid w:val="00E97B21"/>
    <w:rsid w:val="00EA7BC3"/>
    <w:rsid w:val="00EB4178"/>
    <w:rsid w:val="00EB509B"/>
    <w:rsid w:val="00EB5A6E"/>
    <w:rsid w:val="00EC033E"/>
    <w:rsid w:val="00EC0F47"/>
    <w:rsid w:val="00EC5808"/>
    <w:rsid w:val="00EC6C98"/>
    <w:rsid w:val="00ED1B21"/>
    <w:rsid w:val="00ED400A"/>
    <w:rsid w:val="00EE3658"/>
    <w:rsid w:val="00EE374F"/>
    <w:rsid w:val="00EE43D3"/>
    <w:rsid w:val="00EE562D"/>
    <w:rsid w:val="00F0259C"/>
    <w:rsid w:val="00F14CDB"/>
    <w:rsid w:val="00F402B7"/>
    <w:rsid w:val="00F44755"/>
    <w:rsid w:val="00F45902"/>
    <w:rsid w:val="00F46EDB"/>
    <w:rsid w:val="00F50083"/>
    <w:rsid w:val="00F50F62"/>
    <w:rsid w:val="00F63F41"/>
    <w:rsid w:val="00F654BB"/>
    <w:rsid w:val="00F66691"/>
    <w:rsid w:val="00F729D6"/>
    <w:rsid w:val="00F83B0E"/>
    <w:rsid w:val="00F868D7"/>
    <w:rsid w:val="00F9260B"/>
    <w:rsid w:val="00F9353F"/>
    <w:rsid w:val="00F944D9"/>
    <w:rsid w:val="00F95BF6"/>
    <w:rsid w:val="00F972BE"/>
    <w:rsid w:val="00FA2EA5"/>
    <w:rsid w:val="00FA69D3"/>
    <w:rsid w:val="00FB01D9"/>
    <w:rsid w:val="00FB3400"/>
    <w:rsid w:val="00FB71A0"/>
    <w:rsid w:val="00FC5525"/>
    <w:rsid w:val="00FD5EFA"/>
    <w:rsid w:val="00FE00F2"/>
    <w:rsid w:val="00FE781D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08E13"/>
  <w15:chartTrackingRefBased/>
  <w15:docId w15:val="{EC892E9A-65A6-41AD-A270-B294696C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553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9144C"/>
    <w:pPr>
      <w:keepNext/>
      <w:keepLines/>
      <w:numPr>
        <w:numId w:val="5"/>
      </w:numPr>
      <w:spacing w:before="240" w:after="240"/>
      <w:jc w:val="both"/>
      <w:outlineLvl w:val="0"/>
    </w:pPr>
    <w:rPr>
      <w:rFonts w:eastAsia="Times New Roman" w:cstheme="minorHAnsi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9144C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9144C"/>
    <w:pPr>
      <w:keepNext/>
      <w:keepLines/>
      <w:numPr>
        <w:ilvl w:val="2"/>
        <w:numId w:val="5"/>
      </w:numPr>
      <w:spacing w:before="120" w:after="12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A9144C"/>
    <w:pPr>
      <w:keepNext/>
      <w:keepLines/>
      <w:numPr>
        <w:ilvl w:val="3"/>
        <w:numId w:val="5"/>
      </w:numPr>
      <w:spacing w:before="120" w:after="120"/>
      <w:ind w:left="851" w:hanging="851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55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53D"/>
    <w:rPr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446F6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46F63"/>
    <w:pPr>
      <w:widowControl w:val="0"/>
      <w:shd w:val="clear" w:color="auto" w:fill="FFFFFF"/>
      <w:spacing w:after="120" w:line="256" w:lineRule="auto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locked/>
    <w:rsid w:val="00446F63"/>
    <w:rPr>
      <w:rFonts w:ascii="Arial" w:eastAsia="Arial" w:hAnsi="Arial" w:cs="Arial"/>
      <w:color w:val="244143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446F63"/>
    <w:pPr>
      <w:widowControl w:val="0"/>
      <w:shd w:val="clear" w:color="auto" w:fill="FFFFFF"/>
    </w:pPr>
    <w:rPr>
      <w:rFonts w:ascii="Arial" w:eastAsia="Arial" w:hAnsi="Arial" w:cs="Arial"/>
      <w:color w:val="244143"/>
      <w:sz w:val="22"/>
      <w:szCs w:val="22"/>
    </w:rPr>
  </w:style>
  <w:style w:type="paragraph" w:customStyle="1" w:styleId="ENormln">
    <w:name w:val="E_Normální"/>
    <w:basedOn w:val="Normln"/>
    <w:qFormat/>
    <w:rsid w:val="00446F63"/>
    <w:pPr>
      <w:spacing w:after="160" w:line="276" w:lineRule="auto"/>
      <w:jc w:val="both"/>
    </w:pPr>
  </w:style>
  <w:style w:type="character" w:customStyle="1" w:styleId="TextpoznpodarouChar">
    <w:name w:val="Text pozn. pod čarou Char"/>
    <w:aliases w:val="Boston 10 Char,Char Char,Char Char Char1 Char,Char1 Char,Font: Geneva 9 Char,Footnote Char,Footnote Text Char1 Char,Fußnotentextf Char,Geneva 9 Char,Schriftart: 10 pt Char,Schriftart: 8 pt Char,Schriftart: 9 pt Char,f Char"/>
    <w:basedOn w:val="Standardnpsmoodstavce"/>
    <w:link w:val="Textpoznpodarou"/>
    <w:uiPriority w:val="99"/>
    <w:qFormat/>
    <w:locked/>
    <w:rsid w:val="00FC5525"/>
    <w:rPr>
      <w:rFonts w:ascii="Times New Roman" w:eastAsia="Times New Roman" w:hAnsi="Times New Roman" w:cs="Times New Roman"/>
      <w:sz w:val="20"/>
      <w:szCs w:val="20"/>
    </w:rPr>
  </w:style>
  <w:style w:type="paragraph" w:styleId="Textpoznpodarou">
    <w:name w:val="footnote text"/>
    <w:aliases w:val="Boston 10,Char,Char Char Char1,Char1,Font: Geneva 9,Footnote,Footnote Text Char1,Fußnotentextf,Geneva 9,Schriftart: 10 pt,Schriftart: 8 pt,Schriftart: 9 pt,Text pozn. pod čarou1,Text poznámky pod čiarou 007,f,o,pozn. pod čarou,ft"/>
    <w:basedOn w:val="Normln"/>
    <w:link w:val="TextpoznpodarouChar"/>
    <w:uiPriority w:val="99"/>
    <w:unhideWhenUsed/>
    <w:qFormat/>
    <w:rsid w:val="00FC5525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C5525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C5525"/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25"/>
    <w:rPr>
      <w:rFonts w:eastAsia="Times New Roman" w:cs="Times New Roman"/>
      <w:sz w:val="20"/>
      <w:szCs w:val="20"/>
    </w:rPr>
  </w:style>
  <w:style w:type="character" w:styleId="Znakapoznpodarou">
    <w:name w:val="footnote reference"/>
    <w:aliases w:val="4_G,Appel note de bas de p,Appel note de bas de page,BVI fnr,Char Car Car Car Car,Footnote Reference Superscript,Footnote symbol,Légende,Légende.Char Car Car Car Car,PGI Fußnote Ziffer,Voetnootverwijzing,12 b.,Zúžené o ...,number"/>
    <w:basedOn w:val="Standardnpsmoodstavce"/>
    <w:link w:val="BVIfnrCharChar"/>
    <w:uiPriority w:val="99"/>
    <w:unhideWhenUsed/>
    <w:qFormat/>
    <w:rsid w:val="00FC5525"/>
    <w:rPr>
      <w:vertAlign w:val="superscript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FC5525"/>
    <w:pPr>
      <w:spacing w:after="160" w:line="240" w:lineRule="exact"/>
    </w:pPr>
    <w:rPr>
      <w:sz w:val="22"/>
      <w:szCs w:val="22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D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D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73884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A9144C"/>
    <w:rPr>
      <w:rFonts w:eastAsia="Times New Roman" w:cstheme="minorHAnsi"/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9144C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9144C"/>
    <w:rPr>
      <w:rFonts w:eastAsiaTheme="majorEastAsia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A9144C"/>
    <w:rPr>
      <w:rFonts w:eastAsiaTheme="majorEastAsia" w:cstheme="majorBidi"/>
      <w:b/>
      <w:bCs/>
      <w:iCs/>
      <w:sz w:val="24"/>
      <w:szCs w:val="24"/>
    </w:rPr>
  </w:style>
  <w:style w:type="paragraph" w:styleId="Odstavecseseznamem">
    <w:name w:val="List Paragraph"/>
    <w:aliases w:val="List Paragraph1,List Paragraph2,List Paragraph_0,List Paragraph_0_0,Nad,Nad1,Nad2,Nadpis pro KZ,Odstavec cíl se seznamem,Odstavec se seznamem1,Odstavec se seznamem2,Odstavec_muj,Odstavec_muj1,Odstavec_muj10,Odstavec_muj2,odrážky"/>
    <w:basedOn w:val="Normln"/>
    <w:link w:val="OdstavecseseznamemChar"/>
    <w:uiPriority w:val="34"/>
    <w:qFormat/>
    <w:rsid w:val="00A9144C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Styl1">
    <w:name w:val="Styl1"/>
    <w:basedOn w:val="Normln"/>
    <w:qFormat/>
    <w:rsid w:val="00A9144C"/>
    <w:pPr>
      <w:numPr>
        <w:numId w:val="6"/>
      </w:numPr>
      <w:spacing w:line="276" w:lineRule="auto"/>
      <w:jc w:val="both"/>
    </w:pPr>
    <w:rPr>
      <w:rFonts w:ascii="Calibri" w:eastAsia="Times New Roman" w:hAnsi="Calibri" w:cs="Times New Roman"/>
      <w:b/>
      <w:sz w:val="28"/>
      <w:szCs w:val="28"/>
    </w:rPr>
  </w:style>
  <w:style w:type="paragraph" w:customStyle="1" w:styleId="Styl2">
    <w:name w:val="Styl2"/>
    <w:basedOn w:val="Normln"/>
    <w:qFormat/>
    <w:rsid w:val="00A9144C"/>
    <w:pPr>
      <w:numPr>
        <w:ilvl w:val="1"/>
        <w:numId w:val="6"/>
      </w:numPr>
      <w:jc w:val="both"/>
    </w:pPr>
    <w:rPr>
      <w:rFonts w:ascii="Calibri" w:eastAsia="Times New Roman" w:hAnsi="Calibri" w:cs="Times New Roman"/>
      <w:b/>
      <w:sz w:val="22"/>
      <w:szCs w:val="22"/>
    </w:rPr>
  </w:style>
  <w:style w:type="paragraph" w:customStyle="1" w:styleId="Styl3">
    <w:name w:val="Styl3"/>
    <w:basedOn w:val="Odstavecseseznamem"/>
    <w:qFormat/>
    <w:rsid w:val="00A9144C"/>
    <w:pPr>
      <w:numPr>
        <w:ilvl w:val="2"/>
        <w:numId w:val="6"/>
      </w:numPr>
      <w:tabs>
        <w:tab w:val="num" w:pos="360"/>
      </w:tabs>
      <w:spacing w:before="120" w:after="200" w:line="276" w:lineRule="auto"/>
      <w:ind w:left="720" w:firstLine="0"/>
      <w:jc w:val="both"/>
    </w:pPr>
    <w:rPr>
      <w:rFonts w:ascii="Calibri" w:eastAsia="Times New Roman" w:hAnsi="Calibri" w:cs="Times New Roman"/>
      <w:b/>
    </w:rPr>
  </w:style>
  <w:style w:type="character" w:customStyle="1" w:styleId="OdstavecseseznamemChar">
    <w:name w:val="Odstavec se seznamem Char"/>
    <w:aliases w:val="List Paragraph1 Char,List Paragraph2 Char,List Paragraph_0 Char,List Paragraph_0_0 Char,Nad Char,Nad1 Char,Nad2 Char,Nadpis pro KZ Char,Odstavec cíl se seznamem Char,Odstavec se seznamem1 Char,Odstavec se seznamem2 Char"/>
    <w:link w:val="Odstavecseseznamem"/>
    <w:uiPriority w:val="34"/>
    <w:qFormat/>
    <w:locked/>
    <w:rsid w:val="00A9144C"/>
  </w:style>
  <w:style w:type="table" w:styleId="Mkatabulky">
    <w:name w:val="Table Grid"/>
    <w:basedOn w:val="Normlntabulka"/>
    <w:uiPriority w:val="39"/>
    <w:rsid w:val="00A9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ln"/>
    <w:link w:val="footnotedescriptionChar"/>
    <w:hidden/>
    <w:rsid w:val="00A9144C"/>
    <w:pPr>
      <w:spacing w:after="0"/>
      <w:ind w:left="11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A9144C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mark">
    <w:name w:val="footnote mark"/>
    <w:hidden/>
    <w:rsid w:val="00A9144C"/>
    <w:rPr>
      <w:rFonts w:ascii="Calibri" w:eastAsia="Calibri" w:hAnsi="Calibri" w:cs="Calibri"/>
      <w:color w:val="000000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9144C"/>
    <w:rPr>
      <w:color w:val="0563C1" w:themeColor="hyperlink"/>
      <w:u w:val="single"/>
    </w:rPr>
  </w:style>
  <w:style w:type="paragraph" w:customStyle="1" w:styleId="Normlsodsazenm">
    <w:name w:val="Normál s odsazením"/>
    <w:basedOn w:val="Normln"/>
    <w:autoRedefine/>
    <w:rsid w:val="00C32869"/>
    <w:pPr>
      <w:spacing w:after="120"/>
      <w:jc w:val="both"/>
    </w:pPr>
    <w:rPr>
      <w:rFonts w:eastAsiaTheme="minorEastAsia" w:cstheme="minorHAnsi"/>
      <w:color w:val="000000"/>
      <w:sz w:val="22"/>
      <w:szCs w:val="22"/>
      <w:lang w:eastAsia="cs-CZ"/>
    </w:rPr>
  </w:style>
  <w:style w:type="paragraph" w:styleId="Normlnweb">
    <w:name w:val="Normal (Web)"/>
    <w:basedOn w:val="Normln"/>
    <w:uiPriority w:val="99"/>
    <w:unhideWhenUsed/>
    <w:rsid w:val="00A914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A9144C"/>
    <w:pPr>
      <w:spacing w:after="0" w:line="240" w:lineRule="auto"/>
    </w:pPr>
  </w:style>
  <w:style w:type="paragraph" w:customStyle="1" w:styleId="Default">
    <w:name w:val="Default"/>
    <w:basedOn w:val="Normln"/>
    <w:rsid w:val="00A9144C"/>
    <w:pPr>
      <w:autoSpaceDE w:val="0"/>
      <w:autoSpaceDN w:val="0"/>
    </w:pPr>
    <w:rPr>
      <w:rFonts w:ascii="Calibri" w:hAnsi="Calibri" w:cs="Calibri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41B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41B"/>
    <w:rPr>
      <w:rFonts w:eastAsia="Times New Roman" w:cs="Times New Roman"/>
      <w:b/>
      <w:bCs/>
      <w:sz w:val="20"/>
      <w:szCs w:val="20"/>
    </w:rPr>
  </w:style>
  <w:style w:type="character" w:customStyle="1" w:styleId="MluvcnadpisChar">
    <w:name w:val="Mluvící nadpis Char"/>
    <w:basedOn w:val="Standardnpsmoodstavce"/>
    <w:link w:val="Mluvcnadpis"/>
    <w:locked/>
    <w:rsid w:val="00776C30"/>
    <w:rPr>
      <w:rFonts w:asciiTheme="majorHAnsi" w:eastAsiaTheme="majorEastAsia" w:hAnsiTheme="majorHAnsi" w:cstheme="minorHAnsi"/>
      <w:b/>
      <w:bCs/>
      <w:i/>
      <w:color w:val="FF0000"/>
      <w:sz w:val="24"/>
      <w:szCs w:val="24"/>
    </w:rPr>
  </w:style>
  <w:style w:type="paragraph" w:customStyle="1" w:styleId="Mluvcnadpis">
    <w:name w:val="Mluvící nadpis"/>
    <w:basedOn w:val="Nadpis2"/>
    <w:next w:val="Normln"/>
    <w:link w:val="MluvcnadpisChar"/>
    <w:qFormat/>
    <w:rsid w:val="00776C30"/>
    <w:pPr>
      <w:keepLines w:val="0"/>
      <w:numPr>
        <w:ilvl w:val="0"/>
        <w:numId w:val="0"/>
      </w:numPr>
      <w:spacing w:before="140"/>
      <w:ind w:left="284" w:hanging="284"/>
    </w:pPr>
    <w:rPr>
      <w:rFonts w:asciiTheme="majorHAnsi" w:hAnsiTheme="majorHAnsi" w:cstheme="minorHAnsi"/>
      <w:bCs/>
      <w:i/>
      <w:color w:val="FF0000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3C0D52"/>
    <w:pPr>
      <w:spacing w:after="200"/>
      <w:jc w:val="both"/>
    </w:pPr>
    <w:rPr>
      <w:rFonts w:eastAsia="Times New Roman" w:cs="Times New Roman"/>
      <w:i/>
      <w:iCs/>
      <w:color w:val="44546A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92D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92DC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66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2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gram.com/1pven79km6xe9dux6q93glmzdnarnem7lp7?li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gram.com/1p9g2q3jynlw72f72mdqe37yrwf3vlqjkzn?liv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ert.swiss/" TargetMode="External"/><Relationship Id="rId2" Type="http://schemas.openxmlformats.org/officeDocument/2006/relationships/hyperlink" Target="https://infogram.com/1pven79km6xe9dux6q93glmzdnarnem7lp7?live" TargetMode="External"/><Relationship Id="rId1" Type="http://schemas.openxmlformats.org/officeDocument/2006/relationships/hyperlink" Target="https://infogram.com/1p9g2q3jynlw72f72mdqe37yrwf3vlqjkzn?live" TargetMode="External"/><Relationship Id="rId5" Type="http://schemas.openxmlformats.org/officeDocument/2006/relationships/hyperlink" Target="https://podstawaprogramowa.pl/Szkola-podstawowa-IV-VIII/Edukacja-dla-bezpieczenstwa" TargetMode="External"/><Relationship Id="rId4" Type="http://schemas.openxmlformats.org/officeDocument/2006/relationships/hyperlink" Target="https://msbgis.maps.arcgis.com/apps/instant/nearby/index.html?appid=8bfc89e7c6064bc181c6a1a6bbac2fa3&amp;s%20liderDistance=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Kapacita</a:t>
            </a:r>
            <a:r>
              <a:rPr lang="cs-CZ" b="1"/>
              <a:t> a počet</a:t>
            </a:r>
            <a:r>
              <a:rPr lang="en-US" b="1"/>
              <a:t> </a:t>
            </a:r>
            <a:r>
              <a:rPr lang="cs-CZ" b="1" baseline="0"/>
              <a:t>stálých </a:t>
            </a:r>
            <a:r>
              <a:rPr lang="en-US" b="1"/>
              <a:t>úkrytů</a:t>
            </a:r>
            <a:r>
              <a:rPr lang="cs-CZ" b="1"/>
              <a:t> v ČR</a:t>
            </a:r>
          </a:p>
        </c:rich>
      </c:tx>
      <c:layout>
        <c:manualLayout>
          <c:xMode val="edge"/>
          <c:yMode val="edge"/>
          <c:x val="0.227007059665041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4347314699533974E-2"/>
          <c:y val="0.19278846153846158"/>
          <c:w val="0.83509263868938233"/>
          <c:h val="0.668989753684635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Kapacita stálých úkrytů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List1!$B$2:$B$13</c:f>
              <c:numCache>
                <c:formatCode>#,##0</c:formatCode>
                <c:ptCount val="12"/>
                <c:pt idx="0">
                  <c:v>512173</c:v>
                </c:pt>
                <c:pt idx="1">
                  <c:v>469840</c:v>
                </c:pt>
                <c:pt idx="2">
                  <c:v>451065</c:v>
                </c:pt>
                <c:pt idx="3">
                  <c:v>438327</c:v>
                </c:pt>
                <c:pt idx="4">
                  <c:v>418464</c:v>
                </c:pt>
                <c:pt idx="5">
                  <c:v>408333</c:v>
                </c:pt>
                <c:pt idx="6">
                  <c:v>397333</c:v>
                </c:pt>
                <c:pt idx="7">
                  <c:v>384708</c:v>
                </c:pt>
                <c:pt idx="8">
                  <c:v>373518</c:v>
                </c:pt>
                <c:pt idx="9">
                  <c:v>363329</c:v>
                </c:pt>
                <c:pt idx="10">
                  <c:v>356673</c:v>
                </c:pt>
                <c:pt idx="11">
                  <c:v>346890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04-4006-920F-8661D6B8B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96441039"/>
        <c:axId val="1493631071"/>
      </c:barChart>
      <c:lineChart>
        <c:grouping val="standard"/>
        <c:varyColors val="0"/>
        <c:ser>
          <c:idx val="1"/>
          <c:order val="1"/>
          <c:tx>
            <c:strRef>
              <c:f>List1!$C$1</c:f>
              <c:strCache>
                <c:ptCount val="1"/>
                <c:pt idx="0">
                  <c:v>Počet stálých úkrytů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List1!$C$2:$C$13</c:f>
              <c:numCache>
                <c:formatCode>General</c:formatCode>
                <c:ptCount val="12"/>
                <c:pt idx="0">
                  <c:v>2470</c:v>
                </c:pt>
                <c:pt idx="1">
                  <c:v>2322</c:v>
                </c:pt>
                <c:pt idx="2">
                  <c:v>2224</c:v>
                </c:pt>
                <c:pt idx="3">
                  <c:v>2147</c:v>
                </c:pt>
                <c:pt idx="4">
                  <c:v>2027</c:v>
                </c:pt>
                <c:pt idx="5">
                  <c:v>1961</c:v>
                </c:pt>
                <c:pt idx="6">
                  <c:v>1903</c:v>
                </c:pt>
                <c:pt idx="7">
                  <c:v>1845</c:v>
                </c:pt>
                <c:pt idx="8">
                  <c:v>1792</c:v>
                </c:pt>
                <c:pt idx="9">
                  <c:v>1748</c:v>
                </c:pt>
                <c:pt idx="10">
                  <c:v>1714</c:v>
                </c:pt>
                <c:pt idx="11">
                  <c:v>1680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04-4006-920F-8661D6B8B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6446239"/>
        <c:axId val="1493633983"/>
      </c:lineChart>
      <c:valAx>
        <c:axId val="1493633983"/>
        <c:scaling>
          <c:orientation val="minMax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96446239"/>
        <c:crosses val="max"/>
        <c:crossBetween val="between"/>
      </c:valAx>
      <c:catAx>
        <c:axId val="14964462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93633983"/>
        <c:crosses val="autoZero"/>
        <c:auto val="1"/>
        <c:lblAlgn val="ctr"/>
        <c:lblOffset val="100"/>
        <c:noMultiLvlLbl val="0"/>
      </c:catAx>
      <c:valAx>
        <c:axId val="1493631071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96441039"/>
        <c:crosses val="autoZero"/>
        <c:crossBetween val="between"/>
      </c:valAx>
      <c:catAx>
        <c:axId val="14964410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936310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A00-7EE8-4714-814B-5C009277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7987</Words>
  <Characters>47125</Characters>
  <Application>Microsoft Office Word</Application>
  <DocSecurity>0</DocSecurity>
  <Lines>392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22/12 Peněžní prostředky státu určené na přípravu a zajištění systému ochrany obyvatelstva</vt:lpstr>
    </vt:vector>
  </TitlesOfParts>
  <Company>NKÚ</Company>
  <LinksUpToDate>false</LinksUpToDate>
  <CharactersWithSpaces>55002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22/12 Peněžní prostředky státu určené na přípravu a zajištění systému ochrany obyvatelstva</dc:title>
  <dc:subject>Kontrolní závěr z kontrolní akce NKÚ č. 22/12 Peněžní prostředky státu určené na přípravu a zajištění systému ochrany obyvatelstva</dc:subject>
  <dc:creator>Nejvyšší kontrolní úřad</dc:creator>
  <cp:keywords/>
  <dc:description/>
  <cp:lastModifiedBy>KOKRDA Daniel</cp:lastModifiedBy>
  <cp:revision>3</cp:revision>
  <cp:lastPrinted>2023-03-10T07:45:00Z</cp:lastPrinted>
  <dcterms:created xsi:type="dcterms:W3CDTF">2023-03-10T07:43:00Z</dcterms:created>
  <dcterms:modified xsi:type="dcterms:W3CDTF">2023-03-10T07:45:00Z</dcterms:modified>
</cp:coreProperties>
</file>